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sz w:val="84"/>
          <w:szCs w:val="84"/>
          <w:lang w:val="zh-CN"/>
        </w:rPr>
      </w:pPr>
      <w:r>
        <w:rPr>
          <w:rFonts w:hint="eastAsia" w:ascii="黑体" w:hAnsi="黑体" w:eastAsia="黑体" w:cs="黑体"/>
          <w:b/>
          <w:spacing w:val="40"/>
          <w:sz w:val="52"/>
          <w:szCs w:val="52"/>
          <w:lang w:eastAsia="zh-CN"/>
        </w:rPr>
        <w:t>涉执房地产处置司法评估报告</w:t>
      </w:r>
      <w:r>
        <w:rPr>
          <w:rFonts w:hint="eastAsia" w:ascii="宋体" w:hAnsi="宋体" w:cs="宋体"/>
          <w:sz w:val="84"/>
          <w:szCs w:val="84"/>
          <w:lang w:val="zh-CN"/>
        </w:rPr>
        <w:drawing>
          <wp:inline distT="0" distB="0" distL="114300" distR="114300">
            <wp:extent cx="2160905" cy="2879725"/>
            <wp:effectExtent l="0" t="0" r="10795" b="15875"/>
            <wp:docPr id="11" name="图片 11" descr="7b84ea31c5152ebc88f824a7be317d5"/>
            <wp:cNvGraphicFramePr/>
            <a:graphic xmlns:a="http://schemas.openxmlformats.org/drawingml/2006/main">
              <a:graphicData uri="http://schemas.openxmlformats.org/drawingml/2006/picture">
                <pic:pic xmlns:pic="http://schemas.openxmlformats.org/drawingml/2006/picture">
                  <pic:nvPicPr>
                    <pic:cNvPr id="11" name="图片 11" descr="7b84ea31c5152ebc88f824a7be317d5"/>
                    <pic:cNvPicPr/>
                  </pic:nvPicPr>
                  <pic:blipFill>
                    <a:blip r:embed="rId19"/>
                    <a:stretch>
                      <a:fillRect/>
                    </a:stretch>
                  </pic:blipFill>
                  <pic:spPr>
                    <a:xfrm>
                      <a:off x="0" y="0"/>
                      <a:ext cx="2160905" cy="2879725"/>
                    </a:xfrm>
                    <a:prstGeom prst="rect">
                      <a:avLst/>
                    </a:prstGeom>
                  </pic:spPr>
                </pic:pic>
              </a:graphicData>
            </a:graphic>
          </wp:inline>
        </w:drawing>
      </w:r>
    </w:p>
    <w:p>
      <w:pPr>
        <w:spacing w:line="240" w:lineRule="exact"/>
        <w:jc w:val="both"/>
        <w:rPr>
          <w:rFonts w:hint="eastAsia" w:ascii="宋体" w:hAnsi="宋体" w:cs="宋体"/>
          <w:b/>
          <w:sz w:val="28"/>
          <w:szCs w:val="28"/>
        </w:rPr>
      </w:pPr>
    </w:p>
    <w:p>
      <w:pPr>
        <w:spacing w:line="680" w:lineRule="exact"/>
        <w:ind w:left="1968" w:hanging="1968" w:hangingChars="700"/>
        <w:jc w:val="left"/>
        <w:rPr>
          <w:rFonts w:hint="eastAsia" w:ascii="宋体" w:hAnsi="宋体" w:cs="宋体"/>
          <w:b/>
          <w:color w:val="FF0000"/>
          <w:sz w:val="28"/>
          <w:szCs w:val="28"/>
        </w:rPr>
      </w:pPr>
      <w:r>
        <w:rPr>
          <w:rFonts w:hint="eastAsia" w:ascii="宋体" w:hAnsi="宋体" w:cs="宋体"/>
          <w:b/>
          <w:sz w:val="28"/>
          <w:szCs w:val="28"/>
        </w:rPr>
        <w:t>估价报告编号：</w:t>
      </w:r>
      <w:bookmarkStart w:id="0" w:name="OLE_LINK46"/>
      <w:r>
        <w:rPr>
          <w:rFonts w:hint="eastAsia" w:ascii="宋体" w:hAnsi="宋体" w:cs="宋体"/>
          <w:sz w:val="28"/>
          <w:szCs w:val="28"/>
        </w:rPr>
        <w:t>岩</w:t>
      </w:r>
      <w:r>
        <w:rPr>
          <w:rFonts w:hint="eastAsia" w:ascii="宋体" w:hAnsi="宋体" w:cs="宋体"/>
          <w:color w:val="000000"/>
          <w:sz w:val="28"/>
          <w:szCs w:val="28"/>
        </w:rPr>
        <w:t>冠力估价字</w:t>
      </w:r>
      <w:bookmarkEnd w:id="0"/>
      <w:r>
        <w:rPr>
          <w:rFonts w:hint="eastAsia" w:ascii="宋体" w:hAnsi="宋体" w:cs="宋体"/>
          <w:color w:val="000000"/>
          <w:sz w:val="28"/>
          <w:szCs w:val="28"/>
          <w:lang w:eastAsia="zh-CN"/>
        </w:rPr>
        <w:t>[2022]LY610号</w:t>
      </w:r>
    </w:p>
    <w:p>
      <w:pPr>
        <w:spacing w:line="680" w:lineRule="exact"/>
        <w:ind w:left="2122" w:hanging="2122" w:hangingChars="700"/>
        <w:jc w:val="left"/>
        <w:rPr>
          <w:rFonts w:hint="eastAsia" w:ascii="宋体" w:hAnsi="宋体" w:cs="宋体"/>
          <w:b/>
          <w:spacing w:val="11"/>
          <w:sz w:val="28"/>
          <w:szCs w:val="28"/>
        </w:rPr>
      </w:pPr>
      <w:r>
        <w:rPr>
          <w:rFonts w:hint="eastAsia" w:ascii="宋体" w:hAnsi="宋体" w:cs="宋体"/>
          <w:b/>
          <w:spacing w:val="11"/>
          <w:sz w:val="28"/>
          <w:szCs w:val="28"/>
        </w:rPr>
        <w:t>估价项目名称：</w:t>
      </w:r>
      <w:r>
        <w:rPr>
          <w:rFonts w:hint="eastAsia" w:ascii="宋体" w:hAnsi="宋体" w:cs="宋体"/>
          <w:spacing w:val="11"/>
          <w:sz w:val="28"/>
          <w:szCs w:val="28"/>
          <w:lang w:eastAsia="zh-CN"/>
        </w:rPr>
        <w:t>龙岩市新罗区龙岩大道北101号（小洋祥和家苑）2幢2801室住宅及C485车位房地产司法处置</w:t>
      </w:r>
      <w:r>
        <w:rPr>
          <w:rFonts w:hint="eastAsia" w:ascii="宋体" w:hAnsi="宋体" w:cs="宋体"/>
          <w:spacing w:val="11"/>
          <w:sz w:val="28"/>
          <w:szCs w:val="28"/>
        </w:rPr>
        <w:t>估价</w:t>
      </w:r>
    </w:p>
    <w:p>
      <w:pPr>
        <w:spacing w:line="680" w:lineRule="exact"/>
        <w:rPr>
          <w:rFonts w:hint="eastAsia" w:ascii="宋体" w:hAnsi="宋体" w:eastAsia="宋体" w:cs="宋体"/>
          <w:color w:val="FF0000"/>
          <w:sz w:val="28"/>
          <w:szCs w:val="28"/>
          <w:lang w:eastAsia="zh-CN"/>
        </w:rPr>
      </w:pPr>
      <w:r>
        <w:rPr>
          <w:rFonts w:hint="eastAsia" w:ascii="宋体" w:hAnsi="宋体" w:cs="宋体"/>
          <w:b/>
          <w:sz w:val="28"/>
          <w:szCs w:val="28"/>
        </w:rPr>
        <w:t>估价委托人：</w:t>
      </w:r>
      <w:r>
        <w:rPr>
          <w:rFonts w:hint="eastAsia" w:ascii="宋体" w:hAnsi="宋体" w:cs="宋体"/>
          <w:sz w:val="28"/>
          <w:szCs w:val="28"/>
          <w:lang w:eastAsia="zh-CN"/>
        </w:rPr>
        <w:t>福建省龙岩市新罗区人民法院</w:t>
      </w:r>
    </w:p>
    <w:p>
      <w:pPr>
        <w:spacing w:line="680" w:lineRule="exact"/>
        <w:rPr>
          <w:rFonts w:hint="eastAsia" w:ascii="宋体" w:hAnsi="宋体" w:cs="宋体"/>
          <w:b/>
          <w:sz w:val="28"/>
          <w:szCs w:val="28"/>
        </w:rPr>
      </w:pPr>
      <w:r>
        <w:rPr>
          <w:rFonts w:hint="eastAsia" w:ascii="宋体" w:hAnsi="宋体" w:cs="宋体"/>
          <w:b/>
          <w:sz w:val="28"/>
          <w:szCs w:val="28"/>
        </w:rPr>
        <w:t>房地产估价机构：</w:t>
      </w:r>
      <w:r>
        <w:rPr>
          <w:rFonts w:hint="eastAsia" w:ascii="宋体" w:hAnsi="宋体" w:cs="宋体"/>
          <w:sz w:val="28"/>
          <w:szCs w:val="28"/>
        </w:rPr>
        <w:t>龙岩冠力土地房地产评估有限公司</w:t>
      </w:r>
    </w:p>
    <w:p>
      <w:pPr>
        <w:tabs>
          <w:tab w:val="left" w:pos="3465"/>
          <w:tab w:val="left" w:pos="4095"/>
        </w:tabs>
        <w:spacing w:line="680" w:lineRule="exact"/>
        <w:rPr>
          <w:rFonts w:hint="eastAsia" w:ascii="宋体" w:hAnsi="宋体" w:cs="宋体"/>
          <w:sz w:val="28"/>
          <w:szCs w:val="28"/>
        </w:rPr>
      </w:pPr>
      <w:r>
        <w:rPr>
          <w:rFonts w:hint="eastAsia" w:ascii="宋体" w:hAnsi="宋体" w:cs="宋体"/>
          <w:b/>
          <w:sz w:val="28"/>
          <w:szCs w:val="28"/>
        </w:rPr>
        <w:t>注册房地产估价师：</w:t>
      </w:r>
      <w:r>
        <w:rPr>
          <w:rFonts w:hint="eastAsia" w:ascii="宋体" w:hAnsi="宋体" w:cs="宋体"/>
          <w:sz w:val="28"/>
          <w:szCs w:val="28"/>
          <w:lang w:eastAsia="zh-CN"/>
        </w:rPr>
        <w:t>倪灵燕</w:t>
      </w:r>
      <w:r>
        <w:rPr>
          <w:rFonts w:hint="eastAsia" w:ascii="宋体" w:hAnsi="宋体" w:cs="宋体"/>
          <w:sz w:val="28"/>
          <w:szCs w:val="28"/>
        </w:rPr>
        <w:t>（注册号：</w:t>
      </w:r>
      <w:r>
        <w:rPr>
          <w:rFonts w:hint="eastAsia" w:ascii="宋体" w:hAnsi="宋体" w:cs="宋体"/>
          <w:sz w:val="28"/>
          <w:szCs w:val="28"/>
          <w:lang w:eastAsia="zh-CN"/>
        </w:rPr>
        <w:t>3520150012</w:t>
      </w:r>
      <w:r>
        <w:rPr>
          <w:rFonts w:hint="eastAsia" w:ascii="宋体" w:hAnsi="宋体" w:cs="宋体"/>
          <w:sz w:val="28"/>
          <w:szCs w:val="28"/>
        </w:rPr>
        <w:t>）</w:t>
      </w:r>
    </w:p>
    <w:p>
      <w:pPr>
        <w:tabs>
          <w:tab w:val="left" w:pos="3465"/>
          <w:tab w:val="left" w:pos="4095"/>
        </w:tabs>
        <w:spacing w:line="680" w:lineRule="exact"/>
        <w:rPr>
          <w:rFonts w:hint="eastAsia" w:ascii="宋体" w:hAnsi="宋体" w:eastAsia="宋体" w:cs="宋体"/>
          <w:sz w:val="28"/>
          <w:szCs w:val="28"/>
          <w:lang w:val="en-US" w:eastAsia="zh-CN"/>
        </w:rPr>
      </w:pPr>
      <w:r>
        <w:rPr>
          <w:rFonts w:hint="eastAsia" w:ascii="宋体" w:hAnsi="宋体" w:cs="宋体"/>
          <w:sz w:val="28"/>
          <w:szCs w:val="28"/>
        </w:rPr>
        <w:t xml:space="preserve">                 </w:t>
      </w:r>
      <w:r>
        <w:rPr>
          <w:rFonts w:hint="eastAsia" w:ascii="宋体" w:hAnsi="宋体" w:cs="宋体"/>
          <w:sz w:val="28"/>
          <w:szCs w:val="28"/>
          <w:lang w:val="en-US" w:eastAsia="zh-CN"/>
        </w:rPr>
        <w:t xml:space="preserve"> </w:t>
      </w:r>
      <w:r>
        <w:rPr>
          <w:rFonts w:hint="eastAsia" w:ascii="宋体" w:hAnsi="宋体" w:cs="宋体"/>
          <w:sz w:val="28"/>
          <w:szCs w:val="28"/>
          <w:lang w:eastAsia="zh-CN"/>
        </w:rPr>
        <w:t>韩新华</w:t>
      </w:r>
      <w:r>
        <w:rPr>
          <w:rFonts w:hint="eastAsia" w:ascii="宋体" w:hAnsi="宋体" w:cs="宋体"/>
          <w:sz w:val="28"/>
          <w:szCs w:val="28"/>
        </w:rPr>
        <w:t>（注册号：</w:t>
      </w:r>
      <w:r>
        <w:rPr>
          <w:rFonts w:hint="eastAsia" w:ascii="宋体" w:hAnsi="宋体" w:cs="宋体"/>
          <w:sz w:val="28"/>
          <w:szCs w:val="28"/>
          <w:lang w:eastAsia="zh-CN"/>
        </w:rPr>
        <w:t>3520120002</w:t>
      </w:r>
      <w:r>
        <w:rPr>
          <w:rFonts w:hint="eastAsia" w:ascii="宋体" w:hAnsi="宋体" w:cs="宋体"/>
          <w:sz w:val="28"/>
          <w:szCs w:val="28"/>
        </w:rPr>
        <w:t>）</w:t>
      </w:r>
    </w:p>
    <w:p>
      <w:pPr>
        <w:spacing w:line="680" w:lineRule="exact"/>
        <w:rPr>
          <w:rFonts w:hint="eastAsia" w:ascii="宋体" w:hAnsi="宋体" w:cs="宋体"/>
          <w:sz w:val="28"/>
          <w:szCs w:val="28"/>
        </w:rPr>
      </w:pPr>
      <w:r>
        <w:rPr>
          <w:rFonts w:hint="eastAsia" w:ascii="宋体" w:hAnsi="宋体" w:cs="宋体"/>
          <w:b/>
          <w:sz w:val="28"/>
          <w:szCs w:val="28"/>
        </w:rPr>
        <w:t>估价报告出具日期：</w:t>
      </w:r>
      <w:r>
        <w:rPr>
          <w:rFonts w:hint="eastAsia" w:ascii="宋体" w:hAnsi="宋体" w:cs="宋体"/>
          <w:color w:val="000000"/>
          <w:sz w:val="28"/>
          <w:szCs w:val="28"/>
          <w:lang w:eastAsia="zh-CN"/>
        </w:rPr>
        <w:t>2022年10月13日</w:t>
      </w:r>
    </w:p>
    <w:p>
      <w:pPr>
        <w:spacing w:line="680" w:lineRule="exact"/>
        <w:ind w:firstLine="221" w:firstLineChars="50"/>
        <w:rPr>
          <w:rFonts w:hint="eastAsia" w:ascii="宋体" w:hAnsi="宋体" w:cs="宋体"/>
          <w:b/>
          <w:sz w:val="44"/>
          <w:szCs w:val="44"/>
        </w:rPr>
        <w:sectPr>
          <w:headerReference r:id="rId3" w:type="default"/>
          <w:footerReference r:id="rId5" w:type="default"/>
          <w:headerReference r:id="rId4" w:type="even"/>
          <w:footerReference r:id="rId6" w:type="even"/>
          <w:pgSz w:w="11907" w:h="16840"/>
          <w:pgMar w:top="2268" w:right="1134" w:bottom="2268" w:left="1701" w:header="851" w:footer="851" w:gutter="0"/>
          <w:cols w:space="720" w:num="1"/>
          <w:titlePg/>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ind w:firstLine="161" w:firstLineChars="50"/>
        <w:jc w:val="center"/>
        <w:textAlignment w:val="auto"/>
        <w:rPr>
          <w:rFonts w:hint="eastAsia" w:ascii="宋体" w:hAnsi="宋体" w:cs="宋体"/>
          <w:b/>
          <w:sz w:val="32"/>
          <w:szCs w:val="32"/>
        </w:rPr>
      </w:pPr>
      <w:r>
        <w:rPr>
          <w:rFonts w:hint="eastAsia" w:ascii="宋体" w:hAnsi="宋体" w:cs="宋体"/>
          <w:b/>
          <w:sz w:val="32"/>
          <w:szCs w:val="32"/>
        </w:rPr>
        <w:t>估价报告摘要表</w:t>
      </w:r>
    </w:p>
    <w:p>
      <w:pPr>
        <w:keepNext w:val="0"/>
        <w:keepLines w:val="0"/>
        <w:pageBreakBefore w:val="0"/>
        <w:widowControl w:val="0"/>
        <w:kinsoku/>
        <w:wordWrap/>
        <w:overflowPunct/>
        <w:topLinePunct w:val="0"/>
        <w:autoSpaceDE/>
        <w:autoSpaceDN/>
        <w:bidi w:val="0"/>
        <w:adjustRightInd/>
        <w:snapToGrid/>
        <w:spacing w:line="360" w:lineRule="auto"/>
        <w:ind w:firstLine="105" w:firstLineChars="50"/>
        <w:jc w:val="right"/>
        <w:textAlignment w:val="auto"/>
        <w:rPr>
          <w:rFonts w:hint="eastAsia" w:ascii="宋体" w:hAnsi="宋体" w:cs="宋体"/>
          <w:szCs w:val="21"/>
        </w:rPr>
      </w:pPr>
      <w:r>
        <w:rPr>
          <w:rFonts w:hint="eastAsia" w:ascii="宋体" w:hAnsi="宋体" w:cs="宋体"/>
          <w:b/>
          <w:szCs w:val="21"/>
          <w:lang w:val="en-US" w:eastAsia="zh-CN"/>
        </w:rPr>
        <w:t xml:space="preserve">     </w:t>
      </w:r>
      <w:r>
        <w:rPr>
          <w:rFonts w:hint="eastAsia" w:ascii="宋体" w:hAnsi="宋体" w:cs="宋体"/>
          <w:b/>
          <w:szCs w:val="21"/>
        </w:rPr>
        <w:t>估价报告编号：</w:t>
      </w:r>
      <w:r>
        <w:rPr>
          <w:rFonts w:hint="eastAsia" w:ascii="宋体" w:hAnsi="宋体" w:cs="宋体"/>
          <w:szCs w:val="21"/>
        </w:rPr>
        <w:t>岩冠力估价字</w:t>
      </w:r>
      <w:r>
        <w:rPr>
          <w:rFonts w:hint="eastAsia" w:ascii="宋体" w:hAnsi="宋体" w:cs="宋体"/>
          <w:szCs w:val="21"/>
          <w:lang w:eastAsia="zh-CN"/>
        </w:rPr>
        <w:t>[2022]LY610号</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9"/>
        <w:gridCol w:w="1982"/>
        <w:gridCol w:w="1517"/>
        <w:gridCol w:w="147"/>
        <w:gridCol w:w="2304"/>
        <w:gridCol w:w="1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4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sz w:val="21"/>
                <w:szCs w:val="21"/>
                <w:vertAlign w:val="baseline"/>
                <w:lang w:eastAsia="zh-CN"/>
              </w:rPr>
            </w:pPr>
            <w:r>
              <w:rPr>
                <w:rFonts w:hint="eastAsia" w:ascii="宋体" w:hAnsi="宋体" w:cs="宋体"/>
                <w:b/>
                <w:bCs/>
                <w:sz w:val="21"/>
                <w:szCs w:val="21"/>
                <w:vertAlign w:val="baseline"/>
                <w:lang w:eastAsia="zh-CN"/>
              </w:rPr>
              <w:t>项目名称及</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vertAlign w:val="baseline"/>
                <w:lang w:eastAsia="zh-CN"/>
              </w:rPr>
            </w:pPr>
            <w:r>
              <w:rPr>
                <w:rFonts w:hint="eastAsia" w:ascii="宋体" w:hAnsi="宋体" w:cs="宋体"/>
                <w:b/>
                <w:bCs/>
                <w:sz w:val="21"/>
                <w:szCs w:val="21"/>
                <w:vertAlign w:val="baseline"/>
                <w:lang w:eastAsia="zh-CN"/>
              </w:rPr>
              <w:t>坐落</w:t>
            </w:r>
          </w:p>
        </w:tc>
        <w:tc>
          <w:tcPr>
            <w:tcW w:w="7789"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sz w:val="21"/>
                <w:szCs w:val="21"/>
                <w:lang w:eastAsia="zh-CN"/>
              </w:rPr>
            </w:pPr>
            <w:r>
              <w:rPr>
                <w:rFonts w:hint="eastAsia" w:ascii="宋体" w:hAnsi="宋体" w:cs="宋体"/>
                <w:sz w:val="21"/>
                <w:szCs w:val="21"/>
                <w:lang w:eastAsia="zh-CN"/>
              </w:rPr>
              <w:t>龙岩市新罗区龙岩大道北101号（小洋祥和家苑）2幢2801室住宅及C485车位</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sz w:val="21"/>
                <w:szCs w:val="21"/>
                <w:vertAlign w:val="baseline"/>
              </w:rPr>
            </w:pPr>
            <w:r>
              <w:rPr>
                <w:rFonts w:hint="eastAsia" w:ascii="宋体" w:hAnsi="宋体" w:eastAsia="宋体" w:cs="宋体"/>
                <w:sz w:val="21"/>
                <w:szCs w:val="21"/>
                <w:lang w:eastAsia="zh-CN"/>
              </w:rPr>
              <w:t>房地产司法处置估价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4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vertAlign w:val="baseline"/>
                <w:lang w:eastAsia="zh-CN"/>
              </w:rPr>
            </w:pPr>
            <w:r>
              <w:rPr>
                <w:rFonts w:hint="eastAsia" w:ascii="宋体" w:hAnsi="宋体" w:cs="宋体"/>
                <w:b/>
                <w:bCs/>
                <w:sz w:val="21"/>
                <w:szCs w:val="21"/>
                <w:vertAlign w:val="baseline"/>
                <w:lang w:eastAsia="zh-CN"/>
              </w:rPr>
              <w:t>估价委托人</w:t>
            </w:r>
          </w:p>
        </w:tc>
        <w:tc>
          <w:tcPr>
            <w:tcW w:w="349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vertAlign w:val="baseline"/>
                <w:lang w:eastAsia="zh-CN"/>
              </w:rPr>
            </w:pPr>
            <w:r>
              <w:rPr>
                <w:rFonts w:hint="eastAsia" w:ascii="宋体" w:hAnsi="宋体" w:cs="宋体"/>
                <w:sz w:val="21"/>
                <w:szCs w:val="21"/>
                <w:lang w:eastAsia="zh-CN"/>
              </w:rPr>
              <w:t>福建省龙岩市新罗区人民法院</w:t>
            </w:r>
          </w:p>
        </w:tc>
        <w:tc>
          <w:tcPr>
            <w:tcW w:w="245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sz w:val="21"/>
                <w:szCs w:val="21"/>
                <w:vertAlign w:val="baseline"/>
                <w:lang w:eastAsia="zh-CN"/>
              </w:rPr>
            </w:pPr>
            <w:r>
              <w:rPr>
                <w:rFonts w:hint="eastAsia" w:ascii="宋体" w:hAnsi="宋体" w:cs="宋体"/>
                <w:b/>
                <w:bCs/>
                <w:sz w:val="21"/>
                <w:szCs w:val="21"/>
                <w:vertAlign w:val="baseline"/>
                <w:lang w:eastAsia="zh-CN"/>
              </w:rPr>
              <w:t>权利人</w:t>
            </w:r>
          </w:p>
        </w:tc>
        <w:tc>
          <w:tcPr>
            <w:tcW w:w="183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lang w:eastAsia="zh-CN"/>
              </w:rPr>
              <w:t>李水良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14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vertAlign w:val="baseline"/>
                <w:lang w:eastAsia="zh-CN"/>
              </w:rPr>
            </w:pPr>
            <w:r>
              <w:rPr>
                <w:rFonts w:hint="eastAsia" w:ascii="宋体" w:hAnsi="宋体" w:cs="宋体"/>
                <w:b/>
                <w:bCs/>
                <w:sz w:val="21"/>
                <w:szCs w:val="21"/>
                <w:vertAlign w:val="baseline"/>
                <w:lang w:eastAsia="zh-CN"/>
              </w:rPr>
              <w:t>权属证书</w:t>
            </w:r>
          </w:p>
        </w:tc>
        <w:tc>
          <w:tcPr>
            <w:tcW w:w="7789"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color w:val="auto"/>
                <w:sz w:val="21"/>
                <w:szCs w:val="21"/>
                <w:vertAlign w:val="baseline"/>
                <w:lang w:eastAsia="zh-CN"/>
              </w:rPr>
            </w:pPr>
            <w:r>
              <w:rPr>
                <w:rFonts w:hint="eastAsia" w:ascii="宋体" w:hAnsi="宋体" w:cs="宋体"/>
                <w:color w:val="auto"/>
                <w:sz w:val="21"/>
                <w:szCs w:val="21"/>
                <w:vertAlign w:val="baseline"/>
                <w:lang w:eastAsia="zh-CN"/>
              </w:rPr>
              <w:t>《不动产权证》闽（2022）龙岩市不动产权第004</w:t>
            </w:r>
            <w:r>
              <w:rPr>
                <w:rFonts w:hint="eastAsia" w:ascii="宋体" w:hAnsi="宋体" w:cs="宋体"/>
                <w:color w:val="auto"/>
                <w:sz w:val="21"/>
                <w:szCs w:val="21"/>
                <w:vertAlign w:val="baseline"/>
                <w:lang w:val="en-US" w:eastAsia="zh-CN"/>
              </w:rPr>
              <w:t>5224</w:t>
            </w:r>
            <w:r>
              <w:rPr>
                <w:rFonts w:hint="eastAsia" w:ascii="宋体" w:hAnsi="宋体" w:cs="宋体"/>
                <w:color w:val="auto"/>
                <w:sz w:val="21"/>
                <w:szCs w:val="21"/>
                <w:vertAlign w:val="baseline"/>
                <w:lang w:eastAsia="zh-CN"/>
              </w:rPr>
              <w:t>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color w:val="auto"/>
                <w:sz w:val="21"/>
                <w:szCs w:val="21"/>
                <w:vertAlign w:val="baseline"/>
                <w:lang w:eastAsia="zh-CN"/>
              </w:rPr>
            </w:pPr>
            <w:r>
              <w:rPr>
                <w:rFonts w:hint="eastAsia" w:ascii="宋体" w:hAnsi="宋体" w:cs="宋体"/>
                <w:color w:val="auto"/>
                <w:sz w:val="21"/>
                <w:szCs w:val="21"/>
                <w:vertAlign w:val="baseline"/>
                <w:lang w:eastAsia="zh-CN"/>
              </w:rPr>
              <w:t>《不动产权证》闽（2022）龙岩市不动产权第0046346号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4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vertAlign w:val="baseline"/>
                <w:lang w:eastAsia="zh-CN"/>
              </w:rPr>
            </w:pPr>
            <w:r>
              <w:rPr>
                <w:rFonts w:hint="eastAsia" w:ascii="宋体" w:hAnsi="宋体" w:cs="宋体"/>
                <w:b/>
                <w:bCs/>
                <w:sz w:val="21"/>
                <w:szCs w:val="21"/>
                <w:vertAlign w:val="baseline"/>
                <w:lang w:eastAsia="zh-CN"/>
              </w:rPr>
              <w:t>估价目的</w:t>
            </w:r>
          </w:p>
        </w:tc>
        <w:tc>
          <w:tcPr>
            <w:tcW w:w="7789"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为人民法院确定司法鉴定参考价提供参考依据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4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vertAlign w:val="baseline"/>
                <w:lang w:eastAsia="zh-CN"/>
              </w:rPr>
            </w:pPr>
            <w:r>
              <w:rPr>
                <w:rFonts w:hint="eastAsia" w:ascii="宋体" w:hAnsi="宋体" w:cs="宋体"/>
                <w:b/>
                <w:bCs/>
                <w:sz w:val="21"/>
                <w:szCs w:val="21"/>
                <w:vertAlign w:val="baseline"/>
                <w:lang w:eastAsia="zh-CN"/>
              </w:rPr>
              <w:t>估价方法</w:t>
            </w:r>
          </w:p>
        </w:tc>
        <w:tc>
          <w:tcPr>
            <w:tcW w:w="7789"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比较法、收益法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4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vertAlign w:val="baseline"/>
                <w:lang w:eastAsia="zh-CN"/>
              </w:rPr>
            </w:pPr>
            <w:r>
              <w:rPr>
                <w:rFonts w:hint="eastAsia" w:ascii="宋体" w:hAnsi="宋体" w:cs="宋体"/>
                <w:b/>
                <w:bCs/>
                <w:sz w:val="21"/>
                <w:szCs w:val="21"/>
                <w:vertAlign w:val="baseline"/>
                <w:lang w:eastAsia="zh-CN"/>
              </w:rPr>
              <w:t>价值时点</w:t>
            </w:r>
          </w:p>
        </w:tc>
        <w:tc>
          <w:tcPr>
            <w:tcW w:w="7789"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cs="宋体"/>
                <w:color w:val="auto"/>
                <w:sz w:val="21"/>
                <w:szCs w:val="21"/>
                <w:vertAlign w:val="baseline"/>
                <w:lang w:val="en-US" w:eastAsia="zh-CN"/>
              </w:rPr>
              <w:t>2022年6月24日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49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sz w:val="21"/>
                <w:szCs w:val="21"/>
                <w:vertAlign w:val="baseline"/>
              </w:rPr>
            </w:pPr>
            <w:r>
              <w:rPr>
                <w:rFonts w:hint="eastAsia" w:ascii="宋体" w:hAnsi="宋体" w:cs="宋体"/>
                <w:b/>
                <w:bCs/>
                <w:sz w:val="21"/>
                <w:szCs w:val="21"/>
                <w:lang w:eastAsia="zh-CN"/>
              </w:rPr>
              <w:t>估价对象</w:t>
            </w:r>
          </w:p>
        </w:tc>
        <w:tc>
          <w:tcPr>
            <w:tcW w:w="198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sz w:val="21"/>
                <w:szCs w:val="21"/>
                <w:lang w:eastAsia="zh-CN"/>
              </w:rPr>
            </w:pPr>
            <w:r>
              <w:rPr>
                <w:rFonts w:hint="eastAsia" w:ascii="宋体" w:hAnsi="宋体" w:cs="宋体"/>
                <w:b/>
                <w:bCs/>
                <w:color w:val="000000" w:themeColor="text1"/>
                <w:sz w:val="21"/>
                <w:szCs w:val="21"/>
                <w:lang w:eastAsia="zh-CN"/>
                <w14:textFill>
                  <w14:solidFill>
                    <w14:schemeClr w14:val="tx1"/>
                  </w14:solidFill>
                </w14:textFill>
              </w:rPr>
              <w:t>不动产单元号</w:t>
            </w:r>
          </w:p>
        </w:tc>
        <w:tc>
          <w:tcPr>
            <w:tcW w:w="580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350802 380089 GB00324 F00040033</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lang w:val="en-US" w:eastAsia="zh-CN"/>
              </w:rPr>
            </w:pPr>
            <w:r>
              <w:rPr>
                <w:rFonts w:hint="eastAsia" w:ascii="宋体" w:hAnsi="宋体" w:cs="宋体"/>
                <w:sz w:val="21"/>
                <w:szCs w:val="21"/>
                <w:vertAlign w:val="baseline"/>
                <w:lang w:val="en-US" w:eastAsia="zh-CN"/>
              </w:rPr>
              <w:t>350802 380089 GB00324 F00140008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49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sz w:val="21"/>
                <w:szCs w:val="21"/>
                <w:vertAlign w:val="baseline"/>
              </w:rPr>
            </w:pPr>
          </w:p>
        </w:tc>
        <w:tc>
          <w:tcPr>
            <w:tcW w:w="198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sz w:val="21"/>
                <w:szCs w:val="21"/>
                <w:vertAlign w:val="baseline"/>
              </w:rPr>
            </w:pPr>
            <w:r>
              <w:rPr>
                <w:rFonts w:hint="eastAsia" w:ascii="宋体" w:hAnsi="宋体" w:cs="宋体"/>
                <w:b/>
                <w:bCs/>
                <w:sz w:val="21"/>
                <w:szCs w:val="21"/>
                <w:lang w:eastAsia="zh-CN"/>
              </w:rPr>
              <w:t>共有情况</w:t>
            </w:r>
          </w:p>
        </w:tc>
        <w:tc>
          <w:tcPr>
            <w:tcW w:w="580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单独所有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49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sz w:val="21"/>
                <w:szCs w:val="21"/>
                <w:lang w:eastAsia="zh-CN"/>
              </w:rPr>
            </w:pPr>
          </w:p>
        </w:tc>
        <w:tc>
          <w:tcPr>
            <w:tcW w:w="198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sz w:val="21"/>
                <w:szCs w:val="21"/>
                <w:vertAlign w:val="baseline"/>
                <w:lang w:eastAsia="zh-CN"/>
              </w:rPr>
            </w:pPr>
            <w:r>
              <w:rPr>
                <w:rFonts w:hint="eastAsia" w:ascii="宋体" w:hAnsi="宋体" w:cs="宋体"/>
                <w:b/>
                <w:bCs/>
                <w:sz w:val="21"/>
                <w:szCs w:val="21"/>
                <w:vertAlign w:val="baseline"/>
                <w:lang w:eastAsia="zh-CN"/>
              </w:rPr>
              <w:t>使用期限</w:t>
            </w:r>
          </w:p>
        </w:tc>
        <w:tc>
          <w:tcPr>
            <w:tcW w:w="580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49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sz w:val="21"/>
                <w:szCs w:val="21"/>
                <w:lang w:eastAsia="zh-CN"/>
              </w:rPr>
            </w:pPr>
          </w:p>
        </w:tc>
        <w:tc>
          <w:tcPr>
            <w:tcW w:w="198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sz w:val="21"/>
                <w:szCs w:val="21"/>
                <w:vertAlign w:val="baseline"/>
                <w:lang w:eastAsia="zh-CN"/>
              </w:rPr>
            </w:pPr>
            <w:r>
              <w:rPr>
                <w:rFonts w:hint="eastAsia" w:ascii="宋体" w:hAnsi="宋体" w:cs="宋体"/>
                <w:b/>
                <w:bCs/>
                <w:sz w:val="21"/>
                <w:szCs w:val="21"/>
                <w:lang w:eastAsia="zh-CN"/>
              </w:rPr>
              <w:t>用途</w:t>
            </w:r>
          </w:p>
        </w:tc>
        <w:tc>
          <w:tcPr>
            <w:tcW w:w="580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宋体" w:hAnsi="宋体" w:cs="宋体"/>
                <w:sz w:val="21"/>
                <w:szCs w:val="21"/>
                <w:vertAlign w:val="baseline"/>
                <w:lang w:val="en-US" w:eastAsia="zh-CN"/>
              </w:rPr>
            </w:pPr>
            <w:r>
              <w:rPr>
                <w:rFonts w:hint="eastAsia" w:ascii="宋体" w:hAnsi="宋体" w:cs="宋体"/>
                <w:spacing w:val="-3"/>
                <w:sz w:val="21"/>
                <w:szCs w:val="21"/>
                <w:vertAlign w:val="baseline"/>
                <w:lang w:eastAsia="zh-CN"/>
              </w:rPr>
              <w:t>城镇住宅用地（拆迁安置地）/成套住宅、</w:t>
            </w:r>
            <w:r>
              <w:rPr>
                <w:rFonts w:hint="eastAsia" w:ascii="宋体" w:hAnsi="宋体" w:cs="宋体"/>
                <w:spacing w:val="-3"/>
                <w:sz w:val="21"/>
                <w:szCs w:val="21"/>
                <w:vertAlign w:val="baseline"/>
                <w:lang w:val="en-US" w:eastAsia="zh-CN"/>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49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sz w:val="21"/>
                <w:szCs w:val="21"/>
                <w:vertAlign w:val="baseline"/>
              </w:rPr>
            </w:pPr>
          </w:p>
        </w:tc>
        <w:tc>
          <w:tcPr>
            <w:tcW w:w="198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sz w:val="21"/>
                <w:szCs w:val="21"/>
                <w:lang w:eastAsia="zh-CN"/>
              </w:rPr>
            </w:pPr>
            <w:r>
              <w:rPr>
                <w:rFonts w:hint="eastAsia" w:ascii="宋体" w:hAnsi="宋体" w:cs="宋体"/>
                <w:b/>
                <w:bCs/>
                <w:sz w:val="21"/>
                <w:szCs w:val="21"/>
                <w:vertAlign w:val="baseline"/>
                <w:lang w:eastAsia="zh-CN"/>
              </w:rPr>
              <w:t>权利性质</w:t>
            </w:r>
          </w:p>
        </w:tc>
        <w:tc>
          <w:tcPr>
            <w:tcW w:w="16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划拨/动迁房</w:t>
            </w:r>
          </w:p>
        </w:tc>
        <w:tc>
          <w:tcPr>
            <w:tcW w:w="230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sz w:val="21"/>
                <w:szCs w:val="21"/>
                <w:vertAlign w:val="baseline"/>
                <w:lang w:eastAsia="zh-CN"/>
              </w:rPr>
            </w:pPr>
            <w:r>
              <w:rPr>
                <w:rFonts w:hint="eastAsia" w:ascii="宋体" w:hAnsi="宋体" w:cs="宋体"/>
                <w:b/>
                <w:bCs/>
                <w:sz w:val="21"/>
                <w:szCs w:val="21"/>
                <w:lang w:eastAsia="zh-CN"/>
              </w:rPr>
              <w:t>建筑结构</w:t>
            </w:r>
          </w:p>
        </w:tc>
        <w:tc>
          <w:tcPr>
            <w:tcW w:w="183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val="en-US" w:eastAsia="zh-CN"/>
              </w:rPr>
              <w:t>钢混</w:t>
            </w:r>
            <w:r>
              <w:rPr>
                <w:rFonts w:hint="eastAsia" w:ascii="宋体" w:hAnsi="宋体" w:cs="宋体"/>
                <w:sz w:val="21"/>
                <w:szCs w:val="21"/>
                <w:vertAlign w:val="baseline"/>
                <w:lang w:eastAsia="zh-CN"/>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49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sz w:val="21"/>
                <w:szCs w:val="21"/>
                <w:vertAlign w:val="baseline"/>
              </w:rPr>
            </w:pPr>
          </w:p>
        </w:tc>
        <w:tc>
          <w:tcPr>
            <w:tcW w:w="198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sz w:val="21"/>
                <w:szCs w:val="21"/>
                <w:vertAlign w:val="baseline"/>
                <w:lang w:eastAsia="zh-CN"/>
              </w:rPr>
            </w:pPr>
            <w:r>
              <w:rPr>
                <w:rFonts w:hint="eastAsia" w:ascii="宋体" w:hAnsi="宋体" w:cs="宋体"/>
                <w:b/>
                <w:bCs/>
                <w:spacing w:val="-5"/>
                <w:sz w:val="21"/>
                <w:szCs w:val="21"/>
                <w:lang w:eastAsia="zh-CN"/>
              </w:rPr>
              <w:t>共用宗地面积</w:t>
            </w:r>
          </w:p>
        </w:tc>
        <w:tc>
          <w:tcPr>
            <w:tcW w:w="16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35591.91</w:t>
            </w:r>
            <w:r>
              <w:rPr>
                <w:rFonts w:hint="eastAsia" w:ascii="宋体" w:hAnsi="宋体" w:cs="宋体"/>
                <w:color w:val="auto"/>
                <w:sz w:val="21"/>
                <w:szCs w:val="21"/>
                <w:vertAlign w:val="baseline"/>
                <w:lang w:val="en-US" w:eastAsia="zh-CN"/>
              </w:rPr>
              <w:t>m</w:t>
            </w:r>
            <w:r>
              <w:rPr>
                <w:rFonts w:hint="eastAsia" w:ascii="宋体" w:hAnsi="宋体" w:cs="宋体"/>
                <w:color w:val="auto"/>
                <w:sz w:val="21"/>
                <w:szCs w:val="21"/>
                <w:vertAlign w:val="superscript"/>
                <w:lang w:val="en-US" w:eastAsia="zh-CN"/>
              </w:rPr>
              <w:t>2</w:t>
            </w:r>
          </w:p>
        </w:tc>
        <w:tc>
          <w:tcPr>
            <w:tcW w:w="230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宋体" w:hAnsi="宋体" w:cs="宋体"/>
                <w:b/>
                <w:bCs/>
                <w:sz w:val="21"/>
                <w:szCs w:val="21"/>
                <w:lang w:val="en-US" w:eastAsia="zh-CN"/>
              </w:rPr>
            </w:pPr>
            <w:r>
              <w:rPr>
                <w:rFonts w:hint="eastAsia" w:ascii="宋体" w:hAnsi="宋体" w:cs="宋体"/>
                <w:b/>
                <w:bCs/>
                <w:sz w:val="21"/>
                <w:szCs w:val="21"/>
                <w:lang w:eastAsia="zh-CN"/>
              </w:rPr>
              <w:t>所处楼层</w:t>
            </w:r>
            <w:r>
              <w:rPr>
                <w:rFonts w:hint="eastAsia" w:ascii="宋体" w:hAnsi="宋体" w:cs="宋体"/>
                <w:b/>
                <w:bCs/>
                <w:sz w:val="21"/>
                <w:szCs w:val="21"/>
                <w:lang w:val="en-US" w:eastAsia="zh-CN"/>
              </w:rPr>
              <w:t>/总层数</w:t>
            </w:r>
          </w:p>
        </w:tc>
        <w:tc>
          <w:tcPr>
            <w:tcW w:w="183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住宅28/31</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车位-2/33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49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sz w:val="21"/>
                <w:szCs w:val="21"/>
                <w:vertAlign w:val="baseline"/>
              </w:rPr>
            </w:pPr>
          </w:p>
        </w:tc>
        <w:tc>
          <w:tcPr>
            <w:tcW w:w="198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sz w:val="21"/>
                <w:szCs w:val="21"/>
                <w:lang w:eastAsia="zh-CN"/>
              </w:rPr>
            </w:pPr>
            <w:r>
              <w:rPr>
                <w:rFonts w:hint="eastAsia" w:ascii="宋体" w:hAnsi="宋体" w:cs="宋体"/>
                <w:b/>
                <w:bCs/>
                <w:sz w:val="21"/>
                <w:szCs w:val="21"/>
                <w:lang w:eastAsia="zh-CN"/>
              </w:rPr>
              <w:t>建成时间</w:t>
            </w:r>
          </w:p>
        </w:tc>
        <w:tc>
          <w:tcPr>
            <w:tcW w:w="16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sz w:val="21"/>
                <w:szCs w:val="21"/>
                <w:vertAlign w:val="baseline"/>
                <w:lang w:val="en-US" w:eastAsia="zh-CN"/>
              </w:rPr>
            </w:pPr>
            <w:r>
              <w:rPr>
                <w:rFonts w:hint="eastAsia" w:ascii="宋体" w:hAnsi="宋体" w:cs="宋体"/>
                <w:color w:val="000000"/>
                <w:sz w:val="21"/>
                <w:szCs w:val="21"/>
                <w:lang w:val="en-US" w:eastAsia="zh-CN"/>
              </w:rPr>
              <w:t>2020</w:t>
            </w:r>
            <w:r>
              <w:rPr>
                <w:rFonts w:hint="eastAsia" w:ascii="宋体" w:hAnsi="宋体" w:eastAsia="宋体" w:cs="宋体"/>
                <w:color w:val="000000"/>
                <w:sz w:val="21"/>
                <w:szCs w:val="21"/>
                <w:lang w:val="en-US" w:eastAsia="zh-CN"/>
              </w:rPr>
              <w:t>年</w:t>
            </w:r>
          </w:p>
        </w:tc>
        <w:tc>
          <w:tcPr>
            <w:tcW w:w="230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sz w:val="21"/>
                <w:szCs w:val="21"/>
                <w:lang w:eastAsia="zh-CN"/>
              </w:rPr>
            </w:pPr>
            <w:r>
              <w:rPr>
                <w:rFonts w:hint="eastAsia" w:ascii="宋体" w:hAnsi="宋体" w:cs="宋体"/>
                <w:b/>
                <w:bCs/>
                <w:sz w:val="21"/>
                <w:szCs w:val="21"/>
                <w:lang w:eastAsia="zh-CN"/>
              </w:rPr>
              <w:t>租赁情况</w:t>
            </w:r>
          </w:p>
        </w:tc>
        <w:tc>
          <w:tcPr>
            <w:tcW w:w="183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sz w:val="21"/>
                <w:szCs w:val="21"/>
                <w:vertAlign w:val="baseline"/>
                <w:lang w:val="en-US" w:eastAsia="zh-CN"/>
              </w:rPr>
            </w:pPr>
            <w:r>
              <w:rPr>
                <w:rFonts w:hint="eastAsia" w:ascii="宋体" w:hAnsi="宋体" w:cs="宋体"/>
                <w:color w:val="auto"/>
                <w:szCs w:val="21"/>
              </w:rPr>
              <w:t>无租赁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49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sz w:val="21"/>
                <w:szCs w:val="21"/>
                <w:vertAlign w:val="baseline"/>
              </w:rPr>
            </w:pPr>
          </w:p>
        </w:tc>
        <w:tc>
          <w:tcPr>
            <w:tcW w:w="198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color w:val="auto"/>
                <w:kern w:val="2"/>
                <w:sz w:val="21"/>
                <w:szCs w:val="21"/>
                <w:vertAlign w:val="baseline"/>
                <w:lang w:val="en-US" w:eastAsia="zh-CN" w:bidi="ar-SA"/>
              </w:rPr>
            </w:pPr>
            <w:r>
              <w:rPr>
                <w:rFonts w:hint="eastAsia" w:ascii="宋体" w:hAnsi="宋体" w:cs="宋体"/>
                <w:b/>
                <w:bCs/>
                <w:color w:val="auto"/>
                <w:sz w:val="21"/>
                <w:szCs w:val="21"/>
                <w:lang w:val="en-US" w:eastAsia="zh-CN"/>
              </w:rPr>
              <w:t>住宅</w:t>
            </w:r>
            <w:r>
              <w:rPr>
                <w:rFonts w:hint="eastAsia" w:ascii="宋体" w:hAnsi="宋体" w:cs="宋体"/>
                <w:b/>
                <w:bCs/>
                <w:color w:val="auto"/>
                <w:sz w:val="21"/>
                <w:szCs w:val="21"/>
                <w:lang w:eastAsia="zh-CN"/>
              </w:rPr>
              <w:t>建筑面积</w:t>
            </w:r>
          </w:p>
        </w:tc>
        <w:tc>
          <w:tcPr>
            <w:tcW w:w="16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color w:val="auto"/>
                <w:kern w:val="2"/>
                <w:sz w:val="21"/>
                <w:szCs w:val="21"/>
                <w:vertAlign w:val="baseline"/>
                <w:lang w:val="en-US" w:eastAsia="zh-CN" w:bidi="ar-SA"/>
              </w:rPr>
            </w:pPr>
            <w:r>
              <w:rPr>
                <w:rFonts w:hint="eastAsia" w:ascii="宋体" w:hAnsi="宋体" w:cs="宋体"/>
                <w:color w:val="auto"/>
                <w:sz w:val="21"/>
                <w:szCs w:val="21"/>
                <w:vertAlign w:val="baseline"/>
                <w:lang w:val="en-US" w:eastAsia="zh-CN"/>
              </w:rPr>
              <w:t>106.49m</w:t>
            </w:r>
            <w:r>
              <w:rPr>
                <w:rFonts w:hint="eastAsia" w:ascii="宋体" w:hAnsi="宋体" w:cs="宋体"/>
                <w:color w:val="auto"/>
                <w:sz w:val="21"/>
                <w:szCs w:val="21"/>
                <w:vertAlign w:val="superscript"/>
                <w:lang w:val="en-US" w:eastAsia="zh-CN"/>
              </w:rPr>
              <w:t>2</w:t>
            </w:r>
          </w:p>
        </w:tc>
        <w:tc>
          <w:tcPr>
            <w:tcW w:w="230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sz w:val="21"/>
                <w:szCs w:val="21"/>
                <w:lang w:eastAsia="zh-CN"/>
              </w:rPr>
            </w:pPr>
            <w:r>
              <w:rPr>
                <w:rFonts w:hint="eastAsia" w:ascii="宋体" w:hAnsi="宋体" w:cs="宋体"/>
                <w:b/>
                <w:bCs/>
                <w:color w:val="auto"/>
                <w:sz w:val="21"/>
                <w:szCs w:val="21"/>
                <w:lang w:val="en-US" w:eastAsia="zh-CN"/>
              </w:rPr>
              <w:t>其中分摊</w:t>
            </w:r>
            <w:r>
              <w:rPr>
                <w:rFonts w:hint="eastAsia" w:ascii="宋体" w:hAnsi="宋体" w:cs="宋体"/>
                <w:b/>
                <w:bCs/>
                <w:color w:val="auto"/>
                <w:sz w:val="21"/>
                <w:szCs w:val="21"/>
                <w:lang w:eastAsia="zh-CN"/>
              </w:rPr>
              <w:t>面积</w:t>
            </w:r>
          </w:p>
        </w:tc>
        <w:tc>
          <w:tcPr>
            <w:tcW w:w="183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49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sz w:val="21"/>
                <w:szCs w:val="21"/>
                <w:vertAlign w:val="baseline"/>
              </w:rPr>
            </w:pPr>
          </w:p>
        </w:tc>
        <w:tc>
          <w:tcPr>
            <w:tcW w:w="198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color w:val="auto"/>
                <w:sz w:val="21"/>
                <w:szCs w:val="21"/>
                <w:lang w:val="en-US" w:eastAsia="zh-CN"/>
              </w:rPr>
            </w:pPr>
            <w:r>
              <w:rPr>
                <w:rFonts w:hint="eastAsia" w:ascii="宋体" w:hAnsi="宋体" w:cs="宋体"/>
                <w:b/>
                <w:bCs/>
                <w:color w:val="auto"/>
                <w:sz w:val="21"/>
                <w:szCs w:val="21"/>
                <w:lang w:val="en-US" w:eastAsia="zh-CN"/>
              </w:rPr>
              <w:t>车位</w:t>
            </w:r>
            <w:r>
              <w:rPr>
                <w:rFonts w:hint="eastAsia" w:ascii="宋体" w:hAnsi="宋体" w:cs="宋体"/>
                <w:b/>
                <w:bCs/>
                <w:color w:val="auto"/>
                <w:sz w:val="21"/>
                <w:szCs w:val="21"/>
                <w:lang w:eastAsia="zh-CN"/>
              </w:rPr>
              <w:t>建筑面积</w:t>
            </w:r>
          </w:p>
        </w:tc>
        <w:tc>
          <w:tcPr>
            <w:tcW w:w="16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44.15m</w:t>
            </w:r>
            <w:r>
              <w:rPr>
                <w:rFonts w:hint="eastAsia" w:ascii="宋体" w:hAnsi="宋体" w:cs="宋体"/>
                <w:color w:val="auto"/>
                <w:sz w:val="21"/>
                <w:szCs w:val="21"/>
                <w:vertAlign w:val="superscript"/>
                <w:lang w:val="en-US" w:eastAsia="zh-CN"/>
              </w:rPr>
              <w:t>2</w:t>
            </w:r>
          </w:p>
        </w:tc>
        <w:tc>
          <w:tcPr>
            <w:tcW w:w="230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color w:val="auto"/>
                <w:sz w:val="21"/>
                <w:szCs w:val="21"/>
                <w:lang w:val="en-US" w:eastAsia="zh-CN"/>
              </w:rPr>
            </w:pPr>
            <w:r>
              <w:rPr>
                <w:rFonts w:hint="eastAsia" w:ascii="宋体" w:hAnsi="宋体" w:cs="宋体"/>
                <w:b/>
                <w:bCs/>
                <w:color w:val="auto"/>
                <w:sz w:val="21"/>
                <w:szCs w:val="21"/>
                <w:lang w:val="en-US" w:eastAsia="zh-CN"/>
              </w:rPr>
              <w:t>其中分摊</w:t>
            </w:r>
            <w:r>
              <w:rPr>
                <w:rFonts w:hint="eastAsia" w:ascii="宋体" w:hAnsi="宋体" w:cs="宋体"/>
                <w:b/>
                <w:bCs/>
                <w:color w:val="auto"/>
                <w:sz w:val="21"/>
                <w:szCs w:val="21"/>
                <w:lang w:eastAsia="zh-CN"/>
              </w:rPr>
              <w:t>面积</w:t>
            </w:r>
          </w:p>
        </w:tc>
        <w:tc>
          <w:tcPr>
            <w:tcW w:w="183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30.40</w:t>
            </w:r>
            <w:r>
              <w:rPr>
                <w:rFonts w:hint="eastAsia" w:ascii="宋体" w:hAnsi="宋体" w:cs="宋体"/>
                <w:color w:val="auto"/>
                <w:sz w:val="21"/>
                <w:szCs w:val="21"/>
                <w:vertAlign w:val="baseline"/>
                <w:lang w:val="en-US" w:eastAsia="zh-CN"/>
              </w:rPr>
              <w:t>m</w:t>
            </w:r>
            <w:r>
              <w:rPr>
                <w:rFonts w:hint="eastAsia" w:ascii="宋体" w:hAnsi="宋体" w:cs="宋体"/>
                <w:color w:val="auto"/>
                <w:sz w:val="21"/>
                <w:szCs w:val="21"/>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49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
                <w:bCs/>
                <w:sz w:val="21"/>
                <w:szCs w:val="21"/>
                <w:lang w:eastAsia="zh-CN"/>
              </w:rPr>
            </w:pPr>
            <w:r>
              <w:rPr>
                <w:rFonts w:hint="eastAsia" w:ascii="宋体" w:hAnsi="宋体" w:cs="宋体"/>
                <w:b/>
                <w:bCs/>
                <w:szCs w:val="21"/>
              </w:rPr>
              <w:t>估价结果</w:t>
            </w:r>
          </w:p>
        </w:tc>
        <w:tc>
          <w:tcPr>
            <w:tcW w:w="198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sz w:val="21"/>
                <w:szCs w:val="21"/>
                <w:lang w:eastAsia="zh-CN"/>
              </w:rPr>
            </w:pPr>
            <w:r>
              <w:rPr>
                <w:rFonts w:hint="eastAsia" w:ascii="宋体" w:hAnsi="宋体" w:cs="宋体"/>
                <w:b/>
                <w:bCs/>
                <w:sz w:val="21"/>
                <w:szCs w:val="21"/>
                <w:lang w:val="en-US" w:eastAsia="zh-CN"/>
              </w:rPr>
              <w:t>评估价值</w:t>
            </w:r>
          </w:p>
        </w:tc>
        <w:tc>
          <w:tcPr>
            <w:tcW w:w="16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vertAlign w:val="baseline"/>
                <w:lang w:eastAsia="zh-CN"/>
              </w:rPr>
            </w:pPr>
            <w:r>
              <w:rPr>
                <w:rFonts w:hint="eastAsia" w:ascii="宋体" w:hAnsi="宋体" w:cs="宋体"/>
                <w:b/>
                <w:bCs/>
                <w:color w:val="auto"/>
                <w:sz w:val="21"/>
                <w:szCs w:val="21"/>
                <w:vertAlign w:val="baseline"/>
                <w:lang w:eastAsia="zh-CN"/>
              </w:rPr>
              <w:t>单价</w:t>
            </w:r>
          </w:p>
        </w:tc>
        <w:tc>
          <w:tcPr>
            <w:tcW w:w="4143"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sz w:val="21"/>
                <w:szCs w:val="21"/>
                <w:vertAlign w:val="baseline"/>
                <w:lang w:val="en-US" w:eastAsia="zh-CN"/>
              </w:rPr>
            </w:pPr>
            <w:r>
              <w:rPr>
                <w:rFonts w:hint="eastAsia" w:ascii="宋体" w:hAnsi="宋体" w:cs="宋体"/>
                <w:sz w:val="21"/>
                <w:szCs w:val="21"/>
                <w:lang w:val="en-US" w:eastAsia="zh-CN"/>
              </w:rPr>
              <w:t>住宅10682</w:t>
            </w:r>
            <w:r>
              <w:rPr>
                <w:rFonts w:hint="eastAsia" w:ascii="宋体" w:hAnsi="宋体" w:cs="宋体"/>
                <w:sz w:val="21"/>
                <w:szCs w:val="21"/>
              </w:rPr>
              <w:t>元/m</w:t>
            </w:r>
            <w:r>
              <w:rPr>
                <w:rFonts w:hint="eastAsia" w:ascii="宋体" w:hAnsi="宋体" w:cs="宋体"/>
                <w:sz w:val="21"/>
                <w:szCs w:val="21"/>
                <w:vertAlign w:val="superscript"/>
              </w:rPr>
              <w:t>2</w:t>
            </w:r>
            <w:r>
              <w:rPr>
                <w:rFonts w:hint="eastAsia" w:ascii="宋体" w:hAnsi="宋体" w:cs="宋体"/>
                <w:sz w:val="21"/>
                <w:szCs w:val="21"/>
                <w:vertAlign w:val="superscript"/>
                <w:lang w:val="en-US" w:eastAsia="zh-CN"/>
              </w:rPr>
              <w:t xml:space="preserve"> </w:t>
            </w:r>
            <w:r>
              <w:rPr>
                <w:rFonts w:hint="eastAsia" w:ascii="宋体" w:hAnsi="宋体" w:cs="宋体"/>
                <w:sz w:val="21"/>
                <w:szCs w:val="21"/>
                <w:lang w:val="en-US" w:eastAsia="zh-CN"/>
              </w:rPr>
              <w:t>，车位14万</w:t>
            </w:r>
            <w:r>
              <w:rPr>
                <w:rFonts w:hint="eastAsia" w:ascii="宋体" w:hAnsi="宋体" w:cs="宋体"/>
                <w:sz w:val="21"/>
                <w:szCs w:val="21"/>
              </w:rPr>
              <w:t>元/</w:t>
            </w:r>
            <w:r>
              <w:rPr>
                <w:rFonts w:hint="eastAsia" w:ascii="宋体" w:hAnsi="宋体" w:cs="宋体"/>
                <w:sz w:val="21"/>
                <w:szCs w:val="21"/>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49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
                <w:bCs/>
                <w:sz w:val="21"/>
                <w:szCs w:val="21"/>
                <w:lang w:eastAsia="zh-CN"/>
              </w:rPr>
            </w:pPr>
          </w:p>
        </w:tc>
        <w:tc>
          <w:tcPr>
            <w:tcW w:w="19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sz w:val="21"/>
                <w:szCs w:val="21"/>
                <w:lang w:eastAsia="zh-CN"/>
              </w:rPr>
            </w:pPr>
          </w:p>
        </w:tc>
        <w:tc>
          <w:tcPr>
            <w:tcW w:w="16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vertAlign w:val="baseline"/>
                <w:lang w:eastAsia="zh-CN"/>
              </w:rPr>
            </w:pPr>
            <w:r>
              <w:rPr>
                <w:rFonts w:hint="eastAsia" w:ascii="宋体" w:hAnsi="宋体" w:eastAsia="宋体" w:cs="宋体"/>
                <w:b/>
                <w:bCs/>
                <w:sz w:val="21"/>
                <w:szCs w:val="21"/>
                <w:vertAlign w:val="baseline"/>
                <w:lang w:eastAsia="zh-CN"/>
              </w:rPr>
              <w:t>总价</w:t>
            </w:r>
          </w:p>
        </w:tc>
        <w:tc>
          <w:tcPr>
            <w:tcW w:w="414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cs="宋体"/>
                <w:color w:val="000000"/>
                <w:sz w:val="21"/>
                <w:szCs w:val="21"/>
                <w:vertAlign w:val="baseline"/>
                <w:lang w:val="en-US" w:eastAsia="zh-CN"/>
              </w:rPr>
            </w:pPr>
            <w:r>
              <w:rPr>
                <w:rFonts w:hint="eastAsia" w:ascii="宋体" w:hAnsi="宋体" w:cs="宋体"/>
                <w:color w:val="000000"/>
                <w:sz w:val="21"/>
                <w:szCs w:val="21"/>
                <w:vertAlign w:val="baseline"/>
                <w:lang w:val="en-US" w:eastAsia="zh-CN"/>
              </w:rPr>
              <w:t>住宅113.75万元、车位14万元/个</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cs="宋体"/>
                <w:sz w:val="21"/>
                <w:szCs w:val="21"/>
                <w:vertAlign w:val="baseline"/>
                <w:lang w:val="en-US" w:eastAsia="zh-CN"/>
              </w:rPr>
            </w:pPr>
            <w:r>
              <w:rPr>
                <w:rFonts w:hint="eastAsia" w:ascii="宋体" w:hAnsi="宋体" w:cs="宋体"/>
                <w:sz w:val="21"/>
                <w:szCs w:val="21"/>
                <w:lang w:val="en-US" w:eastAsia="zh-CN"/>
              </w:rPr>
              <w:t>合计</w:t>
            </w:r>
            <w:r>
              <w:rPr>
                <w:rFonts w:hint="eastAsia" w:ascii="宋体" w:hAnsi="宋体" w:cs="宋体"/>
                <w:color w:val="000000"/>
                <w:sz w:val="21"/>
                <w:szCs w:val="21"/>
                <w:vertAlign w:val="baseline"/>
                <w:lang w:val="en-US" w:eastAsia="zh-CN"/>
              </w:rPr>
              <w:t>127.75万</w:t>
            </w:r>
            <w:r>
              <w:rPr>
                <w:rFonts w:hint="eastAsia" w:ascii="宋体" w:hAnsi="宋体" w:cs="宋体"/>
                <w:sz w:val="21"/>
                <w:szCs w:val="21"/>
              </w:rPr>
              <w:t>元（</w:t>
            </w:r>
            <w:r>
              <w:rPr>
                <w:rFonts w:hint="eastAsia" w:ascii="宋体" w:hAnsi="宋体" w:cs="宋体"/>
                <w:sz w:val="21"/>
                <w:szCs w:val="21"/>
                <w:lang w:eastAsia="zh-CN"/>
              </w:rPr>
              <w:t>人民币壹佰贰拾柒万柒仟伍佰元整</w:t>
            </w:r>
            <w:r>
              <w:rPr>
                <w:rFonts w:hint="eastAsia"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49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
                <w:bCs/>
                <w:sz w:val="21"/>
                <w:szCs w:val="21"/>
                <w:lang w:eastAsia="zh-CN"/>
              </w:rPr>
            </w:pPr>
          </w:p>
        </w:tc>
        <w:tc>
          <w:tcPr>
            <w:tcW w:w="198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宋体" w:hAnsi="宋体" w:eastAsia="宋体" w:cs="宋体"/>
                <w:b/>
                <w:bCs/>
                <w:sz w:val="21"/>
                <w:szCs w:val="21"/>
                <w:lang w:val="en-US" w:eastAsia="zh-CN"/>
              </w:rPr>
            </w:pPr>
            <w:r>
              <w:rPr>
                <w:rFonts w:hint="eastAsia" w:ascii="宋体" w:hAnsi="宋体" w:eastAsia="宋体" w:cs="宋体"/>
                <w:b/>
                <w:bCs/>
                <w:spacing w:val="-6"/>
                <w:sz w:val="21"/>
                <w:szCs w:val="21"/>
              </w:rPr>
              <w:t>原房屋所有权人应承担的各项税费</w:t>
            </w:r>
            <w:r>
              <w:rPr>
                <w:rFonts w:hint="eastAsia" w:ascii="宋体" w:hAnsi="宋体" w:cs="宋体"/>
                <w:b/>
                <w:bCs/>
                <w:spacing w:val="-6"/>
                <w:sz w:val="21"/>
                <w:szCs w:val="21"/>
                <w:lang w:val="en-US" w:eastAsia="zh-CN"/>
              </w:rPr>
              <w:t>及土地出让金</w:t>
            </w:r>
            <w:bookmarkStart w:id="16" w:name="_GoBack"/>
            <w:bookmarkEnd w:id="16"/>
          </w:p>
        </w:tc>
        <w:tc>
          <w:tcPr>
            <w:tcW w:w="16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color w:val="auto"/>
                <w:sz w:val="21"/>
                <w:szCs w:val="21"/>
                <w:vertAlign w:val="baseline"/>
                <w:lang w:eastAsia="zh-CN"/>
              </w:rPr>
            </w:pPr>
            <w:r>
              <w:rPr>
                <w:rFonts w:hint="eastAsia" w:ascii="宋体" w:hAnsi="宋体" w:cs="宋体"/>
                <w:b/>
                <w:bCs/>
                <w:color w:val="auto"/>
                <w:sz w:val="21"/>
                <w:szCs w:val="21"/>
                <w:vertAlign w:val="baseline"/>
                <w:lang w:eastAsia="zh-CN"/>
              </w:rPr>
              <w:t>合计</w:t>
            </w:r>
          </w:p>
        </w:tc>
        <w:tc>
          <w:tcPr>
            <w:tcW w:w="414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宋体" w:hAnsi="宋体" w:cs="宋体"/>
                <w:color w:val="auto"/>
                <w:sz w:val="21"/>
                <w:szCs w:val="21"/>
                <w:vertAlign w:val="baseline"/>
                <w:lang w:val="en-US" w:eastAsia="zh-CN"/>
              </w:rPr>
            </w:pPr>
            <w:r>
              <w:rPr>
                <w:rFonts w:hint="eastAsia" w:ascii="宋体" w:hAnsi="宋体" w:cs="宋体"/>
                <w:sz w:val="21"/>
                <w:szCs w:val="21"/>
                <w:lang w:val="en-US" w:eastAsia="zh-CN"/>
              </w:rPr>
              <w:t>19.75</w:t>
            </w:r>
            <w:r>
              <w:rPr>
                <w:rFonts w:hint="eastAsia" w:ascii="宋体" w:hAnsi="宋体" w:cs="宋体"/>
                <w:sz w:val="21"/>
                <w:szCs w:val="21"/>
              </w:rPr>
              <w:t>万元（</w:t>
            </w:r>
            <w:r>
              <w:rPr>
                <w:rFonts w:hint="eastAsia" w:ascii="宋体" w:hAnsi="宋体" w:cs="宋体"/>
                <w:sz w:val="21"/>
                <w:szCs w:val="21"/>
                <w:lang w:eastAsia="zh-CN"/>
              </w:rPr>
              <w:t>人民币壹拾玖万柒仟伍佰元整</w:t>
            </w:r>
            <w:r>
              <w:rPr>
                <w:rFonts w:hint="eastAsia"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49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
                <w:bCs/>
                <w:sz w:val="21"/>
                <w:szCs w:val="21"/>
                <w:lang w:eastAsia="zh-CN"/>
              </w:rPr>
            </w:pPr>
          </w:p>
        </w:tc>
        <w:tc>
          <w:tcPr>
            <w:tcW w:w="198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cs="宋体"/>
                <w:b/>
                <w:bCs/>
                <w:sz w:val="21"/>
                <w:szCs w:val="21"/>
                <w:lang w:eastAsia="zh-CN"/>
              </w:rPr>
            </w:pPr>
            <w:r>
              <w:rPr>
                <w:rFonts w:hint="eastAsia" w:ascii="宋体" w:hAnsi="宋体" w:cs="宋体"/>
                <w:b/>
                <w:bCs/>
                <w:sz w:val="21"/>
                <w:szCs w:val="21"/>
                <w:lang w:eastAsia="zh-CN"/>
              </w:rPr>
              <w:t>处置参考价值</w:t>
            </w:r>
          </w:p>
        </w:tc>
        <w:tc>
          <w:tcPr>
            <w:tcW w:w="16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vertAlign w:val="baseline"/>
                <w:lang w:eastAsia="zh-CN"/>
              </w:rPr>
            </w:pPr>
            <w:r>
              <w:rPr>
                <w:rFonts w:hint="eastAsia" w:ascii="宋体" w:hAnsi="宋体" w:cs="宋体"/>
                <w:b/>
                <w:bCs/>
                <w:color w:val="auto"/>
                <w:sz w:val="21"/>
                <w:szCs w:val="21"/>
                <w:vertAlign w:val="baseline"/>
                <w:lang w:eastAsia="zh-CN"/>
              </w:rPr>
              <w:t>处置单价</w:t>
            </w:r>
          </w:p>
        </w:tc>
        <w:tc>
          <w:tcPr>
            <w:tcW w:w="4143"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cs="宋体"/>
                <w:sz w:val="21"/>
                <w:szCs w:val="21"/>
                <w:vertAlign w:val="baseline"/>
                <w:lang w:val="en-US" w:eastAsia="zh-CN"/>
              </w:rPr>
            </w:pPr>
            <w:r>
              <w:rPr>
                <w:rFonts w:hint="eastAsia" w:ascii="宋体" w:hAnsi="宋体" w:cs="宋体"/>
                <w:sz w:val="21"/>
                <w:szCs w:val="21"/>
                <w:lang w:val="en-US" w:eastAsia="zh-CN"/>
              </w:rPr>
              <w:t>住宅9139</w:t>
            </w:r>
            <w:r>
              <w:rPr>
                <w:rFonts w:hint="eastAsia" w:ascii="宋体" w:hAnsi="宋体" w:cs="宋体"/>
                <w:sz w:val="21"/>
                <w:szCs w:val="21"/>
              </w:rPr>
              <w:t>元/m</w:t>
            </w:r>
            <w:r>
              <w:rPr>
                <w:rFonts w:hint="eastAsia" w:ascii="宋体" w:hAnsi="宋体" w:cs="宋体"/>
                <w:sz w:val="21"/>
                <w:szCs w:val="21"/>
                <w:vertAlign w:val="superscript"/>
              </w:rPr>
              <w:t>2</w:t>
            </w:r>
            <w:r>
              <w:rPr>
                <w:rFonts w:hint="eastAsia" w:ascii="宋体" w:hAnsi="宋体" w:cs="宋体"/>
                <w:sz w:val="21"/>
                <w:szCs w:val="21"/>
                <w:vertAlign w:val="superscript"/>
                <w:lang w:val="en-US" w:eastAsia="zh-CN"/>
              </w:rPr>
              <w:t xml:space="preserve"> </w:t>
            </w:r>
            <w:r>
              <w:rPr>
                <w:rFonts w:hint="eastAsia" w:ascii="宋体" w:hAnsi="宋体" w:cs="宋体"/>
                <w:sz w:val="21"/>
                <w:szCs w:val="21"/>
                <w:lang w:val="en-US" w:eastAsia="zh-CN"/>
              </w:rPr>
              <w:t>，车位10.68万</w:t>
            </w:r>
            <w:r>
              <w:rPr>
                <w:rFonts w:hint="eastAsia" w:ascii="宋体" w:hAnsi="宋体" w:cs="宋体"/>
                <w:sz w:val="21"/>
                <w:szCs w:val="21"/>
              </w:rPr>
              <w:t>元/</w:t>
            </w:r>
            <w:r>
              <w:rPr>
                <w:rFonts w:hint="eastAsia" w:ascii="宋体" w:hAnsi="宋体" w:cs="宋体"/>
                <w:sz w:val="21"/>
                <w:szCs w:val="21"/>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49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
                <w:bCs/>
                <w:sz w:val="21"/>
                <w:szCs w:val="21"/>
                <w:lang w:eastAsia="zh-CN"/>
              </w:rPr>
            </w:pPr>
          </w:p>
        </w:tc>
        <w:tc>
          <w:tcPr>
            <w:tcW w:w="1982"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cs="宋体"/>
                <w:b/>
                <w:bCs/>
                <w:sz w:val="21"/>
                <w:szCs w:val="21"/>
                <w:lang w:eastAsia="zh-CN"/>
              </w:rPr>
            </w:pPr>
          </w:p>
        </w:tc>
        <w:tc>
          <w:tcPr>
            <w:tcW w:w="16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vertAlign w:val="baseline"/>
                <w:lang w:eastAsia="zh-CN"/>
              </w:rPr>
            </w:pPr>
            <w:r>
              <w:rPr>
                <w:rFonts w:hint="eastAsia" w:ascii="宋体" w:hAnsi="宋体" w:cs="宋体"/>
                <w:b/>
                <w:bCs/>
                <w:color w:val="auto"/>
                <w:sz w:val="21"/>
                <w:szCs w:val="21"/>
                <w:vertAlign w:val="baseline"/>
                <w:lang w:eastAsia="zh-CN"/>
              </w:rPr>
              <w:t>处置净值</w:t>
            </w:r>
          </w:p>
        </w:tc>
        <w:tc>
          <w:tcPr>
            <w:tcW w:w="414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cs="宋体"/>
                <w:color w:val="000000"/>
                <w:sz w:val="21"/>
                <w:szCs w:val="21"/>
                <w:vertAlign w:val="baseline"/>
                <w:lang w:val="en-US" w:eastAsia="zh-CN"/>
              </w:rPr>
            </w:pPr>
            <w:r>
              <w:rPr>
                <w:rFonts w:hint="eastAsia" w:ascii="宋体" w:hAnsi="宋体" w:cs="宋体"/>
                <w:color w:val="000000"/>
                <w:sz w:val="21"/>
                <w:szCs w:val="21"/>
                <w:vertAlign w:val="baseline"/>
                <w:lang w:val="en-US" w:eastAsia="zh-CN"/>
              </w:rPr>
              <w:t>住宅97.32万元、车位10.68万元/个，</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cs="宋体"/>
                <w:sz w:val="21"/>
                <w:szCs w:val="21"/>
                <w:vertAlign w:val="baseline"/>
                <w:lang w:val="en-US" w:eastAsia="zh-CN"/>
              </w:rPr>
            </w:pPr>
            <w:r>
              <w:rPr>
                <w:rFonts w:hint="eastAsia" w:ascii="宋体" w:hAnsi="宋体" w:cs="宋体"/>
                <w:sz w:val="21"/>
                <w:szCs w:val="21"/>
                <w:lang w:val="en-US" w:eastAsia="zh-CN"/>
              </w:rPr>
              <w:t>合计</w:t>
            </w:r>
            <w:r>
              <w:rPr>
                <w:rFonts w:hint="eastAsia" w:ascii="宋体" w:hAnsi="宋体" w:cs="宋体"/>
                <w:color w:val="000000"/>
                <w:sz w:val="21"/>
                <w:szCs w:val="21"/>
                <w:vertAlign w:val="baseline"/>
                <w:lang w:val="en-US" w:eastAsia="zh-CN"/>
              </w:rPr>
              <w:t>108.00万</w:t>
            </w:r>
            <w:r>
              <w:rPr>
                <w:rFonts w:hint="eastAsia" w:ascii="宋体" w:hAnsi="宋体" w:cs="宋体"/>
                <w:sz w:val="21"/>
                <w:szCs w:val="21"/>
              </w:rPr>
              <w:t>元（</w:t>
            </w:r>
            <w:r>
              <w:rPr>
                <w:rFonts w:hint="eastAsia" w:ascii="宋体" w:hAnsi="宋体" w:cs="宋体"/>
                <w:sz w:val="21"/>
                <w:szCs w:val="21"/>
                <w:lang w:eastAsia="zh-CN"/>
              </w:rPr>
              <w:t>人民币壹佰零捌万元整</w:t>
            </w:r>
            <w:r>
              <w:rPr>
                <w:rFonts w:hint="eastAsia"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4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
                <w:bCs/>
                <w:sz w:val="21"/>
                <w:szCs w:val="21"/>
                <w:lang w:eastAsia="zh-CN"/>
              </w:rPr>
            </w:pPr>
            <w:r>
              <w:rPr>
                <w:rFonts w:hint="eastAsia" w:ascii="宋体" w:hAnsi="宋体" w:cs="宋体"/>
                <w:b/>
                <w:bCs/>
                <w:color w:val="auto"/>
                <w:sz w:val="21"/>
                <w:szCs w:val="21"/>
                <w:lang w:eastAsia="zh-CN"/>
              </w:rPr>
              <w:t>特别事项说明</w:t>
            </w:r>
          </w:p>
        </w:tc>
        <w:tc>
          <w:tcPr>
            <w:tcW w:w="7789"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估价对象为拆迁安置房，产权登记凭证权利人为龙岩市安居住宅建设有限公司，至估价时点尚未转移登记至李水良名下。</w:t>
            </w:r>
          </w:p>
        </w:tc>
      </w:tr>
    </w:tbl>
    <w:p>
      <w:pPr>
        <w:spacing w:line="600" w:lineRule="auto"/>
        <w:jc w:val="center"/>
        <w:rPr>
          <w:rFonts w:hint="eastAsia" w:ascii="宋体" w:hAnsi="宋体" w:cs="宋体"/>
          <w:b/>
          <w:sz w:val="32"/>
          <w:szCs w:val="32"/>
        </w:rPr>
      </w:pPr>
      <w:r>
        <w:rPr>
          <w:rFonts w:hint="eastAsia" w:ascii="宋体" w:hAnsi="宋体" w:cs="宋体"/>
          <w:b/>
          <w:sz w:val="32"/>
          <w:szCs w:val="32"/>
        </w:rPr>
        <w:t>致估价委托人函</w:t>
      </w:r>
    </w:p>
    <w:p>
      <w:pPr>
        <w:spacing w:line="400" w:lineRule="exact"/>
        <w:rPr>
          <w:rFonts w:hint="eastAsia" w:ascii="宋体" w:hAnsi="宋体" w:cs="宋体"/>
          <w:b/>
          <w:sz w:val="28"/>
          <w:szCs w:val="28"/>
        </w:rPr>
      </w:pPr>
      <w:r>
        <w:rPr>
          <w:rFonts w:hint="eastAsia" w:ascii="宋体" w:hAnsi="宋体" w:cs="宋体"/>
          <w:b/>
          <w:sz w:val="28"/>
          <w:szCs w:val="28"/>
          <w:lang w:eastAsia="zh-CN"/>
        </w:rPr>
        <w:t>福建省龙岩市新罗区人民法院</w:t>
      </w:r>
      <w:r>
        <w:rPr>
          <w:rFonts w:hint="eastAsia" w:ascii="宋体" w:hAnsi="宋体" w:cs="宋体"/>
          <w:b/>
          <w:sz w:val="28"/>
          <w:szCs w:val="28"/>
        </w:rPr>
        <w:t>：</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cs="宋体"/>
          <w:sz w:val="24"/>
          <w:szCs w:val="24"/>
        </w:rPr>
      </w:pPr>
      <w:r>
        <w:rPr>
          <w:rFonts w:hint="eastAsia" w:ascii="宋体" w:hAnsi="宋体" w:cs="宋体"/>
          <w:sz w:val="24"/>
          <w:szCs w:val="24"/>
        </w:rPr>
        <w:t>受贵院委托，本估价机构委派注册房地产估价师</w:t>
      </w:r>
      <w:r>
        <w:rPr>
          <w:rFonts w:hint="eastAsia" w:ascii="宋体" w:hAnsi="宋体" w:cs="宋体"/>
          <w:sz w:val="24"/>
          <w:szCs w:val="24"/>
          <w:lang w:eastAsia="zh-CN"/>
        </w:rPr>
        <w:t>倪灵燕</w:t>
      </w:r>
      <w:r>
        <w:rPr>
          <w:rFonts w:hint="eastAsia" w:ascii="宋体" w:hAnsi="宋体" w:cs="宋体"/>
          <w:sz w:val="24"/>
          <w:szCs w:val="24"/>
        </w:rPr>
        <w:t>（注册号：</w:t>
      </w:r>
      <w:r>
        <w:rPr>
          <w:rFonts w:hint="eastAsia" w:ascii="宋体" w:hAnsi="宋体" w:cs="宋体"/>
          <w:sz w:val="24"/>
          <w:szCs w:val="24"/>
          <w:lang w:eastAsia="zh-CN"/>
        </w:rPr>
        <w:t>3520150012</w:t>
      </w:r>
      <w:r>
        <w:rPr>
          <w:rFonts w:hint="eastAsia" w:ascii="宋体" w:hAnsi="宋体" w:cs="宋体"/>
          <w:sz w:val="24"/>
          <w:szCs w:val="24"/>
        </w:rPr>
        <w:t>）、</w:t>
      </w:r>
      <w:r>
        <w:rPr>
          <w:rFonts w:hint="eastAsia" w:ascii="宋体" w:hAnsi="宋体" w:cs="宋体"/>
          <w:sz w:val="24"/>
          <w:szCs w:val="24"/>
          <w:lang w:eastAsia="zh-CN"/>
        </w:rPr>
        <w:t>韩新华</w:t>
      </w:r>
      <w:r>
        <w:rPr>
          <w:rFonts w:hint="eastAsia" w:ascii="宋体" w:hAnsi="宋体" w:cs="宋体"/>
          <w:sz w:val="24"/>
          <w:szCs w:val="24"/>
        </w:rPr>
        <w:t>（注册号：</w:t>
      </w:r>
      <w:r>
        <w:rPr>
          <w:rFonts w:hint="eastAsia" w:ascii="宋体" w:hAnsi="宋体" w:cs="宋体"/>
          <w:sz w:val="24"/>
          <w:szCs w:val="24"/>
          <w:lang w:eastAsia="zh-CN"/>
        </w:rPr>
        <w:t>3520120002</w:t>
      </w:r>
      <w:r>
        <w:rPr>
          <w:rFonts w:hint="eastAsia" w:ascii="宋体" w:hAnsi="宋体" w:cs="宋体"/>
          <w:sz w:val="24"/>
          <w:szCs w:val="24"/>
        </w:rPr>
        <w:t>）对估价对象进行了估价，有关内容报告如下：</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cs="宋体"/>
          <w:sz w:val="24"/>
          <w:szCs w:val="24"/>
        </w:rPr>
      </w:pPr>
      <w:r>
        <w:rPr>
          <w:rFonts w:hint="eastAsia" w:ascii="宋体" w:hAnsi="宋体" w:cs="宋体"/>
          <w:sz w:val="24"/>
          <w:szCs w:val="24"/>
        </w:rPr>
        <w:t>估价目的：</w:t>
      </w:r>
      <w:r>
        <w:rPr>
          <w:rFonts w:hint="eastAsia" w:ascii="宋体" w:hAnsi="宋体" w:cs="宋体"/>
          <w:sz w:val="24"/>
          <w:szCs w:val="24"/>
          <w:lang w:eastAsia="zh-CN"/>
        </w:rPr>
        <w:t>为人民法院确定财产处置参考价提供参考依据</w:t>
      </w:r>
      <w:r>
        <w:rPr>
          <w:rFonts w:hint="eastAsia" w:ascii="宋体" w:hAnsi="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ascii="宋体" w:hAnsi="宋体" w:eastAsia="宋体" w:cs="宋体"/>
          <w:sz w:val="24"/>
          <w:szCs w:val="24"/>
          <w:lang w:eastAsia="zh-CN"/>
        </w:rPr>
      </w:pPr>
      <w:r>
        <w:rPr>
          <w:rFonts w:hint="eastAsia" w:ascii="宋体" w:hAnsi="宋体" w:cs="宋体"/>
          <w:sz w:val="24"/>
          <w:szCs w:val="24"/>
        </w:rPr>
        <w:t>估价对象：</w:t>
      </w:r>
      <w:r>
        <w:rPr>
          <w:rFonts w:hint="eastAsia" w:ascii="宋体" w:hAnsi="宋体" w:cs="宋体"/>
          <w:sz w:val="24"/>
          <w:szCs w:val="24"/>
          <w:lang w:eastAsia="zh-CN"/>
        </w:rPr>
        <w:t>龙岩市新罗区龙岩大道北101号（小洋祥和家苑）2幢2801室住宅及C485车位</w:t>
      </w:r>
      <w:r>
        <w:rPr>
          <w:rFonts w:hint="eastAsia" w:ascii="宋体" w:hAnsi="宋体" w:cs="宋体"/>
          <w:sz w:val="24"/>
          <w:szCs w:val="24"/>
        </w:rPr>
        <w:t>房地产；财产范围包括建筑物（含室内二次装修）、分摊的土地使用权（含土地出让金）及公共配套设施，不包含动产、债权债务、特许经营权等其他财产或权益；</w:t>
      </w:r>
      <w:r>
        <w:rPr>
          <w:rFonts w:hint="eastAsia" w:ascii="宋体" w:hAnsi="宋体" w:cs="宋体"/>
          <w:spacing w:val="-2"/>
          <w:sz w:val="24"/>
          <w:szCs w:val="24"/>
        </w:rPr>
        <w:t>估价对象</w:t>
      </w:r>
      <w:r>
        <w:rPr>
          <w:rFonts w:hint="eastAsia" w:ascii="宋体" w:hAnsi="宋体" w:cs="宋体"/>
          <w:spacing w:val="-2"/>
          <w:sz w:val="24"/>
          <w:szCs w:val="24"/>
          <w:lang w:val="en-US" w:eastAsia="zh-CN"/>
        </w:rPr>
        <w:t>住宅</w:t>
      </w:r>
      <w:r>
        <w:rPr>
          <w:rFonts w:hint="eastAsia" w:ascii="宋体" w:hAnsi="宋体" w:cs="宋体"/>
          <w:spacing w:val="-2"/>
          <w:sz w:val="24"/>
          <w:szCs w:val="24"/>
        </w:rPr>
        <w:t>建筑面积</w:t>
      </w:r>
      <w:r>
        <w:rPr>
          <w:rFonts w:hint="eastAsia" w:ascii="宋体" w:hAnsi="宋体" w:cs="宋体"/>
          <w:spacing w:val="-2"/>
          <w:sz w:val="24"/>
          <w:szCs w:val="24"/>
          <w:lang w:val="en-US" w:eastAsia="zh-CN"/>
        </w:rPr>
        <w:t>106.49</w:t>
      </w:r>
      <w:r>
        <w:rPr>
          <w:rFonts w:hint="eastAsia" w:ascii="宋体" w:hAnsi="宋体" w:eastAsia="宋体" w:cs="宋体"/>
          <w:spacing w:val="-2"/>
          <w:sz w:val="24"/>
          <w:szCs w:val="24"/>
          <w:lang w:val="en-US" w:eastAsia="zh-CN"/>
        </w:rPr>
        <w:t>㎡</w:t>
      </w:r>
      <w:r>
        <w:rPr>
          <w:rFonts w:hint="eastAsia" w:ascii="宋体" w:hAnsi="宋体" w:cs="宋体"/>
          <w:spacing w:val="-2"/>
          <w:sz w:val="24"/>
          <w:szCs w:val="24"/>
        </w:rPr>
        <w:t>，</w:t>
      </w:r>
      <w:r>
        <w:rPr>
          <w:rFonts w:hint="eastAsia" w:ascii="宋体" w:hAnsi="宋体" w:cs="宋体"/>
          <w:color w:val="000000" w:themeColor="text1"/>
          <w:sz w:val="24"/>
          <w:szCs w:val="24"/>
          <w:lang w:eastAsia="zh-CN"/>
          <w14:textFill>
            <w14:solidFill>
              <w14:schemeClr w14:val="tx1"/>
            </w14:solidFill>
          </w14:textFill>
        </w:rPr>
        <w:t>不动产单元号350802 380089 GB00324 F00040033，</w:t>
      </w:r>
      <w:r>
        <w:rPr>
          <w:rFonts w:hint="eastAsia" w:ascii="宋体" w:hAnsi="宋体" w:cs="宋体"/>
          <w:spacing w:val="-2"/>
          <w:sz w:val="24"/>
          <w:szCs w:val="24"/>
        </w:rPr>
        <w:t>估价对象</w:t>
      </w:r>
      <w:r>
        <w:rPr>
          <w:rFonts w:hint="eastAsia" w:ascii="宋体" w:hAnsi="宋体" w:cs="宋体"/>
          <w:spacing w:val="-2"/>
          <w:sz w:val="24"/>
          <w:szCs w:val="24"/>
          <w:lang w:val="en-US" w:eastAsia="zh-CN"/>
        </w:rPr>
        <w:t>车位</w:t>
      </w:r>
      <w:r>
        <w:rPr>
          <w:rFonts w:hint="eastAsia" w:ascii="宋体" w:hAnsi="宋体" w:cs="宋体"/>
          <w:spacing w:val="-2"/>
          <w:sz w:val="24"/>
          <w:szCs w:val="24"/>
        </w:rPr>
        <w:t>建筑面积</w:t>
      </w:r>
      <w:r>
        <w:rPr>
          <w:rFonts w:hint="eastAsia" w:ascii="宋体" w:hAnsi="宋体" w:cs="宋体"/>
          <w:spacing w:val="-2"/>
          <w:sz w:val="24"/>
          <w:szCs w:val="24"/>
          <w:lang w:val="en-US" w:eastAsia="zh-CN"/>
        </w:rPr>
        <w:t>44.15</w:t>
      </w:r>
      <w:r>
        <w:rPr>
          <w:rFonts w:hint="eastAsia" w:ascii="宋体" w:hAnsi="宋体" w:eastAsia="宋体" w:cs="宋体"/>
          <w:spacing w:val="-2"/>
          <w:sz w:val="24"/>
          <w:szCs w:val="24"/>
          <w:lang w:val="en-US" w:eastAsia="zh-CN"/>
        </w:rPr>
        <w:t>㎡</w:t>
      </w:r>
      <w:r>
        <w:rPr>
          <w:rFonts w:hint="eastAsia" w:ascii="宋体" w:hAnsi="宋体" w:cs="宋体"/>
          <w:spacing w:val="-2"/>
          <w:sz w:val="24"/>
          <w:szCs w:val="24"/>
        </w:rPr>
        <w:t>（其中分摊面积</w:t>
      </w:r>
      <w:r>
        <w:rPr>
          <w:rFonts w:hint="eastAsia" w:ascii="宋体" w:hAnsi="宋体" w:cs="宋体"/>
          <w:spacing w:val="-2"/>
          <w:sz w:val="24"/>
          <w:szCs w:val="24"/>
          <w:lang w:val="en-US" w:eastAsia="zh-CN"/>
        </w:rPr>
        <w:t>30.40</w:t>
      </w:r>
      <w:r>
        <w:rPr>
          <w:rFonts w:hint="eastAsia" w:ascii="宋体" w:hAnsi="宋体" w:eastAsia="宋体" w:cs="宋体"/>
          <w:spacing w:val="-2"/>
          <w:sz w:val="24"/>
          <w:szCs w:val="24"/>
          <w:lang w:val="en-US" w:eastAsia="zh-CN"/>
        </w:rPr>
        <w:t>㎡</w:t>
      </w:r>
      <w:r>
        <w:rPr>
          <w:rFonts w:hint="eastAsia" w:ascii="宋体" w:hAnsi="宋体" w:cs="宋体"/>
          <w:spacing w:val="-2"/>
          <w:sz w:val="24"/>
          <w:szCs w:val="24"/>
        </w:rPr>
        <w:t>），</w:t>
      </w:r>
      <w:r>
        <w:rPr>
          <w:rFonts w:hint="eastAsia" w:ascii="宋体" w:hAnsi="宋体" w:cs="宋体"/>
          <w:color w:val="000000" w:themeColor="text1"/>
          <w:sz w:val="24"/>
          <w:szCs w:val="24"/>
          <w:lang w:eastAsia="zh-CN"/>
          <w14:textFill>
            <w14:solidFill>
              <w14:schemeClr w14:val="tx1"/>
            </w14:solidFill>
          </w14:textFill>
        </w:rPr>
        <w:t>不动产单元号</w:t>
      </w:r>
      <w:r>
        <w:rPr>
          <w:rFonts w:hint="eastAsia" w:ascii="宋体" w:hAnsi="宋体" w:cs="宋体"/>
          <w:spacing w:val="-2"/>
          <w:sz w:val="24"/>
          <w:szCs w:val="24"/>
        </w:rPr>
        <w:t>350802 380089 GB00324 F00140008</w:t>
      </w:r>
      <w:r>
        <w:rPr>
          <w:rFonts w:hint="eastAsia" w:ascii="宋体" w:hAnsi="宋体" w:cs="宋体"/>
          <w:spacing w:val="-2"/>
          <w:sz w:val="24"/>
          <w:szCs w:val="24"/>
          <w:lang w:eastAsia="zh-CN"/>
        </w:rPr>
        <w:t>，</w:t>
      </w:r>
      <w:r>
        <w:rPr>
          <w:rFonts w:hint="eastAsia" w:ascii="宋体" w:hAnsi="宋体" w:cs="宋体"/>
          <w:spacing w:val="-2"/>
          <w:sz w:val="24"/>
          <w:szCs w:val="24"/>
        </w:rPr>
        <w:t>权利人为</w:t>
      </w:r>
      <w:r>
        <w:rPr>
          <w:rFonts w:hint="eastAsia" w:ascii="宋体" w:hAnsi="宋体" w:cs="宋体"/>
          <w:spacing w:val="-2"/>
          <w:sz w:val="24"/>
          <w:szCs w:val="24"/>
          <w:lang w:val="en-US" w:eastAsia="zh-CN"/>
        </w:rPr>
        <w:t>李水良</w:t>
      </w:r>
      <w:r>
        <w:rPr>
          <w:rFonts w:hint="eastAsia" w:ascii="宋体" w:hAnsi="宋体" w:cs="宋体"/>
          <w:spacing w:val="-2"/>
          <w:sz w:val="24"/>
          <w:szCs w:val="24"/>
        </w:rPr>
        <w:t>，共有情况为</w:t>
      </w:r>
      <w:r>
        <w:rPr>
          <w:rFonts w:hint="eastAsia" w:ascii="宋体" w:hAnsi="宋体" w:cs="宋体"/>
          <w:spacing w:val="-2"/>
          <w:sz w:val="24"/>
          <w:szCs w:val="24"/>
          <w:lang w:eastAsia="zh-CN"/>
        </w:rPr>
        <w:t>单独所有；</w:t>
      </w:r>
      <w:r>
        <w:rPr>
          <w:rFonts w:hint="eastAsia" w:ascii="宋体" w:hAnsi="宋体" w:cs="宋体"/>
          <w:spacing w:val="-2"/>
          <w:sz w:val="24"/>
          <w:szCs w:val="24"/>
        </w:rPr>
        <w:t>权利性质为</w:t>
      </w:r>
      <w:r>
        <w:rPr>
          <w:rFonts w:hint="eastAsia" w:ascii="宋体" w:hAnsi="宋体" w:cs="宋体"/>
          <w:spacing w:val="-2"/>
          <w:sz w:val="24"/>
          <w:szCs w:val="24"/>
          <w:lang w:eastAsia="zh-CN"/>
        </w:rPr>
        <w:t>划拨/动迁房</w:t>
      </w:r>
      <w:r>
        <w:rPr>
          <w:rFonts w:hint="eastAsia" w:ascii="宋体" w:hAnsi="宋体" w:cs="宋体"/>
          <w:spacing w:val="-2"/>
          <w:sz w:val="24"/>
          <w:szCs w:val="24"/>
        </w:rPr>
        <w:t>，</w:t>
      </w:r>
      <w:r>
        <w:rPr>
          <w:rFonts w:hint="eastAsia" w:ascii="宋体" w:hAnsi="宋体" w:cs="宋体"/>
          <w:spacing w:val="-2"/>
          <w:sz w:val="24"/>
          <w:szCs w:val="24"/>
          <w:lang w:val="en-US" w:eastAsia="zh-CN"/>
        </w:rPr>
        <w:t>共用宗地面积35591.91</w:t>
      </w:r>
      <w:r>
        <w:rPr>
          <w:rFonts w:hint="eastAsia" w:ascii="宋体" w:hAnsi="宋体" w:eastAsia="宋体" w:cs="宋体"/>
          <w:spacing w:val="-2"/>
          <w:sz w:val="24"/>
          <w:szCs w:val="24"/>
          <w:lang w:val="en-US" w:eastAsia="zh-CN"/>
        </w:rPr>
        <w:t>㎡</w:t>
      </w:r>
      <w:r>
        <w:rPr>
          <w:rFonts w:hint="eastAsia" w:ascii="宋体" w:hAnsi="宋体" w:cs="宋体"/>
          <w:spacing w:val="-2"/>
          <w:sz w:val="24"/>
          <w:szCs w:val="24"/>
        </w:rPr>
        <w:t>，</w:t>
      </w:r>
      <w:r>
        <w:rPr>
          <w:rFonts w:hint="eastAsia" w:ascii="宋体" w:hAnsi="宋体" w:cs="宋体"/>
          <w:spacing w:val="-2"/>
          <w:sz w:val="24"/>
          <w:szCs w:val="24"/>
          <w:lang w:eastAsia="zh-CN"/>
        </w:rPr>
        <w:t>用途</w:t>
      </w:r>
      <w:r>
        <w:rPr>
          <w:rFonts w:hint="eastAsia" w:ascii="宋体" w:hAnsi="宋体" w:cs="宋体"/>
          <w:spacing w:val="-2"/>
          <w:sz w:val="24"/>
          <w:szCs w:val="24"/>
        </w:rPr>
        <w:t>为</w:t>
      </w:r>
      <w:r>
        <w:rPr>
          <w:rFonts w:hint="eastAsia" w:ascii="宋体" w:hAnsi="宋体" w:cs="宋体"/>
          <w:spacing w:val="-2"/>
          <w:sz w:val="24"/>
          <w:szCs w:val="24"/>
          <w:lang w:eastAsia="zh-CN"/>
        </w:rPr>
        <w:t>城镇住宅用地（拆迁安置地）/成套住宅、</w:t>
      </w:r>
      <w:r>
        <w:rPr>
          <w:rFonts w:hint="eastAsia" w:ascii="宋体" w:hAnsi="宋体" w:cs="宋体"/>
          <w:spacing w:val="-2"/>
          <w:sz w:val="24"/>
          <w:szCs w:val="24"/>
          <w:lang w:val="en-US" w:eastAsia="zh-CN"/>
        </w:rPr>
        <w:t>车位，土地使用权类型为国有建设出让用地，</w:t>
      </w:r>
      <w:r>
        <w:rPr>
          <w:rFonts w:hint="eastAsia" w:ascii="宋体" w:hAnsi="宋体" w:cs="宋体"/>
          <w:spacing w:val="-2"/>
          <w:sz w:val="24"/>
          <w:szCs w:val="24"/>
          <w:lang w:eastAsia="zh-CN"/>
        </w:rPr>
        <w:t>不动产权证书号</w:t>
      </w:r>
      <w:r>
        <w:rPr>
          <w:rFonts w:hint="eastAsia" w:ascii="宋体" w:hAnsi="宋体" w:eastAsia="宋体" w:cs="宋体"/>
          <w:sz w:val="24"/>
          <w:szCs w:val="24"/>
          <w:lang w:eastAsia="zh-CN"/>
        </w:rPr>
        <w:t>为</w:t>
      </w:r>
      <w:r>
        <w:rPr>
          <w:rFonts w:hint="eastAsia" w:ascii="宋体" w:hAnsi="宋体" w:cs="宋体"/>
          <w:sz w:val="24"/>
          <w:szCs w:val="24"/>
          <w:lang w:eastAsia="zh-CN"/>
        </w:rPr>
        <w:t>闽（2022）龙岩市不动产权第004</w:t>
      </w:r>
      <w:r>
        <w:rPr>
          <w:rFonts w:hint="eastAsia" w:ascii="宋体" w:hAnsi="宋体" w:cs="宋体"/>
          <w:sz w:val="24"/>
          <w:szCs w:val="24"/>
          <w:lang w:val="en-US" w:eastAsia="zh-CN"/>
        </w:rPr>
        <w:t>5224</w:t>
      </w:r>
      <w:r>
        <w:rPr>
          <w:rFonts w:hint="eastAsia" w:ascii="宋体" w:hAnsi="宋体" w:cs="宋体"/>
          <w:sz w:val="24"/>
          <w:szCs w:val="24"/>
          <w:lang w:eastAsia="zh-CN"/>
        </w:rPr>
        <w:t>号、闽（2022）龙岩市不动产权第0046346号</w:t>
      </w:r>
      <w:r>
        <w:rPr>
          <w:rFonts w:hint="eastAsia" w:ascii="宋体" w:hAnsi="宋体" w:eastAsia="宋体" w:cs="宋体"/>
          <w:sz w:val="24"/>
          <w:szCs w:val="24"/>
        </w:rPr>
        <w:t>。</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价值时点:</w:t>
      </w:r>
      <w:r>
        <w:rPr>
          <w:rFonts w:hint="eastAsia" w:ascii="宋体" w:hAnsi="宋体" w:cs="宋体"/>
          <w:sz w:val="24"/>
          <w:szCs w:val="24"/>
          <w:lang w:eastAsia="zh-CN"/>
        </w:rPr>
        <w:t>2022年6月24日</w:t>
      </w:r>
      <w:r>
        <w:rPr>
          <w:rFonts w:hint="eastAsia" w:ascii="宋体" w:hAnsi="宋体" w:cs="宋体"/>
          <w:sz w:val="24"/>
          <w:szCs w:val="24"/>
        </w:rPr>
        <w:t>；</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价值类型:市场价值；</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估价方法:比较法，收益法</w:t>
      </w:r>
      <w:r>
        <w:rPr>
          <w:rFonts w:hint="eastAsia" w:ascii="宋体" w:hAnsi="宋体" w:cs="宋体"/>
          <w:sz w:val="24"/>
          <w:szCs w:val="24"/>
          <w:lang w:eastAsia="zh-CN"/>
        </w:rPr>
        <w:t>；</w:t>
      </w:r>
    </w:p>
    <w:p>
      <w:pPr>
        <w:spacing w:line="400" w:lineRule="exact"/>
        <w:ind w:firstLine="480" w:firstLineChars="200"/>
        <w:rPr>
          <w:rFonts w:hint="eastAsia" w:ascii="宋体" w:hAnsi="宋体" w:cs="宋体"/>
          <w:sz w:val="24"/>
          <w:szCs w:val="24"/>
        </w:rPr>
      </w:pPr>
      <w:r>
        <w:rPr>
          <w:rFonts w:hint="eastAsia" w:ascii="宋体" w:hAnsi="宋体" w:cs="宋体"/>
          <w:sz w:val="24"/>
          <w:szCs w:val="24"/>
        </w:rPr>
        <w:t>估价结果：见下表。</w:t>
      </w:r>
    </w:p>
    <w:p>
      <w:pPr>
        <w:spacing w:line="380" w:lineRule="exact"/>
        <w:ind w:firstLine="480" w:firstLineChars="200"/>
        <w:jc w:val="center"/>
        <w:rPr>
          <w:rFonts w:hint="eastAsia" w:ascii="仿宋_GB2312" w:hAnsi="仿宋" w:eastAsia="仿宋_GB2312"/>
          <w:b/>
          <w:color w:val="000000"/>
          <w:sz w:val="24"/>
          <w:szCs w:val="24"/>
        </w:rPr>
      </w:pPr>
      <w:r>
        <w:rPr>
          <w:rFonts w:hint="eastAsia" w:ascii="宋体" w:hAnsi="宋体" w:cs="宋体"/>
          <w:sz w:val="24"/>
          <w:szCs w:val="24"/>
        </w:rPr>
        <w:t xml:space="preserve">                  估价对象房地产价值估价结果表                     </w:t>
      </w:r>
      <w:bookmarkStart w:id="1" w:name="OLE_LINK1"/>
      <w:r>
        <w:rPr>
          <w:rFonts w:hint="eastAsia" w:ascii="宋体" w:hAnsi="宋体" w:cs="宋体"/>
          <w:sz w:val="24"/>
          <w:szCs w:val="24"/>
        </w:rPr>
        <w:t>表1</w:t>
      </w:r>
      <w:bookmarkEnd w:id="1"/>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4"/>
        <w:gridCol w:w="1972"/>
        <w:gridCol w:w="4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614" w:type="dxa"/>
            <w:vMerge w:val="restart"/>
            <w:noWrap w:val="0"/>
            <w:vAlign w:val="center"/>
          </w:tcPr>
          <w:p>
            <w:pPr>
              <w:spacing w:line="300" w:lineRule="exact"/>
              <w:jc w:val="center"/>
              <w:rPr>
                <w:rFonts w:hint="eastAsia" w:ascii="宋体" w:hAnsi="宋体" w:cs="宋体"/>
                <w:sz w:val="21"/>
                <w:szCs w:val="21"/>
              </w:rPr>
            </w:pPr>
            <w:r>
              <w:rPr>
                <w:rFonts w:hint="eastAsia" w:ascii="宋体" w:hAnsi="宋体" w:cs="宋体"/>
                <w:sz w:val="21"/>
                <w:szCs w:val="21"/>
                <w:lang w:val="zh-CN"/>
              </w:rPr>
              <w:t>项</w:t>
            </w:r>
            <w:r>
              <w:rPr>
                <w:rFonts w:hint="eastAsia" w:ascii="宋体" w:hAnsi="宋体" w:cs="宋体"/>
                <w:sz w:val="21"/>
                <w:szCs w:val="21"/>
              </w:rPr>
              <w:t xml:space="preserve">  </w:t>
            </w:r>
            <w:r>
              <w:rPr>
                <w:rFonts w:hint="eastAsia" w:ascii="宋体" w:hAnsi="宋体" w:cs="宋体"/>
                <w:sz w:val="21"/>
                <w:szCs w:val="21"/>
                <w:lang w:val="zh-CN"/>
              </w:rPr>
              <w:t>目</w:t>
            </w:r>
          </w:p>
        </w:tc>
        <w:tc>
          <w:tcPr>
            <w:tcW w:w="6674" w:type="dxa"/>
            <w:gridSpan w:val="2"/>
            <w:noWrap w:val="0"/>
            <w:vAlign w:val="center"/>
          </w:tcPr>
          <w:p>
            <w:pPr>
              <w:spacing w:line="300" w:lineRule="exact"/>
              <w:jc w:val="center"/>
              <w:rPr>
                <w:rFonts w:hint="eastAsia" w:ascii="宋体" w:hAnsi="宋体" w:cs="宋体"/>
                <w:sz w:val="21"/>
                <w:szCs w:val="21"/>
              </w:rPr>
            </w:pPr>
            <w:r>
              <w:rPr>
                <w:rFonts w:hint="eastAsia" w:ascii="宋体" w:hAnsi="宋体" w:cs="宋体"/>
                <w:sz w:val="21"/>
                <w:szCs w:val="21"/>
                <w:lang w:val="zh-CN"/>
              </w:rPr>
              <w:t>估价结果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614" w:type="dxa"/>
            <w:vMerge w:val="continue"/>
            <w:noWrap w:val="0"/>
            <w:vAlign w:val="center"/>
          </w:tcPr>
          <w:p>
            <w:pPr>
              <w:spacing w:line="300" w:lineRule="exact"/>
              <w:ind w:firstLine="420" w:firstLineChars="200"/>
              <w:jc w:val="center"/>
              <w:rPr>
                <w:rFonts w:hint="eastAsia" w:ascii="宋体" w:hAnsi="宋体" w:cs="宋体"/>
                <w:sz w:val="21"/>
                <w:szCs w:val="21"/>
                <w:lang w:val="zh-CN"/>
              </w:rPr>
            </w:pPr>
          </w:p>
        </w:tc>
        <w:tc>
          <w:tcPr>
            <w:tcW w:w="1972" w:type="dxa"/>
            <w:noWrap w:val="0"/>
            <w:vAlign w:val="center"/>
          </w:tcPr>
          <w:p>
            <w:pPr>
              <w:spacing w:line="300" w:lineRule="exact"/>
              <w:jc w:val="center"/>
              <w:rPr>
                <w:rFonts w:hint="eastAsia" w:ascii="宋体" w:hAnsi="宋体" w:cs="宋体"/>
                <w:sz w:val="21"/>
                <w:szCs w:val="21"/>
                <w:lang w:val="zh-CN"/>
              </w:rPr>
            </w:pPr>
            <w:r>
              <w:rPr>
                <w:rFonts w:hint="eastAsia" w:ascii="宋体" w:hAnsi="宋体" w:cs="宋体"/>
                <w:sz w:val="21"/>
                <w:szCs w:val="21"/>
                <w:lang w:val="zh-CN"/>
              </w:rPr>
              <w:t>估算单价</w:t>
            </w:r>
          </w:p>
        </w:tc>
        <w:tc>
          <w:tcPr>
            <w:tcW w:w="4702" w:type="dxa"/>
            <w:noWrap w:val="0"/>
            <w:vAlign w:val="center"/>
          </w:tcPr>
          <w:p>
            <w:pPr>
              <w:spacing w:line="300" w:lineRule="exact"/>
              <w:jc w:val="center"/>
              <w:rPr>
                <w:rFonts w:hint="eastAsia" w:ascii="宋体" w:hAnsi="宋体" w:cs="宋体"/>
                <w:sz w:val="21"/>
                <w:szCs w:val="21"/>
                <w:lang w:val="zh-CN"/>
              </w:rPr>
            </w:pPr>
            <w:r>
              <w:rPr>
                <w:rFonts w:hint="eastAsia" w:ascii="宋体" w:hAnsi="宋体" w:cs="宋体"/>
                <w:sz w:val="21"/>
                <w:szCs w:val="21"/>
                <w:lang w:val="zh-CN"/>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2614" w:type="dxa"/>
            <w:noWrap w:val="0"/>
            <w:vAlign w:val="center"/>
          </w:tcPr>
          <w:p>
            <w:pPr>
              <w:spacing w:line="400" w:lineRule="exact"/>
              <w:rPr>
                <w:rFonts w:hint="eastAsia" w:ascii="宋体" w:hAnsi="宋体" w:cs="宋体"/>
                <w:sz w:val="21"/>
                <w:szCs w:val="21"/>
              </w:rPr>
            </w:pPr>
            <w:bookmarkStart w:id="2" w:name="OLE_LINK7" w:colFirst="1" w:colLast="2"/>
            <w:r>
              <w:rPr>
                <w:rFonts w:hint="eastAsia" w:ascii="宋体" w:hAnsi="宋体" w:cs="宋体"/>
                <w:sz w:val="21"/>
                <w:szCs w:val="21"/>
              </w:rPr>
              <w:t>1、</w:t>
            </w:r>
            <w:r>
              <w:rPr>
                <w:rFonts w:hint="eastAsia" w:ascii="宋体" w:hAnsi="宋体" w:cs="宋体"/>
                <w:spacing w:val="-6"/>
                <w:sz w:val="21"/>
                <w:szCs w:val="21"/>
              </w:rPr>
              <w:t>市场价值</w:t>
            </w:r>
          </w:p>
        </w:tc>
        <w:tc>
          <w:tcPr>
            <w:tcW w:w="1972"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cs="宋体"/>
                <w:sz w:val="21"/>
                <w:szCs w:val="21"/>
                <w:vertAlign w:val="superscript"/>
                <w:lang w:val="en-US" w:eastAsia="zh-CN"/>
              </w:rPr>
            </w:pPr>
            <w:r>
              <w:rPr>
                <w:rFonts w:hint="eastAsia" w:ascii="宋体" w:hAnsi="宋体" w:cs="宋体"/>
                <w:sz w:val="21"/>
                <w:szCs w:val="21"/>
                <w:lang w:val="en-US" w:eastAsia="zh-CN"/>
              </w:rPr>
              <w:t>住宅10682</w:t>
            </w:r>
            <w:r>
              <w:rPr>
                <w:rFonts w:hint="eastAsia" w:ascii="宋体" w:hAnsi="宋体" w:cs="宋体"/>
                <w:sz w:val="21"/>
                <w:szCs w:val="21"/>
              </w:rPr>
              <w:t>元/m</w:t>
            </w:r>
            <w:r>
              <w:rPr>
                <w:rFonts w:hint="eastAsia" w:ascii="宋体" w:hAnsi="宋体" w:cs="宋体"/>
                <w:sz w:val="21"/>
                <w:szCs w:val="21"/>
                <w:vertAlign w:val="superscript"/>
              </w:rPr>
              <w:t>2</w:t>
            </w:r>
            <w:r>
              <w:rPr>
                <w:rFonts w:hint="eastAsia" w:ascii="宋体" w:hAnsi="宋体" w:cs="宋体"/>
                <w:sz w:val="21"/>
                <w:szCs w:val="21"/>
                <w:vertAlign w:val="superscript"/>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cs="宋体"/>
                <w:spacing w:val="-6"/>
                <w:sz w:val="21"/>
                <w:szCs w:val="21"/>
                <w:lang w:val="en-US" w:eastAsia="zh-CN"/>
              </w:rPr>
            </w:pPr>
            <w:r>
              <w:rPr>
                <w:rFonts w:hint="eastAsia" w:ascii="宋体" w:hAnsi="宋体" w:cs="宋体"/>
                <w:sz w:val="21"/>
                <w:szCs w:val="21"/>
                <w:lang w:val="en-US" w:eastAsia="zh-CN"/>
              </w:rPr>
              <w:t>车位14万</w:t>
            </w:r>
            <w:r>
              <w:rPr>
                <w:rFonts w:hint="eastAsia" w:ascii="宋体" w:hAnsi="宋体" w:cs="宋体"/>
                <w:sz w:val="21"/>
                <w:szCs w:val="21"/>
              </w:rPr>
              <w:t>元/</w:t>
            </w:r>
            <w:r>
              <w:rPr>
                <w:rFonts w:hint="eastAsia" w:ascii="宋体" w:hAnsi="宋体" w:cs="宋体"/>
                <w:sz w:val="21"/>
                <w:szCs w:val="21"/>
                <w:lang w:val="en-US" w:eastAsia="zh-CN"/>
              </w:rPr>
              <w:t>个</w:t>
            </w:r>
          </w:p>
        </w:tc>
        <w:tc>
          <w:tcPr>
            <w:tcW w:w="470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宋体" w:hAnsi="宋体" w:cs="宋体"/>
                <w:spacing w:val="-6"/>
                <w:sz w:val="21"/>
                <w:szCs w:val="21"/>
              </w:rPr>
            </w:pPr>
            <w:r>
              <w:rPr>
                <w:rFonts w:hint="eastAsia" w:ascii="宋体" w:hAnsi="宋体" w:cs="宋体"/>
                <w:sz w:val="21"/>
                <w:szCs w:val="21"/>
                <w:lang w:val="en-US" w:eastAsia="zh-CN"/>
              </w:rPr>
              <w:t>127.75万元（人民币壹佰贰拾柒万柒仟伍佰元整）</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614" w:type="dxa"/>
            <w:noWrap w:val="0"/>
            <w:vAlign w:val="center"/>
          </w:tcPr>
          <w:p>
            <w:pPr>
              <w:spacing w:line="320" w:lineRule="exact"/>
              <w:jc w:val="left"/>
              <w:rPr>
                <w:rFonts w:hint="default" w:ascii="宋体" w:hAnsi="宋体" w:eastAsia="宋体" w:cs="宋体"/>
                <w:sz w:val="21"/>
                <w:szCs w:val="21"/>
                <w:lang w:val="en-US" w:eastAsia="zh-CN"/>
              </w:rPr>
            </w:pPr>
            <w:r>
              <w:rPr>
                <w:rFonts w:hint="eastAsia" w:ascii="宋体" w:hAnsi="宋体" w:cs="宋体"/>
                <w:spacing w:val="-6"/>
                <w:sz w:val="21"/>
                <w:szCs w:val="21"/>
              </w:rPr>
              <w:t>2、原房屋所有权人应承担的各项税费</w:t>
            </w:r>
            <w:r>
              <w:rPr>
                <w:rFonts w:hint="eastAsia" w:ascii="宋体" w:hAnsi="宋体" w:cs="宋体"/>
                <w:spacing w:val="-6"/>
                <w:sz w:val="21"/>
                <w:szCs w:val="21"/>
                <w:lang w:val="en-US" w:eastAsia="zh-CN"/>
              </w:rPr>
              <w:t>及土地出让金</w:t>
            </w:r>
          </w:p>
        </w:tc>
        <w:tc>
          <w:tcPr>
            <w:tcW w:w="1972" w:type="dxa"/>
            <w:noWrap w:val="0"/>
            <w:vAlign w:val="center"/>
          </w:tcPr>
          <w:p>
            <w:pPr>
              <w:spacing w:line="360" w:lineRule="exact"/>
              <w:jc w:val="center"/>
              <w:rPr>
                <w:rFonts w:hint="eastAsia" w:ascii="宋体" w:hAnsi="宋体" w:cs="宋体"/>
                <w:sz w:val="21"/>
                <w:szCs w:val="21"/>
              </w:rPr>
            </w:pPr>
          </w:p>
        </w:tc>
        <w:tc>
          <w:tcPr>
            <w:tcW w:w="470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宋体" w:hAnsi="宋体" w:cs="宋体"/>
                <w:spacing w:val="-6"/>
                <w:sz w:val="21"/>
                <w:szCs w:val="21"/>
              </w:rPr>
            </w:pPr>
            <w:r>
              <w:rPr>
                <w:rFonts w:hint="eastAsia" w:ascii="宋体" w:hAnsi="宋体" w:cs="宋体"/>
                <w:sz w:val="21"/>
                <w:szCs w:val="21"/>
                <w:lang w:val="en-US" w:eastAsia="zh-CN"/>
              </w:rPr>
              <w:t>19.75万元（人民币壹拾玖万柒仟伍佰元整）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2614" w:type="dxa"/>
            <w:noWrap w:val="0"/>
            <w:vAlign w:val="center"/>
          </w:tcPr>
          <w:p>
            <w:pPr>
              <w:spacing w:line="320" w:lineRule="exact"/>
              <w:jc w:val="left"/>
              <w:rPr>
                <w:rFonts w:hint="eastAsia" w:ascii="宋体" w:hAnsi="宋体" w:eastAsia="宋体" w:cs="宋体"/>
                <w:sz w:val="21"/>
                <w:szCs w:val="21"/>
                <w:lang w:eastAsia="zh-CN"/>
              </w:rPr>
            </w:pPr>
            <w:r>
              <w:rPr>
                <w:rFonts w:hint="eastAsia" w:ascii="宋体" w:hAnsi="宋体" w:cs="宋体"/>
                <w:sz w:val="21"/>
                <w:szCs w:val="21"/>
              </w:rPr>
              <w:t>3、</w:t>
            </w:r>
            <w:r>
              <w:rPr>
                <w:rFonts w:hint="eastAsia" w:ascii="宋体" w:hAnsi="宋体" w:cs="宋体"/>
                <w:sz w:val="21"/>
                <w:szCs w:val="21"/>
                <w:lang w:eastAsia="zh-CN"/>
              </w:rPr>
              <w:t>处置参考价值</w:t>
            </w:r>
          </w:p>
        </w:tc>
        <w:tc>
          <w:tcPr>
            <w:tcW w:w="1972" w:type="dxa"/>
            <w:noWrap w:val="0"/>
            <w:vAlign w:val="center"/>
          </w:tcPr>
          <w:p>
            <w:pPr>
              <w:spacing w:line="360" w:lineRule="exact"/>
              <w:jc w:val="center"/>
              <w:rPr>
                <w:rFonts w:hint="eastAsia" w:ascii="宋体" w:hAnsi="宋体" w:cs="宋体"/>
                <w:sz w:val="21"/>
                <w:szCs w:val="21"/>
                <w:vertAlign w:val="superscript"/>
                <w:lang w:val="en-US" w:eastAsia="zh-CN"/>
              </w:rPr>
            </w:pPr>
            <w:r>
              <w:rPr>
                <w:rFonts w:hint="eastAsia" w:ascii="宋体" w:hAnsi="宋体" w:cs="宋体"/>
                <w:sz w:val="21"/>
                <w:szCs w:val="21"/>
                <w:lang w:val="en-US" w:eastAsia="zh-CN"/>
              </w:rPr>
              <w:t>住宅9139</w:t>
            </w:r>
            <w:r>
              <w:rPr>
                <w:rFonts w:hint="eastAsia" w:ascii="宋体" w:hAnsi="宋体" w:cs="宋体"/>
                <w:sz w:val="21"/>
                <w:szCs w:val="21"/>
              </w:rPr>
              <w:t>元/m</w:t>
            </w:r>
            <w:r>
              <w:rPr>
                <w:rFonts w:hint="eastAsia" w:ascii="宋体" w:hAnsi="宋体" w:cs="宋体"/>
                <w:sz w:val="21"/>
                <w:szCs w:val="21"/>
                <w:vertAlign w:val="superscript"/>
              </w:rPr>
              <w:t>2</w:t>
            </w:r>
            <w:r>
              <w:rPr>
                <w:rFonts w:hint="eastAsia" w:ascii="宋体" w:hAnsi="宋体" w:cs="宋体"/>
                <w:sz w:val="21"/>
                <w:szCs w:val="21"/>
                <w:vertAlign w:val="superscript"/>
                <w:lang w:val="en-US" w:eastAsia="zh-CN"/>
              </w:rPr>
              <w:t xml:space="preserve"> </w:t>
            </w:r>
          </w:p>
          <w:p>
            <w:pPr>
              <w:spacing w:line="360" w:lineRule="exact"/>
              <w:jc w:val="center"/>
              <w:rPr>
                <w:rFonts w:hint="eastAsia" w:ascii="宋体" w:hAnsi="宋体" w:cs="宋体"/>
                <w:spacing w:val="-6"/>
                <w:sz w:val="21"/>
                <w:szCs w:val="21"/>
                <w:lang w:val="en-US" w:eastAsia="zh-CN"/>
              </w:rPr>
            </w:pPr>
            <w:r>
              <w:rPr>
                <w:rFonts w:hint="eastAsia" w:ascii="宋体" w:hAnsi="宋体" w:cs="宋体"/>
                <w:sz w:val="21"/>
                <w:szCs w:val="21"/>
                <w:lang w:val="en-US" w:eastAsia="zh-CN"/>
              </w:rPr>
              <w:t>车位10.68万</w:t>
            </w:r>
            <w:r>
              <w:rPr>
                <w:rFonts w:hint="eastAsia" w:ascii="宋体" w:hAnsi="宋体" w:cs="宋体"/>
                <w:sz w:val="21"/>
                <w:szCs w:val="21"/>
              </w:rPr>
              <w:t>元/</w:t>
            </w:r>
            <w:r>
              <w:rPr>
                <w:rFonts w:hint="eastAsia" w:ascii="宋体" w:hAnsi="宋体" w:cs="宋体"/>
                <w:sz w:val="21"/>
                <w:szCs w:val="21"/>
                <w:lang w:val="en-US" w:eastAsia="zh-CN"/>
              </w:rPr>
              <w:t>个</w:t>
            </w:r>
          </w:p>
        </w:tc>
        <w:tc>
          <w:tcPr>
            <w:tcW w:w="4702"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宋体" w:hAnsi="宋体" w:cs="宋体"/>
                <w:spacing w:val="-6"/>
                <w:sz w:val="21"/>
                <w:szCs w:val="21"/>
              </w:rPr>
            </w:pPr>
            <w:r>
              <w:rPr>
                <w:rFonts w:hint="eastAsia" w:ascii="宋体" w:hAnsi="宋体" w:cs="宋体"/>
                <w:color w:val="000000"/>
                <w:sz w:val="21"/>
                <w:szCs w:val="21"/>
                <w:lang w:val="en-US" w:eastAsia="zh-CN"/>
              </w:rPr>
              <w:t>108.00</w:t>
            </w:r>
            <w:r>
              <w:rPr>
                <w:rFonts w:hint="eastAsia" w:ascii="宋体" w:hAnsi="宋体" w:cs="宋体"/>
                <w:sz w:val="21"/>
                <w:szCs w:val="21"/>
              </w:rPr>
              <w:t>万元（</w:t>
            </w:r>
            <w:r>
              <w:rPr>
                <w:rFonts w:hint="eastAsia" w:ascii="宋体" w:hAnsi="宋体" w:cs="宋体"/>
                <w:sz w:val="21"/>
                <w:szCs w:val="21"/>
                <w:lang w:eastAsia="zh-CN"/>
              </w:rPr>
              <w:t>人民币壹佰零捌万元整</w:t>
            </w:r>
            <w:r>
              <w:rPr>
                <w:rFonts w:hint="eastAsia" w:ascii="宋体" w:hAnsi="宋体" w:cs="宋体"/>
                <w:sz w:val="21"/>
                <w:szCs w:val="21"/>
              </w:rPr>
              <w:t>）</w:t>
            </w:r>
          </w:p>
        </w:tc>
      </w:tr>
    </w:tbl>
    <w:p>
      <w:pPr>
        <w:spacing w:line="24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特别提示：</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估价结果不包括估价对象原有的担保物权和其他法定优先受偿权，也不包括</w:t>
      </w:r>
      <w:r>
        <w:rPr>
          <w:rFonts w:hint="eastAsia" w:ascii="宋体" w:hAnsi="宋体" w:eastAsia="宋体" w:cs="宋体"/>
          <w:b/>
          <w:bCs/>
          <w:sz w:val="21"/>
          <w:szCs w:val="21"/>
          <w:lang w:eastAsia="zh-CN"/>
        </w:rPr>
        <w:t>或</w:t>
      </w:r>
      <w:r>
        <w:rPr>
          <w:rFonts w:hint="eastAsia" w:ascii="宋体" w:hAnsi="宋体" w:eastAsia="宋体" w:cs="宋体"/>
          <w:b/>
          <w:bCs/>
          <w:sz w:val="21"/>
          <w:szCs w:val="21"/>
        </w:rPr>
        <w:t>有的租赁权。</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估价结果</w:t>
      </w:r>
      <w:r>
        <w:rPr>
          <w:rFonts w:hint="eastAsia" w:ascii="宋体" w:hAnsi="宋体" w:eastAsia="宋体" w:cs="宋体"/>
          <w:b/>
          <w:bCs/>
          <w:color w:val="000000"/>
          <w:sz w:val="21"/>
          <w:szCs w:val="21"/>
        </w:rPr>
        <w:t>已扣除估价师知悉的卖方应承担的各项税费</w:t>
      </w:r>
      <w:r>
        <w:rPr>
          <w:rFonts w:hint="eastAsia" w:ascii="宋体" w:hAnsi="宋体" w:cs="宋体"/>
          <w:b/>
          <w:bCs/>
          <w:color w:val="000000"/>
          <w:sz w:val="21"/>
          <w:szCs w:val="21"/>
          <w:lang w:val="en-US" w:eastAsia="zh-CN"/>
        </w:rPr>
        <w:t>及土地出让金</w:t>
      </w:r>
      <w:r>
        <w:rPr>
          <w:rFonts w:hint="eastAsia" w:ascii="宋体" w:hAnsi="宋体" w:eastAsia="宋体" w:cs="宋体"/>
          <w:b/>
          <w:bCs/>
          <w:sz w:val="21"/>
          <w:szCs w:val="21"/>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cs="宋体"/>
          <w:b/>
          <w:bCs/>
          <w:sz w:val="21"/>
          <w:szCs w:val="21"/>
          <w:lang w:eastAsia="zh-CN"/>
        </w:rPr>
        <w:t>评估结果仅为人民法院确定司法鉴定参考价服务，不是评估对象处置可实现的成交价格，也不应当被视为对评估对象处置成交价格的保证；</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本估价结果报告使用期限自本估价报告出具之日起不超过壹年。</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firstLine="422" w:firstLineChars="200"/>
        <w:textAlignment w:val="auto"/>
        <w:rPr>
          <w:rFonts w:hint="eastAsia" w:ascii="宋体" w:hAnsi="宋体" w:cs="宋体"/>
          <w:sz w:val="24"/>
          <w:szCs w:val="24"/>
        </w:rPr>
      </w:pPr>
      <w:r>
        <w:rPr>
          <w:rFonts w:hint="eastAsia" w:ascii="宋体" w:hAnsi="宋体" w:eastAsia="宋体" w:cs="宋体"/>
          <w:b/>
          <w:bCs/>
          <w:sz w:val="21"/>
          <w:szCs w:val="21"/>
        </w:rPr>
        <w:t>使用本报告时请认真阅读本报告书全文。</w:t>
      </w:r>
    </w:p>
    <w:p>
      <w:pPr>
        <w:keepNext w:val="0"/>
        <w:keepLines w:val="0"/>
        <w:pageBreakBefore w:val="0"/>
        <w:widowControl w:val="0"/>
        <w:kinsoku/>
        <w:wordWrap/>
        <w:overflowPunct/>
        <w:topLinePunct w:val="0"/>
        <w:autoSpaceDE/>
        <w:autoSpaceDN/>
        <w:bidi w:val="0"/>
        <w:adjustRightInd/>
        <w:snapToGrid/>
        <w:spacing w:line="400" w:lineRule="exact"/>
        <w:ind w:right="560" w:firstLine="560" w:firstLineChars="200"/>
        <w:jc w:val="right"/>
        <w:textAlignment w:val="auto"/>
        <w:rPr>
          <w:rFonts w:hint="eastAsia" w:ascii="宋体" w:hAnsi="宋体" w:cs="宋体"/>
          <w:bCs/>
          <w:sz w:val="28"/>
          <w:szCs w:val="28"/>
        </w:rPr>
      </w:pPr>
      <w:r>
        <w:rPr>
          <w:rFonts w:hint="eastAsia" w:ascii="宋体" w:hAnsi="宋体" w:cs="宋体"/>
          <w:bCs/>
          <w:sz w:val="28"/>
          <w:szCs w:val="28"/>
        </w:rPr>
        <w:t>龙岩冠力土地房地产评估有限公司</w:t>
      </w:r>
    </w:p>
    <w:p>
      <w:pPr>
        <w:keepNext w:val="0"/>
        <w:keepLines w:val="0"/>
        <w:pageBreakBefore w:val="0"/>
        <w:widowControl w:val="0"/>
        <w:kinsoku/>
        <w:wordWrap/>
        <w:overflowPunct/>
        <w:topLinePunct w:val="0"/>
        <w:autoSpaceDE/>
        <w:autoSpaceDN/>
        <w:bidi w:val="0"/>
        <w:adjustRightInd/>
        <w:snapToGrid/>
        <w:spacing w:line="400" w:lineRule="exact"/>
        <w:ind w:right="480"/>
        <w:jc w:val="center"/>
        <w:textAlignment w:val="auto"/>
        <w:rPr>
          <w:rFonts w:hint="eastAsia" w:ascii="宋体" w:hAnsi="宋体" w:cs="宋体"/>
          <w:bCs/>
          <w:sz w:val="28"/>
          <w:szCs w:val="28"/>
        </w:rPr>
      </w:pPr>
      <w:r>
        <w:rPr>
          <w:rFonts w:hint="eastAsia" w:ascii="宋体" w:hAnsi="宋体" w:cs="宋体"/>
          <w:bCs/>
          <w:sz w:val="28"/>
          <w:szCs w:val="28"/>
        </w:rPr>
        <w:t xml:space="preserve">         </w:t>
      </w:r>
      <w:r>
        <w:rPr>
          <w:rFonts w:hint="eastAsia" w:ascii="宋体" w:hAnsi="宋体" w:cs="宋体"/>
          <w:bCs/>
          <w:sz w:val="28"/>
          <w:szCs w:val="28"/>
          <w:lang w:val="en-US" w:eastAsia="zh-CN"/>
        </w:rPr>
        <w:t xml:space="preserve"> </w:t>
      </w:r>
      <w:r>
        <w:rPr>
          <w:rFonts w:hint="eastAsia" w:ascii="宋体" w:hAnsi="宋体" w:cs="宋体"/>
          <w:bCs/>
          <w:sz w:val="28"/>
          <w:szCs w:val="28"/>
        </w:rPr>
        <w:t xml:space="preserve">  法定代表人：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bCs/>
          <w:sz w:val="32"/>
          <w:szCs w:val="32"/>
        </w:rPr>
      </w:pPr>
      <w:r>
        <w:rPr>
          <w:rFonts w:hint="eastAsia" w:ascii="宋体" w:hAnsi="宋体" w:cs="宋体"/>
          <w:bCs/>
          <w:sz w:val="28"/>
          <w:szCs w:val="28"/>
        </w:rPr>
        <w:t xml:space="preserve">                            </w:t>
      </w:r>
      <w:r>
        <w:rPr>
          <w:rFonts w:hint="eastAsia" w:ascii="宋体" w:hAnsi="宋体" w:cs="宋体"/>
          <w:bCs/>
          <w:sz w:val="28"/>
          <w:szCs w:val="28"/>
          <w:lang w:val="en-US" w:eastAsia="zh-CN"/>
        </w:rPr>
        <w:t xml:space="preserve"> </w:t>
      </w:r>
      <w:r>
        <w:rPr>
          <w:rFonts w:hint="eastAsia" w:ascii="宋体" w:hAnsi="宋体" w:cs="宋体"/>
          <w:bCs/>
          <w:sz w:val="28"/>
          <w:szCs w:val="28"/>
        </w:rPr>
        <w:t xml:space="preserve"> </w:t>
      </w:r>
      <w:r>
        <w:rPr>
          <w:rFonts w:hint="eastAsia" w:ascii="宋体" w:hAnsi="宋体" w:cs="宋体"/>
          <w:bCs/>
          <w:sz w:val="28"/>
          <w:szCs w:val="28"/>
          <w:lang w:eastAsia="zh-CN"/>
        </w:rPr>
        <w:t xml:space="preserve"> 2022年10月13日</w:t>
      </w:r>
    </w:p>
    <w:p>
      <w:pPr>
        <w:spacing w:line="240" w:lineRule="atLeast"/>
        <w:jc w:val="center"/>
        <w:rPr>
          <w:rFonts w:hint="eastAsia"/>
          <w:lang w:eastAsia="zh-CN"/>
        </w:rPr>
        <w:sectPr>
          <w:headerReference r:id="rId7" w:type="first"/>
          <w:footerReference r:id="rId9" w:type="first"/>
          <w:footerReference r:id="rId8" w:type="default"/>
          <w:pgSz w:w="11907" w:h="16840"/>
          <w:pgMar w:top="1134" w:right="1134" w:bottom="1134" w:left="1701" w:header="851" w:footer="851" w:gutter="0"/>
          <w:pgNumType w:start="1"/>
          <w:cols w:space="720" w:num="1"/>
          <w:titlePg/>
          <w:docGrid w:type="lines" w:linePitch="312" w:charSpace="0"/>
        </w:sectPr>
      </w:pPr>
    </w:p>
    <w:p>
      <w:pPr>
        <w:spacing w:line="240" w:lineRule="atLeast"/>
        <w:jc w:val="center"/>
        <w:rPr>
          <w:rFonts w:hint="eastAsia" w:ascii="宋体" w:hAnsi="宋体" w:cs="宋体"/>
          <w:b/>
          <w:bCs/>
          <w:sz w:val="32"/>
          <w:szCs w:val="32"/>
        </w:rPr>
      </w:pPr>
      <w:r>
        <w:rPr>
          <w:rFonts w:hint="eastAsia" w:ascii="宋体" w:hAnsi="宋体" w:cs="宋体"/>
          <w:b/>
          <w:bCs/>
          <w:sz w:val="32"/>
          <w:szCs w:val="32"/>
        </w:rPr>
        <w:t>目    录</w:t>
      </w:r>
    </w:p>
    <w:p>
      <w:pPr>
        <w:pStyle w:val="3"/>
        <w:spacing w:line="380" w:lineRule="exact"/>
        <w:ind w:firstLine="0"/>
        <w:rPr>
          <w:rFonts w:hint="eastAsia" w:ascii="宋体" w:hAnsi="宋体" w:cs="宋体"/>
          <w:sz w:val="24"/>
          <w:szCs w:val="24"/>
        </w:rPr>
      </w:pPr>
      <w:r>
        <w:rPr>
          <w:rFonts w:hint="eastAsia" w:ascii="宋体" w:hAnsi="宋体" w:cs="宋体"/>
          <w:sz w:val="24"/>
          <w:szCs w:val="24"/>
        </w:rPr>
        <w:t>估价师声明</w:t>
      </w:r>
      <w:r>
        <w:rPr>
          <w:rFonts w:hint="eastAsia" w:ascii="宋体" w:hAnsi="宋体" w:cs="宋体"/>
          <w:position w:val="12"/>
          <w:sz w:val="24"/>
          <w:szCs w:val="24"/>
          <w:u w:val="dotted"/>
        </w:rPr>
        <w:t xml:space="preserve">                                                         </w:t>
      </w:r>
      <w:r>
        <w:rPr>
          <w:rFonts w:ascii="宋体" w:hAnsi="宋体" w:cs="宋体"/>
          <w:position w:val="12"/>
          <w:sz w:val="24"/>
          <w:szCs w:val="24"/>
          <w:u w:val="dotted"/>
        </w:rPr>
        <w:t xml:space="preserve">      </w:t>
      </w:r>
      <w:r>
        <w:rPr>
          <w:rFonts w:hint="eastAsia" w:ascii="宋体" w:hAnsi="宋体" w:cs="宋体"/>
          <w:sz w:val="24"/>
          <w:szCs w:val="24"/>
        </w:rPr>
        <w:t>1</w:t>
      </w:r>
    </w:p>
    <w:p>
      <w:pPr>
        <w:pStyle w:val="3"/>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估价假设和限制条件</w:t>
      </w:r>
      <w:r>
        <w:rPr>
          <w:rFonts w:hint="eastAsia" w:ascii="宋体" w:hAnsi="宋体" w:cs="宋体"/>
          <w:position w:val="12"/>
          <w:sz w:val="24"/>
          <w:szCs w:val="24"/>
          <w:u w:val="dotted"/>
        </w:rPr>
        <w:t xml:space="preserve">                                                       </w:t>
      </w:r>
      <w:r>
        <w:rPr>
          <w:rFonts w:hint="eastAsia" w:ascii="宋体" w:hAnsi="宋体" w:cs="宋体"/>
          <w:sz w:val="24"/>
          <w:szCs w:val="24"/>
        </w:rPr>
        <w:t>2</w:t>
      </w:r>
    </w:p>
    <w:p>
      <w:pPr>
        <w:pStyle w:val="3"/>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估价结果报告</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4</w:t>
      </w:r>
    </w:p>
    <w:p>
      <w:pPr>
        <w:pStyle w:val="3"/>
        <w:numPr>
          <w:ilvl w:val="0"/>
          <w:numId w:val="2"/>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估价委托人</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4</w:t>
      </w:r>
    </w:p>
    <w:p>
      <w:pPr>
        <w:pStyle w:val="3"/>
        <w:numPr>
          <w:ilvl w:val="0"/>
          <w:numId w:val="2"/>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房地产估价机构</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4</w:t>
      </w:r>
    </w:p>
    <w:p>
      <w:pPr>
        <w:pStyle w:val="3"/>
        <w:numPr>
          <w:ilvl w:val="0"/>
          <w:numId w:val="2"/>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估价目的</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4</w:t>
      </w:r>
    </w:p>
    <w:p>
      <w:pPr>
        <w:pStyle w:val="3"/>
        <w:numPr>
          <w:ilvl w:val="0"/>
          <w:numId w:val="2"/>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估价对象</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4</w:t>
      </w:r>
    </w:p>
    <w:p>
      <w:pPr>
        <w:pStyle w:val="3"/>
        <w:numPr>
          <w:ilvl w:val="0"/>
          <w:numId w:val="2"/>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价值时点</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6</w:t>
      </w:r>
    </w:p>
    <w:p>
      <w:pPr>
        <w:pStyle w:val="3"/>
        <w:numPr>
          <w:ilvl w:val="0"/>
          <w:numId w:val="2"/>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价值类型</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6</w:t>
      </w:r>
    </w:p>
    <w:p>
      <w:pPr>
        <w:pStyle w:val="3"/>
        <w:numPr>
          <w:ilvl w:val="0"/>
          <w:numId w:val="2"/>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估价原则</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6</w:t>
      </w:r>
    </w:p>
    <w:p>
      <w:pPr>
        <w:pStyle w:val="3"/>
        <w:numPr>
          <w:ilvl w:val="0"/>
          <w:numId w:val="2"/>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估价依据</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7</w:t>
      </w:r>
    </w:p>
    <w:p>
      <w:pPr>
        <w:pStyle w:val="3"/>
        <w:numPr>
          <w:ilvl w:val="0"/>
          <w:numId w:val="2"/>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估价方法</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7</w:t>
      </w:r>
    </w:p>
    <w:p>
      <w:pPr>
        <w:pStyle w:val="3"/>
        <w:numPr>
          <w:ilvl w:val="0"/>
          <w:numId w:val="2"/>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估价结果</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8</w:t>
      </w:r>
    </w:p>
    <w:p>
      <w:pPr>
        <w:pStyle w:val="3"/>
        <w:numPr>
          <w:ilvl w:val="0"/>
          <w:numId w:val="2"/>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注册房地产估价师</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8</w:t>
      </w:r>
    </w:p>
    <w:p>
      <w:pPr>
        <w:pStyle w:val="3"/>
        <w:numPr>
          <w:ilvl w:val="0"/>
          <w:numId w:val="2"/>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实地查勘期</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8</w:t>
      </w:r>
    </w:p>
    <w:p>
      <w:pPr>
        <w:pStyle w:val="3"/>
        <w:numPr>
          <w:ilvl w:val="0"/>
          <w:numId w:val="2"/>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估价作业期</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8</w:t>
      </w:r>
    </w:p>
    <w:p>
      <w:pPr>
        <w:pStyle w:val="3"/>
        <w:numPr>
          <w:ilvl w:val="0"/>
          <w:numId w:val="2"/>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lang w:val="en-US" w:eastAsia="zh-CN"/>
        </w:rPr>
        <w:t>提示</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8</w:t>
      </w:r>
    </w:p>
    <w:p>
      <w:pPr>
        <w:pStyle w:val="3"/>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估价技术报告</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9</w:t>
      </w:r>
    </w:p>
    <w:p>
      <w:pPr>
        <w:pStyle w:val="3"/>
        <w:numPr>
          <w:ilvl w:val="0"/>
          <w:numId w:val="3"/>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估价对象描述与分析</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9</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jc w:val="left"/>
        <w:textAlignment w:val="auto"/>
        <w:outlineLvl w:val="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（一）区位状况描述与分析</w:t>
      </w:r>
      <w:r>
        <w:rPr>
          <w:rFonts w:hint="eastAsia" w:ascii="宋体" w:hAnsi="宋体" w:eastAsia="宋体" w:cs="宋体"/>
          <w:position w:val="12"/>
          <w:sz w:val="24"/>
          <w:szCs w:val="24"/>
          <w:u w:val="dotted"/>
        </w:rPr>
        <w:t xml:space="preserve">                                                 </w:t>
      </w:r>
      <w:r>
        <w:rPr>
          <w:rFonts w:hint="eastAsia" w:ascii="宋体" w:hAnsi="宋体" w:eastAsia="宋体" w:cs="宋体"/>
          <w:sz w:val="24"/>
          <w:szCs w:val="24"/>
          <w:lang w:val="en-US" w:eastAsia="zh-CN"/>
        </w:rPr>
        <w:t>9</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jc w:val="left"/>
        <w:textAlignment w:val="auto"/>
        <w:outlineLvl w:val="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（二）实物状况描述与分析</w:t>
      </w:r>
      <w:r>
        <w:rPr>
          <w:rFonts w:hint="eastAsia" w:ascii="宋体" w:hAnsi="宋体" w:eastAsia="宋体" w:cs="宋体"/>
          <w:position w:val="12"/>
          <w:sz w:val="24"/>
          <w:szCs w:val="24"/>
          <w:u w:val="dotted"/>
        </w:rPr>
        <w:t xml:space="preserve">                                                 </w:t>
      </w:r>
      <w:r>
        <w:rPr>
          <w:rFonts w:hint="eastAsia" w:ascii="宋体" w:hAnsi="宋体" w:eastAsia="宋体" w:cs="宋体"/>
          <w:sz w:val="24"/>
          <w:szCs w:val="24"/>
          <w:lang w:val="en-US" w:eastAsia="zh-CN"/>
        </w:rPr>
        <w:t>10</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jc w:val="left"/>
        <w:textAlignment w:val="auto"/>
        <w:outlineLvl w:val="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（三）权益状况描述与分析</w:t>
      </w:r>
      <w:r>
        <w:rPr>
          <w:rFonts w:hint="eastAsia" w:ascii="宋体" w:hAnsi="宋体" w:eastAsia="宋体" w:cs="宋体"/>
          <w:position w:val="12"/>
          <w:sz w:val="24"/>
          <w:szCs w:val="24"/>
          <w:u w:val="dotted"/>
        </w:rPr>
        <w:t xml:space="preserve">                                                 </w:t>
      </w:r>
      <w:r>
        <w:rPr>
          <w:rFonts w:hint="eastAsia" w:ascii="宋体" w:hAnsi="宋体" w:eastAsia="宋体" w:cs="宋体"/>
          <w:sz w:val="24"/>
          <w:szCs w:val="24"/>
          <w:lang w:val="en-US" w:eastAsia="zh-CN"/>
        </w:rPr>
        <w:t>11</w:t>
      </w:r>
    </w:p>
    <w:p>
      <w:pPr>
        <w:pStyle w:val="3"/>
        <w:numPr>
          <w:ilvl w:val="0"/>
          <w:numId w:val="3"/>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市场背景描述与分析</w:t>
      </w:r>
      <w:r>
        <w:rPr>
          <w:rFonts w:hint="eastAsia" w:ascii="宋体" w:hAnsi="宋体" w:cs="宋体"/>
          <w:position w:val="12"/>
          <w:sz w:val="24"/>
          <w:szCs w:val="24"/>
          <w:u w:val="dotted"/>
        </w:rPr>
        <w:t xml:space="preserve">                                                   </w:t>
      </w:r>
      <w:r>
        <w:rPr>
          <w:rFonts w:hint="eastAsia" w:ascii="宋体" w:hAnsi="宋体" w:cs="宋体"/>
          <w:sz w:val="24"/>
          <w:szCs w:val="24"/>
        </w:rPr>
        <w:t>1</w:t>
      </w:r>
      <w:r>
        <w:rPr>
          <w:rFonts w:hint="eastAsia" w:ascii="宋体" w:hAnsi="宋体" w:cs="宋体"/>
          <w:sz w:val="24"/>
          <w:szCs w:val="24"/>
          <w:lang w:val="en-US" w:eastAsia="zh-CN"/>
        </w:rPr>
        <w:t>1</w:t>
      </w:r>
    </w:p>
    <w:p>
      <w:pPr>
        <w:pStyle w:val="3"/>
        <w:numPr>
          <w:ilvl w:val="0"/>
          <w:numId w:val="3"/>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最高最佳利用分析</w:t>
      </w:r>
      <w:r>
        <w:rPr>
          <w:rFonts w:hint="eastAsia" w:ascii="宋体" w:hAnsi="宋体" w:cs="宋体"/>
          <w:position w:val="12"/>
          <w:sz w:val="24"/>
          <w:szCs w:val="24"/>
          <w:u w:val="dotted"/>
        </w:rPr>
        <w:t xml:space="preserve">                                                     </w:t>
      </w:r>
      <w:r>
        <w:rPr>
          <w:rFonts w:hint="eastAsia" w:ascii="宋体" w:hAnsi="宋体" w:cs="宋体"/>
          <w:sz w:val="24"/>
          <w:szCs w:val="24"/>
        </w:rPr>
        <w:t>1</w:t>
      </w:r>
      <w:r>
        <w:rPr>
          <w:rFonts w:hint="eastAsia" w:ascii="宋体" w:hAnsi="宋体" w:cs="宋体"/>
          <w:sz w:val="24"/>
          <w:szCs w:val="24"/>
          <w:lang w:val="en-US" w:eastAsia="zh-CN"/>
        </w:rPr>
        <w:t>4</w:t>
      </w:r>
    </w:p>
    <w:p>
      <w:pPr>
        <w:pStyle w:val="3"/>
        <w:numPr>
          <w:ilvl w:val="0"/>
          <w:numId w:val="3"/>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估价方法适用性分析</w:t>
      </w:r>
      <w:r>
        <w:rPr>
          <w:rFonts w:hint="eastAsia" w:ascii="宋体" w:hAnsi="宋体" w:cs="宋体"/>
          <w:position w:val="12"/>
          <w:sz w:val="24"/>
          <w:szCs w:val="24"/>
          <w:u w:val="dotted"/>
        </w:rPr>
        <w:t xml:space="preserve">                                                   </w:t>
      </w:r>
      <w:r>
        <w:rPr>
          <w:rFonts w:hint="eastAsia" w:ascii="宋体" w:hAnsi="宋体" w:cs="宋体"/>
          <w:sz w:val="24"/>
          <w:szCs w:val="24"/>
        </w:rPr>
        <w:t>1</w:t>
      </w:r>
      <w:r>
        <w:rPr>
          <w:rFonts w:hint="eastAsia" w:ascii="宋体" w:hAnsi="宋体" w:cs="宋体"/>
          <w:sz w:val="24"/>
          <w:szCs w:val="24"/>
          <w:lang w:val="en-US" w:eastAsia="zh-CN"/>
        </w:rPr>
        <w:t>4</w:t>
      </w:r>
    </w:p>
    <w:p>
      <w:pPr>
        <w:pStyle w:val="3"/>
        <w:numPr>
          <w:ilvl w:val="0"/>
          <w:numId w:val="3"/>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估价测算过程</w:t>
      </w:r>
      <w:r>
        <w:rPr>
          <w:rFonts w:hint="eastAsia" w:ascii="宋体" w:hAnsi="宋体" w:cs="宋体"/>
          <w:position w:val="12"/>
          <w:sz w:val="24"/>
          <w:szCs w:val="24"/>
          <w:u w:val="dotted"/>
        </w:rPr>
        <w:t xml:space="preserve">                                                         </w:t>
      </w:r>
      <w:r>
        <w:rPr>
          <w:rFonts w:hint="eastAsia" w:ascii="宋体" w:hAnsi="宋体" w:cs="宋体"/>
          <w:sz w:val="24"/>
          <w:szCs w:val="24"/>
        </w:rPr>
        <w:t>1</w:t>
      </w:r>
      <w:r>
        <w:rPr>
          <w:rFonts w:hint="eastAsia" w:ascii="宋体" w:hAnsi="宋体" w:cs="宋体"/>
          <w:sz w:val="24"/>
          <w:szCs w:val="24"/>
          <w:lang w:val="en-US" w:eastAsia="zh-CN"/>
        </w:rPr>
        <w:t>5</w:t>
      </w:r>
    </w:p>
    <w:p>
      <w:pPr>
        <w:pStyle w:val="3"/>
        <w:numPr>
          <w:ilvl w:val="0"/>
          <w:numId w:val="3"/>
        </w:numPr>
        <w:spacing w:line="380" w:lineRule="exact"/>
        <w:ind w:left="2285" w:hanging="2285"/>
        <w:jc w:val="left"/>
        <w:outlineLvl w:val="0"/>
        <w:rPr>
          <w:rFonts w:hint="eastAsia" w:ascii="宋体" w:hAnsi="宋体" w:cs="宋体"/>
          <w:sz w:val="24"/>
          <w:szCs w:val="24"/>
        </w:rPr>
      </w:pPr>
      <w:r>
        <w:rPr>
          <w:rFonts w:hint="eastAsia" w:ascii="宋体" w:hAnsi="宋体" w:cs="宋体"/>
          <w:sz w:val="24"/>
          <w:szCs w:val="24"/>
        </w:rPr>
        <w:t>估价结果确定</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25</w:t>
      </w:r>
    </w:p>
    <w:p>
      <w:pPr>
        <w:pStyle w:val="3"/>
        <w:spacing w:line="380" w:lineRule="exact"/>
        <w:ind w:left="2285" w:hanging="2285"/>
        <w:jc w:val="left"/>
        <w:outlineLvl w:val="0"/>
        <w:rPr>
          <w:rFonts w:hint="default" w:ascii="宋体" w:hAnsi="宋体" w:cs="宋体"/>
          <w:sz w:val="24"/>
          <w:szCs w:val="24"/>
          <w:lang w:val="en-US"/>
        </w:rPr>
      </w:pPr>
      <w:r>
        <w:rPr>
          <w:rFonts w:hint="eastAsia" w:ascii="宋体" w:hAnsi="宋体" w:cs="宋体"/>
          <w:sz w:val="24"/>
          <w:szCs w:val="24"/>
        </w:rPr>
        <w:t>附   件</w:t>
      </w:r>
      <w:r>
        <w:rPr>
          <w:rFonts w:hint="eastAsia" w:ascii="宋体" w:hAnsi="宋体" w:cs="宋体"/>
          <w:position w:val="12"/>
          <w:sz w:val="24"/>
          <w:szCs w:val="24"/>
          <w:u w:val="dotted"/>
        </w:rPr>
        <w:t xml:space="preserve">                                                                  </w:t>
      </w:r>
      <w:r>
        <w:rPr>
          <w:rFonts w:hint="eastAsia" w:ascii="宋体" w:hAnsi="宋体" w:cs="宋体"/>
          <w:sz w:val="24"/>
          <w:szCs w:val="24"/>
          <w:lang w:val="en-US" w:eastAsia="zh-CN"/>
        </w:rPr>
        <w:t>26</w:t>
      </w:r>
    </w:p>
    <w:p>
      <w:pPr>
        <w:keepNext w:val="0"/>
        <w:keepLines w:val="0"/>
        <w:pageBreakBefore w:val="0"/>
        <w:widowControl w:val="0"/>
        <w:numPr>
          <w:ilvl w:val="0"/>
          <w:numId w:val="4"/>
        </w:numPr>
        <w:kinsoku/>
        <w:wordWrap/>
        <w:overflowPunct/>
        <w:topLinePunct w:val="0"/>
        <w:autoSpaceDE/>
        <w:autoSpaceDN/>
        <w:bidi w:val="0"/>
        <w:adjustRightInd/>
        <w:snapToGrid/>
        <w:spacing w:line="380" w:lineRule="exact"/>
        <w:ind w:left="0" w:leftChars="0" w:right="0" w:rightChars="0" w:firstLine="480" w:firstLineChars="200"/>
        <w:jc w:val="left"/>
        <w:textAlignment w:val="auto"/>
        <w:outlineLvl w:val="9"/>
        <w:rPr>
          <w:rFonts w:hint="eastAsia" w:ascii="宋体" w:hAnsi="宋体" w:cs="宋体"/>
          <w:sz w:val="24"/>
          <w:szCs w:val="24"/>
          <w:lang w:eastAsia="zh-CN"/>
        </w:rPr>
      </w:pPr>
      <w:r>
        <w:rPr>
          <w:rFonts w:hint="eastAsia" w:ascii="宋体" w:hAnsi="宋体" w:cs="宋体"/>
          <w:sz w:val="24"/>
          <w:szCs w:val="24"/>
          <w:lang w:eastAsia="zh-CN"/>
        </w:rPr>
        <w:t>估价对象位置图</w:t>
      </w:r>
      <w:r>
        <w:rPr>
          <w:rFonts w:hint="eastAsia" w:ascii="宋体" w:hAnsi="宋体" w:cs="宋体"/>
          <w:sz w:val="24"/>
          <w:szCs w:val="24"/>
          <w:lang w:val="en-US" w:eastAsia="zh-CN"/>
        </w:rPr>
        <w:t>及门牌号</w:t>
      </w:r>
      <w:r>
        <w:rPr>
          <w:rFonts w:hint="eastAsia" w:ascii="宋体" w:hAnsi="宋体" w:cs="宋体"/>
          <w:sz w:val="24"/>
          <w:szCs w:val="24"/>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380" w:lineRule="exact"/>
        <w:ind w:left="0" w:leftChars="0" w:right="0" w:rightChars="0" w:firstLine="480" w:firstLineChars="200"/>
        <w:jc w:val="left"/>
        <w:textAlignment w:val="auto"/>
        <w:outlineLvl w:val="9"/>
        <w:rPr>
          <w:rFonts w:hint="eastAsia" w:ascii="宋体" w:hAnsi="宋体" w:cs="宋体"/>
          <w:color w:val="auto"/>
          <w:sz w:val="24"/>
          <w:szCs w:val="24"/>
          <w:lang w:eastAsia="zh-CN"/>
        </w:rPr>
      </w:pPr>
      <w:r>
        <w:rPr>
          <w:rFonts w:hint="eastAsia" w:ascii="宋体" w:hAnsi="宋体" w:cs="宋体"/>
          <w:color w:val="auto"/>
          <w:sz w:val="24"/>
          <w:szCs w:val="24"/>
          <w:lang w:eastAsia="zh-CN"/>
        </w:rPr>
        <w:t>《福建省龙岩市新罗区人民法院委托评估书》（2022）龙新法委估字第46号复印件；</w:t>
      </w:r>
    </w:p>
    <w:p>
      <w:pPr>
        <w:keepNext w:val="0"/>
        <w:keepLines w:val="0"/>
        <w:pageBreakBefore w:val="0"/>
        <w:widowControl w:val="0"/>
        <w:numPr>
          <w:ilvl w:val="0"/>
          <w:numId w:val="4"/>
        </w:numPr>
        <w:kinsoku/>
        <w:wordWrap/>
        <w:overflowPunct/>
        <w:topLinePunct w:val="0"/>
        <w:autoSpaceDE/>
        <w:autoSpaceDN/>
        <w:bidi w:val="0"/>
        <w:adjustRightInd/>
        <w:snapToGrid/>
        <w:spacing w:line="380" w:lineRule="exact"/>
        <w:ind w:left="0" w:leftChars="0" w:right="0" w:rightChars="0"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评估案件移送表复印件；</w:t>
      </w:r>
    </w:p>
    <w:p>
      <w:pPr>
        <w:keepNext w:val="0"/>
        <w:keepLines w:val="0"/>
        <w:pageBreakBefore w:val="0"/>
        <w:widowControl w:val="0"/>
        <w:numPr>
          <w:ilvl w:val="0"/>
          <w:numId w:val="4"/>
        </w:numPr>
        <w:kinsoku/>
        <w:wordWrap/>
        <w:overflowPunct/>
        <w:topLinePunct w:val="0"/>
        <w:autoSpaceDE/>
        <w:autoSpaceDN/>
        <w:bidi w:val="0"/>
        <w:adjustRightInd/>
        <w:snapToGrid/>
        <w:spacing w:line="380" w:lineRule="exact"/>
        <w:ind w:left="0" w:leftChars="0" w:right="0" w:rightChars="0"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龙岩市不动产权证登记凭证复印件；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5、龙岩市新罗区城市房屋征收补偿安置协议复印件；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80" w:firstLineChars="200"/>
        <w:jc w:val="left"/>
        <w:textAlignment w:val="auto"/>
        <w:outlineLvl w:val="9"/>
        <w:rPr>
          <w:rFonts w:hint="eastAsia" w:ascii="宋体" w:hAnsi="宋体" w:cs="宋体"/>
          <w:sz w:val="24"/>
          <w:szCs w:val="24"/>
        </w:rPr>
      </w:pPr>
      <w:r>
        <w:rPr>
          <w:rFonts w:hint="eastAsia" w:ascii="宋体" w:hAnsi="宋体" w:cs="宋体"/>
          <w:sz w:val="24"/>
          <w:szCs w:val="24"/>
          <w:lang w:val="en-US" w:eastAsia="zh-CN"/>
        </w:rPr>
        <w:t>6、</w:t>
      </w:r>
      <w:r>
        <w:rPr>
          <w:rFonts w:hint="eastAsia" w:ascii="宋体" w:hAnsi="宋体" w:cs="宋体"/>
          <w:sz w:val="24"/>
          <w:szCs w:val="24"/>
        </w:rPr>
        <w:t>房地产估价机构营业执照、资质证书复印件；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80" w:firstLineChars="200"/>
        <w:jc w:val="left"/>
        <w:textAlignment w:val="auto"/>
        <w:outlineLvl w:val="9"/>
        <w:rPr>
          <w:rFonts w:hint="eastAsia" w:ascii="宋体" w:hAnsi="宋体" w:cs="宋体"/>
          <w:sz w:val="24"/>
          <w:szCs w:val="24"/>
          <w:lang w:eastAsia="zh-CN"/>
        </w:rPr>
      </w:pPr>
      <w:r>
        <w:rPr>
          <w:rFonts w:hint="eastAsia" w:ascii="宋体" w:hAnsi="宋体" w:cs="宋体"/>
          <w:sz w:val="24"/>
          <w:szCs w:val="24"/>
          <w:lang w:val="en-US" w:eastAsia="zh-CN"/>
        </w:rPr>
        <w:t>7</w:t>
      </w:r>
      <w:r>
        <w:rPr>
          <w:rFonts w:hint="eastAsia" w:ascii="宋体" w:hAnsi="宋体" w:cs="宋体"/>
          <w:sz w:val="24"/>
          <w:szCs w:val="24"/>
        </w:rPr>
        <w:t>、参加此次估价的估价师资格证书复印件</w:t>
      </w:r>
      <w:r>
        <w:rPr>
          <w:rFonts w:hint="eastAsia" w:ascii="宋体" w:hAnsi="宋体" w:cs="宋体"/>
          <w:sz w:val="24"/>
          <w:szCs w:val="24"/>
          <w:lang w:val="en-US" w:eastAsia="zh-CN"/>
        </w:rPr>
        <w:t>。</w:t>
      </w:r>
    </w:p>
    <w:p>
      <w:pPr>
        <w:spacing w:line="360" w:lineRule="auto"/>
        <w:jc w:val="both"/>
        <w:outlineLvl w:val="0"/>
        <w:rPr>
          <w:rFonts w:hint="eastAsia" w:ascii="宋体" w:hAnsi="宋体" w:cs="宋体"/>
          <w:b/>
          <w:bCs/>
          <w:sz w:val="36"/>
          <w:szCs w:val="36"/>
        </w:rPr>
        <w:sectPr>
          <w:headerReference r:id="rId10" w:type="first"/>
          <w:footerReference r:id="rId12" w:type="first"/>
          <w:footerReference r:id="rId11" w:type="default"/>
          <w:pgSz w:w="11907" w:h="16840"/>
          <w:pgMar w:top="1134" w:right="1134" w:bottom="1134" w:left="1701" w:header="851" w:footer="851" w:gutter="0"/>
          <w:pgNumType w:start="1"/>
          <w:cols w:space="720" w:num="1"/>
          <w:titlePg/>
          <w:docGrid w:type="lines" w:linePitch="312" w:charSpace="0"/>
        </w:sectPr>
      </w:pPr>
    </w:p>
    <w:p>
      <w:pPr>
        <w:spacing w:line="600" w:lineRule="auto"/>
        <w:jc w:val="center"/>
        <w:outlineLvl w:val="0"/>
        <w:rPr>
          <w:rFonts w:hint="eastAsia" w:ascii="宋体" w:hAnsi="宋体" w:cs="宋体"/>
          <w:b/>
          <w:bCs/>
          <w:sz w:val="36"/>
          <w:szCs w:val="36"/>
        </w:rPr>
      </w:pPr>
      <w:r>
        <w:rPr>
          <w:rFonts w:hint="eastAsia" w:ascii="宋体" w:hAnsi="宋体" w:cs="宋体"/>
          <w:b/>
          <w:bCs/>
          <w:sz w:val="36"/>
          <w:szCs w:val="36"/>
        </w:rPr>
        <w:t>注册房地产估价师声明</w:t>
      </w:r>
    </w:p>
    <w:p>
      <w:pPr>
        <w:spacing w:line="640" w:lineRule="exact"/>
        <w:ind w:firstLine="480" w:firstLineChars="200"/>
        <w:rPr>
          <w:rFonts w:hint="eastAsia" w:ascii="宋体" w:hAnsi="宋体" w:cs="宋体"/>
          <w:sz w:val="24"/>
          <w:szCs w:val="24"/>
        </w:rPr>
      </w:pPr>
      <w:r>
        <w:rPr>
          <w:rFonts w:hint="eastAsia" w:ascii="宋体" w:hAnsi="宋体" w:cs="宋体"/>
          <w:sz w:val="24"/>
          <w:szCs w:val="24"/>
        </w:rPr>
        <w:t>我们根据自己的专业知识和职业道德，在此郑重声明：</w:t>
      </w:r>
    </w:p>
    <w:p>
      <w:pPr>
        <w:spacing w:line="640" w:lineRule="exact"/>
        <w:ind w:firstLine="480" w:firstLineChars="200"/>
        <w:rPr>
          <w:rFonts w:hint="eastAsia" w:ascii="宋体" w:hAnsi="宋体" w:cs="宋体"/>
          <w:sz w:val="24"/>
          <w:szCs w:val="24"/>
        </w:rPr>
      </w:pPr>
      <w:r>
        <w:rPr>
          <w:rFonts w:hint="eastAsia" w:ascii="宋体" w:hAnsi="宋体" w:cs="宋体"/>
          <w:sz w:val="24"/>
          <w:szCs w:val="24"/>
        </w:rPr>
        <w:t>1、注册房地产估价师在估价报告中对事实的说明是真实和准确的，没有虚假记载、误导性陈述和重大遗漏。</w:t>
      </w:r>
    </w:p>
    <w:p>
      <w:pPr>
        <w:spacing w:line="640" w:lineRule="exact"/>
        <w:ind w:firstLine="480" w:firstLineChars="200"/>
        <w:rPr>
          <w:rFonts w:hint="eastAsia" w:ascii="宋体" w:hAnsi="宋体" w:cs="宋体"/>
          <w:sz w:val="24"/>
          <w:szCs w:val="24"/>
        </w:rPr>
      </w:pPr>
      <w:r>
        <w:rPr>
          <w:rFonts w:hint="eastAsia" w:ascii="宋体" w:hAnsi="宋体" w:cs="宋体"/>
          <w:sz w:val="24"/>
          <w:szCs w:val="24"/>
        </w:rPr>
        <w:t>2、估价报告中的分析、意见和结论是注册房地产估价师独立、客观、公正的专业分析、意见和结论，但受到估价报告中已说明的估价假设和限制条件的限制。</w:t>
      </w:r>
    </w:p>
    <w:p>
      <w:pPr>
        <w:spacing w:line="640" w:lineRule="exact"/>
        <w:ind w:firstLine="480" w:firstLineChars="200"/>
        <w:rPr>
          <w:rFonts w:hint="eastAsia" w:ascii="宋体" w:hAnsi="宋体" w:cs="宋体"/>
          <w:sz w:val="24"/>
          <w:szCs w:val="24"/>
        </w:rPr>
      </w:pPr>
      <w:r>
        <w:rPr>
          <w:rFonts w:hint="eastAsia" w:ascii="宋体" w:hAnsi="宋体" w:cs="宋体"/>
          <w:sz w:val="24"/>
          <w:szCs w:val="24"/>
        </w:rPr>
        <w:t>3、注册房地产估价师与估价报告中的估价对象没有现实或潜在的利益，与估价委托人及估价利害关系人没有利害关系，也对估价对象、估价委托人及估价利害关系人没有偏见。</w:t>
      </w:r>
    </w:p>
    <w:p>
      <w:pPr>
        <w:spacing w:line="640" w:lineRule="exact"/>
        <w:ind w:firstLine="480" w:firstLineChars="200"/>
        <w:rPr>
          <w:rFonts w:hint="eastAsia" w:ascii="宋体" w:hAnsi="宋体" w:cs="宋体"/>
          <w:sz w:val="24"/>
          <w:szCs w:val="24"/>
        </w:rPr>
      </w:pPr>
      <w:r>
        <w:rPr>
          <w:rFonts w:hint="eastAsia" w:ascii="宋体" w:hAnsi="宋体" w:cs="宋体"/>
          <w:sz w:val="24"/>
          <w:szCs w:val="24"/>
        </w:rPr>
        <w:t>4、注册房地产估价师依照《房地产估价规范》GB/T 50291-2015、《房地产估价基本术语标准》GB/T 50899-2013进行分析、形成意见和结论，撰写本估价报告。</w:t>
      </w:r>
    </w:p>
    <w:p>
      <w:pPr>
        <w:spacing w:line="600" w:lineRule="exact"/>
        <w:ind w:firstLine="480" w:firstLineChars="200"/>
        <w:outlineLvl w:val="0"/>
        <w:rPr>
          <w:rFonts w:hint="default" w:ascii="宋体" w:hAnsi="宋体" w:cs="宋体"/>
          <w:sz w:val="24"/>
          <w:szCs w:val="24"/>
          <w:lang w:val="en-US" w:eastAsia="zh-CN"/>
        </w:rPr>
      </w:pPr>
      <w:r>
        <w:rPr>
          <w:rFonts w:hint="eastAsia" w:ascii="宋体" w:hAnsi="宋体" w:cs="宋体"/>
          <w:sz w:val="24"/>
          <w:szCs w:val="24"/>
          <w:lang w:val="en-US" w:eastAsia="zh-CN"/>
        </w:rPr>
        <w:t>5、没有人对本估价报告提供重要专业帮助。</w:t>
      </w:r>
    </w:p>
    <w:p>
      <w:pPr>
        <w:spacing w:line="600" w:lineRule="exact"/>
        <w:ind w:firstLine="480" w:firstLineChars="200"/>
        <w:outlineLvl w:val="0"/>
        <w:rPr>
          <w:rFonts w:hint="eastAsia" w:ascii="宋体" w:hAnsi="宋体" w:cs="宋体"/>
          <w:sz w:val="28"/>
          <w:szCs w:val="28"/>
        </w:rPr>
      </w:pPr>
      <w:r>
        <w:rPr>
          <w:rFonts w:hint="eastAsia" w:ascii="宋体" w:hAnsi="宋体" w:cs="宋体"/>
          <w:sz w:val="24"/>
          <w:szCs w:val="24"/>
          <w:lang w:val="en-US" w:eastAsia="zh-CN"/>
        </w:rPr>
        <w:t>6、</w:t>
      </w:r>
      <w:r>
        <w:rPr>
          <w:rFonts w:hint="eastAsia" w:ascii="宋体" w:hAnsi="宋体" w:cs="宋体"/>
          <w:sz w:val="24"/>
          <w:szCs w:val="24"/>
        </w:rPr>
        <w:t>注册房地产估价师</w:t>
      </w:r>
      <w:r>
        <w:rPr>
          <w:rFonts w:hint="eastAsia" w:ascii="宋体" w:hAnsi="宋体" w:cs="宋体"/>
          <w:sz w:val="24"/>
          <w:szCs w:val="24"/>
          <w:lang w:eastAsia="zh-CN"/>
        </w:rPr>
        <w:t>倪灵燕（</w:t>
      </w:r>
      <w:r>
        <w:rPr>
          <w:rFonts w:hint="eastAsia" w:ascii="宋体" w:hAnsi="宋体" w:cs="宋体"/>
          <w:sz w:val="24"/>
          <w:szCs w:val="24"/>
          <w:lang w:val="en-US" w:eastAsia="zh-CN"/>
        </w:rPr>
        <w:t>3520150012</w:t>
      </w:r>
      <w:r>
        <w:rPr>
          <w:rFonts w:hint="eastAsia" w:ascii="宋体" w:hAnsi="宋体" w:cs="宋体"/>
          <w:sz w:val="24"/>
          <w:szCs w:val="24"/>
          <w:lang w:eastAsia="zh-CN"/>
        </w:rPr>
        <w:t>）及估价员</w:t>
      </w:r>
      <w:r>
        <w:rPr>
          <w:rFonts w:hint="eastAsia" w:ascii="宋体" w:hAnsi="宋体" w:cs="宋体"/>
          <w:sz w:val="24"/>
          <w:szCs w:val="24"/>
          <w:lang w:val="en-US" w:eastAsia="zh-CN"/>
        </w:rPr>
        <w:t>胡桐</w:t>
      </w:r>
      <w:r>
        <w:rPr>
          <w:rFonts w:hint="eastAsia" w:ascii="宋体" w:hAnsi="宋体" w:cs="宋体"/>
          <w:sz w:val="24"/>
          <w:szCs w:val="24"/>
        </w:rPr>
        <w:t>于</w:t>
      </w:r>
      <w:r>
        <w:rPr>
          <w:rFonts w:hint="eastAsia" w:ascii="宋体" w:hAnsi="宋体" w:cs="宋体"/>
          <w:sz w:val="24"/>
          <w:szCs w:val="24"/>
          <w:lang w:eastAsia="zh-CN"/>
        </w:rPr>
        <w:t>2022年6月24日</w:t>
      </w:r>
      <w:r>
        <w:rPr>
          <w:rFonts w:hint="eastAsia" w:ascii="宋体" w:hAnsi="宋体" w:cs="宋体"/>
          <w:sz w:val="24"/>
          <w:szCs w:val="24"/>
        </w:rPr>
        <w:t>对本估价报告中的估价对象进行了实地查勘，但我们对估价对象的现场查勘仅限于其外观和使用状况，对被遮盖、未暴露及难以接触到的部分，依据估价委托人提供的资料进行评估。我们不承担对估价对象建筑结构质量进行调查的责任。</w:t>
      </w:r>
    </w:p>
    <w:p>
      <w:pPr>
        <w:pStyle w:val="5"/>
        <w:spacing w:line="640" w:lineRule="exact"/>
        <w:jc w:val="right"/>
        <w:rPr>
          <w:rFonts w:hint="eastAsia" w:ascii="宋体" w:hAnsi="宋体" w:eastAsia="宋体" w:cs="宋体"/>
          <w:bCs/>
          <w:sz w:val="44"/>
          <w:szCs w:val="44"/>
        </w:rPr>
      </w:pPr>
    </w:p>
    <w:p>
      <w:pPr>
        <w:rPr>
          <w:rFonts w:hint="eastAsia" w:ascii="宋体" w:hAnsi="宋体" w:eastAsia="宋体" w:cs="宋体"/>
          <w:bCs/>
          <w:sz w:val="44"/>
          <w:szCs w:val="44"/>
        </w:rPr>
      </w:pPr>
    </w:p>
    <w:p>
      <w:pPr>
        <w:rPr>
          <w:rFonts w:hint="eastAsia" w:ascii="宋体" w:hAnsi="宋体" w:eastAsia="宋体" w:cs="宋体"/>
          <w:bCs/>
          <w:sz w:val="44"/>
          <w:szCs w:val="44"/>
        </w:rPr>
      </w:pPr>
    </w:p>
    <w:p>
      <w:pPr>
        <w:rPr>
          <w:rFonts w:hint="eastAsia" w:ascii="宋体" w:hAnsi="宋体" w:eastAsia="宋体" w:cs="宋体"/>
          <w:bCs/>
          <w:sz w:val="44"/>
          <w:szCs w:val="44"/>
        </w:rPr>
      </w:pPr>
    </w:p>
    <w:p>
      <w:pPr>
        <w:rPr>
          <w:rFonts w:hint="eastAsia" w:ascii="宋体" w:hAnsi="宋体" w:eastAsia="宋体" w:cs="宋体"/>
          <w:bCs/>
          <w:sz w:val="44"/>
          <w:szCs w:val="44"/>
        </w:rPr>
      </w:pPr>
    </w:p>
    <w:p>
      <w:pPr>
        <w:rPr>
          <w:rFonts w:hint="eastAsia" w:ascii="宋体" w:hAnsi="宋体" w:eastAsia="宋体" w:cs="宋体"/>
          <w:bCs/>
          <w:sz w:val="44"/>
          <w:szCs w:val="44"/>
        </w:rPr>
      </w:pPr>
    </w:p>
    <w:p>
      <w:pPr>
        <w:pStyle w:val="5"/>
        <w:spacing w:line="600" w:lineRule="exact"/>
        <w:jc w:val="center"/>
        <w:rPr>
          <w:rFonts w:hint="eastAsia" w:ascii="宋体" w:hAnsi="宋体" w:eastAsia="宋体" w:cs="宋体"/>
          <w:b/>
          <w:bCs/>
          <w:szCs w:val="32"/>
        </w:rPr>
      </w:pPr>
    </w:p>
    <w:p>
      <w:pPr>
        <w:pStyle w:val="5"/>
        <w:spacing w:line="600" w:lineRule="exact"/>
        <w:ind w:firstLine="3072" w:firstLineChars="850"/>
        <w:rPr>
          <w:rFonts w:hint="eastAsia" w:ascii="宋体" w:hAnsi="宋体" w:eastAsia="宋体" w:cs="宋体"/>
          <w:b/>
          <w:bCs/>
          <w:sz w:val="36"/>
          <w:szCs w:val="36"/>
        </w:rPr>
      </w:pPr>
      <w:r>
        <w:rPr>
          <w:rFonts w:hint="eastAsia" w:ascii="宋体" w:hAnsi="宋体" w:eastAsia="宋体" w:cs="宋体"/>
          <w:b/>
          <w:bCs/>
          <w:sz w:val="36"/>
          <w:szCs w:val="36"/>
        </w:rPr>
        <w:t>估价假设和限制条件</w:t>
      </w:r>
    </w:p>
    <w:p>
      <w:pPr>
        <w:spacing w:line="384" w:lineRule="auto"/>
        <w:rPr>
          <w:rFonts w:hint="eastAsia" w:ascii="宋体" w:hAnsi="宋体" w:cs="宋体"/>
          <w:b/>
          <w:sz w:val="24"/>
          <w:szCs w:val="24"/>
        </w:rPr>
      </w:pPr>
      <w:r>
        <w:rPr>
          <w:rFonts w:hint="eastAsia" w:ascii="宋体" w:hAnsi="宋体" w:cs="宋体"/>
          <w:b/>
          <w:sz w:val="28"/>
          <w:szCs w:val="28"/>
        </w:rPr>
        <w:t xml:space="preserve">    一、本次估价的各项估价假设</w:t>
      </w:r>
    </w:p>
    <w:p>
      <w:pPr>
        <w:spacing w:line="384" w:lineRule="auto"/>
        <w:rPr>
          <w:rFonts w:hint="eastAsia" w:ascii="宋体" w:hAnsi="宋体" w:cs="宋体"/>
          <w:b/>
          <w:sz w:val="24"/>
          <w:szCs w:val="24"/>
        </w:rPr>
      </w:pPr>
      <w:r>
        <w:rPr>
          <w:rFonts w:hint="eastAsia" w:ascii="宋体" w:hAnsi="宋体" w:cs="宋体"/>
          <w:b/>
          <w:sz w:val="24"/>
          <w:szCs w:val="24"/>
        </w:rPr>
        <w:t xml:space="preserve">   （一）一般假设</w:t>
      </w:r>
    </w:p>
    <w:p>
      <w:pPr>
        <w:spacing w:line="384" w:lineRule="auto"/>
        <w:ind w:firstLine="480" w:firstLineChars="200"/>
        <w:rPr>
          <w:rFonts w:hint="eastAsia" w:ascii="宋体" w:hAnsi="宋体" w:cs="宋体"/>
          <w:sz w:val="24"/>
          <w:szCs w:val="24"/>
        </w:rPr>
      </w:pPr>
      <w:r>
        <w:rPr>
          <w:rFonts w:hint="eastAsia" w:ascii="宋体" w:hAnsi="宋体" w:cs="宋体"/>
          <w:sz w:val="24"/>
          <w:szCs w:val="24"/>
        </w:rPr>
        <w:t>1、估价委托人提供的估价对象权属、面积、用途等资料未予以核实，假定它们是合法、真实、准确和完整的。</w:t>
      </w:r>
    </w:p>
    <w:p>
      <w:pPr>
        <w:numPr>
          <w:ilvl w:val="0"/>
          <w:numId w:val="5"/>
        </w:numPr>
        <w:spacing w:line="384" w:lineRule="auto"/>
        <w:ind w:firstLine="480" w:firstLineChars="200"/>
        <w:rPr>
          <w:rFonts w:hint="eastAsia" w:ascii="宋体" w:hAnsi="宋体" w:cs="宋体"/>
          <w:sz w:val="24"/>
          <w:szCs w:val="24"/>
        </w:rPr>
      </w:pPr>
      <w:r>
        <w:rPr>
          <w:rFonts w:hint="eastAsia" w:ascii="宋体" w:hAnsi="宋体" w:cs="宋体"/>
          <w:sz w:val="24"/>
          <w:szCs w:val="24"/>
        </w:rPr>
        <w:t>估价委托人引领估价人员实地查勘的估价对象与权证的估价对象一致，具有唯一性。</w:t>
      </w:r>
    </w:p>
    <w:p>
      <w:pPr>
        <w:numPr>
          <w:ilvl w:val="0"/>
          <w:numId w:val="5"/>
        </w:numPr>
        <w:spacing w:line="384" w:lineRule="auto"/>
        <w:ind w:firstLine="480" w:firstLineChars="200"/>
        <w:rPr>
          <w:rFonts w:hint="eastAsia" w:ascii="宋体" w:hAnsi="宋体" w:cs="宋体"/>
          <w:sz w:val="24"/>
          <w:szCs w:val="24"/>
        </w:rPr>
      </w:pPr>
      <w:r>
        <w:rPr>
          <w:rFonts w:hint="eastAsia" w:ascii="宋体" w:hAnsi="宋体" w:cs="宋体"/>
          <w:sz w:val="24"/>
          <w:szCs w:val="24"/>
        </w:rPr>
        <w:t>关注了估价对象的房屋安全、环境污染等影响估价对象价值的重大因数，经实地查勘并依常规判断，假定房屋质量及居住环境是安全的，在耐用年限或土地使用期限内能够正常使用。</w:t>
      </w:r>
    </w:p>
    <w:p>
      <w:pPr>
        <w:numPr>
          <w:ilvl w:val="0"/>
          <w:numId w:val="5"/>
        </w:numPr>
        <w:spacing w:line="384" w:lineRule="auto"/>
        <w:ind w:firstLine="480" w:firstLineChars="200"/>
        <w:rPr>
          <w:rFonts w:hint="eastAsia" w:ascii="宋体" w:hAnsi="宋体" w:cs="宋体"/>
          <w:sz w:val="24"/>
          <w:szCs w:val="24"/>
        </w:rPr>
      </w:pPr>
      <w:r>
        <w:rPr>
          <w:rFonts w:hint="eastAsia" w:ascii="宋体" w:hAnsi="宋体" w:cs="宋体"/>
          <w:sz w:val="24"/>
          <w:szCs w:val="24"/>
        </w:rPr>
        <w:t>估价委托人未明确存在租赁权及占有使用情况，房地产估价机构经过尽职调查后也未发现、掌握相关情况，假定评估对象不存在租赁权及占有使用情况。</w:t>
      </w:r>
    </w:p>
    <w:p>
      <w:pPr>
        <w:spacing w:line="384" w:lineRule="auto"/>
        <w:rPr>
          <w:rFonts w:hint="eastAsia" w:ascii="宋体" w:hAnsi="宋体" w:cs="宋体"/>
          <w:b/>
          <w:sz w:val="24"/>
          <w:szCs w:val="24"/>
        </w:rPr>
      </w:pPr>
      <w:r>
        <w:rPr>
          <w:rFonts w:hint="eastAsia" w:ascii="宋体" w:hAnsi="宋体" w:cs="宋体"/>
          <w:b/>
          <w:sz w:val="24"/>
          <w:szCs w:val="24"/>
        </w:rPr>
        <w:t xml:space="preserve">   （二）未定事项假设</w:t>
      </w:r>
    </w:p>
    <w:p>
      <w:pPr>
        <w:spacing w:line="384" w:lineRule="auto"/>
        <w:rPr>
          <w:rFonts w:hint="eastAsia" w:ascii="宋体" w:hAnsi="宋体" w:cs="宋体"/>
          <w:sz w:val="24"/>
          <w:szCs w:val="24"/>
        </w:rPr>
      </w:pPr>
      <w:r>
        <w:rPr>
          <w:rFonts w:hint="eastAsia" w:ascii="宋体" w:hAnsi="宋体" w:cs="宋体"/>
          <w:b/>
          <w:sz w:val="24"/>
          <w:szCs w:val="24"/>
        </w:rPr>
        <w:t xml:space="preserve">    </w:t>
      </w:r>
      <w:r>
        <w:rPr>
          <w:rFonts w:hint="eastAsia" w:ascii="宋体" w:hAnsi="宋体" w:eastAsia="宋体" w:cs="宋体"/>
          <w:b w:val="0"/>
          <w:bCs/>
          <w:sz w:val="24"/>
          <w:szCs w:val="24"/>
          <w:lang w:eastAsia="zh-CN"/>
        </w:rPr>
        <w:t>无</w:t>
      </w:r>
    </w:p>
    <w:p>
      <w:pPr>
        <w:spacing w:line="384" w:lineRule="auto"/>
        <w:rPr>
          <w:rFonts w:hint="eastAsia" w:ascii="宋体" w:hAnsi="宋体" w:cs="宋体"/>
          <w:b/>
          <w:sz w:val="24"/>
          <w:szCs w:val="24"/>
        </w:rPr>
      </w:pPr>
      <w:r>
        <w:rPr>
          <w:rFonts w:hint="eastAsia" w:ascii="宋体" w:hAnsi="宋体" w:cs="宋体"/>
          <w:b/>
          <w:sz w:val="24"/>
          <w:szCs w:val="24"/>
        </w:rPr>
        <w:t xml:space="preserve">   （三）背离事实假设</w:t>
      </w:r>
    </w:p>
    <w:p>
      <w:pPr>
        <w:spacing w:line="384" w:lineRule="auto"/>
        <w:ind w:firstLine="480"/>
        <w:rPr>
          <w:rFonts w:hint="eastAsia" w:ascii="宋体" w:hAnsi="宋体" w:cs="宋体"/>
          <w:sz w:val="24"/>
          <w:szCs w:val="24"/>
        </w:rPr>
      </w:pPr>
      <w:r>
        <w:rPr>
          <w:rFonts w:hint="eastAsia" w:ascii="宋体" w:hAnsi="宋体" w:cs="宋体"/>
          <w:sz w:val="24"/>
          <w:szCs w:val="24"/>
        </w:rPr>
        <w:t>1、不考虑估价对象被查封、原有的担保物权及其他优先受偿权对估价结果的影响。</w:t>
      </w:r>
    </w:p>
    <w:p>
      <w:pPr>
        <w:spacing w:line="384" w:lineRule="auto"/>
        <w:ind w:firstLine="480"/>
        <w:rPr>
          <w:rFonts w:hint="eastAsia" w:ascii="宋体" w:hAnsi="宋体" w:cs="宋体"/>
          <w:sz w:val="24"/>
          <w:szCs w:val="24"/>
        </w:rPr>
      </w:pPr>
      <w:r>
        <w:rPr>
          <w:rFonts w:hint="eastAsia" w:ascii="宋体" w:hAnsi="宋体" w:cs="宋体"/>
          <w:sz w:val="24"/>
          <w:szCs w:val="24"/>
        </w:rPr>
        <w:t>2、不考虑估价对象原有的租赁权</w:t>
      </w:r>
      <w:r>
        <w:rPr>
          <w:rFonts w:hint="eastAsia" w:ascii="宋体" w:hAnsi="宋体" w:cs="宋体"/>
          <w:sz w:val="24"/>
          <w:szCs w:val="24"/>
          <w:lang w:val="en-US" w:eastAsia="zh-CN"/>
        </w:rPr>
        <w:t>及抵押权</w:t>
      </w:r>
      <w:r>
        <w:rPr>
          <w:rFonts w:hint="eastAsia" w:ascii="宋体" w:hAnsi="宋体" w:cs="宋体"/>
          <w:sz w:val="24"/>
          <w:szCs w:val="24"/>
        </w:rPr>
        <w:t>对估价结果的影响。</w:t>
      </w:r>
    </w:p>
    <w:p>
      <w:pPr>
        <w:spacing w:line="384" w:lineRule="auto"/>
        <w:rPr>
          <w:rFonts w:hint="eastAsia" w:ascii="宋体" w:hAnsi="宋体" w:cs="宋体"/>
          <w:b/>
          <w:sz w:val="24"/>
          <w:szCs w:val="24"/>
        </w:rPr>
      </w:pPr>
      <w:r>
        <w:rPr>
          <w:rFonts w:hint="eastAsia" w:ascii="宋体" w:hAnsi="宋体" w:cs="宋体"/>
          <w:b/>
          <w:sz w:val="24"/>
          <w:szCs w:val="24"/>
        </w:rPr>
        <w:t xml:space="preserve">   （四）不相一致假设</w:t>
      </w:r>
    </w:p>
    <w:p>
      <w:pPr>
        <w:keepNext w:val="0"/>
        <w:keepLines w:val="0"/>
        <w:pageBreakBefore w:val="0"/>
        <w:widowControl w:val="0"/>
        <w:kinsoku/>
        <w:wordWrap/>
        <w:overflowPunct/>
        <w:topLinePunct w:val="0"/>
        <w:autoSpaceDE/>
        <w:autoSpaceDN/>
        <w:bidi w:val="0"/>
        <w:adjustRightInd/>
        <w:snapToGrid/>
        <w:spacing w:line="372" w:lineRule="auto"/>
        <w:ind w:left="0" w:leftChars="0" w:right="0" w:rightChars="0" w:firstLine="480"/>
        <w:jc w:val="both"/>
        <w:textAlignment w:val="auto"/>
        <w:outlineLvl w:val="9"/>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1、本报告价值时点（2022年6月24日）不是估价委托人提供的《福建省龙岩市新罗区人民法院评估委托书》出具之日（</w:t>
      </w:r>
      <w:r>
        <w:rPr>
          <w:rFonts w:hint="eastAsia" w:ascii="宋体" w:hAnsi="宋体" w:cs="宋体"/>
          <w:b w:val="0"/>
          <w:bCs/>
          <w:color w:val="000000"/>
          <w:sz w:val="24"/>
          <w:szCs w:val="24"/>
          <w:lang w:val="en-US" w:eastAsia="zh-CN"/>
        </w:rPr>
        <w:t>2022年6月22日</w:t>
      </w:r>
      <w:r>
        <w:rPr>
          <w:rFonts w:hint="eastAsia" w:ascii="宋体" w:hAnsi="宋体" w:cs="宋体"/>
          <w:b w:val="0"/>
          <w:bCs/>
          <w:sz w:val="24"/>
          <w:szCs w:val="24"/>
          <w:lang w:val="en-US" w:eastAsia="zh-CN"/>
        </w:rPr>
        <w:t>），而是注册房地产估价师完成实地查勘之日，本报告假设估价对象在价值时点的状况与估价委托书出具之日的状况一致。</w:t>
      </w:r>
    </w:p>
    <w:p>
      <w:pPr>
        <w:spacing w:line="384" w:lineRule="auto"/>
        <w:rPr>
          <w:rFonts w:hint="eastAsia" w:ascii="宋体" w:hAnsi="宋体" w:cs="宋体"/>
          <w:b/>
          <w:sz w:val="24"/>
          <w:szCs w:val="24"/>
        </w:rPr>
      </w:pPr>
      <w:r>
        <w:rPr>
          <w:rFonts w:hint="eastAsia" w:ascii="宋体" w:hAnsi="宋体" w:cs="宋体"/>
          <w:b/>
          <w:sz w:val="24"/>
          <w:szCs w:val="24"/>
        </w:rPr>
        <w:t xml:space="preserve">   （五）依据不足假设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default" w:ascii="宋体" w:hAnsi="宋体" w:eastAsia="宋体" w:cs="宋体"/>
          <w:color w:val="auto"/>
          <w:sz w:val="24"/>
          <w:szCs w:val="24"/>
          <w:lang w:val="en-US"/>
        </w:rPr>
      </w:pPr>
      <w:r>
        <w:rPr>
          <w:rFonts w:hint="eastAsia" w:ascii="宋体" w:hAnsi="宋体" w:eastAsia="宋体" w:cs="宋体"/>
          <w:color w:val="auto"/>
          <w:sz w:val="24"/>
          <w:szCs w:val="24"/>
          <w:lang w:val="en-US" w:eastAsia="zh-CN"/>
        </w:rPr>
        <w:t>估价对象为拆迁安置房，产权登记凭证权利人为龙岩市安居住宅建设有限公司，至估价时点尚未转移登记至李水良名下。</w:t>
      </w:r>
      <w:r>
        <w:rPr>
          <w:rFonts w:hint="eastAsia" w:ascii="宋体" w:hAnsi="宋体" w:cs="宋体"/>
          <w:color w:val="auto"/>
          <w:sz w:val="24"/>
          <w:szCs w:val="24"/>
          <w:lang w:val="en-US" w:eastAsia="zh-CN"/>
        </w:rPr>
        <w:t>本次估价委托方提供的《房屋补偿安置协议》及龙岩市不动产权证登记凭证记录的相关信息为依据，确定权属方为李水良为假设前提，提请报告使用者关注。</w:t>
      </w:r>
    </w:p>
    <w:p>
      <w:pPr>
        <w:keepNext w:val="0"/>
        <w:keepLines w:val="0"/>
        <w:pageBreakBefore w:val="0"/>
        <w:widowControl w:val="0"/>
        <w:kinsoku/>
        <w:wordWrap/>
        <w:overflowPunct/>
        <w:topLinePunct w:val="0"/>
        <w:autoSpaceDE/>
        <w:autoSpaceDN/>
        <w:bidi w:val="0"/>
        <w:adjustRightInd/>
        <w:snapToGrid/>
        <w:spacing w:line="384" w:lineRule="auto"/>
        <w:ind w:firstLine="562" w:firstLineChars="200"/>
        <w:textAlignment w:val="auto"/>
        <w:rPr>
          <w:rFonts w:hint="eastAsia" w:ascii="宋体" w:hAnsi="宋体" w:cs="宋体"/>
          <w:b/>
          <w:sz w:val="28"/>
          <w:szCs w:val="28"/>
        </w:rPr>
      </w:pPr>
      <w:r>
        <w:rPr>
          <w:rFonts w:hint="eastAsia" w:ascii="宋体" w:hAnsi="宋体" w:cs="宋体"/>
          <w:b/>
          <w:sz w:val="28"/>
          <w:szCs w:val="28"/>
        </w:rPr>
        <w:t>二、估价报告使用限制</w:t>
      </w:r>
    </w:p>
    <w:p>
      <w:pPr>
        <w:numPr>
          <w:ilvl w:val="0"/>
          <w:numId w:val="6"/>
        </w:numPr>
        <w:spacing w:line="384" w:lineRule="auto"/>
        <w:ind w:firstLine="480" w:firstLineChars="200"/>
        <w:rPr>
          <w:rFonts w:hint="eastAsia" w:ascii="宋体" w:hAnsi="宋体" w:cs="宋体"/>
          <w:color w:val="auto"/>
          <w:sz w:val="24"/>
          <w:szCs w:val="24"/>
        </w:rPr>
      </w:pPr>
      <w:r>
        <w:rPr>
          <w:rFonts w:hint="eastAsia" w:ascii="宋体" w:hAnsi="宋体" w:cs="宋体"/>
          <w:color w:val="auto"/>
          <w:sz w:val="24"/>
          <w:szCs w:val="24"/>
        </w:rPr>
        <w:t>本估价报告仅作为本次估价目的之使用，不作其他任何用途使用。</w:t>
      </w:r>
    </w:p>
    <w:p>
      <w:pPr>
        <w:numPr>
          <w:ilvl w:val="0"/>
          <w:numId w:val="6"/>
        </w:numPr>
        <w:spacing w:line="384" w:lineRule="auto"/>
        <w:ind w:firstLine="480" w:firstLineChars="200"/>
        <w:rPr>
          <w:rFonts w:hint="eastAsia" w:ascii="宋体" w:hAnsi="宋体" w:cs="宋体"/>
          <w:color w:val="auto"/>
          <w:sz w:val="24"/>
          <w:szCs w:val="24"/>
        </w:rPr>
      </w:pPr>
      <w:r>
        <w:rPr>
          <w:rFonts w:hint="eastAsia" w:ascii="宋体" w:hAnsi="宋体" w:cs="宋体"/>
          <w:color w:val="auto"/>
          <w:sz w:val="24"/>
          <w:szCs w:val="24"/>
        </w:rPr>
        <w:t>估价报告使用者为估价委托人（</w:t>
      </w:r>
      <w:r>
        <w:rPr>
          <w:rFonts w:hint="eastAsia" w:ascii="宋体" w:hAnsi="宋体" w:cs="宋体"/>
          <w:color w:val="auto"/>
          <w:sz w:val="24"/>
          <w:szCs w:val="24"/>
          <w:lang w:eastAsia="zh-CN"/>
        </w:rPr>
        <w:t>福建省龙岩市新罗区人民法院</w:t>
      </w:r>
      <w:r>
        <w:rPr>
          <w:rFonts w:hint="eastAsia" w:ascii="宋体" w:hAnsi="宋体" w:cs="宋体"/>
          <w:color w:val="auto"/>
          <w:sz w:val="24"/>
          <w:szCs w:val="24"/>
        </w:rPr>
        <w:t>）。</w:t>
      </w:r>
    </w:p>
    <w:p>
      <w:pPr>
        <w:numPr>
          <w:ilvl w:val="0"/>
          <w:numId w:val="6"/>
        </w:numPr>
        <w:spacing w:line="384" w:lineRule="auto"/>
        <w:ind w:firstLine="480" w:firstLineChars="200"/>
        <w:rPr>
          <w:rFonts w:hint="eastAsia" w:ascii="宋体" w:hAnsi="宋体" w:cs="宋体"/>
          <w:color w:val="auto"/>
          <w:sz w:val="24"/>
          <w:szCs w:val="24"/>
        </w:rPr>
      </w:pPr>
      <w:r>
        <w:rPr>
          <w:rFonts w:hint="eastAsia" w:ascii="宋体" w:hAnsi="宋体" w:cs="宋体"/>
          <w:color w:val="auto"/>
          <w:sz w:val="24"/>
          <w:szCs w:val="24"/>
        </w:rPr>
        <w:t>本次估价对象</w:t>
      </w:r>
      <w:r>
        <w:rPr>
          <w:rFonts w:hint="eastAsia" w:ascii="宋体" w:hAnsi="宋体" w:cs="宋体"/>
          <w:color w:val="auto"/>
          <w:sz w:val="24"/>
          <w:szCs w:val="24"/>
          <w:lang w:eastAsia="zh-CN"/>
        </w:rPr>
        <w:t>处置</w:t>
      </w:r>
      <w:r>
        <w:rPr>
          <w:rFonts w:hint="eastAsia" w:ascii="宋体" w:hAnsi="宋体" w:cs="宋体"/>
          <w:color w:val="auto"/>
          <w:sz w:val="24"/>
          <w:szCs w:val="24"/>
        </w:rPr>
        <w:t>成交的过户税费全部由买受人承担。本次估价测算的预期处置税费为估价对象于价值时点以评估市场价值进入市场转让时，原房屋产权人应承担的主要交易税费的测算仅供参考，与实际处置时应承担的原房屋产权人的交易税费应以有关部门计算为准。</w:t>
      </w:r>
    </w:p>
    <w:p>
      <w:pPr>
        <w:numPr>
          <w:ilvl w:val="0"/>
          <w:numId w:val="6"/>
        </w:numPr>
        <w:spacing w:line="384" w:lineRule="auto"/>
        <w:ind w:firstLine="480" w:firstLineChars="200"/>
        <w:rPr>
          <w:rFonts w:hint="eastAsia" w:ascii="宋体" w:hAnsi="宋体" w:cs="宋体"/>
          <w:color w:val="auto"/>
          <w:sz w:val="24"/>
          <w:szCs w:val="24"/>
        </w:rPr>
      </w:pPr>
      <w:r>
        <w:rPr>
          <w:rFonts w:hint="eastAsia" w:ascii="宋体" w:hAnsi="宋体" w:cs="宋体"/>
          <w:color w:val="auto"/>
          <w:sz w:val="24"/>
          <w:szCs w:val="24"/>
        </w:rPr>
        <w:t>未经本估价机构书面同意，任何单位或个人不得将本估价报告的全部或部分内容发表于任何公开媒体上。</w:t>
      </w:r>
    </w:p>
    <w:p>
      <w:pPr>
        <w:numPr>
          <w:ilvl w:val="0"/>
          <w:numId w:val="6"/>
        </w:numPr>
        <w:spacing w:line="384" w:lineRule="auto"/>
        <w:ind w:firstLine="480" w:firstLineChars="200"/>
        <w:rPr>
          <w:rFonts w:hint="eastAsia" w:ascii="宋体" w:hAnsi="宋体" w:cs="宋体"/>
          <w:color w:val="auto"/>
          <w:sz w:val="24"/>
          <w:szCs w:val="24"/>
        </w:rPr>
      </w:pPr>
      <w:r>
        <w:rPr>
          <w:rFonts w:hint="eastAsia" w:ascii="宋体" w:hAnsi="宋体" w:cs="宋体"/>
          <w:color w:val="auto"/>
          <w:sz w:val="24"/>
          <w:szCs w:val="24"/>
        </w:rPr>
        <w:t>本估价报告经估价机构加盖公章、法定代表人签名（或盖章）及注册房地产估价师签名后方可有效。</w:t>
      </w:r>
    </w:p>
    <w:p>
      <w:pPr>
        <w:spacing w:line="520" w:lineRule="exact"/>
        <w:rPr>
          <w:rFonts w:hint="eastAsia" w:ascii="宋体" w:hAnsi="宋体" w:cs="宋体"/>
          <w:b/>
          <w:color w:val="auto"/>
          <w:sz w:val="36"/>
          <w:szCs w:val="36"/>
        </w:rPr>
      </w:pPr>
      <w:r>
        <w:rPr>
          <w:rFonts w:hint="eastAsia" w:ascii="宋体" w:hAnsi="宋体" w:cs="宋体"/>
          <w:color w:val="auto"/>
          <w:sz w:val="24"/>
          <w:szCs w:val="24"/>
        </w:rPr>
        <w:t xml:space="preserve">  </w:t>
      </w:r>
    </w:p>
    <w:p>
      <w:pPr>
        <w:spacing w:line="520" w:lineRule="exact"/>
        <w:jc w:val="center"/>
        <w:rPr>
          <w:rFonts w:hint="eastAsia" w:ascii="宋体" w:hAnsi="宋体" w:cs="宋体"/>
          <w:b/>
          <w:sz w:val="36"/>
          <w:szCs w:val="36"/>
        </w:rPr>
      </w:pPr>
    </w:p>
    <w:p>
      <w:pPr>
        <w:spacing w:line="520" w:lineRule="exact"/>
        <w:jc w:val="center"/>
        <w:rPr>
          <w:rFonts w:hint="eastAsia" w:ascii="宋体" w:hAnsi="宋体" w:cs="宋体"/>
          <w:b/>
          <w:sz w:val="36"/>
          <w:szCs w:val="36"/>
        </w:rPr>
      </w:pPr>
    </w:p>
    <w:p>
      <w:pPr>
        <w:spacing w:line="520" w:lineRule="exact"/>
        <w:jc w:val="center"/>
        <w:rPr>
          <w:rFonts w:hint="eastAsia" w:ascii="宋体" w:hAnsi="宋体" w:cs="宋体"/>
          <w:b/>
          <w:sz w:val="36"/>
          <w:szCs w:val="36"/>
        </w:rPr>
      </w:pPr>
    </w:p>
    <w:p>
      <w:pPr>
        <w:spacing w:line="520" w:lineRule="exact"/>
        <w:jc w:val="center"/>
        <w:rPr>
          <w:rFonts w:hint="eastAsia" w:ascii="宋体" w:hAnsi="宋体" w:cs="宋体"/>
          <w:b/>
          <w:sz w:val="36"/>
          <w:szCs w:val="36"/>
        </w:rPr>
      </w:pPr>
    </w:p>
    <w:p>
      <w:pPr>
        <w:spacing w:line="520" w:lineRule="exact"/>
        <w:jc w:val="center"/>
        <w:rPr>
          <w:rFonts w:hint="eastAsia" w:ascii="宋体" w:hAnsi="宋体" w:cs="宋体"/>
          <w:b/>
          <w:sz w:val="36"/>
          <w:szCs w:val="36"/>
        </w:rPr>
      </w:pPr>
    </w:p>
    <w:p>
      <w:pPr>
        <w:spacing w:line="520" w:lineRule="exact"/>
        <w:jc w:val="center"/>
        <w:rPr>
          <w:rFonts w:hint="eastAsia" w:ascii="宋体" w:hAnsi="宋体" w:cs="宋体"/>
          <w:b/>
          <w:sz w:val="36"/>
          <w:szCs w:val="36"/>
        </w:rPr>
      </w:pPr>
    </w:p>
    <w:p>
      <w:pPr>
        <w:spacing w:line="520" w:lineRule="exact"/>
        <w:jc w:val="center"/>
        <w:rPr>
          <w:rFonts w:hint="eastAsia" w:ascii="宋体" w:hAnsi="宋体" w:cs="宋体"/>
          <w:b/>
          <w:sz w:val="36"/>
          <w:szCs w:val="36"/>
        </w:rPr>
      </w:pPr>
    </w:p>
    <w:p>
      <w:pPr>
        <w:spacing w:line="520" w:lineRule="exact"/>
        <w:jc w:val="center"/>
        <w:rPr>
          <w:rFonts w:hint="eastAsia" w:ascii="宋体" w:hAnsi="宋体" w:cs="宋体"/>
          <w:b/>
          <w:sz w:val="36"/>
          <w:szCs w:val="36"/>
        </w:rPr>
      </w:pPr>
    </w:p>
    <w:p>
      <w:pPr>
        <w:spacing w:line="520" w:lineRule="exact"/>
        <w:jc w:val="center"/>
        <w:rPr>
          <w:rFonts w:hint="eastAsia" w:ascii="宋体" w:hAnsi="宋体" w:cs="宋体"/>
          <w:b/>
          <w:sz w:val="36"/>
          <w:szCs w:val="36"/>
        </w:rPr>
      </w:pPr>
    </w:p>
    <w:p>
      <w:pPr>
        <w:spacing w:line="520" w:lineRule="exact"/>
        <w:jc w:val="center"/>
        <w:rPr>
          <w:rFonts w:hint="eastAsia" w:ascii="宋体" w:hAnsi="宋体" w:cs="宋体"/>
          <w:b/>
          <w:sz w:val="36"/>
          <w:szCs w:val="36"/>
        </w:rPr>
      </w:pPr>
    </w:p>
    <w:p>
      <w:pPr>
        <w:keepNext w:val="0"/>
        <w:keepLines w:val="0"/>
        <w:pageBreakBefore w:val="0"/>
        <w:widowControl w:val="0"/>
        <w:kinsoku/>
        <w:wordWrap/>
        <w:topLinePunct w:val="0"/>
        <w:autoSpaceDE/>
        <w:autoSpaceDN/>
        <w:bidi w:val="0"/>
        <w:adjustRightInd/>
        <w:snapToGrid/>
        <w:spacing w:line="600" w:lineRule="auto"/>
        <w:ind w:left="0" w:leftChars="0" w:right="0" w:rightChars="0"/>
        <w:jc w:val="both"/>
        <w:textAlignment w:val="auto"/>
        <w:outlineLvl w:val="9"/>
        <w:rPr>
          <w:rFonts w:hint="eastAsia" w:ascii="宋体" w:hAnsi="宋体" w:cs="宋体"/>
          <w:b/>
          <w:sz w:val="36"/>
          <w:szCs w:val="36"/>
        </w:rPr>
      </w:pPr>
    </w:p>
    <w:p>
      <w:pPr>
        <w:pStyle w:val="2"/>
        <w:ind w:left="0" w:leftChars="0" w:firstLine="0" w:firstLineChars="0"/>
        <w:rPr>
          <w:rFonts w:hint="eastAsia" w:ascii="宋体" w:hAnsi="宋体" w:cs="宋体"/>
          <w:b/>
          <w:sz w:val="36"/>
          <w:szCs w:val="36"/>
        </w:rPr>
      </w:pPr>
    </w:p>
    <w:p>
      <w:pPr>
        <w:pStyle w:val="2"/>
        <w:ind w:left="0" w:leftChars="0" w:firstLine="0" w:firstLineChars="0"/>
        <w:rPr>
          <w:rFonts w:hint="eastAsia" w:ascii="宋体" w:hAnsi="宋体" w:cs="宋体"/>
          <w:b/>
          <w:sz w:val="36"/>
          <w:szCs w:val="36"/>
        </w:rPr>
      </w:pPr>
    </w:p>
    <w:p>
      <w:pPr>
        <w:pStyle w:val="2"/>
        <w:ind w:left="0" w:leftChars="0" w:firstLine="0" w:firstLineChars="0"/>
        <w:rPr>
          <w:rFonts w:hint="eastAsia" w:ascii="宋体" w:hAnsi="宋体" w:cs="宋体"/>
          <w:b/>
          <w:sz w:val="36"/>
          <w:szCs w:val="36"/>
        </w:rPr>
      </w:pPr>
    </w:p>
    <w:p>
      <w:pPr>
        <w:pStyle w:val="2"/>
        <w:ind w:left="0" w:leftChars="0" w:firstLine="0" w:firstLineChars="0"/>
        <w:rPr>
          <w:rFonts w:hint="eastAsia" w:ascii="宋体" w:hAnsi="宋体" w:cs="宋体"/>
          <w:b/>
          <w:sz w:val="36"/>
          <w:szCs w:val="36"/>
        </w:rPr>
      </w:pPr>
    </w:p>
    <w:p>
      <w:pPr>
        <w:pStyle w:val="2"/>
        <w:ind w:left="0" w:leftChars="0" w:firstLine="0" w:firstLineChars="0"/>
        <w:rPr>
          <w:rFonts w:hint="eastAsia" w:ascii="宋体" w:hAnsi="宋体" w:cs="宋体"/>
          <w:b/>
          <w:sz w:val="36"/>
          <w:szCs w:val="36"/>
        </w:rPr>
      </w:pPr>
    </w:p>
    <w:p>
      <w:pPr>
        <w:keepNext w:val="0"/>
        <w:keepLines w:val="0"/>
        <w:pageBreakBefore w:val="0"/>
        <w:widowControl w:val="0"/>
        <w:kinsoku/>
        <w:wordWrap/>
        <w:topLinePunct w:val="0"/>
        <w:autoSpaceDE/>
        <w:autoSpaceDN/>
        <w:bidi w:val="0"/>
        <w:adjustRightInd/>
        <w:snapToGrid/>
        <w:spacing w:line="600" w:lineRule="auto"/>
        <w:ind w:left="0" w:leftChars="0" w:right="0" w:rightChars="0"/>
        <w:jc w:val="center"/>
        <w:textAlignment w:val="auto"/>
        <w:outlineLvl w:val="9"/>
        <w:rPr>
          <w:rFonts w:hint="eastAsia" w:ascii="宋体" w:hAnsi="宋体" w:cs="宋体"/>
          <w:b/>
          <w:sz w:val="28"/>
          <w:szCs w:val="28"/>
        </w:rPr>
      </w:pPr>
      <w:r>
        <w:rPr>
          <w:rFonts w:hint="eastAsia" w:ascii="宋体" w:hAnsi="宋体" w:cs="宋体"/>
          <w:b/>
          <w:sz w:val="36"/>
          <w:szCs w:val="36"/>
        </w:rPr>
        <w:t>估价结果报告</w:t>
      </w:r>
    </w:p>
    <w:p>
      <w:pPr>
        <w:keepNext w:val="0"/>
        <w:keepLines w:val="0"/>
        <w:pageBreakBefore w:val="0"/>
        <w:widowControl w:val="0"/>
        <w:kinsoku/>
        <w:wordWrap/>
        <w:overflowPunct w:val="0"/>
        <w:topLinePunct w:val="0"/>
        <w:autoSpaceDE/>
        <w:autoSpaceDN/>
        <w:bidi w:val="0"/>
        <w:adjustRightInd/>
        <w:snapToGrid/>
        <w:spacing w:line="480" w:lineRule="exact"/>
        <w:ind w:left="0" w:leftChars="0" w:right="0" w:rightChars="0" w:firstLine="562" w:firstLineChars="200"/>
        <w:textAlignment w:val="auto"/>
        <w:outlineLvl w:val="9"/>
        <w:rPr>
          <w:rFonts w:hint="eastAsia" w:ascii="宋体" w:hAnsi="宋体" w:cs="宋体"/>
          <w:b/>
          <w:sz w:val="28"/>
          <w:szCs w:val="28"/>
        </w:rPr>
      </w:pPr>
      <w:r>
        <w:rPr>
          <w:rFonts w:hint="eastAsia" w:ascii="宋体" w:hAnsi="宋体" w:cs="宋体"/>
          <w:b/>
          <w:sz w:val="28"/>
          <w:szCs w:val="28"/>
        </w:rPr>
        <w:t>一、估价委托人及相关当事人</w:t>
      </w:r>
    </w:p>
    <w:p>
      <w:pPr>
        <w:keepNext w:val="0"/>
        <w:keepLines w:val="0"/>
        <w:pageBreakBefore w:val="0"/>
        <w:widowControl w:val="0"/>
        <w:numPr>
          <w:ilvl w:val="0"/>
          <w:numId w:val="7"/>
        </w:numPr>
        <w:kinsoku/>
        <w:wordWrap/>
        <w:overflowPunct w:val="0"/>
        <w:topLinePunct w:val="0"/>
        <w:autoSpaceDE/>
        <w:autoSpaceDN/>
        <w:bidi w:val="0"/>
        <w:adjustRightInd/>
        <w:snapToGrid/>
        <w:spacing w:line="480" w:lineRule="exact"/>
        <w:ind w:left="0" w:leftChars="0" w:right="0" w:rightChars="0" w:firstLine="480"/>
        <w:jc w:val="left"/>
        <w:textAlignment w:val="auto"/>
        <w:outlineLvl w:val="9"/>
        <w:rPr>
          <w:rFonts w:hint="eastAsia" w:ascii="宋体" w:hAnsi="宋体" w:cs="宋体"/>
          <w:sz w:val="24"/>
          <w:szCs w:val="24"/>
          <w:lang w:val="zh-CN"/>
        </w:rPr>
      </w:pPr>
      <w:r>
        <w:rPr>
          <w:rFonts w:hint="eastAsia" w:ascii="宋体" w:hAnsi="宋体" w:cs="宋体"/>
          <w:sz w:val="24"/>
          <w:szCs w:val="24"/>
        </w:rPr>
        <w:t>估价委托人：</w:t>
      </w:r>
      <w:r>
        <w:rPr>
          <w:rFonts w:hint="eastAsia" w:ascii="宋体" w:hAnsi="宋体" w:cs="宋体"/>
          <w:sz w:val="24"/>
          <w:szCs w:val="24"/>
          <w:lang w:val="zh-CN"/>
        </w:rPr>
        <w:t>福建省龙岩市新罗区人民法院</w:t>
      </w:r>
    </w:p>
    <w:p>
      <w:pPr>
        <w:keepNext w:val="0"/>
        <w:keepLines w:val="0"/>
        <w:pageBreakBefore w:val="0"/>
        <w:widowControl w:val="0"/>
        <w:kinsoku/>
        <w:wordWrap/>
        <w:overflowPunct w:val="0"/>
        <w:topLinePunct w:val="0"/>
        <w:autoSpaceDE/>
        <w:autoSpaceDN/>
        <w:bidi w:val="0"/>
        <w:adjustRightInd/>
        <w:snapToGrid/>
        <w:spacing w:line="480" w:lineRule="exact"/>
        <w:ind w:left="0" w:leftChars="0" w:right="0" w:rightChars="0" w:firstLine="480"/>
        <w:jc w:val="left"/>
        <w:textAlignment w:val="auto"/>
        <w:outlineLvl w:val="9"/>
        <w:rPr>
          <w:rFonts w:hint="eastAsia" w:ascii="宋体" w:hAnsi="宋体" w:cs="宋体"/>
          <w:sz w:val="24"/>
          <w:szCs w:val="24"/>
        </w:rPr>
      </w:pPr>
      <w:r>
        <w:rPr>
          <w:rFonts w:hint="eastAsia" w:ascii="宋体" w:hAnsi="宋体" w:cs="宋体"/>
          <w:sz w:val="24"/>
          <w:szCs w:val="24"/>
        </w:rPr>
        <w:t>2、权属人：</w:t>
      </w:r>
      <w:r>
        <w:rPr>
          <w:rFonts w:hint="eastAsia" w:ascii="宋体" w:hAnsi="宋体" w:cs="宋体"/>
          <w:sz w:val="24"/>
          <w:szCs w:val="24"/>
          <w:lang w:eastAsia="zh-CN"/>
        </w:rPr>
        <w:t>李水良</w:t>
      </w:r>
    </w:p>
    <w:p>
      <w:pPr>
        <w:keepNext w:val="0"/>
        <w:keepLines w:val="0"/>
        <w:pageBreakBefore w:val="0"/>
        <w:widowControl w:val="0"/>
        <w:numPr>
          <w:ilvl w:val="0"/>
          <w:numId w:val="8"/>
        </w:numPr>
        <w:kinsoku/>
        <w:wordWrap/>
        <w:overflowPunct w:val="0"/>
        <w:topLinePunct w:val="0"/>
        <w:autoSpaceDE/>
        <w:autoSpaceDN/>
        <w:bidi w:val="0"/>
        <w:adjustRightInd/>
        <w:snapToGrid/>
        <w:spacing w:line="480" w:lineRule="exact"/>
        <w:ind w:left="0" w:leftChars="0" w:right="0" w:rightChars="0" w:firstLine="480"/>
        <w:jc w:val="left"/>
        <w:textAlignment w:val="auto"/>
        <w:outlineLvl w:val="9"/>
        <w:rPr>
          <w:rFonts w:hint="eastAsia" w:ascii="宋体" w:hAnsi="宋体" w:cs="宋体"/>
          <w:sz w:val="24"/>
          <w:szCs w:val="24"/>
        </w:rPr>
      </w:pPr>
      <w:r>
        <w:rPr>
          <w:rFonts w:hint="eastAsia" w:ascii="宋体" w:hAnsi="宋体" w:cs="宋体"/>
          <w:sz w:val="24"/>
          <w:szCs w:val="24"/>
        </w:rPr>
        <w:t>申请执行人：</w:t>
      </w:r>
      <w:r>
        <w:rPr>
          <w:rFonts w:hint="eastAsia" w:ascii="宋体" w:hAnsi="宋体" w:cs="宋体"/>
          <w:sz w:val="24"/>
          <w:szCs w:val="24"/>
          <w:lang w:val="en-US" w:eastAsia="zh-CN"/>
        </w:rPr>
        <w:t>龙岩市新罗区人民法院刑事审判庭</w:t>
      </w:r>
    </w:p>
    <w:p>
      <w:pPr>
        <w:keepNext w:val="0"/>
        <w:keepLines w:val="0"/>
        <w:pageBreakBefore w:val="0"/>
        <w:widowControl w:val="0"/>
        <w:kinsoku/>
        <w:wordWrap/>
        <w:overflowPunct w:val="0"/>
        <w:topLinePunct w:val="0"/>
        <w:autoSpaceDE/>
        <w:autoSpaceDN/>
        <w:bidi w:val="0"/>
        <w:adjustRightInd/>
        <w:snapToGrid/>
        <w:spacing w:line="480" w:lineRule="exact"/>
        <w:ind w:left="0" w:leftChars="0" w:right="0" w:rightChars="0"/>
        <w:jc w:val="left"/>
        <w:textAlignment w:val="auto"/>
        <w:outlineLvl w:val="9"/>
        <w:rPr>
          <w:rFonts w:hint="eastAsia" w:ascii="宋体" w:hAnsi="宋体" w:cs="宋体"/>
          <w:sz w:val="24"/>
          <w:szCs w:val="24"/>
        </w:rPr>
      </w:pPr>
      <w:r>
        <w:rPr>
          <w:rFonts w:hint="eastAsia" w:ascii="宋体" w:hAnsi="宋体" w:cs="宋体"/>
          <w:sz w:val="24"/>
          <w:szCs w:val="24"/>
          <w:lang w:val="zh-CN"/>
        </w:rPr>
        <w:t xml:space="preserve"> </w:t>
      </w:r>
      <w:r>
        <w:rPr>
          <w:rFonts w:hint="eastAsia" w:ascii="宋体" w:hAnsi="宋体" w:cs="宋体"/>
          <w:sz w:val="24"/>
          <w:szCs w:val="24"/>
        </w:rPr>
        <w:t xml:space="preserve">   4、被执行人：</w:t>
      </w:r>
      <w:r>
        <w:rPr>
          <w:rFonts w:hint="eastAsia" w:ascii="宋体" w:hAnsi="宋体" w:cs="宋体"/>
          <w:sz w:val="24"/>
          <w:szCs w:val="24"/>
          <w:lang w:eastAsia="zh-CN"/>
        </w:rPr>
        <w:t>李水良</w:t>
      </w:r>
    </w:p>
    <w:p>
      <w:pPr>
        <w:keepNext w:val="0"/>
        <w:keepLines w:val="0"/>
        <w:pageBreakBefore w:val="0"/>
        <w:widowControl w:val="0"/>
        <w:kinsoku/>
        <w:wordWrap/>
        <w:overflowPunct w:val="0"/>
        <w:topLinePunct w:val="0"/>
        <w:autoSpaceDE/>
        <w:autoSpaceDN/>
        <w:bidi w:val="0"/>
        <w:adjustRightInd/>
        <w:snapToGrid/>
        <w:spacing w:line="480" w:lineRule="exact"/>
        <w:ind w:left="0" w:leftChars="0" w:right="0" w:rightChars="0"/>
        <w:textAlignment w:val="auto"/>
        <w:outlineLvl w:val="9"/>
        <w:rPr>
          <w:rFonts w:hint="eastAsia" w:ascii="宋体" w:hAnsi="宋体" w:cs="宋体"/>
          <w:b/>
          <w:sz w:val="28"/>
          <w:szCs w:val="28"/>
        </w:rPr>
      </w:pPr>
      <w:r>
        <w:rPr>
          <w:rFonts w:hint="eastAsia" w:ascii="宋体" w:hAnsi="宋体" w:cs="宋体"/>
          <w:b/>
          <w:sz w:val="28"/>
          <w:szCs w:val="28"/>
        </w:rPr>
        <w:t xml:space="preserve">   二、房地产估价机构</w:t>
      </w:r>
    </w:p>
    <w:p>
      <w:pPr>
        <w:keepNext w:val="0"/>
        <w:keepLines w:val="0"/>
        <w:pageBreakBefore w:val="0"/>
        <w:widowControl w:val="0"/>
        <w:kinsoku/>
        <w:wordWrap/>
        <w:overflowPunct w:val="0"/>
        <w:topLinePunct w:val="0"/>
        <w:autoSpaceDE/>
        <w:autoSpaceDN/>
        <w:bidi w:val="0"/>
        <w:adjustRightInd/>
        <w:snapToGrid/>
        <w:spacing w:line="480" w:lineRule="exact"/>
        <w:ind w:left="0" w:leftChars="0" w:right="0" w:rightChars="0"/>
        <w:textAlignment w:val="auto"/>
        <w:outlineLvl w:val="9"/>
        <w:rPr>
          <w:rFonts w:hint="eastAsia" w:ascii="宋体" w:hAnsi="宋体" w:cs="宋体"/>
          <w:sz w:val="24"/>
          <w:szCs w:val="24"/>
        </w:rPr>
      </w:pPr>
      <w:r>
        <w:rPr>
          <w:rFonts w:hint="eastAsia" w:ascii="宋体" w:hAnsi="宋体" w:cs="宋体"/>
          <w:b/>
          <w:sz w:val="28"/>
          <w:szCs w:val="28"/>
        </w:rPr>
        <w:t xml:space="preserve">   </w:t>
      </w:r>
      <w:r>
        <w:rPr>
          <w:rFonts w:hint="eastAsia" w:ascii="宋体" w:hAnsi="宋体" w:cs="宋体"/>
          <w:sz w:val="24"/>
          <w:szCs w:val="24"/>
        </w:rPr>
        <w:t>估价机构名称：龙岩冠力土地房地产评估有限公司</w:t>
      </w:r>
    </w:p>
    <w:p>
      <w:pPr>
        <w:keepNext w:val="0"/>
        <w:keepLines w:val="0"/>
        <w:pageBreakBefore w:val="0"/>
        <w:widowControl w:val="0"/>
        <w:kinsoku/>
        <w:wordWrap/>
        <w:overflowPunct w:val="0"/>
        <w:topLinePunct w:val="0"/>
        <w:autoSpaceDE/>
        <w:autoSpaceDN/>
        <w:bidi w:val="0"/>
        <w:adjustRightInd/>
        <w:snapToGrid/>
        <w:spacing w:line="480" w:lineRule="exact"/>
        <w:ind w:left="0" w:leftChars="0" w:right="0" w:rightChars="0"/>
        <w:textAlignment w:val="auto"/>
        <w:outlineLvl w:val="9"/>
        <w:rPr>
          <w:rFonts w:hint="eastAsia" w:ascii="宋体" w:hAnsi="宋体" w:cs="宋体"/>
          <w:sz w:val="24"/>
          <w:szCs w:val="24"/>
        </w:rPr>
      </w:pPr>
      <w:r>
        <w:rPr>
          <w:rFonts w:hint="eastAsia" w:ascii="宋体" w:hAnsi="宋体" w:cs="宋体"/>
          <w:sz w:val="24"/>
          <w:szCs w:val="24"/>
        </w:rPr>
        <w:t xml:space="preserve">    法定代表人：</w:t>
      </w:r>
      <w:r>
        <w:rPr>
          <w:rFonts w:hint="eastAsia" w:ascii="宋体" w:hAnsi="宋体" w:cs="宋体"/>
          <w:sz w:val="24"/>
          <w:szCs w:val="24"/>
          <w:lang w:eastAsia="zh-CN"/>
        </w:rPr>
        <w:t>邱新桂</w:t>
      </w: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 xml:space="preserve">   </w:t>
      </w:r>
      <w:r>
        <w:rPr>
          <w:rFonts w:hint="eastAsia" w:ascii="宋体" w:hAnsi="宋体" w:cs="宋体"/>
          <w:sz w:val="24"/>
          <w:szCs w:val="24"/>
          <w:lang w:eastAsia="zh-CN"/>
        </w:rPr>
        <w:t>备案</w:t>
      </w:r>
      <w:r>
        <w:rPr>
          <w:rFonts w:hint="eastAsia" w:ascii="宋体" w:hAnsi="宋体" w:cs="宋体"/>
          <w:sz w:val="24"/>
          <w:szCs w:val="24"/>
        </w:rPr>
        <w:t xml:space="preserve">等级：二级 </w:t>
      </w:r>
    </w:p>
    <w:p>
      <w:pPr>
        <w:keepNext w:val="0"/>
        <w:keepLines w:val="0"/>
        <w:pageBreakBefore w:val="0"/>
        <w:widowControl w:val="0"/>
        <w:kinsoku/>
        <w:wordWrap/>
        <w:overflowPunct w:val="0"/>
        <w:topLinePunct w:val="0"/>
        <w:autoSpaceDE/>
        <w:autoSpaceDN/>
        <w:bidi w:val="0"/>
        <w:adjustRightInd/>
        <w:snapToGrid/>
        <w:spacing w:line="480" w:lineRule="exact"/>
        <w:ind w:left="0" w:leftChars="0" w:right="0" w:rightChars="0" w:firstLine="480"/>
        <w:textAlignment w:val="auto"/>
        <w:outlineLvl w:val="9"/>
        <w:rPr>
          <w:rFonts w:hint="eastAsia" w:ascii="宋体" w:hAnsi="宋体" w:cs="宋体"/>
          <w:sz w:val="24"/>
          <w:szCs w:val="24"/>
        </w:rPr>
      </w:pPr>
      <w:r>
        <w:rPr>
          <w:rFonts w:hint="eastAsia" w:ascii="宋体" w:hAnsi="宋体" w:cs="宋体"/>
          <w:sz w:val="24"/>
          <w:szCs w:val="24"/>
        </w:rPr>
        <w:t xml:space="preserve">证书编号：352014086                  联系电话：0597-2109981   </w:t>
      </w:r>
    </w:p>
    <w:p>
      <w:pPr>
        <w:keepNext w:val="0"/>
        <w:keepLines w:val="0"/>
        <w:pageBreakBefore w:val="0"/>
        <w:widowControl w:val="0"/>
        <w:kinsoku/>
        <w:wordWrap/>
        <w:overflowPunct w:val="0"/>
        <w:topLinePunct w:val="0"/>
        <w:autoSpaceDE/>
        <w:autoSpaceDN/>
        <w:bidi w:val="0"/>
        <w:adjustRightInd/>
        <w:snapToGrid/>
        <w:spacing w:line="480" w:lineRule="exact"/>
        <w:ind w:left="0" w:leftChars="0" w:right="0" w:rightChars="0" w:firstLine="480"/>
        <w:textAlignment w:val="auto"/>
        <w:outlineLvl w:val="9"/>
        <w:rPr>
          <w:rFonts w:hint="eastAsia" w:ascii="宋体" w:hAnsi="宋体" w:cs="宋体"/>
          <w:sz w:val="24"/>
          <w:szCs w:val="24"/>
        </w:rPr>
      </w:pPr>
      <w:r>
        <w:rPr>
          <w:rFonts w:hint="eastAsia" w:ascii="宋体" w:hAnsi="宋体" w:cs="宋体"/>
          <w:sz w:val="24"/>
          <w:szCs w:val="24"/>
        </w:rPr>
        <w:t xml:space="preserve"> 统一社会信用代码：91350800666852605N </w:t>
      </w:r>
    </w:p>
    <w:p>
      <w:pPr>
        <w:keepNext w:val="0"/>
        <w:keepLines w:val="0"/>
        <w:pageBreakBefore w:val="0"/>
        <w:widowControl w:val="0"/>
        <w:kinsoku/>
        <w:wordWrap/>
        <w:overflowPunct w:val="0"/>
        <w:topLinePunct w:val="0"/>
        <w:autoSpaceDE/>
        <w:autoSpaceDN/>
        <w:bidi w:val="0"/>
        <w:adjustRightInd/>
        <w:snapToGrid/>
        <w:spacing w:line="480" w:lineRule="exact"/>
        <w:ind w:left="0" w:leftChars="0" w:right="0" w:rightChars="0"/>
        <w:textAlignment w:val="auto"/>
        <w:outlineLvl w:val="9"/>
        <w:rPr>
          <w:rFonts w:hint="eastAsia" w:ascii="宋体" w:hAnsi="宋体" w:cs="宋体"/>
          <w:sz w:val="24"/>
          <w:szCs w:val="24"/>
        </w:rPr>
      </w:pPr>
      <w:r>
        <w:rPr>
          <w:rFonts w:hint="eastAsia" w:ascii="宋体" w:hAnsi="宋体" w:cs="宋体"/>
          <w:sz w:val="24"/>
          <w:szCs w:val="24"/>
        </w:rPr>
        <w:t xml:space="preserve">    联系地址：龙岩</w:t>
      </w:r>
      <w:r>
        <w:rPr>
          <w:rFonts w:hint="eastAsia" w:ascii="宋体" w:hAnsi="宋体" w:cs="宋体"/>
          <w:sz w:val="24"/>
          <w:szCs w:val="24"/>
          <w:lang w:eastAsia="zh-CN"/>
        </w:rPr>
        <w:t>商务运营中心</w:t>
      </w:r>
      <w:r>
        <w:rPr>
          <w:rFonts w:hint="eastAsia" w:ascii="宋体" w:hAnsi="宋体" w:cs="宋体"/>
          <w:sz w:val="24"/>
          <w:szCs w:val="24"/>
          <w:lang w:val="en-US" w:eastAsia="zh-CN"/>
        </w:rPr>
        <w:t>H幢紫金大厦20层2002室</w:t>
      </w:r>
    </w:p>
    <w:p>
      <w:pPr>
        <w:keepNext w:val="0"/>
        <w:keepLines w:val="0"/>
        <w:pageBreakBefore w:val="0"/>
        <w:widowControl w:val="0"/>
        <w:kinsoku/>
        <w:wordWrap/>
        <w:overflowPunct w:val="0"/>
        <w:topLinePunct w:val="0"/>
        <w:autoSpaceDE/>
        <w:autoSpaceDN/>
        <w:bidi w:val="0"/>
        <w:adjustRightInd/>
        <w:snapToGrid/>
        <w:spacing w:line="480" w:lineRule="exact"/>
        <w:ind w:left="0" w:leftChars="0" w:right="0" w:rightChars="0"/>
        <w:textAlignment w:val="auto"/>
        <w:outlineLvl w:val="9"/>
        <w:rPr>
          <w:rFonts w:hint="eastAsia" w:ascii="宋体" w:hAnsi="宋体" w:cs="宋体"/>
          <w:sz w:val="24"/>
          <w:szCs w:val="24"/>
        </w:rPr>
      </w:pPr>
      <w:r>
        <w:rPr>
          <w:rFonts w:hint="eastAsia" w:ascii="宋体" w:hAnsi="宋体" w:cs="宋体"/>
          <w:b/>
          <w:sz w:val="28"/>
          <w:szCs w:val="28"/>
        </w:rPr>
        <w:t xml:space="preserve">   三、估价目的</w:t>
      </w:r>
    </w:p>
    <w:p>
      <w:pPr>
        <w:keepNext w:val="0"/>
        <w:keepLines w:val="0"/>
        <w:pageBreakBefore w:val="0"/>
        <w:widowControl w:val="0"/>
        <w:kinsoku/>
        <w:wordWrap/>
        <w:overflowPunct w:val="0"/>
        <w:topLinePunct w:val="0"/>
        <w:autoSpaceDE/>
        <w:autoSpaceDN/>
        <w:bidi w:val="0"/>
        <w:adjustRightInd/>
        <w:snapToGrid/>
        <w:spacing w:line="480" w:lineRule="exact"/>
        <w:ind w:left="0" w:leftChars="0" w:right="0" w:rightChars="0"/>
        <w:textAlignment w:val="auto"/>
        <w:outlineLvl w:val="9"/>
        <w:rPr>
          <w:rFonts w:hint="eastAsia" w:ascii="宋体" w:hAnsi="宋体" w:cs="宋体"/>
          <w:b/>
          <w:sz w:val="28"/>
          <w:szCs w:val="28"/>
        </w:rPr>
      </w:pPr>
      <w:r>
        <w:rPr>
          <w:rFonts w:hint="eastAsia" w:ascii="宋体" w:hAnsi="宋体" w:cs="宋体"/>
          <w:sz w:val="24"/>
          <w:szCs w:val="24"/>
        </w:rPr>
        <w:t xml:space="preserve">   </w:t>
      </w:r>
      <w:r>
        <w:rPr>
          <w:rFonts w:hint="eastAsia" w:ascii="宋体" w:hAnsi="宋体" w:cs="宋体"/>
          <w:bCs/>
          <w:sz w:val="24"/>
          <w:szCs w:val="24"/>
        </w:rPr>
        <w:t>估价目的是</w:t>
      </w:r>
      <w:r>
        <w:rPr>
          <w:rFonts w:hint="eastAsia" w:ascii="宋体" w:hAnsi="宋体" w:cs="宋体"/>
          <w:sz w:val="24"/>
          <w:szCs w:val="24"/>
          <w:lang w:eastAsia="zh-CN"/>
        </w:rPr>
        <w:t>为人民法院确定财产处置参考价提供参考依据</w:t>
      </w:r>
      <w:r>
        <w:rPr>
          <w:rFonts w:hint="eastAsia" w:ascii="宋体" w:hAnsi="宋体" w:cs="宋体"/>
          <w:sz w:val="24"/>
          <w:szCs w:val="24"/>
        </w:rPr>
        <w:t>。</w:t>
      </w:r>
    </w:p>
    <w:p>
      <w:pPr>
        <w:keepNext w:val="0"/>
        <w:keepLines w:val="0"/>
        <w:pageBreakBefore w:val="0"/>
        <w:widowControl w:val="0"/>
        <w:kinsoku/>
        <w:wordWrap/>
        <w:overflowPunct w:val="0"/>
        <w:topLinePunct w:val="0"/>
        <w:autoSpaceDE/>
        <w:autoSpaceDN/>
        <w:bidi w:val="0"/>
        <w:adjustRightInd/>
        <w:snapToGrid/>
        <w:spacing w:line="480" w:lineRule="exact"/>
        <w:ind w:left="0" w:leftChars="0" w:right="0" w:rightChars="0"/>
        <w:textAlignment w:val="auto"/>
        <w:outlineLvl w:val="9"/>
        <w:rPr>
          <w:rFonts w:hint="eastAsia" w:ascii="宋体" w:hAnsi="宋体" w:cs="宋体"/>
          <w:b/>
          <w:sz w:val="28"/>
          <w:szCs w:val="28"/>
        </w:rPr>
      </w:pPr>
      <w:r>
        <w:rPr>
          <w:rFonts w:hint="eastAsia" w:ascii="宋体" w:hAnsi="宋体" w:cs="宋体"/>
          <w:b/>
          <w:sz w:val="28"/>
          <w:szCs w:val="28"/>
        </w:rPr>
        <w:t xml:space="preserve">   四、估价对象</w:t>
      </w:r>
    </w:p>
    <w:p>
      <w:pPr>
        <w:keepNext w:val="0"/>
        <w:keepLines w:val="0"/>
        <w:pageBreakBefore w:val="0"/>
        <w:widowControl w:val="0"/>
        <w:kinsoku/>
        <w:wordWrap/>
        <w:overflowPunct w:val="0"/>
        <w:topLinePunct w:val="0"/>
        <w:autoSpaceDE/>
        <w:autoSpaceDN/>
        <w:bidi w:val="0"/>
        <w:adjustRightInd/>
        <w:snapToGrid/>
        <w:spacing w:line="480" w:lineRule="exact"/>
        <w:ind w:left="0" w:leftChars="0" w:right="0" w:rightChars="0"/>
        <w:textAlignment w:val="auto"/>
        <w:outlineLvl w:val="9"/>
        <w:rPr>
          <w:rFonts w:hint="eastAsia" w:ascii="宋体" w:hAnsi="宋体" w:cs="宋体"/>
          <w:sz w:val="24"/>
          <w:szCs w:val="24"/>
        </w:rPr>
      </w:pPr>
      <w:r>
        <w:rPr>
          <w:rFonts w:hint="eastAsia" w:ascii="宋体" w:hAnsi="宋体" w:cs="宋体"/>
          <w:sz w:val="24"/>
          <w:szCs w:val="24"/>
        </w:rPr>
        <w:t xml:space="preserve">   （一）估价对象财产范围</w:t>
      </w:r>
    </w:p>
    <w:p>
      <w:pPr>
        <w:keepNext w:val="0"/>
        <w:keepLines w:val="0"/>
        <w:pageBreakBefore w:val="0"/>
        <w:widowControl w:val="0"/>
        <w:kinsoku/>
        <w:wordWrap/>
        <w:overflowPunct w:val="0"/>
        <w:topLinePunct w:val="0"/>
        <w:autoSpaceDE/>
        <w:autoSpaceDN/>
        <w:bidi w:val="0"/>
        <w:adjustRightInd/>
        <w:snapToGrid/>
        <w:spacing w:line="480" w:lineRule="exact"/>
        <w:ind w:left="0" w:leftChars="0" w:right="0" w:rightChars="0" w:firstLine="481"/>
        <w:textAlignment w:val="auto"/>
        <w:outlineLvl w:val="9"/>
        <w:rPr>
          <w:rFonts w:hint="eastAsia" w:ascii="宋体" w:hAnsi="宋体" w:cs="宋体"/>
          <w:sz w:val="24"/>
          <w:szCs w:val="24"/>
        </w:rPr>
      </w:pPr>
      <w:r>
        <w:rPr>
          <w:rFonts w:hint="eastAsia" w:ascii="宋体" w:hAnsi="宋体" w:cs="宋体"/>
          <w:sz w:val="24"/>
          <w:szCs w:val="24"/>
        </w:rPr>
        <w:t>估价对象财产范围包括建筑物（</w:t>
      </w:r>
      <w:r>
        <w:rPr>
          <w:rFonts w:hint="eastAsia" w:ascii="宋体" w:hAnsi="宋体" w:cs="宋体"/>
          <w:sz w:val="24"/>
          <w:szCs w:val="24"/>
          <w:lang w:eastAsia="zh-CN"/>
        </w:rPr>
        <w:t>含二次装修价值</w:t>
      </w:r>
      <w:r>
        <w:rPr>
          <w:rFonts w:hint="eastAsia" w:ascii="宋体" w:hAnsi="宋体" w:cs="宋体"/>
          <w:sz w:val="24"/>
          <w:szCs w:val="24"/>
        </w:rPr>
        <w:t>）、分摊的土地使用权（含土地出让金）及公共配套设施，不包括动产、债权债务、特许经营权等其他财产或权益。</w:t>
      </w:r>
    </w:p>
    <w:p>
      <w:pPr>
        <w:keepNext w:val="0"/>
        <w:keepLines w:val="0"/>
        <w:pageBreakBefore w:val="0"/>
        <w:widowControl w:val="0"/>
        <w:kinsoku/>
        <w:wordWrap/>
        <w:overflowPunct w:val="0"/>
        <w:topLinePunct w:val="0"/>
        <w:autoSpaceDE/>
        <w:autoSpaceDN/>
        <w:bidi w:val="0"/>
        <w:adjustRightInd/>
        <w:snapToGrid/>
        <w:spacing w:line="480" w:lineRule="exact"/>
        <w:ind w:left="0" w:leftChars="0" w:right="0" w:rightChars="0"/>
        <w:textAlignment w:val="auto"/>
        <w:outlineLvl w:val="9"/>
        <w:rPr>
          <w:rFonts w:hint="eastAsia" w:ascii="宋体" w:hAnsi="宋体" w:cs="宋体"/>
          <w:sz w:val="24"/>
          <w:szCs w:val="24"/>
        </w:rPr>
      </w:pPr>
      <w:r>
        <w:rPr>
          <w:rFonts w:hint="eastAsia" w:ascii="宋体" w:hAnsi="宋体" w:cs="宋体"/>
          <w:sz w:val="24"/>
          <w:szCs w:val="24"/>
        </w:rPr>
        <w:t xml:space="preserve">   （二）估价对象基本状况</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textAlignment w:val="auto"/>
        <w:outlineLvl w:val="9"/>
        <w:rPr>
          <w:rFonts w:hint="eastAsia" w:ascii="宋体" w:hAnsi="宋体" w:cs="宋体"/>
          <w:color w:val="000000"/>
          <w:sz w:val="24"/>
          <w:szCs w:val="24"/>
          <w:lang w:eastAsia="zh-CN"/>
        </w:rPr>
      </w:pPr>
      <w:r>
        <w:rPr>
          <w:rFonts w:hint="eastAsia" w:ascii="宋体" w:hAnsi="宋体" w:eastAsia="宋体" w:cs="宋体"/>
          <w:color w:val="000000"/>
          <w:sz w:val="24"/>
          <w:szCs w:val="24"/>
          <w:lang w:val="en-US" w:eastAsia="zh-CN"/>
        </w:rPr>
        <w:t>估价对象坐落于</w:t>
      </w:r>
      <w:r>
        <w:rPr>
          <w:rFonts w:hint="eastAsia" w:ascii="宋体" w:hAnsi="宋体" w:eastAsia="宋体" w:cs="宋体"/>
          <w:color w:val="000000"/>
          <w:sz w:val="24"/>
          <w:szCs w:val="24"/>
          <w:lang w:eastAsia="zh-CN"/>
        </w:rPr>
        <w:t>龙岩市新罗区</w:t>
      </w:r>
      <w:r>
        <w:rPr>
          <w:rFonts w:hint="eastAsia" w:ascii="宋体" w:hAnsi="宋体" w:cs="宋体"/>
          <w:color w:val="000000"/>
          <w:sz w:val="24"/>
          <w:szCs w:val="24"/>
          <w:lang w:eastAsia="zh-CN"/>
        </w:rPr>
        <w:t>龙岩大道北101号</w:t>
      </w:r>
      <w:r>
        <w:rPr>
          <w:rFonts w:hint="eastAsia" w:ascii="宋体" w:hAnsi="宋体" w:eastAsia="宋体" w:cs="宋体"/>
          <w:color w:val="000000"/>
          <w:sz w:val="24"/>
          <w:szCs w:val="24"/>
          <w:lang w:val="en-US" w:eastAsia="zh-CN"/>
        </w:rPr>
        <w:t>，估价对象为</w:t>
      </w:r>
      <w:r>
        <w:rPr>
          <w:rFonts w:hint="eastAsia" w:ascii="宋体" w:hAnsi="宋体" w:eastAsia="宋体" w:cs="宋体"/>
          <w:color w:val="000000"/>
          <w:sz w:val="24"/>
          <w:szCs w:val="24"/>
          <w:lang w:eastAsia="zh-CN"/>
        </w:rPr>
        <w:t>（</w:t>
      </w:r>
      <w:r>
        <w:rPr>
          <w:rFonts w:hint="eastAsia" w:ascii="宋体" w:hAnsi="宋体" w:cs="宋体"/>
          <w:color w:val="000000"/>
          <w:sz w:val="24"/>
          <w:szCs w:val="24"/>
          <w:lang w:eastAsia="zh-CN"/>
        </w:rPr>
        <w:t>小洋祥和家苑</w:t>
      </w:r>
      <w:r>
        <w:rPr>
          <w:rFonts w:hint="eastAsia" w:ascii="宋体" w:hAnsi="宋体" w:eastAsia="宋体" w:cs="宋体"/>
          <w:color w:val="000000"/>
          <w:sz w:val="24"/>
          <w:szCs w:val="24"/>
          <w:lang w:eastAsia="zh-CN"/>
        </w:rPr>
        <w:t>）</w:t>
      </w:r>
      <w:r>
        <w:rPr>
          <w:rFonts w:hint="eastAsia" w:ascii="宋体" w:hAnsi="宋体" w:cs="宋体"/>
          <w:color w:val="000000"/>
          <w:sz w:val="24"/>
          <w:szCs w:val="24"/>
          <w:lang w:eastAsia="zh-CN"/>
        </w:rPr>
        <w:t>2幢2801室</w:t>
      </w:r>
      <w:r>
        <w:rPr>
          <w:rFonts w:hint="eastAsia" w:ascii="宋体" w:hAnsi="宋体" w:cs="宋体"/>
          <w:color w:val="000000"/>
          <w:sz w:val="24"/>
          <w:szCs w:val="24"/>
          <w:lang w:val="en-US" w:eastAsia="zh-CN"/>
        </w:rPr>
        <w:t>住宅及C485号车位</w:t>
      </w:r>
      <w:r>
        <w:rPr>
          <w:rFonts w:hint="eastAsia" w:ascii="宋体" w:hAnsi="宋体" w:eastAsia="宋体" w:cs="宋体"/>
          <w:color w:val="000000"/>
          <w:sz w:val="24"/>
          <w:szCs w:val="24"/>
          <w:lang w:val="en-US" w:eastAsia="zh-CN"/>
        </w:rPr>
        <w:t>；所</w:t>
      </w:r>
      <w:r>
        <w:rPr>
          <w:rFonts w:hint="eastAsia" w:ascii="宋体" w:hAnsi="宋体" w:cs="宋体"/>
          <w:color w:val="000000"/>
          <w:sz w:val="24"/>
          <w:szCs w:val="24"/>
          <w:lang w:val="en-US" w:eastAsia="zh-CN"/>
        </w:rPr>
        <w:t>在楼幢为钢混</w:t>
      </w:r>
      <w:r>
        <w:rPr>
          <w:rFonts w:hint="eastAsia" w:ascii="宋体" w:hAnsi="宋体" w:cs="宋体"/>
          <w:color w:val="000000"/>
          <w:sz w:val="24"/>
          <w:szCs w:val="24"/>
          <w:lang w:eastAsia="zh-CN"/>
        </w:rPr>
        <w:t>结构，住宅总层数为</w:t>
      </w:r>
      <w:r>
        <w:rPr>
          <w:rFonts w:hint="eastAsia" w:ascii="宋体" w:hAnsi="宋体" w:cs="宋体"/>
          <w:color w:val="000000"/>
          <w:sz w:val="24"/>
          <w:szCs w:val="24"/>
          <w:lang w:val="en-US" w:eastAsia="zh-CN"/>
        </w:rPr>
        <w:t>31</w:t>
      </w:r>
      <w:r>
        <w:rPr>
          <w:rFonts w:hint="eastAsia" w:ascii="宋体" w:hAnsi="宋体" w:cs="宋体"/>
          <w:color w:val="000000"/>
          <w:sz w:val="24"/>
          <w:szCs w:val="24"/>
          <w:lang w:eastAsia="zh-CN"/>
        </w:rPr>
        <w:t>层，估价对象</w:t>
      </w:r>
      <w:r>
        <w:rPr>
          <w:rFonts w:hint="eastAsia" w:ascii="宋体" w:hAnsi="宋体" w:cs="宋体"/>
          <w:color w:val="000000"/>
          <w:sz w:val="24"/>
          <w:szCs w:val="24"/>
          <w:lang w:val="en-US" w:eastAsia="zh-CN"/>
        </w:rPr>
        <w:t>住宅</w:t>
      </w:r>
      <w:r>
        <w:rPr>
          <w:rFonts w:hint="eastAsia" w:ascii="宋体" w:hAnsi="宋体" w:cs="宋体"/>
          <w:color w:val="000000"/>
          <w:sz w:val="24"/>
          <w:szCs w:val="24"/>
          <w:lang w:eastAsia="zh-CN"/>
        </w:rPr>
        <w:t>位于第</w:t>
      </w:r>
      <w:r>
        <w:rPr>
          <w:rFonts w:hint="eastAsia" w:ascii="宋体" w:hAnsi="宋体" w:cs="宋体"/>
          <w:color w:val="000000"/>
          <w:sz w:val="24"/>
          <w:szCs w:val="24"/>
          <w:lang w:val="en-US" w:eastAsia="zh-CN"/>
        </w:rPr>
        <w:t>28层，</w:t>
      </w:r>
      <w:r>
        <w:rPr>
          <w:rFonts w:hint="eastAsia" w:ascii="宋体" w:hAnsi="宋体" w:cs="宋体"/>
          <w:color w:val="000000"/>
          <w:sz w:val="24"/>
          <w:szCs w:val="24"/>
          <w:lang w:eastAsia="zh-CN"/>
        </w:rPr>
        <w:t>建筑面积</w:t>
      </w:r>
      <w:r>
        <w:rPr>
          <w:rFonts w:hint="eastAsia" w:ascii="宋体" w:hAnsi="宋体" w:cs="宋体"/>
          <w:color w:val="000000"/>
          <w:sz w:val="24"/>
          <w:szCs w:val="24"/>
          <w:lang w:val="en-US" w:eastAsia="zh-CN"/>
        </w:rPr>
        <w:t>106.49</w:t>
      </w:r>
      <w:r>
        <w:rPr>
          <w:rFonts w:hint="eastAsia" w:ascii="宋体" w:hAnsi="宋体" w:eastAsia="宋体" w:cs="宋体"/>
          <w:color w:val="000000"/>
          <w:sz w:val="24"/>
          <w:szCs w:val="24"/>
          <w:lang w:val="en-US" w:eastAsia="zh-CN"/>
        </w:rPr>
        <w:t>m</w:t>
      </w:r>
      <w:r>
        <w:rPr>
          <w:rFonts w:hint="eastAsia" w:ascii="宋体" w:hAnsi="宋体" w:eastAsia="宋体" w:cs="宋体"/>
          <w:color w:val="000000"/>
          <w:sz w:val="24"/>
          <w:szCs w:val="24"/>
          <w:vertAlign w:val="superscript"/>
          <w:lang w:val="en-US" w:eastAsia="zh-CN"/>
        </w:rPr>
        <w:t>2</w:t>
      </w:r>
      <w:r>
        <w:rPr>
          <w:rFonts w:hint="eastAsia" w:ascii="宋体" w:hAnsi="宋体" w:cs="宋体"/>
          <w:color w:val="000000"/>
          <w:sz w:val="24"/>
          <w:szCs w:val="24"/>
          <w:lang w:val="en-US" w:eastAsia="zh-CN"/>
        </w:rPr>
        <w:t>，车位</w:t>
      </w:r>
      <w:r>
        <w:rPr>
          <w:rFonts w:hint="eastAsia" w:ascii="宋体" w:hAnsi="宋体" w:cs="宋体"/>
          <w:color w:val="000000"/>
          <w:sz w:val="24"/>
          <w:szCs w:val="24"/>
          <w:lang w:eastAsia="zh-CN"/>
        </w:rPr>
        <w:t>总层数为</w:t>
      </w:r>
      <w:r>
        <w:rPr>
          <w:rFonts w:hint="eastAsia" w:ascii="宋体" w:hAnsi="宋体" w:cs="宋体"/>
          <w:color w:val="000000"/>
          <w:sz w:val="24"/>
          <w:szCs w:val="24"/>
          <w:lang w:val="en-US" w:eastAsia="zh-CN"/>
        </w:rPr>
        <w:t>33</w:t>
      </w:r>
      <w:r>
        <w:rPr>
          <w:rFonts w:hint="eastAsia" w:ascii="宋体" w:hAnsi="宋体" w:cs="宋体"/>
          <w:color w:val="000000"/>
          <w:sz w:val="24"/>
          <w:szCs w:val="24"/>
          <w:lang w:eastAsia="zh-CN"/>
        </w:rPr>
        <w:t>层，</w:t>
      </w:r>
      <w:r>
        <w:rPr>
          <w:rFonts w:hint="eastAsia" w:ascii="宋体" w:hAnsi="宋体" w:cs="宋体"/>
          <w:color w:val="000000"/>
          <w:sz w:val="24"/>
          <w:szCs w:val="24"/>
          <w:lang w:val="en-US" w:eastAsia="zh-CN"/>
        </w:rPr>
        <w:t>估价对象车位位于第-2层，</w:t>
      </w:r>
      <w:r>
        <w:rPr>
          <w:rFonts w:hint="eastAsia" w:ascii="宋体" w:hAnsi="宋体" w:cs="宋体"/>
          <w:color w:val="000000"/>
          <w:sz w:val="24"/>
          <w:szCs w:val="24"/>
          <w:lang w:eastAsia="zh-CN"/>
        </w:rPr>
        <w:t>建筑面积</w:t>
      </w:r>
      <w:r>
        <w:rPr>
          <w:rFonts w:hint="eastAsia" w:ascii="宋体" w:hAnsi="宋体" w:cs="宋体"/>
          <w:color w:val="000000"/>
          <w:sz w:val="24"/>
          <w:szCs w:val="24"/>
          <w:lang w:val="en-US" w:eastAsia="zh-CN"/>
        </w:rPr>
        <w:t>44.15</w:t>
      </w:r>
      <w:r>
        <w:rPr>
          <w:rFonts w:hint="eastAsia" w:ascii="宋体" w:hAnsi="宋体" w:eastAsia="宋体" w:cs="宋体"/>
          <w:color w:val="000000"/>
          <w:sz w:val="24"/>
          <w:szCs w:val="24"/>
          <w:lang w:val="en-US" w:eastAsia="zh-CN"/>
        </w:rPr>
        <w:t>m</w:t>
      </w:r>
      <w:r>
        <w:rPr>
          <w:rFonts w:hint="eastAsia" w:ascii="宋体" w:hAnsi="宋体" w:eastAsia="宋体" w:cs="宋体"/>
          <w:color w:val="000000"/>
          <w:sz w:val="24"/>
          <w:szCs w:val="24"/>
          <w:vertAlign w:val="superscript"/>
          <w:lang w:val="en-US" w:eastAsia="zh-CN"/>
        </w:rPr>
        <w:t>2</w:t>
      </w:r>
      <w:r>
        <w:rPr>
          <w:rFonts w:hint="eastAsia" w:ascii="宋体" w:hAnsi="宋体" w:cs="宋体"/>
          <w:color w:val="000000"/>
          <w:sz w:val="24"/>
          <w:szCs w:val="24"/>
          <w:lang w:val="en-US" w:eastAsia="zh-CN"/>
        </w:rPr>
        <w:t>，其中分摊面积为30.40</w:t>
      </w:r>
      <w:r>
        <w:rPr>
          <w:rFonts w:hint="eastAsia" w:ascii="宋体" w:hAnsi="宋体" w:eastAsia="宋体" w:cs="宋体"/>
          <w:color w:val="000000"/>
          <w:sz w:val="24"/>
          <w:szCs w:val="24"/>
          <w:lang w:val="en-US" w:eastAsia="zh-CN"/>
        </w:rPr>
        <w:t>m</w:t>
      </w:r>
      <w:r>
        <w:rPr>
          <w:rFonts w:hint="eastAsia" w:ascii="宋体" w:hAnsi="宋体" w:eastAsia="宋体" w:cs="宋体"/>
          <w:color w:val="000000"/>
          <w:sz w:val="24"/>
          <w:szCs w:val="24"/>
          <w:vertAlign w:val="superscript"/>
          <w:lang w:val="en-US" w:eastAsia="zh-CN"/>
        </w:rPr>
        <w:t>2</w:t>
      </w:r>
      <w:r>
        <w:rPr>
          <w:rFonts w:hint="eastAsia" w:ascii="宋体" w:hAnsi="宋体" w:cs="宋体"/>
          <w:color w:val="000000"/>
          <w:sz w:val="24"/>
          <w:szCs w:val="24"/>
          <w:lang w:val="en-US" w:eastAsia="zh-CN"/>
        </w:rPr>
        <w:t>，</w:t>
      </w:r>
      <w:r>
        <w:rPr>
          <w:rFonts w:hint="eastAsia" w:ascii="宋体" w:hAnsi="宋体" w:cs="宋体"/>
          <w:color w:val="000000"/>
          <w:sz w:val="24"/>
          <w:szCs w:val="24"/>
          <w:lang w:eastAsia="zh-CN"/>
        </w:rPr>
        <w:t>法定用途及实际用途为住宅、</w:t>
      </w:r>
      <w:r>
        <w:rPr>
          <w:rFonts w:hint="eastAsia" w:ascii="宋体" w:hAnsi="宋体" w:cs="宋体"/>
          <w:color w:val="000000"/>
          <w:sz w:val="24"/>
          <w:szCs w:val="24"/>
          <w:lang w:val="en-US" w:eastAsia="zh-CN"/>
        </w:rPr>
        <w:t>车位</w:t>
      </w:r>
      <w:r>
        <w:rPr>
          <w:rFonts w:hint="eastAsia" w:ascii="宋体" w:hAnsi="宋体" w:cs="宋体"/>
          <w:color w:val="000000"/>
          <w:sz w:val="24"/>
          <w:szCs w:val="24"/>
          <w:lang w:eastAsia="zh-CN"/>
        </w:rPr>
        <w:t>，</w:t>
      </w:r>
      <w:bookmarkStart w:id="3" w:name="OLE_LINK45"/>
      <w:r>
        <w:rPr>
          <w:rFonts w:hint="eastAsia" w:ascii="宋体" w:hAnsi="宋体" w:cs="宋体"/>
          <w:color w:val="000000"/>
          <w:sz w:val="24"/>
          <w:szCs w:val="24"/>
          <w:lang w:eastAsia="zh-CN"/>
        </w:rPr>
        <w:t>权属人为</w:t>
      </w:r>
      <w:bookmarkEnd w:id="3"/>
      <w:r>
        <w:rPr>
          <w:rFonts w:hint="eastAsia" w:ascii="宋体" w:hAnsi="宋体" w:cs="宋体"/>
          <w:color w:val="000000"/>
          <w:sz w:val="24"/>
          <w:szCs w:val="24"/>
          <w:lang w:eastAsia="zh-CN"/>
        </w:rPr>
        <w:t>李水良。</w:t>
      </w:r>
    </w:p>
    <w:p>
      <w:pPr>
        <w:keepNext w:val="0"/>
        <w:keepLines w:val="0"/>
        <w:pageBreakBefore w:val="0"/>
        <w:widowControl w:val="0"/>
        <w:kinsoku/>
        <w:wordWrap/>
        <w:overflowPunct w:val="0"/>
        <w:topLinePunct w:val="0"/>
        <w:autoSpaceDE/>
        <w:autoSpaceDN/>
        <w:bidi w:val="0"/>
        <w:adjustRightInd/>
        <w:snapToGrid/>
        <w:spacing w:line="480" w:lineRule="exact"/>
        <w:ind w:left="0" w:leftChars="0" w:right="0" w:rightChars="0"/>
        <w:textAlignment w:val="auto"/>
        <w:outlineLvl w:val="9"/>
        <w:rPr>
          <w:rFonts w:hint="eastAsia" w:ascii="宋体" w:hAnsi="宋体" w:cs="宋体"/>
          <w:sz w:val="24"/>
          <w:szCs w:val="24"/>
        </w:rPr>
      </w:pPr>
      <w:r>
        <w:rPr>
          <w:rFonts w:hint="eastAsia" w:ascii="宋体" w:hAnsi="宋体" w:cs="宋体"/>
          <w:sz w:val="24"/>
          <w:szCs w:val="24"/>
        </w:rPr>
        <w:t xml:space="preserve">   （三）土地基本状况</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宋体" w:hAnsi="宋体" w:cs="宋体"/>
          <w:sz w:val="24"/>
          <w:szCs w:val="24"/>
        </w:rPr>
      </w:pPr>
      <w:r>
        <w:rPr>
          <w:rFonts w:hint="eastAsia" w:ascii="宋体" w:hAnsi="宋体" w:cs="宋体"/>
          <w:sz w:val="24"/>
          <w:szCs w:val="24"/>
        </w:rPr>
        <w:t>1、</w:t>
      </w:r>
      <w:r>
        <w:rPr>
          <w:rFonts w:hint="eastAsia" w:ascii="宋体" w:hAnsi="宋体" w:cs="宋体"/>
          <w:sz w:val="24"/>
          <w:szCs w:val="24"/>
          <w:lang w:eastAsia="zh-CN"/>
        </w:rPr>
        <w:t>土地四至</w:t>
      </w:r>
      <w:r>
        <w:rPr>
          <w:rFonts w:hint="eastAsia" w:ascii="宋体" w:hAnsi="宋体" w:eastAsia="宋体" w:cs="宋体"/>
          <w:sz w:val="24"/>
          <w:szCs w:val="24"/>
          <w:lang w:eastAsia="zh-CN"/>
        </w:rPr>
        <w:t>：</w:t>
      </w:r>
      <w:r>
        <w:rPr>
          <w:rFonts w:hint="eastAsia" w:ascii="宋体" w:hAnsi="宋体" w:cs="宋体"/>
          <w:color w:val="000000"/>
          <w:sz w:val="24"/>
          <w:szCs w:val="24"/>
          <w:lang w:eastAsia="zh-CN"/>
        </w:rPr>
        <w:t>东与龙岩大道相邻，南与小洋龙铁名苑相邻，西与道路相邻，北与道路相邻</w:t>
      </w:r>
      <w:r>
        <w:rPr>
          <w:rFonts w:hint="eastAsia" w:ascii="宋体" w:hAnsi="宋体" w:eastAsia="宋体" w:cs="宋体"/>
          <w:sz w:val="24"/>
          <w:szCs w:val="24"/>
          <w:lang w:eastAsia="zh-CN"/>
        </w:rPr>
        <w:t>。周</w:t>
      </w:r>
      <w:r>
        <w:rPr>
          <w:rFonts w:hint="eastAsia" w:ascii="宋体" w:hAnsi="宋体" w:cs="宋体"/>
          <w:sz w:val="24"/>
          <w:szCs w:val="24"/>
        </w:rPr>
        <w:t>边标志性建筑物有</w:t>
      </w:r>
      <w:r>
        <w:rPr>
          <w:rFonts w:hint="eastAsia" w:ascii="宋体" w:hAnsi="宋体" w:cs="宋体"/>
          <w:color w:val="000000"/>
          <w:sz w:val="24"/>
          <w:szCs w:val="24"/>
          <w:lang w:val="en-US" w:eastAsia="zh-CN"/>
        </w:rPr>
        <w:t>龙岩凤凰小学</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龙岩侨中</w:t>
      </w:r>
      <w:r>
        <w:rPr>
          <w:rFonts w:hint="eastAsia" w:ascii="宋体" w:hAnsi="宋体" w:cs="宋体"/>
          <w:sz w:val="24"/>
          <w:szCs w:val="24"/>
        </w:rPr>
        <w:t>等。土地等级属于新罗区</w:t>
      </w:r>
      <w:r>
        <w:rPr>
          <w:rFonts w:hint="eastAsia" w:ascii="宋体" w:hAnsi="宋体" w:cs="宋体"/>
          <w:sz w:val="24"/>
          <w:szCs w:val="24"/>
          <w:lang w:eastAsia="zh-CN"/>
        </w:rPr>
        <w:t>二级城镇住宅用地</w:t>
      </w:r>
      <w:r>
        <w:rPr>
          <w:rFonts w:hint="eastAsia" w:ascii="宋体" w:hAnsi="宋体" w:cs="宋体"/>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rFonts w:hint="eastAsia" w:ascii="宋体" w:hAnsi="宋体" w:cs="宋体"/>
          <w:sz w:val="24"/>
          <w:szCs w:val="24"/>
        </w:rPr>
      </w:pPr>
      <w:r>
        <w:rPr>
          <w:rFonts w:hint="eastAsia" w:ascii="宋体" w:hAnsi="宋体" w:cs="宋体"/>
          <w:sz w:val="24"/>
          <w:szCs w:val="24"/>
        </w:rPr>
        <w:t>2、土地使用权类型及土地使用期限：土地使用权类型为</w:t>
      </w:r>
      <w:r>
        <w:rPr>
          <w:rFonts w:hint="eastAsia" w:ascii="宋体" w:hAnsi="宋体" w:cs="宋体"/>
          <w:sz w:val="24"/>
          <w:szCs w:val="24"/>
          <w:lang w:val="en-US" w:eastAsia="zh-CN"/>
        </w:rPr>
        <w:t xml:space="preserve">划拨。                  </w:t>
      </w:r>
    </w:p>
    <w:p>
      <w:pPr>
        <w:keepNext w:val="0"/>
        <w:keepLines w:val="0"/>
        <w:pageBreakBefore w:val="0"/>
        <w:widowControl w:val="0"/>
        <w:kinsoku/>
        <w:wordWrap/>
        <w:overflowPunct/>
        <w:topLinePunct w:val="0"/>
        <w:autoSpaceDE/>
        <w:autoSpaceDN/>
        <w:bidi w:val="0"/>
        <w:adjustRightInd/>
        <w:snapToGrid/>
        <w:spacing w:line="360" w:lineRule="exact"/>
        <w:ind w:firstLine="360" w:firstLineChars="150"/>
        <w:jc w:val="center"/>
        <w:textAlignment w:val="auto"/>
        <w:rPr>
          <w:rFonts w:hint="eastAsia" w:ascii="宋体" w:hAnsi="宋体" w:cs="宋体"/>
          <w:b/>
          <w:sz w:val="24"/>
          <w:szCs w:val="24"/>
        </w:rPr>
      </w:pPr>
      <w:r>
        <w:rPr>
          <w:rFonts w:hint="eastAsia" w:ascii="宋体" w:hAnsi="宋体" w:cs="宋体"/>
          <w:sz w:val="24"/>
          <w:szCs w:val="24"/>
          <w:lang w:val="en-US" w:eastAsia="zh-CN"/>
        </w:rPr>
        <w:t xml:space="preserve">                           </w:t>
      </w:r>
      <w:r>
        <w:rPr>
          <w:rFonts w:hint="eastAsia" w:ascii="宋体" w:hAnsi="宋体" w:cs="宋体"/>
          <w:sz w:val="24"/>
          <w:szCs w:val="24"/>
        </w:rPr>
        <w:t>权属登记摘录表                          表2</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5"/>
        <w:gridCol w:w="2748"/>
        <w:gridCol w:w="1912"/>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宋体" w:cs="宋体"/>
                <w:b/>
                <w:sz w:val="21"/>
                <w:szCs w:val="21"/>
              </w:rPr>
            </w:pPr>
            <w:r>
              <w:rPr>
                <w:rFonts w:hint="eastAsia" w:ascii="宋体" w:hAnsi="宋体" w:eastAsia="宋体" w:cs="宋体"/>
                <w:b/>
                <w:sz w:val="21"/>
                <w:szCs w:val="21"/>
              </w:rPr>
              <w:t>估价对象</w:t>
            </w:r>
          </w:p>
        </w:tc>
        <w:tc>
          <w:tcPr>
            <w:tcW w:w="7443" w:type="dxa"/>
            <w:gridSpan w:val="3"/>
            <w:noWrap w:val="0"/>
            <w:vAlign w:val="top"/>
          </w:tcPr>
          <w:p>
            <w:pPr>
              <w:pStyle w:val="4"/>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龙岩市新罗区龙岩大道北101号（小洋祥和家苑）2幢2801室住宅及C485车位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5"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宋体" w:hAnsi="宋体" w:eastAsia="宋体" w:cs="宋体"/>
                <w:b/>
                <w:sz w:val="21"/>
                <w:szCs w:val="21"/>
              </w:rPr>
            </w:pPr>
            <w:r>
              <w:rPr>
                <w:rFonts w:hint="eastAsia" w:ascii="宋体" w:hAnsi="宋体" w:cs="宋体"/>
                <w:b/>
                <w:color w:val="000000" w:themeColor="text1"/>
                <w:szCs w:val="21"/>
                <w14:textFill>
                  <w14:solidFill>
                    <w14:schemeClr w14:val="tx1"/>
                  </w14:solidFill>
                </w14:textFill>
              </w:rPr>
              <w:t>权利人</w:t>
            </w:r>
          </w:p>
        </w:tc>
        <w:tc>
          <w:tcPr>
            <w:tcW w:w="7443" w:type="dxa"/>
            <w:gridSpan w:val="3"/>
            <w:noWrap w:val="0"/>
            <w:vAlign w:val="top"/>
          </w:tcPr>
          <w:p>
            <w:pPr>
              <w:pStyle w:val="4"/>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宋体" w:hAnsi="宋体" w:eastAsia="宋体" w:cs="宋体"/>
                <w:sz w:val="21"/>
                <w:szCs w:val="21"/>
                <w:lang w:val="en-US" w:eastAsia="zh-CN"/>
              </w:rPr>
            </w:pPr>
            <w:r>
              <w:rPr>
                <w:rFonts w:hint="eastAsia" w:ascii="宋体" w:hAnsi="宋体" w:eastAsia="宋体" w:cs="宋体"/>
                <w:color w:val="000000" w:themeColor="text1"/>
                <w:sz w:val="21"/>
                <w:szCs w:val="21"/>
                <w:lang w:val="en-US" w:eastAsia="zh-CN"/>
                <w14:textFill>
                  <w14:solidFill>
                    <w14:schemeClr w14:val="tx1"/>
                  </w14:solidFill>
                </w14:textFill>
              </w:rPr>
              <w:t>李水良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default" w:ascii="宋体" w:hAnsi="宋体" w:eastAsia="宋体" w:cs="宋体"/>
                <w:b/>
                <w:sz w:val="21"/>
                <w:szCs w:val="21"/>
                <w:lang w:val="en-US" w:eastAsia="zh-CN"/>
              </w:rPr>
            </w:pPr>
            <w:r>
              <w:rPr>
                <w:rFonts w:hint="eastAsia" w:ascii="宋体" w:hAnsi="宋体" w:cs="宋体"/>
                <w:b/>
                <w:color w:val="000000" w:themeColor="text1"/>
                <w:szCs w:val="21"/>
                <w14:textFill>
                  <w14:solidFill>
                    <w14:schemeClr w14:val="tx1"/>
                  </w14:solidFill>
                </w14:textFill>
              </w:rPr>
              <w:t>不动产权证书</w:t>
            </w:r>
          </w:p>
        </w:tc>
        <w:tc>
          <w:tcPr>
            <w:tcW w:w="744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outlineLvl w:val="9"/>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闽（2022）龙岩市不动产权第0045224号</w:t>
            </w:r>
          </w:p>
          <w:p>
            <w:pPr>
              <w:pStyle w:val="2"/>
              <w:ind w:left="0" w:leftChars="0"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闽（2022）龙岩市不动产权第0046346号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宋体" w:hAnsi="宋体" w:cs="宋体"/>
                <w:b/>
                <w:sz w:val="21"/>
                <w:szCs w:val="21"/>
                <w:lang w:val="en-US" w:eastAsia="zh-CN"/>
              </w:rPr>
            </w:pPr>
            <w:r>
              <w:rPr>
                <w:rFonts w:hint="eastAsia" w:ascii="宋体" w:hAnsi="宋体" w:cs="宋体"/>
                <w:b/>
                <w:color w:val="000000" w:themeColor="text1"/>
                <w:szCs w:val="21"/>
                <w14:textFill>
                  <w14:solidFill>
                    <w14:schemeClr w14:val="tx1"/>
                  </w14:solidFill>
                </w14:textFill>
              </w:rPr>
              <w:t>不动产单元号</w:t>
            </w:r>
          </w:p>
        </w:tc>
        <w:tc>
          <w:tcPr>
            <w:tcW w:w="7443"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350802 380089 GB00324 F00040033</w:t>
            </w:r>
          </w:p>
          <w:p>
            <w:pPr>
              <w:pStyle w:val="4"/>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350802 380089 GB00324 F00140008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5" w:type="dxa"/>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宋体" w:hAnsi="宋体" w:eastAsia="宋体" w:cs="宋体"/>
                <w:b/>
                <w:kern w:val="2"/>
                <w:sz w:val="21"/>
                <w:szCs w:val="21"/>
                <w:lang w:val="en-US" w:eastAsia="zh-CN" w:bidi="ar-SA"/>
              </w:rPr>
            </w:pPr>
            <w:r>
              <w:rPr>
                <w:rFonts w:hint="eastAsia" w:ascii="宋体" w:hAnsi="宋体" w:cs="宋体"/>
                <w:b/>
                <w:color w:val="000000" w:themeColor="text1"/>
                <w:szCs w:val="21"/>
                <w14:textFill>
                  <w14:solidFill>
                    <w14:schemeClr w14:val="tx1"/>
                  </w14:solidFill>
                </w14:textFill>
              </w:rPr>
              <w:t>权利类型</w:t>
            </w:r>
          </w:p>
        </w:tc>
        <w:tc>
          <w:tcPr>
            <w:tcW w:w="7443" w:type="dxa"/>
            <w:gridSpan w:val="3"/>
            <w:noWrap w:val="0"/>
            <w:vAlign w:val="top"/>
          </w:tcPr>
          <w:p>
            <w:pPr>
              <w:pStyle w:val="4"/>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宋体" w:hAnsi="宋体" w:eastAsia="宋体" w:cs="宋体"/>
                <w:kern w:val="2"/>
                <w:sz w:val="21"/>
                <w:szCs w:val="21"/>
                <w:lang w:val="en-US" w:eastAsia="zh-CN" w:bidi="ar-SA"/>
              </w:rPr>
            </w:pPr>
            <w:r>
              <w:rPr>
                <w:rFonts w:hint="eastAsia" w:ascii="宋体" w:hAnsi="宋体" w:eastAsia="宋体" w:cs="宋体"/>
                <w:color w:val="000000" w:themeColor="text1"/>
                <w:sz w:val="21"/>
                <w:szCs w:val="21"/>
                <w14:textFill>
                  <w14:solidFill>
                    <w14:schemeClr w14:val="tx1"/>
                  </w14:solidFill>
                </w14:textFill>
              </w:rPr>
              <w:t>国有建设用地使用权/房屋所有权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共有情况</w:t>
            </w:r>
          </w:p>
        </w:tc>
        <w:tc>
          <w:tcPr>
            <w:tcW w:w="744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单独所有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宋体" w:cs="宋体"/>
                <w:b/>
                <w:sz w:val="21"/>
                <w:szCs w:val="21"/>
                <w:lang w:val="en-US" w:eastAsia="zh-CN"/>
              </w:rPr>
            </w:pPr>
            <w:r>
              <w:rPr>
                <w:rFonts w:hint="eastAsia" w:ascii="宋体" w:hAnsi="宋体" w:cs="宋体"/>
                <w:b/>
                <w:sz w:val="21"/>
                <w:szCs w:val="21"/>
                <w:lang w:val="en-US" w:eastAsia="zh-CN"/>
              </w:rPr>
              <w:t>用途</w:t>
            </w:r>
          </w:p>
        </w:tc>
        <w:tc>
          <w:tcPr>
            <w:tcW w:w="7443" w:type="dxa"/>
            <w:gridSpan w:val="3"/>
            <w:noWrap w:val="0"/>
            <w:vAlign w:val="center"/>
          </w:tcPr>
          <w:p>
            <w:pPr>
              <w:pStyle w:val="4"/>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城镇住宅用地（拆迁安置地）/成套住宅、车位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845"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宋体" w:cs="宋体"/>
                <w:b/>
                <w:sz w:val="21"/>
                <w:szCs w:val="21"/>
                <w:lang w:eastAsia="zh-CN"/>
              </w:rPr>
            </w:pPr>
            <w:r>
              <w:rPr>
                <w:rFonts w:hint="eastAsia" w:ascii="宋体" w:hAnsi="宋体" w:eastAsia="宋体" w:cs="宋体"/>
                <w:b/>
                <w:sz w:val="21"/>
                <w:szCs w:val="21"/>
                <w:lang w:val="en-US" w:eastAsia="zh-CN"/>
              </w:rPr>
              <w:t>权利性质</w:t>
            </w:r>
          </w:p>
        </w:tc>
        <w:tc>
          <w:tcPr>
            <w:tcW w:w="2748" w:type="dxa"/>
            <w:noWrap w:val="0"/>
            <w:vAlign w:val="top"/>
          </w:tcPr>
          <w:p>
            <w:pPr>
              <w:pStyle w:val="4"/>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划拨/动迁房</w:t>
            </w:r>
          </w:p>
        </w:tc>
        <w:tc>
          <w:tcPr>
            <w:tcW w:w="1912"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宋体" w:hAnsi="宋体" w:eastAsia="宋体" w:cs="宋体"/>
                <w:b/>
                <w:sz w:val="21"/>
                <w:szCs w:val="21"/>
              </w:rPr>
            </w:pPr>
            <w:r>
              <w:rPr>
                <w:rFonts w:hint="eastAsia" w:ascii="宋体" w:hAnsi="宋体" w:cs="宋体"/>
                <w:b/>
                <w:color w:val="000000" w:themeColor="text1"/>
                <w:szCs w:val="21"/>
                <w:lang w:val="en-US" w:eastAsia="zh-CN"/>
                <w14:textFill>
                  <w14:solidFill>
                    <w14:schemeClr w14:val="tx1"/>
                  </w14:solidFill>
                </w14:textFill>
              </w:rPr>
              <w:t>共用宗地</w:t>
            </w:r>
            <w:r>
              <w:rPr>
                <w:rFonts w:hint="eastAsia" w:ascii="宋体" w:hAnsi="宋体" w:cs="宋体"/>
                <w:b/>
                <w:color w:val="000000" w:themeColor="text1"/>
                <w:szCs w:val="21"/>
                <w14:textFill>
                  <w14:solidFill>
                    <w14:schemeClr w14:val="tx1"/>
                  </w14:solidFill>
                </w14:textFill>
              </w:rPr>
              <w:t>面积</w:t>
            </w:r>
          </w:p>
        </w:tc>
        <w:tc>
          <w:tcPr>
            <w:tcW w:w="2783"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宋体" w:hAnsi="宋体" w:eastAsia="宋体" w:cs="宋体"/>
                <w:sz w:val="21"/>
                <w:szCs w:val="21"/>
                <w:lang w:eastAsia="zh-CN"/>
              </w:rPr>
            </w:pPr>
            <w:r>
              <w:rPr>
                <w:rFonts w:hint="eastAsia" w:ascii="宋体" w:hAnsi="宋体" w:eastAsia="宋体" w:cs="宋体"/>
                <w:color w:val="000000" w:themeColor="text1"/>
                <w:sz w:val="21"/>
                <w:szCs w:val="21"/>
                <w:lang w:val="en-US" w:eastAsia="zh-CN"/>
                <w14:textFill>
                  <w14:solidFill>
                    <w14:schemeClr w14:val="tx1"/>
                  </w14:solidFill>
                </w14:textFill>
              </w:rPr>
              <w:t>35591.91m</w:t>
            </w:r>
            <w:r>
              <w:rPr>
                <w:rFonts w:hint="eastAsia" w:ascii="宋体" w:hAnsi="宋体" w:eastAsia="宋体" w:cs="宋体"/>
                <w:color w:val="000000" w:themeColor="text1"/>
                <w:sz w:val="21"/>
                <w:szCs w:val="21"/>
                <w:vertAlign w:val="superscript"/>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rPr>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宋体" w:cs="宋体"/>
                <w:b/>
                <w:sz w:val="21"/>
                <w:szCs w:val="21"/>
                <w:lang w:eastAsia="zh-CN"/>
              </w:rPr>
            </w:pPr>
            <w:r>
              <w:rPr>
                <w:rFonts w:hint="eastAsia" w:ascii="宋体" w:hAnsi="宋体" w:eastAsia="宋体" w:cs="宋体"/>
                <w:b/>
                <w:sz w:val="21"/>
                <w:szCs w:val="21"/>
                <w:lang w:eastAsia="zh-CN"/>
              </w:rPr>
              <w:t>建筑结构</w:t>
            </w:r>
          </w:p>
        </w:tc>
        <w:tc>
          <w:tcPr>
            <w:tcW w:w="2748"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钢混</w:t>
            </w:r>
            <w:r>
              <w:rPr>
                <w:rFonts w:hint="eastAsia" w:ascii="宋体" w:hAnsi="宋体" w:eastAsia="宋体" w:cs="宋体"/>
                <w:sz w:val="21"/>
                <w:szCs w:val="21"/>
                <w:lang w:eastAsia="zh-CN"/>
              </w:rPr>
              <w:t>结构</w:t>
            </w:r>
          </w:p>
        </w:tc>
        <w:tc>
          <w:tcPr>
            <w:tcW w:w="191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宋体" w:cs="宋体"/>
                <w:b/>
                <w:sz w:val="21"/>
                <w:szCs w:val="21"/>
                <w:lang w:eastAsia="zh-CN"/>
              </w:rPr>
            </w:pPr>
            <w:r>
              <w:rPr>
                <w:rFonts w:hint="eastAsia" w:ascii="宋体" w:hAnsi="宋体" w:eastAsia="宋体" w:cs="宋体"/>
                <w:b/>
                <w:sz w:val="21"/>
                <w:szCs w:val="21"/>
                <w:lang w:eastAsia="zh-CN"/>
              </w:rPr>
              <w:t>建成年份</w:t>
            </w:r>
          </w:p>
        </w:tc>
        <w:tc>
          <w:tcPr>
            <w:tcW w:w="2783"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color w:val="000000"/>
                <w:sz w:val="21"/>
                <w:szCs w:val="21"/>
                <w:lang w:val="en-US" w:eastAsia="zh-CN"/>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宋体" w:cs="宋体"/>
                <w:b/>
                <w:sz w:val="21"/>
                <w:szCs w:val="21"/>
                <w:lang w:val="en-US" w:eastAsia="zh-CN"/>
              </w:rPr>
            </w:pPr>
            <w:r>
              <w:rPr>
                <w:rFonts w:hint="eastAsia" w:ascii="宋体" w:hAnsi="宋体" w:cs="宋体"/>
                <w:b/>
                <w:bCs/>
                <w:color w:val="auto"/>
                <w:sz w:val="21"/>
                <w:szCs w:val="21"/>
                <w:lang w:val="en-US" w:eastAsia="zh-CN"/>
              </w:rPr>
              <w:t>住宅</w:t>
            </w:r>
            <w:r>
              <w:rPr>
                <w:rFonts w:hint="eastAsia" w:ascii="宋体" w:hAnsi="宋体" w:cs="宋体"/>
                <w:b/>
                <w:bCs/>
                <w:color w:val="auto"/>
                <w:sz w:val="21"/>
                <w:szCs w:val="21"/>
                <w:lang w:eastAsia="zh-CN"/>
              </w:rPr>
              <w:t>建筑面积</w:t>
            </w:r>
          </w:p>
        </w:tc>
        <w:tc>
          <w:tcPr>
            <w:tcW w:w="274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cs="宋体"/>
                <w:color w:val="auto"/>
                <w:sz w:val="21"/>
                <w:szCs w:val="21"/>
                <w:vertAlign w:val="baseline"/>
                <w:lang w:val="en-US" w:eastAsia="zh-CN"/>
              </w:rPr>
              <w:t>106.49m</w:t>
            </w:r>
            <w:r>
              <w:rPr>
                <w:rFonts w:hint="eastAsia" w:ascii="宋体" w:hAnsi="宋体" w:cs="宋体"/>
                <w:color w:val="auto"/>
                <w:sz w:val="21"/>
                <w:szCs w:val="21"/>
                <w:vertAlign w:val="superscript"/>
                <w:lang w:val="en-US" w:eastAsia="zh-CN"/>
              </w:rPr>
              <w:t>2</w:t>
            </w:r>
          </w:p>
        </w:tc>
        <w:tc>
          <w:tcPr>
            <w:tcW w:w="191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b/>
                <w:bCs/>
                <w:color w:val="auto"/>
                <w:sz w:val="21"/>
                <w:szCs w:val="21"/>
                <w:lang w:val="en-US" w:eastAsia="zh-CN"/>
              </w:rPr>
              <w:t>其中分摊</w:t>
            </w:r>
            <w:r>
              <w:rPr>
                <w:rFonts w:hint="eastAsia" w:ascii="宋体" w:hAnsi="宋体" w:cs="宋体"/>
                <w:b/>
                <w:bCs/>
                <w:color w:val="auto"/>
                <w:sz w:val="21"/>
                <w:szCs w:val="21"/>
                <w:lang w:eastAsia="zh-CN"/>
              </w:rPr>
              <w:t>面积</w:t>
            </w:r>
          </w:p>
        </w:tc>
        <w:tc>
          <w:tcPr>
            <w:tcW w:w="278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84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cs="宋体"/>
                <w:b/>
                <w:bCs/>
                <w:color w:val="auto"/>
                <w:sz w:val="21"/>
                <w:szCs w:val="21"/>
                <w:lang w:eastAsia="zh-CN"/>
              </w:rPr>
            </w:pPr>
            <w:r>
              <w:rPr>
                <w:rFonts w:hint="eastAsia" w:ascii="宋体" w:hAnsi="宋体" w:cs="宋体"/>
                <w:b/>
                <w:bCs/>
                <w:color w:val="auto"/>
                <w:sz w:val="21"/>
                <w:szCs w:val="21"/>
                <w:lang w:val="en-US" w:eastAsia="zh-CN"/>
              </w:rPr>
              <w:t>车位</w:t>
            </w:r>
            <w:r>
              <w:rPr>
                <w:rFonts w:hint="eastAsia" w:ascii="宋体" w:hAnsi="宋体" w:cs="宋体"/>
                <w:b/>
                <w:bCs/>
                <w:color w:val="auto"/>
                <w:sz w:val="21"/>
                <w:szCs w:val="21"/>
                <w:lang w:eastAsia="zh-CN"/>
              </w:rPr>
              <w:t>建筑面积</w:t>
            </w:r>
          </w:p>
        </w:tc>
        <w:tc>
          <w:tcPr>
            <w:tcW w:w="274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44.15m</w:t>
            </w:r>
            <w:r>
              <w:rPr>
                <w:rFonts w:hint="eastAsia" w:ascii="宋体" w:hAnsi="宋体" w:cs="宋体"/>
                <w:color w:val="auto"/>
                <w:sz w:val="21"/>
                <w:szCs w:val="21"/>
                <w:vertAlign w:val="superscript"/>
                <w:lang w:val="en-US" w:eastAsia="zh-CN"/>
              </w:rPr>
              <w:t>2</w:t>
            </w:r>
          </w:p>
        </w:tc>
        <w:tc>
          <w:tcPr>
            <w:tcW w:w="1912"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cs="宋体"/>
                <w:b/>
                <w:bCs/>
                <w:color w:val="auto"/>
                <w:sz w:val="21"/>
                <w:szCs w:val="21"/>
                <w:lang w:val="en-US" w:eastAsia="zh-CN"/>
              </w:rPr>
            </w:pPr>
            <w:r>
              <w:rPr>
                <w:rFonts w:hint="eastAsia" w:ascii="宋体" w:hAnsi="宋体" w:cs="宋体"/>
                <w:b/>
                <w:bCs/>
                <w:color w:val="auto"/>
                <w:sz w:val="21"/>
                <w:szCs w:val="21"/>
                <w:lang w:val="en-US" w:eastAsia="zh-CN"/>
              </w:rPr>
              <w:t>其中分摊</w:t>
            </w:r>
            <w:r>
              <w:rPr>
                <w:rFonts w:hint="eastAsia" w:ascii="宋体" w:hAnsi="宋体" w:cs="宋体"/>
                <w:b/>
                <w:bCs/>
                <w:color w:val="auto"/>
                <w:sz w:val="21"/>
                <w:szCs w:val="21"/>
                <w:lang w:eastAsia="zh-CN"/>
              </w:rPr>
              <w:t>面积</w:t>
            </w:r>
          </w:p>
        </w:tc>
        <w:tc>
          <w:tcPr>
            <w:tcW w:w="278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30.40</w:t>
            </w:r>
            <w:r>
              <w:rPr>
                <w:rFonts w:hint="eastAsia" w:ascii="宋体" w:hAnsi="宋体" w:cs="宋体"/>
                <w:color w:val="auto"/>
                <w:sz w:val="21"/>
                <w:szCs w:val="21"/>
                <w:vertAlign w:val="baseline"/>
                <w:lang w:val="en-US" w:eastAsia="zh-CN"/>
              </w:rPr>
              <w:t>m</w:t>
            </w:r>
            <w:r>
              <w:rPr>
                <w:rFonts w:hint="eastAsia" w:ascii="宋体" w:hAnsi="宋体" w:cs="宋体"/>
                <w:color w:val="auto"/>
                <w:sz w:val="21"/>
                <w:szCs w:val="21"/>
                <w:vertAlign w:val="superscript"/>
                <w:lang w:val="en-US" w:eastAsia="zh-CN"/>
              </w:rPr>
              <w:t>2</w:t>
            </w: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cs="宋体"/>
          <w:sz w:val="24"/>
          <w:szCs w:val="24"/>
        </w:rPr>
      </w:pPr>
      <w:r>
        <w:rPr>
          <w:rFonts w:hint="eastAsia" w:ascii="宋体" w:hAnsi="宋体" w:cs="宋体"/>
          <w:sz w:val="24"/>
          <w:szCs w:val="24"/>
        </w:rPr>
        <w:t xml:space="preserve">   （四）建筑物基本状况</w:t>
      </w:r>
    </w:p>
    <w:p>
      <w:pPr>
        <w:keepNext w:val="0"/>
        <w:keepLines w:val="0"/>
        <w:pageBreakBefore w:val="0"/>
        <w:widowControl w:val="0"/>
        <w:kinsoku/>
        <w:wordWrap/>
        <w:overflowPunct/>
        <w:topLinePunct w:val="0"/>
        <w:autoSpaceDE/>
        <w:autoSpaceDN/>
        <w:bidi w:val="0"/>
        <w:adjustRightInd/>
        <w:snapToGrid/>
        <w:spacing w:line="360" w:lineRule="exact"/>
        <w:jc w:val="right"/>
        <w:textAlignment w:val="auto"/>
        <w:rPr>
          <w:rFonts w:hint="eastAsia" w:ascii="宋体" w:hAnsi="宋体" w:cs="宋体"/>
          <w:sz w:val="24"/>
          <w:szCs w:val="24"/>
        </w:rPr>
      </w:pPr>
      <w:r>
        <w:rPr>
          <w:rFonts w:hint="eastAsia" w:ascii="宋体" w:hAnsi="宋体" w:cs="宋体"/>
          <w:sz w:val="24"/>
          <w:szCs w:val="24"/>
        </w:rPr>
        <w:t xml:space="preserve">                          </w:t>
      </w:r>
      <w:bookmarkStart w:id="4" w:name="OLE_LINK18"/>
      <w:r>
        <w:rPr>
          <w:rFonts w:hint="eastAsia" w:ascii="宋体" w:hAnsi="宋体" w:cs="宋体"/>
          <w:sz w:val="24"/>
          <w:szCs w:val="24"/>
        </w:rPr>
        <w:t>建筑物基本状况说明表                        表3</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3"/>
        <w:gridCol w:w="7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210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b/>
                <w:szCs w:val="21"/>
              </w:rPr>
            </w:pPr>
            <w:r>
              <w:rPr>
                <w:rFonts w:hint="eastAsia" w:ascii="宋体" w:hAnsi="宋体" w:cs="宋体"/>
                <w:b/>
                <w:szCs w:val="21"/>
              </w:rPr>
              <w:t>建筑结构</w:t>
            </w:r>
          </w:p>
        </w:tc>
        <w:tc>
          <w:tcPr>
            <w:tcW w:w="7185" w:type="dxa"/>
            <w:noWrap w:val="0"/>
            <w:vAlign w:val="top"/>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钢混</w:t>
            </w:r>
            <w:r>
              <w:rPr>
                <w:rFonts w:hint="eastAsia" w:ascii="宋体" w:hAnsi="宋体" w:eastAsia="宋体" w:cs="宋体"/>
                <w:sz w:val="21"/>
                <w:szCs w:val="21"/>
                <w:lang w:eastAsia="zh-CN"/>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210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b/>
                <w:szCs w:val="21"/>
              </w:rPr>
            </w:pPr>
            <w:r>
              <w:rPr>
                <w:rFonts w:hint="eastAsia" w:ascii="宋体" w:hAnsi="宋体" w:cs="宋体"/>
                <w:b/>
                <w:szCs w:val="21"/>
              </w:rPr>
              <w:t>设施设备</w:t>
            </w:r>
          </w:p>
        </w:tc>
        <w:tc>
          <w:tcPr>
            <w:tcW w:w="7185" w:type="dxa"/>
            <w:noWrap w:val="0"/>
            <w:vAlign w:val="top"/>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带2部</w:t>
            </w:r>
            <w:r>
              <w:rPr>
                <w:rFonts w:hint="eastAsia" w:ascii="宋体" w:hAnsi="宋体" w:eastAsia="宋体" w:cs="宋体"/>
                <w:sz w:val="21"/>
                <w:szCs w:val="21"/>
                <w:lang w:eastAsia="zh-CN"/>
              </w:rPr>
              <w:t>电梯</w:t>
            </w:r>
            <w:r>
              <w:rPr>
                <w:rFonts w:hint="eastAsia" w:ascii="宋体" w:hAnsi="宋体" w:eastAsia="宋体" w:cs="宋体"/>
                <w:sz w:val="21"/>
                <w:szCs w:val="21"/>
              </w:rPr>
              <w:t>，水电</w:t>
            </w:r>
            <w:r>
              <w:rPr>
                <w:rFonts w:hint="eastAsia" w:ascii="宋体" w:hAnsi="宋体" w:eastAsia="宋体" w:cs="宋体"/>
                <w:sz w:val="21"/>
                <w:szCs w:val="21"/>
                <w:lang w:eastAsia="zh-CN"/>
              </w:rPr>
              <w:t>、消防</w:t>
            </w:r>
            <w:r>
              <w:rPr>
                <w:rFonts w:hint="eastAsia" w:ascii="宋体" w:hAnsi="宋体" w:eastAsia="宋体" w:cs="宋体"/>
                <w:sz w:val="21"/>
                <w:szCs w:val="21"/>
              </w:rPr>
              <w:t>设施齐全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1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b/>
                <w:szCs w:val="21"/>
              </w:rPr>
            </w:pPr>
            <w:r>
              <w:rPr>
                <w:rFonts w:hint="eastAsia" w:ascii="宋体" w:hAnsi="宋体" w:cs="宋体"/>
                <w:b/>
                <w:szCs w:val="21"/>
              </w:rPr>
              <w:t>装饰装修</w:t>
            </w:r>
          </w:p>
        </w:tc>
        <w:tc>
          <w:tcPr>
            <w:tcW w:w="7185"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建筑物外墙面</w:t>
            </w:r>
            <w:r>
              <w:rPr>
                <w:rFonts w:hint="eastAsia" w:ascii="宋体" w:hAnsi="宋体" w:eastAsia="宋体" w:cs="宋体"/>
                <w:sz w:val="21"/>
                <w:szCs w:val="21"/>
                <w:lang w:eastAsia="zh-CN"/>
              </w:rPr>
              <w:t>为</w:t>
            </w:r>
            <w:r>
              <w:rPr>
                <w:rFonts w:hint="eastAsia" w:ascii="宋体" w:hAnsi="宋体" w:eastAsia="宋体" w:cs="宋体"/>
                <w:color w:val="000000"/>
                <w:sz w:val="21"/>
                <w:szCs w:val="21"/>
                <w:lang w:eastAsia="zh-CN"/>
              </w:rPr>
              <w:t>涂料粉刷</w:t>
            </w:r>
            <w:r>
              <w:rPr>
                <w:rFonts w:hint="eastAsia" w:ascii="宋体" w:hAnsi="宋体" w:eastAsia="宋体" w:cs="宋体"/>
                <w:sz w:val="21"/>
                <w:szCs w:val="21"/>
                <w:lang w:eastAsia="zh-CN"/>
              </w:rPr>
              <w:t>；</w:t>
            </w:r>
            <w:r>
              <w:rPr>
                <w:rFonts w:hint="eastAsia" w:ascii="宋体" w:hAnsi="宋体" w:eastAsia="宋体" w:cs="宋体"/>
                <w:sz w:val="21"/>
                <w:szCs w:val="21"/>
              </w:rPr>
              <w:t>楼梯踏步为</w:t>
            </w:r>
            <w:r>
              <w:rPr>
                <w:rFonts w:hint="eastAsia" w:ascii="宋体" w:hAnsi="宋体" w:eastAsia="宋体" w:cs="宋体"/>
                <w:sz w:val="21"/>
                <w:szCs w:val="21"/>
                <w:lang w:eastAsia="zh-CN"/>
              </w:rPr>
              <w:t>水泥砂浆找平</w:t>
            </w:r>
            <w:r>
              <w:rPr>
                <w:rFonts w:hint="eastAsia" w:ascii="宋体" w:hAnsi="宋体" w:eastAsia="宋体" w:cs="宋体"/>
                <w:sz w:val="21"/>
                <w:szCs w:val="21"/>
              </w:rPr>
              <w:t>，</w:t>
            </w:r>
            <w:r>
              <w:rPr>
                <w:rFonts w:hint="eastAsia" w:ascii="宋体" w:hAnsi="宋体" w:eastAsia="宋体" w:cs="宋体"/>
                <w:sz w:val="21"/>
                <w:szCs w:val="21"/>
                <w:lang w:eastAsia="zh-CN"/>
              </w:rPr>
              <w:t>铁</w:t>
            </w:r>
            <w:r>
              <w:rPr>
                <w:rFonts w:hint="eastAsia" w:ascii="宋体" w:hAnsi="宋体" w:eastAsia="宋体" w:cs="宋体"/>
                <w:sz w:val="21"/>
                <w:szCs w:val="21"/>
              </w:rPr>
              <w:t>栏杆及扶手</w:t>
            </w:r>
            <w:r>
              <w:rPr>
                <w:rFonts w:hint="eastAsia" w:ascii="宋体" w:hAnsi="宋体" w:eastAsia="宋体" w:cs="宋体"/>
                <w:sz w:val="21"/>
                <w:szCs w:val="21"/>
                <w:lang w:val="en-US" w:eastAsia="zh-CN"/>
              </w:rPr>
              <w:t>，</w:t>
            </w:r>
            <w:r>
              <w:rPr>
                <w:rFonts w:hint="eastAsia" w:ascii="宋体" w:hAnsi="宋体" w:eastAsia="宋体" w:cs="宋体"/>
                <w:sz w:val="21"/>
                <w:szCs w:val="21"/>
              </w:rPr>
              <w:t>室内</w:t>
            </w:r>
            <w:r>
              <w:rPr>
                <w:rFonts w:hint="eastAsia" w:ascii="宋体" w:hAnsi="宋体" w:eastAsia="宋体" w:cs="宋体"/>
                <w:sz w:val="21"/>
                <w:szCs w:val="21"/>
                <w:lang w:eastAsia="zh-CN"/>
              </w:rPr>
              <w:t>为</w:t>
            </w:r>
            <w:r>
              <w:rPr>
                <w:rFonts w:hint="eastAsia" w:ascii="宋体" w:hAnsi="宋体" w:eastAsia="宋体" w:cs="宋体"/>
                <w:sz w:val="21"/>
                <w:szCs w:val="21"/>
                <w:lang w:val="en-US" w:eastAsia="zh-CN"/>
              </w:rPr>
              <w:t>毛坯</w:t>
            </w:r>
            <w:r>
              <w:rPr>
                <w:rFonts w:hint="eastAsia" w:ascii="宋体" w:hAnsi="宋体" w:eastAsia="宋体" w:cs="宋体"/>
                <w:sz w:val="21"/>
                <w:szCs w:val="21"/>
                <w:lang w:eastAsia="zh-CN"/>
              </w:rPr>
              <w:t>，详</w:t>
            </w:r>
            <w:r>
              <w:rPr>
                <w:rFonts w:hint="eastAsia" w:ascii="宋体" w:hAnsi="宋体" w:eastAsia="宋体" w:cs="宋体"/>
                <w:sz w:val="21"/>
                <w:szCs w:val="21"/>
              </w:rPr>
              <w:t>见</w:t>
            </w:r>
            <w:r>
              <w:rPr>
                <w:rFonts w:hint="eastAsia" w:ascii="宋体" w:hAnsi="宋体" w:eastAsia="宋体" w:cs="宋体"/>
                <w:sz w:val="21"/>
                <w:szCs w:val="21"/>
                <w:lang w:eastAsia="zh-CN"/>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1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b/>
                <w:szCs w:val="21"/>
              </w:rPr>
            </w:pPr>
            <w:r>
              <w:rPr>
                <w:rFonts w:hint="eastAsia" w:ascii="宋体" w:hAnsi="宋体" w:cs="宋体"/>
                <w:b/>
                <w:szCs w:val="21"/>
              </w:rPr>
              <w:t>建成时间及成新率</w:t>
            </w:r>
          </w:p>
        </w:tc>
        <w:tc>
          <w:tcPr>
            <w:tcW w:w="7185" w:type="dxa"/>
            <w:noWrap w:val="0"/>
            <w:vAlign w:val="top"/>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color w:val="000000"/>
                <w:spacing w:val="-4"/>
                <w:sz w:val="21"/>
                <w:szCs w:val="21"/>
              </w:rPr>
              <w:t>估价对象建成于</w:t>
            </w:r>
            <w:r>
              <w:rPr>
                <w:rFonts w:hint="eastAsia" w:ascii="宋体" w:hAnsi="宋体" w:eastAsia="宋体" w:cs="宋体"/>
                <w:color w:val="000000"/>
                <w:spacing w:val="-4"/>
                <w:sz w:val="21"/>
                <w:szCs w:val="21"/>
                <w:lang w:val="en-US" w:eastAsia="zh-CN"/>
              </w:rPr>
              <w:t>2020</w:t>
            </w:r>
            <w:r>
              <w:rPr>
                <w:rFonts w:hint="eastAsia" w:ascii="宋体" w:hAnsi="宋体" w:eastAsia="宋体" w:cs="宋体"/>
                <w:color w:val="000000"/>
                <w:spacing w:val="-4"/>
                <w:sz w:val="21"/>
                <w:szCs w:val="21"/>
              </w:rPr>
              <w:t>年，结构完好，维护保养良好，根据房屋新旧等级评定标准结合实地查勘情况，综合成新率为</w:t>
            </w:r>
            <w:r>
              <w:rPr>
                <w:rFonts w:hint="eastAsia" w:ascii="宋体" w:hAnsi="宋体" w:eastAsia="宋体" w:cs="宋体"/>
                <w:color w:val="000000"/>
                <w:spacing w:val="-4"/>
                <w:sz w:val="21"/>
                <w:szCs w:val="21"/>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b/>
                <w:szCs w:val="21"/>
              </w:rPr>
            </w:pPr>
            <w:r>
              <w:rPr>
                <w:rFonts w:hint="eastAsia" w:ascii="宋体" w:hAnsi="宋体" w:cs="宋体"/>
                <w:b/>
                <w:szCs w:val="21"/>
              </w:rPr>
              <w:t>使用及维护状况</w:t>
            </w:r>
          </w:p>
        </w:tc>
        <w:tc>
          <w:tcPr>
            <w:tcW w:w="7185" w:type="dxa"/>
            <w:noWrap w:val="0"/>
            <w:vAlign w:val="top"/>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eastAsia="zh-CN"/>
              </w:rPr>
              <w:t>至实地勘察之日估价对象</w:t>
            </w:r>
            <w:r>
              <w:rPr>
                <w:rFonts w:hint="eastAsia" w:ascii="宋体" w:hAnsi="宋体" w:eastAsia="宋体" w:cs="宋体"/>
                <w:sz w:val="21"/>
                <w:szCs w:val="21"/>
              </w:rPr>
              <w:t>维护状况</w:t>
            </w:r>
            <w:r>
              <w:rPr>
                <w:rFonts w:hint="eastAsia" w:ascii="宋体" w:hAnsi="宋体" w:eastAsia="宋体" w:cs="宋体"/>
                <w:sz w:val="21"/>
                <w:szCs w:val="21"/>
                <w:lang w:val="en-US" w:eastAsia="zh-CN"/>
              </w:rPr>
              <w:t>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b/>
                <w:szCs w:val="21"/>
              </w:rPr>
            </w:pPr>
            <w:r>
              <w:rPr>
                <w:rFonts w:hint="eastAsia" w:ascii="宋体" w:hAnsi="宋体" w:cs="宋体"/>
                <w:b/>
                <w:szCs w:val="21"/>
              </w:rPr>
              <w:t>外观</w:t>
            </w:r>
          </w:p>
        </w:tc>
        <w:tc>
          <w:tcPr>
            <w:tcW w:w="7185" w:type="dxa"/>
            <w:noWrap w:val="0"/>
            <w:vAlign w:val="top"/>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rPr>
              <w:t>建筑物外观</w:t>
            </w:r>
            <w:r>
              <w:rPr>
                <w:rFonts w:hint="eastAsia" w:ascii="宋体" w:hAnsi="宋体" w:eastAsia="宋体" w:cs="宋体"/>
                <w:sz w:val="21"/>
                <w:szCs w:val="21"/>
                <w:lang w:val="en-US" w:eastAsia="zh-CN"/>
              </w:rPr>
              <w:t>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b/>
                <w:szCs w:val="21"/>
                <w:lang w:eastAsia="zh-CN"/>
              </w:rPr>
            </w:pPr>
            <w:r>
              <w:rPr>
                <w:rFonts w:hint="eastAsia" w:ascii="宋体" w:hAnsi="宋体" w:cs="宋体"/>
                <w:b/>
                <w:szCs w:val="21"/>
                <w:lang w:eastAsia="zh-CN"/>
              </w:rPr>
              <w:t>户型</w:t>
            </w:r>
          </w:p>
        </w:tc>
        <w:tc>
          <w:tcPr>
            <w:tcW w:w="7185" w:type="dxa"/>
            <w:noWrap w:val="0"/>
            <w:vAlign w:val="top"/>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现场查勘为两房二厅二阳一卫一厨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b/>
                <w:szCs w:val="21"/>
              </w:rPr>
            </w:pPr>
            <w:r>
              <w:rPr>
                <w:rFonts w:hint="eastAsia" w:ascii="宋体" w:hAnsi="宋体" w:cs="宋体"/>
                <w:b/>
                <w:bCs/>
                <w:color w:val="auto"/>
                <w:sz w:val="21"/>
                <w:szCs w:val="21"/>
                <w:lang w:eastAsia="zh-CN"/>
              </w:rPr>
              <w:t>建筑面积</w:t>
            </w:r>
          </w:p>
        </w:tc>
        <w:tc>
          <w:tcPr>
            <w:tcW w:w="7185"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宋体" w:hAnsi="宋体" w:eastAsia="宋体" w:cs="宋体"/>
                <w:sz w:val="21"/>
                <w:szCs w:val="21"/>
                <w:lang w:val="en-US"/>
              </w:rPr>
            </w:pPr>
            <w:r>
              <w:rPr>
                <w:rFonts w:hint="eastAsia" w:ascii="宋体" w:hAnsi="宋体" w:cs="宋体"/>
                <w:color w:val="auto"/>
                <w:sz w:val="21"/>
                <w:szCs w:val="21"/>
                <w:vertAlign w:val="baseline"/>
                <w:lang w:val="en-US" w:eastAsia="zh-CN"/>
              </w:rPr>
              <w:t>住宅：106.49m</w:t>
            </w:r>
            <w:r>
              <w:rPr>
                <w:rFonts w:hint="eastAsia" w:ascii="宋体" w:hAnsi="宋体" w:cs="宋体"/>
                <w:color w:val="auto"/>
                <w:sz w:val="21"/>
                <w:szCs w:val="21"/>
                <w:vertAlign w:val="superscript"/>
                <w:lang w:val="en-US" w:eastAsia="zh-CN"/>
              </w:rPr>
              <w:t>2</w:t>
            </w:r>
            <w:r>
              <w:rPr>
                <w:rFonts w:hint="eastAsia" w:ascii="宋体" w:hAnsi="宋体" w:eastAsia="宋体" w:cs="宋体"/>
                <w:sz w:val="21"/>
                <w:szCs w:val="21"/>
                <w:lang w:eastAsia="zh-CN"/>
              </w:rPr>
              <w:t>，</w:t>
            </w:r>
            <w:r>
              <w:rPr>
                <w:rFonts w:hint="eastAsia" w:ascii="宋体" w:hAnsi="宋体" w:cs="宋体"/>
                <w:sz w:val="21"/>
                <w:szCs w:val="21"/>
                <w:lang w:val="en-US" w:eastAsia="zh-CN"/>
              </w:rPr>
              <w:t>车位：</w:t>
            </w:r>
            <w:r>
              <w:rPr>
                <w:rFonts w:hint="eastAsia" w:ascii="宋体" w:hAnsi="宋体" w:cs="宋体"/>
                <w:color w:val="auto"/>
                <w:sz w:val="21"/>
                <w:szCs w:val="21"/>
                <w:vertAlign w:val="baseline"/>
                <w:lang w:val="en-US" w:eastAsia="zh-CN"/>
              </w:rPr>
              <w:t>44.15m</w:t>
            </w:r>
            <w:r>
              <w:rPr>
                <w:rFonts w:hint="eastAsia" w:ascii="宋体" w:hAnsi="宋体" w:cs="宋体"/>
                <w:color w:val="auto"/>
                <w:sz w:val="21"/>
                <w:szCs w:val="21"/>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b/>
                <w:szCs w:val="21"/>
              </w:rPr>
            </w:pPr>
            <w:r>
              <w:rPr>
                <w:rFonts w:hint="eastAsia" w:ascii="宋体" w:hAnsi="宋体" w:cs="宋体"/>
                <w:b/>
                <w:szCs w:val="21"/>
              </w:rPr>
              <w:t>层高</w:t>
            </w:r>
          </w:p>
        </w:tc>
        <w:tc>
          <w:tcPr>
            <w:tcW w:w="7185" w:type="dxa"/>
            <w:noWrap w:val="0"/>
            <w:vAlign w:val="top"/>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宋体" w:hAnsi="宋体" w:eastAsia="宋体" w:cs="宋体"/>
                <w:sz w:val="21"/>
                <w:szCs w:val="21"/>
                <w:lang w:val="en-US" w:eastAsia="zh-CN"/>
              </w:rPr>
            </w:pPr>
            <w:r>
              <w:rPr>
                <w:rFonts w:hint="eastAsia" w:ascii="宋体" w:hAnsi="宋体" w:eastAsia="宋体" w:cs="宋体"/>
                <w:sz w:val="21"/>
                <w:szCs w:val="21"/>
                <w:lang w:eastAsia="zh-CN"/>
              </w:rPr>
              <w:t>约</w:t>
            </w:r>
            <w:r>
              <w:rPr>
                <w:rFonts w:hint="eastAsia" w:ascii="宋体" w:hAnsi="宋体" w:eastAsia="宋体" w:cs="宋体"/>
                <w:sz w:val="21"/>
                <w:szCs w:val="21"/>
                <w:lang w:val="en-US" w:eastAsia="zh-CN"/>
              </w:rPr>
              <w:t>2.9米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b/>
                <w:szCs w:val="21"/>
              </w:rPr>
            </w:pPr>
            <w:r>
              <w:rPr>
                <w:rFonts w:hint="eastAsia" w:ascii="宋体" w:hAnsi="宋体" w:cs="宋体"/>
                <w:b/>
                <w:szCs w:val="21"/>
              </w:rPr>
              <w:t>朝向</w:t>
            </w:r>
          </w:p>
        </w:tc>
        <w:tc>
          <w:tcPr>
            <w:tcW w:w="7185" w:type="dxa"/>
            <w:noWrap w:val="0"/>
            <w:vAlign w:val="top"/>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住宅：</w:t>
            </w:r>
            <w:r>
              <w:rPr>
                <w:rFonts w:hint="eastAsia" w:ascii="宋体" w:hAnsi="宋体" w:eastAsia="宋体" w:cs="宋体"/>
                <w:sz w:val="21"/>
                <w:szCs w:val="21"/>
                <w:lang w:eastAsia="zh-CN"/>
              </w:rPr>
              <w:t>估价对象南北</w:t>
            </w:r>
            <w:r>
              <w:rPr>
                <w:rFonts w:hint="eastAsia" w:ascii="宋体" w:hAnsi="宋体" w:eastAsia="宋体" w:cs="宋体"/>
                <w:sz w:val="21"/>
                <w:szCs w:val="21"/>
                <w:lang w:val="en-US" w:eastAsia="zh-CN"/>
              </w:rPr>
              <w:t>朝向，三面采光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3"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b/>
                <w:szCs w:val="21"/>
              </w:rPr>
            </w:pPr>
            <w:r>
              <w:rPr>
                <w:rFonts w:hint="eastAsia" w:ascii="宋体" w:hAnsi="宋体" w:cs="宋体"/>
                <w:b/>
                <w:szCs w:val="21"/>
              </w:rPr>
              <w:t>层次/总层数</w:t>
            </w:r>
          </w:p>
        </w:tc>
        <w:tc>
          <w:tcPr>
            <w:tcW w:w="7185" w:type="dxa"/>
            <w:noWrap w:val="0"/>
            <w:vAlign w:val="top"/>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住宅：</w:t>
            </w:r>
            <w:r>
              <w:rPr>
                <w:rFonts w:hint="eastAsia" w:ascii="宋体" w:hAnsi="宋体" w:eastAsia="宋体" w:cs="宋体"/>
                <w:sz w:val="21"/>
                <w:szCs w:val="21"/>
                <w:lang w:eastAsia="zh-CN"/>
              </w:rPr>
              <w:t>第</w:t>
            </w:r>
            <w:r>
              <w:rPr>
                <w:rFonts w:hint="eastAsia" w:ascii="宋体" w:hAnsi="宋体" w:eastAsia="宋体" w:cs="宋体"/>
                <w:sz w:val="21"/>
                <w:szCs w:val="21"/>
                <w:lang w:val="en-US" w:eastAsia="zh-CN"/>
              </w:rPr>
              <w:t>28</w:t>
            </w:r>
            <w:r>
              <w:rPr>
                <w:rFonts w:hint="eastAsia" w:ascii="宋体" w:hAnsi="宋体" w:eastAsia="宋体" w:cs="宋体"/>
                <w:sz w:val="21"/>
                <w:szCs w:val="21"/>
                <w:lang w:eastAsia="zh-CN"/>
              </w:rPr>
              <w:t>层/总</w:t>
            </w:r>
            <w:r>
              <w:rPr>
                <w:rFonts w:hint="eastAsia" w:ascii="宋体" w:hAnsi="宋体" w:eastAsia="宋体" w:cs="宋体"/>
                <w:sz w:val="21"/>
                <w:szCs w:val="21"/>
                <w:lang w:val="en-US" w:eastAsia="zh-CN"/>
              </w:rPr>
              <w:t>31</w:t>
            </w:r>
            <w:r>
              <w:rPr>
                <w:rFonts w:hint="eastAsia" w:ascii="宋体" w:hAnsi="宋体" w:eastAsia="宋体" w:cs="宋体"/>
                <w:sz w:val="21"/>
                <w:szCs w:val="21"/>
                <w:lang w:eastAsia="zh-CN"/>
              </w:rPr>
              <w:t>层，</w:t>
            </w:r>
            <w:r>
              <w:rPr>
                <w:rFonts w:hint="eastAsia" w:ascii="宋体" w:hAnsi="宋体" w:eastAsia="宋体" w:cs="宋体"/>
                <w:sz w:val="21"/>
                <w:szCs w:val="21"/>
                <w:lang w:val="en-US" w:eastAsia="zh-CN"/>
              </w:rPr>
              <w:t>车位:</w:t>
            </w:r>
            <w:r>
              <w:rPr>
                <w:rFonts w:hint="eastAsia" w:ascii="宋体" w:hAnsi="宋体" w:eastAsia="宋体" w:cs="宋体"/>
                <w:sz w:val="21"/>
                <w:szCs w:val="21"/>
                <w:lang w:eastAsia="zh-CN"/>
              </w:rPr>
              <w:t>第</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层/总</w:t>
            </w:r>
            <w:r>
              <w:rPr>
                <w:rFonts w:hint="eastAsia" w:ascii="宋体" w:hAnsi="宋体" w:eastAsia="宋体" w:cs="宋体"/>
                <w:sz w:val="21"/>
                <w:szCs w:val="21"/>
                <w:lang w:val="en-US" w:eastAsia="zh-CN"/>
              </w:rPr>
              <w:t>33</w:t>
            </w:r>
            <w:r>
              <w:rPr>
                <w:rFonts w:hint="eastAsia" w:ascii="宋体" w:hAnsi="宋体" w:eastAsia="宋体" w:cs="宋体"/>
                <w:sz w:val="21"/>
                <w:szCs w:val="21"/>
                <w:lang w:eastAsia="zh-CN"/>
              </w:rPr>
              <w:t>层</w:t>
            </w:r>
          </w:p>
        </w:tc>
      </w:tr>
      <w:bookmarkEnd w:id="4"/>
    </w:tbl>
    <w:p>
      <w:pPr>
        <w:keepNext w:val="0"/>
        <w:keepLines w:val="0"/>
        <w:pageBreakBefore w:val="0"/>
        <w:widowControl w:val="0"/>
        <w:kinsoku/>
        <w:wordWrap/>
        <w:overflowPunct/>
        <w:topLinePunct w:val="0"/>
        <w:autoSpaceDE/>
        <w:autoSpaceDN/>
        <w:bidi w:val="0"/>
        <w:adjustRightInd/>
        <w:snapToGrid/>
        <w:spacing w:line="360" w:lineRule="exact"/>
        <w:ind w:firstLine="562" w:firstLineChars="200"/>
        <w:jc w:val="both"/>
        <w:textAlignment w:val="auto"/>
        <w:rPr>
          <w:rFonts w:hint="eastAsia" w:ascii="宋体" w:hAnsi="宋体" w:cs="宋体"/>
          <w:b/>
          <w:sz w:val="28"/>
          <w:szCs w:val="28"/>
        </w:rPr>
      </w:pPr>
      <w:r>
        <w:rPr>
          <w:rFonts w:hint="eastAsia" w:ascii="宋体" w:hAnsi="宋体" w:cs="宋体"/>
          <w:b/>
          <w:sz w:val="28"/>
          <w:szCs w:val="28"/>
        </w:rPr>
        <w:t>五、价值时点</w:t>
      </w:r>
    </w:p>
    <w:p>
      <w:pPr>
        <w:keepNext w:val="0"/>
        <w:keepLines w:val="0"/>
        <w:pageBreakBefore w:val="0"/>
        <w:widowControl w:val="0"/>
        <w:tabs>
          <w:tab w:val="left" w:pos="3731"/>
        </w:tabs>
        <w:kinsoku/>
        <w:wordWrap/>
        <w:overflowPunct/>
        <w:topLinePunct w:val="0"/>
        <w:autoSpaceDE/>
        <w:autoSpaceDN/>
        <w:bidi w:val="0"/>
        <w:adjustRightInd/>
        <w:snapToGrid/>
        <w:spacing w:line="440" w:lineRule="exact"/>
        <w:ind w:right="0" w:rightChars="0"/>
        <w:jc w:val="both"/>
        <w:textAlignment w:val="auto"/>
        <w:outlineLvl w:val="9"/>
        <w:rPr>
          <w:rFonts w:hint="eastAsia" w:ascii="宋体" w:hAnsi="宋体" w:cs="宋体"/>
          <w:sz w:val="24"/>
          <w:szCs w:val="24"/>
        </w:rPr>
      </w:pPr>
      <w:r>
        <w:rPr>
          <w:rFonts w:hint="eastAsia" w:ascii="宋体" w:hAnsi="宋体" w:cs="宋体"/>
          <w:sz w:val="24"/>
          <w:szCs w:val="24"/>
        </w:rPr>
        <w:t xml:space="preserve">     价值时点为</w:t>
      </w:r>
      <w:r>
        <w:rPr>
          <w:rFonts w:hint="eastAsia" w:ascii="宋体" w:hAnsi="宋体" w:cs="宋体"/>
          <w:sz w:val="24"/>
          <w:szCs w:val="24"/>
          <w:lang w:eastAsia="zh-CN"/>
        </w:rPr>
        <w:t>2022年6月24日</w:t>
      </w:r>
      <w:r>
        <w:rPr>
          <w:rFonts w:hint="eastAsia" w:ascii="宋体" w:hAnsi="宋体" w:cs="宋体"/>
          <w:color w:val="auto"/>
          <w:sz w:val="24"/>
          <w:szCs w:val="24"/>
        </w:rPr>
        <w:t>（实地</w:t>
      </w:r>
      <w:r>
        <w:rPr>
          <w:rFonts w:hint="eastAsia" w:ascii="宋体" w:hAnsi="宋体" w:cs="宋体"/>
          <w:sz w:val="24"/>
          <w:szCs w:val="24"/>
        </w:rPr>
        <w:t>查勘之日）</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textAlignment w:val="auto"/>
        <w:outlineLvl w:val="9"/>
        <w:rPr>
          <w:rFonts w:hint="eastAsia" w:ascii="宋体" w:hAnsi="宋体" w:cs="宋体"/>
          <w:b/>
          <w:sz w:val="28"/>
          <w:szCs w:val="28"/>
        </w:rPr>
      </w:pPr>
      <w:r>
        <w:rPr>
          <w:rFonts w:hint="eastAsia" w:ascii="宋体" w:hAnsi="宋体" w:cs="宋体"/>
          <w:b/>
          <w:sz w:val="28"/>
          <w:szCs w:val="28"/>
        </w:rPr>
        <w:t xml:space="preserve">    六、价值类型</w:t>
      </w:r>
    </w:p>
    <w:p>
      <w:pPr>
        <w:keepNext w:val="0"/>
        <w:keepLines w:val="0"/>
        <w:pageBreakBefore w:val="0"/>
        <w:widowControl w:val="0"/>
        <w:numPr>
          <w:ilvl w:val="0"/>
          <w:numId w:val="9"/>
        </w:numPr>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价值类型名称</w:t>
      </w:r>
    </w:p>
    <w:p>
      <w:pPr>
        <w:keepNext w:val="0"/>
        <w:keepLines w:val="0"/>
        <w:pageBreakBefore w:val="0"/>
        <w:widowControl w:val="0"/>
        <w:kinsoku/>
        <w:wordWrap/>
        <w:overflowPunct/>
        <w:topLinePunct w:val="0"/>
        <w:autoSpaceDE/>
        <w:autoSpaceDN/>
        <w:bidi w:val="0"/>
        <w:adjustRightInd/>
        <w:snapToGrid/>
        <w:spacing w:line="440" w:lineRule="exact"/>
        <w:ind w:left="420" w:leftChars="200" w:right="0" w:rightChars="0"/>
        <w:jc w:val="both"/>
        <w:textAlignment w:val="auto"/>
        <w:outlineLvl w:val="9"/>
        <w:rPr>
          <w:rFonts w:hint="eastAsia" w:ascii="宋体" w:hAnsi="宋体" w:cs="宋体"/>
          <w:sz w:val="24"/>
          <w:szCs w:val="24"/>
        </w:rPr>
      </w:pPr>
      <w:r>
        <w:rPr>
          <w:rFonts w:hint="eastAsia" w:ascii="宋体" w:hAnsi="宋体" w:cs="宋体"/>
          <w:sz w:val="24"/>
          <w:szCs w:val="24"/>
        </w:rPr>
        <w:t>本次估价的价值类型为市场价值。</w:t>
      </w:r>
    </w:p>
    <w:p>
      <w:pPr>
        <w:keepNext w:val="0"/>
        <w:keepLines w:val="0"/>
        <w:pageBreakBefore w:val="0"/>
        <w:widowControl w:val="0"/>
        <w:numPr>
          <w:ilvl w:val="0"/>
          <w:numId w:val="9"/>
        </w:numPr>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价值定义</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hint="eastAsia" w:ascii="宋体" w:hAnsi="宋体" w:cs="宋体"/>
          <w:sz w:val="24"/>
          <w:szCs w:val="24"/>
        </w:rPr>
      </w:pPr>
      <w:bookmarkStart w:id="5" w:name="OLE_LINK6"/>
      <w:r>
        <w:rPr>
          <w:rFonts w:hint="eastAsia" w:ascii="宋体" w:hAnsi="宋体" w:cs="宋体"/>
          <w:sz w:val="24"/>
          <w:szCs w:val="24"/>
        </w:rPr>
        <w:t>市场价值为估价对象经适当营销后，由熟悉情况、谨慎行事且不受强迫的交易双方，以公平交易方式在价值时点自愿进行交易的金额。</w:t>
      </w:r>
      <w:bookmarkEnd w:id="5"/>
    </w:p>
    <w:p>
      <w:pPr>
        <w:keepNext w:val="0"/>
        <w:keepLines w:val="0"/>
        <w:pageBreakBefore w:val="0"/>
        <w:widowControl w:val="0"/>
        <w:numPr>
          <w:ilvl w:val="0"/>
          <w:numId w:val="9"/>
        </w:numPr>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rPr>
        <w:t>价值内涵</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cs="宋体"/>
          <w:sz w:val="24"/>
        </w:rPr>
      </w:pPr>
      <w:bookmarkStart w:id="6" w:name="OLE_LINK5"/>
      <w:r>
        <w:rPr>
          <w:rFonts w:hint="eastAsia" w:ascii="宋体" w:hAnsi="宋体" w:cs="宋体"/>
          <w:sz w:val="24"/>
        </w:rPr>
        <w:t>价值内涵是估价对象在价值时点，满足本次估价假设和限制条件下包括建筑物、分摊的土地使用权（含土地出让金）及公共配套设施，不包括动产、债权债务、特许经营权等其他财产或权益；付款方式是一次性付清房价款（包括首付及按揭贷款）；房屋面积内涵是建筑面积；开发程度为现房，具备“五通”</w:t>
      </w:r>
      <w:bookmarkEnd w:id="6"/>
      <w:r>
        <w:rPr>
          <w:rFonts w:hint="eastAsia" w:ascii="宋体" w:hAnsi="宋体" w:cs="宋体"/>
          <w:sz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宋体" w:hAnsi="宋体" w:cs="宋体"/>
          <w:b/>
          <w:sz w:val="28"/>
          <w:szCs w:val="28"/>
        </w:rPr>
      </w:pPr>
      <w:r>
        <w:rPr>
          <w:rFonts w:hint="eastAsia" w:ascii="宋体" w:hAnsi="宋体" w:cs="宋体"/>
          <w:b/>
          <w:sz w:val="28"/>
          <w:szCs w:val="28"/>
        </w:rPr>
        <w:t xml:space="preserve">   七、估价原则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cs="宋体"/>
          <w:sz w:val="24"/>
        </w:rPr>
      </w:pPr>
      <w:r>
        <w:rPr>
          <w:rFonts w:hint="eastAsia" w:ascii="宋体" w:hAnsi="宋体" w:cs="宋体"/>
          <w:sz w:val="24"/>
        </w:rPr>
        <w:t>1、独立、客观、公正原则：要求站在中立的立场上，实事求是、公平正直地评估出对各方估价利害关系人均是公平合理的价值或价格的原则。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cs="宋体"/>
          <w:sz w:val="24"/>
        </w:rPr>
      </w:pPr>
      <w:r>
        <w:rPr>
          <w:rFonts w:hint="eastAsia" w:ascii="宋体" w:hAnsi="宋体" w:cs="宋体"/>
          <w:sz w:val="24"/>
        </w:rPr>
        <w:t>2、合法原则：要求估价结果是在依法判定的估价对象状况下的价值或价格的原则。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cs="宋体"/>
          <w:sz w:val="24"/>
        </w:rPr>
      </w:pPr>
      <w:r>
        <w:rPr>
          <w:rFonts w:hint="eastAsia" w:ascii="宋体" w:hAnsi="宋体" w:cs="宋体"/>
          <w:sz w:val="24"/>
        </w:rPr>
        <w:t>3、价值时点原则：要求估价结果是在根据估价目的确定的某一特定时间的价值或价格的原则。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cs="宋体"/>
          <w:sz w:val="24"/>
        </w:rPr>
      </w:pPr>
      <w:r>
        <w:rPr>
          <w:rFonts w:hint="eastAsia" w:ascii="宋体" w:hAnsi="宋体" w:cs="宋体"/>
          <w:sz w:val="24"/>
        </w:rPr>
        <w:t>4、替代原则：要求估价结果与估价对象的类似房地产在同等条件下的价值或价格偏差在合理范围内的原则。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cs="宋体"/>
          <w:sz w:val="24"/>
        </w:rPr>
      </w:pPr>
      <w:r>
        <w:rPr>
          <w:rFonts w:hint="eastAsia" w:ascii="宋体" w:hAnsi="宋体" w:cs="宋体"/>
          <w:sz w:val="24"/>
        </w:rPr>
        <w:t>5、最高最佳利用原则：要求估价结果是在估价对象最高最佳利用状况下的价值或价格的原则。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宋体" w:hAnsi="宋体" w:cs="宋体"/>
          <w:b/>
          <w:sz w:val="28"/>
          <w:szCs w:val="28"/>
        </w:rPr>
      </w:pPr>
      <w:r>
        <w:rPr>
          <w:rFonts w:hint="eastAsia" w:ascii="宋体" w:hAnsi="宋体" w:cs="宋体"/>
          <w:b/>
          <w:sz w:val="28"/>
          <w:szCs w:val="28"/>
          <w:lang w:val="en-US" w:eastAsia="zh-CN"/>
        </w:rPr>
        <w:t xml:space="preserve">   </w:t>
      </w:r>
      <w:r>
        <w:rPr>
          <w:rFonts w:hint="eastAsia" w:ascii="宋体" w:hAnsi="宋体" w:cs="宋体"/>
          <w:b/>
          <w:sz w:val="28"/>
          <w:szCs w:val="28"/>
        </w:rPr>
        <w:t>八、估价依据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cs="宋体"/>
          <w:sz w:val="24"/>
        </w:rPr>
      </w:pPr>
      <w:r>
        <w:rPr>
          <w:rFonts w:hint="eastAsia" w:ascii="宋体" w:hAnsi="宋体" w:cs="宋体"/>
          <w:b/>
          <w:sz w:val="28"/>
          <w:szCs w:val="28"/>
        </w:rPr>
        <w:t xml:space="preserve">   </w:t>
      </w:r>
      <w:r>
        <w:rPr>
          <w:rFonts w:hint="eastAsia" w:ascii="宋体" w:hAnsi="宋体" w:cs="宋体"/>
          <w:sz w:val="24"/>
          <w:lang w:eastAsia="zh-CN"/>
        </w:rPr>
        <w:t>（一）</w:t>
      </w:r>
      <w:r>
        <w:rPr>
          <w:rFonts w:hint="eastAsia" w:ascii="宋体" w:hAnsi="宋体" w:cs="宋体"/>
          <w:sz w:val="24"/>
        </w:rPr>
        <w:t>有关法律、法规及文件依据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cs="宋体"/>
          <w:sz w:val="24"/>
        </w:rPr>
      </w:pPr>
      <w:r>
        <w:rPr>
          <w:rFonts w:hint="eastAsia" w:ascii="宋体" w:hAnsi="宋体" w:cs="宋体"/>
          <w:sz w:val="24"/>
          <w:lang w:val="en-US" w:eastAsia="zh-CN"/>
        </w:rPr>
        <w:t xml:space="preserve">    </w:t>
      </w:r>
      <w:r>
        <w:rPr>
          <w:rFonts w:hint="eastAsia" w:ascii="宋体" w:hAnsi="宋体" w:cs="宋体"/>
          <w:sz w:val="24"/>
        </w:rPr>
        <w:t>1</w:t>
      </w:r>
      <w:r>
        <w:rPr>
          <w:rFonts w:hint="eastAsia" w:ascii="宋体" w:hAnsi="宋体" w:cs="宋体"/>
          <w:sz w:val="24"/>
          <w:lang w:eastAsia="zh-CN"/>
        </w:rPr>
        <w:t>、</w:t>
      </w:r>
      <w:r>
        <w:rPr>
          <w:rFonts w:hint="eastAsia" w:ascii="宋体" w:hAnsi="宋体" w:cs="宋体"/>
          <w:sz w:val="24"/>
        </w:rPr>
        <w:t>《中华人民共和国资产评估法》（</w:t>
      </w:r>
      <w:r>
        <w:rPr>
          <w:rFonts w:hint="eastAsia" w:ascii="宋体" w:hAnsi="宋体" w:cs="宋体"/>
          <w:sz w:val="24"/>
          <w:lang w:eastAsia="zh-CN"/>
        </w:rPr>
        <w:t>主席令第</w:t>
      </w:r>
      <w:r>
        <w:rPr>
          <w:rFonts w:hint="eastAsia" w:ascii="宋体" w:hAnsi="宋体" w:cs="宋体"/>
          <w:sz w:val="24"/>
          <w:lang w:val="en-US" w:eastAsia="zh-CN"/>
        </w:rPr>
        <w:t>46</w:t>
      </w:r>
      <w:r>
        <w:rPr>
          <w:rFonts w:hint="eastAsia" w:ascii="宋体" w:hAnsi="宋体" w:cs="宋体"/>
          <w:sz w:val="24"/>
        </w:rPr>
        <w:t>号，2016年07月02日第12届全国人大常委会第二十一次会议审议通过，自2016年12月01日起实施）；</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eastAsia" w:ascii="宋体" w:hAnsi="宋体" w:cs="宋体"/>
          <w:color w:val="FF0000"/>
          <w:sz w:val="24"/>
        </w:rPr>
      </w:pPr>
      <w:r>
        <w:rPr>
          <w:rFonts w:ascii="宋体" w:hAnsi="宋体" w:eastAsia="宋体" w:cs="宋体"/>
          <w:color w:val="000000"/>
          <w:kern w:val="0"/>
          <w:sz w:val="24"/>
          <w:szCs w:val="24"/>
          <w:lang w:val="en-US" w:eastAsia="zh-CN" w:bidi="ar"/>
        </w:rPr>
        <w:t>2、《中华人民共和国城市房地产管理法》（</w:t>
      </w:r>
      <w:r>
        <w:rPr>
          <w:rFonts w:hint="eastAsia" w:ascii="宋体" w:hAnsi="宋体" w:eastAsia="宋体" w:cs="宋体"/>
          <w:color w:val="000000"/>
          <w:kern w:val="0"/>
          <w:sz w:val="24"/>
          <w:szCs w:val="24"/>
          <w:lang w:val="en-US" w:eastAsia="zh-CN" w:bidi="ar"/>
        </w:rPr>
        <w:t>主席令2019年第32号，自2020</w:t>
      </w:r>
      <w:r>
        <w:rPr>
          <w:rFonts w:ascii="宋体" w:hAnsi="宋体" w:eastAsia="宋体" w:cs="宋体"/>
          <w:color w:val="000000"/>
          <w:kern w:val="0"/>
          <w:sz w:val="24"/>
          <w:szCs w:val="24"/>
          <w:lang w:val="en-US" w:eastAsia="zh-CN" w:bidi="ar"/>
        </w:rPr>
        <w:t>年</w:t>
      </w:r>
      <w:r>
        <w:rPr>
          <w:rFonts w:hint="eastAsia" w:ascii="宋体" w:hAnsi="宋体" w:eastAsia="宋体" w:cs="宋体"/>
          <w:color w:val="000000"/>
          <w:kern w:val="0"/>
          <w:sz w:val="24"/>
          <w:szCs w:val="24"/>
          <w:lang w:val="en-US" w:eastAsia="zh-CN" w:bidi="ar"/>
        </w:rPr>
        <w:t>1</w:t>
      </w:r>
      <w:r>
        <w:rPr>
          <w:rFonts w:ascii="宋体" w:hAnsi="宋体" w:eastAsia="宋体" w:cs="宋体"/>
          <w:color w:val="000000"/>
          <w:kern w:val="0"/>
          <w:sz w:val="24"/>
          <w:szCs w:val="24"/>
          <w:lang w:val="en-US" w:eastAsia="zh-CN" w:bidi="ar"/>
        </w:rPr>
        <w:t>月</w:t>
      </w:r>
      <w:r>
        <w:rPr>
          <w:rFonts w:hint="eastAsia" w:ascii="宋体" w:hAnsi="宋体" w:eastAsia="宋体" w:cs="宋体"/>
          <w:color w:val="000000"/>
          <w:kern w:val="0"/>
          <w:sz w:val="24"/>
          <w:szCs w:val="24"/>
          <w:lang w:val="en-US" w:eastAsia="zh-CN" w:bidi="ar"/>
        </w:rPr>
        <w:t>1</w:t>
      </w:r>
      <w:r>
        <w:rPr>
          <w:rFonts w:ascii="宋体" w:hAnsi="宋体" w:eastAsia="宋体" w:cs="宋体"/>
          <w:color w:val="000000"/>
          <w:kern w:val="0"/>
          <w:sz w:val="24"/>
          <w:szCs w:val="24"/>
          <w:lang w:val="en-US" w:eastAsia="zh-CN" w:bidi="ar"/>
        </w:rPr>
        <w:t>日</w:t>
      </w:r>
      <w:r>
        <w:rPr>
          <w:rFonts w:hint="eastAsia" w:ascii="宋体" w:hAnsi="宋体" w:eastAsia="宋体" w:cs="宋体"/>
          <w:color w:val="000000"/>
          <w:kern w:val="0"/>
          <w:sz w:val="24"/>
          <w:szCs w:val="24"/>
          <w:lang w:val="en-US" w:eastAsia="zh-CN" w:bidi="ar"/>
        </w:rPr>
        <w:t>起实施</w:t>
      </w:r>
      <w:r>
        <w:rPr>
          <w:rFonts w:ascii="宋体" w:hAnsi="宋体" w:eastAsia="宋体" w:cs="宋体"/>
          <w:color w:val="000000"/>
          <w:kern w:val="0"/>
          <w:sz w:val="24"/>
          <w:szCs w:val="24"/>
          <w:lang w:val="en-US" w:eastAsia="zh-CN" w:bidi="ar"/>
        </w:rPr>
        <w:t>）；</w:t>
      </w:r>
      <w:r>
        <w:rPr>
          <w:rFonts w:ascii="宋体" w:hAnsi="宋体" w:eastAsia="宋体" w:cs="宋体"/>
          <w:color w:val="000000"/>
          <w:kern w:val="0"/>
          <w:sz w:val="24"/>
          <w:szCs w:val="24"/>
          <w:lang w:val="en-US" w:eastAsia="zh-CN" w:bidi="ar"/>
        </w:rPr>
        <w:br w:type="textWrapping"/>
      </w:r>
      <w:r>
        <w:rPr>
          <w:rFonts w:hint="eastAsia" w:ascii="宋体" w:hAnsi="宋体" w:eastAsia="宋体" w:cs="宋体"/>
          <w:color w:val="000000"/>
          <w:kern w:val="0"/>
          <w:sz w:val="24"/>
          <w:szCs w:val="24"/>
          <w:lang w:val="en-US" w:eastAsia="zh-CN" w:bidi="ar"/>
        </w:rPr>
        <w:t xml:space="preserve">    </w:t>
      </w:r>
      <w:r>
        <w:rPr>
          <w:rFonts w:ascii="宋体" w:hAnsi="宋体" w:eastAsia="宋体" w:cs="宋体"/>
          <w:color w:val="000000"/>
          <w:kern w:val="0"/>
          <w:sz w:val="24"/>
          <w:szCs w:val="24"/>
          <w:lang w:val="en-US" w:eastAsia="zh-CN" w:bidi="ar"/>
        </w:rPr>
        <w:t>3、《中华人民共和国土地管理法》(</w:t>
      </w:r>
      <w:r>
        <w:rPr>
          <w:rFonts w:hint="eastAsia" w:ascii="宋体" w:hAnsi="宋体" w:eastAsia="宋体" w:cs="宋体"/>
          <w:color w:val="000000"/>
          <w:kern w:val="0"/>
          <w:sz w:val="24"/>
          <w:szCs w:val="24"/>
          <w:lang w:val="en-US" w:eastAsia="zh-CN" w:bidi="ar"/>
        </w:rPr>
        <w:t>主席令2019年第32号，自2020</w:t>
      </w:r>
      <w:r>
        <w:rPr>
          <w:rFonts w:ascii="宋体" w:hAnsi="宋体" w:eastAsia="宋体" w:cs="宋体"/>
          <w:color w:val="000000"/>
          <w:kern w:val="0"/>
          <w:sz w:val="24"/>
          <w:szCs w:val="24"/>
          <w:lang w:val="en-US" w:eastAsia="zh-CN" w:bidi="ar"/>
        </w:rPr>
        <w:t>年</w:t>
      </w:r>
      <w:r>
        <w:rPr>
          <w:rFonts w:hint="eastAsia" w:ascii="宋体" w:hAnsi="宋体" w:eastAsia="宋体" w:cs="宋体"/>
          <w:color w:val="000000"/>
          <w:kern w:val="0"/>
          <w:sz w:val="24"/>
          <w:szCs w:val="24"/>
          <w:lang w:val="en-US" w:eastAsia="zh-CN" w:bidi="ar"/>
        </w:rPr>
        <w:t>1</w:t>
      </w:r>
      <w:r>
        <w:rPr>
          <w:rFonts w:ascii="宋体" w:hAnsi="宋体" w:eastAsia="宋体" w:cs="宋体"/>
          <w:color w:val="000000"/>
          <w:kern w:val="0"/>
          <w:sz w:val="24"/>
          <w:szCs w:val="24"/>
          <w:lang w:val="en-US" w:eastAsia="zh-CN" w:bidi="ar"/>
        </w:rPr>
        <w:t>月</w:t>
      </w:r>
      <w:r>
        <w:rPr>
          <w:rFonts w:hint="eastAsia" w:ascii="宋体" w:hAnsi="宋体" w:eastAsia="宋体" w:cs="宋体"/>
          <w:color w:val="000000"/>
          <w:kern w:val="0"/>
          <w:sz w:val="24"/>
          <w:szCs w:val="24"/>
          <w:lang w:val="en-US" w:eastAsia="zh-CN" w:bidi="ar"/>
        </w:rPr>
        <w:t>1</w:t>
      </w:r>
      <w:r>
        <w:rPr>
          <w:rFonts w:ascii="宋体" w:hAnsi="宋体" w:eastAsia="宋体" w:cs="宋体"/>
          <w:color w:val="000000"/>
          <w:kern w:val="0"/>
          <w:sz w:val="24"/>
          <w:szCs w:val="24"/>
          <w:lang w:val="en-US" w:eastAsia="zh-CN" w:bidi="ar"/>
        </w:rPr>
        <w:t>日</w:t>
      </w:r>
      <w:r>
        <w:rPr>
          <w:rFonts w:hint="eastAsia" w:ascii="宋体" w:hAnsi="宋体" w:eastAsia="宋体" w:cs="宋体"/>
          <w:color w:val="000000"/>
          <w:kern w:val="0"/>
          <w:sz w:val="24"/>
          <w:szCs w:val="24"/>
          <w:lang w:val="en-US" w:eastAsia="zh-CN" w:bidi="ar"/>
        </w:rPr>
        <w:t>起实施</w:t>
      </w:r>
      <w:r>
        <w:rPr>
          <w:rFonts w:ascii="宋体" w:hAnsi="宋体" w:eastAsia="宋体" w:cs="宋体"/>
          <w:color w:val="000000"/>
          <w:kern w:val="0"/>
          <w:sz w:val="24"/>
          <w:szCs w:val="24"/>
          <w:lang w:val="en-US" w:eastAsia="zh-CN" w:bidi="ar"/>
        </w:rPr>
        <w:t>)；</w:t>
      </w:r>
      <w:r>
        <w:rPr>
          <w:rFonts w:ascii="宋体" w:hAnsi="宋体" w:eastAsia="宋体" w:cs="宋体"/>
          <w:color w:val="000000"/>
          <w:kern w:val="0"/>
          <w:sz w:val="24"/>
          <w:szCs w:val="24"/>
          <w:lang w:val="en-US" w:eastAsia="zh-CN" w:bidi="ar"/>
        </w:rPr>
        <w:br w:type="textWrapping"/>
      </w:r>
      <w:r>
        <w:rPr>
          <w:rFonts w:hint="eastAsia" w:ascii="宋体" w:hAnsi="宋体" w:eastAsia="宋体" w:cs="宋体"/>
          <w:color w:val="000000"/>
          <w:kern w:val="0"/>
          <w:sz w:val="24"/>
          <w:szCs w:val="24"/>
          <w:lang w:val="en-US" w:eastAsia="zh-CN" w:bidi="ar"/>
        </w:rPr>
        <w:t xml:space="preserve">    </w:t>
      </w:r>
      <w:r>
        <w:rPr>
          <w:rFonts w:ascii="宋体" w:hAnsi="宋体" w:eastAsia="宋体" w:cs="宋体"/>
          <w:color w:val="000000"/>
          <w:kern w:val="0"/>
          <w:sz w:val="24"/>
          <w:szCs w:val="24"/>
          <w:lang w:val="en-US" w:eastAsia="zh-CN" w:bidi="ar"/>
        </w:rPr>
        <w:t>4、</w:t>
      </w:r>
      <w:r>
        <w:rPr>
          <w:rFonts w:hint="eastAsia" w:ascii="宋体" w:hAnsi="宋体" w:eastAsia="宋体" w:cs="宋体"/>
          <w:sz w:val="24"/>
          <w:lang w:val="en-US" w:eastAsia="zh-CN"/>
        </w:rPr>
        <w:t>《中华人民共和国民法典》（2020年5月28日，十三届全国人大三次会议表决通过，自2021年1月1日起施行）</w:t>
      </w:r>
      <w:r>
        <w:rPr>
          <w:rFonts w:ascii="宋体" w:hAnsi="宋体" w:eastAsia="宋体" w:cs="宋体"/>
          <w:color w:val="000000"/>
          <w:kern w:val="0"/>
          <w:sz w:val="24"/>
          <w:szCs w:val="24"/>
          <w:lang w:val="en-US" w:eastAsia="zh-CN" w:bidi="ar"/>
        </w:rPr>
        <w:t>；</w:t>
      </w:r>
      <w:r>
        <w:rPr>
          <w:rFonts w:ascii="宋体" w:hAnsi="宋体" w:eastAsia="宋体" w:cs="宋体"/>
          <w:color w:val="000000"/>
          <w:kern w:val="0"/>
          <w:sz w:val="24"/>
          <w:szCs w:val="24"/>
          <w:lang w:val="en-US" w:eastAsia="zh-CN" w:bidi="ar"/>
        </w:rPr>
        <w:br w:type="textWrapping"/>
      </w:r>
      <w:r>
        <w:rPr>
          <w:rFonts w:hint="eastAsia" w:ascii="宋体" w:hAnsi="宋体" w:eastAsia="宋体" w:cs="宋体"/>
          <w:color w:val="000000"/>
          <w:kern w:val="0"/>
          <w:sz w:val="24"/>
          <w:szCs w:val="24"/>
          <w:lang w:val="en-US" w:eastAsia="zh-CN" w:bidi="ar"/>
        </w:rPr>
        <w:t xml:space="preserve">    </w:t>
      </w:r>
      <w:r>
        <w:rPr>
          <w:rFonts w:ascii="宋体" w:hAnsi="宋体" w:eastAsia="宋体" w:cs="宋体"/>
          <w:color w:val="000000"/>
          <w:kern w:val="0"/>
          <w:sz w:val="24"/>
          <w:szCs w:val="24"/>
          <w:lang w:val="en-US" w:eastAsia="zh-CN" w:bidi="ar"/>
        </w:rPr>
        <w:t>5、《中华人民共和国城乡规划法》（</w:t>
      </w:r>
      <w:r>
        <w:rPr>
          <w:rFonts w:hint="eastAsia" w:ascii="宋体" w:hAnsi="宋体" w:eastAsia="宋体" w:cs="宋体"/>
          <w:color w:val="000000"/>
          <w:kern w:val="0"/>
          <w:sz w:val="24"/>
          <w:szCs w:val="24"/>
          <w:lang w:val="en-US" w:eastAsia="zh-CN" w:bidi="ar"/>
        </w:rPr>
        <w:t>主席令2019第29号</w:t>
      </w:r>
      <w:r>
        <w:rPr>
          <w:rFonts w:ascii="宋体" w:hAnsi="宋体" w:eastAsia="宋体" w:cs="宋体"/>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自2019</w:t>
      </w:r>
      <w:r>
        <w:rPr>
          <w:rFonts w:ascii="宋体" w:hAnsi="宋体" w:eastAsia="宋体" w:cs="宋体"/>
          <w:color w:val="000000"/>
          <w:kern w:val="0"/>
          <w:sz w:val="24"/>
          <w:szCs w:val="24"/>
          <w:lang w:val="en-US" w:eastAsia="zh-CN" w:bidi="ar"/>
        </w:rPr>
        <w:t>年</w:t>
      </w:r>
      <w:r>
        <w:rPr>
          <w:rFonts w:hint="eastAsia" w:ascii="宋体" w:hAnsi="宋体" w:eastAsia="宋体" w:cs="宋体"/>
          <w:color w:val="000000"/>
          <w:kern w:val="0"/>
          <w:sz w:val="24"/>
          <w:szCs w:val="24"/>
          <w:lang w:val="en-US" w:eastAsia="zh-CN" w:bidi="ar"/>
        </w:rPr>
        <w:t>4</w:t>
      </w:r>
      <w:r>
        <w:rPr>
          <w:rFonts w:ascii="宋体" w:hAnsi="宋体" w:eastAsia="宋体" w:cs="宋体"/>
          <w:color w:val="000000"/>
          <w:kern w:val="0"/>
          <w:sz w:val="24"/>
          <w:szCs w:val="24"/>
          <w:lang w:val="en-US" w:eastAsia="zh-CN" w:bidi="ar"/>
        </w:rPr>
        <w:t>月</w:t>
      </w:r>
      <w:r>
        <w:rPr>
          <w:rFonts w:hint="eastAsia" w:ascii="宋体" w:hAnsi="宋体" w:eastAsia="宋体" w:cs="宋体"/>
          <w:color w:val="000000"/>
          <w:kern w:val="0"/>
          <w:sz w:val="24"/>
          <w:szCs w:val="24"/>
          <w:lang w:val="en-US" w:eastAsia="zh-CN" w:bidi="ar"/>
        </w:rPr>
        <w:t>23</w:t>
      </w:r>
      <w:r>
        <w:rPr>
          <w:rFonts w:ascii="宋体" w:hAnsi="宋体" w:eastAsia="宋体" w:cs="宋体"/>
          <w:color w:val="000000"/>
          <w:kern w:val="0"/>
          <w:sz w:val="24"/>
          <w:szCs w:val="24"/>
          <w:lang w:val="en-US" w:eastAsia="zh-CN" w:bidi="ar"/>
        </w:rPr>
        <w:t>日起施行）；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cs="宋体"/>
          <w:sz w:val="24"/>
        </w:rPr>
      </w:pPr>
      <w:r>
        <w:rPr>
          <w:rFonts w:hint="eastAsia" w:ascii="宋体" w:hAnsi="宋体" w:cs="宋体"/>
          <w:sz w:val="24"/>
        </w:rPr>
        <w:t>6、《最高人民法院关于人民法院委托评估、拍卖和变卖工作的若干规定》</w:t>
      </w:r>
      <w:r>
        <w:rPr>
          <w:rFonts w:hint="eastAsia" w:ascii="宋体" w:hAnsi="宋体" w:cs="宋体"/>
          <w:sz w:val="24"/>
          <w:szCs w:val="22"/>
          <w:lang w:val="en-US" w:eastAsia="zh-CN"/>
        </w:rPr>
        <w:t>(法释</w:t>
      </w:r>
      <w:r>
        <w:rPr>
          <w:rFonts w:hint="eastAsia" w:ascii="宋体" w:hAnsi="宋体" w:eastAsia="宋体" w:cs="宋体"/>
          <w:color w:val="auto"/>
          <w:sz w:val="24"/>
          <w:lang w:val="en-US" w:eastAsia="zh-CN"/>
        </w:rPr>
        <w:t>[2011]21号）；</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宋体" w:hAnsi="宋体" w:cs="宋体"/>
          <w:sz w:val="24"/>
        </w:rPr>
      </w:pPr>
      <w:r>
        <w:rPr>
          <w:rFonts w:hint="eastAsia" w:ascii="宋体" w:hAnsi="宋体" w:cs="宋体"/>
          <w:sz w:val="24"/>
          <w:lang w:val="en-US" w:eastAsia="zh-CN"/>
        </w:rPr>
        <w:t xml:space="preserve">    </w:t>
      </w:r>
      <w:r>
        <w:rPr>
          <w:rFonts w:hint="eastAsia" w:ascii="宋体" w:hAnsi="宋体" w:cs="宋体"/>
          <w:sz w:val="24"/>
        </w:rPr>
        <w:t>7、《福建省高级人民法院司法评估拍卖工作规定（试行）》</w:t>
      </w:r>
      <w:r>
        <w:rPr>
          <w:rFonts w:hint="eastAsia" w:ascii="宋体" w:hAnsi="宋体" w:cs="宋体"/>
          <w:sz w:val="24"/>
          <w:szCs w:val="22"/>
          <w:lang w:val="en-US" w:eastAsia="zh-CN"/>
        </w:rPr>
        <w:t>(闽高</w:t>
      </w:r>
      <w:r>
        <w:rPr>
          <w:rFonts w:hint="eastAsia" w:ascii="宋体" w:hAnsi="宋体" w:cs="宋体"/>
          <w:color w:val="auto"/>
          <w:sz w:val="24"/>
          <w:lang w:val="en-US" w:eastAsia="zh-CN"/>
        </w:rPr>
        <w:t>法</w:t>
      </w:r>
      <w:r>
        <w:rPr>
          <w:rFonts w:hint="eastAsia" w:ascii="宋体" w:hAnsi="宋体" w:eastAsia="宋体" w:cs="宋体"/>
          <w:color w:val="auto"/>
          <w:sz w:val="24"/>
          <w:lang w:val="en-US" w:eastAsia="zh-CN"/>
        </w:rPr>
        <w:t>[2012]33</w:t>
      </w:r>
      <w:r>
        <w:rPr>
          <w:rFonts w:hint="eastAsia" w:ascii="宋体" w:hAnsi="宋体" w:cs="宋体"/>
          <w:sz w:val="24"/>
          <w:szCs w:val="22"/>
          <w:lang w:val="en-US" w:eastAsia="zh-CN"/>
        </w:rPr>
        <w:t>5号）</w:t>
      </w:r>
      <w:r>
        <w:rPr>
          <w:rFonts w:hint="eastAsia" w:ascii="宋体" w:hAnsi="宋体" w:eastAsia="宋体" w:cs="宋体"/>
          <w:b w:val="0"/>
          <w:i w:val="0"/>
          <w:caps w:val="0"/>
          <w:color w:val="464445"/>
          <w:spacing w:val="0"/>
          <w:sz w:val="21"/>
          <w:szCs w:val="21"/>
          <w:shd w:val="clear" w:color="auto" w:fill="FFFFFF"/>
        </w:rPr>
        <w:t> </w:t>
      </w:r>
      <w:r>
        <w:rPr>
          <w:rFonts w:hint="eastAsia" w:ascii="宋体" w:hAnsi="宋体" w:cs="宋体"/>
          <w:sz w:val="24"/>
          <w:szCs w:val="24"/>
        </w:rPr>
        <w:t>；</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微软雅黑" w:hAnsi="微软雅黑" w:eastAsia="微软雅黑" w:cs="宋体"/>
          <w:color w:val="000000"/>
          <w:kern w:val="0"/>
          <w:sz w:val="39"/>
          <w:szCs w:val="39"/>
        </w:rPr>
      </w:pPr>
      <w:r>
        <w:rPr>
          <w:rFonts w:hint="eastAsia" w:ascii="宋体" w:hAnsi="宋体" w:cs="宋体"/>
          <w:spacing w:val="0"/>
          <w:sz w:val="24"/>
          <w:szCs w:val="24"/>
          <w:lang w:val="en-US" w:eastAsia="zh-CN"/>
        </w:rPr>
        <w:t xml:space="preserve">    8、</w:t>
      </w:r>
      <w:r>
        <w:rPr>
          <w:rFonts w:hint="eastAsia" w:ascii="宋体" w:hAnsi="宋体" w:eastAsia="宋体" w:cs="宋体"/>
          <w:sz w:val="24"/>
          <w:szCs w:val="24"/>
          <w:lang w:val="en-US" w:eastAsia="zh-CN"/>
        </w:rPr>
        <w:t>《涉执房地产处置司法评估指导意见（试行）》的通知（中房学（2021）37号）；</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56"/>
        <w:jc w:val="both"/>
        <w:textAlignment w:val="auto"/>
        <w:outlineLvl w:val="9"/>
        <w:rPr>
          <w:rFonts w:hint="eastAsia" w:ascii="宋体" w:hAnsi="宋体" w:eastAsia="宋体" w:cs="宋体"/>
          <w:spacing w:val="0"/>
          <w:sz w:val="24"/>
          <w:szCs w:val="24"/>
          <w:lang w:eastAsia="zh-CN"/>
        </w:rPr>
      </w:pPr>
      <w:r>
        <w:rPr>
          <w:rFonts w:hint="eastAsia" w:ascii="宋体" w:hAnsi="宋体" w:eastAsia="宋体" w:cs="宋体"/>
          <w:spacing w:val="0"/>
          <w:sz w:val="24"/>
          <w:szCs w:val="24"/>
          <w:lang w:val="en-US" w:eastAsia="zh-CN"/>
        </w:rPr>
        <w:t>9、</w:t>
      </w:r>
      <w:r>
        <w:rPr>
          <w:rFonts w:hint="eastAsia" w:ascii="宋体" w:hAnsi="宋体" w:eastAsia="宋体" w:cs="宋体"/>
          <w:spacing w:val="0"/>
          <w:sz w:val="24"/>
          <w:szCs w:val="24"/>
        </w:rPr>
        <w:t>《人民法院委托评估工作规范》</w:t>
      </w:r>
      <w:r>
        <w:rPr>
          <w:rFonts w:hint="eastAsia" w:ascii="宋体" w:hAnsi="宋体" w:eastAsia="宋体" w:cs="宋体"/>
          <w:spacing w:val="0"/>
          <w:sz w:val="24"/>
          <w:szCs w:val="24"/>
          <w:lang w:eastAsia="zh-CN"/>
        </w:rPr>
        <w:t>（</w:t>
      </w:r>
      <w:r>
        <w:rPr>
          <w:rFonts w:hint="eastAsia" w:ascii="宋体" w:hAnsi="宋体" w:eastAsia="宋体" w:cs="宋体"/>
          <w:spacing w:val="0"/>
          <w:sz w:val="24"/>
          <w:szCs w:val="24"/>
        </w:rPr>
        <w:t>法办〔2018〕273号</w:t>
      </w:r>
      <w:r>
        <w:rPr>
          <w:rFonts w:hint="eastAsia" w:ascii="宋体" w:hAnsi="宋体" w:eastAsia="宋体" w:cs="宋体"/>
          <w:spacing w:val="0"/>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56"/>
        <w:jc w:val="both"/>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10</w:t>
      </w:r>
      <w:r>
        <w:rPr>
          <w:rFonts w:hint="eastAsia" w:ascii="宋体" w:hAnsi="宋体" w:cs="宋体"/>
          <w:spacing w:val="0"/>
          <w:sz w:val="24"/>
          <w:szCs w:val="24"/>
          <w:lang w:val="en-US" w:eastAsia="zh-CN"/>
        </w:rPr>
        <w:t>、</w:t>
      </w:r>
      <w:r>
        <w:rPr>
          <w:rFonts w:hint="eastAsia" w:ascii="宋体" w:hAnsi="宋体" w:cs="宋体"/>
          <w:spacing w:val="0"/>
          <w:sz w:val="24"/>
          <w:szCs w:val="24"/>
        </w:rPr>
        <w:t>《龙岩市人民政府关于颁布执行龙岩市中心城区</w:t>
      </w:r>
      <w:r>
        <w:rPr>
          <w:rFonts w:hint="eastAsia" w:ascii="宋体" w:hAnsi="宋体" w:cs="宋体"/>
          <w:spacing w:val="0"/>
          <w:sz w:val="24"/>
          <w:szCs w:val="24"/>
          <w:lang w:eastAsia="zh-CN"/>
        </w:rPr>
        <w:t>（</w:t>
      </w:r>
      <w:r>
        <w:rPr>
          <w:rFonts w:hint="eastAsia" w:ascii="宋体" w:hAnsi="宋体" w:cs="宋体"/>
          <w:spacing w:val="0"/>
          <w:sz w:val="24"/>
          <w:szCs w:val="24"/>
        </w:rPr>
        <w:t>第</w:t>
      </w:r>
      <w:r>
        <w:rPr>
          <w:rFonts w:hint="eastAsia" w:ascii="宋体" w:hAnsi="宋体" w:cs="宋体"/>
          <w:spacing w:val="0"/>
          <w:sz w:val="24"/>
          <w:szCs w:val="24"/>
          <w:lang w:eastAsia="zh-CN"/>
        </w:rPr>
        <w:t>九轮）和新罗区</w:t>
      </w:r>
      <w:r>
        <w:rPr>
          <w:rFonts w:hint="eastAsia" w:ascii="宋体" w:hAnsi="宋体" w:cs="宋体"/>
          <w:spacing w:val="0"/>
          <w:sz w:val="24"/>
          <w:szCs w:val="24"/>
          <w:lang w:val="en-US" w:eastAsia="zh-CN"/>
        </w:rPr>
        <w:t>8个镇（2019年）土地级别暨</w:t>
      </w:r>
      <w:r>
        <w:rPr>
          <w:rFonts w:hint="eastAsia" w:ascii="宋体" w:hAnsi="宋体" w:cs="宋体"/>
          <w:spacing w:val="0"/>
          <w:sz w:val="24"/>
          <w:szCs w:val="24"/>
        </w:rPr>
        <w:t>基准地价修编成果的通知》</w:t>
      </w:r>
      <w:r>
        <w:rPr>
          <w:rFonts w:hint="eastAsia" w:ascii="宋体" w:hAnsi="宋体" w:eastAsia="宋体" w:cs="宋体"/>
          <w:bCs/>
          <w:color w:val="auto"/>
          <w:sz w:val="24"/>
          <w:szCs w:val="24"/>
        </w:rPr>
        <w:t>龙政综[</w:t>
      </w:r>
      <w:r>
        <w:rPr>
          <w:rFonts w:hint="eastAsia" w:ascii="宋体" w:hAnsi="宋体" w:eastAsia="宋体" w:cs="宋体"/>
          <w:bCs/>
          <w:color w:val="auto"/>
          <w:sz w:val="24"/>
          <w:szCs w:val="24"/>
          <w:lang w:val="en-US" w:eastAsia="zh-CN"/>
        </w:rPr>
        <w:t>2021</w:t>
      </w:r>
      <w:r>
        <w:rPr>
          <w:rFonts w:hint="eastAsia" w:ascii="宋体" w:hAnsi="宋体" w:eastAsia="宋体" w:cs="宋体"/>
          <w:bCs/>
          <w:color w:val="auto"/>
          <w:sz w:val="24"/>
          <w:szCs w:val="24"/>
        </w:rPr>
        <w:t>]</w:t>
      </w:r>
      <w:r>
        <w:rPr>
          <w:rFonts w:hint="eastAsia" w:ascii="宋体" w:hAnsi="宋体" w:eastAsia="宋体" w:cs="宋体"/>
          <w:bCs/>
          <w:color w:val="auto"/>
          <w:sz w:val="24"/>
          <w:szCs w:val="24"/>
          <w:lang w:val="en-US" w:eastAsia="zh-CN"/>
        </w:rPr>
        <w:t>43</w:t>
      </w:r>
      <w:r>
        <w:rPr>
          <w:rFonts w:hint="eastAsia" w:ascii="宋体" w:hAnsi="宋体" w:eastAsia="宋体" w:cs="宋体"/>
          <w:bCs/>
          <w:color w:val="auto"/>
          <w:sz w:val="24"/>
          <w:szCs w:val="24"/>
        </w:rPr>
        <w:t>号</w:t>
      </w:r>
      <w:r>
        <w:rPr>
          <w:rFonts w:hint="eastAsia" w:ascii="宋体" w:hAnsi="宋体" w:cs="宋体"/>
          <w:spacing w:val="0"/>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lang w:val="en-US" w:eastAsia="zh-CN"/>
        </w:rPr>
        <w:t>11、</w:t>
      </w:r>
      <w:r>
        <w:rPr>
          <w:rFonts w:hint="eastAsia" w:ascii="宋体" w:hAnsi="宋体" w:cs="宋体"/>
          <w:sz w:val="24"/>
          <w:szCs w:val="24"/>
        </w:rPr>
        <w:t>龙岩市人民政府颁发的各项相关文件。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宋体" w:hAnsi="宋体" w:cs="宋体"/>
          <w:sz w:val="24"/>
          <w:lang w:eastAsia="zh-CN"/>
        </w:rPr>
      </w:pPr>
      <w:r>
        <w:rPr>
          <w:rFonts w:hint="eastAsia" w:ascii="宋体" w:hAnsi="宋体" w:cs="宋体"/>
          <w:sz w:val="24"/>
          <w:lang w:val="en-US" w:eastAsia="zh-CN"/>
        </w:rPr>
        <w:t xml:space="preserve">   </w:t>
      </w:r>
      <w:r>
        <w:rPr>
          <w:rFonts w:hint="eastAsia" w:ascii="宋体" w:hAnsi="宋体" w:cs="宋体"/>
          <w:sz w:val="24"/>
          <w:lang w:eastAsia="zh-CN"/>
        </w:rPr>
        <w:t>（二）本次估价采用的技术规程及技术标准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宋体" w:hAnsi="宋体" w:cs="宋体"/>
          <w:sz w:val="24"/>
        </w:rPr>
      </w:pPr>
      <w:r>
        <w:rPr>
          <w:rFonts w:hint="eastAsia" w:ascii="宋体" w:hAnsi="宋体" w:cs="宋体"/>
          <w:sz w:val="24"/>
          <w:lang w:val="en-US" w:eastAsia="zh-CN"/>
        </w:rPr>
        <w:t xml:space="preserve">    1、</w:t>
      </w:r>
      <w:r>
        <w:rPr>
          <w:rFonts w:hint="eastAsia" w:ascii="宋体" w:hAnsi="宋体" w:cs="宋体"/>
          <w:sz w:val="24"/>
        </w:rPr>
        <w:t>《房地产估价规范》GB/T 50291-2015；</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宋体" w:hAnsi="宋体" w:cs="宋体"/>
          <w:sz w:val="24"/>
        </w:rPr>
      </w:pPr>
      <w:r>
        <w:rPr>
          <w:rFonts w:hint="eastAsia" w:ascii="宋体" w:hAnsi="宋体" w:cs="宋体"/>
          <w:sz w:val="24"/>
          <w:lang w:val="en-US" w:eastAsia="zh-CN"/>
        </w:rPr>
        <w:t xml:space="preserve">    2、</w:t>
      </w:r>
      <w:r>
        <w:rPr>
          <w:rFonts w:hint="eastAsia" w:ascii="宋体" w:hAnsi="宋体" w:cs="宋体"/>
          <w:sz w:val="24"/>
        </w:rPr>
        <w:t>《房地产估价基本术语标准》GB/T 50899-2013；</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240" w:firstLineChars="100"/>
        <w:jc w:val="both"/>
        <w:textAlignment w:val="auto"/>
        <w:outlineLvl w:val="9"/>
        <w:rPr>
          <w:rFonts w:hint="eastAsia" w:ascii="宋体" w:hAnsi="宋体" w:cs="宋体"/>
          <w:sz w:val="24"/>
        </w:rPr>
      </w:pPr>
      <w:r>
        <w:rPr>
          <w:rFonts w:hint="eastAsia" w:ascii="宋体" w:hAnsi="宋体" w:cs="宋体"/>
          <w:sz w:val="24"/>
          <w:lang w:val="en-US" w:eastAsia="zh-CN"/>
        </w:rPr>
        <w:t xml:space="preserve"> </w:t>
      </w:r>
      <w:r>
        <w:rPr>
          <w:rFonts w:hint="eastAsia" w:ascii="宋体" w:hAnsi="宋体" w:cs="宋体"/>
          <w:sz w:val="24"/>
        </w:rPr>
        <w:t>（三）估价委托人提供的资料依据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cs="宋体"/>
          <w:sz w:val="24"/>
          <w:szCs w:val="24"/>
        </w:rPr>
      </w:pPr>
      <w:r>
        <w:rPr>
          <w:rFonts w:hint="eastAsia" w:ascii="宋体" w:hAnsi="宋体" w:cs="宋体"/>
          <w:sz w:val="24"/>
        </w:rPr>
        <w:t>1、</w:t>
      </w:r>
      <w:r>
        <w:rPr>
          <w:rFonts w:hint="eastAsia" w:ascii="宋体" w:hAnsi="宋体" w:cs="宋体"/>
          <w:sz w:val="24"/>
          <w:lang w:eastAsia="zh-CN"/>
        </w:rPr>
        <w:t>《福建省龙岩市新罗区人民法院委托评估书》（2022）龙新法委估字第46号</w:t>
      </w:r>
      <w:r>
        <w:rPr>
          <w:rFonts w:hint="eastAsia" w:ascii="宋体" w:hAnsi="宋体" w:cs="宋体"/>
          <w:sz w:val="24"/>
          <w:lang w:val="en-US" w:eastAsia="zh-CN"/>
        </w:rPr>
        <w:t>复印件</w:t>
      </w:r>
      <w:r>
        <w:rPr>
          <w:rFonts w:hint="eastAsia" w:ascii="宋体" w:hAnsi="宋体" w:cs="宋体"/>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default" w:ascii="宋体" w:hAnsi="宋体" w:eastAsia="宋体" w:cs="宋体"/>
          <w:sz w:val="24"/>
          <w:szCs w:val="24"/>
          <w:lang w:val="en-US" w:eastAsia="zh-CN"/>
        </w:rPr>
      </w:pPr>
      <w:r>
        <w:rPr>
          <w:rFonts w:hint="eastAsia" w:ascii="宋体" w:hAnsi="宋体" w:cs="宋体"/>
          <w:sz w:val="24"/>
          <w:szCs w:val="24"/>
          <w:lang w:val="en-US" w:eastAsia="zh-CN"/>
        </w:rPr>
        <w:t>2、《评估案件移送表》</w:t>
      </w:r>
      <w:r>
        <w:rPr>
          <w:rFonts w:hint="eastAsia" w:ascii="宋体" w:hAnsi="宋体" w:cs="宋体"/>
          <w:sz w:val="24"/>
          <w:lang w:eastAsia="zh-CN"/>
        </w:rPr>
        <w:t>（2022）龙新法委估字第46号</w:t>
      </w:r>
      <w:r>
        <w:rPr>
          <w:rFonts w:hint="eastAsia" w:ascii="宋体" w:hAnsi="宋体" w:cs="宋体"/>
          <w:sz w:val="24"/>
          <w:lang w:val="en-US" w:eastAsia="zh-CN"/>
        </w:rPr>
        <w:t>复印件</w:t>
      </w:r>
      <w:r>
        <w:rPr>
          <w:rFonts w:hint="eastAsia" w:ascii="宋体" w:hAnsi="宋体" w:cs="宋体"/>
          <w:sz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3、龙岩市不动产权证登记凭证复印件；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80" w:firstLineChars="200"/>
        <w:jc w:val="left"/>
        <w:textAlignment w:val="auto"/>
        <w:outlineLvl w:val="9"/>
        <w:rPr>
          <w:rFonts w:hint="default"/>
          <w:lang w:val="en-US" w:eastAsia="zh-CN"/>
        </w:rPr>
      </w:pPr>
      <w:r>
        <w:rPr>
          <w:rFonts w:hint="eastAsia" w:ascii="宋体" w:hAnsi="宋体" w:cs="宋体"/>
          <w:sz w:val="24"/>
          <w:szCs w:val="24"/>
          <w:lang w:val="en-US" w:eastAsia="zh-CN"/>
        </w:rPr>
        <w:t>4、龙岩市新罗区城市房屋征收补偿安置协议复印件；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240" w:firstLineChars="100"/>
        <w:jc w:val="both"/>
        <w:textAlignment w:val="auto"/>
        <w:outlineLvl w:val="9"/>
        <w:rPr>
          <w:rFonts w:hint="eastAsia" w:ascii="宋体" w:hAnsi="宋体" w:cs="宋体"/>
          <w:sz w:val="24"/>
        </w:rPr>
      </w:pPr>
      <w:r>
        <w:rPr>
          <w:rFonts w:hint="eastAsia" w:ascii="宋体" w:hAnsi="宋体" w:cs="宋体"/>
          <w:sz w:val="24"/>
          <w:lang w:val="en-US" w:eastAsia="zh-CN"/>
        </w:rPr>
        <w:t xml:space="preserve"> </w:t>
      </w:r>
      <w:r>
        <w:rPr>
          <w:rFonts w:hint="eastAsia" w:ascii="宋体" w:hAnsi="宋体" w:cs="宋体"/>
          <w:sz w:val="24"/>
        </w:rPr>
        <w:t>（四）估价机构及注册房地产估价师搜集的资料依据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eastAsia" w:ascii="宋体" w:hAnsi="宋体" w:cs="宋体"/>
          <w:sz w:val="24"/>
        </w:rPr>
      </w:pPr>
      <w:r>
        <w:rPr>
          <w:rFonts w:hint="eastAsia" w:ascii="宋体" w:hAnsi="宋体" w:cs="宋体"/>
          <w:sz w:val="24"/>
        </w:rPr>
        <w:t>1、估价对象照片；</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eastAsia" w:ascii="宋体" w:hAnsi="宋体" w:cs="宋体"/>
          <w:sz w:val="24"/>
        </w:rPr>
      </w:pPr>
      <w:r>
        <w:rPr>
          <w:rFonts w:hint="eastAsia" w:ascii="宋体" w:hAnsi="宋体" w:cs="宋体"/>
          <w:sz w:val="24"/>
        </w:rPr>
        <w:t>2、实地查勘记录；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eastAsia" w:ascii="宋体" w:hAnsi="宋体" w:cs="宋体"/>
          <w:sz w:val="24"/>
        </w:rPr>
      </w:pPr>
      <w:r>
        <w:rPr>
          <w:rFonts w:hint="eastAsia" w:ascii="宋体" w:hAnsi="宋体" w:cs="宋体"/>
          <w:sz w:val="24"/>
        </w:rPr>
        <w:t>3、可比实例等相关资料；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eastAsia" w:ascii="宋体" w:hAnsi="宋体" w:cs="宋体"/>
          <w:sz w:val="24"/>
        </w:rPr>
      </w:pPr>
      <w:r>
        <w:rPr>
          <w:rFonts w:hint="eastAsia" w:ascii="宋体" w:hAnsi="宋体" w:cs="宋体"/>
          <w:sz w:val="24"/>
        </w:rPr>
        <w:t>4、当地市场调查和搜集的有关资料等。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宋体" w:hAnsi="宋体" w:cs="宋体"/>
          <w:b/>
          <w:sz w:val="28"/>
          <w:szCs w:val="28"/>
        </w:rPr>
      </w:pPr>
      <w:r>
        <w:rPr>
          <w:rFonts w:hint="eastAsia" w:ascii="宋体" w:hAnsi="宋体" w:cs="宋体"/>
          <w:b/>
          <w:sz w:val="28"/>
          <w:szCs w:val="28"/>
        </w:rPr>
        <w:t xml:space="preserve">   九、估价方法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cs="宋体"/>
          <w:sz w:val="24"/>
          <w:szCs w:val="24"/>
        </w:rPr>
      </w:pPr>
      <w:r>
        <w:rPr>
          <w:rFonts w:hint="eastAsia" w:ascii="宋体" w:hAnsi="宋体" w:cs="宋体"/>
          <w:sz w:val="24"/>
          <w:szCs w:val="24"/>
          <w:lang w:val="zh-CN"/>
        </w:rPr>
        <w:t>本次选用比较法、收益法进行估价。</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宋体" w:hAnsi="宋体" w:cs="宋体"/>
          <w:sz w:val="24"/>
          <w:szCs w:val="24"/>
        </w:rPr>
      </w:pPr>
      <w:r>
        <w:rPr>
          <w:rFonts w:hint="eastAsia" w:ascii="宋体" w:hAnsi="宋体" w:cs="宋体"/>
          <w:sz w:val="24"/>
          <w:szCs w:val="24"/>
        </w:rPr>
        <w:t xml:space="preserve">    1、比较法，是选取一定数量的可比实例，将它们与估价对象进行比较，根据其间的差异对可比实例成交价格进行处理后得到估价对象价值或价格的方法。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eastAsia" w:ascii="宋体" w:hAnsi="宋体" w:cs="宋体"/>
          <w:sz w:val="24"/>
          <w:szCs w:val="24"/>
        </w:rPr>
      </w:pPr>
      <w:r>
        <w:rPr>
          <w:rFonts w:hint="eastAsia" w:ascii="宋体" w:hAnsi="宋体" w:cs="宋体"/>
          <w:sz w:val="24"/>
          <w:szCs w:val="24"/>
        </w:rPr>
        <w:t>2、收益法，是预测估价对象的未来收益，利用报酬率或资本化率、收益乘数将未来收益转换为价值得到估价对象价值或价格的方法。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宋体" w:hAnsi="宋体" w:cs="宋体"/>
          <w:b/>
          <w:sz w:val="28"/>
          <w:szCs w:val="28"/>
        </w:rPr>
      </w:pPr>
      <w:r>
        <w:rPr>
          <w:rFonts w:hint="eastAsia" w:ascii="宋体" w:hAnsi="宋体" w:cs="宋体"/>
          <w:b/>
          <w:sz w:val="28"/>
          <w:szCs w:val="28"/>
        </w:rPr>
        <w:t xml:space="preserve">   十、估价结果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both"/>
        <w:textAlignment w:val="auto"/>
        <w:outlineLvl w:val="9"/>
        <w:rPr>
          <w:rFonts w:hint="eastAsia" w:ascii="宋体" w:hAnsi="宋体" w:cs="宋体"/>
          <w:sz w:val="24"/>
          <w:szCs w:val="24"/>
          <w:lang w:val="zh-CN"/>
        </w:rPr>
      </w:pPr>
      <w:r>
        <w:rPr>
          <w:rFonts w:hint="eastAsia" w:ascii="宋体" w:hAnsi="宋体" w:cs="宋体"/>
          <w:sz w:val="24"/>
          <w:szCs w:val="24"/>
          <w:lang w:val="zh-CN"/>
        </w:rPr>
        <w:t>本公司根据估价目的，遵循估价原则，采用比较法、收益法，按照相应的估价程序，对委托估价的房地产实施了实地查勘、市场调查和评定估算，确定估价对象在价值时点所表现的各价值详见如下：</w:t>
      </w:r>
    </w:p>
    <w:p>
      <w:pPr>
        <w:pStyle w:val="2"/>
        <w:rPr>
          <w:rFonts w:hint="eastAsia" w:ascii="宋体" w:hAnsi="宋体" w:cs="宋体"/>
          <w:sz w:val="24"/>
          <w:szCs w:val="24"/>
          <w:lang w:val="zh-CN"/>
        </w:rPr>
      </w:pPr>
    </w:p>
    <w:p>
      <w:pPr>
        <w:pStyle w:val="2"/>
        <w:rPr>
          <w:rFonts w:hint="eastAsia" w:ascii="宋体" w:hAnsi="宋体" w:cs="宋体"/>
          <w:sz w:val="24"/>
          <w:szCs w:val="24"/>
          <w:lang w:val="zh-CN"/>
        </w:rPr>
      </w:pPr>
    </w:p>
    <w:p>
      <w:pPr>
        <w:pStyle w:val="2"/>
        <w:rPr>
          <w:rFonts w:hint="eastAsia" w:ascii="宋体" w:hAnsi="宋体" w:cs="宋体"/>
          <w:sz w:val="24"/>
          <w:szCs w:val="24"/>
          <w:lang w:val="zh-CN"/>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right"/>
        <w:textAlignment w:val="auto"/>
        <w:rPr>
          <w:rFonts w:hint="eastAsia" w:ascii="仿宋_GB2312" w:hAnsi="仿宋" w:eastAsia="仿宋_GB2312"/>
          <w:b/>
          <w:color w:val="000000"/>
          <w:sz w:val="24"/>
          <w:szCs w:val="24"/>
        </w:rPr>
      </w:pPr>
      <w:r>
        <w:rPr>
          <w:rFonts w:hint="eastAsia" w:ascii="宋体" w:hAnsi="宋体" w:cs="宋体"/>
          <w:sz w:val="24"/>
          <w:szCs w:val="24"/>
        </w:rPr>
        <w:t xml:space="preserve"> </w:t>
      </w:r>
      <w:r>
        <w:rPr>
          <w:rFonts w:hint="eastAsia" w:ascii="宋体" w:hAnsi="宋体" w:cs="宋体"/>
          <w:sz w:val="24"/>
          <w:szCs w:val="24"/>
          <w:lang w:val="zh-CN"/>
        </w:rPr>
        <w:t>估价对象房地产市场价值估算汇总表</w:t>
      </w:r>
      <w:r>
        <w:rPr>
          <w:rFonts w:hint="eastAsia" w:ascii="宋体" w:hAnsi="宋体" w:cs="宋体"/>
          <w:sz w:val="24"/>
          <w:szCs w:val="24"/>
        </w:rPr>
        <w:t xml:space="preserve">                    表5</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4"/>
        <w:gridCol w:w="1999"/>
        <w:gridCol w:w="4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61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szCs w:val="21"/>
              </w:rPr>
            </w:pPr>
            <w:r>
              <w:rPr>
                <w:rFonts w:hint="eastAsia" w:ascii="宋体" w:hAnsi="宋体" w:cs="宋体"/>
                <w:lang w:val="zh-CN"/>
              </w:rPr>
              <w:t>项</w:t>
            </w:r>
            <w:r>
              <w:rPr>
                <w:rFonts w:hint="eastAsia" w:ascii="宋体" w:hAnsi="宋体" w:cs="宋体"/>
              </w:rPr>
              <w:t xml:space="preserve">  </w:t>
            </w:r>
            <w:r>
              <w:rPr>
                <w:rFonts w:hint="eastAsia" w:ascii="宋体" w:hAnsi="宋体" w:cs="宋体"/>
                <w:lang w:val="zh-CN"/>
              </w:rPr>
              <w:t>目</w:t>
            </w:r>
          </w:p>
        </w:tc>
        <w:tc>
          <w:tcPr>
            <w:tcW w:w="667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szCs w:val="21"/>
              </w:rPr>
            </w:pPr>
            <w:r>
              <w:rPr>
                <w:rFonts w:hint="eastAsia" w:ascii="宋体" w:hAnsi="宋体" w:cs="宋体"/>
                <w:lang w:val="zh-CN"/>
              </w:rPr>
              <w:t>估价结果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61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center"/>
              <w:textAlignment w:val="auto"/>
              <w:rPr>
                <w:rFonts w:hint="eastAsia" w:ascii="宋体" w:hAnsi="宋体" w:cs="宋体"/>
                <w:lang w:val="zh-CN"/>
              </w:rPr>
            </w:pPr>
          </w:p>
        </w:tc>
        <w:tc>
          <w:tcPr>
            <w:tcW w:w="199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lang w:val="zh-CN"/>
              </w:rPr>
            </w:pPr>
            <w:r>
              <w:rPr>
                <w:rFonts w:hint="eastAsia" w:ascii="宋体" w:hAnsi="宋体" w:cs="宋体"/>
                <w:lang w:val="zh-CN"/>
              </w:rPr>
              <w:t>估算单价</w:t>
            </w:r>
          </w:p>
        </w:tc>
        <w:tc>
          <w:tcPr>
            <w:tcW w:w="46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lang w:val="zh-CN"/>
              </w:rPr>
            </w:pPr>
            <w:r>
              <w:rPr>
                <w:rFonts w:hint="eastAsia" w:ascii="宋体" w:hAnsi="宋体" w:cs="宋体"/>
                <w:lang w:val="zh-CN"/>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26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cs="宋体"/>
                <w:szCs w:val="21"/>
              </w:rPr>
            </w:pPr>
            <w:r>
              <w:rPr>
                <w:rFonts w:hint="eastAsia" w:ascii="宋体" w:hAnsi="宋体" w:cs="宋体"/>
                <w:szCs w:val="21"/>
              </w:rPr>
              <w:t>1、</w:t>
            </w:r>
            <w:r>
              <w:rPr>
                <w:rFonts w:hint="eastAsia" w:ascii="宋体" w:hAnsi="宋体" w:cs="宋体"/>
                <w:spacing w:val="-6"/>
                <w:szCs w:val="21"/>
              </w:rPr>
              <w:t>市场价值</w:t>
            </w:r>
          </w:p>
        </w:tc>
        <w:tc>
          <w:tcPr>
            <w:tcW w:w="1999"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cs="宋体"/>
                <w:sz w:val="21"/>
                <w:szCs w:val="21"/>
                <w:vertAlign w:val="superscript"/>
                <w:lang w:val="en-US" w:eastAsia="zh-CN"/>
              </w:rPr>
            </w:pPr>
            <w:r>
              <w:rPr>
                <w:rFonts w:hint="eastAsia" w:ascii="宋体" w:hAnsi="宋体" w:cs="宋体"/>
                <w:sz w:val="21"/>
                <w:szCs w:val="21"/>
                <w:lang w:val="en-US" w:eastAsia="zh-CN"/>
              </w:rPr>
              <w:t>住宅10682</w:t>
            </w:r>
            <w:r>
              <w:rPr>
                <w:rFonts w:hint="eastAsia" w:ascii="宋体" w:hAnsi="宋体" w:cs="宋体"/>
                <w:sz w:val="21"/>
                <w:szCs w:val="21"/>
              </w:rPr>
              <w:t>元/m</w:t>
            </w:r>
            <w:r>
              <w:rPr>
                <w:rFonts w:hint="eastAsia" w:ascii="宋体" w:hAnsi="宋体" w:cs="宋体"/>
                <w:sz w:val="21"/>
                <w:szCs w:val="21"/>
                <w:vertAlign w:val="superscript"/>
              </w:rPr>
              <w:t>2</w:t>
            </w:r>
            <w:r>
              <w:rPr>
                <w:rFonts w:hint="eastAsia" w:ascii="宋体" w:hAnsi="宋体" w:cs="宋体"/>
                <w:sz w:val="21"/>
                <w:szCs w:val="21"/>
                <w:vertAlign w:val="superscript"/>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宋体" w:hAnsi="宋体" w:cs="宋体"/>
                <w:spacing w:val="-6"/>
                <w:szCs w:val="21"/>
                <w:lang w:val="en-US" w:eastAsia="zh-CN"/>
              </w:rPr>
            </w:pPr>
            <w:r>
              <w:rPr>
                <w:rFonts w:hint="eastAsia" w:ascii="宋体" w:hAnsi="宋体" w:cs="宋体"/>
                <w:sz w:val="21"/>
                <w:szCs w:val="21"/>
                <w:lang w:val="en-US" w:eastAsia="zh-CN"/>
              </w:rPr>
              <w:t>车位14万</w:t>
            </w:r>
            <w:r>
              <w:rPr>
                <w:rFonts w:hint="eastAsia" w:ascii="宋体" w:hAnsi="宋体" w:cs="宋体"/>
                <w:sz w:val="21"/>
                <w:szCs w:val="21"/>
              </w:rPr>
              <w:t>元/</w:t>
            </w:r>
            <w:r>
              <w:rPr>
                <w:rFonts w:hint="eastAsia" w:ascii="宋体" w:hAnsi="宋体" w:cs="宋体"/>
                <w:sz w:val="21"/>
                <w:szCs w:val="21"/>
                <w:lang w:val="en-US" w:eastAsia="zh-CN"/>
              </w:rPr>
              <w:t>个</w:t>
            </w:r>
          </w:p>
        </w:tc>
        <w:tc>
          <w:tcPr>
            <w:tcW w:w="467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宋体" w:hAnsi="宋体" w:cs="宋体"/>
                <w:spacing w:val="-6"/>
                <w:szCs w:val="21"/>
              </w:rPr>
            </w:pPr>
            <w:r>
              <w:rPr>
                <w:rFonts w:hint="eastAsia" w:ascii="宋体" w:hAnsi="宋体" w:cs="宋体"/>
                <w:sz w:val="21"/>
                <w:szCs w:val="21"/>
                <w:lang w:val="en-US" w:eastAsia="zh-CN"/>
              </w:rPr>
              <w:t>127.75万元（人民币壹佰贰拾柒万柒仟伍佰元整）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6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宋体" w:hAnsi="宋体" w:eastAsia="宋体" w:cs="宋体"/>
                <w:szCs w:val="21"/>
                <w:lang w:val="en-US" w:eastAsia="zh-CN"/>
              </w:rPr>
            </w:pPr>
            <w:r>
              <w:rPr>
                <w:rFonts w:hint="eastAsia" w:ascii="宋体" w:hAnsi="宋体" w:cs="宋体"/>
                <w:spacing w:val="-6"/>
                <w:szCs w:val="21"/>
              </w:rPr>
              <w:t>2、原房屋所有权人应承担的各项税费</w:t>
            </w:r>
            <w:r>
              <w:rPr>
                <w:rFonts w:hint="eastAsia" w:ascii="宋体" w:hAnsi="宋体" w:cs="宋体"/>
                <w:spacing w:val="-6"/>
                <w:szCs w:val="21"/>
                <w:lang w:val="en-US" w:eastAsia="zh-CN"/>
              </w:rPr>
              <w:t>及土地出让金</w:t>
            </w:r>
          </w:p>
        </w:tc>
        <w:tc>
          <w:tcPr>
            <w:tcW w:w="1999" w:type="dxa"/>
            <w:noWrap w:val="0"/>
            <w:vAlign w:val="center"/>
          </w:tcPr>
          <w:p>
            <w:pPr>
              <w:spacing w:line="360" w:lineRule="exact"/>
              <w:jc w:val="center"/>
              <w:rPr>
                <w:rFonts w:hint="eastAsia" w:ascii="宋体" w:hAnsi="宋体" w:cs="宋体"/>
                <w:szCs w:val="21"/>
              </w:rPr>
            </w:pPr>
          </w:p>
        </w:tc>
        <w:tc>
          <w:tcPr>
            <w:tcW w:w="4675"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宋体" w:hAnsi="宋体" w:cs="宋体"/>
                <w:spacing w:val="-6"/>
                <w:szCs w:val="21"/>
              </w:rPr>
            </w:pPr>
            <w:r>
              <w:rPr>
                <w:rFonts w:hint="eastAsia" w:ascii="宋体" w:hAnsi="宋体" w:cs="宋体"/>
                <w:sz w:val="21"/>
                <w:szCs w:val="21"/>
                <w:lang w:val="en-US" w:eastAsia="zh-CN"/>
              </w:rPr>
              <w:t>19.75万元（人民币壹拾玖万柒仟伍佰元整）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261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szCs w:val="21"/>
                <w:lang w:eastAsia="zh-CN"/>
              </w:rPr>
            </w:pPr>
            <w:r>
              <w:rPr>
                <w:rFonts w:hint="eastAsia" w:ascii="宋体" w:hAnsi="宋体" w:cs="宋体"/>
                <w:szCs w:val="21"/>
              </w:rPr>
              <w:t>3、</w:t>
            </w:r>
            <w:r>
              <w:rPr>
                <w:rFonts w:hint="eastAsia" w:ascii="宋体" w:hAnsi="宋体" w:cs="宋体"/>
                <w:szCs w:val="21"/>
                <w:lang w:eastAsia="zh-CN"/>
              </w:rPr>
              <w:t>处置参考价值</w:t>
            </w:r>
          </w:p>
        </w:tc>
        <w:tc>
          <w:tcPr>
            <w:tcW w:w="1999" w:type="dxa"/>
            <w:noWrap w:val="0"/>
            <w:vAlign w:val="center"/>
          </w:tcPr>
          <w:p>
            <w:pPr>
              <w:spacing w:line="360" w:lineRule="exact"/>
              <w:jc w:val="center"/>
              <w:rPr>
                <w:rFonts w:hint="eastAsia" w:ascii="宋体" w:hAnsi="宋体" w:cs="宋体"/>
                <w:sz w:val="21"/>
                <w:szCs w:val="21"/>
                <w:vertAlign w:val="superscript"/>
                <w:lang w:val="en-US" w:eastAsia="zh-CN"/>
              </w:rPr>
            </w:pPr>
            <w:r>
              <w:rPr>
                <w:rFonts w:hint="eastAsia" w:ascii="宋体" w:hAnsi="宋体" w:cs="宋体"/>
                <w:sz w:val="21"/>
                <w:szCs w:val="21"/>
                <w:lang w:val="en-US" w:eastAsia="zh-CN"/>
              </w:rPr>
              <w:t>住宅9139</w:t>
            </w:r>
            <w:r>
              <w:rPr>
                <w:rFonts w:hint="eastAsia" w:ascii="宋体" w:hAnsi="宋体" w:cs="宋体"/>
                <w:sz w:val="21"/>
                <w:szCs w:val="21"/>
              </w:rPr>
              <w:t>元/m</w:t>
            </w:r>
            <w:r>
              <w:rPr>
                <w:rFonts w:hint="eastAsia" w:ascii="宋体" w:hAnsi="宋体" w:cs="宋体"/>
                <w:sz w:val="21"/>
                <w:szCs w:val="21"/>
                <w:vertAlign w:val="superscript"/>
              </w:rPr>
              <w:t>2</w:t>
            </w:r>
            <w:r>
              <w:rPr>
                <w:rFonts w:hint="eastAsia" w:ascii="宋体" w:hAnsi="宋体" w:cs="宋体"/>
                <w:sz w:val="21"/>
                <w:szCs w:val="21"/>
                <w:vertAlign w:val="superscript"/>
                <w:lang w:val="en-US" w:eastAsia="zh-CN"/>
              </w:rPr>
              <w:t xml:space="preserve"> </w:t>
            </w:r>
          </w:p>
          <w:p>
            <w:pPr>
              <w:spacing w:line="360" w:lineRule="exact"/>
              <w:jc w:val="center"/>
              <w:rPr>
                <w:rFonts w:hint="eastAsia" w:ascii="宋体" w:hAnsi="宋体" w:cs="宋体"/>
                <w:spacing w:val="-6"/>
                <w:szCs w:val="21"/>
                <w:lang w:val="en-US" w:eastAsia="zh-CN"/>
              </w:rPr>
            </w:pPr>
            <w:r>
              <w:rPr>
                <w:rFonts w:hint="eastAsia" w:ascii="宋体" w:hAnsi="宋体" w:cs="宋体"/>
                <w:sz w:val="21"/>
                <w:szCs w:val="21"/>
                <w:lang w:val="en-US" w:eastAsia="zh-CN"/>
              </w:rPr>
              <w:t>车位10.68万</w:t>
            </w:r>
            <w:r>
              <w:rPr>
                <w:rFonts w:hint="eastAsia" w:ascii="宋体" w:hAnsi="宋体" w:cs="宋体"/>
                <w:sz w:val="21"/>
                <w:szCs w:val="21"/>
              </w:rPr>
              <w:t>元/</w:t>
            </w:r>
            <w:r>
              <w:rPr>
                <w:rFonts w:hint="eastAsia" w:ascii="宋体" w:hAnsi="宋体" w:cs="宋体"/>
                <w:sz w:val="21"/>
                <w:szCs w:val="21"/>
                <w:lang w:val="en-US" w:eastAsia="zh-CN"/>
              </w:rPr>
              <w:t>个</w:t>
            </w:r>
          </w:p>
        </w:tc>
        <w:tc>
          <w:tcPr>
            <w:tcW w:w="4675" w:type="dxa"/>
            <w:noWrap w:val="0"/>
            <w:vAlign w:val="center"/>
          </w:tcPr>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textAlignment w:val="auto"/>
              <w:outlineLvl w:val="9"/>
              <w:rPr>
                <w:rFonts w:hint="eastAsia" w:ascii="宋体" w:hAnsi="宋体" w:cs="宋体"/>
                <w:spacing w:val="-6"/>
                <w:szCs w:val="21"/>
              </w:rPr>
            </w:pPr>
            <w:r>
              <w:rPr>
                <w:rFonts w:hint="eastAsia" w:ascii="宋体" w:hAnsi="宋体" w:cs="宋体"/>
                <w:color w:val="000000"/>
                <w:sz w:val="21"/>
                <w:szCs w:val="21"/>
                <w:lang w:val="en-US" w:eastAsia="zh-CN"/>
              </w:rPr>
              <w:t>108.00</w:t>
            </w:r>
            <w:r>
              <w:rPr>
                <w:rFonts w:hint="eastAsia" w:ascii="宋体" w:hAnsi="宋体" w:cs="宋体"/>
                <w:sz w:val="21"/>
                <w:szCs w:val="21"/>
              </w:rPr>
              <w:t>万元（</w:t>
            </w:r>
            <w:r>
              <w:rPr>
                <w:rFonts w:hint="eastAsia" w:ascii="宋体" w:hAnsi="宋体" w:cs="宋体"/>
                <w:sz w:val="21"/>
                <w:szCs w:val="21"/>
                <w:lang w:eastAsia="zh-CN"/>
              </w:rPr>
              <w:t>人民币壹佰零捌万元整</w:t>
            </w:r>
            <w:r>
              <w:rPr>
                <w:rFonts w:hint="eastAsia" w:ascii="宋体" w:hAnsi="宋体" w:cs="宋体"/>
                <w:sz w:val="21"/>
                <w:szCs w:val="21"/>
              </w:rPr>
              <w:t>）</w:t>
            </w:r>
          </w:p>
        </w:tc>
      </w:tr>
    </w:tbl>
    <w:p>
      <w:pPr>
        <w:pStyle w:val="15"/>
        <w:spacing w:before="0" w:after="0" w:line="460" w:lineRule="exact"/>
        <w:ind w:firstLine="562"/>
        <w:rPr>
          <w:rFonts w:hint="eastAsia" w:ascii="宋体" w:hAnsi="宋体" w:eastAsia="宋体" w:cs="宋体"/>
          <w:sz w:val="28"/>
          <w:szCs w:val="28"/>
        </w:rPr>
      </w:pPr>
      <w:r>
        <w:rPr>
          <w:rFonts w:hint="eastAsia" w:ascii="宋体" w:hAnsi="宋体" w:eastAsia="宋体" w:cs="宋体"/>
          <w:sz w:val="28"/>
          <w:szCs w:val="28"/>
        </w:rPr>
        <w:t>十一、注册房地产估价师</w:t>
      </w:r>
    </w:p>
    <w:p>
      <w:pPr>
        <w:spacing w:line="480" w:lineRule="auto"/>
        <w:ind w:firstLine="480"/>
        <w:jc w:val="right"/>
        <w:rPr>
          <w:rFonts w:hint="eastAsia" w:ascii="宋体" w:hAnsi="宋体" w:cs="宋体"/>
          <w:sz w:val="24"/>
          <w:szCs w:val="24"/>
          <w:lang w:val="zh-CN"/>
        </w:rPr>
      </w:pPr>
      <w:r>
        <w:rPr>
          <w:rFonts w:hint="eastAsia" w:ascii="宋体" w:hAnsi="宋体" w:cs="宋体"/>
          <w:sz w:val="24"/>
          <w:szCs w:val="24"/>
        </w:rPr>
        <w:t xml:space="preserve">               </w:t>
      </w:r>
      <w:bookmarkStart w:id="7" w:name="OLE_LINK11"/>
      <w:r>
        <w:rPr>
          <w:rFonts w:hint="eastAsia" w:ascii="宋体" w:hAnsi="宋体" w:cs="宋体"/>
          <w:sz w:val="24"/>
          <w:szCs w:val="24"/>
          <w:lang w:val="zh-CN"/>
        </w:rPr>
        <w:t>参加估价的注册房地产估价师</w:t>
      </w:r>
      <w:r>
        <w:rPr>
          <w:rFonts w:hint="eastAsia" w:ascii="宋体" w:hAnsi="宋体" w:cs="宋体"/>
          <w:sz w:val="24"/>
          <w:szCs w:val="24"/>
        </w:rPr>
        <w:t xml:space="preserve">                       表6</w:t>
      </w:r>
      <w:bookmarkEnd w:id="7"/>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6"/>
        <w:gridCol w:w="2266"/>
        <w:gridCol w:w="2266"/>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6"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宋体" w:hAnsi="宋体" w:cs="宋体"/>
                <w:sz w:val="24"/>
              </w:rPr>
            </w:pPr>
            <w:r>
              <w:rPr>
                <w:rFonts w:hint="eastAsia" w:ascii="宋体" w:hAnsi="宋体" w:cs="宋体"/>
                <w:sz w:val="24"/>
              </w:rPr>
              <w:t>姓  名</w:t>
            </w:r>
          </w:p>
        </w:tc>
        <w:tc>
          <w:tcPr>
            <w:tcW w:w="2266"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宋体" w:hAnsi="宋体" w:cs="宋体"/>
                <w:sz w:val="24"/>
              </w:rPr>
            </w:pPr>
            <w:r>
              <w:rPr>
                <w:rFonts w:hint="eastAsia" w:ascii="宋体" w:hAnsi="宋体" w:cs="宋体"/>
                <w:sz w:val="24"/>
              </w:rPr>
              <w:t>注册号</w:t>
            </w:r>
          </w:p>
        </w:tc>
        <w:tc>
          <w:tcPr>
            <w:tcW w:w="2266"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宋体" w:hAnsi="宋体" w:cs="宋体"/>
                <w:sz w:val="24"/>
              </w:rPr>
            </w:pPr>
            <w:r>
              <w:rPr>
                <w:rFonts w:hint="eastAsia" w:ascii="宋体" w:hAnsi="宋体" w:cs="宋体"/>
                <w:sz w:val="24"/>
              </w:rPr>
              <w:t>签  名</w:t>
            </w:r>
          </w:p>
        </w:tc>
        <w:tc>
          <w:tcPr>
            <w:tcW w:w="2490"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宋体" w:hAnsi="宋体" w:cs="宋体"/>
                <w:sz w:val="24"/>
              </w:rPr>
            </w:pPr>
            <w:r>
              <w:rPr>
                <w:rFonts w:hint="eastAsia" w:ascii="宋体" w:hAnsi="宋体" w:cs="宋体"/>
                <w:sz w:val="24"/>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6"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宋体" w:hAnsi="宋体" w:eastAsia="宋体" w:cs="宋体"/>
                <w:sz w:val="24"/>
                <w:lang w:eastAsia="zh-CN"/>
              </w:rPr>
            </w:pPr>
            <w:r>
              <w:rPr>
                <w:rFonts w:hint="eastAsia" w:ascii="宋体" w:hAnsi="宋体" w:cs="宋体"/>
                <w:sz w:val="24"/>
                <w:lang w:eastAsia="zh-CN"/>
              </w:rPr>
              <w:t>倪灵燕</w:t>
            </w:r>
          </w:p>
        </w:tc>
        <w:tc>
          <w:tcPr>
            <w:tcW w:w="2266"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宋体" w:hAnsi="宋体" w:cs="宋体"/>
                <w:sz w:val="24"/>
                <w:szCs w:val="22"/>
                <w:lang w:eastAsia="zh-CN"/>
              </w:rPr>
            </w:pPr>
            <w:r>
              <w:rPr>
                <w:rFonts w:hint="eastAsia" w:ascii="宋体" w:hAnsi="宋体" w:cs="宋体"/>
                <w:sz w:val="24"/>
                <w:szCs w:val="22"/>
                <w:lang w:eastAsia="zh-CN"/>
              </w:rPr>
              <w:t>3520150012</w:t>
            </w:r>
          </w:p>
        </w:tc>
        <w:tc>
          <w:tcPr>
            <w:tcW w:w="2266"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宋体" w:hAnsi="宋体" w:cs="宋体"/>
                <w:sz w:val="24"/>
              </w:rPr>
            </w:pPr>
          </w:p>
        </w:tc>
        <w:tc>
          <w:tcPr>
            <w:tcW w:w="2490"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宋体" w:hAnsi="宋体" w:cs="宋体"/>
                <w:sz w:val="24"/>
              </w:rPr>
            </w:pPr>
            <w:r>
              <w:rPr>
                <w:rFonts w:hint="eastAsia" w:ascii="宋体" w:hAnsi="宋体" w:cs="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6"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宋体" w:hAnsi="宋体" w:eastAsia="宋体" w:cs="宋体"/>
                <w:sz w:val="24"/>
                <w:lang w:eastAsia="zh-CN"/>
              </w:rPr>
            </w:pPr>
            <w:r>
              <w:rPr>
                <w:rFonts w:hint="eastAsia" w:ascii="宋体" w:hAnsi="宋体" w:cs="宋体"/>
                <w:sz w:val="24"/>
                <w:lang w:eastAsia="zh-CN"/>
              </w:rPr>
              <w:t>韩新华</w:t>
            </w:r>
          </w:p>
        </w:tc>
        <w:tc>
          <w:tcPr>
            <w:tcW w:w="2266"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宋体" w:hAnsi="宋体" w:cs="宋体"/>
                <w:sz w:val="24"/>
                <w:szCs w:val="22"/>
                <w:lang w:eastAsia="zh-CN"/>
              </w:rPr>
            </w:pPr>
            <w:r>
              <w:rPr>
                <w:rFonts w:hint="eastAsia" w:ascii="宋体" w:hAnsi="宋体" w:cs="宋体"/>
                <w:sz w:val="24"/>
                <w:szCs w:val="22"/>
                <w:lang w:eastAsia="zh-CN"/>
              </w:rPr>
              <w:t>3520120002</w:t>
            </w:r>
          </w:p>
        </w:tc>
        <w:tc>
          <w:tcPr>
            <w:tcW w:w="2266"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宋体" w:hAnsi="宋体" w:cs="宋体"/>
                <w:sz w:val="24"/>
              </w:rPr>
            </w:pPr>
          </w:p>
        </w:tc>
        <w:tc>
          <w:tcPr>
            <w:tcW w:w="2490"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宋体" w:hAnsi="宋体" w:cs="宋体"/>
                <w:sz w:val="24"/>
              </w:rPr>
            </w:pPr>
            <w:r>
              <w:rPr>
                <w:rFonts w:hint="eastAsia" w:ascii="宋体" w:hAnsi="宋体" w:cs="宋体"/>
                <w:sz w:val="24"/>
              </w:rPr>
              <w:t xml:space="preserve">     年   月   日</w:t>
            </w:r>
          </w:p>
        </w:tc>
      </w:tr>
    </w:tbl>
    <w:p>
      <w:pPr>
        <w:pStyle w:val="15"/>
        <w:keepNext w:val="0"/>
        <w:keepLines w:val="0"/>
        <w:pageBreakBefore w:val="0"/>
        <w:widowControl w:val="0"/>
        <w:kinsoku/>
        <w:wordWrap/>
        <w:overflowPunct/>
        <w:topLinePunct w:val="0"/>
        <w:autoSpaceDE/>
        <w:autoSpaceDN/>
        <w:bidi w:val="0"/>
        <w:snapToGrid/>
        <w:spacing w:before="0" w:after="0" w:line="360" w:lineRule="auto"/>
        <w:ind w:firstLine="0"/>
        <w:rPr>
          <w:rFonts w:hint="eastAsia" w:ascii="宋体" w:hAnsi="宋体" w:eastAsia="宋体" w:cs="宋体"/>
          <w:sz w:val="28"/>
          <w:szCs w:val="28"/>
        </w:rPr>
      </w:pPr>
      <w:r>
        <w:rPr>
          <w:rFonts w:hint="eastAsia" w:ascii="宋体" w:hAnsi="宋体" w:eastAsia="宋体" w:cs="宋体"/>
          <w:sz w:val="28"/>
          <w:szCs w:val="28"/>
        </w:rPr>
        <w:t xml:space="preserve">    十二、实地查勘期</w:t>
      </w:r>
    </w:p>
    <w:p>
      <w:pPr>
        <w:keepNext w:val="0"/>
        <w:keepLines w:val="0"/>
        <w:pageBreakBefore w:val="0"/>
        <w:widowControl w:val="0"/>
        <w:kinsoku/>
        <w:wordWrap/>
        <w:overflowPunct/>
        <w:topLinePunct w:val="0"/>
        <w:autoSpaceDE/>
        <w:autoSpaceDN/>
        <w:bidi w:val="0"/>
        <w:snapToGrid/>
        <w:spacing w:line="360" w:lineRule="auto"/>
        <w:ind w:firstLine="480" w:firstLineChars="200"/>
        <w:rPr>
          <w:rFonts w:hint="eastAsia" w:ascii="宋体" w:hAnsi="宋体" w:cs="宋体"/>
          <w:sz w:val="24"/>
        </w:rPr>
      </w:pPr>
      <w:r>
        <w:rPr>
          <w:rFonts w:hint="eastAsia" w:ascii="宋体" w:hAnsi="宋体" w:cs="宋体"/>
          <w:sz w:val="24"/>
        </w:rPr>
        <w:t xml:space="preserve"> 实地查勘日：</w:t>
      </w:r>
      <w:r>
        <w:rPr>
          <w:rFonts w:hint="eastAsia" w:ascii="宋体" w:hAnsi="宋体" w:cs="宋体"/>
          <w:sz w:val="24"/>
          <w:lang w:eastAsia="zh-CN"/>
        </w:rPr>
        <w:t>2022年6月24日</w:t>
      </w:r>
    </w:p>
    <w:p>
      <w:pPr>
        <w:pStyle w:val="15"/>
        <w:keepNext w:val="0"/>
        <w:keepLines w:val="0"/>
        <w:pageBreakBefore w:val="0"/>
        <w:widowControl w:val="0"/>
        <w:kinsoku/>
        <w:wordWrap/>
        <w:overflowPunct/>
        <w:topLinePunct w:val="0"/>
        <w:autoSpaceDE/>
        <w:autoSpaceDN/>
        <w:bidi w:val="0"/>
        <w:snapToGrid/>
        <w:spacing w:before="0" w:after="0" w:line="360" w:lineRule="auto"/>
        <w:ind w:firstLine="0"/>
        <w:rPr>
          <w:rFonts w:hint="eastAsia" w:ascii="宋体" w:hAnsi="宋体" w:eastAsia="宋体" w:cs="宋体"/>
          <w:sz w:val="28"/>
          <w:szCs w:val="28"/>
        </w:rPr>
      </w:pPr>
      <w:r>
        <w:rPr>
          <w:rFonts w:hint="eastAsia" w:ascii="宋体" w:hAnsi="宋体" w:eastAsia="宋体" w:cs="宋体"/>
          <w:sz w:val="28"/>
          <w:szCs w:val="28"/>
        </w:rPr>
        <w:t xml:space="preserve">    十三、估价作业期</w:t>
      </w:r>
    </w:p>
    <w:p>
      <w:pPr>
        <w:keepNext w:val="0"/>
        <w:keepLines w:val="0"/>
        <w:pageBreakBefore w:val="0"/>
        <w:widowControl w:val="0"/>
        <w:kinsoku/>
        <w:wordWrap/>
        <w:overflowPunct/>
        <w:topLinePunct w:val="0"/>
        <w:autoSpaceDE/>
        <w:autoSpaceDN/>
        <w:bidi w:val="0"/>
        <w:snapToGrid/>
        <w:spacing w:line="360" w:lineRule="auto"/>
        <w:ind w:firstLine="480" w:firstLineChars="200"/>
        <w:rPr>
          <w:rFonts w:hint="eastAsia" w:ascii="宋体" w:hAnsi="宋体" w:cs="宋体"/>
          <w:sz w:val="24"/>
          <w:lang w:val="en-US" w:eastAsia="zh-CN"/>
        </w:rPr>
      </w:pPr>
      <w:r>
        <w:rPr>
          <w:rFonts w:hint="eastAsia" w:ascii="宋体" w:hAnsi="宋体" w:cs="宋体"/>
          <w:sz w:val="24"/>
        </w:rPr>
        <w:t xml:space="preserve"> 估价作业期：</w:t>
      </w:r>
      <w:r>
        <w:rPr>
          <w:rFonts w:hint="eastAsia" w:ascii="宋体" w:hAnsi="宋体" w:cs="宋体"/>
          <w:sz w:val="24"/>
          <w:lang w:eastAsia="zh-CN"/>
        </w:rPr>
        <w:t>2022年6月24日</w:t>
      </w:r>
      <w:r>
        <w:rPr>
          <w:rFonts w:hint="eastAsia" w:ascii="宋体" w:hAnsi="宋体" w:cs="宋体"/>
          <w:sz w:val="24"/>
        </w:rPr>
        <w:t>至</w:t>
      </w:r>
      <w:r>
        <w:rPr>
          <w:rFonts w:hint="eastAsia" w:ascii="宋体" w:hAnsi="宋体" w:cs="宋体"/>
          <w:color w:val="000000"/>
          <w:sz w:val="24"/>
          <w:lang w:eastAsia="zh-CN"/>
        </w:rPr>
        <w:t>2022年10月13日</w:t>
      </w:r>
    </w:p>
    <w:p>
      <w:pPr>
        <w:pStyle w:val="2"/>
        <w:keepNext w:val="0"/>
        <w:keepLines w:val="0"/>
        <w:pageBreakBefore w:val="0"/>
        <w:widowControl w:val="0"/>
        <w:kinsoku/>
        <w:wordWrap/>
        <w:overflowPunct/>
        <w:topLinePunct w:val="0"/>
        <w:autoSpaceDE/>
        <w:autoSpaceDN/>
        <w:bidi w:val="0"/>
        <w:snapToGrid/>
        <w:spacing w:line="360" w:lineRule="auto"/>
        <w:rPr>
          <w:rFonts w:hint="eastAsia" w:ascii="宋体" w:hAnsi="宋体" w:eastAsia="宋体" w:cs="宋体"/>
          <w:b/>
          <w:kern w:val="0"/>
          <w:sz w:val="28"/>
          <w:szCs w:val="28"/>
          <w:lang w:val="en-US" w:eastAsia="zh-CN" w:bidi="ar-SA"/>
        </w:rPr>
      </w:pPr>
      <w:r>
        <w:rPr>
          <w:rFonts w:hint="eastAsia" w:ascii="宋体" w:hAnsi="宋体" w:eastAsia="宋体" w:cs="宋体"/>
          <w:b/>
          <w:kern w:val="0"/>
          <w:sz w:val="28"/>
          <w:szCs w:val="28"/>
          <w:lang w:val="en-US" w:eastAsia="zh-CN" w:bidi="ar-SA"/>
        </w:rPr>
        <w:t>十四、提示</w:t>
      </w:r>
    </w:p>
    <w:p>
      <w:pPr>
        <w:pStyle w:val="2"/>
        <w:keepNext w:val="0"/>
        <w:keepLines w:val="0"/>
        <w:pageBreakBefore w:val="0"/>
        <w:widowControl w:val="0"/>
        <w:kinsoku/>
        <w:wordWrap/>
        <w:overflowPunct/>
        <w:topLinePunct w:val="0"/>
        <w:autoSpaceDE/>
        <w:autoSpaceDN/>
        <w:bidi w:val="0"/>
        <w:snapToGrid/>
        <w:spacing w:line="360" w:lineRule="auto"/>
        <w:rPr>
          <w:rFonts w:hint="eastAsia" w:ascii="宋体" w:hAnsi="宋体" w:cs="宋体"/>
          <w:sz w:val="24"/>
          <w:lang w:val="en-US" w:eastAsia="zh-CN"/>
        </w:rPr>
      </w:pPr>
      <w:r>
        <w:rPr>
          <w:rFonts w:hint="eastAsia" w:ascii="宋体" w:hAnsi="宋体" w:cs="宋体"/>
          <w:sz w:val="24"/>
          <w:lang w:val="en-US" w:eastAsia="zh-CN"/>
        </w:rPr>
        <w:t xml:space="preserve">  估价报告使用期限：至本估价报告出具之日起不超过壹年，当地房地产市场变化较大时不超过半年。</w:t>
      </w:r>
    </w:p>
    <w:p>
      <w:pPr>
        <w:keepNext w:val="0"/>
        <w:keepLines w:val="0"/>
        <w:pageBreakBefore w:val="0"/>
        <w:widowControl w:val="0"/>
        <w:kinsoku/>
        <w:wordWrap/>
        <w:overflowPunct/>
        <w:topLinePunct w:val="0"/>
        <w:autoSpaceDE/>
        <w:autoSpaceDN/>
        <w:bidi w:val="0"/>
        <w:snapToGrid/>
        <w:spacing w:line="380" w:lineRule="exact"/>
        <w:ind w:firstLine="480" w:firstLineChars="200"/>
        <w:rPr>
          <w:rFonts w:hint="eastAsia" w:ascii="宋体" w:hAnsi="宋体" w:cs="宋体"/>
          <w:sz w:val="24"/>
          <w:lang w:val="en-US" w:eastAsia="zh-CN"/>
        </w:rPr>
      </w:pPr>
    </w:p>
    <w:p>
      <w:pPr>
        <w:keepNext w:val="0"/>
        <w:keepLines w:val="0"/>
        <w:pageBreakBefore w:val="0"/>
        <w:widowControl w:val="0"/>
        <w:kinsoku/>
        <w:wordWrap/>
        <w:overflowPunct/>
        <w:topLinePunct w:val="0"/>
        <w:autoSpaceDE/>
        <w:autoSpaceDN/>
        <w:bidi w:val="0"/>
        <w:snapToGrid/>
        <w:spacing w:line="380" w:lineRule="exact"/>
        <w:ind w:firstLine="480" w:firstLineChars="200"/>
        <w:rPr>
          <w:rFonts w:hint="eastAsia" w:ascii="宋体" w:hAnsi="宋体" w:cs="宋体"/>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480"/>
        <w:jc w:val="center"/>
        <w:textAlignment w:val="auto"/>
        <w:rPr>
          <w:rFonts w:hint="eastAsia" w:ascii="宋体" w:hAnsi="宋体" w:cs="宋体"/>
          <w:bCs/>
          <w:sz w:val="28"/>
          <w:szCs w:val="28"/>
        </w:rPr>
      </w:pPr>
      <w:r>
        <w:rPr>
          <w:rFonts w:hint="eastAsia" w:ascii="宋体" w:hAnsi="宋体" w:cs="宋体"/>
          <w:bCs/>
          <w:sz w:val="28"/>
          <w:szCs w:val="28"/>
        </w:rPr>
        <w:t xml:space="preserve">                             </w:t>
      </w:r>
      <w:bookmarkStart w:id="8" w:name="OLE_LINK22"/>
      <w:r>
        <w:rPr>
          <w:rFonts w:hint="eastAsia" w:ascii="宋体" w:hAnsi="宋体" w:cs="宋体"/>
          <w:bCs/>
          <w:sz w:val="28"/>
          <w:szCs w:val="28"/>
        </w:rPr>
        <w:t xml:space="preserve"> 龙岩冠力土地房地产评估有限公司</w:t>
      </w:r>
    </w:p>
    <w:p>
      <w:pPr>
        <w:keepNext w:val="0"/>
        <w:keepLines w:val="0"/>
        <w:pageBreakBefore w:val="0"/>
        <w:widowControl w:val="0"/>
        <w:kinsoku/>
        <w:wordWrap/>
        <w:overflowPunct/>
        <w:topLinePunct w:val="0"/>
        <w:autoSpaceDE/>
        <w:autoSpaceDN/>
        <w:bidi w:val="0"/>
        <w:adjustRightInd/>
        <w:snapToGrid/>
        <w:spacing w:line="360" w:lineRule="auto"/>
        <w:ind w:firstLine="4303" w:firstLineChars="1537"/>
        <w:textAlignment w:val="auto"/>
        <w:rPr>
          <w:rFonts w:hint="eastAsia" w:ascii="宋体" w:hAnsi="宋体" w:cs="宋体"/>
          <w:bCs/>
          <w:sz w:val="28"/>
          <w:szCs w:val="28"/>
        </w:rPr>
      </w:pPr>
      <w:r>
        <w:rPr>
          <w:rFonts w:hint="eastAsia" w:ascii="宋体" w:hAnsi="宋体" w:cs="宋体"/>
          <w:bCs/>
          <w:sz w:val="28"/>
          <w:szCs w:val="28"/>
        </w:rPr>
        <w:t>法定代表人：</w:t>
      </w:r>
    </w:p>
    <w:bookmarkEnd w:id="8"/>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Cs/>
          <w:sz w:val="28"/>
          <w:szCs w:val="28"/>
          <w:lang w:eastAsia="zh-CN"/>
        </w:rPr>
      </w:pPr>
      <w:r>
        <w:rPr>
          <w:rFonts w:hint="eastAsia" w:ascii="宋体" w:hAnsi="宋体" w:cs="宋体"/>
          <w:bCs/>
          <w:sz w:val="28"/>
          <w:szCs w:val="28"/>
        </w:rPr>
        <w:t xml:space="preserve">           </w:t>
      </w:r>
      <w:r>
        <w:rPr>
          <w:rFonts w:hint="eastAsia" w:ascii="宋体" w:hAnsi="宋体" w:cs="宋体"/>
          <w:bCs/>
          <w:color w:val="FF0000"/>
          <w:sz w:val="28"/>
          <w:szCs w:val="28"/>
          <w:lang w:eastAsia="zh-CN"/>
        </w:rPr>
        <w:t xml:space="preserve"> </w:t>
      </w:r>
      <w:r>
        <w:rPr>
          <w:rFonts w:hint="eastAsia" w:ascii="宋体" w:hAnsi="宋体" w:cs="宋体"/>
          <w:bCs/>
          <w:sz w:val="28"/>
          <w:szCs w:val="28"/>
          <w:lang w:eastAsia="zh-CN"/>
        </w:rPr>
        <w:t>2022年10月13日</w:t>
      </w:r>
    </w:p>
    <w:p>
      <w:pPr>
        <w:spacing w:line="600" w:lineRule="auto"/>
        <w:jc w:val="center"/>
        <w:rPr>
          <w:rFonts w:hint="eastAsia" w:ascii="宋体" w:hAnsi="宋体" w:cs="宋体"/>
          <w:b/>
          <w:bCs/>
          <w:sz w:val="36"/>
          <w:szCs w:val="36"/>
        </w:rPr>
      </w:pPr>
    </w:p>
    <w:p>
      <w:pPr>
        <w:pStyle w:val="2"/>
        <w:ind w:left="0" w:leftChars="0" w:firstLine="0" w:firstLineChars="0"/>
        <w:rPr>
          <w:rFonts w:hint="eastAsia"/>
        </w:rPr>
      </w:pPr>
    </w:p>
    <w:p>
      <w:pPr>
        <w:spacing w:line="600" w:lineRule="auto"/>
        <w:jc w:val="center"/>
        <w:rPr>
          <w:rFonts w:hint="eastAsia" w:ascii="宋体" w:hAnsi="宋体" w:cs="宋体"/>
          <w:b/>
          <w:bCs/>
          <w:sz w:val="15"/>
          <w:szCs w:val="15"/>
        </w:rPr>
      </w:pPr>
      <w:r>
        <w:rPr>
          <w:rFonts w:hint="eastAsia" w:ascii="宋体" w:hAnsi="宋体" w:cs="宋体"/>
          <w:b/>
          <w:bCs/>
          <w:sz w:val="36"/>
          <w:szCs w:val="36"/>
        </w:rPr>
        <w:t>估价技术报告</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b/>
          <w:sz w:val="28"/>
          <w:szCs w:val="28"/>
        </w:rPr>
      </w:pPr>
      <w:r>
        <w:rPr>
          <w:rFonts w:hint="eastAsia" w:ascii="宋体" w:hAnsi="宋体" w:cs="宋体"/>
          <w:b/>
          <w:sz w:val="28"/>
          <w:szCs w:val="28"/>
        </w:rPr>
        <w:t xml:space="preserve">    一、估价对象描述与分析</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b/>
          <w:sz w:val="28"/>
          <w:szCs w:val="28"/>
        </w:rPr>
      </w:pPr>
      <w:r>
        <w:rPr>
          <w:rFonts w:hint="eastAsia" w:ascii="宋体" w:hAnsi="宋体" w:cs="宋体"/>
          <w:b/>
          <w:sz w:val="28"/>
          <w:szCs w:val="28"/>
        </w:rPr>
        <w:t xml:space="preserve">   （一）区位状况描述与分析</w:t>
      </w:r>
    </w:p>
    <w:p>
      <w:pPr>
        <w:pStyle w:val="4"/>
        <w:keepNext w:val="0"/>
        <w:keepLines w:val="0"/>
        <w:pageBreakBefore w:val="0"/>
        <w:widowControl w:val="0"/>
        <w:numPr>
          <w:ilvl w:val="0"/>
          <w:numId w:val="10"/>
        </w:numP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位置状况</w:t>
      </w:r>
    </w:p>
    <w:p>
      <w:pPr>
        <w:pStyle w:val="4"/>
        <w:keepNext w:val="0"/>
        <w:keepLines w:val="0"/>
        <w:pageBreakBefore w:val="0"/>
        <w:widowControl w:val="0"/>
        <w:kinsoku/>
        <w:wordWrap/>
        <w:overflowPunct/>
        <w:topLinePunct w:val="0"/>
        <w:autoSpaceDE/>
        <w:autoSpaceDN/>
        <w:bidi w:val="0"/>
        <w:adjustRightInd/>
        <w:snapToGrid/>
        <w:spacing w:line="460" w:lineRule="exact"/>
        <w:ind w:left="420" w:leftChars="200"/>
        <w:jc w:val="righ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w:t>
      </w:r>
      <w:bookmarkStart w:id="9" w:name="OLE_LINK17"/>
      <w:r>
        <w:rPr>
          <w:rFonts w:hint="eastAsia" w:ascii="宋体" w:hAnsi="宋体" w:eastAsia="宋体" w:cs="宋体"/>
          <w:sz w:val="24"/>
          <w:szCs w:val="24"/>
        </w:rPr>
        <w:t xml:space="preserve"> </w:t>
      </w:r>
      <w:bookmarkStart w:id="10" w:name="OLE_LINK20"/>
      <w:r>
        <w:rPr>
          <w:rFonts w:hint="eastAsia" w:ascii="宋体" w:hAnsi="宋体" w:eastAsia="宋体" w:cs="宋体"/>
          <w:sz w:val="24"/>
          <w:szCs w:val="24"/>
        </w:rPr>
        <w:t xml:space="preserve">位置状况表                             </w:t>
      </w:r>
      <w:r>
        <w:rPr>
          <w:rFonts w:hint="eastAsia" w:ascii="宋体" w:hAnsi="宋体" w:eastAsia="宋体" w:cs="宋体"/>
          <w:sz w:val="24"/>
          <w:szCs w:val="24"/>
          <w:lang w:eastAsia="zh-CN"/>
        </w:rPr>
        <w:t>技</w:t>
      </w:r>
      <w:r>
        <w:rPr>
          <w:rFonts w:hint="eastAsia" w:ascii="宋体" w:hAnsi="宋体" w:eastAsia="宋体" w:cs="宋体"/>
          <w:sz w:val="24"/>
          <w:szCs w:val="24"/>
        </w:rPr>
        <w:t>表</w:t>
      </w:r>
      <w:r>
        <w:rPr>
          <w:rFonts w:hint="eastAsia" w:ascii="宋体" w:hAnsi="宋体" w:eastAsia="宋体" w:cs="宋体"/>
          <w:sz w:val="24"/>
          <w:szCs w:val="24"/>
          <w:lang w:val="en-US" w:eastAsia="zh-CN"/>
        </w:rPr>
        <w:t>1</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2"/>
        <w:gridCol w:w="7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项目</w:t>
            </w:r>
          </w:p>
        </w:tc>
        <w:tc>
          <w:tcPr>
            <w:tcW w:w="7396"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描述与分析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坐落</w:t>
            </w:r>
          </w:p>
        </w:tc>
        <w:tc>
          <w:tcPr>
            <w:tcW w:w="7396"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龙岩市新罗区龙岩大道北101号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方位</w:t>
            </w:r>
          </w:p>
        </w:tc>
        <w:tc>
          <w:tcPr>
            <w:tcW w:w="7396" w:type="dxa"/>
            <w:noWrap w:val="0"/>
            <w:vAlign w:val="center"/>
          </w:tcPr>
          <w:p>
            <w:pPr>
              <w:pStyle w:val="4"/>
              <w:spacing w:line="240" w:lineRule="auto"/>
              <w:jc w:val="left"/>
              <w:rPr>
                <w:rFonts w:hint="eastAsia" w:ascii="宋体" w:hAnsi="宋体" w:eastAsia="宋体" w:cs="宋体"/>
                <w:sz w:val="21"/>
                <w:szCs w:val="21"/>
                <w:lang w:eastAsia="zh-CN"/>
              </w:rPr>
            </w:pPr>
            <w:r>
              <w:rPr>
                <w:rFonts w:hint="eastAsia" w:ascii="宋体" w:hAnsi="宋体" w:eastAsia="宋体" w:cs="宋体"/>
                <w:color w:val="000000"/>
                <w:sz w:val="21"/>
                <w:szCs w:val="21"/>
                <w:lang w:eastAsia="zh-CN"/>
              </w:rPr>
              <w:t>估价对象位于龙岩市</w:t>
            </w:r>
            <w:r>
              <w:rPr>
                <w:rFonts w:hint="eastAsia" w:ascii="宋体" w:hAnsi="宋体" w:eastAsia="宋体" w:cs="宋体"/>
                <w:sz w:val="21"/>
                <w:szCs w:val="21"/>
                <w:lang w:eastAsia="zh-CN"/>
              </w:rPr>
              <w:t>龙岩大道北101号</w:t>
            </w:r>
            <w:r>
              <w:rPr>
                <w:rFonts w:hint="eastAsia" w:ascii="宋体" w:hAnsi="宋体" w:eastAsia="宋体" w:cs="宋体"/>
                <w:color w:val="000000"/>
                <w:sz w:val="21"/>
                <w:szCs w:val="21"/>
                <w:lang w:eastAsia="zh-CN"/>
              </w:rPr>
              <w:t>，土地等级为新罗区</w:t>
            </w:r>
            <w:r>
              <w:rPr>
                <w:rFonts w:hint="eastAsia" w:ascii="宋体" w:hAnsi="宋体" w:eastAsia="宋体" w:cs="宋体"/>
                <w:color w:val="000000"/>
                <w:sz w:val="21"/>
                <w:szCs w:val="21"/>
                <w:lang w:val="en-US" w:eastAsia="zh-CN"/>
              </w:rPr>
              <w:t>二级</w:t>
            </w:r>
            <w:r>
              <w:rPr>
                <w:rFonts w:hint="eastAsia" w:ascii="宋体" w:hAnsi="宋体" w:eastAsia="宋体" w:cs="宋体"/>
                <w:color w:val="000000"/>
                <w:sz w:val="21"/>
                <w:szCs w:val="21"/>
                <w:lang w:eastAsia="zh-CN"/>
              </w:rPr>
              <w:t>城镇住宅用地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89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与重要场所距离</w:t>
            </w:r>
          </w:p>
        </w:tc>
        <w:tc>
          <w:tcPr>
            <w:tcW w:w="7396"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宋体" w:hAnsi="宋体" w:eastAsia="宋体" w:cs="宋体"/>
                <w:sz w:val="21"/>
                <w:szCs w:val="21"/>
                <w:lang w:val="en-US"/>
              </w:rPr>
            </w:pPr>
            <w:r>
              <w:rPr>
                <w:rFonts w:hint="eastAsia" w:ascii="宋体" w:hAnsi="宋体" w:eastAsia="宋体" w:cs="宋体"/>
                <w:color w:val="000000"/>
                <w:sz w:val="21"/>
                <w:szCs w:val="21"/>
              </w:rPr>
              <w:t>距离</w:t>
            </w:r>
            <w:r>
              <w:rPr>
                <w:rFonts w:hint="eastAsia" w:ascii="宋体" w:hAnsi="宋体" w:eastAsia="宋体" w:cs="宋体"/>
                <w:color w:val="000000"/>
                <w:sz w:val="21"/>
                <w:szCs w:val="21"/>
                <w:lang w:val="en-US" w:eastAsia="zh-CN"/>
              </w:rPr>
              <w:t>侨中附属幼儿园</w:t>
            </w:r>
            <w:r>
              <w:rPr>
                <w:rFonts w:hint="eastAsia" w:ascii="宋体" w:hAnsi="宋体" w:eastAsia="宋体" w:cs="宋体"/>
                <w:color w:val="000000"/>
                <w:sz w:val="21"/>
                <w:szCs w:val="21"/>
              </w:rPr>
              <w:t>约</w:t>
            </w:r>
            <w:r>
              <w:rPr>
                <w:rFonts w:hint="eastAsia" w:ascii="宋体" w:hAnsi="宋体" w:eastAsia="宋体" w:cs="宋体"/>
                <w:color w:val="000000"/>
                <w:sz w:val="21"/>
                <w:szCs w:val="21"/>
                <w:lang w:val="en-US" w:eastAsia="zh-CN"/>
              </w:rPr>
              <w:t>30</w:t>
            </w:r>
            <w:r>
              <w:rPr>
                <w:rFonts w:hint="eastAsia" w:ascii="宋体" w:hAnsi="宋体" w:eastAsia="宋体" w:cs="宋体"/>
                <w:color w:val="000000"/>
                <w:sz w:val="21"/>
                <w:szCs w:val="21"/>
              </w:rPr>
              <w:t>0米，距离</w:t>
            </w:r>
            <w:r>
              <w:rPr>
                <w:rFonts w:hint="eastAsia" w:ascii="宋体" w:hAnsi="宋体" w:eastAsia="宋体" w:cs="宋体"/>
                <w:color w:val="000000"/>
                <w:sz w:val="21"/>
                <w:szCs w:val="21"/>
                <w:lang w:val="en-US" w:eastAsia="zh-CN"/>
              </w:rPr>
              <w:t>凤凰小学1200米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临街（路）状况</w:t>
            </w:r>
          </w:p>
        </w:tc>
        <w:tc>
          <w:tcPr>
            <w:tcW w:w="7396"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ascii="宋体" w:hAnsi="宋体" w:eastAsia="宋体" w:cs="宋体"/>
                <w:sz w:val="21"/>
                <w:szCs w:val="21"/>
                <w:lang w:eastAsia="zh-CN"/>
              </w:rPr>
            </w:pPr>
            <w:r>
              <w:rPr>
                <w:rFonts w:hint="eastAsia" w:ascii="宋体" w:hAnsi="宋体" w:eastAsia="宋体" w:cs="宋体"/>
                <w:color w:val="000000"/>
                <w:sz w:val="21"/>
                <w:szCs w:val="21"/>
                <w:lang w:eastAsia="zh-CN"/>
              </w:rPr>
              <w:t>估价对象临龙岩大道</w:t>
            </w:r>
            <w:r>
              <w:rPr>
                <w:rFonts w:hint="eastAsia" w:ascii="宋体" w:hAnsi="宋体" w:eastAsia="宋体" w:cs="宋体"/>
                <w:color w:val="000000"/>
                <w:sz w:val="21"/>
                <w:szCs w:val="21"/>
              </w:rPr>
              <w:t>，临路情况</w:t>
            </w:r>
            <w:r>
              <w:rPr>
                <w:rFonts w:hint="eastAsia" w:ascii="宋体" w:hAnsi="宋体" w:eastAsia="宋体" w:cs="宋体"/>
                <w:color w:val="000000"/>
                <w:sz w:val="21"/>
                <w:szCs w:val="21"/>
                <w:lang w:eastAsia="zh-CN"/>
              </w:rPr>
              <w:t>较</w:t>
            </w:r>
            <w:r>
              <w:rPr>
                <w:rFonts w:hint="eastAsia" w:ascii="宋体" w:hAnsi="宋体" w:eastAsia="宋体" w:cs="宋体"/>
                <w:color w:val="000000"/>
                <w:sz w:val="21"/>
                <w:szCs w:val="21"/>
              </w:rPr>
              <w:t>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楼幢位置</w:t>
            </w:r>
          </w:p>
        </w:tc>
        <w:tc>
          <w:tcPr>
            <w:tcW w:w="7396"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ascii="宋体" w:hAnsi="宋体" w:eastAsia="宋体" w:cs="宋体"/>
                <w:sz w:val="21"/>
                <w:szCs w:val="21"/>
                <w:lang w:eastAsia="zh-CN"/>
              </w:rPr>
            </w:pPr>
            <w:r>
              <w:rPr>
                <w:rFonts w:hint="eastAsia" w:ascii="宋体" w:hAnsi="宋体" w:eastAsia="宋体" w:cs="宋体"/>
                <w:color w:val="000000"/>
                <w:sz w:val="21"/>
                <w:szCs w:val="21"/>
                <w:lang w:eastAsia="zh-CN"/>
              </w:rPr>
              <w:t>估价对象所在楼幢为距离各公共服务设施近，楼幢位置较好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朝向</w:t>
            </w:r>
          </w:p>
        </w:tc>
        <w:tc>
          <w:tcPr>
            <w:tcW w:w="7396"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color w:val="000000"/>
                <w:sz w:val="21"/>
                <w:szCs w:val="21"/>
              </w:rPr>
              <w:t>估价对象</w:t>
            </w:r>
            <w:r>
              <w:rPr>
                <w:rFonts w:hint="eastAsia" w:ascii="宋体" w:hAnsi="宋体" w:eastAsia="宋体" w:cs="宋体"/>
                <w:color w:val="000000"/>
                <w:sz w:val="21"/>
                <w:szCs w:val="21"/>
                <w:lang w:eastAsia="zh-CN"/>
              </w:rPr>
              <w:t>所在</w:t>
            </w:r>
            <w:r>
              <w:rPr>
                <w:rFonts w:hint="eastAsia" w:ascii="宋体" w:hAnsi="宋体" w:eastAsia="宋体" w:cs="宋体"/>
                <w:color w:val="000000"/>
                <w:sz w:val="21"/>
                <w:szCs w:val="21"/>
              </w:rPr>
              <w:t>楼幢为南北朝向，</w:t>
            </w:r>
            <w:r>
              <w:rPr>
                <w:rFonts w:hint="eastAsia" w:ascii="宋体" w:hAnsi="宋体" w:eastAsia="宋体" w:cs="宋体"/>
                <w:color w:val="000000"/>
                <w:sz w:val="21"/>
                <w:szCs w:val="21"/>
                <w:lang w:eastAsia="zh-CN"/>
              </w:rPr>
              <w:t>估价对象</w:t>
            </w:r>
            <w:r>
              <w:rPr>
                <w:rFonts w:hint="eastAsia" w:ascii="宋体" w:hAnsi="宋体" w:eastAsia="宋体" w:cs="宋体"/>
                <w:color w:val="000000"/>
                <w:sz w:val="21"/>
                <w:szCs w:val="21"/>
                <w:lang w:val="en-US" w:eastAsia="zh-CN"/>
              </w:rPr>
              <w:t>南北朝向</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三</w:t>
            </w:r>
            <w:r>
              <w:rPr>
                <w:rFonts w:hint="eastAsia" w:ascii="宋体" w:hAnsi="宋体" w:eastAsia="宋体" w:cs="宋体"/>
                <w:color w:val="000000"/>
                <w:sz w:val="21"/>
                <w:szCs w:val="21"/>
                <w:lang w:eastAsia="zh-CN"/>
              </w:rPr>
              <w:t>面采光，朝向较好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层次/总层数</w:t>
            </w:r>
          </w:p>
        </w:tc>
        <w:tc>
          <w:tcPr>
            <w:tcW w:w="7396"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住宅：</w:t>
            </w:r>
            <w:r>
              <w:rPr>
                <w:rFonts w:hint="eastAsia" w:ascii="宋体" w:hAnsi="宋体" w:eastAsia="宋体" w:cs="宋体"/>
                <w:sz w:val="21"/>
                <w:szCs w:val="21"/>
                <w:lang w:eastAsia="zh-CN"/>
              </w:rPr>
              <w:t>第</w:t>
            </w:r>
            <w:r>
              <w:rPr>
                <w:rFonts w:hint="eastAsia" w:ascii="宋体" w:hAnsi="宋体" w:eastAsia="宋体" w:cs="宋体"/>
                <w:sz w:val="21"/>
                <w:szCs w:val="21"/>
                <w:lang w:val="en-US" w:eastAsia="zh-CN"/>
              </w:rPr>
              <w:t>28</w:t>
            </w:r>
            <w:r>
              <w:rPr>
                <w:rFonts w:hint="eastAsia" w:ascii="宋体" w:hAnsi="宋体" w:eastAsia="宋体" w:cs="宋体"/>
                <w:sz w:val="21"/>
                <w:szCs w:val="21"/>
                <w:lang w:eastAsia="zh-CN"/>
              </w:rPr>
              <w:t>层/总</w:t>
            </w:r>
            <w:r>
              <w:rPr>
                <w:rFonts w:hint="eastAsia" w:ascii="宋体" w:hAnsi="宋体" w:eastAsia="宋体" w:cs="宋体"/>
                <w:sz w:val="21"/>
                <w:szCs w:val="21"/>
                <w:lang w:val="en-US" w:eastAsia="zh-CN"/>
              </w:rPr>
              <w:t>31</w:t>
            </w:r>
            <w:r>
              <w:rPr>
                <w:rFonts w:hint="eastAsia" w:ascii="宋体" w:hAnsi="宋体" w:eastAsia="宋体" w:cs="宋体"/>
                <w:sz w:val="21"/>
                <w:szCs w:val="21"/>
                <w:lang w:eastAsia="zh-CN"/>
              </w:rPr>
              <w:t>层，</w:t>
            </w:r>
            <w:r>
              <w:rPr>
                <w:rFonts w:hint="eastAsia" w:ascii="宋体" w:hAnsi="宋体" w:eastAsia="宋体" w:cs="宋体"/>
                <w:sz w:val="21"/>
                <w:szCs w:val="21"/>
                <w:lang w:val="en-US" w:eastAsia="zh-CN"/>
              </w:rPr>
              <w:t>车位：</w:t>
            </w:r>
            <w:r>
              <w:rPr>
                <w:rFonts w:hint="eastAsia" w:ascii="宋体" w:hAnsi="宋体" w:eastAsia="宋体" w:cs="宋体"/>
                <w:sz w:val="21"/>
                <w:szCs w:val="21"/>
                <w:lang w:eastAsia="zh-CN"/>
              </w:rPr>
              <w:t>第</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层/总</w:t>
            </w:r>
            <w:r>
              <w:rPr>
                <w:rFonts w:hint="eastAsia" w:ascii="宋体" w:hAnsi="宋体" w:eastAsia="宋体" w:cs="宋体"/>
                <w:sz w:val="21"/>
                <w:szCs w:val="21"/>
                <w:lang w:val="en-US" w:eastAsia="zh-CN"/>
              </w:rPr>
              <w:t>33</w:t>
            </w:r>
            <w:r>
              <w:rPr>
                <w:rFonts w:hint="eastAsia" w:ascii="宋体" w:hAnsi="宋体" w:eastAsia="宋体" w:cs="宋体"/>
                <w:sz w:val="21"/>
                <w:szCs w:val="21"/>
                <w:lang w:eastAsia="zh-CN"/>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lang w:eastAsia="zh-CN"/>
              </w:rPr>
              <w:t>居住</w:t>
            </w:r>
            <w:r>
              <w:rPr>
                <w:rFonts w:hint="eastAsia" w:ascii="宋体" w:hAnsi="宋体" w:eastAsia="宋体" w:cs="宋体"/>
                <w:b/>
                <w:bCs/>
                <w:sz w:val="21"/>
                <w:szCs w:val="21"/>
              </w:rPr>
              <w:t>聚集度</w:t>
            </w:r>
          </w:p>
        </w:tc>
        <w:tc>
          <w:tcPr>
            <w:tcW w:w="7396"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color w:val="000000"/>
                <w:sz w:val="21"/>
                <w:szCs w:val="21"/>
              </w:rPr>
              <w:t>周边有较多商品房、</w:t>
            </w:r>
            <w:r>
              <w:rPr>
                <w:rFonts w:hint="eastAsia" w:ascii="宋体" w:hAnsi="宋体" w:eastAsia="宋体" w:cs="宋体"/>
                <w:color w:val="000000"/>
                <w:sz w:val="21"/>
                <w:szCs w:val="21"/>
                <w:lang w:eastAsia="zh-CN"/>
              </w:rPr>
              <w:t>安置</w:t>
            </w:r>
            <w:r>
              <w:rPr>
                <w:rFonts w:hint="eastAsia" w:ascii="宋体" w:hAnsi="宋体" w:eastAsia="宋体" w:cs="宋体"/>
                <w:color w:val="000000"/>
                <w:sz w:val="21"/>
                <w:szCs w:val="21"/>
              </w:rPr>
              <w:t>房，已形成良好的居住生活小区，居住聚集度高</w:t>
            </w:r>
          </w:p>
        </w:tc>
      </w:tr>
      <w:bookmarkEnd w:id="9"/>
      <w:bookmarkEnd w:id="10"/>
    </w:tbl>
    <w:p>
      <w:pPr>
        <w:pStyle w:val="4"/>
        <w:keepNext w:val="0"/>
        <w:keepLines w:val="0"/>
        <w:pageBreakBefore w:val="0"/>
        <w:widowControl w:val="0"/>
        <w:numPr>
          <w:ilvl w:val="0"/>
          <w:numId w:val="10"/>
        </w:numP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交通状况</w:t>
      </w:r>
    </w:p>
    <w:p>
      <w:pPr>
        <w:pStyle w:val="4"/>
        <w:keepNext w:val="0"/>
        <w:keepLines w:val="0"/>
        <w:pageBreakBefore w:val="0"/>
        <w:widowControl w:val="0"/>
        <w:kinsoku/>
        <w:wordWrap/>
        <w:overflowPunct/>
        <w:topLinePunct w:val="0"/>
        <w:autoSpaceDE/>
        <w:autoSpaceDN/>
        <w:bidi w:val="0"/>
        <w:adjustRightInd/>
        <w:snapToGrid/>
        <w:spacing w:line="460" w:lineRule="exact"/>
        <w:ind w:left="420" w:leftChars="20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 xml:space="preserve">                              交通状况表                          </w:t>
      </w:r>
      <w:r>
        <w:rPr>
          <w:rFonts w:hint="eastAsia" w:ascii="宋体" w:hAnsi="宋体" w:eastAsia="宋体" w:cs="宋体"/>
          <w:sz w:val="24"/>
          <w:szCs w:val="24"/>
          <w:lang w:eastAsia="zh-CN"/>
        </w:rPr>
        <w:t>技</w:t>
      </w:r>
      <w:r>
        <w:rPr>
          <w:rFonts w:hint="eastAsia" w:ascii="宋体" w:hAnsi="宋体" w:eastAsia="宋体" w:cs="宋体"/>
          <w:sz w:val="24"/>
          <w:szCs w:val="24"/>
        </w:rPr>
        <w:t>表</w:t>
      </w:r>
      <w:r>
        <w:rPr>
          <w:rFonts w:hint="eastAsia" w:ascii="宋体" w:hAnsi="宋体" w:eastAsia="宋体" w:cs="宋体"/>
          <w:sz w:val="24"/>
          <w:szCs w:val="24"/>
          <w:lang w:val="en-US" w:eastAsia="zh-CN"/>
        </w:rPr>
        <w:t>2</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5"/>
        <w:gridCol w:w="7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5" w:type="dxa"/>
            <w:noWrap w:val="0"/>
            <w:vAlign w:val="top"/>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项目</w:t>
            </w:r>
          </w:p>
        </w:tc>
        <w:tc>
          <w:tcPr>
            <w:tcW w:w="7383" w:type="dxa"/>
            <w:noWrap w:val="0"/>
            <w:vAlign w:val="top"/>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描述与分析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5" w:type="dxa"/>
            <w:noWrap w:val="0"/>
            <w:vAlign w:val="top"/>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道路状况</w:t>
            </w:r>
          </w:p>
        </w:tc>
        <w:tc>
          <w:tcPr>
            <w:tcW w:w="7383" w:type="dxa"/>
            <w:noWrap w:val="0"/>
            <w:vAlign w:val="top"/>
          </w:tcPr>
          <w:p>
            <w:pPr>
              <w:pStyle w:val="4"/>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ascii="宋体" w:hAnsi="宋体" w:eastAsia="宋体" w:cs="宋体"/>
                <w:sz w:val="21"/>
                <w:szCs w:val="21"/>
                <w:lang w:eastAsia="zh-CN"/>
              </w:rPr>
            </w:pPr>
            <w:r>
              <w:rPr>
                <w:rFonts w:hint="eastAsia" w:ascii="宋体" w:hAnsi="宋体" w:eastAsia="宋体" w:cs="宋体"/>
                <w:color w:val="000000"/>
                <w:sz w:val="21"/>
                <w:szCs w:val="21"/>
                <w:lang w:eastAsia="zh-CN"/>
              </w:rPr>
              <w:t>周边有龙岩大道、</w:t>
            </w:r>
            <w:r>
              <w:rPr>
                <w:rFonts w:hint="eastAsia" w:ascii="宋体" w:hAnsi="宋体" w:eastAsia="宋体" w:cs="宋体"/>
                <w:color w:val="000000"/>
                <w:sz w:val="21"/>
                <w:szCs w:val="21"/>
                <w:lang w:val="en-US" w:eastAsia="zh-CN"/>
              </w:rPr>
              <w:t>双洋东路</w:t>
            </w:r>
            <w:r>
              <w:rPr>
                <w:rFonts w:hint="eastAsia" w:ascii="宋体" w:hAnsi="宋体" w:eastAsia="宋体" w:cs="宋体"/>
                <w:color w:val="000000"/>
                <w:sz w:val="21"/>
                <w:szCs w:val="21"/>
                <w:lang w:eastAsia="zh-CN"/>
              </w:rPr>
              <w:t>等，通达度优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5"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出入可利用交通</w:t>
            </w:r>
          </w:p>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工具</w:t>
            </w:r>
          </w:p>
        </w:tc>
        <w:tc>
          <w:tcPr>
            <w:tcW w:w="7383" w:type="dxa"/>
            <w:noWrap w:val="0"/>
            <w:vAlign w:val="top"/>
          </w:tcPr>
          <w:p>
            <w:pPr>
              <w:pStyle w:val="4"/>
              <w:keepNext w:val="0"/>
              <w:keepLines w:val="0"/>
              <w:pageBreakBefore w:val="0"/>
              <w:widowControl w:val="0"/>
              <w:kinsoku/>
              <w:wordWrap/>
              <w:overflowPunct/>
              <w:topLinePunct w:val="0"/>
              <w:autoSpaceDE/>
              <w:autoSpaceDN/>
              <w:bidi w:val="0"/>
              <w:adjustRightInd/>
              <w:snapToGrid/>
              <w:spacing w:line="420" w:lineRule="exact"/>
              <w:textAlignment w:val="auto"/>
              <w:rPr>
                <w:rFonts w:hint="default" w:ascii="宋体" w:hAnsi="宋体" w:eastAsia="宋体" w:cs="宋体"/>
                <w:sz w:val="21"/>
                <w:szCs w:val="21"/>
                <w:lang w:val="en-US" w:eastAsia="zh-CN"/>
              </w:rPr>
            </w:pPr>
            <w:r>
              <w:rPr>
                <w:rFonts w:hint="eastAsia" w:ascii="宋体" w:hAnsi="宋体" w:eastAsia="宋体" w:cs="宋体"/>
                <w:color w:val="000000"/>
                <w:sz w:val="21"/>
                <w:szCs w:val="21"/>
              </w:rPr>
              <w:t>出入可利用公交车、出租车、摩托车、</w:t>
            </w:r>
            <w:r>
              <w:rPr>
                <w:rFonts w:hint="eastAsia" w:ascii="宋体" w:hAnsi="宋体" w:eastAsia="宋体" w:cs="宋体"/>
                <w:color w:val="000000"/>
                <w:sz w:val="21"/>
                <w:szCs w:val="21"/>
                <w:lang w:eastAsia="zh-CN"/>
              </w:rPr>
              <w:t>私家车</w:t>
            </w:r>
            <w:r>
              <w:rPr>
                <w:rFonts w:hint="eastAsia" w:ascii="宋体" w:hAnsi="宋体" w:eastAsia="宋体" w:cs="宋体"/>
                <w:color w:val="000000"/>
                <w:sz w:val="21"/>
                <w:szCs w:val="21"/>
              </w:rPr>
              <w:t>等，估价对象距离“</w:t>
            </w:r>
            <w:r>
              <w:rPr>
                <w:rFonts w:hint="eastAsia" w:ascii="宋体" w:hAnsi="宋体" w:eastAsia="宋体" w:cs="宋体"/>
                <w:color w:val="000000"/>
                <w:sz w:val="21"/>
                <w:szCs w:val="21"/>
                <w:lang w:val="en-US" w:eastAsia="zh-CN"/>
              </w:rPr>
              <w:t>龙岩侨中</w:t>
            </w:r>
            <w:r>
              <w:rPr>
                <w:rFonts w:hint="eastAsia" w:ascii="宋体" w:hAnsi="宋体" w:eastAsia="宋体" w:cs="宋体"/>
                <w:color w:val="000000"/>
                <w:sz w:val="21"/>
                <w:szCs w:val="21"/>
              </w:rPr>
              <w:t>”公交车站台</w:t>
            </w:r>
            <w:r>
              <w:rPr>
                <w:rFonts w:hint="eastAsia" w:ascii="宋体" w:hAnsi="宋体" w:eastAsia="宋体" w:cs="宋体"/>
                <w:color w:val="000000"/>
                <w:sz w:val="21"/>
                <w:szCs w:val="21"/>
                <w:lang w:eastAsia="zh-CN"/>
              </w:rPr>
              <w:t>约</w:t>
            </w:r>
            <w:r>
              <w:rPr>
                <w:rFonts w:hint="eastAsia" w:ascii="宋体" w:hAnsi="宋体" w:eastAsia="宋体" w:cs="宋体"/>
                <w:color w:val="000000"/>
                <w:sz w:val="21"/>
                <w:szCs w:val="21"/>
                <w:lang w:val="en-US" w:eastAsia="zh-CN"/>
              </w:rPr>
              <w:t>400米</w:t>
            </w:r>
            <w:r>
              <w:rPr>
                <w:rFonts w:hint="eastAsia" w:ascii="宋体" w:hAnsi="宋体" w:eastAsia="宋体" w:cs="宋体"/>
                <w:color w:val="000000"/>
                <w:sz w:val="21"/>
                <w:szCs w:val="21"/>
              </w:rPr>
              <w:t>，有第</w:t>
            </w:r>
            <w:r>
              <w:rPr>
                <w:rFonts w:hint="eastAsia" w:ascii="宋体" w:hAnsi="宋体" w:eastAsia="宋体" w:cs="宋体"/>
                <w:i w:val="0"/>
                <w:iCs w:val="0"/>
                <w:caps w:val="0"/>
                <w:color w:val="000000"/>
                <w:spacing w:val="0"/>
                <w:sz w:val="21"/>
                <w:szCs w:val="21"/>
                <w:shd w:val="clear" w:color="auto" w:fill="FFFFFF"/>
                <w:lang w:val="en-US" w:eastAsia="zh-CN"/>
              </w:rPr>
              <w:t>23路、37</w:t>
            </w:r>
            <w:r>
              <w:rPr>
                <w:rFonts w:hint="eastAsia" w:ascii="宋体" w:hAnsi="宋体" w:eastAsia="宋体" w:cs="宋体"/>
                <w:i w:val="0"/>
                <w:iCs w:val="0"/>
                <w:caps w:val="0"/>
                <w:color w:val="000000"/>
                <w:spacing w:val="0"/>
                <w:sz w:val="21"/>
                <w:szCs w:val="21"/>
                <w:shd w:val="clear" w:color="auto" w:fill="FFFFFF"/>
              </w:rPr>
              <w:t>路</w:t>
            </w:r>
            <w:r>
              <w:rPr>
                <w:rFonts w:hint="eastAsia" w:ascii="宋体" w:hAnsi="宋体" w:eastAsia="宋体" w:cs="宋体"/>
                <w:color w:val="000000"/>
                <w:sz w:val="21"/>
                <w:szCs w:val="21"/>
              </w:rPr>
              <w:t>等公交车经过，公共交通便捷</w:t>
            </w:r>
            <w:r>
              <w:rPr>
                <w:rFonts w:hint="eastAsia" w:ascii="宋体" w:hAnsi="宋体" w:eastAsia="宋体" w:cs="宋体"/>
                <w:color w:val="000000"/>
                <w:sz w:val="21"/>
                <w:szCs w:val="21"/>
                <w:lang w:eastAsia="zh-CN"/>
              </w:rPr>
              <w:t>度</w:t>
            </w:r>
            <w:r>
              <w:rPr>
                <w:rFonts w:hint="eastAsia" w:ascii="宋体" w:hAnsi="宋体" w:eastAsia="宋体" w:cs="宋体"/>
                <w:color w:val="000000"/>
                <w:sz w:val="21"/>
                <w:szCs w:val="21"/>
                <w:lang w:val="en-US" w:eastAsia="zh-CN"/>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5" w:type="dxa"/>
            <w:noWrap w:val="0"/>
            <w:vAlign w:val="top"/>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交通管制情况</w:t>
            </w:r>
          </w:p>
        </w:tc>
        <w:tc>
          <w:tcPr>
            <w:tcW w:w="7383" w:type="dxa"/>
            <w:noWrap w:val="0"/>
            <w:vAlign w:val="top"/>
          </w:tcPr>
          <w:p>
            <w:pPr>
              <w:pStyle w:val="4"/>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ascii="宋体" w:hAnsi="宋体" w:eastAsia="宋体" w:cs="宋体"/>
                <w:sz w:val="21"/>
                <w:szCs w:val="21"/>
                <w:lang w:eastAsia="zh-CN"/>
              </w:rPr>
            </w:pPr>
            <w:r>
              <w:rPr>
                <w:rFonts w:hint="eastAsia" w:ascii="宋体" w:hAnsi="宋体" w:eastAsia="宋体" w:cs="宋体"/>
                <w:color w:val="000000"/>
                <w:sz w:val="21"/>
                <w:szCs w:val="21"/>
              </w:rPr>
              <w:t>无交通管制情况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5" w:type="dxa"/>
            <w:noWrap w:val="0"/>
            <w:vAlign w:val="top"/>
          </w:tcPr>
          <w:p>
            <w:pPr>
              <w:pStyle w:val="4"/>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停车方便程度</w:t>
            </w:r>
          </w:p>
        </w:tc>
        <w:tc>
          <w:tcPr>
            <w:tcW w:w="7383" w:type="dxa"/>
            <w:noWrap w:val="0"/>
            <w:vAlign w:val="top"/>
          </w:tcPr>
          <w:p>
            <w:pPr>
              <w:pStyle w:val="4"/>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ascii="宋体" w:hAnsi="宋体" w:eastAsia="宋体" w:cs="宋体"/>
                <w:sz w:val="21"/>
                <w:szCs w:val="21"/>
                <w:lang w:eastAsia="zh-CN"/>
              </w:rPr>
            </w:pPr>
            <w:r>
              <w:rPr>
                <w:rFonts w:hint="eastAsia" w:ascii="宋体" w:hAnsi="宋体" w:eastAsia="宋体" w:cs="宋体"/>
                <w:color w:val="000000"/>
                <w:sz w:val="21"/>
                <w:szCs w:val="21"/>
                <w:lang w:eastAsia="zh-CN"/>
              </w:rPr>
              <w:t>周边设有临时停车场</w:t>
            </w:r>
            <w:r>
              <w:rPr>
                <w:rFonts w:hint="eastAsia" w:ascii="宋体" w:hAnsi="宋体" w:eastAsia="宋体" w:cs="宋体"/>
                <w:color w:val="000000"/>
                <w:sz w:val="21"/>
                <w:szCs w:val="21"/>
              </w:rPr>
              <w:t>，周边停车便捷度</w:t>
            </w:r>
            <w:r>
              <w:rPr>
                <w:rFonts w:hint="eastAsia" w:ascii="宋体" w:hAnsi="宋体" w:eastAsia="宋体" w:cs="宋体"/>
                <w:color w:val="000000"/>
                <w:sz w:val="21"/>
                <w:szCs w:val="21"/>
                <w:lang w:eastAsia="zh-CN"/>
              </w:rPr>
              <w:t>良好</w:t>
            </w:r>
          </w:p>
        </w:tc>
      </w:tr>
    </w:tbl>
    <w:p>
      <w:pPr>
        <w:pStyle w:val="4"/>
        <w:keepNext w:val="0"/>
        <w:keepLines w:val="0"/>
        <w:pageBreakBefore w:val="0"/>
        <w:widowControl w:val="0"/>
        <w:numPr>
          <w:ilvl w:val="0"/>
          <w:numId w:val="10"/>
        </w:numP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外部配套设施状况</w:t>
      </w:r>
    </w:p>
    <w:p>
      <w:pPr>
        <w:pStyle w:val="4"/>
        <w:keepNext w:val="0"/>
        <w:keepLines w:val="0"/>
        <w:pageBreakBefore w:val="0"/>
        <w:widowControl w:val="0"/>
        <w:kinsoku/>
        <w:wordWrap/>
        <w:overflowPunct/>
        <w:topLinePunct w:val="0"/>
        <w:autoSpaceDE/>
        <w:autoSpaceDN/>
        <w:bidi w:val="0"/>
        <w:adjustRightInd/>
        <w:snapToGrid/>
        <w:spacing w:line="460" w:lineRule="exact"/>
        <w:ind w:left="420" w:leftChars="200"/>
        <w:jc w:val="center"/>
        <w:textAlignment w:val="auto"/>
        <w:rPr>
          <w:rFonts w:hint="eastAsia" w:ascii="宋体" w:hAnsi="宋体" w:eastAsia="宋体" w:cs="宋体"/>
          <w:sz w:val="24"/>
          <w:szCs w:val="24"/>
        </w:rPr>
      </w:pPr>
      <w:r>
        <w:rPr>
          <w:rFonts w:hint="eastAsia" w:ascii="宋体" w:hAnsi="宋体" w:eastAsia="宋体" w:cs="宋体"/>
          <w:sz w:val="24"/>
          <w:szCs w:val="24"/>
        </w:rPr>
        <w:t xml:space="preserve">                         外部配套设施状况表                       </w:t>
      </w:r>
      <w:r>
        <w:rPr>
          <w:rFonts w:hint="eastAsia" w:ascii="宋体" w:hAnsi="宋体" w:eastAsia="宋体" w:cs="宋体"/>
          <w:sz w:val="24"/>
          <w:szCs w:val="24"/>
          <w:lang w:eastAsia="zh-CN"/>
        </w:rPr>
        <w:t>技</w:t>
      </w:r>
      <w:r>
        <w:rPr>
          <w:rFonts w:hint="eastAsia" w:ascii="宋体" w:hAnsi="宋体" w:eastAsia="宋体" w:cs="宋体"/>
          <w:sz w:val="24"/>
          <w:szCs w:val="24"/>
        </w:rPr>
        <w:t>表</w:t>
      </w:r>
      <w:r>
        <w:rPr>
          <w:rFonts w:hint="eastAsia" w:ascii="宋体" w:hAnsi="宋体" w:eastAsia="宋体" w:cs="宋体"/>
          <w:sz w:val="24"/>
          <w:szCs w:val="24"/>
          <w:lang w:val="en-US" w:eastAsia="zh-CN"/>
        </w:rPr>
        <w:t>3</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7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项目</w:t>
            </w:r>
          </w:p>
        </w:tc>
        <w:tc>
          <w:tcPr>
            <w:tcW w:w="7421"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描述与分析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基础设施</w:t>
            </w:r>
          </w:p>
        </w:tc>
        <w:tc>
          <w:tcPr>
            <w:tcW w:w="7421" w:type="dxa"/>
            <w:noWrap w:val="0"/>
            <w:vAlign w:val="top"/>
          </w:tcPr>
          <w:p>
            <w:pPr>
              <w:pStyle w:val="4"/>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color w:val="000000"/>
                <w:sz w:val="21"/>
                <w:szCs w:val="21"/>
              </w:rPr>
              <w:t>基础设施已达“五通”（上水、下水、路、电、通信），水电供应率高，基础设施完善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公共服务设施</w:t>
            </w:r>
          </w:p>
        </w:tc>
        <w:tc>
          <w:tcPr>
            <w:tcW w:w="7421" w:type="dxa"/>
            <w:noWrap w:val="0"/>
            <w:vAlign w:val="top"/>
          </w:tcPr>
          <w:p>
            <w:pPr>
              <w:pStyle w:val="4"/>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ascii="宋体" w:hAnsi="宋体" w:eastAsia="宋体" w:cs="宋体"/>
                <w:bCs/>
                <w:sz w:val="21"/>
                <w:szCs w:val="21"/>
              </w:rPr>
            </w:pPr>
            <w:r>
              <w:rPr>
                <w:rFonts w:hint="eastAsia" w:ascii="宋体" w:hAnsi="宋体" w:eastAsia="宋体" w:cs="宋体"/>
                <w:color w:val="000000"/>
                <w:sz w:val="21"/>
                <w:szCs w:val="21"/>
              </w:rPr>
              <w:t>区域内有</w:t>
            </w:r>
            <w:r>
              <w:rPr>
                <w:rFonts w:hint="eastAsia" w:ascii="宋体" w:hAnsi="宋体" w:eastAsia="宋体" w:cs="宋体"/>
                <w:color w:val="000000"/>
                <w:sz w:val="21"/>
                <w:szCs w:val="21"/>
                <w:lang w:val="en-US" w:eastAsia="zh-CN"/>
              </w:rPr>
              <w:t>侨中附属幼儿园</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龙岩凤凰小学</w:t>
            </w:r>
            <w:r>
              <w:rPr>
                <w:rFonts w:hint="eastAsia" w:ascii="宋体" w:hAnsi="宋体" w:eastAsia="宋体" w:cs="宋体"/>
                <w:color w:val="000000"/>
                <w:sz w:val="21"/>
                <w:szCs w:val="21"/>
                <w:lang w:eastAsia="zh-CN"/>
              </w:rPr>
              <w:t>、龙岩八中、</w:t>
            </w:r>
            <w:r>
              <w:rPr>
                <w:rFonts w:hint="eastAsia" w:ascii="宋体" w:hAnsi="宋体" w:eastAsia="宋体" w:cs="宋体"/>
                <w:color w:val="000000"/>
                <w:sz w:val="21"/>
                <w:szCs w:val="21"/>
                <w:lang w:val="en-US" w:eastAsia="zh-CN"/>
              </w:rPr>
              <w:t>龙岩第二医院</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龙岩二中</w:t>
            </w:r>
            <w:r>
              <w:rPr>
                <w:rFonts w:hint="eastAsia" w:ascii="宋体" w:hAnsi="宋体" w:eastAsia="宋体" w:cs="宋体"/>
                <w:color w:val="000000"/>
                <w:sz w:val="21"/>
                <w:szCs w:val="21"/>
                <w:lang w:eastAsia="zh-CN"/>
              </w:rPr>
              <w:t>、餐饮店及各银行网点</w:t>
            </w:r>
            <w:r>
              <w:rPr>
                <w:rFonts w:hint="eastAsia" w:ascii="宋体" w:hAnsi="宋体" w:eastAsia="宋体" w:cs="宋体"/>
                <w:color w:val="000000"/>
                <w:sz w:val="21"/>
                <w:szCs w:val="21"/>
              </w:rPr>
              <w:t>等，可满足居民日常生活需要，公共服务配套设施完善</w:t>
            </w:r>
          </w:p>
        </w:tc>
      </w:tr>
    </w:tbl>
    <w:p>
      <w:pPr>
        <w:pStyle w:val="4"/>
        <w:keepNext w:val="0"/>
        <w:keepLines w:val="0"/>
        <w:pageBreakBefore w:val="0"/>
        <w:widowControl w:val="0"/>
        <w:numPr>
          <w:ilvl w:val="0"/>
          <w:numId w:val="10"/>
        </w:numPr>
        <w:kinsoku/>
        <w:wordWrap/>
        <w:overflowPunct/>
        <w:topLinePunct w:val="0"/>
        <w:autoSpaceDE/>
        <w:autoSpaceDN/>
        <w:bidi w:val="0"/>
        <w:adjustRightInd/>
        <w:snapToGrid/>
        <w:spacing w:line="460" w:lineRule="exact"/>
        <w:ind w:left="0" w:leftChars="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周围环境状况</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60" w:lineRule="exact"/>
        <w:jc w:val="left"/>
        <w:textAlignment w:val="auto"/>
        <w:rPr>
          <w:rFonts w:hint="eastAsia" w:ascii="宋体" w:hAnsi="宋体" w:eastAsia="宋体" w:cs="宋体"/>
          <w:sz w:val="24"/>
          <w:szCs w:val="24"/>
        </w:rPr>
      </w:pPr>
    </w:p>
    <w:p>
      <w:pPr>
        <w:pStyle w:val="4"/>
        <w:keepNext w:val="0"/>
        <w:keepLines w:val="0"/>
        <w:pageBreakBefore w:val="0"/>
        <w:widowControl w:val="0"/>
        <w:kinsoku/>
        <w:wordWrap/>
        <w:overflowPunct/>
        <w:topLinePunct w:val="0"/>
        <w:autoSpaceDE/>
        <w:autoSpaceDN/>
        <w:bidi w:val="0"/>
        <w:adjustRightInd/>
        <w:snapToGrid/>
        <w:spacing w:line="400" w:lineRule="exact"/>
        <w:ind w:left="420" w:leftChars="200"/>
        <w:jc w:val="right"/>
        <w:textAlignment w:val="auto"/>
        <w:rPr>
          <w:rFonts w:hint="eastAsia" w:ascii="宋体" w:hAnsi="宋体" w:eastAsia="宋体" w:cs="宋体"/>
          <w:sz w:val="24"/>
          <w:szCs w:val="24"/>
        </w:rPr>
      </w:pPr>
      <w:r>
        <w:rPr>
          <w:rFonts w:hint="eastAsia" w:ascii="宋体" w:hAnsi="宋体" w:eastAsia="宋体" w:cs="宋体"/>
          <w:sz w:val="24"/>
          <w:szCs w:val="24"/>
        </w:rPr>
        <w:t xml:space="preserve">                        周围环境状况表                          </w:t>
      </w:r>
      <w:r>
        <w:rPr>
          <w:rFonts w:hint="eastAsia" w:ascii="宋体" w:hAnsi="宋体" w:eastAsia="宋体" w:cs="宋体"/>
          <w:sz w:val="24"/>
          <w:szCs w:val="24"/>
          <w:lang w:eastAsia="zh-CN"/>
        </w:rPr>
        <w:t>技</w:t>
      </w:r>
      <w:r>
        <w:rPr>
          <w:rFonts w:hint="eastAsia" w:ascii="宋体" w:hAnsi="宋体" w:eastAsia="宋体" w:cs="宋体"/>
          <w:sz w:val="24"/>
          <w:szCs w:val="24"/>
        </w:rPr>
        <w:t>表</w:t>
      </w:r>
      <w:r>
        <w:rPr>
          <w:rFonts w:hint="eastAsia" w:ascii="宋体" w:hAnsi="宋体" w:eastAsia="宋体" w:cs="宋体"/>
          <w:sz w:val="24"/>
          <w:szCs w:val="24"/>
          <w:lang w:val="en-US" w:eastAsia="zh-CN"/>
        </w:rPr>
        <w:t>4</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2"/>
        <w:gridCol w:w="7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2"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项目</w:t>
            </w:r>
          </w:p>
        </w:tc>
        <w:tc>
          <w:tcPr>
            <w:tcW w:w="739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描述与分析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自然环境</w:t>
            </w:r>
          </w:p>
        </w:tc>
        <w:tc>
          <w:tcPr>
            <w:tcW w:w="739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color w:val="000000"/>
                <w:spacing w:val="-2"/>
                <w:sz w:val="21"/>
                <w:szCs w:val="21"/>
                <w:lang w:eastAsia="zh-CN"/>
              </w:rPr>
              <w:t>新罗区地处闽西丘陵地带，属低纬亚热带地区，有海洋气候调节，气候温和、阳光充足、雨量丰富，冬无严寒，夏无酷暑。年平均气温</w:t>
            </w:r>
            <w:r>
              <w:rPr>
                <w:rFonts w:hint="eastAsia" w:ascii="宋体" w:hAnsi="宋体" w:eastAsia="宋体" w:cs="宋体"/>
                <w:color w:val="000000"/>
                <w:spacing w:val="-2"/>
                <w:sz w:val="21"/>
                <w:szCs w:val="21"/>
                <w:lang w:val="en-US" w:eastAsia="zh-CN"/>
              </w:rPr>
              <w:t>19.9℃，年平均降水量1692mm。估价对象临龙岩大道</w:t>
            </w:r>
            <w:r>
              <w:rPr>
                <w:rFonts w:hint="eastAsia" w:ascii="宋体" w:hAnsi="宋体" w:eastAsia="宋体" w:cs="宋体"/>
                <w:color w:val="000000"/>
                <w:sz w:val="21"/>
                <w:szCs w:val="21"/>
              </w:rPr>
              <w:t>，</w:t>
            </w:r>
            <w:r>
              <w:rPr>
                <w:rFonts w:hint="eastAsia" w:ascii="宋体" w:hAnsi="宋体" w:eastAsia="宋体" w:cs="宋体"/>
                <w:color w:val="000000"/>
                <w:sz w:val="21"/>
                <w:szCs w:val="21"/>
                <w:lang w:eastAsia="zh-CN"/>
              </w:rPr>
              <w:t>受</w:t>
            </w:r>
            <w:r>
              <w:rPr>
                <w:rFonts w:hint="eastAsia" w:ascii="宋体" w:hAnsi="宋体" w:eastAsia="宋体" w:cs="宋体"/>
                <w:color w:val="000000"/>
                <w:sz w:val="21"/>
                <w:szCs w:val="21"/>
              </w:rPr>
              <w:t>噪音</w:t>
            </w:r>
            <w:r>
              <w:rPr>
                <w:rFonts w:hint="eastAsia" w:ascii="宋体" w:hAnsi="宋体" w:eastAsia="宋体" w:cs="宋体"/>
                <w:color w:val="000000"/>
                <w:sz w:val="21"/>
                <w:szCs w:val="21"/>
                <w:lang w:eastAsia="zh-CN"/>
              </w:rPr>
              <w:t>影响不大</w:t>
            </w:r>
            <w:r>
              <w:rPr>
                <w:rFonts w:hint="eastAsia" w:ascii="宋体" w:hAnsi="宋体" w:eastAsia="宋体" w:cs="宋体"/>
                <w:color w:val="000000"/>
                <w:sz w:val="21"/>
                <w:szCs w:val="21"/>
              </w:rPr>
              <w:t>；道路清洁，环境卫生状况良好；周边无高压输变电线路、无线电发射塔、垃圾站；自然环境较好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人文环境</w:t>
            </w:r>
          </w:p>
        </w:tc>
        <w:tc>
          <w:tcPr>
            <w:tcW w:w="739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t>人文环境良好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景观</w:t>
            </w:r>
          </w:p>
        </w:tc>
        <w:tc>
          <w:tcPr>
            <w:tcW w:w="739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lang w:eastAsia="zh-CN"/>
              </w:rPr>
            </w:pPr>
            <w:r>
              <w:rPr>
                <w:rFonts w:hint="eastAsia" w:ascii="宋体" w:hAnsi="宋体" w:eastAsia="宋体" w:cs="宋体"/>
                <w:sz w:val="21"/>
                <w:szCs w:val="21"/>
              </w:rPr>
              <w:t>无景观</w:t>
            </w:r>
          </w:p>
        </w:tc>
      </w:tr>
    </w:tbl>
    <w:p>
      <w:pPr>
        <w:pStyle w:val="4"/>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5、</w:t>
      </w:r>
      <w:r>
        <w:rPr>
          <w:rFonts w:hint="eastAsia" w:ascii="宋体" w:hAnsi="宋体" w:eastAsia="宋体" w:cs="宋体"/>
          <w:sz w:val="24"/>
          <w:szCs w:val="24"/>
        </w:rPr>
        <w:t>区位优劣度</w:t>
      </w:r>
    </w:p>
    <w:p>
      <w:pPr>
        <w:pStyle w:val="4"/>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综合分析估价对象的位置、交通、外部配套、环境状况，估价对象的区位整体较好，对估价对象的价值产生有利影响。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s="宋体"/>
          <w:b/>
          <w:sz w:val="28"/>
          <w:szCs w:val="28"/>
        </w:rPr>
      </w:pPr>
      <w:r>
        <w:rPr>
          <w:rFonts w:hint="eastAsia" w:ascii="宋体" w:hAnsi="宋体" w:cs="宋体"/>
          <w:b/>
          <w:sz w:val="28"/>
          <w:szCs w:val="28"/>
        </w:rPr>
        <w:t xml:space="preserve">  （二）实物状况描述与分析</w:t>
      </w:r>
    </w:p>
    <w:p>
      <w:pPr>
        <w:pStyle w:val="4"/>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1、土地实物状况描述与分析</w:t>
      </w:r>
    </w:p>
    <w:p>
      <w:pPr>
        <w:pStyle w:val="4"/>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 xml:space="preserve">                              土地实物状况表                          </w:t>
      </w:r>
      <w:r>
        <w:rPr>
          <w:rFonts w:hint="eastAsia" w:ascii="宋体" w:hAnsi="宋体" w:eastAsia="宋体" w:cs="宋体"/>
          <w:sz w:val="24"/>
          <w:szCs w:val="24"/>
          <w:lang w:eastAsia="zh-CN"/>
        </w:rPr>
        <w:t>技</w:t>
      </w:r>
      <w:r>
        <w:rPr>
          <w:rFonts w:hint="eastAsia" w:ascii="宋体" w:hAnsi="宋体" w:eastAsia="宋体" w:cs="宋体"/>
          <w:sz w:val="24"/>
          <w:szCs w:val="24"/>
        </w:rPr>
        <w:t>表</w:t>
      </w:r>
      <w:r>
        <w:rPr>
          <w:rFonts w:hint="eastAsia" w:ascii="宋体" w:hAnsi="宋体" w:eastAsia="宋体" w:cs="宋体"/>
          <w:sz w:val="24"/>
          <w:szCs w:val="24"/>
          <w:lang w:val="en-US" w:eastAsia="zh-CN"/>
        </w:rPr>
        <w:t>5</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2"/>
        <w:gridCol w:w="7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2"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项目</w:t>
            </w:r>
          </w:p>
        </w:tc>
        <w:tc>
          <w:tcPr>
            <w:tcW w:w="767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描述与分析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名称</w:t>
            </w:r>
          </w:p>
        </w:tc>
        <w:tc>
          <w:tcPr>
            <w:tcW w:w="767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龙岩市新罗区龙岩大道北101号（小洋祥和家苑）2幢2801室住宅及C485车位所属土地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612" w:type="dxa"/>
            <w:noWrap w:val="0"/>
            <w:vAlign w:val="top"/>
          </w:tcPr>
          <w:p>
            <w:pPr>
              <w:pStyle w:val="4"/>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bCs/>
                <w:sz w:val="21"/>
                <w:szCs w:val="21"/>
                <w:lang w:eastAsia="zh-CN"/>
              </w:rPr>
            </w:pPr>
            <w:r>
              <w:rPr>
                <w:rFonts w:hint="eastAsia" w:ascii="宋体" w:hAnsi="宋体" w:eastAsia="宋体" w:cs="宋体"/>
                <w:b/>
                <w:bCs/>
                <w:color w:val="000000"/>
                <w:sz w:val="21"/>
                <w:szCs w:val="21"/>
              </w:rPr>
              <w:t>四至</w:t>
            </w:r>
          </w:p>
        </w:tc>
        <w:tc>
          <w:tcPr>
            <w:tcW w:w="7676" w:type="dxa"/>
            <w:noWrap w:val="0"/>
            <w:vAlign w:val="top"/>
          </w:tcPr>
          <w:p>
            <w:pPr>
              <w:pStyle w:val="4"/>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eastAsia" w:ascii="宋体" w:hAnsi="宋体" w:eastAsia="宋体" w:cs="宋体"/>
                <w:sz w:val="21"/>
                <w:szCs w:val="21"/>
                <w:lang w:eastAsia="zh-CN"/>
              </w:rPr>
            </w:pPr>
            <w:r>
              <w:rPr>
                <w:rFonts w:hint="eastAsia" w:ascii="宋体" w:hAnsi="宋体" w:eastAsia="宋体" w:cs="宋体"/>
                <w:color w:val="000000"/>
                <w:sz w:val="21"/>
                <w:szCs w:val="21"/>
                <w:lang w:eastAsia="zh-CN"/>
              </w:rPr>
              <w:t>东与龙岩大道相邻，南与小洋龙铁名苑相邻，西与道路相邻，北与道路相邻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2"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形状</w:t>
            </w:r>
          </w:p>
        </w:tc>
        <w:tc>
          <w:tcPr>
            <w:tcW w:w="767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t>形状规则，有利于住宅小区的布局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地形</w:t>
            </w:r>
          </w:p>
        </w:tc>
        <w:tc>
          <w:tcPr>
            <w:tcW w:w="767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t>地形为平地，有利于住宅小区的建设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地势</w:t>
            </w:r>
          </w:p>
        </w:tc>
        <w:tc>
          <w:tcPr>
            <w:tcW w:w="767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t>室内比道路面略高，有利于自然排水；被洪水淹没、积水可能性小，有利于房地产价值的提升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土壤及地质</w:t>
            </w:r>
          </w:p>
        </w:tc>
        <w:tc>
          <w:tcPr>
            <w:tcW w:w="767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rPr>
              <w:t>土壤未受过污染，地质条件好，承载力较强，稳定性较好，可节约建安成本投入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开发程度</w:t>
            </w:r>
          </w:p>
        </w:tc>
        <w:tc>
          <w:tcPr>
            <w:tcW w:w="767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2020年</w:t>
            </w:r>
            <w:r>
              <w:rPr>
                <w:rFonts w:hint="eastAsia" w:ascii="宋体" w:hAnsi="宋体" w:eastAsia="宋体" w:cs="宋体"/>
                <w:sz w:val="21"/>
                <w:szCs w:val="21"/>
              </w:rPr>
              <w:t>已开发建设完成</w:t>
            </w:r>
          </w:p>
        </w:tc>
      </w:tr>
    </w:tbl>
    <w:p>
      <w:pPr>
        <w:pStyle w:val="4"/>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2、建筑物实物状况描述与分析</w:t>
      </w:r>
    </w:p>
    <w:p>
      <w:pPr>
        <w:pStyle w:val="4"/>
        <w:keepNext w:val="0"/>
        <w:keepLines w:val="0"/>
        <w:pageBreakBefore w:val="0"/>
        <w:widowControl w:val="0"/>
        <w:kinsoku/>
        <w:wordWrap/>
        <w:overflowPunct/>
        <w:topLinePunct w:val="0"/>
        <w:autoSpaceDE/>
        <w:autoSpaceDN/>
        <w:bidi w:val="0"/>
        <w:adjustRightInd/>
        <w:snapToGrid/>
        <w:spacing w:line="400" w:lineRule="exact"/>
        <w:ind w:left="420" w:leftChars="200"/>
        <w:jc w:val="righ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 xml:space="preserve">                         建筑物实物状况表                         </w:t>
      </w:r>
      <w:r>
        <w:rPr>
          <w:rFonts w:hint="eastAsia" w:ascii="宋体" w:hAnsi="宋体" w:eastAsia="宋体" w:cs="宋体"/>
          <w:sz w:val="24"/>
          <w:szCs w:val="24"/>
          <w:lang w:eastAsia="zh-CN"/>
        </w:rPr>
        <w:t>技</w:t>
      </w:r>
      <w:r>
        <w:rPr>
          <w:rFonts w:hint="eastAsia" w:ascii="宋体" w:hAnsi="宋体" w:eastAsia="宋体" w:cs="宋体"/>
          <w:sz w:val="24"/>
          <w:szCs w:val="24"/>
        </w:rPr>
        <w:t>表</w:t>
      </w:r>
      <w:r>
        <w:rPr>
          <w:rFonts w:hint="eastAsia" w:ascii="宋体" w:hAnsi="宋体" w:eastAsia="宋体" w:cs="宋体"/>
          <w:sz w:val="24"/>
          <w:szCs w:val="24"/>
          <w:lang w:val="en-US" w:eastAsia="zh-CN"/>
        </w:rPr>
        <w:t>6</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2"/>
        <w:gridCol w:w="7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项目</w:t>
            </w:r>
          </w:p>
        </w:tc>
        <w:tc>
          <w:tcPr>
            <w:tcW w:w="754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描述与分析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名称</w:t>
            </w:r>
          </w:p>
        </w:tc>
        <w:tc>
          <w:tcPr>
            <w:tcW w:w="754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default" w:ascii="宋体" w:hAnsi="宋体" w:eastAsia="宋体" w:cs="宋体"/>
                <w:sz w:val="21"/>
                <w:szCs w:val="21"/>
                <w:lang w:val="en-US" w:eastAsia="zh-CN"/>
              </w:rPr>
            </w:pPr>
            <w:r>
              <w:rPr>
                <w:rFonts w:hint="eastAsia" w:ascii="宋体" w:hAnsi="宋体" w:eastAsia="宋体" w:cs="宋体"/>
                <w:sz w:val="21"/>
                <w:szCs w:val="21"/>
                <w:lang w:eastAsia="zh-CN"/>
              </w:rPr>
              <w:t>龙岩市新罗区龙岩大道北101号（小洋祥和家苑）2幢2801室住宅及C485车位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规模</w:t>
            </w:r>
          </w:p>
        </w:tc>
        <w:tc>
          <w:tcPr>
            <w:tcW w:w="754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该幢建筑物平面布局</w:t>
            </w:r>
            <w:r>
              <w:rPr>
                <w:rFonts w:hint="eastAsia" w:ascii="宋体" w:hAnsi="宋体" w:eastAsia="宋体" w:cs="宋体"/>
                <w:sz w:val="21"/>
                <w:szCs w:val="21"/>
                <w:lang w:eastAsia="zh-CN"/>
              </w:rPr>
              <w:t>较好</w:t>
            </w:r>
            <w:r>
              <w:rPr>
                <w:rFonts w:hint="eastAsia" w:ascii="宋体" w:hAnsi="宋体" w:eastAsia="宋体" w:cs="宋体"/>
                <w:sz w:val="21"/>
                <w:szCs w:val="21"/>
              </w:rPr>
              <w:t>，估价对象建筑面积为</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住宅</w:t>
            </w:r>
            <w:r>
              <w:rPr>
                <w:rFonts w:hint="eastAsia" w:ascii="宋体" w:hAnsi="宋体" w:eastAsia="宋体" w:cs="宋体"/>
                <w:sz w:val="21"/>
                <w:szCs w:val="21"/>
                <w:lang w:eastAsia="zh-CN"/>
              </w:rPr>
              <w:t>106.49</w:t>
            </w:r>
            <w:r>
              <w:rPr>
                <w:rFonts w:hint="eastAsia" w:ascii="宋体" w:hAnsi="宋体" w:eastAsia="宋体" w:cs="宋体"/>
                <w:sz w:val="21"/>
                <w:szCs w:val="21"/>
                <w:lang w:val="en-US" w:eastAsia="zh-CN"/>
              </w:rPr>
              <w:t>m</w:t>
            </w:r>
            <w:r>
              <w:rPr>
                <w:rFonts w:hint="eastAsia" w:ascii="宋体" w:hAnsi="宋体" w:eastAsia="宋体" w:cs="宋体"/>
                <w:sz w:val="21"/>
                <w:szCs w:val="21"/>
                <w:vertAlign w:val="superscript"/>
                <w:lang w:val="en-US" w:eastAsia="zh-CN"/>
              </w:rPr>
              <w:t>2</w:t>
            </w:r>
            <w:r>
              <w:rPr>
                <w:rFonts w:hint="eastAsia" w:ascii="宋体" w:hAnsi="宋体" w:eastAsia="宋体" w:cs="宋体"/>
                <w:sz w:val="21"/>
                <w:szCs w:val="21"/>
                <w:lang w:val="en-US" w:eastAsia="zh-CN"/>
              </w:rPr>
              <w:t>，车位44.15m</w:t>
            </w:r>
            <w:r>
              <w:rPr>
                <w:rFonts w:hint="eastAsia" w:ascii="宋体" w:hAnsi="宋体" w:eastAsia="宋体" w:cs="宋体"/>
                <w:sz w:val="21"/>
                <w:szCs w:val="21"/>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建筑结构</w:t>
            </w:r>
          </w:p>
        </w:tc>
        <w:tc>
          <w:tcPr>
            <w:tcW w:w="754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钢混</w:t>
            </w:r>
            <w:r>
              <w:rPr>
                <w:rFonts w:hint="eastAsia" w:ascii="宋体" w:hAnsi="宋体" w:eastAsia="宋体" w:cs="宋体"/>
                <w:sz w:val="21"/>
                <w:szCs w:val="21"/>
                <w:lang w:eastAsia="zh-CN"/>
              </w:rPr>
              <w:t>结构</w:t>
            </w:r>
            <w:r>
              <w:rPr>
                <w:rFonts w:hint="eastAsia" w:ascii="宋体" w:hAnsi="宋体" w:eastAsia="宋体" w:cs="宋体"/>
                <w:sz w:val="21"/>
                <w:szCs w:val="21"/>
              </w:rPr>
              <w:t>，结构</w:t>
            </w:r>
            <w:r>
              <w:rPr>
                <w:rFonts w:hint="eastAsia" w:ascii="宋体" w:hAnsi="宋体" w:eastAsia="宋体" w:cs="宋体"/>
                <w:sz w:val="21"/>
                <w:szCs w:val="21"/>
                <w:lang w:eastAsia="zh-CN"/>
              </w:rPr>
              <w:t>等级较好</w:t>
            </w:r>
            <w:r>
              <w:rPr>
                <w:rFonts w:hint="eastAsia" w:ascii="宋体" w:hAnsi="宋体" w:eastAsia="宋体" w:cs="宋体"/>
                <w:sz w:val="21"/>
                <w:szCs w:val="21"/>
              </w:rPr>
              <w:t>，抗震性能</w:t>
            </w:r>
            <w:r>
              <w:rPr>
                <w:rFonts w:hint="eastAsia" w:ascii="宋体" w:hAnsi="宋体" w:eastAsia="宋体" w:cs="宋体"/>
                <w:sz w:val="21"/>
                <w:szCs w:val="21"/>
                <w:lang w:eastAsia="zh-CN"/>
              </w:rPr>
              <w:t>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设施设备</w:t>
            </w:r>
          </w:p>
        </w:tc>
        <w:tc>
          <w:tcPr>
            <w:tcW w:w="754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带2部</w:t>
            </w:r>
            <w:r>
              <w:rPr>
                <w:rFonts w:hint="eastAsia" w:ascii="宋体" w:hAnsi="宋体" w:eastAsia="宋体" w:cs="宋体"/>
                <w:sz w:val="21"/>
                <w:szCs w:val="21"/>
                <w:lang w:eastAsia="zh-CN"/>
              </w:rPr>
              <w:t>电梯</w:t>
            </w:r>
            <w:r>
              <w:rPr>
                <w:rFonts w:hint="eastAsia" w:ascii="宋体" w:hAnsi="宋体" w:eastAsia="宋体" w:cs="宋体"/>
                <w:sz w:val="21"/>
                <w:szCs w:val="21"/>
              </w:rPr>
              <w:t>，水电</w:t>
            </w:r>
            <w:r>
              <w:rPr>
                <w:rFonts w:hint="eastAsia" w:ascii="宋体" w:hAnsi="宋体" w:eastAsia="宋体" w:cs="宋体"/>
                <w:sz w:val="21"/>
                <w:szCs w:val="21"/>
                <w:lang w:eastAsia="zh-CN"/>
              </w:rPr>
              <w:t>、</w:t>
            </w:r>
            <w:r>
              <w:rPr>
                <w:rFonts w:hint="eastAsia" w:ascii="宋体" w:hAnsi="宋体" w:eastAsia="宋体" w:cs="宋体"/>
                <w:sz w:val="21"/>
                <w:szCs w:val="21"/>
              </w:rPr>
              <w:t>消防设施齐全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装饰装修</w:t>
            </w:r>
          </w:p>
        </w:tc>
        <w:tc>
          <w:tcPr>
            <w:tcW w:w="754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default" w:ascii="宋体" w:hAnsi="宋体" w:eastAsia="宋体" w:cs="宋体"/>
                <w:sz w:val="21"/>
                <w:szCs w:val="21"/>
                <w:lang w:val="en-US" w:eastAsia="zh-CN"/>
              </w:rPr>
            </w:pPr>
            <w:r>
              <w:rPr>
                <w:rFonts w:hint="eastAsia" w:ascii="宋体" w:hAnsi="宋体" w:eastAsia="宋体" w:cs="宋体"/>
                <w:sz w:val="21"/>
                <w:szCs w:val="21"/>
              </w:rPr>
              <w:t>建筑物外墙</w:t>
            </w:r>
            <w:r>
              <w:rPr>
                <w:rFonts w:hint="eastAsia" w:ascii="宋体" w:hAnsi="宋体" w:eastAsia="宋体" w:cs="宋体"/>
                <w:sz w:val="21"/>
                <w:szCs w:val="21"/>
                <w:lang w:val="en-US" w:eastAsia="zh-CN"/>
              </w:rPr>
              <w:t>为</w:t>
            </w:r>
            <w:r>
              <w:rPr>
                <w:rFonts w:hint="eastAsia" w:ascii="宋体" w:hAnsi="宋体" w:eastAsia="宋体" w:cs="宋体"/>
                <w:color w:val="000000"/>
                <w:sz w:val="21"/>
                <w:szCs w:val="21"/>
                <w:lang w:eastAsia="zh-CN"/>
              </w:rPr>
              <w:t>涂料粉刷</w:t>
            </w:r>
            <w:r>
              <w:rPr>
                <w:rFonts w:hint="eastAsia" w:ascii="宋体" w:hAnsi="宋体" w:eastAsia="宋体" w:cs="宋体"/>
                <w:sz w:val="21"/>
                <w:szCs w:val="21"/>
                <w:lang w:eastAsia="zh-CN"/>
              </w:rPr>
              <w:t>，室内</w:t>
            </w:r>
            <w:r>
              <w:rPr>
                <w:rFonts w:hint="eastAsia" w:ascii="宋体" w:hAnsi="宋体" w:eastAsia="宋体" w:cs="宋体"/>
                <w:sz w:val="21"/>
                <w:szCs w:val="21"/>
                <w:lang w:val="en-US" w:eastAsia="zh-CN"/>
              </w:rPr>
              <w:t>为毛坯</w:t>
            </w:r>
            <w:r>
              <w:rPr>
                <w:rFonts w:hint="eastAsia" w:ascii="宋体" w:hAnsi="宋体" w:eastAsia="宋体" w:cs="宋体"/>
                <w:sz w:val="21"/>
                <w:szCs w:val="21"/>
                <w:lang w:eastAsia="zh-CN"/>
              </w:rPr>
              <w:t>，详见</w:t>
            </w:r>
            <w:r>
              <w:rPr>
                <w:rFonts w:hint="eastAsia" w:ascii="宋体" w:hAnsi="宋体" w:eastAsia="宋体" w:cs="宋体"/>
                <w:sz w:val="21"/>
                <w:szCs w:val="21"/>
                <w:lang w:val="en-US" w:eastAsia="zh-CN"/>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层高</w:t>
            </w:r>
          </w:p>
        </w:tc>
        <w:tc>
          <w:tcPr>
            <w:tcW w:w="754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default" w:ascii="宋体" w:hAnsi="宋体" w:eastAsia="宋体" w:cs="宋体"/>
                <w:sz w:val="21"/>
                <w:szCs w:val="21"/>
                <w:lang w:val="en-US" w:eastAsia="zh-CN"/>
              </w:rPr>
            </w:pPr>
            <w:r>
              <w:rPr>
                <w:rFonts w:hint="eastAsia" w:ascii="宋体" w:hAnsi="宋体" w:eastAsia="宋体" w:cs="宋体"/>
                <w:sz w:val="21"/>
                <w:szCs w:val="21"/>
                <w:lang w:eastAsia="zh-CN"/>
              </w:rPr>
              <w:t>层高约</w:t>
            </w:r>
            <w:r>
              <w:rPr>
                <w:rFonts w:hint="eastAsia" w:ascii="宋体" w:hAnsi="宋体" w:eastAsia="宋体" w:cs="宋体"/>
                <w:sz w:val="21"/>
                <w:szCs w:val="21"/>
                <w:lang w:val="en-US" w:eastAsia="zh-CN"/>
              </w:rPr>
              <w:t>2.9米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空间布局</w:t>
            </w:r>
          </w:p>
        </w:tc>
        <w:tc>
          <w:tcPr>
            <w:tcW w:w="754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default" w:ascii="宋体" w:hAnsi="宋体" w:eastAsia="宋体" w:cs="宋体"/>
                <w:sz w:val="21"/>
                <w:szCs w:val="21"/>
                <w:lang w:val="en-US"/>
              </w:rPr>
            </w:pPr>
            <w:r>
              <w:rPr>
                <w:rFonts w:hint="eastAsia" w:ascii="宋体" w:hAnsi="宋体" w:eastAsia="宋体" w:cs="宋体"/>
                <w:spacing w:val="-4"/>
                <w:sz w:val="21"/>
                <w:szCs w:val="21"/>
              </w:rPr>
              <w:t>垂直交通为人行楼梯</w:t>
            </w:r>
            <w:r>
              <w:rPr>
                <w:rFonts w:hint="eastAsia" w:ascii="宋体" w:hAnsi="宋体" w:eastAsia="宋体" w:cs="宋体"/>
                <w:spacing w:val="-4"/>
                <w:sz w:val="21"/>
                <w:szCs w:val="21"/>
                <w:lang w:val="en-US" w:eastAsia="zh-CN"/>
              </w:rPr>
              <w:t>及电梯</w:t>
            </w:r>
            <w:r>
              <w:rPr>
                <w:rFonts w:hint="eastAsia" w:ascii="宋体" w:hAnsi="宋体" w:eastAsia="宋体" w:cs="宋体"/>
                <w:spacing w:val="-4"/>
                <w:sz w:val="21"/>
                <w:szCs w:val="21"/>
              </w:rPr>
              <w:t>，平面为套房布局，平面布局较好，建筑物总层数为</w:t>
            </w:r>
            <w:r>
              <w:rPr>
                <w:rFonts w:hint="eastAsia" w:ascii="宋体" w:hAnsi="宋体" w:eastAsia="宋体" w:cs="宋体"/>
                <w:spacing w:val="-4"/>
                <w:sz w:val="21"/>
                <w:szCs w:val="21"/>
                <w:lang w:eastAsia="zh-CN"/>
              </w:rPr>
              <w:t>：</w:t>
            </w:r>
            <w:r>
              <w:rPr>
                <w:rFonts w:hint="eastAsia" w:ascii="宋体" w:hAnsi="宋体" w:eastAsia="宋体" w:cs="宋体"/>
                <w:spacing w:val="-4"/>
                <w:sz w:val="21"/>
                <w:szCs w:val="21"/>
                <w:lang w:val="en-US" w:eastAsia="zh-CN"/>
              </w:rPr>
              <w:t>住宅31层，车位33层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建筑功能</w:t>
            </w:r>
          </w:p>
        </w:tc>
        <w:tc>
          <w:tcPr>
            <w:tcW w:w="754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空间利用率较好；防水、保温、隔热、隔声、通风、采光、日照</w:t>
            </w:r>
            <w:r>
              <w:rPr>
                <w:rFonts w:hint="eastAsia" w:ascii="宋体" w:hAnsi="宋体" w:eastAsia="宋体" w:cs="宋体"/>
                <w:sz w:val="21"/>
                <w:szCs w:val="21"/>
                <w:lang w:eastAsia="zh-CN"/>
              </w:rPr>
              <w:t>良</w:t>
            </w:r>
            <w:r>
              <w:rPr>
                <w:rFonts w:hint="eastAsia" w:ascii="宋体" w:hAnsi="宋体" w:eastAsia="宋体" w:cs="宋体"/>
                <w:sz w:val="21"/>
                <w:szCs w:val="21"/>
              </w:rPr>
              <w:t>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工程质量</w:t>
            </w:r>
          </w:p>
        </w:tc>
        <w:tc>
          <w:tcPr>
            <w:tcW w:w="754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据估价师实地查勘，未发现工程质量问题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外观</w:t>
            </w:r>
          </w:p>
        </w:tc>
        <w:tc>
          <w:tcPr>
            <w:tcW w:w="754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rPr>
              <w:t>楼宇外观</w:t>
            </w:r>
            <w:r>
              <w:rPr>
                <w:rFonts w:hint="eastAsia" w:ascii="宋体" w:hAnsi="宋体" w:eastAsia="宋体" w:cs="宋体"/>
                <w:sz w:val="21"/>
                <w:szCs w:val="21"/>
                <w:lang w:val="en-US" w:eastAsia="zh-CN"/>
              </w:rPr>
              <w:t>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新旧程度</w:t>
            </w:r>
          </w:p>
        </w:tc>
        <w:tc>
          <w:tcPr>
            <w:tcW w:w="754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依估价对象建成年份、耐用年限、使用状况及现场察看综合确定其成新率为</w:t>
            </w:r>
            <w:r>
              <w:rPr>
                <w:rFonts w:hint="eastAsia" w:ascii="宋体" w:hAnsi="宋体" w:eastAsia="宋体" w:cs="宋体"/>
                <w:sz w:val="21"/>
                <w:szCs w:val="21"/>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物业服务</w:t>
            </w:r>
          </w:p>
        </w:tc>
        <w:tc>
          <w:tcPr>
            <w:tcW w:w="754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rPr>
              <w:t>物业管理</w:t>
            </w:r>
            <w:r>
              <w:rPr>
                <w:rFonts w:hint="eastAsia" w:ascii="宋体" w:hAnsi="宋体" w:eastAsia="宋体" w:cs="宋体"/>
                <w:sz w:val="21"/>
                <w:szCs w:val="21"/>
                <w:lang w:eastAsia="zh-CN"/>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使用及维护状况</w:t>
            </w:r>
          </w:p>
        </w:tc>
        <w:tc>
          <w:tcPr>
            <w:tcW w:w="754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使用正常，维护状况较好；经实地查勘，房屋基础有足够承载力，无超过允许范围的不均匀沉降，承重结构部件及非承重墙体完好，门窗及五金配件等齐全完整，为完好房；周边道路良好，设备管道运行正常；未见有明显影响质量安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周边概况</w:t>
            </w:r>
          </w:p>
        </w:tc>
        <w:tc>
          <w:tcPr>
            <w:tcW w:w="754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spacing w:val="-3"/>
                <w:sz w:val="21"/>
                <w:szCs w:val="21"/>
              </w:rPr>
            </w:pPr>
            <w:r>
              <w:rPr>
                <w:rFonts w:hint="eastAsia" w:ascii="宋体" w:hAnsi="宋体" w:eastAsia="宋体" w:cs="宋体"/>
                <w:spacing w:val="-3"/>
                <w:sz w:val="21"/>
                <w:szCs w:val="21"/>
              </w:rPr>
              <w:t>周边以</w:t>
            </w:r>
            <w:r>
              <w:rPr>
                <w:rFonts w:hint="eastAsia" w:ascii="宋体" w:hAnsi="宋体" w:eastAsia="宋体" w:cs="宋体"/>
                <w:spacing w:val="-3"/>
                <w:sz w:val="21"/>
                <w:szCs w:val="21"/>
                <w:lang w:eastAsia="zh-CN"/>
              </w:rPr>
              <w:t>住宅</w:t>
            </w:r>
            <w:r>
              <w:rPr>
                <w:rFonts w:hint="eastAsia" w:ascii="宋体" w:hAnsi="宋体" w:eastAsia="宋体" w:cs="宋体"/>
                <w:spacing w:val="-3"/>
                <w:sz w:val="21"/>
                <w:szCs w:val="21"/>
              </w:rPr>
              <w:t>为主，区域内空气质量良好，卫生状况良好，道路绿化良好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2"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特殊景观</w:t>
            </w:r>
          </w:p>
        </w:tc>
        <w:tc>
          <w:tcPr>
            <w:tcW w:w="7546"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无特殊景观</w:t>
            </w:r>
          </w:p>
        </w:tc>
      </w:tr>
    </w:tbl>
    <w:p>
      <w:pPr>
        <w:pStyle w:val="4"/>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szCs w:val="28"/>
        </w:rPr>
      </w:pPr>
      <w:r>
        <w:rPr>
          <w:rFonts w:hint="eastAsia" w:ascii="宋体" w:hAnsi="宋体" w:eastAsia="宋体" w:cs="宋体"/>
          <w:b/>
          <w:szCs w:val="28"/>
        </w:rPr>
        <w:t xml:space="preserve">   （三）权益状况描述与分析</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val="en-US" w:eastAsia="zh-CN"/>
        </w:rPr>
      </w:pP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 xml:space="preserve">  </w:t>
      </w:r>
      <w:r>
        <w:rPr>
          <w:rFonts w:hint="eastAsia" w:ascii="宋体" w:hAnsi="宋体" w:cs="宋体"/>
          <w:sz w:val="24"/>
          <w:szCs w:val="24"/>
          <w:lang w:val="zh-CN"/>
        </w:rPr>
        <w:t>权属状况设立与分析情况表</w:t>
      </w:r>
      <w:r>
        <w:rPr>
          <w:rFonts w:hint="eastAsia" w:ascii="宋体" w:hAnsi="宋体" w:cs="宋体"/>
          <w:sz w:val="24"/>
          <w:szCs w:val="24"/>
        </w:rPr>
        <w:t xml:space="preserve">                      </w:t>
      </w:r>
      <w:r>
        <w:rPr>
          <w:rFonts w:hint="eastAsia" w:ascii="宋体" w:hAnsi="宋体" w:eastAsia="宋体" w:cs="宋体"/>
          <w:sz w:val="24"/>
          <w:szCs w:val="24"/>
          <w:lang w:eastAsia="zh-CN"/>
        </w:rPr>
        <w:t>技</w:t>
      </w:r>
      <w:r>
        <w:rPr>
          <w:rFonts w:hint="eastAsia" w:ascii="宋体" w:hAnsi="宋体" w:eastAsia="宋体" w:cs="宋体"/>
          <w:sz w:val="24"/>
          <w:szCs w:val="24"/>
        </w:rPr>
        <w:t>表</w:t>
      </w:r>
      <w:r>
        <w:rPr>
          <w:rFonts w:hint="eastAsia" w:ascii="宋体" w:hAnsi="宋体" w:eastAsia="宋体" w:cs="宋体"/>
          <w:sz w:val="24"/>
          <w:szCs w:val="24"/>
          <w:lang w:val="en-US" w:eastAsia="zh-CN"/>
        </w:rPr>
        <w:t>7</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8"/>
        <w:gridCol w:w="6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
                <w:szCs w:val="21"/>
              </w:rPr>
            </w:pPr>
            <w:r>
              <w:rPr>
                <w:rFonts w:hint="eastAsia" w:ascii="宋体" w:hAnsi="宋体" w:cs="宋体"/>
                <w:b/>
                <w:szCs w:val="21"/>
              </w:rPr>
              <w:t>项目</w:t>
            </w:r>
          </w:p>
        </w:tc>
        <w:tc>
          <w:tcPr>
            <w:tcW w:w="62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16"/>
                <w:rFonts w:hint="eastAsia"/>
              </w:rPr>
            </w:pPr>
            <w:r>
              <w:rPr>
                <w:rFonts w:hint="eastAsia" w:ascii="宋体" w:hAnsi="宋体" w:cs="宋体"/>
                <w:b/>
                <w:szCs w:val="21"/>
              </w:rPr>
              <w:t>描述与分析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
                <w:szCs w:val="21"/>
              </w:rPr>
            </w:pPr>
            <w:r>
              <w:rPr>
                <w:rFonts w:hint="eastAsia" w:ascii="宋体" w:hAnsi="宋体" w:cs="宋体"/>
                <w:b/>
                <w:szCs w:val="21"/>
              </w:rPr>
              <w:t>用途</w:t>
            </w:r>
          </w:p>
        </w:tc>
        <w:tc>
          <w:tcPr>
            <w:tcW w:w="62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Cs/>
                <w:szCs w:val="21"/>
                <w:lang w:eastAsia="zh-CN"/>
              </w:rPr>
            </w:pPr>
            <w:r>
              <w:rPr>
                <w:rFonts w:hint="eastAsia" w:ascii="宋体" w:hAnsi="宋体" w:cs="宋体"/>
                <w:bCs/>
                <w:szCs w:val="21"/>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
                <w:szCs w:val="21"/>
              </w:rPr>
            </w:pPr>
            <w:r>
              <w:rPr>
                <w:rFonts w:hint="eastAsia" w:ascii="宋体" w:hAnsi="宋体" w:cs="宋体"/>
                <w:b/>
                <w:szCs w:val="21"/>
              </w:rPr>
              <w:t>所有权</w:t>
            </w:r>
          </w:p>
        </w:tc>
        <w:tc>
          <w:tcPr>
            <w:tcW w:w="62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Cs/>
                <w:szCs w:val="21"/>
                <w:lang w:eastAsia="zh-CN"/>
              </w:rPr>
            </w:pPr>
            <w:r>
              <w:rPr>
                <w:rFonts w:hint="eastAsia" w:ascii="宋体" w:hAnsi="宋体" w:cs="宋体"/>
                <w:bCs/>
                <w:szCs w:val="21"/>
              </w:rPr>
              <w:t>土地所有权为国家所有，房屋所有权人为</w:t>
            </w:r>
            <w:r>
              <w:rPr>
                <w:rFonts w:hint="eastAsia" w:ascii="宋体" w:hAnsi="宋体" w:cs="宋体"/>
                <w:sz w:val="21"/>
                <w:szCs w:val="21"/>
                <w:lang w:val="en-US" w:eastAsia="zh-CN"/>
              </w:rPr>
              <w:t>李水良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
                <w:szCs w:val="21"/>
              </w:rPr>
            </w:pPr>
            <w:r>
              <w:rPr>
                <w:rFonts w:hint="eastAsia" w:ascii="宋体" w:hAnsi="宋体" w:cs="宋体"/>
                <w:b/>
                <w:szCs w:val="21"/>
                <w:lang w:val="en-US" w:eastAsia="zh-CN"/>
              </w:rPr>
              <w:t>共用宗地</w:t>
            </w:r>
            <w:r>
              <w:rPr>
                <w:rFonts w:hint="eastAsia" w:ascii="宋体" w:hAnsi="宋体" w:cs="宋体"/>
                <w:b/>
                <w:szCs w:val="21"/>
              </w:rPr>
              <w:t>使用权</w:t>
            </w:r>
          </w:p>
        </w:tc>
        <w:tc>
          <w:tcPr>
            <w:tcW w:w="62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Cs/>
                <w:szCs w:val="21"/>
                <w:lang w:eastAsia="zh-CN"/>
              </w:rPr>
            </w:pPr>
            <w:r>
              <w:rPr>
                <w:rFonts w:hint="eastAsia" w:ascii="宋体" w:hAnsi="宋体" w:cs="宋体"/>
                <w:bCs/>
                <w:szCs w:val="21"/>
                <w:lang w:val="en-US" w:eastAsia="zh-CN"/>
              </w:rPr>
              <w:t>共用宗地</w:t>
            </w:r>
            <w:r>
              <w:rPr>
                <w:rFonts w:hint="eastAsia" w:ascii="宋体" w:hAnsi="宋体" w:eastAsia="宋体" w:cs="宋体"/>
                <w:bCs/>
                <w:szCs w:val="21"/>
              </w:rPr>
              <w:t>使用权人为</w:t>
            </w:r>
            <w:r>
              <w:rPr>
                <w:rFonts w:hint="eastAsia" w:ascii="宋体" w:hAnsi="宋体" w:cs="宋体"/>
                <w:sz w:val="21"/>
                <w:szCs w:val="21"/>
                <w:lang w:val="en-US" w:eastAsia="zh-CN"/>
              </w:rPr>
              <w:t>李水良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
                <w:szCs w:val="21"/>
              </w:rPr>
            </w:pPr>
            <w:r>
              <w:rPr>
                <w:rFonts w:hint="eastAsia" w:ascii="宋体" w:hAnsi="宋体" w:cs="宋体"/>
                <w:b/>
                <w:szCs w:val="21"/>
              </w:rPr>
              <w:t>共有权情况</w:t>
            </w:r>
          </w:p>
        </w:tc>
        <w:tc>
          <w:tcPr>
            <w:tcW w:w="62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Cs/>
                <w:szCs w:val="21"/>
                <w:lang w:eastAsia="zh-CN"/>
              </w:rPr>
            </w:pPr>
            <w:r>
              <w:rPr>
                <w:rFonts w:hint="eastAsia" w:ascii="宋体" w:hAnsi="宋体" w:eastAsia="宋体" w:cs="宋体"/>
                <w:bCs/>
                <w:szCs w:val="21"/>
                <w:lang w:val="en-US" w:eastAsia="zh-CN"/>
              </w:rPr>
              <w:t>单独所有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
                <w:szCs w:val="21"/>
              </w:rPr>
            </w:pPr>
            <w:r>
              <w:rPr>
                <w:rFonts w:hint="eastAsia" w:ascii="宋体" w:hAnsi="宋体" w:cs="宋体"/>
                <w:b/>
                <w:szCs w:val="21"/>
              </w:rPr>
              <w:t>用益物权设立情况</w:t>
            </w:r>
          </w:p>
        </w:tc>
        <w:tc>
          <w:tcPr>
            <w:tcW w:w="6240"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国有建设用地使用权（划拨）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
                <w:szCs w:val="21"/>
              </w:rPr>
            </w:pPr>
            <w:r>
              <w:rPr>
                <w:rFonts w:hint="eastAsia" w:ascii="宋体" w:hAnsi="宋体" w:cs="宋体"/>
                <w:b/>
                <w:szCs w:val="21"/>
              </w:rPr>
              <w:t>担保物权设立情况</w:t>
            </w:r>
          </w:p>
        </w:tc>
        <w:tc>
          <w:tcPr>
            <w:tcW w:w="6240"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假设无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
                <w:szCs w:val="21"/>
              </w:rPr>
            </w:pPr>
            <w:r>
              <w:rPr>
                <w:rFonts w:hint="eastAsia" w:ascii="宋体" w:hAnsi="宋体" w:cs="宋体"/>
                <w:b/>
                <w:szCs w:val="21"/>
              </w:rPr>
              <w:t>租赁或占用情况</w:t>
            </w:r>
          </w:p>
        </w:tc>
        <w:tc>
          <w:tcPr>
            <w:tcW w:w="62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szCs w:val="21"/>
              </w:rPr>
            </w:pPr>
            <w:r>
              <w:rPr>
                <w:rFonts w:hint="eastAsia" w:ascii="宋体" w:hAnsi="宋体" w:cs="宋体"/>
                <w:color w:val="auto"/>
                <w:szCs w:val="21"/>
              </w:rPr>
              <w:t>无租赁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
                <w:szCs w:val="21"/>
              </w:rPr>
            </w:pPr>
            <w:r>
              <w:rPr>
                <w:rFonts w:hint="eastAsia" w:ascii="宋体" w:hAnsi="宋体" w:cs="宋体"/>
                <w:b/>
                <w:szCs w:val="21"/>
              </w:rPr>
              <w:t>拖欠工程款情况</w:t>
            </w:r>
          </w:p>
        </w:tc>
        <w:tc>
          <w:tcPr>
            <w:tcW w:w="62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szCs w:val="21"/>
              </w:rPr>
            </w:pPr>
            <w:r>
              <w:rPr>
                <w:rFonts w:hint="eastAsia" w:ascii="宋体" w:hAnsi="宋体" w:cs="宋体"/>
                <w:szCs w:val="21"/>
              </w:rPr>
              <w:t>假设无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
                <w:szCs w:val="21"/>
              </w:rPr>
            </w:pPr>
            <w:r>
              <w:rPr>
                <w:rFonts w:hint="eastAsia" w:ascii="宋体" w:hAnsi="宋体" w:cs="宋体"/>
                <w:b/>
                <w:szCs w:val="21"/>
              </w:rPr>
              <w:t>查封等形式限制权利情况</w:t>
            </w:r>
          </w:p>
        </w:tc>
        <w:tc>
          <w:tcPr>
            <w:tcW w:w="624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szCs w:val="21"/>
              </w:rPr>
            </w:pPr>
            <w:r>
              <w:rPr>
                <w:rFonts w:hint="eastAsia" w:ascii="宋体" w:hAnsi="宋体" w:cs="宋体"/>
                <w:szCs w:val="21"/>
              </w:rPr>
              <w:t>假设无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cs="宋体"/>
                <w:b/>
                <w:szCs w:val="21"/>
              </w:rPr>
            </w:pPr>
            <w:r>
              <w:rPr>
                <w:rFonts w:hint="eastAsia" w:ascii="宋体" w:hAnsi="宋体" w:cs="宋体"/>
                <w:b/>
                <w:szCs w:val="21"/>
              </w:rPr>
              <w:t>权属清晰情况</w:t>
            </w:r>
          </w:p>
        </w:tc>
        <w:tc>
          <w:tcPr>
            <w:tcW w:w="6240" w:type="dxa"/>
            <w:noWrap w:val="0"/>
            <w:vAlign w:val="center"/>
          </w:tcPr>
          <w:p>
            <w:pPr>
              <w:pStyle w:val="4"/>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权属清晰，</w:t>
            </w:r>
            <w:r>
              <w:rPr>
                <w:rFonts w:hint="eastAsia" w:ascii="宋体" w:hAnsi="宋体" w:eastAsia="宋体" w:cs="宋体"/>
                <w:sz w:val="21"/>
                <w:szCs w:val="21"/>
              </w:rPr>
              <w:t>权属人为</w:t>
            </w:r>
            <w:r>
              <w:rPr>
                <w:rFonts w:hint="eastAsia" w:ascii="宋体" w:hAnsi="宋体" w:eastAsia="宋体" w:cs="宋体"/>
                <w:sz w:val="21"/>
                <w:szCs w:val="21"/>
                <w:lang w:val="en-US" w:eastAsia="zh-CN"/>
              </w:rPr>
              <w:t>李水良</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宋体" w:hAnsi="宋体" w:cs="宋体"/>
          <w:b/>
          <w:sz w:val="28"/>
          <w:szCs w:val="28"/>
        </w:rPr>
      </w:pPr>
      <w:r>
        <w:rPr>
          <w:rFonts w:hint="eastAsia" w:ascii="宋体" w:hAnsi="宋体" w:cs="宋体"/>
          <w:b/>
          <w:sz w:val="28"/>
          <w:szCs w:val="28"/>
        </w:rPr>
        <w:t xml:space="preserve">    二、市场背景描述与分析</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400" w:lineRule="exact"/>
        <w:ind w:left="0" w:leftChars="0" w:right="0" w:rightChars="0" w:firstLine="420"/>
        <w:jc w:val="both"/>
        <w:textAlignment w:val="auto"/>
        <w:outlineLvl w:val="9"/>
        <w:rPr>
          <w:rFonts w:hint="eastAsia" w:ascii="宋体" w:hAnsi="宋体" w:eastAsia="宋体" w:cs="宋体"/>
          <w:b w:val="0"/>
          <w:i w:val="0"/>
          <w:caps w:val="0"/>
          <w:color w:val="000000"/>
          <w:spacing w:val="0"/>
          <w:kern w:val="0"/>
          <w:sz w:val="24"/>
          <w:szCs w:val="24"/>
          <w:u w:val="none"/>
          <w:shd w:val="clear" w:color="auto" w:fill="FFFFFF"/>
          <w:lang w:val="en-US" w:eastAsia="zh-CN" w:bidi="ar"/>
        </w:rPr>
      </w:pPr>
      <w:r>
        <w:rPr>
          <w:rFonts w:hint="eastAsia" w:ascii="宋体" w:hAnsi="宋体" w:eastAsia="宋体" w:cs="宋体"/>
          <w:b w:val="0"/>
          <w:i w:val="0"/>
          <w:caps w:val="0"/>
          <w:color w:val="000000"/>
          <w:spacing w:val="0"/>
          <w:kern w:val="0"/>
          <w:sz w:val="24"/>
          <w:szCs w:val="24"/>
          <w:shd w:val="clear" w:color="auto" w:fill="FFFFFF"/>
          <w:lang w:val="en-US" w:eastAsia="zh-CN" w:bidi="ar"/>
        </w:rPr>
        <w:t>龙岩市，又称</w: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begin"/>
      </w:r>
      <w:r>
        <w:rPr>
          <w:rFonts w:hint="eastAsia" w:ascii="宋体" w:hAnsi="宋体" w:eastAsia="宋体" w:cs="宋体"/>
          <w:b w:val="0"/>
          <w:i w:val="0"/>
          <w:caps w:val="0"/>
          <w:color w:val="000000"/>
          <w:spacing w:val="0"/>
          <w:kern w:val="0"/>
          <w:sz w:val="24"/>
          <w:szCs w:val="24"/>
          <w:u w:val="none"/>
          <w:shd w:val="clear" w:color="auto" w:fill="FFFFFF"/>
          <w:lang w:val="en-US" w:eastAsia="zh-CN" w:bidi="ar"/>
        </w:rPr>
        <w:instrText xml:space="preserve"> HYPERLINK "http://baike.baidu.com/item/%E9%97%BD%E8%A5%BF" \t "http://baike.baidu.com/_blank" </w:instrTex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separate"/>
      </w:r>
      <w:r>
        <w:rPr>
          <w:rStyle w:val="14"/>
          <w:rFonts w:hint="eastAsia" w:ascii="宋体" w:hAnsi="宋体" w:eastAsia="宋体" w:cs="宋体"/>
          <w:b w:val="0"/>
          <w:i w:val="0"/>
          <w:caps w:val="0"/>
          <w:color w:val="000000"/>
          <w:spacing w:val="0"/>
          <w:sz w:val="24"/>
          <w:szCs w:val="24"/>
          <w:u w:val="none"/>
          <w:shd w:val="clear" w:color="auto" w:fill="FFFFFF"/>
        </w:rPr>
        <w:t>闽西</w: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color="auto" w:fill="FFFFFF"/>
          <w:lang w:val="en-US" w:eastAsia="zh-CN" w:bidi="ar"/>
        </w:rPr>
        <w:t>，位于</w: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begin"/>
      </w:r>
      <w:r>
        <w:rPr>
          <w:rFonts w:hint="eastAsia" w:ascii="宋体" w:hAnsi="宋体" w:eastAsia="宋体" w:cs="宋体"/>
          <w:b w:val="0"/>
          <w:i w:val="0"/>
          <w:caps w:val="0"/>
          <w:color w:val="000000"/>
          <w:spacing w:val="0"/>
          <w:kern w:val="0"/>
          <w:sz w:val="24"/>
          <w:szCs w:val="24"/>
          <w:u w:val="none"/>
          <w:shd w:val="clear" w:color="auto" w:fill="FFFFFF"/>
          <w:lang w:val="en-US" w:eastAsia="zh-CN" w:bidi="ar"/>
        </w:rPr>
        <w:instrText xml:space="preserve"> HYPERLINK "http://baike.baidu.com/item/%E7%A6%8F%E5%BB%BA" \t "http://baike.baidu.com/_blank" </w:instrTex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separate"/>
      </w:r>
      <w:r>
        <w:rPr>
          <w:rStyle w:val="14"/>
          <w:rFonts w:hint="eastAsia" w:ascii="宋体" w:hAnsi="宋体" w:eastAsia="宋体" w:cs="宋体"/>
          <w:b w:val="0"/>
          <w:i w:val="0"/>
          <w:caps w:val="0"/>
          <w:color w:val="000000"/>
          <w:spacing w:val="0"/>
          <w:sz w:val="24"/>
          <w:szCs w:val="24"/>
          <w:u w:val="none"/>
          <w:shd w:val="clear" w:color="auto" w:fill="FFFFFF"/>
        </w:rPr>
        <w:t>福建</w: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color="auto" w:fill="FFFFFF"/>
          <w:lang w:val="en-US" w:eastAsia="zh-CN" w:bidi="ar"/>
        </w:rPr>
        <w:t>西部，地处</w: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begin"/>
      </w:r>
      <w:r>
        <w:rPr>
          <w:rFonts w:hint="eastAsia" w:ascii="宋体" w:hAnsi="宋体" w:eastAsia="宋体" w:cs="宋体"/>
          <w:b w:val="0"/>
          <w:i w:val="0"/>
          <w:caps w:val="0"/>
          <w:color w:val="000000"/>
          <w:spacing w:val="0"/>
          <w:kern w:val="0"/>
          <w:sz w:val="24"/>
          <w:szCs w:val="24"/>
          <w:u w:val="none"/>
          <w:shd w:val="clear" w:color="auto" w:fill="FFFFFF"/>
          <w:lang w:val="en-US" w:eastAsia="zh-CN" w:bidi="ar"/>
        </w:rPr>
        <w:instrText xml:space="preserve"> HYPERLINK "http://baike.baidu.com/item/%E9%97%BD/66475" \t "http://baike.baidu.com/_blank" </w:instrTex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separate"/>
      </w:r>
      <w:r>
        <w:rPr>
          <w:rStyle w:val="14"/>
          <w:rFonts w:hint="eastAsia" w:ascii="宋体" w:hAnsi="宋体" w:eastAsia="宋体" w:cs="宋体"/>
          <w:b w:val="0"/>
          <w:i w:val="0"/>
          <w:caps w:val="0"/>
          <w:color w:val="000000"/>
          <w:spacing w:val="0"/>
          <w:sz w:val="24"/>
          <w:szCs w:val="24"/>
          <w:u w:val="none"/>
          <w:shd w:val="clear" w:color="auto" w:fill="FFFFFF"/>
        </w:rPr>
        <w:t>闽</w: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end"/>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begin"/>
      </w:r>
      <w:r>
        <w:rPr>
          <w:rFonts w:hint="eastAsia" w:ascii="宋体" w:hAnsi="宋体" w:eastAsia="宋体" w:cs="宋体"/>
          <w:b w:val="0"/>
          <w:i w:val="0"/>
          <w:caps w:val="0"/>
          <w:color w:val="000000"/>
          <w:spacing w:val="0"/>
          <w:kern w:val="0"/>
          <w:sz w:val="24"/>
          <w:szCs w:val="24"/>
          <w:u w:val="none"/>
          <w:shd w:val="clear" w:color="auto" w:fill="FFFFFF"/>
          <w:lang w:val="en-US" w:eastAsia="zh-CN" w:bidi="ar"/>
        </w:rPr>
        <w:instrText xml:space="preserve"> HYPERLINK "http://baike.baidu.com/item/%E7%B2%A4/9830969" \t "http://baike.baidu.com/_blank" </w:instrTex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separate"/>
      </w:r>
      <w:r>
        <w:rPr>
          <w:rStyle w:val="14"/>
          <w:rFonts w:hint="eastAsia" w:ascii="宋体" w:hAnsi="宋体" w:eastAsia="宋体" w:cs="宋体"/>
          <w:b w:val="0"/>
          <w:i w:val="0"/>
          <w:caps w:val="0"/>
          <w:color w:val="000000"/>
          <w:spacing w:val="0"/>
          <w:sz w:val="24"/>
          <w:szCs w:val="24"/>
          <w:u w:val="none"/>
          <w:shd w:val="clear" w:color="auto" w:fill="FFFFFF"/>
        </w:rPr>
        <w:t>粤</w: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end"/>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begin"/>
      </w:r>
      <w:r>
        <w:rPr>
          <w:rFonts w:hint="eastAsia" w:ascii="宋体" w:hAnsi="宋体" w:eastAsia="宋体" w:cs="宋体"/>
          <w:b w:val="0"/>
          <w:i w:val="0"/>
          <w:caps w:val="0"/>
          <w:color w:val="000000"/>
          <w:spacing w:val="0"/>
          <w:kern w:val="0"/>
          <w:sz w:val="24"/>
          <w:szCs w:val="24"/>
          <w:u w:val="none"/>
          <w:shd w:val="clear" w:color="auto" w:fill="FFFFFF"/>
          <w:lang w:val="en-US" w:eastAsia="zh-CN" w:bidi="ar"/>
        </w:rPr>
        <w:instrText xml:space="preserve"> HYPERLINK "http://baike.baidu.com/item/%E8%B5%A3/9830904" \t "http://baike.baidu.com/_blank" </w:instrTex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separate"/>
      </w:r>
      <w:r>
        <w:rPr>
          <w:rStyle w:val="14"/>
          <w:rFonts w:hint="eastAsia" w:ascii="宋体" w:hAnsi="宋体" w:eastAsia="宋体" w:cs="宋体"/>
          <w:b w:val="0"/>
          <w:i w:val="0"/>
          <w:caps w:val="0"/>
          <w:color w:val="000000"/>
          <w:spacing w:val="0"/>
          <w:sz w:val="24"/>
          <w:szCs w:val="24"/>
          <w:u w:val="none"/>
          <w:shd w:val="clear" w:color="auto" w:fill="FFFFFF"/>
        </w:rPr>
        <w:t>赣</w: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color="auto" w:fill="FFFFFF"/>
          <w:lang w:val="en-US" w:eastAsia="zh-CN" w:bidi="ar"/>
        </w:rPr>
        <w:t>三省交界，东临</w: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begin"/>
      </w:r>
      <w:r>
        <w:rPr>
          <w:rFonts w:hint="eastAsia" w:ascii="宋体" w:hAnsi="宋体" w:eastAsia="宋体" w:cs="宋体"/>
          <w:b w:val="0"/>
          <w:i w:val="0"/>
          <w:caps w:val="0"/>
          <w:color w:val="000000"/>
          <w:spacing w:val="0"/>
          <w:kern w:val="0"/>
          <w:sz w:val="24"/>
          <w:szCs w:val="24"/>
          <w:u w:val="none"/>
          <w:shd w:val="clear" w:color="auto" w:fill="FFFFFF"/>
          <w:lang w:val="en-US" w:eastAsia="zh-CN" w:bidi="ar"/>
        </w:rPr>
        <w:instrText xml:space="preserve"> HYPERLINK "http://baike.baidu.com/item/%E5%8E%A6%E9%97%A8" \t "http://baike.baidu.com/_blank" </w:instrTex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separate"/>
      </w:r>
      <w:r>
        <w:rPr>
          <w:rStyle w:val="14"/>
          <w:rFonts w:hint="eastAsia" w:ascii="宋体" w:hAnsi="宋体" w:eastAsia="宋体" w:cs="宋体"/>
          <w:b w:val="0"/>
          <w:i w:val="0"/>
          <w:caps w:val="0"/>
          <w:color w:val="000000"/>
          <w:spacing w:val="0"/>
          <w:sz w:val="24"/>
          <w:szCs w:val="24"/>
          <w:u w:val="none"/>
          <w:shd w:val="clear" w:color="auto" w:fill="FFFFFF"/>
        </w:rPr>
        <w:t>厦门</w: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color="auto" w:fill="FFFFFF"/>
          <w:lang w:val="en-US" w:eastAsia="zh-CN" w:bidi="ar"/>
        </w:rPr>
        <w:t>、</w: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begin"/>
      </w:r>
      <w:r>
        <w:rPr>
          <w:rFonts w:hint="eastAsia" w:ascii="宋体" w:hAnsi="宋体" w:eastAsia="宋体" w:cs="宋体"/>
          <w:b w:val="0"/>
          <w:i w:val="0"/>
          <w:caps w:val="0"/>
          <w:color w:val="000000"/>
          <w:spacing w:val="0"/>
          <w:kern w:val="0"/>
          <w:sz w:val="24"/>
          <w:szCs w:val="24"/>
          <w:u w:val="none"/>
          <w:shd w:val="clear" w:color="auto" w:fill="FFFFFF"/>
          <w:lang w:val="en-US" w:eastAsia="zh-CN" w:bidi="ar"/>
        </w:rPr>
        <w:instrText xml:space="preserve"> HYPERLINK "http://baike.baidu.com/item/%E6%BC%B3%E5%B7%9E" \t "http://baike.baidu.com/_blank" </w:instrTex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separate"/>
      </w:r>
      <w:r>
        <w:rPr>
          <w:rStyle w:val="14"/>
          <w:rFonts w:hint="eastAsia" w:ascii="宋体" w:hAnsi="宋体" w:eastAsia="宋体" w:cs="宋体"/>
          <w:b w:val="0"/>
          <w:i w:val="0"/>
          <w:caps w:val="0"/>
          <w:color w:val="000000"/>
          <w:spacing w:val="0"/>
          <w:sz w:val="24"/>
          <w:szCs w:val="24"/>
          <w:u w:val="none"/>
          <w:shd w:val="clear" w:color="auto" w:fill="FFFFFF"/>
        </w:rPr>
        <w:t>漳州</w: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color="auto" w:fill="FFFFFF"/>
          <w:lang w:val="en-US" w:eastAsia="zh-CN" w:bidi="ar"/>
        </w:rPr>
        <w:t>、</w: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begin"/>
      </w:r>
      <w:r>
        <w:rPr>
          <w:rFonts w:hint="eastAsia" w:ascii="宋体" w:hAnsi="宋体" w:eastAsia="宋体" w:cs="宋体"/>
          <w:b w:val="0"/>
          <w:i w:val="0"/>
          <w:caps w:val="0"/>
          <w:color w:val="000000"/>
          <w:spacing w:val="0"/>
          <w:kern w:val="0"/>
          <w:sz w:val="24"/>
          <w:szCs w:val="24"/>
          <w:u w:val="none"/>
          <w:shd w:val="clear" w:color="auto" w:fill="FFFFFF"/>
          <w:lang w:val="en-US" w:eastAsia="zh-CN" w:bidi="ar"/>
        </w:rPr>
        <w:instrText xml:space="preserve"> HYPERLINK "http://baike.baidu.com/item/%E6%B3%89%E5%B7%9E" \t "http://baike.baidu.com/_blank" </w:instrTex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separate"/>
      </w:r>
      <w:r>
        <w:rPr>
          <w:rStyle w:val="14"/>
          <w:rFonts w:hint="eastAsia" w:ascii="宋体" w:hAnsi="宋体" w:eastAsia="宋体" w:cs="宋体"/>
          <w:b w:val="0"/>
          <w:i w:val="0"/>
          <w:caps w:val="0"/>
          <w:color w:val="000000"/>
          <w:spacing w:val="0"/>
          <w:sz w:val="24"/>
          <w:szCs w:val="24"/>
          <w:u w:val="none"/>
          <w:shd w:val="clear" w:color="auto" w:fill="FFFFFF"/>
        </w:rPr>
        <w:t>泉州</w: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color="auto" w:fill="FFFFFF"/>
          <w:lang w:val="en-US" w:eastAsia="zh-CN" w:bidi="ar"/>
        </w:rPr>
        <w:t>，南邻广东</w: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begin"/>
      </w:r>
      <w:r>
        <w:rPr>
          <w:rFonts w:hint="eastAsia" w:ascii="宋体" w:hAnsi="宋体" w:eastAsia="宋体" w:cs="宋体"/>
          <w:b w:val="0"/>
          <w:i w:val="0"/>
          <w:caps w:val="0"/>
          <w:color w:val="000000"/>
          <w:spacing w:val="0"/>
          <w:kern w:val="0"/>
          <w:sz w:val="24"/>
          <w:szCs w:val="24"/>
          <w:u w:val="none"/>
          <w:shd w:val="clear" w:color="auto" w:fill="FFFFFF"/>
          <w:lang w:val="en-US" w:eastAsia="zh-CN" w:bidi="ar"/>
        </w:rPr>
        <w:instrText xml:space="preserve"> HYPERLINK "http://baike.baidu.com/item/%E6%A2%85%E5%B7%9E" \t "http://baike.baidu.com/_blank" </w:instrTex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separate"/>
      </w:r>
      <w:r>
        <w:rPr>
          <w:rStyle w:val="14"/>
          <w:rFonts w:hint="eastAsia" w:ascii="宋体" w:hAnsi="宋体" w:eastAsia="宋体" w:cs="宋体"/>
          <w:b w:val="0"/>
          <w:i w:val="0"/>
          <w:caps w:val="0"/>
          <w:color w:val="000000"/>
          <w:spacing w:val="0"/>
          <w:sz w:val="24"/>
          <w:szCs w:val="24"/>
          <w:u w:val="none"/>
          <w:shd w:val="clear" w:color="auto" w:fill="FFFFFF"/>
        </w:rPr>
        <w:t>梅州</w: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color="auto" w:fill="FFFFFF"/>
          <w:lang w:val="en-US" w:eastAsia="zh-CN" w:bidi="ar"/>
        </w:rPr>
        <w:t>，西连江西</w: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begin"/>
      </w:r>
      <w:r>
        <w:rPr>
          <w:rFonts w:hint="eastAsia" w:ascii="宋体" w:hAnsi="宋体" w:eastAsia="宋体" w:cs="宋体"/>
          <w:b w:val="0"/>
          <w:i w:val="0"/>
          <w:caps w:val="0"/>
          <w:color w:val="000000"/>
          <w:spacing w:val="0"/>
          <w:kern w:val="0"/>
          <w:sz w:val="24"/>
          <w:szCs w:val="24"/>
          <w:u w:val="none"/>
          <w:shd w:val="clear" w:color="auto" w:fill="FFFFFF"/>
          <w:lang w:val="en-US" w:eastAsia="zh-CN" w:bidi="ar"/>
        </w:rPr>
        <w:instrText xml:space="preserve"> HYPERLINK "http://baike.baidu.com/item/%E8%B5%A3%E5%B7%9E" \t "http://baike.baidu.com/_blank" </w:instrTex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separate"/>
      </w:r>
      <w:r>
        <w:rPr>
          <w:rStyle w:val="14"/>
          <w:rFonts w:hint="eastAsia" w:ascii="宋体" w:hAnsi="宋体" w:eastAsia="宋体" w:cs="宋体"/>
          <w:b w:val="0"/>
          <w:i w:val="0"/>
          <w:caps w:val="0"/>
          <w:color w:val="000000"/>
          <w:spacing w:val="0"/>
          <w:sz w:val="24"/>
          <w:szCs w:val="24"/>
          <w:u w:val="none"/>
          <w:shd w:val="clear" w:color="auto" w:fill="FFFFFF"/>
        </w:rPr>
        <w:t>赣州</w: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color="auto" w:fill="FFFFFF"/>
          <w:lang w:val="en-US" w:eastAsia="zh-CN" w:bidi="ar"/>
        </w:rPr>
        <w:t>，北接</w: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begin"/>
      </w:r>
      <w:r>
        <w:rPr>
          <w:rFonts w:hint="eastAsia" w:ascii="宋体" w:hAnsi="宋体" w:eastAsia="宋体" w:cs="宋体"/>
          <w:b w:val="0"/>
          <w:i w:val="0"/>
          <w:caps w:val="0"/>
          <w:color w:val="000000"/>
          <w:spacing w:val="0"/>
          <w:kern w:val="0"/>
          <w:sz w:val="24"/>
          <w:szCs w:val="24"/>
          <w:u w:val="none"/>
          <w:shd w:val="clear" w:color="auto" w:fill="FFFFFF"/>
          <w:lang w:val="en-US" w:eastAsia="zh-CN" w:bidi="ar"/>
        </w:rPr>
        <w:instrText xml:space="preserve"> HYPERLINK "http://baike.baidu.com/item/%E4%B8%89%E6%98%8E" \t "http://baike.baidu.com/_blank" </w:instrTex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separate"/>
      </w:r>
      <w:r>
        <w:rPr>
          <w:rStyle w:val="14"/>
          <w:rFonts w:hint="eastAsia" w:ascii="宋体" w:hAnsi="宋体" w:eastAsia="宋体" w:cs="宋体"/>
          <w:b w:val="0"/>
          <w:i w:val="0"/>
          <w:caps w:val="0"/>
          <w:color w:val="000000"/>
          <w:spacing w:val="0"/>
          <w:sz w:val="24"/>
          <w:szCs w:val="24"/>
          <w:u w:val="none"/>
          <w:shd w:val="clear" w:color="auto" w:fill="FFFFFF"/>
        </w:rPr>
        <w:t>三明</w: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color="auto" w:fill="FFFFFF"/>
          <w:lang w:val="en-US" w:eastAsia="zh-CN" w:bidi="ar"/>
        </w:rPr>
        <w:t>。1997年5月撤地设市。</w:t>
      </w:r>
      <w:bookmarkStart w:id="11" w:name="ref_[1]_15810810"/>
    </w:p>
    <w:p>
      <w:pPr>
        <w:keepNext w:val="0"/>
        <w:keepLines w:val="0"/>
        <w:pageBreakBefore w:val="0"/>
        <w:widowControl/>
        <w:suppressLineNumbers w:val="0"/>
        <w:shd w:val="clear" w:color="auto" w:fill="FFFFFF"/>
        <w:kinsoku/>
        <w:wordWrap/>
        <w:overflowPunct/>
        <w:topLinePunct w:val="0"/>
        <w:autoSpaceDE/>
        <w:autoSpaceDN/>
        <w:bidi w:val="0"/>
        <w:adjustRightInd/>
        <w:snapToGrid/>
        <w:spacing w:afterAutospacing="0" w:line="400" w:lineRule="exact"/>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color="auto" w:fill="FFFFFF"/>
          <w:lang w:val="en-US" w:eastAsia="zh-CN" w:bidi="ar"/>
        </w:rPr>
        <w:t>龙岩是内陆邻海城市，是</w: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begin"/>
      </w:r>
      <w:r>
        <w:rPr>
          <w:rFonts w:hint="eastAsia" w:ascii="宋体" w:hAnsi="宋体" w:eastAsia="宋体" w:cs="宋体"/>
          <w:b w:val="0"/>
          <w:i w:val="0"/>
          <w:caps w:val="0"/>
          <w:color w:val="000000"/>
          <w:spacing w:val="0"/>
          <w:kern w:val="0"/>
          <w:sz w:val="24"/>
          <w:szCs w:val="24"/>
          <w:u w:val="none"/>
          <w:shd w:val="clear" w:color="auto" w:fill="FFFFFF"/>
          <w:lang w:val="en-US" w:eastAsia="zh-CN" w:bidi="ar"/>
        </w:rPr>
        <w:instrText xml:space="preserve"> HYPERLINK "http://baike.baidu.com/item/%E6%B5%B7%E5%B3%A1%E8%A5%BF%E5%B2%B8%E7%BB%8F%E6%B5%8E%E5%8C%BA" \t "http://baike.baidu.com/_blank" </w:instrTex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separate"/>
      </w:r>
      <w:r>
        <w:rPr>
          <w:rStyle w:val="14"/>
          <w:rFonts w:hint="eastAsia" w:ascii="宋体" w:hAnsi="宋体" w:eastAsia="宋体" w:cs="宋体"/>
          <w:b w:val="0"/>
          <w:i w:val="0"/>
          <w:caps w:val="0"/>
          <w:color w:val="000000"/>
          <w:spacing w:val="0"/>
          <w:sz w:val="24"/>
          <w:szCs w:val="24"/>
          <w:u w:val="none"/>
          <w:shd w:val="clear" w:color="auto" w:fill="FFFFFF"/>
        </w:rPr>
        <w:t>海峡西岸经济区</w: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color="auto" w:fill="FFFFFF"/>
          <w:lang w:val="en-US" w:eastAsia="zh-CN" w:bidi="ar"/>
        </w:rPr>
        <w:t>延伸两翼、对接两洲、拓展腹地的交通枢纽与重要通道。距龙岩市区城东2公里的翠屏山麓，有一处</w: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begin"/>
      </w:r>
      <w:r>
        <w:rPr>
          <w:rFonts w:hint="eastAsia" w:ascii="宋体" w:hAnsi="宋体" w:eastAsia="宋体" w:cs="宋体"/>
          <w:b w:val="0"/>
          <w:i w:val="0"/>
          <w:caps w:val="0"/>
          <w:color w:val="000000"/>
          <w:spacing w:val="0"/>
          <w:kern w:val="0"/>
          <w:sz w:val="24"/>
          <w:szCs w:val="24"/>
          <w:u w:val="none"/>
          <w:shd w:val="clear" w:color="auto" w:fill="FFFFFF"/>
          <w:lang w:val="en-US" w:eastAsia="zh-CN" w:bidi="ar"/>
        </w:rPr>
        <w:instrText xml:space="preserve"> HYPERLINK "http://baike.baidu.com/item/%E5%96%80%E6%96%AF%E7%89%B9" \t "http://baike.baidu.com/_blank" </w:instrTex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separate"/>
      </w:r>
      <w:r>
        <w:rPr>
          <w:rStyle w:val="14"/>
          <w:rFonts w:hint="eastAsia" w:ascii="宋体" w:hAnsi="宋体" w:eastAsia="宋体" w:cs="宋体"/>
          <w:b w:val="0"/>
          <w:i w:val="0"/>
          <w:caps w:val="0"/>
          <w:color w:val="000000"/>
          <w:spacing w:val="0"/>
          <w:sz w:val="24"/>
          <w:szCs w:val="24"/>
          <w:u w:val="none"/>
          <w:shd w:val="clear" w:color="auto" w:fill="FFFFFF"/>
        </w:rPr>
        <w:t>喀斯特</w: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end"/>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begin"/>
      </w:r>
      <w:r>
        <w:rPr>
          <w:rFonts w:hint="eastAsia" w:ascii="宋体" w:hAnsi="宋体" w:eastAsia="宋体" w:cs="宋体"/>
          <w:b w:val="0"/>
          <w:i w:val="0"/>
          <w:caps w:val="0"/>
          <w:color w:val="000000"/>
          <w:spacing w:val="0"/>
          <w:kern w:val="0"/>
          <w:sz w:val="24"/>
          <w:szCs w:val="24"/>
          <w:u w:val="none"/>
          <w:shd w:val="clear" w:color="auto" w:fill="FFFFFF"/>
          <w:lang w:val="en-US" w:eastAsia="zh-CN" w:bidi="ar"/>
        </w:rPr>
        <w:instrText xml:space="preserve"> HYPERLINK "http://baike.baidu.com/item/%E6%BA%B6%E6%B4%9E" \t "http://baike.baidu.com/_blank" </w:instrTex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separate"/>
      </w:r>
      <w:r>
        <w:rPr>
          <w:rStyle w:val="14"/>
          <w:rFonts w:hint="eastAsia" w:ascii="宋体" w:hAnsi="宋体" w:eastAsia="宋体" w:cs="宋体"/>
          <w:b w:val="0"/>
          <w:i w:val="0"/>
          <w:caps w:val="0"/>
          <w:color w:val="000000"/>
          <w:spacing w:val="0"/>
          <w:sz w:val="24"/>
          <w:szCs w:val="24"/>
          <w:u w:val="none"/>
          <w:shd w:val="clear" w:color="auto" w:fill="FFFFFF"/>
        </w:rPr>
        <w:t>溶洞</w: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color="auto" w:fill="FFFFFF"/>
          <w:lang w:val="en-US" w:eastAsia="zh-CN" w:bidi="ar"/>
        </w:rPr>
        <w:t>，此洞因岩纹似龙而得名“</w: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begin"/>
      </w:r>
      <w:r>
        <w:rPr>
          <w:rFonts w:hint="eastAsia" w:ascii="宋体" w:hAnsi="宋体" w:eastAsia="宋体" w:cs="宋体"/>
          <w:b w:val="0"/>
          <w:i w:val="0"/>
          <w:caps w:val="0"/>
          <w:color w:val="000000"/>
          <w:spacing w:val="0"/>
          <w:kern w:val="0"/>
          <w:sz w:val="24"/>
          <w:szCs w:val="24"/>
          <w:u w:val="none"/>
          <w:shd w:val="clear" w:color="auto" w:fill="FFFFFF"/>
          <w:lang w:val="en-US" w:eastAsia="zh-CN" w:bidi="ar"/>
        </w:rPr>
        <w:instrText xml:space="preserve"> HYPERLINK "http://baike.baidu.com/item/%E9%BE%99%E5%B2%A9%E6%B4%9E" \t "http://baike.baidu.com/_blank" </w:instrTex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separate"/>
      </w:r>
      <w:r>
        <w:rPr>
          <w:rStyle w:val="14"/>
          <w:rFonts w:hint="eastAsia" w:ascii="宋体" w:hAnsi="宋体" w:eastAsia="宋体" w:cs="宋体"/>
          <w:b w:val="0"/>
          <w:i w:val="0"/>
          <w:caps w:val="0"/>
          <w:color w:val="000000"/>
          <w:spacing w:val="0"/>
          <w:sz w:val="24"/>
          <w:szCs w:val="24"/>
          <w:u w:val="none"/>
          <w:shd w:val="clear" w:color="auto" w:fill="FFFFFF"/>
        </w:rPr>
        <w:t>龙岩洞</w: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color="auto" w:fill="FFFFFF"/>
          <w:lang w:val="en-US" w:eastAsia="zh-CN" w:bidi="ar"/>
        </w:rPr>
        <w:t>”，龙岩市名由此而来，是中国唯一一个以“龙”字命名的地级市。龙岩市由古龙岩州和建国后来属的部分古</w: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begin"/>
      </w:r>
      <w:r>
        <w:rPr>
          <w:rFonts w:hint="eastAsia" w:ascii="宋体" w:hAnsi="宋体" w:eastAsia="宋体" w:cs="宋体"/>
          <w:b w:val="0"/>
          <w:i w:val="0"/>
          <w:caps w:val="0"/>
          <w:color w:val="000000"/>
          <w:spacing w:val="0"/>
          <w:kern w:val="0"/>
          <w:sz w:val="24"/>
          <w:szCs w:val="24"/>
          <w:u w:val="none"/>
          <w:shd w:val="clear" w:color="auto" w:fill="FFFFFF"/>
          <w:lang w:val="en-US" w:eastAsia="zh-CN" w:bidi="ar"/>
        </w:rPr>
        <w:instrText xml:space="preserve"> HYPERLINK "http://baike.baidu.com/item/%E6%B1%80%E5%B7%9E" \t "http://baike.baidu.com/_blank" </w:instrTex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separate"/>
      </w:r>
      <w:r>
        <w:rPr>
          <w:rStyle w:val="14"/>
          <w:rFonts w:hint="eastAsia" w:ascii="宋体" w:hAnsi="宋体" w:eastAsia="宋体" w:cs="宋体"/>
          <w:b w:val="0"/>
          <w:i w:val="0"/>
          <w:caps w:val="0"/>
          <w:color w:val="000000"/>
          <w:spacing w:val="0"/>
          <w:sz w:val="24"/>
          <w:szCs w:val="24"/>
          <w:u w:val="none"/>
          <w:shd w:val="clear" w:color="auto" w:fill="FFFFFF"/>
        </w:rPr>
        <w:t>汀州</w:t>
      </w:r>
      <w:r>
        <w:rPr>
          <w:rFonts w:hint="eastAsia" w:ascii="宋体" w:hAnsi="宋体" w:eastAsia="宋体" w:cs="宋体"/>
          <w:b w:val="0"/>
          <w:i w:val="0"/>
          <w:caps w:val="0"/>
          <w:color w:val="000000"/>
          <w:spacing w:val="0"/>
          <w:kern w:val="0"/>
          <w:sz w:val="24"/>
          <w:szCs w:val="24"/>
          <w:u w:val="none"/>
          <w:shd w:val="clear" w:color="auto"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color="auto" w:fill="FFFFFF"/>
          <w:lang w:val="en-US" w:eastAsia="zh-CN" w:bidi="ar"/>
        </w:rPr>
        <w:t>辖地组成。</w:t>
      </w:r>
      <w:bookmarkEnd w:id="11"/>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新罗区，福建省龙岩市辖区，位于福建省西南部</w:t>
      </w:r>
      <w:r>
        <w:rPr>
          <w:rFonts w:hint="eastAsia" w:ascii="宋体" w:hAnsi="宋体" w:eastAsia="宋体" w:cs="宋体"/>
          <w:sz w:val="24"/>
          <w:szCs w:val="24"/>
          <w:lang w:eastAsia="zh-CN"/>
        </w:rPr>
        <w:t>。</w:t>
      </w:r>
      <w:r>
        <w:rPr>
          <w:rFonts w:hint="eastAsia" w:ascii="宋体" w:hAnsi="宋体" w:eastAsia="宋体" w:cs="宋体"/>
          <w:sz w:val="24"/>
          <w:szCs w:val="24"/>
        </w:rPr>
        <w:t>东连漳平市，西接上杭县，北邻连城县、永安市，东南与南靖县交界，西南与永定区毗邻。全境东西宽66千米，南北长89千米，总面积2685.4平方千米。户籍人口49.14万人，常住人口68.3万人（2012年）。通行闽南方言龙岩话。</w:t>
      </w:r>
      <w:r>
        <w:rPr>
          <w:rFonts w:hint="eastAsia" w:ascii="宋体" w:hAnsi="宋体" w:eastAsia="宋体" w:cs="宋体"/>
          <w:sz w:val="24"/>
          <w:szCs w:val="24"/>
        </w:rPr>
        <w:br w:type="textWrapping"/>
      </w:r>
      <w:r>
        <w:rPr>
          <w:rFonts w:hint="eastAsia" w:ascii="宋体" w:hAnsi="宋体" w:eastAsia="宋体" w:cs="宋体"/>
          <w:sz w:val="24"/>
          <w:szCs w:val="24"/>
        </w:rPr>
        <w:t>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新罗区是闽西政治、经济、文化和交通中心，是闽粤赣边联结沿海、拓展腹地的重要枢纽，是海峡西岸经济区的重要邻海城市，是全国著名的革命老区，是新兴的工业城区，是福建重要的林区、矿区，是全国四大高岭土矿产地之一，是福建主要烤烟产区、柑橘生产基地之一。</w:t>
      </w:r>
      <w:r>
        <w:rPr>
          <w:rFonts w:hint="eastAsia" w:ascii="宋体" w:hAnsi="宋体" w:eastAsia="宋体" w:cs="宋体"/>
          <w:sz w:val="24"/>
          <w:szCs w:val="24"/>
        </w:rPr>
        <w:br w:type="textWrapping"/>
      </w:r>
      <w:r>
        <w:rPr>
          <w:rFonts w:hint="eastAsia" w:ascii="宋体" w:hAnsi="宋体" w:eastAsia="宋体" w:cs="宋体"/>
          <w:sz w:val="24"/>
          <w:szCs w:val="24"/>
        </w:rPr>
        <w:t>　　新罗区是河洛文化和客家文化的融合地，民俗文化丰富。有被联合国科教文组织收录的中国民歌“龙岩采茶灯”、有优秀民族文化遗产龙岩山歌、龙岩静板，还有富有地方特色的东肖文化庙会、江山郭公文化节和适中盂兰盆盛会等。</w:t>
      </w:r>
      <w:r>
        <w:rPr>
          <w:rFonts w:hint="eastAsia" w:ascii="宋体" w:hAnsi="宋体" w:eastAsia="宋体" w:cs="宋体"/>
          <w:sz w:val="24"/>
          <w:szCs w:val="24"/>
        </w:rPr>
        <w:br w:type="textWrapping"/>
      </w:r>
      <w:r>
        <w:rPr>
          <w:rFonts w:hint="eastAsia" w:ascii="宋体" w:hAnsi="宋体" w:eastAsia="宋体" w:cs="宋体"/>
          <w:sz w:val="24"/>
          <w:szCs w:val="24"/>
        </w:rPr>
        <w:t>　　漳龙铁路、赣龙铁路、龙厦铁路，厦蓉高速公路、莆永高速公路，319国道，203省道、308省道贯穿区境。</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2" w:firstLineChars="200"/>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⑴</w:t>
      </w:r>
      <w:r>
        <w:rPr>
          <w:rFonts w:hint="eastAsia" w:ascii="宋体" w:hAnsi="宋体" w:eastAsia="宋体" w:cs="宋体"/>
          <w:b/>
          <w:bCs/>
          <w:sz w:val="24"/>
          <w:szCs w:val="24"/>
        </w:rPr>
        <w:t>20</w:t>
      </w:r>
      <w:r>
        <w:rPr>
          <w:rFonts w:hint="eastAsia" w:ascii="宋体" w:hAnsi="宋体" w:eastAsia="宋体" w:cs="宋体"/>
          <w:b/>
          <w:bCs/>
          <w:sz w:val="24"/>
          <w:szCs w:val="24"/>
          <w:lang w:val="en-US" w:eastAsia="zh-CN"/>
        </w:rPr>
        <w:t>21年</w:t>
      </w:r>
      <w:r>
        <w:rPr>
          <w:rFonts w:hint="eastAsia" w:ascii="宋体" w:hAnsi="宋体" w:eastAsia="宋体" w:cs="宋体"/>
          <w:b/>
          <w:bCs/>
          <w:sz w:val="24"/>
          <w:szCs w:val="24"/>
        </w:rPr>
        <w:t>经济发展水平</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2021年，全市认真落实中央和省委、省政府决策部署，全面贯彻新发展理念，统筹巩固疫情防控和经济社会发展成果，着力推动高质量发展，经济运行总体呈现“稳定复苏，质态显优”特征。</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2021年</w:t>
      </w:r>
      <w:r>
        <w:rPr>
          <w:rFonts w:hint="eastAsia" w:ascii="宋体" w:hAnsi="宋体" w:eastAsia="宋体" w:cs="宋体"/>
          <w:sz w:val="24"/>
          <w:szCs w:val="24"/>
        </w:rPr>
        <w:t>全年全市实现地区生产总值3081.78亿元，比上年增长7.7%，比上年提高2.4个百分点。分产业看，第一产业增加值303.28亿元，增长4.8%；第二产业增加值1321.87亿元，增长8.1%；第三产业增加值1456.63亿元，增长8.0%。</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①粮食单产水平提高，畜牧业生产稳定增长</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粮食总产量82.85万吨，比上年增加0.78万吨，增长1.0%。粮食单产水平提高，2021年粮食亩产434公斤，比上年增产3.8公斤；生猪出栏424.77万头，增长5.1%；牛出栏5.01万头，增长3.3%，羊出栏18.99万只，增长6.2%；水产品产量6.42万吨，增长3.7%；蔬菜产量162.56万吨，增长4.3%；茶叶产量2.53万吨，增长4.4%；食用菌产量5.34万吨，增长3.3%；毛竹产量1.07亿根，增长3.4%。</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②工业生产平稳增长，亿元企业贡献突出</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-12月，全市规模以上工业增加值增长8.4%，两年平均增长6.7%，年均增速比前三季度提高0.5个百分点。分三大门类看，采矿业同比下降2.6%；制造业增长9.5%；电力、热力、燃气及水生产和供应业增长11.9%。分行业看，全市37个大类行业中有27个行业增加值实现正增长，增长面为73.0%。其中，主要行业中增长较快的是计算机、通信和其他电子设备制造业、非金属矿物制品业、专用设备制造业，分别增长22.5%、20.2%和11.2%。亿元工业企业贡献突出。全年规模以上工业产值超亿元企业545家，比上年增加35家，实现增加值占比92.0%，对规模以上工业增长的贡献率达124.5%。</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③投资增速提升，工业投资拉动力和贡献率较强</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-12月，全市固定资产投资增长8.5%，比前三季度提高0.3个百分点，两年平均增长5.4%，年均增速比前三季度提高0.2个百分点。分产业看，第一产业投资增长8.1%，第二产业投资增长19.4%，第三产业投资增长2.3%。其中，基础设施投资增长5.0%，先进制造业投资增长18.5%，房地产开发投资增长9.1%，民间投资增长9.4%。工业投资同比增长19.4%，拉动全市固定资产投资增长6.9个百分点，对全市固定资产投资的贡献率达81.1%，是全市固定资产投资稳定增长的主要保障。</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④市场销售保持增长，线上消费保持活力</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-12月，全市实现社会消费品零售总额1376.54亿元，增长9.3%，两年平均增长2.4%。按消费类型分，商品零售额437.09亿元，增长8.6%；餐饮收入38.99亿元，增长17.0%。按经营单位所在地分，城镇消费品零售额422.53亿元，增长8.4%；乡村消费品零售额53.55亿元，增长15.5%。从商品类别看，限额以上单位23个商品类别中11类零售额同比保持正增长，其中升级类商品增长较快，家具类、新能源汽车类、书报杂志类，分别增长27.6%、19.5%、12.7%。线上消费保持活力，限额以上企业通过公共网络实现商品零售额增长58.3%，比去年同期提升66.1个百分点。</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⑤地方财政收入小幅增长、货币金融运行稳定</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-12月，全市实现一般公共预算总收入353.89亿元，同比增长7.3%。其中,地方一般公共预算收入169.46亿元，增长6.8%。从税收情况看，地方级税收收入122.73亿元，增长12.9%；非税收入46.73亿元，下降6.4%。一般公共预算支出344.16亿元，同比增长3.3%。</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12月末，全市金融机构本外币存款余额2574.45亿元，同比增长9.0%，增速比上年回落3.2个百分点；本外币贷款余额2822.76亿元，同比增长13.1%，比上年回落2.2个百分点。其中，住户存款1340.53亿元，增长7.7%。</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⑥居民收入保持两位数增长，农民增收相对较快。</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-12月，全市居民人均可支配收入33431元，同比增长10.0%，增速比上半年回落3.5个百分点。其中，城镇居民人均可支配收入43785元，增长8.9%，比上半年回落2.9个百分点；农村居民人均可支配收入22716元，增长12.7%，比上半年回落5.6个百分点。</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⑦居民消费价格涨幅平稳，畜肉价格回落明显</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2021年，市辖区居民消费价格上涨0.9%，涨幅比上半年、前三季度均回落0.2个百分点。八大类消费品和服务项目中，其他用品和服务类、食品烟酒类、衣着类价格分别回落5.4%、0.9%和0.8%；交通和通信类、教育文化娱乐类价格均上涨3.8%；居住类、生活用品及服务类、医疗保健类价格分别上涨1.7%、0.7%和0.1%。食品烟酒价格涨幅比上半年回落1.1个百分点，其中，猪肉价格同比回落19.4%，涨幅比上半年回落7.9个百分点。</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2"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⑵</w:t>
      </w:r>
      <w:r>
        <w:rPr>
          <w:rFonts w:hint="eastAsia" w:ascii="宋体" w:hAnsi="宋体" w:eastAsia="宋体" w:cs="宋体"/>
          <w:b/>
          <w:bCs/>
          <w:sz w:val="24"/>
          <w:szCs w:val="24"/>
        </w:rPr>
        <w:t>20</w:t>
      </w:r>
      <w:r>
        <w:rPr>
          <w:rFonts w:hint="eastAsia" w:ascii="宋体" w:hAnsi="宋体" w:eastAsia="宋体" w:cs="宋体"/>
          <w:b/>
          <w:bCs/>
          <w:sz w:val="24"/>
          <w:szCs w:val="24"/>
          <w:lang w:val="en-US" w:eastAsia="zh-CN"/>
        </w:rPr>
        <w:t>21</w:t>
      </w:r>
      <w:r>
        <w:rPr>
          <w:rFonts w:hint="eastAsia" w:ascii="宋体" w:hAnsi="宋体" w:eastAsia="宋体" w:cs="宋体"/>
          <w:b/>
          <w:bCs/>
          <w:sz w:val="24"/>
          <w:szCs w:val="24"/>
        </w:rPr>
        <w:t>年龙岩</w:t>
      </w:r>
      <w:r>
        <w:rPr>
          <w:rFonts w:hint="eastAsia" w:ascii="宋体" w:hAnsi="宋体" w:eastAsia="宋体" w:cs="宋体"/>
          <w:b/>
          <w:bCs/>
          <w:sz w:val="24"/>
          <w:szCs w:val="24"/>
          <w:lang w:eastAsia="zh-CN"/>
        </w:rPr>
        <w:t>商品</w:t>
      </w:r>
      <w:r>
        <w:rPr>
          <w:rFonts w:hint="eastAsia" w:ascii="宋体" w:hAnsi="宋体" w:eastAsia="宋体" w:cs="宋体"/>
          <w:b/>
          <w:bCs/>
          <w:sz w:val="24"/>
          <w:szCs w:val="24"/>
        </w:rPr>
        <w:t>房地产市场总体状况</w:t>
      </w:r>
      <w:r>
        <w:rPr>
          <w:rFonts w:hint="eastAsia" w:ascii="宋体" w:hAnsi="宋体" w:eastAsia="宋体" w:cs="宋体"/>
          <w:sz w:val="24"/>
          <w:szCs w:val="24"/>
          <w:lang w:val="en-US" w:eastAsia="zh-CN"/>
        </w:rPr>
        <w:t xml:space="preserve"> </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2021年，全市房地产投资稳定增长，完成开发投资251.11亿元，同比增长9.1%；商品房销售面积有所下降，全年商品房销售面积361.38万平方米，同比下降2.7%。</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①房地产投资稳定增长</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2021年，全市房地产开发投资251.11亿元，同比增长9.1%，增速位居全省第2。从投资构成看，全市房地产完成建安投资142.43亿元，同比増长8%，占完成投资的56.7%；设备工器具购置投资3.65亿元，同比下降2.8%，占完成投资的1.5%；土地购置费98.73亿元，同比增长12.8%，占完成投资的39.3%，比重比上年提高1.3个百分点。</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②商品房销售面积呈回落态势</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2021年，受信贷政策趋紧、市场下行的影响，购房者购房积极性不高，观望情绪浓厚，全市商品房销售面积361.38万平方米，同比下降2.7%，全年商品房销售面积呈逐月回落态势</w:t>
      </w:r>
      <w:r>
        <w:rPr>
          <w:rFonts w:hint="eastAsia" w:ascii="宋体" w:hAnsi="宋体" w:eastAsia="宋体" w:cs="宋体"/>
          <w:sz w:val="24"/>
          <w:szCs w:val="24"/>
          <w:lang w:val="en-US" w:eastAsia="zh-CN"/>
        </w:rPr>
        <w:t>。</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③土地招拍挂情况</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2021年龙岩城区共出让16</w:t>
      </w:r>
      <w:r>
        <w:rPr>
          <w:rFonts w:hint="eastAsia" w:ascii="宋体" w:hAnsi="宋体" w:eastAsia="宋体" w:cs="宋体"/>
          <w:sz w:val="24"/>
          <w:szCs w:val="24"/>
          <w:lang w:eastAsia="zh-CN"/>
        </w:rPr>
        <w:t>宗</w:t>
      </w:r>
      <w:r>
        <w:rPr>
          <w:rFonts w:hint="eastAsia" w:ascii="宋体" w:hAnsi="宋体" w:eastAsia="宋体" w:cs="宋体"/>
          <w:sz w:val="24"/>
          <w:szCs w:val="24"/>
        </w:rPr>
        <w:t>住宅及商住用地，出让用地面积约48.68万㎡，同比2020年出让面积下降16.05%。16宗地块总成交金额约72.75亿，同比上年回落约14.58%</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bidi w:val="0"/>
        <w:snapToGrid/>
        <w:spacing w:line="400" w:lineRule="exact"/>
        <w:ind w:left="0" w:leftChars="0" w:right="0" w:rightChars="0"/>
        <w:jc w:val="both"/>
        <w:outlineLvl w:val="9"/>
        <w:rPr>
          <w:rFonts w:hint="eastAsia" w:ascii="宋体" w:hAnsi="宋体" w:cs="宋体"/>
          <w:b/>
          <w:sz w:val="28"/>
          <w:szCs w:val="28"/>
        </w:rPr>
      </w:pPr>
      <w:r>
        <w:rPr>
          <w:rFonts w:hint="eastAsia" w:ascii="宋体" w:hAnsi="宋体" w:cs="宋体"/>
          <w:b/>
          <w:sz w:val="28"/>
          <w:szCs w:val="28"/>
        </w:rPr>
        <w:t xml:space="preserve">    三、估价对象最高最佳利用分析</w:t>
      </w:r>
    </w:p>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480" w:firstLineChars="200"/>
        <w:jc w:val="both"/>
        <w:outlineLvl w:val="9"/>
        <w:rPr>
          <w:rFonts w:hint="eastAsia" w:ascii="宋体" w:hAnsi="宋体" w:cs="宋体"/>
          <w:sz w:val="24"/>
          <w:szCs w:val="24"/>
          <w:lang w:val="zh-CN"/>
        </w:rPr>
      </w:pPr>
      <w:r>
        <w:rPr>
          <w:rFonts w:hint="eastAsia" w:ascii="宋体" w:hAnsi="宋体" w:cs="宋体"/>
          <w:sz w:val="24"/>
          <w:szCs w:val="24"/>
          <w:lang w:val="zh-CN"/>
        </w:rPr>
        <w:t>最高最佳利用即房地产在法律上允许、技术上可能、财务上可行并使价值最大的合理、可能的利用，包括最佳的用途、规模、档次等，能够使估价对象的价值达到最大化的一种最可能的使用。根据对估价对象的个别因素和区位条件的分析，本次估价对象以保持现状、继续利用为估价对象的最高最佳利用为前提进行估算其价值。</w:t>
      </w:r>
    </w:p>
    <w:p>
      <w:pPr>
        <w:keepNext w:val="0"/>
        <w:keepLines w:val="0"/>
        <w:pageBreakBefore w:val="0"/>
        <w:widowControl w:val="0"/>
        <w:kinsoku/>
        <w:wordWrap/>
        <w:overflowPunct/>
        <w:topLinePunct w:val="0"/>
        <w:bidi w:val="0"/>
        <w:snapToGrid/>
        <w:spacing w:line="400" w:lineRule="exact"/>
        <w:ind w:left="0" w:leftChars="0" w:right="0" w:rightChars="0"/>
        <w:jc w:val="both"/>
        <w:outlineLvl w:val="9"/>
        <w:rPr>
          <w:rFonts w:hint="eastAsia" w:ascii="宋体" w:hAnsi="宋体" w:cs="宋体"/>
          <w:b/>
          <w:sz w:val="28"/>
          <w:szCs w:val="28"/>
        </w:rPr>
      </w:pPr>
      <w:r>
        <w:rPr>
          <w:rFonts w:hint="eastAsia" w:ascii="宋体" w:hAnsi="宋体" w:cs="宋体"/>
          <w:b/>
          <w:sz w:val="28"/>
          <w:szCs w:val="28"/>
        </w:rPr>
        <w:t xml:space="preserve">    四、估价方法适用性分析</w:t>
      </w:r>
    </w:p>
    <w:p>
      <w:pPr>
        <w:keepNext w:val="0"/>
        <w:keepLines w:val="0"/>
        <w:pageBreakBefore w:val="0"/>
        <w:widowControl w:val="0"/>
        <w:kinsoku/>
        <w:wordWrap/>
        <w:overflowPunct/>
        <w:topLinePunct w:val="0"/>
        <w:autoSpaceDE/>
        <w:autoSpaceDN/>
        <w:bidi w:val="0"/>
        <w:snapToGrid/>
        <w:spacing w:line="400" w:lineRule="exact"/>
        <w:ind w:left="0" w:leftChars="0" w:right="0" w:rightChars="0"/>
        <w:jc w:val="both"/>
        <w:outlineLvl w:val="9"/>
        <w:rPr>
          <w:rFonts w:hint="eastAsia" w:ascii="宋体" w:hAnsi="宋体" w:cs="宋体"/>
          <w:sz w:val="24"/>
          <w:szCs w:val="24"/>
          <w:lang w:val="zh-CN"/>
        </w:rPr>
      </w:pP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 xml:space="preserve"> </w:t>
      </w:r>
      <w:r>
        <w:rPr>
          <w:rFonts w:hint="eastAsia" w:ascii="宋体" w:hAnsi="宋体" w:cs="宋体"/>
          <w:sz w:val="24"/>
          <w:szCs w:val="24"/>
          <w:lang w:val="zh-CN"/>
        </w:rPr>
        <w:t>（一）不选用估价方法的理由</w:t>
      </w:r>
    </w:p>
    <w:p>
      <w:pPr>
        <w:keepNext w:val="0"/>
        <w:keepLines w:val="0"/>
        <w:pageBreakBefore w:val="0"/>
        <w:widowControl w:val="0"/>
        <w:kinsoku/>
        <w:wordWrap/>
        <w:overflowPunct/>
        <w:topLinePunct w:val="0"/>
        <w:autoSpaceDE/>
        <w:autoSpaceDN/>
        <w:bidi w:val="0"/>
        <w:snapToGrid/>
        <w:spacing w:line="400" w:lineRule="exact"/>
        <w:ind w:left="0" w:leftChars="0" w:right="0" w:rightChars="0"/>
        <w:jc w:val="both"/>
        <w:outlineLvl w:val="9"/>
        <w:rPr>
          <w:rFonts w:hint="eastAsia" w:ascii="宋体" w:hAnsi="宋体" w:cs="宋体"/>
          <w:sz w:val="24"/>
          <w:szCs w:val="24"/>
        </w:rPr>
      </w:pPr>
      <w:r>
        <w:rPr>
          <w:rFonts w:hint="eastAsia" w:ascii="宋体" w:hAnsi="宋体" w:cs="宋体"/>
          <w:sz w:val="24"/>
          <w:szCs w:val="24"/>
        </w:rPr>
        <w:t xml:space="preserve">    1、不选用成本法的理由</w:t>
      </w:r>
    </w:p>
    <w:p>
      <w:pPr>
        <w:keepNext w:val="0"/>
        <w:keepLines w:val="0"/>
        <w:pageBreakBefore w:val="0"/>
        <w:widowControl w:val="0"/>
        <w:kinsoku/>
        <w:wordWrap/>
        <w:overflowPunct/>
        <w:topLinePunct w:val="0"/>
        <w:autoSpaceDE/>
        <w:autoSpaceDN/>
        <w:bidi w:val="0"/>
        <w:snapToGrid/>
        <w:spacing w:line="400" w:lineRule="exact"/>
        <w:ind w:left="0" w:leftChars="0" w:right="0" w:rightChars="0" w:firstLine="480" w:firstLineChars="200"/>
        <w:jc w:val="both"/>
        <w:outlineLvl w:val="9"/>
        <w:rPr>
          <w:rFonts w:hint="eastAsia" w:ascii="宋体" w:hAnsi="宋体" w:cs="宋体"/>
          <w:sz w:val="24"/>
          <w:szCs w:val="24"/>
          <w:lang w:val="zh-CN"/>
        </w:rPr>
      </w:pPr>
      <w:r>
        <w:rPr>
          <w:rFonts w:hint="eastAsia" w:ascii="宋体" w:hAnsi="宋体" w:cs="宋体"/>
          <w:sz w:val="24"/>
          <w:szCs w:val="24"/>
          <w:lang w:val="zh-CN"/>
        </w:rPr>
        <w:t>虽然估价对象理论上使用成本法，但受到运用的客观条件限制，特别是现时成套住宅房地产价格主要受市场供求关系左右，成本的均衡原理已被淡化，在这种背景下，成套住宅房地产价格与开发成本的关联性弱，房地产的开发成本根本不能反映出房地产的现时的市场价格，故不适合选用成本法。</w:t>
      </w:r>
    </w:p>
    <w:p>
      <w:pPr>
        <w:keepNext w:val="0"/>
        <w:keepLines w:val="0"/>
        <w:pageBreakBefore w:val="0"/>
        <w:widowControl w:val="0"/>
        <w:numPr>
          <w:ilvl w:val="0"/>
          <w:numId w:val="11"/>
        </w:numPr>
        <w:kinsoku/>
        <w:wordWrap/>
        <w:overflowPunct/>
        <w:topLinePunct w:val="0"/>
        <w:autoSpaceDE/>
        <w:autoSpaceDN/>
        <w:bidi w:val="0"/>
        <w:snapToGrid/>
        <w:spacing w:line="400" w:lineRule="exact"/>
        <w:ind w:left="0" w:leftChars="0" w:right="0" w:rightChars="0" w:firstLine="480" w:firstLineChars="200"/>
        <w:jc w:val="both"/>
        <w:outlineLvl w:val="9"/>
        <w:rPr>
          <w:rFonts w:hint="eastAsia" w:ascii="宋体" w:hAnsi="宋体" w:cs="宋体"/>
          <w:sz w:val="24"/>
          <w:szCs w:val="24"/>
        </w:rPr>
      </w:pPr>
      <w:r>
        <w:rPr>
          <w:rFonts w:hint="eastAsia" w:ascii="宋体" w:hAnsi="宋体" w:cs="宋体"/>
          <w:sz w:val="24"/>
          <w:szCs w:val="24"/>
        </w:rPr>
        <w:t>不选用假设开发法的理由</w:t>
      </w:r>
    </w:p>
    <w:p>
      <w:pPr>
        <w:keepNext w:val="0"/>
        <w:keepLines w:val="0"/>
        <w:pageBreakBefore w:val="0"/>
        <w:widowControl w:val="0"/>
        <w:kinsoku/>
        <w:wordWrap/>
        <w:overflowPunct/>
        <w:topLinePunct w:val="0"/>
        <w:autoSpaceDE/>
        <w:autoSpaceDN/>
        <w:bidi w:val="0"/>
        <w:snapToGrid/>
        <w:spacing w:line="400" w:lineRule="exact"/>
        <w:ind w:left="0" w:leftChars="0" w:right="0" w:rightChars="0" w:firstLine="480" w:firstLineChars="200"/>
        <w:jc w:val="both"/>
        <w:outlineLvl w:val="9"/>
        <w:rPr>
          <w:rFonts w:hint="eastAsia" w:ascii="宋体" w:hAnsi="宋体" w:cs="宋体"/>
          <w:sz w:val="24"/>
          <w:szCs w:val="24"/>
          <w:lang w:val="zh-CN"/>
        </w:rPr>
      </w:pPr>
      <w:r>
        <w:rPr>
          <w:rFonts w:hint="eastAsia" w:ascii="宋体" w:hAnsi="宋体" w:cs="宋体"/>
          <w:sz w:val="24"/>
          <w:szCs w:val="24"/>
          <w:lang w:val="zh-CN"/>
        </w:rPr>
        <w:t>由于估价对象为非待开发的建设物业，不产生后续开发成本，理论上不适用假设开发法，故不适合选用假设开发法。</w:t>
      </w:r>
    </w:p>
    <w:p>
      <w:pPr>
        <w:keepNext w:val="0"/>
        <w:keepLines w:val="0"/>
        <w:pageBreakBefore w:val="0"/>
        <w:widowControl w:val="0"/>
        <w:kinsoku/>
        <w:wordWrap/>
        <w:overflowPunct/>
        <w:topLinePunct w:val="0"/>
        <w:autoSpaceDE/>
        <w:autoSpaceDN/>
        <w:bidi w:val="0"/>
        <w:snapToGrid/>
        <w:spacing w:line="400" w:lineRule="exact"/>
        <w:ind w:left="0" w:leftChars="0" w:right="0" w:rightChars="0"/>
        <w:jc w:val="both"/>
        <w:outlineLvl w:val="9"/>
        <w:rPr>
          <w:rFonts w:hint="eastAsia" w:ascii="宋体" w:hAnsi="宋体" w:cs="宋体"/>
          <w:sz w:val="24"/>
          <w:szCs w:val="24"/>
          <w:lang w:val="zh-CN"/>
        </w:rPr>
      </w:pPr>
      <w:r>
        <w:rPr>
          <w:rFonts w:hint="eastAsia" w:ascii="宋体" w:hAnsi="宋体" w:cs="宋体"/>
          <w:sz w:val="24"/>
          <w:szCs w:val="24"/>
          <w:lang w:val="en-US" w:eastAsia="zh-CN"/>
        </w:rPr>
        <w:t xml:space="preserve">   </w:t>
      </w:r>
      <w:r>
        <w:rPr>
          <w:rFonts w:hint="eastAsia" w:ascii="宋体" w:hAnsi="宋体" w:cs="宋体"/>
          <w:sz w:val="24"/>
          <w:szCs w:val="24"/>
          <w:lang w:val="zh-CN"/>
        </w:rPr>
        <w:t>（二）估价方法的选用及理由</w:t>
      </w:r>
    </w:p>
    <w:p>
      <w:pPr>
        <w:pStyle w:val="17"/>
        <w:keepNext w:val="0"/>
        <w:keepLines w:val="0"/>
        <w:pageBreakBefore w:val="0"/>
        <w:widowControl w:val="0"/>
        <w:kinsoku/>
        <w:wordWrap/>
        <w:overflowPunct/>
        <w:topLinePunct w:val="0"/>
        <w:autoSpaceDE/>
        <w:autoSpaceDN/>
        <w:bidi w:val="0"/>
        <w:snapToGrid/>
        <w:spacing w:line="400" w:lineRule="exact"/>
        <w:ind w:left="0" w:leftChars="0" w:right="0" w:rightChars="0"/>
        <w:jc w:val="both"/>
        <w:outlineLvl w:val="9"/>
        <w:rPr>
          <w:rFonts w:hint="eastAsia" w:ascii="宋体" w:hAnsi="宋体" w:eastAsia="宋体" w:cs="宋体"/>
          <w:szCs w:val="24"/>
        </w:rPr>
      </w:pPr>
      <w:bookmarkStart w:id="12" w:name="OLE_LINK48"/>
      <w:r>
        <w:rPr>
          <w:rFonts w:hint="eastAsia" w:ascii="宋体" w:hAnsi="宋体" w:eastAsia="宋体" w:cs="宋体"/>
          <w:szCs w:val="24"/>
        </w:rPr>
        <w:t>1、选用比较法的理由</w:t>
      </w:r>
    </w:p>
    <w:p>
      <w:pPr>
        <w:pStyle w:val="17"/>
        <w:keepNext w:val="0"/>
        <w:keepLines w:val="0"/>
        <w:pageBreakBefore w:val="0"/>
        <w:widowControl w:val="0"/>
        <w:kinsoku/>
        <w:wordWrap/>
        <w:overflowPunct/>
        <w:topLinePunct w:val="0"/>
        <w:autoSpaceDE/>
        <w:autoSpaceDN/>
        <w:bidi w:val="0"/>
        <w:snapToGrid/>
        <w:spacing w:line="400" w:lineRule="exact"/>
        <w:ind w:left="0" w:leftChars="0" w:right="0" w:rightChars="0"/>
        <w:jc w:val="both"/>
        <w:outlineLvl w:val="9"/>
        <w:rPr>
          <w:rFonts w:hint="eastAsia" w:ascii="宋体" w:hAnsi="宋体" w:eastAsia="宋体" w:cs="宋体"/>
          <w:szCs w:val="24"/>
        </w:rPr>
      </w:pPr>
      <w:r>
        <w:rPr>
          <w:rFonts w:hint="eastAsia" w:ascii="宋体" w:hAnsi="宋体" w:eastAsia="宋体" w:cs="宋体"/>
          <w:szCs w:val="24"/>
        </w:rPr>
        <w:t>比较法适用的对象是同类房地产数量较多、经常发生交易且具有一定可比性的房地产，估价对象为</w:t>
      </w:r>
      <w:r>
        <w:rPr>
          <w:rFonts w:hint="eastAsia" w:ascii="宋体" w:hAnsi="宋体" w:eastAsia="宋体" w:cs="宋体"/>
          <w:szCs w:val="24"/>
          <w:lang w:eastAsia="zh-CN"/>
        </w:rPr>
        <w:t>成套住宅</w:t>
      </w:r>
      <w:r>
        <w:rPr>
          <w:rFonts w:hint="eastAsia" w:ascii="宋体" w:hAnsi="宋体" w:eastAsia="宋体" w:cs="宋体"/>
          <w:szCs w:val="24"/>
        </w:rPr>
        <w:t>，在价值时点的近期有较多的同类或类似房地产交易，故可采用比较法。</w:t>
      </w:r>
      <w:bookmarkEnd w:id="12"/>
    </w:p>
    <w:p>
      <w:pPr>
        <w:pStyle w:val="17"/>
        <w:keepNext w:val="0"/>
        <w:keepLines w:val="0"/>
        <w:pageBreakBefore w:val="0"/>
        <w:widowControl w:val="0"/>
        <w:numPr>
          <w:ilvl w:val="0"/>
          <w:numId w:val="12"/>
        </w:numPr>
        <w:kinsoku/>
        <w:wordWrap/>
        <w:overflowPunct/>
        <w:topLinePunct w:val="0"/>
        <w:autoSpaceDE/>
        <w:autoSpaceDN/>
        <w:bidi w:val="0"/>
        <w:snapToGrid/>
        <w:spacing w:line="400" w:lineRule="exact"/>
        <w:ind w:left="0" w:leftChars="0" w:right="0" w:rightChars="0"/>
        <w:jc w:val="both"/>
        <w:outlineLvl w:val="9"/>
        <w:rPr>
          <w:rFonts w:hint="eastAsia" w:ascii="宋体" w:hAnsi="宋体" w:eastAsia="宋体" w:cs="宋体"/>
          <w:szCs w:val="24"/>
        </w:rPr>
      </w:pPr>
      <w:r>
        <w:rPr>
          <w:rFonts w:hint="eastAsia" w:ascii="宋体" w:hAnsi="宋体" w:eastAsia="宋体" w:cs="宋体"/>
          <w:szCs w:val="24"/>
        </w:rPr>
        <w:t>选用收益法的理由</w:t>
      </w:r>
    </w:p>
    <w:p>
      <w:pPr>
        <w:pStyle w:val="17"/>
        <w:keepNext w:val="0"/>
        <w:keepLines w:val="0"/>
        <w:pageBreakBefore w:val="0"/>
        <w:widowControl w:val="0"/>
        <w:kinsoku/>
        <w:wordWrap/>
        <w:overflowPunct/>
        <w:topLinePunct w:val="0"/>
        <w:autoSpaceDE/>
        <w:autoSpaceDN/>
        <w:bidi w:val="0"/>
        <w:snapToGrid/>
        <w:spacing w:line="400" w:lineRule="exact"/>
        <w:ind w:left="0" w:leftChars="0" w:right="0" w:rightChars="0"/>
        <w:jc w:val="both"/>
        <w:outlineLvl w:val="9"/>
        <w:rPr>
          <w:rFonts w:hint="eastAsia" w:ascii="宋体" w:hAnsi="宋体" w:eastAsia="宋体" w:cs="宋体"/>
          <w:szCs w:val="24"/>
        </w:rPr>
      </w:pPr>
      <w:r>
        <w:rPr>
          <w:rFonts w:hint="eastAsia" w:ascii="宋体" w:hAnsi="宋体" w:eastAsia="宋体" w:cs="宋体"/>
          <w:szCs w:val="24"/>
        </w:rPr>
        <w:t>收益法适用的对象是估价对象或其同类房地产通常有租金等经济收入的收益性房地产，估价对象有潜在的收益，且类似房地产在价值时点的近期有较多的租金收益可比实例，故可采用收益法。</w:t>
      </w:r>
    </w:p>
    <w:p>
      <w:pPr>
        <w:pStyle w:val="17"/>
        <w:keepNext w:val="0"/>
        <w:keepLines w:val="0"/>
        <w:pageBreakBefore w:val="0"/>
        <w:widowControl w:val="0"/>
        <w:kinsoku/>
        <w:wordWrap/>
        <w:overflowPunct/>
        <w:topLinePunct w:val="0"/>
        <w:autoSpaceDE/>
        <w:autoSpaceDN/>
        <w:bidi w:val="0"/>
        <w:snapToGrid/>
        <w:spacing w:line="400" w:lineRule="exact"/>
        <w:ind w:left="0" w:leftChars="0" w:right="0" w:rightChars="0" w:firstLine="0"/>
        <w:jc w:val="both"/>
        <w:outlineLvl w:val="9"/>
        <w:rPr>
          <w:rFonts w:hint="eastAsia" w:ascii="宋体" w:hAnsi="宋体" w:eastAsia="宋体" w:cs="宋体"/>
          <w:szCs w:val="24"/>
          <w:lang w:val="zh-CN"/>
        </w:rPr>
      </w:pPr>
      <w:r>
        <w:rPr>
          <w:rFonts w:hint="eastAsia" w:ascii="宋体" w:hAnsi="宋体" w:eastAsia="宋体" w:cs="宋体"/>
          <w:szCs w:val="24"/>
        </w:rPr>
        <w:t xml:space="preserve">   （三）</w:t>
      </w:r>
      <w:r>
        <w:rPr>
          <w:rFonts w:hint="eastAsia" w:ascii="宋体" w:hAnsi="宋体" w:eastAsia="宋体" w:cs="宋体"/>
          <w:szCs w:val="24"/>
          <w:lang w:val="zh-CN"/>
        </w:rPr>
        <w:t>估价技术路线</w:t>
      </w:r>
    </w:p>
    <w:p>
      <w:pPr>
        <w:pStyle w:val="17"/>
        <w:keepNext w:val="0"/>
        <w:keepLines w:val="0"/>
        <w:pageBreakBefore w:val="0"/>
        <w:widowControl w:val="0"/>
        <w:kinsoku/>
        <w:wordWrap/>
        <w:overflowPunct/>
        <w:topLinePunct w:val="0"/>
        <w:autoSpaceDE/>
        <w:autoSpaceDN/>
        <w:bidi w:val="0"/>
        <w:snapToGrid/>
        <w:spacing w:line="400" w:lineRule="exact"/>
        <w:ind w:left="0" w:leftChars="0" w:right="0" w:rightChars="0" w:firstLine="0"/>
        <w:jc w:val="both"/>
        <w:outlineLvl w:val="9"/>
        <w:rPr>
          <w:rFonts w:hint="eastAsia" w:ascii="宋体" w:hAnsi="宋体" w:eastAsia="宋体" w:cs="宋体"/>
          <w:szCs w:val="24"/>
        </w:rPr>
      </w:pPr>
      <w:r>
        <w:rPr>
          <w:rFonts w:hint="eastAsia" w:ascii="宋体" w:hAnsi="宋体" w:eastAsia="宋体" w:cs="宋体"/>
          <w:szCs w:val="24"/>
        </w:rPr>
        <w:t xml:space="preserve"> </w:t>
      </w:r>
      <w:r>
        <w:rPr>
          <w:rFonts w:hint="eastAsia" w:ascii="宋体" w:hAnsi="宋体" w:eastAsia="宋体" w:cs="宋体"/>
          <w:szCs w:val="24"/>
          <w:lang w:val="en-US" w:eastAsia="zh-CN"/>
        </w:rPr>
        <w:t xml:space="preserve"> </w:t>
      </w:r>
      <w:r>
        <w:rPr>
          <w:rFonts w:hint="eastAsia" w:ascii="宋体" w:hAnsi="宋体" w:eastAsia="宋体" w:cs="宋体"/>
          <w:szCs w:val="24"/>
        </w:rPr>
        <w:t xml:space="preserve">  1、比较法估价</w:t>
      </w:r>
    </w:p>
    <w:p>
      <w:pPr>
        <w:pStyle w:val="17"/>
        <w:keepNext w:val="0"/>
        <w:keepLines w:val="0"/>
        <w:pageBreakBefore w:val="0"/>
        <w:widowControl w:val="0"/>
        <w:kinsoku/>
        <w:wordWrap/>
        <w:overflowPunct/>
        <w:topLinePunct w:val="0"/>
        <w:autoSpaceDE/>
        <w:autoSpaceDN/>
        <w:bidi w:val="0"/>
        <w:snapToGrid/>
        <w:spacing w:line="400" w:lineRule="exact"/>
        <w:ind w:left="0" w:leftChars="0" w:right="0" w:rightChars="0" w:firstLine="0"/>
        <w:jc w:val="both"/>
        <w:outlineLvl w:val="9"/>
        <w:rPr>
          <w:rFonts w:hint="eastAsia" w:ascii="宋体" w:hAnsi="宋体" w:eastAsia="宋体" w:cs="宋体"/>
          <w:szCs w:val="24"/>
        </w:rPr>
      </w:pPr>
      <w:r>
        <w:rPr>
          <w:rFonts w:hint="eastAsia" w:ascii="宋体" w:hAnsi="宋体" w:eastAsia="宋体" w:cs="宋体"/>
          <w:szCs w:val="24"/>
        </w:rPr>
        <w:t xml:space="preserve">   （1）搜集交易实例；</w:t>
      </w:r>
    </w:p>
    <w:p>
      <w:pPr>
        <w:pStyle w:val="17"/>
        <w:keepNext w:val="0"/>
        <w:keepLines w:val="0"/>
        <w:pageBreakBefore w:val="0"/>
        <w:widowControl w:val="0"/>
        <w:kinsoku/>
        <w:wordWrap/>
        <w:overflowPunct/>
        <w:topLinePunct w:val="0"/>
        <w:autoSpaceDE/>
        <w:autoSpaceDN/>
        <w:bidi w:val="0"/>
        <w:snapToGrid/>
        <w:spacing w:line="400" w:lineRule="exact"/>
        <w:ind w:left="0" w:leftChars="0" w:right="0" w:rightChars="0" w:firstLine="0"/>
        <w:jc w:val="both"/>
        <w:outlineLvl w:val="9"/>
        <w:rPr>
          <w:rFonts w:hint="eastAsia" w:ascii="宋体" w:hAnsi="宋体" w:eastAsia="宋体" w:cs="宋体"/>
          <w:szCs w:val="24"/>
        </w:rPr>
      </w:pPr>
      <w:r>
        <w:rPr>
          <w:rFonts w:hint="eastAsia" w:ascii="宋体" w:hAnsi="宋体" w:eastAsia="宋体" w:cs="宋体"/>
          <w:szCs w:val="24"/>
        </w:rPr>
        <w:t xml:space="preserve">   （2）选取3个可比实例；</w:t>
      </w:r>
    </w:p>
    <w:p>
      <w:pPr>
        <w:pStyle w:val="17"/>
        <w:keepNext w:val="0"/>
        <w:keepLines w:val="0"/>
        <w:pageBreakBefore w:val="0"/>
        <w:widowControl w:val="0"/>
        <w:kinsoku/>
        <w:wordWrap/>
        <w:overflowPunct/>
        <w:topLinePunct w:val="0"/>
        <w:autoSpaceDE/>
        <w:autoSpaceDN/>
        <w:bidi w:val="0"/>
        <w:snapToGrid/>
        <w:spacing w:line="400" w:lineRule="exact"/>
        <w:ind w:left="0" w:leftChars="0" w:right="0" w:rightChars="0" w:firstLine="0"/>
        <w:jc w:val="both"/>
        <w:outlineLvl w:val="9"/>
        <w:rPr>
          <w:rFonts w:hint="eastAsia" w:ascii="宋体" w:hAnsi="宋体" w:eastAsia="宋体" w:cs="宋体"/>
          <w:szCs w:val="24"/>
        </w:rPr>
      </w:pPr>
      <w:r>
        <w:rPr>
          <w:rFonts w:hint="eastAsia" w:ascii="宋体" w:hAnsi="宋体" w:eastAsia="宋体" w:cs="宋体"/>
          <w:szCs w:val="24"/>
        </w:rPr>
        <w:t xml:space="preserve">   （3）对可比实例的实际成交价格进行适当处理；</w:t>
      </w:r>
    </w:p>
    <w:p>
      <w:pPr>
        <w:pStyle w:val="17"/>
        <w:keepNext w:val="0"/>
        <w:keepLines w:val="0"/>
        <w:pageBreakBefore w:val="0"/>
        <w:widowControl w:val="0"/>
        <w:kinsoku/>
        <w:wordWrap/>
        <w:overflowPunct/>
        <w:topLinePunct w:val="0"/>
        <w:autoSpaceDE/>
        <w:autoSpaceDN/>
        <w:bidi w:val="0"/>
        <w:snapToGrid/>
        <w:spacing w:line="400" w:lineRule="exact"/>
        <w:ind w:left="0" w:leftChars="0" w:right="0" w:rightChars="0" w:firstLine="0"/>
        <w:jc w:val="both"/>
        <w:outlineLvl w:val="9"/>
        <w:rPr>
          <w:rFonts w:hint="eastAsia" w:ascii="宋体" w:hAnsi="宋体" w:eastAsia="宋体" w:cs="宋体"/>
          <w:szCs w:val="24"/>
        </w:rPr>
      </w:pPr>
      <w:r>
        <w:rPr>
          <w:rFonts w:hint="eastAsia" w:ascii="宋体" w:hAnsi="宋体" w:eastAsia="宋体" w:cs="宋体"/>
          <w:szCs w:val="24"/>
        </w:rPr>
        <w:t xml:space="preserve">   （4）求取比准单价。</w:t>
      </w:r>
    </w:p>
    <w:p>
      <w:pPr>
        <w:pStyle w:val="17"/>
        <w:keepNext w:val="0"/>
        <w:keepLines w:val="0"/>
        <w:pageBreakBefore w:val="0"/>
        <w:widowControl w:val="0"/>
        <w:kinsoku/>
        <w:wordWrap/>
        <w:overflowPunct/>
        <w:topLinePunct w:val="0"/>
        <w:autoSpaceDE/>
        <w:autoSpaceDN/>
        <w:bidi w:val="0"/>
        <w:snapToGrid/>
        <w:spacing w:line="400" w:lineRule="exact"/>
        <w:ind w:left="0" w:leftChars="0" w:right="0" w:rightChars="0" w:firstLine="480"/>
        <w:jc w:val="both"/>
        <w:outlineLvl w:val="9"/>
        <w:rPr>
          <w:rFonts w:hint="eastAsia" w:ascii="宋体" w:hAnsi="宋体" w:eastAsia="宋体" w:cs="宋体"/>
          <w:szCs w:val="24"/>
        </w:rPr>
      </w:pPr>
      <w:r>
        <w:rPr>
          <w:rFonts w:hint="eastAsia" w:ascii="宋体" w:hAnsi="宋体" w:eastAsia="宋体" w:cs="宋体"/>
          <w:szCs w:val="24"/>
        </w:rPr>
        <w:t>2、</w:t>
      </w:r>
      <w:r>
        <w:rPr>
          <w:rFonts w:hint="eastAsia" w:ascii="宋体" w:hAnsi="宋体" w:eastAsia="宋体" w:cs="宋体"/>
          <w:szCs w:val="24"/>
          <w:lang w:eastAsia="zh-CN"/>
        </w:rPr>
        <w:t>收益法估</w:t>
      </w:r>
      <w:r>
        <w:rPr>
          <w:rFonts w:hint="eastAsia" w:ascii="宋体" w:hAnsi="宋体" w:eastAsia="宋体" w:cs="宋体"/>
          <w:szCs w:val="24"/>
        </w:rPr>
        <w:t>价</w:t>
      </w:r>
    </w:p>
    <w:p>
      <w:pPr>
        <w:pStyle w:val="17"/>
        <w:keepNext w:val="0"/>
        <w:keepLines w:val="0"/>
        <w:pageBreakBefore w:val="0"/>
        <w:widowControl w:val="0"/>
        <w:kinsoku/>
        <w:wordWrap/>
        <w:overflowPunct/>
        <w:topLinePunct w:val="0"/>
        <w:autoSpaceDE/>
        <w:autoSpaceDN/>
        <w:bidi w:val="0"/>
        <w:snapToGrid/>
        <w:spacing w:line="400" w:lineRule="exact"/>
        <w:ind w:left="0" w:leftChars="0" w:right="0" w:rightChars="0" w:firstLine="0"/>
        <w:jc w:val="both"/>
        <w:outlineLvl w:val="9"/>
        <w:rPr>
          <w:rFonts w:hint="eastAsia" w:ascii="宋体" w:hAnsi="宋体" w:eastAsia="宋体" w:cs="宋体"/>
          <w:szCs w:val="24"/>
        </w:rPr>
      </w:pPr>
      <w:r>
        <w:rPr>
          <w:rFonts w:hint="eastAsia" w:ascii="宋体" w:hAnsi="宋体" w:eastAsia="宋体" w:cs="宋体"/>
          <w:szCs w:val="24"/>
        </w:rPr>
        <w:t xml:space="preserve">   （1）选用报酬资本化法，并选用全剩余模式；</w:t>
      </w:r>
    </w:p>
    <w:p>
      <w:pPr>
        <w:pStyle w:val="17"/>
        <w:keepNext w:val="0"/>
        <w:keepLines w:val="0"/>
        <w:pageBreakBefore w:val="0"/>
        <w:widowControl w:val="0"/>
        <w:kinsoku/>
        <w:wordWrap/>
        <w:overflowPunct/>
        <w:topLinePunct w:val="0"/>
        <w:autoSpaceDE/>
        <w:autoSpaceDN/>
        <w:bidi w:val="0"/>
        <w:snapToGrid/>
        <w:spacing w:line="400" w:lineRule="exact"/>
        <w:ind w:left="0" w:leftChars="0" w:right="0" w:rightChars="0" w:firstLine="0"/>
        <w:jc w:val="both"/>
        <w:outlineLvl w:val="9"/>
        <w:rPr>
          <w:rFonts w:hint="eastAsia" w:ascii="宋体" w:hAnsi="宋体" w:eastAsia="宋体" w:cs="宋体"/>
          <w:szCs w:val="24"/>
        </w:rPr>
      </w:pPr>
      <w:r>
        <w:rPr>
          <w:rFonts w:hint="eastAsia" w:ascii="宋体" w:hAnsi="宋体" w:eastAsia="宋体" w:cs="宋体"/>
          <w:szCs w:val="24"/>
        </w:rPr>
        <w:t xml:space="preserve">   （2）</w:t>
      </w:r>
      <w:r>
        <w:rPr>
          <w:rFonts w:hint="eastAsia" w:ascii="宋体" w:hAnsi="宋体" w:eastAsia="宋体" w:cs="宋体"/>
          <w:szCs w:val="24"/>
          <w:lang w:eastAsia="zh-CN"/>
        </w:rPr>
        <w:t>根据对估价对象周围类似房地产目前的租金行情进行调查</w:t>
      </w:r>
      <w:r>
        <w:rPr>
          <w:rFonts w:hint="eastAsia" w:ascii="宋体" w:hAnsi="宋体" w:eastAsia="宋体" w:cs="宋体"/>
          <w:szCs w:val="24"/>
        </w:rPr>
        <w:t>，</w:t>
      </w:r>
      <w:r>
        <w:rPr>
          <w:rFonts w:hint="eastAsia" w:ascii="宋体" w:hAnsi="宋体" w:eastAsia="宋体" w:cs="宋体"/>
          <w:szCs w:val="24"/>
          <w:lang w:eastAsia="zh-CN"/>
        </w:rPr>
        <w:t>确定估价对象的</w:t>
      </w:r>
      <w:r>
        <w:rPr>
          <w:rFonts w:hint="eastAsia" w:ascii="宋体" w:hAnsi="宋体" w:eastAsia="宋体" w:cs="宋体"/>
          <w:szCs w:val="24"/>
        </w:rPr>
        <w:t>市场租金，进而求得估价对象价值时点未来第一年的有效毛收入；</w:t>
      </w:r>
    </w:p>
    <w:p>
      <w:pPr>
        <w:pStyle w:val="17"/>
        <w:keepNext w:val="0"/>
        <w:keepLines w:val="0"/>
        <w:pageBreakBefore w:val="0"/>
        <w:widowControl w:val="0"/>
        <w:kinsoku/>
        <w:wordWrap/>
        <w:overflowPunct/>
        <w:topLinePunct w:val="0"/>
        <w:autoSpaceDE/>
        <w:autoSpaceDN/>
        <w:bidi w:val="0"/>
        <w:snapToGrid/>
        <w:spacing w:line="400" w:lineRule="exact"/>
        <w:ind w:left="0" w:leftChars="0" w:right="0" w:rightChars="0" w:firstLine="0" w:firstLineChars="0"/>
        <w:jc w:val="both"/>
        <w:outlineLvl w:val="9"/>
        <w:rPr>
          <w:rFonts w:hint="eastAsia" w:ascii="宋体" w:hAnsi="宋体" w:eastAsia="宋体" w:cs="宋体"/>
          <w:szCs w:val="24"/>
        </w:rPr>
      </w:pPr>
      <w:r>
        <w:rPr>
          <w:rFonts w:hint="eastAsia" w:ascii="宋体" w:hAnsi="宋体" w:eastAsia="宋体" w:cs="宋体"/>
          <w:szCs w:val="24"/>
          <w:lang w:val="en-US" w:eastAsia="zh-CN"/>
        </w:rPr>
        <w:t xml:space="preserve">   </w:t>
      </w:r>
      <w:r>
        <w:rPr>
          <w:rFonts w:hint="eastAsia" w:ascii="宋体" w:hAnsi="宋体" w:eastAsia="宋体" w:cs="宋体"/>
          <w:szCs w:val="24"/>
        </w:rPr>
        <w:t>（3）求取年运营费用，确定报酬率，求得未来第一年的净收益；</w:t>
      </w:r>
    </w:p>
    <w:p>
      <w:pPr>
        <w:pStyle w:val="17"/>
        <w:keepNext w:val="0"/>
        <w:keepLines w:val="0"/>
        <w:pageBreakBefore w:val="0"/>
        <w:widowControl w:val="0"/>
        <w:kinsoku/>
        <w:wordWrap/>
        <w:overflowPunct/>
        <w:topLinePunct w:val="0"/>
        <w:autoSpaceDE/>
        <w:autoSpaceDN/>
        <w:bidi w:val="0"/>
        <w:snapToGrid/>
        <w:spacing w:line="400" w:lineRule="exact"/>
        <w:ind w:left="0" w:leftChars="0" w:right="0" w:rightChars="0" w:firstLine="0" w:firstLineChars="0"/>
        <w:jc w:val="both"/>
        <w:outlineLvl w:val="9"/>
        <w:rPr>
          <w:rFonts w:hint="eastAsia" w:ascii="宋体" w:hAnsi="宋体" w:eastAsia="宋体" w:cs="宋体"/>
          <w:szCs w:val="24"/>
        </w:rPr>
      </w:pPr>
      <w:r>
        <w:rPr>
          <w:rFonts w:hint="eastAsia" w:ascii="宋体" w:hAnsi="宋体" w:eastAsia="宋体" w:cs="宋体"/>
          <w:szCs w:val="24"/>
          <w:lang w:val="en-US" w:eastAsia="zh-CN"/>
        </w:rPr>
        <w:t xml:space="preserve">   </w:t>
      </w:r>
      <w:r>
        <w:rPr>
          <w:rFonts w:hint="eastAsia" w:ascii="宋体" w:hAnsi="宋体" w:eastAsia="宋体" w:cs="宋体"/>
          <w:szCs w:val="24"/>
        </w:rPr>
        <w:t>（4）根据净收益每年比上年递增率；</w:t>
      </w:r>
    </w:p>
    <w:p>
      <w:pPr>
        <w:pStyle w:val="17"/>
        <w:keepNext w:val="0"/>
        <w:keepLines w:val="0"/>
        <w:pageBreakBefore w:val="0"/>
        <w:widowControl w:val="0"/>
        <w:kinsoku/>
        <w:wordWrap/>
        <w:overflowPunct/>
        <w:topLinePunct w:val="0"/>
        <w:autoSpaceDE/>
        <w:autoSpaceDN/>
        <w:bidi w:val="0"/>
        <w:snapToGrid/>
        <w:spacing w:line="400" w:lineRule="exact"/>
        <w:ind w:left="0" w:leftChars="0" w:right="0" w:rightChars="0" w:firstLine="0" w:firstLineChars="0"/>
        <w:jc w:val="both"/>
        <w:outlineLvl w:val="9"/>
        <w:rPr>
          <w:rFonts w:hint="eastAsia" w:ascii="宋体" w:hAnsi="宋体" w:eastAsia="宋体" w:cs="宋体"/>
          <w:szCs w:val="24"/>
        </w:rPr>
      </w:pPr>
      <w:r>
        <w:rPr>
          <w:rFonts w:hint="eastAsia" w:ascii="宋体" w:hAnsi="宋体" w:eastAsia="宋体" w:cs="宋体"/>
          <w:szCs w:val="24"/>
          <w:lang w:val="en-US" w:eastAsia="zh-CN"/>
        </w:rPr>
        <w:t xml:space="preserve">   </w:t>
      </w:r>
      <w:r>
        <w:rPr>
          <w:rFonts w:hint="eastAsia" w:ascii="宋体" w:hAnsi="宋体" w:eastAsia="宋体" w:cs="宋体"/>
          <w:szCs w:val="24"/>
        </w:rPr>
        <w:t>（5）根据剩余使用年限和建筑物的有效剩余年限（两者取其低者）确定收益年限；</w:t>
      </w:r>
    </w:p>
    <w:p>
      <w:pPr>
        <w:pStyle w:val="17"/>
        <w:keepNext w:val="0"/>
        <w:keepLines w:val="0"/>
        <w:pageBreakBefore w:val="0"/>
        <w:widowControl w:val="0"/>
        <w:kinsoku/>
        <w:wordWrap/>
        <w:overflowPunct/>
        <w:topLinePunct w:val="0"/>
        <w:autoSpaceDE/>
        <w:autoSpaceDN/>
        <w:bidi w:val="0"/>
        <w:snapToGrid/>
        <w:spacing w:line="400" w:lineRule="exact"/>
        <w:ind w:left="0" w:leftChars="0" w:right="0" w:rightChars="0" w:firstLine="0" w:firstLineChars="0"/>
        <w:jc w:val="both"/>
        <w:outlineLvl w:val="9"/>
        <w:rPr>
          <w:rFonts w:hint="eastAsia" w:ascii="宋体" w:hAnsi="宋体" w:eastAsia="宋体" w:cs="宋体"/>
          <w:szCs w:val="24"/>
          <w:lang w:eastAsia="zh-CN"/>
        </w:rPr>
      </w:pPr>
      <w:r>
        <w:rPr>
          <w:rFonts w:hint="eastAsia" w:ascii="宋体" w:hAnsi="宋体" w:eastAsia="宋体" w:cs="宋体"/>
          <w:szCs w:val="24"/>
          <w:lang w:val="en-US" w:eastAsia="zh-CN"/>
        </w:rPr>
        <w:t xml:space="preserve">   </w:t>
      </w:r>
      <w:r>
        <w:rPr>
          <w:rFonts w:hint="eastAsia" w:ascii="宋体" w:hAnsi="宋体" w:eastAsia="宋体" w:cs="宋体"/>
          <w:szCs w:val="24"/>
        </w:rPr>
        <w:t>（</w:t>
      </w:r>
      <w:r>
        <w:rPr>
          <w:rFonts w:hint="eastAsia" w:ascii="宋体" w:hAnsi="宋体" w:eastAsia="宋体" w:cs="宋体"/>
          <w:szCs w:val="24"/>
          <w:lang w:val="en-US" w:eastAsia="zh-CN"/>
        </w:rPr>
        <w:t>6</w:t>
      </w:r>
      <w:r>
        <w:rPr>
          <w:rFonts w:hint="eastAsia" w:ascii="宋体" w:hAnsi="宋体" w:eastAsia="宋体" w:cs="宋体"/>
          <w:szCs w:val="24"/>
        </w:rPr>
        <w:t>）求取估价对象的收益价值</w:t>
      </w:r>
      <w:r>
        <w:rPr>
          <w:rFonts w:hint="eastAsia" w:ascii="宋体" w:hAnsi="宋体" w:eastAsia="宋体" w:cs="宋体"/>
          <w:szCs w:val="24"/>
          <w:lang w:eastAsia="zh-CN"/>
        </w:rPr>
        <w:t>。</w:t>
      </w:r>
    </w:p>
    <w:p>
      <w:pPr>
        <w:pStyle w:val="17"/>
        <w:keepNext w:val="0"/>
        <w:keepLines w:val="0"/>
        <w:pageBreakBefore w:val="0"/>
        <w:widowControl w:val="0"/>
        <w:kinsoku/>
        <w:wordWrap/>
        <w:overflowPunct/>
        <w:topLinePunct w:val="0"/>
        <w:autoSpaceDE/>
        <w:autoSpaceDN/>
        <w:bidi w:val="0"/>
        <w:snapToGrid/>
        <w:spacing w:line="400" w:lineRule="exact"/>
        <w:ind w:left="0" w:leftChars="0" w:right="0" w:rightChars="0" w:firstLine="480"/>
        <w:jc w:val="both"/>
        <w:outlineLvl w:val="9"/>
        <w:rPr>
          <w:rFonts w:hint="eastAsia" w:ascii="宋体" w:hAnsi="宋体" w:eastAsia="宋体" w:cs="宋体"/>
          <w:szCs w:val="24"/>
          <w:lang w:val="en-US" w:eastAsia="zh-CN"/>
        </w:rPr>
      </w:pPr>
      <w:r>
        <w:rPr>
          <w:rFonts w:hint="eastAsia" w:ascii="宋体" w:hAnsi="宋体" w:eastAsia="宋体" w:cs="宋体"/>
          <w:szCs w:val="24"/>
          <w:lang w:val="en-US" w:eastAsia="zh-CN"/>
        </w:rPr>
        <w:t>3、确定估价结果</w:t>
      </w:r>
    </w:p>
    <w:p>
      <w:pPr>
        <w:pStyle w:val="17"/>
        <w:keepNext w:val="0"/>
        <w:keepLines w:val="0"/>
        <w:pageBreakBefore w:val="0"/>
        <w:widowControl w:val="0"/>
        <w:kinsoku/>
        <w:wordWrap/>
        <w:overflowPunct/>
        <w:topLinePunct w:val="0"/>
        <w:autoSpaceDE/>
        <w:autoSpaceDN/>
        <w:bidi w:val="0"/>
        <w:snapToGrid/>
        <w:spacing w:line="400" w:lineRule="exact"/>
        <w:ind w:left="0" w:leftChars="0" w:right="0" w:rightChars="0" w:firstLine="0" w:firstLineChars="0"/>
        <w:jc w:val="both"/>
        <w:outlineLvl w:val="9"/>
        <w:rPr>
          <w:rFonts w:hint="eastAsia" w:ascii="宋体" w:hAnsi="宋体" w:eastAsia="宋体" w:cs="宋体"/>
          <w:szCs w:val="24"/>
          <w:lang w:val="en-US" w:eastAsia="zh-CN"/>
        </w:rPr>
      </w:pPr>
      <w:r>
        <w:rPr>
          <w:rFonts w:hint="eastAsia" w:ascii="宋体" w:hAnsi="宋体" w:eastAsia="宋体" w:cs="宋体"/>
          <w:szCs w:val="24"/>
          <w:lang w:val="en-US" w:eastAsia="zh-CN"/>
        </w:rPr>
        <w:t xml:space="preserve">   （1）综合比较法与收益法的评估单价求取估价对象的市场价值。</w:t>
      </w:r>
    </w:p>
    <w:p>
      <w:pPr>
        <w:pStyle w:val="17"/>
        <w:keepNext w:val="0"/>
        <w:keepLines w:val="0"/>
        <w:pageBreakBefore w:val="0"/>
        <w:widowControl w:val="0"/>
        <w:kinsoku/>
        <w:wordWrap/>
        <w:overflowPunct/>
        <w:topLinePunct w:val="0"/>
        <w:autoSpaceDE/>
        <w:autoSpaceDN/>
        <w:bidi w:val="0"/>
        <w:snapToGrid/>
        <w:spacing w:line="400" w:lineRule="exact"/>
        <w:ind w:left="0" w:leftChars="0" w:right="0" w:rightChars="0" w:firstLine="0" w:firstLineChars="0"/>
        <w:jc w:val="both"/>
        <w:outlineLvl w:val="9"/>
        <w:rPr>
          <w:rFonts w:hint="eastAsia" w:ascii="宋体" w:hAnsi="宋体" w:eastAsia="宋体" w:cs="宋体"/>
          <w:szCs w:val="24"/>
          <w:lang w:val="en-US" w:eastAsia="zh-CN"/>
        </w:rPr>
      </w:pPr>
      <w:r>
        <w:rPr>
          <w:rFonts w:hint="eastAsia" w:ascii="宋体" w:hAnsi="宋体" w:eastAsia="宋体" w:cs="宋体"/>
          <w:szCs w:val="24"/>
          <w:lang w:val="en-US" w:eastAsia="zh-CN"/>
        </w:rPr>
        <w:t xml:space="preserve">   （2）扣除原房屋所有权人应承担的相关税费及费用</w:t>
      </w:r>
    </w:p>
    <w:p>
      <w:pPr>
        <w:pStyle w:val="17"/>
        <w:keepNext w:val="0"/>
        <w:keepLines w:val="0"/>
        <w:pageBreakBefore w:val="0"/>
        <w:widowControl w:val="0"/>
        <w:kinsoku/>
        <w:wordWrap/>
        <w:overflowPunct/>
        <w:topLinePunct w:val="0"/>
        <w:autoSpaceDE/>
        <w:autoSpaceDN/>
        <w:bidi w:val="0"/>
        <w:snapToGrid/>
        <w:spacing w:line="400" w:lineRule="exact"/>
        <w:ind w:left="0" w:leftChars="0" w:right="0" w:rightChars="0" w:firstLine="0" w:firstLineChars="0"/>
        <w:jc w:val="both"/>
        <w:outlineLvl w:val="9"/>
        <w:rPr>
          <w:rFonts w:hint="eastAsia" w:ascii="宋体" w:hAnsi="宋体" w:eastAsia="宋体" w:cs="宋体"/>
          <w:szCs w:val="24"/>
        </w:rPr>
      </w:pPr>
      <w:r>
        <w:rPr>
          <w:rFonts w:hint="eastAsia" w:ascii="宋体" w:hAnsi="宋体" w:eastAsia="宋体" w:cs="宋体"/>
          <w:szCs w:val="24"/>
          <w:lang w:val="en-US" w:eastAsia="zh-CN"/>
        </w:rPr>
        <w:t xml:space="preserve">   （3）将市场价值减去扣除原房屋所有权人应承担的相关税费及费用，求得处置价值。</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outlineLvl w:val="9"/>
        <w:rPr>
          <w:rFonts w:hint="eastAsia" w:ascii="宋体" w:hAnsi="宋体" w:cs="宋体"/>
          <w:sz w:val="24"/>
          <w:szCs w:val="24"/>
        </w:rPr>
      </w:pPr>
      <w:r>
        <w:rPr>
          <w:rFonts w:hint="eastAsia" w:ascii="宋体" w:hAnsi="宋体" w:cs="宋体"/>
          <w:b/>
          <w:sz w:val="28"/>
          <w:szCs w:val="28"/>
        </w:rPr>
        <w:t xml:space="preserve">   五、估价测算过程</w:t>
      </w:r>
      <w:bookmarkStart w:id="13" w:name="OLE_LINK29"/>
    </w:p>
    <w:bookmarkEnd w:id="13"/>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rPr>
        <w:t>（一）</w:t>
      </w:r>
      <w:r>
        <w:rPr>
          <w:rFonts w:hint="eastAsia" w:ascii="宋体" w:hAnsi="宋体" w:cs="宋体"/>
          <w:color w:val="auto"/>
          <w:sz w:val="24"/>
          <w:szCs w:val="24"/>
          <w:lang w:eastAsia="zh-CN"/>
        </w:rPr>
        <w:t>比较</w:t>
      </w:r>
      <w:r>
        <w:rPr>
          <w:rFonts w:hint="eastAsia" w:ascii="宋体" w:hAnsi="宋体" w:cs="宋体"/>
          <w:color w:val="auto"/>
          <w:sz w:val="24"/>
          <w:szCs w:val="24"/>
        </w:rPr>
        <w:t>法测算过程</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宋体" w:hAnsi="宋体" w:cs="宋体"/>
          <w:color w:val="auto"/>
          <w:sz w:val="24"/>
          <w:szCs w:val="24"/>
        </w:rPr>
      </w:pP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1、</w:t>
      </w:r>
      <w:r>
        <w:rPr>
          <w:rFonts w:hint="eastAsia" w:ascii="宋体" w:hAnsi="宋体" w:cs="宋体"/>
          <w:color w:val="auto"/>
          <w:sz w:val="24"/>
          <w:szCs w:val="24"/>
          <w:lang w:eastAsia="zh-CN"/>
        </w:rPr>
        <w:t>选取可比实例</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jc w:val="both"/>
        <w:textAlignment w:val="auto"/>
        <w:outlineLvl w:val="9"/>
        <w:rPr>
          <w:rFonts w:hint="eastAsia" w:ascii="宋体" w:hAnsi="宋体" w:cs="宋体"/>
          <w:color w:val="auto"/>
          <w:sz w:val="24"/>
          <w:szCs w:val="24"/>
        </w:rPr>
      </w:pPr>
      <w:r>
        <w:rPr>
          <w:rFonts w:hint="eastAsia" w:ascii="宋体" w:hAnsi="宋体" w:cs="宋体"/>
          <w:color w:val="auto"/>
          <w:sz w:val="24"/>
          <w:szCs w:val="24"/>
          <w:lang w:eastAsia="zh-CN"/>
        </w:rPr>
        <w:t>估价人员选取三个近期买卖的可比实例，如下表：</w:t>
      </w:r>
      <w:r>
        <w:rPr>
          <w:rFonts w:hint="eastAsia" w:ascii="宋体" w:hAnsi="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3182" w:firstLineChars="1326"/>
        <w:jc w:val="both"/>
        <w:textAlignment w:val="auto"/>
        <w:outlineLvl w:val="9"/>
        <w:rPr>
          <w:rFonts w:hint="eastAsia" w:ascii="宋体" w:hAnsi="宋体" w:eastAsia="宋体" w:cs="宋体"/>
          <w:sz w:val="24"/>
          <w:szCs w:val="24"/>
          <w:lang w:val="en-US" w:eastAsia="zh-CN"/>
        </w:rPr>
      </w:pPr>
      <w:r>
        <w:rPr>
          <w:rFonts w:hint="eastAsia" w:ascii="宋体" w:hAnsi="宋体" w:cs="宋体"/>
          <w:color w:val="auto"/>
          <w:sz w:val="24"/>
          <w:szCs w:val="24"/>
          <w:lang w:val="zh-CN"/>
        </w:rPr>
        <w:t>可比实例调查表</w:t>
      </w:r>
      <w:r>
        <w:rPr>
          <w:rFonts w:hint="eastAsia" w:ascii="宋体" w:hAnsi="宋体" w:cs="宋体"/>
          <w:color w:val="auto"/>
          <w:sz w:val="24"/>
          <w:szCs w:val="24"/>
        </w:rPr>
        <w:t xml:space="preserve">     </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 xml:space="preserve"> </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 xml:space="preserve"> </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 xml:space="preserve"> </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 xml:space="preserve">            </w:t>
      </w:r>
      <w:r>
        <w:rPr>
          <w:rFonts w:hint="eastAsia" w:ascii="宋体" w:hAnsi="宋体" w:eastAsia="宋体" w:cs="宋体"/>
          <w:sz w:val="24"/>
          <w:szCs w:val="24"/>
          <w:lang w:eastAsia="zh-CN"/>
        </w:rPr>
        <w:t>技</w:t>
      </w:r>
      <w:r>
        <w:rPr>
          <w:rFonts w:hint="eastAsia" w:ascii="宋体" w:hAnsi="宋体" w:eastAsia="宋体" w:cs="宋体"/>
          <w:sz w:val="24"/>
          <w:szCs w:val="24"/>
        </w:rPr>
        <w:t>表</w:t>
      </w:r>
      <w:r>
        <w:rPr>
          <w:rFonts w:hint="eastAsia" w:ascii="宋体" w:hAnsi="宋体" w:eastAsia="宋体" w:cs="宋体"/>
          <w:sz w:val="24"/>
          <w:szCs w:val="24"/>
          <w:lang w:val="en-US" w:eastAsia="zh-CN"/>
        </w:rPr>
        <w:t>8</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0"/>
        <w:gridCol w:w="2486"/>
        <w:gridCol w:w="2374"/>
        <w:gridCol w:w="2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83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项目</w:t>
            </w:r>
          </w:p>
        </w:tc>
        <w:tc>
          <w:tcPr>
            <w:tcW w:w="24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可比实例</w:t>
            </w:r>
            <w:r>
              <w:rPr>
                <w:rFonts w:hint="eastAsia" w:ascii="宋体" w:hAnsi="宋体" w:eastAsia="宋体" w:cs="宋体"/>
                <w:color w:val="000000"/>
                <w:sz w:val="21"/>
                <w:szCs w:val="21"/>
                <w:vertAlign w:val="baseline"/>
                <w:lang w:val="en-US" w:eastAsia="zh-CN"/>
              </w:rPr>
              <w:t>A</w:t>
            </w:r>
          </w:p>
        </w:tc>
        <w:tc>
          <w:tcPr>
            <w:tcW w:w="23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eastAsia="zh-CN"/>
              </w:rPr>
              <w:t>可比实例</w:t>
            </w:r>
            <w:r>
              <w:rPr>
                <w:rFonts w:hint="eastAsia" w:ascii="宋体" w:hAnsi="宋体" w:eastAsia="宋体" w:cs="宋体"/>
                <w:color w:val="000000"/>
                <w:sz w:val="21"/>
                <w:szCs w:val="21"/>
                <w:vertAlign w:val="baseline"/>
                <w:lang w:val="en-US" w:eastAsia="zh-CN"/>
              </w:rPr>
              <w:t>B</w:t>
            </w:r>
          </w:p>
        </w:tc>
        <w:tc>
          <w:tcPr>
            <w:tcW w:w="259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eastAsia="zh-CN"/>
              </w:rPr>
              <w:t>可比实例</w:t>
            </w:r>
            <w:r>
              <w:rPr>
                <w:rFonts w:hint="eastAsia" w:ascii="宋体" w:hAnsi="宋体" w:eastAsia="宋体" w:cs="宋体"/>
                <w:color w:val="000000"/>
                <w:sz w:val="21"/>
                <w:szCs w:val="21"/>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83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房屋座落</w:t>
            </w:r>
          </w:p>
        </w:tc>
        <w:tc>
          <w:tcPr>
            <w:tcW w:w="2486"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cs="宋体"/>
                <w:color w:val="000000"/>
                <w:szCs w:val="21"/>
                <w:lang w:val="en-US" w:eastAsia="zh-CN"/>
              </w:rPr>
              <w:t>西陂街道龙腾北路376号（小洋新城三期）15幢1006室</w:t>
            </w:r>
          </w:p>
        </w:tc>
        <w:tc>
          <w:tcPr>
            <w:tcW w:w="237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cs="宋体"/>
                <w:color w:val="000000"/>
                <w:szCs w:val="21"/>
                <w:lang w:val="en-US" w:eastAsia="zh-CN"/>
              </w:rPr>
              <w:t>西陂街道龙腾北路376号（小洋新城三期）21幢801室</w:t>
            </w:r>
          </w:p>
        </w:tc>
        <w:tc>
          <w:tcPr>
            <w:tcW w:w="2598"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cs="宋体"/>
                <w:color w:val="000000"/>
                <w:szCs w:val="21"/>
                <w:lang w:val="en-US" w:eastAsia="zh-CN"/>
              </w:rPr>
              <w:t>西陂街道龙腾北路376号（小洋新城三期）21幢905室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土地使用权类型</w:t>
            </w:r>
          </w:p>
        </w:tc>
        <w:tc>
          <w:tcPr>
            <w:tcW w:w="24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出让</w:t>
            </w:r>
          </w:p>
        </w:tc>
        <w:tc>
          <w:tcPr>
            <w:tcW w:w="23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出让</w:t>
            </w:r>
          </w:p>
        </w:tc>
        <w:tc>
          <w:tcPr>
            <w:tcW w:w="259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vertAlign w:val="baseline"/>
                <w:lang w:eastAsia="zh-CN"/>
              </w:rPr>
            </w:pPr>
            <w:r>
              <w:rPr>
                <w:rFonts w:hint="eastAsia" w:ascii="宋体" w:hAnsi="宋体" w:cs="宋体"/>
                <w:sz w:val="21"/>
                <w:szCs w:val="21"/>
                <w:vertAlign w:val="baseline"/>
                <w:lang w:eastAsia="zh-CN"/>
              </w:rPr>
              <w:t>出让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用途</w:t>
            </w:r>
          </w:p>
        </w:tc>
        <w:tc>
          <w:tcPr>
            <w:tcW w:w="24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住宅</w:t>
            </w:r>
          </w:p>
        </w:tc>
        <w:tc>
          <w:tcPr>
            <w:tcW w:w="23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住宅</w:t>
            </w:r>
          </w:p>
        </w:tc>
        <w:tc>
          <w:tcPr>
            <w:tcW w:w="259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vertAlign w:val="baseline"/>
                <w:lang w:eastAsia="zh-CN"/>
              </w:rPr>
            </w:pPr>
            <w:r>
              <w:rPr>
                <w:rFonts w:hint="eastAsia" w:ascii="宋体" w:hAnsi="宋体" w:cs="宋体"/>
                <w:sz w:val="21"/>
                <w:szCs w:val="21"/>
                <w:vertAlign w:val="baseline"/>
                <w:lang w:eastAsia="zh-CN"/>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3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建筑结构</w:t>
            </w:r>
          </w:p>
        </w:tc>
        <w:tc>
          <w:tcPr>
            <w:tcW w:w="248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lang w:eastAsia="zh-CN"/>
              </w:rPr>
              <w:t>钢混结构</w:t>
            </w:r>
          </w:p>
        </w:tc>
        <w:tc>
          <w:tcPr>
            <w:tcW w:w="237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lang w:eastAsia="zh-CN"/>
              </w:rPr>
              <w:t>钢混结构</w:t>
            </w:r>
          </w:p>
        </w:tc>
        <w:tc>
          <w:tcPr>
            <w:tcW w:w="25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lang w:eastAsia="zh-CN"/>
              </w:rPr>
              <w:t>钢混结构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平面布局</w:t>
            </w:r>
          </w:p>
        </w:tc>
        <w:tc>
          <w:tcPr>
            <w:tcW w:w="248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平层</w:t>
            </w:r>
          </w:p>
        </w:tc>
        <w:tc>
          <w:tcPr>
            <w:tcW w:w="2374"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平层</w:t>
            </w:r>
          </w:p>
        </w:tc>
        <w:tc>
          <w:tcPr>
            <w:tcW w:w="25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lang w:val="en-US" w:eastAsia="zh-CN"/>
              </w:rPr>
            </w:pPr>
            <w:r>
              <w:rPr>
                <w:rFonts w:hint="eastAsia" w:ascii="宋体" w:hAnsi="宋体" w:cs="宋体"/>
                <w:sz w:val="21"/>
                <w:szCs w:val="21"/>
                <w:lang w:val="en-US" w:eastAsia="zh-CN"/>
              </w:rPr>
              <w:t>平层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装修情况</w:t>
            </w:r>
          </w:p>
        </w:tc>
        <w:tc>
          <w:tcPr>
            <w:tcW w:w="2486" w:type="dxa"/>
            <w:noWrap w:val="0"/>
            <w:vAlign w:val="center"/>
          </w:tcPr>
          <w:p>
            <w:pPr>
              <w:spacing w:line="360" w:lineRule="exact"/>
              <w:jc w:val="center"/>
              <w:rPr>
                <w:rFonts w:hint="eastAsia" w:ascii="宋体" w:hAnsi="宋体" w:eastAsia="宋体" w:cs="宋体"/>
                <w:color w:val="000000"/>
                <w:sz w:val="21"/>
                <w:szCs w:val="21"/>
                <w:lang w:val="en-US" w:eastAsia="zh-CN"/>
              </w:rPr>
            </w:pPr>
            <w:r>
              <w:rPr>
                <w:rFonts w:hint="eastAsia" w:ascii="宋体" w:hAnsi="宋体" w:cs="宋体"/>
                <w:color w:val="000000"/>
                <w:szCs w:val="21"/>
                <w:lang w:eastAsia="zh-CN"/>
              </w:rPr>
              <w:t>中高档</w:t>
            </w:r>
            <w:r>
              <w:rPr>
                <w:rFonts w:hint="eastAsia" w:ascii="宋体" w:hAnsi="宋体" w:cs="宋体"/>
                <w:color w:val="000000"/>
                <w:szCs w:val="21"/>
              </w:rPr>
              <w:t>装修</w:t>
            </w:r>
          </w:p>
        </w:tc>
        <w:tc>
          <w:tcPr>
            <w:tcW w:w="2374" w:type="dxa"/>
            <w:noWrap w:val="0"/>
            <w:vAlign w:val="center"/>
          </w:tcPr>
          <w:p>
            <w:pPr>
              <w:spacing w:line="360" w:lineRule="exact"/>
              <w:jc w:val="center"/>
              <w:rPr>
                <w:rFonts w:hint="default" w:ascii="宋体" w:hAnsi="宋体" w:eastAsia="宋体" w:cs="宋体"/>
                <w:color w:val="000000"/>
                <w:sz w:val="21"/>
                <w:szCs w:val="21"/>
                <w:lang w:val="en-US" w:eastAsia="zh-CN"/>
              </w:rPr>
            </w:pPr>
            <w:r>
              <w:rPr>
                <w:rFonts w:hint="eastAsia" w:ascii="宋体" w:hAnsi="宋体" w:cs="宋体"/>
                <w:color w:val="000000"/>
                <w:szCs w:val="21"/>
              </w:rPr>
              <w:t>普通装修</w:t>
            </w:r>
          </w:p>
        </w:tc>
        <w:tc>
          <w:tcPr>
            <w:tcW w:w="2598" w:type="dxa"/>
            <w:noWrap w:val="0"/>
            <w:vAlign w:val="center"/>
          </w:tcPr>
          <w:p>
            <w:pPr>
              <w:spacing w:line="360" w:lineRule="exact"/>
              <w:jc w:val="center"/>
              <w:rPr>
                <w:rFonts w:hint="eastAsia" w:ascii="宋体" w:hAnsi="宋体" w:eastAsia="宋体" w:cs="宋体"/>
                <w:color w:val="000000"/>
                <w:sz w:val="21"/>
                <w:szCs w:val="21"/>
                <w:lang w:val="en-US" w:eastAsia="zh-CN"/>
              </w:rPr>
            </w:pPr>
            <w:r>
              <w:rPr>
                <w:rFonts w:hint="eastAsia" w:ascii="宋体" w:hAnsi="宋体" w:cs="宋体"/>
                <w:color w:val="000000"/>
                <w:szCs w:val="21"/>
              </w:rPr>
              <w:t>普通装修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建筑规模</w:t>
            </w:r>
          </w:p>
        </w:tc>
        <w:tc>
          <w:tcPr>
            <w:tcW w:w="2486" w:type="dxa"/>
            <w:noWrap w:val="0"/>
            <w:vAlign w:val="center"/>
          </w:tcPr>
          <w:p>
            <w:pPr>
              <w:spacing w:line="360" w:lineRule="exact"/>
              <w:jc w:val="center"/>
              <w:rPr>
                <w:rFonts w:hint="default" w:ascii="宋体" w:hAnsi="宋体" w:eastAsia="宋体" w:cs="宋体"/>
                <w:color w:val="000000"/>
                <w:sz w:val="21"/>
                <w:szCs w:val="21"/>
                <w:vertAlign w:val="baseline"/>
                <w:lang w:val="en-US" w:eastAsia="zh-CN"/>
              </w:rPr>
            </w:pPr>
            <w:r>
              <w:rPr>
                <w:rFonts w:hint="eastAsia" w:ascii="宋体" w:hAnsi="宋体" w:cs="宋体"/>
                <w:color w:val="000000"/>
                <w:szCs w:val="21"/>
                <w:lang w:val="en-US" w:eastAsia="zh-CN"/>
              </w:rPr>
              <w:t>117.37</w:t>
            </w:r>
            <w:r>
              <w:rPr>
                <w:rFonts w:hint="eastAsia" w:ascii="宋体" w:hAnsi="宋体" w:cs="宋体"/>
                <w:color w:val="000000"/>
                <w:szCs w:val="21"/>
              </w:rPr>
              <w:t>m</w:t>
            </w:r>
            <w:r>
              <w:rPr>
                <w:rFonts w:hint="eastAsia" w:ascii="宋体" w:hAnsi="宋体" w:cs="宋体"/>
                <w:color w:val="000000"/>
                <w:szCs w:val="21"/>
                <w:vertAlign w:val="superscript"/>
              </w:rPr>
              <w:t>2</w:t>
            </w:r>
          </w:p>
        </w:tc>
        <w:tc>
          <w:tcPr>
            <w:tcW w:w="2374" w:type="dxa"/>
            <w:noWrap w:val="0"/>
            <w:vAlign w:val="center"/>
          </w:tcPr>
          <w:p>
            <w:pPr>
              <w:spacing w:line="360" w:lineRule="exact"/>
              <w:jc w:val="center"/>
              <w:rPr>
                <w:rFonts w:hint="default" w:ascii="宋体" w:hAnsi="宋体" w:eastAsia="宋体" w:cs="宋体"/>
                <w:color w:val="000000"/>
                <w:sz w:val="21"/>
                <w:szCs w:val="21"/>
                <w:vertAlign w:val="baseline"/>
                <w:lang w:val="en-US" w:eastAsia="zh-CN"/>
              </w:rPr>
            </w:pPr>
            <w:r>
              <w:rPr>
                <w:rFonts w:hint="eastAsia" w:ascii="宋体" w:hAnsi="宋体" w:cs="宋体"/>
                <w:color w:val="000000"/>
                <w:szCs w:val="21"/>
                <w:lang w:val="en-US" w:eastAsia="zh-CN"/>
              </w:rPr>
              <w:t>132.48</w:t>
            </w:r>
            <w:r>
              <w:rPr>
                <w:rFonts w:hint="eastAsia" w:ascii="宋体" w:hAnsi="宋体" w:cs="宋体"/>
                <w:color w:val="000000"/>
                <w:szCs w:val="21"/>
              </w:rPr>
              <w:t>m</w:t>
            </w:r>
            <w:r>
              <w:rPr>
                <w:rFonts w:hint="eastAsia" w:ascii="宋体" w:hAnsi="宋体" w:cs="宋体"/>
                <w:color w:val="000000"/>
                <w:szCs w:val="21"/>
                <w:vertAlign w:val="superscript"/>
              </w:rPr>
              <w:t>2</w:t>
            </w:r>
          </w:p>
        </w:tc>
        <w:tc>
          <w:tcPr>
            <w:tcW w:w="2598" w:type="dxa"/>
            <w:noWrap w:val="0"/>
            <w:vAlign w:val="center"/>
          </w:tcPr>
          <w:p>
            <w:pPr>
              <w:spacing w:line="360" w:lineRule="exact"/>
              <w:jc w:val="center"/>
              <w:rPr>
                <w:rFonts w:hint="default" w:ascii="宋体" w:hAnsi="宋体" w:eastAsia="宋体" w:cs="宋体"/>
                <w:color w:val="000000"/>
                <w:sz w:val="21"/>
                <w:szCs w:val="21"/>
                <w:vertAlign w:val="baseline"/>
                <w:lang w:val="en-US" w:eastAsia="zh-CN"/>
              </w:rPr>
            </w:pPr>
            <w:r>
              <w:rPr>
                <w:rFonts w:hint="eastAsia" w:ascii="宋体" w:hAnsi="宋体" w:cs="宋体"/>
                <w:color w:val="000000"/>
                <w:szCs w:val="21"/>
                <w:lang w:val="en-US" w:eastAsia="zh-CN"/>
              </w:rPr>
              <w:t>116.97</w:t>
            </w:r>
            <w:r>
              <w:rPr>
                <w:rFonts w:hint="eastAsia" w:ascii="宋体" w:hAnsi="宋体" w:cs="宋体"/>
                <w:color w:val="000000"/>
                <w:szCs w:val="21"/>
              </w:rPr>
              <w:t>m</w:t>
            </w:r>
            <w:r>
              <w:rPr>
                <w:rFonts w:hint="eastAsia" w:ascii="宋体" w:hAnsi="宋体" w:cs="宋体"/>
                <w:color w:val="000000"/>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83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所处楼层</w:t>
            </w:r>
            <w:r>
              <w:rPr>
                <w:rFonts w:hint="eastAsia" w:ascii="宋体" w:hAnsi="宋体" w:eastAsia="宋体" w:cs="宋体"/>
                <w:color w:val="000000"/>
                <w:sz w:val="21"/>
                <w:szCs w:val="21"/>
                <w:vertAlign w:val="baseline"/>
                <w:lang w:val="en-US" w:eastAsia="zh-CN"/>
              </w:rPr>
              <w:t>/总层数</w:t>
            </w:r>
          </w:p>
        </w:tc>
        <w:tc>
          <w:tcPr>
            <w:tcW w:w="2486" w:type="dxa"/>
            <w:noWrap w:val="0"/>
            <w:vAlign w:val="center"/>
          </w:tcPr>
          <w:p>
            <w:pPr>
              <w:spacing w:line="360" w:lineRule="exact"/>
              <w:jc w:val="center"/>
              <w:rPr>
                <w:rFonts w:hint="default" w:ascii="宋体" w:hAnsi="宋体" w:eastAsia="宋体" w:cs="宋体"/>
                <w:color w:val="000000"/>
                <w:sz w:val="21"/>
                <w:szCs w:val="21"/>
                <w:vertAlign w:val="baseline"/>
                <w:lang w:val="en-US" w:eastAsia="zh-CN"/>
              </w:rPr>
            </w:pPr>
            <w:r>
              <w:rPr>
                <w:rFonts w:hint="eastAsia" w:ascii="宋体" w:hAnsi="宋体" w:cs="宋体"/>
                <w:color w:val="000000"/>
                <w:szCs w:val="21"/>
                <w:lang w:val="en-US" w:eastAsia="zh-CN"/>
              </w:rPr>
              <w:t>10</w:t>
            </w:r>
            <w:r>
              <w:rPr>
                <w:rFonts w:hint="eastAsia" w:ascii="宋体" w:hAnsi="宋体" w:cs="宋体"/>
                <w:color w:val="000000"/>
                <w:szCs w:val="21"/>
              </w:rPr>
              <w:t>/</w:t>
            </w:r>
            <w:r>
              <w:rPr>
                <w:rFonts w:hint="eastAsia" w:ascii="宋体" w:hAnsi="宋体" w:cs="宋体"/>
                <w:color w:val="000000"/>
                <w:szCs w:val="21"/>
                <w:lang w:val="en-US" w:eastAsia="zh-CN"/>
              </w:rPr>
              <w:t>18</w:t>
            </w:r>
          </w:p>
        </w:tc>
        <w:tc>
          <w:tcPr>
            <w:tcW w:w="2374" w:type="dxa"/>
            <w:noWrap w:val="0"/>
            <w:vAlign w:val="center"/>
          </w:tcPr>
          <w:p>
            <w:pPr>
              <w:spacing w:line="360" w:lineRule="exact"/>
              <w:jc w:val="center"/>
              <w:rPr>
                <w:rFonts w:hint="default" w:ascii="宋体" w:hAnsi="宋体" w:eastAsia="宋体" w:cs="宋体"/>
                <w:color w:val="000000"/>
                <w:sz w:val="21"/>
                <w:szCs w:val="21"/>
                <w:vertAlign w:val="baseline"/>
                <w:lang w:val="en-US" w:eastAsia="zh-CN"/>
              </w:rPr>
            </w:pPr>
            <w:r>
              <w:rPr>
                <w:rFonts w:hint="eastAsia" w:ascii="宋体" w:hAnsi="宋体" w:cs="宋体"/>
                <w:color w:val="000000"/>
                <w:szCs w:val="21"/>
                <w:lang w:val="en-US" w:eastAsia="zh-CN"/>
              </w:rPr>
              <w:t>8</w:t>
            </w:r>
            <w:r>
              <w:rPr>
                <w:rFonts w:hint="eastAsia" w:ascii="宋体" w:hAnsi="宋体" w:cs="宋体"/>
                <w:color w:val="000000"/>
                <w:szCs w:val="21"/>
              </w:rPr>
              <w:t>/</w:t>
            </w:r>
            <w:r>
              <w:rPr>
                <w:rFonts w:hint="eastAsia" w:ascii="宋体" w:hAnsi="宋体" w:cs="宋体"/>
                <w:color w:val="000000"/>
                <w:szCs w:val="21"/>
                <w:lang w:val="en-US" w:eastAsia="zh-CN"/>
              </w:rPr>
              <w:t>27</w:t>
            </w:r>
          </w:p>
        </w:tc>
        <w:tc>
          <w:tcPr>
            <w:tcW w:w="2598" w:type="dxa"/>
            <w:noWrap w:val="0"/>
            <w:vAlign w:val="center"/>
          </w:tcPr>
          <w:p>
            <w:pPr>
              <w:spacing w:line="360" w:lineRule="exact"/>
              <w:jc w:val="center"/>
              <w:rPr>
                <w:rFonts w:hint="default" w:ascii="宋体" w:hAnsi="宋体" w:eastAsia="宋体" w:cs="宋体"/>
                <w:color w:val="000000"/>
                <w:sz w:val="21"/>
                <w:szCs w:val="21"/>
                <w:vertAlign w:val="baseline"/>
                <w:lang w:val="en-US" w:eastAsia="zh-CN"/>
              </w:rPr>
            </w:pPr>
            <w:r>
              <w:rPr>
                <w:rFonts w:hint="eastAsia" w:ascii="宋体" w:hAnsi="宋体" w:cs="宋体"/>
                <w:color w:val="000000"/>
                <w:szCs w:val="21"/>
                <w:lang w:val="en-US" w:eastAsia="zh-CN"/>
              </w:rPr>
              <w:t>9</w:t>
            </w:r>
            <w:r>
              <w:rPr>
                <w:rFonts w:hint="eastAsia" w:ascii="宋体" w:hAnsi="宋体" w:cs="宋体"/>
                <w:color w:val="000000"/>
                <w:szCs w:val="21"/>
              </w:rPr>
              <w:t>/</w:t>
            </w:r>
            <w:r>
              <w:rPr>
                <w:rFonts w:hint="eastAsia" w:ascii="宋体" w:hAnsi="宋体" w:cs="宋体"/>
                <w:color w:val="000000"/>
                <w:szCs w:val="21"/>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830" w:type="dxa"/>
            <w:noWrap w:val="0"/>
            <w:vAlign w:val="top"/>
          </w:tcPr>
          <w:p>
            <w:pPr>
              <w:spacing w:line="360" w:lineRule="exact"/>
              <w:jc w:val="center"/>
              <w:rPr>
                <w:rFonts w:hint="eastAsia" w:ascii="宋体" w:hAnsi="宋体" w:eastAsia="宋体" w:cs="宋体"/>
                <w:color w:val="000000"/>
                <w:sz w:val="21"/>
                <w:szCs w:val="21"/>
                <w:vertAlign w:val="baseline"/>
                <w:lang w:eastAsia="zh-CN"/>
              </w:rPr>
            </w:pPr>
            <w:r>
              <w:rPr>
                <w:rFonts w:hint="eastAsia" w:ascii="宋体" w:hAnsi="宋体" w:cs="宋体"/>
                <w:color w:val="000000"/>
                <w:szCs w:val="21"/>
              </w:rPr>
              <w:t>建成年份</w:t>
            </w:r>
          </w:p>
        </w:tc>
        <w:tc>
          <w:tcPr>
            <w:tcW w:w="2486" w:type="dxa"/>
            <w:noWrap w:val="0"/>
            <w:vAlign w:val="center"/>
          </w:tcPr>
          <w:p>
            <w:pPr>
              <w:spacing w:line="360" w:lineRule="exact"/>
              <w:jc w:val="center"/>
              <w:rPr>
                <w:rFonts w:hint="default" w:ascii="宋体" w:hAnsi="宋体" w:eastAsia="宋体" w:cs="宋体"/>
                <w:color w:val="000000"/>
                <w:spacing w:val="0"/>
                <w:sz w:val="21"/>
                <w:szCs w:val="21"/>
                <w:vertAlign w:val="baseline"/>
                <w:lang w:val="en-US" w:eastAsia="zh-CN"/>
              </w:rPr>
            </w:pPr>
            <w:r>
              <w:rPr>
                <w:rFonts w:hint="eastAsia" w:ascii="宋体" w:hAnsi="宋体" w:cs="宋体"/>
                <w:color w:val="000000"/>
                <w:szCs w:val="21"/>
                <w:lang w:val="en-US" w:eastAsia="zh-CN"/>
              </w:rPr>
              <w:t>2017</w:t>
            </w:r>
            <w:r>
              <w:rPr>
                <w:rFonts w:hint="eastAsia" w:ascii="宋体" w:hAnsi="宋体" w:cs="宋体"/>
                <w:color w:val="000000"/>
                <w:szCs w:val="21"/>
              </w:rPr>
              <w:t>年</w:t>
            </w:r>
          </w:p>
        </w:tc>
        <w:tc>
          <w:tcPr>
            <w:tcW w:w="2374" w:type="dxa"/>
            <w:noWrap w:val="0"/>
            <w:vAlign w:val="center"/>
          </w:tcPr>
          <w:p>
            <w:pPr>
              <w:spacing w:line="360" w:lineRule="exact"/>
              <w:jc w:val="center"/>
              <w:rPr>
                <w:rFonts w:hint="default" w:ascii="宋体" w:hAnsi="宋体" w:eastAsia="宋体" w:cs="宋体"/>
                <w:color w:val="000000"/>
                <w:spacing w:val="0"/>
                <w:sz w:val="21"/>
                <w:szCs w:val="21"/>
                <w:vertAlign w:val="baseline"/>
                <w:lang w:val="en-US" w:eastAsia="zh-CN"/>
              </w:rPr>
            </w:pPr>
            <w:r>
              <w:rPr>
                <w:rFonts w:hint="eastAsia" w:ascii="宋体" w:hAnsi="宋体" w:cs="宋体"/>
                <w:color w:val="000000"/>
                <w:szCs w:val="21"/>
                <w:lang w:val="en-US" w:eastAsia="zh-CN"/>
              </w:rPr>
              <w:t>2017</w:t>
            </w:r>
            <w:r>
              <w:rPr>
                <w:rFonts w:hint="eastAsia" w:ascii="宋体" w:hAnsi="宋体" w:cs="宋体"/>
                <w:color w:val="000000"/>
                <w:szCs w:val="21"/>
              </w:rPr>
              <w:t>年</w:t>
            </w:r>
          </w:p>
        </w:tc>
        <w:tc>
          <w:tcPr>
            <w:tcW w:w="2598" w:type="dxa"/>
            <w:noWrap w:val="0"/>
            <w:vAlign w:val="center"/>
          </w:tcPr>
          <w:p>
            <w:pPr>
              <w:spacing w:line="360" w:lineRule="exact"/>
              <w:jc w:val="center"/>
              <w:rPr>
                <w:rFonts w:hint="default" w:ascii="宋体" w:hAnsi="宋体" w:eastAsia="宋体" w:cs="宋体"/>
                <w:color w:val="000000"/>
                <w:spacing w:val="0"/>
                <w:sz w:val="21"/>
                <w:szCs w:val="21"/>
                <w:vertAlign w:val="baseline"/>
                <w:lang w:val="en-US" w:eastAsia="zh-CN"/>
              </w:rPr>
            </w:pPr>
            <w:r>
              <w:rPr>
                <w:rFonts w:hint="eastAsia" w:ascii="宋体" w:hAnsi="宋体" w:cs="宋体"/>
                <w:color w:val="000000"/>
                <w:szCs w:val="21"/>
                <w:lang w:val="en-US" w:eastAsia="zh-CN"/>
              </w:rPr>
              <w:t>2017</w:t>
            </w:r>
            <w:r>
              <w:rPr>
                <w:rFonts w:hint="eastAsia" w:ascii="宋体" w:hAnsi="宋体" w:cs="宋体"/>
                <w:color w:val="00000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成交单价（元</w:t>
            </w:r>
            <w:r>
              <w:rPr>
                <w:rFonts w:hint="eastAsia" w:ascii="宋体" w:hAnsi="宋体" w:eastAsia="宋体" w:cs="宋体"/>
                <w:color w:val="000000"/>
                <w:sz w:val="21"/>
                <w:szCs w:val="21"/>
                <w:vertAlign w:val="baseline"/>
                <w:lang w:val="en-US" w:eastAsia="zh-CN"/>
              </w:rPr>
              <w:t>/m</w:t>
            </w:r>
            <w:r>
              <w:rPr>
                <w:rFonts w:hint="eastAsia" w:ascii="宋体" w:hAnsi="宋体" w:eastAsia="宋体" w:cs="宋体"/>
                <w:color w:val="000000"/>
                <w:sz w:val="21"/>
                <w:szCs w:val="21"/>
                <w:vertAlign w:val="superscript"/>
                <w:lang w:val="en-US" w:eastAsia="zh-CN"/>
              </w:rPr>
              <w:t>2</w:t>
            </w:r>
            <w:r>
              <w:rPr>
                <w:rFonts w:hint="eastAsia" w:ascii="宋体" w:hAnsi="宋体" w:eastAsia="宋体" w:cs="宋体"/>
                <w:color w:val="000000"/>
                <w:sz w:val="21"/>
                <w:szCs w:val="21"/>
                <w:vertAlign w:val="baseline"/>
                <w:lang w:eastAsia="zh-CN"/>
              </w:rPr>
              <w:t>）</w:t>
            </w:r>
          </w:p>
        </w:tc>
        <w:tc>
          <w:tcPr>
            <w:tcW w:w="2486" w:type="dxa"/>
            <w:noWrap w:val="0"/>
            <w:vAlign w:val="center"/>
          </w:tcPr>
          <w:p>
            <w:pPr>
              <w:spacing w:line="360" w:lineRule="exact"/>
              <w:jc w:val="center"/>
              <w:rPr>
                <w:rFonts w:hint="default" w:ascii="宋体" w:hAnsi="宋体" w:eastAsia="宋体" w:cs="宋体"/>
                <w:color w:val="000000"/>
                <w:sz w:val="21"/>
                <w:szCs w:val="21"/>
                <w:vertAlign w:val="baseline"/>
                <w:lang w:val="en-US" w:eastAsia="zh-CN"/>
              </w:rPr>
            </w:pPr>
            <w:r>
              <w:rPr>
                <w:rFonts w:hint="eastAsia" w:ascii="宋体" w:hAnsi="宋体" w:cs="宋体"/>
                <w:color w:val="000000"/>
                <w:szCs w:val="21"/>
                <w:lang w:val="en-US" w:eastAsia="zh-CN"/>
              </w:rPr>
              <w:t>12942</w:t>
            </w:r>
          </w:p>
        </w:tc>
        <w:tc>
          <w:tcPr>
            <w:tcW w:w="2374" w:type="dxa"/>
            <w:noWrap w:val="0"/>
            <w:vAlign w:val="center"/>
          </w:tcPr>
          <w:p>
            <w:pPr>
              <w:spacing w:line="360" w:lineRule="exact"/>
              <w:jc w:val="center"/>
              <w:rPr>
                <w:rFonts w:hint="default" w:ascii="宋体" w:hAnsi="宋体" w:eastAsia="宋体" w:cs="宋体"/>
                <w:color w:val="000000"/>
                <w:sz w:val="21"/>
                <w:szCs w:val="21"/>
                <w:vertAlign w:val="baseline"/>
                <w:lang w:val="en-US" w:eastAsia="zh-CN"/>
              </w:rPr>
            </w:pPr>
            <w:r>
              <w:rPr>
                <w:rFonts w:hint="eastAsia" w:ascii="宋体" w:hAnsi="宋体" w:cs="宋体"/>
                <w:color w:val="000000"/>
                <w:szCs w:val="21"/>
                <w:lang w:val="en-US" w:eastAsia="zh-CN"/>
              </w:rPr>
              <w:t>10189</w:t>
            </w:r>
          </w:p>
        </w:tc>
        <w:tc>
          <w:tcPr>
            <w:tcW w:w="2598" w:type="dxa"/>
            <w:noWrap w:val="0"/>
            <w:vAlign w:val="center"/>
          </w:tcPr>
          <w:p>
            <w:pPr>
              <w:spacing w:line="360" w:lineRule="exact"/>
              <w:jc w:val="center"/>
              <w:rPr>
                <w:rFonts w:hint="default" w:ascii="宋体" w:hAnsi="宋体" w:eastAsia="宋体" w:cs="宋体"/>
                <w:color w:val="000000"/>
                <w:sz w:val="21"/>
                <w:szCs w:val="21"/>
                <w:vertAlign w:val="baseline"/>
                <w:lang w:val="en-US" w:eastAsia="zh-CN"/>
              </w:rPr>
            </w:pPr>
            <w:r>
              <w:rPr>
                <w:rFonts w:hint="eastAsia" w:ascii="宋体" w:hAnsi="宋体" w:eastAsia="宋体" w:cs="宋体"/>
                <w:color w:val="000000"/>
                <w:szCs w:val="21"/>
                <w:lang w:val="en-US" w:eastAsia="zh-CN"/>
              </w:rPr>
              <w:t>10259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成交日期</w:t>
            </w:r>
          </w:p>
        </w:tc>
        <w:tc>
          <w:tcPr>
            <w:tcW w:w="2486" w:type="dxa"/>
            <w:noWrap w:val="0"/>
            <w:vAlign w:val="center"/>
          </w:tcPr>
          <w:p>
            <w:pPr>
              <w:spacing w:line="360" w:lineRule="exact"/>
              <w:jc w:val="center"/>
              <w:rPr>
                <w:rFonts w:hint="default" w:ascii="宋体" w:hAnsi="宋体" w:eastAsia="宋体" w:cs="宋体"/>
                <w:color w:val="000000"/>
                <w:sz w:val="21"/>
                <w:szCs w:val="21"/>
                <w:vertAlign w:val="baseline"/>
                <w:lang w:val="en-US" w:eastAsia="zh-CN"/>
              </w:rPr>
            </w:pPr>
            <w:r>
              <w:rPr>
                <w:rFonts w:hint="eastAsia" w:ascii="宋体" w:hAnsi="宋体" w:cs="宋体"/>
                <w:color w:val="000000"/>
                <w:kern w:val="0"/>
                <w:szCs w:val="21"/>
              </w:rPr>
              <w:t>20</w:t>
            </w:r>
            <w:r>
              <w:rPr>
                <w:rFonts w:hint="eastAsia" w:ascii="宋体" w:hAnsi="宋体" w:cs="宋体"/>
                <w:color w:val="000000"/>
                <w:kern w:val="0"/>
                <w:szCs w:val="21"/>
                <w:lang w:val="en-US" w:eastAsia="zh-CN"/>
              </w:rPr>
              <w:t>21</w:t>
            </w:r>
            <w:r>
              <w:rPr>
                <w:rFonts w:hint="eastAsia" w:ascii="宋体" w:hAnsi="宋体" w:cs="宋体"/>
                <w:color w:val="000000"/>
                <w:kern w:val="0"/>
                <w:szCs w:val="21"/>
              </w:rPr>
              <w:t>.</w:t>
            </w:r>
            <w:r>
              <w:rPr>
                <w:rFonts w:hint="eastAsia" w:ascii="宋体" w:hAnsi="宋体" w:cs="宋体"/>
                <w:color w:val="000000"/>
                <w:kern w:val="0"/>
                <w:szCs w:val="21"/>
                <w:lang w:val="en-US" w:eastAsia="zh-CN"/>
              </w:rPr>
              <w:t>11</w:t>
            </w:r>
          </w:p>
        </w:tc>
        <w:tc>
          <w:tcPr>
            <w:tcW w:w="2374" w:type="dxa"/>
            <w:noWrap w:val="0"/>
            <w:vAlign w:val="center"/>
          </w:tcPr>
          <w:p>
            <w:pPr>
              <w:spacing w:line="360" w:lineRule="exact"/>
              <w:jc w:val="center"/>
              <w:rPr>
                <w:rFonts w:hint="eastAsia" w:ascii="宋体" w:hAnsi="宋体" w:eastAsia="宋体" w:cs="宋体"/>
                <w:color w:val="000000"/>
                <w:sz w:val="21"/>
                <w:szCs w:val="21"/>
                <w:vertAlign w:val="baseline"/>
                <w:lang w:eastAsia="zh-CN"/>
              </w:rPr>
            </w:pPr>
            <w:r>
              <w:rPr>
                <w:rFonts w:hint="eastAsia" w:ascii="宋体" w:hAnsi="宋体" w:cs="宋体"/>
                <w:color w:val="000000"/>
                <w:kern w:val="0"/>
                <w:lang w:val="en-US" w:eastAsia="zh-CN"/>
              </w:rPr>
              <w:t>2021.9</w:t>
            </w:r>
          </w:p>
        </w:tc>
        <w:tc>
          <w:tcPr>
            <w:tcW w:w="2598" w:type="dxa"/>
            <w:noWrap w:val="0"/>
            <w:vAlign w:val="center"/>
          </w:tcPr>
          <w:p>
            <w:pPr>
              <w:spacing w:line="360" w:lineRule="exact"/>
              <w:jc w:val="center"/>
              <w:rPr>
                <w:rFonts w:hint="default" w:ascii="宋体" w:hAnsi="宋体" w:eastAsia="宋体" w:cs="宋体"/>
                <w:color w:val="000000"/>
                <w:sz w:val="21"/>
                <w:szCs w:val="21"/>
                <w:vertAlign w:val="baseline"/>
                <w:lang w:val="en-US" w:eastAsia="zh-CN"/>
              </w:rPr>
            </w:pPr>
            <w:r>
              <w:rPr>
                <w:rFonts w:hint="eastAsia" w:ascii="宋体" w:hAnsi="宋体" w:cs="宋体"/>
                <w:color w:val="000000"/>
                <w:szCs w:val="21"/>
                <w:lang w:val="en-US" w:eastAsia="zh-CN"/>
              </w:rPr>
              <w:t>2021.9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成交价格内涵</w:t>
            </w:r>
          </w:p>
        </w:tc>
        <w:tc>
          <w:tcPr>
            <w:tcW w:w="24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eastAsia="zh-CN"/>
              </w:rPr>
              <w:t>计价面积为建筑面积，成交价含室内二次装修价值，卖方实收（</w:t>
            </w:r>
            <w:r>
              <w:rPr>
                <w:rFonts w:hint="eastAsia" w:ascii="宋体" w:hAnsi="宋体" w:eastAsia="宋体" w:cs="宋体"/>
                <w:color w:val="000000"/>
                <w:sz w:val="21"/>
                <w:szCs w:val="21"/>
                <w:lang w:eastAsia="zh-CN"/>
              </w:rPr>
              <w:t>交易税费全部由买方承担）</w:t>
            </w:r>
          </w:p>
        </w:tc>
        <w:tc>
          <w:tcPr>
            <w:tcW w:w="23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计价面积为建筑面积，成交价含室内二次装修价值，卖方实收（</w:t>
            </w:r>
            <w:r>
              <w:rPr>
                <w:rFonts w:hint="eastAsia" w:ascii="宋体" w:hAnsi="宋体" w:eastAsia="宋体" w:cs="宋体"/>
                <w:color w:val="000000"/>
                <w:sz w:val="21"/>
                <w:szCs w:val="21"/>
                <w:lang w:eastAsia="zh-CN"/>
              </w:rPr>
              <w:t>交易税费全部由买方承担）</w:t>
            </w:r>
          </w:p>
        </w:tc>
        <w:tc>
          <w:tcPr>
            <w:tcW w:w="259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color w:val="000000"/>
                <w:sz w:val="21"/>
                <w:szCs w:val="21"/>
                <w:vertAlign w:val="baseline"/>
                <w:lang w:eastAsia="zh-CN"/>
              </w:rPr>
            </w:pPr>
            <w:r>
              <w:rPr>
                <w:rFonts w:hint="eastAsia" w:ascii="宋体" w:hAnsi="宋体" w:eastAsia="宋体" w:cs="宋体"/>
                <w:color w:val="000000"/>
                <w:sz w:val="21"/>
                <w:szCs w:val="21"/>
                <w:vertAlign w:val="baseline"/>
                <w:lang w:eastAsia="zh-CN"/>
              </w:rPr>
              <w:t>计价面积为建筑面积，成交价含室内二次装修价值，卖方实收（</w:t>
            </w:r>
            <w:r>
              <w:rPr>
                <w:rFonts w:hint="eastAsia" w:ascii="宋体" w:hAnsi="宋体" w:eastAsia="宋体" w:cs="宋体"/>
                <w:color w:val="000000"/>
                <w:sz w:val="21"/>
                <w:szCs w:val="21"/>
                <w:lang w:eastAsia="zh-CN"/>
              </w:rPr>
              <w:t>交易税费全部由买方承担）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vertAlign w:val="baseline"/>
                <w:lang w:eastAsia="zh-CN"/>
              </w:rPr>
            </w:pPr>
            <w:r>
              <w:rPr>
                <w:rFonts w:hint="eastAsia" w:ascii="宋体" w:hAnsi="宋体" w:cs="宋体"/>
                <w:sz w:val="21"/>
                <w:szCs w:val="21"/>
                <w:vertAlign w:val="baseline"/>
                <w:lang w:eastAsia="zh-CN"/>
              </w:rPr>
              <w:t>资料来源</w:t>
            </w:r>
          </w:p>
        </w:tc>
        <w:tc>
          <w:tcPr>
            <w:tcW w:w="24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vertAlign w:val="baseline"/>
                <w:lang w:eastAsia="zh-CN"/>
              </w:rPr>
            </w:pPr>
            <w:r>
              <w:rPr>
                <w:rFonts w:hint="eastAsia" w:ascii="宋体" w:hAnsi="宋体" w:cs="宋体"/>
                <w:sz w:val="21"/>
                <w:szCs w:val="21"/>
                <w:vertAlign w:val="baseline"/>
                <w:lang w:eastAsia="zh-CN"/>
              </w:rPr>
              <w:t>房地产中介</w:t>
            </w:r>
          </w:p>
        </w:tc>
        <w:tc>
          <w:tcPr>
            <w:tcW w:w="23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vertAlign w:val="baseline"/>
                <w:lang w:eastAsia="zh-CN"/>
              </w:rPr>
            </w:pPr>
            <w:r>
              <w:rPr>
                <w:rFonts w:hint="eastAsia" w:ascii="宋体" w:hAnsi="宋体" w:cs="宋体"/>
                <w:sz w:val="21"/>
                <w:szCs w:val="21"/>
                <w:vertAlign w:val="baseline"/>
                <w:lang w:eastAsia="zh-CN"/>
              </w:rPr>
              <w:t>房地产中介</w:t>
            </w:r>
          </w:p>
        </w:tc>
        <w:tc>
          <w:tcPr>
            <w:tcW w:w="2598"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000000"/>
                <w:sz w:val="21"/>
                <w:szCs w:val="21"/>
                <w:vertAlign w:val="baseline"/>
                <w:lang w:eastAsia="zh-CN"/>
              </w:rPr>
            </w:pPr>
            <w:r>
              <w:rPr>
                <w:rFonts w:hint="eastAsia" w:ascii="宋体" w:hAnsi="宋体" w:cs="宋体"/>
                <w:sz w:val="21"/>
                <w:szCs w:val="21"/>
                <w:vertAlign w:val="baseline"/>
                <w:lang w:eastAsia="zh-CN"/>
              </w:rPr>
              <w:t>房地产中介</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jc w:val="left"/>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rPr>
        <w:t xml:space="preserve">    </w:t>
      </w:r>
      <w:r>
        <w:rPr>
          <w:rFonts w:hint="eastAsia" w:ascii="宋体" w:hAnsi="宋体" w:cs="宋体"/>
          <w:color w:val="auto"/>
          <w:sz w:val="24"/>
          <w:szCs w:val="24"/>
          <w:lang w:val="en-US" w:eastAsia="zh-CN"/>
        </w:rPr>
        <w:t>2、 建立比较基础</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   （1）统一税费负担：是将成交价格调整为买卖双方各自缴纳自己应缴纳的交易税费下的价格。正常负担下的价格=卖方实收金额/（1-应由卖方缴纳的税费比率）=买方实付金额/（1+应由买方缴纳的税费比率）。</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2400" w:firstLineChars="1000"/>
        <w:jc w:val="right"/>
        <w:textAlignment w:val="auto"/>
        <w:outlineLvl w:val="9"/>
        <w:rPr>
          <w:rFonts w:hint="default" w:ascii="宋体" w:hAnsi="宋体" w:cs="宋体"/>
          <w:color w:val="auto"/>
          <w:sz w:val="24"/>
          <w:szCs w:val="24"/>
          <w:lang w:val="en-US"/>
        </w:rPr>
      </w:pPr>
      <w:r>
        <w:rPr>
          <w:rFonts w:hint="eastAsia" w:ascii="宋体" w:hAnsi="宋体" w:cs="宋体"/>
          <w:color w:val="auto"/>
          <w:sz w:val="24"/>
          <w:szCs w:val="24"/>
          <w:lang w:val="en-US" w:eastAsia="zh-CN"/>
        </w:rPr>
        <w:t xml:space="preserve"> </w:t>
      </w:r>
      <w:r>
        <w:rPr>
          <w:rFonts w:hint="eastAsia" w:ascii="宋体" w:hAnsi="宋体" w:cs="宋体"/>
          <w:color w:val="auto"/>
          <w:sz w:val="24"/>
          <w:szCs w:val="24"/>
          <w:lang w:eastAsia="zh-CN"/>
        </w:rPr>
        <w:t>新罗区</w:t>
      </w:r>
      <w:r>
        <w:rPr>
          <w:rFonts w:hint="eastAsia" w:ascii="宋体" w:hAnsi="宋体" w:cs="宋体"/>
          <w:color w:val="auto"/>
          <w:sz w:val="24"/>
          <w:szCs w:val="24"/>
        </w:rPr>
        <w:t xml:space="preserve">二手房交易税费表       </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 xml:space="preserve">        </w:t>
      </w:r>
      <w:r>
        <w:rPr>
          <w:rFonts w:hint="eastAsia" w:ascii="宋体" w:hAnsi="宋体" w:eastAsia="宋体" w:cs="宋体"/>
          <w:sz w:val="24"/>
          <w:szCs w:val="24"/>
          <w:lang w:eastAsia="zh-CN"/>
        </w:rPr>
        <w:t>技</w:t>
      </w:r>
      <w:r>
        <w:rPr>
          <w:rFonts w:hint="eastAsia" w:ascii="宋体" w:hAnsi="宋体" w:eastAsia="宋体" w:cs="宋体"/>
          <w:sz w:val="24"/>
          <w:szCs w:val="24"/>
        </w:rPr>
        <w:t>表</w:t>
      </w:r>
      <w:r>
        <w:rPr>
          <w:rFonts w:hint="eastAsia" w:ascii="宋体" w:hAnsi="宋体" w:eastAsia="宋体" w:cs="宋体"/>
          <w:sz w:val="24"/>
          <w:szCs w:val="24"/>
          <w:lang w:val="en-US" w:eastAsia="zh-CN"/>
        </w:rPr>
        <w:t>9</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6"/>
        <w:gridCol w:w="1900"/>
        <w:gridCol w:w="5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6"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税费类型</w:t>
            </w:r>
          </w:p>
        </w:tc>
        <w:tc>
          <w:tcPr>
            <w:tcW w:w="1900"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税费值</w:t>
            </w:r>
          </w:p>
        </w:tc>
        <w:tc>
          <w:tcPr>
            <w:tcW w:w="5602"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增值税及附加</w:t>
            </w:r>
          </w:p>
        </w:tc>
        <w:tc>
          <w:tcPr>
            <w:tcW w:w="19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5.</w:t>
            </w:r>
            <w:r>
              <w:rPr>
                <w:rFonts w:hint="eastAsia" w:ascii="宋体" w:hAnsi="宋体" w:cs="宋体"/>
                <w:color w:val="auto"/>
                <w:szCs w:val="21"/>
                <w:lang w:val="en-US" w:eastAsia="zh-CN"/>
              </w:rPr>
              <w:t>33</w:t>
            </w:r>
            <w:r>
              <w:rPr>
                <w:rFonts w:hint="eastAsia" w:ascii="宋体" w:hAnsi="宋体" w:cs="宋体"/>
                <w:color w:val="auto"/>
                <w:szCs w:val="21"/>
              </w:rPr>
              <w:t>%</w:t>
            </w:r>
          </w:p>
        </w:tc>
        <w:tc>
          <w:tcPr>
            <w:tcW w:w="560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宋体" w:hAnsi="宋体" w:cs="宋体"/>
                <w:color w:val="auto"/>
                <w:szCs w:val="21"/>
              </w:rPr>
            </w:pPr>
            <w:r>
              <w:rPr>
                <w:rFonts w:hint="eastAsia" w:ascii="宋体" w:hAnsi="宋体" w:cs="宋体"/>
                <w:color w:val="auto"/>
                <w:szCs w:val="21"/>
              </w:rPr>
              <w:t>个人转让</w:t>
            </w:r>
            <w:r>
              <w:rPr>
                <w:rFonts w:hint="eastAsia" w:ascii="宋体" w:hAnsi="宋体" w:cs="宋体"/>
                <w:color w:val="auto"/>
                <w:szCs w:val="21"/>
                <w:lang w:eastAsia="zh-CN"/>
              </w:rPr>
              <w:t>住宅：</w:t>
            </w:r>
            <w:r>
              <w:rPr>
                <w:rFonts w:hint="eastAsia" w:ascii="宋体" w:hAnsi="宋体" w:cs="宋体"/>
                <w:color w:val="auto"/>
                <w:szCs w:val="21"/>
              </w:rPr>
              <w:t>①</w:t>
            </w:r>
            <w:r>
              <w:rPr>
                <w:rFonts w:hint="eastAsia" w:ascii="宋体" w:hAnsi="宋体" w:cs="宋体"/>
                <w:color w:val="auto"/>
                <w:szCs w:val="21"/>
                <w:lang w:eastAsia="zh-CN"/>
              </w:rPr>
              <w:t>提供不动产发票的按差额的</w:t>
            </w:r>
            <w:r>
              <w:rPr>
                <w:rFonts w:hint="eastAsia" w:ascii="宋体" w:hAnsi="宋体" w:cs="宋体"/>
                <w:color w:val="auto"/>
                <w:szCs w:val="21"/>
                <w:lang w:val="en-US" w:eastAsia="zh-CN"/>
              </w:rPr>
              <w:t>5.33%征收</w:t>
            </w:r>
            <w:r>
              <w:rPr>
                <w:rFonts w:hint="eastAsia" w:ascii="宋体" w:hAnsi="宋体" w:cs="宋体"/>
                <w:color w:val="auto"/>
                <w:szCs w:val="21"/>
              </w:rPr>
              <w:t>增值税</w:t>
            </w:r>
            <w:r>
              <w:rPr>
                <w:rFonts w:hint="eastAsia" w:ascii="宋体" w:hAnsi="宋体" w:cs="宋体"/>
                <w:color w:val="auto"/>
                <w:szCs w:val="21"/>
                <w:lang w:eastAsia="zh-CN"/>
              </w:rPr>
              <w:t>及附加</w:t>
            </w:r>
            <w:r>
              <w:rPr>
                <w:rFonts w:hint="eastAsia" w:ascii="宋体" w:hAnsi="宋体" w:cs="宋体"/>
                <w:color w:val="auto"/>
                <w:szCs w:val="21"/>
              </w:rPr>
              <w:t>；②</w:t>
            </w:r>
            <w:r>
              <w:rPr>
                <w:rFonts w:hint="eastAsia" w:ascii="宋体" w:hAnsi="宋体" w:cs="宋体"/>
                <w:color w:val="auto"/>
                <w:szCs w:val="21"/>
                <w:lang w:eastAsia="zh-CN"/>
              </w:rPr>
              <w:t>不提供不动产发票的按全额的</w:t>
            </w:r>
            <w:r>
              <w:rPr>
                <w:rFonts w:hint="eastAsia" w:ascii="宋体" w:hAnsi="宋体" w:cs="宋体"/>
                <w:color w:val="auto"/>
                <w:szCs w:val="21"/>
                <w:lang w:val="en-US" w:eastAsia="zh-CN"/>
              </w:rPr>
              <w:t>5.33%</w:t>
            </w:r>
            <w:r>
              <w:rPr>
                <w:rFonts w:hint="eastAsia" w:ascii="宋体" w:hAnsi="宋体" w:cs="宋体"/>
                <w:color w:val="auto"/>
                <w:szCs w:val="21"/>
                <w:lang w:eastAsia="zh-CN"/>
              </w:rPr>
              <w:t>征收</w:t>
            </w:r>
            <w:r>
              <w:rPr>
                <w:rFonts w:hint="eastAsia" w:ascii="宋体" w:hAnsi="宋体" w:cs="宋体"/>
                <w:color w:val="auto"/>
                <w:szCs w:val="21"/>
              </w:rPr>
              <w:t>增值税</w:t>
            </w:r>
            <w:r>
              <w:rPr>
                <w:rFonts w:hint="eastAsia" w:ascii="宋体" w:hAnsi="宋体" w:cs="宋体"/>
                <w:color w:val="auto"/>
                <w:szCs w:val="21"/>
                <w:lang w:eastAsia="zh-CN"/>
              </w:rPr>
              <w:t>及附加；</w:t>
            </w:r>
            <w:r>
              <w:rPr>
                <w:rFonts w:hint="eastAsia" w:ascii="宋体" w:hAnsi="宋体" w:eastAsia="宋体" w:cs="宋体"/>
                <w:color w:val="auto"/>
                <w:szCs w:val="21"/>
                <w:lang w:eastAsia="zh-CN"/>
              </w:rPr>
              <w:t>③</w:t>
            </w:r>
            <w:r>
              <w:rPr>
                <w:rFonts w:hint="eastAsia" w:ascii="宋体" w:hAnsi="宋体" w:cs="宋体"/>
                <w:color w:val="auto"/>
                <w:szCs w:val="21"/>
                <w:lang w:eastAsia="zh-CN"/>
              </w:rPr>
              <w:t>证满两年免征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8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个人所得税</w:t>
            </w:r>
          </w:p>
        </w:tc>
        <w:tc>
          <w:tcPr>
            <w:tcW w:w="19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cs="宋体"/>
                <w:color w:val="000000"/>
                <w:szCs w:val="21"/>
              </w:rPr>
            </w:pPr>
            <w:r>
              <w:rPr>
                <w:rFonts w:hint="eastAsia" w:ascii="宋体" w:hAnsi="宋体" w:cs="宋体"/>
                <w:color w:val="000000"/>
                <w:szCs w:val="21"/>
                <w:lang w:eastAsia="zh-CN"/>
              </w:rPr>
              <w:t>正常交易：</w:t>
            </w:r>
            <w:r>
              <w:rPr>
                <w:rFonts w:hint="eastAsia" w:ascii="宋体" w:hAnsi="宋体" w:cs="宋体"/>
                <w:color w:val="000000"/>
                <w:szCs w:val="21"/>
              </w:rPr>
              <w:t>1.5</w:t>
            </w:r>
            <w:r>
              <w:rPr>
                <w:rFonts w:hint="eastAsia" w:ascii="宋体" w:hAnsi="宋体" w:cs="宋体"/>
                <w:color w:val="000000"/>
                <w:szCs w:val="21"/>
                <w:lang w:val="en-US" w:eastAsia="zh-CN"/>
              </w:rPr>
              <w:t>0</w:t>
            </w:r>
            <w:r>
              <w:rPr>
                <w:rFonts w:hint="eastAsia" w:ascii="宋体" w:hAnsi="宋体" w:cs="宋体"/>
                <w:color w:val="000000"/>
                <w:szCs w:val="21"/>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000000"/>
                <w:szCs w:val="21"/>
                <w:lang w:eastAsia="zh-CN"/>
              </w:rPr>
              <w:t>司法拍卖：</w:t>
            </w:r>
            <w:r>
              <w:rPr>
                <w:rFonts w:hint="eastAsia" w:ascii="宋体" w:hAnsi="宋体" w:cs="宋体"/>
                <w:color w:val="000000"/>
                <w:szCs w:val="21"/>
                <w:lang w:val="en-US" w:eastAsia="zh-CN"/>
              </w:rPr>
              <w:t>3.00</w:t>
            </w:r>
            <w:r>
              <w:rPr>
                <w:rFonts w:hint="eastAsia" w:ascii="宋体" w:hAnsi="宋体" w:cs="宋体"/>
                <w:color w:val="000000"/>
                <w:szCs w:val="21"/>
              </w:rPr>
              <w:t>%</w:t>
            </w:r>
          </w:p>
        </w:tc>
        <w:tc>
          <w:tcPr>
            <w:tcW w:w="560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000000"/>
                <w:szCs w:val="21"/>
              </w:rPr>
              <w:t>个人转让</w:t>
            </w:r>
            <w:r>
              <w:rPr>
                <w:rFonts w:hint="eastAsia" w:ascii="宋体" w:hAnsi="宋体" w:cs="宋体"/>
                <w:color w:val="000000"/>
                <w:szCs w:val="21"/>
                <w:lang w:eastAsia="zh-CN"/>
              </w:rPr>
              <w:t>住宅：</w:t>
            </w:r>
            <w:r>
              <w:rPr>
                <w:rFonts w:hint="eastAsia" w:ascii="宋体" w:hAnsi="宋体" w:cs="宋体"/>
                <w:color w:val="000000"/>
                <w:szCs w:val="21"/>
              </w:rPr>
              <w:t>①</w:t>
            </w:r>
            <w:r>
              <w:rPr>
                <w:rFonts w:hint="eastAsia" w:ascii="宋体" w:hAnsi="宋体" w:cs="宋体"/>
                <w:color w:val="000000"/>
                <w:szCs w:val="21"/>
                <w:lang w:eastAsia="zh-CN"/>
              </w:rPr>
              <w:t>提供不动产发票的按差额的</w:t>
            </w:r>
            <w:r>
              <w:rPr>
                <w:rFonts w:hint="eastAsia" w:ascii="宋体" w:hAnsi="宋体" w:cs="宋体"/>
                <w:color w:val="000000"/>
                <w:szCs w:val="21"/>
                <w:lang w:val="en-US" w:eastAsia="zh-CN"/>
              </w:rPr>
              <w:t>20%征收</w:t>
            </w:r>
            <w:r>
              <w:rPr>
                <w:rFonts w:hint="eastAsia" w:ascii="宋体" w:hAnsi="宋体" w:cs="宋体"/>
                <w:color w:val="000000"/>
                <w:szCs w:val="21"/>
                <w:lang w:eastAsia="zh-CN"/>
              </w:rPr>
              <w:t>个人所得税</w:t>
            </w:r>
            <w:r>
              <w:rPr>
                <w:rFonts w:hint="eastAsia" w:ascii="宋体" w:hAnsi="宋体" w:cs="宋体"/>
                <w:color w:val="000000"/>
                <w:szCs w:val="21"/>
              </w:rPr>
              <w:t>；②</w:t>
            </w:r>
            <w:r>
              <w:rPr>
                <w:rFonts w:hint="eastAsia" w:ascii="宋体" w:hAnsi="宋体" w:cs="宋体"/>
                <w:color w:val="000000"/>
                <w:szCs w:val="21"/>
                <w:lang w:eastAsia="zh-CN"/>
              </w:rPr>
              <w:t>不提供不动产发票的按全额的</w:t>
            </w:r>
            <w:r>
              <w:rPr>
                <w:rFonts w:hint="eastAsia" w:ascii="宋体" w:hAnsi="宋体" w:cs="宋体"/>
                <w:color w:val="000000"/>
                <w:szCs w:val="21"/>
                <w:lang w:val="en-US" w:eastAsia="zh-CN"/>
              </w:rPr>
              <w:t>1.5%</w:t>
            </w:r>
            <w:r>
              <w:rPr>
                <w:rFonts w:hint="eastAsia" w:ascii="宋体" w:hAnsi="宋体" w:cs="宋体"/>
                <w:color w:val="000000"/>
                <w:szCs w:val="21"/>
                <w:lang w:eastAsia="zh-CN"/>
              </w:rPr>
              <w:t>征收个人所得税，司法拍卖按全额的</w:t>
            </w:r>
            <w:r>
              <w:rPr>
                <w:rFonts w:hint="eastAsia" w:ascii="宋体" w:hAnsi="宋体" w:cs="宋体"/>
                <w:color w:val="000000"/>
                <w:szCs w:val="21"/>
                <w:lang w:val="en-US" w:eastAsia="zh-CN"/>
              </w:rPr>
              <w:t>3.0%</w:t>
            </w:r>
            <w:r>
              <w:rPr>
                <w:rFonts w:hint="eastAsia" w:ascii="宋体" w:hAnsi="宋体" w:cs="宋体"/>
                <w:color w:val="000000"/>
                <w:szCs w:val="21"/>
                <w:lang w:eastAsia="zh-CN"/>
              </w:rPr>
              <w:t>征收个人所得税；</w:t>
            </w:r>
            <w:r>
              <w:rPr>
                <w:rFonts w:hint="eastAsia" w:ascii="宋体" w:hAnsi="宋体" w:eastAsia="宋体" w:cs="宋体"/>
                <w:color w:val="000000"/>
                <w:szCs w:val="21"/>
                <w:lang w:eastAsia="zh-CN"/>
              </w:rPr>
              <w:t>③证满五年且为唯一生活用房的免征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rPr>
              <w:t>印花税</w:t>
            </w:r>
          </w:p>
        </w:tc>
        <w:tc>
          <w:tcPr>
            <w:tcW w:w="19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lang w:val="en-US" w:eastAsia="zh-CN"/>
              </w:rPr>
              <w:t>/</w:t>
            </w:r>
          </w:p>
        </w:tc>
        <w:tc>
          <w:tcPr>
            <w:tcW w:w="560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color w:val="auto"/>
                <w:szCs w:val="21"/>
                <w:lang w:eastAsia="zh-CN"/>
              </w:rPr>
            </w:pPr>
            <w:r>
              <w:rPr>
                <w:rFonts w:hint="eastAsia" w:ascii="宋体" w:hAnsi="宋体" w:cs="宋体"/>
                <w:color w:val="auto"/>
                <w:szCs w:val="21"/>
                <w:lang w:eastAsia="zh-CN"/>
              </w:rPr>
              <w:t>住宅免征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color w:val="auto"/>
                <w:szCs w:val="21"/>
              </w:rPr>
            </w:pPr>
            <w:r>
              <w:rPr>
                <w:rFonts w:hint="eastAsia" w:ascii="宋体" w:hAnsi="宋体" w:cs="宋体"/>
                <w:color w:val="auto"/>
                <w:szCs w:val="21"/>
                <w:lang w:eastAsia="zh-CN"/>
              </w:rPr>
              <w:t>土地增值税</w:t>
            </w:r>
          </w:p>
        </w:tc>
        <w:tc>
          <w:tcPr>
            <w:tcW w:w="19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color w:val="auto"/>
                <w:szCs w:val="21"/>
                <w:lang w:val="en-US" w:eastAsia="zh-CN"/>
              </w:rPr>
            </w:pPr>
            <w:r>
              <w:rPr>
                <w:rFonts w:hint="eastAsia" w:ascii="宋体" w:hAnsi="宋体" w:cs="宋体"/>
                <w:color w:val="auto"/>
                <w:szCs w:val="21"/>
                <w:lang w:val="en-US" w:eastAsia="zh-CN"/>
              </w:rPr>
              <w:t>/</w:t>
            </w:r>
          </w:p>
        </w:tc>
        <w:tc>
          <w:tcPr>
            <w:tcW w:w="5602"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cs="宋体"/>
                <w:color w:val="auto"/>
                <w:szCs w:val="21"/>
                <w:lang w:eastAsia="zh-CN"/>
              </w:rPr>
            </w:pPr>
            <w:r>
              <w:rPr>
                <w:rFonts w:hint="eastAsia" w:ascii="宋体" w:hAnsi="宋体" w:cs="宋体"/>
                <w:color w:val="auto"/>
                <w:szCs w:val="21"/>
                <w:lang w:eastAsia="zh-CN"/>
              </w:rPr>
              <w:t>住宅免征</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firstLineChars="0"/>
        <w:jc w:val="right"/>
        <w:textAlignment w:val="auto"/>
        <w:outlineLvl w:val="9"/>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 xml:space="preserve">可比实例A、B、C统一税费负担计算表                 </w:t>
      </w:r>
      <w:r>
        <w:rPr>
          <w:rFonts w:hint="eastAsia" w:ascii="宋体" w:hAnsi="宋体" w:eastAsia="宋体" w:cs="宋体"/>
          <w:sz w:val="24"/>
          <w:szCs w:val="24"/>
          <w:lang w:eastAsia="zh-CN"/>
        </w:rPr>
        <w:t>技</w:t>
      </w:r>
      <w:r>
        <w:rPr>
          <w:rFonts w:hint="eastAsia" w:ascii="宋体" w:hAnsi="宋体" w:eastAsia="宋体" w:cs="宋体"/>
          <w:sz w:val="24"/>
          <w:szCs w:val="24"/>
        </w:rPr>
        <w:t>表</w:t>
      </w:r>
      <w:r>
        <w:rPr>
          <w:rFonts w:hint="eastAsia" w:ascii="宋体" w:hAnsi="宋体" w:eastAsia="宋体" w:cs="宋体"/>
          <w:sz w:val="24"/>
          <w:szCs w:val="24"/>
          <w:lang w:val="en-US" w:eastAsia="zh-CN"/>
        </w:rPr>
        <w:t>10</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5"/>
        <w:gridCol w:w="1139"/>
        <w:gridCol w:w="1267"/>
        <w:gridCol w:w="3632"/>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可比实例</w:t>
            </w:r>
          </w:p>
        </w:tc>
        <w:tc>
          <w:tcPr>
            <w:tcW w:w="113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房屋类型</w:t>
            </w:r>
          </w:p>
        </w:tc>
        <w:tc>
          <w:tcPr>
            <w:tcW w:w="126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税费承担</w:t>
            </w:r>
          </w:p>
        </w:tc>
        <w:tc>
          <w:tcPr>
            <w:tcW w:w="363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计算公式</w:t>
            </w:r>
          </w:p>
        </w:tc>
        <w:tc>
          <w:tcPr>
            <w:tcW w:w="196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统一税费负担后的单价（</w:t>
            </w:r>
            <w:r>
              <w:rPr>
                <w:rFonts w:hint="eastAsia" w:ascii="宋体" w:hAnsi="宋体" w:cs="宋体"/>
                <w:color w:val="auto"/>
                <w:sz w:val="21"/>
                <w:szCs w:val="21"/>
              </w:rPr>
              <w:t>元/m</w:t>
            </w:r>
            <w:r>
              <w:rPr>
                <w:rFonts w:hint="eastAsia" w:ascii="宋体" w:hAnsi="宋体" w:cs="宋体"/>
                <w:color w:val="auto"/>
                <w:sz w:val="21"/>
                <w:szCs w:val="21"/>
                <w:vertAlign w:val="superscript"/>
              </w:rPr>
              <w:t>2</w:t>
            </w:r>
            <w:r>
              <w:rPr>
                <w:rFonts w:hint="eastAsia" w:ascii="宋体" w:hAnsi="宋体" w:cs="宋体"/>
                <w:color w:val="auto"/>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可比实例A</w:t>
            </w:r>
          </w:p>
        </w:tc>
        <w:tc>
          <w:tcPr>
            <w:tcW w:w="1139"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住宅</w:t>
            </w:r>
          </w:p>
        </w:tc>
        <w:tc>
          <w:tcPr>
            <w:tcW w:w="126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卖方实收</w:t>
            </w:r>
          </w:p>
        </w:tc>
        <w:tc>
          <w:tcPr>
            <w:tcW w:w="363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auto"/>
                <w:spacing w:val="-2"/>
                <w:sz w:val="21"/>
                <w:szCs w:val="21"/>
                <w:vertAlign w:val="baseline"/>
                <w:lang w:val="en-US" w:eastAsia="zh-CN"/>
              </w:rPr>
            </w:pPr>
            <w:r>
              <w:rPr>
                <w:rFonts w:hint="eastAsia" w:ascii="宋体" w:hAnsi="宋体" w:cs="宋体"/>
                <w:color w:val="000000"/>
                <w:spacing w:val="-2"/>
                <w:sz w:val="21"/>
                <w:szCs w:val="21"/>
                <w:vertAlign w:val="baseline"/>
                <w:lang w:val="en-US" w:eastAsia="zh-CN"/>
              </w:rPr>
              <w:t>12942/（1-6.83%）</w:t>
            </w:r>
          </w:p>
        </w:tc>
        <w:tc>
          <w:tcPr>
            <w:tcW w:w="19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eastAsia="宋体" w:cs="宋体"/>
                <w:color w:val="auto"/>
                <w:spacing w:val="-2"/>
                <w:sz w:val="21"/>
                <w:szCs w:val="21"/>
                <w:vertAlign w:val="baseline"/>
                <w:lang w:val="en-US" w:eastAsia="zh-CN"/>
              </w:rPr>
            </w:pPr>
            <w:r>
              <w:rPr>
                <w:rFonts w:hint="eastAsia" w:ascii="宋体" w:hAnsi="宋体" w:cs="宋体"/>
                <w:color w:val="000000"/>
                <w:sz w:val="21"/>
                <w:szCs w:val="21"/>
                <w:vertAlign w:val="baseline"/>
                <w:lang w:val="en-US" w:eastAsia="zh-CN"/>
              </w:rPr>
              <w:t>13891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可比实例B</w:t>
            </w:r>
          </w:p>
        </w:tc>
        <w:tc>
          <w:tcPr>
            <w:tcW w:w="1139"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住宅</w:t>
            </w:r>
          </w:p>
        </w:tc>
        <w:tc>
          <w:tcPr>
            <w:tcW w:w="126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卖方实收</w:t>
            </w:r>
          </w:p>
        </w:tc>
        <w:tc>
          <w:tcPr>
            <w:tcW w:w="363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auto"/>
                <w:spacing w:val="-2"/>
                <w:sz w:val="21"/>
                <w:szCs w:val="21"/>
                <w:vertAlign w:val="baseline"/>
                <w:lang w:val="en-US" w:eastAsia="zh-CN"/>
              </w:rPr>
            </w:pPr>
            <w:r>
              <w:rPr>
                <w:rFonts w:hint="eastAsia" w:ascii="宋体" w:hAnsi="宋体" w:cs="宋体"/>
                <w:color w:val="000000"/>
                <w:spacing w:val="-2"/>
                <w:sz w:val="21"/>
                <w:szCs w:val="21"/>
                <w:vertAlign w:val="baseline"/>
                <w:lang w:val="en-US" w:eastAsia="zh-CN"/>
              </w:rPr>
              <w:t>10189/（1-6.83%）</w:t>
            </w:r>
          </w:p>
        </w:tc>
        <w:tc>
          <w:tcPr>
            <w:tcW w:w="19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eastAsia="宋体" w:cs="宋体"/>
                <w:color w:val="auto"/>
                <w:spacing w:val="-2"/>
                <w:sz w:val="21"/>
                <w:szCs w:val="21"/>
                <w:vertAlign w:val="baseline"/>
                <w:lang w:val="en-US" w:eastAsia="zh-CN"/>
              </w:rPr>
            </w:pPr>
            <w:r>
              <w:rPr>
                <w:rFonts w:hint="eastAsia" w:ascii="宋体" w:hAnsi="宋体" w:cs="宋体"/>
                <w:color w:val="000000"/>
                <w:sz w:val="21"/>
                <w:szCs w:val="21"/>
                <w:vertAlign w:val="baseline"/>
                <w:lang w:val="en-US" w:eastAsia="zh-CN"/>
              </w:rPr>
              <w:t>10936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5"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可比实例C</w:t>
            </w:r>
          </w:p>
        </w:tc>
        <w:tc>
          <w:tcPr>
            <w:tcW w:w="1139"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住宅</w:t>
            </w:r>
          </w:p>
        </w:tc>
        <w:tc>
          <w:tcPr>
            <w:tcW w:w="1267"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卖方实收</w:t>
            </w:r>
          </w:p>
        </w:tc>
        <w:tc>
          <w:tcPr>
            <w:tcW w:w="363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auto"/>
                <w:spacing w:val="-2"/>
                <w:sz w:val="21"/>
                <w:szCs w:val="21"/>
                <w:vertAlign w:val="baseline"/>
                <w:lang w:val="en-US" w:eastAsia="zh-CN"/>
              </w:rPr>
            </w:pPr>
            <w:r>
              <w:rPr>
                <w:rFonts w:hint="eastAsia" w:ascii="宋体" w:hAnsi="宋体" w:cs="宋体"/>
                <w:color w:val="000000"/>
                <w:spacing w:val="-2"/>
                <w:sz w:val="21"/>
                <w:szCs w:val="21"/>
                <w:vertAlign w:val="baseline"/>
                <w:lang w:val="en-US" w:eastAsia="zh-CN"/>
              </w:rPr>
              <w:t>10259/（1-6.83%）</w:t>
            </w:r>
          </w:p>
        </w:tc>
        <w:tc>
          <w:tcPr>
            <w:tcW w:w="196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eastAsia="宋体" w:cs="宋体"/>
                <w:color w:val="auto"/>
                <w:spacing w:val="-2"/>
                <w:sz w:val="21"/>
                <w:szCs w:val="21"/>
                <w:vertAlign w:val="baseline"/>
                <w:lang w:val="en-US" w:eastAsia="zh-CN"/>
              </w:rPr>
            </w:pPr>
            <w:r>
              <w:rPr>
                <w:rFonts w:hint="eastAsia" w:ascii="宋体" w:hAnsi="宋体" w:cs="宋体"/>
                <w:color w:val="000000"/>
                <w:sz w:val="21"/>
                <w:szCs w:val="21"/>
                <w:vertAlign w:val="baseline"/>
                <w:lang w:val="en-US" w:eastAsia="zh-CN"/>
              </w:rPr>
              <w:t>11011</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cs="宋体"/>
          <w:color w:val="auto"/>
          <w:sz w:val="21"/>
          <w:szCs w:val="21"/>
          <w:lang w:val="en-US" w:eastAsia="zh-CN"/>
        </w:rPr>
      </w:pPr>
      <w:r>
        <w:rPr>
          <w:rFonts w:hint="eastAsia" w:ascii="宋体" w:hAnsi="宋体" w:cs="宋体"/>
          <w:color w:val="auto"/>
          <w:sz w:val="24"/>
          <w:szCs w:val="24"/>
          <w:lang w:val="en-US" w:eastAsia="zh-CN"/>
        </w:rPr>
        <w:t xml:space="preserve">   </w:t>
      </w:r>
      <w:r>
        <w:rPr>
          <w:rFonts w:hint="eastAsia" w:ascii="宋体" w:hAnsi="宋体" w:cs="宋体"/>
          <w:color w:val="auto"/>
          <w:sz w:val="21"/>
          <w:szCs w:val="21"/>
          <w:lang w:val="en-US" w:eastAsia="zh-CN"/>
        </w:rPr>
        <w:t>注：由于估价人员无法取得相关资料来判定可比实例是否能提供不动产发票、产权证满几年及是否家庭唯一用房，故本次估价假设可比实例在成交时，均按未达免征要求计算。</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76" w:firstLineChars="200"/>
        <w:textAlignment w:val="auto"/>
        <w:outlineLvl w:val="9"/>
        <w:rPr>
          <w:rFonts w:hint="eastAsia" w:ascii="宋体" w:hAnsi="宋体" w:eastAsia="宋体" w:cs="宋体"/>
          <w:bCs/>
          <w:color w:val="000000"/>
          <w:spacing w:val="-1"/>
          <w:sz w:val="24"/>
          <w:szCs w:val="24"/>
          <w:lang w:val="en-US" w:eastAsia="zh-CN"/>
        </w:rPr>
      </w:pPr>
      <w:r>
        <w:rPr>
          <w:rFonts w:hint="eastAsia" w:ascii="宋体" w:hAnsi="宋体" w:eastAsia="宋体" w:cs="宋体"/>
          <w:bCs/>
          <w:color w:val="000000"/>
          <w:spacing w:val="-1"/>
          <w:sz w:val="24"/>
          <w:szCs w:val="24"/>
        </w:rPr>
        <w:t>统一财产范围：主要指含有非房地产成分，带有债权债务的房地产。</w:t>
      </w:r>
      <w:r>
        <w:rPr>
          <w:rFonts w:hint="eastAsia" w:ascii="宋体" w:hAnsi="宋体" w:eastAsia="宋体" w:cs="宋体"/>
          <w:bCs/>
          <w:color w:val="000000"/>
          <w:spacing w:val="-1"/>
          <w:sz w:val="24"/>
          <w:szCs w:val="24"/>
          <w:lang w:eastAsia="zh-CN"/>
        </w:rPr>
        <w:t>估价对象室内为</w:t>
      </w:r>
      <w:r>
        <w:rPr>
          <w:rFonts w:hint="eastAsia" w:ascii="宋体" w:hAnsi="宋体" w:cs="宋体"/>
          <w:bCs/>
          <w:color w:val="000000"/>
          <w:spacing w:val="-1"/>
          <w:sz w:val="24"/>
          <w:szCs w:val="24"/>
          <w:lang w:val="en-US" w:eastAsia="zh-CN"/>
        </w:rPr>
        <w:t>毛坯</w:t>
      </w:r>
      <w:r>
        <w:rPr>
          <w:rFonts w:hint="eastAsia" w:ascii="宋体" w:hAnsi="宋体" w:eastAsia="宋体" w:cs="宋体"/>
          <w:bCs/>
          <w:color w:val="000000"/>
          <w:spacing w:val="-1"/>
          <w:sz w:val="24"/>
          <w:szCs w:val="24"/>
          <w:lang w:eastAsia="zh-CN"/>
        </w:rPr>
        <w:t>，</w:t>
      </w:r>
      <w:r>
        <w:rPr>
          <w:rFonts w:hint="eastAsia" w:ascii="宋体" w:hAnsi="宋体" w:eastAsia="宋体" w:cs="宋体"/>
          <w:bCs/>
          <w:color w:val="000000"/>
          <w:spacing w:val="-1"/>
          <w:sz w:val="24"/>
          <w:szCs w:val="24"/>
        </w:rPr>
        <w:t>A</w:t>
      </w:r>
      <w:r>
        <w:rPr>
          <w:rFonts w:hint="eastAsia" w:ascii="宋体" w:hAnsi="宋体" w:eastAsia="宋体" w:cs="宋体"/>
          <w:bCs/>
          <w:color w:val="000000"/>
          <w:spacing w:val="-1"/>
          <w:sz w:val="24"/>
          <w:szCs w:val="24"/>
          <w:lang w:val="en-US" w:eastAsia="zh-CN"/>
        </w:rPr>
        <w:t>室内</w:t>
      </w:r>
      <w:r>
        <w:rPr>
          <w:rFonts w:hint="eastAsia" w:ascii="宋体" w:hAnsi="宋体" w:eastAsia="宋体" w:cs="宋体"/>
          <w:bCs/>
          <w:color w:val="000000"/>
          <w:spacing w:val="-1"/>
          <w:sz w:val="24"/>
          <w:szCs w:val="24"/>
        </w:rPr>
        <w:t>为</w:t>
      </w:r>
      <w:r>
        <w:rPr>
          <w:rFonts w:hint="eastAsia" w:ascii="宋体" w:hAnsi="宋体" w:eastAsia="宋体" w:cs="宋体"/>
          <w:bCs/>
          <w:color w:val="000000"/>
          <w:spacing w:val="-1"/>
          <w:sz w:val="24"/>
          <w:szCs w:val="24"/>
          <w:lang w:eastAsia="zh-CN"/>
        </w:rPr>
        <w:t>中高档装修、</w:t>
      </w:r>
      <w:r>
        <w:rPr>
          <w:rFonts w:hint="eastAsia" w:ascii="宋体" w:hAnsi="宋体" w:eastAsia="宋体" w:cs="宋体"/>
          <w:bCs/>
          <w:color w:val="000000"/>
          <w:spacing w:val="-1"/>
          <w:sz w:val="24"/>
          <w:szCs w:val="24"/>
          <w:lang w:val="en-US" w:eastAsia="zh-CN"/>
        </w:rPr>
        <w:t>B、C室内</w:t>
      </w:r>
      <w:r>
        <w:rPr>
          <w:rFonts w:hint="eastAsia" w:ascii="宋体" w:hAnsi="宋体" w:eastAsia="宋体" w:cs="宋体"/>
          <w:bCs/>
          <w:color w:val="000000"/>
          <w:spacing w:val="-1"/>
          <w:sz w:val="24"/>
          <w:szCs w:val="24"/>
          <w:lang w:eastAsia="zh-CN"/>
        </w:rPr>
        <w:t>均</w:t>
      </w:r>
      <w:r>
        <w:rPr>
          <w:rFonts w:hint="eastAsia" w:ascii="宋体" w:hAnsi="宋体" w:eastAsia="宋体" w:cs="宋体"/>
          <w:bCs/>
          <w:color w:val="000000"/>
          <w:spacing w:val="-1"/>
          <w:sz w:val="24"/>
          <w:szCs w:val="24"/>
        </w:rPr>
        <w:t>为</w:t>
      </w:r>
      <w:r>
        <w:rPr>
          <w:rFonts w:hint="eastAsia" w:ascii="宋体" w:hAnsi="宋体" w:eastAsia="宋体" w:cs="宋体"/>
          <w:bCs/>
          <w:color w:val="000000"/>
          <w:spacing w:val="-1"/>
          <w:sz w:val="24"/>
          <w:szCs w:val="24"/>
          <w:lang w:eastAsia="zh-CN"/>
        </w:rPr>
        <w:t>普通装修</w:t>
      </w:r>
      <w:r>
        <w:rPr>
          <w:rFonts w:hint="eastAsia" w:ascii="宋体" w:hAnsi="宋体" w:eastAsia="宋体" w:cs="宋体"/>
          <w:bCs/>
          <w:color w:val="000000"/>
          <w:spacing w:val="-1"/>
          <w:sz w:val="24"/>
          <w:szCs w:val="24"/>
          <w:lang w:val="en-US" w:eastAsia="zh-CN"/>
        </w:rPr>
        <w:t>，故</w:t>
      </w:r>
      <w:r>
        <w:rPr>
          <w:rFonts w:hint="eastAsia" w:ascii="宋体" w:hAnsi="宋体" w:eastAsia="宋体" w:cs="宋体"/>
          <w:bCs/>
          <w:color w:val="000000"/>
          <w:spacing w:val="-1"/>
          <w:sz w:val="24"/>
          <w:szCs w:val="24"/>
        </w:rPr>
        <w:t>可比实例A</w:t>
      </w:r>
      <w:r>
        <w:rPr>
          <w:rFonts w:hint="eastAsia" w:ascii="宋体" w:hAnsi="宋体" w:eastAsia="宋体" w:cs="宋体"/>
          <w:bCs/>
          <w:color w:val="000000"/>
          <w:spacing w:val="-1"/>
          <w:sz w:val="24"/>
          <w:szCs w:val="24"/>
          <w:lang w:eastAsia="zh-CN"/>
        </w:rPr>
        <w:t>、</w:t>
      </w:r>
      <w:r>
        <w:rPr>
          <w:rFonts w:hint="eastAsia" w:ascii="宋体" w:hAnsi="宋体" w:eastAsia="宋体" w:cs="宋体"/>
          <w:bCs/>
          <w:color w:val="000000"/>
          <w:spacing w:val="-1"/>
          <w:sz w:val="24"/>
          <w:szCs w:val="24"/>
          <w:lang w:val="en-US" w:eastAsia="zh-CN"/>
        </w:rPr>
        <w:t>B、C需做调整：</w:t>
      </w:r>
    </w:p>
    <w:p>
      <w:pPr>
        <w:keepNext w:val="0"/>
        <w:keepLines w:val="0"/>
        <w:pageBreakBefore w:val="0"/>
        <w:kinsoku/>
        <w:wordWrap/>
        <w:overflowPunct/>
        <w:topLinePunct w:val="0"/>
        <w:autoSpaceDE/>
        <w:autoSpaceDN/>
        <w:bidi w:val="0"/>
        <w:adjustRightInd/>
        <w:snapToGrid/>
        <w:spacing w:line="400" w:lineRule="exact"/>
        <w:ind w:firstLine="476" w:firstLineChars="200"/>
        <w:rPr>
          <w:rFonts w:hint="eastAsia" w:ascii="宋体" w:hAnsi="宋体" w:cs="宋体"/>
          <w:bCs/>
          <w:color w:val="000000"/>
          <w:spacing w:val="-1"/>
          <w:sz w:val="24"/>
          <w:szCs w:val="24"/>
        </w:rPr>
      </w:pPr>
      <w:r>
        <w:rPr>
          <w:rFonts w:hint="eastAsia" w:ascii="宋体" w:hAnsi="宋体" w:cs="宋体"/>
          <w:bCs/>
          <w:color w:val="000000"/>
          <w:spacing w:val="-1"/>
          <w:sz w:val="24"/>
          <w:szCs w:val="24"/>
        </w:rPr>
        <w:t>经分析，室内二次装修价值考虑折旧后（包括物质与功能折旧），简单装修按</w:t>
      </w:r>
      <w:r>
        <w:rPr>
          <w:rFonts w:hint="eastAsia" w:ascii="宋体" w:hAnsi="宋体" w:cs="宋体"/>
          <w:bCs/>
          <w:color w:val="000000"/>
          <w:spacing w:val="-1"/>
          <w:sz w:val="24"/>
          <w:szCs w:val="24"/>
          <w:lang w:val="en-US" w:eastAsia="zh-CN"/>
        </w:rPr>
        <w:t>8</w:t>
      </w:r>
      <w:r>
        <w:rPr>
          <w:rFonts w:hint="eastAsia" w:ascii="宋体" w:hAnsi="宋体" w:cs="宋体"/>
          <w:bCs/>
          <w:color w:val="000000"/>
          <w:spacing w:val="-1"/>
          <w:sz w:val="24"/>
          <w:szCs w:val="24"/>
        </w:rPr>
        <w:t>00元/</w:t>
      </w:r>
      <w:r>
        <w:rPr>
          <w:rFonts w:hint="eastAsia" w:ascii="宋体" w:hAnsi="宋体" w:cs="宋体"/>
          <w:color w:val="000000"/>
          <w:sz w:val="24"/>
          <w:szCs w:val="24"/>
        </w:rPr>
        <w:t>m</w:t>
      </w:r>
      <w:r>
        <w:rPr>
          <w:rFonts w:hint="eastAsia" w:ascii="宋体" w:hAnsi="宋体" w:cs="宋体"/>
          <w:color w:val="000000"/>
          <w:sz w:val="24"/>
          <w:szCs w:val="24"/>
          <w:vertAlign w:val="superscript"/>
        </w:rPr>
        <w:t>2</w:t>
      </w:r>
      <w:r>
        <w:rPr>
          <w:rFonts w:hint="eastAsia" w:ascii="宋体" w:hAnsi="宋体" w:cs="宋体"/>
          <w:bCs/>
          <w:color w:val="000000"/>
          <w:spacing w:val="-1"/>
          <w:sz w:val="24"/>
          <w:szCs w:val="24"/>
        </w:rPr>
        <w:t>计取，普通装修按1</w:t>
      </w:r>
      <w:r>
        <w:rPr>
          <w:rFonts w:hint="eastAsia" w:ascii="宋体" w:hAnsi="宋体" w:cs="宋体"/>
          <w:bCs/>
          <w:color w:val="000000"/>
          <w:spacing w:val="-1"/>
          <w:sz w:val="24"/>
          <w:szCs w:val="24"/>
          <w:lang w:val="en-US" w:eastAsia="zh-CN"/>
        </w:rPr>
        <w:t>5</w:t>
      </w:r>
      <w:r>
        <w:rPr>
          <w:rFonts w:hint="eastAsia" w:ascii="宋体" w:hAnsi="宋体" w:cs="宋体"/>
          <w:bCs/>
          <w:color w:val="000000"/>
          <w:spacing w:val="-1"/>
          <w:sz w:val="24"/>
          <w:szCs w:val="24"/>
        </w:rPr>
        <w:t>00元/</w:t>
      </w:r>
      <w:r>
        <w:rPr>
          <w:rFonts w:hint="eastAsia" w:ascii="宋体" w:hAnsi="宋体" w:cs="宋体"/>
          <w:color w:val="000000"/>
          <w:sz w:val="24"/>
          <w:szCs w:val="24"/>
        </w:rPr>
        <w:t>m</w:t>
      </w:r>
      <w:r>
        <w:rPr>
          <w:rFonts w:hint="eastAsia" w:ascii="宋体" w:hAnsi="宋体" w:cs="宋体"/>
          <w:color w:val="000000"/>
          <w:sz w:val="24"/>
          <w:szCs w:val="24"/>
          <w:vertAlign w:val="superscript"/>
        </w:rPr>
        <w:t>2</w:t>
      </w:r>
      <w:r>
        <w:rPr>
          <w:rFonts w:hint="eastAsia" w:ascii="宋体" w:hAnsi="宋体" w:cs="宋体"/>
          <w:bCs/>
          <w:color w:val="000000"/>
          <w:spacing w:val="-1"/>
          <w:sz w:val="24"/>
          <w:szCs w:val="24"/>
        </w:rPr>
        <w:t>计取，中档装修按</w:t>
      </w:r>
      <w:r>
        <w:rPr>
          <w:rFonts w:hint="eastAsia" w:ascii="宋体" w:hAnsi="宋体" w:cs="宋体"/>
          <w:bCs/>
          <w:color w:val="000000"/>
          <w:spacing w:val="-1"/>
          <w:sz w:val="24"/>
          <w:szCs w:val="24"/>
          <w:lang w:val="en-US" w:eastAsia="zh-CN"/>
        </w:rPr>
        <w:t>22</w:t>
      </w:r>
      <w:r>
        <w:rPr>
          <w:rFonts w:hint="eastAsia" w:ascii="宋体" w:hAnsi="宋体" w:cs="宋体"/>
          <w:bCs/>
          <w:color w:val="000000"/>
          <w:spacing w:val="-1"/>
          <w:sz w:val="24"/>
          <w:szCs w:val="24"/>
        </w:rPr>
        <w:t>00元/</w:t>
      </w:r>
      <w:r>
        <w:rPr>
          <w:rFonts w:hint="eastAsia" w:ascii="宋体" w:hAnsi="宋体" w:cs="宋体"/>
          <w:color w:val="000000"/>
          <w:sz w:val="24"/>
          <w:szCs w:val="24"/>
        </w:rPr>
        <w:t>m</w:t>
      </w:r>
      <w:r>
        <w:rPr>
          <w:rFonts w:hint="eastAsia" w:ascii="宋体" w:hAnsi="宋体" w:cs="宋体"/>
          <w:color w:val="000000"/>
          <w:sz w:val="24"/>
          <w:szCs w:val="24"/>
          <w:vertAlign w:val="superscript"/>
        </w:rPr>
        <w:t>2</w:t>
      </w:r>
      <w:r>
        <w:rPr>
          <w:rFonts w:hint="eastAsia" w:ascii="宋体" w:hAnsi="宋体" w:cs="宋体"/>
          <w:bCs/>
          <w:color w:val="000000"/>
          <w:spacing w:val="-1"/>
          <w:sz w:val="24"/>
          <w:szCs w:val="24"/>
        </w:rPr>
        <w:t>计取，中高档装修按2</w:t>
      </w:r>
      <w:r>
        <w:rPr>
          <w:rFonts w:hint="eastAsia" w:ascii="宋体" w:hAnsi="宋体" w:cs="宋体"/>
          <w:bCs/>
          <w:color w:val="000000"/>
          <w:spacing w:val="-1"/>
          <w:sz w:val="24"/>
          <w:szCs w:val="24"/>
          <w:lang w:val="en-US" w:eastAsia="zh-CN"/>
        </w:rPr>
        <w:t>8</w:t>
      </w:r>
      <w:r>
        <w:rPr>
          <w:rFonts w:hint="eastAsia" w:ascii="宋体" w:hAnsi="宋体" w:cs="宋体"/>
          <w:bCs/>
          <w:color w:val="000000"/>
          <w:spacing w:val="-1"/>
          <w:sz w:val="24"/>
          <w:szCs w:val="24"/>
        </w:rPr>
        <w:t>00元/</w:t>
      </w:r>
      <w:r>
        <w:rPr>
          <w:rFonts w:hint="eastAsia" w:ascii="宋体" w:hAnsi="宋体" w:cs="宋体"/>
          <w:color w:val="000000"/>
          <w:sz w:val="24"/>
          <w:szCs w:val="24"/>
        </w:rPr>
        <w:t>m</w:t>
      </w:r>
      <w:r>
        <w:rPr>
          <w:rFonts w:hint="eastAsia" w:ascii="宋体" w:hAnsi="宋体" w:cs="宋体"/>
          <w:color w:val="000000"/>
          <w:sz w:val="24"/>
          <w:szCs w:val="24"/>
          <w:vertAlign w:val="superscript"/>
        </w:rPr>
        <w:t>2</w:t>
      </w:r>
      <w:r>
        <w:rPr>
          <w:rFonts w:hint="eastAsia" w:ascii="宋体" w:hAnsi="宋体" w:cs="宋体"/>
          <w:bCs/>
          <w:color w:val="000000"/>
          <w:spacing w:val="-1"/>
          <w:sz w:val="24"/>
          <w:szCs w:val="24"/>
        </w:rPr>
        <w:t>计取，则各可比实例统一财产范围后的单价为：</w:t>
      </w:r>
    </w:p>
    <w:p>
      <w:pPr>
        <w:keepNext w:val="0"/>
        <w:keepLines w:val="0"/>
        <w:pageBreakBefore w:val="0"/>
        <w:kinsoku/>
        <w:wordWrap/>
        <w:overflowPunct/>
        <w:topLinePunct w:val="0"/>
        <w:autoSpaceDE/>
        <w:autoSpaceDN/>
        <w:bidi w:val="0"/>
        <w:adjustRightInd/>
        <w:snapToGrid/>
        <w:spacing w:line="400" w:lineRule="exact"/>
        <w:ind w:firstLine="476" w:firstLineChars="200"/>
        <w:rPr>
          <w:rFonts w:ascii="宋体" w:hAnsi="宋体" w:cs="宋体"/>
          <w:bCs/>
          <w:color w:val="000000"/>
          <w:spacing w:val="-1"/>
          <w:sz w:val="24"/>
          <w:szCs w:val="24"/>
        </w:rPr>
      </w:pPr>
      <w:r>
        <w:rPr>
          <w:rFonts w:hint="eastAsia" w:ascii="宋体" w:hAnsi="宋体" w:cs="宋体"/>
          <w:bCs/>
          <w:color w:val="000000"/>
          <w:spacing w:val="-1"/>
          <w:sz w:val="24"/>
          <w:szCs w:val="24"/>
        </w:rPr>
        <w:t>可比实例A为：</w:t>
      </w:r>
      <w:r>
        <w:rPr>
          <w:rFonts w:hint="eastAsia" w:ascii="宋体" w:hAnsi="宋体" w:cs="宋体"/>
          <w:bCs/>
          <w:color w:val="000000"/>
          <w:spacing w:val="-1"/>
          <w:sz w:val="24"/>
          <w:szCs w:val="24"/>
          <w:lang w:val="en-US" w:eastAsia="zh-CN"/>
        </w:rPr>
        <w:t>13891</w:t>
      </w:r>
      <w:r>
        <w:rPr>
          <w:rFonts w:hint="eastAsia" w:ascii="宋体" w:hAnsi="宋体" w:cs="宋体"/>
          <w:bCs/>
          <w:color w:val="000000"/>
          <w:spacing w:val="-1"/>
          <w:sz w:val="24"/>
          <w:szCs w:val="24"/>
        </w:rPr>
        <w:t>-</w:t>
      </w:r>
      <w:r>
        <w:rPr>
          <w:rFonts w:hint="eastAsia" w:ascii="宋体" w:hAnsi="宋体" w:cs="宋体"/>
          <w:bCs/>
          <w:color w:val="000000"/>
          <w:spacing w:val="-1"/>
          <w:sz w:val="24"/>
          <w:szCs w:val="24"/>
          <w:lang w:eastAsia="zh-CN"/>
        </w:rPr>
        <w:t>（</w:t>
      </w:r>
      <w:r>
        <w:rPr>
          <w:rFonts w:hint="eastAsia" w:ascii="宋体" w:hAnsi="宋体" w:cs="宋体"/>
          <w:bCs/>
          <w:color w:val="000000"/>
          <w:spacing w:val="-1"/>
          <w:sz w:val="24"/>
          <w:szCs w:val="24"/>
          <w:lang w:val="en-US" w:eastAsia="zh-CN"/>
        </w:rPr>
        <w:t>2800-0）</w:t>
      </w:r>
      <w:r>
        <w:rPr>
          <w:rFonts w:hint="eastAsia" w:ascii="宋体" w:hAnsi="宋体" w:cs="宋体"/>
          <w:bCs/>
          <w:color w:val="000000"/>
          <w:spacing w:val="-1"/>
          <w:sz w:val="24"/>
          <w:szCs w:val="24"/>
        </w:rPr>
        <w:t>=</w:t>
      </w:r>
      <w:r>
        <w:rPr>
          <w:rFonts w:hint="eastAsia" w:ascii="宋体" w:hAnsi="宋体" w:cs="宋体"/>
          <w:bCs/>
          <w:color w:val="000000"/>
          <w:spacing w:val="-1"/>
          <w:sz w:val="24"/>
          <w:szCs w:val="24"/>
          <w:lang w:val="en-US" w:eastAsia="zh-CN"/>
        </w:rPr>
        <w:t>11091</w:t>
      </w:r>
      <w:r>
        <w:rPr>
          <w:rFonts w:hint="eastAsia" w:ascii="宋体" w:hAnsi="宋体" w:cs="宋体"/>
          <w:bCs/>
          <w:color w:val="000000"/>
          <w:spacing w:val="-1"/>
          <w:sz w:val="24"/>
          <w:szCs w:val="24"/>
        </w:rPr>
        <w:t>元/</w:t>
      </w:r>
      <w:r>
        <w:rPr>
          <w:rFonts w:hint="eastAsia" w:ascii="宋体" w:hAnsi="宋体" w:cs="宋体"/>
          <w:color w:val="000000"/>
          <w:sz w:val="24"/>
          <w:szCs w:val="24"/>
        </w:rPr>
        <w:t>m</w:t>
      </w:r>
      <w:r>
        <w:rPr>
          <w:rFonts w:hint="eastAsia" w:ascii="宋体" w:hAnsi="宋体" w:cs="宋体"/>
          <w:color w:val="000000"/>
          <w:sz w:val="24"/>
          <w:szCs w:val="24"/>
          <w:vertAlign w:val="superscript"/>
        </w:rPr>
        <w:t>2</w:t>
      </w:r>
    </w:p>
    <w:p>
      <w:pPr>
        <w:keepNext w:val="0"/>
        <w:keepLines w:val="0"/>
        <w:pageBreakBefore w:val="0"/>
        <w:kinsoku/>
        <w:wordWrap/>
        <w:overflowPunct/>
        <w:topLinePunct w:val="0"/>
        <w:autoSpaceDE/>
        <w:autoSpaceDN/>
        <w:bidi w:val="0"/>
        <w:adjustRightInd/>
        <w:snapToGrid/>
        <w:spacing w:line="400" w:lineRule="exact"/>
        <w:rPr>
          <w:rFonts w:hint="eastAsia" w:ascii="宋体" w:hAnsi="宋体" w:cs="宋体"/>
          <w:bCs/>
          <w:color w:val="000000"/>
          <w:spacing w:val="-1"/>
          <w:sz w:val="24"/>
          <w:szCs w:val="24"/>
        </w:rPr>
      </w:pPr>
      <w:r>
        <w:rPr>
          <w:rFonts w:hint="eastAsia" w:ascii="宋体" w:hAnsi="宋体" w:cs="宋体"/>
          <w:bCs/>
          <w:color w:val="000000"/>
          <w:spacing w:val="-1"/>
          <w:sz w:val="24"/>
          <w:szCs w:val="24"/>
        </w:rPr>
        <w:t xml:space="preserve">    可比实例B为：</w:t>
      </w:r>
      <w:r>
        <w:rPr>
          <w:rFonts w:hint="eastAsia" w:ascii="宋体" w:hAnsi="宋体" w:cs="宋体"/>
          <w:bCs/>
          <w:color w:val="000000"/>
          <w:spacing w:val="-1"/>
          <w:sz w:val="24"/>
          <w:szCs w:val="24"/>
          <w:lang w:val="en-US" w:eastAsia="zh-CN"/>
        </w:rPr>
        <w:t>10936</w:t>
      </w:r>
      <w:r>
        <w:rPr>
          <w:rFonts w:hint="eastAsia" w:ascii="宋体" w:hAnsi="宋体" w:cs="宋体"/>
          <w:bCs/>
          <w:color w:val="000000"/>
          <w:spacing w:val="-1"/>
          <w:sz w:val="24"/>
          <w:szCs w:val="24"/>
        </w:rPr>
        <w:t>-</w:t>
      </w:r>
      <w:r>
        <w:rPr>
          <w:rFonts w:hint="eastAsia" w:ascii="宋体" w:hAnsi="宋体" w:cs="宋体"/>
          <w:bCs/>
          <w:color w:val="000000"/>
          <w:spacing w:val="-1"/>
          <w:sz w:val="24"/>
          <w:szCs w:val="24"/>
          <w:lang w:eastAsia="zh-CN"/>
        </w:rPr>
        <w:t>（</w:t>
      </w:r>
      <w:r>
        <w:rPr>
          <w:rFonts w:hint="eastAsia" w:ascii="宋体" w:hAnsi="宋体" w:cs="宋体"/>
          <w:bCs/>
          <w:color w:val="000000"/>
          <w:spacing w:val="-1"/>
          <w:sz w:val="24"/>
          <w:szCs w:val="24"/>
          <w:lang w:val="en-US" w:eastAsia="zh-CN"/>
        </w:rPr>
        <w:t>1500-0）</w:t>
      </w:r>
      <w:r>
        <w:rPr>
          <w:rFonts w:hint="eastAsia" w:ascii="宋体" w:hAnsi="宋体" w:cs="宋体"/>
          <w:bCs/>
          <w:color w:val="000000"/>
          <w:spacing w:val="-1"/>
          <w:sz w:val="24"/>
          <w:szCs w:val="24"/>
        </w:rPr>
        <w:t>=</w:t>
      </w:r>
      <w:r>
        <w:rPr>
          <w:rFonts w:hint="eastAsia" w:ascii="宋体" w:hAnsi="宋体" w:cs="宋体"/>
          <w:bCs/>
          <w:color w:val="000000"/>
          <w:spacing w:val="-1"/>
          <w:sz w:val="24"/>
          <w:szCs w:val="24"/>
          <w:lang w:val="en-US" w:eastAsia="zh-CN"/>
        </w:rPr>
        <w:t>9436</w:t>
      </w:r>
      <w:r>
        <w:rPr>
          <w:rFonts w:hint="eastAsia" w:ascii="宋体" w:hAnsi="宋体" w:cs="宋体"/>
          <w:bCs/>
          <w:color w:val="000000"/>
          <w:spacing w:val="-1"/>
          <w:sz w:val="24"/>
          <w:szCs w:val="24"/>
        </w:rPr>
        <w:t>元/</w:t>
      </w:r>
      <w:r>
        <w:rPr>
          <w:rFonts w:hint="eastAsia" w:ascii="宋体" w:hAnsi="宋体" w:cs="宋体"/>
          <w:color w:val="000000"/>
          <w:sz w:val="24"/>
          <w:szCs w:val="24"/>
        </w:rPr>
        <w:t>m</w:t>
      </w:r>
      <w:r>
        <w:rPr>
          <w:rFonts w:hint="eastAsia" w:ascii="宋体" w:hAnsi="宋体" w:cs="宋体"/>
          <w:color w:val="000000"/>
          <w:sz w:val="24"/>
          <w:szCs w:val="24"/>
          <w:vertAlign w:val="superscript"/>
        </w:rPr>
        <w:t>2</w:t>
      </w:r>
    </w:p>
    <w:p>
      <w:pPr>
        <w:keepNext w:val="0"/>
        <w:keepLines w:val="0"/>
        <w:pageBreakBefore w:val="0"/>
        <w:kinsoku/>
        <w:wordWrap/>
        <w:overflowPunct/>
        <w:topLinePunct w:val="0"/>
        <w:autoSpaceDE/>
        <w:autoSpaceDN/>
        <w:bidi w:val="0"/>
        <w:adjustRightInd/>
        <w:snapToGrid/>
        <w:spacing w:line="400" w:lineRule="exact"/>
        <w:ind w:firstLine="476" w:firstLineChars="200"/>
        <w:rPr>
          <w:rFonts w:hint="default" w:ascii="宋体" w:hAnsi="宋体" w:eastAsia="宋体" w:cs="宋体"/>
          <w:bCs/>
          <w:color w:val="000000"/>
          <w:spacing w:val="-1"/>
          <w:sz w:val="24"/>
          <w:szCs w:val="24"/>
          <w:lang w:val="en-US" w:eastAsia="zh-CN"/>
        </w:rPr>
      </w:pPr>
      <w:r>
        <w:rPr>
          <w:rFonts w:hint="eastAsia" w:ascii="宋体" w:hAnsi="宋体" w:cs="宋体"/>
          <w:bCs/>
          <w:color w:val="000000"/>
          <w:spacing w:val="-1"/>
          <w:sz w:val="24"/>
          <w:szCs w:val="24"/>
        </w:rPr>
        <w:t>可比实例C为：</w:t>
      </w:r>
      <w:r>
        <w:rPr>
          <w:rFonts w:hint="eastAsia" w:ascii="宋体" w:hAnsi="宋体" w:cs="宋体"/>
          <w:bCs/>
          <w:color w:val="000000"/>
          <w:spacing w:val="-1"/>
          <w:sz w:val="24"/>
          <w:szCs w:val="24"/>
          <w:lang w:val="en-US" w:eastAsia="zh-CN"/>
        </w:rPr>
        <w:t>11011-（1500-0）=9511</w:t>
      </w:r>
      <w:r>
        <w:rPr>
          <w:rFonts w:hint="eastAsia" w:ascii="宋体" w:hAnsi="宋体" w:cs="宋体"/>
          <w:bCs/>
          <w:color w:val="000000"/>
          <w:spacing w:val="-1"/>
          <w:sz w:val="24"/>
          <w:szCs w:val="24"/>
        </w:rPr>
        <w:t>元/</w:t>
      </w:r>
      <w:r>
        <w:rPr>
          <w:rFonts w:hint="eastAsia" w:ascii="宋体" w:hAnsi="宋体" w:cs="宋体"/>
          <w:color w:val="000000"/>
          <w:sz w:val="24"/>
          <w:szCs w:val="24"/>
        </w:rPr>
        <w:t>m</w:t>
      </w:r>
      <w:r>
        <w:rPr>
          <w:rFonts w:hint="eastAsia" w:ascii="宋体" w:hAnsi="宋体" w:cs="宋体"/>
          <w:color w:val="000000"/>
          <w:sz w:val="24"/>
          <w:szCs w:val="24"/>
          <w:vertAlign w:val="superscript"/>
        </w:rPr>
        <w:t>2</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714" w:firstLineChars="300"/>
        <w:textAlignment w:val="auto"/>
        <w:rPr>
          <w:rFonts w:hint="eastAsia" w:ascii="宋体" w:hAnsi="宋体" w:cs="宋体"/>
          <w:bCs/>
          <w:color w:val="000000"/>
          <w:spacing w:val="-1"/>
          <w:sz w:val="24"/>
          <w:szCs w:val="24"/>
        </w:rPr>
      </w:pPr>
      <w:r>
        <w:rPr>
          <w:rFonts w:hint="eastAsia" w:ascii="宋体" w:hAnsi="宋体" w:cs="宋体"/>
          <w:bCs/>
          <w:color w:val="000000"/>
          <w:spacing w:val="-1"/>
          <w:sz w:val="24"/>
          <w:szCs w:val="24"/>
        </w:rPr>
        <w:t>土地出让金等其他方面财产范围，已满足建立比较基础条件。</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（3）统一付款方式：可比实例与估价对象已统一。</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58" w:firstLineChars="191"/>
        <w:textAlignment w:val="auto"/>
        <w:outlineLvl w:val="9"/>
        <w:rPr>
          <w:rFonts w:hint="eastAsia" w:ascii="宋体" w:hAnsi="宋体" w:eastAsia="宋体" w:cs="宋体"/>
          <w:bCs/>
          <w:color w:val="auto"/>
          <w:sz w:val="24"/>
          <w:szCs w:val="24"/>
        </w:rPr>
      </w:pPr>
      <w:r>
        <w:rPr>
          <w:rFonts w:hint="eastAsia" w:ascii="宋体" w:hAnsi="宋体" w:eastAsia="宋体" w:cs="宋体"/>
          <w:bCs/>
          <w:color w:val="auto"/>
          <w:sz w:val="24"/>
          <w:szCs w:val="24"/>
        </w:rPr>
        <w:t>（4）统一计价单位：可比实例与估价对象已统一。</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cs="宋体"/>
          <w:color w:val="auto"/>
          <w:sz w:val="24"/>
          <w:szCs w:val="24"/>
          <w:vertAlign w:val="baseline"/>
          <w:lang w:val="en-US" w:eastAsia="zh-CN"/>
        </w:rPr>
      </w:pPr>
      <w:r>
        <w:rPr>
          <w:rFonts w:hint="eastAsia" w:ascii="宋体" w:hAnsi="宋体" w:cs="宋体"/>
          <w:color w:val="auto"/>
          <w:sz w:val="24"/>
          <w:szCs w:val="24"/>
          <w:lang w:val="en-US" w:eastAsia="zh-CN"/>
        </w:rPr>
        <w:t xml:space="preserve">    3</w:t>
      </w:r>
      <w:r>
        <w:rPr>
          <w:rFonts w:hint="eastAsia" w:ascii="宋体" w:hAnsi="宋体" w:cs="宋体"/>
          <w:color w:val="auto"/>
          <w:sz w:val="24"/>
          <w:szCs w:val="24"/>
          <w:vertAlign w:val="baseline"/>
          <w:lang w:val="en-US" w:eastAsia="zh-CN"/>
        </w:rPr>
        <w:t>、各可比实例与估价对象因素比较分析</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480" w:leftChars="0" w:right="0" w:rightChars="0"/>
        <w:jc w:val="both"/>
        <w:textAlignment w:val="auto"/>
        <w:outlineLvl w:val="9"/>
        <w:rPr>
          <w:rFonts w:hint="eastAsia"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各可比实例分别与估价对象进行比较，得出下表中的“比较结果”。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480" w:leftChars="0" w:right="0" w:rightChars="0"/>
        <w:textAlignment w:val="auto"/>
        <w:outlineLvl w:val="9"/>
        <w:rPr>
          <w:rFonts w:hint="eastAsia"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可比实例比估价对象好的，“比较结果”中依程度不同表述为：好、较好、略好；</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textAlignment w:val="auto"/>
        <w:outlineLvl w:val="9"/>
        <w:rPr>
          <w:rFonts w:hint="eastAsia"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可比实例比估价对象差的，“比较结果”中依程度不同表述为：差、较差、略差；可比实例与估价对象相同或相当的，“比较结果”中表述为：相似。</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right"/>
        <w:textAlignment w:val="auto"/>
        <w:outlineLvl w:val="9"/>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 xml:space="preserve">  区位状况因素比照</w:t>
      </w:r>
      <w:r>
        <w:rPr>
          <w:rFonts w:hint="eastAsia" w:ascii="宋体" w:hAnsi="宋体" w:cs="宋体"/>
          <w:color w:val="auto"/>
          <w:sz w:val="24"/>
          <w:szCs w:val="24"/>
          <w:lang w:eastAsia="zh-CN"/>
        </w:rPr>
        <w:t>表</w:t>
      </w:r>
      <w:r>
        <w:rPr>
          <w:rFonts w:hint="eastAsia" w:ascii="宋体" w:hAnsi="宋体" w:cs="宋体"/>
          <w:color w:val="auto"/>
          <w:sz w:val="24"/>
          <w:szCs w:val="24"/>
        </w:rPr>
        <w:t xml:space="preserve">    </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 xml:space="preserve">   </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 xml:space="preserve">   </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 xml:space="preserve">        </w:t>
      </w:r>
      <w:r>
        <w:rPr>
          <w:rFonts w:hint="eastAsia" w:ascii="宋体" w:hAnsi="宋体" w:eastAsia="宋体" w:cs="宋体"/>
          <w:sz w:val="24"/>
          <w:szCs w:val="24"/>
          <w:lang w:eastAsia="zh-CN"/>
        </w:rPr>
        <w:t>技</w:t>
      </w:r>
      <w:r>
        <w:rPr>
          <w:rFonts w:hint="eastAsia" w:ascii="宋体" w:hAnsi="宋体" w:eastAsia="宋体" w:cs="宋体"/>
          <w:sz w:val="24"/>
          <w:szCs w:val="24"/>
        </w:rPr>
        <w:t>表</w:t>
      </w:r>
      <w:r>
        <w:rPr>
          <w:rFonts w:hint="eastAsia" w:ascii="宋体" w:hAnsi="宋体" w:eastAsia="宋体" w:cs="宋体"/>
          <w:sz w:val="24"/>
          <w:szCs w:val="24"/>
          <w:lang w:val="en-US" w:eastAsia="zh-CN"/>
        </w:rPr>
        <w:t>11</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
        <w:gridCol w:w="885"/>
        <w:gridCol w:w="1430"/>
        <w:gridCol w:w="1450"/>
        <w:gridCol w:w="675"/>
        <w:gridCol w:w="1450"/>
        <w:gridCol w:w="688"/>
        <w:gridCol w:w="1462"/>
        <w:gridCol w:w="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329"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因素名称</w:t>
            </w:r>
          </w:p>
        </w:tc>
        <w:tc>
          <w:tcPr>
            <w:tcW w:w="1430"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估价对象</w:t>
            </w:r>
          </w:p>
        </w:tc>
        <w:tc>
          <w:tcPr>
            <w:tcW w:w="212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可比实例A</w:t>
            </w:r>
          </w:p>
        </w:tc>
        <w:tc>
          <w:tcPr>
            <w:tcW w:w="213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可比实例B</w:t>
            </w:r>
          </w:p>
        </w:tc>
        <w:tc>
          <w:tcPr>
            <w:tcW w:w="211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可比实例C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329"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rPr>
            </w:pPr>
          </w:p>
        </w:tc>
        <w:tc>
          <w:tcPr>
            <w:tcW w:w="14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子项因素</w:t>
            </w: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rPr>
              <w:t>子项因素</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比较结果</w:t>
            </w: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rPr>
              <w:t>子项因素</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比较结果</w:t>
            </w:r>
          </w:p>
        </w:tc>
        <w:tc>
          <w:tcPr>
            <w:tcW w:w="146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rPr>
              <w:t>子项因素</w:t>
            </w:r>
          </w:p>
        </w:tc>
        <w:tc>
          <w:tcPr>
            <w:tcW w:w="6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比较结果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位置</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状况</w:t>
            </w: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楼幢</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位置</w:t>
            </w:r>
          </w:p>
        </w:tc>
        <w:tc>
          <w:tcPr>
            <w:tcW w:w="14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基准 （楼幢位置较好）</w:t>
            </w: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楼幢位置</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rPr>
              <w:t>较好</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相似</w:t>
            </w: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楼幢位置</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rPr>
              <w:t>较好</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相似</w:t>
            </w:r>
          </w:p>
        </w:tc>
        <w:tc>
          <w:tcPr>
            <w:tcW w:w="146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楼幢位置</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rPr>
              <w:t>较好</w:t>
            </w:r>
          </w:p>
        </w:tc>
        <w:tc>
          <w:tcPr>
            <w:tcW w:w="6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相似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rPr>
            </w:pP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层次/</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总层数</w:t>
            </w:r>
          </w:p>
        </w:tc>
        <w:tc>
          <w:tcPr>
            <w:tcW w:w="14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基准（第</w:t>
            </w:r>
            <w:r>
              <w:rPr>
                <w:rFonts w:hint="eastAsia" w:ascii="宋体" w:hAnsi="宋体" w:cs="宋体"/>
                <w:color w:val="auto"/>
                <w:sz w:val="21"/>
                <w:szCs w:val="21"/>
                <w:lang w:val="en-US" w:eastAsia="zh-CN"/>
              </w:rPr>
              <w:t>28</w:t>
            </w:r>
            <w:r>
              <w:rPr>
                <w:rFonts w:hint="eastAsia" w:ascii="宋体" w:hAnsi="宋体" w:eastAsia="宋体" w:cs="宋体"/>
                <w:color w:val="auto"/>
                <w:sz w:val="21"/>
                <w:szCs w:val="21"/>
              </w:rPr>
              <w:t>层/</w:t>
            </w:r>
            <w:r>
              <w:rPr>
                <w:rFonts w:hint="eastAsia" w:ascii="宋体" w:hAnsi="宋体" w:eastAsia="宋体" w:cs="宋体"/>
                <w:color w:val="auto"/>
                <w:sz w:val="21"/>
                <w:szCs w:val="21"/>
                <w:lang w:val="en-US" w:eastAsia="zh-CN"/>
              </w:rPr>
              <w:t>3</w:t>
            </w:r>
            <w:r>
              <w:rPr>
                <w:rFonts w:hint="eastAsia" w:ascii="宋体" w:hAnsi="宋体" w:cs="宋体"/>
                <w:color w:val="auto"/>
                <w:sz w:val="21"/>
                <w:szCs w:val="21"/>
                <w:lang w:val="en-US" w:eastAsia="zh-CN"/>
              </w:rPr>
              <w:t>1</w:t>
            </w:r>
            <w:r>
              <w:rPr>
                <w:rFonts w:hint="eastAsia" w:ascii="宋体" w:hAnsi="宋体" w:eastAsia="宋体" w:cs="宋体"/>
                <w:color w:val="auto"/>
                <w:sz w:val="21"/>
                <w:szCs w:val="21"/>
              </w:rPr>
              <w:t>层）</w:t>
            </w: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pacing w:val="-11"/>
                <w:kern w:val="0"/>
                <w:sz w:val="21"/>
                <w:szCs w:val="21"/>
              </w:rPr>
              <w:t>第</w:t>
            </w:r>
            <w:r>
              <w:rPr>
                <w:rFonts w:hint="eastAsia" w:ascii="宋体" w:hAnsi="宋体" w:cs="宋体"/>
                <w:color w:val="auto"/>
                <w:spacing w:val="-11"/>
                <w:kern w:val="0"/>
                <w:sz w:val="21"/>
                <w:szCs w:val="21"/>
                <w:lang w:val="en-US" w:eastAsia="zh-CN"/>
              </w:rPr>
              <w:t>1</w:t>
            </w:r>
            <w:r>
              <w:rPr>
                <w:rFonts w:hint="eastAsia" w:ascii="宋体" w:hAnsi="宋体" w:eastAsia="宋体" w:cs="宋体"/>
                <w:color w:val="auto"/>
                <w:spacing w:val="-11"/>
                <w:kern w:val="0"/>
                <w:sz w:val="21"/>
                <w:szCs w:val="21"/>
                <w:lang w:val="en-US" w:eastAsia="zh-CN"/>
              </w:rPr>
              <w:t>0</w:t>
            </w:r>
            <w:r>
              <w:rPr>
                <w:rFonts w:hint="eastAsia" w:ascii="宋体" w:hAnsi="宋体" w:eastAsia="宋体" w:cs="宋体"/>
                <w:color w:val="auto"/>
                <w:spacing w:val="-11"/>
                <w:kern w:val="0"/>
                <w:sz w:val="21"/>
                <w:szCs w:val="21"/>
              </w:rPr>
              <w:t>层/</w:t>
            </w:r>
            <w:r>
              <w:rPr>
                <w:rFonts w:hint="eastAsia" w:ascii="宋体" w:hAnsi="宋体" w:cs="宋体"/>
                <w:color w:val="auto"/>
                <w:spacing w:val="-11"/>
                <w:kern w:val="0"/>
                <w:sz w:val="21"/>
                <w:szCs w:val="21"/>
                <w:lang w:val="en-US" w:eastAsia="zh-CN"/>
              </w:rPr>
              <w:t>18</w:t>
            </w:r>
            <w:r>
              <w:rPr>
                <w:rFonts w:hint="eastAsia" w:ascii="宋体" w:hAnsi="宋体" w:eastAsia="宋体" w:cs="宋体"/>
                <w:color w:val="auto"/>
                <w:spacing w:val="-11"/>
                <w:kern w:val="0"/>
                <w:sz w:val="21"/>
                <w:szCs w:val="21"/>
              </w:rPr>
              <w:t>层</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差</w:t>
            </w: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pacing w:val="-11"/>
                <w:kern w:val="0"/>
                <w:sz w:val="21"/>
                <w:szCs w:val="21"/>
              </w:rPr>
              <w:t>第</w:t>
            </w:r>
            <w:r>
              <w:rPr>
                <w:rFonts w:hint="eastAsia" w:ascii="宋体" w:hAnsi="宋体" w:cs="宋体"/>
                <w:color w:val="auto"/>
                <w:spacing w:val="-11"/>
                <w:kern w:val="0"/>
                <w:sz w:val="21"/>
                <w:szCs w:val="21"/>
                <w:lang w:val="en-US" w:eastAsia="zh-CN"/>
              </w:rPr>
              <w:t>8</w:t>
            </w:r>
            <w:r>
              <w:rPr>
                <w:rFonts w:hint="eastAsia" w:ascii="宋体" w:hAnsi="宋体" w:eastAsia="宋体" w:cs="宋体"/>
                <w:color w:val="auto"/>
                <w:spacing w:val="-11"/>
                <w:kern w:val="0"/>
                <w:sz w:val="21"/>
                <w:szCs w:val="21"/>
              </w:rPr>
              <w:t>层/</w:t>
            </w:r>
            <w:r>
              <w:rPr>
                <w:rFonts w:hint="eastAsia" w:ascii="宋体" w:hAnsi="宋体" w:cs="宋体"/>
                <w:color w:val="auto"/>
                <w:spacing w:val="-11"/>
                <w:kern w:val="0"/>
                <w:sz w:val="21"/>
                <w:szCs w:val="21"/>
                <w:lang w:val="en-US" w:eastAsia="zh-CN"/>
              </w:rPr>
              <w:t>27</w:t>
            </w:r>
            <w:r>
              <w:rPr>
                <w:rFonts w:hint="eastAsia" w:ascii="宋体" w:hAnsi="宋体" w:eastAsia="宋体" w:cs="宋体"/>
                <w:color w:val="auto"/>
                <w:spacing w:val="-11"/>
                <w:kern w:val="0"/>
                <w:sz w:val="21"/>
                <w:szCs w:val="21"/>
              </w:rPr>
              <w:t>层</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 xml:space="preserve">差 </w:t>
            </w:r>
          </w:p>
        </w:tc>
        <w:tc>
          <w:tcPr>
            <w:tcW w:w="146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pacing w:val="-11"/>
                <w:kern w:val="0"/>
                <w:sz w:val="21"/>
                <w:szCs w:val="21"/>
              </w:rPr>
              <w:t>第</w:t>
            </w:r>
            <w:r>
              <w:rPr>
                <w:rFonts w:hint="eastAsia" w:ascii="宋体" w:hAnsi="宋体" w:cs="宋体"/>
                <w:color w:val="auto"/>
                <w:spacing w:val="-11"/>
                <w:kern w:val="0"/>
                <w:sz w:val="21"/>
                <w:szCs w:val="21"/>
                <w:lang w:val="en-US" w:eastAsia="zh-CN"/>
              </w:rPr>
              <w:t>9</w:t>
            </w:r>
            <w:r>
              <w:rPr>
                <w:rFonts w:hint="eastAsia" w:ascii="宋体" w:hAnsi="宋体" w:eastAsia="宋体" w:cs="宋体"/>
                <w:color w:val="auto"/>
                <w:spacing w:val="-11"/>
                <w:kern w:val="0"/>
                <w:sz w:val="21"/>
                <w:szCs w:val="21"/>
              </w:rPr>
              <w:t>层/</w:t>
            </w:r>
            <w:r>
              <w:rPr>
                <w:rFonts w:hint="eastAsia" w:ascii="宋体" w:hAnsi="宋体" w:cs="宋体"/>
                <w:color w:val="auto"/>
                <w:spacing w:val="-11"/>
                <w:kern w:val="0"/>
                <w:sz w:val="21"/>
                <w:szCs w:val="21"/>
                <w:lang w:val="en-US" w:eastAsia="zh-CN"/>
              </w:rPr>
              <w:t>27</w:t>
            </w:r>
            <w:r>
              <w:rPr>
                <w:rFonts w:hint="eastAsia" w:ascii="宋体" w:hAnsi="宋体" w:eastAsia="宋体" w:cs="宋体"/>
                <w:color w:val="auto"/>
                <w:spacing w:val="-11"/>
                <w:kern w:val="0"/>
                <w:sz w:val="21"/>
                <w:szCs w:val="21"/>
              </w:rPr>
              <w:t>层</w:t>
            </w:r>
          </w:p>
        </w:tc>
        <w:tc>
          <w:tcPr>
            <w:tcW w:w="6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44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rPr>
            </w:pP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朝向</w:t>
            </w:r>
          </w:p>
        </w:tc>
        <w:tc>
          <w:tcPr>
            <w:tcW w:w="14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基准（</w:t>
            </w:r>
            <w:r>
              <w:rPr>
                <w:rFonts w:hint="eastAsia" w:ascii="宋体" w:hAnsi="宋体" w:cs="宋体"/>
                <w:color w:val="auto"/>
                <w:sz w:val="21"/>
                <w:szCs w:val="21"/>
                <w:lang w:val="en-US" w:eastAsia="zh-CN"/>
              </w:rPr>
              <w:t>南北朝向</w:t>
            </w:r>
            <w:r>
              <w:rPr>
                <w:rFonts w:hint="eastAsia" w:ascii="宋体" w:hAnsi="宋体" w:eastAsia="宋体" w:cs="宋体"/>
                <w:color w:val="auto"/>
                <w:sz w:val="21"/>
                <w:szCs w:val="21"/>
                <w:lang w:eastAsia="zh-CN"/>
              </w:rPr>
              <w:t>，</w:t>
            </w:r>
            <w:r>
              <w:rPr>
                <w:rFonts w:hint="eastAsia" w:ascii="宋体" w:hAnsi="宋体" w:cs="宋体"/>
                <w:color w:val="auto"/>
                <w:sz w:val="21"/>
                <w:szCs w:val="21"/>
                <w:lang w:val="en-US" w:eastAsia="zh-CN"/>
              </w:rPr>
              <w:t>三</w:t>
            </w:r>
            <w:r>
              <w:rPr>
                <w:rFonts w:hint="eastAsia" w:ascii="宋体" w:hAnsi="宋体" w:eastAsia="宋体" w:cs="宋体"/>
                <w:color w:val="auto"/>
                <w:kern w:val="0"/>
                <w:sz w:val="21"/>
                <w:szCs w:val="21"/>
                <w:lang w:eastAsia="zh-CN"/>
              </w:rPr>
              <w:t>面采光</w:t>
            </w:r>
            <w:r>
              <w:rPr>
                <w:rFonts w:hint="eastAsia" w:ascii="宋体" w:hAnsi="宋体" w:eastAsia="宋体" w:cs="宋体"/>
                <w:color w:val="auto"/>
                <w:sz w:val="21"/>
                <w:szCs w:val="21"/>
              </w:rPr>
              <w:t>）</w:t>
            </w: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lang w:eastAsia="zh-CN"/>
              </w:rPr>
            </w:pPr>
            <w:r>
              <w:rPr>
                <w:rFonts w:hint="eastAsia" w:ascii="宋体" w:hAnsi="宋体" w:cs="宋体"/>
                <w:color w:val="000000"/>
                <w:szCs w:val="21"/>
              </w:rPr>
              <w:t>南北朝向，两面采光，通风</w:t>
            </w:r>
            <w:r>
              <w:rPr>
                <w:rFonts w:hint="eastAsia" w:ascii="宋体" w:hAnsi="宋体" w:cs="宋体"/>
                <w:color w:val="000000"/>
                <w:szCs w:val="21"/>
                <w:lang w:eastAsia="zh-CN"/>
              </w:rPr>
              <w:t>良</w:t>
            </w:r>
            <w:r>
              <w:rPr>
                <w:rFonts w:hint="eastAsia" w:ascii="宋体" w:hAnsi="宋体" w:cs="宋体"/>
                <w:color w:val="000000"/>
                <w:szCs w:val="21"/>
              </w:rPr>
              <w:t>好</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略</w:t>
            </w:r>
            <w:r>
              <w:rPr>
                <w:rFonts w:hint="eastAsia" w:ascii="宋体" w:hAnsi="宋体" w:cs="宋体"/>
                <w:color w:val="auto"/>
                <w:kern w:val="0"/>
                <w:sz w:val="21"/>
                <w:szCs w:val="21"/>
                <w:lang w:val="en-US" w:eastAsia="zh-CN"/>
              </w:rPr>
              <w:t>差</w:t>
            </w: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cs="宋体"/>
                <w:color w:val="000000"/>
                <w:szCs w:val="21"/>
              </w:rPr>
              <w:t>南北朝向，</w:t>
            </w:r>
            <w:r>
              <w:rPr>
                <w:rFonts w:hint="eastAsia" w:ascii="宋体" w:hAnsi="宋体" w:cs="宋体"/>
                <w:color w:val="000000"/>
                <w:szCs w:val="21"/>
                <w:lang w:eastAsia="zh-CN"/>
              </w:rPr>
              <w:t>三</w:t>
            </w:r>
            <w:r>
              <w:rPr>
                <w:rFonts w:hint="eastAsia" w:ascii="宋体" w:hAnsi="宋体" w:cs="宋体"/>
                <w:color w:val="000000"/>
                <w:szCs w:val="21"/>
              </w:rPr>
              <w:t>面采光，通风较好</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相似</w:t>
            </w:r>
          </w:p>
        </w:tc>
        <w:tc>
          <w:tcPr>
            <w:tcW w:w="146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cs="宋体"/>
                <w:color w:val="000000"/>
                <w:szCs w:val="21"/>
              </w:rPr>
              <w:t>南北朝向，两面采光，通风</w:t>
            </w:r>
            <w:r>
              <w:rPr>
                <w:rFonts w:hint="eastAsia" w:ascii="宋体" w:hAnsi="宋体" w:cs="宋体"/>
                <w:color w:val="000000"/>
                <w:szCs w:val="21"/>
                <w:lang w:eastAsia="zh-CN"/>
              </w:rPr>
              <w:t>良</w:t>
            </w:r>
            <w:r>
              <w:rPr>
                <w:rFonts w:hint="eastAsia" w:ascii="宋体" w:hAnsi="宋体" w:cs="宋体"/>
                <w:color w:val="000000"/>
                <w:szCs w:val="21"/>
              </w:rPr>
              <w:t>好</w:t>
            </w:r>
          </w:p>
        </w:tc>
        <w:tc>
          <w:tcPr>
            <w:tcW w:w="6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略差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rPr>
            </w:pPr>
          </w:p>
        </w:tc>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居住聚集度</w:t>
            </w:r>
          </w:p>
        </w:tc>
        <w:tc>
          <w:tcPr>
            <w:tcW w:w="14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基准（区域内有</w:t>
            </w:r>
            <w:r>
              <w:rPr>
                <w:rFonts w:hint="eastAsia" w:ascii="宋体" w:hAnsi="宋体" w:cs="宋体"/>
                <w:color w:val="auto"/>
                <w:sz w:val="21"/>
                <w:szCs w:val="21"/>
              </w:rPr>
              <w:t>较</w:t>
            </w:r>
            <w:r>
              <w:rPr>
                <w:rFonts w:hint="eastAsia" w:ascii="宋体" w:hAnsi="宋体" w:cs="宋体"/>
                <w:color w:val="auto"/>
                <w:sz w:val="21"/>
                <w:szCs w:val="21"/>
                <w:lang w:val="en-US" w:eastAsia="zh-CN"/>
              </w:rPr>
              <w:t>多商品房</w:t>
            </w:r>
            <w:r>
              <w:rPr>
                <w:rFonts w:hint="eastAsia" w:ascii="宋体" w:hAnsi="宋体" w:cs="宋体"/>
                <w:color w:val="auto"/>
                <w:sz w:val="21"/>
                <w:szCs w:val="21"/>
                <w:lang w:eastAsia="zh-CN"/>
              </w:rPr>
              <w:t>等</w:t>
            </w:r>
            <w:r>
              <w:rPr>
                <w:rFonts w:hint="eastAsia" w:ascii="宋体" w:hAnsi="宋体" w:cs="宋体"/>
                <w:color w:val="auto"/>
                <w:sz w:val="21"/>
                <w:szCs w:val="21"/>
              </w:rPr>
              <w:t>居住生活小区，居住聚集度</w:t>
            </w:r>
            <w:r>
              <w:rPr>
                <w:rFonts w:hint="eastAsia" w:ascii="宋体" w:hAnsi="宋体" w:cs="宋体"/>
                <w:color w:val="auto"/>
                <w:sz w:val="21"/>
                <w:szCs w:val="21"/>
                <w:lang w:eastAsia="zh-CN"/>
              </w:rPr>
              <w:t>高</w:t>
            </w:r>
            <w:r>
              <w:rPr>
                <w:rFonts w:hint="eastAsia" w:ascii="宋体" w:hAnsi="宋体" w:eastAsia="宋体" w:cs="宋体"/>
                <w:color w:val="auto"/>
                <w:sz w:val="21"/>
                <w:szCs w:val="21"/>
              </w:rPr>
              <w:t>，住宅聚集度</w:t>
            </w:r>
            <w:r>
              <w:rPr>
                <w:rFonts w:hint="eastAsia" w:ascii="宋体" w:hAnsi="宋体" w:eastAsia="宋体" w:cs="宋体"/>
                <w:color w:val="auto"/>
                <w:sz w:val="21"/>
                <w:szCs w:val="21"/>
                <w:lang w:eastAsia="zh-CN"/>
              </w:rPr>
              <w:t>高</w:t>
            </w:r>
            <w:r>
              <w:rPr>
                <w:rFonts w:hint="eastAsia" w:ascii="宋体" w:hAnsi="宋体" w:eastAsia="宋体" w:cs="宋体"/>
                <w:color w:val="auto"/>
                <w:sz w:val="21"/>
                <w:szCs w:val="21"/>
              </w:rPr>
              <w:t>）</w:t>
            </w: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区域内有</w:t>
            </w:r>
            <w:r>
              <w:rPr>
                <w:rFonts w:hint="eastAsia" w:ascii="宋体" w:hAnsi="宋体" w:cs="宋体"/>
                <w:color w:val="auto"/>
                <w:sz w:val="21"/>
                <w:szCs w:val="21"/>
              </w:rPr>
              <w:t>较</w:t>
            </w:r>
            <w:r>
              <w:rPr>
                <w:rFonts w:hint="eastAsia" w:ascii="宋体" w:hAnsi="宋体" w:cs="宋体"/>
                <w:color w:val="auto"/>
                <w:sz w:val="21"/>
                <w:szCs w:val="21"/>
                <w:lang w:val="en-US" w:eastAsia="zh-CN"/>
              </w:rPr>
              <w:t>多商品房</w:t>
            </w:r>
            <w:r>
              <w:rPr>
                <w:rFonts w:hint="eastAsia" w:ascii="宋体" w:hAnsi="宋体" w:cs="宋体"/>
                <w:color w:val="auto"/>
                <w:sz w:val="21"/>
                <w:szCs w:val="21"/>
                <w:lang w:eastAsia="zh-CN"/>
              </w:rPr>
              <w:t>等</w:t>
            </w:r>
            <w:r>
              <w:rPr>
                <w:rFonts w:hint="eastAsia" w:ascii="宋体" w:hAnsi="宋体" w:cs="宋体"/>
                <w:color w:val="auto"/>
                <w:sz w:val="21"/>
                <w:szCs w:val="21"/>
              </w:rPr>
              <w:t>居住生活小区，居住聚集度</w:t>
            </w:r>
            <w:r>
              <w:rPr>
                <w:rFonts w:hint="eastAsia" w:ascii="宋体" w:hAnsi="宋体" w:cs="宋体"/>
                <w:color w:val="auto"/>
                <w:sz w:val="21"/>
                <w:szCs w:val="21"/>
                <w:lang w:eastAsia="zh-CN"/>
              </w:rPr>
              <w:t>高</w:t>
            </w:r>
            <w:r>
              <w:rPr>
                <w:rFonts w:hint="eastAsia" w:ascii="宋体" w:hAnsi="宋体" w:eastAsia="宋体" w:cs="宋体"/>
                <w:color w:val="auto"/>
                <w:sz w:val="21"/>
                <w:szCs w:val="21"/>
              </w:rPr>
              <w:t>，住宅聚集度</w:t>
            </w:r>
            <w:r>
              <w:rPr>
                <w:rFonts w:hint="eastAsia" w:ascii="宋体" w:hAnsi="宋体" w:eastAsia="宋体" w:cs="宋体"/>
                <w:color w:val="auto"/>
                <w:sz w:val="21"/>
                <w:szCs w:val="21"/>
                <w:lang w:eastAsia="zh-CN"/>
              </w:rPr>
              <w:t>高</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相似</w:t>
            </w: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区域内有</w:t>
            </w:r>
            <w:r>
              <w:rPr>
                <w:rFonts w:hint="eastAsia" w:ascii="宋体" w:hAnsi="宋体" w:cs="宋体"/>
                <w:color w:val="auto"/>
                <w:sz w:val="21"/>
                <w:szCs w:val="21"/>
              </w:rPr>
              <w:t>较</w:t>
            </w:r>
            <w:r>
              <w:rPr>
                <w:rFonts w:hint="eastAsia" w:ascii="宋体" w:hAnsi="宋体" w:cs="宋体"/>
                <w:color w:val="auto"/>
                <w:sz w:val="21"/>
                <w:szCs w:val="21"/>
                <w:lang w:val="en-US" w:eastAsia="zh-CN"/>
              </w:rPr>
              <w:t>多商品房</w:t>
            </w:r>
            <w:r>
              <w:rPr>
                <w:rFonts w:hint="eastAsia" w:ascii="宋体" w:hAnsi="宋体" w:cs="宋体"/>
                <w:color w:val="auto"/>
                <w:sz w:val="21"/>
                <w:szCs w:val="21"/>
                <w:lang w:eastAsia="zh-CN"/>
              </w:rPr>
              <w:t>等</w:t>
            </w:r>
            <w:r>
              <w:rPr>
                <w:rFonts w:hint="eastAsia" w:ascii="宋体" w:hAnsi="宋体" w:cs="宋体"/>
                <w:color w:val="auto"/>
                <w:sz w:val="21"/>
                <w:szCs w:val="21"/>
              </w:rPr>
              <w:t>居住生活小区，居住聚集度</w:t>
            </w:r>
            <w:r>
              <w:rPr>
                <w:rFonts w:hint="eastAsia" w:ascii="宋体" w:hAnsi="宋体" w:cs="宋体"/>
                <w:color w:val="auto"/>
                <w:sz w:val="21"/>
                <w:szCs w:val="21"/>
                <w:lang w:eastAsia="zh-CN"/>
              </w:rPr>
              <w:t>高</w:t>
            </w:r>
            <w:r>
              <w:rPr>
                <w:rFonts w:hint="eastAsia" w:ascii="宋体" w:hAnsi="宋体" w:eastAsia="宋体" w:cs="宋体"/>
                <w:color w:val="auto"/>
                <w:sz w:val="21"/>
                <w:szCs w:val="21"/>
              </w:rPr>
              <w:t>，住宅聚集度</w:t>
            </w:r>
            <w:r>
              <w:rPr>
                <w:rFonts w:hint="eastAsia" w:ascii="宋体" w:hAnsi="宋体" w:eastAsia="宋体" w:cs="宋体"/>
                <w:color w:val="auto"/>
                <w:sz w:val="21"/>
                <w:szCs w:val="21"/>
                <w:lang w:eastAsia="zh-CN"/>
              </w:rPr>
              <w:t>高</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相似</w:t>
            </w:r>
          </w:p>
        </w:tc>
        <w:tc>
          <w:tcPr>
            <w:tcW w:w="146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区域内有</w:t>
            </w:r>
            <w:r>
              <w:rPr>
                <w:rFonts w:hint="eastAsia" w:ascii="宋体" w:hAnsi="宋体" w:cs="宋体"/>
                <w:color w:val="auto"/>
                <w:sz w:val="21"/>
                <w:szCs w:val="21"/>
              </w:rPr>
              <w:t>较</w:t>
            </w:r>
            <w:r>
              <w:rPr>
                <w:rFonts w:hint="eastAsia" w:ascii="宋体" w:hAnsi="宋体" w:cs="宋体"/>
                <w:color w:val="auto"/>
                <w:sz w:val="21"/>
                <w:szCs w:val="21"/>
                <w:lang w:val="en-US" w:eastAsia="zh-CN"/>
              </w:rPr>
              <w:t>多商品房、安置房</w:t>
            </w:r>
            <w:r>
              <w:rPr>
                <w:rFonts w:hint="eastAsia" w:ascii="宋体" w:hAnsi="宋体" w:cs="宋体"/>
                <w:color w:val="auto"/>
                <w:sz w:val="21"/>
                <w:szCs w:val="21"/>
                <w:lang w:eastAsia="zh-CN"/>
              </w:rPr>
              <w:t>等</w:t>
            </w:r>
            <w:r>
              <w:rPr>
                <w:rFonts w:hint="eastAsia" w:ascii="宋体" w:hAnsi="宋体" w:cs="宋体"/>
                <w:color w:val="auto"/>
                <w:sz w:val="21"/>
                <w:szCs w:val="21"/>
              </w:rPr>
              <w:t>居住生活小区，居住聚集度</w:t>
            </w:r>
            <w:r>
              <w:rPr>
                <w:rFonts w:hint="eastAsia" w:ascii="宋体" w:hAnsi="宋体" w:cs="宋体"/>
                <w:color w:val="auto"/>
                <w:sz w:val="21"/>
                <w:szCs w:val="21"/>
                <w:lang w:eastAsia="zh-CN"/>
              </w:rPr>
              <w:t>高</w:t>
            </w:r>
            <w:r>
              <w:rPr>
                <w:rFonts w:hint="eastAsia" w:ascii="宋体" w:hAnsi="宋体" w:eastAsia="宋体" w:cs="宋体"/>
                <w:color w:val="auto"/>
                <w:sz w:val="21"/>
                <w:szCs w:val="21"/>
              </w:rPr>
              <w:t>，住宅聚集度</w:t>
            </w:r>
            <w:r>
              <w:rPr>
                <w:rFonts w:hint="eastAsia" w:ascii="宋体" w:hAnsi="宋体" w:eastAsia="宋体" w:cs="宋体"/>
                <w:color w:val="auto"/>
                <w:sz w:val="21"/>
                <w:szCs w:val="21"/>
                <w:lang w:eastAsia="zh-CN"/>
              </w:rPr>
              <w:t>高</w:t>
            </w:r>
          </w:p>
        </w:tc>
        <w:tc>
          <w:tcPr>
            <w:tcW w:w="6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相似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交通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状况</w:t>
            </w:r>
          </w:p>
        </w:tc>
        <w:tc>
          <w:tcPr>
            <w:tcW w:w="14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pacing w:val="-6"/>
                <w:sz w:val="21"/>
                <w:szCs w:val="21"/>
              </w:rPr>
            </w:pPr>
            <w:r>
              <w:rPr>
                <w:rFonts w:hint="eastAsia" w:ascii="宋体" w:hAnsi="宋体" w:eastAsia="宋体" w:cs="宋体"/>
                <w:color w:val="auto"/>
                <w:spacing w:val="-6"/>
                <w:sz w:val="21"/>
                <w:szCs w:val="21"/>
              </w:rPr>
              <w:t>基准（1.道路状况：区域内有</w:t>
            </w:r>
            <w:r>
              <w:rPr>
                <w:rFonts w:hint="eastAsia" w:ascii="宋体" w:hAnsi="宋体" w:cs="宋体"/>
                <w:spacing w:val="-3"/>
                <w:szCs w:val="21"/>
                <w:lang w:eastAsia="zh-CN"/>
              </w:rPr>
              <w:t>龙岩大道</w:t>
            </w:r>
            <w:r>
              <w:rPr>
                <w:rFonts w:hint="eastAsia" w:ascii="宋体" w:hAnsi="宋体" w:eastAsia="宋体" w:cs="宋体"/>
                <w:color w:val="auto"/>
                <w:spacing w:val="-6"/>
                <w:sz w:val="21"/>
                <w:szCs w:val="21"/>
              </w:rPr>
              <w:t>等道路，已形成城市路网，道路通达度高。2.出入可利用交通工具：公交车、的士等，估价对象离公交站点较近，有</w:t>
            </w:r>
            <w:r>
              <w:rPr>
                <w:rFonts w:hint="eastAsia" w:ascii="宋体" w:hAnsi="宋体" w:eastAsia="宋体" w:cs="宋体"/>
                <w:color w:val="auto"/>
                <w:spacing w:val="-6"/>
                <w:sz w:val="21"/>
                <w:szCs w:val="21"/>
                <w:lang w:val="en-US" w:eastAsia="zh-CN"/>
              </w:rPr>
              <w:t>多条公交线路</w:t>
            </w:r>
            <w:r>
              <w:rPr>
                <w:rFonts w:hint="eastAsia" w:ascii="宋体" w:hAnsi="宋体" w:eastAsia="宋体" w:cs="宋体"/>
                <w:color w:val="auto"/>
                <w:spacing w:val="-6"/>
                <w:sz w:val="21"/>
                <w:szCs w:val="21"/>
                <w:lang w:eastAsia="zh-CN"/>
              </w:rPr>
              <w:t>通过</w:t>
            </w:r>
            <w:r>
              <w:rPr>
                <w:rFonts w:hint="eastAsia" w:ascii="宋体" w:hAnsi="宋体" w:eastAsia="宋体" w:cs="宋体"/>
                <w:color w:val="auto"/>
                <w:spacing w:val="-6"/>
                <w:sz w:val="21"/>
                <w:szCs w:val="21"/>
              </w:rPr>
              <w:t>；公交班次</w:t>
            </w:r>
            <w:r>
              <w:rPr>
                <w:rFonts w:hint="eastAsia" w:ascii="宋体" w:hAnsi="宋体" w:eastAsia="宋体" w:cs="宋体"/>
                <w:color w:val="auto"/>
                <w:spacing w:val="-6"/>
                <w:sz w:val="21"/>
                <w:szCs w:val="21"/>
                <w:lang w:eastAsia="zh-CN"/>
              </w:rPr>
              <w:t>较多</w:t>
            </w:r>
            <w:r>
              <w:rPr>
                <w:rFonts w:hint="eastAsia" w:ascii="宋体" w:hAnsi="宋体" w:eastAsia="宋体" w:cs="宋体"/>
                <w:color w:val="auto"/>
                <w:spacing w:val="-6"/>
                <w:sz w:val="21"/>
                <w:szCs w:val="21"/>
              </w:rPr>
              <w:t>，辐射范围</w:t>
            </w:r>
            <w:r>
              <w:rPr>
                <w:rFonts w:hint="eastAsia" w:ascii="宋体" w:hAnsi="宋体" w:eastAsia="宋体" w:cs="宋体"/>
                <w:color w:val="auto"/>
                <w:spacing w:val="-6"/>
                <w:sz w:val="21"/>
                <w:szCs w:val="21"/>
                <w:lang w:eastAsia="zh-CN"/>
              </w:rPr>
              <w:t>较广</w:t>
            </w:r>
            <w:r>
              <w:rPr>
                <w:rFonts w:hint="eastAsia" w:ascii="宋体" w:hAnsi="宋体" w:eastAsia="宋体" w:cs="宋体"/>
                <w:color w:val="auto"/>
                <w:spacing w:val="-6"/>
                <w:sz w:val="21"/>
                <w:szCs w:val="21"/>
              </w:rPr>
              <w:t>；乘坐的士较方便，交通便捷度高。3.交通管制情况：无特殊交通管制。4.停车方便程度：</w:t>
            </w:r>
            <w:r>
              <w:rPr>
                <w:rFonts w:hint="eastAsia" w:ascii="宋体" w:hAnsi="宋体" w:eastAsia="宋体" w:cs="宋体"/>
                <w:color w:val="auto"/>
                <w:spacing w:val="-6"/>
                <w:sz w:val="21"/>
                <w:szCs w:val="21"/>
                <w:lang w:eastAsia="zh-CN"/>
              </w:rPr>
              <w:t>小区附近有停车场，</w:t>
            </w:r>
            <w:r>
              <w:rPr>
                <w:rFonts w:hint="eastAsia" w:ascii="宋体" w:hAnsi="宋体" w:eastAsia="宋体" w:cs="宋体"/>
                <w:color w:val="auto"/>
                <w:spacing w:val="-6"/>
                <w:sz w:val="21"/>
                <w:szCs w:val="21"/>
                <w:lang w:val="en-US" w:eastAsia="zh-CN"/>
              </w:rPr>
              <w:t>周边</w:t>
            </w:r>
            <w:r>
              <w:rPr>
                <w:rFonts w:hint="eastAsia" w:ascii="宋体" w:hAnsi="宋体" w:eastAsia="宋体" w:cs="宋体"/>
                <w:color w:val="auto"/>
                <w:spacing w:val="-6"/>
                <w:sz w:val="21"/>
                <w:szCs w:val="21"/>
              </w:rPr>
              <w:t>停车方便度</w:t>
            </w:r>
            <w:r>
              <w:rPr>
                <w:rFonts w:hint="eastAsia" w:ascii="宋体" w:hAnsi="宋体" w:cs="宋体"/>
                <w:color w:val="auto"/>
                <w:spacing w:val="-6"/>
                <w:sz w:val="21"/>
                <w:szCs w:val="21"/>
                <w:lang w:val="en-US" w:eastAsia="zh-CN"/>
              </w:rPr>
              <w:t>良好</w:t>
            </w:r>
            <w:r>
              <w:rPr>
                <w:rFonts w:hint="eastAsia" w:ascii="宋体" w:hAnsi="宋体" w:eastAsia="宋体" w:cs="宋体"/>
                <w:color w:val="auto"/>
                <w:spacing w:val="-6"/>
                <w:sz w:val="21"/>
                <w:szCs w:val="21"/>
              </w:rPr>
              <w:t>）</w:t>
            </w: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pacing w:val="-11"/>
                <w:sz w:val="21"/>
                <w:szCs w:val="21"/>
              </w:rPr>
            </w:pPr>
            <w:r>
              <w:rPr>
                <w:rFonts w:hint="eastAsia" w:ascii="宋体" w:hAnsi="宋体" w:eastAsia="宋体" w:cs="宋体"/>
                <w:color w:val="auto"/>
                <w:spacing w:val="-6"/>
                <w:sz w:val="21"/>
                <w:szCs w:val="21"/>
              </w:rPr>
              <w:t>1.道路状况：区域内有</w:t>
            </w:r>
            <w:r>
              <w:rPr>
                <w:rFonts w:hint="eastAsia" w:ascii="宋体" w:hAnsi="宋体" w:cs="宋体"/>
                <w:spacing w:val="-3"/>
                <w:szCs w:val="21"/>
                <w:lang w:eastAsia="zh-CN"/>
              </w:rPr>
              <w:t>龙岩大道</w:t>
            </w:r>
            <w:r>
              <w:rPr>
                <w:rFonts w:hint="eastAsia" w:ascii="宋体" w:hAnsi="宋体" w:eastAsia="宋体" w:cs="宋体"/>
                <w:color w:val="auto"/>
                <w:spacing w:val="-6"/>
                <w:sz w:val="21"/>
                <w:szCs w:val="21"/>
              </w:rPr>
              <w:t>等道路，已形成城市路网，道路通达度高。2.出入可利用交通工具：公交车、的士等，估价对象离公交站点较近，有</w:t>
            </w:r>
            <w:r>
              <w:rPr>
                <w:rFonts w:hint="eastAsia" w:ascii="宋体" w:hAnsi="宋体" w:eastAsia="宋体" w:cs="宋体"/>
                <w:color w:val="auto"/>
                <w:spacing w:val="-6"/>
                <w:sz w:val="21"/>
                <w:szCs w:val="21"/>
                <w:lang w:val="en-US" w:eastAsia="zh-CN"/>
              </w:rPr>
              <w:t>多条公交线路</w:t>
            </w:r>
            <w:r>
              <w:rPr>
                <w:rFonts w:hint="eastAsia" w:ascii="宋体" w:hAnsi="宋体" w:eastAsia="宋体" w:cs="宋体"/>
                <w:color w:val="auto"/>
                <w:spacing w:val="-6"/>
                <w:sz w:val="21"/>
                <w:szCs w:val="21"/>
                <w:lang w:eastAsia="zh-CN"/>
              </w:rPr>
              <w:t>通过</w:t>
            </w:r>
            <w:r>
              <w:rPr>
                <w:rFonts w:hint="eastAsia" w:ascii="宋体" w:hAnsi="宋体" w:eastAsia="宋体" w:cs="宋体"/>
                <w:color w:val="auto"/>
                <w:spacing w:val="-6"/>
                <w:sz w:val="21"/>
                <w:szCs w:val="21"/>
              </w:rPr>
              <w:t>；公交班次</w:t>
            </w:r>
            <w:r>
              <w:rPr>
                <w:rFonts w:hint="eastAsia" w:ascii="宋体" w:hAnsi="宋体" w:eastAsia="宋体" w:cs="宋体"/>
                <w:color w:val="auto"/>
                <w:spacing w:val="-6"/>
                <w:sz w:val="21"/>
                <w:szCs w:val="21"/>
                <w:lang w:eastAsia="zh-CN"/>
              </w:rPr>
              <w:t>较多</w:t>
            </w:r>
            <w:r>
              <w:rPr>
                <w:rFonts w:hint="eastAsia" w:ascii="宋体" w:hAnsi="宋体" w:eastAsia="宋体" w:cs="宋体"/>
                <w:color w:val="auto"/>
                <w:spacing w:val="-6"/>
                <w:sz w:val="21"/>
                <w:szCs w:val="21"/>
              </w:rPr>
              <w:t>，辐射范围</w:t>
            </w:r>
            <w:r>
              <w:rPr>
                <w:rFonts w:hint="eastAsia" w:ascii="宋体" w:hAnsi="宋体" w:eastAsia="宋体" w:cs="宋体"/>
                <w:color w:val="auto"/>
                <w:spacing w:val="-6"/>
                <w:sz w:val="21"/>
                <w:szCs w:val="21"/>
                <w:lang w:eastAsia="zh-CN"/>
              </w:rPr>
              <w:t>较广</w:t>
            </w:r>
            <w:r>
              <w:rPr>
                <w:rFonts w:hint="eastAsia" w:ascii="宋体" w:hAnsi="宋体" w:eastAsia="宋体" w:cs="宋体"/>
                <w:color w:val="auto"/>
                <w:spacing w:val="-6"/>
                <w:sz w:val="21"/>
                <w:szCs w:val="21"/>
              </w:rPr>
              <w:t>；乘坐的士较方便，交通便捷度高。3.交通管制情况：无特殊交通管制。4.停车方便程度：</w:t>
            </w:r>
            <w:r>
              <w:rPr>
                <w:rFonts w:hint="eastAsia" w:ascii="宋体" w:hAnsi="宋体" w:eastAsia="宋体" w:cs="宋体"/>
                <w:color w:val="auto"/>
                <w:spacing w:val="-6"/>
                <w:sz w:val="21"/>
                <w:szCs w:val="21"/>
                <w:lang w:eastAsia="zh-CN"/>
              </w:rPr>
              <w:t>小区附近有停车场、小区地下可停车，</w:t>
            </w:r>
            <w:r>
              <w:rPr>
                <w:rFonts w:hint="eastAsia" w:ascii="宋体" w:hAnsi="宋体" w:eastAsia="宋体" w:cs="宋体"/>
                <w:color w:val="auto"/>
                <w:spacing w:val="-6"/>
                <w:sz w:val="21"/>
                <w:szCs w:val="21"/>
                <w:lang w:val="en-US" w:eastAsia="zh-CN"/>
              </w:rPr>
              <w:t>周边</w:t>
            </w:r>
            <w:r>
              <w:rPr>
                <w:rFonts w:hint="eastAsia" w:ascii="宋体" w:hAnsi="宋体" w:eastAsia="宋体" w:cs="宋体"/>
                <w:color w:val="auto"/>
                <w:spacing w:val="-6"/>
                <w:sz w:val="21"/>
                <w:szCs w:val="21"/>
              </w:rPr>
              <w:t>停车方便度</w:t>
            </w:r>
            <w:r>
              <w:rPr>
                <w:rFonts w:hint="eastAsia" w:ascii="宋体" w:hAnsi="宋体" w:cs="宋体"/>
                <w:color w:val="auto"/>
                <w:spacing w:val="-6"/>
                <w:sz w:val="21"/>
                <w:szCs w:val="21"/>
                <w:lang w:val="en-US" w:eastAsia="zh-CN"/>
              </w:rPr>
              <w:t>良好</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pacing w:val="-11"/>
                <w:sz w:val="21"/>
                <w:szCs w:val="21"/>
                <w:lang w:eastAsia="zh-CN"/>
              </w:rPr>
            </w:pPr>
            <w:r>
              <w:rPr>
                <w:rFonts w:hint="eastAsia" w:ascii="宋体" w:hAnsi="宋体" w:eastAsia="宋体" w:cs="宋体"/>
                <w:color w:val="auto"/>
                <w:spacing w:val="-6"/>
                <w:sz w:val="21"/>
                <w:szCs w:val="21"/>
                <w:lang w:eastAsia="zh-CN"/>
              </w:rPr>
              <w:t>相似</w:t>
            </w: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pacing w:val="-11"/>
                <w:sz w:val="21"/>
                <w:szCs w:val="21"/>
              </w:rPr>
            </w:pPr>
            <w:r>
              <w:rPr>
                <w:rFonts w:hint="eastAsia" w:ascii="宋体" w:hAnsi="宋体" w:eastAsia="宋体" w:cs="宋体"/>
                <w:color w:val="auto"/>
                <w:spacing w:val="-6"/>
                <w:sz w:val="21"/>
                <w:szCs w:val="21"/>
              </w:rPr>
              <w:t>1.道路状况：区域内有</w:t>
            </w:r>
            <w:r>
              <w:rPr>
                <w:rFonts w:hint="eastAsia" w:ascii="宋体" w:hAnsi="宋体" w:cs="宋体"/>
                <w:spacing w:val="-3"/>
                <w:szCs w:val="21"/>
                <w:lang w:eastAsia="zh-CN"/>
              </w:rPr>
              <w:t>龙岩大道</w:t>
            </w:r>
            <w:r>
              <w:rPr>
                <w:rFonts w:hint="eastAsia" w:ascii="宋体" w:hAnsi="宋体" w:eastAsia="宋体" w:cs="宋体"/>
                <w:color w:val="auto"/>
                <w:spacing w:val="-6"/>
                <w:sz w:val="21"/>
                <w:szCs w:val="21"/>
              </w:rPr>
              <w:t>等道路，已形成城市路网，道路通达度高。2.出入可利用交通工具：公交车、的士等，估价对象离公交站点较近，有</w:t>
            </w:r>
            <w:r>
              <w:rPr>
                <w:rFonts w:hint="eastAsia" w:ascii="宋体" w:hAnsi="宋体" w:eastAsia="宋体" w:cs="宋体"/>
                <w:color w:val="auto"/>
                <w:spacing w:val="-6"/>
                <w:sz w:val="21"/>
                <w:szCs w:val="21"/>
                <w:lang w:val="en-US" w:eastAsia="zh-CN"/>
              </w:rPr>
              <w:t>多条公交线路</w:t>
            </w:r>
            <w:r>
              <w:rPr>
                <w:rFonts w:hint="eastAsia" w:ascii="宋体" w:hAnsi="宋体" w:eastAsia="宋体" w:cs="宋体"/>
                <w:color w:val="auto"/>
                <w:spacing w:val="-6"/>
                <w:sz w:val="21"/>
                <w:szCs w:val="21"/>
                <w:lang w:eastAsia="zh-CN"/>
              </w:rPr>
              <w:t>通过</w:t>
            </w:r>
            <w:r>
              <w:rPr>
                <w:rFonts w:hint="eastAsia" w:ascii="宋体" w:hAnsi="宋体" w:eastAsia="宋体" w:cs="宋体"/>
                <w:color w:val="auto"/>
                <w:spacing w:val="-6"/>
                <w:sz w:val="21"/>
                <w:szCs w:val="21"/>
              </w:rPr>
              <w:t>；公交班次</w:t>
            </w:r>
            <w:r>
              <w:rPr>
                <w:rFonts w:hint="eastAsia" w:ascii="宋体" w:hAnsi="宋体" w:eastAsia="宋体" w:cs="宋体"/>
                <w:color w:val="auto"/>
                <w:spacing w:val="-6"/>
                <w:sz w:val="21"/>
                <w:szCs w:val="21"/>
                <w:lang w:eastAsia="zh-CN"/>
              </w:rPr>
              <w:t>较多</w:t>
            </w:r>
            <w:r>
              <w:rPr>
                <w:rFonts w:hint="eastAsia" w:ascii="宋体" w:hAnsi="宋体" w:eastAsia="宋体" w:cs="宋体"/>
                <w:color w:val="auto"/>
                <w:spacing w:val="-6"/>
                <w:sz w:val="21"/>
                <w:szCs w:val="21"/>
              </w:rPr>
              <w:t>，辐射范围</w:t>
            </w:r>
            <w:r>
              <w:rPr>
                <w:rFonts w:hint="eastAsia" w:ascii="宋体" w:hAnsi="宋体" w:eastAsia="宋体" w:cs="宋体"/>
                <w:color w:val="auto"/>
                <w:spacing w:val="-6"/>
                <w:sz w:val="21"/>
                <w:szCs w:val="21"/>
                <w:lang w:eastAsia="zh-CN"/>
              </w:rPr>
              <w:t>较广</w:t>
            </w:r>
            <w:r>
              <w:rPr>
                <w:rFonts w:hint="eastAsia" w:ascii="宋体" w:hAnsi="宋体" w:eastAsia="宋体" w:cs="宋体"/>
                <w:color w:val="auto"/>
                <w:spacing w:val="-6"/>
                <w:sz w:val="21"/>
                <w:szCs w:val="21"/>
              </w:rPr>
              <w:t>；乘坐的士较方便，交通便捷度高。3.交通管制情况：无特殊交通管制。4.停车方便程度：</w:t>
            </w:r>
            <w:r>
              <w:rPr>
                <w:rFonts w:hint="eastAsia" w:ascii="宋体" w:hAnsi="宋体" w:eastAsia="宋体" w:cs="宋体"/>
                <w:color w:val="auto"/>
                <w:spacing w:val="-6"/>
                <w:sz w:val="21"/>
                <w:szCs w:val="21"/>
                <w:lang w:eastAsia="zh-CN"/>
              </w:rPr>
              <w:t>小区附近有停车场、小区地下可停车，</w:t>
            </w:r>
            <w:r>
              <w:rPr>
                <w:rFonts w:hint="eastAsia" w:ascii="宋体" w:hAnsi="宋体" w:eastAsia="宋体" w:cs="宋体"/>
                <w:color w:val="auto"/>
                <w:spacing w:val="-6"/>
                <w:sz w:val="21"/>
                <w:szCs w:val="21"/>
                <w:lang w:val="en-US" w:eastAsia="zh-CN"/>
              </w:rPr>
              <w:t>周边</w:t>
            </w:r>
            <w:r>
              <w:rPr>
                <w:rFonts w:hint="eastAsia" w:ascii="宋体" w:hAnsi="宋体" w:eastAsia="宋体" w:cs="宋体"/>
                <w:color w:val="auto"/>
                <w:spacing w:val="-6"/>
                <w:sz w:val="21"/>
                <w:szCs w:val="21"/>
              </w:rPr>
              <w:t>停车方便度</w:t>
            </w:r>
            <w:r>
              <w:rPr>
                <w:rFonts w:hint="eastAsia" w:ascii="宋体" w:hAnsi="宋体" w:cs="宋体"/>
                <w:color w:val="auto"/>
                <w:spacing w:val="-6"/>
                <w:sz w:val="21"/>
                <w:szCs w:val="21"/>
                <w:lang w:val="en-US" w:eastAsia="zh-CN"/>
              </w:rPr>
              <w:t>良好</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pacing w:val="-6"/>
                <w:sz w:val="21"/>
                <w:szCs w:val="21"/>
                <w:lang w:eastAsia="zh-CN"/>
              </w:rPr>
              <w:t>相似</w:t>
            </w:r>
          </w:p>
        </w:tc>
        <w:tc>
          <w:tcPr>
            <w:tcW w:w="146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pacing w:val="-6"/>
                <w:sz w:val="21"/>
                <w:szCs w:val="21"/>
              </w:rPr>
              <w:t>1.道路状况：区域内有</w:t>
            </w:r>
            <w:r>
              <w:rPr>
                <w:rFonts w:hint="eastAsia" w:ascii="宋体" w:hAnsi="宋体" w:cs="宋体"/>
                <w:szCs w:val="21"/>
              </w:rPr>
              <w:t>华莲路</w:t>
            </w:r>
            <w:r>
              <w:rPr>
                <w:rFonts w:hint="eastAsia" w:ascii="宋体" w:hAnsi="宋体" w:eastAsia="宋体" w:cs="宋体"/>
                <w:color w:val="auto"/>
                <w:spacing w:val="-6"/>
                <w:sz w:val="21"/>
                <w:szCs w:val="21"/>
              </w:rPr>
              <w:t>等道路，已形成城市路网，道路通达度高。2.出入可利用交通工具：公交车、的士等，估价对象离公交站点较近，有</w:t>
            </w:r>
            <w:r>
              <w:rPr>
                <w:rFonts w:hint="eastAsia" w:ascii="宋体" w:hAnsi="宋体" w:eastAsia="宋体" w:cs="宋体"/>
                <w:color w:val="auto"/>
                <w:spacing w:val="-6"/>
                <w:sz w:val="21"/>
                <w:szCs w:val="21"/>
                <w:lang w:val="en-US" w:eastAsia="zh-CN"/>
              </w:rPr>
              <w:t>多条公交线路</w:t>
            </w:r>
            <w:r>
              <w:rPr>
                <w:rFonts w:hint="eastAsia" w:ascii="宋体" w:hAnsi="宋体" w:eastAsia="宋体" w:cs="宋体"/>
                <w:color w:val="auto"/>
                <w:spacing w:val="-6"/>
                <w:sz w:val="21"/>
                <w:szCs w:val="21"/>
                <w:lang w:eastAsia="zh-CN"/>
              </w:rPr>
              <w:t>通过</w:t>
            </w:r>
            <w:r>
              <w:rPr>
                <w:rFonts w:hint="eastAsia" w:ascii="宋体" w:hAnsi="宋体" w:eastAsia="宋体" w:cs="宋体"/>
                <w:color w:val="auto"/>
                <w:spacing w:val="-6"/>
                <w:sz w:val="21"/>
                <w:szCs w:val="21"/>
              </w:rPr>
              <w:t>；公交班次</w:t>
            </w:r>
            <w:r>
              <w:rPr>
                <w:rFonts w:hint="eastAsia" w:ascii="宋体" w:hAnsi="宋体" w:eastAsia="宋体" w:cs="宋体"/>
                <w:color w:val="auto"/>
                <w:spacing w:val="-6"/>
                <w:sz w:val="21"/>
                <w:szCs w:val="21"/>
                <w:lang w:eastAsia="zh-CN"/>
              </w:rPr>
              <w:t>较多</w:t>
            </w:r>
            <w:r>
              <w:rPr>
                <w:rFonts w:hint="eastAsia" w:ascii="宋体" w:hAnsi="宋体" w:eastAsia="宋体" w:cs="宋体"/>
                <w:color w:val="auto"/>
                <w:spacing w:val="-6"/>
                <w:sz w:val="21"/>
                <w:szCs w:val="21"/>
              </w:rPr>
              <w:t>，辐射范围</w:t>
            </w:r>
            <w:r>
              <w:rPr>
                <w:rFonts w:hint="eastAsia" w:ascii="宋体" w:hAnsi="宋体" w:eastAsia="宋体" w:cs="宋体"/>
                <w:color w:val="auto"/>
                <w:spacing w:val="-6"/>
                <w:sz w:val="21"/>
                <w:szCs w:val="21"/>
                <w:lang w:eastAsia="zh-CN"/>
              </w:rPr>
              <w:t>较广</w:t>
            </w:r>
            <w:r>
              <w:rPr>
                <w:rFonts w:hint="eastAsia" w:ascii="宋体" w:hAnsi="宋体" w:eastAsia="宋体" w:cs="宋体"/>
                <w:color w:val="auto"/>
                <w:spacing w:val="-6"/>
                <w:sz w:val="21"/>
                <w:szCs w:val="21"/>
              </w:rPr>
              <w:t>；乘坐的士较方便，交通便捷度高。3.交通管制情况：无特殊交通管制。4.停车方便程度：</w:t>
            </w:r>
            <w:r>
              <w:rPr>
                <w:rFonts w:hint="eastAsia" w:ascii="宋体" w:hAnsi="宋体" w:eastAsia="宋体" w:cs="宋体"/>
                <w:color w:val="auto"/>
                <w:spacing w:val="-6"/>
                <w:sz w:val="21"/>
                <w:szCs w:val="21"/>
                <w:lang w:eastAsia="zh-CN"/>
              </w:rPr>
              <w:t>小区附近有停车场、小区地下可停车，</w:t>
            </w:r>
            <w:r>
              <w:rPr>
                <w:rFonts w:hint="eastAsia" w:ascii="宋体" w:hAnsi="宋体" w:eastAsia="宋体" w:cs="宋体"/>
                <w:color w:val="auto"/>
                <w:spacing w:val="-6"/>
                <w:sz w:val="21"/>
                <w:szCs w:val="21"/>
                <w:lang w:val="en-US" w:eastAsia="zh-CN"/>
              </w:rPr>
              <w:t>周边</w:t>
            </w:r>
            <w:r>
              <w:rPr>
                <w:rFonts w:hint="eastAsia" w:ascii="宋体" w:hAnsi="宋体" w:eastAsia="宋体" w:cs="宋体"/>
                <w:color w:val="auto"/>
                <w:spacing w:val="-6"/>
                <w:sz w:val="21"/>
                <w:szCs w:val="21"/>
              </w:rPr>
              <w:t>停车方便度</w:t>
            </w:r>
            <w:r>
              <w:rPr>
                <w:rFonts w:hint="eastAsia" w:ascii="宋体" w:hAnsi="宋体" w:cs="宋体"/>
                <w:color w:val="auto"/>
                <w:spacing w:val="-6"/>
                <w:sz w:val="21"/>
                <w:szCs w:val="21"/>
                <w:lang w:val="en-US" w:eastAsia="zh-CN"/>
              </w:rPr>
              <w:t>良好</w:t>
            </w:r>
          </w:p>
        </w:tc>
        <w:tc>
          <w:tcPr>
            <w:tcW w:w="6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pacing w:val="-6"/>
                <w:sz w:val="21"/>
                <w:szCs w:val="21"/>
                <w:lang w:eastAsia="zh-CN"/>
              </w:rPr>
              <w:t>相似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32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外部配套</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设施状况</w:t>
            </w:r>
          </w:p>
        </w:tc>
        <w:tc>
          <w:tcPr>
            <w:tcW w:w="14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基准（1.基础设施已达到“五通”，基础设施完善；2.公共服务设施：</w:t>
            </w:r>
            <w:r>
              <w:rPr>
                <w:rFonts w:hint="eastAsia" w:ascii="宋体" w:hAnsi="宋体" w:eastAsia="宋体" w:cs="宋体"/>
                <w:color w:val="000000"/>
                <w:sz w:val="21"/>
                <w:szCs w:val="21"/>
                <w:lang w:val="en-US" w:eastAsia="zh-CN"/>
              </w:rPr>
              <w:t>侨中附属幼儿园</w:t>
            </w:r>
            <w:r>
              <w:rPr>
                <w:rFonts w:hint="eastAsia" w:ascii="宋体" w:hAnsi="宋体" w:cs="宋体"/>
                <w:color w:val="000000"/>
                <w:sz w:val="21"/>
                <w:szCs w:val="21"/>
                <w:lang w:val="en-US" w:eastAsia="zh-CN"/>
              </w:rPr>
              <w:t>、</w:t>
            </w:r>
            <w:r>
              <w:rPr>
                <w:rFonts w:hint="eastAsia" w:ascii="宋体" w:hAnsi="宋体" w:eastAsia="宋体" w:cs="宋体"/>
                <w:color w:val="000000"/>
                <w:sz w:val="21"/>
                <w:szCs w:val="21"/>
                <w:lang w:eastAsia="zh-CN"/>
              </w:rPr>
              <w:t>龙岩</w:t>
            </w:r>
            <w:r>
              <w:rPr>
                <w:rFonts w:hint="eastAsia" w:ascii="宋体" w:hAnsi="宋体" w:eastAsia="宋体" w:cs="宋体"/>
                <w:color w:val="000000"/>
                <w:sz w:val="21"/>
                <w:szCs w:val="21"/>
              </w:rPr>
              <w:t>凤凰小学</w:t>
            </w:r>
            <w:r>
              <w:rPr>
                <w:rFonts w:hint="eastAsia" w:ascii="宋体" w:hAnsi="宋体" w:eastAsia="宋体" w:cs="宋体"/>
                <w:color w:val="000000"/>
                <w:sz w:val="21"/>
                <w:szCs w:val="21"/>
                <w:lang w:eastAsia="zh-CN"/>
              </w:rPr>
              <w:t>、龙岩八中、</w:t>
            </w:r>
            <w:r>
              <w:rPr>
                <w:rFonts w:hint="eastAsia" w:ascii="宋体" w:hAnsi="宋体" w:eastAsia="宋体" w:cs="宋体"/>
                <w:color w:val="000000"/>
                <w:sz w:val="21"/>
                <w:szCs w:val="21"/>
              </w:rPr>
              <w:t>龙岩市第二医院</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龙岩二中</w:t>
            </w:r>
            <w:r>
              <w:rPr>
                <w:rFonts w:hint="eastAsia" w:ascii="宋体" w:hAnsi="宋体" w:eastAsia="宋体" w:cs="宋体"/>
                <w:color w:val="000000"/>
                <w:sz w:val="21"/>
                <w:szCs w:val="21"/>
                <w:lang w:eastAsia="zh-CN"/>
              </w:rPr>
              <w:t>、山海酒店、</w:t>
            </w:r>
            <w:r>
              <w:rPr>
                <w:rFonts w:hint="eastAsia" w:ascii="宋体" w:hAnsi="宋体" w:eastAsia="宋体" w:cs="宋体"/>
                <w:color w:val="000000"/>
                <w:sz w:val="21"/>
                <w:szCs w:val="21"/>
              </w:rPr>
              <w:t>海华医药、建设银行</w:t>
            </w:r>
            <w:r>
              <w:rPr>
                <w:rFonts w:hint="eastAsia" w:ascii="宋体" w:hAnsi="宋体" w:eastAsia="宋体" w:cs="宋体"/>
                <w:sz w:val="21"/>
                <w:szCs w:val="21"/>
              </w:rPr>
              <w:t>等</w:t>
            </w:r>
            <w:r>
              <w:rPr>
                <w:rFonts w:hint="eastAsia" w:ascii="宋体" w:hAnsi="宋体" w:eastAsia="宋体" w:cs="宋体"/>
                <w:color w:val="auto"/>
                <w:sz w:val="21"/>
                <w:szCs w:val="21"/>
              </w:rPr>
              <w:t>；公共服务设施齐全）</w:t>
            </w:r>
          </w:p>
        </w:tc>
        <w:tc>
          <w:tcPr>
            <w:tcW w:w="14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right="0" w:rightChars="0"/>
              <w:jc w:val="center"/>
              <w:textAlignment w:val="auto"/>
              <w:outlineLvl w:val="9"/>
              <w:rPr>
                <w:rFonts w:hint="eastAsia" w:ascii="宋体" w:hAnsi="宋体" w:cs="宋体"/>
                <w:szCs w:val="21"/>
              </w:rPr>
            </w:pPr>
            <w:r>
              <w:rPr>
                <w:rFonts w:hint="eastAsia" w:ascii="宋体" w:hAnsi="宋体" w:eastAsia="宋体" w:cs="宋体"/>
                <w:color w:val="auto"/>
                <w:sz w:val="21"/>
                <w:szCs w:val="21"/>
              </w:rPr>
              <w:t>1.基础设施已达到“五通”，基础设施完善；2.公共服务设施：</w:t>
            </w:r>
            <w:r>
              <w:rPr>
                <w:rFonts w:hint="eastAsia" w:ascii="宋体" w:hAnsi="宋体" w:eastAsia="宋体" w:cs="宋体"/>
                <w:color w:val="000000"/>
                <w:sz w:val="21"/>
                <w:szCs w:val="21"/>
                <w:lang w:eastAsia="zh-CN"/>
              </w:rPr>
              <w:t>龙岩</w:t>
            </w:r>
            <w:r>
              <w:rPr>
                <w:rFonts w:hint="eastAsia" w:ascii="宋体" w:hAnsi="宋体" w:eastAsia="宋体" w:cs="宋体"/>
                <w:color w:val="000000"/>
                <w:sz w:val="21"/>
                <w:szCs w:val="21"/>
              </w:rPr>
              <w:t>凤凰小学、</w:t>
            </w:r>
            <w:r>
              <w:rPr>
                <w:rFonts w:hint="eastAsia" w:ascii="宋体" w:hAnsi="宋体" w:eastAsia="宋体" w:cs="宋体"/>
                <w:color w:val="000000"/>
                <w:sz w:val="21"/>
                <w:szCs w:val="21"/>
                <w:lang w:eastAsia="zh-CN"/>
              </w:rPr>
              <w:t>龙岩八中、龙岩二中、</w:t>
            </w:r>
            <w:r>
              <w:rPr>
                <w:rFonts w:hint="eastAsia" w:ascii="宋体" w:hAnsi="宋体" w:eastAsia="宋体" w:cs="宋体"/>
                <w:color w:val="000000"/>
                <w:sz w:val="21"/>
                <w:szCs w:val="21"/>
              </w:rPr>
              <w:t>龙岩市第一幼儿园、龙岩市第二医院、</w:t>
            </w:r>
            <w:r>
              <w:rPr>
                <w:rFonts w:hint="eastAsia" w:ascii="宋体" w:hAnsi="宋体" w:eastAsia="宋体" w:cs="宋体"/>
                <w:color w:val="000000"/>
                <w:sz w:val="21"/>
                <w:szCs w:val="21"/>
                <w:lang w:eastAsia="zh-CN"/>
              </w:rPr>
              <w:t>山海酒店、</w:t>
            </w:r>
            <w:r>
              <w:rPr>
                <w:rFonts w:hint="eastAsia" w:ascii="宋体" w:hAnsi="宋体" w:eastAsia="宋体" w:cs="宋体"/>
                <w:color w:val="000000"/>
                <w:sz w:val="21"/>
                <w:szCs w:val="21"/>
              </w:rPr>
              <w:t>海华医药、建设银行</w:t>
            </w:r>
            <w:r>
              <w:rPr>
                <w:rFonts w:hint="eastAsia" w:ascii="宋体" w:hAnsi="宋体" w:eastAsia="宋体" w:cs="宋体"/>
                <w:sz w:val="21"/>
                <w:szCs w:val="21"/>
              </w:rPr>
              <w:t>等</w:t>
            </w:r>
            <w:r>
              <w:rPr>
                <w:rFonts w:hint="eastAsia" w:ascii="宋体" w:hAnsi="宋体" w:eastAsia="宋体" w:cs="宋体"/>
                <w:color w:val="auto"/>
                <w:sz w:val="21"/>
                <w:szCs w:val="21"/>
              </w:rPr>
              <w:t>；公共服务设施齐全</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相似</w:t>
            </w:r>
          </w:p>
        </w:tc>
        <w:tc>
          <w:tcPr>
            <w:tcW w:w="14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pacing w:val="-6"/>
                <w:sz w:val="21"/>
                <w:szCs w:val="21"/>
              </w:rPr>
            </w:pPr>
            <w:r>
              <w:rPr>
                <w:rFonts w:hint="eastAsia" w:ascii="宋体" w:hAnsi="宋体" w:eastAsia="宋体" w:cs="宋体"/>
                <w:color w:val="auto"/>
                <w:sz w:val="21"/>
                <w:szCs w:val="21"/>
              </w:rPr>
              <w:t>1.基础设施已达到“五通”，基础设施完善；2.公共服务设施：</w:t>
            </w:r>
            <w:r>
              <w:rPr>
                <w:rFonts w:hint="eastAsia" w:ascii="宋体" w:hAnsi="宋体" w:eastAsia="宋体" w:cs="宋体"/>
                <w:color w:val="000000"/>
                <w:sz w:val="21"/>
                <w:szCs w:val="21"/>
                <w:lang w:eastAsia="zh-CN"/>
              </w:rPr>
              <w:t>龙岩</w:t>
            </w:r>
            <w:r>
              <w:rPr>
                <w:rFonts w:hint="eastAsia" w:ascii="宋体" w:hAnsi="宋体" w:eastAsia="宋体" w:cs="宋体"/>
                <w:color w:val="000000"/>
                <w:sz w:val="21"/>
                <w:szCs w:val="21"/>
              </w:rPr>
              <w:t>凤凰小学、</w:t>
            </w:r>
            <w:r>
              <w:rPr>
                <w:rFonts w:hint="eastAsia" w:ascii="宋体" w:hAnsi="宋体" w:eastAsia="宋体" w:cs="宋体"/>
                <w:color w:val="000000"/>
                <w:sz w:val="21"/>
                <w:szCs w:val="21"/>
                <w:lang w:eastAsia="zh-CN"/>
              </w:rPr>
              <w:t>龙岩八中、龙岩二中、</w:t>
            </w:r>
            <w:r>
              <w:rPr>
                <w:rFonts w:hint="eastAsia" w:ascii="宋体" w:hAnsi="宋体" w:eastAsia="宋体" w:cs="宋体"/>
                <w:color w:val="000000"/>
                <w:sz w:val="21"/>
                <w:szCs w:val="21"/>
              </w:rPr>
              <w:t>龙岩市第一幼儿园、龙岩市第二医院、</w:t>
            </w:r>
            <w:r>
              <w:rPr>
                <w:rFonts w:hint="eastAsia" w:ascii="宋体" w:hAnsi="宋体" w:eastAsia="宋体" w:cs="宋体"/>
                <w:color w:val="000000"/>
                <w:sz w:val="21"/>
                <w:szCs w:val="21"/>
                <w:lang w:eastAsia="zh-CN"/>
              </w:rPr>
              <w:t>山海酒店、</w:t>
            </w:r>
            <w:r>
              <w:rPr>
                <w:rFonts w:hint="eastAsia" w:ascii="宋体" w:hAnsi="宋体" w:eastAsia="宋体" w:cs="宋体"/>
                <w:color w:val="000000"/>
                <w:sz w:val="21"/>
                <w:szCs w:val="21"/>
              </w:rPr>
              <w:t>海华医药、建设银行等</w:t>
            </w:r>
            <w:r>
              <w:rPr>
                <w:rFonts w:hint="eastAsia" w:ascii="宋体" w:hAnsi="宋体" w:eastAsia="宋体" w:cs="宋体"/>
                <w:color w:val="auto"/>
                <w:sz w:val="21"/>
                <w:szCs w:val="21"/>
              </w:rPr>
              <w:t>；公共服务设施齐全</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相似</w:t>
            </w:r>
          </w:p>
        </w:tc>
        <w:tc>
          <w:tcPr>
            <w:tcW w:w="146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pacing w:val="-6"/>
                <w:sz w:val="21"/>
                <w:szCs w:val="21"/>
              </w:rPr>
            </w:pPr>
            <w:r>
              <w:rPr>
                <w:rFonts w:hint="eastAsia" w:ascii="宋体" w:hAnsi="宋体" w:eastAsia="宋体" w:cs="宋体"/>
                <w:color w:val="auto"/>
                <w:sz w:val="21"/>
                <w:szCs w:val="21"/>
              </w:rPr>
              <w:t>1.基础设施已达到“五通”，基础设施完善；2.公共服务设施：</w:t>
            </w:r>
            <w:r>
              <w:rPr>
                <w:rFonts w:hint="eastAsia" w:ascii="宋体" w:hAnsi="宋体" w:eastAsia="宋体" w:cs="宋体"/>
                <w:color w:val="000000"/>
                <w:sz w:val="21"/>
                <w:szCs w:val="21"/>
                <w:lang w:eastAsia="zh-CN"/>
              </w:rPr>
              <w:t>龙岩</w:t>
            </w:r>
            <w:r>
              <w:rPr>
                <w:rFonts w:hint="eastAsia" w:ascii="宋体" w:hAnsi="宋体" w:eastAsia="宋体" w:cs="宋体"/>
                <w:color w:val="000000"/>
                <w:sz w:val="21"/>
                <w:szCs w:val="21"/>
              </w:rPr>
              <w:t>凤凰小学、</w:t>
            </w:r>
            <w:r>
              <w:rPr>
                <w:rFonts w:hint="eastAsia" w:ascii="宋体" w:hAnsi="宋体" w:eastAsia="宋体" w:cs="宋体"/>
                <w:color w:val="000000"/>
                <w:sz w:val="21"/>
                <w:szCs w:val="21"/>
                <w:lang w:eastAsia="zh-CN"/>
              </w:rPr>
              <w:t>龙岩八中、龙岩二中、</w:t>
            </w:r>
            <w:r>
              <w:rPr>
                <w:rFonts w:hint="eastAsia" w:ascii="宋体" w:hAnsi="宋体" w:eastAsia="宋体" w:cs="宋体"/>
                <w:color w:val="000000"/>
                <w:sz w:val="21"/>
                <w:szCs w:val="21"/>
              </w:rPr>
              <w:t>龙岩市第一幼儿园、龙岩市第二医院、</w:t>
            </w:r>
            <w:r>
              <w:rPr>
                <w:rFonts w:hint="eastAsia" w:ascii="宋体" w:hAnsi="宋体" w:eastAsia="宋体" w:cs="宋体"/>
                <w:color w:val="000000"/>
                <w:sz w:val="21"/>
                <w:szCs w:val="21"/>
                <w:lang w:eastAsia="zh-CN"/>
              </w:rPr>
              <w:t>山海酒店、</w:t>
            </w:r>
            <w:r>
              <w:rPr>
                <w:rFonts w:hint="eastAsia" w:ascii="宋体" w:hAnsi="宋体" w:eastAsia="宋体" w:cs="宋体"/>
                <w:color w:val="000000"/>
                <w:sz w:val="21"/>
                <w:szCs w:val="21"/>
              </w:rPr>
              <w:t>海华医药、建设银行等</w:t>
            </w:r>
            <w:r>
              <w:rPr>
                <w:rFonts w:hint="eastAsia" w:ascii="宋体" w:hAnsi="宋体" w:eastAsia="宋体" w:cs="宋体"/>
                <w:color w:val="auto"/>
                <w:sz w:val="21"/>
                <w:szCs w:val="21"/>
              </w:rPr>
              <w:t>；公共服务设施齐全</w:t>
            </w:r>
          </w:p>
        </w:tc>
        <w:tc>
          <w:tcPr>
            <w:tcW w:w="6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相似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周围环境</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状况</w:t>
            </w:r>
          </w:p>
        </w:tc>
        <w:tc>
          <w:tcPr>
            <w:tcW w:w="14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pacing w:val="-6"/>
                <w:sz w:val="21"/>
                <w:szCs w:val="21"/>
              </w:rPr>
            </w:pPr>
            <w:r>
              <w:rPr>
                <w:rFonts w:hint="eastAsia" w:ascii="宋体" w:hAnsi="宋体" w:eastAsia="宋体" w:cs="宋体"/>
                <w:color w:val="auto"/>
                <w:spacing w:val="-6"/>
                <w:sz w:val="21"/>
                <w:szCs w:val="21"/>
              </w:rPr>
              <w:t>基准（1.自然环境：气候温和，雨量充沛，四季常青。2.人文环境:居民素质较好、声誉较好，治安状况较好，3.景观：区域绿化率较高，环境景观较好。4.其他：</w:t>
            </w:r>
            <w:r>
              <w:rPr>
                <w:rFonts w:hint="eastAsia" w:ascii="宋体" w:hAnsi="宋体" w:cs="宋体"/>
                <w:color w:val="000000"/>
                <w:sz w:val="21"/>
                <w:szCs w:val="21"/>
              </w:rPr>
              <w:t>噪音污染</w:t>
            </w:r>
            <w:r>
              <w:rPr>
                <w:rFonts w:hint="eastAsia" w:ascii="宋体" w:hAnsi="宋体" w:cs="宋体"/>
                <w:color w:val="000000"/>
                <w:sz w:val="21"/>
                <w:szCs w:val="21"/>
                <w:lang w:eastAsia="zh-CN"/>
              </w:rPr>
              <w:t>一般</w:t>
            </w:r>
            <w:r>
              <w:rPr>
                <w:rFonts w:hint="eastAsia" w:ascii="宋体" w:hAnsi="宋体" w:eastAsia="宋体" w:cs="宋体"/>
                <w:color w:val="auto"/>
                <w:spacing w:val="-6"/>
                <w:sz w:val="21"/>
                <w:szCs w:val="21"/>
              </w:rPr>
              <w:t>，无明显污染源，环境治理和空气质量良好）</w:t>
            </w: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pacing w:val="-6"/>
                <w:sz w:val="21"/>
                <w:szCs w:val="21"/>
              </w:rPr>
              <w:t>1.自然环境：气候温和，雨量充沛，四季常青。2.人文环境:居民素质较好、声誉较好，治安状况较好，3.景观：区域绿化率较高，环境景观较好。4.其他：</w:t>
            </w:r>
            <w:r>
              <w:rPr>
                <w:rFonts w:hint="eastAsia" w:ascii="宋体" w:hAnsi="宋体" w:cs="宋体"/>
                <w:color w:val="000000"/>
                <w:sz w:val="21"/>
                <w:szCs w:val="21"/>
              </w:rPr>
              <w:t>噪音污染</w:t>
            </w:r>
            <w:r>
              <w:rPr>
                <w:rFonts w:hint="eastAsia" w:ascii="宋体" w:hAnsi="宋体" w:cs="宋体"/>
                <w:color w:val="000000"/>
                <w:sz w:val="21"/>
                <w:szCs w:val="21"/>
                <w:lang w:eastAsia="zh-CN"/>
              </w:rPr>
              <w:t>一般</w:t>
            </w:r>
            <w:r>
              <w:rPr>
                <w:rFonts w:hint="eastAsia" w:ascii="宋体" w:hAnsi="宋体" w:eastAsia="宋体" w:cs="宋体"/>
                <w:color w:val="auto"/>
                <w:spacing w:val="-6"/>
                <w:sz w:val="21"/>
                <w:szCs w:val="21"/>
              </w:rPr>
              <w:t>，无明显污染源，环境治理和空气质量良好</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pacing w:val="-6"/>
                <w:sz w:val="21"/>
                <w:szCs w:val="21"/>
              </w:rPr>
              <w:t>相似</w:t>
            </w:r>
          </w:p>
        </w:tc>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color w:val="auto"/>
                <w:sz w:val="21"/>
                <w:szCs w:val="21"/>
              </w:rPr>
            </w:pPr>
            <w:r>
              <w:rPr>
                <w:rFonts w:hint="eastAsia" w:ascii="宋体" w:hAnsi="宋体" w:eastAsia="宋体" w:cs="宋体"/>
                <w:color w:val="auto"/>
                <w:spacing w:val="-6"/>
                <w:sz w:val="21"/>
                <w:szCs w:val="21"/>
              </w:rPr>
              <w:t>1.自然环境：气候温和，雨量充沛，四季常青。2.人文环境:居民素质较好、声誉较好，治安状况较好，3.景观：区域绿化率较高，环境景观较好。4.其他：</w:t>
            </w:r>
            <w:r>
              <w:rPr>
                <w:rFonts w:hint="eastAsia" w:ascii="宋体" w:hAnsi="宋体" w:cs="宋体"/>
                <w:color w:val="000000"/>
                <w:sz w:val="21"/>
                <w:szCs w:val="21"/>
              </w:rPr>
              <w:t>噪音污染</w:t>
            </w:r>
            <w:r>
              <w:rPr>
                <w:rFonts w:hint="eastAsia" w:ascii="宋体" w:hAnsi="宋体" w:cs="宋体"/>
                <w:color w:val="000000"/>
                <w:sz w:val="21"/>
                <w:szCs w:val="21"/>
                <w:lang w:eastAsia="zh-CN"/>
              </w:rPr>
              <w:t>一般</w:t>
            </w:r>
            <w:r>
              <w:rPr>
                <w:rFonts w:hint="eastAsia" w:ascii="宋体" w:hAnsi="宋体" w:eastAsia="宋体" w:cs="宋体"/>
                <w:color w:val="auto"/>
                <w:spacing w:val="-6"/>
                <w:sz w:val="21"/>
                <w:szCs w:val="21"/>
              </w:rPr>
              <w:t>，无明显污染源，环境治理和空气质量良好</w:t>
            </w:r>
          </w:p>
        </w:tc>
        <w:tc>
          <w:tcPr>
            <w:tcW w:w="6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pacing w:val="-6"/>
                <w:sz w:val="21"/>
                <w:szCs w:val="21"/>
              </w:rPr>
              <w:t>相似</w:t>
            </w:r>
          </w:p>
        </w:tc>
        <w:tc>
          <w:tcPr>
            <w:tcW w:w="146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b/>
                <w:bCs/>
                <w:color w:val="auto"/>
                <w:sz w:val="21"/>
                <w:szCs w:val="21"/>
              </w:rPr>
            </w:pPr>
            <w:r>
              <w:rPr>
                <w:rFonts w:hint="eastAsia" w:ascii="宋体" w:hAnsi="宋体" w:eastAsia="宋体" w:cs="宋体"/>
                <w:color w:val="auto"/>
                <w:sz w:val="21"/>
                <w:szCs w:val="21"/>
              </w:rPr>
              <w:t>1.自然环境：气候温和，雨量充沛，四季常青。2.人文环境:居民素质较好、声誉较好，治安状况良好，3.景观：区域绿化率良好，环境景观较好。4.其他：</w:t>
            </w:r>
            <w:r>
              <w:rPr>
                <w:rFonts w:hint="eastAsia" w:ascii="宋体" w:hAnsi="宋体" w:cs="宋体"/>
                <w:color w:val="000000"/>
                <w:sz w:val="21"/>
                <w:szCs w:val="21"/>
              </w:rPr>
              <w:t>噪音污染</w:t>
            </w:r>
            <w:r>
              <w:rPr>
                <w:rFonts w:hint="eastAsia" w:ascii="宋体" w:hAnsi="宋体" w:cs="宋体"/>
                <w:color w:val="000000"/>
                <w:sz w:val="21"/>
                <w:szCs w:val="21"/>
                <w:lang w:eastAsia="zh-CN"/>
              </w:rPr>
              <w:t>一般</w:t>
            </w:r>
            <w:r>
              <w:rPr>
                <w:rFonts w:hint="eastAsia" w:ascii="宋体" w:hAnsi="宋体" w:eastAsia="宋体" w:cs="宋体"/>
                <w:color w:val="auto"/>
                <w:sz w:val="21"/>
                <w:szCs w:val="21"/>
              </w:rPr>
              <w:t>，无明显污染源，环境治理和空气质量良好</w:t>
            </w:r>
          </w:p>
        </w:tc>
        <w:tc>
          <w:tcPr>
            <w:tcW w:w="6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pacing w:val="-6"/>
                <w:sz w:val="21"/>
                <w:szCs w:val="21"/>
              </w:rPr>
              <w:t>相似</w:t>
            </w:r>
          </w:p>
        </w:tc>
      </w:tr>
    </w:tbl>
    <w:p>
      <w:pPr>
        <w:keepNext w:val="0"/>
        <w:keepLines w:val="0"/>
        <w:pageBreakBefore w:val="0"/>
        <w:kinsoku/>
        <w:wordWrap/>
        <w:overflowPunct/>
        <w:topLinePunct w:val="0"/>
        <w:autoSpaceDE/>
        <w:autoSpaceDN/>
        <w:bidi w:val="0"/>
        <w:adjustRightInd/>
        <w:snapToGrid/>
        <w:spacing w:line="440" w:lineRule="exact"/>
        <w:jc w:val="center"/>
        <w:rPr>
          <w:rFonts w:hint="default" w:ascii="宋体" w:hAnsi="宋体" w:eastAsia="宋体" w:cs="宋体"/>
          <w:b/>
          <w:color w:val="auto"/>
          <w:kern w:val="0"/>
          <w:sz w:val="21"/>
          <w:szCs w:val="21"/>
          <w:lang w:val="en-US"/>
        </w:rPr>
      </w:pPr>
      <w:r>
        <w:rPr>
          <w:rFonts w:hint="eastAsia" w:ascii="宋体" w:hAnsi="宋体" w:eastAsia="宋体" w:cs="宋体"/>
          <w:color w:val="auto"/>
          <w:sz w:val="24"/>
          <w:szCs w:val="24"/>
          <w:lang w:val="en-US" w:eastAsia="zh-CN"/>
        </w:rPr>
        <w:t xml:space="preserve">                         实物状况因素比照表                        </w:t>
      </w:r>
      <w:r>
        <w:rPr>
          <w:rFonts w:hint="eastAsia" w:ascii="宋体" w:hAnsi="宋体" w:eastAsia="宋体" w:cs="宋体"/>
          <w:sz w:val="24"/>
          <w:szCs w:val="24"/>
          <w:lang w:eastAsia="zh-CN"/>
        </w:rPr>
        <w:t>技</w:t>
      </w:r>
      <w:r>
        <w:rPr>
          <w:rFonts w:hint="eastAsia" w:ascii="宋体" w:hAnsi="宋体" w:eastAsia="宋体" w:cs="宋体"/>
          <w:sz w:val="24"/>
          <w:szCs w:val="24"/>
        </w:rPr>
        <w:t>表</w:t>
      </w:r>
      <w:r>
        <w:rPr>
          <w:rFonts w:hint="eastAsia" w:ascii="宋体" w:hAnsi="宋体" w:eastAsia="宋体" w:cs="宋体"/>
          <w:sz w:val="24"/>
          <w:szCs w:val="24"/>
          <w:lang w:val="en-US" w:eastAsia="zh-CN"/>
        </w:rPr>
        <w:t>12</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4"/>
        <w:gridCol w:w="1488"/>
        <w:gridCol w:w="1387"/>
        <w:gridCol w:w="675"/>
        <w:gridCol w:w="1398"/>
        <w:gridCol w:w="655"/>
        <w:gridCol w:w="1543"/>
        <w:gridCol w:w="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33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比较因素</w:t>
            </w:r>
          </w:p>
        </w:tc>
        <w:tc>
          <w:tcPr>
            <w:tcW w:w="1488"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估价对象</w:t>
            </w:r>
          </w:p>
        </w:tc>
        <w:tc>
          <w:tcPr>
            <w:tcW w:w="206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可比实例A</w:t>
            </w:r>
          </w:p>
        </w:tc>
        <w:tc>
          <w:tcPr>
            <w:tcW w:w="20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可比实例B</w:t>
            </w:r>
          </w:p>
        </w:tc>
        <w:tc>
          <w:tcPr>
            <w:tcW w:w="219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可比实例C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3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子项因素</w:t>
            </w:r>
          </w:p>
        </w:tc>
        <w:tc>
          <w:tcPr>
            <w:tcW w:w="13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rPr>
              <w:t>子项因素</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比较结果</w:t>
            </w:r>
          </w:p>
        </w:tc>
        <w:tc>
          <w:tcPr>
            <w:tcW w:w="13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rPr>
              <w:t>子项因素</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比较结果</w:t>
            </w:r>
          </w:p>
        </w:tc>
        <w:tc>
          <w:tcPr>
            <w:tcW w:w="15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rPr>
              <w:t>子项因素</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比较结果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建筑结构</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基准（</w:t>
            </w:r>
            <w:r>
              <w:rPr>
                <w:rFonts w:hint="eastAsia" w:ascii="宋体" w:hAnsi="宋体" w:eastAsia="宋体" w:cs="宋体"/>
                <w:color w:val="auto"/>
                <w:kern w:val="0"/>
                <w:sz w:val="21"/>
                <w:szCs w:val="21"/>
                <w:lang w:val="en-US" w:eastAsia="zh-CN"/>
              </w:rPr>
              <w:t>钢混</w:t>
            </w:r>
            <w:r>
              <w:rPr>
                <w:rFonts w:hint="eastAsia" w:ascii="宋体" w:hAnsi="宋体" w:eastAsia="宋体" w:cs="宋体"/>
                <w:color w:val="auto"/>
                <w:kern w:val="0"/>
                <w:sz w:val="21"/>
                <w:szCs w:val="21"/>
              </w:rPr>
              <w:t>）</w:t>
            </w:r>
          </w:p>
        </w:tc>
        <w:tc>
          <w:tcPr>
            <w:tcW w:w="13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钢混</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相似</w:t>
            </w:r>
          </w:p>
        </w:tc>
        <w:tc>
          <w:tcPr>
            <w:tcW w:w="13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kern w:val="0"/>
                <w:sz w:val="21"/>
                <w:szCs w:val="21"/>
                <w:lang w:val="en-US" w:eastAsia="zh-CN"/>
              </w:rPr>
              <w:t>钢混</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相似</w:t>
            </w:r>
          </w:p>
        </w:tc>
        <w:tc>
          <w:tcPr>
            <w:tcW w:w="15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钢混</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相似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建筑规模</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106.49</w:t>
            </w:r>
            <w:r>
              <w:rPr>
                <w:rFonts w:hint="eastAsia" w:ascii="宋体" w:hAnsi="宋体" w:eastAsia="宋体" w:cs="宋体"/>
                <w:color w:val="auto"/>
                <w:kern w:val="0"/>
                <w:sz w:val="21"/>
                <w:szCs w:val="21"/>
                <w:lang w:val="en-US" w:eastAsia="zh-CN"/>
              </w:rPr>
              <w:t>m</w:t>
            </w:r>
            <w:r>
              <w:rPr>
                <w:rFonts w:hint="eastAsia" w:ascii="宋体" w:hAnsi="宋体" w:eastAsia="宋体" w:cs="宋体"/>
                <w:color w:val="auto"/>
                <w:kern w:val="0"/>
                <w:sz w:val="21"/>
                <w:szCs w:val="21"/>
                <w:vertAlign w:val="superscript"/>
                <w:lang w:val="en-US" w:eastAsia="zh-CN"/>
              </w:rPr>
              <w:t>2</w:t>
            </w:r>
          </w:p>
        </w:tc>
        <w:tc>
          <w:tcPr>
            <w:tcW w:w="13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eastAsia="zh-CN"/>
              </w:rPr>
            </w:pPr>
            <w:r>
              <w:rPr>
                <w:rFonts w:hint="eastAsia" w:ascii="宋体" w:hAnsi="宋体" w:cs="宋体"/>
                <w:color w:val="000000"/>
                <w:szCs w:val="21"/>
                <w:lang w:val="en-US" w:eastAsia="zh-CN"/>
              </w:rPr>
              <w:t>117.37</w:t>
            </w:r>
            <w:r>
              <w:rPr>
                <w:rFonts w:hint="eastAsia" w:ascii="宋体" w:hAnsi="宋体" w:cs="宋体"/>
                <w:color w:val="000000"/>
                <w:szCs w:val="21"/>
              </w:rPr>
              <w:t>m</w:t>
            </w:r>
            <w:r>
              <w:rPr>
                <w:rFonts w:hint="eastAsia" w:ascii="宋体" w:hAnsi="宋体" w:cs="宋体"/>
                <w:color w:val="000000"/>
                <w:szCs w:val="21"/>
                <w:vertAlign w:val="superscript"/>
              </w:rPr>
              <w:t>2</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略差</w:t>
            </w:r>
          </w:p>
        </w:tc>
        <w:tc>
          <w:tcPr>
            <w:tcW w:w="13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lang w:eastAsia="zh-CN"/>
              </w:rPr>
            </w:pPr>
            <w:r>
              <w:rPr>
                <w:rFonts w:hint="eastAsia" w:ascii="宋体" w:hAnsi="宋体" w:cs="宋体"/>
                <w:color w:val="000000"/>
                <w:szCs w:val="21"/>
                <w:lang w:val="en-US" w:eastAsia="zh-CN"/>
              </w:rPr>
              <w:t>132.48</w:t>
            </w:r>
            <w:r>
              <w:rPr>
                <w:rFonts w:hint="eastAsia" w:ascii="宋体" w:hAnsi="宋体" w:cs="宋体"/>
                <w:color w:val="000000"/>
                <w:szCs w:val="21"/>
              </w:rPr>
              <w:t>m</w:t>
            </w:r>
            <w:r>
              <w:rPr>
                <w:rFonts w:hint="eastAsia" w:ascii="宋体" w:hAnsi="宋体" w:cs="宋体"/>
                <w:color w:val="000000"/>
                <w:szCs w:val="21"/>
                <w:vertAlign w:val="superscript"/>
              </w:rPr>
              <w:t>2</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略</w:t>
            </w:r>
            <w:r>
              <w:rPr>
                <w:rFonts w:hint="eastAsia" w:ascii="宋体" w:hAnsi="宋体" w:eastAsia="宋体" w:cs="宋体"/>
                <w:color w:val="auto"/>
                <w:sz w:val="21"/>
                <w:szCs w:val="21"/>
                <w:lang w:val="en-US" w:eastAsia="zh-CN"/>
              </w:rPr>
              <w:t>差</w:t>
            </w:r>
          </w:p>
        </w:tc>
        <w:tc>
          <w:tcPr>
            <w:tcW w:w="15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eastAsia="zh-CN"/>
              </w:rPr>
            </w:pPr>
            <w:r>
              <w:rPr>
                <w:rFonts w:hint="eastAsia" w:ascii="宋体" w:hAnsi="宋体" w:cs="宋体"/>
                <w:color w:val="000000"/>
                <w:szCs w:val="21"/>
                <w:lang w:val="en-US" w:eastAsia="zh-CN"/>
              </w:rPr>
              <w:t>116.97</w:t>
            </w:r>
            <w:r>
              <w:rPr>
                <w:rFonts w:hint="eastAsia" w:ascii="宋体" w:hAnsi="宋体" w:cs="宋体"/>
                <w:color w:val="000000"/>
                <w:szCs w:val="21"/>
              </w:rPr>
              <w:t>m</w:t>
            </w:r>
            <w:r>
              <w:rPr>
                <w:rFonts w:hint="eastAsia" w:ascii="宋体" w:hAnsi="宋体" w:cs="宋体"/>
                <w:color w:val="000000"/>
                <w:szCs w:val="21"/>
                <w:vertAlign w:val="superscript"/>
              </w:rPr>
              <w:t>2</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略差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层高</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eastAsia="zh-CN"/>
              </w:rPr>
              <w:t>约</w:t>
            </w:r>
            <w:r>
              <w:rPr>
                <w:rFonts w:hint="eastAsia" w:ascii="宋体" w:hAnsi="宋体" w:eastAsia="宋体" w:cs="宋体"/>
                <w:color w:val="auto"/>
                <w:kern w:val="0"/>
                <w:sz w:val="21"/>
                <w:szCs w:val="21"/>
                <w:lang w:val="en-US" w:eastAsia="zh-CN"/>
              </w:rPr>
              <w:t>2.9米</w:t>
            </w:r>
          </w:p>
        </w:tc>
        <w:tc>
          <w:tcPr>
            <w:tcW w:w="13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eastAsia="zh-CN"/>
              </w:rPr>
            </w:pPr>
            <w:r>
              <w:rPr>
                <w:rFonts w:hint="eastAsia" w:ascii="宋体" w:hAnsi="宋体" w:eastAsia="宋体" w:cs="宋体"/>
                <w:color w:val="auto"/>
                <w:kern w:val="0"/>
                <w:sz w:val="21"/>
                <w:szCs w:val="21"/>
                <w:lang w:eastAsia="zh-CN"/>
              </w:rPr>
              <w:t>约</w:t>
            </w:r>
            <w:r>
              <w:rPr>
                <w:rFonts w:hint="eastAsia" w:ascii="宋体" w:hAnsi="宋体" w:eastAsia="宋体" w:cs="宋体"/>
                <w:color w:val="auto"/>
                <w:kern w:val="0"/>
                <w:sz w:val="21"/>
                <w:szCs w:val="21"/>
                <w:lang w:val="en-US" w:eastAsia="zh-CN"/>
              </w:rPr>
              <w:t>2.9米</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相似</w:t>
            </w:r>
          </w:p>
        </w:tc>
        <w:tc>
          <w:tcPr>
            <w:tcW w:w="13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eastAsia="zh-CN"/>
              </w:rPr>
            </w:pPr>
            <w:r>
              <w:rPr>
                <w:rFonts w:hint="eastAsia" w:ascii="宋体" w:hAnsi="宋体" w:eastAsia="宋体" w:cs="宋体"/>
                <w:color w:val="auto"/>
                <w:kern w:val="0"/>
                <w:sz w:val="21"/>
                <w:szCs w:val="21"/>
                <w:lang w:eastAsia="zh-CN"/>
              </w:rPr>
              <w:t>约</w:t>
            </w:r>
            <w:r>
              <w:rPr>
                <w:rFonts w:hint="eastAsia" w:ascii="宋体" w:hAnsi="宋体" w:eastAsia="宋体" w:cs="宋体"/>
                <w:color w:val="auto"/>
                <w:kern w:val="0"/>
                <w:sz w:val="21"/>
                <w:szCs w:val="21"/>
                <w:lang w:val="en-US" w:eastAsia="zh-CN"/>
              </w:rPr>
              <w:t>2.9米</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相似</w:t>
            </w:r>
          </w:p>
        </w:tc>
        <w:tc>
          <w:tcPr>
            <w:tcW w:w="15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eastAsia="zh-CN"/>
              </w:rPr>
            </w:pPr>
            <w:r>
              <w:rPr>
                <w:rFonts w:hint="eastAsia" w:ascii="宋体" w:hAnsi="宋体" w:eastAsia="宋体" w:cs="宋体"/>
                <w:color w:val="auto"/>
                <w:kern w:val="0"/>
                <w:sz w:val="21"/>
                <w:szCs w:val="21"/>
                <w:lang w:eastAsia="zh-CN"/>
              </w:rPr>
              <w:t>约</w:t>
            </w:r>
            <w:r>
              <w:rPr>
                <w:rFonts w:hint="eastAsia" w:ascii="宋体" w:hAnsi="宋体" w:eastAsia="宋体" w:cs="宋体"/>
                <w:color w:val="auto"/>
                <w:kern w:val="0"/>
                <w:sz w:val="21"/>
                <w:szCs w:val="21"/>
                <w:lang w:val="en-US" w:eastAsia="zh-CN"/>
              </w:rPr>
              <w:t>2.9米</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相似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平面布局</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1"/>
                <w:szCs w:val="21"/>
                <w:lang w:eastAsia="zh-CN"/>
              </w:rPr>
            </w:pPr>
            <w:r>
              <w:rPr>
                <w:rFonts w:hint="eastAsia" w:ascii="宋体" w:hAnsi="宋体" w:eastAsia="宋体" w:cs="宋体"/>
                <w:sz w:val="21"/>
                <w:szCs w:val="21"/>
                <w:lang w:eastAsia="zh-CN"/>
              </w:rPr>
              <w:t>平层</w:t>
            </w:r>
          </w:p>
        </w:tc>
        <w:tc>
          <w:tcPr>
            <w:tcW w:w="13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平层</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相似</w:t>
            </w:r>
          </w:p>
        </w:tc>
        <w:tc>
          <w:tcPr>
            <w:tcW w:w="13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sz w:val="21"/>
                <w:szCs w:val="21"/>
                <w:lang w:eastAsia="zh-CN"/>
              </w:rPr>
              <w:t>平层</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相似</w:t>
            </w:r>
          </w:p>
        </w:tc>
        <w:tc>
          <w:tcPr>
            <w:tcW w:w="15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平层</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相似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设施设备</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基准（室内照明、通信、水电等配套设施齐全）</w:t>
            </w:r>
          </w:p>
        </w:tc>
        <w:tc>
          <w:tcPr>
            <w:tcW w:w="13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sz w:val="21"/>
                <w:szCs w:val="21"/>
              </w:rPr>
              <w:t>室内照明、通信、水电等配套设施齐全</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1"/>
                <w:szCs w:val="21"/>
                <w:lang w:eastAsia="zh-CN"/>
              </w:rPr>
            </w:pPr>
            <w:r>
              <w:rPr>
                <w:rFonts w:hint="eastAsia" w:ascii="宋体" w:hAnsi="宋体" w:eastAsia="宋体" w:cs="宋体"/>
                <w:color w:val="auto"/>
                <w:sz w:val="21"/>
                <w:szCs w:val="21"/>
                <w:lang w:eastAsia="zh-CN"/>
              </w:rPr>
              <w:t>相似</w:t>
            </w:r>
          </w:p>
        </w:tc>
        <w:tc>
          <w:tcPr>
            <w:tcW w:w="13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sz w:val="21"/>
                <w:szCs w:val="21"/>
              </w:rPr>
              <w:t>室内照明、通信、水电等配套设施齐全</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sz w:val="21"/>
                <w:szCs w:val="21"/>
                <w:lang w:eastAsia="zh-CN"/>
              </w:rPr>
              <w:t>相似</w:t>
            </w:r>
          </w:p>
        </w:tc>
        <w:tc>
          <w:tcPr>
            <w:tcW w:w="15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sz w:val="21"/>
                <w:szCs w:val="21"/>
              </w:rPr>
              <w:t>室内照明、通信、水电等配套设施齐全</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sz w:val="21"/>
                <w:szCs w:val="21"/>
                <w:lang w:eastAsia="zh-CN"/>
              </w:rPr>
              <w:t>相似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外观</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基准（外观</w:t>
            </w:r>
            <w:r>
              <w:rPr>
                <w:rFonts w:hint="eastAsia" w:ascii="宋体" w:hAnsi="宋体" w:eastAsia="宋体" w:cs="宋体"/>
                <w:color w:val="auto"/>
                <w:kern w:val="0"/>
                <w:sz w:val="21"/>
                <w:szCs w:val="21"/>
                <w:lang w:eastAsia="zh-CN"/>
              </w:rPr>
              <w:t>良好</w:t>
            </w:r>
            <w:r>
              <w:rPr>
                <w:rFonts w:hint="eastAsia" w:ascii="宋体" w:hAnsi="宋体" w:eastAsia="宋体" w:cs="宋体"/>
                <w:color w:val="auto"/>
                <w:kern w:val="0"/>
                <w:sz w:val="21"/>
                <w:szCs w:val="21"/>
              </w:rPr>
              <w:t>，外墙</w:t>
            </w:r>
            <w:r>
              <w:rPr>
                <w:rFonts w:hint="eastAsia" w:ascii="宋体" w:hAnsi="宋体" w:cs="宋体"/>
                <w:color w:val="000000"/>
                <w:sz w:val="21"/>
                <w:szCs w:val="21"/>
                <w:lang w:eastAsia="zh-CN"/>
              </w:rPr>
              <w:t>涂料粉刷</w:t>
            </w:r>
            <w:r>
              <w:rPr>
                <w:rFonts w:hint="eastAsia" w:ascii="宋体" w:hAnsi="宋体" w:eastAsia="宋体" w:cs="宋体"/>
                <w:color w:val="auto"/>
                <w:kern w:val="0"/>
                <w:sz w:val="21"/>
                <w:szCs w:val="21"/>
              </w:rPr>
              <w:t>）</w:t>
            </w:r>
          </w:p>
        </w:tc>
        <w:tc>
          <w:tcPr>
            <w:tcW w:w="13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rPr>
              <w:t>外观</w:t>
            </w:r>
            <w:r>
              <w:rPr>
                <w:rFonts w:hint="eastAsia" w:ascii="宋体" w:hAnsi="宋体" w:eastAsia="宋体" w:cs="宋体"/>
                <w:color w:val="auto"/>
                <w:kern w:val="0"/>
                <w:sz w:val="21"/>
                <w:szCs w:val="21"/>
                <w:lang w:eastAsia="zh-CN"/>
              </w:rPr>
              <w:t>良好</w:t>
            </w:r>
            <w:r>
              <w:rPr>
                <w:rFonts w:hint="eastAsia" w:ascii="宋体" w:hAnsi="宋体" w:eastAsia="宋体" w:cs="宋体"/>
                <w:color w:val="auto"/>
                <w:kern w:val="0"/>
                <w:sz w:val="21"/>
                <w:szCs w:val="21"/>
              </w:rPr>
              <w:t>，外墙</w:t>
            </w:r>
            <w:r>
              <w:rPr>
                <w:rFonts w:hint="eastAsia" w:ascii="宋体" w:hAnsi="宋体" w:cs="宋体"/>
                <w:color w:val="auto"/>
                <w:kern w:val="0"/>
                <w:sz w:val="21"/>
                <w:szCs w:val="21"/>
                <w:lang w:val="en-US" w:eastAsia="zh-CN"/>
              </w:rPr>
              <w:t>涂料粉刷</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相似</w:t>
            </w:r>
          </w:p>
        </w:tc>
        <w:tc>
          <w:tcPr>
            <w:tcW w:w="13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rPr>
              <w:t>外观</w:t>
            </w:r>
            <w:r>
              <w:rPr>
                <w:rFonts w:hint="eastAsia" w:ascii="宋体" w:hAnsi="宋体" w:eastAsia="宋体" w:cs="宋体"/>
                <w:color w:val="auto"/>
                <w:kern w:val="0"/>
                <w:sz w:val="21"/>
                <w:szCs w:val="21"/>
                <w:lang w:eastAsia="zh-CN"/>
              </w:rPr>
              <w:t>良好</w:t>
            </w:r>
            <w:r>
              <w:rPr>
                <w:rFonts w:hint="eastAsia" w:ascii="宋体" w:hAnsi="宋体" w:eastAsia="宋体" w:cs="宋体"/>
                <w:color w:val="auto"/>
                <w:kern w:val="0"/>
                <w:sz w:val="21"/>
                <w:szCs w:val="21"/>
              </w:rPr>
              <w:t>，外墙</w:t>
            </w:r>
            <w:r>
              <w:rPr>
                <w:rFonts w:hint="eastAsia" w:ascii="宋体" w:hAnsi="宋体" w:cs="宋体"/>
                <w:color w:val="auto"/>
                <w:kern w:val="0"/>
                <w:sz w:val="21"/>
                <w:szCs w:val="21"/>
                <w:lang w:val="en-US" w:eastAsia="zh-CN"/>
              </w:rPr>
              <w:t>涂料粉刷</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相似</w:t>
            </w:r>
          </w:p>
        </w:tc>
        <w:tc>
          <w:tcPr>
            <w:tcW w:w="15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lang w:eastAsia="zh-CN"/>
              </w:rPr>
            </w:pPr>
            <w:r>
              <w:rPr>
                <w:rFonts w:hint="eastAsia" w:ascii="宋体" w:hAnsi="宋体" w:cs="宋体"/>
                <w:sz w:val="21"/>
                <w:szCs w:val="21"/>
              </w:rPr>
              <w:t>外观较好，外墙面为</w:t>
            </w:r>
            <w:r>
              <w:rPr>
                <w:rFonts w:hint="eastAsia" w:ascii="宋体" w:hAnsi="宋体" w:cs="宋体"/>
                <w:sz w:val="21"/>
                <w:szCs w:val="21"/>
                <w:lang w:eastAsia="zh-CN"/>
              </w:rPr>
              <w:t>涂料粉刷</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相似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新旧程度</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基准（建成于</w:t>
            </w:r>
            <w:r>
              <w:rPr>
                <w:rFonts w:hint="eastAsia" w:ascii="宋体" w:hAnsi="宋体" w:cs="宋体"/>
                <w:color w:val="auto"/>
                <w:sz w:val="21"/>
                <w:szCs w:val="21"/>
                <w:lang w:val="en-US" w:eastAsia="zh-CN"/>
              </w:rPr>
              <w:t>2020</w:t>
            </w:r>
            <w:r>
              <w:rPr>
                <w:rFonts w:hint="eastAsia" w:ascii="宋体" w:hAnsi="宋体" w:eastAsia="宋体" w:cs="宋体"/>
                <w:color w:val="auto"/>
                <w:sz w:val="21"/>
                <w:szCs w:val="21"/>
              </w:rPr>
              <w:t>年，维护状况</w:t>
            </w:r>
            <w:r>
              <w:rPr>
                <w:rFonts w:hint="eastAsia" w:ascii="宋体" w:hAnsi="宋体" w:eastAsia="宋体" w:cs="宋体"/>
                <w:color w:val="auto"/>
                <w:sz w:val="21"/>
                <w:szCs w:val="21"/>
                <w:lang w:eastAsia="zh-CN"/>
              </w:rPr>
              <w:t>良</w:t>
            </w:r>
            <w:r>
              <w:rPr>
                <w:rFonts w:hint="eastAsia" w:ascii="宋体" w:hAnsi="宋体" w:eastAsia="宋体" w:cs="宋体"/>
                <w:color w:val="auto"/>
                <w:sz w:val="21"/>
                <w:szCs w:val="21"/>
              </w:rPr>
              <w:t>好，功能折旧不明显，无外部性折旧）</w:t>
            </w:r>
          </w:p>
        </w:tc>
        <w:tc>
          <w:tcPr>
            <w:tcW w:w="13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建成于</w:t>
            </w:r>
            <w:r>
              <w:rPr>
                <w:rFonts w:hint="eastAsia" w:ascii="宋体" w:hAnsi="宋体" w:eastAsia="宋体" w:cs="宋体"/>
                <w:color w:val="auto"/>
                <w:sz w:val="21"/>
                <w:szCs w:val="21"/>
                <w:lang w:val="en-US" w:eastAsia="zh-CN"/>
              </w:rPr>
              <w:t>201</w:t>
            </w:r>
            <w:r>
              <w:rPr>
                <w:rFonts w:hint="eastAsia" w:ascii="宋体" w:hAnsi="宋体" w:cs="宋体"/>
                <w:color w:val="auto"/>
                <w:sz w:val="21"/>
                <w:szCs w:val="21"/>
                <w:lang w:val="en-US" w:eastAsia="zh-CN"/>
              </w:rPr>
              <w:t>7</w:t>
            </w:r>
            <w:r>
              <w:rPr>
                <w:rFonts w:hint="eastAsia" w:ascii="宋体" w:hAnsi="宋体" w:eastAsia="宋体" w:cs="宋体"/>
                <w:color w:val="auto"/>
                <w:sz w:val="21"/>
                <w:szCs w:val="21"/>
              </w:rPr>
              <w:t>年，维护状况</w:t>
            </w:r>
            <w:r>
              <w:rPr>
                <w:rFonts w:hint="eastAsia" w:ascii="宋体" w:hAnsi="宋体" w:eastAsia="宋体" w:cs="宋体"/>
                <w:color w:val="auto"/>
                <w:sz w:val="21"/>
                <w:szCs w:val="21"/>
                <w:lang w:eastAsia="zh-CN"/>
              </w:rPr>
              <w:t>良</w:t>
            </w:r>
            <w:r>
              <w:rPr>
                <w:rFonts w:hint="eastAsia" w:ascii="宋体" w:hAnsi="宋体" w:eastAsia="宋体" w:cs="宋体"/>
                <w:color w:val="auto"/>
                <w:sz w:val="21"/>
                <w:szCs w:val="21"/>
              </w:rPr>
              <w:t>好，功能折旧不明显，无外部性折旧</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略差</w:t>
            </w:r>
          </w:p>
        </w:tc>
        <w:tc>
          <w:tcPr>
            <w:tcW w:w="13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建成于</w:t>
            </w:r>
            <w:r>
              <w:rPr>
                <w:rFonts w:hint="eastAsia" w:ascii="宋体" w:hAnsi="宋体" w:eastAsia="宋体" w:cs="宋体"/>
                <w:color w:val="auto"/>
                <w:sz w:val="21"/>
                <w:szCs w:val="21"/>
                <w:lang w:val="en-US" w:eastAsia="zh-CN"/>
              </w:rPr>
              <w:t>201</w:t>
            </w:r>
            <w:r>
              <w:rPr>
                <w:rFonts w:hint="eastAsia" w:ascii="宋体" w:hAnsi="宋体" w:cs="宋体"/>
                <w:color w:val="auto"/>
                <w:sz w:val="21"/>
                <w:szCs w:val="21"/>
                <w:lang w:val="en-US" w:eastAsia="zh-CN"/>
              </w:rPr>
              <w:t>7</w:t>
            </w:r>
            <w:r>
              <w:rPr>
                <w:rFonts w:hint="eastAsia" w:ascii="宋体" w:hAnsi="宋体" w:eastAsia="宋体" w:cs="宋体"/>
                <w:color w:val="auto"/>
                <w:sz w:val="21"/>
                <w:szCs w:val="21"/>
              </w:rPr>
              <w:t>年，维护状况</w:t>
            </w:r>
            <w:r>
              <w:rPr>
                <w:rFonts w:hint="eastAsia" w:ascii="宋体" w:hAnsi="宋体" w:eastAsia="宋体" w:cs="宋体"/>
                <w:color w:val="auto"/>
                <w:sz w:val="21"/>
                <w:szCs w:val="21"/>
                <w:lang w:eastAsia="zh-CN"/>
              </w:rPr>
              <w:t>良</w:t>
            </w:r>
            <w:r>
              <w:rPr>
                <w:rFonts w:hint="eastAsia" w:ascii="宋体" w:hAnsi="宋体" w:eastAsia="宋体" w:cs="宋体"/>
                <w:color w:val="auto"/>
                <w:sz w:val="21"/>
                <w:szCs w:val="21"/>
              </w:rPr>
              <w:t>好，功能折旧不明显，无外部性折旧</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略差</w:t>
            </w:r>
          </w:p>
        </w:tc>
        <w:tc>
          <w:tcPr>
            <w:tcW w:w="15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建成于</w:t>
            </w:r>
            <w:r>
              <w:rPr>
                <w:rFonts w:hint="eastAsia" w:ascii="宋体" w:hAnsi="宋体" w:eastAsia="宋体" w:cs="宋体"/>
                <w:color w:val="auto"/>
                <w:sz w:val="21"/>
                <w:szCs w:val="21"/>
                <w:lang w:val="en-US" w:eastAsia="zh-CN"/>
              </w:rPr>
              <w:t>201</w:t>
            </w:r>
            <w:r>
              <w:rPr>
                <w:rFonts w:hint="eastAsia" w:ascii="宋体" w:hAnsi="宋体" w:cs="宋体"/>
                <w:color w:val="auto"/>
                <w:sz w:val="21"/>
                <w:szCs w:val="21"/>
                <w:lang w:val="en-US" w:eastAsia="zh-CN"/>
              </w:rPr>
              <w:t>7</w:t>
            </w:r>
            <w:r>
              <w:rPr>
                <w:rFonts w:hint="eastAsia" w:ascii="宋体" w:hAnsi="宋体" w:eastAsia="宋体" w:cs="宋体"/>
                <w:color w:val="auto"/>
                <w:sz w:val="21"/>
                <w:szCs w:val="21"/>
              </w:rPr>
              <w:t>年，维护状况</w:t>
            </w:r>
            <w:r>
              <w:rPr>
                <w:rFonts w:hint="eastAsia" w:ascii="宋体" w:hAnsi="宋体" w:eastAsia="宋体" w:cs="宋体"/>
                <w:color w:val="auto"/>
                <w:sz w:val="21"/>
                <w:szCs w:val="21"/>
                <w:lang w:eastAsia="zh-CN"/>
              </w:rPr>
              <w:t>良</w:t>
            </w:r>
            <w:r>
              <w:rPr>
                <w:rFonts w:hint="eastAsia" w:ascii="宋体" w:hAnsi="宋体" w:eastAsia="宋体" w:cs="宋体"/>
                <w:color w:val="auto"/>
                <w:sz w:val="21"/>
                <w:szCs w:val="21"/>
              </w:rPr>
              <w:t>好，功能折旧不明显，无外部性折旧</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略差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小区规模</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基准（</w:t>
            </w:r>
            <w:r>
              <w:rPr>
                <w:rFonts w:hint="eastAsia" w:ascii="宋体" w:hAnsi="宋体" w:cs="宋体"/>
                <w:color w:val="auto"/>
                <w:sz w:val="21"/>
                <w:szCs w:val="21"/>
                <w:lang w:val="en-US" w:eastAsia="zh-CN"/>
              </w:rPr>
              <w:t>中等</w:t>
            </w:r>
            <w:r>
              <w:rPr>
                <w:rFonts w:hint="eastAsia" w:ascii="宋体" w:hAnsi="宋体" w:eastAsia="宋体" w:cs="宋体"/>
                <w:color w:val="auto"/>
                <w:sz w:val="21"/>
                <w:szCs w:val="21"/>
              </w:rPr>
              <w:t>）</w:t>
            </w:r>
          </w:p>
        </w:tc>
        <w:tc>
          <w:tcPr>
            <w:tcW w:w="13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中等</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较好</w:t>
            </w:r>
          </w:p>
        </w:tc>
        <w:tc>
          <w:tcPr>
            <w:tcW w:w="13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中等</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较好</w:t>
            </w:r>
          </w:p>
        </w:tc>
        <w:tc>
          <w:tcPr>
            <w:tcW w:w="15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中等</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小区环境</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景观</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基准（空气质量较好，卫生情况较好，绿化情况</w:t>
            </w:r>
            <w:r>
              <w:rPr>
                <w:rFonts w:hint="eastAsia" w:ascii="宋体" w:hAnsi="宋体" w:eastAsia="宋体" w:cs="宋体"/>
                <w:color w:val="auto"/>
                <w:sz w:val="21"/>
                <w:szCs w:val="21"/>
                <w:lang w:eastAsia="zh-CN"/>
              </w:rPr>
              <w:t>良好</w:t>
            </w:r>
            <w:r>
              <w:rPr>
                <w:rFonts w:hint="eastAsia" w:ascii="宋体" w:hAnsi="宋体" w:eastAsia="宋体" w:cs="宋体"/>
                <w:color w:val="auto"/>
                <w:sz w:val="21"/>
                <w:szCs w:val="21"/>
              </w:rPr>
              <w:t>）</w:t>
            </w:r>
          </w:p>
        </w:tc>
        <w:tc>
          <w:tcPr>
            <w:tcW w:w="13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空气质量较好，卫生情况较好，绿化情况良好</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相似</w:t>
            </w:r>
          </w:p>
        </w:tc>
        <w:tc>
          <w:tcPr>
            <w:tcW w:w="13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空气质量较好，卫生情况较好，绿化情况良好</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相似</w:t>
            </w:r>
          </w:p>
        </w:tc>
        <w:tc>
          <w:tcPr>
            <w:tcW w:w="15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空气质量较好，卫生情况较好，绿化情况良好</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相似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小区档次</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基准（</w:t>
            </w:r>
            <w:r>
              <w:rPr>
                <w:rFonts w:hint="eastAsia" w:ascii="宋体" w:hAnsi="宋体" w:eastAsia="宋体" w:cs="宋体"/>
                <w:color w:val="auto"/>
                <w:sz w:val="21"/>
                <w:szCs w:val="21"/>
                <w:lang w:eastAsia="zh-CN"/>
              </w:rPr>
              <w:t>良好</w:t>
            </w:r>
            <w:r>
              <w:rPr>
                <w:rFonts w:hint="eastAsia" w:ascii="宋体" w:hAnsi="宋体" w:eastAsia="宋体" w:cs="宋体"/>
                <w:color w:val="auto"/>
                <w:sz w:val="21"/>
                <w:szCs w:val="21"/>
              </w:rPr>
              <w:t>）</w:t>
            </w:r>
          </w:p>
        </w:tc>
        <w:tc>
          <w:tcPr>
            <w:tcW w:w="13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良好</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相似</w:t>
            </w:r>
          </w:p>
        </w:tc>
        <w:tc>
          <w:tcPr>
            <w:tcW w:w="13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良好</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相似</w:t>
            </w:r>
          </w:p>
        </w:tc>
        <w:tc>
          <w:tcPr>
            <w:tcW w:w="15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良好</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相似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小区配套设施</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基准（水、电、通信、网络等设施较齐全，有</w:t>
            </w:r>
            <w:r>
              <w:rPr>
                <w:rFonts w:hint="eastAsia" w:ascii="宋体" w:hAnsi="宋体" w:eastAsia="宋体" w:cs="宋体"/>
                <w:color w:val="auto"/>
                <w:sz w:val="21"/>
                <w:szCs w:val="21"/>
                <w:lang w:eastAsia="zh-CN"/>
              </w:rPr>
              <w:t>停</w:t>
            </w:r>
            <w:r>
              <w:rPr>
                <w:rFonts w:hint="eastAsia" w:ascii="宋体" w:hAnsi="宋体" w:eastAsia="宋体" w:cs="宋体"/>
                <w:color w:val="auto"/>
                <w:sz w:val="21"/>
                <w:szCs w:val="21"/>
              </w:rPr>
              <w:t>车位；小区配套设施齐全）</w:t>
            </w:r>
          </w:p>
        </w:tc>
        <w:tc>
          <w:tcPr>
            <w:tcW w:w="13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水、电、通信、网络等设施较齐全，有</w:t>
            </w:r>
            <w:r>
              <w:rPr>
                <w:rFonts w:hint="eastAsia" w:ascii="宋体" w:hAnsi="宋体" w:eastAsia="宋体" w:cs="宋体"/>
                <w:color w:val="auto"/>
                <w:sz w:val="21"/>
                <w:szCs w:val="21"/>
                <w:lang w:eastAsia="zh-CN"/>
              </w:rPr>
              <w:t>停</w:t>
            </w:r>
            <w:r>
              <w:rPr>
                <w:rFonts w:hint="eastAsia" w:ascii="宋体" w:hAnsi="宋体" w:eastAsia="宋体" w:cs="宋体"/>
                <w:color w:val="auto"/>
                <w:sz w:val="21"/>
                <w:szCs w:val="21"/>
              </w:rPr>
              <w:t>车位；小区配套设施齐全</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相似</w:t>
            </w:r>
          </w:p>
        </w:tc>
        <w:tc>
          <w:tcPr>
            <w:tcW w:w="13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水、电、通信、网络等设施较齐全，有</w:t>
            </w:r>
            <w:r>
              <w:rPr>
                <w:rFonts w:hint="eastAsia" w:ascii="宋体" w:hAnsi="宋体" w:eastAsia="宋体" w:cs="宋体"/>
                <w:color w:val="auto"/>
                <w:sz w:val="21"/>
                <w:szCs w:val="21"/>
                <w:lang w:eastAsia="zh-CN"/>
              </w:rPr>
              <w:t>停</w:t>
            </w:r>
            <w:r>
              <w:rPr>
                <w:rFonts w:hint="eastAsia" w:ascii="宋体" w:hAnsi="宋体" w:eastAsia="宋体" w:cs="宋体"/>
                <w:color w:val="auto"/>
                <w:sz w:val="21"/>
                <w:szCs w:val="21"/>
              </w:rPr>
              <w:t>车位；小区配套设施齐全</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相似</w:t>
            </w:r>
          </w:p>
        </w:tc>
        <w:tc>
          <w:tcPr>
            <w:tcW w:w="15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水、电、通信、网络等设施较齐全，有</w:t>
            </w:r>
            <w:r>
              <w:rPr>
                <w:rFonts w:hint="eastAsia" w:ascii="宋体" w:hAnsi="宋体" w:eastAsia="宋体" w:cs="宋体"/>
                <w:color w:val="auto"/>
                <w:sz w:val="21"/>
                <w:szCs w:val="21"/>
                <w:lang w:eastAsia="zh-CN"/>
              </w:rPr>
              <w:t>停</w:t>
            </w:r>
            <w:r>
              <w:rPr>
                <w:rFonts w:hint="eastAsia" w:ascii="宋体" w:hAnsi="宋体" w:eastAsia="宋体" w:cs="宋体"/>
                <w:color w:val="auto"/>
                <w:sz w:val="21"/>
                <w:szCs w:val="21"/>
              </w:rPr>
              <w:t>车位；小区配套设施齐全</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相似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物业服务</w:t>
            </w:r>
          </w:p>
        </w:tc>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基准 （</w:t>
            </w:r>
            <w:r>
              <w:rPr>
                <w:rFonts w:hint="eastAsia" w:ascii="宋体" w:hAnsi="宋体" w:eastAsia="宋体" w:cs="宋体"/>
                <w:color w:val="auto"/>
                <w:sz w:val="21"/>
                <w:szCs w:val="21"/>
                <w:lang w:val="en-US" w:eastAsia="zh-CN"/>
              </w:rPr>
              <w:t>良好</w:t>
            </w:r>
            <w:r>
              <w:rPr>
                <w:rFonts w:hint="eastAsia" w:ascii="宋体" w:hAnsi="宋体" w:eastAsia="宋体" w:cs="宋体"/>
                <w:color w:val="auto"/>
                <w:sz w:val="21"/>
                <w:szCs w:val="21"/>
              </w:rPr>
              <w:t>）</w:t>
            </w:r>
          </w:p>
        </w:tc>
        <w:tc>
          <w:tcPr>
            <w:tcW w:w="138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良好</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相似</w:t>
            </w:r>
          </w:p>
        </w:tc>
        <w:tc>
          <w:tcPr>
            <w:tcW w:w="139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良好</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相似</w:t>
            </w:r>
          </w:p>
        </w:tc>
        <w:tc>
          <w:tcPr>
            <w:tcW w:w="15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良好</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相似</w:t>
            </w:r>
          </w:p>
        </w:tc>
      </w:tr>
    </w:tbl>
    <w:p>
      <w:pPr>
        <w:keepNext w:val="0"/>
        <w:keepLines w:val="0"/>
        <w:pageBreakBefore w:val="0"/>
        <w:widowControl w:val="0"/>
        <w:kinsoku/>
        <w:wordWrap/>
        <w:overflowPunct/>
        <w:topLinePunct w:val="0"/>
        <w:autoSpaceDE/>
        <w:autoSpaceDN/>
        <w:bidi w:val="0"/>
        <w:adjustRightInd/>
        <w:snapToGrid/>
        <w:spacing w:before="157" w:beforeLines="50" w:line="440" w:lineRule="exact"/>
        <w:ind w:left="0" w:leftChars="0" w:right="0" w:rightChars="0" w:firstLine="0" w:firstLineChars="0"/>
        <w:jc w:val="both"/>
        <w:textAlignment w:val="auto"/>
        <w:outlineLvl w:val="9"/>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 xml:space="preserve">                            权益状况因素比照表                      </w:t>
      </w:r>
      <w:r>
        <w:rPr>
          <w:rFonts w:hint="eastAsia" w:ascii="宋体" w:hAnsi="宋体" w:eastAsia="宋体" w:cs="宋体"/>
          <w:sz w:val="24"/>
          <w:szCs w:val="24"/>
          <w:lang w:eastAsia="zh-CN"/>
        </w:rPr>
        <w:t>技</w:t>
      </w:r>
      <w:r>
        <w:rPr>
          <w:rFonts w:hint="eastAsia" w:ascii="宋体" w:hAnsi="宋体" w:eastAsia="宋体" w:cs="宋体"/>
          <w:sz w:val="24"/>
          <w:szCs w:val="24"/>
        </w:rPr>
        <w:t>表</w:t>
      </w:r>
      <w:r>
        <w:rPr>
          <w:rFonts w:hint="eastAsia" w:ascii="宋体" w:hAnsi="宋体" w:eastAsia="宋体" w:cs="宋体"/>
          <w:sz w:val="24"/>
          <w:szCs w:val="24"/>
          <w:lang w:val="en-US" w:eastAsia="zh-CN"/>
        </w:rPr>
        <w:t>13</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7"/>
        <w:gridCol w:w="1600"/>
        <w:gridCol w:w="1331"/>
        <w:gridCol w:w="709"/>
        <w:gridCol w:w="1417"/>
        <w:gridCol w:w="709"/>
        <w:gridCol w:w="1417"/>
        <w:gridCol w:w="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9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szCs w:val="21"/>
              </w:rPr>
            </w:pPr>
            <w:r>
              <w:rPr>
                <w:rFonts w:hint="eastAsia" w:ascii="宋体" w:hAnsi="宋体" w:eastAsia="宋体" w:cs="宋体"/>
                <w:color w:val="auto"/>
                <w:szCs w:val="21"/>
              </w:rPr>
              <w:t>比较因素</w:t>
            </w:r>
          </w:p>
        </w:tc>
        <w:tc>
          <w:tcPr>
            <w:tcW w:w="1600"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估价对象</w:t>
            </w:r>
          </w:p>
        </w:tc>
        <w:tc>
          <w:tcPr>
            <w:tcW w:w="204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21"/>
              </w:rPr>
            </w:pPr>
            <w:r>
              <w:rPr>
                <w:rFonts w:hint="eastAsia" w:ascii="宋体" w:hAnsi="宋体" w:eastAsia="宋体" w:cs="宋体"/>
                <w:color w:val="auto"/>
                <w:szCs w:val="21"/>
              </w:rPr>
              <w:t>可比实例A</w:t>
            </w:r>
          </w:p>
        </w:tc>
        <w:tc>
          <w:tcPr>
            <w:tcW w:w="212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21"/>
              </w:rPr>
            </w:pPr>
            <w:r>
              <w:rPr>
                <w:rFonts w:hint="eastAsia" w:ascii="宋体" w:hAnsi="宋体" w:eastAsia="宋体" w:cs="宋体"/>
                <w:color w:val="auto"/>
                <w:szCs w:val="21"/>
              </w:rPr>
              <w:t>可比实例B</w:t>
            </w:r>
          </w:p>
        </w:tc>
        <w:tc>
          <w:tcPr>
            <w:tcW w:w="207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21"/>
              </w:rPr>
            </w:pPr>
            <w:r>
              <w:rPr>
                <w:rFonts w:hint="eastAsia" w:ascii="宋体" w:hAnsi="宋体" w:eastAsia="宋体" w:cs="宋体"/>
                <w:color w:val="auto"/>
                <w:szCs w:val="21"/>
              </w:rPr>
              <w:t>可比实例C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29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21"/>
              </w:rPr>
            </w:pP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子项因素</w:t>
            </w:r>
          </w:p>
        </w:tc>
        <w:tc>
          <w:tcPr>
            <w:tcW w:w="13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21"/>
              </w:rPr>
            </w:pPr>
            <w:r>
              <w:rPr>
                <w:rFonts w:hint="eastAsia" w:ascii="宋体" w:hAnsi="宋体" w:eastAsia="宋体" w:cs="宋体"/>
                <w:color w:val="auto"/>
                <w:kern w:val="0"/>
                <w:szCs w:val="21"/>
              </w:rPr>
              <w:t>子项因素</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21"/>
              </w:rPr>
            </w:pPr>
            <w:r>
              <w:rPr>
                <w:rFonts w:hint="eastAsia" w:ascii="宋体" w:hAnsi="宋体" w:eastAsia="宋体" w:cs="宋体"/>
                <w:color w:val="auto"/>
                <w:szCs w:val="21"/>
              </w:rPr>
              <w:t>比较结果</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21"/>
              </w:rPr>
            </w:pPr>
            <w:r>
              <w:rPr>
                <w:rFonts w:hint="eastAsia" w:ascii="宋体" w:hAnsi="宋体" w:eastAsia="宋体" w:cs="宋体"/>
                <w:color w:val="auto"/>
                <w:kern w:val="0"/>
                <w:szCs w:val="21"/>
              </w:rPr>
              <w:t>子项因素</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21"/>
              </w:rPr>
            </w:pPr>
            <w:r>
              <w:rPr>
                <w:rFonts w:hint="eastAsia" w:ascii="宋体" w:hAnsi="宋体" w:eastAsia="宋体" w:cs="宋体"/>
                <w:color w:val="auto"/>
                <w:szCs w:val="21"/>
              </w:rPr>
              <w:t>比较结果</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21"/>
              </w:rPr>
            </w:pPr>
            <w:r>
              <w:rPr>
                <w:rFonts w:hint="eastAsia" w:ascii="宋体" w:hAnsi="宋体" w:eastAsia="宋体" w:cs="宋体"/>
                <w:color w:val="auto"/>
                <w:kern w:val="0"/>
                <w:szCs w:val="21"/>
              </w:rPr>
              <w:t>子项因素</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21"/>
              </w:rPr>
            </w:pPr>
            <w:r>
              <w:rPr>
                <w:rFonts w:hint="eastAsia" w:ascii="宋体" w:hAnsi="宋体" w:eastAsia="宋体" w:cs="宋体"/>
                <w:color w:val="auto"/>
                <w:szCs w:val="21"/>
              </w:rPr>
              <w:t>比较结果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21"/>
              </w:rPr>
            </w:pPr>
            <w:r>
              <w:rPr>
                <w:rFonts w:hint="eastAsia" w:ascii="宋体" w:hAnsi="宋体" w:eastAsia="宋体" w:cs="宋体"/>
                <w:color w:val="auto"/>
                <w:szCs w:val="21"/>
              </w:rPr>
              <w:t>规划条件</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Cs w:val="21"/>
              </w:rPr>
            </w:pPr>
            <w:r>
              <w:rPr>
                <w:rFonts w:hint="eastAsia" w:ascii="宋体" w:hAnsi="宋体" w:eastAsia="宋体" w:cs="宋体"/>
                <w:color w:val="auto"/>
                <w:kern w:val="0"/>
                <w:szCs w:val="21"/>
              </w:rPr>
              <w:t>基准（</w:t>
            </w:r>
            <w:r>
              <w:rPr>
                <w:rFonts w:hint="eastAsia" w:ascii="宋体" w:hAnsi="宋体" w:eastAsia="宋体" w:cs="宋体"/>
                <w:color w:val="auto"/>
                <w:szCs w:val="21"/>
              </w:rPr>
              <w:t>较好）</w:t>
            </w:r>
          </w:p>
        </w:tc>
        <w:tc>
          <w:tcPr>
            <w:tcW w:w="13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21"/>
              </w:rPr>
            </w:pPr>
            <w:r>
              <w:rPr>
                <w:rFonts w:hint="eastAsia" w:ascii="宋体" w:hAnsi="宋体" w:eastAsia="宋体" w:cs="宋体"/>
                <w:color w:val="auto"/>
                <w:szCs w:val="21"/>
              </w:rPr>
              <w:t>规划条件与估价对象相当</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21"/>
              </w:rPr>
            </w:pPr>
            <w:r>
              <w:rPr>
                <w:rFonts w:hint="eastAsia" w:ascii="宋体" w:hAnsi="宋体" w:eastAsia="宋体" w:cs="宋体"/>
                <w:color w:val="auto"/>
                <w:szCs w:val="21"/>
              </w:rPr>
              <w:t>相似</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21"/>
              </w:rPr>
            </w:pPr>
            <w:r>
              <w:rPr>
                <w:rFonts w:hint="eastAsia" w:ascii="宋体" w:hAnsi="宋体" w:eastAsia="宋体" w:cs="宋体"/>
                <w:color w:val="auto"/>
                <w:szCs w:val="21"/>
              </w:rPr>
              <w:t>规划条件与估价对象相当</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21"/>
              </w:rPr>
            </w:pPr>
            <w:r>
              <w:rPr>
                <w:rFonts w:hint="eastAsia" w:ascii="宋体" w:hAnsi="宋体" w:eastAsia="宋体" w:cs="宋体"/>
                <w:color w:val="auto"/>
                <w:szCs w:val="21"/>
              </w:rPr>
              <w:t>相似</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21"/>
              </w:rPr>
            </w:pPr>
            <w:r>
              <w:rPr>
                <w:rFonts w:hint="eastAsia" w:ascii="宋体" w:hAnsi="宋体" w:eastAsia="宋体" w:cs="宋体"/>
                <w:color w:val="auto"/>
                <w:szCs w:val="21"/>
              </w:rPr>
              <w:t>规划条件与估价对象相当</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21"/>
              </w:rPr>
            </w:pPr>
            <w:r>
              <w:rPr>
                <w:rFonts w:hint="eastAsia" w:ascii="宋体" w:hAnsi="宋体" w:eastAsia="宋体" w:cs="宋体"/>
                <w:color w:val="auto"/>
                <w:szCs w:val="21"/>
              </w:rPr>
              <w:t>相似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21"/>
                <w:lang w:eastAsia="zh-CN"/>
              </w:rPr>
            </w:pPr>
            <w:r>
              <w:rPr>
                <w:rFonts w:hint="eastAsia" w:ascii="宋体" w:hAnsi="宋体" w:eastAsia="宋体" w:cs="宋体"/>
                <w:color w:val="auto"/>
                <w:szCs w:val="21"/>
                <w:lang w:eastAsia="zh-CN"/>
              </w:rPr>
              <w:t>土地级别</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Cs w:val="21"/>
                <w:lang w:eastAsia="zh-CN"/>
              </w:rPr>
            </w:pPr>
            <w:r>
              <w:rPr>
                <w:rFonts w:hint="eastAsia" w:ascii="宋体" w:hAnsi="宋体" w:cs="宋体"/>
                <w:color w:val="auto"/>
                <w:kern w:val="0"/>
                <w:szCs w:val="21"/>
                <w:lang w:val="en-US" w:eastAsia="zh-CN"/>
              </w:rPr>
              <w:t>二</w:t>
            </w:r>
            <w:r>
              <w:rPr>
                <w:rFonts w:hint="eastAsia" w:ascii="宋体" w:hAnsi="宋体" w:eastAsia="宋体" w:cs="宋体"/>
                <w:color w:val="auto"/>
                <w:kern w:val="0"/>
                <w:szCs w:val="21"/>
                <w:lang w:eastAsia="zh-CN"/>
              </w:rPr>
              <w:t>级</w:t>
            </w:r>
          </w:p>
        </w:tc>
        <w:tc>
          <w:tcPr>
            <w:tcW w:w="13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21"/>
              </w:rPr>
            </w:pPr>
            <w:r>
              <w:rPr>
                <w:rFonts w:hint="eastAsia" w:ascii="宋体" w:hAnsi="宋体" w:cs="宋体"/>
                <w:color w:val="auto"/>
                <w:kern w:val="0"/>
                <w:szCs w:val="21"/>
                <w:lang w:val="en-US" w:eastAsia="zh-CN"/>
              </w:rPr>
              <w:t>二</w:t>
            </w:r>
            <w:r>
              <w:rPr>
                <w:rFonts w:hint="eastAsia" w:ascii="宋体" w:hAnsi="宋体" w:eastAsia="宋体" w:cs="宋体"/>
                <w:color w:val="auto"/>
                <w:kern w:val="0"/>
                <w:szCs w:val="21"/>
                <w:lang w:eastAsia="zh-CN"/>
              </w:rPr>
              <w:t>级</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21"/>
              </w:rPr>
            </w:pPr>
            <w:r>
              <w:rPr>
                <w:rFonts w:hint="eastAsia" w:ascii="宋体" w:hAnsi="宋体" w:eastAsia="宋体" w:cs="宋体"/>
                <w:color w:val="auto"/>
                <w:szCs w:val="21"/>
              </w:rPr>
              <w:t>相似</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21"/>
              </w:rPr>
            </w:pPr>
            <w:r>
              <w:rPr>
                <w:rFonts w:hint="eastAsia" w:ascii="宋体" w:hAnsi="宋体" w:cs="宋体"/>
                <w:color w:val="auto"/>
                <w:kern w:val="0"/>
                <w:szCs w:val="21"/>
                <w:lang w:val="en-US" w:eastAsia="zh-CN"/>
              </w:rPr>
              <w:t>二</w:t>
            </w:r>
            <w:r>
              <w:rPr>
                <w:rFonts w:hint="eastAsia" w:ascii="宋体" w:hAnsi="宋体" w:eastAsia="宋体" w:cs="宋体"/>
                <w:color w:val="auto"/>
                <w:kern w:val="0"/>
                <w:szCs w:val="21"/>
                <w:lang w:eastAsia="zh-CN"/>
              </w:rPr>
              <w:t>级</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21"/>
              </w:rPr>
            </w:pPr>
            <w:r>
              <w:rPr>
                <w:rFonts w:hint="eastAsia" w:ascii="宋体" w:hAnsi="宋体" w:eastAsia="宋体" w:cs="宋体"/>
                <w:color w:val="auto"/>
                <w:szCs w:val="21"/>
              </w:rPr>
              <w:t>相似</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21"/>
              </w:rPr>
            </w:pPr>
            <w:r>
              <w:rPr>
                <w:rFonts w:hint="eastAsia" w:ascii="宋体" w:hAnsi="宋体" w:cs="宋体"/>
                <w:color w:val="auto"/>
                <w:kern w:val="0"/>
                <w:szCs w:val="21"/>
                <w:lang w:val="en-US" w:eastAsia="zh-CN"/>
              </w:rPr>
              <w:t>二</w:t>
            </w:r>
            <w:r>
              <w:rPr>
                <w:rFonts w:hint="eastAsia" w:ascii="宋体" w:hAnsi="宋体" w:eastAsia="宋体" w:cs="宋体"/>
                <w:color w:val="auto"/>
                <w:kern w:val="0"/>
                <w:szCs w:val="21"/>
                <w:lang w:eastAsia="zh-CN"/>
              </w:rPr>
              <w:t>级</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21"/>
              </w:rPr>
            </w:pPr>
            <w:r>
              <w:rPr>
                <w:rFonts w:hint="eastAsia" w:ascii="宋体" w:hAnsi="宋体" w:eastAsia="宋体" w:cs="宋体"/>
                <w:color w:val="auto"/>
                <w:szCs w:val="21"/>
              </w:rPr>
              <w:t>相似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21"/>
              </w:rPr>
            </w:pPr>
            <w:r>
              <w:rPr>
                <w:rFonts w:hint="eastAsia" w:ascii="宋体" w:hAnsi="宋体" w:eastAsia="宋体" w:cs="宋体"/>
                <w:color w:val="auto"/>
                <w:szCs w:val="21"/>
              </w:rPr>
              <w:t>其他</w:t>
            </w:r>
          </w:p>
        </w:tc>
        <w:tc>
          <w:tcPr>
            <w:tcW w:w="16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Cs w:val="21"/>
              </w:rPr>
            </w:pPr>
            <w:r>
              <w:rPr>
                <w:rFonts w:hint="eastAsia" w:ascii="宋体" w:hAnsi="宋体" w:eastAsia="宋体" w:cs="宋体"/>
                <w:color w:val="auto"/>
                <w:szCs w:val="21"/>
              </w:rPr>
              <w:t>基准（无）</w:t>
            </w:r>
          </w:p>
        </w:tc>
        <w:tc>
          <w:tcPr>
            <w:tcW w:w="133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Cs w:val="21"/>
              </w:rPr>
            </w:pPr>
            <w:r>
              <w:rPr>
                <w:rFonts w:hint="eastAsia" w:ascii="宋体" w:hAnsi="宋体" w:eastAsia="宋体" w:cs="宋体"/>
                <w:color w:val="auto"/>
                <w:szCs w:val="21"/>
              </w:rPr>
              <w:t>无</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Cs w:val="21"/>
              </w:rPr>
            </w:pPr>
            <w:r>
              <w:rPr>
                <w:rFonts w:hint="eastAsia" w:ascii="宋体" w:hAnsi="宋体" w:eastAsia="宋体" w:cs="宋体"/>
                <w:color w:val="auto"/>
                <w:szCs w:val="21"/>
              </w:rPr>
              <w:t>相似</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Cs w:val="21"/>
              </w:rPr>
            </w:pPr>
            <w:r>
              <w:rPr>
                <w:rFonts w:hint="eastAsia" w:ascii="宋体" w:hAnsi="宋体" w:eastAsia="宋体" w:cs="宋体"/>
                <w:color w:val="auto"/>
                <w:szCs w:val="21"/>
              </w:rPr>
              <w:t>无</w:t>
            </w:r>
          </w:p>
        </w:tc>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Cs w:val="21"/>
              </w:rPr>
            </w:pPr>
            <w:r>
              <w:rPr>
                <w:rFonts w:hint="eastAsia" w:ascii="宋体" w:hAnsi="宋体" w:eastAsia="宋体" w:cs="宋体"/>
                <w:color w:val="auto"/>
                <w:szCs w:val="21"/>
              </w:rPr>
              <w:t>相似</w:t>
            </w:r>
          </w:p>
        </w:tc>
        <w:tc>
          <w:tcPr>
            <w:tcW w:w="141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Cs w:val="21"/>
              </w:rPr>
            </w:pPr>
            <w:r>
              <w:rPr>
                <w:rFonts w:hint="eastAsia" w:ascii="宋体" w:hAnsi="宋体" w:eastAsia="宋体" w:cs="宋体"/>
                <w:color w:val="auto"/>
                <w:szCs w:val="21"/>
              </w:rPr>
              <w:t>无</w:t>
            </w:r>
          </w:p>
        </w:tc>
        <w:tc>
          <w:tcPr>
            <w:tcW w:w="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kern w:val="0"/>
                <w:szCs w:val="21"/>
              </w:rPr>
            </w:pPr>
            <w:r>
              <w:rPr>
                <w:rFonts w:hint="eastAsia" w:ascii="宋体" w:hAnsi="宋体" w:eastAsia="宋体" w:cs="宋体"/>
                <w:color w:val="auto"/>
                <w:szCs w:val="21"/>
              </w:rPr>
              <w:t>相似</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480" w:firstLineChars="200"/>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4、各种因素的修正或调整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   （1）交易情况修正</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480"/>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交易情况修正采用百分比修正法。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480"/>
        <w:textAlignment w:val="auto"/>
        <w:outlineLvl w:val="9"/>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可比实例</w:t>
      </w:r>
      <w:r>
        <w:rPr>
          <w:rFonts w:ascii="宋体" w:hAnsi="宋体" w:eastAsia="宋体" w:cs="宋体"/>
          <w:color w:val="auto"/>
          <w:kern w:val="0"/>
          <w:sz w:val="24"/>
          <w:szCs w:val="24"/>
          <w:lang w:val="en-US" w:eastAsia="zh-CN" w:bidi="ar"/>
        </w:rPr>
        <w:t>A、B</w:t>
      </w:r>
      <w:r>
        <w:rPr>
          <w:rFonts w:hint="eastAsia" w:ascii="宋体" w:hAnsi="宋体" w:cs="宋体"/>
          <w:color w:val="auto"/>
          <w:kern w:val="0"/>
          <w:sz w:val="24"/>
          <w:szCs w:val="24"/>
          <w:lang w:val="en-US" w:eastAsia="zh-CN" w:bidi="ar"/>
        </w:rPr>
        <w:t>、C</w:t>
      </w:r>
      <w:r>
        <w:rPr>
          <w:rFonts w:hint="eastAsia" w:ascii="宋体" w:hAnsi="宋体" w:cs="宋体"/>
          <w:color w:val="auto"/>
          <w:sz w:val="24"/>
          <w:szCs w:val="24"/>
          <w:lang w:val="en-US" w:eastAsia="zh-CN"/>
        </w:rPr>
        <w:t>均属正常交易，不必进行修正，可比实例A、B、</w:t>
      </w:r>
      <w:r>
        <w:rPr>
          <w:rFonts w:hint="eastAsia" w:ascii="宋体" w:hAnsi="宋体" w:eastAsia="宋体" w:cs="宋体"/>
          <w:color w:val="auto"/>
          <w:kern w:val="0"/>
          <w:sz w:val="24"/>
          <w:szCs w:val="24"/>
          <w:lang w:val="en-US" w:eastAsia="zh-CN" w:bidi="ar"/>
        </w:rPr>
        <w:t>C</w:t>
      </w:r>
      <w:r>
        <w:rPr>
          <w:rFonts w:hint="eastAsia" w:ascii="宋体" w:hAnsi="宋体" w:cs="宋体"/>
          <w:color w:val="auto"/>
          <w:sz w:val="24"/>
          <w:szCs w:val="24"/>
          <w:lang w:val="en-US" w:eastAsia="zh-CN"/>
        </w:rPr>
        <w:t>交易情况修正系数均为100/100。</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left"/>
        <w:textAlignment w:val="auto"/>
        <w:outlineLvl w:val="9"/>
        <w:rPr>
          <w:rFonts w:hint="eastAsia" w:ascii="宋体" w:hAnsi="宋体" w:cs="宋体"/>
          <w:color w:val="auto"/>
          <w:sz w:val="24"/>
          <w:szCs w:val="24"/>
        </w:rPr>
      </w:pPr>
      <w:r>
        <w:rPr>
          <w:rFonts w:hint="eastAsia" w:ascii="宋体" w:hAnsi="宋体" w:cs="宋体"/>
          <w:color w:val="auto"/>
          <w:sz w:val="24"/>
          <w:szCs w:val="24"/>
          <w:lang w:val="en-US" w:eastAsia="zh-CN"/>
        </w:rPr>
        <w:t xml:space="preserve">   （2）市场状况调整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hint="eastAsia" w:ascii="宋体" w:hAnsi="宋体" w:cs="宋体"/>
          <w:color w:val="auto"/>
          <w:sz w:val="24"/>
          <w:szCs w:val="24"/>
        </w:rPr>
      </w:pPr>
      <w:r>
        <w:rPr>
          <w:rFonts w:hint="eastAsia" w:ascii="宋体" w:hAnsi="宋体" w:cs="宋体"/>
          <w:color w:val="auto"/>
          <w:sz w:val="24"/>
          <w:szCs w:val="24"/>
        </w:rPr>
        <w:t>市场状况修正：</w:t>
      </w:r>
      <w:r>
        <w:rPr>
          <w:rFonts w:ascii="宋体" w:hAnsi="宋体" w:eastAsia="宋体" w:cs="宋体"/>
          <w:color w:val="auto"/>
          <w:kern w:val="0"/>
          <w:sz w:val="24"/>
          <w:szCs w:val="24"/>
          <w:lang w:val="en-US" w:eastAsia="zh-CN" w:bidi="ar"/>
        </w:rPr>
        <w:t>因未取得官方价格指数，据估价师市场调查结合待估对象实际状况，可比实例A、B、C的成交时间与价值</w:t>
      </w:r>
      <w:r>
        <w:rPr>
          <w:rFonts w:hint="eastAsia" w:ascii="宋体" w:hAnsi="宋体" w:eastAsia="宋体" w:cs="宋体"/>
          <w:color w:val="auto"/>
          <w:kern w:val="0"/>
          <w:sz w:val="24"/>
          <w:szCs w:val="24"/>
          <w:lang w:val="en-US" w:eastAsia="zh-CN" w:bidi="ar"/>
        </w:rPr>
        <w:t>时点接近</w:t>
      </w:r>
      <w:r>
        <w:rPr>
          <w:rFonts w:ascii="宋体" w:hAnsi="宋体" w:eastAsia="宋体" w:cs="宋体"/>
          <w:color w:val="auto"/>
          <w:kern w:val="0"/>
          <w:sz w:val="24"/>
          <w:szCs w:val="24"/>
          <w:lang w:val="en-US" w:eastAsia="zh-CN" w:bidi="ar"/>
        </w:rPr>
        <w:t>，此间</w:t>
      </w:r>
      <w:r>
        <w:rPr>
          <w:rFonts w:hint="eastAsia" w:ascii="宋体" w:hAnsi="宋体" w:eastAsia="宋体" w:cs="宋体"/>
          <w:color w:val="auto"/>
          <w:kern w:val="0"/>
          <w:sz w:val="24"/>
          <w:szCs w:val="24"/>
          <w:lang w:val="en-US" w:eastAsia="zh-CN" w:bidi="ar"/>
        </w:rPr>
        <w:t>住宅市场平稳</w:t>
      </w:r>
      <w:r>
        <w:rPr>
          <w:rFonts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故不需</w:t>
      </w:r>
      <w:r>
        <w:rPr>
          <w:rFonts w:ascii="宋体" w:hAnsi="宋体" w:eastAsia="宋体" w:cs="宋体"/>
          <w:color w:val="auto"/>
          <w:kern w:val="0"/>
          <w:sz w:val="24"/>
          <w:szCs w:val="24"/>
          <w:lang w:val="en-US" w:eastAsia="zh-CN" w:bidi="ar"/>
        </w:rPr>
        <w:t>进行市场状况调整，即市场状况调整系数均为A：10</w:t>
      </w:r>
      <w:r>
        <w:rPr>
          <w:rFonts w:hint="eastAsia" w:ascii="宋体" w:hAnsi="宋体" w:eastAsia="宋体" w:cs="宋体"/>
          <w:color w:val="auto"/>
          <w:kern w:val="0"/>
          <w:sz w:val="24"/>
          <w:szCs w:val="24"/>
          <w:lang w:val="en-US" w:eastAsia="zh-CN" w:bidi="ar"/>
        </w:rPr>
        <w:t>0</w:t>
      </w:r>
      <w:r>
        <w:rPr>
          <w:rFonts w:ascii="宋体" w:hAnsi="宋体" w:eastAsia="宋体" w:cs="宋体"/>
          <w:color w:val="auto"/>
          <w:kern w:val="0"/>
          <w:sz w:val="24"/>
          <w:szCs w:val="24"/>
          <w:lang w:val="en-US" w:eastAsia="zh-CN" w:bidi="ar"/>
        </w:rPr>
        <w:t>/10</w:t>
      </w:r>
      <w:r>
        <w:rPr>
          <w:rFonts w:hint="eastAsia" w:ascii="宋体" w:hAnsi="宋体" w:eastAsia="宋体" w:cs="宋体"/>
          <w:color w:val="auto"/>
          <w:kern w:val="0"/>
          <w:sz w:val="24"/>
          <w:szCs w:val="24"/>
          <w:lang w:val="en-US" w:eastAsia="zh-CN" w:bidi="ar"/>
        </w:rPr>
        <w:t>0</w:t>
      </w:r>
      <w:r>
        <w:rPr>
          <w:rFonts w:ascii="宋体" w:hAnsi="宋体" w:eastAsia="宋体" w:cs="宋体"/>
          <w:color w:val="auto"/>
          <w:kern w:val="0"/>
          <w:sz w:val="24"/>
          <w:szCs w:val="24"/>
          <w:lang w:val="en-US" w:eastAsia="zh-CN" w:bidi="ar"/>
        </w:rPr>
        <w:t>；B：10</w:t>
      </w:r>
      <w:r>
        <w:rPr>
          <w:rFonts w:hint="eastAsia" w:ascii="宋体" w:hAnsi="宋体" w:eastAsia="宋体" w:cs="宋体"/>
          <w:color w:val="auto"/>
          <w:kern w:val="0"/>
          <w:sz w:val="24"/>
          <w:szCs w:val="24"/>
          <w:lang w:val="en-US" w:eastAsia="zh-CN" w:bidi="ar"/>
        </w:rPr>
        <w:t>0</w:t>
      </w:r>
      <w:r>
        <w:rPr>
          <w:rFonts w:ascii="宋体" w:hAnsi="宋体" w:eastAsia="宋体" w:cs="宋体"/>
          <w:color w:val="auto"/>
          <w:kern w:val="0"/>
          <w:sz w:val="24"/>
          <w:szCs w:val="24"/>
          <w:lang w:val="en-US" w:eastAsia="zh-CN" w:bidi="ar"/>
        </w:rPr>
        <w:t>/10</w:t>
      </w:r>
      <w:r>
        <w:rPr>
          <w:rFonts w:hint="eastAsia" w:ascii="宋体" w:hAnsi="宋体" w:eastAsia="宋体" w:cs="宋体"/>
          <w:color w:val="auto"/>
          <w:kern w:val="0"/>
          <w:sz w:val="24"/>
          <w:szCs w:val="24"/>
          <w:lang w:val="en-US" w:eastAsia="zh-CN" w:bidi="ar"/>
        </w:rPr>
        <w:t>0</w:t>
      </w:r>
      <w:r>
        <w:rPr>
          <w:rFonts w:ascii="宋体" w:hAnsi="宋体" w:eastAsia="宋体" w:cs="宋体"/>
          <w:color w:val="auto"/>
          <w:kern w:val="0"/>
          <w:sz w:val="24"/>
          <w:szCs w:val="24"/>
          <w:lang w:val="en-US" w:eastAsia="zh-CN" w:bidi="ar"/>
        </w:rPr>
        <w:t>；C：10</w:t>
      </w:r>
      <w:r>
        <w:rPr>
          <w:rFonts w:hint="eastAsia" w:ascii="宋体" w:hAnsi="宋体" w:eastAsia="宋体" w:cs="宋体"/>
          <w:color w:val="auto"/>
          <w:kern w:val="0"/>
          <w:sz w:val="24"/>
          <w:szCs w:val="24"/>
          <w:lang w:val="en-US" w:eastAsia="zh-CN" w:bidi="ar"/>
        </w:rPr>
        <w:t>0</w:t>
      </w:r>
      <w:r>
        <w:rPr>
          <w:rFonts w:ascii="宋体" w:hAnsi="宋体" w:eastAsia="宋体" w:cs="宋体"/>
          <w:color w:val="auto"/>
          <w:kern w:val="0"/>
          <w:sz w:val="24"/>
          <w:szCs w:val="24"/>
          <w:lang w:val="en-US" w:eastAsia="zh-CN" w:bidi="ar"/>
        </w:rPr>
        <w:t>/10</w:t>
      </w:r>
      <w:r>
        <w:rPr>
          <w:rFonts w:hint="eastAsia" w:ascii="宋体" w:hAnsi="宋体" w:eastAsia="宋体" w:cs="宋体"/>
          <w:color w:val="auto"/>
          <w:kern w:val="0"/>
          <w:sz w:val="24"/>
          <w:szCs w:val="24"/>
          <w:lang w:val="en-US" w:eastAsia="zh-CN" w:bidi="ar"/>
        </w:rPr>
        <w:t>0</w:t>
      </w:r>
      <w:r>
        <w:rPr>
          <w:rFonts w:ascii="宋体" w:hAnsi="宋体" w:eastAsia="宋体" w:cs="宋体"/>
          <w:color w:val="auto"/>
          <w:kern w:val="0"/>
          <w:sz w:val="24"/>
          <w:szCs w:val="24"/>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jc w:val="left"/>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   （3）区位、实物及权益状况调整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jc w:val="left"/>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以估价对象条件为基准100，各可比实例分别与估价的区位、实物及权益状况中的每个子项因素进行比较，比估价对象好的，调整值为“+”，反之为“-”，相似（相同）为“0”，得出各可比实例的区位、实物、权益状况的调整系数。</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jc w:val="left"/>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区位、实物及权益状况的调整方法均采用直接比较法，并采用百分比调整。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480"/>
        <w:jc w:val="left"/>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以下各子项调整值中均已考虑了该子项因素对价值的影响权重。                 </w:t>
      </w:r>
    </w:p>
    <w:p>
      <w:pPr>
        <w:keepNext w:val="0"/>
        <w:keepLines w:val="0"/>
        <w:pageBreakBefore w:val="0"/>
        <w:widowControl w:val="0"/>
        <w:kinsoku/>
        <w:wordWrap/>
        <w:overflowPunct/>
        <w:topLinePunct w:val="0"/>
        <w:autoSpaceDE/>
        <w:autoSpaceDN/>
        <w:bidi w:val="0"/>
        <w:adjustRightInd/>
        <w:snapToGrid/>
        <w:spacing w:line="440" w:lineRule="exact"/>
        <w:ind w:left="479" w:leftChars="228"/>
        <w:jc w:val="right"/>
        <w:textAlignment w:val="auto"/>
        <w:rPr>
          <w:rFonts w:hint="default" w:ascii="仿宋" w:hAnsi="仿宋" w:eastAsia="仿宋" w:cs="宋体"/>
          <w:b/>
          <w:color w:val="auto"/>
          <w:kern w:val="0"/>
          <w:sz w:val="24"/>
          <w:szCs w:val="24"/>
          <w:lang w:val="en-US"/>
        </w:rPr>
      </w:pPr>
      <w:r>
        <w:rPr>
          <w:rFonts w:hint="eastAsia" w:ascii="宋体" w:hAnsi="宋体" w:cs="宋体"/>
          <w:color w:val="auto"/>
          <w:sz w:val="24"/>
          <w:szCs w:val="24"/>
          <w:lang w:val="en-US" w:eastAsia="zh-CN"/>
        </w:rPr>
        <w:t xml:space="preserve">                     区位状况调整系数表                         </w:t>
      </w:r>
      <w:r>
        <w:rPr>
          <w:rFonts w:hint="eastAsia" w:ascii="宋体" w:hAnsi="宋体" w:eastAsia="宋体" w:cs="宋体"/>
          <w:sz w:val="24"/>
          <w:szCs w:val="24"/>
          <w:lang w:eastAsia="zh-CN"/>
        </w:rPr>
        <w:t>技</w:t>
      </w:r>
      <w:r>
        <w:rPr>
          <w:rFonts w:hint="eastAsia" w:ascii="宋体" w:hAnsi="宋体" w:eastAsia="宋体" w:cs="宋体"/>
          <w:sz w:val="24"/>
          <w:szCs w:val="24"/>
        </w:rPr>
        <w:t>表</w:t>
      </w:r>
      <w:r>
        <w:rPr>
          <w:rFonts w:hint="eastAsia" w:ascii="宋体" w:hAnsi="宋体" w:eastAsia="宋体" w:cs="宋体"/>
          <w:sz w:val="24"/>
          <w:szCs w:val="24"/>
          <w:lang w:val="en-US" w:eastAsia="zh-CN"/>
        </w:rPr>
        <w:t>14</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8"/>
        <w:gridCol w:w="1161"/>
        <w:gridCol w:w="1161"/>
        <w:gridCol w:w="1"/>
        <w:gridCol w:w="1160"/>
        <w:gridCol w:w="1161"/>
        <w:gridCol w:w="2"/>
        <w:gridCol w:w="1159"/>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项目名称</w:t>
            </w:r>
          </w:p>
        </w:tc>
        <w:tc>
          <w:tcPr>
            <w:tcW w:w="232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可比实例A</w:t>
            </w:r>
          </w:p>
        </w:tc>
        <w:tc>
          <w:tcPr>
            <w:tcW w:w="232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可比实例B</w:t>
            </w:r>
          </w:p>
        </w:tc>
        <w:tc>
          <w:tcPr>
            <w:tcW w:w="232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可比实例C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楼幢位置</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 w:val="21"/>
                <w:szCs w:val="21"/>
              </w:rPr>
              <w:t>相似</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0</w:t>
            </w:r>
          </w:p>
        </w:tc>
        <w:tc>
          <w:tcPr>
            <w:tcW w:w="11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 w:val="21"/>
                <w:szCs w:val="21"/>
              </w:rPr>
              <w:t>相似</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0</w:t>
            </w:r>
          </w:p>
        </w:tc>
        <w:tc>
          <w:tcPr>
            <w:tcW w:w="11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 w:val="21"/>
                <w:szCs w:val="21"/>
              </w:rPr>
              <w:t>相似</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楼层</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cs="宋体"/>
                <w:color w:val="auto"/>
                <w:szCs w:val="21"/>
                <w:lang w:val="en-US" w:eastAsia="zh-CN"/>
              </w:rPr>
              <w:t>差</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cs="宋体"/>
                <w:color w:val="auto"/>
                <w:szCs w:val="21"/>
                <w:lang w:val="en-US" w:eastAsia="zh-CN"/>
              </w:rPr>
              <w:t>-</w:t>
            </w:r>
            <w:r>
              <w:rPr>
                <w:rFonts w:hint="eastAsia" w:ascii="宋体" w:hAnsi="宋体" w:eastAsia="宋体" w:cs="宋体"/>
                <w:color w:val="auto"/>
                <w:szCs w:val="21"/>
                <w:lang w:val="en-US" w:eastAsia="zh-CN"/>
              </w:rPr>
              <w:t>9</w:t>
            </w:r>
          </w:p>
        </w:tc>
        <w:tc>
          <w:tcPr>
            <w:tcW w:w="11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cs="宋体"/>
                <w:color w:val="auto"/>
                <w:szCs w:val="21"/>
                <w:lang w:val="en-US" w:eastAsia="zh-CN"/>
              </w:rPr>
              <w:t>差</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cs="宋体"/>
                <w:color w:val="auto"/>
                <w:szCs w:val="21"/>
                <w:lang w:val="en-US" w:eastAsia="zh-CN"/>
              </w:rPr>
              <w:t>-10</w:t>
            </w:r>
          </w:p>
        </w:tc>
        <w:tc>
          <w:tcPr>
            <w:tcW w:w="11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差</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cs="宋体"/>
                <w:color w:val="auto"/>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lang w:eastAsia="zh-CN"/>
              </w:rPr>
            </w:pPr>
            <w:r>
              <w:rPr>
                <w:rFonts w:hint="eastAsia" w:ascii="宋体" w:hAnsi="宋体" w:eastAsia="宋体" w:cs="宋体"/>
                <w:color w:val="auto"/>
                <w:szCs w:val="21"/>
              </w:rPr>
              <w:t>朝向</w:t>
            </w:r>
            <w:r>
              <w:rPr>
                <w:rFonts w:hint="eastAsia" w:ascii="宋体" w:hAnsi="宋体" w:eastAsia="宋体" w:cs="宋体"/>
                <w:color w:val="auto"/>
                <w:szCs w:val="21"/>
                <w:lang w:eastAsia="zh-CN"/>
              </w:rPr>
              <w:t>、采光</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略</w:t>
            </w:r>
            <w:r>
              <w:rPr>
                <w:rFonts w:hint="eastAsia" w:ascii="宋体" w:hAnsi="宋体" w:cs="宋体"/>
                <w:color w:val="auto"/>
                <w:szCs w:val="21"/>
                <w:lang w:val="en-US" w:eastAsia="zh-CN"/>
              </w:rPr>
              <w:t>差</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cs="宋体"/>
                <w:color w:val="auto"/>
                <w:szCs w:val="21"/>
                <w:lang w:val="en-US" w:eastAsia="zh-CN"/>
              </w:rPr>
              <w:t>-1</w:t>
            </w:r>
          </w:p>
        </w:tc>
        <w:tc>
          <w:tcPr>
            <w:tcW w:w="11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lang w:eastAsia="zh-CN"/>
              </w:rPr>
            </w:pPr>
            <w:r>
              <w:rPr>
                <w:rFonts w:hint="eastAsia" w:ascii="宋体" w:hAnsi="宋体" w:cs="宋体"/>
                <w:color w:val="auto"/>
                <w:szCs w:val="21"/>
                <w:lang w:val="en-US" w:eastAsia="zh-CN"/>
              </w:rPr>
              <w:t>相似</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cs="宋体"/>
                <w:color w:val="auto"/>
                <w:szCs w:val="21"/>
                <w:lang w:val="en-US" w:eastAsia="zh-CN"/>
              </w:rPr>
              <w:t>0</w:t>
            </w:r>
          </w:p>
        </w:tc>
        <w:tc>
          <w:tcPr>
            <w:tcW w:w="11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lang w:val="en-US" w:eastAsia="zh-CN"/>
              </w:rPr>
              <w:t>略</w:t>
            </w:r>
            <w:r>
              <w:rPr>
                <w:rFonts w:hint="eastAsia" w:ascii="宋体" w:hAnsi="宋体" w:cs="宋体"/>
                <w:color w:val="auto"/>
                <w:szCs w:val="21"/>
                <w:lang w:val="en-US" w:eastAsia="zh-CN"/>
              </w:rPr>
              <w:t>差</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lang w:val="en-US" w:eastAsia="zh-CN"/>
              </w:rPr>
            </w:pPr>
            <w:r>
              <w:rPr>
                <w:rFonts w:hint="eastAsia" w:ascii="宋体" w:hAnsi="宋体" w:cs="宋体"/>
                <w:color w:val="auto"/>
                <w:szCs w:val="21"/>
                <w:lang w:val="en-US" w:eastAsia="zh-CN"/>
              </w:rPr>
              <w:t>-</w:t>
            </w:r>
            <w:r>
              <w:rPr>
                <w:rFonts w:hint="eastAsia" w:ascii="宋体" w:hAnsi="宋体" w:eastAsia="宋体" w:cs="宋体"/>
                <w:color w:val="auto"/>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居住聚集程度</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 w:val="21"/>
                <w:szCs w:val="21"/>
              </w:rPr>
              <w:t>相似</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0</w:t>
            </w:r>
          </w:p>
        </w:tc>
        <w:tc>
          <w:tcPr>
            <w:tcW w:w="11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 w:val="21"/>
                <w:szCs w:val="21"/>
              </w:rPr>
              <w:t>相似</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0</w:t>
            </w:r>
          </w:p>
        </w:tc>
        <w:tc>
          <w:tcPr>
            <w:tcW w:w="11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 w:val="21"/>
                <w:szCs w:val="21"/>
              </w:rPr>
              <w:t>相似</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Cs w:val="21"/>
              </w:rPr>
            </w:pPr>
            <w:r>
              <w:rPr>
                <w:rFonts w:hint="eastAsia" w:ascii="宋体" w:hAnsi="宋体" w:eastAsia="宋体" w:cs="宋体"/>
                <w:color w:val="auto"/>
                <w:sz w:val="21"/>
                <w:szCs w:val="21"/>
              </w:rPr>
              <w:t>交通状况</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lang w:eastAsia="zh-CN"/>
              </w:rPr>
            </w:pPr>
            <w:r>
              <w:rPr>
                <w:rFonts w:hint="eastAsia" w:ascii="宋体" w:hAnsi="宋体" w:eastAsia="宋体" w:cs="宋体"/>
                <w:color w:val="auto"/>
                <w:sz w:val="21"/>
                <w:szCs w:val="21"/>
              </w:rPr>
              <w:t>相似</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lang w:val="en-US" w:eastAsia="zh-CN"/>
              </w:rPr>
            </w:pPr>
            <w:r>
              <w:rPr>
                <w:rFonts w:hint="eastAsia" w:ascii="宋体" w:hAnsi="宋体" w:eastAsia="宋体" w:cs="宋体"/>
                <w:color w:val="auto"/>
                <w:szCs w:val="21"/>
              </w:rPr>
              <w:t>0</w:t>
            </w:r>
          </w:p>
        </w:tc>
        <w:tc>
          <w:tcPr>
            <w:tcW w:w="11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 w:val="21"/>
                <w:szCs w:val="21"/>
              </w:rPr>
              <w:t>相似</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lang w:val="en-US" w:eastAsia="zh-CN"/>
              </w:rPr>
              <w:t>0</w:t>
            </w:r>
          </w:p>
        </w:tc>
        <w:tc>
          <w:tcPr>
            <w:tcW w:w="11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lang w:eastAsia="zh-CN"/>
              </w:rPr>
            </w:pPr>
            <w:r>
              <w:rPr>
                <w:rFonts w:hint="eastAsia" w:ascii="宋体" w:hAnsi="宋体" w:eastAsia="宋体" w:cs="宋体"/>
                <w:color w:val="auto"/>
                <w:sz w:val="21"/>
                <w:szCs w:val="21"/>
              </w:rPr>
              <w:t>相似</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lang w:eastAsia="zh-CN"/>
              </w:rPr>
            </w:pPr>
            <w:r>
              <w:rPr>
                <w:rFonts w:hint="eastAsia" w:ascii="宋体" w:hAnsi="宋体" w:eastAsia="宋体" w:cs="宋体"/>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Cs w:val="21"/>
              </w:rPr>
            </w:pPr>
            <w:r>
              <w:rPr>
                <w:rFonts w:hint="eastAsia" w:ascii="宋体" w:hAnsi="宋体" w:eastAsia="宋体" w:cs="宋体"/>
                <w:color w:val="auto"/>
                <w:sz w:val="21"/>
                <w:szCs w:val="21"/>
              </w:rPr>
              <w:t>外部配套设施状况</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lang w:eastAsia="zh-CN"/>
              </w:rPr>
            </w:pPr>
            <w:r>
              <w:rPr>
                <w:rFonts w:hint="eastAsia" w:ascii="宋体" w:hAnsi="宋体" w:eastAsia="宋体" w:cs="宋体"/>
                <w:color w:val="auto"/>
                <w:sz w:val="21"/>
                <w:szCs w:val="21"/>
              </w:rPr>
              <w:t>相似</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lang w:val="en-US" w:eastAsia="zh-CN"/>
              </w:rPr>
            </w:pPr>
            <w:r>
              <w:rPr>
                <w:rFonts w:hint="eastAsia" w:ascii="宋体" w:hAnsi="宋体" w:eastAsia="宋体" w:cs="宋体"/>
                <w:color w:val="auto"/>
                <w:szCs w:val="21"/>
              </w:rPr>
              <w:t>0</w:t>
            </w:r>
          </w:p>
        </w:tc>
        <w:tc>
          <w:tcPr>
            <w:tcW w:w="11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 w:val="21"/>
                <w:szCs w:val="21"/>
              </w:rPr>
              <w:t>相似</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0</w:t>
            </w:r>
          </w:p>
        </w:tc>
        <w:tc>
          <w:tcPr>
            <w:tcW w:w="11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 w:val="21"/>
                <w:szCs w:val="21"/>
              </w:rPr>
              <w:t>相似</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lang w:val="en-US" w:eastAsia="zh-CN"/>
              </w:rPr>
            </w:pPr>
            <w:r>
              <w:rPr>
                <w:rFonts w:hint="eastAsia" w:ascii="宋体" w:hAnsi="宋体" w:eastAsia="宋体" w:cs="宋体"/>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Cs w:val="21"/>
              </w:rPr>
            </w:pPr>
            <w:r>
              <w:rPr>
                <w:rFonts w:hint="eastAsia" w:ascii="宋体" w:hAnsi="宋体" w:eastAsia="宋体" w:cs="宋体"/>
                <w:color w:val="auto"/>
                <w:sz w:val="21"/>
                <w:szCs w:val="21"/>
              </w:rPr>
              <w:t>周围环境状况</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pacing w:val="-6"/>
                <w:sz w:val="21"/>
                <w:szCs w:val="21"/>
              </w:rPr>
              <w:t>相似</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0</w:t>
            </w:r>
          </w:p>
        </w:tc>
        <w:tc>
          <w:tcPr>
            <w:tcW w:w="11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pacing w:val="-6"/>
                <w:sz w:val="21"/>
                <w:szCs w:val="21"/>
              </w:rPr>
              <w:t>相似</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0</w:t>
            </w:r>
          </w:p>
        </w:tc>
        <w:tc>
          <w:tcPr>
            <w:tcW w:w="11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pacing w:val="-6"/>
                <w:sz w:val="21"/>
                <w:szCs w:val="21"/>
              </w:rPr>
              <w:t>相似</w:t>
            </w: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区位状况调整值之和</w:t>
            </w: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pacing w:val="-6"/>
                <w:sz w:val="21"/>
                <w:szCs w:val="21"/>
              </w:rPr>
            </w:pP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cs="宋体"/>
                <w:color w:val="auto"/>
                <w:szCs w:val="21"/>
                <w:lang w:val="en-US" w:eastAsia="zh-CN"/>
              </w:rPr>
              <w:t>-10</w:t>
            </w:r>
          </w:p>
        </w:tc>
        <w:tc>
          <w:tcPr>
            <w:tcW w:w="11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pacing w:val="-6"/>
                <w:sz w:val="21"/>
                <w:szCs w:val="21"/>
              </w:rPr>
            </w:pPr>
          </w:p>
        </w:tc>
        <w:tc>
          <w:tcPr>
            <w:tcW w:w="116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cs="宋体"/>
                <w:color w:val="auto"/>
                <w:szCs w:val="21"/>
                <w:lang w:val="en-US" w:eastAsia="zh-CN"/>
              </w:rPr>
              <w:t>-10</w:t>
            </w:r>
          </w:p>
        </w:tc>
        <w:tc>
          <w:tcPr>
            <w:tcW w:w="11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pacing w:val="-6"/>
                <w:sz w:val="21"/>
                <w:szCs w:val="21"/>
              </w:rPr>
            </w:pPr>
          </w:p>
        </w:tc>
        <w:tc>
          <w:tcPr>
            <w:tcW w:w="11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cs="宋体"/>
                <w:color w:val="auto"/>
                <w:szCs w:val="21"/>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区位状况调整系数</w:t>
            </w:r>
          </w:p>
        </w:tc>
        <w:tc>
          <w:tcPr>
            <w:tcW w:w="232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eastAsia="宋体" w:cs="宋体"/>
                <w:color w:val="auto"/>
                <w:szCs w:val="21"/>
              </w:rPr>
              <w:t>100/</w:t>
            </w:r>
            <w:r>
              <w:rPr>
                <w:rFonts w:hint="eastAsia" w:ascii="宋体" w:hAnsi="宋体" w:cs="宋体"/>
                <w:color w:val="auto"/>
                <w:szCs w:val="21"/>
                <w:lang w:val="en-US" w:eastAsia="zh-CN"/>
              </w:rPr>
              <w:t>90</w:t>
            </w:r>
          </w:p>
        </w:tc>
        <w:tc>
          <w:tcPr>
            <w:tcW w:w="232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eastAsia="宋体" w:cs="宋体"/>
                <w:color w:val="auto"/>
                <w:szCs w:val="21"/>
              </w:rPr>
              <w:t>100/</w:t>
            </w:r>
            <w:r>
              <w:rPr>
                <w:rFonts w:hint="eastAsia" w:ascii="宋体" w:hAnsi="宋体" w:cs="宋体"/>
                <w:color w:val="auto"/>
                <w:szCs w:val="21"/>
                <w:lang w:val="en-US" w:eastAsia="zh-CN"/>
              </w:rPr>
              <w:t>90</w:t>
            </w:r>
          </w:p>
        </w:tc>
        <w:tc>
          <w:tcPr>
            <w:tcW w:w="232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eastAsia="宋体" w:cs="宋体"/>
                <w:color w:val="auto"/>
                <w:szCs w:val="21"/>
              </w:rPr>
              <w:t>100/</w:t>
            </w:r>
            <w:r>
              <w:rPr>
                <w:rFonts w:hint="eastAsia" w:ascii="宋体" w:hAnsi="宋体" w:cs="宋体"/>
                <w:color w:val="auto"/>
                <w:szCs w:val="21"/>
                <w:lang w:val="en-US" w:eastAsia="zh-CN"/>
              </w:rPr>
              <w:t>89</w:t>
            </w:r>
          </w:p>
        </w:tc>
      </w:tr>
    </w:tbl>
    <w:p>
      <w:pPr>
        <w:keepNext w:val="0"/>
        <w:keepLines w:val="0"/>
        <w:pageBreakBefore w:val="0"/>
        <w:widowControl w:val="0"/>
        <w:kinsoku/>
        <w:wordWrap/>
        <w:overflowPunct/>
        <w:topLinePunct w:val="0"/>
        <w:autoSpaceDE/>
        <w:autoSpaceDN/>
        <w:bidi w:val="0"/>
        <w:adjustRightInd/>
        <w:snapToGrid/>
        <w:spacing w:line="440" w:lineRule="exact"/>
        <w:jc w:val="right"/>
        <w:textAlignment w:val="auto"/>
        <w:outlineLvl w:val="9"/>
        <w:rPr>
          <w:rFonts w:hint="default" w:ascii="仿宋" w:hAnsi="仿宋" w:eastAsia="仿宋" w:cs="宋体"/>
          <w:b/>
          <w:color w:val="auto"/>
          <w:kern w:val="0"/>
          <w:sz w:val="24"/>
          <w:szCs w:val="24"/>
          <w:lang w:val="en-US"/>
        </w:rPr>
      </w:pPr>
      <w:r>
        <w:rPr>
          <w:rFonts w:hint="eastAsia" w:ascii="宋体" w:hAnsi="宋体" w:cs="宋体"/>
          <w:color w:val="auto"/>
          <w:sz w:val="24"/>
          <w:szCs w:val="24"/>
          <w:lang w:eastAsia="zh-CN"/>
        </w:rPr>
        <w:t>实物状况调整系数表</w:t>
      </w:r>
      <w:r>
        <w:rPr>
          <w:rFonts w:hint="eastAsia" w:ascii="宋体" w:hAnsi="宋体" w:cs="宋体"/>
          <w:color w:val="auto"/>
          <w:sz w:val="24"/>
          <w:szCs w:val="24"/>
          <w:lang w:val="en-US" w:eastAsia="zh-CN"/>
        </w:rPr>
        <w:t xml:space="preserve">                        </w:t>
      </w:r>
      <w:r>
        <w:rPr>
          <w:rFonts w:hint="eastAsia" w:ascii="宋体" w:hAnsi="宋体" w:eastAsia="宋体" w:cs="宋体"/>
          <w:sz w:val="24"/>
          <w:szCs w:val="24"/>
          <w:lang w:eastAsia="zh-CN"/>
        </w:rPr>
        <w:t>技</w:t>
      </w:r>
      <w:r>
        <w:rPr>
          <w:rFonts w:hint="eastAsia" w:ascii="宋体" w:hAnsi="宋体" w:eastAsia="宋体" w:cs="宋体"/>
          <w:sz w:val="24"/>
          <w:szCs w:val="24"/>
        </w:rPr>
        <w:t>表</w:t>
      </w:r>
      <w:r>
        <w:rPr>
          <w:rFonts w:hint="eastAsia" w:ascii="宋体" w:hAnsi="宋体" w:eastAsia="宋体" w:cs="宋体"/>
          <w:sz w:val="24"/>
          <w:szCs w:val="24"/>
          <w:lang w:val="en-US" w:eastAsia="zh-CN"/>
        </w:rPr>
        <w:t>15</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4"/>
        <w:gridCol w:w="1159"/>
        <w:gridCol w:w="1159"/>
        <w:gridCol w:w="1159"/>
        <w:gridCol w:w="1159"/>
        <w:gridCol w:w="1159"/>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项目名称</w:t>
            </w:r>
          </w:p>
        </w:tc>
        <w:tc>
          <w:tcPr>
            <w:tcW w:w="23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可比实例A</w:t>
            </w:r>
          </w:p>
        </w:tc>
        <w:tc>
          <w:tcPr>
            <w:tcW w:w="23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可比实例B</w:t>
            </w:r>
          </w:p>
        </w:tc>
        <w:tc>
          <w:tcPr>
            <w:tcW w:w="23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可比实例C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建筑结构</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lang w:eastAsia="zh-CN"/>
              </w:rPr>
            </w:pPr>
            <w:r>
              <w:rPr>
                <w:rFonts w:hint="eastAsia" w:ascii="宋体" w:hAnsi="宋体" w:eastAsia="宋体" w:cs="宋体"/>
                <w:color w:val="auto"/>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lang w:val="en-US" w:eastAsia="zh-CN"/>
              </w:rPr>
            </w:pPr>
            <w:r>
              <w:rPr>
                <w:rFonts w:hint="eastAsia" w:ascii="宋体" w:hAnsi="宋体" w:eastAsia="宋体" w:cs="宋体"/>
                <w:color w:val="auto"/>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lang w:eastAsia="zh-CN"/>
              </w:rPr>
            </w:pPr>
            <w:r>
              <w:rPr>
                <w:rFonts w:hint="eastAsia" w:ascii="宋体" w:hAnsi="宋体" w:eastAsia="宋体" w:cs="宋体"/>
                <w:color w:val="auto"/>
                <w:szCs w:val="21"/>
                <w:lang w:eastAsia="zh-CN"/>
              </w:rPr>
              <w:t>建筑规模</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略差</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kern w:val="2"/>
                <w:sz w:val="21"/>
                <w:szCs w:val="21"/>
                <w:lang w:val="en-US" w:eastAsia="zh-CN" w:bidi="ar-SA"/>
              </w:rPr>
            </w:pPr>
            <w:r>
              <w:rPr>
                <w:rFonts w:hint="eastAsia" w:ascii="宋体" w:hAnsi="宋体" w:eastAsia="宋体" w:cs="宋体"/>
                <w:color w:val="auto"/>
                <w:szCs w:val="21"/>
                <w:lang w:val="en-US" w:eastAsia="zh-CN"/>
              </w:rPr>
              <w:t>-1</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略差</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w:t>
            </w:r>
            <w:r>
              <w:rPr>
                <w:rFonts w:hint="eastAsia" w:ascii="宋体" w:hAnsi="宋体" w:cs="宋体"/>
                <w:color w:val="auto"/>
                <w:szCs w:val="21"/>
                <w:lang w:val="en-US" w:eastAsia="zh-CN"/>
              </w:rPr>
              <w:t>2</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lang w:eastAsia="zh-CN"/>
              </w:rPr>
            </w:pPr>
            <w:r>
              <w:rPr>
                <w:rFonts w:hint="eastAsia" w:ascii="宋体" w:hAnsi="宋体" w:cs="宋体"/>
                <w:color w:val="auto"/>
                <w:szCs w:val="21"/>
                <w:lang w:val="en-US" w:eastAsia="zh-CN"/>
              </w:rPr>
              <w:t>略差</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cs="宋体"/>
                <w:color w:val="auto"/>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lang w:eastAsia="zh-CN"/>
              </w:rPr>
            </w:pPr>
            <w:r>
              <w:rPr>
                <w:rFonts w:hint="eastAsia" w:ascii="宋体" w:hAnsi="宋体" w:eastAsia="宋体" w:cs="宋体"/>
                <w:color w:val="auto"/>
                <w:szCs w:val="21"/>
                <w:lang w:eastAsia="zh-CN"/>
              </w:rPr>
              <w:t>层高</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eastAsia="宋体" w:cs="宋体"/>
                <w:color w:val="auto"/>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lang w:val="en-US" w:eastAsia="zh-CN"/>
              </w:rPr>
            </w:pPr>
            <w:r>
              <w:rPr>
                <w:rFonts w:hint="eastAsia" w:ascii="宋体" w:hAnsi="宋体" w:eastAsia="宋体" w:cs="宋体"/>
                <w:color w:val="auto"/>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lang w:val="en-US" w:eastAsia="zh-CN"/>
              </w:rPr>
            </w:pPr>
            <w:r>
              <w:rPr>
                <w:rFonts w:hint="eastAsia" w:ascii="宋体" w:hAnsi="宋体" w:eastAsia="宋体" w:cs="宋体"/>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lang w:eastAsia="zh-CN"/>
              </w:rPr>
            </w:pPr>
            <w:r>
              <w:rPr>
                <w:rFonts w:hint="eastAsia" w:ascii="宋体" w:hAnsi="宋体" w:eastAsia="宋体" w:cs="宋体"/>
                <w:color w:val="auto"/>
                <w:szCs w:val="21"/>
                <w:lang w:eastAsia="zh-CN"/>
              </w:rPr>
              <w:t>平面布局</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eastAsia="宋体" w:cs="宋体"/>
                <w:color w:val="auto"/>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设施设备</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lang w:eastAsia="zh-CN"/>
              </w:rPr>
            </w:pPr>
            <w:r>
              <w:rPr>
                <w:rFonts w:hint="eastAsia" w:ascii="宋体" w:hAnsi="宋体" w:eastAsia="宋体" w:cs="宋体"/>
                <w:color w:val="auto"/>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eastAsia="宋体" w:cs="宋体"/>
                <w:color w:val="auto"/>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外观</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lang w:eastAsia="zh-CN"/>
              </w:rPr>
            </w:pPr>
            <w:r>
              <w:rPr>
                <w:rFonts w:hint="eastAsia" w:ascii="宋体" w:hAnsi="宋体" w:eastAsia="宋体" w:cs="宋体"/>
                <w:color w:val="auto"/>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eastAsia="宋体" w:cs="宋体"/>
                <w:color w:val="auto"/>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新旧程度</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cs="宋体"/>
                <w:color w:val="auto"/>
                <w:szCs w:val="21"/>
                <w:lang w:val="en-US" w:eastAsia="zh-CN"/>
              </w:rPr>
              <w:t>略差</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cs="宋体"/>
                <w:color w:val="auto"/>
                <w:szCs w:val="21"/>
                <w:lang w:val="en-US" w:eastAsia="zh-CN"/>
              </w:rPr>
              <w:t>-2</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Cs w:val="21"/>
                <w:lang w:eastAsia="zh-CN"/>
              </w:rPr>
            </w:pPr>
            <w:r>
              <w:rPr>
                <w:rFonts w:hint="eastAsia" w:ascii="宋体" w:hAnsi="宋体" w:cs="宋体"/>
                <w:color w:val="auto"/>
                <w:szCs w:val="21"/>
                <w:lang w:val="en-US" w:eastAsia="zh-CN"/>
              </w:rPr>
              <w:t>略差</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kern w:val="0"/>
                <w:szCs w:val="21"/>
                <w:lang w:val="en-US" w:eastAsia="zh-CN"/>
              </w:rPr>
            </w:pPr>
            <w:r>
              <w:rPr>
                <w:rFonts w:hint="eastAsia" w:ascii="宋体" w:hAnsi="宋体" w:cs="宋体"/>
                <w:color w:val="auto"/>
                <w:szCs w:val="21"/>
                <w:lang w:val="en-US" w:eastAsia="zh-CN"/>
              </w:rPr>
              <w:t>-2</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kern w:val="0"/>
                <w:szCs w:val="21"/>
                <w:lang w:val="en-US" w:eastAsia="zh-CN"/>
              </w:rPr>
            </w:pPr>
            <w:r>
              <w:rPr>
                <w:rFonts w:hint="eastAsia" w:ascii="宋体" w:hAnsi="宋体" w:cs="宋体"/>
                <w:color w:val="auto"/>
                <w:szCs w:val="21"/>
                <w:lang w:val="en-US" w:eastAsia="zh-CN"/>
              </w:rPr>
              <w:t>略差</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w:t>
            </w:r>
            <w:r>
              <w:rPr>
                <w:rFonts w:hint="eastAsia" w:ascii="宋体" w:hAnsi="宋体" w:cs="宋体"/>
                <w:color w:val="auto"/>
                <w:kern w:val="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小区规模</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eastAsia="宋体" w:cs="宋体"/>
                <w:color w:val="auto"/>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cs="宋体"/>
                <w:color w:val="auto"/>
                <w:szCs w:val="21"/>
                <w:lang w:val="en-US" w:eastAsia="zh-CN"/>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lang w:eastAsia="zh-CN"/>
              </w:rPr>
            </w:pPr>
            <w:r>
              <w:rPr>
                <w:rFonts w:hint="eastAsia" w:ascii="宋体" w:hAnsi="宋体" w:eastAsia="宋体" w:cs="宋体"/>
                <w:color w:val="auto"/>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lang w:val="en-US" w:eastAsia="zh-CN"/>
              </w:rPr>
            </w:pPr>
            <w:r>
              <w:rPr>
                <w:rFonts w:hint="eastAsia" w:ascii="宋体" w:hAnsi="宋体" w:cs="宋体"/>
                <w:color w:val="auto"/>
                <w:szCs w:val="21"/>
                <w:lang w:val="en-US" w:eastAsia="zh-CN"/>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cs="宋体"/>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小区档次</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lang w:eastAsia="zh-CN"/>
              </w:rPr>
            </w:pPr>
            <w:r>
              <w:rPr>
                <w:rFonts w:hint="eastAsia" w:ascii="宋体" w:hAnsi="宋体" w:eastAsia="宋体" w:cs="宋体"/>
                <w:color w:val="auto"/>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lang w:eastAsia="zh-CN"/>
              </w:rPr>
            </w:pPr>
            <w:r>
              <w:rPr>
                <w:rFonts w:hint="eastAsia" w:ascii="宋体" w:hAnsi="宋体" w:eastAsia="宋体" w:cs="宋体"/>
                <w:color w:val="auto"/>
                <w:szCs w:val="21"/>
                <w:lang w:val="en-US" w:eastAsia="zh-CN"/>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Cs w:val="21"/>
                <w:lang w:eastAsia="zh-CN"/>
              </w:rPr>
            </w:pPr>
            <w:r>
              <w:rPr>
                <w:rFonts w:hint="eastAsia" w:ascii="宋体" w:hAnsi="宋体" w:eastAsia="宋体" w:cs="宋体"/>
                <w:color w:val="auto"/>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Cs w:val="21"/>
                <w:lang w:eastAsia="zh-CN"/>
              </w:rPr>
            </w:pPr>
            <w:r>
              <w:rPr>
                <w:rFonts w:hint="eastAsia" w:ascii="宋体" w:hAnsi="宋体" w:eastAsia="宋体" w:cs="宋体"/>
                <w:color w:val="auto"/>
                <w:szCs w:val="21"/>
                <w:lang w:val="en-US" w:eastAsia="zh-CN"/>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Cs w:val="21"/>
              </w:rPr>
            </w:pPr>
            <w:r>
              <w:rPr>
                <w:rFonts w:hint="eastAsia" w:ascii="宋体" w:hAnsi="宋体" w:eastAsia="宋体" w:cs="宋体"/>
                <w:color w:val="auto"/>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kern w:val="0"/>
                <w:szCs w:val="21"/>
                <w:lang w:eastAsia="zh-CN"/>
              </w:rPr>
            </w:pPr>
            <w:r>
              <w:rPr>
                <w:rFonts w:hint="eastAsia" w:ascii="宋体" w:hAnsi="宋体" w:eastAsia="宋体" w:cs="宋体"/>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小区环境景观</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小区配套设施</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物业服务</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lang w:eastAsia="zh-CN"/>
              </w:rPr>
            </w:pPr>
            <w:r>
              <w:rPr>
                <w:rFonts w:hint="eastAsia" w:ascii="宋体" w:hAnsi="宋体" w:eastAsia="宋体" w:cs="宋体"/>
                <w:color w:val="auto"/>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lang w:eastAsia="zh-CN"/>
              </w:rPr>
            </w:pPr>
            <w:r>
              <w:rPr>
                <w:rFonts w:hint="eastAsia" w:ascii="宋体" w:hAnsi="宋体" w:eastAsia="宋体" w:cs="宋体"/>
                <w:color w:val="auto"/>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 w:val="21"/>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实物状况调整值之和</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cs="宋体"/>
                <w:color w:val="auto"/>
                <w:szCs w:val="21"/>
                <w:lang w:val="en-US" w:eastAsia="zh-CN"/>
              </w:rPr>
              <w:t>-3</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cs="宋体"/>
                <w:color w:val="auto"/>
                <w:szCs w:val="21"/>
                <w:lang w:val="en-US" w:eastAsia="zh-CN"/>
              </w:rPr>
              <w:t>-4</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cs="宋体"/>
                <w:color w:val="auto"/>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实物状况调整系数</w:t>
            </w:r>
          </w:p>
        </w:tc>
        <w:tc>
          <w:tcPr>
            <w:tcW w:w="23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eastAsia="宋体" w:cs="宋体"/>
                <w:color w:val="auto"/>
                <w:szCs w:val="21"/>
              </w:rPr>
              <w:t>100/</w:t>
            </w:r>
            <w:r>
              <w:rPr>
                <w:rFonts w:hint="eastAsia" w:ascii="宋体" w:hAnsi="宋体" w:cs="宋体"/>
                <w:color w:val="auto"/>
                <w:szCs w:val="21"/>
                <w:lang w:val="en-US" w:eastAsia="zh-CN"/>
              </w:rPr>
              <w:t>97</w:t>
            </w:r>
          </w:p>
        </w:tc>
        <w:tc>
          <w:tcPr>
            <w:tcW w:w="23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eastAsia="宋体" w:cs="宋体"/>
                <w:color w:val="auto"/>
                <w:szCs w:val="21"/>
              </w:rPr>
              <w:t>100/</w:t>
            </w:r>
            <w:r>
              <w:rPr>
                <w:rFonts w:hint="eastAsia" w:ascii="宋体" w:hAnsi="宋体" w:cs="宋体"/>
                <w:color w:val="auto"/>
                <w:szCs w:val="21"/>
                <w:lang w:val="en-US" w:eastAsia="zh-CN"/>
              </w:rPr>
              <w:t>96</w:t>
            </w:r>
          </w:p>
        </w:tc>
        <w:tc>
          <w:tcPr>
            <w:tcW w:w="23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eastAsia="宋体" w:cs="宋体"/>
                <w:color w:val="auto"/>
                <w:szCs w:val="21"/>
              </w:rPr>
              <w:t>100/</w:t>
            </w:r>
            <w:r>
              <w:rPr>
                <w:rFonts w:hint="eastAsia" w:ascii="宋体" w:hAnsi="宋体" w:cs="宋体"/>
                <w:color w:val="auto"/>
                <w:szCs w:val="21"/>
                <w:lang w:val="en-US" w:eastAsia="zh-CN"/>
              </w:rPr>
              <w:t>97</w:t>
            </w:r>
          </w:p>
        </w:tc>
      </w:tr>
    </w:tbl>
    <w:p>
      <w:pPr>
        <w:keepNext w:val="0"/>
        <w:keepLines w:val="0"/>
        <w:pageBreakBefore w:val="0"/>
        <w:widowControl w:val="0"/>
        <w:kinsoku/>
        <w:wordWrap/>
        <w:overflowPunct/>
        <w:topLinePunct w:val="0"/>
        <w:autoSpaceDE/>
        <w:autoSpaceDN/>
        <w:bidi w:val="0"/>
        <w:adjustRightInd/>
        <w:snapToGrid/>
        <w:spacing w:line="440" w:lineRule="exact"/>
        <w:ind w:left="479" w:leftChars="228"/>
        <w:jc w:val="center"/>
        <w:textAlignment w:val="auto"/>
        <w:outlineLvl w:val="9"/>
        <w:rPr>
          <w:rFonts w:hint="default" w:ascii="仿宋" w:hAnsi="仿宋" w:eastAsia="仿宋" w:cs="宋体"/>
          <w:b/>
          <w:color w:val="auto"/>
          <w:kern w:val="0"/>
          <w:sz w:val="24"/>
          <w:szCs w:val="24"/>
          <w:lang w:val="en-US"/>
        </w:rPr>
      </w:pPr>
      <w:r>
        <w:rPr>
          <w:rFonts w:hint="eastAsia" w:ascii="宋体" w:hAnsi="宋体" w:cs="宋体"/>
          <w:color w:val="auto"/>
          <w:sz w:val="24"/>
          <w:szCs w:val="24"/>
          <w:lang w:val="en-US" w:eastAsia="zh-CN"/>
        </w:rPr>
        <w:t xml:space="preserve">                          </w:t>
      </w:r>
      <w:r>
        <w:rPr>
          <w:rFonts w:hint="eastAsia" w:ascii="宋体" w:hAnsi="宋体" w:cs="宋体"/>
          <w:color w:val="auto"/>
          <w:sz w:val="24"/>
          <w:szCs w:val="24"/>
          <w:lang w:eastAsia="zh-CN"/>
        </w:rPr>
        <w:t>权益状况调整系数表</w:t>
      </w:r>
      <w:r>
        <w:rPr>
          <w:rFonts w:hint="eastAsia" w:ascii="宋体" w:hAnsi="宋体" w:cs="宋体"/>
          <w:color w:val="auto"/>
          <w:sz w:val="24"/>
          <w:szCs w:val="24"/>
          <w:lang w:val="en-US" w:eastAsia="zh-CN"/>
        </w:rPr>
        <w:t xml:space="preserve">                     </w:t>
      </w:r>
      <w:r>
        <w:rPr>
          <w:rFonts w:hint="eastAsia" w:ascii="宋体" w:hAnsi="宋体" w:eastAsia="宋体" w:cs="宋体"/>
          <w:sz w:val="24"/>
          <w:szCs w:val="24"/>
          <w:lang w:eastAsia="zh-CN"/>
        </w:rPr>
        <w:t>技</w:t>
      </w:r>
      <w:r>
        <w:rPr>
          <w:rFonts w:hint="eastAsia" w:ascii="宋体" w:hAnsi="宋体" w:eastAsia="宋体" w:cs="宋体"/>
          <w:sz w:val="24"/>
          <w:szCs w:val="24"/>
        </w:rPr>
        <w:t>表</w:t>
      </w:r>
      <w:r>
        <w:rPr>
          <w:rFonts w:hint="eastAsia" w:ascii="宋体" w:hAnsi="宋体" w:eastAsia="宋体" w:cs="宋体"/>
          <w:sz w:val="24"/>
          <w:szCs w:val="24"/>
          <w:lang w:val="en-US" w:eastAsia="zh-CN"/>
        </w:rPr>
        <w:t>16</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4"/>
        <w:gridCol w:w="1159"/>
        <w:gridCol w:w="1159"/>
        <w:gridCol w:w="1159"/>
        <w:gridCol w:w="1159"/>
        <w:gridCol w:w="1159"/>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项目名称</w:t>
            </w:r>
          </w:p>
        </w:tc>
        <w:tc>
          <w:tcPr>
            <w:tcW w:w="23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可比实例A</w:t>
            </w:r>
          </w:p>
        </w:tc>
        <w:tc>
          <w:tcPr>
            <w:tcW w:w="23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可比实例B</w:t>
            </w:r>
          </w:p>
        </w:tc>
        <w:tc>
          <w:tcPr>
            <w:tcW w:w="23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可比实例C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规划条件</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lang w:eastAsia="zh-CN"/>
              </w:rPr>
            </w:pPr>
            <w:r>
              <w:rPr>
                <w:rFonts w:hint="eastAsia" w:ascii="宋体" w:hAnsi="宋体" w:eastAsia="宋体" w:cs="宋体"/>
                <w:color w:val="auto"/>
                <w:szCs w:val="21"/>
                <w:lang w:eastAsia="zh-CN"/>
              </w:rPr>
              <w:t>土地级别</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其他</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相似</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权益状况调整值之和</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rPr>
            </w:pPr>
            <w:r>
              <w:rPr>
                <w:rFonts w:hint="eastAsia" w:ascii="宋体" w:hAnsi="宋体" w:eastAsia="宋体" w:cs="宋体"/>
                <w:color w:val="auto"/>
                <w:szCs w:val="21"/>
                <w:lang w:val="en-US" w:eastAsia="zh-CN"/>
              </w:rPr>
              <w:t>0</w:t>
            </w: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p>
        </w:tc>
        <w:tc>
          <w:tcPr>
            <w:tcW w:w="115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rPr>
            </w:pPr>
            <w:r>
              <w:rPr>
                <w:rFonts w:hint="eastAsia" w:ascii="宋体" w:hAnsi="宋体" w:eastAsia="宋体" w:cs="宋体"/>
                <w:color w:val="auto"/>
                <w:szCs w:val="21"/>
              </w:rPr>
              <w:t>权益状况调整系数</w:t>
            </w:r>
          </w:p>
        </w:tc>
        <w:tc>
          <w:tcPr>
            <w:tcW w:w="23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宋体" w:hAnsi="宋体" w:eastAsia="宋体" w:cs="宋体"/>
                <w:color w:val="auto"/>
                <w:szCs w:val="21"/>
                <w:lang w:val="en-US" w:eastAsia="zh-CN"/>
              </w:rPr>
            </w:pPr>
            <w:r>
              <w:rPr>
                <w:rFonts w:hint="eastAsia" w:ascii="宋体" w:hAnsi="宋体" w:eastAsia="宋体" w:cs="宋体"/>
                <w:color w:val="auto"/>
                <w:szCs w:val="21"/>
              </w:rPr>
              <w:t>100/</w:t>
            </w:r>
            <w:r>
              <w:rPr>
                <w:rFonts w:hint="eastAsia" w:ascii="宋体" w:hAnsi="宋体" w:eastAsia="宋体" w:cs="宋体"/>
                <w:color w:val="auto"/>
                <w:szCs w:val="21"/>
                <w:lang w:val="en-US" w:eastAsia="zh-CN"/>
              </w:rPr>
              <w:t>100</w:t>
            </w:r>
          </w:p>
        </w:tc>
        <w:tc>
          <w:tcPr>
            <w:tcW w:w="23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lang w:val="en-US" w:eastAsia="zh-CN"/>
              </w:rPr>
            </w:pPr>
            <w:r>
              <w:rPr>
                <w:rFonts w:hint="eastAsia" w:ascii="宋体" w:hAnsi="宋体" w:eastAsia="宋体" w:cs="宋体"/>
                <w:color w:val="auto"/>
                <w:szCs w:val="21"/>
              </w:rPr>
              <w:t>100/</w:t>
            </w:r>
            <w:r>
              <w:rPr>
                <w:rFonts w:hint="eastAsia" w:ascii="宋体" w:hAnsi="宋体" w:eastAsia="宋体" w:cs="宋体"/>
                <w:color w:val="auto"/>
                <w:szCs w:val="21"/>
                <w:lang w:val="en-US" w:eastAsia="zh-CN"/>
              </w:rPr>
              <w:t>100</w:t>
            </w:r>
          </w:p>
        </w:tc>
        <w:tc>
          <w:tcPr>
            <w:tcW w:w="23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eastAsia="宋体" w:cs="宋体"/>
                <w:color w:val="auto"/>
                <w:szCs w:val="21"/>
                <w:lang w:val="en-US"/>
              </w:rPr>
            </w:pPr>
            <w:r>
              <w:rPr>
                <w:rFonts w:hint="eastAsia" w:ascii="宋体" w:hAnsi="宋体" w:eastAsia="宋体" w:cs="宋体"/>
                <w:color w:val="auto"/>
                <w:szCs w:val="21"/>
              </w:rPr>
              <w:t>100/</w:t>
            </w:r>
            <w:r>
              <w:rPr>
                <w:rFonts w:hint="eastAsia" w:ascii="宋体" w:hAnsi="宋体" w:eastAsia="宋体" w:cs="宋体"/>
                <w:color w:val="auto"/>
                <w:szCs w:val="21"/>
                <w:lang w:val="en-US" w:eastAsia="zh-CN"/>
              </w:rPr>
              <w:t>100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0" w:firstLineChars="0"/>
        <w:jc w:val="left"/>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    5、测算结果公式选用和计算过程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0" w:firstLineChars="0"/>
        <w:jc w:val="left"/>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    由于估价对象为常见且单一的房地产，而且有较多的与之相类似的房地产可比实例，不必要通过设定一种“标准房地产”来进行比较与调整，可以直接以估价对象状况为基准，将各可比实例状况与估价对象状况的逐个因素进行直接比较与调整，这种路径也比较便捷与准确，所以选择直接比较调整路径。</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0" w:firstLineChars="0"/>
        <w:jc w:val="left"/>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    比较单价=可比实例建立比较基准后的单价</w:t>
      </w:r>
      <w:r>
        <w:rPr>
          <w:rFonts w:hint="eastAsia" w:ascii="宋体" w:hAnsi="宋体" w:eastAsia="宋体" w:cs="宋体"/>
          <w:color w:val="auto"/>
          <w:sz w:val="24"/>
          <w:szCs w:val="24"/>
          <w:lang w:val="en-US" w:eastAsia="zh-CN"/>
        </w:rPr>
        <w:t>×交易情况修正系数×市场状况调整系数×区位状况调整系数×实物状况调整系数×权益状况调整系数</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150" w:right="0" w:rightChars="0" w:firstLine="0" w:firstLineChars="0"/>
        <w:textAlignment w:val="auto"/>
        <w:outlineLvl w:val="9"/>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 测算过程见下表。     </w:t>
      </w:r>
    </w:p>
    <w:p>
      <w:pPr>
        <w:pStyle w:val="2"/>
        <w:rPr>
          <w:rFonts w:hint="eastAsia"/>
          <w:lang w:val="en-US" w:eastAsia="zh-CN"/>
        </w:rPr>
      </w:pP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right"/>
        <w:textAlignment w:val="auto"/>
        <w:outlineLvl w:val="9"/>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 xml:space="preserve">比较单价计算表                        </w:t>
      </w:r>
      <w:r>
        <w:rPr>
          <w:rFonts w:hint="eastAsia" w:ascii="宋体" w:hAnsi="宋体" w:eastAsia="宋体" w:cs="宋体"/>
          <w:sz w:val="24"/>
          <w:szCs w:val="24"/>
          <w:lang w:eastAsia="zh-CN"/>
        </w:rPr>
        <w:t>技</w:t>
      </w:r>
      <w:r>
        <w:rPr>
          <w:rFonts w:hint="eastAsia" w:ascii="宋体" w:hAnsi="宋体" w:eastAsia="宋体" w:cs="宋体"/>
          <w:sz w:val="24"/>
          <w:szCs w:val="24"/>
        </w:rPr>
        <w:t>表</w:t>
      </w:r>
      <w:r>
        <w:rPr>
          <w:rFonts w:hint="eastAsia" w:ascii="宋体" w:hAnsi="宋体" w:eastAsia="宋体" w:cs="宋体"/>
          <w:sz w:val="24"/>
          <w:szCs w:val="24"/>
          <w:lang w:val="en-US" w:eastAsia="zh-CN"/>
        </w:rPr>
        <w:t>17</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0"/>
        <w:gridCol w:w="1936"/>
        <w:gridCol w:w="1936"/>
        <w:gridCol w:w="1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auto"/>
                <w:sz w:val="24"/>
                <w:szCs w:val="24"/>
                <w:vertAlign w:val="baseline"/>
                <w:lang w:val="en-US" w:eastAsia="zh-CN"/>
              </w:rPr>
            </w:pPr>
            <w:r>
              <w:rPr>
                <w:rFonts w:hint="eastAsia" w:ascii="宋体" w:hAnsi="宋体" w:cs="宋体"/>
                <w:color w:val="auto"/>
                <w:sz w:val="21"/>
                <w:szCs w:val="21"/>
                <w:vertAlign w:val="baseline"/>
                <w:lang w:val="en-US" w:eastAsia="zh-CN"/>
              </w:rPr>
              <w:t>项目</w:t>
            </w:r>
          </w:p>
        </w:tc>
        <w:tc>
          <w:tcPr>
            <w:tcW w:w="193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auto"/>
                <w:sz w:val="24"/>
                <w:szCs w:val="24"/>
                <w:vertAlign w:val="baseline"/>
                <w:lang w:val="en-US" w:eastAsia="zh-CN"/>
              </w:rPr>
            </w:pPr>
            <w:r>
              <w:rPr>
                <w:rFonts w:hint="eastAsia" w:ascii="宋体" w:hAnsi="宋体" w:eastAsia="宋体" w:cs="宋体"/>
                <w:color w:val="auto"/>
                <w:spacing w:val="-6"/>
                <w:szCs w:val="21"/>
                <w:lang w:eastAsia="zh-CN"/>
              </w:rPr>
              <w:t>可比</w:t>
            </w:r>
            <w:r>
              <w:rPr>
                <w:rFonts w:hint="eastAsia" w:ascii="宋体" w:hAnsi="宋体" w:eastAsia="宋体" w:cs="宋体"/>
                <w:color w:val="auto"/>
                <w:spacing w:val="-6"/>
                <w:szCs w:val="21"/>
              </w:rPr>
              <w:t>案例A</w:t>
            </w:r>
          </w:p>
        </w:tc>
        <w:tc>
          <w:tcPr>
            <w:tcW w:w="193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auto"/>
                <w:sz w:val="24"/>
                <w:szCs w:val="24"/>
                <w:vertAlign w:val="baseline"/>
                <w:lang w:val="en-US" w:eastAsia="zh-CN"/>
              </w:rPr>
            </w:pPr>
            <w:r>
              <w:rPr>
                <w:rFonts w:hint="eastAsia" w:ascii="宋体" w:hAnsi="宋体" w:eastAsia="宋体" w:cs="宋体"/>
                <w:color w:val="auto"/>
                <w:spacing w:val="-4"/>
                <w:szCs w:val="21"/>
                <w:lang w:eastAsia="zh-CN"/>
              </w:rPr>
              <w:t>可比</w:t>
            </w:r>
            <w:r>
              <w:rPr>
                <w:rFonts w:hint="eastAsia" w:ascii="宋体" w:hAnsi="宋体" w:eastAsia="宋体" w:cs="宋体"/>
                <w:color w:val="auto"/>
                <w:spacing w:val="-4"/>
                <w:szCs w:val="21"/>
              </w:rPr>
              <w:t>案例B</w:t>
            </w:r>
          </w:p>
        </w:tc>
        <w:tc>
          <w:tcPr>
            <w:tcW w:w="193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auto"/>
                <w:sz w:val="24"/>
                <w:szCs w:val="24"/>
                <w:vertAlign w:val="baseline"/>
                <w:lang w:val="en-US" w:eastAsia="zh-CN"/>
              </w:rPr>
            </w:pPr>
            <w:r>
              <w:rPr>
                <w:rFonts w:hint="eastAsia" w:ascii="宋体" w:hAnsi="宋体" w:eastAsia="宋体" w:cs="宋体"/>
                <w:color w:val="auto"/>
                <w:spacing w:val="-8"/>
                <w:szCs w:val="21"/>
                <w:lang w:eastAsia="zh-CN"/>
              </w:rPr>
              <w:t>可比</w:t>
            </w:r>
            <w:r>
              <w:rPr>
                <w:rFonts w:hint="eastAsia" w:ascii="宋体" w:hAnsi="宋体" w:eastAsia="宋体" w:cs="宋体"/>
                <w:color w:val="auto"/>
                <w:spacing w:val="-8"/>
                <w:szCs w:val="21"/>
              </w:rPr>
              <w:t>案例</w:t>
            </w:r>
            <w:r>
              <w:rPr>
                <w:rFonts w:hint="eastAsia" w:ascii="宋体" w:hAnsi="宋体" w:eastAsia="宋体" w:cs="宋体"/>
                <w:color w:val="auto"/>
                <w:spacing w:val="-8"/>
                <w:szCs w:val="21"/>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建立比较基础后单价（</w:t>
            </w:r>
            <w:r>
              <w:rPr>
                <w:rFonts w:hint="eastAsia" w:ascii="宋体" w:hAnsi="宋体" w:cs="宋体"/>
                <w:color w:val="auto"/>
                <w:sz w:val="21"/>
                <w:szCs w:val="21"/>
                <w:vertAlign w:val="baseline"/>
                <w:lang w:eastAsia="zh-CN"/>
              </w:rPr>
              <w:t>元</w:t>
            </w:r>
            <w:r>
              <w:rPr>
                <w:rFonts w:hint="eastAsia" w:ascii="宋体" w:hAnsi="宋体" w:cs="宋体"/>
                <w:color w:val="auto"/>
                <w:sz w:val="21"/>
                <w:szCs w:val="21"/>
                <w:vertAlign w:val="baseline"/>
                <w:lang w:val="en-US" w:eastAsia="zh-CN"/>
              </w:rPr>
              <w:t>/m</w:t>
            </w:r>
            <w:r>
              <w:rPr>
                <w:rFonts w:hint="eastAsia" w:ascii="宋体" w:hAnsi="宋体" w:cs="宋体"/>
                <w:color w:val="auto"/>
                <w:sz w:val="21"/>
                <w:szCs w:val="21"/>
                <w:vertAlign w:val="superscript"/>
                <w:lang w:val="en-US" w:eastAsia="zh-CN"/>
              </w:rPr>
              <w:t>2</w:t>
            </w:r>
            <w:r>
              <w:rPr>
                <w:rFonts w:hint="eastAsia" w:ascii="宋体" w:hAnsi="宋体" w:cs="宋体"/>
                <w:color w:val="auto"/>
                <w:sz w:val="21"/>
                <w:szCs w:val="21"/>
                <w:vertAlign w:val="baseline"/>
                <w:lang w:val="en-US" w:eastAsia="zh-CN"/>
              </w:rPr>
              <w:t>）</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11091</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9436</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9511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交易情况修正系数</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100/100</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100/100</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eastAsia="宋体" w:cs="宋体"/>
                <w:color w:val="auto"/>
                <w:sz w:val="21"/>
                <w:szCs w:val="21"/>
                <w:lang w:val="en-US" w:eastAsia="zh-CN"/>
              </w:rPr>
              <w:t>市场状况</w:t>
            </w:r>
            <w:r>
              <w:rPr>
                <w:rFonts w:hint="eastAsia" w:ascii="宋体" w:hAnsi="宋体" w:cs="宋体"/>
                <w:color w:val="auto"/>
                <w:sz w:val="21"/>
                <w:szCs w:val="21"/>
                <w:vertAlign w:val="baseline"/>
                <w:lang w:val="en-US" w:eastAsia="zh-CN"/>
              </w:rPr>
              <w:t>调整系数</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100/100</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100/100</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eastAsia="宋体" w:cs="宋体"/>
                <w:color w:val="auto"/>
                <w:sz w:val="21"/>
                <w:szCs w:val="21"/>
                <w:lang w:val="en-US" w:eastAsia="zh-CN"/>
              </w:rPr>
              <w:t>区位状况</w:t>
            </w:r>
            <w:r>
              <w:rPr>
                <w:rFonts w:hint="eastAsia" w:ascii="宋体" w:hAnsi="宋体" w:cs="宋体"/>
                <w:color w:val="auto"/>
                <w:sz w:val="21"/>
                <w:szCs w:val="21"/>
                <w:vertAlign w:val="baseline"/>
                <w:lang w:val="en-US" w:eastAsia="zh-CN"/>
              </w:rPr>
              <w:t>调整系数</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100/</w:t>
            </w:r>
            <w:r>
              <w:rPr>
                <w:rFonts w:hint="eastAsia" w:ascii="宋体" w:hAnsi="宋体" w:cs="宋体"/>
                <w:color w:val="auto"/>
                <w:sz w:val="21"/>
                <w:szCs w:val="21"/>
                <w:lang w:val="en-US" w:eastAsia="zh-CN"/>
              </w:rPr>
              <w:t>90</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100/</w:t>
            </w:r>
            <w:r>
              <w:rPr>
                <w:rFonts w:hint="eastAsia" w:ascii="宋体" w:hAnsi="宋体" w:cs="宋体"/>
                <w:color w:val="auto"/>
                <w:sz w:val="21"/>
                <w:szCs w:val="21"/>
                <w:lang w:val="en-US" w:eastAsia="zh-CN"/>
              </w:rPr>
              <w:t>90</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100/</w:t>
            </w:r>
            <w:r>
              <w:rPr>
                <w:rFonts w:hint="eastAsia" w:ascii="宋体" w:hAnsi="宋体" w:cs="宋体"/>
                <w:color w:val="auto"/>
                <w:sz w:val="21"/>
                <w:szCs w:val="21"/>
                <w:lang w:val="en-US" w:eastAsia="zh-CN"/>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eastAsia="宋体" w:cs="宋体"/>
                <w:color w:val="auto"/>
                <w:sz w:val="21"/>
                <w:szCs w:val="21"/>
                <w:lang w:val="en-US" w:eastAsia="zh-CN"/>
              </w:rPr>
              <w:t>实物状况</w:t>
            </w:r>
            <w:r>
              <w:rPr>
                <w:rFonts w:hint="eastAsia" w:ascii="宋体" w:hAnsi="宋体" w:cs="宋体"/>
                <w:color w:val="auto"/>
                <w:sz w:val="21"/>
                <w:szCs w:val="21"/>
                <w:vertAlign w:val="baseline"/>
                <w:lang w:val="en-US" w:eastAsia="zh-CN"/>
              </w:rPr>
              <w:t>调整系数</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100/</w:t>
            </w:r>
            <w:r>
              <w:rPr>
                <w:rFonts w:hint="eastAsia" w:ascii="宋体" w:hAnsi="宋体" w:cs="宋体"/>
                <w:color w:val="auto"/>
                <w:sz w:val="21"/>
                <w:szCs w:val="21"/>
                <w:lang w:val="en-US" w:eastAsia="zh-CN"/>
              </w:rPr>
              <w:t>97</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100/</w:t>
            </w:r>
            <w:r>
              <w:rPr>
                <w:rFonts w:hint="eastAsia" w:ascii="宋体" w:hAnsi="宋体" w:cs="宋体"/>
                <w:color w:val="auto"/>
                <w:sz w:val="21"/>
                <w:szCs w:val="21"/>
                <w:lang w:val="en-US" w:eastAsia="zh-CN"/>
              </w:rPr>
              <w:t>96</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100/</w:t>
            </w:r>
            <w:r>
              <w:rPr>
                <w:rFonts w:hint="eastAsia" w:ascii="宋体" w:hAnsi="宋体" w:cs="宋体"/>
                <w:color w:val="auto"/>
                <w:sz w:val="21"/>
                <w:szCs w:val="21"/>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eastAsia="宋体" w:cs="宋体"/>
                <w:color w:val="auto"/>
                <w:sz w:val="21"/>
                <w:szCs w:val="21"/>
                <w:lang w:val="en-US" w:eastAsia="zh-CN"/>
              </w:rPr>
              <w:t>权益状况</w:t>
            </w:r>
            <w:r>
              <w:rPr>
                <w:rFonts w:hint="eastAsia" w:ascii="宋体" w:hAnsi="宋体" w:cs="宋体"/>
                <w:color w:val="auto"/>
                <w:sz w:val="21"/>
                <w:szCs w:val="21"/>
                <w:vertAlign w:val="baseline"/>
                <w:lang w:val="en-US" w:eastAsia="zh-CN"/>
              </w:rPr>
              <w:t>调整系数</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100/100</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100/100</w:t>
            </w:r>
          </w:p>
        </w:tc>
        <w:tc>
          <w:tcPr>
            <w:tcW w:w="193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比较单价（</w:t>
            </w:r>
            <w:r>
              <w:rPr>
                <w:rFonts w:hint="eastAsia" w:ascii="宋体" w:hAnsi="宋体" w:cs="宋体"/>
                <w:color w:val="auto"/>
                <w:sz w:val="21"/>
                <w:szCs w:val="21"/>
                <w:vertAlign w:val="baseline"/>
                <w:lang w:eastAsia="zh-CN"/>
              </w:rPr>
              <w:t>元</w:t>
            </w:r>
            <w:r>
              <w:rPr>
                <w:rFonts w:hint="eastAsia" w:ascii="宋体" w:hAnsi="宋体" w:cs="宋体"/>
                <w:color w:val="auto"/>
                <w:sz w:val="21"/>
                <w:szCs w:val="21"/>
                <w:vertAlign w:val="baseline"/>
                <w:lang w:val="en-US" w:eastAsia="zh-CN"/>
              </w:rPr>
              <w:t>/m</w:t>
            </w:r>
            <w:r>
              <w:rPr>
                <w:rFonts w:hint="eastAsia" w:ascii="宋体" w:hAnsi="宋体" w:cs="宋体"/>
                <w:color w:val="auto"/>
                <w:sz w:val="21"/>
                <w:szCs w:val="21"/>
                <w:vertAlign w:val="superscript"/>
                <w:lang w:val="en-US" w:eastAsia="zh-CN"/>
              </w:rPr>
              <w:t>2</w:t>
            </w:r>
            <w:r>
              <w:rPr>
                <w:rFonts w:hint="eastAsia" w:ascii="宋体" w:hAnsi="宋体" w:cs="宋体"/>
                <w:color w:val="auto"/>
                <w:sz w:val="21"/>
                <w:szCs w:val="21"/>
                <w:vertAlign w:val="baseline"/>
                <w:lang w:val="en-US" w:eastAsia="zh-CN"/>
              </w:rPr>
              <w:t>）</w:t>
            </w:r>
          </w:p>
        </w:tc>
        <w:tc>
          <w:tcPr>
            <w:tcW w:w="19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12704</w:t>
            </w:r>
          </w:p>
        </w:tc>
        <w:tc>
          <w:tcPr>
            <w:tcW w:w="19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10921</w:t>
            </w:r>
          </w:p>
        </w:tc>
        <w:tc>
          <w:tcPr>
            <w:tcW w:w="19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11017</w:t>
            </w:r>
          </w:p>
        </w:tc>
      </w:tr>
    </w:tbl>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cs="宋体"/>
          <w:color w:val="auto"/>
          <w:sz w:val="24"/>
          <w:szCs w:val="24"/>
          <w:vertAlign w:val="superscript"/>
          <w:lang w:val="en-US" w:eastAsia="zh-CN"/>
        </w:rPr>
      </w:pPr>
      <w:r>
        <w:rPr>
          <w:rFonts w:hint="eastAsia" w:ascii="宋体" w:hAnsi="宋体" w:cs="宋体"/>
          <w:color w:val="auto"/>
          <w:sz w:val="24"/>
          <w:szCs w:val="24"/>
          <w:lang w:val="en-US" w:eastAsia="zh-CN"/>
        </w:rPr>
        <w:t>各可比实例的比较单价较接近， 故采用简单算术平均数求取估价对象的比较单价。则：估价对象比较单价=（12704+10921+11017）/3=11547元/m</w:t>
      </w:r>
      <w:r>
        <w:rPr>
          <w:rFonts w:hint="eastAsia" w:ascii="宋体" w:hAnsi="宋体" w:cs="宋体"/>
          <w:color w:val="auto"/>
          <w:sz w:val="24"/>
          <w:szCs w:val="24"/>
          <w:vertAlign w:val="superscript"/>
          <w:lang w:val="en-US" w:eastAsia="zh-CN"/>
        </w:rPr>
        <w:t>2</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cs="宋体"/>
          <w:color w:val="auto"/>
          <w:sz w:val="24"/>
          <w:szCs w:val="24"/>
          <w:lang w:val="zh-CN"/>
        </w:rPr>
      </w:pPr>
      <w:r>
        <w:rPr>
          <w:rFonts w:hint="eastAsia" w:ascii="宋体" w:hAnsi="宋体" w:cs="宋体"/>
          <w:color w:val="auto"/>
          <w:sz w:val="24"/>
          <w:szCs w:val="24"/>
          <w:lang w:val="en-US" w:eastAsia="zh-CN"/>
        </w:rPr>
        <w:t>（二）</w:t>
      </w:r>
      <w:r>
        <w:rPr>
          <w:rFonts w:hint="eastAsia" w:ascii="宋体" w:hAnsi="宋体" w:cs="宋体"/>
          <w:color w:val="auto"/>
          <w:sz w:val="24"/>
          <w:szCs w:val="24"/>
          <w:lang w:val="zh-CN"/>
        </w:rPr>
        <w:t>收益法测算过程</w:t>
      </w:r>
      <w:r>
        <w:rPr>
          <w:rFonts w:hint="eastAsia" w:ascii="宋体" w:hAnsi="宋体" w:cs="宋体"/>
          <w:color w:val="auto"/>
          <w:sz w:val="24"/>
          <w:szCs w:val="24"/>
          <w:lang w:val="zh-CN"/>
        </w:rPr>
        <w:tab/>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color w:val="000000"/>
          <w:sz w:val="24"/>
          <w:szCs w:val="24"/>
        </w:rPr>
      </w:pPr>
      <w:r>
        <w:rPr>
          <w:rFonts w:hint="eastAsia" w:ascii="宋体" w:hAnsi="宋体" w:cs="宋体"/>
          <w:color w:val="000000"/>
          <w:sz w:val="24"/>
          <w:szCs w:val="24"/>
        </w:rPr>
        <w:t>收益法，是预测估价对象的未来收益，利用报酬率或资本化率、收益乘数将未来收益转换为价值得到估价对象价值或价格的方法；</w:t>
      </w:r>
    </w:p>
    <w:p>
      <w:pPr>
        <w:keepNext w:val="0"/>
        <w:keepLines w:val="0"/>
        <w:pageBreakBefore w:val="0"/>
        <w:widowControl w:val="0"/>
        <w:numPr>
          <w:ilvl w:val="0"/>
          <w:numId w:val="13"/>
        </w:numPr>
        <w:kinsoku/>
        <w:wordWrap/>
        <w:overflowPunct/>
        <w:topLinePunct w:val="0"/>
        <w:autoSpaceDE/>
        <w:autoSpaceDN/>
        <w:bidi w:val="0"/>
        <w:adjustRightInd/>
        <w:snapToGrid/>
        <w:spacing w:line="440" w:lineRule="exact"/>
        <w:ind w:firstLine="480"/>
        <w:jc w:val="left"/>
        <w:textAlignment w:val="auto"/>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市场租金水平</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240" w:firstLineChars="100"/>
        <w:jc w:val="left"/>
        <w:textAlignment w:val="auto"/>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（1）市场租金可比实例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估价人员通过市场调查，选择了与估价对象区位相当的以下三个可比实例，</w:t>
      </w:r>
      <w:r>
        <w:rPr>
          <w:rFonts w:hint="eastAsia" w:ascii="宋体" w:hAnsi="宋体" w:cs="宋体"/>
          <w:color w:val="000000"/>
          <w:sz w:val="24"/>
          <w:szCs w:val="24"/>
        </w:rPr>
        <w:t>具体情况如下</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 xml:space="preserve">                   </w:t>
      </w:r>
    </w:p>
    <w:p>
      <w:pPr>
        <w:keepNext w:val="0"/>
        <w:keepLines w:val="0"/>
        <w:pageBreakBefore w:val="0"/>
        <w:kinsoku/>
        <w:wordWrap/>
        <w:overflowPunct/>
        <w:topLinePunct w:val="0"/>
        <w:autoSpaceDE/>
        <w:autoSpaceDN/>
        <w:bidi w:val="0"/>
        <w:adjustRightInd/>
        <w:snapToGrid/>
        <w:spacing w:line="440" w:lineRule="exact"/>
        <w:jc w:val="right"/>
        <w:textAlignment w:val="auto"/>
        <w:rPr>
          <w:rFonts w:hint="default" w:ascii="宋体" w:hAnsi="宋体" w:eastAsia="宋体" w:cs="宋体"/>
          <w:color w:val="000000"/>
          <w:sz w:val="24"/>
          <w:szCs w:val="24"/>
          <w:lang w:val="en-US" w:eastAsia="zh-CN"/>
        </w:rPr>
      </w:pPr>
      <w:r>
        <w:rPr>
          <w:rFonts w:hint="eastAsia" w:ascii="宋体" w:hAnsi="宋体" w:cs="宋体"/>
          <w:color w:val="000000"/>
          <w:sz w:val="24"/>
          <w:szCs w:val="24"/>
          <w:lang w:eastAsia="zh-CN"/>
        </w:rPr>
        <w:t>可比实例与估价对象对照表</w:t>
      </w:r>
      <w:r>
        <w:rPr>
          <w:rFonts w:hint="eastAsia" w:ascii="宋体" w:hAnsi="宋体" w:cs="宋体"/>
          <w:color w:val="000000"/>
          <w:sz w:val="24"/>
          <w:szCs w:val="24"/>
          <w:lang w:val="en-US" w:eastAsia="zh-CN"/>
        </w:rPr>
        <w:t xml:space="preserve">                      </w:t>
      </w:r>
      <w:r>
        <w:rPr>
          <w:rFonts w:hint="eastAsia" w:ascii="宋体" w:hAnsi="宋体" w:cs="宋体"/>
          <w:color w:val="000000"/>
          <w:sz w:val="24"/>
          <w:szCs w:val="24"/>
          <w:lang w:eastAsia="zh-CN"/>
        </w:rPr>
        <w:t>技表</w:t>
      </w:r>
      <w:r>
        <w:rPr>
          <w:rFonts w:hint="eastAsia" w:ascii="宋体" w:hAnsi="宋体" w:cs="宋体"/>
          <w:color w:val="000000"/>
          <w:sz w:val="24"/>
          <w:szCs w:val="24"/>
          <w:lang w:val="en-US" w:eastAsia="zh-CN"/>
        </w:rPr>
        <w:t>16</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3"/>
        <w:gridCol w:w="1658"/>
        <w:gridCol w:w="1681"/>
        <w:gridCol w:w="1686"/>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2493"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项目</w:t>
            </w:r>
            <w:r>
              <w:rPr>
                <w:rFonts w:hint="eastAsia" w:ascii="宋体" w:hAnsi="宋体" w:eastAsia="宋体" w:cs="宋体"/>
                <w:color w:val="000000"/>
                <w:sz w:val="21"/>
                <w:szCs w:val="21"/>
                <w:lang w:eastAsia="zh-CN"/>
              </w:rPr>
              <w:t>名称</w:t>
            </w:r>
          </w:p>
        </w:tc>
        <w:tc>
          <w:tcPr>
            <w:tcW w:w="165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000000"/>
                <w:spacing w:val="-6"/>
                <w:sz w:val="21"/>
                <w:szCs w:val="21"/>
                <w:lang w:val="en-US" w:eastAsia="zh-CN"/>
              </w:rPr>
            </w:pPr>
            <w:r>
              <w:rPr>
                <w:rFonts w:hint="eastAsia" w:ascii="宋体" w:hAnsi="宋体" w:eastAsia="宋体" w:cs="宋体"/>
                <w:color w:val="000000"/>
                <w:kern w:val="0"/>
                <w:sz w:val="21"/>
                <w:szCs w:val="21"/>
              </w:rPr>
              <w:t>估价对象:</w:t>
            </w:r>
            <w:r>
              <w:rPr>
                <w:rFonts w:hint="eastAsia" w:ascii="宋体" w:hAnsi="宋体" w:eastAsia="宋体" w:cs="宋体"/>
                <w:color w:val="000000"/>
                <w:sz w:val="21"/>
                <w:szCs w:val="21"/>
                <w:lang w:eastAsia="zh-CN"/>
              </w:rPr>
              <w:t>（小洋</w:t>
            </w:r>
            <w:r>
              <w:rPr>
                <w:rFonts w:hint="eastAsia" w:ascii="宋体" w:hAnsi="宋体" w:cs="宋体"/>
                <w:color w:val="000000"/>
                <w:sz w:val="21"/>
                <w:szCs w:val="21"/>
                <w:lang w:val="en-US" w:eastAsia="zh-CN"/>
              </w:rPr>
              <w:t>祥和家苑</w:t>
            </w:r>
            <w:r>
              <w:rPr>
                <w:rFonts w:hint="eastAsia" w:ascii="宋体" w:hAnsi="宋体" w:eastAsia="宋体" w:cs="宋体"/>
                <w:color w:val="000000"/>
                <w:sz w:val="21"/>
                <w:szCs w:val="21"/>
                <w:lang w:eastAsia="zh-CN"/>
              </w:rPr>
              <w:t>）</w:t>
            </w:r>
            <w:r>
              <w:rPr>
                <w:rFonts w:hint="eastAsia" w:ascii="宋体" w:hAnsi="宋体" w:cs="宋体"/>
                <w:color w:val="000000"/>
                <w:sz w:val="21"/>
                <w:szCs w:val="21"/>
                <w:lang w:val="en-US" w:eastAsia="zh-CN"/>
              </w:rPr>
              <w:t>2</w:t>
            </w:r>
            <w:r>
              <w:rPr>
                <w:rFonts w:hint="eastAsia" w:ascii="宋体" w:hAnsi="宋体" w:eastAsia="宋体" w:cs="宋体"/>
                <w:color w:val="000000"/>
                <w:sz w:val="21"/>
                <w:szCs w:val="21"/>
                <w:lang w:eastAsia="zh-CN"/>
              </w:rPr>
              <w:t>幢</w:t>
            </w:r>
            <w:r>
              <w:rPr>
                <w:rFonts w:hint="eastAsia" w:ascii="宋体" w:hAnsi="宋体" w:cs="宋体"/>
                <w:color w:val="000000"/>
                <w:sz w:val="21"/>
                <w:szCs w:val="21"/>
                <w:lang w:val="en-US" w:eastAsia="zh-CN"/>
              </w:rPr>
              <w:t>2801</w:t>
            </w:r>
            <w:r>
              <w:rPr>
                <w:rFonts w:hint="eastAsia" w:ascii="宋体" w:hAnsi="宋体" w:eastAsia="宋体" w:cs="宋体"/>
                <w:color w:val="000000"/>
                <w:sz w:val="21"/>
                <w:szCs w:val="21"/>
                <w:lang w:eastAsia="zh-CN"/>
              </w:rPr>
              <w:t>室住宅</w:t>
            </w:r>
          </w:p>
        </w:tc>
        <w:tc>
          <w:tcPr>
            <w:tcW w:w="1681" w:type="dxa"/>
            <w:noWrap w:val="0"/>
            <w:vAlign w:val="center"/>
          </w:tcPr>
          <w:p>
            <w:pPr>
              <w:spacing w:line="420" w:lineRule="exact"/>
              <w:jc w:val="center"/>
              <w:rPr>
                <w:rFonts w:hint="default" w:ascii="宋体" w:hAnsi="宋体" w:cs="宋体"/>
                <w:color w:val="000000"/>
                <w:kern w:val="2"/>
                <w:sz w:val="24"/>
                <w:szCs w:val="24"/>
                <w:lang w:val="en-US" w:eastAsia="zh-CN" w:bidi="ar-SA"/>
              </w:rPr>
            </w:pPr>
            <w:r>
              <w:rPr>
                <w:rFonts w:hint="eastAsia" w:ascii="宋体" w:hAnsi="宋体" w:cs="宋体"/>
                <w:color w:val="000000"/>
                <w:szCs w:val="21"/>
              </w:rPr>
              <w:t>实例A</w:t>
            </w:r>
            <w:r>
              <w:rPr>
                <w:rFonts w:hint="eastAsia" w:ascii="宋体" w:hAnsi="宋体" w:cs="宋体"/>
                <w:color w:val="000000"/>
                <w:kern w:val="0"/>
              </w:rPr>
              <w:t>:建发·龙郡9幢22层2202室</w:t>
            </w:r>
          </w:p>
        </w:tc>
        <w:tc>
          <w:tcPr>
            <w:tcW w:w="1686" w:type="dxa"/>
            <w:noWrap w:val="0"/>
            <w:vAlign w:val="center"/>
          </w:tcPr>
          <w:p>
            <w:pPr>
              <w:spacing w:line="420" w:lineRule="exact"/>
              <w:jc w:val="center"/>
              <w:rPr>
                <w:rFonts w:hint="default" w:ascii="宋体" w:hAnsi="宋体" w:cs="宋体"/>
                <w:color w:val="000000"/>
                <w:kern w:val="2"/>
                <w:sz w:val="24"/>
                <w:szCs w:val="24"/>
                <w:lang w:val="en-US" w:eastAsia="zh-CN" w:bidi="ar-SA"/>
              </w:rPr>
            </w:pPr>
            <w:r>
              <w:rPr>
                <w:rFonts w:hint="eastAsia" w:ascii="宋体" w:hAnsi="宋体" w:cs="宋体"/>
                <w:color w:val="000000"/>
                <w:szCs w:val="21"/>
              </w:rPr>
              <w:t>实例</w:t>
            </w:r>
            <w:r>
              <w:rPr>
                <w:rFonts w:hint="eastAsia" w:ascii="宋体" w:hAnsi="宋体" w:cs="宋体"/>
                <w:color w:val="000000"/>
                <w:spacing w:val="-6"/>
                <w:szCs w:val="21"/>
              </w:rPr>
              <w:t>B</w:t>
            </w:r>
            <w:r>
              <w:rPr>
                <w:rFonts w:hint="eastAsia" w:ascii="宋体" w:hAnsi="宋体" w:cs="宋体"/>
                <w:color w:val="000000"/>
                <w:kern w:val="0"/>
              </w:rPr>
              <w:t>:建发·龙郡20幢8层805室</w:t>
            </w:r>
          </w:p>
        </w:tc>
        <w:tc>
          <w:tcPr>
            <w:tcW w:w="1718" w:type="dxa"/>
            <w:noWrap w:val="0"/>
            <w:vAlign w:val="center"/>
          </w:tcPr>
          <w:p>
            <w:pPr>
              <w:spacing w:line="420" w:lineRule="exact"/>
              <w:jc w:val="center"/>
              <w:rPr>
                <w:rFonts w:hint="default" w:ascii="宋体" w:hAnsi="宋体" w:cs="宋体"/>
                <w:color w:val="000000"/>
                <w:kern w:val="2"/>
                <w:sz w:val="24"/>
                <w:szCs w:val="24"/>
                <w:lang w:val="en-US" w:eastAsia="zh-CN" w:bidi="ar-SA"/>
              </w:rPr>
            </w:pPr>
            <w:r>
              <w:rPr>
                <w:rFonts w:hint="eastAsia" w:ascii="宋体" w:hAnsi="宋体" w:cs="宋体"/>
                <w:color w:val="000000"/>
                <w:szCs w:val="21"/>
              </w:rPr>
              <w:t>实例C</w:t>
            </w:r>
            <w:r>
              <w:rPr>
                <w:rFonts w:hint="eastAsia" w:ascii="宋体" w:hAnsi="宋体" w:cs="宋体"/>
                <w:color w:val="000000"/>
                <w:kern w:val="0"/>
              </w:rPr>
              <w:t>:建发·龙郡12幢32层3202室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2493" w:type="dxa"/>
            <w:noWrap w:val="0"/>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租金单价（元/（m</w:t>
            </w:r>
            <w:r>
              <w:rPr>
                <w:rFonts w:hint="eastAsia" w:ascii="宋体" w:hAnsi="宋体" w:eastAsia="宋体" w:cs="宋体"/>
                <w:color w:val="000000"/>
                <w:sz w:val="21"/>
                <w:szCs w:val="21"/>
                <w:vertAlign w:val="superscript"/>
              </w:rPr>
              <w:t>2</w:t>
            </w:r>
            <w:r>
              <w:rPr>
                <w:rFonts w:hint="eastAsia" w:ascii="宋体" w:hAnsi="宋体" w:eastAsia="宋体" w:cs="宋体"/>
                <w:color w:val="000000"/>
                <w:sz w:val="21"/>
                <w:szCs w:val="21"/>
              </w:rPr>
              <w:t>·月））</w:t>
            </w:r>
          </w:p>
        </w:tc>
        <w:tc>
          <w:tcPr>
            <w:tcW w:w="165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待估</w:t>
            </w:r>
          </w:p>
        </w:tc>
        <w:tc>
          <w:tcPr>
            <w:tcW w:w="1681" w:type="dxa"/>
            <w:noWrap w:val="0"/>
            <w:vAlign w:val="top"/>
          </w:tcPr>
          <w:p>
            <w:pPr>
              <w:spacing w:line="420" w:lineRule="exac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21</w:t>
            </w:r>
          </w:p>
        </w:tc>
        <w:tc>
          <w:tcPr>
            <w:tcW w:w="1686" w:type="dxa"/>
            <w:noWrap w:val="0"/>
            <w:vAlign w:val="top"/>
          </w:tcPr>
          <w:p>
            <w:pPr>
              <w:spacing w:line="420" w:lineRule="exac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19</w:t>
            </w:r>
          </w:p>
        </w:tc>
        <w:tc>
          <w:tcPr>
            <w:tcW w:w="1718" w:type="dxa"/>
            <w:noWrap w:val="0"/>
            <w:vAlign w:val="top"/>
          </w:tcPr>
          <w:p>
            <w:pPr>
              <w:spacing w:line="420" w:lineRule="exac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2493"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用途</w:t>
            </w:r>
          </w:p>
        </w:tc>
        <w:tc>
          <w:tcPr>
            <w:tcW w:w="165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住宅</w:t>
            </w:r>
          </w:p>
        </w:tc>
        <w:tc>
          <w:tcPr>
            <w:tcW w:w="168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住宅</w:t>
            </w:r>
          </w:p>
        </w:tc>
        <w:tc>
          <w:tcPr>
            <w:tcW w:w="1686"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住宅</w:t>
            </w:r>
          </w:p>
        </w:tc>
        <w:tc>
          <w:tcPr>
            <w:tcW w:w="171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2493"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层次</w:t>
            </w:r>
          </w:p>
        </w:tc>
        <w:tc>
          <w:tcPr>
            <w:tcW w:w="165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28</w:t>
            </w:r>
            <w:r>
              <w:rPr>
                <w:rFonts w:hint="eastAsia" w:ascii="宋体" w:hAnsi="宋体" w:eastAsia="宋体" w:cs="宋体"/>
                <w:color w:val="000000"/>
                <w:sz w:val="21"/>
                <w:szCs w:val="21"/>
                <w:lang w:val="en-US" w:eastAsia="zh-CN"/>
              </w:rPr>
              <w:t>/</w:t>
            </w:r>
            <w:r>
              <w:rPr>
                <w:rFonts w:hint="eastAsia" w:ascii="宋体" w:hAnsi="宋体" w:cs="宋体"/>
                <w:color w:val="000000"/>
                <w:sz w:val="21"/>
                <w:szCs w:val="21"/>
                <w:lang w:val="en-US" w:eastAsia="zh-CN"/>
              </w:rPr>
              <w:t>31</w:t>
            </w:r>
          </w:p>
        </w:tc>
        <w:tc>
          <w:tcPr>
            <w:tcW w:w="1681" w:type="dxa"/>
            <w:noWrap w:val="0"/>
            <w:vAlign w:val="center"/>
          </w:tcPr>
          <w:p>
            <w:pPr>
              <w:spacing w:line="420" w:lineRule="exact"/>
              <w:jc w:val="center"/>
              <w:rPr>
                <w:rFonts w:hint="default" w:ascii="宋体" w:hAnsi="宋体" w:eastAsia="宋体" w:cs="宋体"/>
                <w:color w:val="000000"/>
                <w:sz w:val="21"/>
                <w:szCs w:val="21"/>
                <w:lang w:val="en-US" w:eastAsia="zh-CN"/>
              </w:rPr>
            </w:pPr>
            <w:r>
              <w:rPr>
                <w:rFonts w:hint="eastAsia" w:ascii="宋体" w:hAnsi="宋体" w:cs="宋体"/>
                <w:color w:val="000000"/>
                <w:szCs w:val="21"/>
              </w:rPr>
              <w:t>22/38</w:t>
            </w:r>
          </w:p>
        </w:tc>
        <w:tc>
          <w:tcPr>
            <w:tcW w:w="1686" w:type="dxa"/>
            <w:noWrap w:val="0"/>
            <w:vAlign w:val="center"/>
          </w:tcPr>
          <w:p>
            <w:pPr>
              <w:spacing w:line="420" w:lineRule="exact"/>
              <w:jc w:val="center"/>
              <w:rPr>
                <w:rFonts w:hint="default" w:ascii="宋体" w:hAnsi="宋体" w:eastAsia="宋体" w:cs="宋体"/>
                <w:color w:val="000000"/>
                <w:sz w:val="21"/>
                <w:szCs w:val="21"/>
                <w:lang w:val="en-US" w:eastAsia="zh-CN"/>
              </w:rPr>
            </w:pPr>
            <w:r>
              <w:rPr>
                <w:rFonts w:hint="eastAsia" w:ascii="宋体" w:hAnsi="宋体" w:cs="宋体"/>
                <w:color w:val="000000"/>
                <w:szCs w:val="21"/>
              </w:rPr>
              <w:t>8/32</w:t>
            </w:r>
          </w:p>
        </w:tc>
        <w:tc>
          <w:tcPr>
            <w:tcW w:w="1718" w:type="dxa"/>
            <w:noWrap w:val="0"/>
            <w:vAlign w:val="center"/>
          </w:tcPr>
          <w:p>
            <w:pPr>
              <w:spacing w:line="420" w:lineRule="exact"/>
              <w:jc w:val="center"/>
              <w:rPr>
                <w:rFonts w:hint="default" w:ascii="宋体" w:hAnsi="宋体" w:eastAsia="宋体" w:cs="宋体"/>
                <w:color w:val="000000"/>
                <w:sz w:val="21"/>
                <w:szCs w:val="21"/>
                <w:lang w:val="en-US" w:eastAsia="zh-CN"/>
              </w:rPr>
            </w:pPr>
            <w:r>
              <w:rPr>
                <w:rFonts w:hint="eastAsia" w:ascii="宋体" w:hAnsi="宋体" w:cs="宋体"/>
                <w:color w:val="000000"/>
                <w:szCs w:val="21"/>
              </w:rPr>
              <w:t>32/32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2493"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建筑规模</w:t>
            </w:r>
          </w:p>
        </w:tc>
        <w:tc>
          <w:tcPr>
            <w:tcW w:w="165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106.49</w:t>
            </w:r>
            <w:r>
              <w:rPr>
                <w:rFonts w:hint="eastAsia" w:ascii="宋体" w:hAnsi="宋体" w:cs="宋体"/>
                <w:color w:val="000000"/>
                <w:szCs w:val="21"/>
              </w:rPr>
              <w:t>m</w:t>
            </w:r>
            <w:r>
              <w:rPr>
                <w:rFonts w:hint="eastAsia" w:ascii="宋体" w:hAnsi="宋体" w:cs="宋体"/>
                <w:color w:val="000000"/>
                <w:szCs w:val="21"/>
                <w:vertAlign w:val="superscript"/>
              </w:rPr>
              <w:t>2</w:t>
            </w:r>
          </w:p>
        </w:tc>
        <w:tc>
          <w:tcPr>
            <w:tcW w:w="1681" w:type="dxa"/>
            <w:noWrap w:val="0"/>
            <w:vAlign w:val="center"/>
          </w:tcPr>
          <w:p>
            <w:pPr>
              <w:spacing w:line="420" w:lineRule="exact"/>
              <w:jc w:val="center"/>
              <w:rPr>
                <w:rFonts w:hint="default" w:ascii="宋体" w:hAnsi="宋体" w:cs="宋体"/>
                <w:color w:val="000000"/>
                <w:kern w:val="2"/>
                <w:sz w:val="21"/>
                <w:szCs w:val="21"/>
                <w:lang w:val="en-US" w:eastAsia="zh-CN" w:bidi="ar-SA"/>
              </w:rPr>
            </w:pPr>
            <w:r>
              <w:rPr>
                <w:rFonts w:hint="eastAsia" w:ascii="宋体" w:hAnsi="宋体" w:cs="宋体"/>
                <w:color w:val="000000"/>
                <w:szCs w:val="21"/>
                <w:lang w:eastAsia="zh-CN"/>
              </w:rPr>
              <w:t>约</w:t>
            </w:r>
            <w:r>
              <w:rPr>
                <w:rFonts w:hint="eastAsia" w:ascii="宋体" w:hAnsi="宋体" w:cs="宋体"/>
                <w:color w:val="000000"/>
                <w:szCs w:val="21"/>
              </w:rPr>
              <w:t>87m</w:t>
            </w:r>
            <w:r>
              <w:rPr>
                <w:rFonts w:hint="eastAsia" w:ascii="宋体" w:hAnsi="宋体" w:cs="宋体"/>
                <w:color w:val="000000"/>
                <w:szCs w:val="21"/>
                <w:vertAlign w:val="superscript"/>
              </w:rPr>
              <w:t>2</w:t>
            </w:r>
          </w:p>
        </w:tc>
        <w:tc>
          <w:tcPr>
            <w:tcW w:w="1686" w:type="dxa"/>
            <w:noWrap w:val="0"/>
            <w:vAlign w:val="center"/>
          </w:tcPr>
          <w:p>
            <w:pPr>
              <w:spacing w:line="420" w:lineRule="exact"/>
              <w:jc w:val="center"/>
              <w:rPr>
                <w:rFonts w:hint="default" w:ascii="宋体" w:hAnsi="宋体" w:cs="宋体"/>
                <w:color w:val="000000"/>
                <w:kern w:val="2"/>
                <w:sz w:val="21"/>
                <w:szCs w:val="21"/>
                <w:lang w:val="en-US" w:eastAsia="zh-CN" w:bidi="ar-SA"/>
              </w:rPr>
            </w:pPr>
            <w:r>
              <w:rPr>
                <w:rFonts w:hint="eastAsia" w:ascii="宋体" w:hAnsi="宋体" w:cs="宋体"/>
                <w:color w:val="000000"/>
                <w:szCs w:val="21"/>
                <w:lang w:eastAsia="zh-CN"/>
              </w:rPr>
              <w:t>约</w:t>
            </w:r>
            <w:r>
              <w:rPr>
                <w:rFonts w:hint="eastAsia" w:ascii="宋体" w:hAnsi="宋体" w:cs="宋体"/>
                <w:color w:val="000000"/>
                <w:szCs w:val="21"/>
              </w:rPr>
              <w:t>121m</w:t>
            </w:r>
            <w:r>
              <w:rPr>
                <w:rFonts w:hint="eastAsia" w:ascii="宋体" w:hAnsi="宋体" w:cs="宋体"/>
                <w:color w:val="000000"/>
                <w:szCs w:val="21"/>
                <w:vertAlign w:val="superscript"/>
              </w:rPr>
              <w:t>2</w:t>
            </w:r>
          </w:p>
        </w:tc>
        <w:tc>
          <w:tcPr>
            <w:tcW w:w="1718" w:type="dxa"/>
            <w:noWrap w:val="0"/>
            <w:vAlign w:val="center"/>
          </w:tcPr>
          <w:p>
            <w:pPr>
              <w:spacing w:line="420" w:lineRule="exact"/>
              <w:jc w:val="center"/>
              <w:rPr>
                <w:rFonts w:hint="default" w:ascii="宋体" w:hAnsi="宋体" w:cs="宋体"/>
                <w:color w:val="000000"/>
                <w:kern w:val="2"/>
                <w:sz w:val="21"/>
                <w:szCs w:val="21"/>
                <w:lang w:val="en-US" w:eastAsia="zh-CN" w:bidi="ar-SA"/>
              </w:rPr>
            </w:pPr>
            <w:r>
              <w:rPr>
                <w:rFonts w:hint="eastAsia" w:ascii="宋体" w:hAnsi="宋体" w:cs="宋体"/>
                <w:color w:val="000000"/>
                <w:szCs w:val="21"/>
                <w:lang w:eastAsia="zh-CN"/>
              </w:rPr>
              <w:t>约</w:t>
            </w:r>
            <w:r>
              <w:rPr>
                <w:rFonts w:hint="eastAsia" w:ascii="宋体" w:hAnsi="宋体" w:cs="宋体"/>
                <w:color w:val="000000"/>
                <w:szCs w:val="21"/>
              </w:rPr>
              <w:t>93m</w:t>
            </w:r>
            <w:r>
              <w:rPr>
                <w:rFonts w:hint="eastAsia" w:ascii="宋体" w:hAnsi="宋体" w:cs="宋体"/>
                <w:color w:val="000000"/>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2493"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层高</w:t>
            </w:r>
          </w:p>
        </w:tc>
        <w:tc>
          <w:tcPr>
            <w:tcW w:w="165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约2.9米</w:t>
            </w:r>
          </w:p>
        </w:tc>
        <w:tc>
          <w:tcPr>
            <w:tcW w:w="168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约2.9米</w:t>
            </w:r>
          </w:p>
        </w:tc>
        <w:tc>
          <w:tcPr>
            <w:tcW w:w="1686"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约2.9米</w:t>
            </w:r>
          </w:p>
        </w:tc>
        <w:tc>
          <w:tcPr>
            <w:tcW w:w="171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约2.9米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2493"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建筑结构</w:t>
            </w:r>
          </w:p>
        </w:tc>
        <w:tc>
          <w:tcPr>
            <w:tcW w:w="165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钢混</w:t>
            </w:r>
          </w:p>
        </w:tc>
        <w:tc>
          <w:tcPr>
            <w:tcW w:w="168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钢混</w:t>
            </w:r>
          </w:p>
        </w:tc>
        <w:tc>
          <w:tcPr>
            <w:tcW w:w="1686"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钢混</w:t>
            </w:r>
          </w:p>
        </w:tc>
        <w:tc>
          <w:tcPr>
            <w:tcW w:w="171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钢混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2493" w:type="dxa"/>
            <w:noWrap w:val="0"/>
            <w:vAlign w:val="top"/>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平面布局</w:t>
            </w:r>
          </w:p>
        </w:tc>
        <w:tc>
          <w:tcPr>
            <w:tcW w:w="165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平层</w:t>
            </w:r>
          </w:p>
        </w:tc>
        <w:tc>
          <w:tcPr>
            <w:tcW w:w="168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平层</w:t>
            </w:r>
          </w:p>
        </w:tc>
        <w:tc>
          <w:tcPr>
            <w:tcW w:w="1686"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平层</w:t>
            </w:r>
          </w:p>
        </w:tc>
        <w:tc>
          <w:tcPr>
            <w:tcW w:w="1718"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平层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93"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朝向</w:t>
            </w:r>
          </w:p>
        </w:tc>
        <w:tc>
          <w:tcPr>
            <w:tcW w:w="1658"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lang w:eastAsia="zh-CN"/>
              </w:rPr>
            </w:pPr>
            <w:r>
              <w:rPr>
                <w:rFonts w:hint="eastAsia" w:ascii="宋体" w:hAnsi="宋体" w:cs="宋体"/>
                <w:color w:val="000000"/>
                <w:sz w:val="21"/>
                <w:szCs w:val="21"/>
                <w:lang w:val="en-US" w:eastAsia="zh-CN"/>
              </w:rPr>
              <w:t>南北朝向</w:t>
            </w:r>
            <w:r>
              <w:rPr>
                <w:rFonts w:hint="eastAsia" w:ascii="宋体" w:hAnsi="宋体" w:eastAsia="宋体" w:cs="宋体"/>
                <w:color w:val="000000"/>
                <w:sz w:val="21"/>
                <w:szCs w:val="21"/>
                <w:lang w:eastAsia="zh-CN"/>
              </w:rPr>
              <w:t>，</w:t>
            </w:r>
            <w:r>
              <w:rPr>
                <w:rFonts w:hint="eastAsia" w:ascii="宋体" w:hAnsi="宋体" w:cs="宋体"/>
                <w:color w:val="000000"/>
                <w:sz w:val="21"/>
                <w:szCs w:val="21"/>
                <w:lang w:val="en-US" w:eastAsia="zh-CN"/>
              </w:rPr>
              <w:t>三</w:t>
            </w:r>
            <w:r>
              <w:rPr>
                <w:rFonts w:hint="eastAsia" w:ascii="宋体" w:hAnsi="宋体" w:eastAsia="宋体" w:cs="宋体"/>
                <w:color w:val="000000"/>
                <w:sz w:val="21"/>
                <w:szCs w:val="21"/>
                <w:lang w:eastAsia="zh-CN"/>
              </w:rPr>
              <w:t>面采光，通风良好</w:t>
            </w:r>
          </w:p>
        </w:tc>
        <w:tc>
          <w:tcPr>
            <w:tcW w:w="1681" w:type="dxa"/>
            <w:noWrap w:val="0"/>
            <w:vAlign w:val="center"/>
          </w:tcPr>
          <w:p>
            <w:pPr>
              <w:spacing w:line="240" w:lineRule="auto"/>
              <w:jc w:val="center"/>
              <w:rPr>
                <w:rFonts w:hint="eastAsia" w:ascii="宋体" w:hAnsi="宋体" w:cs="宋体"/>
                <w:color w:val="000000"/>
                <w:kern w:val="2"/>
                <w:sz w:val="21"/>
                <w:szCs w:val="21"/>
                <w:lang w:val="en-US" w:eastAsia="zh-CN" w:bidi="ar-SA"/>
              </w:rPr>
            </w:pPr>
            <w:r>
              <w:rPr>
                <w:rFonts w:hint="eastAsia" w:ascii="宋体" w:hAnsi="宋体" w:eastAsia="宋体" w:cs="宋体"/>
                <w:color w:val="000000"/>
                <w:sz w:val="21"/>
                <w:szCs w:val="21"/>
                <w:lang w:eastAsia="zh-CN"/>
              </w:rPr>
              <w:t>南北朝向，两面采光，通风良好</w:t>
            </w:r>
          </w:p>
        </w:tc>
        <w:tc>
          <w:tcPr>
            <w:tcW w:w="1686" w:type="dxa"/>
            <w:noWrap w:val="0"/>
            <w:vAlign w:val="center"/>
          </w:tcPr>
          <w:p>
            <w:pPr>
              <w:spacing w:line="240" w:lineRule="auto"/>
              <w:jc w:val="center"/>
              <w:rPr>
                <w:rFonts w:hint="eastAsia" w:ascii="宋体" w:hAnsi="宋体" w:cs="宋体"/>
                <w:color w:val="000000"/>
                <w:kern w:val="2"/>
                <w:sz w:val="21"/>
                <w:szCs w:val="21"/>
                <w:lang w:val="en-US" w:eastAsia="zh-CN" w:bidi="ar-SA"/>
              </w:rPr>
            </w:pPr>
            <w:r>
              <w:rPr>
                <w:rFonts w:hint="eastAsia" w:ascii="宋体" w:hAnsi="宋体" w:eastAsia="宋体" w:cs="宋体"/>
                <w:color w:val="000000"/>
                <w:sz w:val="21"/>
                <w:szCs w:val="21"/>
                <w:lang w:eastAsia="zh-CN"/>
              </w:rPr>
              <w:t>南北朝向，两面采光，通风良好</w:t>
            </w:r>
          </w:p>
        </w:tc>
        <w:tc>
          <w:tcPr>
            <w:tcW w:w="1718" w:type="dxa"/>
            <w:noWrap w:val="0"/>
            <w:vAlign w:val="center"/>
          </w:tcPr>
          <w:p>
            <w:pPr>
              <w:spacing w:line="240" w:lineRule="auto"/>
              <w:jc w:val="center"/>
              <w:rPr>
                <w:rFonts w:hint="eastAsia" w:ascii="宋体" w:hAnsi="宋体" w:cs="宋体"/>
                <w:color w:val="000000"/>
                <w:kern w:val="2"/>
                <w:sz w:val="21"/>
                <w:szCs w:val="21"/>
                <w:lang w:val="en-US" w:eastAsia="zh-CN" w:bidi="ar-SA"/>
              </w:rPr>
            </w:pPr>
            <w:r>
              <w:rPr>
                <w:rFonts w:hint="eastAsia" w:ascii="宋体" w:hAnsi="宋体" w:eastAsia="宋体" w:cs="宋体"/>
                <w:color w:val="000000"/>
                <w:sz w:val="21"/>
                <w:szCs w:val="21"/>
                <w:lang w:eastAsia="zh-CN"/>
              </w:rPr>
              <w:t>南北朝向，两面采光，通风良好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249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室内装修</w:t>
            </w:r>
          </w:p>
        </w:tc>
        <w:tc>
          <w:tcPr>
            <w:tcW w:w="165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毛坯</w:t>
            </w:r>
          </w:p>
        </w:tc>
        <w:tc>
          <w:tcPr>
            <w:tcW w:w="16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普通</w:t>
            </w:r>
          </w:p>
        </w:tc>
        <w:tc>
          <w:tcPr>
            <w:tcW w:w="168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普通</w:t>
            </w:r>
          </w:p>
        </w:tc>
        <w:tc>
          <w:tcPr>
            <w:tcW w:w="171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普通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2493"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室内设备</w:t>
            </w:r>
          </w:p>
        </w:tc>
        <w:tc>
          <w:tcPr>
            <w:tcW w:w="165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不计</w:t>
            </w:r>
          </w:p>
        </w:tc>
        <w:tc>
          <w:tcPr>
            <w:tcW w:w="168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齐全</w:t>
            </w:r>
          </w:p>
        </w:tc>
        <w:tc>
          <w:tcPr>
            <w:tcW w:w="168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齐全</w:t>
            </w:r>
          </w:p>
        </w:tc>
        <w:tc>
          <w:tcPr>
            <w:tcW w:w="171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249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新旧程度</w:t>
            </w:r>
          </w:p>
        </w:tc>
        <w:tc>
          <w:tcPr>
            <w:tcW w:w="16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2020</w:t>
            </w:r>
            <w:r>
              <w:rPr>
                <w:rFonts w:hint="eastAsia" w:ascii="宋体" w:hAnsi="宋体" w:eastAsia="宋体" w:cs="宋体"/>
                <w:color w:val="000000"/>
                <w:sz w:val="21"/>
                <w:szCs w:val="21"/>
                <w:lang w:val="en-US" w:eastAsia="zh-CN"/>
              </w:rPr>
              <w:t>年建成，维护状况较好，功能折旧不明显</w:t>
            </w:r>
          </w:p>
        </w:tc>
        <w:tc>
          <w:tcPr>
            <w:tcW w:w="1681" w:type="dxa"/>
            <w:noWrap w:val="0"/>
            <w:vAlign w:val="center"/>
          </w:tcPr>
          <w:p>
            <w:pPr>
              <w:spacing w:line="240" w:lineRule="auto"/>
              <w:jc w:val="center"/>
              <w:rPr>
                <w:rFonts w:hint="eastAsia" w:ascii="宋体" w:hAnsi="宋体" w:eastAsia="宋体" w:cs="宋体"/>
                <w:color w:val="000000"/>
                <w:sz w:val="21"/>
                <w:szCs w:val="21"/>
                <w:lang w:val="en-US" w:eastAsia="zh-CN"/>
              </w:rPr>
            </w:pPr>
            <w:r>
              <w:rPr>
                <w:rFonts w:hint="eastAsia" w:ascii="宋体" w:hAnsi="宋体" w:cs="宋体"/>
                <w:color w:val="000000"/>
                <w:szCs w:val="21"/>
              </w:rPr>
              <w:t>2016年建成，维护状况较好，功能折旧不明显</w:t>
            </w:r>
          </w:p>
        </w:tc>
        <w:tc>
          <w:tcPr>
            <w:tcW w:w="1686" w:type="dxa"/>
            <w:noWrap w:val="0"/>
            <w:vAlign w:val="center"/>
          </w:tcPr>
          <w:p>
            <w:pPr>
              <w:spacing w:line="240" w:lineRule="auto"/>
              <w:jc w:val="center"/>
              <w:rPr>
                <w:rFonts w:hint="eastAsia" w:ascii="宋体" w:hAnsi="宋体" w:eastAsia="宋体" w:cs="宋体"/>
                <w:color w:val="000000"/>
                <w:sz w:val="21"/>
                <w:szCs w:val="21"/>
                <w:lang w:val="en-US" w:eastAsia="zh-CN"/>
              </w:rPr>
            </w:pPr>
            <w:r>
              <w:rPr>
                <w:rFonts w:hint="eastAsia" w:ascii="宋体" w:hAnsi="宋体" w:cs="宋体"/>
                <w:color w:val="000000"/>
                <w:szCs w:val="21"/>
              </w:rPr>
              <w:t>2015年建成，维护状况较好，功能折旧不明显</w:t>
            </w:r>
          </w:p>
        </w:tc>
        <w:tc>
          <w:tcPr>
            <w:tcW w:w="1718" w:type="dxa"/>
            <w:noWrap w:val="0"/>
            <w:vAlign w:val="center"/>
          </w:tcPr>
          <w:p>
            <w:pPr>
              <w:spacing w:line="240" w:lineRule="auto"/>
              <w:jc w:val="center"/>
              <w:rPr>
                <w:rFonts w:hint="eastAsia" w:ascii="宋体" w:hAnsi="宋体" w:eastAsia="宋体" w:cs="宋体"/>
                <w:color w:val="000000"/>
                <w:sz w:val="21"/>
                <w:szCs w:val="21"/>
                <w:lang w:val="en-US" w:eastAsia="zh-CN"/>
              </w:rPr>
            </w:pPr>
            <w:r>
              <w:rPr>
                <w:rFonts w:hint="eastAsia" w:ascii="宋体" w:hAnsi="宋体" w:cs="宋体"/>
                <w:color w:val="000000"/>
                <w:szCs w:val="21"/>
              </w:rPr>
              <w:t>2015年建成，维护状况较好，功能折旧不明显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7" w:hRule="atLeast"/>
        </w:trPr>
        <w:tc>
          <w:tcPr>
            <w:tcW w:w="249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租金内涵</w:t>
            </w:r>
          </w:p>
        </w:tc>
        <w:tc>
          <w:tcPr>
            <w:tcW w:w="1658" w:type="dxa"/>
            <w:noWrap w:val="0"/>
            <w:vAlign w:val="top"/>
          </w:tcPr>
          <w:p>
            <w:pPr>
              <w:spacing w:line="240" w:lineRule="auto"/>
              <w:jc w:val="center"/>
              <w:rPr>
                <w:rFonts w:hint="eastAsia" w:ascii="宋体" w:hAnsi="宋体" w:eastAsia="宋体" w:cs="宋体"/>
                <w:color w:val="000000"/>
                <w:sz w:val="21"/>
                <w:szCs w:val="21"/>
                <w:lang w:val="en-US" w:eastAsia="zh-CN"/>
              </w:rPr>
            </w:pPr>
            <w:r>
              <w:rPr>
                <w:rFonts w:hint="eastAsia" w:ascii="宋体" w:hAnsi="宋体" w:cs="宋体"/>
                <w:color w:val="000000"/>
                <w:szCs w:val="21"/>
              </w:rPr>
              <w:t>租金面积为建筑面积，租金每季度期支付，押金为一个月房租，租赁价含室内普通装修及室内设备：承租房负责：物业费、水电费、燃气费等；出租方负责：房屋出租税费、管理费、维修费、保险费等</w:t>
            </w:r>
          </w:p>
        </w:tc>
        <w:tc>
          <w:tcPr>
            <w:tcW w:w="1681" w:type="dxa"/>
            <w:noWrap w:val="0"/>
            <w:vAlign w:val="top"/>
          </w:tcPr>
          <w:p>
            <w:pPr>
              <w:spacing w:line="240" w:lineRule="auto"/>
              <w:jc w:val="center"/>
              <w:rPr>
                <w:rFonts w:hint="eastAsia" w:ascii="宋体" w:hAnsi="宋体" w:eastAsia="宋体" w:cs="宋体"/>
                <w:color w:val="000000"/>
                <w:sz w:val="21"/>
                <w:szCs w:val="21"/>
                <w:lang w:val="en-US" w:eastAsia="zh-CN"/>
              </w:rPr>
            </w:pPr>
            <w:r>
              <w:rPr>
                <w:rFonts w:hint="eastAsia" w:ascii="宋体" w:hAnsi="宋体" w:cs="宋体"/>
                <w:color w:val="000000"/>
                <w:szCs w:val="21"/>
              </w:rPr>
              <w:t>租金面积为建筑面积，租金每季度期支付，押金为一个月房租，租赁价含室内普通装修及室内设备：承租房负责：物业费、水电费、燃气费等；出租方负责：房屋出租税费、管理费、维修费、保险费等</w:t>
            </w:r>
          </w:p>
        </w:tc>
        <w:tc>
          <w:tcPr>
            <w:tcW w:w="1686" w:type="dxa"/>
            <w:noWrap w:val="0"/>
            <w:vAlign w:val="top"/>
          </w:tcPr>
          <w:p>
            <w:pPr>
              <w:spacing w:line="240" w:lineRule="auto"/>
              <w:jc w:val="center"/>
              <w:rPr>
                <w:rFonts w:hint="eastAsia" w:ascii="宋体" w:hAnsi="宋体" w:eastAsia="宋体" w:cs="宋体"/>
                <w:color w:val="000000"/>
                <w:sz w:val="21"/>
                <w:szCs w:val="21"/>
                <w:lang w:val="en-US" w:eastAsia="zh-CN"/>
              </w:rPr>
            </w:pPr>
            <w:r>
              <w:rPr>
                <w:rFonts w:hint="eastAsia" w:ascii="宋体" w:hAnsi="宋体" w:cs="宋体"/>
                <w:color w:val="000000"/>
                <w:szCs w:val="21"/>
              </w:rPr>
              <w:t>租金面积为建筑面积，租金每季度期支付，押金为一个月房租，租赁价含室内普通装修及室内设备：承租房负责：物业费、水电费、燃气费等；出租方负责：房屋出租税费、管理费、维修费、保险费等</w:t>
            </w:r>
          </w:p>
        </w:tc>
        <w:tc>
          <w:tcPr>
            <w:tcW w:w="1718" w:type="dxa"/>
            <w:noWrap w:val="0"/>
            <w:vAlign w:val="top"/>
          </w:tcPr>
          <w:p>
            <w:pPr>
              <w:spacing w:line="240" w:lineRule="auto"/>
              <w:jc w:val="center"/>
              <w:rPr>
                <w:rFonts w:hint="eastAsia" w:ascii="宋体" w:hAnsi="宋体" w:eastAsia="宋体" w:cs="宋体"/>
                <w:color w:val="000000"/>
                <w:sz w:val="21"/>
                <w:szCs w:val="21"/>
                <w:lang w:val="en-US" w:eastAsia="zh-CN"/>
              </w:rPr>
            </w:pPr>
            <w:r>
              <w:rPr>
                <w:rFonts w:hint="eastAsia" w:ascii="宋体" w:hAnsi="宋体" w:cs="宋体"/>
                <w:color w:val="000000"/>
                <w:szCs w:val="21"/>
              </w:rPr>
              <w:t>租金面积为建筑面积，租金每季度期支付，押金为一个月房租，租赁价含室内普通装修及室内设备：承租房负责：物业费、水电费、燃气费等；出租方负责：房屋出租税费、管理费、维修费、保险费等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2493" w:type="dxa"/>
            <w:noWrap w:val="0"/>
            <w:vAlign w:val="center"/>
          </w:tcPr>
          <w:p>
            <w:pPr>
              <w:spacing w:line="240" w:lineRule="auto"/>
              <w:jc w:val="center"/>
              <w:rPr>
                <w:rFonts w:hint="eastAsia" w:ascii="宋体" w:hAnsi="宋体" w:cs="宋体"/>
                <w:color w:val="000000"/>
                <w:kern w:val="2"/>
                <w:sz w:val="21"/>
                <w:szCs w:val="21"/>
                <w:lang w:val="en-US" w:eastAsia="zh-CN" w:bidi="ar-SA"/>
              </w:rPr>
            </w:pPr>
            <w:r>
              <w:rPr>
                <w:rFonts w:hint="eastAsia" w:ascii="宋体" w:hAnsi="宋体" w:cs="宋体"/>
                <w:color w:val="000000"/>
                <w:szCs w:val="21"/>
              </w:rPr>
              <w:t>资料来源</w:t>
            </w:r>
          </w:p>
        </w:tc>
        <w:tc>
          <w:tcPr>
            <w:tcW w:w="1658" w:type="dxa"/>
            <w:noWrap w:val="0"/>
            <w:vAlign w:val="top"/>
          </w:tcPr>
          <w:p>
            <w:pPr>
              <w:spacing w:line="240" w:lineRule="auto"/>
              <w:jc w:val="center"/>
              <w:rPr>
                <w:rFonts w:hint="eastAsia" w:ascii="宋体" w:hAnsi="宋体" w:cs="宋体"/>
                <w:color w:val="000000"/>
                <w:kern w:val="2"/>
                <w:sz w:val="21"/>
                <w:szCs w:val="21"/>
                <w:lang w:val="en-US" w:eastAsia="zh-CN" w:bidi="ar-SA"/>
              </w:rPr>
            </w:pPr>
          </w:p>
        </w:tc>
        <w:tc>
          <w:tcPr>
            <w:tcW w:w="1681" w:type="dxa"/>
            <w:noWrap w:val="0"/>
            <w:vAlign w:val="top"/>
          </w:tcPr>
          <w:p>
            <w:pPr>
              <w:spacing w:line="240" w:lineRule="auto"/>
              <w:jc w:val="center"/>
              <w:rPr>
                <w:rFonts w:hint="eastAsia" w:ascii="宋体" w:hAnsi="宋体" w:cs="宋体"/>
                <w:color w:val="000000"/>
                <w:kern w:val="2"/>
                <w:sz w:val="21"/>
                <w:szCs w:val="21"/>
                <w:lang w:val="en-US" w:eastAsia="zh-CN" w:bidi="ar-SA"/>
              </w:rPr>
            </w:pPr>
            <w:r>
              <w:rPr>
                <w:rFonts w:hint="eastAsia" w:ascii="宋体" w:hAnsi="宋体" w:cs="宋体"/>
                <w:color w:val="000000"/>
                <w:szCs w:val="21"/>
              </w:rPr>
              <w:t>房地产中介</w:t>
            </w:r>
          </w:p>
        </w:tc>
        <w:tc>
          <w:tcPr>
            <w:tcW w:w="1686" w:type="dxa"/>
            <w:noWrap w:val="0"/>
            <w:vAlign w:val="top"/>
          </w:tcPr>
          <w:p>
            <w:pPr>
              <w:spacing w:line="240" w:lineRule="auto"/>
              <w:jc w:val="center"/>
              <w:rPr>
                <w:rFonts w:hint="eastAsia" w:ascii="宋体" w:hAnsi="宋体" w:cs="宋体"/>
                <w:color w:val="000000"/>
                <w:kern w:val="2"/>
                <w:sz w:val="21"/>
                <w:szCs w:val="21"/>
                <w:lang w:val="en-US" w:eastAsia="zh-CN" w:bidi="ar-SA"/>
              </w:rPr>
            </w:pPr>
            <w:r>
              <w:rPr>
                <w:rFonts w:hint="eastAsia" w:ascii="宋体" w:hAnsi="宋体" w:cs="宋体"/>
                <w:color w:val="000000"/>
                <w:szCs w:val="21"/>
              </w:rPr>
              <w:t>房地产中介</w:t>
            </w:r>
          </w:p>
        </w:tc>
        <w:tc>
          <w:tcPr>
            <w:tcW w:w="1718" w:type="dxa"/>
            <w:noWrap w:val="0"/>
            <w:vAlign w:val="top"/>
          </w:tcPr>
          <w:p>
            <w:pPr>
              <w:spacing w:line="240" w:lineRule="auto"/>
              <w:jc w:val="center"/>
              <w:rPr>
                <w:rFonts w:hint="eastAsia" w:ascii="宋体" w:hAnsi="宋体" w:cs="宋体"/>
                <w:color w:val="000000"/>
                <w:kern w:val="2"/>
                <w:sz w:val="21"/>
                <w:szCs w:val="21"/>
                <w:lang w:val="en-US" w:eastAsia="zh-CN" w:bidi="ar-SA"/>
              </w:rPr>
            </w:pPr>
            <w:r>
              <w:rPr>
                <w:rFonts w:hint="eastAsia" w:ascii="宋体" w:hAnsi="宋体" w:cs="宋体"/>
                <w:color w:val="000000"/>
                <w:szCs w:val="21"/>
              </w:rPr>
              <w:t>房地产中介</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480" w:leftChars="0"/>
        <w:jc w:val="both"/>
        <w:textAlignment w:val="auto"/>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（2）租金可比实例调整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 xml:space="preserve">租金单价的时点与价值时点相近，不必进行市场状况的调整。由于所选用的租金可比实例与估价对象区位相当，故只需要对以下因素进行调整：                      </w:t>
      </w:r>
    </w:p>
    <w:p>
      <w:pPr>
        <w:keepNext w:val="0"/>
        <w:keepLines w:val="0"/>
        <w:pageBreakBefore w:val="0"/>
        <w:widowControl w:val="0"/>
        <w:kinsoku/>
        <w:wordWrap/>
        <w:overflowPunct/>
        <w:topLinePunct w:val="0"/>
        <w:autoSpaceDE/>
        <w:autoSpaceDN/>
        <w:bidi w:val="0"/>
        <w:adjustRightInd/>
        <w:snapToGrid/>
        <w:spacing w:line="440" w:lineRule="exact"/>
        <w:ind w:firstLine="480"/>
        <w:jc w:val="center"/>
        <w:textAlignment w:val="auto"/>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 xml:space="preserve">                          </w:t>
      </w:r>
      <w:r>
        <w:rPr>
          <w:rFonts w:hint="eastAsia" w:ascii="宋体" w:hAnsi="宋体" w:cs="宋体"/>
          <w:color w:val="000000"/>
          <w:sz w:val="24"/>
          <w:szCs w:val="24"/>
          <w:lang w:eastAsia="zh-CN"/>
        </w:rPr>
        <w:t>因素调整系数表</w:t>
      </w:r>
      <w:r>
        <w:rPr>
          <w:rFonts w:hint="eastAsia" w:ascii="宋体" w:hAnsi="宋体" w:cs="宋体"/>
          <w:color w:val="000000"/>
          <w:sz w:val="24"/>
          <w:szCs w:val="24"/>
          <w:lang w:val="en-US" w:eastAsia="zh-CN"/>
        </w:rPr>
        <w:t xml:space="preserve">                         </w:t>
      </w:r>
      <w:r>
        <w:rPr>
          <w:rFonts w:hint="eastAsia" w:ascii="宋体" w:hAnsi="宋体" w:cs="宋体"/>
          <w:color w:val="000000"/>
          <w:sz w:val="24"/>
          <w:szCs w:val="24"/>
          <w:lang w:eastAsia="zh-CN"/>
        </w:rPr>
        <w:t>技表</w:t>
      </w:r>
      <w:r>
        <w:rPr>
          <w:rFonts w:hint="eastAsia" w:ascii="宋体" w:hAnsi="宋体" w:cs="宋体"/>
          <w:color w:val="000000"/>
          <w:sz w:val="24"/>
          <w:szCs w:val="24"/>
          <w:lang w:val="en-US" w:eastAsia="zh-CN"/>
        </w:rPr>
        <w:t>17</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2"/>
        <w:gridCol w:w="2293"/>
        <w:gridCol w:w="2239"/>
        <w:gridCol w:w="2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sz w:val="24"/>
                <w:szCs w:val="24"/>
                <w:lang w:eastAsia="zh-CN"/>
              </w:rPr>
            </w:pPr>
            <w:r>
              <w:rPr>
                <w:rFonts w:hint="eastAsia" w:ascii="宋体" w:hAnsi="宋体" w:cs="宋体"/>
                <w:color w:val="000000"/>
                <w:szCs w:val="21"/>
              </w:rPr>
              <w:t>项目</w:t>
            </w:r>
            <w:r>
              <w:rPr>
                <w:rFonts w:hint="eastAsia" w:ascii="宋体" w:hAnsi="宋体" w:cs="宋体"/>
                <w:color w:val="000000"/>
                <w:szCs w:val="21"/>
                <w:lang w:eastAsia="zh-CN"/>
              </w:rPr>
              <w:t>名称</w:t>
            </w:r>
          </w:p>
        </w:tc>
        <w:tc>
          <w:tcPr>
            <w:tcW w:w="229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sz w:val="24"/>
                <w:szCs w:val="24"/>
                <w:lang w:val="en-US" w:eastAsia="zh-CN"/>
              </w:rPr>
            </w:pPr>
            <w:r>
              <w:rPr>
                <w:rFonts w:hint="eastAsia" w:ascii="宋体" w:hAnsi="宋体" w:cs="宋体"/>
                <w:color w:val="000000"/>
                <w:spacing w:val="-6"/>
                <w:szCs w:val="21"/>
              </w:rPr>
              <w:t>可比案例A</w:t>
            </w:r>
          </w:p>
        </w:tc>
        <w:tc>
          <w:tcPr>
            <w:tcW w:w="223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sz w:val="24"/>
                <w:szCs w:val="24"/>
                <w:lang w:val="en-US" w:eastAsia="zh-CN"/>
              </w:rPr>
            </w:pPr>
            <w:r>
              <w:rPr>
                <w:rFonts w:hint="eastAsia" w:ascii="宋体" w:hAnsi="宋体" w:cs="宋体"/>
                <w:color w:val="000000"/>
                <w:spacing w:val="-6"/>
                <w:szCs w:val="21"/>
              </w:rPr>
              <w:t>可比案例</w:t>
            </w:r>
            <w:r>
              <w:rPr>
                <w:rFonts w:hint="eastAsia" w:ascii="宋体" w:hAnsi="宋体" w:cs="宋体"/>
                <w:color w:val="000000"/>
                <w:spacing w:val="-6"/>
                <w:szCs w:val="21"/>
                <w:lang w:val="en-US" w:eastAsia="zh-CN"/>
              </w:rPr>
              <w:t>B</w:t>
            </w:r>
          </w:p>
        </w:tc>
        <w:tc>
          <w:tcPr>
            <w:tcW w:w="239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sz w:val="24"/>
                <w:szCs w:val="24"/>
                <w:lang w:val="en-US" w:eastAsia="zh-CN"/>
              </w:rPr>
            </w:pPr>
            <w:r>
              <w:rPr>
                <w:rFonts w:hint="eastAsia" w:ascii="宋体" w:hAnsi="宋体" w:cs="宋体"/>
                <w:color w:val="000000"/>
                <w:spacing w:val="-4"/>
                <w:szCs w:val="21"/>
              </w:rPr>
              <w:t>可比案例</w:t>
            </w:r>
            <w:r>
              <w:rPr>
                <w:rFonts w:hint="eastAsia" w:ascii="宋体" w:hAnsi="宋体" w:cs="宋体"/>
                <w:color w:val="000000"/>
                <w:spacing w:val="-4"/>
                <w:szCs w:val="21"/>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362"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000000"/>
                <w:szCs w:val="21"/>
              </w:rPr>
            </w:pPr>
            <w:r>
              <w:rPr>
                <w:rFonts w:hint="eastAsia" w:ascii="宋体" w:hAnsi="宋体" w:cs="宋体"/>
                <w:color w:val="000000"/>
                <w:szCs w:val="21"/>
              </w:rPr>
              <w:t>租金单价（元/（m</w:t>
            </w:r>
            <w:r>
              <w:rPr>
                <w:rFonts w:hint="eastAsia" w:ascii="宋体" w:hAnsi="宋体" w:cs="宋体"/>
                <w:color w:val="000000"/>
                <w:szCs w:val="21"/>
                <w:vertAlign w:val="superscript"/>
              </w:rPr>
              <w:t>2</w:t>
            </w:r>
            <w:r>
              <w:rPr>
                <w:rFonts w:hint="eastAsia" w:ascii="宋体" w:hAnsi="宋体" w:cs="宋体"/>
                <w:color w:val="000000"/>
                <w:szCs w:val="21"/>
              </w:rPr>
              <w:t>·月））</w:t>
            </w:r>
          </w:p>
        </w:tc>
        <w:tc>
          <w:tcPr>
            <w:tcW w:w="2293" w:type="dxa"/>
            <w:noWrap w:val="0"/>
            <w:vAlign w:val="top"/>
          </w:tcPr>
          <w:p>
            <w:pPr>
              <w:spacing w:line="420" w:lineRule="exac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21</w:t>
            </w:r>
          </w:p>
        </w:tc>
        <w:tc>
          <w:tcPr>
            <w:tcW w:w="2239" w:type="dxa"/>
            <w:noWrap w:val="0"/>
            <w:vAlign w:val="top"/>
          </w:tcPr>
          <w:p>
            <w:pPr>
              <w:spacing w:line="420" w:lineRule="exac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19</w:t>
            </w:r>
          </w:p>
        </w:tc>
        <w:tc>
          <w:tcPr>
            <w:tcW w:w="2394" w:type="dxa"/>
            <w:noWrap w:val="0"/>
            <w:vAlign w:val="top"/>
          </w:tcPr>
          <w:p>
            <w:pPr>
              <w:spacing w:line="420" w:lineRule="exact"/>
              <w:jc w:val="center"/>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000000"/>
                <w:szCs w:val="21"/>
              </w:rPr>
            </w:pPr>
            <w:r>
              <w:rPr>
                <w:rFonts w:hint="eastAsia" w:ascii="宋体" w:hAnsi="宋体" w:cs="宋体"/>
                <w:color w:val="000000"/>
                <w:szCs w:val="21"/>
                <w:lang w:eastAsia="zh-CN"/>
              </w:rPr>
              <w:t>用途</w:t>
            </w:r>
          </w:p>
        </w:tc>
        <w:tc>
          <w:tcPr>
            <w:tcW w:w="2293"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c>
          <w:tcPr>
            <w:tcW w:w="2239"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000000"/>
                <w:szCs w:val="21"/>
              </w:rPr>
            </w:pPr>
            <w:r>
              <w:rPr>
                <w:rFonts w:hint="eastAsia" w:ascii="宋体" w:hAnsi="宋体" w:cs="宋体"/>
                <w:color w:val="000000"/>
                <w:szCs w:val="21"/>
                <w:lang w:val="en-US" w:eastAsia="zh-CN"/>
              </w:rPr>
              <w:t>0</w:t>
            </w:r>
          </w:p>
        </w:tc>
        <w:tc>
          <w:tcPr>
            <w:tcW w:w="2394"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000000"/>
                <w:szCs w:val="21"/>
              </w:rPr>
            </w:pPr>
            <w:r>
              <w:rPr>
                <w:rFonts w:hint="eastAsia" w:ascii="宋体" w:hAnsi="宋体" w:cs="宋体"/>
                <w:color w:val="00000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000000"/>
                <w:szCs w:val="21"/>
              </w:rPr>
            </w:pPr>
            <w:r>
              <w:rPr>
                <w:rFonts w:hint="eastAsia" w:ascii="宋体" w:hAnsi="宋体" w:cs="宋体"/>
                <w:color w:val="000000"/>
                <w:szCs w:val="21"/>
                <w:lang w:eastAsia="zh-CN"/>
              </w:rPr>
              <w:t>建筑结构</w:t>
            </w:r>
          </w:p>
        </w:tc>
        <w:tc>
          <w:tcPr>
            <w:tcW w:w="2293"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w:t>
            </w:r>
          </w:p>
        </w:tc>
        <w:tc>
          <w:tcPr>
            <w:tcW w:w="2239"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000000"/>
                <w:szCs w:val="21"/>
              </w:rPr>
            </w:pPr>
            <w:r>
              <w:rPr>
                <w:rFonts w:hint="eastAsia" w:ascii="宋体" w:hAnsi="宋体" w:cs="宋体"/>
                <w:color w:val="000000"/>
                <w:szCs w:val="21"/>
                <w:lang w:val="en-US" w:eastAsia="zh-CN"/>
              </w:rPr>
              <w:t>0</w:t>
            </w:r>
          </w:p>
        </w:tc>
        <w:tc>
          <w:tcPr>
            <w:tcW w:w="2394"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000000"/>
                <w:szCs w:val="21"/>
              </w:rPr>
            </w:pPr>
            <w:r>
              <w:rPr>
                <w:rFonts w:hint="eastAsia" w:ascii="宋体" w:hAnsi="宋体" w:cs="宋体"/>
                <w:color w:val="00000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000000"/>
                <w:szCs w:val="21"/>
                <w:lang w:eastAsia="zh-CN"/>
              </w:rPr>
            </w:pPr>
            <w:r>
              <w:rPr>
                <w:rFonts w:hint="eastAsia" w:ascii="宋体" w:hAnsi="宋体" w:cs="宋体"/>
                <w:color w:val="000000"/>
                <w:szCs w:val="21"/>
                <w:lang w:eastAsia="zh-CN"/>
              </w:rPr>
              <w:t>朝向、采光、通风</w:t>
            </w:r>
          </w:p>
        </w:tc>
        <w:tc>
          <w:tcPr>
            <w:tcW w:w="229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w:t>
            </w:r>
            <w:r>
              <w:rPr>
                <w:rFonts w:hint="eastAsia" w:ascii="宋体" w:hAnsi="宋体" w:eastAsia="宋体" w:cs="宋体"/>
                <w:color w:val="000000"/>
                <w:szCs w:val="21"/>
                <w:lang w:val="en-US" w:eastAsia="zh-CN"/>
              </w:rPr>
              <w:t>1</w:t>
            </w:r>
          </w:p>
        </w:tc>
        <w:tc>
          <w:tcPr>
            <w:tcW w:w="223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w:t>
            </w:r>
            <w:r>
              <w:rPr>
                <w:rFonts w:hint="eastAsia" w:ascii="宋体" w:hAnsi="宋体" w:eastAsia="宋体" w:cs="宋体"/>
                <w:color w:val="000000"/>
                <w:szCs w:val="21"/>
                <w:lang w:val="en-US" w:eastAsia="zh-CN"/>
              </w:rPr>
              <w:t>1</w:t>
            </w:r>
          </w:p>
        </w:tc>
        <w:tc>
          <w:tcPr>
            <w:tcW w:w="239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w:t>
            </w:r>
            <w:r>
              <w:rPr>
                <w:rFonts w:hint="eastAsia" w:ascii="宋体" w:hAnsi="宋体" w:eastAsia="宋体" w:cs="宋体"/>
                <w:color w:val="00000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000000"/>
                <w:szCs w:val="21"/>
                <w:lang w:eastAsia="zh-CN"/>
              </w:rPr>
            </w:pPr>
            <w:r>
              <w:rPr>
                <w:rFonts w:hint="eastAsia" w:ascii="宋体" w:hAnsi="宋体" w:cs="宋体"/>
                <w:color w:val="000000"/>
                <w:szCs w:val="21"/>
                <w:lang w:eastAsia="zh-CN"/>
              </w:rPr>
              <w:t>层次</w:t>
            </w:r>
            <w:r>
              <w:rPr>
                <w:rFonts w:hint="eastAsia" w:ascii="宋体" w:hAnsi="宋体" w:cs="宋体"/>
                <w:color w:val="000000"/>
                <w:szCs w:val="21"/>
                <w:lang w:val="en-US" w:eastAsia="zh-CN"/>
              </w:rPr>
              <w:t>/总层数</w:t>
            </w:r>
          </w:p>
        </w:tc>
        <w:tc>
          <w:tcPr>
            <w:tcW w:w="229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w:t>
            </w:r>
          </w:p>
        </w:tc>
        <w:tc>
          <w:tcPr>
            <w:tcW w:w="223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w:t>
            </w:r>
            <w:r>
              <w:rPr>
                <w:rFonts w:hint="eastAsia" w:ascii="宋体" w:hAnsi="宋体" w:cs="宋体"/>
                <w:color w:val="000000"/>
                <w:szCs w:val="21"/>
                <w:lang w:val="en-US" w:eastAsia="zh-CN"/>
              </w:rPr>
              <w:t>10</w:t>
            </w:r>
          </w:p>
        </w:tc>
        <w:tc>
          <w:tcPr>
            <w:tcW w:w="239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000000"/>
                <w:szCs w:val="21"/>
                <w:lang w:eastAsia="zh-CN"/>
              </w:rPr>
            </w:pPr>
            <w:r>
              <w:rPr>
                <w:rFonts w:hint="eastAsia" w:ascii="宋体" w:hAnsi="宋体" w:cs="宋体"/>
                <w:color w:val="000000"/>
                <w:szCs w:val="21"/>
                <w:lang w:eastAsia="zh-CN"/>
              </w:rPr>
              <w:t>室内装修</w:t>
            </w:r>
          </w:p>
        </w:tc>
        <w:tc>
          <w:tcPr>
            <w:tcW w:w="229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2</w:t>
            </w:r>
          </w:p>
        </w:tc>
        <w:tc>
          <w:tcPr>
            <w:tcW w:w="223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cs="宋体"/>
                <w:color w:val="000000"/>
                <w:szCs w:val="21"/>
                <w:lang w:val="en-US" w:eastAsia="zh-CN"/>
              </w:rPr>
            </w:pPr>
            <w:r>
              <w:rPr>
                <w:rFonts w:hint="eastAsia" w:ascii="宋体" w:hAnsi="宋体" w:cs="宋体"/>
                <w:color w:val="000000"/>
                <w:szCs w:val="21"/>
                <w:lang w:val="en-US" w:eastAsia="zh-CN"/>
              </w:rPr>
              <w:t>2</w:t>
            </w:r>
          </w:p>
        </w:tc>
        <w:tc>
          <w:tcPr>
            <w:tcW w:w="239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cs="宋体"/>
                <w:color w:val="000000"/>
                <w:szCs w:val="21"/>
                <w:lang w:val="en-US" w:eastAsia="zh-CN"/>
              </w:rPr>
            </w:pPr>
            <w:r>
              <w:rPr>
                <w:rFonts w:hint="eastAsia" w:ascii="宋体" w:hAnsi="宋体" w:cs="宋体"/>
                <w:color w:val="00000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cs="宋体"/>
                <w:color w:val="000000"/>
                <w:szCs w:val="21"/>
                <w:lang w:val="en-US" w:eastAsia="zh-CN"/>
              </w:rPr>
            </w:pPr>
            <w:r>
              <w:rPr>
                <w:rFonts w:hint="eastAsia" w:ascii="宋体" w:hAnsi="宋体" w:cs="宋体"/>
                <w:color w:val="000000"/>
                <w:szCs w:val="21"/>
                <w:lang w:eastAsia="zh-CN"/>
              </w:rPr>
              <w:t>建筑</w:t>
            </w:r>
            <w:r>
              <w:rPr>
                <w:rFonts w:hint="eastAsia" w:ascii="宋体" w:hAnsi="宋体" w:cs="宋体"/>
                <w:color w:val="000000"/>
                <w:szCs w:val="21"/>
                <w:lang w:val="en-US" w:eastAsia="zh-CN"/>
              </w:rPr>
              <w:t>规模</w:t>
            </w:r>
          </w:p>
        </w:tc>
        <w:tc>
          <w:tcPr>
            <w:tcW w:w="229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w:t>
            </w:r>
          </w:p>
        </w:tc>
        <w:tc>
          <w:tcPr>
            <w:tcW w:w="223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w:t>
            </w:r>
          </w:p>
        </w:tc>
        <w:tc>
          <w:tcPr>
            <w:tcW w:w="239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000000"/>
                <w:szCs w:val="21"/>
                <w:lang w:eastAsia="zh-CN"/>
              </w:rPr>
            </w:pPr>
            <w:r>
              <w:rPr>
                <w:rFonts w:hint="eastAsia" w:ascii="宋体" w:hAnsi="宋体" w:cs="宋体"/>
                <w:color w:val="000000"/>
                <w:szCs w:val="21"/>
                <w:lang w:eastAsia="zh-CN"/>
              </w:rPr>
              <w:t>层高</w:t>
            </w:r>
          </w:p>
        </w:tc>
        <w:tc>
          <w:tcPr>
            <w:tcW w:w="229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0</w:t>
            </w:r>
          </w:p>
        </w:tc>
        <w:tc>
          <w:tcPr>
            <w:tcW w:w="223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000000"/>
                <w:szCs w:val="21"/>
                <w:lang w:val="en-US" w:eastAsia="zh-CN"/>
              </w:rPr>
            </w:pPr>
            <w:r>
              <w:rPr>
                <w:rFonts w:hint="eastAsia" w:ascii="宋体" w:hAnsi="宋体" w:eastAsia="宋体" w:cs="宋体"/>
                <w:color w:val="000000"/>
                <w:szCs w:val="21"/>
                <w:lang w:val="en-US" w:eastAsia="zh-CN"/>
              </w:rPr>
              <w:t>0</w:t>
            </w:r>
          </w:p>
        </w:tc>
        <w:tc>
          <w:tcPr>
            <w:tcW w:w="239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000000"/>
                <w:szCs w:val="21"/>
                <w:lang w:val="en-US" w:eastAsia="zh-CN"/>
              </w:rPr>
            </w:pPr>
            <w:r>
              <w:rPr>
                <w:rFonts w:hint="eastAsia" w:ascii="宋体" w:hAnsi="宋体" w:eastAsia="宋体" w:cs="宋体"/>
                <w:color w:val="00000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000000"/>
                <w:szCs w:val="21"/>
                <w:lang w:eastAsia="zh-CN"/>
              </w:rPr>
            </w:pPr>
            <w:r>
              <w:rPr>
                <w:rFonts w:hint="eastAsia" w:ascii="宋体" w:hAnsi="宋体" w:cs="宋体"/>
                <w:color w:val="000000"/>
                <w:szCs w:val="21"/>
                <w:lang w:eastAsia="zh-CN"/>
              </w:rPr>
              <w:t>平面布局</w:t>
            </w:r>
          </w:p>
        </w:tc>
        <w:tc>
          <w:tcPr>
            <w:tcW w:w="229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0</w:t>
            </w:r>
          </w:p>
        </w:tc>
        <w:tc>
          <w:tcPr>
            <w:tcW w:w="223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000000"/>
                <w:szCs w:val="21"/>
                <w:lang w:val="en-US" w:eastAsia="zh-CN"/>
              </w:rPr>
            </w:pPr>
            <w:r>
              <w:rPr>
                <w:rFonts w:hint="eastAsia" w:ascii="宋体" w:hAnsi="宋体" w:eastAsia="宋体" w:cs="宋体"/>
                <w:color w:val="000000"/>
                <w:szCs w:val="21"/>
                <w:lang w:val="en-US" w:eastAsia="zh-CN"/>
              </w:rPr>
              <w:t>0</w:t>
            </w:r>
          </w:p>
        </w:tc>
        <w:tc>
          <w:tcPr>
            <w:tcW w:w="239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000000"/>
                <w:szCs w:val="21"/>
                <w:lang w:val="en-US" w:eastAsia="zh-CN"/>
              </w:rPr>
            </w:pPr>
            <w:r>
              <w:rPr>
                <w:rFonts w:hint="eastAsia" w:ascii="宋体" w:hAnsi="宋体" w:eastAsia="宋体" w:cs="宋体"/>
                <w:color w:val="00000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000000"/>
                <w:szCs w:val="21"/>
              </w:rPr>
            </w:pPr>
            <w:r>
              <w:rPr>
                <w:rFonts w:hint="eastAsia" w:ascii="宋体" w:hAnsi="宋体" w:cs="宋体"/>
                <w:color w:val="000000"/>
                <w:szCs w:val="21"/>
                <w:lang w:eastAsia="zh-CN"/>
              </w:rPr>
              <w:t>室内设备</w:t>
            </w:r>
          </w:p>
        </w:tc>
        <w:tc>
          <w:tcPr>
            <w:tcW w:w="229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2</w:t>
            </w:r>
          </w:p>
        </w:tc>
        <w:tc>
          <w:tcPr>
            <w:tcW w:w="223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2</w:t>
            </w:r>
          </w:p>
        </w:tc>
        <w:tc>
          <w:tcPr>
            <w:tcW w:w="239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000000"/>
                <w:szCs w:val="21"/>
              </w:rPr>
            </w:pPr>
            <w:r>
              <w:rPr>
                <w:rFonts w:hint="eastAsia" w:ascii="宋体" w:hAnsi="宋体" w:cs="宋体"/>
                <w:color w:val="000000"/>
                <w:szCs w:val="21"/>
                <w:lang w:eastAsia="zh-CN"/>
              </w:rPr>
              <w:t>新旧程度</w:t>
            </w:r>
          </w:p>
        </w:tc>
        <w:tc>
          <w:tcPr>
            <w:tcW w:w="229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w:t>
            </w:r>
            <w:r>
              <w:rPr>
                <w:rFonts w:hint="eastAsia" w:ascii="宋体" w:hAnsi="宋体" w:cs="宋体"/>
                <w:color w:val="000000"/>
                <w:szCs w:val="21"/>
                <w:lang w:val="en-US" w:eastAsia="zh-CN"/>
              </w:rPr>
              <w:t>2</w:t>
            </w:r>
          </w:p>
        </w:tc>
        <w:tc>
          <w:tcPr>
            <w:tcW w:w="223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w:t>
            </w:r>
            <w:r>
              <w:rPr>
                <w:rFonts w:hint="eastAsia" w:ascii="宋体" w:hAnsi="宋体" w:cs="宋体"/>
                <w:color w:val="000000"/>
                <w:szCs w:val="21"/>
                <w:lang w:val="en-US" w:eastAsia="zh-CN"/>
              </w:rPr>
              <w:t>3</w:t>
            </w:r>
          </w:p>
        </w:tc>
        <w:tc>
          <w:tcPr>
            <w:tcW w:w="2394"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w:t>
            </w:r>
            <w:r>
              <w:rPr>
                <w:rFonts w:hint="eastAsia" w:ascii="宋体" w:hAnsi="宋体" w:cs="宋体"/>
                <w:color w:val="00000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调整值小计</w:t>
            </w:r>
          </w:p>
        </w:tc>
        <w:tc>
          <w:tcPr>
            <w:tcW w:w="22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-1</w:t>
            </w:r>
          </w:p>
        </w:tc>
        <w:tc>
          <w:tcPr>
            <w:tcW w:w="22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w:t>
            </w:r>
            <w:r>
              <w:rPr>
                <w:rFonts w:hint="eastAsia" w:ascii="宋体" w:hAnsi="宋体" w:cs="宋体"/>
                <w:color w:val="000000"/>
                <w:sz w:val="21"/>
                <w:szCs w:val="21"/>
                <w:lang w:val="en-US" w:eastAsia="zh-CN"/>
              </w:rPr>
              <w:t>11</w:t>
            </w:r>
          </w:p>
        </w:tc>
        <w:tc>
          <w:tcPr>
            <w:tcW w:w="23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szCs w:val="21"/>
                <w:lang w:eastAsia="zh-CN"/>
              </w:rPr>
            </w:pPr>
            <w:r>
              <w:rPr>
                <w:rFonts w:hint="eastAsia" w:ascii="宋体" w:hAnsi="宋体" w:cs="宋体"/>
                <w:color w:val="000000"/>
                <w:szCs w:val="21"/>
                <w:lang w:eastAsia="zh-CN"/>
              </w:rPr>
              <w:t>调整系数</w:t>
            </w:r>
          </w:p>
        </w:tc>
        <w:tc>
          <w:tcPr>
            <w:tcW w:w="229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100/</w:t>
            </w:r>
            <w:r>
              <w:rPr>
                <w:rFonts w:hint="eastAsia" w:ascii="宋体" w:hAnsi="宋体" w:cs="宋体"/>
                <w:color w:val="000000"/>
                <w:sz w:val="21"/>
                <w:szCs w:val="21"/>
                <w:lang w:val="en-US" w:eastAsia="zh-CN"/>
              </w:rPr>
              <w:t>99</w:t>
            </w:r>
          </w:p>
        </w:tc>
        <w:tc>
          <w:tcPr>
            <w:tcW w:w="2239"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100/</w:t>
            </w:r>
            <w:r>
              <w:rPr>
                <w:rFonts w:hint="eastAsia" w:ascii="宋体" w:hAnsi="宋体" w:cs="宋体"/>
                <w:color w:val="000000"/>
                <w:sz w:val="21"/>
                <w:szCs w:val="21"/>
                <w:lang w:val="en-US" w:eastAsia="zh-CN"/>
              </w:rPr>
              <w:t>89</w:t>
            </w:r>
          </w:p>
        </w:tc>
        <w:tc>
          <w:tcPr>
            <w:tcW w:w="2394"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100/1</w:t>
            </w:r>
            <w:r>
              <w:rPr>
                <w:rFonts w:hint="eastAsia" w:ascii="宋体" w:hAnsi="宋体" w:cs="宋体"/>
                <w:color w:val="000000"/>
                <w:sz w:val="21"/>
                <w:szCs w:val="21"/>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cs="宋体"/>
                <w:color w:val="000000"/>
                <w:szCs w:val="21"/>
                <w:lang w:val="en-US" w:eastAsia="zh-CN"/>
              </w:rPr>
            </w:pPr>
            <w:r>
              <w:rPr>
                <w:rFonts w:hint="eastAsia" w:ascii="宋体" w:hAnsi="宋体" w:cs="宋体"/>
                <w:color w:val="000000"/>
                <w:szCs w:val="21"/>
                <w:lang w:eastAsia="zh-CN"/>
              </w:rPr>
              <w:t>比较单价（元</w:t>
            </w:r>
            <w:r>
              <w:rPr>
                <w:rFonts w:hint="eastAsia" w:ascii="宋体" w:hAnsi="宋体" w:cs="宋体"/>
                <w:color w:val="000000"/>
                <w:szCs w:val="21"/>
                <w:lang w:val="en-US" w:eastAsia="zh-CN"/>
              </w:rPr>
              <w:t>/</w:t>
            </w:r>
            <w:r>
              <w:rPr>
                <w:rFonts w:hint="eastAsia" w:ascii="宋体" w:hAnsi="宋体" w:cs="宋体"/>
                <w:color w:val="000000"/>
                <w:szCs w:val="21"/>
              </w:rPr>
              <w:t>m</w:t>
            </w:r>
            <w:r>
              <w:rPr>
                <w:rFonts w:hint="eastAsia" w:ascii="宋体" w:hAnsi="宋体" w:cs="宋体"/>
                <w:color w:val="000000"/>
                <w:szCs w:val="21"/>
                <w:vertAlign w:val="superscript"/>
              </w:rPr>
              <w:t>2</w:t>
            </w:r>
            <w:r>
              <w:rPr>
                <w:rFonts w:hint="eastAsia" w:ascii="宋体" w:hAnsi="宋体" w:cs="宋体"/>
                <w:color w:val="000000"/>
                <w:szCs w:val="21"/>
                <w:lang w:val="en-US" w:eastAsia="zh-CN"/>
              </w:rPr>
              <w:t>)</w:t>
            </w:r>
          </w:p>
        </w:tc>
        <w:tc>
          <w:tcPr>
            <w:tcW w:w="22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21.21</w:t>
            </w:r>
          </w:p>
        </w:tc>
        <w:tc>
          <w:tcPr>
            <w:tcW w:w="22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21.35</w:t>
            </w:r>
          </w:p>
        </w:tc>
        <w:tc>
          <w:tcPr>
            <w:tcW w:w="23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000000"/>
                <w:szCs w:val="21"/>
                <w:lang w:eastAsia="zh-CN"/>
              </w:rPr>
            </w:pPr>
            <w:r>
              <w:rPr>
                <w:rFonts w:hint="eastAsia" w:ascii="宋体" w:hAnsi="宋体" w:cs="宋体"/>
                <w:color w:val="000000"/>
                <w:szCs w:val="21"/>
                <w:lang w:eastAsia="zh-CN"/>
              </w:rPr>
              <w:t>权重</w:t>
            </w:r>
          </w:p>
        </w:tc>
        <w:tc>
          <w:tcPr>
            <w:tcW w:w="6926" w:type="dxa"/>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color w:val="000000"/>
                <w:sz w:val="21"/>
                <w:szCs w:val="21"/>
                <w:lang w:val="en-US" w:eastAsia="zh-CN"/>
              </w:rPr>
            </w:pPr>
            <w:r>
              <w:rPr>
                <w:rFonts w:hint="eastAsia" w:ascii="宋体" w:hAnsi="宋体" w:cs="宋体"/>
                <w:color w:val="000000"/>
                <w:szCs w:val="21"/>
                <w:lang w:eastAsia="zh-CN"/>
              </w:rPr>
              <w:t>各可比实例的比较单价较接近，故采用简单算术平均数求取估价对象的比较单价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62"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cs="宋体"/>
                <w:color w:val="000000"/>
                <w:szCs w:val="21"/>
                <w:lang w:eastAsia="zh-CN"/>
              </w:rPr>
            </w:pPr>
            <w:r>
              <w:rPr>
                <w:rFonts w:hint="eastAsia" w:ascii="宋体" w:hAnsi="宋体" w:cs="宋体"/>
                <w:color w:val="000000"/>
                <w:szCs w:val="21"/>
                <w:lang w:eastAsia="zh-CN"/>
              </w:rPr>
              <w:t>单价（</w:t>
            </w:r>
            <w:r>
              <w:rPr>
                <w:rFonts w:hint="eastAsia" w:ascii="宋体" w:hAnsi="宋体" w:cs="宋体"/>
                <w:color w:val="000000"/>
                <w:szCs w:val="21"/>
              </w:rPr>
              <w:t>元/（m</w:t>
            </w:r>
            <w:r>
              <w:rPr>
                <w:rFonts w:hint="eastAsia" w:ascii="宋体" w:hAnsi="宋体" w:cs="宋体"/>
                <w:color w:val="000000"/>
                <w:szCs w:val="21"/>
                <w:vertAlign w:val="superscript"/>
              </w:rPr>
              <w:t>2</w:t>
            </w:r>
            <w:r>
              <w:rPr>
                <w:rFonts w:hint="eastAsia" w:ascii="宋体" w:hAnsi="宋体" w:cs="宋体"/>
                <w:color w:val="000000"/>
                <w:szCs w:val="21"/>
              </w:rPr>
              <w:t>·月）</w:t>
            </w:r>
            <w:r>
              <w:rPr>
                <w:rFonts w:hint="eastAsia" w:ascii="宋体" w:hAnsi="宋体" w:cs="宋体"/>
                <w:color w:val="000000"/>
                <w:szCs w:val="21"/>
                <w:lang w:eastAsia="zh-CN"/>
              </w:rPr>
              <w:t>）</w:t>
            </w:r>
          </w:p>
        </w:tc>
        <w:tc>
          <w:tcPr>
            <w:tcW w:w="6926" w:type="dxa"/>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21</w:t>
            </w:r>
            <w:r>
              <w:rPr>
                <w:rFonts w:hint="eastAsia" w:ascii="宋体" w:hAnsi="宋体" w:eastAsia="宋体" w:cs="宋体"/>
                <w:color w:val="000000"/>
                <w:sz w:val="21"/>
                <w:szCs w:val="21"/>
                <w:lang w:val="en-US" w:eastAsia="zh-CN"/>
              </w:rPr>
              <w:t>（取整）</w:t>
            </w:r>
          </w:p>
        </w:tc>
      </w:tr>
    </w:tbl>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hint="eastAsia" w:ascii="宋体" w:hAnsi="宋体" w:cs="宋体"/>
          <w:color w:val="000000"/>
          <w:sz w:val="24"/>
          <w:szCs w:val="24"/>
          <w:lang w:val="en-US" w:eastAsia="zh-CN"/>
        </w:rPr>
      </w:pPr>
      <w:r>
        <w:rPr>
          <w:rFonts w:hint="eastAsia" w:ascii="宋体" w:hAnsi="宋体" w:cs="宋体"/>
          <w:color w:val="auto"/>
          <w:sz w:val="24"/>
          <w:szCs w:val="24"/>
        </w:rPr>
        <w:t xml:space="preserve">  </w:t>
      </w:r>
      <w:r>
        <w:rPr>
          <w:rFonts w:hint="eastAsia" w:ascii="宋体" w:hAnsi="宋体" w:cs="宋体"/>
          <w:color w:val="000000"/>
          <w:sz w:val="24"/>
          <w:szCs w:val="24"/>
          <w:lang w:val="en-US" w:eastAsia="zh-CN"/>
        </w:rPr>
        <w:t>2、净收益的计算</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hint="eastAsia" w:ascii="宋体" w:hAnsi="宋体" w:cs="宋体"/>
          <w:color w:val="auto"/>
          <w:sz w:val="24"/>
          <w:szCs w:val="24"/>
        </w:rPr>
      </w:pPr>
      <w:r>
        <w:rPr>
          <w:rFonts w:hint="eastAsia" w:ascii="宋体" w:hAnsi="宋体" w:cs="宋体"/>
          <w:color w:val="000000"/>
          <w:sz w:val="24"/>
          <w:szCs w:val="24"/>
        </w:rPr>
        <w:t>根据</w:t>
      </w:r>
      <w:r>
        <w:rPr>
          <w:rFonts w:hint="eastAsia" w:ascii="宋体" w:hAnsi="宋体" w:cs="宋体"/>
          <w:color w:val="000000"/>
          <w:sz w:val="24"/>
          <w:szCs w:val="24"/>
          <w:lang w:eastAsia="zh-CN"/>
        </w:rPr>
        <w:t>上文以求取的市场租金</w:t>
      </w:r>
      <w:r>
        <w:rPr>
          <w:rFonts w:hint="eastAsia" w:ascii="宋体" w:hAnsi="宋体" w:cs="宋体"/>
          <w:color w:val="000000"/>
          <w:sz w:val="24"/>
          <w:szCs w:val="24"/>
        </w:rPr>
        <w:t>，确定估价对象潜在的租金水平及租赁运营状况如下</w:t>
      </w:r>
      <w:r>
        <w:rPr>
          <w:rFonts w:hint="eastAsia" w:ascii="宋体" w:hAnsi="宋体" w:cs="宋体"/>
          <w:color w:val="000000"/>
          <w:sz w:val="24"/>
          <w:szCs w:val="24"/>
          <w:lang w:eastAsia="zh-CN"/>
        </w:rPr>
        <w:t>：</w:t>
      </w:r>
      <w:r>
        <w:rPr>
          <w:rFonts w:hint="eastAsia" w:ascii="宋体" w:hAnsi="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right"/>
        <w:textAlignment w:val="auto"/>
        <w:outlineLvl w:val="9"/>
        <w:rPr>
          <w:rFonts w:hint="default" w:ascii="宋体" w:hAnsi="宋体" w:cs="宋体"/>
          <w:color w:val="auto"/>
          <w:sz w:val="24"/>
          <w:szCs w:val="24"/>
          <w:lang w:val="en-US"/>
        </w:rPr>
      </w:pP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 xml:space="preserve"> 净收益计算明细表                         </w:t>
      </w:r>
      <w:r>
        <w:rPr>
          <w:rFonts w:hint="eastAsia" w:ascii="宋体" w:hAnsi="宋体" w:eastAsia="宋体" w:cs="宋体"/>
          <w:sz w:val="24"/>
          <w:szCs w:val="24"/>
          <w:lang w:eastAsia="zh-CN"/>
        </w:rPr>
        <w:t>技</w:t>
      </w:r>
      <w:r>
        <w:rPr>
          <w:rFonts w:hint="eastAsia" w:ascii="宋体" w:hAnsi="宋体" w:eastAsia="宋体" w:cs="宋体"/>
          <w:sz w:val="24"/>
          <w:szCs w:val="24"/>
        </w:rPr>
        <w:t>表</w:t>
      </w:r>
      <w:r>
        <w:rPr>
          <w:rFonts w:hint="eastAsia" w:ascii="宋体" w:hAnsi="宋体" w:eastAsia="宋体" w:cs="宋体"/>
          <w:sz w:val="24"/>
          <w:szCs w:val="24"/>
          <w:lang w:val="en-US" w:eastAsia="zh-CN"/>
        </w:rPr>
        <w:t>21</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2850"/>
        <w:gridCol w:w="1362"/>
        <w:gridCol w:w="4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序号</w:t>
            </w:r>
          </w:p>
        </w:tc>
        <w:tc>
          <w:tcPr>
            <w:tcW w:w="285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内容</w:t>
            </w:r>
          </w:p>
        </w:tc>
        <w:tc>
          <w:tcPr>
            <w:tcW w:w="136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数量</w:t>
            </w:r>
          </w:p>
        </w:tc>
        <w:tc>
          <w:tcPr>
            <w:tcW w:w="437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1</w:t>
            </w:r>
          </w:p>
        </w:tc>
        <w:tc>
          <w:tcPr>
            <w:tcW w:w="285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房地产年有效毛收入</w:t>
            </w:r>
          </w:p>
        </w:tc>
        <w:tc>
          <w:tcPr>
            <w:tcW w:w="136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20" w:lineRule="exact"/>
              <w:ind w:left="0" w:leftChars="0" w:right="0" w:rightChars="0" w:firstLine="0" w:firstLineChars="0"/>
              <w:jc w:val="center"/>
              <w:textAlignment w:val="auto"/>
              <w:outlineLvl w:val="9"/>
              <w:rPr>
                <w:rFonts w:hint="default" w:ascii="宋体" w:hAnsi="宋体" w:eastAsia="宋体" w:cs="宋体"/>
                <w:sz w:val="21"/>
                <w:szCs w:val="21"/>
                <w:vertAlign w:val="baseline"/>
                <w:lang w:val="en-US" w:eastAsia="zh-CN"/>
              </w:rPr>
            </w:pPr>
            <w:r>
              <w:rPr>
                <w:rFonts w:hint="eastAsia" w:ascii="宋体" w:hAnsi="宋体" w:cs="宋体"/>
                <w:color w:val="000000"/>
                <w:szCs w:val="21"/>
                <w:lang w:val="en-US" w:eastAsia="zh-CN"/>
              </w:rPr>
              <w:t>241.5</w:t>
            </w:r>
          </w:p>
        </w:tc>
        <w:tc>
          <w:tcPr>
            <w:tcW w:w="437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w:t>
            </w:r>
            <w:r>
              <w:rPr>
                <w:rFonts w:hint="eastAsia" w:ascii="宋体" w:hAnsi="宋体" w:cs="宋体"/>
                <w:sz w:val="21"/>
                <w:szCs w:val="21"/>
                <w:vertAlign w:val="baseline"/>
                <w:lang w:val="en-US" w:eastAsia="zh-CN"/>
              </w:rPr>
              <w:t>1</w:t>
            </w:r>
            <w:r>
              <w:rPr>
                <w:rFonts w:hint="eastAsia" w:ascii="宋体" w:hAnsi="宋体" w:cs="宋体"/>
                <w:sz w:val="21"/>
                <w:szCs w:val="21"/>
                <w:vertAlign w:val="baseline"/>
                <w:lang w:eastAsia="zh-CN"/>
              </w:rPr>
              <w:t>）</w:t>
            </w:r>
          </w:p>
        </w:tc>
        <w:tc>
          <w:tcPr>
            <w:tcW w:w="285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年租金潜在毛收入（元</w:t>
            </w:r>
            <w:r>
              <w:rPr>
                <w:rFonts w:hint="eastAsia" w:ascii="宋体" w:hAnsi="宋体" w:cs="宋体"/>
                <w:sz w:val="21"/>
                <w:szCs w:val="21"/>
                <w:vertAlign w:val="baseline"/>
                <w:lang w:val="en-US" w:eastAsia="zh-CN"/>
              </w:rPr>
              <w:t>/</w:t>
            </w:r>
            <w:r>
              <w:rPr>
                <w:rFonts w:hint="eastAsia" w:ascii="宋体" w:hAnsi="宋体" w:cs="宋体"/>
                <w:szCs w:val="21"/>
              </w:rPr>
              <w:t>m</w:t>
            </w:r>
            <w:r>
              <w:rPr>
                <w:rFonts w:hint="eastAsia" w:ascii="宋体" w:hAnsi="宋体" w:cs="宋体"/>
                <w:szCs w:val="21"/>
                <w:vertAlign w:val="superscript"/>
              </w:rPr>
              <w:t>2</w:t>
            </w:r>
            <w:r>
              <w:rPr>
                <w:rFonts w:hint="eastAsia" w:ascii="宋体" w:hAnsi="宋体" w:cs="宋体"/>
                <w:sz w:val="21"/>
                <w:szCs w:val="21"/>
                <w:vertAlign w:val="baseline"/>
                <w:lang w:eastAsia="zh-CN"/>
              </w:rPr>
              <w:t>）</w:t>
            </w:r>
          </w:p>
        </w:tc>
        <w:tc>
          <w:tcPr>
            <w:tcW w:w="136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20" w:lineRule="exact"/>
              <w:ind w:left="0" w:leftChars="0" w:right="0" w:rightChars="0" w:firstLine="0" w:firstLineChars="0"/>
              <w:jc w:val="center"/>
              <w:textAlignment w:val="auto"/>
              <w:outlineLvl w:val="9"/>
              <w:rPr>
                <w:rFonts w:hint="default" w:ascii="宋体" w:hAnsi="宋体" w:eastAsia="宋体" w:cs="宋体"/>
                <w:sz w:val="21"/>
                <w:szCs w:val="21"/>
                <w:vertAlign w:val="baseline"/>
                <w:lang w:val="en-US" w:eastAsia="zh-CN"/>
              </w:rPr>
            </w:pPr>
            <w:r>
              <w:rPr>
                <w:rFonts w:hint="eastAsia" w:ascii="宋体" w:hAnsi="宋体" w:cs="宋体"/>
                <w:color w:val="000000"/>
                <w:szCs w:val="21"/>
                <w:lang w:val="en-US" w:eastAsia="zh-CN"/>
              </w:rPr>
              <w:t>252</w:t>
            </w:r>
          </w:p>
        </w:tc>
        <w:tc>
          <w:tcPr>
            <w:tcW w:w="437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不含税月租金为</w:t>
            </w:r>
            <w:r>
              <w:rPr>
                <w:rFonts w:hint="eastAsia" w:ascii="宋体" w:hAnsi="宋体" w:cs="宋体"/>
                <w:sz w:val="21"/>
                <w:szCs w:val="21"/>
                <w:vertAlign w:val="baseline"/>
                <w:lang w:val="en-US" w:eastAsia="zh-CN"/>
              </w:rPr>
              <w:t>21元/</w:t>
            </w:r>
            <w:r>
              <w:rPr>
                <w:rFonts w:hint="eastAsia" w:ascii="宋体" w:hAnsi="宋体" w:cs="宋体"/>
                <w:szCs w:val="21"/>
              </w:rPr>
              <w:t>m</w:t>
            </w:r>
            <w:r>
              <w:rPr>
                <w:rFonts w:hint="eastAsia" w:ascii="宋体" w:hAnsi="宋体" w:cs="宋体"/>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w:t>
            </w:r>
            <w:r>
              <w:rPr>
                <w:rFonts w:hint="eastAsia" w:ascii="宋体" w:hAnsi="宋体" w:cs="宋体"/>
                <w:sz w:val="21"/>
                <w:szCs w:val="21"/>
                <w:vertAlign w:val="baseline"/>
                <w:lang w:val="en-US" w:eastAsia="zh-CN"/>
              </w:rPr>
              <w:t>2</w:t>
            </w:r>
            <w:r>
              <w:rPr>
                <w:rFonts w:hint="eastAsia" w:ascii="宋体" w:hAnsi="宋体" w:cs="宋体"/>
                <w:sz w:val="21"/>
                <w:szCs w:val="21"/>
                <w:vertAlign w:val="baseline"/>
                <w:lang w:eastAsia="zh-CN"/>
              </w:rPr>
              <w:t>）</w:t>
            </w:r>
          </w:p>
        </w:tc>
        <w:tc>
          <w:tcPr>
            <w:tcW w:w="285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空置和租金损失（元</w:t>
            </w:r>
            <w:r>
              <w:rPr>
                <w:rFonts w:hint="eastAsia" w:ascii="宋体" w:hAnsi="宋体" w:cs="宋体"/>
                <w:sz w:val="21"/>
                <w:szCs w:val="21"/>
                <w:vertAlign w:val="baseline"/>
                <w:lang w:val="en-US" w:eastAsia="zh-CN"/>
              </w:rPr>
              <w:t>/</w:t>
            </w:r>
            <w:r>
              <w:rPr>
                <w:rFonts w:hint="eastAsia" w:ascii="宋体" w:hAnsi="宋体" w:cs="宋体"/>
                <w:szCs w:val="21"/>
              </w:rPr>
              <w:t>m</w:t>
            </w:r>
            <w:r>
              <w:rPr>
                <w:rFonts w:hint="eastAsia" w:ascii="宋体" w:hAnsi="宋体" w:cs="宋体"/>
                <w:szCs w:val="21"/>
                <w:vertAlign w:val="superscript"/>
              </w:rPr>
              <w:t>2</w:t>
            </w:r>
            <w:r>
              <w:rPr>
                <w:rFonts w:hint="eastAsia" w:ascii="宋体" w:hAnsi="宋体" w:cs="宋体"/>
                <w:sz w:val="21"/>
                <w:szCs w:val="21"/>
                <w:vertAlign w:val="baseline"/>
                <w:lang w:eastAsia="zh-CN"/>
              </w:rPr>
              <w:t>）</w:t>
            </w:r>
          </w:p>
        </w:tc>
        <w:tc>
          <w:tcPr>
            <w:tcW w:w="136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20" w:lineRule="exact"/>
              <w:ind w:left="0" w:leftChars="0" w:right="0" w:rightChars="0" w:firstLine="0" w:firstLineChars="0"/>
              <w:jc w:val="center"/>
              <w:textAlignment w:val="auto"/>
              <w:outlineLvl w:val="9"/>
              <w:rPr>
                <w:rFonts w:hint="default" w:ascii="宋体" w:hAnsi="宋体" w:eastAsia="宋体" w:cs="宋体"/>
                <w:sz w:val="21"/>
                <w:szCs w:val="21"/>
                <w:vertAlign w:val="baseline"/>
                <w:lang w:val="en-US" w:eastAsia="zh-CN"/>
              </w:rPr>
            </w:pPr>
            <w:r>
              <w:rPr>
                <w:rFonts w:hint="eastAsia" w:ascii="宋体" w:hAnsi="宋体" w:eastAsia="宋体" w:cs="宋体"/>
                <w:color w:val="000000"/>
                <w:szCs w:val="21"/>
                <w:lang w:val="en-US" w:eastAsia="zh-CN"/>
              </w:rPr>
              <w:t>10</w:t>
            </w:r>
            <w:r>
              <w:rPr>
                <w:rFonts w:hint="eastAsia" w:ascii="宋体" w:hAnsi="宋体" w:cs="宋体"/>
                <w:color w:val="000000"/>
                <w:szCs w:val="21"/>
                <w:lang w:val="en-US" w:eastAsia="zh-CN"/>
              </w:rPr>
              <w:t>.5</w:t>
            </w:r>
          </w:p>
        </w:tc>
        <w:tc>
          <w:tcPr>
            <w:tcW w:w="437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空置率和租金损失取值</w:t>
            </w:r>
            <w:r>
              <w:rPr>
                <w:rFonts w:hint="eastAsia" w:ascii="宋体" w:hAnsi="宋体" w:cs="宋体"/>
                <w:sz w:val="21"/>
                <w:szCs w:val="21"/>
                <w:vertAlign w:val="baseline"/>
                <w:lang w:val="en-US" w:eastAsia="zh-CN"/>
              </w:rPr>
              <w:t>0.5个月租金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w:t>
            </w:r>
            <w:r>
              <w:rPr>
                <w:rFonts w:hint="eastAsia" w:ascii="宋体" w:hAnsi="宋体" w:cs="宋体"/>
                <w:sz w:val="21"/>
                <w:szCs w:val="21"/>
                <w:vertAlign w:val="baseline"/>
                <w:lang w:val="en-US" w:eastAsia="zh-CN"/>
              </w:rPr>
              <w:t>3</w:t>
            </w:r>
            <w:r>
              <w:rPr>
                <w:rFonts w:hint="eastAsia" w:ascii="宋体" w:hAnsi="宋体" w:cs="宋体"/>
                <w:sz w:val="21"/>
                <w:szCs w:val="21"/>
                <w:vertAlign w:val="baseline"/>
                <w:lang w:eastAsia="zh-CN"/>
              </w:rPr>
              <w:t>）</w:t>
            </w:r>
          </w:p>
        </w:tc>
        <w:tc>
          <w:tcPr>
            <w:tcW w:w="285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其他收入（元</w:t>
            </w:r>
            <w:r>
              <w:rPr>
                <w:rFonts w:hint="eastAsia" w:ascii="宋体" w:hAnsi="宋体" w:cs="宋体"/>
                <w:sz w:val="21"/>
                <w:szCs w:val="21"/>
                <w:vertAlign w:val="baseline"/>
                <w:lang w:val="en-US" w:eastAsia="zh-CN"/>
              </w:rPr>
              <w:t>/</w:t>
            </w:r>
            <w:r>
              <w:rPr>
                <w:rFonts w:hint="eastAsia" w:ascii="宋体" w:hAnsi="宋体" w:cs="宋体"/>
                <w:szCs w:val="21"/>
              </w:rPr>
              <w:t>m</w:t>
            </w:r>
            <w:r>
              <w:rPr>
                <w:rFonts w:hint="eastAsia" w:ascii="宋体" w:hAnsi="宋体" w:cs="宋体"/>
                <w:szCs w:val="21"/>
                <w:vertAlign w:val="superscript"/>
              </w:rPr>
              <w:t>2</w:t>
            </w:r>
            <w:r>
              <w:rPr>
                <w:rFonts w:hint="eastAsia" w:ascii="宋体" w:hAnsi="宋体" w:cs="宋体"/>
                <w:sz w:val="21"/>
                <w:szCs w:val="21"/>
                <w:vertAlign w:val="baseline"/>
                <w:lang w:eastAsia="zh-CN"/>
              </w:rPr>
              <w:t>）</w:t>
            </w:r>
          </w:p>
        </w:tc>
        <w:tc>
          <w:tcPr>
            <w:tcW w:w="136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2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color w:val="000000"/>
                <w:szCs w:val="21"/>
                <w:lang w:val="en-US" w:eastAsia="zh-CN"/>
              </w:rPr>
              <w:t>0</w:t>
            </w:r>
          </w:p>
        </w:tc>
        <w:tc>
          <w:tcPr>
            <w:tcW w:w="437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由于押金产生的利息较小，本次估价忽略不计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cs="宋体"/>
                <w:sz w:val="21"/>
                <w:szCs w:val="21"/>
                <w:vertAlign w:val="baseline"/>
                <w:lang w:eastAsia="zh-CN"/>
              </w:rPr>
            </w:pPr>
            <w:r>
              <w:rPr>
                <w:rFonts w:hint="eastAsia" w:ascii="宋体" w:hAnsi="宋体" w:cs="宋体"/>
                <w:sz w:val="21"/>
                <w:szCs w:val="21"/>
                <w:vertAlign w:val="baseline"/>
                <w:lang w:eastAsia="zh-CN"/>
              </w:rPr>
              <w:t>（</w:t>
            </w:r>
            <w:r>
              <w:rPr>
                <w:rFonts w:hint="eastAsia" w:ascii="宋体" w:hAnsi="宋体" w:cs="宋体"/>
                <w:sz w:val="21"/>
                <w:szCs w:val="21"/>
                <w:vertAlign w:val="baseline"/>
                <w:lang w:val="en-US" w:eastAsia="zh-CN"/>
              </w:rPr>
              <w:t>4</w:t>
            </w:r>
            <w:r>
              <w:rPr>
                <w:rFonts w:hint="eastAsia" w:ascii="宋体" w:hAnsi="宋体" w:cs="宋体"/>
                <w:sz w:val="21"/>
                <w:szCs w:val="21"/>
                <w:vertAlign w:val="baseline"/>
                <w:lang w:eastAsia="zh-CN"/>
              </w:rPr>
              <w:t>）</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eastAsia="宋体" w:cs="宋体"/>
                <w:szCs w:val="21"/>
              </w:rPr>
              <w:t>年净收益增长率</w:t>
            </w:r>
          </w:p>
        </w:tc>
        <w:tc>
          <w:tcPr>
            <w:tcW w:w="136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2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cs="宋体"/>
                <w:color w:val="000000"/>
                <w:szCs w:val="21"/>
                <w:lang w:val="en-US" w:eastAsia="zh-CN"/>
              </w:rPr>
              <w:t>2.0</w:t>
            </w:r>
            <w:r>
              <w:rPr>
                <w:rFonts w:hint="eastAsia" w:ascii="宋体" w:hAnsi="宋体" w:eastAsia="宋体" w:cs="宋体"/>
                <w:color w:val="000000"/>
                <w:szCs w:val="21"/>
                <w:lang w:val="en-US" w:eastAsia="zh-CN"/>
              </w:rPr>
              <w:t>%</w:t>
            </w:r>
          </w:p>
        </w:tc>
        <w:tc>
          <w:tcPr>
            <w:tcW w:w="4371"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eastAsia="宋体" w:cs="宋体"/>
                <w:szCs w:val="21"/>
              </w:rPr>
              <w:t>预计估价对象未来每年的净收益会在上一年的基础上增长</w:t>
            </w:r>
            <w:r>
              <w:rPr>
                <w:rFonts w:hint="eastAsia" w:ascii="宋体" w:hAnsi="宋体" w:cs="宋体"/>
                <w:szCs w:val="21"/>
                <w:lang w:val="en-US" w:eastAsia="zh-CN"/>
              </w:rPr>
              <w:t>2.0</w:t>
            </w: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2</w:t>
            </w:r>
          </w:p>
        </w:tc>
        <w:tc>
          <w:tcPr>
            <w:tcW w:w="285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年运营费用（元</w:t>
            </w:r>
            <w:r>
              <w:rPr>
                <w:rFonts w:hint="eastAsia" w:ascii="宋体" w:hAnsi="宋体" w:cs="宋体"/>
                <w:sz w:val="21"/>
                <w:szCs w:val="21"/>
                <w:vertAlign w:val="baseline"/>
                <w:lang w:val="en-US" w:eastAsia="zh-CN"/>
              </w:rPr>
              <w:t>/</w:t>
            </w:r>
            <w:r>
              <w:rPr>
                <w:rFonts w:hint="eastAsia" w:ascii="宋体" w:hAnsi="宋体" w:cs="宋体"/>
                <w:szCs w:val="21"/>
              </w:rPr>
              <w:t>m</w:t>
            </w:r>
            <w:r>
              <w:rPr>
                <w:rFonts w:hint="eastAsia" w:ascii="宋体" w:hAnsi="宋体" w:cs="宋体"/>
                <w:szCs w:val="21"/>
                <w:vertAlign w:val="superscript"/>
              </w:rPr>
              <w:t>2</w:t>
            </w:r>
            <w:r>
              <w:rPr>
                <w:rFonts w:hint="eastAsia" w:ascii="宋体" w:hAnsi="宋体" w:cs="宋体"/>
                <w:sz w:val="21"/>
                <w:szCs w:val="21"/>
                <w:vertAlign w:val="baseline"/>
                <w:lang w:eastAsia="zh-CN"/>
              </w:rPr>
              <w:t>）</w:t>
            </w:r>
          </w:p>
        </w:tc>
        <w:tc>
          <w:tcPr>
            <w:tcW w:w="136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宋体" w:hAnsi="宋体" w:eastAsia="宋体" w:cs="宋体"/>
                <w:sz w:val="21"/>
                <w:szCs w:val="21"/>
                <w:vertAlign w:val="baseline"/>
                <w:lang w:val="en-US" w:eastAsia="zh-CN"/>
              </w:rPr>
            </w:pPr>
            <w:r>
              <w:rPr>
                <w:rFonts w:hint="eastAsia" w:ascii="宋体" w:hAnsi="宋体" w:cs="宋体"/>
                <w:color w:val="000000"/>
                <w:szCs w:val="21"/>
                <w:lang w:val="en-US" w:eastAsia="zh-CN"/>
              </w:rPr>
              <w:t>41.02</w:t>
            </w:r>
          </w:p>
        </w:tc>
        <w:tc>
          <w:tcPr>
            <w:tcW w:w="437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w:t>
            </w:r>
            <w:r>
              <w:rPr>
                <w:rFonts w:hint="eastAsia" w:ascii="宋体" w:hAnsi="宋体" w:cs="宋体"/>
                <w:sz w:val="21"/>
                <w:szCs w:val="21"/>
                <w:vertAlign w:val="baseline"/>
                <w:lang w:val="en-US" w:eastAsia="zh-CN"/>
              </w:rPr>
              <w:t>1</w:t>
            </w:r>
            <w:r>
              <w:rPr>
                <w:rFonts w:hint="eastAsia" w:ascii="宋体" w:hAnsi="宋体" w:cs="宋体"/>
                <w:sz w:val="21"/>
                <w:szCs w:val="21"/>
                <w:vertAlign w:val="baseline"/>
                <w:lang w:eastAsia="zh-CN"/>
              </w:rPr>
              <w:t>）</w:t>
            </w:r>
            <w:r>
              <w:rPr>
                <w:rFonts w:hint="eastAsia" w:ascii="宋体" w:hAnsi="宋体" w:cs="宋体"/>
                <w:sz w:val="21"/>
                <w:szCs w:val="21"/>
                <w:vertAlign w:val="baseline"/>
                <w:lang w:val="en-US" w:eastAsia="zh-CN"/>
              </w:rPr>
              <w:t>+（2）+（3）+（4）+（5）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w:t>
            </w:r>
            <w:r>
              <w:rPr>
                <w:rFonts w:hint="eastAsia" w:ascii="宋体" w:hAnsi="宋体" w:cs="宋体"/>
                <w:sz w:val="21"/>
                <w:szCs w:val="21"/>
                <w:vertAlign w:val="baseline"/>
                <w:lang w:val="en-US" w:eastAsia="zh-CN"/>
              </w:rPr>
              <w:t>1</w:t>
            </w:r>
            <w:r>
              <w:rPr>
                <w:rFonts w:hint="eastAsia" w:ascii="宋体" w:hAnsi="宋体" w:cs="宋体"/>
                <w:sz w:val="21"/>
                <w:szCs w:val="21"/>
                <w:vertAlign w:val="baseline"/>
                <w:lang w:eastAsia="zh-CN"/>
              </w:rPr>
              <w:t>）</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维修费（元</w:t>
            </w:r>
            <w:r>
              <w:rPr>
                <w:rFonts w:hint="eastAsia" w:ascii="宋体" w:hAnsi="宋体" w:cs="宋体"/>
                <w:sz w:val="21"/>
                <w:szCs w:val="21"/>
                <w:vertAlign w:val="baseline"/>
                <w:lang w:val="en-US" w:eastAsia="zh-CN"/>
              </w:rPr>
              <w:t>/</w:t>
            </w:r>
            <w:r>
              <w:rPr>
                <w:rFonts w:hint="eastAsia" w:ascii="宋体" w:hAnsi="宋体" w:cs="宋体"/>
                <w:szCs w:val="21"/>
              </w:rPr>
              <w:t>m</w:t>
            </w:r>
            <w:r>
              <w:rPr>
                <w:rFonts w:hint="eastAsia" w:ascii="宋体" w:hAnsi="宋体" w:cs="宋体"/>
                <w:szCs w:val="21"/>
                <w:vertAlign w:val="superscript"/>
              </w:rPr>
              <w:t>2</w:t>
            </w:r>
            <w:r>
              <w:rPr>
                <w:rFonts w:hint="eastAsia" w:ascii="宋体" w:hAnsi="宋体" w:cs="宋体"/>
                <w:sz w:val="21"/>
                <w:szCs w:val="21"/>
                <w:vertAlign w:val="baseline"/>
                <w:lang w:eastAsia="zh-CN"/>
              </w:rPr>
              <w:t>）</w:t>
            </w:r>
          </w:p>
        </w:tc>
        <w:tc>
          <w:tcPr>
            <w:tcW w:w="136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宋体" w:hAnsi="宋体" w:eastAsia="宋体" w:cs="宋体"/>
                <w:sz w:val="21"/>
                <w:szCs w:val="21"/>
                <w:vertAlign w:val="baseline"/>
                <w:lang w:val="en-US" w:eastAsia="zh-CN"/>
              </w:rPr>
            </w:pPr>
            <w:r>
              <w:rPr>
                <w:rFonts w:hint="eastAsia" w:ascii="宋体" w:hAnsi="宋体" w:eastAsia="宋体" w:cs="宋体"/>
                <w:color w:val="000000"/>
                <w:szCs w:val="21"/>
                <w:lang w:val="en-US" w:eastAsia="zh-CN"/>
              </w:rPr>
              <w:t>33</w:t>
            </w:r>
          </w:p>
        </w:tc>
        <w:tc>
          <w:tcPr>
            <w:tcW w:w="437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指为保证房屋正常使用每年需支付的修缮费用，根据当地建筑造价指标资料，同类房屋重置价为</w:t>
            </w:r>
            <w:r>
              <w:rPr>
                <w:rFonts w:hint="eastAsia" w:ascii="宋体" w:hAnsi="宋体" w:cs="宋体"/>
                <w:sz w:val="21"/>
                <w:szCs w:val="21"/>
                <w:vertAlign w:val="baseline"/>
                <w:lang w:val="en-US" w:eastAsia="zh-CN"/>
              </w:rPr>
              <w:t>2200元/</w:t>
            </w:r>
            <w:r>
              <w:rPr>
                <w:rFonts w:hint="eastAsia" w:ascii="宋体" w:hAnsi="宋体" w:cs="宋体"/>
                <w:szCs w:val="21"/>
              </w:rPr>
              <w:t>m</w:t>
            </w:r>
            <w:r>
              <w:rPr>
                <w:rFonts w:hint="eastAsia" w:ascii="宋体" w:hAnsi="宋体" w:cs="宋体"/>
                <w:szCs w:val="21"/>
                <w:vertAlign w:val="superscript"/>
              </w:rPr>
              <w:t>2</w:t>
            </w:r>
            <w:r>
              <w:rPr>
                <w:rFonts w:hint="eastAsia" w:ascii="宋体" w:hAnsi="宋体" w:cs="宋体"/>
                <w:sz w:val="21"/>
                <w:szCs w:val="21"/>
                <w:vertAlign w:val="baseline"/>
                <w:lang w:val="en-US" w:eastAsia="zh-CN"/>
              </w:rPr>
              <w:t>，维修费按正常水平及市场惯例取房屋重置价的1.5%计。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w:t>
            </w:r>
            <w:r>
              <w:rPr>
                <w:rFonts w:hint="eastAsia" w:ascii="宋体" w:hAnsi="宋体" w:cs="宋体"/>
                <w:sz w:val="21"/>
                <w:szCs w:val="21"/>
                <w:vertAlign w:val="baseline"/>
                <w:lang w:val="en-US" w:eastAsia="zh-CN"/>
              </w:rPr>
              <w:t>2</w:t>
            </w:r>
            <w:r>
              <w:rPr>
                <w:rFonts w:hint="eastAsia" w:ascii="宋体" w:hAnsi="宋体" w:cs="宋体"/>
                <w:sz w:val="21"/>
                <w:szCs w:val="21"/>
                <w:vertAlign w:val="baseline"/>
                <w:lang w:eastAsia="zh-CN"/>
              </w:rPr>
              <w:t>）</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管理费（元</w:t>
            </w:r>
            <w:r>
              <w:rPr>
                <w:rFonts w:hint="eastAsia" w:ascii="宋体" w:hAnsi="宋体" w:cs="宋体"/>
                <w:sz w:val="21"/>
                <w:szCs w:val="21"/>
                <w:vertAlign w:val="baseline"/>
                <w:lang w:val="en-US" w:eastAsia="zh-CN"/>
              </w:rPr>
              <w:t>/</w:t>
            </w:r>
            <w:r>
              <w:rPr>
                <w:rFonts w:hint="eastAsia" w:ascii="宋体" w:hAnsi="宋体" w:cs="宋体"/>
                <w:szCs w:val="21"/>
              </w:rPr>
              <w:t>m</w:t>
            </w:r>
            <w:r>
              <w:rPr>
                <w:rFonts w:hint="eastAsia" w:ascii="宋体" w:hAnsi="宋体" w:cs="宋体"/>
                <w:szCs w:val="21"/>
                <w:vertAlign w:val="superscript"/>
              </w:rPr>
              <w:t>2</w:t>
            </w:r>
            <w:r>
              <w:rPr>
                <w:rFonts w:hint="eastAsia" w:ascii="宋体" w:hAnsi="宋体" w:cs="宋体"/>
                <w:sz w:val="21"/>
                <w:szCs w:val="21"/>
                <w:vertAlign w:val="baseline"/>
                <w:lang w:eastAsia="zh-CN"/>
              </w:rPr>
              <w:t>）</w:t>
            </w:r>
          </w:p>
        </w:tc>
        <w:tc>
          <w:tcPr>
            <w:tcW w:w="136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宋体" w:hAnsi="宋体" w:eastAsia="宋体" w:cs="宋体"/>
                <w:sz w:val="21"/>
                <w:szCs w:val="21"/>
                <w:vertAlign w:val="baseline"/>
                <w:lang w:val="en-US" w:eastAsia="zh-CN"/>
              </w:rPr>
            </w:pPr>
            <w:r>
              <w:rPr>
                <w:rFonts w:hint="eastAsia" w:ascii="宋体" w:hAnsi="宋体" w:eastAsia="宋体" w:cs="宋体"/>
                <w:color w:val="000000"/>
                <w:szCs w:val="21"/>
                <w:lang w:val="en-US" w:eastAsia="zh-CN"/>
              </w:rPr>
              <w:t>3.</w:t>
            </w:r>
            <w:r>
              <w:rPr>
                <w:rFonts w:hint="eastAsia" w:ascii="宋体" w:hAnsi="宋体" w:cs="宋体"/>
                <w:color w:val="000000"/>
                <w:szCs w:val="21"/>
                <w:lang w:val="en-US" w:eastAsia="zh-CN"/>
              </w:rPr>
              <w:t>62</w:t>
            </w:r>
          </w:p>
        </w:tc>
        <w:tc>
          <w:tcPr>
            <w:tcW w:w="437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指为保证房屋正常使用每年需支付的惯例费用，按正常水平及市场惯例取房地产年有效毛收入的</w:t>
            </w:r>
            <w:r>
              <w:rPr>
                <w:rFonts w:hint="eastAsia" w:ascii="宋体" w:hAnsi="宋体" w:cs="宋体"/>
                <w:sz w:val="21"/>
                <w:szCs w:val="21"/>
                <w:vertAlign w:val="baseline"/>
                <w:lang w:val="en-US" w:eastAsia="zh-CN"/>
              </w:rPr>
              <w:t>1.5%计。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w:t>
            </w:r>
            <w:r>
              <w:rPr>
                <w:rFonts w:hint="eastAsia" w:ascii="宋体" w:hAnsi="宋体" w:cs="宋体"/>
                <w:sz w:val="21"/>
                <w:szCs w:val="21"/>
                <w:vertAlign w:val="baseline"/>
                <w:lang w:val="en-US" w:eastAsia="zh-CN"/>
              </w:rPr>
              <w:t>3</w:t>
            </w:r>
            <w:r>
              <w:rPr>
                <w:rFonts w:hint="eastAsia" w:ascii="宋体" w:hAnsi="宋体" w:cs="宋体"/>
                <w:sz w:val="21"/>
                <w:szCs w:val="21"/>
                <w:vertAlign w:val="baseline"/>
                <w:lang w:eastAsia="zh-CN"/>
              </w:rPr>
              <w:t>）</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保险费（元</w:t>
            </w:r>
            <w:r>
              <w:rPr>
                <w:rFonts w:hint="eastAsia" w:ascii="宋体" w:hAnsi="宋体" w:cs="宋体"/>
                <w:sz w:val="21"/>
                <w:szCs w:val="21"/>
                <w:vertAlign w:val="baseline"/>
                <w:lang w:val="en-US" w:eastAsia="zh-CN"/>
              </w:rPr>
              <w:t>/</w:t>
            </w:r>
            <w:r>
              <w:rPr>
                <w:rFonts w:hint="eastAsia" w:ascii="宋体" w:hAnsi="宋体" w:cs="宋体"/>
                <w:szCs w:val="21"/>
              </w:rPr>
              <w:t>m</w:t>
            </w:r>
            <w:r>
              <w:rPr>
                <w:rFonts w:hint="eastAsia" w:ascii="宋体" w:hAnsi="宋体" w:cs="宋体"/>
                <w:szCs w:val="21"/>
                <w:vertAlign w:val="superscript"/>
              </w:rPr>
              <w:t>2</w:t>
            </w:r>
            <w:r>
              <w:rPr>
                <w:rFonts w:hint="eastAsia" w:ascii="宋体" w:hAnsi="宋体" w:cs="宋体"/>
                <w:sz w:val="21"/>
                <w:szCs w:val="21"/>
                <w:vertAlign w:val="baseline"/>
                <w:lang w:eastAsia="zh-CN"/>
              </w:rPr>
              <w:t>）</w:t>
            </w:r>
          </w:p>
        </w:tc>
        <w:tc>
          <w:tcPr>
            <w:tcW w:w="136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宋体" w:hAnsi="宋体" w:eastAsia="宋体" w:cs="宋体"/>
                <w:sz w:val="21"/>
                <w:szCs w:val="21"/>
                <w:vertAlign w:val="baseline"/>
                <w:lang w:val="en-US" w:eastAsia="zh-CN"/>
              </w:rPr>
            </w:pPr>
            <w:r>
              <w:rPr>
                <w:rFonts w:hint="eastAsia" w:ascii="宋体" w:hAnsi="宋体" w:eastAsia="宋体" w:cs="宋体"/>
                <w:color w:val="000000"/>
                <w:szCs w:val="21"/>
                <w:lang w:val="en-US" w:eastAsia="zh-CN"/>
              </w:rPr>
              <w:t>4.4</w:t>
            </w:r>
          </w:p>
        </w:tc>
        <w:tc>
          <w:tcPr>
            <w:tcW w:w="437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指房产所有权人为使自己的房产避免意外损失而向保险公司支付的费用。按当地规定取房屋重置价格的</w:t>
            </w:r>
            <w:r>
              <w:rPr>
                <w:rFonts w:hint="eastAsia" w:ascii="宋体" w:hAnsi="宋体" w:cs="宋体"/>
                <w:sz w:val="21"/>
                <w:szCs w:val="21"/>
                <w:vertAlign w:val="baseline"/>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w:t>
            </w:r>
            <w:r>
              <w:rPr>
                <w:rFonts w:hint="eastAsia" w:ascii="宋体" w:hAnsi="宋体" w:cs="宋体"/>
                <w:sz w:val="21"/>
                <w:szCs w:val="21"/>
                <w:vertAlign w:val="baseline"/>
                <w:lang w:val="en-US" w:eastAsia="zh-CN"/>
              </w:rPr>
              <w:t>4</w:t>
            </w:r>
            <w:r>
              <w:rPr>
                <w:rFonts w:hint="eastAsia" w:ascii="宋体" w:hAnsi="宋体" w:cs="宋体"/>
                <w:sz w:val="21"/>
                <w:szCs w:val="21"/>
                <w:vertAlign w:val="baseline"/>
                <w:lang w:eastAsia="zh-CN"/>
              </w:rPr>
              <w:t>）</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房产税（元</w:t>
            </w:r>
            <w:r>
              <w:rPr>
                <w:rFonts w:hint="eastAsia" w:ascii="宋体" w:hAnsi="宋体" w:cs="宋体"/>
                <w:sz w:val="21"/>
                <w:szCs w:val="21"/>
                <w:vertAlign w:val="baseline"/>
                <w:lang w:val="en-US" w:eastAsia="zh-CN"/>
              </w:rPr>
              <w:t>/</w:t>
            </w:r>
            <w:r>
              <w:rPr>
                <w:rFonts w:hint="eastAsia" w:ascii="宋体" w:hAnsi="宋体" w:cs="宋体"/>
                <w:szCs w:val="21"/>
              </w:rPr>
              <w:t>m</w:t>
            </w:r>
            <w:r>
              <w:rPr>
                <w:rFonts w:hint="eastAsia" w:ascii="宋体" w:hAnsi="宋体" w:cs="宋体"/>
                <w:szCs w:val="21"/>
                <w:vertAlign w:val="superscript"/>
              </w:rPr>
              <w:t>2</w:t>
            </w:r>
            <w:r>
              <w:rPr>
                <w:rFonts w:hint="eastAsia" w:ascii="宋体" w:hAnsi="宋体" w:cs="宋体"/>
                <w:sz w:val="21"/>
                <w:szCs w:val="21"/>
                <w:vertAlign w:val="baseline"/>
                <w:lang w:eastAsia="zh-CN"/>
              </w:rPr>
              <w:t>）</w:t>
            </w:r>
          </w:p>
        </w:tc>
        <w:tc>
          <w:tcPr>
            <w:tcW w:w="136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2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color w:val="000000"/>
                <w:szCs w:val="21"/>
                <w:lang w:val="en-US" w:eastAsia="zh-CN"/>
              </w:rPr>
              <w:t>0</w:t>
            </w:r>
          </w:p>
        </w:tc>
        <w:tc>
          <w:tcPr>
            <w:tcW w:w="437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不计，有效毛收入不含税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w:t>
            </w:r>
            <w:r>
              <w:rPr>
                <w:rFonts w:hint="eastAsia" w:ascii="宋体" w:hAnsi="宋体" w:cs="宋体"/>
                <w:sz w:val="21"/>
                <w:szCs w:val="21"/>
                <w:vertAlign w:val="baseline"/>
                <w:lang w:val="en-US" w:eastAsia="zh-CN"/>
              </w:rPr>
              <w:t>5</w:t>
            </w:r>
            <w:r>
              <w:rPr>
                <w:rFonts w:hint="eastAsia" w:ascii="宋体" w:hAnsi="宋体" w:cs="宋体"/>
                <w:sz w:val="21"/>
                <w:szCs w:val="21"/>
                <w:vertAlign w:val="baseline"/>
                <w:lang w:eastAsia="zh-CN"/>
              </w:rPr>
              <w:t>）</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增值税及附加费（元</w:t>
            </w:r>
            <w:r>
              <w:rPr>
                <w:rFonts w:hint="eastAsia" w:ascii="宋体" w:hAnsi="宋体" w:cs="宋体"/>
                <w:sz w:val="21"/>
                <w:szCs w:val="21"/>
                <w:vertAlign w:val="baseline"/>
                <w:lang w:val="en-US" w:eastAsia="zh-CN"/>
              </w:rPr>
              <w:t>/</w:t>
            </w:r>
            <w:r>
              <w:rPr>
                <w:rFonts w:hint="eastAsia" w:ascii="宋体" w:hAnsi="宋体" w:cs="宋体"/>
                <w:szCs w:val="21"/>
              </w:rPr>
              <w:t>m</w:t>
            </w:r>
            <w:r>
              <w:rPr>
                <w:rFonts w:hint="eastAsia" w:ascii="宋体" w:hAnsi="宋体" w:cs="宋体"/>
                <w:szCs w:val="21"/>
                <w:vertAlign w:val="superscript"/>
              </w:rPr>
              <w:t>2</w:t>
            </w:r>
            <w:r>
              <w:rPr>
                <w:rFonts w:hint="eastAsia" w:ascii="宋体" w:hAnsi="宋体" w:cs="宋体"/>
                <w:sz w:val="21"/>
                <w:szCs w:val="21"/>
                <w:vertAlign w:val="baseline"/>
                <w:lang w:eastAsia="zh-CN"/>
              </w:rPr>
              <w:t>）</w:t>
            </w:r>
          </w:p>
        </w:tc>
        <w:tc>
          <w:tcPr>
            <w:tcW w:w="136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2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color w:val="000000"/>
                <w:szCs w:val="21"/>
                <w:lang w:val="en-US" w:eastAsia="zh-CN"/>
              </w:rPr>
              <w:t>0</w:t>
            </w:r>
          </w:p>
        </w:tc>
        <w:tc>
          <w:tcPr>
            <w:tcW w:w="437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不计，有效毛收入不含税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3</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eastAsia="zh-CN"/>
              </w:rPr>
            </w:pPr>
            <w:r>
              <w:rPr>
                <w:rFonts w:hint="eastAsia" w:ascii="宋体" w:hAnsi="宋体" w:cs="宋体"/>
                <w:sz w:val="21"/>
                <w:szCs w:val="21"/>
                <w:vertAlign w:val="baseline"/>
                <w:lang w:eastAsia="zh-CN"/>
              </w:rPr>
              <w:t>房地产期间收益（元</w:t>
            </w:r>
            <w:r>
              <w:rPr>
                <w:rFonts w:hint="eastAsia" w:ascii="宋体" w:hAnsi="宋体" w:cs="宋体"/>
                <w:sz w:val="21"/>
                <w:szCs w:val="21"/>
                <w:vertAlign w:val="baseline"/>
                <w:lang w:val="en-US" w:eastAsia="zh-CN"/>
              </w:rPr>
              <w:t>/</w:t>
            </w:r>
            <w:r>
              <w:rPr>
                <w:rFonts w:hint="eastAsia" w:ascii="宋体" w:hAnsi="宋体" w:cs="宋体"/>
                <w:szCs w:val="21"/>
              </w:rPr>
              <w:t>m</w:t>
            </w:r>
            <w:r>
              <w:rPr>
                <w:rFonts w:hint="eastAsia" w:ascii="宋体" w:hAnsi="宋体" w:cs="宋体"/>
                <w:szCs w:val="21"/>
                <w:vertAlign w:val="superscript"/>
              </w:rPr>
              <w:t>2</w:t>
            </w:r>
            <w:r>
              <w:rPr>
                <w:rFonts w:hint="eastAsia" w:ascii="宋体" w:hAnsi="宋体" w:cs="宋体"/>
                <w:sz w:val="21"/>
                <w:szCs w:val="21"/>
                <w:vertAlign w:val="baseline"/>
                <w:lang w:eastAsia="zh-CN"/>
              </w:rPr>
              <w:t>）</w:t>
            </w:r>
          </w:p>
        </w:tc>
        <w:tc>
          <w:tcPr>
            <w:tcW w:w="136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20" w:lineRule="exact"/>
              <w:ind w:left="0" w:leftChars="0" w:right="0" w:rightChars="0" w:firstLine="0" w:firstLineChars="0"/>
              <w:jc w:val="center"/>
              <w:textAlignment w:val="auto"/>
              <w:outlineLvl w:val="9"/>
              <w:rPr>
                <w:rFonts w:hint="default" w:ascii="宋体" w:hAnsi="宋体" w:eastAsia="宋体" w:cs="宋体"/>
                <w:sz w:val="21"/>
                <w:szCs w:val="21"/>
                <w:vertAlign w:val="baseline"/>
                <w:lang w:val="en-US" w:eastAsia="zh-CN"/>
              </w:rPr>
            </w:pPr>
            <w:r>
              <w:rPr>
                <w:rFonts w:hint="eastAsia" w:ascii="宋体" w:hAnsi="宋体" w:cs="宋体"/>
                <w:color w:val="000000"/>
                <w:szCs w:val="21"/>
                <w:lang w:val="en-US" w:eastAsia="zh-CN"/>
              </w:rPr>
              <w:t>200.48</w:t>
            </w:r>
          </w:p>
        </w:tc>
        <w:tc>
          <w:tcPr>
            <w:tcW w:w="4371"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1-2</w:t>
            </w:r>
          </w:p>
        </w:tc>
      </w:tr>
    </w:tbl>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宋体" w:hAnsi="宋体" w:cs="宋体"/>
          <w:color w:val="auto"/>
          <w:sz w:val="24"/>
          <w:szCs w:val="24"/>
        </w:rPr>
      </w:pPr>
      <w:r>
        <w:rPr>
          <w:rFonts w:hint="eastAsia" w:ascii="宋体" w:hAnsi="宋体" w:cs="宋体"/>
          <w:color w:val="auto"/>
          <w:sz w:val="24"/>
          <w:szCs w:val="24"/>
        </w:rPr>
        <w:t xml:space="preserve">    </w:t>
      </w:r>
      <w:r>
        <w:rPr>
          <w:rFonts w:hint="eastAsia" w:ascii="宋体" w:hAnsi="宋体" w:cs="宋体"/>
          <w:color w:val="auto"/>
          <w:sz w:val="24"/>
          <w:szCs w:val="24"/>
          <w:lang w:val="en-US" w:eastAsia="zh-CN"/>
        </w:rPr>
        <w:t>3</w:t>
      </w:r>
      <w:r>
        <w:rPr>
          <w:rFonts w:hint="eastAsia" w:ascii="宋体" w:hAnsi="宋体" w:cs="宋体"/>
          <w:color w:val="auto"/>
          <w:sz w:val="24"/>
          <w:szCs w:val="24"/>
        </w:rPr>
        <w:t>、收益年限的确定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5"/>
        <w:jc w:val="both"/>
        <w:textAlignment w:val="auto"/>
        <w:outlineLvl w:val="9"/>
        <w:rPr>
          <w:rFonts w:hint="eastAsia" w:ascii="宋体" w:hAnsi="宋体" w:cs="宋体"/>
          <w:color w:val="auto"/>
          <w:spacing w:val="-2"/>
          <w:sz w:val="24"/>
          <w:szCs w:val="24"/>
        </w:rPr>
      </w:pPr>
      <w:r>
        <w:rPr>
          <w:rFonts w:hint="eastAsia" w:ascii="宋体" w:hAnsi="宋体" w:cs="宋体"/>
          <w:spacing w:val="-2"/>
          <w:sz w:val="24"/>
          <w:szCs w:val="24"/>
        </w:rPr>
        <w:t>估价对象为</w:t>
      </w:r>
      <w:r>
        <w:rPr>
          <w:rFonts w:hint="eastAsia" w:ascii="宋体" w:hAnsi="宋体" w:cs="宋体"/>
          <w:spacing w:val="-2"/>
          <w:sz w:val="24"/>
          <w:szCs w:val="24"/>
          <w:lang w:val="en-US" w:eastAsia="zh-CN"/>
        </w:rPr>
        <w:t>钢混</w:t>
      </w:r>
      <w:r>
        <w:rPr>
          <w:rFonts w:hint="eastAsia" w:ascii="宋体" w:hAnsi="宋体" w:cs="宋体"/>
          <w:spacing w:val="-2"/>
          <w:sz w:val="24"/>
          <w:szCs w:val="24"/>
          <w:lang w:eastAsia="zh-CN"/>
        </w:rPr>
        <w:t>结构</w:t>
      </w:r>
      <w:r>
        <w:rPr>
          <w:rFonts w:hint="eastAsia" w:ascii="宋体" w:hAnsi="宋体" w:cs="宋体"/>
          <w:spacing w:val="-2"/>
          <w:sz w:val="24"/>
          <w:szCs w:val="24"/>
        </w:rPr>
        <w:t>，其最高耐用年限</w:t>
      </w:r>
      <w:r>
        <w:rPr>
          <w:rFonts w:hint="eastAsia" w:ascii="宋体" w:hAnsi="宋体" w:cs="宋体"/>
          <w:spacing w:val="-2"/>
          <w:sz w:val="24"/>
          <w:szCs w:val="24"/>
          <w:lang w:val="en-US" w:eastAsia="zh-CN"/>
        </w:rPr>
        <w:t>6</w:t>
      </w:r>
      <w:r>
        <w:rPr>
          <w:rFonts w:hint="eastAsia" w:ascii="宋体" w:hAnsi="宋体" w:cs="宋体"/>
          <w:spacing w:val="-2"/>
          <w:sz w:val="24"/>
          <w:szCs w:val="24"/>
        </w:rPr>
        <w:t>0年，剩余耐用年限</w:t>
      </w:r>
      <w:r>
        <w:rPr>
          <w:rFonts w:hint="eastAsia" w:ascii="宋体" w:hAnsi="宋体" w:cs="宋体"/>
          <w:spacing w:val="-2"/>
          <w:sz w:val="24"/>
          <w:szCs w:val="24"/>
          <w:lang w:val="en-US" w:eastAsia="zh-CN"/>
        </w:rPr>
        <w:t>58</w:t>
      </w:r>
      <w:r>
        <w:rPr>
          <w:rFonts w:hint="eastAsia" w:ascii="宋体" w:hAnsi="宋体" w:cs="宋体"/>
          <w:spacing w:val="-2"/>
          <w:sz w:val="24"/>
          <w:szCs w:val="24"/>
        </w:rPr>
        <w:t>年，</w:t>
      </w:r>
      <w:r>
        <w:rPr>
          <w:rFonts w:hint="eastAsia" w:ascii="宋体" w:hAnsi="宋体" w:cs="宋体"/>
          <w:color w:val="000000"/>
          <w:spacing w:val="-2"/>
          <w:sz w:val="24"/>
          <w:szCs w:val="24"/>
        </w:rPr>
        <w:t>土地使用权类型为划拨，评估时假定为出让，使用期限自价值时点起算70年</w:t>
      </w:r>
      <w:r>
        <w:rPr>
          <w:rFonts w:hint="eastAsia" w:ascii="宋体" w:hAnsi="宋体" w:cs="宋体"/>
          <w:spacing w:val="-2"/>
          <w:sz w:val="24"/>
          <w:szCs w:val="24"/>
        </w:rPr>
        <w:t>，就孰低原则，确定估价对象的有效收益年限为</w:t>
      </w:r>
      <w:r>
        <w:rPr>
          <w:rFonts w:hint="eastAsia" w:ascii="宋体" w:hAnsi="宋体" w:cs="宋体"/>
          <w:spacing w:val="-2"/>
          <w:sz w:val="24"/>
          <w:szCs w:val="24"/>
          <w:lang w:val="en-US" w:eastAsia="zh-CN"/>
        </w:rPr>
        <w:t>58</w:t>
      </w:r>
      <w:r>
        <w:rPr>
          <w:rFonts w:hint="eastAsia" w:ascii="宋体" w:hAnsi="宋体" w:cs="宋体"/>
          <w:spacing w:val="-2"/>
          <w:sz w:val="24"/>
          <w:szCs w:val="24"/>
        </w:rPr>
        <w:t>年</w:t>
      </w:r>
      <w:r>
        <w:rPr>
          <w:rFonts w:hint="eastAsia" w:ascii="宋体" w:hAnsi="宋体" w:cs="宋体"/>
          <w:color w:val="auto"/>
          <w:spacing w:val="-2"/>
          <w:sz w:val="24"/>
          <w:szCs w:val="24"/>
        </w:rPr>
        <w:t>。</w:t>
      </w:r>
    </w:p>
    <w:p>
      <w:pPr>
        <w:keepNext w:val="0"/>
        <w:keepLines w:val="0"/>
        <w:pageBreakBefore w:val="0"/>
        <w:widowControl w:val="0"/>
        <w:numPr>
          <w:ilvl w:val="0"/>
          <w:numId w:val="12"/>
        </w:numPr>
        <w:kinsoku/>
        <w:wordWrap/>
        <w:overflowPunct/>
        <w:topLinePunct w:val="0"/>
        <w:autoSpaceDE/>
        <w:autoSpaceDN/>
        <w:bidi w:val="0"/>
        <w:adjustRightInd/>
        <w:snapToGrid/>
        <w:spacing w:line="440" w:lineRule="exact"/>
        <w:ind w:left="0" w:leftChars="0" w:right="0" w:rightChars="0" w:firstLine="482" w:firstLineChars="0"/>
        <w:jc w:val="both"/>
        <w:textAlignment w:val="auto"/>
        <w:outlineLvl w:val="9"/>
        <w:rPr>
          <w:rFonts w:hint="eastAsia" w:ascii="宋体" w:hAnsi="宋体" w:cs="宋体"/>
          <w:color w:val="auto"/>
          <w:sz w:val="24"/>
          <w:szCs w:val="24"/>
        </w:rPr>
      </w:pPr>
      <w:r>
        <w:rPr>
          <w:rFonts w:hint="eastAsia" w:ascii="宋体" w:hAnsi="宋体" w:cs="宋体"/>
          <w:color w:val="auto"/>
          <w:sz w:val="24"/>
          <w:szCs w:val="24"/>
        </w:rPr>
        <w:t>房地产报酬率的确定</w:t>
      </w:r>
    </w:p>
    <w:p>
      <w:pPr>
        <w:pStyle w:val="2"/>
        <w:widowControl w:val="0"/>
        <w:numPr>
          <w:ilvl w:val="0"/>
          <w:numId w:val="0"/>
        </w:numPr>
        <w:jc w:val="both"/>
        <w:rPr>
          <w:rFonts w:hint="eastAsia"/>
        </w:rPr>
      </w:pPr>
    </w:p>
    <w:p>
      <w:pPr>
        <w:pStyle w:val="2"/>
        <w:widowControl w:val="0"/>
        <w:numPr>
          <w:ilvl w:val="0"/>
          <w:numId w:val="0"/>
        </w:numPr>
        <w:jc w:val="both"/>
        <w:rPr>
          <w:rFonts w:hint="eastAsia"/>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right"/>
        <w:textAlignment w:val="auto"/>
        <w:outlineLvl w:val="9"/>
        <w:rPr>
          <w:rFonts w:hint="default" w:ascii="宋体" w:hAnsi="宋体" w:cs="宋体"/>
          <w:color w:val="auto"/>
          <w:sz w:val="24"/>
          <w:szCs w:val="24"/>
          <w:lang w:val="en-US" w:eastAsia="zh-CN"/>
        </w:rPr>
      </w:pPr>
      <w:r>
        <w:rPr>
          <w:rFonts w:hint="eastAsia" w:ascii="宋体" w:hAnsi="宋体" w:cs="宋体"/>
          <w:color w:val="auto"/>
          <w:sz w:val="24"/>
          <w:szCs w:val="24"/>
          <w:lang w:eastAsia="zh-CN"/>
        </w:rPr>
        <w:t>报酬率求取表</w:t>
      </w:r>
      <w:r>
        <w:rPr>
          <w:rFonts w:hint="eastAsia" w:ascii="宋体" w:hAnsi="宋体" w:cs="宋体"/>
          <w:color w:val="auto"/>
          <w:sz w:val="24"/>
          <w:szCs w:val="24"/>
        </w:rPr>
        <w:t xml:space="preserve">     </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 xml:space="preserve">                   </w:t>
      </w:r>
      <w:r>
        <w:rPr>
          <w:rFonts w:hint="eastAsia" w:ascii="宋体" w:hAnsi="宋体" w:eastAsia="宋体" w:cs="宋体"/>
          <w:sz w:val="24"/>
          <w:szCs w:val="24"/>
          <w:lang w:eastAsia="zh-CN"/>
        </w:rPr>
        <w:t>技</w:t>
      </w:r>
      <w:r>
        <w:rPr>
          <w:rFonts w:hint="eastAsia" w:ascii="宋体" w:hAnsi="宋体" w:eastAsia="宋体" w:cs="宋体"/>
          <w:sz w:val="24"/>
          <w:szCs w:val="24"/>
        </w:rPr>
        <w:t>表</w:t>
      </w:r>
      <w:r>
        <w:rPr>
          <w:rFonts w:hint="eastAsia" w:ascii="宋体" w:hAnsi="宋体" w:eastAsia="宋体" w:cs="宋体"/>
          <w:sz w:val="24"/>
          <w:szCs w:val="24"/>
          <w:lang w:val="en-US" w:eastAsia="zh-CN"/>
        </w:rPr>
        <w:t>22</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2500"/>
        <w:gridCol w:w="1013"/>
        <w:gridCol w:w="4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auto"/>
                <w:sz w:val="21"/>
                <w:szCs w:val="21"/>
                <w:vertAlign w:val="baseline"/>
                <w:lang w:eastAsia="zh-CN"/>
              </w:rPr>
            </w:pPr>
            <w:r>
              <w:rPr>
                <w:rFonts w:hint="eastAsia" w:ascii="宋体" w:hAnsi="宋体" w:cs="宋体"/>
                <w:color w:val="auto"/>
                <w:sz w:val="21"/>
                <w:szCs w:val="21"/>
                <w:vertAlign w:val="baseline"/>
                <w:lang w:eastAsia="zh-CN"/>
              </w:rPr>
              <w:t>序号</w:t>
            </w:r>
          </w:p>
        </w:tc>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auto"/>
                <w:sz w:val="21"/>
                <w:szCs w:val="21"/>
                <w:vertAlign w:val="baseline"/>
                <w:lang w:eastAsia="zh-CN"/>
              </w:rPr>
            </w:pPr>
            <w:r>
              <w:rPr>
                <w:rFonts w:hint="eastAsia" w:ascii="宋体" w:hAnsi="宋体" w:cs="宋体"/>
                <w:color w:val="auto"/>
                <w:sz w:val="21"/>
                <w:szCs w:val="21"/>
                <w:vertAlign w:val="baseline"/>
                <w:lang w:eastAsia="zh-CN"/>
              </w:rPr>
              <w:t>项目</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cs="宋体"/>
                <w:color w:val="auto"/>
                <w:sz w:val="21"/>
                <w:szCs w:val="21"/>
                <w:vertAlign w:val="baseline"/>
                <w:lang w:eastAsia="zh-CN"/>
              </w:rPr>
            </w:pPr>
            <w:r>
              <w:rPr>
                <w:rFonts w:hint="eastAsia" w:ascii="宋体" w:hAnsi="宋体" w:cs="宋体"/>
                <w:color w:val="auto"/>
                <w:sz w:val="21"/>
                <w:szCs w:val="21"/>
                <w:vertAlign w:val="baseline"/>
                <w:lang w:eastAsia="zh-CN"/>
              </w:rPr>
              <w:t>数值（</w:t>
            </w:r>
            <w:r>
              <w:rPr>
                <w:rFonts w:hint="eastAsia" w:ascii="宋体" w:hAnsi="宋体" w:cs="宋体"/>
                <w:color w:val="auto"/>
                <w:sz w:val="21"/>
                <w:szCs w:val="21"/>
                <w:vertAlign w:val="baseline"/>
                <w:lang w:val="en-US" w:eastAsia="zh-CN"/>
              </w:rPr>
              <w:t>%</w:t>
            </w:r>
            <w:r>
              <w:rPr>
                <w:rFonts w:hint="eastAsia" w:ascii="宋体" w:hAnsi="宋体" w:cs="宋体"/>
                <w:color w:val="auto"/>
                <w:sz w:val="21"/>
                <w:szCs w:val="21"/>
                <w:vertAlign w:val="baseline"/>
                <w:lang w:eastAsia="zh-CN"/>
              </w:rPr>
              <w:t>）</w:t>
            </w:r>
          </w:p>
        </w:tc>
        <w:tc>
          <w:tcPr>
            <w:tcW w:w="476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auto"/>
                <w:sz w:val="21"/>
                <w:szCs w:val="21"/>
                <w:vertAlign w:val="baseline"/>
                <w:lang w:eastAsia="zh-CN"/>
              </w:rPr>
            </w:pPr>
            <w:r>
              <w:rPr>
                <w:rFonts w:hint="eastAsia" w:ascii="宋体" w:hAnsi="宋体" w:cs="宋体"/>
                <w:color w:val="auto"/>
                <w:sz w:val="21"/>
                <w:szCs w:val="21"/>
                <w:vertAlign w:val="baseline"/>
                <w:lang w:eastAsia="zh-CN"/>
              </w:rPr>
              <w:t>取值依据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1</w:t>
            </w:r>
          </w:p>
        </w:tc>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auto"/>
                <w:sz w:val="21"/>
                <w:szCs w:val="21"/>
                <w:vertAlign w:val="baseline"/>
                <w:lang w:eastAsia="zh-CN"/>
              </w:rPr>
            </w:pPr>
            <w:r>
              <w:rPr>
                <w:rFonts w:hint="eastAsia" w:ascii="宋体" w:hAnsi="宋体" w:cs="宋体"/>
                <w:color w:val="auto"/>
                <w:sz w:val="21"/>
                <w:szCs w:val="21"/>
                <w:vertAlign w:val="baseline"/>
                <w:lang w:eastAsia="zh-CN"/>
              </w:rPr>
              <w:t>无风险报酬率</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1.5</w:t>
            </w:r>
          </w:p>
        </w:tc>
        <w:tc>
          <w:tcPr>
            <w:tcW w:w="476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价值时点银行一年期存款基准利率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2</w:t>
            </w:r>
          </w:p>
        </w:tc>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auto"/>
                <w:sz w:val="21"/>
                <w:szCs w:val="21"/>
                <w:vertAlign w:val="baseline"/>
                <w:lang w:eastAsia="zh-CN"/>
              </w:rPr>
            </w:pPr>
            <w:r>
              <w:rPr>
                <w:rFonts w:hint="eastAsia" w:ascii="宋体" w:hAnsi="宋体" w:cs="宋体"/>
                <w:color w:val="auto"/>
                <w:sz w:val="21"/>
                <w:szCs w:val="21"/>
                <w:vertAlign w:val="baseline"/>
                <w:lang w:eastAsia="zh-CN"/>
              </w:rPr>
              <w:t>投资风险补偿率</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1.0</w:t>
            </w:r>
          </w:p>
        </w:tc>
        <w:tc>
          <w:tcPr>
            <w:tcW w:w="476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根据投资估价对象类别所确定额外的风险补偿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3</w:t>
            </w:r>
          </w:p>
        </w:tc>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auto"/>
                <w:sz w:val="21"/>
                <w:szCs w:val="21"/>
                <w:vertAlign w:val="baseline"/>
                <w:lang w:eastAsia="zh-CN"/>
              </w:rPr>
            </w:pPr>
            <w:r>
              <w:rPr>
                <w:rFonts w:hint="eastAsia" w:ascii="宋体" w:hAnsi="宋体" w:cs="宋体"/>
                <w:color w:val="auto"/>
                <w:sz w:val="21"/>
                <w:szCs w:val="21"/>
                <w:vertAlign w:val="baseline"/>
                <w:lang w:eastAsia="zh-CN"/>
              </w:rPr>
              <w:t>管理负担补偿率</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1.0</w:t>
            </w:r>
          </w:p>
        </w:tc>
        <w:tc>
          <w:tcPr>
            <w:tcW w:w="476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根据估价对象管理难度相对于实业投资、金融产品等其它投资类别的难度确定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4</w:t>
            </w:r>
          </w:p>
        </w:tc>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缺乏流动性补偿率</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1.5</w:t>
            </w:r>
          </w:p>
        </w:tc>
        <w:tc>
          <w:tcPr>
            <w:tcW w:w="476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根据估价对象投资的流动性相对于股票、债券、期货等实体投资的差异确定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5</w:t>
            </w:r>
          </w:p>
        </w:tc>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auto"/>
                <w:sz w:val="21"/>
                <w:szCs w:val="21"/>
                <w:vertAlign w:val="baseline"/>
                <w:lang w:eastAsia="zh-CN"/>
              </w:rPr>
            </w:pPr>
            <w:r>
              <w:rPr>
                <w:rFonts w:hint="eastAsia" w:ascii="宋体" w:hAnsi="宋体" w:cs="宋体"/>
                <w:color w:val="auto"/>
                <w:sz w:val="21"/>
                <w:szCs w:val="21"/>
                <w:vertAlign w:val="baseline"/>
                <w:lang w:eastAsia="zh-CN"/>
              </w:rPr>
              <w:t>投资带来的优惠率</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-2.0</w:t>
            </w:r>
          </w:p>
        </w:tc>
        <w:tc>
          <w:tcPr>
            <w:tcW w:w="476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持有估价对象以更低成本易于获得投资，投资人获得更高社会评价等优惠确定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cs="宋体"/>
                <w:color w:val="auto"/>
                <w:sz w:val="21"/>
                <w:szCs w:val="21"/>
                <w:vertAlign w:val="baseline"/>
                <w:lang w:val="en-US" w:eastAsia="zh-CN"/>
              </w:rPr>
            </w:pPr>
          </w:p>
        </w:tc>
        <w:tc>
          <w:tcPr>
            <w:tcW w:w="2500"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auto"/>
                <w:sz w:val="21"/>
                <w:szCs w:val="21"/>
                <w:vertAlign w:val="baseline"/>
                <w:lang w:eastAsia="zh-CN"/>
              </w:rPr>
            </w:pPr>
            <w:r>
              <w:rPr>
                <w:rFonts w:hint="eastAsia" w:ascii="宋体" w:hAnsi="宋体" w:cs="宋体"/>
                <w:color w:val="auto"/>
                <w:sz w:val="21"/>
                <w:szCs w:val="21"/>
                <w:vertAlign w:val="baseline"/>
                <w:lang w:eastAsia="zh-CN"/>
              </w:rPr>
              <w:t>合计</w:t>
            </w:r>
          </w:p>
        </w:tc>
        <w:tc>
          <w:tcPr>
            <w:tcW w:w="1013"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cs="宋体"/>
                <w:color w:val="auto"/>
                <w:sz w:val="21"/>
                <w:szCs w:val="21"/>
                <w:vertAlign w:val="baseline"/>
                <w:lang w:val="en-US" w:eastAsia="zh-CN"/>
              </w:rPr>
            </w:pPr>
            <w:r>
              <w:rPr>
                <w:rFonts w:hint="eastAsia" w:ascii="宋体" w:hAnsi="宋体" w:cs="宋体"/>
                <w:color w:val="auto"/>
                <w:sz w:val="21"/>
                <w:szCs w:val="21"/>
                <w:vertAlign w:val="baseline"/>
                <w:lang w:val="en-US" w:eastAsia="zh-CN"/>
              </w:rPr>
              <w:t>3.0</w:t>
            </w:r>
          </w:p>
        </w:tc>
        <w:tc>
          <w:tcPr>
            <w:tcW w:w="476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宋体" w:hAnsi="宋体" w:eastAsia="宋体" w:cs="宋体"/>
                <w:color w:val="auto"/>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360" w:firstLineChars="150"/>
        <w:jc w:val="both"/>
        <w:textAlignment w:val="auto"/>
        <w:outlineLvl w:val="9"/>
        <w:rPr>
          <w:rFonts w:hint="eastAsia" w:ascii="宋体" w:hAnsi="宋体" w:cs="宋体"/>
          <w:color w:val="auto"/>
          <w:sz w:val="24"/>
          <w:szCs w:val="24"/>
        </w:rPr>
      </w:pPr>
      <w:r>
        <w:rPr>
          <w:rFonts w:hint="eastAsia" w:ascii="宋体" w:hAnsi="宋体" w:cs="宋体"/>
          <w:color w:val="auto"/>
          <w:sz w:val="24"/>
          <w:szCs w:val="24"/>
        </w:rPr>
        <w:t xml:space="preserve"> </w:t>
      </w:r>
      <w:r>
        <w:rPr>
          <w:rFonts w:hint="eastAsia" w:ascii="宋体" w:hAnsi="宋体" w:cs="宋体"/>
          <w:color w:val="auto"/>
          <w:sz w:val="24"/>
          <w:szCs w:val="24"/>
          <w:lang w:val="en-US" w:eastAsia="zh-CN"/>
        </w:rPr>
        <w:t>5</w:t>
      </w:r>
      <w:r>
        <w:rPr>
          <w:rFonts w:hint="eastAsia" w:ascii="宋体" w:hAnsi="宋体" w:cs="宋体"/>
          <w:color w:val="auto"/>
          <w:sz w:val="24"/>
          <w:szCs w:val="24"/>
        </w:rPr>
        <w:t>、确定计算公式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宋体" w:hAnsi="宋体" w:cs="宋体"/>
          <w:color w:val="auto"/>
          <w:sz w:val="24"/>
          <w:szCs w:val="24"/>
        </w:rPr>
      </w:pPr>
      <w:r>
        <w:rPr>
          <w:rFonts w:hint="eastAsia" w:ascii="宋体" w:hAnsi="宋体" w:cs="宋体"/>
          <w:color w:val="auto"/>
          <w:sz w:val="24"/>
          <w:szCs w:val="24"/>
        </w:rPr>
        <w:t>　　根据对目前的市场调查与分析，预计估价对象未来每年的净收益按一定比率逐年递增，依此确定本次估价适用的收益价格计算公式如下：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宋体" w:hAnsi="宋体" w:cs="宋体"/>
          <w:color w:val="auto"/>
          <w:sz w:val="24"/>
          <w:szCs w:val="24"/>
        </w:rPr>
      </w:pPr>
      <w:r>
        <w:rPr>
          <w:rFonts w:hint="eastAsia" w:ascii="宋体" w:hAnsi="宋体" w:cs="宋体"/>
          <w:color w:val="auto"/>
          <w:sz w:val="24"/>
          <w:szCs w:val="24"/>
        </w:rPr>
        <w:t>　　Ｖ＝a/（r-g）×｛1-[（1+g）/（1+r）]</w:t>
      </w:r>
      <w:r>
        <w:rPr>
          <w:rFonts w:hint="eastAsia" w:ascii="宋体" w:hAnsi="宋体" w:cs="宋体"/>
          <w:color w:val="auto"/>
          <w:sz w:val="24"/>
          <w:szCs w:val="24"/>
          <w:vertAlign w:val="superscript"/>
        </w:rPr>
        <w:t>n</w:t>
      </w:r>
      <w:r>
        <w:rPr>
          <w:rFonts w:hint="eastAsia" w:ascii="宋体" w:hAnsi="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宋体" w:hAnsi="宋体" w:cs="宋体"/>
          <w:color w:val="auto"/>
          <w:sz w:val="24"/>
          <w:szCs w:val="24"/>
        </w:rPr>
      </w:pPr>
      <w:r>
        <w:rPr>
          <w:rFonts w:hint="eastAsia" w:ascii="宋体" w:hAnsi="宋体" w:cs="宋体"/>
          <w:color w:val="auto"/>
          <w:sz w:val="24"/>
          <w:szCs w:val="24"/>
        </w:rPr>
        <w:t>　　式中，Ｖ为房地产收益价格；ａ为年净收益；ｒ为报酬率；g为净收益逐年递增的比率；ｎ为未来可取得收益的年限。</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宋体" w:hAnsi="宋体" w:cs="宋体"/>
          <w:color w:val="auto"/>
          <w:sz w:val="24"/>
          <w:szCs w:val="24"/>
        </w:rPr>
      </w:pPr>
      <w:r>
        <w:rPr>
          <w:rFonts w:hint="eastAsia" w:ascii="宋体" w:hAnsi="宋体" w:cs="宋体"/>
          <w:color w:val="auto"/>
          <w:sz w:val="24"/>
          <w:szCs w:val="24"/>
        </w:rPr>
        <w:t xml:space="preserve">    </w:t>
      </w:r>
      <w:r>
        <w:rPr>
          <w:rFonts w:hint="eastAsia" w:ascii="宋体" w:hAnsi="宋体" w:cs="宋体"/>
          <w:color w:val="auto"/>
          <w:sz w:val="24"/>
          <w:szCs w:val="24"/>
          <w:lang w:val="en-US" w:eastAsia="zh-CN"/>
        </w:rPr>
        <w:t>6</w:t>
      </w:r>
      <w:r>
        <w:rPr>
          <w:rFonts w:hint="eastAsia" w:ascii="宋体" w:hAnsi="宋体" w:cs="宋体"/>
          <w:color w:val="auto"/>
          <w:sz w:val="24"/>
          <w:szCs w:val="24"/>
        </w:rPr>
        <w:t>、收益价格的计算结果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cs="宋体"/>
          <w:color w:val="auto"/>
          <w:sz w:val="24"/>
          <w:szCs w:val="24"/>
        </w:rPr>
      </w:pPr>
      <w:r>
        <w:rPr>
          <w:rFonts w:hint="eastAsia" w:ascii="宋体" w:hAnsi="宋体" w:cs="宋体"/>
          <w:color w:val="auto"/>
          <w:sz w:val="24"/>
          <w:szCs w:val="24"/>
        </w:rPr>
        <w:t>根据以上净收益、报酬率的计算结果和上述的计算公式，计算确定估价对象的收益价格如下：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cs="宋体"/>
          <w:color w:val="auto"/>
          <w:sz w:val="24"/>
          <w:szCs w:val="24"/>
        </w:rPr>
      </w:pPr>
      <w:r>
        <w:rPr>
          <w:rFonts w:hint="eastAsia" w:ascii="宋体" w:hAnsi="宋体" w:cs="宋体"/>
          <w:color w:val="auto"/>
          <w:sz w:val="24"/>
          <w:szCs w:val="24"/>
        </w:rPr>
        <w:t>Ｖ＝a/(r-g)×｛1-［(1+g)/（1+r）］</w:t>
      </w:r>
      <w:r>
        <w:rPr>
          <w:rFonts w:hint="eastAsia" w:ascii="宋体" w:hAnsi="宋体" w:cs="宋体"/>
          <w:color w:val="auto"/>
          <w:sz w:val="24"/>
          <w:szCs w:val="24"/>
          <w:vertAlign w:val="superscript"/>
        </w:rPr>
        <w:t>n</w:t>
      </w:r>
      <w:r>
        <w:rPr>
          <w:rFonts w:hint="eastAsia" w:ascii="宋体" w:hAnsi="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720" w:firstLineChars="300"/>
        <w:jc w:val="both"/>
        <w:textAlignment w:val="auto"/>
        <w:outlineLvl w:val="9"/>
        <w:rPr>
          <w:rFonts w:hint="eastAsia" w:ascii="宋体" w:hAnsi="宋体" w:cs="宋体"/>
          <w:color w:val="auto"/>
          <w:sz w:val="24"/>
          <w:szCs w:val="24"/>
        </w:rPr>
      </w:pPr>
      <w:r>
        <w:rPr>
          <w:rFonts w:hint="eastAsia" w:ascii="宋体" w:hAnsi="宋体" w:cs="宋体"/>
          <w:color w:val="auto"/>
          <w:sz w:val="24"/>
          <w:szCs w:val="24"/>
        </w:rPr>
        <w:t>＝</w:t>
      </w:r>
      <w:r>
        <w:rPr>
          <w:rFonts w:hint="eastAsia" w:ascii="宋体" w:hAnsi="宋体" w:cs="宋体"/>
          <w:color w:val="auto"/>
          <w:sz w:val="24"/>
          <w:szCs w:val="24"/>
          <w:lang w:val="en-US" w:eastAsia="zh-CN"/>
        </w:rPr>
        <w:t>200.48</w:t>
      </w:r>
      <w:r>
        <w:rPr>
          <w:rFonts w:hint="eastAsia" w:ascii="宋体" w:hAnsi="宋体" w:eastAsia="宋体" w:cs="宋体"/>
          <w:color w:val="auto"/>
          <w:kern w:val="2"/>
          <w:sz w:val="24"/>
          <w:szCs w:val="24"/>
          <w:lang w:val="en-US" w:eastAsia="zh-CN" w:bidi="ar-SA"/>
        </w:rPr>
        <w:t>/</w:t>
      </w:r>
      <w:r>
        <w:rPr>
          <w:rFonts w:hint="eastAsia" w:ascii="宋体" w:hAnsi="宋体" w:cs="宋体"/>
          <w:color w:val="auto"/>
          <w:sz w:val="24"/>
          <w:szCs w:val="24"/>
          <w:lang w:val="en-US" w:eastAsia="zh-CN"/>
        </w:rPr>
        <w:t>（</w:t>
      </w:r>
      <w:r>
        <w:rPr>
          <w:rFonts w:hint="eastAsia" w:ascii="宋体" w:hAnsi="宋体" w:cs="宋体"/>
          <w:color w:val="auto"/>
          <w:sz w:val="24"/>
          <w:szCs w:val="24"/>
        </w:rPr>
        <w:t>3.</w:t>
      </w:r>
      <w:r>
        <w:rPr>
          <w:rFonts w:hint="eastAsia" w:ascii="宋体" w:hAnsi="宋体" w:cs="宋体"/>
          <w:color w:val="auto"/>
          <w:sz w:val="24"/>
          <w:szCs w:val="24"/>
          <w:lang w:val="en-US" w:eastAsia="zh-CN"/>
        </w:rPr>
        <w:t>0</w:t>
      </w:r>
      <w:r>
        <w:rPr>
          <w:rFonts w:hint="eastAsia" w:ascii="宋体" w:hAnsi="宋体" w:cs="宋体"/>
          <w:color w:val="auto"/>
          <w:sz w:val="24"/>
          <w:szCs w:val="24"/>
        </w:rPr>
        <w:t>%-</w:t>
      </w:r>
      <w:r>
        <w:rPr>
          <w:rFonts w:hint="eastAsia" w:ascii="宋体" w:hAnsi="宋体" w:cs="宋体"/>
          <w:color w:val="auto"/>
          <w:sz w:val="24"/>
          <w:szCs w:val="24"/>
          <w:lang w:val="en-US" w:eastAsia="zh-CN"/>
        </w:rPr>
        <w:t>2.0</w:t>
      </w:r>
      <w:r>
        <w:rPr>
          <w:rFonts w:hint="eastAsia" w:ascii="宋体" w:hAnsi="宋体" w:cs="宋体"/>
          <w:color w:val="auto"/>
          <w:sz w:val="24"/>
          <w:szCs w:val="24"/>
        </w:rPr>
        <w:t>%）×｛1-[（1+</w:t>
      </w:r>
      <w:r>
        <w:rPr>
          <w:rFonts w:hint="eastAsia" w:ascii="宋体" w:hAnsi="宋体" w:cs="宋体"/>
          <w:color w:val="auto"/>
          <w:sz w:val="24"/>
          <w:szCs w:val="24"/>
          <w:lang w:val="en-US" w:eastAsia="zh-CN"/>
        </w:rPr>
        <w:t>2.0</w:t>
      </w:r>
      <w:r>
        <w:rPr>
          <w:rFonts w:hint="eastAsia" w:ascii="宋体" w:hAnsi="宋体" w:cs="宋体"/>
          <w:color w:val="auto"/>
          <w:sz w:val="24"/>
          <w:szCs w:val="24"/>
        </w:rPr>
        <w:t>%）/（1+3.</w:t>
      </w:r>
      <w:r>
        <w:rPr>
          <w:rFonts w:hint="eastAsia" w:ascii="宋体" w:hAnsi="宋体" w:cs="宋体"/>
          <w:color w:val="auto"/>
          <w:sz w:val="24"/>
          <w:szCs w:val="24"/>
          <w:lang w:val="en-US" w:eastAsia="zh-CN"/>
        </w:rPr>
        <w:t>0</w:t>
      </w:r>
      <w:r>
        <w:rPr>
          <w:rFonts w:hint="eastAsia" w:ascii="宋体" w:hAnsi="宋体" w:cs="宋体"/>
          <w:color w:val="auto"/>
          <w:sz w:val="24"/>
          <w:szCs w:val="24"/>
        </w:rPr>
        <w:t>%）]</w:t>
      </w:r>
      <w:r>
        <w:rPr>
          <w:rFonts w:hint="eastAsia" w:ascii="宋体" w:hAnsi="宋体" w:cs="宋体"/>
          <w:color w:val="auto"/>
          <w:sz w:val="24"/>
          <w:szCs w:val="24"/>
          <w:vertAlign w:val="superscript"/>
          <w:lang w:val="en-US" w:eastAsia="zh-CN"/>
        </w:rPr>
        <w:t>58</w:t>
      </w:r>
      <w:r>
        <w:rPr>
          <w:rFonts w:hint="eastAsia" w:ascii="宋体" w:hAnsi="宋体" w:cs="宋体"/>
          <w:color w:val="auto"/>
          <w:sz w:val="24"/>
          <w:szCs w:val="24"/>
        </w:rPr>
        <w:t>｝</w:t>
      </w:r>
    </w:p>
    <w:p>
      <w:pPr>
        <w:pStyle w:val="6"/>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720" w:firstLineChars="300"/>
        <w:jc w:val="both"/>
        <w:textAlignment w:val="auto"/>
        <w:outlineLvl w:val="9"/>
        <w:rPr>
          <w:rFonts w:hint="eastAsia" w:ascii="宋体" w:hAnsi="宋体" w:eastAsia="宋体" w:cs="宋体"/>
          <w:b/>
          <w:color w:val="auto"/>
          <w:szCs w:val="28"/>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8663</w:t>
      </w:r>
      <w:r>
        <w:rPr>
          <w:rFonts w:hint="eastAsia" w:ascii="宋体" w:hAnsi="宋体" w:eastAsia="宋体" w:cs="宋体"/>
          <w:color w:val="auto"/>
          <w:sz w:val="24"/>
          <w:szCs w:val="24"/>
        </w:rPr>
        <w:t>元/</w:t>
      </w:r>
      <w:r>
        <w:rPr>
          <w:rFonts w:hint="eastAsia" w:ascii="宋体" w:hAnsi="宋体" w:eastAsia="宋体" w:cs="宋体"/>
          <w:color w:val="auto"/>
          <w:sz w:val="24"/>
          <w:szCs w:val="24"/>
          <w:lang w:val="en-US" w:eastAsia="zh-CN"/>
        </w:rPr>
        <w:t>m</w:t>
      </w:r>
      <w:r>
        <w:rPr>
          <w:rFonts w:hint="eastAsia" w:ascii="宋体" w:hAnsi="宋体" w:eastAsia="宋体" w:cs="宋体"/>
          <w:color w:val="auto"/>
          <w:sz w:val="24"/>
          <w:szCs w:val="24"/>
          <w:vertAlign w:val="superscript"/>
          <w:lang w:val="en-US" w:eastAsia="zh-CN"/>
        </w:rPr>
        <w:t>2</w:t>
      </w:r>
    </w:p>
    <w:p>
      <w:pPr>
        <w:pStyle w:val="6"/>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outlineLvl w:val="9"/>
        <w:rPr>
          <w:rFonts w:hint="eastAsia" w:ascii="宋体" w:hAnsi="宋体" w:eastAsia="宋体" w:cs="宋体"/>
          <w:b/>
          <w:color w:val="auto"/>
          <w:szCs w:val="28"/>
        </w:rPr>
      </w:pPr>
      <w:r>
        <w:rPr>
          <w:rFonts w:hint="eastAsia" w:ascii="宋体" w:hAnsi="宋体" w:eastAsia="宋体" w:cs="宋体"/>
          <w:b/>
          <w:color w:val="auto"/>
          <w:szCs w:val="28"/>
        </w:rPr>
        <w:t>六、估价结果的确定</w:t>
      </w:r>
    </w:p>
    <w:p>
      <w:pPr>
        <w:pStyle w:val="6"/>
        <w:keepNext w:val="0"/>
        <w:keepLines w:val="0"/>
        <w:pageBreakBefore w:val="0"/>
        <w:widowControl w:val="0"/>
        <w:kinsoku/>
        <w:wordWrap/>
        <w:overflowPunct/>
        <w:topLinePunct w:val="0"/>
        <w:autoSpaceDE/>
        <w:autoSpaceDN/>
        <w:bidi w:val="0"/>
        <w:adjustRightInd/>
        <w:snapToGrid/>
        <w:spacing w:line="440" w:lineRule="exact"/>
        <w:ind w:firstLine="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   （一）确定</w:t>
      </w:r>
      <w:r>
        <w:rPr>
          <w:rFonts w:hint="eastAsia" w:ascii="宋体" w:hAnsi="宋体" w:eastAsia="宋体" w:cs="宋体"/>
          <w:color w:val="auto"/>
          <w:sz w:val="24"/>
          <w:szCs w:val="24"/>
          <w:lang w:eastAsia="zh-CN"/>
        </w:rPr>
        <w:t>房地产</w:t>
      </w:r>
      <w:r>
        <w:rPr>
          <w:rFonts w:hint="eastAsia" w:ascii="宋体" w:hAnsi="宋体" w:eastAsia="宋体" w:cs="宋体"/>
          <w:color w:val="auto"/>
          <w:sz w:val="24"/>
          <w:szCs w:val="24"/>
        </w:rPr>
        <w:t>的市场价值</w:t>
      </w:r>
    </w:p>
    <w:p>
      <w:pPr>
        <w:pStyle w:val="4"/>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ascii="宋体" w:hAnsi="宋体" w:eastAsia="宋体" w:cs="宋体"/>
          <w:color w:val="auto"/>
          <w:kern w:val="2"/>
          <w:sz w:val="24"/>
          <w:szCs w:val="24"/>
          <w:lang w:val="en-US" w:eastAsia="zh-CN" w:bidi="ar-SA"/>
        </w:rPr>
      </w:pPr>
      <w:bookmarkStart w:id="14" w:name="OLE_LINK40"/>
      <w:r>
        <w:rPr>
          <w:rFonts w:hint="eastAsia" w:ascii="宋体" w:hAnsi="宋体" w:eastAsia="宋体" w:cs="宋体"/>
          <w:color w:val="auto"/>
          <w:kern w:val="2"/>
          <w:sz w:val="24"/>
          <w:szCs w:val="24"/>
          <w:lang w:val="en-US" w:eastAsia="zh-CN" w:bidi="ar-SA"/>
        </w:rPr>
        <w:t>1、住宅估算价值的确定</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480" w:firstLineChars="200"/>
        <w:jc w:val="both"/>
        <w:textAlignment w:val="auto"/>
        <w:outlineLvl w:val="9"/>
        <w:rPr>
          <w:rFonts w:hint="eastAsia"/>
        </w:rPr>
      </w:pPr>
      <w:r>
        <w:rPr>
          <w:rFonts w:hint="eastAsia" w:ascii="宋体" w:hAnsi="宋体" w:eastAsia="宋体" w:cs="宋体"/>
          <w:color w:val="auto"/>
          <w:sz w:val="24"/>
          <w:szCs w:val="24"/>
        </w:rPr>
        <w:t>根据比较法和收益法分别求得的结果有较大差异，经检测测算过程无误，且选取的参数合理，采用加权算术平均数求取估价对象单价。由于比较法的资料更完整、可靠，故比较法权重取</w:t>
      </w:r>
      <w:r>
        <w:rPr>
          <w:rFonts w:hint="eastAsia" w:ascii="宋体" w:hAnsi="宋体" w:cs="宋体"/>
          <w:color w:val="auto"/>
          <w:sz w:val="24"/>
          <w:szCs w:val="24"/>
          <w:lang w:val="en-US" w:eastAsia="zh-CN"/>
        </w:rPr>
        <w:t>7</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%，收益法权重取</w:t>
      </w:r>
      <w:r>
        <w:rPr>
          <w:rFonts w:hint="eastAsia" w:ascii="宋体" w:hAnsi="宋体" w:cs="宋体"/>
          <w:color w:val="auto"/>
          <w:sz w:val="24"/>
          <w:szCs w:val="24"/>
          <w:lang w:val="en-US" w:eastAsia="zh-CN"/>
        </w:rPr>
        <w:t>3</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%。则</w:t>
      </w:r>
      <w:r>
        <w:rPr>
          <w:rFonts w:hint="eastAsia" w:ascii="宋体" w:hAnsi="宋体" w:eastAsia="宋体" w:cs="宋体"/>
          <w:color w:val="auto"/>
          <w:sz w:val="24"/>
          <w:szCs w:val="24"/>
          <w:lang w:eastAsia="zh-CN"/>
        </w:rPr>
        <w:t>：</w:t>
      </w:r>
    </w:p>
    <w:p>
      <w:pPr>
        <w:pStyle w:val="4"/>
        <w:keepNext w:val="0"/>
        <w:keepLines w:val="0"/>
        <w:pageBreakBefore w:val="0"/>
        <w:widowControl w:val="0"/>
        <w:kinsoku/>
        <w:wordWrap/>
        <w:overflowPunct/>
        <w:topLinePunct w:val="0"/>
        <w:autoSpaceDE/>
        <w:autoSpaceDN/>
        <w:bidi w:val="0"/>
        <w:adjustRightInd/>
        <w:snapToGrid/>
        <w:spacing w:line="400" w:lineRule="exact"/>
        <w:ind w:firstLine="480" w:firstLineChars="200"/>
        <w:jc w:val="righ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 xml:space="preserve"> 住宅价值确定明细表                        </w:t>
      </w:r>
      <w:r>
        <w:rPr>
          <w:rFonts w:hint="eastAsia" w:ascii="宋体" w:hAnsi="宋体" w:eastAsia="宋体" w:cs="宋体"/>
          <w:sz w:val="24"/>
          <w:szCs w:val="24"/>
          <w:lang w:eastAsia="zh-CN"/>
        </w:rPr>
        <w:t>技</w:t>
      </w:r>
      <w:r>
        <w:rPr>
          <w:rFonts w:hint="eastAsia" w:ascii="宋体" w:hAnsi="宋体" w:eastAsia="宋体" w:cs="宋体"/>
          <w:sz w:val="24"/>
          <w:szCs w:val="24"/>
        </w:rPr>
        <w:t>表</w:t>
      </w:r>
      <w:r>
        <w:rPr>
          <w:rFonts w:hint="eastAsia" w:ascii="宋体" w:hAnsi="宋体" w:eastAsia="宋体" w:cs="宋体"/>
          <w:sz w:val="24"/>
          <w:szCs w:val="24"/>
          <w:lang w:val="en-US" w:eastAsia="zh-CN"/>
        </w:rPr>
        <w:t>22</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938"/>
        <w:gridCol w:w="1367"/>
        <w:gridCol w:w="1466"/>
        <w:gridCol w:w="1384"/>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noWrap w:val="0"/>
            <w:vAlign w:val="center"/>
          </w:tcPr>
          <w:p>
            <w:pPr>
              <w:keepNext w:val="0"/>
              <w:keepLines w:val="0"/>
              <w:pageBreakBefore w:val="0"/>
              <w:widowControl w:val="0"/>
              <w:tabs>
                <w:tab w:val="left" w:pos="2761"/>
              </w:tabs>
              <w:kinsoku/>
              <w:wordWrap/>
              <w:overflowPunct/>
              <w:topLinePunct w:val="0"/>
              <w:autoSpaceDE/>
              <w:autoSpaceDN/>
              <w:bidi w:val="0"/>
              <w:adjustRightInd/>
              <w:snapToGrid/>
              <w:spacing w:line="400" w:lineRule="exact"/>
              <w:jc w:val="center"/>
              <w:textAlignment w:val="auto"/>
              <w:outlineLvl w:val="9"/>
              <w:rPr>
                <w:rFonts w:hint="eastAsia" w:ascii="宋体" w:hAnsi="宋体" w:cs="宋体"/>
                <w:bCs/>
                <w:color w:val="auto"/>
                <w:szCs w:val="21"/>
              </w:rPr>
            </w:pPr>
            <w:r>
              <w:rPr>
                <w:rFonts w:hint="eastAsia" w:ascii="宋体" w:hAnsi="宋体" w:cs="宋体"/>
                <w:bCs/>
                <w:color w:val="auto"/>
                <w:szCs w:val="21"/>
              </w:rPr>
              <w:t>估价方法</w:t>
            </w:r>
          </w:p>
        </w:tc>
        <w:tc>
          <w:tcPr>
            <w:tcW w:w="1938" w:type="dxa"/>
            <w:noWrap w:val="0"/>
            <w:vAlign w:val="center"/>
          </w:tcPr>
          <w:p>
            <w:pPr>
              <w:keepNext w:val="0"/>
              <w:keepLines w:val="0"/>
              <w:pageBreakBefore w:val="0"/>
              <w:widowControl w:val="0"/>
              <w:tabs>
                <w:tab w:val="left" w:pos="2761"/>
              </w:tabs>
              <w:kinsoku/>
              <w:wordWrap/>
              <w:overflowPunct/>
              <w:topLinePunct w:val="0"/>
              <w:autoSpaceDE/>
              <w:autoSpaceDN/>
              <w:bidi w:val="0"/>
              <w:adjustRightInd/>
              <w:snapToGrid/>
              <w:spacing w:line="400" w:lineRule="exact"/>
              <w:jc w:val="center"/>
              <w:textAlignment w:val="auto"/>
              <w:outlineLvl w:val="9"/>
              <w:rPr>
                <w:rFonts w:hint="eastAsia" w:ascii="宋体" w:hAnsi="宋体" w:cs="宋体"/>
                <w:bCs/>
                <w:color w:val="auto"/>
                <w:szCs w:val="21"/>
              </w:rPr>
            </w:pPr>
            <w:r>
              <w:rPr>
                <w:rFonts w:hint="eastAsia" w:ascii="宋体" w:hAnsi="宋体" w:cs="宋体"/>
                <w:bCs/>
                <w:color w:val="auto"/>
                <w:szCs w:val="21"/>
              </w:rPr>
              <w:t>估算单价</w:t>
            </w:r>
          </w:p>
          <w:p>
            <w:pPr>
              <w:keepNext w:val="0"/>
              <w:keepLines w:val="0"/>
              <w:pageBreakBefore w:val="0"/>
              <w:widowControl w:val="0"/>
              <w:tabs>
                <w:tab w:val="left" w:pos="2761"/>
              </w:tabs>
              <w:kinsoku/>
              <w:wordWrap/>
              <w:overflowPunct/>
              <w:topLinePunct w:val="0"/>
              <w:autoSpaceDE/>
              <w:autoSpaceDN/>
              <w:bidi w:val="0"/>
              <w:adjustRightInd/>
              <w:snapToGrid/>
              <w:spacing w:line="400" w:lineRule="exact"/>
              <w:jc w:val="center"/>
              <w:textAlignment w:val="auto"/>
              <w:outlineLvl w:val="9"/>
              <w:rPr>
                <w:rFonts w:hint="eastAsia" w:ascii="宋体" w:hAnsi="宋体" w:cs="宋体"/>
                <w:bCs/>
                <w:color w:val="auto"/>
                <w:szCs w:val="21"/>
              </w:rPr>
            </w:pPr>
            <w:r>
              <w:rPr>
                <w:rFonts w:hint="eastAsia" w:ascii="宋体" w:hAnsi="宋体" w:cs="宋体"/>
                <w:bCs/>
                <w:color w:val="auto"/>
                <w:szCs w:val="21"/>
              </w:rPr>
              <w:t>(元/</w:t>
            </w:r>
            <w:r>
              <w:rPr>
                <w:rFonts w:hint="eastAsia" w:ascii="宋体" w:hAnsi="宋体" w:cs="宋体"/>
                <w:color w:val="auto"/>
                <w:szCs w:val="21"/>
              </w:rPr>
              <w:t>m</w:t>
            </w:r>
            <w:r>
              <w:rPr>
                <w:rFonts w:hint="eastAsia" w:ascii="宋体" w:hAnsi="宋体" w:cs="宋体"/>
                <w:color w:val="auto"/>
                <w:szCs w:val="21"/>
                <w:vertAlign w:val="superscript"/>
              </w:rPr>
              <w:t>2</w:t>
            </w:r>
            <w:r>
              <w:rPr>
                <w:rFonts w:hint="eastAsia" w:ascii="宋体" w:hAnsi="宋体" w:cs="宋体"/>
                <w:bCs/>
                <w:color w:val="auto"/>
                <w:szCs w:val="21"/>
              </w:rPr>
              <w:t>)</w:t>
            </w:r>
          </w:p>
        </w:tc>
        <w:tc>
          <w:tcPr>
            <w:tcW w:w="1367" w:type="dxa"/>
            <w:noWrap w:val="0"/>
            <w:vAlign w:val="center"/>
          </w:tcPr>
          <w:p>
            <w:pPr>
              <w:keepNext w:val="0"/>
              <w:keepLines w:val="0"/>
              <w:pageBreakBefore w:val="0"/>
              <w:widowControl w:val="0"/>
              <w:tabs>
                <w:tab w:val="left" w:pos="2761"/>
              </w:tabs>
              <w:kinsoku/>
              <w:wordWrap/>
              <w:overflowPunct/>
              <w:topLinePunct w:val="0"/>
              <w:autoSpaceDE/>
              <w:autoSpaceDN/>
              <w:bidi w:val="0"/>
              <w:adjustRightInd/>
              <w:snapToGrid/>
              <w:spacing w:line="400" w:lineRule="exact"/>
              <w:jc w:val="center"/>
              <w:textAlignment w:val="auto"/>
              <w:outlineLvl w:val="9"/>
              <w:rPr>
                <w:rFonts w:hint="eastAsia" w:ascii="宋体" w:hAnsi="宋体" w:cs="宋体"/>
                <w:bCs/>
                <w:color w:val="auto"/>
                <w:szCs w:val="21"/>
              </w:rPr>
            </w:pPr>
            <w:r>
              <w:rPr>
                <w:rFonts w:hint="eastAsia" w:ascii="宋体" w:hAnsi="宋体" w:cs="宋体"/>
                <w:bCs/>
                <w:color w:val="auto"/>
                <w:szCs w:val="21"/>
              </w:rPr>
              <w:t>权重</w:t>
            </w:r>
          </w:p>
        </w:tc>
        <w:tc>
          <w:tcPr>
            <w:tcW w:w="1466" w:type="dxa"/>
            <w:noWrap w:val="0"/>
            <w:vAlign w:val="center"/>
          </w:tcPr>
          <w:p>
            <w:pPr>
              <w:keepNext w:val="0"/>
              <w:keepLines w:val="0"/>
              <w:pageBreakBefore w:val="0"/>
              <w:widowControl w:val="0"/>
              <w:tabs>
                <w:tab w:val="left" w:pos="2761"/>
              </w:tabs>
              <w:kinsoku/>
              <w:wordWrap/>
              <w:overflowPunct/>
              <w:topLinePunct w:val="0"/>
              <w:autoSpaceDE/>
              <w:autoSpaceDN/>
              <w:bidi w:val="0"/>
              <w:adjustRightInd/>
              <w:snapToGrid/>
              <w:spacing w:line="400" w:lineRule="exact"/>
              <w:jc w:val="center"/>
              <w:textAlignment w:val="auto"/>
              <w:outlineLvl w:val="9"/>
              <w:rPr>
                <w:rFonts w:hint="eastAsia" w:ascii="宋体" w:hAnsi="宋体" w:cs="宋体"/>
                <w:bCs/>
                <w:color w:val="auto"/>
                <w:szCs w:val="21"/>
              </w:rPr>
            </w:pPr>
            <w:r>
              <w:rPr>
                <w:rFonts w:hint="eastAsia" w:ascii="宋体" w:hAnsi="宋体" w:cs="宋体"/>
                <w:bCs/>
                <w:color w:val="auto"/>
                <w:szCs w:val="21"/>
              </w:rPr>
              <w:t>权重单价</w:t>
            </w:r>
          </w:p>
          <w:p>
            <w:pPr>
              <w:keepNext w:val="0"/>
              <w:keepLines w:val="0"/>
              <w:pageBreakBefore w:val="0"/>
              <w:widowControl w:val="0"/>
              <w:tabs>
                <w:tab w:val="left" w:pos="2761"/>
              </w:tabs>
              <w:kinsoku/>
              <w:wordWrap/>
              <w:overflowPunct/>
              <w:topLinePunct w:val="0"/>
              <w:autoSpaceDE/>
              <w:autoSpaceDN/>
              <w:bidi w:val="0"/>
              <w:adjustRightInd/>
              <w:snapToGrid/>
              <w:spacing w:line="400" w:lineRule="exact"/>
              <w:jc w:val="center"/>
              <w:textAlignment w:val="auto"/>
              <w:outlineLvl w:val="9"/>
              <w:rPr>
                <w:rFonts w:hint="eastAsia" w:ascii="宋体" w:hAnsi="宋体" w:cs="宋体"/>
                <w:bCs/>
                <w:color w:val="auto"/>
                <w:szCs w:val="21"/>
              </w:rPr>
            </w:pPr>
            <w:r>
              <w:rPr>
                <w:rFonts w:hint="eastAsia" w:ascii="宋体" w:hAnsi="宋体" w:cs="宋体"/>
                <w:bCs/>
                <w:color w:val="auto"/>
                <w:szCs w:val="21"/>
              </w:rPr>
              <w:t>(元/</w:t>
            </w:r>
            <w:r>
              <w:rPr>
                <w:rFonts w:hint="eastAsia" w:ascii="宋体" w:hAnsi="宋体" w:cs="宋体"/>
                <w:color w:val="auto"/>
                <w:szCs w:val="21"/>
              </w:rPr>
              <w:t>m</w:t>
            </w:r>
            <w:r>
              <w:rPr>
                <w:rFonts w:hint="eastAsia" w:ascii="宋体" w:hAnsi="宋体" w:cs="宋体"/>
                <w:color w:val="auto"/>
                <w:szCs w:val="21"/>
                <w:vertAlign w:val="superscript"/>
              </w:rPr>
              <w:t>2</w:t>
            </w:r>
            <w:r>
              <w:rPr>
                <w:rFonts w:hint="eastAsia" w:ascii="宋体" w:hAnsi="宋体" w:cs="宋体"/>
                <w:bCs/>
                <w:color w:val="auto"/>
                <w:szCs w:val="21"/>
              </w:rPr>
              <w:t>)</w:t>
            </w:r>
          </w:p>
        </w:tc>
        <w:tc>
          <w:tcPr>
            <w:tcW w:w="1384" w:type="dxa"/>
            <w:noWrap w:val="0"/>
            <w:vAlign w:val="center"/>
          </w:tcPr>
          <w:p>
            <w:pPr>
              <w:keepNext w:val="0"/>
              <w:keepLines w:val="0"/>
              <w:pageBreakBefore w:val="0"/>
              <w:widowControl w:val="0"/>
              <w:tabs>
                <w:tab w:val="left" w:pos="2761"/>
              </w:tabs>
              <w:kinsoku/>
              <w:wordWrap/>
              <w:overflowPunct/>
              <w:topLinePunct w:val="0"/>
              <w:autoSpaceDE/>
              <w:autoSpaceDN/>
              <w:bidi w:val="0"/>
              <w:adjustRightInd/>
              <w:snapToGrid/>
              <w:spacing w:line="400" w:lineRule="exact"/>
              <w:jc w:val="center"/>
              <w:textAlignment w:val="auto"/>
              <w:outlineLvl w:val="9"/>
              <w:rPr>
                <w:rFonts w:hint="eastAsia" w:ascii="宋体" w:hAnsi="宋体" w:cs="宋体"/>
                <w:bCs/>
                <w:color w:val="auto"/>
                <w:szCs w:val="21"/>
              </w:rPr>
            </w:pPr>
            <w:r>
              <w:rPr>
                <w:rFonts w:hint="eastAsia" w:ascii="宋体" w:hAnsi="宋体" w:cs="宋体"/>
                <w:bCs/>
                <w:color w:val="auto"/>
                <w:szCs w:val="21"/>
              </w:rPr>
              <w:t>建筑面积</w:t>
            </w:r>
          </w:p>
          <w:p>
            <w:pPr>
              <w:keepNext w:val="0"/>
              <w:keepLines w:val="0"/>
              <w:pageBreakBefore w:val="0"/>
              <w:widowControl w:val="0"/>
              <w:tabs>
                <w:tab w:val="left" w:pos="2761"/>
              </w:tabs>
              <w:kinsoku/>
              <w:wordWrap/>
              <w:overflowPunct/>
              <w:topLinePunct w:val="0"/>
              <w:autoSpaceDE/>
              <w:autoSpaceDN/>
              <w:bidi w:val="0"/>
              <w:adjustRightInd/>
              <w:snapToGrid/>
              <w:spacing w:line="400" w:lineRule="exact"/>
              <w:jc w:val="center"/>
              <w:textAlignment w:val="auto"/>
              <w:outlineLvl w:val="9"/>
              <w:rPr>
                <w:rFonts w:hint="eastAsia" w:ascii="宋体" w:hAnsi="宋体" w:cs="宋体"/>
                <w:bCs/>
                <w:color w:val="auto"/>
                <w:szCs w:val="21"/>
              </w:rPr>
            </w:pPr>
            <w:r>
              <w:rPr>
                <w:rFonts w:hint="eastAsia" w:ascii="宋体" w:hAnsi="宋体" w:cs="宋体"/>
                <w:bCs/>
                <w:color w:val="auto"/>
                <w:szCs w:val="21"/>
              </w:rPr>
              <w:t>(</w:t>
            </w:r>
            <w:r>
              <w:rPr>
                <w:rFonts w:hint="eastAsia" w:ascii="宋体" w:hAnsi="宋体" w:cs="宋体"/>
                <w:color w:val="auto"/>
                <w:szCs w:val="21"/>
              </w:rPr>
              <w:t>m</w:t>
            </w:r>
            <w:r>
              <w:rPr>
                <w:rFonts w:hint="eastAsia" w:ascii="宋体" w:hAnsi="宋体" w:cs="宋体"/>
                <w:color w:val="auto"/>
                <w:szCs w:val="21"/>
                <w:vertAlign w:val="superscript"/>
              </w:rPr>
              <w:t>2</w:t>
            </w:r>
            <w:r>
              <w:rPr>
                <w:rFonts w:hint="eastAsia" w:ascii="宋体" w:hAnsi="宋体" w:cs="宋体"/>
                <w:bCs/>
                <w:color w:val="auto"/>
                <w:szCs w:val="21"/>
              </w:rPr>
              <w:t>)</w:t>
            </w:r>
          </w:p>
        </w:tc>
        <w:tc>
          <w:tcPr>
            <w:tcW w:w="1516" w:type="dxa"/>
            <w:noWrap w:val="0"/>
            <w:vAlign w:val="center"/>
          </w:tcPr>
          <w:p>
            <w:pPr>
              <w:keepNext w:val="0"/>
              <w:keepLines w:val="0"/>
              <w:pageBreakBefore w:val="0"/>
              <w:widowControl w:val="0"/>
              <w:tabs>
                <w:tab w:val="left" w:pos="2761"/>
              </w:tabs>
              <w:kinsoku/>
              <w:wordWrap/>
              <w:overflowPunct/>
              <w:topLinePunct w:val="0"/>
              <w:autoSpaceDE/>
              <w:autoSpaceDN/>
              <w:bidi w:val="0"/>
              <w:adjustRightInd/>
              <w:snapToGrid/>
              <w:spacing w:line="400" w:lineRule="exact"/>
              <w:jc w:val="center"/>
              <w:textAlignment w:val="auto"/>
              <w:outlineLvl w:val="9"/>
              <w:rPr>
                <w:rFonts w:hint="eastAsia" w:ascii="宋体" w:hAnsi="宋体" w:cs="宋体"/>
                <w:bCs/>
                <w:color w:val="auto"/>
                <w:szCs w:val="21"/>
              </w:rPr>
            </w:pPr>
            <w:r>
              <w:rPr>
                <w:rFonts w:hint="eastAsia" w:ascii="宋体" w:hAnsi="宋体" w:cs="宋体"/>
                <w:bCs/>
                <w:color w:val="auto"/>
                <w:szCs w:val="21"/>
              </w:rPr>
              <w:t>估算总价值</w:t>
            </w:r>
          </w:p>
          <w:p>
            <w:pPr>
              <w:keepNext w:val="0"/>
              <w:keepLines w:val="0"/>
              <w:pageBreakBefore w:val="0"/>
              <w:widowControl w:val="0"/>
              <w:tabs>
                <w:tab w:val="left" w:pos="2761"/>
              </w:tabs>
              <w:kinsoku/>
              <w:wordWrap/>
              <w:overflowPunct/>
              <w:topLinePunct w:val="0"/>
              <w:autoSpaceDE/>
              <w:autoSpaceDN/>
              <w:bidi w:val="0"/>
              <w:adjustRightInd/>
              <w:snapToGrid/>
              <w:spacing w:line="400" w:lineRule="exact"/>
              <w:jc w:val="center"/>
              <w:textAlignment w:val="auto"/>
              <w:outlineLvl w:val="9"/>
              <w:rPr>
                <w:rFonts w:hint="eastAsia" w:ascii="宋体" w:hAnsi="宋体" w:cs="宋体"/>
                <w:bCs/>
                <w:color w:val="auto"/>
                <w:szCs w:val="21"/>
              </w:rPr>
            </w:pPr>
            <w:r>
              <w:rPr>
                <w:rFonts w:hint="eastAsia" w:ascii="宋体" w:hAnsi="宋体" w:cs="宋体"/>
                <w:bCs/>
                <w:color w:val="auto"/>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54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cs="宋体"/>
                <w:color w:val="auto"/>
                <w:szCs w:val="21"/>
              </w:rPr>
            </w:pPr>
            <w:r>
              <w:rPr>
                <w:rFonts w:hint="eastAsia" w:ascii="宋体" w:hAnsi="宋体" w:cs="宋体"/>
                <w:color w:val="auto"/>
                <w:szCs w:val="21"/>
              </w:rPr>
              <w:t>比 较 法</w:t>
            </w:r>
          </w:p>
        </w:tc>
        <w:tc>
          <w:tcPr>
            <w:tcW w:w="19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宋体" w:hAnsi="宋体" w:cs="宋体"/>
                <w:color w:val="auto"/>
                <w:szCs w:val="21"/>
                <w:lang w:val="en-US" w:eastAsia="zh-CN"/>
              </w:rPr>
            </w:pPr>
            <w:r>
              <w:rPr>
                <w:rFonts w:hint="eastAsia" w:ascii="宋体" w:hAnsi="宋体" w:cs="宋体"/>
                <w:color w:val="auto"/>
                <w:kern w:val="2"/>
                <w:sz w:val="21"/>
                <w:szCs w:val="21"/>
                <w:lang w:val="en-US" w:eastAsia="zh-CN" w:bidi="ar-SA"/>
              </w:rPr>
              <w:t>11547</w:t>
            </w:r>
          </w:p>
        </w:tc>
        <w:tc>
          <w:tcPr>
            <w:tcW w:w="136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cs="宋体"/>
                <w:color w:val="auto"/>
                <w:szCs w:val="21"/>
                <w:lang w:val="en-US" w:eastAsia="zh-CN"/>
              </w:rPr>
            </w:pPr>
            <w:r>
              <w:rPr>
                <w:rFonts w:hint="eastAsia" w:ascii="宋体" w:hAnsi="宋体" w:cs="宋体"/>
                <w:color w:val="auto"/>
                <w:szCs w:val="21"/>
                <w:lang w:val="en-US" w:eastAsia="zh-CN"/>
              </w:rPr>
              <w:t>70%</w:t>
            </w:r>
          </w:p>
        </w:tc>
        <w:tc>
          <w:tcPr>
            <w:tcW w:w="146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宋体" w:hAnsi="宋体" w:eastAsia="宋体" w:cs="宋体"/>
                <w:color w:val="auto"/>
                <w:szCs w:val="21"/>
                <w:lang w:val="en-US" w:eastAsia="zh-CN"/>
              </w:rPr>
            </w:pPr>
            <w:r>
              <w:rPr>
                <w:rFonts w:hint="eastAsia" w:ascii="宋体" w:hAnsi="宋体" w:cs="宋体"/>
                <w:color w:val="auto"/>
                <w:szCs w:val="21"/>
                <w:lang w:val="en-US" w:eastAsia="zh-CN"/>
              </w:rPr>
              <w:t>10682</w:t>
            </w:r>
          </w:p>
        </w:tc>
        <w:tc>
          <w:tcPr>
            <w:tcW w:w="138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宋体" w:hAnsi="宋体" w:eastAsia="宋体" w:cs="宋体"/>
                <w:color w:val="auto"/>
                <w:szCs w:val="21"/>
                <w:lang w:val="en-US" w:eastAsia="zh-CN"/>
              </w:rPr>
            </w:pPr>
            <w:r>
              <w:rPr>
                <w:rFonts w:hint="eastAsia" w:ascii="宋体" w:hAnsi="宋体" w:cs="宋体"/>
                <w:color w:val="auto"/>
                <w:szCs w:val="21"/>
                <w:lang w:val="en-US" w:eastAsia="zh-CN"/>
              </w:rPr>
              <w:t>106.49</w:t>
            </w:r>
          </w:p>
        </w:tc>
        <w:tc>
          <w:tcPr>
            <w:tcW w:w="151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宋体" w:hAnsi="宋体" w:eastAsia="宋体" w:cs="宋体"/>
                <w:color w:val="auto"/>
                <w:szCs w:val="21"/>
                <w:lang w:val="en-US" w:eastAsia="zh-CN"/>
              </w:rPr>
            </w:pPr>
            <w:r>
              <w:rPr>
                <w:rFonts w:hint="eastAsia" w:ascii="宋体" w:hAnsi="宋体" w:cs="宋体"/>
                <w:color w:val="auto"/>
                <w:szCs w:val="21"/>
                <w:lang w:val="en-US" w:eastAsia="zh-CN"/>
              </w:rPr>
              <w:t>113.75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收 益 法</w:t>
            </w:r>
          </w:p>
        </w:tc>
        <w:tc>
          <w:tcPr>
            <w:tcW w:w="1938"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8663</w:t>
            </w:r>
          </w:p>
        </w:tc>
        <w:tc>
          <w:tcPr>
            <w:tcW w:w="1367" w:type="dxa"/>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30%</w:t>
            </w:r>
          </w:p>
        </w:tc>
        <w:tc>
          <w:tcPr>
            <w:tcW w:w="1466" w:type="dxa"/>
            <w:vMerge w:val="continue"/>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auto"/>
                <w:sz w:val="21"/>
                <w:szCs w:val="21"/>
              </w:rPr>
            </w:pPr>
          </w:p>
        </w:tc>
        <w:tc>
          <w:tcPr>
            <w:tcW w:w="1384" w:type="dxa"/>
            <w:vMerge w:val="continue"/>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auto"/>
                <w:sz w:val="21"/>
                <w:szCs w:val="21"/>
              </w:rPr>
            </w:pPr>
          </w:p>
        </w:tc>
        <w:tc>
          <w:tcPr>
            <w:tcW w:w="1516" w:type="dxa"/>
            <w:vMerge w:val="continue"/>
            <w:noWrap w:val="0"/>
            <w:vAlign w:val="top"/>
          </w:tcPr>
          <w:p>
            <w:pPr>
              <w:pStyle w:val="4"/>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auto"/>
                <w:sz w:val="21"/>
                <w:szCs w:val="21"/>
              </w:rPr>
            </w:pPr>
          </w:p>
        </w:tc>
      </w:tr>
    </w:tbl>
    <w:p>
      <w:pPr>
        <w:pStyle w:val="4"/>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bCs/>
          <w:color w:val="auto"/>
          <w:sz w:val="24"/>
          <w:szCs w:val="24"/>
          <w:lang w:val="en-US" w:eastAsia="zh-CN"/>
        </w:rPr>
        <w:t>2、车位估算</w:t>
      </w:r>
      <w:r>
        <w:rPr>
          <w:rFonts w:hint="eastAsia" w:ascii="宋体" w:hAnsi="宋体" w:eastAsia="宋体" w:cs="宋体"/>
          <w:color w:val="auto"/>
          <w:sz w:val="24"/>
          <w:szCs w:val="24"/>
          <w:lang w:val="en-US" w:eastAsia="zh-CN"/>
        </w:rPr>
        <w:t>价值的确定</w:t>
      </w:r>
    </w:p>
    <w:p>
      <w:pPr>
        <w:pStyle w:val="4"/>
        <w:keepNext w:val="0"/>
        <w:keepLines w:val="0"/>
        <w:pageBreakBefore w:val="0"/>
        <w:widowControl w:val="0"/>
        <w:kinsoku/>
        <w:wordWrap/>
        <w:overflowPunct/>
        <w:topLinePunct w:val="0"/>
        <w:autoSpaceDE/>
        <w:autoSpaceDN/>
        <w:bidi w:val="0"/>
        <w:adjustRightInd/>
        <w:snapToGrid/>
        <w:spacing w:line="420" w:lineRule="exact"/>
        <w:ind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C485号</w:t>
      </w:r>
      <w:r>
        <w:rPr>
          <w:rFonts w:hint="eastAsia" w:ascii="宋体" w:hAnsi="宋体" w:eastAsia="宋体" w:cs="宋体"/>
          <w:color w:val="auto"/>
          <w:sz w:val="24"/>
          <w:szCs w:val="24"/>
          <w:lang w:val="en-US" w:eastAsia="zh-CN"/>
        </w:rPr>
        <w:t>车位</w:t>
      </w:r>
      <w:r>
        <w:rPr>
          <w:rFonts w:hint="eastAsia" w:ascii="宋体" w:hAnsi="宋体" w:eastAsia="宋体" w:cs="宋体"/>
          <w:bCs/>
          <w:color w:val="auto"/>
          <w:sz w:val="24"/>
          <w:szCs w:val="24"/>
        </w:rPr>
        <w:t>面</w:t>
      </w:r>
      <w:r>
        <w:rPr>
          <w:rFonts w:hint="eastAsia" w:ascii="宋体" w:hAnsi="宋体" w:eastAsia="宋体" w:cs="宋体"/>
          <w:bCs/>
          <w:sz w:val="24"/>
          <w:szCs w:val="24"/>
        </w:rPr>
        <w:t>积为</w:t>
      </w:r>
      <w:r>
        <w:rPr>
          <w:rFonts w:hint="eastAsia" w:ascii="宋体" w:hAnsi="宋体" w:eastAsia="宋体" w:cs="宋体"/>
          <w:bCs/>
          <w:sz w:val="24"/>
          <w:szCs w:val="24"/>
          <w:lang w:val="en-US" w:eastAsia="zh-CN"/>
        </w:rPr>
        <w:t>44.15</w:t>
      </w:r>
      <w:r>
        <w:rPr>
          <w:rFonts w:hint="eastAsia" w:ascii="宋体" w:hAnsi="宋体" w:eastAsia="宋体" w:cs="宋体"/>
          <w:sz w:val="24"/>
          <w:szCs w:val="24"/>
        </w:rPr>
        <w:t>m</w:t>
      </w:r>
      <w:r>
        <w:rPr>
          <w:rFonts w:hint="eastAsia" w:ascii="宋体" w:hAnsi="宋体" w:eastAsia="宋体" w:cs="宋体"/>
          <w:sz w:val="24"/>
          <w:szCs w:val="24"/>
          <w:vertAlign w:val="superscript"/>
        </w:rPr>
        <w:t>2</w:t>
      </w:r>
      <w:r>
        <w:rPr>
          <w:rFonts w:hint="eastAsia" w:ascii="宋体" w:hAnsi="宋体" w:eastAsia="宋体" w:cs="宋体"/>
          <w:bCs/>
          <w:sz w:val="24"/>
          <w:szCs w:val="24"/>
        </w:rPr>
        <w:t>，</w:t>
      </w:r>
      <w:r>
        <w:rPr>
          <w:rFonts w:hint="eastAsia" w:ascii="宋体" w:hAnsi="宋体" w:eastAsia="宋体" w:cs="宋体"/>
          <w:bCs/>
          <w:sz w:val="24"/>
          <w:szCs w:val="24"/>
          <w:lang w:eastAsia="zh-CN"/>
        </w:rPr>
        <w:t>车库、</w:t>
      </w:r>
      <w:r>
        <w:rPr>
          <w:rFonts w:hint="eastAsia" w:ascii="宋体" w:hAnsi="宋体" w:eastAsia="宋体" w:cs="宋体"/>
          <w:bCs/>
          <w:sz w:val="24"/>
          <w:szCs w:val="24"/>
        </w:rPr>
        <w:t>车位用房在市场上交易均以个为单位，</w:t>
      </w:r>
      <w:r>
        <w:rPr>
          <w:rFonts w:hint="eastAsia" w:ascii="宋体" w:hAnsi="宋体" w:eastAsia="宋体" w:cs="宋体"/>
          <w:sz w:val="24"/>
          <w:szCs w:val="24"/>
        </w:rPr>
        <w:t>通过对该区域类似车库、车位市场行情的调查，结合估价对象</w:t>
      </w:r>
      <w:r>
        <w:rPr>
          <w:rFonts w:hint="eastAsia" w:ascii="宋体" w:hAnsi="宋体" w:eastAsia="宋体" w:cs="宋体"/>
          <w:sz w:val="24"/>
          <w:szCs w:val="24"/>
          <w:lang w:val="en-US" w:eastAsia="zh-CN"/>
        </w:rPr>
        <w:t>所处位置规模大小</w:t>
      </w:r>
      <w:r>
        <w:rPr>
          <w:rFonts w:hint="eastAsia" w:ascii="宋体" w:hAnsi="宋体" w:eastAsia="宋体" w:cs="宋体"/>
          <w:sz w:val="24"/>
          <w:szCs w:val="24"/>
        </w:rPr>
        <w:t>、出入便捷度</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供求关系</w:t>
      </w:r>
      <w:r>
        <w:rPr>
          <w:rFonts w:hint="eastAsia" w:ascii="宋体" w:hAnsi="宋体" w:eastAsia="宋体" w:cs="宋体"/>
          <w:sz w:val="24"/>
          <w:szCs w:val="24"/>
        </w:rPr>
        <w:t>等因素</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确定</w:t>
      </w:r>
      <w:r>
        <w:rPr>
          <w:rFonts w:hint="eastAsia" w:ascii="宋体" w:hAnsi="宋体" w:eastAsia="宋体" w:cs="宋体"/>
          <w:sz w:val="24"/>
          <w:szCs w:val="24"/>
          <w:lang w:val="zh-CN"/>
        </w:rPr>
        <w:t>估价</w:t>
      </w:r>
      <w:r>
        <w:rPr>
          <w:rFonts w:hint="eastAsia" w:ascii="宋体" w:hAnsi="宋体" w:eastAsia="宋体" w:cs="宋体"/>
          <w:sz w:val="24"/>
          <w:szCs w:val="24"/>
          <w:lang w:val="en-US" w:eastAsia="zh-CN"/>
        </w:rPr>
        <w:t>对象车位14万元/个。</w:t>
      </w:r>
    </w:p>
    <w:p>
      <w:pPr>
        <w:pStyle w:val="4"/>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估算总价值的确定</w:t>
      </w:r>
    </w:p>
    <w:p>
      <w:pPr>
        <w:pStyle w:val="4"/>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估算总价值=</w:t>
      </w:r>
      <w:r>
        <w:rPr>
          <w:rFonts w:hint="eastAsia" w:ascii="宋体" w:hAnsi="宋体" w:eastAsia="宋体" w:cs="宋体"/>
          <w:sz w:val="24"/>
          <w:szCs w:val="24"/>
          <w:lang w:eastAsia="zh-CN"/>
        </w:rPr>
        <w:t>住宅</w:t>
      </w:r>
      <w:r>
        <w:rPr>
          <w:rFonts w:hint="eastAsia" w:ascii="宋体" w:hAnsi="宋体" w:eastAsia="宋体" w:cs="宋体"/>
          <w:sz w:val="24"/>
          <w:szCs w:val="24"/>
        </w:rPr>
        <w:t>估算价值+</w:t>
      </w:r>
      <w:r>
        <w:rPr>
          <w:rFonts w:hint="eastAsia" w:ascii="宋体" w:hAnsi="宋体" w:eastAsia="宋体" w:cs="宋体"/>
          <w:sz w:val="24"/>
          <w:szCs w:val="24"/>
          <w:lang w:eastAsia="zh-CN"/>
        </w:rPr>
        <w:t>车位</w:t>
      </w:r>
      <w:r>
        <w:rPr>
          <w:rFonts w:hint="eastAsia" w:ascii="宋体" w:hAnsi="宋体" w:eastAsia="宋体" w:cs="宋体"/>
          <w:sz w:val="24"/>
          <w:szCs w:val="24"/>
        </w:rPr>
        <w:t>估算价值</w:t>
      </w:r>
    </w:p>
    <w:p>
      <w:pPr>
        <w:pStyle w:val="4"/>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113.75</w:t>
      </w:r>
      <w:r>
        <w:rPr>
          <w:rFonts w:hint="eastAsia" w:ascii="宋体" w:hAnsi="宋体" w:eastAsia="宋体" w:cs="宋体"/>
          <w:sz w:val="24"/>
          <w:szCs w:val="24"/>
        </w:rPr>
        <w:t>万元+</w:t>
      </w:r>
      <w:r>
        <w:rPr>
          <w:rFonts w:hint="eastAsia" w:ascii="宋体" w:hAnsi="宋体" w:eastAsia="宋体" w:cs="宋体"/>
          <w:sz w:val="24"/>
          <w:szCs w:val="24"/>
          <w:lang w:val="en-US" w:eastAsia="zh-CN"/>
        </w:rPr>
        <w:t>14</w:t>
      </w:r>
      <w:r>
        <w:rPr>
          <w:rFonts w:hint="eastAsia" w:ascii="宋体" w:hAnsi="宋体" w:eastAsia="宋体" w:cs="宋体"/>
          <w:sz w:val="24"/>
          <w:szCs w:val="24"/>
        </w:rPr>
        <w:t>万元</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cs="宋体"/>
          <w:sz w:val="24"/>
          <w:szCs w:val="24"/>
        </w:rPr>
      </w:pPr>
      <w:r>
        <w:rPr>
          <w:rFonts w:hint="eastAsia" w:ascii="宋体" w:hAnsi="宋体" w:cs="宋体"/>
          <w:sz w:val="24"/>
          <w:szCs w:val="24"/>
        </w:rPr>
        <w:t xml:space="preserve">              =</w:t>
      </w:r>
      <w:r>
        <w:rPr>
          <w:rFonts w:hint="eastAsia" w:ascii="宋体" w:hAnsi="宋体" w:cs="宋体"/>
          <w:sz w:val="24"/>
          <w:szCs w:val="24"/>
          <w:lang w:val="en-US" w:eastAsia="zh-CN"/>
        </w:rPr>
        <w:t>127.75</w:t>
      </w:r>
      <w:r>
        <w:rPr>
          <w:rFonts w:hint="eastAsia" w:ascii="宋体" w:hAnsi="宋体" w:cs="宋体"/>
          <w:sz w:val="24"/>
          <w:szCs w:val="24"/>
        </w:rPr>
        <w:t>万元</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二</w:t>
      </w:r>
      <w:r>
        <w:rPr>
          <w:rFonts w:hint="eastAsia" w:ascii="宋体" w:hAnsi="宋体" w:eastAsia="宋体" w:cs="宋体"/>
          <w:color w:val="auto"/>
          <w:sz w:val="24"/>
          <w:szCs w:val="24"/>
        </w:rPr>
        <w:t>）扣除原房屋所有权人应承担的相关税费及费用</w:t>
      </w:r>
    </w:p>
    <w:bookmarkEnd w:id="14"/>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宋体" w:hAnsi="宋体" w:cs="宋体"/>
          <w:color w:val="auto"/>
          <w:sz w:val="24"/>
          <w:szCs w:val="24"/>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如果估价对象在价值时点进行处置，</w:t>
      </w:r>
      <w:r>
        <w:rPr>
          <w:rFonts w:hint="eastAsia" w:ascii="宋体" w:hAnsi="宋体" w:eastAsia="宋体" w:cs="宋体"/>
          <w:color w:val="auto"/>
          <w:sz w:val="24"/>
          <w:szCs w:val="24"/>
          <w:lang w:eastAsia="zh-CN"/>
        </w:rPr>
        <w:t>根据房地产转让相关文件，</w:t>
      </w:r>
      <w:r>
        <w:rPr>
          <w:rFonts w:hint="eastAsia" w:ascii="宋体" w:hAnsi="宋体" w:eastAsia="宋体" w:cs="宋体"/>
          <w:color w:val="auto"/>
          <w:sz w:val="24"/>
          <w:szCs w:val="24"/>
        </w:rPr>
        <w:t>原房屋所有权人应承担的相关税费及费用如下</w:t>
      </w:r>
      <w:r>
        <w:rPr>
          <w:rFonts w:hint="eastAsia" w:ascii="宋体" w:hAnsi="宋体" w:eastAsia="宋体" w:cs="宋体"/>
          <w:color w:val="auto"/>
          <w:sz w:val="24"/>
          <w:szCs w:val="24"/>
          <w:lang w:eastAsia="zh-CN"/>
        </w:rPr>
        <w:t>：</w:t>
      </w:r>
    </w:p>
    <w:p>
      <w:pPr>
        <w:pStyle w:val="4"/>
        <w:keepNext w:val="0"/>
        <w:keepLines w:val="0"/>
        <w:pageBreakBefore w:val="0"/>
        <w:widowControl w:val="0"/>
        <w:numPr>
          <w:ilvl w:val="0"/>
          <w:numId w:val="14"/>
        </w:numPr>
        <w:kinsoku/>
        <w:wordWrap/>
        <w:overflowPunct/>
        <w:topLinePunct w:val="0"/>
        <w:autoSpaceDE/>
        <w:autoSpaceDN/>
        <w:bidi w:val="0"/>
        <w:adjustRightInd/>
        <w:snapToGrid/>
        <w:spacing w:line="360" w:lineRule="auto"/>
        <w:ind w:left="435" w:leftChars="0" w:right="0" w:rightChars="0" w:firstLine="0" w:firstLineChars="0"/>
        <w:jc w:val="both"/>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增值税及附加（5.</w:t>
      </w:r>
      <w:r>
        <w:rPr>
          <w:rFonts w:hint="eastAsia" w:ascii="宋体" w:hAnsi="宋体" w:eastAsia="宋体" w:cs="宋体"/>
          <w:color w:val="auto"/>
          <w:sz w:val="24"/>
          <w:szCs w:val="24"/>
          <w:lang w:val="en-US" w:eastAsia="zh-CN"/>
        </w:rPr>
        <w:t>33</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auto"/>
        <w:ind w:left="437" w:leftChars="0" w:right="0" w:rightChars="0" w:firstLine="480" w:firstLineChars="200"/>
        <w:jc w:val="both"/>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住宅1158900元×5.33%</w:t>
      </w:r>
      <w:r>
        <w:rPr>
          <w:rFonts w:hint="default" w:ascii="宋体" w:hAnsi="宋体" w:eastAsia="宋体" w:cs="宋体"/>
          <w:color w:val="auto"/>
          <w:sz w:val="24"/>
          <w:szCs w:val="24"/>
          <w:lang w:val="en-US" w:eastAsia="zh-CN"/>
        </w:rPr>
        <w:t>≈</w:t>
      </w:r>
      <w:r>
        <w:rPr>
          <w:rFonts w:hint="eastAsia" w:ascii="宋体" w:hAnsi="宋体" w:eastAsia="宋体" w:cs="宋体"/>
          <w:color w:val="auto"/>
          <w:sz w:val="24"/>
          <w:szCs w:val="24"/>
          <w:lang w:val="en-US" w:eastAsia="zh-CN"/>
        </w:rPr>
        <w:t>60629元</w:t>
      </w:r>
      <w:r>
        <w:rPr>
          <w:rFonts w:hint="eastAsia" w:ascii="宋体" w:hAnsi="宋体" w:eastAsia="宋体" w:cs="宋体"/>
          <w:color w:val="auto"/>
          <w:sz w:val="24"/>
          <w:szCs w:val="24"/>
          <w:lang w:eastAsia="zh-CN"/>
        </w:rPr>
        <w:t>；</w:t>
      </w:r>
      <w:r>
        <w:rPr>
          <w:rFonts w:hint="eastAsia" w:ascii="宋体" w:hAnsi="宋体" w:eastAsia="宋体" w:cs="宋体"/>
          <w:color w:val="000000"/>
          <w:sz w:val="24"/>
          <w:szCs w:val="24"/>
          <w:lang w:val="en-US" w:eastAsia="zh-CN"/>
        </w:rPr>
        <w:t>车位140000</w:t>
      </w:r>
      <w:r>
        <w:rPr>
          <w:rFonts w:hint="eastAsia" w:ascii="宋体" w:hAnsi="宋体" w:eastAsia="宋体" w:cs="宋体"/>
          <w:color w:val="000000"/>
          <w:sz w:val="24"/>
          <w:szCs w:val="24"/>
          <w:lang w:eastAsia="zh-CN"/>
        </w:rPr>
        <w:t>元</w:t>
      </w:r>
      <w:r>
        <w:rPr>
          <w:rFonts w:hint="eastAsia" w:ascii="宋体" w:hAnsi="宋体" w:eastAsia="宋体" w:cs="宋体"/>
          <w:color w:val="000000"/>
          <w:sz w:val="24"/>
          <w:szCs w:val="24"/>
          <w:lang w:val="en-US" w:eastAsia="zh-CN"/>
        </w:rPr>
        <w:t>×5.33%</w:t>
      </w:r>
      <w:r>
        <w:rPr>
          <w:rFonts w:hint="default" w:ascii="宋体" w:hAnsi="宋体" w:eastAsia="宋体" w:cs="宋体"/>
          <w:color w:val="000000"/>
          <w:sz w:val="24"/>
          <w:szCs w:val="24"/>
          <w:lang w:val="en-US" w:eastAsia="zh-CN"/>
        </w:rPr>
        <w:t>≈</w:t>
      </w:r>
      <w:r>
        <w:rPr>
          <w:rFonts w:hint="eastAsia" w:ascii="宋体" w:hAnsi="宋体" w:eastAsia="宋体" w:cs="宋体"/>
          <w:color w:val="000000"/>
          <w:sz w:val="24"/>
          <w:szCs w:val="24"/>
          <w:lang w:val="en-US" w:eastAsia="zh-CN"/>
        </w:rPr>
        <w:t>7462元；</w:t>
      </w:r>
    </w:p>
    <w:p>
      <w:pPr>
        <w:pStyle w:val="4"/>
        <w:keepNext w:val="0"/>
        <w:keepLines w:val="0"/>
        <w:pageBreakBefore w:val="0"/>
        <w:widowControl w:val="0"/>
        <w:numPr>
          <w:ilvl w:val="0"/>
          <w:numId w:val="14"/>
        </w:numPr>
        <w:kinsoku/>
        <w:wordWrap/>
        <w:overflowPunct/>
        <w:topLinePunct w:val="0"/>
        <w:autoSpaceDE/>
        <w:autoSpaceDN/>
        <w:bidi w:val="0"/>
        <w:adjustRightInd/>
        <w:snapToGrid/>
        <w:spacing w:line="360" w:lineRule="auto"/>
        <w:ind w:left="435" w:leftChars="0" w:right="0" w:rightChars="0" w:firstLine="0" w:firstLineChars="0"/>
        <w:jc w:val="both"/>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rPr>
        <w:t>个人所得税（</w:t>
      </w:r>
      <w:r>
        <w:rPr>
          <w:rFonts w:hint="eastAsia" w:ascii="宋体" w:hAnsi="宋体" w:eastAsia="宋体" w:cs="宋体"/>
          <w:color w:val="auto"/>
          <w:sz w:val="24"/>
          <w:szCs w:val="24"/>
          <w:lang w:val="en-US" w:eastAsia="zh-CN"/>
        </w:rPr>
        <w:t>3.00</w:t>
      </w:r>
      <w:r>
        <w:rPr>
          <w:rFonts w:hint="eastAsia" w:ascii="宋体" w:hAnsi="宋体" w:eastAsia="宋体" w:cs="宋体"/>
          <w:color w:val="auto"/>
          <w:sz w:val="24"/>
          <w:szCs w:val="24"/>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auto"/>
        <w:ind w:left="437" w:leftChars="0" w:right="0" w:rightChars="0" w:firstLine="480" w:firstLineChars="200"/>
        <w:jc w:val="both"/>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auto"/>
          <w:sz w:val="24"/>
          <w:szCs w:val="24"/>
          <w:lang w:val="en-US" w:eastAsia="zh-CN"/>
        </w:rPr>
        <w:t>住宅1158900元×3.00%</w:t>
      </w:r>
      <w:r>
        <w:rPr>
          <w:rFonts w:hint="default" w:ascii="宋体" w:hAnsi="宋体" w:eastAsia="宋体" w:cs="宋体"/>
          <w:color w:val="auto"/>
          <w:sz w:val="24"/>
          <w:szCs w:val="24"/>
          <w:lang w:val="en-US" w:eastAsia="zh-CN"/>
        </w:rPr>
        <w:t>≈</w:t>
      </w:r>
      <w:r>
        <w:rPr>
          <w:rFonts w:hint="eastAsia" w:ascii="宋体" w:hAnsi="宋体" w:eastAsia="宋体" w:cs="宋体"/>
          <w:color w:val="auto"/>
          <w:sz w:val="24"/>
          <w:szCs w:val="24"/>
          <w:lang w:val="en-US" w:eastAsia="zh-CN"/>
        </w:rPr>
        <w:t>34125元</w:t>
      </w:r>
      <w:r>
        <w:rPr>
          <w:rFonts w:hint="eastAsia" w:ascii="宋体" w:hAnsi="宋体" w:eastAsia="宋体" w:cs="宋体"/>
          <w:color w:val="auto"/>
          <w:sz w:val="24"/>
          <w:szCs w:val="24"/>
          <w:lang w:eastAsia="zh-CN"/>
        </w:rPr>
        <w:t>；</w:t>
      </w:r>
      <w:r>
        <w:rPr>
          <w:rFonts w:hint="eastAsia" w:ascii="宋体" w:hAnsi="宋体" w:eastAsia="宋体" w:cs="宋体"/>
          <w:color w:val="000000"/>
          <w:sz w:val="24"/>
          <w:szCs w:val="24"/>
          <w:lang w:val="en-US" w:eastAsia="zh-CN"/>
        </w:rPr>
        <w:t>车位140000</w:t>
      </w:r>
      <w:r>
        <w:rPr>
          <w:rFonts w:hint="eastAsia" w:ascii="宋体" w:hAnsi="宋体" w:eastAsia="宋体" w:cs="宋体"/>
          <w:color w:val="000000"/>
          <w:sz w:val="24"/>
          <w:szCs w:val="24"/>
          <w:lang w:eastAsia="zh-CN"/>
        </w:rPr>
        <w:t>元</w:t>
      </w:r>
      <w:r>
        <w:rPr>
          <w:rFonts w:hint="eastAsia" w:ascii="宋体" w:hAnsi="宋体" w:eastAsia="宋体" w:cs="宋体"/>
          <w:color w:val="000000"/>
          <w:sz w:val="24"/>
          <w:szCs w:val="24"/>
          <w:lang w:val="en-US" w:eastAsia="zh-CN"/>
        </w:rPr>
        <w:t>×3.00%</w:t>
      </w:r>
      <w:r>
        <w:rPr>
          <w:rFonts w:hint="default" w:ascii="宋体" w:hAnsi="宋体" w:eastAsia="宋体" w:cs="宋体"/>
          <w:color w:val="000000"/>
          <w:sz w:val="24"/>
          <w:szCs w:val="24"/>
          <w:lang w:val="en-US" w:eastAsia="zh-CN"/>
        </w:rPr>
        <w:t>≈</w:t>
      </w:r>
      <w:r>
        <w:rPr>
          <w:rFonts w:hint="eastAsia" w:ascii="宋体" w:hAnsi="宋体" w:eastAsia="宋体" w:cs="宋体"/>
          <w:color w:val="000000"/>
          <w:sz w:val="24"/>
          <w:szCs w:val="24"/>
          <w:lang w:val="en-US" w:eastAsia="zh-CN"/>
        </w:rPr>
        <w:t>4200元；</w:t>
      </w:r>
    </w:p>
    <w:p>
      <w:pPr>
        <w:pStyle w:val="4"/>
        <w:keepNext w:val="0"/>
        <w:keepLines w:val="0"/>
        <w:pageBreakBefore w:val="0"/>
        <w:widowControl w:val="0"/>
        <w:numPr>
          <w:ilvl w:val="0"/>
          <w:numId w:val="14"/>
        </w:numPr>
        <w:kinsoku/>
        <w:wordWrap/>
        <w:overflowPunct/>
        <w:topLinePunct w:val="0"/>
        <w:autoSpaceDE/>
        <w:autoSpaceDN/>
        <w:bidi w:val="0"/>
        <w:adjustRightInd/>
        <w:snapToGrid/>
        <w:spacing w:line="360" w:lineRule="auto"/>
        <w:ind w:left="435" w:leftChars="0" w:right="0" w:rightChars="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土地增值税（5</w:t>
      </w:r>
      <w:r>
        <w:rPr>
          <w:rFonts w:hint="eastAsia" w:ascii="宋体" w:hAnsi="宋体" w:eastAsia="宋体" w:cs="宋体"/>
          <w:color w:val="auto"/>
          <w:sz w:val="24"/>
          <w:szCs w:val="24"/>
          <w:lang w:val="en-US" w:eastAsia="zh-CN"/>
        </w:rPr>
        <w:t>.00</w:t>
      </w:r>
      <w:r>
        <w:rPr>
          <w:rFonts w:hint="eastAsia" w:ascii="宋体" w:hAnsi="宋体" w:eastAsia="宋体" w:cs="宋体"/>
          <w:color w:val="auto"/>
          <w:sz w:val="24"/>
          <w:szCs w:val="24"/>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auto"/>
        <w:ind w:left="437" w:leftChars="0" w:right="0" w:rightChars="0" w:firstLine="480" w:firstLineChars="20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住宅免征</w:t>
      </w:r>
      <w:r>
        <w:rPr>
          <w:rFonts w:hint="eastAsia" w:ascii="宋体" w:hAnsi="宋体" w:eastAsia="宋体" w:cs="宋体"/>
          <w:color w:val="auto"/>
          <w:sz w:val="24"/>
          <w:szCs w:val="24"/>
          <w:lang w:eastAsia="zh-CN"/>
        </w:rPr>
        <w:t>；</w:t>
      </w:r>
      <w:r>
        <w:rPr>
          <w:rFonts w:hint="eastAsia" w:ascii="宋体" w:hAnsi="宋体" w:eastAsia="宋体" w:cs="宋体"/>
          <w:color w:val="000000"/>
          <w:sz w:val="24"/>
          <w:szCs w:val="24"/>
          <w:lang w:val="en-US" w:eastAsia="zh-CN"/>
        </w:rPr>
        <w:t>车位140000</w:t>
      </w:r>
      <w:r>
        <w:rPr>
          <w:rFonts w:hint="eastAsia" w:ascii="宋体" w:hAnsi="宋体" w:eastAsia="宋体" w:cs="宋体"/>
          <w:color w:val="000000"/>
          <w:sz w:val="24"/>
          <w:szCs w:val="24"/>
          <w:lang w:eastAsia="zh-CN"/>
        </w:rPr>
        <w:t>元</w:t>
      </w:r>
      <w:r>
        <w:rPr>
          <w:rFonts w:hint="eastAsia" w:ascii="宋体" w:hAnsi="宋体" w:eastAsia="宋体" w:cs="宋体"/>
          <w:color w:val="000000"/>
          <w:sz w:val="24"/>
          <w:szCs w:val="24"/>
          <w:lang w:val="en-US" w:eastAsia="zh-CN"/>
        </w:rPr>
        <w:t>×5.00%</w:t>
      </w:r>
      <w:r>
        <w:rPr>
          <w:rFonts w:hint="default" w:ascii="宋体" w:hAnsi="宋体" w:eastAsia="宋体" w:cs="宋体"/>
          <w:color w:val="000000"/>
          <w:sz w:val="24"/>
          <w:szCs w:val="24"/>
          <w:lang w:val="en-US" w:eastAsia="zh-CN"/>
        </w:rPr>
        <w:t>≈</w:t>
      </w:r>
      <w:r>
        <w:rPr>
          <w:rFonts w:hint="eastAsia" w:ascii="宋体" w:hAnsi="宋体" w:eastAsia="宋体" w:cs="宋体"/>
          <w:color w:val="000000"/>
          <w:sz w:val="24"/>
          <w:szCs w:val="24"/>
          <w:lang w:val="en-US" w:eastAsia="zh-CN"/>
        </w:rPr>
        <w:t>7000元；</w:t>
      </w:r>
    </w:p>
    <w:p>
      <w:pPr>
        <w:pStyle w:val="4"/>
        <w:keepNext w:val="0"/>
        <w:keepLines w:val="0"/>
        <w:pageBreakBefore w:val="0"/>
        <w:widowControl w:val="0"/>
        <w:numPr>
          <w:ilvl w:val="0"/>
          <w:numId w:val="14"/>
        </w:numPr>
        <w:kinsoku/>
        <w:wordWrap/>
        <w:overflowPunct/>
        <w:topLinePunct w:val="0"/>
        <w:autoSpaceDE/>
        <w:autoSpaceDN/>
        <w:bidi w:val="0"/>
        <w:adjustRightInd/>
        <w:snapToGrid/>
        <w:spacing w:line="360" w:lineRule="auto"/>
        <w:ind w:left="435" w:leftChars="0" w:right="0" w:rightChars="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印花税（0.05%）：</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auto"/>
        <w:ind w:left="437" w:leftChars="0" w:right="0" w:rightChars="0" w:firstLine="480" w:firstLineChars="200"/>
        <w:jc w:val="both"/>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rPr>
        <w:t>住宅</w:t>
      </w:r>
      <w:r>
        <w:rPr>
          <w:rFonts w:hint="eastAsia" w:ascii="宋体" w:hAnsi="宋体" w:eastAsia="宋体" w:cs="宋体"/>
          <w:color w:val="auto"/>
          <w:sz w:val="24"/>
          <w:szCs w:val="24"/>
          <w:lang w:eastAsia="zh-CN"/>
        </w:rPr>
        <w:t>免征；</w:t>
      </w:r>
      <w:r>
        <w:rPr>
          <w:rFonts w:hint="eastAsia" w:ascii="宋体" w:hAnsi="宋体" w:eastAsia="宋体" w:cs="宋体"/>
          <w:color w:val="000000"/>
          <w:sz w:val="24"/>
          <w:szCs w:val="24"/>
          <w:lang w:val="en-US" w:eastAsia="zh-CN"/>
        </w:rPr>
        <w:t>车位140000</w:t>
      </w:r>
      <w:r>
        <w:rPr>
          <w:rFonts w:hint="eastAsia" w:ascii="宋体" w:hAnsi="宋体" w:eastAsia="宋体" w:cs="宋体"/>
          <w:color w:val="000000"/>
          <w:sz w:val="24"/>
          <w:szCs w:val="24"/>
          <w:lang w:eastAsia="zh-CN"/>
        </w:rPr>
        <w:t>元</w:t>
      </w:r>
      <w:r>
        <w:rPr>
          <w:rFonts w:hint="eastAsia" w:ascii="宋体" w:hAnsi="宋体" w:eastAsia="宋体" w:cs="宋体"/>
          <w:color w:val="000000"/>
          <w:sz w:val="24"/>
          <w:szCs w:val="24"/>
          <w:lang w:val="en-US" w:eastAsia="zh-CN"/>
        </w:rPr>
        <w:t>×0.05%</w:t>
      </w:r>
      <w:r>
        <w:rPr>
          <w:rFonts w:hint="default" w:ascii="宋体" w:hAnsi="宋体" w:eastAsia="宋体" w:cs="宋体"/>
          <w:color w:val="000000"/>
          <w:sz w:val="24"/>
          <w:szCs w:val="24"/>
          <w:lang w:val="en-US" w:eastAsia="zh-CN"/>
        </w:rPr>
        <w:t>≈</w:t>
      </w:r>
      <w:r>
        <w:rPr>
          <w:rFonts w:hint="eastAsia" w:ascii="宋体" w:hAnsi="宋体" w:eastAsia="宋体" w:cs="宋体"/>
          <w:color w:val="000000"/>
          <w:sz w:val="24"/>
          <w:szCs w:val="24"/>
          <w:lang w:val="en-US" w:eastAsia="zh-CN"/>
        </w:rPr>
        <w:t>70元；</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（5）房产登记费（</w:t>
      </w:r>
      <w:r>
        <w:rPr>
          <w:rFonts w:hint="eastAsia" w:ascii="宋体" w:hAnsi="宋体" w:eastAsia="宋体" w:cs="宋体"/>
          <w:color w:val="auto"/>
          <w:sz w:val="24"/>
          <w:szCs w:val="24"/>
        </w:rPr>
        <w:t>住宅</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车位80</w:t>
      </w:r>
      <w:r>
        <w:rPr>
          <w:rFonts w:hint="eastAsia" w:ascii="宋体" w:hAnsi="宋体" w:eastAsia="宋体" w:cs="宋体"/>
          <w:color w:val="auto"/>
          <w:sz w:val="24"/>
          <w:szCs w:val="24"/>
        </w:rPr>
        <w:t>元/</w:t>
      </w:r>
      <w:r>
        <w:rPr>
          <w:rFonts w:hint="eastAsia" w:ascii="宋体" w:hAnsi="宋体" w:eastAsia="宋体" w:cs="宋体"/>
          <w:color w:val="auto"/>
          <w:sz w:val="24"/>
          <w:szCs w:val="24"/>
          <w:lang w:eastAsia="zh-CN"/>
        </w:rPr>
        <w:t>宗</w:t>
      </w:r>
      <w:r>
        <w:rPr>
          <w:rFonts w:hint="eastAsia" w:ascii="宋体" w:hAnsi="宋体" w:eastAsia="宋体" w:cs="宋体"/>
          <w:color w:val="auto"/>
          <w:sz w:val="24"/>
          <w:szCs w:val="24"/>
          <w:lang w:val="en-US" w:eastAsia="zh-CN"/>
        </w:rPr>
        <w:t>）：160</w:t>
      </w:r>
      <w:r>
        <w:rPr>
          <w:rFonts w:hint="eastAsia" w:ascii="宋体" w:hAnsi="宋体" w:eastAsia="宋体" w:cs="宋体"/>
          <w:color w:val="auto"/>
          <w:sz w:val="24"/>
          <w:szCs w:val="24"/>
        </w:rPr>
        <w:t>元</w:t>
      </w:r>
      <w:r>
        <w:rPr>
          <w:rFonts w:hint="eastAsia" w:ascii="宋体" w:hAnsi="宋体" w:eastAsia="宋体" w:cs="宋体"/>
          <w:color w:val="auto"/>
          <w:sz w:val="24"/>
          <w:szCs w:val="24"/>
          <w:lang w:val="en-US" w:eastAsia="zh-CN"/>
        </w:rPr>
        <w:t>；</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（6）以上五项合计：113646元</w:t>
      </w:r>
      <w:r>
        <w:rPr>
          <w:rFonts w:hint="default" w:ascii="宋体" w:hAnsi="宋体" w:eastAsia="宋体" w:cs="宋体"/>
          <w:color w:val="auto"/>
          <w:sz w:val="24"/>
          <w:szCs w:val="24"/>
          <w:lang w:val="en-US" w:eastAsia="zh-CN"/>
        </w:rPr>
        <w:t>≈</w:t>
      </w:r>
      <w:r>
        <w:rPr>
          <w:rFonts w:hint="eastAsia" w:ascii="宋体" w:hAnsi="宋体" w:eastAsia="宋体" w:cs="宋体"/>
          <w:color w:val="auto"/>
          <w:sz w:val="24"/>
          <w:szCs w:val="24"/>
          <w:lang w:val="en-US" w:eastAsia="zh-CN"/>
        </w:rPr>
        <w:t>11.36万元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color w:val="000000"/>
          <w:spacing w:val="-2"/>
          <w:sz w:val="24"/>
          <w:szCs w:val="24"/>
        </w:rPr>
      </w:pPr>
      <w:r>
        <w:rPr>
          <w:rFonts w:hint="eastAsia" w:ascii="宋体" w:hAnsi="宋体" w:cs="宋体"/>
          <w:color w:val="000000"/>
          <w:sz w:val="24"/>
          <w:szCs w:val="24"/>
          <w:lang w:val="en-US" w:eastAsia="zh-CN"/>
        </w:rPr>
        <w:t>2、</w:t>
      </w:r>
      <w:r>
        <w:rPr>
          <w:rFonts w:hint="eastAsia" w:ascii="宋体" w:hAnsi="宋体" w:cs="宋体"/>
          <w:color w:val="000000"/>
          <w:sz w:val="24"/>
          <w:szCs w:val="24"/>
        </w:rPr>
        <w:t>需</w:t>
      </w:r>
      <w:r>
        <w:rPr>
          <w:rFonts w:hint="eastAsia" w:ascii="宋体" w:hAnsi="宋体" w:cs="宋体"/>
          <w:color w:val="000000"/>
          <w:spacing w:val="-2"/>
          <w:sz w:val="24"/>
          <w:szCs w:val="24"/>
        </w:rPr>
        <w:t>扣除应补缴的土地出让金</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eastAsia="zh-CN"/>
        </w:rPr>
        <w:t>根据</w:t>
      </w:r>
      <w:r>
        <w:rPr>
          <w:rFonts w:hint="eastAsia" w:ascii="宋体" w:hAnsi="宋体" w:eastAsia="宋体" w:cs="宋体"/>
          <w:color w:val="000000"/>
          <w:sz w:val="24"/>
          <w:szCs w:val="24"/>
        </w:rPr>
        <w:t>《龙岩中心城市划拨国有建设用地使用权补办出让工作意见》对龙岩中心城市划拨国有建设用地使用权补办出让流程进行优化，对包括安置房在内的补交土地出让金标准进行了调整</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独立宗登记的个人住宅(含被征收房屋产权人安置房为2012年1月1日以后取得拆迁许可证的独幢式安置房)补办出让手续的，按申报之日普通住宅用途基</w:t>
      </w:r>
      <w:r>
        <w:rPr>
          <w:rStyle w:val="18"/>
          <w:rFonts w:hint="eastAsia" w:ascii="宋体" w:hAnsi="宋体" w:eastAsia="宋体" w:cs="宋体"/>
          <w:color w:val="000000"/>
          <w:sz w:val="24"/>
          <w:szCs w:val="24"/>
        </w:rPr>
        <w:t>准楼面地价的40%计收土地出让金</w:t>
      </w:r>
      <w:r>
        <w:rPr>
          <w:rStyle w:val="18"/>
          <w:rFonts w:hint="eastAsia" w:ascii="宋体" w:hAnsi="宋体" w:cs="宋体"/>
          <w:color w:val="000000"/>
          <w:sz w:val="24"/>
          <w:szCs w:val="24"/>
          <w:lang w:eastAsia="zh-CN"/>
        </w:rPr>
        <w:t>，</w:t>
      </w:r>
      <w:r>
        <w:rPr>
          <w:rStyle w:val="18"/>
          <w:rFonts w:hint="eastAsia" w:ascii="宋体" w:hAnsi="宋体" w:eastAsia="宋体" w:cs="宋体"/>
          <w:color w:val="000000"/>
          <w:sz w:val="24"/>
          <w:szCs w:val="24"/>
          <w:lang w:eastAsia="zh-CN"/>
        </w:rPr>
        <w:t>住宅类地下车位按申报之日地下空间停车位基准楼面地价年期修正后</w:t>
      </w:r>
      <w:r>
        <w:rPr>
          <w:rStyle w:val="18"/>
          <w:rFonts w:hint="eastAsia" w:ascii="宋体" w:hAnsi="宋体" w:eastAsia="宋体" w:cs="宋体"/>
          <w:color w:val="000000"/>
          <w:sz w:val="24"/>
          <w:szCs w:val="24"/>
          <w:lang w:val="en-US" w:eastAsia="zh-CN"/>
        </w:rPr>
        <w:t>20%缴交土地出让金</w:t>
      </w:r>
      <w:r>
        <w:rPr>
          <w:rStyle w:val="18"/>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估价对象土地级别为</w:t>
      </w:r>
      <w:r>
        <w:rPr>
          <w:rFonts w:hint="eastAsia" w:ascii="宋体" w:hAnsi="宋体" w:cs="宋体"/>
          <w:color w:val="000000"/>
          <w:sz w:val="24"/>
          <w:szCs w:val="24"/>
          <w:lang w:val="en-US" w:eastAsia="zh-CN"/>
        </w:rPr>
        <w:t>二</w:t>
      </w:r>
      <w:r>
        <w:rPr>
          <w:rFonts w:hint="eastAsia" w:ascii="宋体" w:hAnsi="宋体" w:eastAsia="宋体" w:cs="宋体"/>
          <w:color w:val="000000"/>
          <w:sz w:val="24"/>
          <w:szCs w:val="24"/>
          <w:lang w:val="en-US" w:eastAsia="zh-CN"/>
        </w:rPr>
        <w:t>级地范围，根据</w:t>
      </w:r>
      <w:r>
        <w:rPr>
          <w:rFonts w:hint="eastAsia" w:ascii="宋体" w:hAnsi="宋体" w:eastAsia="宋体" w:cs="宋体"/>
          <w:color w:val="000000"/>
          <w:sz w:val="24"/>
          <w:szCs w:val="24"/>
          <w:lang w:eastAsia="zh-CN"/>
        </w:rPr>
        <w:t>“龙政综[20</w:t>
      </w:r>
      <w:r>
        <w:rPr>
          <w:rFonts w:hint="eastAsia" w:ascii="宋体" w:hAnsi="宋体" w:eastAsia="宋体" w:cs="宋体"/>
          <w:color w:val="000000"/>
          <w:sz w:val="24"/>
          <w:szCs w:val="24"/>
          <w:lang w:val="en-US" w:eastAsia="zh-CN"/>
        </w:rPr>
        <w:t>21</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43</w:t>
      </w:r>
      <w:r>
        <w:rPr>
          <w:rFonts w:hint="eastAsia" w:ascii="宋体" w:hAnsi="宋体" w:eastAsia="宋体" w:cs="宋体"/>
          <w:color w:val="000000"/>
          <w:sz w:val="24"/>
          <w:szCs w:val="24"/>
          <w:lang w:eastAsia="zh-CN"/>
        </w:rPr>
        <w:t>号”文第九轮基准地价修编成果，其</w:t>
      </w:r>
      <w:r>
        <w:rPr>
          <w:rFonts w:hint="eastAsia" w:ascii="宋体" w:hAnsi="宋体" w:eastAsia="宋体" w:cs="宋体"/>
          <w:color w:val="000000"/>
          <w:sz w:val="24"/>
          <w:szCs w:val="24"/>
          <w:lang w:val="en-US" w:eastAsia="zh-CN"/>
        </w:rPr>
        <w:t>楼面</w:t>
      </w:r>
      <w:r>
        <w:rPr>
          <w:rFonts w:hint="eastAsia" w:ascii="宋体" w:hAnsi="宋体" w:eastAsia="宋体" w:cs="宋体"/>
          <w:color w:val="000000"/>
          <w:sz w:val="24"/>
          <w:szCs w:val="24"/>
          <w:lang w:eastAsia="zh-CN"/>
        </w:rPr>
        <w:t>地价为：</w:t>
      </w:r>
      <w:r>
        <w:rPr>
          <w:rFonts w:hint="eastAsia" w:ascii="宋体" w:hAnsi="宋体" w:cs="宋体"/>
          <w:color w:val="000000"/>
          <w:sz w:val="24"/>
          <w:szCs w:val="24"/>
          <w:lang w:val="en-US" w:eastAsia="zh-CN"/>
        </w:rPr>
        <w:t>1630</w:t>
      </w:r>
      <w:r>
        <w:rPr>
          <w:rFonts w:hint="eastAsia" w:ascii="宋体" w:hAnsi="宋体" w:eastAsia="宋体" w:cs="宋体"/>
          <w:color w:val="000000"/>
          <w:sz w:val="24"/>
          <w:szCs w:val="24"/>
          <w:lang w:val="en-US" w:eastAsia="zh-CN"/>
        </w:rPr>
        <w:t>元/㎡，则：</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住宅土地出让金=楼面地价</w:t>
      </w:r>
      <w:r>
        <w:rPr>
          <w:rFonts w:hint="eastAsia" w:ascii="宋体" w:hAnsi="宋体" w:cs="宋体"/>
          <w:color w:val="000000"/>
          <w:sz w:val="24"/>
          <w:szCs w:val="24"/>
        </w:rPr>
        <w:t>×</w:t>
      </w:r>
      <w:r>
        <w:rPr>
          <w:rFonts w:hint="eastAsia" w:ascii="宋体" w:hAnsi="宋体" w:cs="宋体"/>
          <w:color w:val="000000"/>
          <w:sz w:val="24"/>
          <w:szCs w:val="24"/>
          <w:lang w:eastAsia="zh-CN"/>
        </w:rPr>
        <w:t>建筑面积</w:t>
      </w:r>
      <w:r>
        <w:rPr>
          <w:rFonts w:hint="eastAsia" w:ascii="宋体" w:hAnsi="宋体" w:cs="宋体"/>
          <w:color w:val="000000"/>
          <w:sz w:val="24"/>
          <w:szCs w:val="24"/>
        </w:rPr>
        <w:t>×</w:t>
      </w:r>
      <w:r>
        <w:rPr>
          <w:rFonts w:hint="eastAsia" w:ascii="宋体" w:hAnsi="宋体" w:cs="宋体"/>
          <w:color w:val="000000"/>
          <w:sz w:val="24"/>
          <w:szCs w:val="24"/>
          <w:lang w:eastAsia="zh-CN"/>
        </w:rPr>
        <w:t>年期修正系数</w:t>
      </w:r>
      <w:r>
        <w:rPr>
          <w:rFonts w:hint="eastAsia" w:ascii="宋体" w:hAnsi="宋体" w:cs="宋体"/>
          <w:color w:val="000000"/>
          <w:sz w:val="24"/>
          <w:szCs w:val="24"/>
        </w:rPr>
        <w:t>×</w:t>
      </w:r>
      <w:r>
        <w:rPr>
          <w:rFonts w:hint="eastAsia" w:ascii="宋体" w:hAnsi="宋体" w:cs="宋体"/>
          <w:color w:val="000000"/>
          <w:sz w:val="24"/>
          <w:szCs w:val="24"/>
          <w:lang w:eastAsia="zh-CN"/>
        </w:rPr>
        <w:t>容积率修正系数</w:t>
      </w:r>
      <w:r>
        <w:rPr>
          <w:rFonts w:hint="eastAsia" w:ascii="宋体" w:hAnsi="宋体" w:cs="宋体"/>
          <w:color w:val="000000"/>
          <w:sz w:val="24"/>
          <w:szCs w:val="24"/>
        </w:rPr>
        <w:t>×</w:t>
      </w:r>
      <w:r>
        <w:rPr>
          <w:rFonts w:hint="eastAsia" w:ascii="宋体" w:hAnsi="宋体" w:cs="宋体"/>
          <w:color w:val="000000"/>
          <w:sz w:val="24"/>
          <w:szCs w:val="24"/>
          <w:lang w:val="en-US" w:eastAsia="zh-CN"/>
        </w:rPr>
        <w:t>40%</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w:t>
      </w:r>
      <w:r>
        <w:rPr>
          <w:rFonts w:hint="eastAsia" w:ascii="宋体" w:hAnsi="宋体" w:cs="宋体"/>
          <w:color w:val="000000"/>
          <w:sz w:val="24"/>
          <w:szCs w:val="24"/>
          <w:lang w:val="en-US" w:eastAsia="zh-CN"/>
        </w:rPr>
        <w:t>1630元/㎡</w:t>
      </w:r>
      <w:r>
        <w:rPr>
          <w:rFonts w:hint="eastAsia" w:ascii="宋体" w:hAnsi="宋体" w:cs="宋体"/>
          <w:color w:val="000000"/>
          <w:sz w:val="24"/>
          <w:szCs w:val="24"/>
        </w:rPr>
        <w:t>×</w:t>
      </w:r>
      <w:r>
        <w:rPr>
          <w:rFonts w:hint="eastAsia" w:ascii="宋体" w:hAnsi="宋体" w:cs="宋体"/>
          <w:color w:val="000000"/>
          <w:sz w:val="24"/>
          <w:szCs w:val="24"/>
          <w:lang w:val="en-US" w:eastAsia="zh-CN"/>
        </w:rPr>
        <w:t>106.49㎡</w:t>
      </w:r>
      <w:r>
        <w:rPr>
          <w:rFonts w:hint="eastAsia" w:ascii="宋体" w:hAnsi="宋体" w:cs="宋体"/>
          <w:color w:val="000000"/>
          <w:sz w:val="24"/>
          <w:szCs w:val="24"/>
        </w:rPr>
        <w:t>×</w:t>
      </w:r>
      <w:r>
        <w:rPr>
          <w:rFonts w:hint="eastAsia" w:ascii="宋体" w:hAnsi="宋体" w:cs="宋体"/>
          <w:color w:val="000000"/>
          <w:sz w:val="24"/>
          <w:szCs w:val="24"/>
          <w:lang w:val="en-US" w:eastAsia="zh-CN"/>
        </w:rPr>
        <w:t>1</w:t>
      </w:r>
      <w:r>
        <w:rPr>
          <w:rFonts w:hint="eastAsia" w:ascii="宋体" w:hAnsi="宋体" w:cs="宋体"/>
          <w:color w:val="000000"/>
          <w:sz w:val="24"/>
          <w:szCs w:val="24"/>
        </w:rPr>
        <w:t>×</w:t>
      </w:r>
      <w:r>
        <w:rPr>
          <w:rFonts w:hint="eastAsia" w:ascii="宋体" w:hAnsi="宋体" w:cs="宋体"/>
          <w:color w:val="000000"/>
          <w:sz w:val="24"/>
          <w:szCs w:val="24"/>
          <w:lang w:val="en-US" w:eastAsia="zh-CN"/>
        </w:rPr>
        <w:t>1</w:t>
      </w:r>
      <w:r>
        <w:rPr>
          <w:rFonts w:hint="eastAsia" w:ascii="宋体" w:hAnsi="宋体" w:cs="宋体"/>
          <w:color w:val="000000"/>
          <w:sz w:val="24"/>
          <w:szCs w:val="24"/>
        </w:rPr>
        <w:t>×</w:t>
      </w:r>
      <w:r>
        <w:rPr>
          <w:rFonts w:hint="eastAsia" w:ascii="宋体" w:hAnsi="宋体" w:cs="宋体"/>
          <w:color w:val="000000"/>
          <w:sz w:val="24"/>
          <w:szCs w:val="24"/>
          <w:lang w:val="en-US" w:eastAsia="zh-CN"/>
        </w:rPr>
        <w:t>40%</w:t>
      </w:r>
      <w:r>
        <w:rPr>
          <w:rFonts w:hint="eastAsia" w:ascii="宋体" w:hAnsi="宋体" w:eastAsia="宋体" w:cs="宋体"/>
          <w:color w:val="000000"/>
          <w:sz w:val="24"/>
          <w:szCs w:val="24"/>
        </w:rPr>
        <w:t>≈</w:t>
      </w:r>
      <w:r>
        <w:rPr>
          <w:rFonts w:hint="eastAsia" w:ascii="宋体" w:hAnsi="宋体" w:cs="宋体"/>
          <w:color w:val="000000"/>
          <w:sz w:val="24"/>
          <w:szCs w:val="24"/>
          <w:lang w:val="en-US" w:eastAsia="zh-CN"/>
        </w:rPr>
        <w:t>69431</w:t>
      </w:r>
      <w:r>
        <w:rPr>
          <w:rFonts w:hint="eastAsia" w:ascii="宋体" w:hAnsi="宋体" w:eastAsia="宋体" w:cs="宋体"/>
          <w:color w:val="000000"/>
          <w:sz w:val="24"/>
          <w:szCs w:val="24"/>
          <w:lang w:val="en-US" w:eastAsia="zh-CN"/>
        </w:rPr>
        <w:t>元</w:t>
      </w:r>
    </w:p>
    <w:p>
      <w:pPr>
        <w:keepNext w:val="0"/>
        <w:keepLines w:val="0"/>
        <w:pageBreakBefore w:val="0"/>
        <w:widowControl w:val="0"/>
        <w:kinsoku/>
        <w:wordWrap/>
        <w:overflowPunct/>
        <w:topLinePunct w:val="0"/>
        <w:autoSpaceDE/>
        <w:autoSpaceDN/>
        <w:bidi w:val="0"/>
        <w:adjustRightInd/>
        <w:snapToGrid/>
        <w:spacing w:line="440" w:lineRule="exact"/>
        <w:ind w:left="2160" w:hanging="2160" w:hangingChars="900"/>
        <w:textAlignment w:val="auto"/>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车位土地出让金=楼面地价</w:t>
      </w:r>
      <w:r>
        <w:rPr>
          <w:rFonts w:hint="eastAsia" w:ascii="宋体" w:hAnsi="宋体" w:cs="宋体"/>
          <w:color w:val="000000"/>
          <w:sz w:val="24"/>
          <w:szCs w:val="24"/>
        </w:rPr>
        <w:t>×</w:t>
      </w:r>
      <w:r>
        <w:rPr>
          <w:rFonts w:hint="eastAsia" w:ascii="宋体" w:hAnsi="宋体" w:cs="宋体"/>
          <w:color w:val="000000"/>
          <w:sz w:val="24"/>
          <w:szCs w:val="24"/>
          <w:lang w:eastAsia="zh-CN"/>
        </w:rPr>
        <w:t>建筑面积</w:t>
      </w:r>
      <w:r>
        <w:rPr>
          <w:rFonts w:hint="eastAsia" w:ascii="宋体" w:hAnsi="宋体" w:cs="宋体"/>
          <w:color w:val="000000"/>
          <w:sz w:val="24"/>
          <w:szCs w:val="24"/>
        </w:rPr>
        <w:t>×</w:t>
      </w:r>
      <w:r>
        <w:rPr>
          <w:rFonts w:hint="eastAsia" w:ascii="宋体" w:hAnsi="宋体" w:cs="宋体"/>
          <w:color w:val="000000"/>
          <w:sz w:val="24"/>
          <w:szCs w:val="24"/>
          <w:lang w:eastAsia="zh-CN"/>
        </w:rPr>
        <w:t>年期修正系数</w:t>
      </w:r>
      <w:r>
        <w:rPr>
          <w:rFonts w:hint="eastAsia" w:ascii="宋体" w:hAnsi="宋体" w:cs="宋体"/>
          <w:color w:val="000000"/>
          <w:sz w:val="24"/>
          <w:szCs w:val="24"/>
        </w:rPr>
        <w:t>×</w:t>
      </w:r>
      <w:r>
        <w:rPr>
          <w:rFonts w:hint="eastAsia" w:ascii="宋体" w:hAnsi="宋体" w:cs="宋体"/>
          <w:color w:val="000000"/>
          <w:sz w:val="24"/>
          <w:szCs w:val="24"/>
          <w:lang w:eastAsia="zh-CN"/>
        </w:rPr>
        <w:t>容积率修正系数</w:t>
      </w:r>
      <w:r>
        <w:rPr>
          <w:rFonts w:hint="eastAsia" w:ascii="宋体" w:hAnsi="宋体" w:cs="宋体"/>
          <w:color w:val="000000"/>
          <w:sz w:val="24"/>
          <w:szCs w:val="24"/>
        </w:rPr>
        <w:t>×</w:t>
      </w:r>
      <w:r>
        <w:rPr>
          <w:rFonts w:hint="eastAsia" w:ascii="宋体" w:hAnsi="宋体" w:cs="宋体"/>
          <w:color w:val="000000"/>
          <w:sz w:val="24"/>
          <w:szCs w:val="24"/>
          <w:lang w:val="en-US" w:eastAsia="zh-CN"/>
        </w:rPr>
        <w:t xml:space="preserve">20% </w:t>
      </w:r>
    </w:p>
    <w:p>
      <w:pPr>
        <w:keepNext w:val="0"/>
        <w:keepLines w:val="0"/>
        <w:pageBreakBefore w:val="0"/>
        <w:widowControl w:val="0"/>
        <w:kinsoku/>
        <w:wordWrap/>
        <w:overflowPunct/>
        <w:topLinePunct w:val="0"/>
        <w:autoSpaceDE/>
        <w:autoSpaceDN/>
        <w:bidi w:val="0"/>
        <w:adjustRightInd/>
        <w:snapToGrid/>
        <w:spacing w:line="440" w:lineRule="exact"/>
        <w:ind w:left="2156" w:leftChars="798" w:hanging="480" w:hangingChars="200"/>
        <w:textAlignment w:val="auto"/>
        <w:rPr>
          <w:rFonts w:hint="default"/>
          <w:lang w:val="en-US" w:eastAsia="zh-CN"/>
        </w:rPr>
      </w:pPr>
      <w:r>
        <w:rPr>
          <w:rFonts w:hint="eastAsia" w:ascii="宋体" w:hAnsi="宋体" w:eastAsia="宋体" w:cs="宋体"/>
          <w:color w:val="000000"/>
          <w:sz w:val="24"/>
          <w:szCs w:val="24"/>
          <w:lang w:val="en-US" w:eastAsia="zh-CN"/>
        </w:rPr>
        <w:t>=</w:t>
      </w:r>
      <w:r>
        <w:rPr>
          <w:rFonts w:hint="eastAsia" w:ascii="宋体" w:hAnsi="宋体" w:cs="宋体"/>
          <w:color w:val="000000"/>
          <w:sz w:val="24"/>
          <w:szCs w:val="24"/>
          <w:lang w:val="en-US" w:eastAsia="zh-CN"/>
        </w:rPr>
        <w:t>1630元/㎡</w:t>
      </w:r>
      <w:r>
        <w:rPr>
          <w:rFonts w:hint="eastAsia" w:ascii="宋体" w:hAnsi="宋体" w:cs="宋体"/>
          <w:color w:val="000000"/>
          <w:sz w:val="24"/>
          <w:szCs w:val="24"/>
        </w:rPr>
        <w:t>×</w:t>
      </w:r>
      <w:r>
        <w:rPr>
          <w:rFonts w:hint="eastAsia" w:ascii="宋体" w:hAnsi="宋体" w:cs="宋体"/>
          <w:color w:val="000000"/>
          <w:sz w:val="24"/>
          <w:szCs w:val="24"/>
          <w:lang w:val="en-US" w:eastAsia="zh-CN"/>
        </w:rPr>
        <w:t>44.15㎡</w:t>
      </w:r>
      <w:r>
        <w:rPr>
          <w:rFonts w:hint="eastAsia" w:ascii="宋体" w:hAnsi="宋体" w:cs="宋体"/>
          <w:color w:val="000000"/>
          <w:sz w:val="24"/>
          <w:szCs w:val="24"/>
        </w:rPr>
        <w:t>×</w:t>
      </w:r>
      <w:r>
        <w:rPr>
          <w:rFonts w:hint="eastAsia" w:ascii="宋体" w:hAnsi="宋体" w:cs="宋体"/>
          <w:color w:val="000000"/>
          <w:sz w:val="24"/>
          <w:szCs w:val="24"/>
          <w:lang w:val="en-US" w:eastAsia="zh-CN"/>
        </w:rPr>
        <w:t>1</w:t>
      </w:r>
      <w:r>
        <w:rPr>
          <w:rFonts w:hint="eastAsia" w:ascii="宋体" w:hAnsi="宋体" w:cs="宋体"/>
          <w:color w:val="000000"/>
          <w:sz w:val="24"/>
          <w:szCs w:val="24"/>
        </w:rPr>
        <w:t>×</w:t>
      </w:r>
      <w:r>
        <w:rPr>
          <w:rFonts w:hint="eastAsia" w:ascii="宋体" w:hAnsi="宋体" w:cs="宋体"/>
          <w:color w:val="000000"/>
          <w:sz w:val="24"/>
          <w:szCs w:val="24"/>
          <w:lang w:val="en-US" w:eastAsia="zh-CN"/>
        </w:rPr>
        <w:t>1</w:t>
      </w:r>
      <w:r>
        <w:rPr>
          <w:rFonts w:hint="eastAsia" w:ascii="宋体" w:hAnsi="宋体" w:cs="宋体"/>
          <w:color w:val="000000"/>
          <w:sz w:val="24"/>
          <w:szCs w:val="24"/>
        </w:rPr>
        <w:t>×</w:t>
      </w:r>
      <w:r>
        <w:rPr>
          <w:rFonts w:hint="eastAsia" w:ascii="宋体" w:hAnsi="宋体" w:cs="宋体"/>
          <w:color w:val="000000"/>
          <w:sz w:val="24"/>
          <w:szCs w:val="24"/>
          <w:lang w:val="en-US" w:eastAsia="zh-CN"/>
        </w:rPr>
        <w:t>20%</w:t>
      </w:r>
      <w:r>
        <w:rPr>
          <w:rFonts w:hint="eastAsia" w:ascii="宋体" w:hAnsi="宋体" w:eastAsia="宋体" w:cs="宋体"/>
          <w:color w:val="000000"/>
          <w:sz w:val="24"/>
          <w:szCs w:val="24"/>
        </w:rPr>
        <w:t>≈</w:t>
      </w:r>
      <w:r>
        <w:rPr>
          <w:rFonts w:hint="eastAsia" w:ascii="宋体" w:hAnsi="宋体" w:cs="宋体"/>
          <w:color w:val="000000"/>
          <w:sz w:val="24"/>
          <w:szCs w:val="24"/>
          <w:lang w:val="en-US" w:eastAsia="zh-CN"/>
        </w:rPr>
        <w:t>14393</w:t>
      </w:r>
      <w:r>
        <w:rPr>
          <w:rFonts w:hint="eastAsia" w:ascii="宋体" w:hAnsi="宋体" w:eastAsia="宋体" w:cs="宋体"/>
          <w:color w:val="000000"/>
          <w:sz w:val="24"/>
          <w:szCs w:val="24"/>
          <w:lang w:val="en-US" w:eastAsia="zh-CN"/>
        </w:rPr>
        <w:t>万元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3、以上两项合计：</w:t>
      </w:r>
      <w:r>
        <w:rPr>
          <w:rFonts w:hint="eastAsia" w:ascii="宋体" w:hAnsi="宋体" w:cs="宋体"/>
          <w:color w:val="000000"/>
          <w:sz w:val="24"/>
          <w:szCs w:val="24"/>
          <w:lang w:val="en-US" w:eastAsia="zh-CN"/>
        </w:rPr>
        <w:t>19.75</w:t>
      </w:r>
      <w:r>
        <w:rPr>
          <w:rFonts w:hint="eastAsia" w:ascii="宋体" w:hAnsi="宋体" w:eastAsia="宋体" w:cs="宋体"/>
          <w:color w:val="000000"/>
          <w:sz w:val="24"/>
          <w:szCs w:val="24"/>
          <w:lang w:val="en-US" w:eastAsia="zh-CN"/>
        </w:rPr>
        <w:t>万元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240" w:firstLineChars="100"/>
        <w:jc w:val="both"/>
        <w:textAlignment w:val="auto"/>
        <w:outlineLvl w:val="9"/>
        <w:rPr>
          <w:rFonts w:hint="eastAsia" w:ascii="宋体" w:hAnsi="宋体" w:eastAsia="宋体" w:cs="宋体"/>
          <w:color w:val="auto"/>
          <w:sz w:val="24"/>
          <w:szCs w:val="24"/>
          <w:lang w:eastAsia="zh-CN"/>
        </w:rPr>
      </w:pPr>
      <w:r>
        <w:rPr>
          <w:rFonts w:hint="eastAsia" w:ascii="宋体" w:hAnsi="宋体" w:cs="宋体"/>
          <w:color w:val="auto"/>
          <w:sz w:val="24"/>
          <w:szCs w:val="24"/>
        </w:rPr>
        <w:t>（</w:t>
      </w:r>
      <w:r>
        <w:rPr>
          <w:rFonts w:hint="eastAsia" w:ascii="宋体" w:hAnsi="宋体" w:cs="宋体"/>
          <w:color w:val="auto"/>
          <w:sz w:val="24"/>
          <w:szCs w:val="24"/>
          <w:lang w:eastAsia="zh-CN"/>
        </w:rPr>
        <w:t>三</w:t>
      </w:r>
      <w:r>
        <w:rPr>
          <w:rFonts w:hint="eastAsia" w:ascii="宋体" w:hAnsi="宋体" w:cs="宋体"/>
          <w:color w:val="auto"/>
          <w:sz w:val="24"/>
          <w:szCs w:val="24"/>
        </w:rPr>
        <w:t>）估价对象</w:t>
      </w:r>
      <w:r>
        <w:rPr>
          <w:rFonts w:hint="eastAsia" w:ascii="宋体" w:hAnsi="宋体" w:cs="宋体"/>
          <w:color w:val="auto"/>
          <w:sz w:val="24"/>
          <w:szCs w:val="24"/>
          <w:lang w:eastAsia="zh-CN"/>
        </w:rPr>
        <w:t>处置价值的确定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宋体" w:hAnsi="宋体" w:eastAsia="宋体" w:cs="宋体"/>
          <w:color w:val="auto"/>
          <w:sz w:val="24"/>
          <w:szCs w:val="24"/>
          <w:lang w:eastAsia="zh-CN"/>
        </w:rPr>
      </w:pPr>
      <w:r>
        <w:rPr>
          <w:rFonts w:hint="eastAsia" w:ascii="宋体" w:hAnsi="宋体" w:cs="宋体"/>
          <w:color w:val="auto"/>
          <w:sz w:val="24"/>
          <w:szCs w:val="24"/>
        </w:rPr>
        <w:t xml:space="preserve">    </w:t>
      </w:r>
      <w:r>
        <w:rPr>
          <w:rFonts w:hint="eastAsia" w:ascii="宋体" w:hAnsi="宋体" w:cs="宋体"/>
          <w:color w:val="auto"/>
          <w:sz w:val="24"/>
          <w:szCs w:val="24"/>
          <w:lang w:eastAsia="zh-CN"/>
        </w:rPr>
        <w:t>处置参考价值</w:t>
      </w:r>
      <w:r>
        <w:rPr>
          <w:rFonts w:hint="eastAsia" w:ascii="宋体" w:hAnsi="宋体" w:cs="宋体"/>
          <w:color w:val="auto"/>
          <w:sz w:val="24"/>
          <w:szCs w:val="24"/>
        </w:rPr>
        <w:t>=</w:t>
      </w:r>
      <w:r>
        <w:rPr>
          <w:rFonts w:hint="eastAsia" w:ascii="宋体" w:hAnsi="宋体" w:cs="宋体"/>
          <w:color w:val="auto"/>
          <w:sz w:val="24"/>
          <w:szCs w:val="24"/>
          <w:lang w:eastAsia="zh-CN"/>
        </w:rPr>
        <w:t>市场</w:t>
      </w:r>
      <w:r>
        <w:rPr>
          <w:rFonts w:hint="eastAsia" w:ascii="宋体" w:hAnsi="宋体" w:cs="宋体"/>
          <w:color w:val="auto"/>
          <w:sz w:val="24"/>
          <w:szCs w:val="24"/>
        </w:rPr>
        <w:t>价值-</w:t>
      </w:r>
      <w:r>
        <w:rPr>
          <w:rFonts w:hint="eastAsia" w:ascii="宋体" w:hAnsi="宋体" w:cs="宋体"/>
          <w:color w:val="auto"/>
          <w:sz w:val="24"/>
          <w:szCs w:val="24"/>
          <w:lang w:eastAsia="zh-CN"/>
        </w:rPr>
        <w:t>原房屋所有权人应承担的相关税费</w:t>
      </w:r>
      <w:r>
        <w:rPr>
          <w:rFonts w:hint="eastAsia" w:ascii="宋体" w:hAnsi="宋体" w:cs="宋体"/>
          <w:color w:val="auto"/>
          <w:sz w:val="24"/>
          <w:szCs w:val="24"/>
          <w:lang w:val="en-US" w:eastAsia="zh-CN"/>
        </w:rPr>
        <w:t>及土地出让金</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95"/>
        <w:jc w:val="both"/>
        <w:textAlignment w:val="auto"/>
        <w:outlineLvl w:val="9"/>
        <w:rPr>
          <w:rFonts w:hint="eastAsia" w:ascii="宋体" w:hAnsi="宋体" w:cs="宋体"/>
          <w:color w:val="auto"/>
          <w:sz w:val="24"/>
          <w:szCs w:val="24"/>
        </w:rPr>
      </w:pPr>
      <w:r>
        <w:rPr>
          <w:rFonts w:hint="eastAsia" w:ascii="宋体" w:hAnsi="宋体" w:cs="宋体"/>
          <w:color w:val="auto"/>
          <w:sz w:val="24"/>
          <w:szCs w:val="24"/>
        </w:rPr>
        <w:t xml:space="preserve">        =</w:t>
      </w:r>
      <w:r>
        <w:rPr>
          <w:rFonts w:hint="eastAsia" w:ascii="宋体" w:hAnsi="宋体" w:cs="宋体"/>
          <w:sz w:val="24"/>
          <w:szCs w:val="24"/>
          <w:lang w:val="en-US" w:eastAsia="zh-CN"/>
        </w:rPr>
        <w:t>127.75</w:t>
      </w:r>
      <w:r>
        <w:rPr>
          <w:rFonts w:hint="eastAsia" w:ascii="宋体" w:hAnsi="宋体" w:cs="宋体"/>
          <w:color w:val="auto"/>
          <w:sz w:val="24"/>
          <w:szCs w:val="24"/>
        </w:rPr>
        <w:t>万元-</w:t>
      </w:r>
      <w:r>
        <w:rPr>
          <w:rFonts w:hint="eastAsia" w:ascii="宋体" w:hAnsi="宋体" w:cs="宋体"/>
          <w:color w:val="000000"/>
          <w:sz w:val="24"/>
          <w:szCs w:val="24"/>
          <w:lang w:val="en-US" w:eastAsia="zh-CN"/>
        </w:rPr>
        <w:t>19.75</w:t>
      </w:r>
      <w:r>
        <w:rPr>
          <w:rFonts w:hint="eastAsia" w:ascii="宋体" w:hAnsi="宋体" w:cs="宋体"/>
          <w:color w:val="auto"/>
          <w:sz w:val="24"/>
          <w:szCs w:val="24"/>
        </w:rPr>
        <w:t>万元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95"/>
        <w:jc w:val="both"/>
        <w:textAlignment w:val="auto"/>
        <w:outlineLvl w:val="9"/>
        <w:rPr>
          <w:rFonts w:hint="eastAsia" w:ascii="宋体" w:hAnsi="宋体" w:cs="宋体"/>
          <w:color w:val="auto"/>
          <w:sz w:val="24"/>
          <w:szCs w:val="24"/>
        </w:rPr>
      </w:pPr>
      <w:r>
        <w:rPr>
          <w:rFonts w:hint="eastAsia" w:ascii="宋体" w:hAnsi="宋体" w:cs="宋体"/>
          <w:color w:val="auto"/>
          <w:sz w:val="24"/>
          <w:szCs w:val="24"/>
        </w:rPr>
        <w:t xml:space="preserve">        =</w:t>
      </w:r>
      <w:r>
        <w:rPr>
          <w:rFonts w:hint="eastAsia" w:ascii="宋体" w:hAnsi="宋体" w:cs="宋体"/>
          <w:color w:val="auto"/>
          <w:sz w:val="24"/>
          <w:szCs w:val="24"/>
          <w:lang w:val="en-US" w:eastAsia="zh-CN"/>
        </w:rPr>
        <w:t>108.00</w:t>
      </w:r>
      <w:r>
        <w:rPr>
          <w:rFonts w:hint="eastAsia" w:ascii="宋体" w:hAnsi="宋体" w:cs="宋体"/>
          <w:color w:val="auto"/>
          <w:sz w:val="24"/>
          <w:szCs w:val="24"/>
        </w:rPr>
        <w:t>万元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95"/>
        <w:jc w:val="both"/>
        <w:textAlignment w:val="auto"/>
        <w:outlineLvl w:val="9"/>
        <w:rPr>
          <w:rFonts w:hint="default" w:ascii="宋体" w:hAnsi="宋体" w:eastAsia="宋体" w:cs="宋体"/>
          <w:color w:val="000000"/>
          <w:sz w:val="24"/>
          <w:szCs w:val="24"/>
          <w:lang w:val="en-US" w:eastAsia="zh-CN"/>
        </w:rPr>
      </w:pPr>
      <w:r>
        <w:rPr>
          <w:rFonts w:hint="eastAsia" w:ascii="宋体" w:hAnsi="宋体" w:cs="宋体"/>
          <w:color w:val="000000"/>
          <w:sz w:val="24"/>
          <w:szCs w:val="24"/>
        </w:rPr>
        <w:t>则住宅抵押净值单价为</w:t>
      </w:r>
      <w:r>
        <w:rPr>
          <w:rFonts w:hint="eastAsia" w:ascii="宋体" w:hAnsi="宋体" w:cs="宋体"/>
          <w:color w:val="000000"/>
          <w:sz w:val="24"/>
          <w:szCs w:val="24"/>
          <w:lang w:val="en-US" w:eastAsia="zh-CN"/>
        </w:rPr>
        <w:t>9139元/</w:t>
      </w:r>
      <w:r>
        <w:rPr>
          <w:rFonts w:hint="eastAsia" w:ascii="宋体" w:hAnsi="宋体" w:cs="宋体"/>
          <w:color w:val="000000"/>
          <w:spacing w:val="-2"/>
          <w:sz w:val="24"/>
          <w:szCs w:val="24"/>
        </w:rPr>
        <w:t>m</w:t>
      </w:r>
      <w:r>
        <w:rPr>
          <w:rFonts w:hint="eastAsia" w:ascii="宋体" w:hAnsi="宋体" w:cs="宋体"/>
          <w:color w:val="000000"/>
          <w:spacing w:val="-2"/>
          <w:sz w:val="24"/>
          <w:szCs w:val="24"/>
          <w:vertAlign w:val="superscript"/>
        </w:rPr>
        <w:t>2</w:t>
      </w:r>
      <w:r>
        <w:rPr>
          <w:rFonts w:hint="eastAsia" w:ascii="宋体" w:hAnsi="宋体" w:cs="宋体"/>
          <w:color w:val="000000"/>
          <w:sz w:val="24"/>
          <w:szCs w:val="24"/>
          <w:lang w:eastAsia="zh-CN"/>
        </w:rPr>
        <w:t>，住宅抵押净值为</w:t>
      </w:r>
      <w:r>
        <w:rPr>
          <w:rFonts w:hint="eastAsia" w:ascii="宋体" w:hAnsi="宋体" w:cs="宋体"/>
          <w:color w:val="000000"/>
          <w:sz w:val="24"/>
          <w:szCs w:val="24"/>
          <w:lang w:val="en-US" w:eastAsia="zh-CN"/>
        </w:rPr>
        <w:t>97.32万元；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95"/>
        <w:jc w:val="both"/>
        <w:textAlignment w:val="auto"/>
        <w:outlineLvl w:val="9"/>
        <w:rPr>
          <w:rFonts w:hint="eastAsia" w:ascii="宋体" w:hAnsi="宋体" w:cs="宋体"/>
          <w:bCs/>
          <w:color w:val="000000"/>
          <w:sz w:val="28"/>
          <w:szCs w:val="28"/>
        </w:rPr>
      </w:pPr>
      <w:r>
        <w:rPr>
          <w:rFonts w:hint="eastAsia" w:ascii="宋体" w:hAnsi="宋体" w:cs="宋体"/>
          <w:color w:val="000000"/>
          <w:sz w:val="24"/>
          <w:szCs w:val="24"/>
          <w:lang w:val="en-US" w:eastAsia="zh-CN"/>
        </w:rPr>
        <w:t>车位</w:t>
      </w:r>
      <w:r>
        <w:rPr>
          <w:rFonts w:hint="eastAsia" w:ascii="宋体" w:hAnsi="宋体" w:cs="宋体"/>
          <w:color w:val="000000"/>
          <w:sz w:val="24"/>
          <w:szCs w:val="24"/>
        </w:rPr>
        <w:t>抵押净值单价为</w:t>
      </w:r>
      <w:r>
        <w:rPr>
          <w:rFonts w:hint="eastAsia" w:ascii="宋体" w:hAnsi="宋体" w:cs="宋体"/>
          <w:color w:val="000000"/>
          <w:sz w:val="24"/>
          <w:szCs w:val="24"/>
          <w:lang w:val="en-US" w:eastAsia="zh-CN"/>
        </w:rPr>
        <w:t>10.68万元/个</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车位</w:t>
      </w:r>
      <w:r>
        <w:rPr>
          <w:rFonts w:hint="eastAsia" w:ascii="宋体" w:hAnsi="宋体" w:cs="宋体"/>
          <w:color w:val="000000"/>
          <w:sz w:val="24"/>
          <w:szCs w:val="24"/>
          <w:lang w:eastAsia="zh-CN"/>
        </w:rPr>
        <w:t>抵押净值为</w:t>
      </w:r>
      <w:r>
        <w:rPr>
          <w:rFonts w:hint="eastAsia" w:ascii="宋体" w:hAnsi="宋体" w:cs="宋体"/>
          <w:color w:val="000000"/>
          <w:sz w:val="24"/>
          <w:szCs w:val="24"/>
          <w:lang w:val="en-US" w:eastAsia="zh-CN"/>
        </w:rPr>
        <w:t>10.68万元/个。</w:t>
      </w:r>
      <w:r>
        <w:rPr>
          <w:rFonts w:hint="eastAsia" w:ascii="宋体" w:hAnsi="宋体" w:cs="宋体"/>
          <w:bCs/>
          <w:color w:val="000000"/>
          <w:sz w:val="28"/>
          <w:szCs w:val="28"/>
        </w:rPr>
        <w:t xml:space="preserve"> </w:t>
      </w:r>
    </w:p>
    <w:p>
      <w:pPr>
        <w:pStyle w:val="2"/>
        <w:rPr>
          <w:rFonts w:hint="eastAsia"/>
        </w:rPr>
      </w:pPr>
    </w:p>
    <w:p>
      <w:pPr>
        <w:pStyle w:val="2"/>
        <w:rPr>
          <w:rFonts w:hint="eastAsia"/>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95"/>
        <w:jc w:val="right"/>
        <w:textAlignment w:val="auto"/>
        <w:outlineLvl w:val="9"/>
        <w:rPr>
          <w:rFonts w:hint="eastAsia" w:ascii="宋体" w:hAnsi="宋体" w:cs="宋体"/>
          <w:bCs/>
          <w:sz w:val="28"/>
          <w:szCs w:val="28"/>
        </w:rPr>
      </w:pPr>
      <w:r>
        <w:rPr>
          <w:rFonts w:hint="eastAsia" w:ascii="宋体" w:hAnsi="宋体" w:cs="宋体"/>
          <w:color w:val="000000"/>
          <w:sz w:val="24"/>
          <w:szCs w:val="24"/>
        </w:rPr>
        <w:t xml:space="preserve">  </w:t>
      </w:r>
      <w:r>
        <w:rPr>
          <w:rFonts w:hint="eastAsia" w:ascii="宋体" w:hAnsi="宋体" w:cs="宋体"/>
          <w:bCs/>
          <w:sz w:val="28"/>
          <w:szCs w:val="28"/>
        </w:rPr>
        <w:t xml:space="preserve">  龙岩冠力土地房地产评估有限公司</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cs="宋体"/>
          <w:bCs/>
          <w:sz w:val="28"/>
          <w:szCs w:val="28"/>
          <w:lang w:eastAsia="zh-CN"/>
        </w:rPr>
      </w:pPr>
      <w:r>
        <w:rPr>
          <w:rFonts w:hint="eastAsia" w:ascii="宋体" w:hAnsi="宋体" w:cs="宋体"/>
          <w:bCs/>
          <w:sz w:val="28"/>
          <w:szCs w:val="28"/>
        </w:rPr>
        <w:t xml:space="preserve">                      </w:t>
      </w:r>
      <w:r>
        <w:rPr>
          <w:rFonts w:hint="eastAsia" w:ascii="宋体" w:hAnsi="宋体" w:cs="宋体"/>
          <w:bCs/>
          <w:sz w:val="28"/>
          <w:szCs w:val="28"/>
          <w:lang w:val="en-US" w:eastAsia="zh-CN"/>
        </w:rPr>
        <w:t xml:space="preserve">      </w:t>
      </w:r>
      <w:r>
        <w:rPr>
          <w:rFonts w:hint="eastAsia" w:ascii="宋体" w:hAnsi="宋体" w:cs="宋体"/>
          <w:bCs/>
          <w:sz w:val="28"/>
          <w:szCs w:val="28"/>
        </w:rPr>
        <w:t xml:space="preserve">      </w:t>
      </w:r>
      <w:r>
        <w:rPr>
          <w:rFonts w:hint="eastAsia" w:ascii="宋体" w:hAnsi="宋体" w:cs="宋体"/>
          <w:bCs/>
          <w:sz w:val="28"/>
          <w:szCs w:val="28"/>
          <w:lang w:eastAsia="zh-CN"/>
        </w:rPr>
        <w:t xml:space="preserve"> 2022年10月13日</w:t>
      </w:r>
    </w:p>
    <w:p>
      <w:pPr>
        <w:pStyle w:val="2"/>
        <w:rPr>
          <w:rFonts w:hint="eastAsia" w:ascii="宋体" w:hAnsi="宋体" w:cs="宋体"/>
          <w:bCs/>
          <w:sz w:val="28"/>
          <w:szCs w:val="28"/>
          <w:lang w:eastAsia="zh-CN"/>
        </w:rPr>
      </w:pPr>
    </w:p>
    <w:p>
      <w:pPr>
        <w:pStyle w:val="2"/>
        <w:rPr>
          <w:rFonts w:hint="eastAsia" w:ascii="宋体" w:hAnsi="宋体" w:cs="宋体"/>
          <w:bCs/>
          <w:sz w:val="28"/>
          <w:szCs w:val="28"/>
          <w:lang w:eastAsia="zh-CN"/>
        </w:rPr>
      </w:pPr>
    </w:p>
    <w:p>
      <w:pPr>
        <w:pStyle w:val="2"/>
        <w:rPr>
          <w:rFonts w:hint="eastAsia" w:ascii="宋体" w:hAnsi="宋体" w:cs="宋体"/>
          <w:bCs/>
          <w:sz w:val="28"/>
          <w:szCs w:val="28"/>
          <w:lang w:eastAsia="zh-CN"/>
        </w:rPr>
      </w:pPr>
    </w:p>
    <w:p>
      <w:pPr>
        <w:pStyle w:val="2"/>
        <w:rPr>
          <w:rFonts w:hint="eastAsia" w:ascii="宋体" w:hAnsi="宋体" w:cs="宋体"/>
          <w:bCs/>
          <w:sz w:val="28"/>
          <w:szCs w:val="28"/>
          <w:lang w:eastAsia="zh-CN"/>
        </w:rPr>
      </w:pPr>
    </w:p>
    <w:p>
      <w:pPr>
        <w:pStyle w:val="2"/>
        <w:rPr>
          <w:rFonts w:hint="eastAsia" w:ascii="宋体" w:hAnsi="宋体" w:cs="宋体"/>
          <w:bCs/>
          <w:sz w:val="28"/>
          <w:szCs w:val="28"/>
          <w:lang w:eastAsia="zh-CN"/>
        </w:rPr>
      </w:pPr>
    </w:p>
    <w:p>
      <w:pPr>
        <w:pStyle w:val="2"/>
        <w:rPr>
          <w:rFonts w:hint="eastAsia" w:ascii="宋体" w:hAnsi="宋体" w:cs="宋体"/>
          <w:bCs/>
          <w:sz w:val="28"/>
          <w:szCs w:val="28"/>
          <w:lang w:eastAsia="zh-CN"/>
        </w:rPr>
      </w:pPr>
    </w:p>
    <w:p>
      <w:pPr>
        <w:pStyle w:val="2"/>
        <w:rPr>
          <w:rFonts w:hint="eastAsia" w:ascii="宋体" w:hAnsi="宋体" w:cs="宋体"/>
          <w:bCs/>
          <w:sz w:val="28"/>
          <w:szCs w:val="28"/>
          <w:lang w:eastAsia="zh-CN"/>
        </w:rPr>
      </w:pPr>
    </w:p>
    <w:p>
      <w:pPr>
        <w:pStyle w:val="2"/>
        <w:rPr>
          <w:rFonts w:hint="eastAsia" w:ascii="宋体" w:hAnsi="宋体" w:cs="宋体"/>
          <w:bCs/>
          <w:sz w:val="28"/>
          <w:szCs w:val="28"/>
          <w:lang w:eastAsia="zh-CN"/>
        </w:rPr>
      </w:pPr>
    </w:p>
    <w:p>
      <w:pPr>
        <w:pStyle w:val="2"/>
        <w:rPr>
          <w:rFonts w:hint="eastAsia" w:ascii="宋体" w:hAnsi="宋体" w:cs="宋体"/>
          <w:bCs/>
          <w:sz w:val="28"/>
          <w:szCs w:val="28"/>
          <w:lang w:eastAsia="zh-CN"/>
        </w:rPr>
      </w:pPr>
    </w:p>
    <w:p>
      <w:pPr>
        <w:pStyle w:val="2"/>
        <w:rPr>
          <w:rFonts w:hint="eastAsia" w:ascii="宋体" w:hAnsi="宋体" w:cs="宋体"/>
          <w:bCs/>
          <w:sz w:val="28"/>
          <w:szCs w:val="28"/>
          <w:lang w:eastAsia="zh-CN"/>
        </w:rPr>
      </w:pPr>
    </w:p>
    <w:p>
      <w:pPr>
        <w:pStyle w:val="2"/>
        <w:rPr>
          <w:rFonts w:hint="eastAsia" w:ascii="宋体" w:hAnsi="宋体" w:cs="宋体"/>
          <w:bCs/>
          <w:sz w:val="28"/>
          <w:szCs w:val="28"/>
          <w:lang w:eastAsia="zh-CN"/>
        </w:rPr>
      </w:pPr>
    </w:p>
    <w:p>
      <w:pPr>
        <w:pStyle w:val="2"/>
        <w:rPr>
          <w:rFonts w:hint="eastAsia" w:ascii="宋体" w:hAnsi="宋体" w:cs="宋体"/>
          <w:bCs/>
          <w:sz w:val="28"/>
          <w:szCs w:val="28"/>
          <w:lang w:eastAsia="zh-CN"/>
        </w:rPr>
      </w:pPr>
    </w:p>
    <w:p>
      <w:pPr>
        <w:pStyle w:val="2"/>
        <w:rPr>
          <w:rFonts w:hint="eastAsia" w:ascii="宋体" w:hAnsi="宋体" w:cs="宋体"/>
          <w:bCs/>
          <w:sz w:val="28"/>
          <w:szCs w:val="28"/>
          <w:lang w:eastAsia="zh-CN"/>
        </w:rPr>
      </w:pPr>
    </w:p>
    <w:p>
      <w:pPr>
        <w:pStyle w:val="2"/>
        <w:ind w:left="0" w:leftChars="0" w:firstLine="0" w:firstLineChars="0"/>
        <w:rPr>
          <w:rFonts w:hint="eastAsia" w:ascii="宋体" w:hAnsi="宋体" w:cs="宋体"/>
          <w:bCs/>
          <w:sz w:val="28"/>
          <w:szCs w:val="28"/>
          <w:lang w:eastAsia="zh-CN"/>
        </w:rPr>
      </w:pPr>
    </w:p>
    <w:p>
      <w:pPr>
        <w:spacing w:line="600" w:lineRule="auto"/>
        <w:jc w:val="center"/>
        <w:rPr>
          <w:rFonts w:hint="eastAsia" w:ascii="宋体" w:hAnsi="宋体" w:cs="宋体"/>
          <w:sz w:val="24"/>
          <w:szCs w:val="24"/>
        </w:rPr>
      </w:pPr>
      <w:r>
        <w:rPr>
          <w:rFonts w:hint="eastAsia" w:ascii="宋体" w:hAnsi="宋体" w:cs="宋体"/>
          <w:b/>
          <w:bCs/>
          <w:sz w:val="32"/>
          <w:szCs w:val="32"/>
        </w:rPr>
        <w:t>附  件</w:t>
      </w:r>
      <w:bookmarkStart w:id="15" w:name="OLE_LINK23"/>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0" w:rightChars="0" w:firstLine="480" w:firstLineChars="200"/>
        <w:jc w:val="left"/>
        <w:textAlignment w:val="auto"/>
        <w:outlineLvl w:val="9"/>
        <w:rPr>
          <w:rFonts w:hint="eastAsia" w:ascii="宋体" w:hAnsi="宋体" w:cs="宋体"/>
          <w:sz w:val="24"/>
          <w:szCs w:val="24"/>
          <w:lang w:eastAsia="zh-CN"/>
        </w:rPr>
      </w:pPr>
      <w:r>
        <w:rPr>
          <w:rFonts w:hint="eastAsia" w:ascii="宋体" w:hAnsi="宋体" w:cs="宋体"/>
          <w:sz w:val="24"/>
          <w:szCs w:val="24"/>
          <w:lang w:val="en-US" w:eastAsia="zh-CN"/>
        </w:rPr>
        <w:t>1、</w:t>
      </w:r>
      <w:r>
        <w:rPr>
          <w:rFonts w:hint="eastAsia" w:ascii="宋体" w:hAnsi="宋体" w:cs="宋体"/>
          <w:sz w:val="24"/>
          <w:szCs w:val="24"/>
          <w:lang w:eastAsia="zh-CN"/>
        </w:rPr>
        <w:t>估价对象位置图</w:t>
      </w:r>
      <w:r>
        <w:rPr>
          <w:rFonts w:hint="eastAsia" w:ascii="宋体" w:hAnsi="宋体" w:cs="宋体"/>
          <w:sz w:val="24"/>
          <w:szCs w:val="24"/>
          <w:lang w:val="en-US" w:eastAsia="zh-CN"/>
        </w:rPr>
        <w:t>及门牌号</w:t>
      </w:r>
      <w:r>
        <w:rPr>
          <w:rFonts w:hint="eastAsia" w:ascii="宋体" w:hAnsi="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0" w:rightChars="0" w:firstLine="480" w:firstLineChars="200"/>
        <w:jc w:val="left"/>
        <w:textAlignment w:val="auto"/>
        <w:outlineLvl w:val="9"/>
        <w:rPr>
          <w:rFonts w:hint="eastAsia" w:ascii="宋体" w:hAnsi="宋体" w:cs="宋体"/>
          <w:color w:val="auto"/>
          <w:sz w:val="24"/>
          <w:szCs w:val="24"/>
          <w:lang w:eastAsia="zh-CN"/>
        </w:rPr>
      </w:pPr>
      <w:r>
        <w:rPr>
          <w:rFonts w:hint="eastAsia" w:ascii="宋体" w:hAnsi="宋体" w:cs="宋体"/>
          <w:color w:val="auto"/>
          <w:sz w:val="24"/>
          <w:szCs w:val="24"/>
          <w:lang w:val="en-US" w:eastAsia="zh-CN"/>
        </w:rPr>
        <w:t>2、</w:t>
      </w:r>
      <w:r>
        <w:rPr>
          <w:rFonts w:hint="eastAsia" w:ascii="宋体" w:hAnsi="宋体" w:cs="宋体"/>
          <w:color w:val="auto"/>
          <w:sz w:val="24"/>
          <w:szCs w:val="24"/>
          <w:lang w:eastAsia="zh-CN"/>
        </w:rPr>
        <w:t>《福建省龙岩市新罗区人民法院委托评估书》（2022）龙新法委估字第46号复印件；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0" w:rightChars="0"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3、评估案件移送表复印件；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0" w:rightChars="0" w:firstLine="480" w:firstLineChars="200"/>
        <w:jc w:val="left"/>
        <w:textAlignment w:val="auto"/>
        <w:outlineLvl w:val="9"/>
        <w:rPr>
          <w:rFonts w:hint="eastAsia" w:ascii="宋体" w:hAnsi="宋体" w:cs="宋体"/>
          <w:sz w:val="24"/>
          <w:szCs w:val="24"/>
          <w:lang w:val="en-US" w:eastAsia="zh-CN"/>
        </w:rPr>
      </w:pPr>
      <w:r>
        <w:rPr>
          <w:rFonts w:hint="eastAsia" w:ascii="宋体" w:hAnsi="宋体" w:cs="宋体"/>
          <w:sz w:val="24"/>
          <w:szCs w:val="24"/>
          <w:lang w:val="en-US" w:eastAsia="zh-CN"/>
        </w:rPr>
        <w:t>4、龙岩市不动产权证登记凭证复印件；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0" w:rightChars="0" w:firstLine="480" w:firstLineChars="200"/>
        <w:jc w:val="left"/>
        <w:textAlignment w:val="auto"/>
        <w:outlineLvl w:val="9"/>
        <w:rPr>
          <w:rFonts w:hint="default" w:ascii="宋体" w:hAnsi="宋体" w:cs="宋体"/>
          <w:sz w:val="24"/>
          <w:szCs w:val="24"/>
          <w:lang w:val="en-US" w:eastAsia="zh-CN"/>
        </w:rPr>
      </w:pPr>
      <w:r>
        <w:rPr>
          <w:rFonts w:hint="eastAsia" w:ascii="宋体" w:hAnsi="宋体" w:cs="宋体"/>
          <w:sz w:val="24"/>
          <w:szCs w:val="24"/>
          <w:lang w:val="en-US" w:eastAsia="zh-CN"/>
        </w:rPr>
        <w:t>5、龙岩市新罗区城市房屋征收补偿安置协议复印件；</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left"/>
        <w:textAlignment w:val="auto"/>
        <w:outlineLvl w:val="9"/>
        <w:rPr>
          <w:rFonts w:hint="eastAsia" w:ascii="宋体" w:hAnsi="宋体" w:cs="宋体"/>
          <w:sz w:val="24"/>
          <w:szCs w:val="24"/>
        </w:rPr>
      </w:pPr>
      <w:r>
        <w:rPr>
          <w:rFonts w:hint="eastAsia" w:ascii="宋体" w:hAnsi="宋体" w:cs="宋体"/>
          <w:sz w:val="24"/>
          <w:szCs w:val="24"/>
          <w:lang w:val="en-US" w:eastAsia="zh-CN"/>
        </w:rPr>
        <w:t>6、</w:t>
      </w:r>
      <w:r>
        <w:rPr>
          <w:rFonts w:hint="eastAsia" w:ascii="宋体" w:hAnsi="宋体" w:cs="宋体"/>
          <w:sz w:val="24"/>
          <w:szCs w:val="24"/>
        </w:rPr>
        <w:t>房地产估价机构营业执照、资质证书复印件；</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480" w:firstLineChars="200"/>
        <w:jc w:val="left"/>
        <w:textAlignment w:val="auto"/>
        <w:outlineLvl w:val="9"/>
        <w:rPr>
          <w:rFonts w:hint="eastAsia" w:ascii="宋体" w:hAnsi="宋体" w:cs="宋体"/>
          <w:sz w:val="24"/>
          <w:szCs w:val="24"/>
          <w:lang w:eastAsia="zh-CN"/>
        </w:rPr>
      </w:pPr>
      <w:r>
        <w:rPr>
          <w:rFonts w:hint="eastAsia" w:ascii="宋体" w:hAnsi="宋体" w:cs="宋体"/>
          <w:sz w:val="24"/>
          <w:szCs w:val="24"/>
          <w:lang w:val="en-US" w:eastAsia="zh-CN"/>
        </w:rPr>
        <w:t>7</w:t>
      </w:r>
      <w:r>
        <w:rPr>
          <w:rFonts w:hint="eastAsia" w:ascii="宋体" w:hAnsi="宋体" w:cs="宋体"/>
          <w:sz w:val="24"/>
          <w:szCs w:val="24"/>
        </w:rPr>
        <w:t>、参加此次估价的估价师资格证书复印件</w:t>
      </w:r>
      <w:r>
        <w:rPr>
          <w:rFonts w:hint="eastAsia" w:ascii="宋体" w:hAnsi="宋体" w:cs="宋体"/>
          <w:sz w:val="24"/>
          <w:szCs w:val="24"/>
          <w:lang w:val="en-US" w:eastAsia="zh-CN"/>
        </w:rPr>
        <w:t>。</w:t>
      </w:r>
    </w:p>
    <w:p>
      <w:pPr>
        <w:spacing w:line="480" w:lineRule="auto"/>
        <w:ind w:left="561"/>
        <w:jc w:val="left"/>
        <w:rPr>
          <w:rFonts w:hint="eastAsia" w:ascii="宋体" w:hAnsi="宋体" w:cs="宋体"/>
          <w:sz w:val="24"/>
          <w:szCs w:val="24"/>
        </w:rPr>
      </w:pPr>
      <w:r>
        <w:rPr>
          <w:rFonts w:hint="eastAsia" w:ascii="宋体" w:hAnsi="宋体" w:cs="宋体"/>
          <w:sz w:val="24"/>
          <w:szCs w:val="24"/>
          <w:lang w:val="en-US" w:eastAsia="zh-CN"/>
        </w:rPr>
        <w:t xml:space="preserve">    </w:t>
      </w:r>
    </w:p>
    <w:p>
      <w:pPr>
        <w:spacing w:line="500" w:lineRule="exact"/>
        <w:ind w:firstLine="480"/>
        <w:rPr>
          <w:rFonts w:hint="eastAsia" w:ascii="宋体" w:hAnsi="宋体" w:cs="宋体"/>
          <w:sz w:val="24"/>
          <w:szCs w:val="24"/>
        </w:rPr>
      </w:pPr>
    </w:p>
    <w:bookmarkEnd w:id="15"/>
    <w:p>
      <w:pPr>
        <w:spacing w:line="560" w:lineRule="exact"/>
        <w:jc w:val="center"/>
        <w:rPr>
          <w:rFonts w:hint="eastAsia" w:ascii="宋体" w:hAnsi="宋体" w:cs="宋体"/>
          <w:bCs/>
          <w:sz w:val="32"/>
          <w:szCs w:val="32"/>
        </w:rPr>
      </w:pPr>
    </w:p>
    <w:p>
      <w:pPr>
        <w:spacing w:line="560" w:lineRule="exact"/>
        <w:jc w:val="center"/>
        <w:rPr>
          <w:rFonts w:hint="eastAsia" w:ascii="宋体" w:hAnsi="宋体" w:cs="宋体"/>
          <w:bCs/>
          <w:sz w:val="32"/>
          <w:szCs w:val="32"/>
        </w:rPr>
      </w:pPr>
    </w:p>
    <w:p>
      <w:pPr>
        <w:spacing w:line="560" w:lineRule="exact"/>
        <w:jc w:val="center"/>
        <w:rPr>
          <w:rFonts w:hint="eastAsia" w:ascii="宋体" w:hAnsi="宋体" w:cs="宋体"/>
          <w:bCs/>
          <w:sz w:val="32"/>
          <w:szCs w:val="32"/>
        </w:rPr>
      </w:pPr>
    </w:p>
    <w:p>
      <w:pPr>
        <w:spacing w:line="560" w:lineRule="exact"/>
        <w:jc w:val="center"/>
        <w:rPr>
          <w:rFonts w:hint="eastAsia" w:ascii="宋体" w:hAnsi="宋体" w:cs="宋体"/>
          <w:bCs/>
          <w:sz w:val="32"/>
          <w:szCs w:val="32"/>
        </w:rPr>
      </w:pPr>
    </w:p>
    <w:p>
      <w:pPr>
        <w:spacing w:line="560" w:lineRule="exact"/>
        <w:jc w:val="center"/>
        <w:rPr>
          <w:rFonts w:hint="eastAsia" w:ascii="宋体" w:hAnsi="宋体" w:cs="宋体"/>
          <w:bCs/>
          <w:sz w:val="32"/>
          <w:szCs w:val="32"/>
        </w:rPr>
      </w:pPr>
    </w:p>
    <w:p>
      <w:pPr>
        <w:spacing w:line="560" w:lineRule="exact"/>
        <w:jc w:val="center"/>
        <w:rPr>
          <w:rFonts w:hint="eastAsia" w:ascii="宋体" w:hAnsi="宋体" w:cs="宋体"/>
          <w:bCs/>
          <w:sz w:val="32"/>
          <w:szCs w:val="32"/>
        </w:rPr>
      </w:pPr>
    </w:p>
    <w:p>
      <w:pPr>
        <w:spacing w:line="560" w:lineRule="exact"/>
        <w:jc w:val="center"/>
        <w:rPr>
          <w:rFonts w:hint="eastAsia" w:ascii="宋体" w:hAnsi="宋体" w:cs="宋体"/>
          <w:bCs/>
          <w:sz w:val="32"/>
          <w:szCs w:val="32"/>
        </w:rPr>
      </w:pPr>
    </w:p>
    <w:p>
      <w:pPr>
        <w:spacing w:line="560" w:lineRule="exact"/>
        <w:jc w:val="center"/>
        <w:rPr>
          <w:rFonts w:hint="eastAsia" w:ascii="宋体" w:hAnsi="宋体" w:cs="宋体"/>
          <w:bCs/>
          <w:sz w:val="32"/>
          <w:szCs w:val="32"/>
        </w:rPr>
      </w:pPr>
    </w:p>
    <w:p>
      <w:pPr>
        <w:spacing w:line="560" w:lineRule="exact"/>
        <w:jc w:val="center"/>
        <w:rPr>
          <w:rFonts w:hint="eastAsia" w:ascii="宋体" w:hAnsi="宋体" w:cs="宋体"/>
          <w:bCs/>
          <w:sz w:val="32"/>
          <w:szCs w:val="32"/>
        </w:rPr>
      </w:pPr>
    </w:p>
    <w:p>
      <w:pPr>
        <w:spacing w:line="560" w:lineRule="exact"/>
        <w:jc w:val="center"/>
        <w:rPr>
          <w:rFonts w:hint="eastAsia" w:ascii="宋体" w:hAnsi="宋体" w:cs="宋体"/>
          <w:bCs/>
          <w:sz w:val="32"/>
          <w:szCs w:val="32"/>
        </w:rPr>
      </w:pPr>
    </w:p>
    <w:p>
      <w:pPr>
        <w:spacing w:line="560" w:lineRule="exact"/>
        <w:jc w:val="center"/>
        <w:rPr>
          <w:rFonts w:hint="eastAsia" w:ascii="宋体" w:hAnsi="宋体" w:cs="宋体"/>
          <w:bCs/>
          <w:sz w:val="32"/>
          <w:szCs w:val="32"/>
        </w:rPr>
        <w:sectPr>
          <w:footerReference r:id="rId15" w:type="first"/>
          <w:headerReference r:id="rId13" w:type="default"/>
          <w:footerReference r:id="rId14" w:type="default"/>
          <w:pgSz w:w="11907" w:h="16840"/>
          <w:pgMar w:top="1134" w:right="1134" w:bottom="1134" w:left="1701" w:header="851" w:footer="851" w:gutter="0"/>
          <w:pgNumType w:fmt="decimal" w:start="1"/>
          <w:cols w:space="720" w:num="1"/>
          <w:docGrid w:type="lines" w:linePitch="312" w:charSpace="0"/>
        </w:sectPr>
      </w:pPr>
    </w:p>
    <w:p>
      <w:pPr>
        <w:spacing w:line="560" w:lineRule="exact"/>
        <w:jc w:val="center"/>
        <w:rPr>
          <w:b/>
          <w:bCs w:val="0"/>
        </w:rPr>
      </w:pPr>
      <w:r>
        <w:rPr>
          <w:rFonts w:hint="eastAsia" w:ascii="宋体" w:hAnsi="宋体" w:cs="宋体"/>
          <w:b/>
          <w:bCs w:val="0"/>
          <w:sz w:val="32"/>
          <w:szCs w:val="32"/>
        </w:rPr>
        <w:t>估价对象位置图</w:t>
      </w:r>
      <w:r>
        <w:rPr>
          <w:rFonts w:hint="eastAsia" w:ascii="宋体" w:hAnsi="宋体" w:cs="宋体"/>
          <w:b/>
          <w:bCs w:val="0"/>
          <w:sz w:val="32"/>
          <w:szCs w:val="32"/>
          <w:lang w:val="en-US" w:eastAsia="zh-CN"/>
        </w:rPr>
        <w:t>及门牌号</w:t>
      </w:r>
    </w:p>
    <w:p>
      <w:pPr>
        <w:widowControl/>
        <w:jc w:val="left"/>
      </w:pPr>
    </w:p>
    <w:p>
      <w:pPr>
        <w:spacing w:line="240" w:lineRule="atLeast"/>
        <w:jc w:val="center"/>
        <w:rPr>
          <w:rFonts w:hint="eastAsia" w:eastAsia="宋体"/>
          <w:lang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3215640</wp:posOffset>
                </wp:positionH>
                <wp:positionV relativeFrom="paragraph">
                  <wp:posOffset>1641475</wp:posOffset>
                </wp:positionV>
                <wp:extent cx="1160145" cy="502920"/>
                <wp:effectExtent l="6350" t="6350" r="14605" b="309880"/>
                <wp:wrapNone/>
                <wp:docPr id="7" name="椭圆形标注 7"/>
                <wp:cNvGraphicFramePr/>
                <a:graphic xmlns:a="http://schemas.openxmlformats.org/drawingml/2006/main">
                  <a:graphicData uri="http://schemas.microsoft.com/office/word/2010/wordprocessingShape">
                    <wps:wsp>
                      <wps:cNvSpPr/>
                      <wps:spPr>
                        <a:xfrm>
                          <a:off x="4373880" y="2967355"/>
                          <a:ext cx="1160145" cy="502920"/>
                        </a:xfrm>
                        <a:prstGeom prst="wedgeEllipseCallout">
                          <a:avLst>
                            <a:gd name="adj1" fmla="val -46223"/>
                            <a:gd name="adj2" fmla="val 105050"/>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宋体"/>
                                <w:lang w:val="en-US" w:eastAsia="zh-CN"/>
                              </w:rPr>
                            </w:pPr>
                            <w:r>
                              <w:rPr>
                                <w:rFonts w:hint="eastAsia"/>
                                <w:lang w:val="en-US" w:eastAsia="zh-CN"/>
                              </w:rPr>
                              <w:t>估价对象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3" type="#_x0000_t63" style="position:absolute;left:0pt;margin-left:253.2pt;margin-top:129.25pt;height:39.6pt;width:91.35pt;z-index:251659264;v-text-anchor:middle;mso-width-relative:page;mso-height-relative:page;" fillcolor="#FFFFFF [3201]" filled="t" stroked="t" coordsize="21600,21600" o:gfxdata="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" adj="816,33491">
                <v:fill on="t" focussize="0,0"/>
                <v:stroke weight="1pt" color="#FF0000 [3209]" miterlimit="8" joinstyle="miter"/>
                <v:imagedata o:title=""/>
                <o:lock v:ext="edit" aspectratio="f"/>
                <v:textbox>
                  <w:txbxContent>
                    <w:p>
                      <w:pPr>
                        <w:jc w:val="center"/>
                        <w:rPr>
                          <w:rFonts w:hint="default" w:eastAsia="宋体"/>
                          <w:lang w:val="en-US" w:eastAsia="zh-CN"/>
                        </w:rPr>
                      </w:pPr>
                      <w:r>
                        <w:rPr>
                          <w:rFonts w:hint="eastAsia"/>
                          <w:lang w:val="en-US" w:eastAsia="zh-CN"/>
                        </w:rPr>
                        <w:t>估价对象</w:t>
                      </w:r>
                    </w:p>
                  </w:txbxContent>
                </v:textbox>
              </v:shap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3077210</wp:posOffset>
                </wp:positionH>
                <wp:positionV relativeFrom="paragraph">
                  <wp:posOffset>2326005</wp:posOffset>
                </wp:positionV>
                <wp:extent cx="259715" cy="294005"/>
                <wp:effectExtent l="26670" t="34290" r="37465" b="33655"/>
                <wp:wrapNone/>
                <wp:docPr id="14" name="十字星 14"/>
                <wp:cNvGraphicFramePr/>
                <a:graphic xmlns:a="http://schemas.openxmlformats.org/drawingml/2006/main">
                  <a:graphicData uri="http://schemas.microsoft.com/office/word/2010/wordprocessingShape">
                    <wps:wsp>
                      <wps:cNvSpPr/>
                      <wps:spPr>
                        <a:xfrm>
                          <a:off x="4157345" y="3599815"/>
                          <a:ext cx="259715" cy="294005"/>
                        </a:xfrm>
                        <a:prstGeom prst="star4">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7" type="#_x0000_t187" style="position:absolute;left:0pt;margin-left:242.3pt;margin-top:183.15pt;height:23.15pt;width:20.45pt;z-index:251660288;v-text-anchor:middle;mso-width-relative:page;mso-height-relative:page;" fillcolor="#FF0000" filled="t" stroked="t" coordsize="21600,21600" o:gfxdata="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cI4PvdoAAAALAQAADwAAAAAAAAAB&#10;ACAAAAAiAAAAZHJzL2Rvd25yZXYueG1sUEsBAhQAFAAAAAgAh07iQJHllnyAAgAABQUAAA4AAAAA&#10;AAAAAQAgAAAAKQEAAGRycy9lMm9Eb2MueG1sUEsFBgAAAAAGAAYAWQEAABsGAAAAAA==&#10;" adj="8100">
                <v:fill on="t" focussize="0,0"/>
                <v:stroke weight="1pt" color="#FF0000 [3204]" miterlimit="8" joinstyle="miter"/>
                <v:imagedata o:title=""/>
                <o:lock v:ext="edit" aspectratio="f"/>
              </v:shape>
            </w:pict>
          </mc:Fallback>
        </mc:AlternateContent>
      </w:r>
      <w:r>
        <w:rPr>
          <w:rFonts w:hint="eastAsia" w:eastAsia="宋体"/>
          <w:lang w:eastAsia="zh-CN"/>
        </w:rPr>
        <w:drawing>
          <wp:inline distT="0" distB="0" distL="114300" distR="114300">
            <wp:extent cx="5758180" cy="3794760"/>
            <wp:effectExtent l="0" t="0" r="13970" b="15240"/>
            <wp:docPr id="2" name="图片 2" descr="1663744548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63744548582"/>
                    <pic:cNvPicPr>
                      <a:picLocks noChangeAspect="1"/>
                    </pic:cNvPicPr>
                  </pic:nvPicPr>
                  <pic:blipFill>
                    <a:blip r:embed="rId20"/>
                    <a:stretch>
                      <a:fillRect/>
                    </a:stretch>
                  </pic:blipFill>
                  <pic:spPr>
                    <a:xfrm>
                      <a:off x="0" y="0"/>
                      <a:ext cx="5758180" cy="3794760"/>
                    </a:xfrm>
                    <a:prstGeom prst="rect">
                      <a:avLst/>
                    </a:prstGeom>
                  </pic:spPr>
                </pic:pic>
              </a:graphicData>
            </a:graphic>
          </wp:inline>
        </w:drawing>
      </w:r>
    </w:p>
    <w:p>
      <w:pPr>
        <w:spacing w:line="240" w:lineRule="atLeast"/>
        <w:jc w:val="cente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cs="宋体"/>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cs="宋体"/>
          <w:sz w:val="32"/>
          <w:szCs w:val="32"/>
          <w:lang w:eastAsia="zh-CN"/>
        </w:rPr>
      </w:pPr>
      <w:r>
        <w:rPr>
          <w:rFonts w:hint="eastAsia" w:ascii="宋体" w:hAnsi="宋体" w:cs="宋体"/>
          <w:sz w:val="32"/>
          <w:szCs w:val="32"/>
          <w:lang w:eastAsia="zh-CN"/>
        </w:rPr>
        <w:drawing>
          <wp:inline distT="0" distB="0" distL="114300" distR="114300">
            <wp:extent cx="2961640" cy="3947160"/>
            <wp:effectExtent l="0" t="0" r="10160" b="15240"/>
            <wp:docPr id="3" name="图片 3" descr="9eb9ee7f4ec3d854976801b7f24df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9eb9ee7f4ec3d854976801b7f24df06"/>
                    <pic:cNvPicPr>
                      <a:picLocks noChangeAspect="1"/>
                    </pic:cNvPicPr>
                  </pic:nvPicPr>
                  <pic:blipFill>
                    <a:blip r:embed="rId21"/>
                    <a:stretch>
                      <a:fillRect/>
                    </a:stretch>
                  </pic:blipFill>
                  <pic:spPr>
                    <a:xfrm>
                      <a:off x="0" y="0"/>
                      <a:ext cx="2961640" cy="394716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宋体" w:hAnsi="宋体" w:cs="宋体"/>
          <w:b/>
          <w:bCs/>
          <w:sz w:val="32"/>
          <w:szCs w:val="32"/>
          <w:lang w:val="en-US" w:eastAsia="zh-CN"/>
        </w:rPr>
      </w:pPr>
      <w:r>
        <w:rPr>
          <w:rFonts w:hint="eastAsia" w:ascii="宋体" w:hAnsi="宋体" w:cs="宋体"/>
          <w:b/>
          <w:bCs/>
          <w:sz w:val="32"/>
          <w:szCs w:val="32"/>
          <w:lang w:val="en-US" w:eastAsia="zh-CN"/>
        </w:rPr>
        <w:t>估价对象照片</w:t>
      </w:r>
    </w:p>
    <w:p>
      <w:pPr>
        <w:spacing w:line="24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drawing>
          <wp:inline distT="0" distB="0" distL="114300" distR="114300">
            <wp:extent cx="2592070" cy="1945005"/>
            <wp:effectExtent l="0" t="0" r="17780" b="17145"/>
            <wp:docPr id="17" name="图片 17" descr="2c52c8e039c76f4a1a56d39c459b2e1"/>
            <wp:cNvGraphicFramePr/>
            <a:graphic xmlns:a="http://schemas.openxmlformats.org/drawingml/2006/main">
              <a:graphicData uri="http://schemas.openxmlformats.org/drawingml/2006/picture">
                <pic:pic xmlns:pic="http://schemas.openxmlformats.org/drawingml/2006/picture">
                  <pic:nvPicPr>
                    <pic:cNvPr id="17" name="图片 17" descr="2c52c8e039c76f4a1a56d39c459b2e1"/>
                    <pic:cNvPicPr/>
                  </pic:nvPicPr>
                  <pic:blipFill>
                    <a:blip r:embed="rId22"/>
                    <a:stretch>
                      <a:fillRect/>
                    </a:stretch>
                  </pic:blipFill>
                  <pic:spPr>
                    <a:xfrm>
                      <a:off x="0" y="0"/>
                      <a:ext cx="2592070" cy="1945005"/>
                    </a:xfrm>
                    <a:prstGeom prst="rect">
                      <a:avLst/>
                    </a:prstGeom>
                  </pic:spPr>
                </pic:pic>
              </a:graphicData>
            </a:graphic>
          </wp:inline>
        </w:drawing>
      </w:r>
      <w:r>
        <w:rPr>
          <w:rFonts w:hint="eastAsia" w:ascii="宋体" w:hAnsi="宋体" w:cs="宋体"/>
          <w:sz w:val="24"/>
          <w:szCs w:val="24"/>
          <w:lang w:val="en-US" w:eastAsia="zh-CN"/>
        </w:rPr>
        <w:t xml:space="preserve">       </w:t>
      </w:r>
      <w:r>
        <w:rPr>
          <w:rFonts w:hint="eastAsia" w:ascii="宋体" w:hAnsi="宋体" w:eastAsia="宋体" w:cs="宋体"/>
          <w:sz w:val="24"/>
          <w:szCs w:val="24"/>
          <w:lang w:eastAsia="zh-CN"/>
        </w:rPr>
        <w:drawing>
          <wp:inline distT="0" distB="0" distL="114300" distR="114300">
            <wp:extent cx="2592070" cy="1943735"/>
            <wp:effectExtent l="0" t="0" r="17780" b="18415"/>
            <wp:docPr id="16" name="图片 16" descr="4fb5c5eef1f18006d0fb815af7ec11d"/>
            <wp:cNvGraphicFramePr/>
            <a:graphic xmlns:a="http://schemas.openxmlformats.org/drawingml/2006/main">
              <a:graphicData uri="http://schemas.openxmlformats.org/drawingml/2006/picture">
                <pic:pic xmlns:pic="http://schemas.openxmlformats.org/drawingml/2006/picture">
                  <pic:nvPicPr>
                    <pic:cNvPr id="16" name="图片 16" descr="4fb5c5eef1f18006d0fb815af7ec11d"/>
                    <pic:cNvPicPr/>
                  </pic:nvPicPr>
                  <pic:blipFill>
                    <a:blip r:embed="rId23"/>
                    <a:stretch>
                      <a:fillRect/>
                    </a:stretch>
                  </pic:blipFill>
                  <pic:spPr>
                    <a:xfrm>
                      <a:off x="0" y="0"/>
                      <a:ext cx="2592070" cy="1943735"/>
                    </a:xfrm>
                    <a:prstGeom prst="rect">
                      <a:avLst/>
                    </a:prstGeom>
                  </pic:spPr>
                </pic:pic>
              </a:graphicData>
            </a:graphic>
          </wp:inline>
        </w:drawing>
      </w:r>
    </w:p>
    <w:p>
      <w:pPr>
        <w:spacing w:line="240" w:lineRule="auto"/>
        <w:rPr>
          <w:rFonts w:hint="eastAsia" w:ascii="宋体" w:hAnsi="宋体" w:eastAsia="宋体" w:cs="宋体"/>
          <w:sz w:val="24"/>
          <w:szCs w:val="24"/>
          <w:lang w:eastAsia="zh-CN"/>
        </w:rPr>
      </w:pPr>
    </w:p>
    <w:p>
      <w:pPr>
        <w:spacing w:line="24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drawing>
          <wp:inline distT="0" distB="0" distL="114300" distR="114300">
            <wp:extent cx="2592070" cy="1943735"/>
            <wp:effectExtent l="0" t="0" r="17780" b="18415"/>
            <wp:docPr id="15" name="图片 15" descr="008a59f5a742f618b14fdec69a2107b"/>
            <wp:cNvGraphicFramePr/>
            <a:graphic xmlns:a="http://schemas.openxmlformats.org/drawingml/2006/main">
              <a:graphicData uri="http://schemas.openxmlformats.org/drawingml/2006/picture">
                <pic:pic xmlns:pic="http://schemas.openxmlformats.org/drawingml/2006/picture">
                  <pic:nvPicPr>
                    <pic:cNvPr id="15" name="图片 15" descr="008a59f5a742f618b14fdec69a2107b"/>
                    <pic:cNvPicPr/>
                  </pic:nvPicPr>
                  <pic:blipFill>
                    <a:blip r:embed="rId24"/>
                    <a:stretch>
                      <a:fillRect/>
                    </a:stretch>
                  </pic:blipFill>
                  <pic:spPr>
                    <a:xfrm>
                      <a:off x="0" y="0"/>
                      <a:ext cx="2592070" cy="1943735"/>
                    </a:xfrm>
                    <a:prstGeom prst="rect">
                      <a:avLst/>
                    </a:prstGeom>
                  </pic:spPr>
                </pic:pic>
              </a:graphicData>
            </a:graphic>
          </wp:inline>
        </w:drawing>
      </w:r>
      <w:r>
        <w:rPr>
          <w:rFonts w:hint="eastAsia" w:ascii="宋体" w:hAnsi="宋体" w:cs="宋体"/>
          <w:sz w:val="24"/>
          <w:szCs w:val="24"/>
          <w:lang w:val="en-US" w:eastAsia="zh-CN"/>
        </w:rPr>
        <w:t xml:space="preserve">       </w:t>
      </w:r>
      <w:r>
        <w:rPr>
          <w:rFonts w:hint="eastAsia" w:ascii="宋体" w:hAnsi="宋体" w:eastAsia="宋体" w:cs="宋体"/>
          <w:sz w:val="24"/>
          <w:szCs w:val="24"/>
          <w:lang w:eastAsia="zh-CN"/>
        </w:rPr>
        <w:drawing>
          <wp:inline distT="0" distB="0" distL="114300" distR="114300">
            <wp:extent cx="2592070" cy="1943735"/>
            <wp:effectExtent l="0" t="0" r="17780" b="18415"/>
            <wp:docPr id="13" name="图片 13" descr="130f093c8d8bf7cea35c37410ee055f"/>
            <wp:cNvGraphicFramePr/>
            <a:graphic xmlns:a="http://schemas.openxmlformats.org/drawingml/2006/main">
              <a:graphicData uri="http://schemas.openxmlformats.org/drawingml/2006/picture">
                <pic:pic xmlns:pic="http://schemas.openxmlformats.org/drawingml/2006/picture">
                  <pic:nvPicPr>
                    <pic:cNvPr id="13" name="图片 13" descr="130f093c8d8bf7cea35c37410ee055f"/>
                    <pic:cNvPicPr/>
                  </pic:nvPicPr>
                  <pic:blipFill>
                    <a:blip r:embed="rId25"/>
                    <a:stretch>
                      <a:fillRect/>
                    </a:stretch>
                  </pic:blipFill>
                  <pic:spPr>
                    <a:xfrm>
                      <a:off x="0" y="0"/>
                      <a:ext cx="2592070" cy="1943735"/>
                    </a:xfrm>
                    <a:prstGeom prst="rect">
                      <a:avLst/>
                    </a:prstGeom>
                  </pic:spPr>
                </pic:pic>
              </a:graphicData>
            </a:graphic>
          </wp:inline>
        </w:drawing>
      </w:r>
    </w:p>
    <w:p>
      <w:pPr>
        <w:spacing w:line="240" w:lineRule="auto"/>
        <w:rPr>
          <w:rFonts w:hint="eastAsia" w:ascii="宋体" w:hAnsi="宋体" w:eastAsia="宋体" w:cs="宋体"/>
          <w:sz w:val="24"/>
          <w:szCs w:val="24"/>
          <w:lang w:eastAsia="zh-CN"/>
        </w:rPr>
      </w:pPr>
    </w:p>
    <w:p>
      <w:pPr>
        <w:spacing w:line="24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drawing>
          <wp:inline distT="0" distB="0" distL="114300" distR="114300">
            <wp:extent cx="2592070" cy="1943735"/>
            <wp:effectExtent l="0" t="0" r="17780" b="18415"/>
            <wp:docPr id="12" name="图片 12" descr="189b4181032347ab3cdb18e1db82e66"/>
            <wp:cNvGraphicFramePr/>
            <a:graphic xmlns:a="http://schemas.openxmlformats.org/drawingml/2006/main">
              <a:graphicData uri="http://schemas.openxmlformats.org/drawingml/2006/picture">
                <pic:pic xmlns:pic="http://schemas.openxmlformats.org/drawingml/2006/picture">
                  <pic:nvPicPr>
                    <pic:cNvPr id="12" name="图片 12" descr="189b4181032347ab3cdb18e1db82e66"/>
                    <pic:cNvPicPr/>
                  </pic:nvPicPr>
                  <pic:blipFill>
                    <a:blip r:embed="rId26"/>
                    <a:stretch>
                      <a:fillRect/>
                    </a:stretch>
                  </pic:blipFill>
                  <pic:spPr>
                    <a:xfrm>
                      <a:off x="0" y="0"/>
                      <a:ext cx="2592070" cy="1943735"/>
                    </a:xfrm>
                    <a:prstGeom prst="rect">
                      <a:avLst/>
                    </a:prstGeom>
                  </pic:spPr>
                </pic:pic>
              </a:graphicData>
            </a:graphic>
          </wp:inline>
        </w:drawing>
      </w:r>
      <w:r>
        <w:rPr>
          <w:rFonts w:hint="eastAsia" w:ascii="宋体" w:hAnsi="宋体" w:cs="宋体"/>
          <w:sz w:val="24"/>
          <w:szCs w:val="24"/>
          <w:lang w:val="en-US" w:eastAsia="zh-CN"/>
        </w:rPr>
        <w:t xml:space="preserve">       </w:t>
      </w:r>
      <w:r>
        <w:rPr>
          <w:rFonts w:hint="eastAsia" w:ascii="宋体" w:hAnsi="宋体" w:eastAsia="宋体" w:cs="宋体"/>
          <w:sz w:val="24"/>
          <w:szCs w:val="24"/>
          <w:lang w:eastAsia="zh-CN"/>
        </w:rPr>
        <w:drawing>
          <wp:inline distT="0" distB="0" distL="114300" distR="114300">
            <wp:extent cx="2592070" cy="1943735"/>
            <wp:effectExtent l="0" t="0" r="17780" b="18415"/>
            <wp:docPr id="10" name="图片 10" descr="4302485c5b8d71efc5e19a6ca3a6450"/>
            <wp:cNvGraphicFramePr/>
            <a:graphic xmlns:a="http://schemas.openxmlformats.org/drawingml/2006/main">
              <a:graphicData uri="http://schemas.openxmlformats.org/drawingml/2006/picture">
                <pic:pic xmlns:pic="http://schemas.openxmlformats.org/drawingml/2006/picture">
                  <pic:nvPicPr>
                    <pic:cNvPr id="10" name="图片 10" descr="4302485c5b8d71efc5e19a6ca3a6450"/>
                    <pic:cNvPicPr/>
                  </pic:nvPicPr>
                  <pic:blipFill>
                    <a:blip r:embed="rId27"/>
                    <a:stretch>
                      <a:fillRect/>
                    </a:stretch>
                  </pic:blipFill>
                  <pic:spPr>
                    <a:xfrm>
                      <a:off x="0" y="0"/>
                      <a:ext cx="2592070" cy="1943735"/>
                    </a:xfrm>
                    <a:prstGeom prst="rect">
                      <a:avLst/>
                    </a:prstGeom>
                  </pic:spPr>
                </pic:pic>
              </a:graphicData>
            </a:graphic>
          </wp:inline>
        </w:drawing>
      </w:r>
    </w:p>
    <w:p>
      <w:pPr>
        <w:spacing w:line="240" w:lineRule="auto"/>
        <w:rPr>
          <w:rFonts w:hint="eastAsia" w:ascii="宋体" w:hAnsi="宋体" w:eastAsia="宋体" w:cs="宋体"/>
          <w:sz w:val="24"/>
          <w:szCs w:val="24"/>
          <w:lang w:eastAsia="zh-CN"/>
        </w:rPr>
      </w:pPr>
    </w:p>
    <w:p>
      <w:pPr>
        <w:spacing w:line="24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drawing>
          <wp:inline distT="0" distB="0" distL="114300" distR="114300">
            <wp:extent cx="2592070" cy="1943735"/>
            <wp:effectExtent l="0" t="0" r="17780" b="18415"/>
            <wp:docPr id="5" name="图片 5" descr="cab318f13939b88d01f3d0111ec3d57"/>
            <wp:cNvGraphicFramePr/>
            <a:graphic xmlns:a="http://schemas.openxmlformats.org/drawingml/2006/main">
              <a:graphicData uri="http://schemas.openxmlformats.org/drawingml/2006/picture">
                <pic:pic xmlns:pic="http://schemas.openxmlformats.org/drawingml/2006/picture">
                  <pic:nvPicPr>
                    <pic:cNvPr id="5" name="图片 5" descr="cab318f13939b88d01f3d0111ec3d57"/>
                    <pic:cNvPicPr/>
                  </pic:nvPicPr>
                  <pic:blipFill>
                    <a:blip r:embed="rId28"/>
                    <a:stretch>
                      <a:fillRect/>
                    </a:stretch>
                  </pic:blipFill>
                  <pic:spPr>
                    <a:xfrm>
                      <a:off x="0" y="0"/>
                      <a:ext cx="2592070" cy="1943735"/>
                    </a:xfrm>
                    <a:prstGeom prst="rect">
                      <a:avLst/>
                    </a:prstGeom>
                  </pic:spPr>
                </pic:pic>
              </a:graphicData>
            </a:graphic>
          </wp:inline>
        </w:drawing>
      </w:r>
      <w:r>
        <w:rPr>
          <w:rFonts w:hint="eastAsia" w:ascii="宋体" w:hAnsi="宋体" w:cs="宋体"/>
          <w:sz w:val="24"/>
          <w:szCs w:val="24"/>
          <w:lang w:val="en-US" w:eastAsia="zh-CN"/>
        </w:rPr>
        <w:t xml:space="preserve">       </w:t>
      </w:r>
      <w:r>
        <w:rPr>
          <w:rFonts w:hint="eastAsia" w:ascii="宋体" w:hAnsi="宋体" w:eastAsia="宋体" w:cs="宋体"/>
          <w:sz w:val="24"/>
          <w:szCs w:val="24"/>
          <w:lang w:eastAsia="zh-CN"/>
        </w:rPr>
        <w:drawing>
          <wp:inline distT="0" distB="0" distL="114300" distR="114300">
            <wp:extent cx="2592070" cy="1943735"/>
            <wp:effectExtent l="0" t="0" r="17780" b="18415"/>
            <wp:docPr id="4" name="图片 4" descr="fddace343149a3cf89c685a8f93c415"/>
            <wp:cNvGraphicFramePr/>
            <a:graphic xmlns:a="http://schemas.openxmlformats.org/drawingml/2006/main">
              <a:graphicData uri="http://schemas.openxmlformats.org/drawingml/2006/picture">
                <pic:pic xmlns:pic="http://schemas.openxmlformats.org/drawingml/2006/picture">
                  <pic:nvPicPr>
                    <pic:cNvPr id="4" name="图片 4" descr="fddace343149a3cf89c685a8f93c415"/>
                    <pic:cNvPicPr/>
                  </pic:nvPicPr>
                  <pic:blipFill>
                    <a:blip r:embed="rId29"/>
                    <a:stretch>
                      <a:fillRect/>
                    </a:stretch>
                  </pic:blipFill>
                  <pic:spPr>
                    <a:xfrm>
                      <a:off x="0" y="0"/>
                      <a:ext cx="2592070" cy="1943735"/>
                    </a:xfrm>
                    <a:prstGeom prst="rect">
                      <a:avLst/>
                    </a:prstGeom>
                  </pic:spPr>
                </pic:pic>
              </a:graphicData>
            </a:graphic>
          </wp:inline>
        </w:drawing>
      </w:r>
    </w:p>
    <w:p/>
    <w:sectPr>
      <w:headerReference r:id="rId16" w:type="default"/>
      <w:footerReference r:id="rId17" w:type="default"/>
      <w:pgSz w:w="11907" w:h="16840"/>
      <w:pgMar w:top="1134" w:right="1134" w:bottom="1134" w:left="1701" w:header="851" w:footer="851"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Narrow">
    <w:altName w:val="Arial"/>
    <w:panose1 w:val="020B0506020202030204"/>
    <w:charset w:val="00"/>
    <w:family w:val="swiss"/>
    <w:pitch w:val="default"/>
    <w:sig w:usb0="00000000" w:usb1="00000000" w:usb2="00000000" w:usb3="00000000" w:csb0="2000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189" w:right="-247"/>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3"/>
      </w:rPr>
    </w:pPr>
    <w:r>
      <w:fldChar w:fldCharType="begin"/>
    </w:r>
    <w:r>
      <w:rPr>
        <w:rStyle w:val="13"/>
      </w:rPr>
      <w:instrText xml:space="preserve">PAGE  </w:instrText>
    </w:r>
    <w: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247"/>
      <w:rPr>
        <w:rFonts w:hint="eastAsia" w:ascii="仿宋_GB2312" w:hAnsi="仿宋"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247"/>
      <w:rPr>
        <w:rFonts w:hint="eastAsia" w:ascii="仿宋_GB2312" w:hAnsi="仿宋"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247"/>
      <w:rPr>
        <w:rFonts w:hint="eastAsia" w:ascii="仿宋_GB2312" w:hAnsi="仿宋" w:eastAsia="仿宋_GB2312"/>
      </w:rPr>
    </w:pPr>
    <w:r>
      <w:rPr>
        <w:rFonts w:hint="eastAsia" w:ascii="仿宋_GB2312" w:hAnsi="仿宋" w:eastAsia="仿宋_GB2312"/>
      </w:rPr>
      <mc:AlternateContent>
        <mc:Choice Requires="wps">
          <w:drawing>
            <wp:anchor distT="0" distB="0" distL="114300" distR="114300" simplePos="0" relativeHeight="251660288" behindDoc="0" locked="0" layoutInCell="1" allowOverlap="1">
              <wp:simplePos x="0" y="0"/>
              <wp:positionH relativeFrom="column">
                <wp:posOffset>-19685</wp:posOffset>
              </wp:positionH>
              <wp:positionV relativeFrom="paragraph">
                <wp:posOffset>5715</wp:posOffset>
              </wp:positionV>
              <wp:extent cx="582041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8204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5pt;margin-top:0.45pt;height:0pt;width:458.3pt;z-index:251660288;mso-width-relative:page;mso-height-relative:page;" filled="f" stroked="t" coordsize="21600,21600" o:gfxdata="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hRKVq0gAAAAQBAAAPAAAAAAAAAAEAIAAAACIAAABkcnMvZG93bnJldi54bWxQSwECFAAUAAAA&#10;CACHTuJAA3ui+vQBAADkAwAADgAAAAAAAAABACAAAAAhAQAAZHJzL2Uyb0RvYy54bWxQSwUGAAAA&#10;AAYABgBZAQAAhwUAAAAA&#10;">
              <v:fill on="f" focussize="0,0"/>
              <v:stroke color="#000000" joinstyle="round"/>
              <v:imagedata o:title=""/>
              <o:lock v:ext="edit" aspectratio="f"/>
            </v:lin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247"/>
      <w:rPr>
        <w:rFonts w:hint="eastAsia" w:ascii="仿宋_GB2312" w:hAnsi="仿宋"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247"/>
      <w:rPr>
        <w:rFonts w:hint="eastAsia" w:ascii="仿宋_GB2312" w:hAnsi="仿宋" w:eastAsia="仿宋_GB2312"/>
      </w:rPr>
    </w:pPr>
    <w:r>
      <w:rPr>
        <w:sz w:val="18"/>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0</wp:posOffset>
              </wp:positionV>
              <wp:extent cx="583946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39460" cy="1828800"/>
                      </a:xfrm>
                      <a:prstGeom prst="rect">
                        <a:avLst/>
                      </a:prstGeom>
                      <a:noFill/>
                      <a:ln w="15875">
                        <a:noFill/>
                      </a:ln>
                    </wps:spPr>
                    <wps:txbx>
                      <w:txbxContent>
                        <w:p>
                          <w:pPr>
                            <w:pStyle w:val="7"/>
                            <w:ind w:right="-247"/>
                            <w:rPr>
                              <w:rFonts w:hint="eastAsia" w:ascii="宋体" w:hAnsi="宋体" w:eastAsia="宋体" w:cs="宋体"/>
                            </w:rPr>
                          </w:pPr>
                          <w:r>
                            <w:rPr>
                              <w:rFonts w:hint="eastAsia" w:ascii="宋体" w:hAnsi="宋体" w:eastAsia="宋体" w:cs="宋体"/>
                            </w:rPr>
                            <w:t xml:space="preserve">龙岩冠力土地房地产评估有限公司            </w:t>
                          </w:r>
                          <w:r>
                            <w:rPr>
                              <w:rFonts w:hint="eastAsia" w:ascii="宋体" w:hAnsi="宋体" w:eastAsia="宋体" w:cs="宋体"/>
                              <w:lang w:val="en-US" w:eastAsia="zh-CN"/>
                            </w:rPr>
                            <w:t xml:space="preserve"> </w:t>
                          </w:r>
                          <w:r>
                            <w:rPr>
                              <w:rFonts w:hint="eastAsia" w:ascii="宋体" w:hAnsi="宋体" w:eastAsia="宋体" w:cs="宋体"/>
                            </w:rPr>
                            <w:t xml:space="preserve">    共</w:t>
                          </w:r>
                          <w:r>
                            <w:rPr>
                              <w:rFonts w:hint="eastAsia" w:ascii="宋体" w:hAnsi="宋体" w:eastAsia="宋体" w:cs="宋体"/>
                              <w:lang w:val="en-US" w:eastAsia="zh-CN"/>
                            </w:rPr>
                            <w:t>2</w:t>
                          </w:r>
                          <w:r>
                            <w:rPr>
                              <w:rFonts w:hint="eastAsia" w:ascii="宋体" w:hAnsi="宋体" w:cs="宋体"/>
                              <w:lang w:val="en-US" w:eastAsia="zh-CN"/>
                            </w:rPr>
                            <w:t>8</w:t>
                          </w:r>
                          <w:r>
                            <w:rPr>
                              <w:rFonts w:hint="eastAsia" w:ascii="宋体" w:hAnsi="宋体" w:eastAsia="宋体" w:cs="宋体"/>
                            </w:rPr>
                            <w:t>页</w:t>
                          </w:r>
                          <w:r>
                            <w:rPr>
                              <w:rFonts w:hint="eastAsia" w:ascii="宋体" w:hAnsi="宋体" w:eastAsia="宋体" w:cs="宋体"/>
                              <w:szCs w:val="18"/>
                            </w:rPr>
                            <w:t>第</w:t>
                          </w:r>
                          <w:r>
                            <w:rPr>
                              <w:rFonts w:hint="eastAsia" w:ascii="宋体" w:hAnsi="宋体" w:eastAsia="宋体" w:cs="宋体"/>
                              <w:kern w:val="0"/>
                              <w:szCs w:val="18"/>
                            </w:rPr>
                            <w:fldChar w:fldCharType="begin"/>
                          </w:r>
                          <w:r>
                            <w:rPr>
                              <w:rFonts w:hint="eastAsia" w:ascii="宋体" w:hAnsi="宋体" w:eastAsia="宋体" w:cs="宋体"/>
                              <w:kern w:val="0"/>
                              <w:szCs w:val="18"/>
                            </w:rPr>
                            <w:instrText xml:space="preserve"> PAGE </w:instrText>
                          </w:r>
                          <w:r>
                            <w:rPr>
                              <w:rFonts w:hint="eastAsia" w:ascii="宋体" w:hAnsi="宋体" w:eastAsia="宋体" w:cs="宋体"/>
                              <w:kern w:val="0"/>
                              <w:szCs w:val="18"/>
                            </w:rPr>
                            <w:fldChar w:fldCharType="separate"/>
                          </w:r>
                          <w:r>
                            <w:rPr>
                              <w:rFonts w:hint="eastAsia" w:ascii="宋体" w:hAnsi="宋体" w:eastAsia="宋体" w:cs="宋体"/>
                              <w:kern w:val="0"/>
                              <w:szCs w:val="18"/>
                            </w:rPr>
                            <w:t>20</w:t>
                          </w:r>
                          <w:r>
                            <w:rPr>
                              <w:rFonts w:hint="eastAsia" w:ascii="宋体" w:hAnsi="宋体" w:eastAsia="宋体" w:cs="宋体"/>
                              <w:kern w:val="0"/>
                              <w:szCs w:val="18"/>
                            </w:rPr>
                            <w:fldChar w:fldCharType="end"/>
                          </w:r>
                          <w:r>
                            <w:rPr>
                              <w:rFonts w:hint="eastAsia" w:ascii="宋体" w:hAnsi="宋体" w:eastAsia="宋体" w:cs="宋体"/>
                            </w:rPr>
                            <w:t xml:space="preserve">页   </w:t>
                          </w:r>
                          <w:r>
                            <w:rPr>
                              <w:rFonts w:hint="eastAsia" w:ascii="宋体" w:hAnsi="宋体" w:eastAsia="宋体" w:cs="宋体"/>
                              <w:lang w:val="en-US" w:eastAsia="zh-CN"/>
                            </w:rPr>
                            <w:t xml:space="preserve"> </w:t>
                          </w: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 xml:space="preserve">   岩冠力估价字</w:t>
                          </w:r>
                          <w:r>
                            <w:rPr>
                              <w:rFonts w:hint="eastAsia" w:ascii="宋体" w:hAnsi="宋体" w:eastAsia="宋体" w:cs="宋体"/>
                              <w:lang w:eastAsia="zh-CN"/>
                            </w:rPr>
                            <w:t>[2022]</w:t>
                          </w:r>
                          <w:r>
                            <w:rPr>
                              <w:rFonts w:hint="eastAsia" w:ascii="宋体" w:hAnsi="宋体" w:cs="宋体"/>
                              <w:lang w:eastAsia="zh-CN"/>
                            </w:rPr>
                            <w:t>LY610</w:t>
                          </w:r>
                          <w:r>
                            <w:rPr>
                              <w:rFonts w:hint="eastAsia" w:ascii="宋体" w:hAnsi="宋体" w:eastAsia="宋体" w:cs="宋体"/>
                              <w:lang w:eastAsia="zh-CN"/>
                            </w:rPr>
                            <w:t>号</w:t>
                          </w:r>
                        </w:p>
                      </w:txbxContent>
                    </wps:txbx>
                    <wps:bodyPr lIns="0" tIns="0" rIns="0" bIns="0" upright="0">
                      <a:spAutoFit/>
                    </wps:bodyPr>
                  </wps:wsp>
                </a:graphicData>
              </a:graphic>
            </wp:anchor>
          </w:drawing>
        </mc:Choice>
        <mc:Fallback>
          <w:pict>
            <v:shape id="_x0000_s1026" o:spid="_x0000_s1026" o:spt="202" type="#_x0000_t202" style="position:absolute;left:0pt;margin-top:0pt;height:144pt;width:459.8pt;mso-position-horizontal:left;mso-position-horizontal-relative:margin;z-index:251663360;mso-width-relative:page;mso-height-relative:page;" filled="f" stroked="f" coordsize="21600,21600" o:gfxdata="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&#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1gY+3VAAAABQEAAA8AAAAAAAAAAQAgAAAAIgAAAGRy&#10;cy9kb3ducmV2LnhtbFBLAQIUABQAAAAIAIdO4kDRBj5YzwEAAJcDAAAOAAAAAAAAAAEAIAAAACQB&#10;AABkcnMvZTJvRG9jLnhtbFBLBQYAAAAABgAGAFkBAABlBQAAAAA=&#10;">
              <v:fill on="f" focussize="0,0"/>
              <v:stroke on="f" weight="1.25pt"/>
              <v:imagedata o:title=""/>
              <o:lock v:ext="edit" aspectratio="f"/>
              <v:textbox inset="0mm,0mm,0mm,0mm" style="mso-fit-shape-to-text:t;">
                <w:txbxContent>
                  <w:p>
                    <w:pPr>
                      <w:pStyle w:val="7"/>
                      <w:ind w:right="-247"/>
                      <w:rPr>
                        <w:rFonts w:hint="eastAsia" w:ascii="宋体" w:hAnsi="宋体" w:eastAsia="宋体" w:cs="宋体"/>
                      </w:rPr>
                    </w:pPr>
                    <w:r>
                      <w:rPr>
                        <w:rFonts w:hint="eastAsia" w:ascii="宋体" w:hAnsi="宋体" w:eastAsia="宋体" w:cs="宋体"/>
                      </w:rPr>
                      <w:t xml:space="preserve">龙岩冠力土地房地产评估有限公司            </w:t>
                    </w:r>
                    <w:r>
                      <w:rPr>
                        <w:rFonts w:hint="eastAsia" w:ascii="宋体" w:hAnsi="宋体" w:eastAsia="宋体" w:cs="宋体"/>
                        <w:lang w:val="en-US" w:eastAsia="zh-CN"/>
                      </w:rPr>
                      <w:t xml:space="preserve"> </w:t>
                    </w:r>
                    <w:r>
                      <w:rPr>
                        <w:rFonts w:hint="eastAsia" w:ascii="宋体" w:hAnsi="宋体" w:eastAsia="宋体" w:cs="宋体"/>
                      </w:rPr>
                      <w:t xml:space="preserve">    共</w:t>
                    </w:r>
                    <w:r>
                      <w:rPr>
                        <w:rFonts w:hint="eastAsia" w:ascii="宋体" w:hAnsi="宋体" w:eastAsia="宋体" w:cs="宋体"/>
                        <w:lang w:val="en-US" w:eastAsia="zh-CN"/>
                      </w:rPr>
                      <w:t>2</w:t>
                    </w:r>
                    <w:r>
                      <w:rPr>
                        <w:rFonts w:hint="eastAsia" w:ascii="宋体" w:hAnsi="宋体" w:cs="宋体"/>
                        <w:lang w:val="en-US" w:eastAsia="zh-CN"/>
                      </w:rPr>
                      <w:t>8</w:t>
                    </w:r>
                    <w:r>
                      <w:rPr>
                        <w:rFonts w:hint="eastAsia" w:ascii="宋体" w:hAnsi="宋体" w:eastAsia="宋体" w:cs="宋体"/>
                      </w:rPr>
                      <w:t>页</w:t>
                    </w:r>
                    <w:r>
                      <w:rPr>
                        <w:rFonts w:hint="eastAsia" w:ascii="宋体" w:hAnsi="宋体" w:eastAsia="宋体" w:cs="宋体"/>
                        <w:szCs w:val="18"/>
                      </w:rPr>
                      <w:t>第</w:t>
                    </w:r>
                    <w:r>
                      <w:rPr>
                        <w:rFonts w:hint="eastAsia" w:ascii="宋体" w:hAnsi="宋体" w:eastAsia="宋体" w:cs="宋体"/>
                        <w:kern w:val="0"/>
                        <w:szCs w:val="18"/>
                      </w:rPr>
                      <w:fldChar w:fldCharType="begin"/>
                    </w:r>
                    <w:r>
                      <w:rPr>
                        <w:rFonts w:hint="eastAsia" w:ascii="宋体" w:hAnsi="宋体" w:eastAsia="宋体" w:cs="宋体"/>
                        <w:kern w:val="0"/>
                        <w:szCs w:val="18"/>
                      </w:rPr>
                      <w:instrText xml:space="preserve"> PAGE </w:instrText>
                    </w:r>
                    <w:r>
                      <w:rPr>
                        <w:rFonts w:hint="eastAsia" w:ascii="宋体" w:hAnsi="宋体" w:eastAsia="宋体" w:cs="宋体"/>
                        <w:kern w:val="0"/>
                        <w:szCs w:val="18"/>
                      </w:rPr>
                      <w:fldChar w:fldCharType="separate"/>
                    </w:r>
                    <w:r>
                      <w:rPr>
                        <w:rFonts w:hint="eastAsia" w:ascii="宋体" w:hAnsi="宋体" w:eastAsia="宋体" w:cs="宋体"/>
                        <w:kern w:val="0"/>
                        <w:szCs w:val="18"/>
                      </w:rPr>
                      <w:t>20</w:t>
                    </w:r>
                    <w:r>
                      <w:rPr>
                        <w:rFonts w:hint="eastAsia" w:ascii="宋体" w:hAnsi="宋体" w:eastAsia="宋体" w:cs="宋体"/>
                        <w:kern w:val="0"/>
                        <w:szCs w:val="18"/>
                      </w:rPr>
                      <w:fldChar w:fldCharType="end"/>
                    </w:r>
                    <w:r>
                      <w:rPr>
                        <w:rFonts w:hint="eastAsia" w:ascii="宋体" w:hAnsi="宋体" w:eastAsia="宋体" w:cs="宋体"/>
                      </w:rPr>
                      <w:t xml:space="preserve">页   </w:t>
                    </w:r>
                    <w:r>
                      <w:rPr>
                        <w:rFonts w:hint="eastAsia" w:ascii="宋体" w:hAnsi="宋体" w:eastAsia="宋体" w:cs="宋体"/>
                        <w:lang w:val="en-US" w:eastAsia="zh-CN"/>
                      </w:rPr>
                      <w:t xml:space="preserve"> </w:t>
                    </w: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 xml:space="preserve">   岩冠力估价字</w:t>
                    </w:r>
                    <w:r>
                      <w:rPr>
                        <w:rFonts w:hint="eastAsia" w:ascii="宋体" w:hAnsi="宋体" w:eastAsia="宋体" w:cs="宋体"/>
                        <w:lang w:eastAsia="zh-CN"/>
                      </w:rPr>
                      <w:t>[2022]</w:t>
                    </w:r>
                    <w:r>
                      <w:rPr>
                        <w:rFonts w:hint="eastAsia" w:ascii="宋体" w:hAnsi="宋体" w:cs="宋体"/>
                        <w:lang w:eastAsia="zh-CN"/>
                      </w:rPr>
                      <w:t>LY610</w:t>
                    </w:r>
                    <w:r>
                      <w:rPr>
                        <w:rFonts w:hint="eastAsia" w:ascii="宋体" w:hAnsi="宋体" w:eastAsia="宋体" w:cs="宋体"/>
                        <w:lang w:eastAsia="zh-CN"/>
                      </w:rPr>
                      <w:t>号</w:t>
                    </w:r>
                  </w:p>
                </w:txbxContent>
              </v:textbox>
            </v:shape>
          </w:pict>
        </mc:Fallback>
      </mc:AlternateContent>
    </w:r>
    <w:r>
      <w:rPr>
        <w:rFonts w:hint="eastAsia" w:ascii="仿宋_GB2312" w:hAnsi="仿宋" w:eastAsia="仿宋_GB2312"/>
      </w:rPr>
      <mc:AlternateContent>
        <mc:Choice Requires="wps">
          <w:drawing>
            <wp:anchor distT="0" distB="0" distL="114300" distR="114300" simplePos="0" relativeHeight="251661312" behindDoc="0" locked="0" layoutInCell="1" allowOverlap="1">
              <wp:simplePos x="0" y="0"/>
              <wp:positionH relativeFrom="column">
                <wp:posOffset>-19685</wp:posOffset>
              </wp:positionH>
              <wp:positionV relativeFrom="paragraph">
                <wp:posOffset>5715</wp:posOffset>
              </wp:positionV>
              <wp:extent cx="582041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8204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5pt;margin-top:0.45pt;height:0pt;width:458.3pt;z-index:251661312;mso-width-relative:page;mso-height-relative:page;" filled="f" stroked="t" coordsize="21600,21600" o:gfxdata="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USlatIAAAAEAQAADwAAAAAAAAABACAAAAAiAAAAZHJzL2Rvd25yZXYueG1sUEsBAhQAFAAA&#10;AAgAh07iQC5TS5P1AQAA5AMAAA4AAAAAAAAAAQAgAAAAIQEAAGRycy9lMm9Eb2MueG1sUEsFBgAA&#10;AAAGAAYAWQEAAIgFAAAAAA==&#10;">
              <v:fill on="f" focussize="0,0"/>
              <v:stroke color="#000000" joinstyle="round"/>
              <v:imagedata o:title=""/>
              <o:lock v:ext="edit" aspectratio="f"/>
            </v:lin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247"/>
      <w:rPr>
        <w:rFonts w:hint="eastAsia" w:ascii="仿宋_GB2312" w:hAnsi="仿宋" w:eastAsia="仿宋_GB2312"/>
      </w:rPr>
    </w:pPr>
    <w:r>
      <w:rPr>
        <w:rFonts w:hint="eastAsia" w:ascii="仿宋_GB2312" w:hAnsi="仿宋" w:eastAsia="仿宋_GB2312"/>
      </w:rPr>
      <mc:AlternateContent>
        <mc:Choice Requires="wps">
          <w:drawing>
            <wp:anchor distT="0" distB="0" distL="114300" distR="114300" simplePos="0" relativeHeight="251662336" behindDoc="0" locked="0" layoutInCell="1" allowOverlap="1">
              <wp:simplePos x="0" y="0"/>
              <wp:positionH relativeFrom="column">
                <wp:posOffset>-19685</wp:posOffset>
              </wp:positionH>
              <wp:positionV relativeFrom="paragraph">
                <wp:posOffset>5715</wp:posOffset>
              </wp:positionV>
              <wp:extent cx="5820410"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58204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5pt;margin-top:0.45pt;height:0pt;width:458.3pt;z-index:251662336;mso-width-relative:page;mso-height-relative:page;" filled="f" stroked="t" coordsize="21600,21600" o:gfxdata="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hRKVq0gAAAAQBAAAPAAAAAAAAAAEAIAAAACIAAABkcnMvZG93bnJldi54bWxQSwECFAAUAAAA&#10;CACHTuJAEhDGl/QBAADkAwAADgAAAAAAAAABACAAAAAhAQAAZHJzL2Uyb0RvYy54bWxQSwUGAAAA&#10;AAYABgBZAQAAhwUAAAAA&#10;">
              <v:fill on="f" focussize="0,0"/>
              <v:stroke color="#000000" joinstyle="round"/>
              <v:imagedata o:title=""/>
              <o:lock v:ext="edit" aspectratio="f"/>
            </v:line>
          </w:pict>
        </mc:Fallback>
      </mc:AlternateContent>
    </w:r>
    <w:r>
      <w:rPr>
        <w:rFonts w:hint="eastAsia" w:ascii="仿宋_GB2312" w:hAnsi="仿宋" w:eastAsia="仿宋_GB2312"/>
      </w:rPr>
      <w:t>龙岩冠力土地房地产评估有限公司                 共20页第</w:t>
    </w:r>
    <w:r>
      <w:rPr>
        <w:rFonts w:hint="eastAsia" w:ascii="仿宋_GB2312" w:hAnsi="仿宋" w:eastAsia="仿宋_GB2312"/>
        <w:kern w:val="0"/>
        <w:szCs w:val="18"/>
      </w:rPr>
      <w:fldChar w:fldCharType="begin"/>
    </w:r>
    <w:r>
      <w:rPr>
        <w:rFonts w:hint="eastAsia" w:ascii="仿宋_GB2312" w:hAnsi="仿宋" w:eastAsia="仿宋_GB2312"/>
        <w:kern w:val="0"/>
        <w:szCs w:val="18"/>
      </w:rPr>
      <w:instrText xml:space="preserve"> PAGE </w:instrText>
    </w:r>
    <w:r>
      <w:rPr>
        <w:rFonts w:hint="eastAsia" w:ascii="仿宋_GB2312" w:hAnsi="仿宋" w:eastAsia="仿宋_GB2312"/>
        <w:kern w:val="0"/>
        <w:szCs w:val="18"/>
      </w:rPr>
      <w:fldChar w:fldCharType="separate"/>
    </w:r>
    <w:r>
      <w:rPr>
        <w:rFonts w:hint="eastAsia" w:ascii="仿宋_GB2312" w:hAnsi="仿宋" w:eastAsia="仿宋_GB2312"/>
        <w:kern w:val="0"/>
        <w:szCs w:val="18"/>
      </w:rPr>
      <w:t>2</w:t>
    </w:r>
    <w:r>
      <w:rPr>
        <w:rFonts w:hint="eastAsia" w:ascii="仿宋_GB2312" w:hAnsi="仿宋" w:eastAsia="仿宋_GB2312"/>
        <w:kern w:val="0"/>
        <w:szCs w:val="18"/>
      </w:rPr>
      <w:fldChar w:fldCharType="end"/>
    </w:r>
    <w:r>
      <w:rPr>
        <w:rFonts w:hint="eastAsia" w:ascii="仿宋_GB2312" w:hAnsi="仿宋" w:eastAsia="仿宋_GB2312"/>
      </w:rPr>
      <w:t>页             岩冠力估价字[2016]第LY022号</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247"/>
      <w:rPr>
        <w:rFonts w:hint="eastAsia" w:ascii="仿宋_GB2312" w:hAnsi="仿宋"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rPr>
        <w:rFonts w:hint="eastAsia" w:ascii="黑体" w:eastAsia="黑体"/>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3"/>
      </w:rPr>
    </w:pPr>
    <w:r>
      <w:fldChar w:fldCharType="begin"/>
    </w:r>
    <w:r>
      <w:rPr>
        <w:rStyle w:val="13"/>
      </w:rPr>
      <w:instrText xml:space="preserve">PAGE  </w:instrText>
    </w:r>
    <w:r>
      <w:fldChar w:fldCharType="end"/>
    </w:r>
  </w:p>
  <w:p>
    <w:pPr>
      <w:pStyle w:val="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both"/>
      <w:rPr>
        <w:rFonts w:hint="eastAsia" w:ascii="仿宋_GB2312" w:hAnsi="仿宋" w:eastAsia="仿宋_GB2312"/>
        <w:szCs w:val="18"/>
      </w:rPr>
    </w:pPr>
    <w:r>
      <w:rPr>
        <w:rFonts w:hint="eastAsia" w:ascii="仿宋_GB2312" w:hAnsi="仿宋" w:eastAsia="仿宋_GB2312"/>
        <w:szCs w:val="18"/>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both"/>
      <w:rPr>
        <w:rFonts w:hint="eastAsia" w:ascii="仿宋_GB2312" w:hAnsi="仿宋" w:eastAsia="仿宋_GB2312"/>
        <w:szCs w:val="18"/>
      </w:rPr>
    </w:pPr>
    <w:r>
      <w:rPr>
        <w:rFonts w:hint="eastAsia" w:ascii="仿宋_GB2312" w:hAnsi="仿宋" w:eastAsia="仿宋_GB2312"/>
        <w:szCs w:val="18"/>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hint="eastAsia" w:ascii="宋体" w:hAnsi="宋体" w:eastAsia="宋体" w:cs="宋体"/>
        <w:szCs w:val="18"/>
        <w:lang w:eastAsia="zh-CN"/>
      </w:rPr>
    </w:pPr>
    <w:r>
      <w:rPr>
        <w:rFonts w:hint="eastAsia" w:ascii="宋体" w:hAnsi="宋体" w:eastAsia="宋体" w:cs="宋体"/>
        <w:szCs w:val="18"/>
        <w:lang w:eastAsia="zh-CN"/>
      </w:rPr>
      <w:t>龙岩市新罗区</w:t>
    </w:r>
    <w:r>
      <w:rPr>
        <w:rFonts w:hint="eastAsia" w:ascii="宋体" w:hAnsi="宋体" w:cs="宋体"/>
        <w:szCs w:val="18"/>
        <w:lang w:eastAsia="zh-CN"/>
      </w:rPr>
      <w:t>龙岩大道北101号</w:t>
    </w:r>
    <w:r>
      <w:rPr>
        <w:rFonts w:hint="eastAsia" w:ascii="宋体" w:hAnsi="宋体" w:eastAsia="宋体" w:cs="宋体"/>
        <w:szCs w:val="18"/>
        <w:lang w:eastAsia="zh-CN"/>
      </w:rPr>
      <w:t>（</w:t>
    </w:r>
    <w:r>
      <w:rPr>
        <w:rFonts w:hint="eastAsia" w:ascii="宋体" w:hAnsi="宋体" w:cs="宋体"/>
        <w:szCs w:val="18"/>
        <w:lang w:eastAsia="zh-CN"/>
      </w:rPr>
      <w:t>小洋祥和家苑</w:t>
    </w:r>
    <w:r>
      <w:rPr>
        <w:rFonts w:hint="eastAsia" w:ascii="宋体" w:hAnsi="宋体" w:eastAsia="宋体" w:cs="宋体"/>
        <w:szCs w:val="18"/>
        <w:lang w:eastAsia="zh-CN"/>
      </w:rPr>
      <w:t>）</w:t>
    </w:r>
    <w:r>
      <w:rPr>
        <w:rFonts w:hint="eastAsia" w:ascii="宋体" w:hAnsi="宋体" w:cs="宋体"/>
        <w:szCs w:val="18"/>
        <w:lang w:eastAsia="zh-CN"/>
      </w:rPr>
      <w:t>2幢2801室住宅及C485车位</w:t>
    </w:r>
    <w:r>
      <w:rPr>
        <w:rFonts w:hint="eastAsia" w:ascii="宋体" w:hAnsi="宋体" w:eastAsia="宋体" w:cs="宋体"/>
        <w:szCs w:val="18"/>
        <w:lang w:val="en-US" w:eastAsia="zh-CN"/>
      </w:rPr>
      <w:t xml:space="preserve">     </w:t>
    </w:r>
    <w:r>
      <w:rPr>
        <w:rFonts w:hint="eastAsia" w:ascii="宋体" w:hAnsi="宋体" w:cs="宋体"/>
        <w:szCs w:val="18"/>
        <w:lang w:eastAsia="zh-CN"/>
      </w:rPr>
      <w:t>福建省龙岩市新罗区人民法院</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both"/>
      <w:rPr>
        <w:rFonts w:hint="eastAsia" w:ascii="宋体" w:hAnsi="宋体" w:eastAsia="宋体" w:cs="宋体"/>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74D832"/>
    <w:multiLevelType w:val="singleLevel"/>
    <w:tmpl w:val="9D74D832"/>
    <w:lvl w:ilvl="0" w:tentative="0">
      <w:start w:val="1"/>
      <w:numFmt w:val="decimal"/>
      <w:suff w:val="space"/>
      <w:lvlText w:val="（%1）"/>
      <w:lvlJc w:val="left"/>
      <w:pPr>
        <w:ind w:left="435" w:firstLine="0"/>
      </w:pPr>
    </w:lvl>
  </w:abstractNum>
  <w:abstractNum w:abstractNumId="1">
    <w:nsid w:val="B24EF999"/>
    <w:multiLevelType w:val="singleLevel"/>
    <w:tmpl w:val="B24EF999"/>
    <w:lvl w:ilvl="0" w:tentative="0">
      <w:start w:val="1"/>
      <w:numFmt w:val="decimal"/>
      <w:suff w:val="nothing"/>
      <w:lvlText w:val="%1、"/>
      <w:lvlJc w:val="left"/>
    </w:lvl>
  </w:abstractNum>
  <w:abstractNum w:abstractNumId="2">
    <w:nsid w:val="0D013427"/>
    <w:multiLevelType w:val="singleLevel"/>
    <w:tmpl w:val="0D013427"/>
    <w:lvl w:ilvl="0" w:tentative="0">
      <w:start w:val="1"/>
      <w:numFmt w:val="decimal"/>
      <w:suff w:val="nothing"/>
      <w:lvlText w:val="%1、"/>
      <w:lvlJc w:val="left"/>
    </w:lvl>
  </w:abstractNum>
  <w:abstractNum w:abstractNumId="3">
    <w:nsid w:val="26B962C6"/>
    <w:multiLevelType w:val="singleLevel"/>
    <w:tmpl w:val="26B962C6"/>
    <w:lvl w:ilvl="0" w:tentative="0">
      <w:start w:val="1"/>
      <w:numFmt w:val="decimal"/>
      <w:suff w:val="nothing"/>
      <w:lvlText w:val="（%1）"/>
      <w:lvlJc w:val="left"/>
    </w:lvl>
  </w:abstractNum>
  <w:abstractNum w:abstractNumId="4">
    <w:nsid w:val="56CD599E"/>
    <w:multiLevelType w:val="singleLevel"/>
    <w:tmpl w:val="56CD599E"/>
    <w:lvl w:ilvl="0" w:tentative="0">
      <w:start w:val="1"/>
      <w:numFmt w:val="chineseCounting"/>
      <w:suff w:val="nothing"/>
      <w:lvlText w:val="%1、"/>
      <w:lvlJc w:val="left"/>
    </w:lvl>
  </w:abstractNum>
  <w:abstractNum w:abstractNumId="5">
    <w:nsid w:val="56CD64AA"/>
    <w:multiLevelType w:val="singleLevel"/>
    <w:tmpl w:val="56CD64AA"/>
    <w:lvl w:ilvl="0" w:tentative="0">
      <w:start w:val="1"/>
      <w:numFmt w:val="chineseCounting"/>
      <w:suff w:val="nothing"/>
      <w:lvlText w:val="%1、"/>
      <w:lvlJc w:val="left"/>
    </w:lvl>
  </w:abstractNum>
  <w:abstractNum w:abstractNumId="6">
    <w:nsid w:val="577243A8"/>
    <w:multiLevelType w:val="singleLevel"/>
    <w:tmpl w:val="577243A8"/>
    <w:lvl w:ilvl="0" w:tentative="0">
      <w:start w:val="1"/>
      <w:numFmt w:val="decimal"/>
      <w:suff w:val="nothing"/>
      <w:lvlText w:val="%1、"/>
      <w:lvlJc w:val="left"/>
    </w:lvl>
  </w:abstractNum>
  <w:abstractNum w:abstractNumId="7">
    <w:nsid w:val="577250F7"/>
    <w:multiLevelType w:val="singleLevel"/>
    <w:tmpl w:val="577250F7"/>
    <w:lvl w:ilvl="0" w:tentative="0">
      <w:start w:val="1"/>
      <w:numFmt w:val="chineseCounting"/>
      <w:suff w:val="nothing"/>
      <w:lvlText w:val="（%1）"/>
      <w:lvlJc w:val="left"/>
    </w:lvl>
  </w:abstractNum>
  <w:abstractNum w:abstractNumId="8">
    <w:nsid w:val="5774DBA6"/>
    <w:multiLevelType w:val="singleLevel"/>
    <w:tmpl w:val="5774DBA6"/>
    <w:lvl w:ilvl="0" w:tentative="0">
      <w:start w:val="2"/>
      <w:numFmt w:val="decimal"/>
      <w:suff w:val="nothing"/>
      <w:lvlText w:val="%1、"/>
      <w:lvlJc w:val="left"/>
    </w:lvl>
  </w:abstractNum>
  <w:abstractNum w:abstractNumId="9">
    <w:nsid w:val="5774EF68"/>
    <w:multiLevelType w:val="singleLevel"/>
    <w:tmpl w:val="5774EF68"/>
    <w:lvl w:ilvl="0" w:tentative="0">
      <w:start w:val="1"/>
      <w:numFmt w:val="decimal"/>
      <w:suff w:val="nothing"/>
      <w:lvlText w:val="%1、"/>
      <w:lvlJc w:val="left"/>
    </w:lvl>
  </w:abstractNum>
  <w:abstractNum w:abstractNumId="10">
    <w:nsid w:val="5774F652"/>
    <w:multiLevelType w:val="singleLevel"/>
    <w:tmpl w:val="5774F652"/>
    <w:lvl w:ilvl="0" w:tentative="0">
      <w:start w:val="2"/>
      <w:numFmt w:val="decimal"/>
      <w:suff w:val="nothing"/>
      <w:lvlText w:val="%1、"/>
      <w:lvlJc w:val="left"/>
    </w:lvl>
  </w:abstractNum>
  <w:abstractNum w:abstractNumId="11">
    <w:nsid w:val="5774F6D4"/>
    <w:multiLevelType w:val="singleLevel"/>
    <w:tmpl w:val="5774F6D4"/>
    <w:lvl w:ilvl="0" w:tentative="0">
      <w:start w:val="2"/>
      <w:numFmt w:val="decimal"/>
      <w:suff w:val="nothing"/>
      <w:lvlText w:val="%1、"/>
      <w:lvlJc w:val="left"/>
    </w:lvl>
  </w:abstractNum>
  <w:abstractNum w:abstractNumId="12">
    <w:nsid w:val="57A85E6C"/>
    <w:multiLevelType w:val="singleLevel"/>
    <w:tmpl w:val="57A85E6C"/>
    <w:lvl w:ilvl="0" w:tentative="0">
      <w:start w:val="3"/>
      <w:numFmt w:val="decimal"/>
      <w:suff w:val="nothing"/>
      <w:lvlText w:val="%1、"/>
      <w:lvlJc w:val="left"/>
    </w:lvl>
  </w:abstractNum>
  <w:abstractNum w:abstractNumId="13">
    <w:nsid w:val="57B41599"/>
    <w:multiLevelType w:val="singleLevel"/>
    <w:tmpl w:val="57B41599"/>
    <w:lvl w:ilvl="0" w:tentative="0">
      <w:start w:val="1"/>
      <w:numFmt w:val="decimal"/>
      <w:suff w:val="nothing"/>
      <w:lvlText w:val="%1、"/>
      <w:lvlJc w:val="left"/>
    </w:lvl>
  </w:abstractNum>
  <w:num w:numId="1">
    <w:abstractNumId w:val="3"/>
  </w:num>
  <w:num w:numId="2">
    <w:abstractNumId w:val="4"/>
  </w:num>
  <w:num w:numId="3">
    <w:abstractNumId w:val="5"/>
  </w:num>
  <w:num w:numId="4">
    <w:abstractNumId w:val="1"/>
  </w:num>
  <w:num w:numId="5">
    <w:abstractNumId w:val="8"/>
  </w:num>
  <w:num w:numId="6">
    <w:abstractNumId w:val="6"/>
  </w:num>
  <w:num w:numId="7">
    <w:abstractNumId w:val="13"/>
  </w:num>
  <w:num w:numId="8">
    <w:abstractNumId w:val="12"/>
  </w:num>
  <w:num w:numId="9">
    <w:abstractNumId w:val="7"/>
  </w:num>
  <w:num w:numId="10">
    <w:abstractNumId w:val="9"/>
  </w:num>
  <w:num w:numId="11">
    <w:abstractNumId w:val="10"/>
  </w:num>
  <w:num w:numId="12">
    <w:abstractNumId w:val="1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mZTdhMWQyNjdiZGQ3Mjk3MDQ2MmJlNzcyZWY4YzkifQ=="/>
  </w:docVars>
  <w:rsids>
    <w:rsidRoot w:val="2FA04F3F"/>
    <w:rsid w:val="002713BA"/>
    <w:rsid w:val="00721393"/>
    <w:rsid w:val="0159301C"/>
    <w:rsid w:val="01675739"/>
    <w:rsid w:val="01925B64"/>
    <w:rsid w:val="01967A65"/>
    <w:rsid w:val="02801098"/>
    <w:rsid w:val="02953037"/>
    <w:rsid w:val="02D64A61"/>
    <w:rsid w:val="02E25FA2"/>
    <w:rsid w:val="03F54A33"/>
    <w:rsid w:val="05887E07"/>
    <w:rsid w:val="05B6336E"/>
    <w:rsid w:val="05E509F9"/>
    <w:rsid w:val="06322F44"/>
    <w:rsid w:val="06B937CD"/>
    <w:rsid w:val="06FC754D"/>
    <w:rsid w:val="073C3FE9"/>
    <w:rsid w:val="079F3753"/>
    <w:rsid w:val="07DF6F5B"/>
    <w:rsid w:val="082C39A2"/>
    <w:rsid w:val="08BA7056"/>
    <w:rsid w:val="08BB2620"/>
    <w:rsid w:val="095061D0"/>
    <w:rsid w:val="0A1A3706"/>
    <w:rsid w:val="0B6171E4"/>
    <w:rsid w:val="0B6244E3"/>
    <w:rsid w:val="0BA2490C"/>
    <w:rsid w:val="0C0B03AE"/>
    <w:rsid w:val="0C513CDC"/>
    <w:rsid w:val="0CA64051"/>
    <w:rsid w:val="0CAA7D11"/>
    <w:rsid w:val="0DBC348C"/>
    <w:rsid w:val="0DD455CB"/>
    <w:rsid w:val="0E2A585E"/>
    <w:rsid w:val="0EE20AF5"/>
    <w:rsid w:val="0F04305A"/>
    <w:rsid w:val="0FAB3524"/>
    <w:rsid w:val="0FD37663"/>
    <w:rsid w:val="10000C4B"/>
    <w:rsid w:val="110A3580"/>
    <w:rsid w:val="112C09AC"/>
    <w:rsid w:val="11E27187"/>
    <w:rsid w:val="120174E4"/>
    <w:rsid w:val="13827D0E"/>
    <w:rsid w:val="15140C70"/>
    <w:rsid w:val="152B2879"/>
    <w:rsid w:val="15403BB8"/>
    <w:rsid w:val="15447F99"/>
    <w:rsid w:val="154F3BB9"/>
    <w:rsid w:val="15DE78E8"/>
    <w:rsid w:val="15FF4D80"/>
    <w:rsid w:val="17D11706"/>
    <w:rsid w:val="180920DF"/>
    <w:rsid w:val="1850629E"/>
    <w:rsid w:val="19A53BB8"/>
    <w:rsid w:val="19EE2A43"/>
    <w:rsid w:val="1A09162B"/>
    <w:rsid w:val="1A2246D8"/>
    <w:rsid w:val="1DF86E1A"/>
    <w:rsid w:val="1E2A490D"/>
    <w:rsid w:val="208B3E67"/>
    <w:rsid w:val="20A91A45"/>
    <w:rsid w:val="20ED7AAC"/>
    <w:rsid w:val="21061A7D"/>
    <w:rsid w:val="2185149E"/>
    <w:rsid w:val="21D10F0F"/>
    <w:rsid w:val="21F37EB4"/>
    <w:rsid w:val="235A34F2"/>
    <w:rsid w:val="237E1A2C"/>
    <w:rsid w:val="23C14709"/>
    <w:rsid w:val="240225E3"/>
    <w:rsid w:val="26677F4D"/>
    <w:rsid w:val="26B246F5"/>
    <w:rsid w:val="273242B2"/>
    <w:rsid w:val="27D85D6F"/>
    <w:rsid w:val="27DA483A"/>
    <w:rsid w:val="28290009"/>
    <w:rsid w:val="282D0BDB"/>
    <w:rsid w:val="28B8246B"/>
    <w:rsid w:val="28DE16DC"/>
    <w:rsid w:val="297A151B"/>
    <w:rsid w:val="2A615CF9"/>
    <w:rsid w:val="2A8A5256"/>
    <w:rsid w:val="2C267E1B"/>
    <w:rsid w:val="2D352DF7"/>
    <w:rsid w:val="2D3E481D"/>
    <w:rsid w:val="2E730AF8"/>
    <w:rsid w:val="2EA05307"/>
    <w:rsid w:val="2ED07E1C"/>
    <w:rsid w:val="2F085904"/>
    <w:rsid w:val="2FA04F3F"/>
    <w:rsid w:val="2FDE374E"/>
    <w:rsid w:val="334412AB"/>
    <w:rsid w:val="33B757FC"/>
    <w:rsid w:val="34121A01"/>
    <w:rsid w:val="34706C9E"/>
    <w:rsid w:val="353A47C3"/>
    <w:rsid w:val="35A638F5"/>
    <w:rsid w:val="367C5CDE"/>
    <w:rsid w:val="36E0506A"/>
    <w:rsid w:val="378C4001"/>
    <w:rsid w:val="379E2D7A"/>
    <w:rsid w:val="38167EE5"/>
    <w:rsid w:val="38DB7927"/>
    <w:rsid w:val="3A204461"/>
    <w:rsid w:val="3A434E4D"/>
    <w:rsid w:val="3B101CF1"/>
    <w:rsid w:val="3B827442"/>
    <w:rsid w:val="3BFD780F"/>
    <w:rsid w:val="3CE31410"/>
    <w:rsid w:val="3CFC7157"/>
    <w:rsid w:val="3EC86086"/>
    <w:rsid w:val="3FEF3752"/>
    <w:rsid w:val="40BE61BE"/>
    <w:rsid w:val="41C5099B"/>
    <w:rsid w:val="42371BF7"/>
    <w:rsid w:val="42687720"/>
    <w:rsid w:val="42953417"/>
    <w:rsid w:val="44F5305B"/>
    <w:rsid w:val="46E230BB"/>
    <w:rsid w:val="47086643"/>
    <w:rsid w:val="47A11050"/>
    <w:rsid w:val="48443FA7"/>
    <w:rsid w:val="487B176D"/>
    <w:rsid w:val="488444E9"/>
    <w:rsid w:val="48B040AA"/>
    <w:rsid w:val="48FB42D1"/>
    <w:rsid w:val="49140888"/>
    <w:rsid w:val="49244A54"/>
    <w:rsid w:val="4A030F32"/>
    <w:rsid w:val="4A313DB5"/>
    <w:rsid w:val="4AFF11E8"/>
    <w:rsid w:val="4B216783"/>
    <w:rsid w:val="4B38034F"/>
    <w:rsid w:val="4C7C51E6"/>
    <w:rsid w:val="4CD37F3E"/>
    <w:rsid w:val="4D0C3237"/>
    <w:rsid w:val="4D4A6024"/>
    <w:rsid w:val="4D7943FA"/>
    <w:rsid w:val="4DA407B2"/>
    <w:rsid w:val="4DB54119"/>
    <w:rsid w:val="4DC17117"/>
    <w:rsid w:val="4DC21F09"/>
    <w:rsid w:val="4E253BD0"/>
    <w:rsid w:val="4E925632"/>
    <w:rsid w:val="4FD3053C"/>
    <w:rsid w:val="509C3963"/>
    <w:rsid w:val="51CE66DB"/>
    <w:rsid w:val="52B862F8"/>
    <w:rsid w:val="52F141E5"/>
    <w:rsid w:val="5382777D"/>
    <w:rsid w:val="539F04B2"/>
    <w:rsid w:val="53EE0073"/>
    <w:rsid w:val="545A1D28"/>
    <w:rsid w:val="557721BA"/>
    <w:rsid w:val="55800C15"/>
    <w:rsid w:val="56424D12"/>
    <w:rsid w:val="57E00F16"/>
    <w:rsid w:val="58E13F34"/>
    <w:rsid w:val="592737B2"/>
    <w:rsid w:val="59882F1C"/>
    <w:rsid w:val="5AA004E9"/>
    <w:rsid w:val="5B0942E0"/>
    <w:rsid w:val="5B742E66"/>
    <w:rsid w:val="5B78005B"/>
    <w:rsid w:val="5BD90917"/>
    <w:rsid w:val="5E3C2A8C"/>
    <w:rsid w:val="6151739F"/>
    <w:rsid w:val="62EF7C05"/>
    <w:rsid w:val="63591334"/>
    <w:rsid w:val="644626C0"/>
    <w:rsid w:val="66124991"/>
    <w:rsid w:val="662D4E23"/>
    <w:rsid w:val="6656457B"/>
    <w:rsid w:val="673E1FBC"/>
    <w:rsid w:val="67D75874"/>
    <w:rsid w:val="68253E9B"/>
    <w:rsid w:val="684F3417"/>
    <w:rsid w:val="685E3677"/>
    <w:rsid w:val="687562C1"/>
    <w:rsid w:val="6A2C4B95"/>
    <w:rsid w:val="6A2C71A3"/>
    <w:rsid w:val="6A2F2822"/>
    <w:rsid w:val="6A78627A"/>
    <w:rsid w:val="6B076B9A"/>
    <w:rsid w:val="6B533A81"/>
    <w:rsid w:val="6B7454FE"/>
    <w:rsid w:val="6C677CE9"/>
    <w:rsid w:val="6E093871"/>
    <w:rsid w:val="6E0D7315"/>
    <w:rsid w:val="6E30723E"/>
    <w:rsid w:val="6EA91C0A"/>
    <w:rsid w:val="6FF45D5E"/>
    <w:rsid w:val="70817E1E"/>
    <w:rsid w:val="70D43718"/>
    <w:rsid w:val="725F5A12"/>
    <w:rsid w:val="72991273"/>
    <w:rsid w:val="73C35028"/>
    <w:rsid w:val="75425644"/>
    <w:rsid w:val="756E470E"/>
    <w:rsid w:val="75EB22F3"/>
    <w:rsid w:val="7627239D"/>
    <w:rsid w:val="763E4969"/>
    <w:rsid w:val="7682521B"/>
    <w:rsid w:val="78495BDB"/>
    <w:rsid w:val="78C03C77"/>
    <w:rsid w:val="797C1D3C"/>
    <w:rsid w:val="79E40814"/>
    <w:rsid w:val="7A043C73"/>
    <w:rsid w:val="7B011AF6"/>
    <w:rsid w:val="7B560A24"/>
    <w:rsid w:val="7B633C5C"/>
    <w:rsid w:val="7BB86689"/>
    <w:rsid w:val="7BE054F6"/>
    <w:rsid w:val="7CE7227B"/>
    <w:rsid w:val="7D380F5D"/>
    <w:rsid w:val="7D414FCE"/>
    <w:rsid w:val="7D73384C"/>
    <w:rsid w:val="7FD9422B"/>
    <w:rsid w:val="7FE25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1"/>
    <w:qFormat/>
    <w:uiPriority w:val="0"/>
    <w:pPr>
      <w:ind w:firstLine="360"/>
    </w:pPr>
  </w:style>
  <w:style w:type="paragraph" w:styleId="4">
    <w:name w:val="Body Text"/>
    <w:basedOn w:val="1"/>
    <w:qFormat/>
    <w:uiPriority w:val="0"/>
    <w:pPr>
      <w:spacing w:line="560" w:lineRule="exact"/>
    </w:pPr>
    <w:rPr>
      <w:rFonts w:ascii="隶书" w:eastAsia="隶书"/>
      <w:sz w:val="28"/>
    </w:rPr>
  </w:style>
  <w:style w:type="paragraph" w:styleId="5">
    <w:name w:val="Date"/>
    <w:basedOn w:val="1"/>
    <w:next w:val="1"/>
    <w:qFormat/>
    <w:uiPriority w:val="0"/>
    <w:rPr>
      <w:rFonts w:eastAsia="仿宋_GB2312"/>
      <w:sz w:val="32"/>
    </w:rPr>
  </w:style>
  <w:style w:type="paragraph" w:styleId="6">
    <w:name w:val="Body Text Indent 2"/>
    <w:basedOn w:val="1"/>
    <w:qFormat/>
    <w:uiPriority w:val="0"/>
    <w:pPr>
      <w:ind w:firstLine="570"/>
    </w:pPr>
    <w:rPr>
      <w:rFonts w:ascii="仿宋_GB2312" w:eastAsia="仿宋_GB2312"/>
      <w:sz w:val="2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paragraph" w:styleId="9">
    <w:name w:val="Body Text 2"/>
    <w:basedOn w:val="1"/>
    <w:link w:val="18"/>
    <w:qFormat/>
    <w:uiPriority w:val="0"/>
    <w:pPr>
      <w:spacing w:after="120" w:line="480" w:lineRule="auto"/>
    </w:p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Hyperlink"/>
    <w:basedOn w:val="12"/>
    <w:qFormat/>
    <w:uiPriority w:val="0"/>
    <w:rPr>
      <w:color w:val="333333"/>
      <w:u w:val="none"/>
    </w:rPr>
  </w:style>
  <w:style w:type="paragraph" w:customStyle="1" w:styleId="15">
    <w:name w:val="XBT"/>
    <w:basedOn w:val="1"/>
    <w:qFormat/>
    <w:uiPriority w:val="0"/>
    <w:pPr>
      <w:adjustRightInd w:val="0"/>
      <w:spacing w:before="360" w:after="240" w:line="440" w:lineRule="atLeast"/>
      <w:ind w:firstLine="482"/>
      <w:textAlignment w:val="baseline"/>
    </w:pPr>
    <w:rPr>
      <w:rFonts w:ascii="Arial Narrow" w:hAnsi="Arial Narrow" w:eastAsia="黑体"/>
      <w:b/>
      <w:kern w:val="0"/>
      <w:sz w:val="24"/>
    </w:rPr>
  </w:style>
  <w:style w:type="character" w:customStyle="1" w:styleId="16">
    <w:name w:val="_Style 3"/>
    <w:basedOn w:val="12"/>
    <w:qFormat/>
    <w:uiPriority w:val="32"/>
    <w:rPr>
      <w:b/>
      <w:bCs/>
      <w:smallCaps/>
      <w:color w:val="C0504D"/>
      <w:spacing w:val="5"/>
      <w:u w:val="single"/>
    </w:rPr>
  </w:style>
  <w:style w:type="paragraph" w:customStyle="1" w:styleId="17">
    <w:name w:val="zw"/>
    <w:basedOn w:val="1"/>
    <w:qFormat/>
    <w:uiPriority w:val="0"/>
    <w:pPr>
      <w:adjustRightInd w:val="0"/>
      <w:spacing w:line="360" w:lineRule="auto"/>
      <w:ind w:firstLine="482"/>
      <w:textAlignment w:val="baseline"/>
    </w:pPr>
    <w:rPr>
      <w:rFonts w:ascii="Arial Narrow" w:hAnsi="Arial Narrow" w:eastAsia="楷体_GB2312"/>
      <w:kern w:val="0"/>
      <w:sz w:val="24"/>
    </w:rPr>
  </w:style>
  <w:style w:type="character" w:customStyle="1" w:styleId="18">
    <w:name w:val="正文文本 2 Char"/>
    <w:link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image" Target="media/image11.jpeg"/><Relationship Id="rId28" Type="http://schemas.openxmlformats.org/officeDocument/2006/relationships/image" Target="media/image10.jpeg"/><Relationship Id="rId27" Type="http://schemas.openxmlformats.org/officeDocument/2006/relationships/image" Target="media/image9.jpeg"/><Relationship Id="rId26" Type="http://schemas.openxmlformats.org/officeDocument/2006/relationships/image" Target="media/image8.jpeg"/><Relationship Id="rId25" Type="http://schemas.openxmlformats.org/officeDocument/2006/relationships/image" Target="media/image7.jpeg"/><Relationship Id="rId24" Type="http://schemas.openxmlformats.org/officeDocument/2006/relationships/image" Target="media/image6.jpeg"/><Relationship Id="rId23" Type="http://schemas.openxmlformats.org/officeDocument/2006/relationships/image" Target="media/image5.jpeg"/><Relationship Id="rId22" Type="http://schemas.openxmlformats.org/officeDocument/2006/relationships/image" Target="media/image4.jpeg"/><Relationship Id="rId21" Type="http://schemas.openxmlformats.org/officeDocument/2006/relationships/image" Target="media/image3.jpeg"/><Relationship Id="rId20" Type="http://schemas.openxmlformats.org/officeDocument/2006/relationships/image" Target="media/image2.png"/><Relationship Id="rId2" Type="http://schemas.openxmlformats.org/officeDocument/2006/relationships/settings" Target="settings.xml"/><Relationship Id="rId19" Type="http://schemas.openxmlformats.org/officeDocument/2006/relationships/image" Target="media/image1.jpeg"/><Relationship Id="rId18" Type="http://schemas.openxmlformats.org/officeDocument/2006/relationships/theme" Target="theme/theme1.xml"/><Relationship Id="rId17" Type="http://schemas.openxmlformats.org/officeDocument/2006/relationships/footer" Target="footer9.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19583</Words>
  <Characters>22104</Characters>
  <Lines>0</Lines>
  <Paragraphs>0</Paragraphs>
  <TotalTime>8</TotalTime>
  <ScaleCrop>false</ScaleCrop>
  <LinksUpToDate>false</LinksUpToDate>
  <CharactersWithSpaces>25527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2022-09-14T00:58:00Z</dcterms:created>
  <dc:creator>Administrator</dc:creator>
  <cp:lastModifiedBy>Administrator</cp:lastModifiedBy>
  <cp:lastPrinted>2022-10-13T03:20:42Z</cp:lastPrinted>
  <dcterms:modified xsi:type="dcterms:W3CDTF">2022-10-13T03:48:37Z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499D74B3AD6A4A96862FBFB0985D770A</vt:lpwstr>
  </property>
</Properties>
</file>