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72"/>
          <w:szCs w:val="72"/>
        </w:rPr>
      </w:pPr>
    </w:p>
    <w:p>
      <w:pPr>
        <w:jc w:val="center"/>
        <w:rPr>
          <w:rFonts w:ascii="宋体" w:hAnsi="宋体"/>
          <w:b/>
          <w:sz w:val="84"/>
          <w:szCs w:val="84"/>
        </w:rPr>
      </w:pPr>
    </w:p>
    <w:p>
      <w:pPr>
        <w:rPr>
          <w:rFonts w:ascii="宋体" w:hAnsi="宋体"/>
          <w:b/>
          <w:sz w:val="84"/>
          <w:szCs w:val="84"/>
        </w:rPr>
      </w:pPr>
    </w:p>
    <w:p>
      <w:pPr>
        <w:rPr>
          <w:rFonts w:ascii="宋体" w:hAnsi="宋体"/>
          <w:b/>
          <w:sz w:val="84"/>
          <w:szCs w:val="84"/>
        </w:rPr>
      </w:pPr>
    </w:p>
    <w:p>
      <w:pPr>
        <w:spacing w:line="360" w:lineRule="auto"/>
        <w:jc w:val="center"/>
        <w:rPr>
          <w:rFonts w:ascii="黑体" w:hAnsi="黑体" w:eastAsia="黑体" w:cs="黑体"/>
          <w:b/>
          <w:sz w:val="84"/>
          <w:szCs w:val="84"/>
        </w:rPr>
      </w:pPr>
      <w:r>
        <w:rPr>
          <w:rFonts w:hint="eastAsia" w:ascii="黑体" w:hAnsi="黑体" w:eastAsia="黑体" w:cs="黑体"/>
          <w:b/>
          <w:sz w:val="84"/>
          <w:szCs w:val="84"/>
        </w:rPr>
        <w:t>网拍资产估价意见书</w:t>
      </w:r>
    </w:p>
    <w:p>
      <w:pPr>
        <w:spacing w:line="560" w:lineRule="exact"/>
        <w:rPr>
          <w:b/>
          <w:color w:val="FF0000"/>
          <w:sz w:val="44"/>
          <w:szCs w:val="44"/>
        </w:rPr>
        <w:sectPr>
          <w:headerReference r:id="rId3" w:type="default"/>
          <w:headerReference r:id="rId4" w:type="even"/>
          <w:pgSz w:w="11906" w:h="16838"/>
          <w:pgMar w:top="1440" w:right="1800" w:bottom="1440" w:left="1800" w:header="851" w:footer="992" w:gutter="0"/>
          <w:pgNumType w:start="1"/>
          <w:cols w:space="720" w:num="1"/>
          <w:docGrid w:type="lines" w:linePitch="312" w:charSpace="0"/>
        </w:sectPr>
      </w:pPr>
    </w:p>
    <w:p>
      <w:pPr>
        <w:spacing w:line="560" w:lineRule="exact"/>
        <w:jc w:val="center"/>
        <w:rPr>
          <w:b/>
          <w:sz w:val="44"/>
          <w:szCs w:val="44"/>
        </w:rPr>
      </w:pPr>
      <w:r>
        <w:rPr>
          <w:rFonts w:hint="eastAsia"/>
          <w:b/>
          <w:sz w:val="44"/>
          <w:szCs w:val="44"/>
          <w:lang w:val="en-US" w:eastAsia="zh-CN"/>
        </w:rPr>
        <w:t>南京</w:t>
      </w:r>
      <w:r>
        <w:rPr>
          <w:rFonts w:hint="eastAsia"/>
          <w:b/>
          <w:sz w:val="44"/>
          <w:szCs w:val="44"/>
        </w:rPr>
        <w:t>同伦拍拍科技有限公司</w:t>
      </w:r>
    </w:p>
    <w:p>
      <w:pPr>
        <w:spacing w:line="560" w:lineRule="exact"/>
        <w:jc w:val="center"/>
        <w:rPr>
          <w:b/>
          <w:sz w:val="44"/>
          <w:szCs w:val="44"/>
        </w:rPr>
      </w:pPr>
      <w:r>
        <w:rPr>
          <w:rFonts w:hint="eastAsia"/>
          <w:b/>
          <w:sz w:val="44"/>
          <w:szCs w:val="44"/>
        </w:rPr>
        <w:t>网拍资产估价意见书</w:t>
      </w:r>
    </w:p>
    <w:p>
      <w:pPr>
        <w:spacing w:line="560" w:lineRule="exact"/>
        <w:rPr>
          <w:rFonts w:ascii="仿宋" w:hAnsi="仿宋" w:eastAsia="仿宋" w:cs="仿宋"/>
          <w:b/>
          <w:sz w:val="28"/>
          <w:szCs w:val="28"/>
        </w:rPr>
      </w:pPr>
      <w:r>
        <w:rPr>
          <w:rFonts w:hint="eastAsia" w:ascii="仿宋" w:hAnsi="仿宋" w:eastAsia="仿宋" w:cs="仿宋"/>
          <w:b/>
          <w:sz w:val="28"/>
          <w:szCs w:val="28"/>
        </w:rPr>
        <w:t>致：镇江市京口区人民法院</w:t>
      </w:r>
    </w:p>
    <w:p>
      <w:pPr>
        <w:tabs>
          <w:tab w:val="left" w:pos="3388"/>
        </w:tabs>
        <w:ind w:firstLine="560" w:firstLineChars="200"/>
        <w:rPr>
          <w:rFonts w:ascii="仿宋" w:hAnsi="仿宋" w:eastAsia="仿宋" w:cs="仿宋"/>
          <w:b/>
          <w:sz w:val="28"/>
          <w:szCs w:val="28"/>
        </w:rPr>
      </w:pPr>
      <w:r>
        <w:rPr>
          <w:rFonts w:hint="eastAsia" w:ascii="仿宋" w:hAnsi="仿宋" w:eastAsia="仿宋" w:cs="仿宋"/>
          <w:bCs/>
          <w:sz w:val="28"/>
          <w:szCs w:val="28"/>
        </w:rPr>
        <w:t>兹受贵院委托，我司（南京同伦拍拍科技有限公司）本着独立客观、公平公正的原则，按照公认的二手家具、家电等可移动物品</w:t>
      </w:r>
      <w:r>
        <w:rPr>
          <w:rFonts w:hint="eastAsia" w:ascii="仿宋" w:hAnsi="仿宋" w:eastAsia="仿宋" w:cs="仿宋"/>
          <w:bCs/>
          <w:sz w:val="28"/>
          <w:szCs w:val="28"/>
          <w:lang w:eastAsia="zh-CN"/>
        </w:rPr>
        <w:t>及违建</w:t>
      </w:r>
      <w:r>
        <w:rPr>
          <w:rFonts w:hint="eastAsia" w:ascii="仿宋" w:hAnsi="仿宋" w:eastAsia="仿宋" w:cs="仿宋"/>
          <w:bCs/>
          <w:sz w:val="28"/>
          <w:szCs w:val="28"/>
        </w:rPr>
        <w:t>估价方法,对被执行</w:t>
      </w:r>
      <w:r>
        <w:rPr>
          <w:rFonts w:hint="eastAsia" w:ascii="仿宋" w:hAnsi="仿宋" w:eastAsia="仿宋" w:cs="仿宋"/>
          <w:bCs/>
          <w:sz w:val="28"/>
          <w:szCs w:val="28"/>
          <w:lang w:eastAsia="zh-CN"/>
        </w:rPr>
        <w:t>人</w:t>
      </w:r>
      <w:r>
        <w:rPr>
          <w:rFonts w:hint="eastAsia" w:ascii="仿宋" w:hAnsi="仿宋" w:eastAsia="仿宋" w:cs="仿宋"/>
          <w:bCs/>
          <w:sz w:val="28"/>
          <w:szCs w:val="28"/>
          <w:lang w:val="en-US" w:eastAsia="zh-CN"/>
        </w:rPr>
        <w:t>陈文</w:t>
      </w:r>
      <w:r>
        <w:rPr>
          <w:rFonts w:hint="eastAsia" w:ascii="仿宋" w:hAnsi="仿宋" w:eastAsia="仿宋" w:cs="仿宋"/>
          <w:bCs/>
          <w:sz w:val="28"/>
          <w:szCs w:val="28"/>
        </w:rPr>
        <w:t>所属的位于</w:t>
      </w:r>
      <w:r>
        <w:rPr>
          <w:rFonts w:hint="eastAsia" w:ascii="仿宋" w:hAnsi="仿宋" w:eastAsia="仿宋" w:cs="仿宋"/>
          <w:bCs/>
          <w:sz w:val="28"/>
          <w:szCs w:val="28"/>
          <w:lang w:val="en-US" w:eastAsia="zh-CN"/>
        </w:rPr>
        <w:t>江南华庭4幢103室住宅房</w:t>
      </w:r>
      <w:r>
        <w:rPr>
          <w:rFonts w:hint="eastAsia" w:ascii="仿宋" w:hAnsi="仿宋" w:eastAsia="仿宋" w:cs="仿宋"/>
          <w:bCs/>
          <w:sz w:val="28"/>
          <w:szCs w:val="28"/>
        </w:rPr>
        <w:t>内的家具、家电等可移动物品价值进行鉴定估价。我司鉴定人员严格按照鉴定估价程序,对该批家具、家电等可移动物品现状进行实地查勘、市场调查与征询,对该批资产在202</w:t>
      </w:r>
      <w:r>
        <w:rPr>
          <w:rFonts w:hint="eastAsia" w:ascii="仿宋" w:hAnsi="仿宋" w:eastAsia="仿宋" w:cs="仿宋"/>
          <w:bCs/>
          <w:sz w:val="28"/>
          <w:szCs w:val="28"/>
          <w:lang w:val="en-US" w:eastAsia="zh-CN"/>
        </w:rPr>
        <w:t>2</w:t>
      </w:r>
      <w:r>
        <w:rPr>
          <w:rFonts w:hint="eastAsia" w:ascii="仿宋" w:hAnsi="仿宋" w:eastAsia="仿宋" w:cs="仿宋"/>
          <w:bCs/>
          <w:sz w:val="28"/>
          <w:szCs w:val="28"/>
        </w:rPr>
        <w:t>年</w:t>
      </w:r>
      <w:r>
        <w:rPr>
          <w:rFonts w:hint="eastAsia" w:ascii="仿宋" w:hAnsi="仿宋" w:eastAsia="仿宋" w:cs="仿宋"/>
          <w:bCs/>
          <w:sz w:val="28"/>
          <w:szCs w:val="28"/>
          <w:lang w:val="en-US" w:eastAsia="zh-CN"/>
        </w:rPr>
        <w:t>11</w:t>
      </w:r>
      <w:r>
        <w:rPr>
          <w:rFonts w:hint="eastAsia" w:ascii="仿宋" w:hAnsi="仿宋" w:eastAsia="仿宋" w:cs="仿宋"/>
          <w:bCs/>
          <w:sz w:val="28"/>
          <w:szCs w:val="28"/>
        </w:rPr>
        <w:t>月</w:t>
      </w:r>
      <w:r>
        <w:rPr>
          <w:rFonts w:hint="eastAsia" w:ascii="仿宋" w:hAnsi="仿宋" w:eastAsia="仿宋" w:cs="仿宋"/>
          <w:bCs/>
          <w:sz w:val="28"/>
          <w:szCs w:val="28"/>
          <w:lang w:val="en-US" w:eastAsia="zh-CN"/>
        </w:rPr>
        <w:t>21</w:t>
      </w:r>
      <w:r>
        <w:rPr>
          <w:rFonts w:hint="eastAsia" w:ascii="仿宋" w:hAnsi="仿宋" w:eastAsia="仿宋" w:cs="仿宋"/>
          <w:bCs/>
          <w:sz w:val="28"/>
          <w:szCs w:val="28"/>
        </w:rPr>
        <w:t>日所表现的市场价值做出公正估价。现将鉴定估价情况报告如下：</w:t>
      </w:r>
    </w:p>
    <w:p>
      <w:pPr>
        <w:spacing w:line="560" w:lineRule="exact"/>
        <w:rPr>
          <w:rFonts w:ascii="仿宋" w:hAnsi="仿宋" w:eastAsia="仿宋" w:cs="仿宋"/>
          <w:b/>
          <w:bCs/>
          <w:sz w:val="28"/>
          <w:szCs w:val="28"/>
        </w:rPr>
      </w:pPr>
      <w:r>
        <w:rPr>
          <w:rFonts w:hint="eastAsia" w:ascii="仿宋" w:hAnsi="仿宋" w:eastAsia="仿宋" w:cs="仿宋"/>
          <w:b/>
          <w:bCs/>
          <w:sz w:val="28"/>
          <w:szCs w:val="28"/>
        </w:rPr>
        <w:t>一、估价意见书使用者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1.委托方：</w:t>
      </w:r>
      <w:r>
        <w:rPr>
          <w:rFonts w:hint="eastAsia" w:ascii="仿宋" w:hAnsi="仿宋" w:eastAsia="仿宋" w:cs="仿宋"/>
          <w:b/>
          <w:sz w:val="28"/>
          <w:szCs w:val="28"/>
        </w:rPr>
        <w:t>镇江市京口区人民法院</w:t>
      </w:r>
      <w:r>
        <w:rPr>
          <w:rFonts w:hint="eastAsia" w:ascii="仿宋" w:hAnsi="仿宋" w:eastAsia="仿宋" w:cs="仿宋"/>
          <w:b/>
          <w:bCs/>
          <w:sz w:val="28"/>
          <w:szCs w:val="28"/>
        </w:rPr>
        <w:t>；</w:t>
      </w:r>
    </w:p>
    <w:p>
      <w:pPr>
        <w:spacing w:line="560" w:lineRule="exact"/>
        <w:ind w:firstLine="560" w:firstLineChars="200"/>
        <w:rPr>
          <w:rFonts w:hint="eastAsia" w:ascii="仿宋" w:hAnsi="仿宋" w:eastAsia="仿宋"/>
          <w:b/>
          <w:sz w:val="28"/>
          <w:szCs w:val="28"/>
          <w:lang w:val="en-US" w:eastAsia="zh-CN"/>
        </w:rPr>
      </w:pPr>
      <w:r>
        <w:rPr>
          <w:rFonts w:hint="eastAsia" w:ascii="仿宋" w:hAnsi="仿宋" w:eastAsia="仿宋" w:cs="仿宋"/>
          <w:sz w:val="28"/>
          <w:szCs w:val="28"/>
        </w:rPr>
        <w:t>2.产权持有者：</w:t>
      </w:r>
      <w:r>
        <w:rPr>
          <w:rFonts w:hint="eastAsia" w:ascii="仿宋" w:hAnsi="仿宋" w:eastAsia="仿宋" w:cs="仿宋"/>
          <w:bCs/>
          <w:sz w:val="28"/>
          <w:szCs w:val="28"/>
          <w:lang w:val="en-US" w:eastAsia="zh-CN"/>
        </w:rPr>
        <w:t>陈文</w:t>
      </w:r>
      <w:r>
        <w:rPr>
          <w:rFonts w:hint="eastAsia" w:ascii="仿宋" w:hAnsi="仿宋" w:eastAsia="仿宋"/>
          <w:b/>
          <w:sz w:val="28"/>
          <w:szCs w:val="28"/>
        </w:rPr>
        <w:t>；</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3.委托方以外的其他估价意见书使用者：除</w:t>
      </w:r>
      <w:r>
        <w:rPr>
          <w:rFonts w:hint="eastAsia" w:ascii="仿宋" w:hAnsi="仿宋" w:eastAsia="仿宋" w:cs="仿宋"/>
          <w:b/>
          <w:sz w:val="28"/>
          <w:szCs w:val="28"/>
        </w:rPr>
        <w:t>镇江市京口区人民法院</w:t>
      </w:r>
      <w:r>
        <w:rPr>
          <w:rFonts w:hint="eastAsia" w:ascii="仿宋" w:hAnsi="仿宋" w:eastAsia="仿宋" w:cs="仿宋"/>
          <w:sz w:val="28"/>
          <w:szCs w:val="28"/>
        </w:rPr>
        <w:t>无其他估价意见书使用者</w:t>
      </w:r>
    </w:p>
    <w:p>
      <w:pPr>
        <w:spacing w:line="560" w:lineRule="exact"/>
        <w:ind w:right="74"/>
        <w:rPr>
          <w:rFonts w:ascii="仿宋" w:hAnsi="仿宋" w:eastAsia="仿宋" w:cs="仿宋"/>
          <w:sz w:val="28"/>
          <w:szCs w:val="28"/>
        </w:rPr>
      </w:pPr>
      <w:r>
        <w:rPr>
          <w:rFonts w:hint="eastAsia" w:ascii="仿宋" w:hAnsi="仿宋" w:eastAsia="仿宋" w:cs="仿宋"/>
          <w:b/>
          <w:sz w:val="28"/>
          <w:szCs w:val="28"/>
        </w:rPr>
        <w:t>二、估价目的（以下按“</w:t>
      </w:r>
      <w:r>
        <w:rPr>
          <w:rFonts w:hint="eastAsia" w:ascii="仿宋" w:hAnsi="仿宋" w:eastAsia="仿宋" w:cs="仿宋"/>
          <w:sz w:val="28"/>
          <w:szCs w:val="28"/>
        </w:rPr>
        <w:t>■”</w:t>
      </w:r>
      <w:r>
        <w:rPr>
          <w:rFonts w:hint="eastAsia" w:ascii="仿宋" w:hAnsi="仿宋" w:eastAsia="仿宋" w:cs="仿宋"/>
          <w:b/>
          <w:sz w:val="28"/>
          <w:szCs w:val="28"/>
        </w:rPr>
        <w:t>确定</w:t>
      </w:r>
      <w:r>
        <w:rPr>
          <w:rFonts w:hint="eastAsia" w:ascii="仿宋" w:hAnsi="仿宋" w:eastAsia="仿宋" w:cs="仿宋"/>
          <w:sz w:val="28"/>
          <w:szCs w:val="28"/>
        </w:rPr>
        <w:t>）</w:t>
      </w:r>
    </w:p>
    <w:p>
      <w:pPr>
        <w:spacing w:line="560" w:lineRule="exact"/>
        <w:rPr>
          <w:rFonts w:ascii="仿宋" w:hAnsi="仿宋" w:eastAsia="仿宋" w:cs="仿宋"/>
          <w:sz w:val="28"/>
          <w:szCs w:val="28"/>
        </w:rPr>
      </w:pPr>
      <w:r>
        <w:rPr>
          <w:rFonts w:hint="eastAsia" w:ascii="仿宋" w:hAnsi="仿宋" w:eastAsia="仿宋" w:cs="仿宋"/>
          <w:sz w:val="28"/>
          <w:szCs w:val="28"/>
        </w:rPr>
        <w:t>□交易 □转籍 ■拍卖 □置换 □抵押 □担保 □咨询 ■司法裁决</w:t>
      </w:r>
    </w:p>
    <w:p>
      <w:pPr>
        <w:spacing w:line="560" w:lineRule="exact"/>
        <w:rPr>
          <w:rFonts w:ascii="仿宋" w:hAnsi="仿宋" w:eastAsia="仿宋" w:cs="仿宋"/>
          <w:b/>
          <w:bCs/>
          <w:sz w:val="28"/>
          <w:szCs w:val="28"/>
        </w:rPr>
      </w:pPr>
      <w:r>
        <w:rPr>
          <w:rFonts w:hint="eastAsia" w:ascii="仿宋" w:hAnsi="仿宋" w:eastAsia="仿宋" w:cs="仿宋"/>
          <w:b/>
          <w:bCs/>
          <w:sz w:val="28"/>
          <w:szCs w:val="28"/>
        </w:rPr>
        <w:t>三、价值类型及定义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本次估价确定的价值类型为市场价值，是指买卖双方在自愿、理性行事且未受任何强迫压制的情况下，估价对象在基准日进行正常公平交易的价值估算数额。</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根据委托方要求对家具家电的司法处置价进行估价。司法处置价定义是指司法机关在市场价值基础上为快速变现扣除相关变卖处置费用后的价格。</w:t>
      </w:r>
    </w:p>
    <w:p>
      <w:pPr>
        <w:spacing w:line="560" w:lineRule="exact"/>
        <w:rPr>
          <w:rFonts w:ascii="仿宋" w:hAnsi="仿宋" w:eastAsia="仿宋" w:cs="仿宋"/>
          <w:b/>
          <w:sz w:val="28"/>
          <w:szCs w:val="28"/>
        </w:rPr>
      </w:pPr>
      <w:r>
        <w:rPr>
          <w:rFonts w:hint="eastAsia" w:ascii="仿宋" w:hAnsi="仿宋" w:eastAsia="仿宋" w:cs="仿宋"/>
          <w:b/>
          <w:sz w:val="28"/>
          <w:szCs w:val="28"/>
        </w:rPr>
        <w:t>四、估价依据</w:t>
      </w:r>
    </w:p>
    <w:p>
      <w:pPr>
        <w:spacing w:line="560" w:lineRule="exact"/>
        <w:rPr>
          <w:rFonts w:ascii="仿宋" w:hAnsi="仿宋" w:eastAsia="仿宋" w:cs="仿宋"/>
          <w:b/>
          <w:sz w:val="28"/>
          <w:szCs w:val="28"/>
        </w:rPr>
      </w:pPr>
      <w:r>
        <w:rPr>
          <w:rFonts w:hint="eastAsia" w:ascii="仿宋" w:hAnsi="仿宋" w:eastAsia="仿宋" w:cs="仿宋"/>
          <w:b/>
          <w:sz w:val="28"/>
          <w:szCs w:val="28"/>
        </w:rPr>
        <w:t>（一）行为依据</w:t>
      </w:r>
    </w:p>
    <w:p>
      <w:pPr>
        <w:snapToGrid w:val="0"/>
        <w:spacing w:line="360" w:lineRule="auto"/>
        <w:contextualSpacing/>
        <w:rPr>
          <w:rFonts w:hint="eastAsia" w:ascii="仿宋" w:hAnsi="仿宋" w:eastAsia="仿宋" w:cs="仿宋"/>
          <w:sz w:val="28"/>
          <w:szCs w:val="28"/>
        </w:rPr>
      </w:pPr>
      <w:r>
        <w:rPr>
          <w:rFonts w:hint="eastAsia" w:ascii="仿宋" w:hAnsi="仿宋" w:eastAsia="仿宋" w:cs="仿宋"/>
          <w:b/>
          <w:bCs w:val="0"/>
          <w:color w:val="FF0000"/>
          <w:sz w:val="28"/>
          <w:szCs w:val="28"/>
          <w:highlight w:val="none"/>
        </w:rPr>
        <w:t>20</w:t>
      </w:r>
      <w:r>
        <w:rPr>
          <w:rFonts w:hint="eastAsia" w:ascii="仿宋" w:hAnsi="仿宋" w:eastAsia="仿宋" w:cs="仿宋"/>
          <w:b/>
          <w:bCs w:val="0"/>
          <w:color w:val="FF0000"/>
          <w:sz w:val="28"/>
          <w:szCs w:val="28"/>
          <w:highlight w:val="none"/>
          <w:lang w:val="en-US" w:eastAsia="zh-CN"/>
        </w:rPr>
        <w:t>22</w:t>
      </w:r>
      <w:r>
        <w:rPr>
          <w:rFonts w:hint="eastAsia" w:ascii="仿宋" w:hAnsi="仿宋" w:eastAsia="仿宋" w:cs="仿宋"/>
          <w:b/>
          <w:bCs w:val="0"/>
          <w:color w:val="FF0000"/>
          <w:sz w:val="28"/>
          <w:szCs w:val="28"/>
          <w:highlight w:val="none"/>
        </w:rPr>
        <w:t>年</w:t>
      </w:r>
      <w:r>
        <w:rPr>
          <w:rFonts w:hint="eastAsia" w:ascii="仿宋" w:hAnsi="仿宋" w:eastAsia="仿宋" w:cs="仿宋"/>
          <w:b/>
          <w:bCs w:val="0"/>
          <w:color w:val="FF0000"/>
          <w:sz w:val="28"/>
          <w:szCs w:val="28"/>
          <w:highlight w:val="none"/>
          <w:lang w:val="en-US" w:eastAsia="zh-CN"/>
        </w:rPr>
        <w:t>11</w:t>
      </w:r>
      <w:r>
        <w:rPr>
          <w:rFonts w:hint="eastAsia" w:ascii="仿宋" w:hAnsi="仿宋" w:eastAsia="仿宋" w:cs="仿宋"/>
          <w:b/>
          <w:bCs w:val="0"/>
          <w:color w:val="FF0000"/>
          <w:sz w:val="28"/>
          <w:szCs w:val="28"/>
          <w:highlight w:val="none"/>
        </w:rPr>
        <w:t>月</w:t>
      </w:r>
      <w:r>
        <w:rPr>
          <w:rFonts w:hint="eastAsia" w:ascii="仿宋" w:hAnsi="仿宋" w:eastAsia="仿宋" w:cs="仿宋"/>
          <w:b/>
          <w:bCs w:val="0"/>
          <w:color w:val="FF0000"/>
          <w:sz w:val="28"/>
          <w:szCs w:val="28"/>
          <w:highlight w:val="none"/>
          <w:lang w:val="en-US" w:eastAsia="zh-CN"/>
        </w:rPr>
        <w:t>21</w:t>
      </w:r>
      <w:r>
        <w:rPr>
          <w:rFonts w:hint="eastAsia" w:ascii="仿宋" w:hAnsi="仿宋" w:eastAsia="仿宋" w:cs="仿宋"/>
          <w:b/>
          <w:bCs w:val="0"/>
          <w:color w:val="FF0000"/>
          <w:sz w:val="28"/>
          <w:szCs w:val="28"/>
          <w:highlight w:val="none"/>
        </w:rPr>
        <w:t>日</w:t>
      </w:r>
      <w:r>
        <w:rPr>
          <w:rFonts w:hint="eastAsia" w:ascii="仿宋" w:hAnsi="仿宋" w:eastAsia="仿宋" w:cs="仿宋"/>
          <w:b w:val="0"/>
          <w:bCs/>
          <w:sz w:val="28"/>
          <w:szCs w:val="28"/>
          <w:highlight w:val="none"/>
          <w:lang w:val="en-US" w:eastAsia="zh-CN"/>
        </w:rPr>
        <w:t>收到</w:t>
      </w:r>
      <w:r>
        <w:rPr>
          <w:rFonts w:hint="eastAsia" w:ascii="仿宋" w:hAnsi="仿宋" w:eastAsia="仿宋" w:cs="仿宋"/>
          <w:b w:val="0"/>
          <w:bCs/>
          <w:sz w:val="28"/>
          <w:szCs w:val="28"/>
          <w:lang w:val="en-US" w:eastAsia="zh-CN"/>
        </w:rPr>
        <w:t>镇江市京口区</w:t>
      </w:r>
      <w:r>
        <w:rPr>
          <w:rFonts w:hint="eastAsia" w:ascii="仿宋" w:hAnsi="仿宋" w:eastAsia="仿宋" w:cs="仿宋"/>
          <w:b w:val="0"/>
          <w:bCs/>
          <w:sz w:val="28"/>
          <w:szCs w:val="28"/>
        </w:rPr>
        <w:t>人民法院</w:t>
      </w:r>
      <w:r>
        <w:rPr>
          <w:rFonts w:hint="eastAsia" w:ascii="仿宋" w:hAnsi="仿宋" w:eastAsia="仿宋" w:cs="仿宋"/>
          <w:b w:val="0"/>
          <w:bCs/>
          <w:sz w:val="28"/>
          <w:szCs w:val="28"/>
          <w:lang w:val="en-US" w:eastAsia="zh-CN"/>
        </w:rPr>
        <w:t>对于该标的案件委托书</w:t>
      </w:r>
      <w:r>
        <w:rPr>
          <w:rFonts w:hint="eastAsia" w:ascii="仿宋" w:hAnsi="仿宋" w:eastAsia="仿宋" w:cs="仿宋"/>
          <w:bCs/>
          <w:sz w:val="28"/>
          <w:szCs w:val="28"/>
        </w:rPr>
        <w:t>。</w:t>
      </w:r>
    </w:p>
    <w:p>
      <w:pPr>
        <w:spacing w:line="560" w:lineRule="exact"/>
        <w:rPr>
          <w:rFonts w:ascii="仿宋" w:hAnsi="仿宋" w:eastAsia="仿宋" w:cs="仿宋"/>
          <w:b/>
          <w:sz w:val="28"/>
          <w:szCs w:val="28"/>
        </w:rPr>
      </w:pPr>
      <w:r>
        <w:rPr>
          <w:rFonts w:hint="eastAsia" w:ascii="仿宋" w:hAnsi="仿宋" w:eastAsia="仿宋" w:cs="仿宋"/>
          <w:b/>
          <w:sz w:val="28"/>
          <w:szCs w:val="28"/>
        </w:rPr>
        <w:t xml:space="preserve">（二）法律、法规依据 </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1.中华人民共和国主席令第 42 号《中华人民共和国公司法》（2005 年10 月27日）；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2. 国务院91 号令《国有资产评估管理办法》（1991 年11 月16 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3. 原国家国有资产管理局 国资办发[1992]36 号《国有资产评估管理办法施行细则》（1992 年7 月18 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4. 财政部令第14 号《国有资产评估管理若干问题的规定》（2001 年12 月31 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5. 国务院国有资产监督管理委员会令第12 号《企业国有资产评估管理暂行办法》（2005 年8 月25 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6. 国务院国有资产监督管理委员会 国资委产权[2006]274 号《关于加强企业国有资产评估管理工作有关问题的通知》（2006 年12 月12 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7. 原国家国有资产管理局 国资办发[1996]23 号《资产评估操作规范意见(试行)》（1996 年5 月7 日）；</w:t>
      </w:r>
    </w:p>
    <w:p>
      <w:pPr>
        <w:spacing w:line="560" w:lineRule="exact"/>
        <w:ind w:firstLine="700" w:firstLineChars="250"/>
        <w:rPr>
          <w:rFonts w:ascii="仿宋" w:hAnsi="仿宋" w:eastAsia="仿宋" w:cs="仿宋"/>
          <w:sz w:val="28"/>
          <w:szCs w:val="28"/>
        </w:rPr>
      </w:pPr>
      <w:r>
        <w:rPr>
          <w:rFonts w:hint="eastAsia" w:ascii="仿宋" w:hAnsi="仿宋" w:eastAsia="仿宋" w:cs="仿宋"/>
          <w:sz w:val="28"/>
          <w:szCs w:val="28"/>
        </w:rPr>
        <w:t>8. 中华人民共和国财政部 财评字[1999]91 号《关于印发&lt;资产评估报告基本内容与格式的暂行规定&gt;的通知》（1999 年3 月2 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 其他与资产评估相关的法律、法规等。</w:t>
      </w:r>
    </w:p>
    <w:p>
      <w:pPr>
        <w:spacing w:line="560" w:lineRule="exact"/>
        <w:rPr>
          <w:rFonts w:ascii="仿宋" w:hAnsi="仿宋" w:eastAsia="仿宋" w:cs="仿宋"/>
          <w:b/>
          <w:sz w:val="28"/>
          <w:szCs w:val="28"/>
        </w:rPr>
      </w:pPr>
      <w:r>
        <w:rPr>
          <w:rFonts w:hint="eastAsia" w:ascii="仿宋" w:hAnsi="仿宋" w:eastAsia="仿宋" w:cs="仿宋"/>
          <w:b/>
          <w:sz w:val="28"/>
          <w:szCs w:val="28"/>
        </w:rPr>
        <w:t>（三）准则依据</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1.《资产评估准则—基本准则》（2004 年5 月1 日）；</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2.《资产评估职业道德准则—基本准则》（2004 年5 月1 日）；</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3.《注册资产评估师关注评估对象法律权属指导意见》（2003 年3 月1 日）；</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4.中国资产评估协会 中评协[2007]189 号《关于印发〈资产评估准则—评估报告〉等7 项资产评估准则的通知》（2007 年11 月28 日）；</w:t>
      </w:r>
    </w:p>
    <w:p>
      <w:pPr>
        <w:tabs>
          <w:tab w:val="left" w:pos="3388"/>
        </w:tabs>
        <w:rPr>
          <w:rFonts w:ascii="仿宋" w:hAnsi="仿宋" w:eastAsia="仿宋" w:cs="仿宋"/>
          <w:sz w:val="28"/>
          <w:szCs w:val="28"/>
        </w:rPr>
      </w:pPr>
      <w:r>
        <w:rPr>
          <w:rFonts w:hint="eastAsia" w:ascii="仿宋" w:hAnsi="仿宋" w:eastAsia="仿宋" w:cs="仿宋"/>
          <w:b/>
          <w:bCs/>
          <w:sz w:val="28"/>
          <w:szCs w:val="28"/>
        </w:rPr>
        <w:t>（四）取价依据</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Cs/>
          <w:sz w:val="28"/>
          <w:szCs w:val="28"/>
        </w:rPr>
        <w:t xml:space="preserve"> 家具、家电等可移动物品</w:t>
      </w:r>
      <w:r>
        <w:rPr>
          <w:rFonts w:hint="eastAsia" w:ascii="仿宋" w:hAnsi="仿宋" w:eastAsia="仿宋" w:cs="仿宋"/>
          <w:sz w:val="28"/>
          <w:szCs w:val="28"/>
        </w:rPr>
        <w:t>交易市场商品价格信息；</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2.《2007 年新资产评估常用数据与参数手册》；</w:t>
      </w:r>
    </w:p>
    <w:p>
      <w:pPr>
        <w:tabs>
          <w:tab w:val="left" w:pos="3388"/>
        </w:tabs>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 xml:space="preserve"> 国家统计局官方网站公布数据；</w:t>
      </w:r>
    </w:p>
    <w:p>
      <w:pPr>
        <w:tabs>
          <w:tab w:val="left" w:pos="3388"/>
        </w:tabs>
        <w:rPr>
          <w:rFonts w:ascii="仿宋" w:hAnsi="仿宋" w:eastAsia="仿宋" w:cs="仿宋"/>
          <w:b/>
          <w:sz w:val="28"/>
          <w:szCs w:val="28"/>
        </w:rPr>
      </w:pPr>
      <w:r>
        <w:rPr>
          <w:rFonts w:hint="eastAsia" w:ascii="仿宋" w:hAnsi="仿宋" w:eastAsia="仿宋" w:cs="仿宋"/>
          <w:b/>
          <w:sz w:val="28"/>
          <w:szCs w:val="28"/>
        </w:rPr>
        <w:t>五、鉴定估价基准日</w:t>
      </w:r>
    </w:p>
    <w:p>
      <w:pPr>
        <w:tabs>
          <w:tab w:val="left" w:pos="3388"/>
        </w:tabs>
        <w:ind w:firstLine="560" w:firstLineChars="200"/>
        <w:rPr>
          <w:rFonts w:ascii="仿宋" w:hAnsi="仿宋" w:eastAsia="仿宋" w:cs="仿宋"/>
          <w:b/>
          <w:bCs/>
          <w:sz w:val="28"/>
          <w:szCs w:val="28"/>
        </w:rPr>
      </w:pPr>
      <w:r>
        <w:rPr>
          <w:rFonts w:hint="eastAsia" w:ascii="仿宋" w:hAnsi="仿宋" w:eastAsia="仿宋" w:cs="仿宋"/>
          <w:sz w:val="28"/>
          <w:szCs w:val="28"/>
        </w:rPr>
        <w:t>鉴定估价基准日：</w:t>
      </w:r>
      <w:r>
        <w:rPr>
          <w:rFonts w:hint="eastAsia" w:ascii="仿宋" w:hAnsi="仿宋" w:eastAsia="仿宋" w:cs="仿宋"/>
          <w:b/>
          <w:bCs/>
          <w:sz w:val="28"/>
          <w:szCs w:val="28"/>
        </w:rPr>
        <w:t>202</w:t>
      </w:r>
      <w:r>
        <w:rPr>
          <w:rFonts w:hint="eastAsia" w:ascii="仿宋" w:hAnsi="仿宋" w:eastAsia="仿宋" w:cs="仿宋"/>
          <w:b/>
          <w:bCs/>
          <w:sz w:val="28"/>
          <w:szCs w:val="28"/>
          <w:lang w:val="en-US" w:eastAsia="zh-CN"/>
        </w:rPr>
        <w:t>2</w:t>
      </w:r>
      <w:r>
        <w:rPr>
          <w:rFonts w:hint="eastAsia" w:ascii="仿宋" w:hAnsi="仿宋" w:eastAsia="仿宋" w:cs="仿宋"/>
          <w:b/>
          <w:bCs/>
          <w:sz w:val="28"/>
          <w:szCs w:val="28"/>
        </w:rPr>
        <w:t>年</w:t>
      </w:r>
      <w:r>
        <w:rPr>
          <w:rFonts w:hint="eastAsia" w:ascii="仿宋" w:hAnsi="仿宋" w:eastAsia="仿宋" w:cs="仿宋"/>
          <w:b/>
          <w:bCs/>
          <w:sz w:val="28"/>
          <w:szCs w:val="28"/>
          <w:lang w:val="en-US" w:eastAsia="zh-CN"/>
        </w:rPr>
        <w:t>11</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21</w:t>
      </w:r>
      <w:r>
        <w:rPr>
          <w:rFonts w:hint="eastAsia" w:ascii="仿宋" w:hAnsi="仿宋" w:eastAsia="仿宋" w:cs="仿宋"/>
          <w:b/>
          <w:bCs/>
          <w:sz w:val="28"/>
          <w:szCs w:val="28"/>
        </w:rPr>
        <w:t>日</w:t>
      </w:r>
    </w:p>
    <w:p>
      <w:pPr>
        <w:tabs>
          <w:tab w:val="left" w:pos="3388"/>
        </w:tabs>
        <w:rPr>
          <w:rFonts w:ascii="仿宋" w:hAnsi="仿宋" w:eastAsia="仿宋" w:cs="仿宋"/>
          <w:b/>
          <w:sz w:val="28"/>
          <w:szCs w:val="28"/>
        </w:rPr>
      </w:pPr>
      <w:r>
        <w:rPr>
          <w:rFonts w:hint="eastAsia" w:ascii="仿宋" w:hAnsi="仿宋" w:eastAsia="仿宋" w:cs="仿宋"/>
          <w:b/>
          <w:sz w:val="28"/>
          <w:szCs w:val="28"/>
        </w:rPr>
        <w:t>六、估价假设</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1．委托方提供的资料具有真实、合法、完整性；</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2．无其他不可预测和不可抗力因素造成的重大不利影响。</w:t>
      </w:r>
    </w:p>
    <w:p>
      <w:pPr>
        <w:tabs>
          <w:tab w:val="left" w:pos="3388"/>
        </w:tabs>
        <w:rPr>
          <w:rFonts w:ascii="仿宋" w:hAnsi="仿宋" w:eastAsia="仿宋" w:cs="仿宋"/>
          <w:b/>
          <w:bCs/>
          <w:sz w:val="28"/>
          <w:szCs w:val="28"/>
        </w:rPr>
      </w:pPr>
      <w:r>
        <w:rPr>
          <w:rFonts w:hint="eastAsia" w:ascii="仿宋" w:hAnsi="仿宋" w:eastAsia="仿宋" w:cs="仿宋"/>
          <w:b/>
          <w:bCs/>
          <w:sz w:val="28"/>
          <w:szCs w:val="28"/>
        </w:rPr>
        <w:t>七、估价方法</w:t>
      </w:r>
    </w:p>
    <w:p>
      <w:pPr>
        <w:tabs>
          <w:tab w:val="left" w:pos="3388"/>
        </w:tabs>
        <w:ind w:firstLine="560" w:firstLineChars="200"/>
        <w:rPr>
          <w:rFonts w:ascii="仿宋" w:hAnsi="仿宋" w:eastAsia="仿宋" w:cs="仿宋"/>
          <w:sz w:val="28"/>
          <w:szCs w:val="28"/>
        </w:rPr>
      </w:pPr>
      <w:r>
        <w:rPr>
          <w:rFonts w:hint="eastAsia" w:ascii="仿宋" w:hAnsi="仿宋" w:eastAsia="仿宋" w:cs="仿宋"/>
          <w:sz w:val="28"/>
          <w:szCs w:val="28"/>
        </w:rPr>
        <w:t>评估的基本方法包括收益法、市场法和成本法。鉴于委估评估对象数量较多，品种不一，多为家具、家电</w:t>
      </w:r>
      <w:r>
        <w:rPr>
          <w:rFonts w:hint="eastAsia" w:ascii="仿宋" w:hAnsi="仿宋" w:eastAsia="仿宋" w:cs="仿宋"/>
          <w:bCs/>
          <w:sz w:val="28"/>
          <w:szCs w:val="28"/>
        </w:rPr>
        <w:t>等可移动物品</w:t>
      </w:r>
      <w:r>
        <w:rPr>
          <w:rFonts w:hint="eastAsia" w:ascii="仿宋" w:hAnsi="仿宋" w:eastAsia="仿宋" w:cs="仿宋"/>
          <w:sz w:val="28"/>
          <w:szCs w:val="28"/>
        </w:rPr>
        <w:t>不适宜用收益法和成本法评估，本次评估确定采用市场法进行评估。</w:t>
      </w:r>
    </w:p>
    <w:p>
      <w:pPr>
        <w:tabs>
          <w:tab w:val="left" w:pos="3388"/>
        </w:tabs>
        <w:rPr>
          <w:rFonts w:ascii="仿宋" w:hAnsi="仿宋" w:eastAsia="仿宋" w:cs="仿宋"/>
          <w:bCs/>
          <w:sz w:val="28"/>
          <w:szCs w:val="28"/>
        </w:rPr>
      </w:pPr>
      <w:r>
        <w:rPr>
          <w:rFonts w:hint="eastAsia" w:ascii="仿宋" w:hAnsi="仿宋" w:eastAsia="仿宋" w:cs="仿宋"/>
          <w:b/>
          <w:sz w:val="28"/>
          <w:szCs w:val="28"/>
        </w:rPr>
        <w:t>八、估价对象</w:t>
      </w:r>
    </w:p>
    <w:p>
      <w:pPr>
        <w:tabs>
          <w:tab w:val="left" w:pos="3388"/>
        </w:tabs>
        <w:ind w:firstLine="560" w:firstLineChars="200"/>
        <w:jc w:val="left"/>
        <w:rPr>
          <w:rFonts w:ascii="仿宋" w:hAnsi="仿宋" w:eastAsia="仿宋" w:cs="仿宋"/>
          <w:sz w:val="28"/>
          <w:szCs w:val="28"/>
        </w:rPr>
      </w:pPr>
      <w:r>
        <w:rPr>
          <w:rFonts w:hint="eastAsia" w:ascii="仿宋" w:hAnsi="仿宋" w:eastAsia="仿宋" w:cs="仿宋"/>
          <w:sz w:val="28"/>
          <w:szCs w:val="28"/>
        </w:rPr>
        <w:t>（一）：本次估价对象为被执行人</w:t>
      </w:r>
      <w:r>
        <w:rPr>
          <w:rFonts w:hint="eastAsia" w:ascii="仿宋" w:hAnsi="仿宋" w:eastAsia="仿宋" w:cs="仿宋"/>
          <w:bCs/>
          <w:sz w:val="28"/>
          <w:szCs w:val="28"/>
          <w:lang w:val="en-US" w:eastAsia="zh-CN"/>
        </w:rPr>
        <w:t>陈文</w:t>
      </w:r>
      <w:r>
        <w:rPr>
          <w:rFonts w:hint="eastAsia" w:ascii="仿宋" w:hAnsi="仿宋" w:eastAsia="仿宋" w:cs="仿宋"/>
          <w:bCs/>
          <w:sz w:val="28"/>
          <w:szCs w:val="28"/>
        </w:rPr>
        <w:t>所属的位于</w:t>
      </w:r>
      <w:r>
        <w:rPr>
          <w:rFonts w:hint="eastAsia" w:ascii="仿宋" w:hAnsi="仿宋" w:eastAsia="仿宋" w:cs="仿宋"/>
          <w:bCs/>
          <w:sz w:val="28"/>
          <w:szCs w:val="28"/>
          <w:lang w:val="en-US" w:eastAsia="zh-CN"/>
        </w:rPr>
        <w:t>江南华庭4幢103室住宅房</w:t>
      </w:r>
      <w:r>
        <w:rPr>
          <w:rFonts w:hint="eastAsia" w:ascii="仿宋" w:hAnsi="仿宋" w:eastAsia="仿宋" w:cs="仿宋"/>
          <w:bCs/>
          <w:sz w:val="28"/>
          <w:szCs w:val="28"/>
        </w:rPr>
        <w:t>的</w:t>
      </w:r>
      <w:r>
        <w:rPr>
          <w:rFonts w:hint="eastAsia" w:ascii="仿宋" w:hAnsi="仿宋" w:eastAsia="仿宋" w:cs="仿宋"/>
          <w:sz w:val="28"/>
          <w:szCs w:val="28"/>
        </w:rPr>
        <w:t>可移动物品，数量</w:t>
      </w:r>
      <w:r>
        <w:rPr>
          <w:rFonts w:hint="eastAsia" w:ascii="仿宋" w:hAnsi="仿宋" w:eastAsia="仿宋" w:cs="仿宋"/>
          <w:sz w:val="28"/>
          <w:szCs w:val="28"/>
          <w:lang w:val="en-US" w:eastAsia="zh-CN"/>
        </w:rPr>
        <w:t>9</w:t>
      </w:r>
      <w:r>
        <w:rPr>
          <w:rFonts w:hint="eastAsia" w:ascii="仿宋" w:hAnsi="仿宋" w:eastAsia="仿宋" w:cs="仿宋"/>
          <w:sz w:val="28"/>
          <w:szCs w:val="28"/>
        </w:rPr>
        <w:t>件</w:t>
      </w:r>
      <w:r>
        <w:rPr>
          <w:rFonts w:hint="eastAsia" w:ascii="仿宋" w:hAnsi="仿宋" w:eastAsia="仿宋" w:cs="仿宋"/>
          <w:sz w:val="28"/>
          <w:szCs w:val="28"/>
          <w:lang w:val="en-US" w:eastAsia="zh-CN"/>
        </w:rPr>
        <w:t>，</w:t>
      </w:r>
      <w:r>
        <w:rPr>
          <w:rFonts w:hint="eastAsia" w:ascii="仿宋" w:hAnsi="仿宋" w:eastAsia="仿宋" w:cs="仿宋"/>
          <w:sz w:val="28"/>
          <w:szCs w:val="28"/>
        </w:rPr>
        <w:t>具体资产信息为：</w:t>
      </w:r>
    </w:p>
    <w:tbl>
      <w:tblPr>
        <w:tblStyle w:val="8"/>
        <w:tblpPr w:leftFromText="180" w:rightFromText="180" w:vertAnchor="text" w:horzAnchor="page" w:tblpX="1326" w:tblpY="1061"/>
        <w:tblOverlap w:val="never"/>
        <w:tblW w:w="10000" w:type="dxa"/>
        <w:tblInd w:w="0" w:type="dxa"/>
        <w:tblLayout w:type="autofit"/>
        <w:tblCellMar>
          <w:top w:w="0" w:type="dxa"/>
          <w:left w:w="0" w:type="dxa"/>
          <w:bottom w:w="0" w:type="dxa"/>
          <w:right w:w="0" w:type="dxa"/>
        </w:tblCellMar>
      </w:tblPr>
      <w:tblGrid>
        <w:gridCol w:w="776"/>
        <w:gridCol w:w="1826"/>
        <w:gridCol w:w="1891"/>
        <w:gridCol w:w="1009"/>
        <w:gridCol w:w="775"/>
        <w:gridCol w:w="1236"/>
        <w:gridCol w:w="1239"/>
        <w:gridCol w:w="1248"/>
      </w:tblGrid>
      <w:tr>
        <w:tblPrEx>
          <w:tblCellMar>
            <w:top w:w="0" w:type="dxa"/>
            <w:left w:w="0" w:type="dxa"/>
            <w:bottom w:w="0" w:type="dxa"/>
            <w:right w:w="0" w:type="dxa"/>
          </w:tblCellMar>
        </w:tblPrEx>
        <w:trPr>
          <w:trHeight w:val="654" w:hRule="atLeast"/>
        </w:trPr>
        <w:tc>
          <w:tcPr>
            <w:tcW w:w="1000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统一放置地点</w:t>
            </w:r>
            <w:r>
              <w:rPr>
                <w:rFonts w:hint="eastAsia" w:ascii="宋体" w:hAnsi="宋体" w:cs="宋体"/>
                <w:color w:val="000000"/>
                <w:kern w:val="0"/>
                <w:sz w:val="24"/>
                <w:szCs w:val="24"/>
                <w:lang w:eastAsia="zh-CN"/>
              </w:rPr>
              <w:t>：</w:t>
            </w:r>
            <w:r>
              <w:rPr>
                <w:rFonts w:hint="eastAsia" w:ascii="仿宋" w:hAnsi="仿宋" w:eastAsia="仿宋" w:cs="仿宋"/>
                <w:bCs/>
                <w:sz w:val="28"/>
                <w:szCs w:val="28"/>
                <w:lang w:val="en-US" w:eastAsia="zh-CN"/>
              </w:rPr>
              <w:t>江南华庭4幢103室住宅</w:t>
            </w:r>
            <w:r>
              <w:rPr>
                <w:rFonts w:hint="eastAsia" w:ascii="宋体" w:hAnsi="宋体" w:cs="宋体"/>
                <w:color w:val="000000"/>
                <w:kern w:val="0"/>
                <w:sz w:val="24"/>
                <w:szCs w:val="24"/>
              </w:rPr>
              <w:t>。</w:t>
            </w:r>
          </w:p>
        </w:tc>
      </w:tr>
      <w:tr>
        <w:tblPrEx>
          <w:tblCellMar>
            <w:top w:w="0" w:type="dxa"/>
            <w:left w:w="0" w:type="dxa"/>
            <w:bottom w:w="0" w:type="dxa"/>
            <w:right w:w="0" w:type="dxa"/>
          </w:tblCellMar>
        </w:tblPrEx>
        <w:trPr>
          <w:trHeight w:val="654" w:hRule="atLeast"/>
        </w:trPr>
        <w:tc>
          <w:tcPr>
            <w:tcW w:w="1000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当前状态：已查封，就近封存于标的物室内，整体维护、完损情况良好。</w:t>
            </w:r>
          </w:p>
        </w:tc>
      </w:tr>
      <w:tr>
        <w:tblPrEx>
          <w:tblCellMar>
            <w:top w:w="0" w:type="dxa"/>
            <w:left w:w="0" w:type="dxa"/>
            <w:bottom w:w="0" w:type="dxa"/>
            <w:right w:w="0" w:type="dxa"/>
          </w:tblCellMar>
        </w:tblPrEx>
        <w:trPr>
          <w:trHeight w:val="654" w:hRule="atLeast"/>
        </w:trPr>
        <w:tc>
          <w:tcPr>
            <w:tcW w:w="776"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1826"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物品名称</w:t>
            </w:r>
          </w:p>
        </w:tc>
        <w:tc>
          <w:tcPr>
            <w:tcW w:w="189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规格型号</w:t>
            </w:r>
          </w:p>
        </w:tc>
        <w:tc>
          <w:tcPr>
            <w:tcW w:w="100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数量</w:t>
            </w:r>
          </w:p>
        </w:tc>
        <w:tc>
          <w:tcPr>
            <w:tcW w:w="775"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华文宋体" w:hAnsi="华文宋体" w:eastAsia="华文宋体" w:cs="华文宋体"/>
                <w:color w:val="000000"/>
                <w:sz w:val="24"/>
                <w:szCs w:val="24"/>
              </w:rPr>
            </w:pPr>
            <w:r>
              <w:rPr>
                <w:rFonts w:ascii="华文宋体" w:hAnsi="华文宋体" w:eastAsia="华文宋体" w:cs="华文宋体"/>
                <w:color w:val="000000"/>
                <w:kern w:val="0"/>
                <w:sz w:val="24"/>
                <w:szCs w:val="24"/>
              </w:rPr>
              <w:t>单位</w:t>
            </w:r>
          </w:p>
        </w:tc>
        <w:tc>
          <w:tcPr>
            <w:tcW w:w="1236"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存放地点</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参考单价/元</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参考总价/元</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 xml:space="preserve">沙发组合 </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 xml:space="preserve"> </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华文宋体" w:hAnsi="华文宋体" w:eastAsia="华文宋体" w:cs="华文宋体"/>
                <w:color w:val="000000"/>
                <w:sz w:val="24"/>
                <w:szCs w:val="24"/>
                <w:lang w:val="en-US" w:eastAsia="zh-CN"/>
              </w:rPr>
            </w:pPr>
            <w:r>
              <w:rPr>
                <w:rFonts w:hint="eastAsia" w:ascii="华文宋体" w:hAnsi="华文宋体" w:eastAsia="华文宋体" w:cs="华文宋体"/>
                <w:color w:val="000000"/>
                <w:sz w:val="24"/>
                <w:szCs w:val="24"/>
                <w:lang w:val="en-US" w:eastAsia="zh-CN"/>
              </w:rPr>
              <w:t>组</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 xml:space="preserve"> 300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cs="宋体"/>
                <w:color w:val="000000"/>
                <w:sz w:val="24"/>
                <w:szCs w:val="24"/>
                <w:lang w:val="en-US"/>
              </w:rPr>
            </w:pPr>
            <w:r>
              <w:rPr>
                <w:rFonts w:hint="eastAsia" w:ascii="宋体" w:hAnsi="宋体" w:cs="宋体"/>
                <w:color w:val="000000"/>
                <w:kern w:val="0"/>
                <w:sz w:val="24"/>
                <w:szCs w:val="24"/>
                <w:lang w:val="en-US" w:eastAsia="zh-CN"/>
              </w:rPr>
              <w:t>300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冰箱</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 xml:space="preserve"> </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华文宋体" w:hAnsi="华文宋体" w:eastAsia="华文宋体" w:cs="华文宋体"/>
                <w:color w:val="000000"/>
                <w:sz w:val="24"/>
                <w:szCs w:val="24"/>
                <w:lang w:val="en-US" w:eastAsia="zh-CN"/>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500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 壁挂式空调</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kern w:val="0"/>
                <w:sz w:val="24"/>
                <w:szCs w:val="24"/>
                <w:lang w:val="en-US" w:eastAsia="zh-CN"/>
              </w:rPr>
              <w:t xml:space="preserve"> </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华文宋体" w:hAnsi="华文宋体" w:eastAsia="华文宋体" w:cs="华文宋体"/>
                <w:color w:val="000000"/>
                <w:sz w:val="24"/>
                <w:szCs w:val="24"/>
                <w:lang w:val="en-US" w:eastAsia="zh-CN"/>
              </w:rPr>
              <w:t>组</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 xml:space="preserve">800 </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1600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4</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餐桌组合</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华文宋体" w:hAnsi="华文宋体" w:eastAsia="华文宋体" w:cs="华文宋体"/>
                <w:color w:val="000000"/>
                <w:sz w:val="24"/>
                <w:szCs w:val="24"/>
                <w:lang w:val="en-US" w:eastAsia="zh-CN"/>
              </w:rPr>
              <w:t>组</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洗衣机</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华文宋体" w:hAnsi="华文宋体" w:eastAsia="华文宋体" w:cs="华文宋体"/>
                <w:color w:val="000000"/>
                <w:sz w:val="24"/>
                <w:szCs w:val="24"/>
                <w:lang w:val="en-US" w:eastAsia="zh-CN"/>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6</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床</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华文宋体" w:hAnsi="华文宋体" w:eastAsia="华文宋体" w:cs="华文宋体"/>
                <w:color w:val="000000"/>
                <w:sz w:val="24"/>
                <w:szCs w:val="24"/>
                <w:lang w:val="en-US" w:eastAsia="zh-CN"/>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250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500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7</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笔记本电脑</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疑似损坏</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华文宋体" w:hAnsi="华文宋体" w:eastAsia="华文宋体" w:cs="华文宋体"/>
                <w:color w:val="000000"/>
                <w:sz w:val="24"/>
                <w:szCs w:val="24"/>
                <w:lang w:val="en-US" w:eastAsia="zh-CN"/>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200</w:t>
            </w:r>
          </w:p>
        </w:tc>
      </w:tr>
      <w:tr>
        <w:tblPrEx>
          <w:tblCellMar>
            <w:top w:w="0" w:type="dxa"/>
            <w:left w:w="0" w:type="dxa"/>
            <w:bottom w:w="0" w:type="dxa"/>
            <w:right w:w="0" w:type="dxa"/>
          </w:tblCellMar>
        </w:tblPrEx>
        <w:trPr>
          <w:trHeight w:val="566" w:hRule="atLeast"/>
        </w:trPr>
        <w:tc>
          <w:tcPr>
            <w:tcW w:w="77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8</w:t>
            </w:r>
          </w:p>
        </w:tc>
        <w:tc>
          <w:tcPr>
            <w:tcW w:w="182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电视</w:t>
            </w:r>
          </w:p>
        </w:tc>
        <w:tc>
          <w:tcPr>
            <w:tcW w:w="189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sz w:val="24"/>
                <w:szCs w:val="24"/>
                <w:lang w:val="en-US" w:eastAsia="zh-CN"/>
              </w:rPr>
            </w:pP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华文宋体" w:hAnsi="华文宋体" w:eastAsia="华文宋体" w:cs="华文宋体"/>
                <w:color w:val="000000"/>
                <w:sz w:val="24"/>
                <w:szCs w:val="24"/>
                <w:lang w:val="en-US" w:eastAsia="zh-CN"/>
              </w:rPr>
            </w:pPr>
            <w:r>
              <w:rPr>
                <w:rFonts w:hint="eastAsia" w:ascii="华文宋体" w:hAnsi="华文宋体" w:eastAsia="华文宋体" w:cs="华文宋体"/>
                <w:color w:val="000000"/>
                <w:sz w:val="24"/>
                <w:szCs w:val="24"/>
                <w:lang w:val="en-US" w:eastAsia="zh-CN"/>
              </w:rPr>
              <w:t>个</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室内</w:t>
            </w:r>
          </w:p>
        </w:tc>
        <w:tc>
          <w:tcPr>
            <w:tcW w:w="1239"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300</w:t>
            </w:r>
          </w:p>
        </w:tc>
        <w:tc>
          <w:tcPr>
            <w:tcW w:w="1248"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300</w:t>
            </w:r>
          </w:p>
        </w:tc>
      </w:tr>
      <w:tr>
        <w:tblPrEx>
          <w:tblCellMar>
            <w:top w:w="0" w:type="dxa"/>
            <w:left w:w="0" w:type="dxa"/>
            <w:bottom w:w="0" w:type="dxa"/>
            <w:right w:w="0" w:type="dxa"/>
          </w:tblCellMar>
        </w:tblPrEx>
        <w:trPr>
          <w:trHeight w:val="584" w:hRule="atLeast"/>
        </w:trPr>
        <w:tc>
          <w:tcPr>
            <w:tcW w:w="4493"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kern w:val="0"/>
                <w:sz w:val="24"/>
                <w:szCs w:val="24"/>
              </w:rPr>
              <w:t>合计</w:t>
            </w:r>
          </w:p>
        </w:tc>
        <w:tc>
          <w:tcPr>
            <w:tcW w:w="100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13</w:t>
            </w:r>
          </w:p>
        </w:tc>
        <w:tc>
          <w:tcPr>
            <w:tcW w:w="77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华文宋体" w:hAnsi="华文宋体" w:eastAsia="华文宋体" w:cs="华文宋体"/>
                <w:color w:val="000000"/>
                <w:kern w:val="2"/>
                <w:sz w:val="24"/>
                <w:szCs w:val="24"/>
                <w:lang w:val="en-US" w:eastAsia="zh-CN" w:bidi="ar-SA"/>
              </w:rPr>
            </w:pPr>
            <w:r>
              <w:rPr>
                <w:rFonts w:ascii="华文宋体" w:hAnsi="华文宋体" w:eastAsia="华文宋体" w:cs="华文宋体"/>
                <w:color w:val="000000"/>
                <w:kern w:val="0"/>
                <w:sz w:val="24"/>
                <w:szCs w:val="24"/>
              </w:rPr>
              <w:t>数量</w:t>
            </w:r>
          </w:p>
        </w:tc>
        <w:tc>
          <w:tcPr>
            <w:tcW w:w="1236"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w:t>
            </w:r>
          </w:p>
        </w:tc>
        <w:tc>
          <w:tcPr>
            <w:tcW w:w="123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w:t>
            </w:r>
          </w:p>
        </w:tc>
        <w:tc>
          <w:tcPr>
            <w:tcW w:w="124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宋体" w:hAnsi="宋体" w:eastAsia="宋体" w:cs="宋体"/>
                <w:color w:val="000000"/>
                <w:kern w:val="2"/>
                <w:sz w:val="24"/>
                <w:szCs w:val="24"/>
                <w:lang w:val="en-US" w:eastAsia="zh-CN" w:bidi="ar-SA"/>
              </w:rPr>
            </w:pPr>
            <w:r>
              <w:rPr>
                <w:rFonts w:hint="eastAsia" w:ascii="宋体" w:hAnsi="宋体" w:cs="宋体"/>
                <w:color w:val="000000"/>
                <w:kern w:val="2"/>
                <w:sz w:val="24"/>
                <w:szCs w:val="24"/>
                <w:lang w:val="en-US" w:eastAsia="zh-CN" w:bidi="ar-SA"/>
              </w:rPr>
              <w:t>4000</w:t>
            </w:r>
          </w:p>
        </w:tc>
      </w:tr>
    </w:tbl>
    <w:p>
      <w:pPr>
        <w:tabs>
          <w:tab w:val="left" w:pos="3388"/>
        </w:tabs>
        <w:rPr>
          <w:rFonts w:hint="eastAsia" w:ascii="仿宋" w:hAnsi="仿宋" w:eastAsia="仿宋" w:cs="仿宋"/>
          <w:b/>
          <w:sz w:val="28"/>
          <w:szCs w:val="28"/>
        </w:rPr>
      </w:pPr>
    </w:p>
    <w:p>
      <w:pPr>
        <w:tabs>
          <w:tab w:val="left" w:pos="3388"/>
        </w:tabs>
        <w:rPr>
          <w:rFonts w:ascii="仿宋" w:hAnsi="仿宋" w:eastAsia="仿宋" w:cs="仿宋"/>
          <w:b/>
          <w:sz w:val="28"/>
          <w:szCs w:val="28"/>
        </w:rPr>
      </w:pPr>
      <w:r>
        <w:rPr>
          <w:rFonts w:hint="eastAsia" w:ascii="仿宋" w:hAnsi="仿宋" w:eastAsia="仿宋" w:cs="仿宋"/>
          <w:b/>
          <w:sz w:val="28"/>
          <w:szCs w:val="28"/>
        </w:rPr>
        <w:t>九、估价结果</w:t>
      </w:r>
    </w:p>
    <w:p>
      <w:pPr>
        <w:tabs>
          <w:tab w:val="left" w:pos="3388"/>
        </w:tabs>
        <w:ind w:firstLine="560" w:firstLineChars="200"/>
        <w:rPr>
          <w:rFonts w:ascii="仿宋" w:hAnsi="仿宋" w:eastAsia="仿宋" w:cs="仿宋"/>
          <w:b/>
          <w:sz w:val="28"/>
          <w:szCs w:val="28"/>
        </w:rPr>
      </w:pPr>
      <w:r>
        <w:rPr>
          <w:rFonts w:hint="eastAsia" w:ascii="仿宋" w:hAnsi="仿宋" w:eastAsia="仿宋" w:cs="仿宋"/>
          <w:sz w:val="28"/>
          <w:szCs w:val="28"/>
        </w:rPr>
        <w:t>截止评估基准日</w:t>
      </w:r>
      <w:r>
        <w:rPr>
          <w:rFonts w:hint="eastAsia" w:ascii="仿宋" w:hAnsi="仿宋" w:eastAsia="仿宋" w:cs="仿宋"/>
          <w:bCs/>
          <w:sz w:val="28"/>
          <w:szCs w:val="28"/>
          <w:lang w:val="en-US" w:eastAsia="zh-CN"/>
        </w:rPr>
        <w:t>陈文</w:t>
      </w:r>
      <w:r>
        <w:rPr>
          <w:rFonts w:hint="eastAsia" w:ascii="仿宋" w:hAnsi="仿宋" w:eastAsia="仿宋" w:cs="仿宋"/>
          <w:bCs/>
          <w:sz w:val="28"/>
          <w:szCs w:val="28"/>
        </w:rPr>
        <w:t>所属的位于</w:t>
      </w:r>
      <w:r>
        <w:rPr>
          <w:rFonts w:hint="eastAsia" w:ascii="仿宋" w:hAnsi="仿宋" w:eastAsia="仿宋" w:cs="仿宋"/>
          <w:bCs/>
          <w:sz w:val="28"/>
          <w:szCs w:val="28"/>
          <w:lang w:val="en-US" w:eastAsia="zh-CN"/>
        </w:rPr>
        <w:t>江南华庭4幢103室住宅</w:t>
      </w:r>
      <w:r>
        <w:rPr>
          <w:rFonts w:hint="eastAsia" w:ascii="仿宋" w:hAnsi="仿宋" w:eastAsia="仿宋" w:cs="仿宋"/>
          <w:sz w:val="28"/>
          <w:szCs w:val="28"/>
        </w:rPr>
        <w:t>房内的家具、家电等可移动物品</w:t>
      </w:r>
      <w:r>
        <w:rPr>
          <w:rFonts w:hint="eastAsia" w:ascii="仿宋" w:hAnsi="仿宋" w:eastAsia="仿宋" w:cs="仿宋"/>
          <w:sz w:val="28"/>
          <w:szCs w:val="28"/>
          <w:lang w:eastAsia="zh-CN"/>
        </w:rPr>
        <w:t>价值</w:t>
      </w:r>
      <w:r>
        <w:rPr>
          <w:rFonts w:ascii="仿宋" w:hAnsi="仿宋" w:eastAsia="仿宋" w:cs="仿宋"/>
          <w:sz w:val="28"/>
          <w:szCs w:val="28"/>
        </w:rPr>
        <w:t>评估净</w:t>
      </w:r>
      <w:bookmarkStart w:id="1" w:name="_GoBack"/>
      <w:bookmarkEnd w:id="1"/>
      <w:r>
        <w:rPr>
          <w:rFonts w:ascii="仿宋" w:hAnsi="仿宋" w:eastAsia="仿宋" w:cs="仿宋"/>
          <w:sz w:val="28"/>
          <w:szCs w:val="28"/>
        </w:rPr>
        <w:t>值</w:t>
      </w:r>
      <w:r>
        <w:rPr>
          <w:rFonts w:hint="eastAsia" w:ascii="仿宋" w:hAnsi="仿宋" w:eastAsia="仿宋" w:cs="仿宋"/>
          <w:sz w:val="28"/>
          <w:szCs w:val="28"/>
          <w:lang w:val="en-US" w:eastAsia="zh-CN"/>
        </w:rPr>
        <w:t>4000</w:t>
      </w:r>
      <w:r>
        <w:rPr>
          <w:rFonts w:ascii="仿宋" w:hAnsi="仿宋" w:eastAsia="仿宋" w:cs="仿宋"/>
          <w:b/>
          <w:sz w:val="28"/>
          <w:szCs w:val="28"/>
        </w:rPr>
        <w:t>元（</w:t>
      </w:r>
      <w:r>
        <w:rPr>
          <w:rFonts w:hint="eastAsia" w:ascii="仿宋" w:hAnsi="仿宋" w:eastAsia="仿宋" w:cs="仿宋"/>
          <w:b/>
          <w:sz w:val="28"/>
          <w:szCs w:val="28"/>
        </w:rPr>
        <w:t>人民币：</w:t>
      </w:r>
      <w:r>
        <w:rPr>
          <w:rFonts w:hint="eastAsia" w:ascii="仿宋" w:hAnsi="仿宋" w:eastAsia="仿宋" w:cs="仿宋"/>
          <w:b/>
          <w:sz w:val="28"/>
          <w:szCs w:val="28"/>
          <w:lang w:val="en-US" w:eastAsia="zh-CN"/>
        </w:rPr>
        <w:t>肆仟</w:t>
      </w:r>
      <w:r>
        <w:rPr>
          <w:rFonts w:hint="eastAsia" w:ascii="仿宋" w:hAnsi="仿宋" w:eastAsia="仿宋" w:cs="仿宋"/>
          <w:b/>
          <w:sz w:val="28"/>
          <w:szCs w:val="28"/>
          <w:lang w:eastAsia="zh-CN"/>
        </w:rPr>
        <w:t>元</w:t>
      </w:r>
      <w:r>
        <w:rPr>
          <w:rFonts w:ascii="仿宋" w:hAnsi="仿宋" w:eastAsia="仿宋" w:cs="仿宋"/>
          <w:b/>
          <w:sz w:val="28"/>
          <w:szCs w:val="28"/>
        </w:rPr>
        <w:t>）</w:t>
      </w:r>
      <w:r>
        <w:rPr>
          <w:rFonts w:hint="eastAsia" w:ascii="仿宋" w:hAnsi="仿宋" w:eastAsia="仿宋" w:cs="仿宋"/>
          <w:b/>
          <w:sz w:val="28"/>
          <w:szCs w:val="28"/>
        </w:rPr>
        <w:t>。</w:t>
      </w:r>
    </w:p>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(此价格仅供参考)</w:t>
      </w:r>
    </w:p>
    <w:p>
      <w:pPr>
        <w:spacing w:line="560" w:lineRule="exact"/>
        <w:rPr>
          <w:rFonts w:ascii="仿宋" w:hAnsi="仿宋" w:eastAsia="仿宋" w:cs="仿宋"/>
          <w:b/>
          <w:bCs/>
          <w:sz w:val="28"/>
          <w:szCs w:val="28"/>
        </w:rPr>
      </w:pPr>
    </w:p>
    <w:p>
      <w:pPr>
        <w:spacing w:line="560" w:lineRule="exact"/>
        <w:ind w:firstLine="4760" w:firstLineChars="1700"/>
        <w:rPr>
          <w:rFonts w:ascii="仿宋" w:hAnsi="仿宋" w:eastAsia="仿宋" w:cs="仿宋"/>
          <w:sz w:val="28"/>
          <w:szCs w:val="28"/>
        </w:rPr>
      </w:pPr>
      <w:r>
        <w:rPr>
          <w:rFonts w:hint="eastAsia" w:ascii="仿宋" w:hAnsi="仿宋" w:eastAsia="仿宋" w:cs="仿宋"/>
          <w:sz w:val="28"/>
          <w:szCs w:val="28"/>
        </w:rPr>
        <w:t>南京同伦拍拍科技有限公司</w:t>
      </w:r>
    </w:p>
    <w:p>
      <w:pPr>
        <w:spacing w:line="560" w:lineRule="exact"/>
        <w:jc w:val="right"/>
        <w:rPr>
          <w:rFonts w:hint="eastAsia" w:ascii="仿宋" w:hAnsi="仿宋" w:eastAsia="仿宋" w:cs="仿宋"/>
          <w:sz w:val="28"/>
          <w:szCs w:val="28"/>
        </w:rPr>
      </w:pPr>
      <w:r>
        <w:rPr>
          <w:rFonts w:hint="eastAsia" w:ascii="仿宋" w:hAnsi="仿宋" w:eastAsia="仿宋" w:cs="仿宋"/>
          <w:sz w:val="28"/>
          <w:szCs w:val="28"/>
        </w:rPr>
        <w:t xml:space="preserve">                                      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11</w:t>
      </w:r>
      <w:r>
        <w:rPr>
          <w:rFonts w:hint="eastAsia" w:ascii="仿宋" w:hAnsi="仿宋" w:eastAsia="仿宋" w:cs="仿宋"/>
          <w:sz w:val="28"/>
          <w:szCs w:val="28"/>
        </w:rPr>
        <w:t>月</w:t>
      </w:r>
      <w:r>
        <w:rPr>
          <w:rFonts w:hint="eastAsia" w:ascii="仿宋" w:hAnsi="仿宋" w:eastAsia="仿宋" w:cs="仿宋"/>
          <w:sz w:val="28"/>
          <w:szCs w:val="28"/>
          <w:lang w:val="en-US" w:eastAsia="zh-CN"/>
        </w:rPr>
        <w:t>21</w:t>
      </w:r>
      <w:r>
        <w:rPr>
          <w:rFonts w:hint="eastAsia" w:ascii="仿宋" w:hAnsi="仿宋" w:eastAsia="仿宋" w:cs="仿宋"/>
          <w:sz w:val="28"/>
          <w:szCs w:val="28"/>
        </w:rPr>
        <w:t>日</w:t>
      </w:r>
    </w:p>
    <w:p>
      <w:pPr>
        <w:pStyle w:val="2"/>
        <w:numPr>
          <w:ilvl w:val="0"/>
          <w:numId w:val="0"/>
        </w:numPr>
        <w:spacing w:line="240" w:lineRule="auto"/>
        <w:contextualSpacing/>
        <w:rPr>
          <w:rFonts w:hint="eastAsia" w:ascii="仿宋" w:hAnsi="仿宋" w:eastAsia="仿宋"/>
          <w:sz w:val="28"/>
          <w:szCs w:val="28"/>
        </w:rPr>
      </w:pPr>
      <w:bookmarkStart w:id="0" w:name="_Toc19783615"/>
      <w:r>
        <w:rPr>
          <w:rFonts w:ascii="仿宋" w:hAnsi="仿宋" w:eastAsia="仿宋"/>
          <w:sz w:val="28"/>
          <w:szCs w:val="28"/>
        </w:rPr>
        <w:t>附件(估价对象现场照片)</w:t>
      </w:r>
      <w:bookmarkEnd w:id="0"/>
      <w:r>
        <w:rPr>
          <w:rFonts w:hint="eastAsia" w:ascii="仿宋" w:hAnsi="仿宋" w:eastAsia="仿宋"/>
          <w:sz w:val="28"/>
          <w:szCs w:val="28"/>
        </w:rPr>
        <w:t>：</w:t>
      </w:r>
    </w:p>
    <w:p>
      <w:pPr>
        <w:rPr>
          <w:rFonts w:hint="eastAsia" w:eastAsia="仿宋"/>
          <w:lang w:eastAsia="zh-CN"/>
        </w:rPr>
      </w:pPr>
      <w:r>
        <w:rPr>
          <w:rFonts w:hint="eastAsia" w:eastAsia="仿宋"/>
          <w:lang w:eastAsia="zh-CN"/>
        </w:rPr>
        <w:drawing>
          <wp:inline distT="0" distB="0" distL="114300" distR="114300">
            <wp:extent cx="5274310" cy="7032625"/>
            <wp:effectExtent l="0" t="0" r="13970" b="8255"/>
            <wp:docPr id="1" name="图片 1" descr="lADPJv8gWYg7iAb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Jv8gWYg7iAbNBQDNA8A_960_1280"/>
                    <pic:cNvPicPr>
                      <a:picLocks noChangeAspect="1"/>
                    </pic:cNvPicPr>
                  </pic:nvPicPr>
                  <pic:blipFill>
                    <a:blip r:embed="rId7"/>
                    <a:stretch>
                      <a:fillRect/>
                    </a:stretch>
                  </pic:blipFill>
                  <pic:spPr>
                    <a:xfrm>
                      <a:off x="0" y="0"/>
                      <a:ext cx="5274310" cy="7032625"/>
                    </a:xfrm>
                    <a:prstGeom prst="rect">
                      <a:avLst/>
                    </a:prstGeom>
                  </pic:spPr>
                </pic:pic>
              </a:graphicData>
            </a:graphic>
          </wp:inline>
        </w:drawing>
      </w:r>
      <w:r>
        <w:rPr>
          <w:rFonts w:hint="eastAsia" w:eastAsia="仿宋"/>
          <w:lang w:eastAsia="zh-CN"/>
        </w:rPr>
        <w:drawing>
          <wp:inline distT="0" distB="0" distL="114300" distR="114300">
            <wp:extent cx="5274310" cy="7032625"/>
            <wp:effectExtent l="0" t="0" r="13970" b="8255"/>
            <wp:docPr id="2" name="图片 2" descr="lADPD4Bh0dN_B5_NBQDNA8A_960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D4Bh0dN_B5_NBQDNA8A_960_1280"/>
                    <pic:cNvPicPr>
                      <a:picLocks noChangeAspect="1"/>
                    </pic:cNvPicPr>
                  </pic:nvPicPr>
                  <pic:blipFill>
                    <a:blip r:embed="rId8"/>
                    <a:stretch>
                      <a:fillRect/>
                    </a:stretch>
                  </pic:blipFill>
                  <pic:spPr>
                    <a:xfrm>
                      <a:off x="0" y="0"/>
                      <a:ext cx="5274310" cy="7032625"/>
                    </a:xfrm>
                    <a:prstGeom prst="rect">
                      <a:avLst/>
                    </a:prstGeom>
                  </pic:spPr>
                </pic:pic>
              </a:graphicData>
            </a:graphic>
          </wp:inline>
        </w:drawing>
      </w:r>
      <w:r>
        <w:rPr>
          <w:rFonts w:hint="eastAsia" w:eastAsia="仿宋"/>
          <w:lang w:eastAsia="zh-CN"/>
        </w:rPr>
        <w:drawing>
          <wp:inline distT="0" distB="0" distL="114300" distR="114300">
            <wp:extent cx="5266690" cy="3950335"/>
            <wp:effectExtent l="0" t="0" r="6350" b="12065"/>
            <wp:docPr id="3" name="图片 3" descr="lADPKHe2ycJsh93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ADPKHe2ycJsh93NA8DNBQA_1280_960"/>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r>
        <w:rPr>
          <w:rFonts w:hint="eastAsia" w:eastAsia="仿宋"/>
          <w:lang w:eastAsia="zh-CN"/>
        </w:rPr>
        <w:drawing>
          <wp:inline distT="0" distB="0" distL="114300" distR="114300">
            <wp:extent cx="5266690" cy="3950335"/>
            <wp:effectExtent l="0" t="0" r="6350" b="12065"/>
            <wp:docPr id="4" name="图片 4" descr="lADPJxRxUWTih9H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DPJxRxUWTih9HNA8DNBQA_1280_960"/>
                    <pic:cNvPicPr>
                      <a:picLocks noChangeAspect="1"/>
                    </pic:cNvPicPr>
                  </pic:nvPicPr>
                  <pic:blipFill>
                    <a:blip r:embed="rId10"/>
                    <a:stretch>
                      <a:fillRect/>
                    </a:stretch>
                  </pic:blipFill>
                  <pic:spPr>
                    <a:xfrm>
                      <a:off x="0" y="0"/>
                      <a:ext cx="5266690" cy="3950335"/>
                    </a:xfrm>
                    <a:prstGeom prst="rect">
                      <a:avLst/>
                    </a:prstGeom>
                  </pic:spPr>
                </pic:pic>
              </a:graphicData>
            </a:graphic>
          </wp:inline>
        </w:drawing>
      </w:r>
      <w:r>
        <w:rPr>
          <w:rFonts w:hint="eastAsia" w:eastAsia="仿宋"/>
          <w:lang w:eastAsia="zh-CN"/>
        </w:rPr>
        <w:drawing>
          <wp:inline distT="0" distB="0" distL="114300" distR="114300">
            <wp:extent cx="5266690" cy="3950335"/>
            <wp:effectExtent l="0" t="0" r="6350" b="12065"/>
            <wp:docPr id="5" name="图片 5" descr="lADPJx8ZzVM9nwH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ADPJx8ZzVM9nwHNA8DNBQA_1280_960"/>
                    <pic:cNvPicPr>
                      <a:picLocks noChangeAspect="1"/>
                    </pic:cNvPicPr>
                  </pic:nvPicPr>
                  <pic:blipFill>
                    <a:blip r:embed="rId11"/>
                    <a:stretch>
                      <a:fillRect/>
                    </a:stretch>
                  </pic:blipFill>
                  <pic:spPr>
                    <a:xfrm>
                      <a:off x="0" y="0"/>
                      <a:ext cx="5266690" cy="3950335"/>
                    </a:xfrm>
                    <a:prstGeom prst="rect">
                      <a:avLst/>
                    </a:prstGeom>
                  </pic:spPr>
                </pic:pic>
              </a:graphicData>
            </a:graphic>
          </wp:inline>
        </w:drawing>
      </w:r>
      <w:r>
        <w:rPr>
          <w:rFonts w:hint="eastAsia" w:eastAsia="仿宋"/>
          <w:lang w:eastAsia="zh-CN"/>
        </w:rPr>
        <w:drawing>
          <wp:inline distT="0" distB="0" distL="114300" distR="114300">
            <wp:extent cx="5266690" cy="3950335"/>
            <wp:effectExtent l="0" t="0" r="6350" b="12065"/>
            <wp:docPr id="6" name="图片 6" descr="lADPJx8ZzVM2B7_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lADPJx8ZzVM2B7_NA8DNBQA_1280_960"/>
                    <pic:cNvPicPr>
                      <a:picLocks noChangeAspect="1"/>
                    </pic:cNvPicPr>
                  </pic:nvPicPr>
                  <pic:blipFill>
                    <a:blip r:embed="rId12"/>
                    <a:stretch>
                      <a:fillRect/>
                    </a:stretch>
                  </pic:blipFill>
                  <pic:spPr>
                    <a:xfrm>
                      <a:off x="0" y="0"/>
                      <a:ext cx="5266690" cy="3950335"/>
                    </a:xfrm>
                    <a:prstGeom prst="rect">
                      <a:avLst/>
                    </a:prstGeom>
                  </pic:spPr>
                </pic:pic>
              </a:graphicData>
            </a:graphic>
          </wp:inline>
        </w:drawing>
      </w:r>
      <w:r>
        <w:rPr>
          <w:rFonts w:hint="eastAsia" w:eastAsia="仿宋"/>
          <w:lang w:eastAsia="zh-CN"/>
        </w:rPr>
        <w:drawing>
          <wp:inline distT="0" distB="0" distL="114300" distR="114300">
            <wp:extent cx="5266690" cy="3950335"/>
            <wp:effectExtent l="0" t="0" r="6350" b="12065"/>
            <wp:docPr id="7" name="图片 7" descr="lADPJwY7VtHIh_7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lADPJwY7VtHIh_7NA8DNBQA_1280_960"/>
                    <pic:cNvPicPr>
                      <a:picLocks noChangeAspect="1"/>
                    </pic:cNvPicPr>
                  </pic:nvPicPr>
                  <pic:blipFill>
                    <a:blip r:embed="rId13"/>
                    <a:stretch>
                      <a:fillRect/>
                    </a:stretch>
                  </pic:blipFill>
                  <pic:spPr>
                    <a:xfrm>
                      <a:off x="0" y="0"/>
                      <a:ext cx="5266690" cy="3950335"/>
                    </a:xfrm>
                    <a:prstGeom prst="rect">
                      <a:avLst/>
                    </a:prstGeom>
                  </pic:spPr>
                </pic:pic>
              </a:graphicData>
            </a:graphic>
          </wp:inline>
        </w:drawing>
      </w:r>
      <w:r>
        <w:rPr>
          <w:rFonts w:hint="eastAsia" w:eastAsia="仿宋"/>
          <w:lang w:eastAsia="zh-CN"/>
        </w:rPr>
        <w:drawing>
          <wp:inline distT="0" distB="0" distL="114300" distR="114300">
            <wp:extent cx="5266690" cy="3950335"/>
            <wp:effectExtent l="0" t="0" r="6350" b="12065"/>
            <wp:docPr id="8" name="图片 8" descr="lADPJv8gWYg7iCHNA8DNBQA_1280_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lADPJv8gWYg7iCHNA8DNBQA_1280_960"/>
                    <pic:cNvPicPr>
                      <a:picLocks noChangeAspect="1"/>
                    </pic:cNvPicPr>
                  </pic:nvPicPr>
                  <pic:blipFill>
                    <a:blip r:embed="rId14"/>
                    <a:stretch>
                      <a:fillRect/>
                    </a:stretch>
                  </pic:blipFill>
                  <pic:spPr>
                    <a:xfrm>
                      <a:off x="0" y="0"/>
                      <a:ext cx="5266690" cy="3950335"/>
                    </a:xfrm>
                    <a:prstGeom prst="rect">
                      <a:avLst/>
                    </a:prstGeom>
                  </pic:spPr>
                </pic:pic>
              </a:graphicData>
            </a:graphic>
          </wp:inline>
        </w:drawing>
      </w:r>
    </w:p>
    <w:p>
      <w:pPr>
        <w:jc w:val="both"/>
        <w:rPr>
          <w:rFonts w:hint="eastAsia"/>
          <w:b/>
          <w:bCs/>
          <w:sz w:val="22"/>
          <w:szCs w:val="24"/>
          <w:lang w:eastAsia="zh-CN"/>
        </w:rPr>
      </w:pPr>
    </w:p>
    <w:p>
      <w:pPr>
        <w:jc w:val="center"/>
        <w:rPr>
          <w:rFonts w:hint="eastAsia"/>
          <w:b/>
          <w:bCs/>
          <w:sz w:val="22"/>
          <w:szCs w:val="24"/>
          <w:lang w:eastAsia="zh-CN"/>
        </w:rPr>
      </w:pPr>
    </w:p>
    <w:p>
      <w:pPr>
        <w:jc w:val="both"/>
        <w:rPr>
          <w:rFonts w:hint="eastAsia"/>
          <w:b/>
          <w:bCs/>
          <w:sz w:val="22"/>
          <w:szCs w:val="24"/>
          <w:lang w:eastAsia="zh-CN"/>
        </w:rPr>
      </w:pPr>
    </w:p>
    <w:p>
      <w:pPr>
        <w:jc w:val="both"/>
        <w:rPr>
          <w:rFonts w:hint="eastAsia"/>
          <w:b/>
          <w:bCs/>
          <w:sz w:val="22"/>
          <w:szCs w:val="24"/>
          <w:lang w:eastAsia="zh-CN"/>
        </w:rPr>
      </w:pPr>
    </w:p>
    <w:p>
      <w:pPr>
        <w:jc w:val="both"/>
        <w:rPr>
          <w:rFonts w:hint="eastAsia"/>
          <w:b/>
          <w:bCs/>
          <w:sz w:val="22"/>
          <w:szCs w:val="24"/>
          <w:lang w:eastAsia="zh-CN"/>
        </w:rPr>
      </w:pPr>
    </w:p>
    <w:p>
      <w:pPr>
        <w:jc w:val="both"/>
        <w:rPr>
          <w:rFonts w:hint="eastAsia"/>
          <w:b/>
          <w:bCs/>
          <w:sz w:val="22"/>
          <w:szCs w:val="24"/>
          <w:lang w:eastAsia="zh-CN"/>
        </w:rPr>
      </w:pPr>
    </w:p>
    <w:p>
      <w:pPr>
        <w:jc w:val="both"/>
        <w:rPr>
          <w:rFonts w:hint="eastAsia"/>
          <w:b w:val="0"/>
          <w:bCs w:val="0"/>
          <w:sz w:val="22"/>
          <w:szCs w:val="24"/>
          <w:lang w:eastAsia="zh-CN"/>
        </w:rPr>
      </w:pPr>
    </w:p>
    <w:p>
      <w:pPr>
        <w:jc w:val="both"/>
        <w:rPr>
          <w:rFonts w:hint="default"/>
          <w:b w:val="0"/>
          <w:bCs w:val="0"/>
          <w:sz w:val="22"/>
          <w:szCs w:val="24"/>
          <w:lang w:val="en-US" w:eastAsia="zh-CN"/>
        </w:rPr>
      </w:pPr>
    </w:p>
    <w:sectPr>
      <w:footerReference r:id="rId5"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1914198"/>
    </w:sdtPr>
    <w:sdtContent>
      <w:p>
        <w:pPr>
          <w:pStyle w:val="6"/>
          <w:jc w:val="center"/>
        </w:pPr>
        <w:r>
          <w:fldChar w:fldCharType="begin"/>
        </w:r>
        <w:r>
          <w:instrText xml:space="preserve">PAGE   \* MERGEFORMAT</w:instrText>
        </w:r>
        <w:r>
          <w:fldChar w:fldCharType="separate"/>
        </w:r>
        <w:r>
          <w:rPr>
            <w:lang w:val="zh-CN"/>
          </w:rPr>
          <w:t>5</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lvlText w:val="."/>
      <w:lvlJc w:val="left"/>
      <w:pPr>
        <w:ind w:left="1843" w:hanging="425"/>
      </w:pPr>
    </w:lvl>
    <w:lvl w:ilvl="1" w:tentative="0">
      <w:start w:val="1"/>
      <w:numFmt w:val="upperLetter"/>
      <w:lvlText w:val="%2."/>
      <w:lvlJc w:val="left"/>
      <w:pPr>
        <w:ind w:left="2268" w:hanging="425"/>
      </w:pPr>
      <w:rPr>
        <w:b w:val="0"/>
        <w:bCs w:val="0"/>
        <w:i w:val="0"/>
        <w:iCs w:val="0"/>
        <w:caps w:val="0"/>
        <w:smallCaps w:val="0"/>
        <w:vanish w:val="0"/>
        <w:spacing w:val="0"/>
        <w:position w:val="0"/>
        <w:u w:val="none"/>
        <w:vertAlign w:val="baseline"/>
      </w:rPr>
    </w:lvl>
    <w:lvl w:ilvl="2" w:tentative="0">
      <w:start w:val="1"/>
      <w:numFmt w:val="chineseCountingThousand"/>
      <w:pStyle w:val="2"/>
      <w:lvlText w:val="%3、"/>
      <w:lvlJc w:val="left"/>
      <w:pPr>
        <w:ind w:left="1134" w:hanging="425"/>
      </w:pPr>
      <w:rPr>
        <w:lang w:val="en-US"/>
      </w:rPr>
    </w:lvl>
    <w:lvl w:ilvl="3" w:tentative="0">
      <w:start w:val="1"/>
      <w:numFmt w:val="lowerLetter"/>
      <w:lvlText w:val="%4)"/>
      <w:lvlJc w:val="left"/>
      <w:pPr>
        <w:ind w:left="3118" w:hanging="425"/>
      </w:pPr>
    </w:lvl>
    <w:lvl w:ilvl="4" w:tentative="0">
      <w:start w:val="1"/>
      <w:numFmt w:val="decimal"/>
      <w:lvlText w:val="(%5)"/>
      <w:lvlJc w:val="left"/>
      <w:pPr>
        <w:ind w:left="3543" w:hanging="425"/>
      </w:pPr>
    </w:lvl>
    <w:lvl w:ilvl="5" w:tentative="0">
      <w:start w:val="1"/>
      <w:numFmt w:val="lowerLetter"/>
      <w:lvlText w:val="(%6)"/>
      <w:lvlJc w:val="left"/>
      <w:pPr>
        <w:ind w:left="3968" w:hanging="425"/>
      </w:pPr>
    </w:lvl>
    <w:lvl w:ilvl="6" w:tentative="0">
      <w:start w:val="1"/>
      <w:numFmt w:val="lowerRoman"/>
      <w:lvlText w:val="(%7)"/>
      <w:lvlJc w:val="left"/>
      <w:pPr>
        <w:ind w:left="4393" w:hanging="425"/>
      </w:pPr>
    </w:lvl>
    <w:lvl w:ilvl="7" w:tentative="0">
      <w:start w:val="1"/>
      <w:numFmt w:val="lowerLetter"/>
      <w:lvlText w:val="(%8)"/>
      <w:lvlJc w:val="left"/>
      <w:pPr>
        <w:ind w:left="4818" w:hanging="425"/>
      </w:pPr>
    </w:lvl>
    <w:lvl w:ilvl="8" w:tentative="0">
      <w:start w:val="1"/>
      <w:numFmt w:val="lowerRoman"/>
      <w:lvlText w:val="(%9)"/>
      <w:lvlJc w:val="left"/>
      <w:pPr>
        <w:ind w:left="5243"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3NTQwZTg4NmEyMzIxODkwYTA5NjE4NzgwMjQ3NGEifQ=="/>
  </w:docVars>
  <w:rsids>
    <w:rsidRoot w:val="00370258"/>
    <w:rsid w:val="00011769"/>
    <w:rsid w:val="00052181"/>
    <w:rsid w:val="000A15FD"/>
    <w:rsid w:val="00142655"/>
    <w:rsid w:val="0014386C"/>
    <w:rsid w:val="00164EB6"/>
    <w:rsid w:val="00165EDD"/>
    <w:rsid w:val="00182E64"/>
    <w:rsid w:val="001A1AC0"/>
    <w:rsid w:val="001F293F"/>
    <w:rsid w:val="00204E2E"/>
    <w:rsid w:val="00250CD7"/>
    <w:rsid w:val="002529F3"/>
    <w:rsid w:val="0028000D"/>
    <w:rsid w:val="002C2AE5"/>
    <w:rsid w:val="00310D51"/>
    <w:rsid w:val="00370258"/>
    <w:rsid w:val="003777F8"/>
    <w:rsid w:val="003D7186"/>
    <w:rsid w:val="0042685B"/>
    <w:rsid w:val="004326AF"/>
    <w:rsid w:val="004E253B"/>
    <w:rsid w:val="004F1B7C"/>
    <w:rsid w:val="005721AD"/>
    <w:rsid w:val="005C7F99"/>
    <w:rsid w:val="00601AE9"/>
    <w:rsid w:val="00611DE1"/>
    <w:rsid w:val="0061721C"/>
    <w:rsid w:val="00625F90"/>
    <w:rsid w:val="00634BC1"/>
    <w:rsid w:val="00673AED"/>
    <w:rsid w:val="00683731"/>
    <w:rsid w:val="006B7C2B"/>
    <w:rsid w:val="006C124C"/>
    <w:rsid w:val="00700EDA"/>
    <w:rsid w:val="007052F8"/>
    <w:rsid w:val="00755CFA"/>
    <w:rsid w:val="007A5D7F"/>
    <w:rsid w:val="00804A7E"/>
    <w:rsid w:val="00804D12"/>
    <w:rsid w:val="00853EB5"/>
    <w:rsid w:val="0085471F"/>
    <w:rsid w:val="008779BE"/>
    <w:rsid w:val="008A2D57"/>
    <w:rsid w:val="008F13C3"/>
    <w:rsid w:val="0090076D"/>
    <w:rsid w:val="00925977"/>
    <w:rsid w:val="00975878"/>
    <w:rsid w:val="00980AFE"/>
    <w:rsid w:val="009F050E"/>
    <w:rsid w:val="00A00B5B"/>
    <w:rsid w:val="00A24ED7"/>
    <w:rsid w:val="00A41BEE"/>
    <w:rsid w:val="00A64882"/>
    <w:rsid w:val="00AE3A64"/>
    <w:rsid w:val="00B003D0"/>
    <w:rsid w:val="00B51C8A"/>
    <w:rsid w:val="00B915C3"/>
    <w:rsid w:val="00BB6995"/>
    <w:rsid w:val="00BB7017"/>
    <w:rsid w:val="00BE677F"/>
    <w:rsid w:val="00BF48AB"/>
    <w:rsid w:val="00BF48EE"/>
    <w:rsid w:val="00CD0304"/>
    <w:rsid w:val="00CD5D93"/>
    <w:rsid w:val="00CE608A"/>
    <w:rsid w:val="00CF509F"/>
    <w:rsid w:val="00D01411"/>
    <w:rsid w:val="00D16328"/>
    <w:rsid w:val="00D226F3"/>
    <w:rsid w:val="00D317FC"/>
    <w:rsid w:val="00D41FFA"/>
    <w:rsid w:val="00D941DB"/>
    <w:rsid w:val="00DB065F"/>
    <w:rsid w:val="00DC37E9"/>
    <w:rsid w:val="00DF603D"/>
    <w:rsid w:val="00E17716"/>
    <w:rsid w:val="00E56F21"/>
    <w:rsid w:val="00E74179"/>
    <w:rsid w:val="00E93BB0"/>
    <w:rsid w:val="00E9647B"/>
    <w:rsid w:val="00EA2226"/>
    <w:rsid w:val="00EA4B66"/>
    <w:rsid w:val="00EC68D3"/>
    <w:rsid w:val="00ED66B4"/>
    <w:rsid w:val="00F2703C"/>
    <w:rsid w:val="00F84DFC"/>
    <w:rsid w:val="021571C1"/>
    <w:rsid w:val="0500536B"/>
    <w:rsid w:val="07F70D27"/>
    <w:rsid w:val="093F2E2C"/>
    <w:rsid w:val="09D07573"/>
    <w:rsid w:val="0A107C62"/>
    <w:rsid w:val="0AE23A82"/>
    <w:rsid w:val="0D41447E"/>
    <w:rsid w:val="0DC52D83"/>
    <w:rsid w:val="135E1821"/>
    <w:rsid w:val="15821CB1"/>
    <w:rsid w:val="174C41EC"/>
    <w:rsid w:val="17765818"/>
    <w:rsid w:val="1791360E"/>
    <w:rsid w:val="190D3270"/>
    <w:rsid w:val="1A090BF1"/>
    <w:rsid w:val="1A095D4F"/>
    <w:rsid w:val="1B920B71"/>
    <w:rsid w:val="1F8670B1"/>
    <w:rsid w:val="259B6EFA"/>
    <w:rsid w:val="294B3722"/>
    <w:rsid w:val="29A559ED"/>
    <w:rsid w:val="2BC84575"/>
    <w:rsid w:val="2E9937E6"/>
    <w:rsid w:val="30E8522C"/>
    <w:rsid w:val="32471A3E"/>
    <w:rsid w:val="333D3C6C"/>
    <w:rsid w:val="36B42A88"/>
    <w:rsid w:val="379E6143"/>
    <w:rsid w:val="3EEC51EF"/>
    <w:rsid w:val="439E1024"/>
    <w:rsid w:val="441F5727"/>
    <w:rsid w:val="455F5793"/>
    <w:rsid w:val="4A3B3B05"/>
    <w:rsid w:val="4BFF306C"/>
    <w:rsid w:val="568E371C"/>
    <w:rsid w:val="56CA7DF1"/>
    <w:rsid w:val="591E13DA"/>
    <w:rsid w:val="5ED719AC"/>
    <w:rsid w:val="5F303004"/>
    <w:rsid w:val="5F871D95"/>
    <w:rsid w:val="66F9661B"/>
    <w:rsid w:val="6B195246"/>
    <w:rsid w:val="6B5174E1"/>
    <w:rsid w:val="6C0649FA"/>
    <w:rsid w:val="6D3E2589"/>
    <w:rsid w:val="6D8A0915"/>
    <w:rsid w:val="703954AB"/>
    <w:rsid w:val="711A0415"/>
    <w:rsid w:val="712D52AA"/>
    <w:rsid w:val="76587485"/>
    <w:rsid w:val="7C1D4FD1"/>
    <w:rsid w:val="7F6C0F72"/>
    <w:rsid w:val="7F7708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9"/>
    <w:pPr>
      <w:keepNext/>
      <w:keepLines/>
      <w:numPr>
        <w:ilvl w:val="2"/>
        <w:numId w:val="1"/>
      </w:numPr>
      <w:adjustRightInd w:val="0"/>
      <w:spacing w:before="260" w:after="260" w:line="416" w:lineRule="atLeast"/>
      <w:outlineLvl w:val="2"/>
    </w:pPr>
    <w:rPr>
      <w:rFonts w:eastAsia="Arial Unicode MS"/>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unhideWhenUsed/>
    <w:qFormat/>
    <w:uiPriority w:val="99"/>
    <w:rPr>
      <w:rFonts w:ascii="宋体" w:hAnsi="Courier New"/>
      <w:szCs w:val="20"/>
    </w:rPr>
  </w:style>
  <w:style w:type="paragraph" w:styleId="4">
    <w:name w:val="Date"/>
    <w:basedOn w:val="1"/>
    <w:next w:val="1"/>
    <w:link w:val="15"/>
    <w:semiHidden/>
    <w:unhideWhenUsed/>
    <w:qFormat/>
    <w:uiPriority w:val="99"/>
    <w:pPr>
      <w:ind w:left="100" w:leftChars="2500"/>
    </w:pPr>
  </w:style>
  <w:style w:type="paragraph" w:styleId="5">
    <w:name w:val="Balloon Text"/>
    <w:basedOn w:val="1"/>
    <w:link w:val="13"/>
    <w:semiHidden/>
    <w:unhideWhenUsed/>
    <w:qFormat/>
    <w:uiPriority w:val="99"/>
    <w:rPr>
      <w:sz w:val="18"/>
      <w:szCs w:val="18"/>
    </w:rPr>
  </w:style>
  <w:style w:type="paragraph" w:styleId="6">
    <w:name w:val="footer"/>
    <w:basedOn w:val="1"/>
    <w:link w:val="10"/>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99"/>
    <w:rPr>
      <w:rFonts w:ascii="Calibri" w:hAnsi="Calibri" w:eastAsia="宋体" w:cs="Times New Roman"/>
      <w:sz w:val="18"/>
      <w:szCs w:val="18"/>
    </w:rPr>
  </w:style>
  <w:style w:type="character" w:customStyle="1" w:styleId="11">
    <w:name w:val="纯文本 Char"/>
    <w:basedOn w:val="9"/>
    <w:link w:val="3"/>
    <w:qFormat/>
    <w:uiPriority w:val="99"/>
    <w:rPr>
      <w:rFonts w:ascii="宋体" w:hAnsi="Courier New" w:eastAsia="宋体" w:cs="Times New Roman"/>
      <w:szCs w:val="20"/>
    </w:rPr>
  </w:style>
  <w:style w:type="character" w:customStyle="1" w:styleId="12">
    <w:name w:val="页眉 Char"/>
    <w:basedOn w:val="9"/>
    <w:link w:val="7"/>
    <w:qFormat/>
    <w:uiPriority w:val="99"/>
    <w:rPr>
      <w:rFonts w:ascii="Calibri" w:hAnsi="Calibri" w:eastAsia="宋体" w:cs="Times New Roman"/>
      <w:sz w:val="18"/>
      <w:szCs w:val="18"/>
    </w:rPr>
  </w:style>
  <w:style w:type="character" w:customStyle="1" w:styleId="13">
    <w:name w:val="批注框文本 Char"/>
    <w:basedOn w:val="9"/>
    <w:link w:val="5"/>
    <w:semiHidden/>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日期 Char"/>
    <w:basedOn w:val="9"/>
    <w:link w:val="4"/>
    <w:semiHidden/>
    <w:qFormat/>
    <w:uiPriority w:val="99"/>
    <w:rPr>
      <w:rFonts w:ascii="Calibri" w:hAnsi="Calibri" w:eastAsia="宋体" w:cs="Times New Roman"/>
    </w:rPr>
  </w:style>
  <w:style w:type="character" w:customStyle="1" w:styleId="16">
    <w:name w:val="font01"/>
    <w:basedOn w:val="9"/>
    <w:qFormat/>
    <w:uiPriority w:val="0"/>
    <w:rPr>
      <w:rFonts w:ascii="Arial" w:hAnsi="Arial" w:cs="Arial"/>
      <w:color w:val="000000"/>
      <w:sz w:val="24"/>
      <w:szCs w:val="24"/>
      <w:u w:val="none"/>
    </w:rPr>
  </w:style>
  <w:style w:type="character" w:customStyle="1" w:styleId="17">
    <w:name w:val="font2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4304-F537-4787-94A4-411FE4B0282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1604</Words>
  <Characters>1779</Characters>
  <Lines>16</Lines>
  <Paragraphs>4</Paragraphs>
  <TotalTime>1</TotalTime>
  <ScaleCrop>false</ScaleCrop>
  <LinksUpToDate>false</LinksUpToDate>
  <CharactersWithSpaces>1895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2020-05-15T06:18:00Z</dcterms:created>
  <dc:creator>蒋子昂</dc:creator>
  <cp:lastModifiedBy>Administrator</cp:lastModifiedBy>
  <cp:lastPrinted>2018-01-18T00:49:00Z</cp:lastPrinted>
  <dcterms:modified xsi:type="dcterms:W3CDTF">2022-12-01T02:59:14Z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135A668EC181465DA9B63D32716A9C20</vt:lpwstr>
  </property>
</Properties>
</file>