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rFonts w:hint="eastAsia" w:ascii="宋体" w:hAnsi="宋体" w:eastAsia="宋体" w:cs="宋体"/>
          <w:szCs w:val="21"/>
        </w:rPr>
      </w:pPr>
      <w:r>
        <w:rPr>
          <w:rFonts w:hint="eastAsia" w:ascii="宋体" w:hAnsi="宋体" w:eastAsia="宋体" w:cs="宋体"/>
          <w:szCs w:val="21"/>
        </w:rPr>
        <w:t>本报告依据中国资产评估准则</w:t>
      </w:r>
    </w:p>
    <w:p>
      <w:pPr>
        <w:autoSpaceDE w:val="0"/>
        <w:autoSpaceDN w:val="0"/>
        <w:spacing w:line="276" w:lineRule="auto"/>
        <w:rPr>
          <w:rFonts w:hint="eastAsia" w:ascii="宋体" w:hAnsi="宋体" w:eastAsia="宋体" w:cs="宋体"/>
          <w:szCs w:val="21"/>
        </w:rPr>
      </w:pPr>
      <w:r>
        <w:rPr>
          <w:rFonts w:hint="eastAsia" w:ascii="宋体" w:hAnsi="宋体" w:eastAsia="宋体" w:cs="宋体"/>
          <w:szCs w:val="21"/>
        </w:rPr>
        <w:t>人民法院委托财产处置评估指导意见编制</w:t>
      </w:r>
    </w:p>
    <w:p>
      <w:pPr>
        <w:autoSpaceDE w:val="0"/>
        <w:autoSpaceDN w:val="0"/>
        <w:adjustRightInd w:val="0"/>
        <w:spacing w:line="600" w:lineRule="exact"/>
        <w:rPr>
          <w:rFonts w:hint="eastAsia" w:ascii="宋体" w:hAnsi="宋体" w:eastAsia="宋体" w:cs="宋体"/>
        </w:rPr>
      </w:pPr>
    </w:p>
    <w:p>
      <w:pPr>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ind w:right="-2" w:rightChars="-1" w:firstLine="723" w:firstLineChars="200"/>
        <w:jc w:val="center"/>
        <w:rPr>
          <w:rFonts w:hint="eastAsia" w:ascii="宋体" w:hAnsi="宋体" w:eastAsia="宋体" w:cs="宋体"/>
          <w:b/>
          <w:sz w:val="36"/>
          <w:szCs w:val="36"/>
        </w:rPr>
      </w:pPr>
    </w:p>
    <w:p>
      <w:pPr>
        <w:spacing w:line="360" w:lineRule="auto"/>
        <w:ind w:right="-2" w:rightChars="-1"/>
        <w:jc w:val="center"/>
        <w:rPr>
          <w:rFonts w:hint="eastAsia" w:ascii="宋体" w:hAnsi="宋体" w:eastAsia="宋体" w:cs="宋体"/>
          <w:b/>
          <w:sz w:val="32"/>
          <w:szCs w:val="32"/>
        </w:rPr>
      </w:pPr>
      <w:bookmarkStart w:id="0" w:name="_Hlk93491395"/>
      <w:r>
        <w:rPr>
          <w:rFonts w:hint="eastAsia" w:ascii="宋体" w:hAnsi="宋体" w:eastAsia="宋体" w:cs="宋体"/>
          <w:b/>
          <w:sz w:val="32"/>
          <w:szCs w:val="32"/>
        </w:rPr>
        <w:t>杭州市富阳区人民法院拟财产处置涉及的</w:t>
      </w:r>
      <w:r>
        <w:rPr>
          <w:rFonts w:hint="eastAsia" w:ascii="宋体" w:hAnsi="宋体" w:eastAsia="宋体" w:cs="宋体"/>
          <w:b/>
          <w:sz w:val="32"/>
          <w:szCs w:val="32"/>
          <w:lang w:eastAsia="zh-CN"/>
        </w:rPr>
        <w:t>郭其美、毛里永所有的位于诸暨市浣东街道宏城瑞东园5幢1单元201室房地产、地下车位、室内装修及家具家电</w:t>
      </w:r>
      <w:r>
        <w:rPr>
          <w:rFonts w:hint="eastAsia" w:ascii="宋体" w:hAnsi="宋体" w:eastAsia="宋体" w:cs="宋体"/>
          <w:b/>
          <w:sz w:val="32"/>
          <w:szCs w:val="32"/>
        </w:rPr>
        <w:t>市场价值司法评估项目</w:t>
      </w:r>
    </w:p>
    <w:bookmarkEnd w:id="0"/>
    <w:p>
      <w:pPr>
        <w:pStyle w:val="2"/>
        <w:tabs>
          <w:tab w:val="center" w:pos="4153"/>
          <w:tab w:val="right" w:pos="8306"/>
        </w:tabs>
        <w:spacing w:line="360" w:lineRule="auto"/>
        <w:rPr>
          <w:rFonts w:hint="eastAsia" w:ascii="宋体" w:hAnsi="宋体" w:eastAsia="宋体" w:cs="宋体"/>
          <w:sz w:val="48"/>
          <w:szCs w:val="48"/>
        </w:rPr>
      </w:pPr>
      <w:r>
        <w:rPr>
          <w:rFonts w:hint="eastAsia" w:ascii="宋体" w:hAnsi="宋体" w:eastAsia="宋体" w:cs="宋体"/>
          <w:b/>
          <w:sz w:val="48"/>
          <w:szCs w:val="48"/>
        </w:rPr>
        <w:tab/>
      </w:r>
      <w:r>
        <w:rPr>
          <w:rFonts w:hint="eastAsia" w:ascii="宋体" w:hAnsi="宋体" w:eastAsia="宋体" w:cs="宋体"/>
          <w:b/>
          <w:sz w:val="48"/>
          <w:szCs w:val="48"/>
        </w:rPr>
        <w:t>资产评估报告</w:t>
      </w:r>
      <w:r>
        <w:rPr>
          <w:rFonts w:hint="eastAsia" w:ascii="宋体" w:hAnsi="宋体" w:eastAsia="宋体" w:cs="宋体"/>
          <w:b/>
          <w:sz w:val="48"/>
          <w:szCs w:val="48"/>
        </w:rPr>
        <w:tab/>
      </w:r>
    </w:p>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富资评字【2022】SF第0071号</w:t>
      </w: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（第一册 共一册）</w:t>
      </w:r>
    </w:p>
    <w:p>
      <w:pPr>
        <w:spacing w:before="156" w:beforeLines="50" w:line="480" w:lineRule="auto"/>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rPr>
          <w:rFonts w:hint="eastAsia" w:ascii="宋体" w:hAnsi="宋体" w:eastAsia="宋体" w:cs="宋体"/>
          <w:b/>
          <w:bCs/>
          <w:sz w:val="32"/>
          <w:szCs w:val="32"/>
        </w:rPr>
      </w:pPr>
    </w:p>
    <w:p>
      <w:pPr>
        <w:spacing w:line="560" w:lineRule="exact"/>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杭州富诚资产评估有限公司</w:t>
      </w:r>
    </w:p>
    <w:p>
      <w:pPr>
        <w:spacing w:line="560" w:lineRule="exact"/>
        <w:jc w:val="center"/>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二〇二二年十月十四日</w:t>
      </w: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19"/>
        <w:jc w:val="both"/>
        <w:rPr>
          <w:rFonts w:hint="eastAsia" w:ascii="宋体" w:hAnsi="宋体" w:eastAsia="宋体" w:cs="宋体"/>
          <w:color w:val="000000"/>
          <w:sz w:val="44"/>
          <w:szCs w:val="44"/>
          <w:lang w:val="zh-CN"/>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19"/>
        <w:jc w:val="center"/>
        <w:rPr>
          <w:rFonts w:hint="eastAsia" w:ascii="宋体" w:hAnsi="宋体" w:eastAsia="宋体" w:cs="宋体"/>
          <w:color w:val="000000"/>
          <w:sz w:val="44"/>
          <w:szCs w:val="44"/>
          <w:lang w:val="zh-CN"/>
        </w:rPr>
      </w:pPr>
      <w:r>
        <w:rPr>
          <w:rFonts w:hint="eastAsia" w:ascii="宋体" w:hAnsi="宋体" w:eastAsia="宋体" w:cs="宋体"/>
          <w:color w:val="000000"/>
          <w:sz w:val="44"/>
          <w:szCs w:val="44"/>
          <w:lang w:val="zh-CN"/>
        </w:rPr>
        <w:t>目录</w:t>
      </w:r>
    </w:p>
    <w:p>
      <w:pPr>
        <w:rPr>
          <w:rFonts w:hint="eastAsia" w:ascii="宋体" w:hAnsi="宋体" w:eastAsia="宋体" w:cs="宋体"/>
          <w:lang w:val="zh-CN"/>
        </w:rPr>
      </w:pPr>
    </w:p>
    <w:sdt>
      <w:sdtPr>
        <w:rPr>
          <w:rFonts w:hint="eastAsia" w:ascii="宋体" w:hAnsi="宋体" w:eastAsia="宋体" w:cs="宋体"/>
          <w:kern w:val="0"/>
          <w:sz w:val="20"/>
          <w:szCs w:val="20"/>
        </w:rPr>
        <w:id w:val="-1117755627"/>
        <w15:color w:val="DBDBDB"/>
      </w:sdtPr>
      <w:sdtEndPr>
        <w:rPr>
          <w:rFonts w:hint="eastAsia" w:ascii="宋体" w:hAnsi="宋体" w:eastAsia="宋体" w:cs="宋体"/>
          <w:kern w:val="0"/>
          <w:sz w:val="20"/>
          <w:szCs w:val="20"/>
        </w:rPr>
      </w:sdtEndPr>
      <w:sdtContent>
        <w:p>
          <w:pPr>
            <w:jc w:val="center"/>
            <w:rPr>
              <w:rFonts w:hint="eastAsia" w:ascii="宋体" w:hAnsi="宋体" w:eastAsia="宋体" w:cs="宋体"/>
            </w:rPr>
          </w:pPr>
          <w:bookmarkStart w:id="1" w:name="_Toc498855171_WPSOffice_Type1"/>
          <w:bookmarkStart w:id="2" w:name="_Toc37185834"/>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"_Toc74592687_WPSOffice_Level1"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57770182"/>
              <w:placeholder>
                <w:docPart w:val="{693f6577-25f3-4dd3-8068-a434f0419ed1}"/>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声明</w:t>
              </w:r>
            </w:sdtContent>
          </w:sdt>
          <w:r>
            <w:rPr>
              <w:rFonts w:hint="eastAsia" w:ascii="宋体" w:hAnsi="宋体" w:eastAsia="宋体" w:cs="宋体"/>
              <w:sz w:val="28"/>
              <w:szCs w:val="28"/>
            </w:rPr>
            <w:tab/>
          </w:r>
          <w:bookmarkStart w:id="3" w:name="_Toc74592687_WPSOffice_Level1Page"/>
          <w:r>
            <w:rPr>
              <w:rFonts w:hint="eastAsia" w:ascii="宋体" w:hAnsi="宋体" w:eastAsia="宋体" w:cs="宋体"/>
              <w:sz w:val="28"/>
              <w:szCs w:val="28"/>
            </w:rPr>
            <w:t>3</w:t>
          </w:r>
          <w:bookmarkEnd w:id="3"/>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lang w:eastAsia="zh-CN"/>
            </w:rPr>
            <w:t>摘要</w:t>
          </w:r>
          <w:r>
            <w:rPr>
              <w:rFonts w:hint="eastAsia" w:ascii="宋体" w:hAnsi="宋体" w:eastAsia="宋体" w:cs="宋体"/>
              <w:sz w:val="28"/>
              <w:szCs w:val="28"/>
            </w:rPr>
            <w:tab/>
          </w:r>
          <w:r>
            <w:rPr>
              <w:rFonts w:hint="eastAsia" w:ascii="宋体" w:hAnsi="宋体" w:eastAsia="宋体" w:cs="宋体"/>
              <w:sz w:val="28"/>
              <w:szCs w:val="28"/>
              <w:lang w:val="en-US" w:eastAsia="zh-CN"/>
            </w:rPr>
            <w:t>4</w:t>
          </w:r>
        </w:p>
        <w:p>
          <w:pPr>
            <w:pStyle w:val="2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正文</w:t>
          </w:r>
          <w:r>
            <w:rPr>
              <w:rFonts w:hint="eastAsia" w:ascii="宋体" w:hAnsi="宋体" w:eastAsia="宋体" w:cs="宋体"/>
              <w:sz w:val="28"/>
              <w:szCs w:val="28"/>
            </w:rPr>
            <w:tab/>
          </w:r>
          <w:r>
            <w:rPr>
              <w:rFonts w:hint="eastAsia" w:ascii="宋体" w:hAnsi="宋体" w:eastAsia="宋体" w:cs="宋体"/>
              <w:sz w:val="28"/>
              <w:szCs w:val="28"/>
              <w:lang w:val="en-US" w:eastAsia="zh-CN"/>
            </w:rPr>
            <w:t>6</w:t>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"_Toc498855171_WPSOffice_Level1"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595832924"/>
              <w:placeholder>
                <w:docPart w:val="{5db44a22-710c-44ab-a5e4-1792c8158ba2}"/>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一、委托人、</w:t>
              </w:r>
              <w:r>
                <w:rPr>
                  <w:rFonts w:hint="eastAsia" w:ascii="宋体" w:hAnsi="宋体" w:eastAsia="宋体" w:cs="宋体"/>
                  <w:sz w:val="28"/>
                  <w:szCs w:val="28"/>
                  <w:lang w:eastAsia="zh-CN"/>
                </w:rPr>
                <w:t>产权持有者</w:t>
              </w:r>
              <w:r>
                <w:rPr>
                  <w:rFonts w:hint="eastAsia" w:ascii="宋体" w:hAnsi="宋体" w:eastAsia="宋体" w:cs="宋体"/>
                  <w:sz w:val="28"/>
                  <w:szCs w:val="28"/>
                </w:rPr>
                <w:t>和资产评估委托合同约定的其他资产评估报告使用人</w:t>
              </w:r>
            </w:sdtContent>
          </w:sdt>
          <w:r>
            <w:rPr>
              <w:rFonts w:hint="eastAsia" w:ascii="宋体" w:hAnsi="宋体" w:eastAsia="宋体" w:cs="宋体"/>
              <w:sz w:val="28"/>
              <w:szCs w:val="28"/>
            </w:rPr>
            <w:tab/>
          </w:r>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"_Toc482701109_WPSOffice_Level1"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389150167"/>
              <w:placeholder>
                <w:docPart w:val="{46956840-d113-48e8-89ac-5fa39eae4a2a}"/>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二、评估目的</w:t>
              </w:r>
            </w:sdtContent>
          </w:sdt>
          <w:r>
            <w:rPr>
              <w:rFonts w:hint="eastAsia" w:ascii="宋体" w:hAnsi="宋体" w:eastAsia="宋体" w:cs="宋体"/>
              <w:sz w:val="28"/>
              <w:szCs w:val="28"/>
            </w:rPr>
            <w:tab/>
          </w:r>
          <w:bookmarkStart w:id="4" w:name="_Toc482701109_WPSOffice_Level1Page"/>
          <w:r>
            <w:rPr>
              <w:rFonts w:hint="eastAsia" w:ascii="宋体" w:hAnsi="宋体" w:eastAsia="宋体" w:cs="宋体"/>
              <w:sz w:val="28"/>
              <w:szCs w:val="28"/>
            </w:rPr>
            <w:t>7</w:t>
          </w:r>
          <w:bookmarkEnd w:id="4"/>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"_Toc1711804244_WPSOffice_Level1"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60263247"/>
              <w:placeholder>
                <w:docPart w:val="{c871e4e8-8654-4588-bf74-1ca2489500e1}"/>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三、评估对象及范围</w:t>
              </w:r>
            </w:sdtContent>
          </w:sdt>
          <w:r>
            <w:rPr>
              <w:rFonts w:hint="eastAsia" w:ascii="宋体" w:hAnsi="宋体" w:eastAsia="宋体" w:cs="宋体"/>
              <w:sz w:val="28"/>
              <w:szCs w:val="28"/>
            </w:rPr>
            <w:tab/>
          </w:r>
          <w:bookmarkStart w:id="5" w:name="_Toc1711804244_WPSOffice_Level1Page"/>
          <w:r>
            <w:rPr>
              <w:rFonts w:hint="eastAsia" w:ascii="宋体" w:hAnsi="宋体" w:eastAsia="宋体" w:cs="宋体"/>
              <w:sz w:val="28"/>
              <w:szCs w:val="28"/>
            </w:rPr>
            <w:t>7</w:t>
          </w:r>
          <w:bookmarkEnd w:id="5"/>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"_Toc455510049_WPSOffice_Level1"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70137741"/>
              <w:placeholder>
                <w:docPart w:val="{e71e5423-e652-4c65-b080-31dcbd204a72}"/>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四、价值类型</w:t>
              </w:r>
            </w:sdtContent>
          </w:sdt>
          <w:r>
            <w:rPr>
              <w:rFonts w:hint="eastAsia" w:ascii="宋体" w:hAnsi="宋体" w:eastAsia="宋体" w:cs="宋体"/>
              <w:sz w:val="28"/>
              <w:szCs w:val="28"/>
            </w:rPr>
            <w:tab/>
          </w:r>
          <w:r>
            <w:rPr>
              <w:rFonts w:hint="eastAsia" w:ascii="宋体" w:hAnsi="宋体" w:eastAsia="宋体" w:cs="宋体"/>
              <w:sz w:val="28"/>
              <w:szCs w:val="28"/>
              <w:lang w:val="en-US" w:eastAsia="zh-CN"/>
            </w:rPr>
            <w:t>8</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"_Toc2125675635_WPSOffice_Level1"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85597721"/>
              <w:placeholder>
                <w:docPart w:val="{c4d4b21c-d43f-44f9-b8ca-a0fb6f66fa0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五、评估基准日</w:t>
              </w:r>
            </w:sdtContent>
          </w:sdt>
          <w:r>
            <w:rPr>
              <w:rFonts w:hint="eastAsia" w:ascii="宋体" w:hAnsi="宋体" w:eastAsia="宋体" w:cs="宋体"/>
              <w:sz w:val="28"/>
              <w:szCs w:val="28"/>
            </w:rPr>
            <w:tab/>
          </w:r>
          <w:bookmarkStart w:id="6" w:name="_Toc2125675635_WPSOffice_Level1Page"/>
          <w:r>
            <w:rPr>
              <w:rFonts w:hint="eastAsia" w:ascii="宋体" w:hAnsi="宋体" w:eastAsia="宋体" w:cs="宋体"/>
              <w:sz w:val="28"/>
              <w:szCs w:val="28"/>
            </w:rPr>
            <w:t>9</w:t>
          </w:r>
          <w:bookmarkEnd w:id="6"/>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"_Toc692445953_WPSOffice_Level1"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984686064"/>
              <w:placeholder>
                <w:docPart w:val="{1298ea4a-cd1c-4637-9d5c-246c79d9c77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六、评估假设</w:t>
              </w:r>
            </w:sdtContent>
          </w:sdt>
          <w:r>
            <w:rPr>
              <w:rFonts w:hint="eastAsia" w:ascii="宋体" w:hAnsi="宋体" w:eastAsia="宋体" w:cs="宋体"/>
              <w:sz w:val="28"/>
              <w:szCs w:val="28"/>
            </w:rPr>
            <w:tab/>
          </w:r>
          <w:bookmarkStart w:id="7" w:name="_Toc692445953_WPSOffice_Level1Page"/>
          <w:r>
            <w:rPr>
              <w:rFonts w:hint="eastAsia" w:ascii="宋体" w:hAnsi="宋体" w:eastAsia="宋体" w:cs="宋体"/>
              <w:sz w:val="28"/>
              <w:szCs w:val="28"/>
            </w:rPr>
            <w:t>9</w:t>
          </w:r>
          <w:bookmarkEnd w:id="7"/>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"_Toc725248978_WPSOffice_Level1"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44156659"/>
              <w:placeholder>
                <w:docPart w:val="{e57bfa72-7b7e-465f-bcd0-6964f032d2a9}"/>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七、评估依据</w:t>
              </w:r>
            </w:sdtContent>
          </w:sdt>
          <w:r>
            <w:rPr>
              <w:rFonts w:hint="eastAsia" w:ascii="宋体" w:hAnsi="宋体" w:eastAsia="宋体" w:cs="宋体"/>
              <w:sz w:val="28"/>
              <w:szCs w:val="28"/>
            </w:rPr>
            <w:tab/>
          </w:r>
          <w:bookmarkStart w:id="8" w:name="_Toc725248978_WPSOffice_Level1Page"/>
          <w:r>
            <w:rPr>
              <w:rFonts w:hint="eastAsia" w:ascii="宋体" w:hAnsi="宋体" w:eastAsia="宋体" w:cs="宋体"/>
              <w:sz w:val="28"/>
              <w:szCs w:val="28"/>
            </w:rPr>
            <w:t>10</w:t>
          </w:r>
          <w:bookmarkEnd w:id="8"/>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"_Toc142392874_WPSOffice_Level1"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599242422"/>
              <w:placeholder>
                <w:docPart w:val="{14eb227b-7283-410c-9201-a18d1f81045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八、评估方法</w:t>
              </w:r>
            </w:sdtContent>
          </w:sdt>
          <w:r>
            <w:rPr>
              <w:rFonts w:hint="eastAsia" w:ascii="宋体" w:hAnsi="宋体" w:eastAsia="宋体" w:cs="宋体"/>
              <w:sz w:val="28"/>
              <w:szCs w:val="28"/>
            </w:rPr>
            <w:tab/>
          </w:r>
          <w:bookmarkStart w:id="9" w:name="_Toc142392874_WPSOffice_Level1Page"/>
          <w:r>
            <w:rPr>
              <w:rFonts w:hint="eastAsia" w:ascii="宋体" w:hAnsi="宋体" w:eastAsia="宋体" w:cs="宋体"/>
              <w:sz w:val="28"/>
              <w:szCs w:val="28"/>
            </w:rPr>
            <w:t>1</w:t>
          </w:r>
          <w:bookmarkEnd w:id="9"/>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"_Toc900250560_WPSOffice_Level1"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63466498"/>
              <w:placeholder>
                <w:docPart w:val="{cc485ca2-c1dd-4cf8-a5ef-e9511dd8289d}"/>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九、评估过程</w:t>
              </w:r>
            </w:sdtContent>
          </w:sdt>
          <w:r>
            <w:rPr>
              <w:rFonts w:hint="eastAsia" w:ascii="宋体" w:hAnsi="宋体" w:eastAsia="宋体" w:cs="宋体"/>
              <w:sz w:val="28"/>
              <w:szCs w:val="28"/>
            </w:rPr>
            <w:tab/>
          </w:r>
          <w:bookmarkStart w:id="10" w:name="_Toc900250560_WPSOffice_Level1Page"/>
          <w:r>
            <w:rPr>
              <w:rFonts w:hint="eastAsia" w:ascii="宋体" w:hAnsi="宋体" w:eastAsia="宋体" w:cs="宋体"/>
              <w:sz w:val="28"/>
              <w:szCs w:val="28"/>
            </w:rPr>
            <w:t>1</w:t>
          </w:r>
          <w:bookmarkEnd w:id="10"/>
          <w:r>
            <w:rPr>
              <w:rFonts w:hint="eastAsia" w:ascii="宋体" w:hAnsi="宋体" w:eastAsia="宋体" w:cs="宋体"/>
              <w:sz w:val="28"/>
              <w:szCs w:val="28"/>
              <w:lang w:val="en-US" w:eastAsia="zh-CN"/>
            </w:rPr>
            <w:t>3</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"_Toc1488868805_WPSOffice_Level1"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4839360"/>
              <w:placeholder>
                <w:docPart w:val="{26ba7ea4-0fa4-4f8b-9938-1fbf7252fad3}"/>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十、评估结论</w:t>
              </w:r>
            </w:sdtContent>
          </w:sdt>
          <w:r>
            <w:rPr>
              <w:rFonts w:hint="eastAsia" w:ascii="宋体" w:hAnsi="宋体" w:eastAsia="宋体" w:cs="宋体"/>
              <w:sz w:val="28"/>
              <w:szCs w:val="28"/>
            </w:rPr>
            <w:tab/>
          </w:r>
          <w:bookmarkStart w:id="11" w:name="_Toc1488868805_WPSOffice_Level1Page"/>
          <w:r>
            <w:rPr>
              <w:rFonts w:hint="eastAsia" w:ascii="宋体" w:hAnsi="宋体" w:eastAsia="宋体" w:cs="宋体"/>
              <w:sz w:val="28"/>
              <w:szCs w:val="28"/>
            </w:rPr>
            <w:t>14</w:t>
          </w:r>
          <w:bookmarkEnd w:id="11"/>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"_Toc938550791_WPSOffice_Level1"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98996235"/>
              <w:placeholder>
                <w:docPart w:val="{71391b02-8c8b-4a97-80b1-a14f973e6cb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十一、特别事项说明</w:t>
              </w:r>
            </w:sdtContent>
          </w:sdt>
          <w:r>
            <w:rPr>
              <w:rFonts w:hint="eastAsia" w:ascii="宋体" w:hAnsi="宋体" w:eastAsia="宋体" w:cs="宋体"/>
              <w:sz w:val="28"/>
              <w:szCs w:val="28"/>
            </w:rPr>
            <w:tab/>
          </w:r>
          <w:bookmarkStart w:id="12" w:name="_Toc938550791_WPSOffice_Level1Page"/>
          <w:r>
            <w:rPr>
              <w:rFonts w:hint="eastAsia" w:ascii="宋体" w:hAnsi="宋体" w:eastAsia="宋体" w:cs="宋体"/>
              <w:sz w:val="28"/>
              <w:szCs w:val="28"/>
            </w:rPr>
            <w:t>1</w:t>
          </w:r>
          <w:bookmarkEnd w:id="12"/>
          <w:r>
            <w:rPr>
              <w:rFonts w:hint="eastAsia" w:ascii="宋体" w:hAnsi="宋体" w:eastAsia="宋体" w:cs="宋体"/>
              <w:sz w:val="28"/>
              <w:szCs w:val="28"/>
              <w:lang w:val="en-US" w:eastAsia="zh-CN"/>
            </w:rPr>
            <w:t>5</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"_Toc955757122_WPSOffice_Level1"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68365315"/>
              <w:placeholder>
                <w:docPart w:val="{d0deffe7-dd1c-45d7-a6ea-cb7765e91527}"/>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十二、评估报告使用限制说明</w:t>
              </w:r>
            </w:sdtContent>
          </w:sdt>
          <w:r>
            <w:rPr>
              <w:rFonts w:hint="eastAsia" w:ascii="宋体" w:hAnsi="宋体" w:eastAsia="宋体" w:cs="宋体"/>
              <w:sz w:val="28"/>
              <w:szCs w:val="28"/>
            </w:rPr>
            <w:tab/>
          </w:r>
          <w:bookmarkStart w:id="13" w:name="_Toc955757122_WPSOffice_Level1Page"/>
          <w:r>
            <w:rPr>
              <w:rFonts w:hint="eastAsia" w:ascii="宋体" w:hAnsi="宋体" w:eastAsia="宋体" w:cs="宋体"/>
              <w:sz w:val="28"/>
              <w:szCs w:val="28"/>
            </w:rPr>
            <w:t>1</w:t>
          </w:r>
          <w:bookmarkEnd w:id="13"/>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"_Toc232269894_WPSOffice_Level1"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800835636"/>
              <w:placeholder>
                <w:docPart w:val="{224f95e1-72fb-413f-ba99-74ed28fcad9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十三、评估报告日</w:t>
              </w:r>
            </w:sdtContent>
          </w:sdt>
          <w:r>
            <w:rPr>
              <w:rFonts w:hint="eastAsia" w:ascii="宋体" w:hAnsi="宋体" w:eastAsia="宋体" w:cs="宋体"/>
              <w:sz w:val="28"/>
              <w:szCs w:val="28"/>
            </w:rPr>
            <w:tab/>
          </w:r>
          <w:bookmarkStart w:id="14" w:name="_Toc232269894_WPSOffice_Level1Page"/>
          <w:r>
            <w:rPr>
              <w:rFonts w:hint="eastAsia" w:ascii="宋体" w:hAnsi="宋体" w:eastAsia="宋体" w:cs="宋体"/>
              <w:sz w:val="28"/>
              <w:szCs w:val="28"/>
            </w:rPr>
            <w:t>16</w:t>
          </w:r>
          <w:bookmarkEnd w:id="14"/>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"_Toc1782321859_WPSOffice_Level1"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2051952416"/>
              <w:placeholder>
                <w:docPart w:val="{7fb97ca2-7e41-44b3-af96-6d847ba470d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十四、 资产评估专业人员签名和资产评估机构印章</w:t>
              </w:r>
            </w:sdtContent>
          </w:sdt>
          <w:r>
            <w:rPr>
              <w:rFonts w:hint="eastAsia" w:ascii="宋体" w:hAnsi="宋体" w:eastAsia="宋体" w:cs="宋体"/>
              <w:sz w:val="28"/>
              <w:szCs w:val="28"/>
            </w:rPr>
            <w:tab/>
          </w:r>
          <w:bookmarkStart w:id="15" w:name="_Toc1782321859_WPSOffice_Level1Page"/>
          <w:r>
            <w:rPr>
              <w:rFonts w:hint="eastAsia" w:ascii="宋体" w:hAnsi="宋体" w:eastAsia="宋体" w:cs="宋体"/>
              <w:sz w:val="28"/>
              <w:szCs w:val="28"/>
            </w:rPr>
            <w:t>1</w:t>
          </w:r>
          <w:bookmarkEnd w:id="15"/>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"_Toc234092210_WPSOffice_Level1"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998344358"/>
              <w:placeholder>
                <w:docPart w:val="{39b15929-bde2-40d4-a840-6c9dda42d733}"/>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备查文件目录</w:t>
              </w:r>
            </w:sdtContent>
          </w:sdt>
          <w:r>
            <w:rPr>
              <w:rFonts w:hint="eastAsia" w:ascii="宋体" w:hAnsi="宋体" w:eastAsia="宋体" w:cs="宋体"/>
              <w:sz w:val="28"/>
              <w:szCs w:val="28"/>
            </w:rPr>
            <w:tab/>
          </w:r>
          <w:bookmarkStart w:id="16" w:name="_Toc234092210_WPSOffice_Level1Page"/>
          <w:r>
            <w:rPr>
              <w:rFonts w:hint="eastAsia" w:ascii="宋体" w:hAnsi="宋体" w:eastAsia="宋体" w:cs="宋体"/>
              <w:sz w:val="28"/>
              <w:szCs w:val="28"/>
            </w:rPr>
            <w:t>1</w:t>
          </w:r>
          <w:bookmarkEnd w:id="16"/>
          <w:r>
            <w:rPr>
              <w:rFonts w:hint="eastAsia" w:ascii="宋体" w:hAnsi="宋体" w:eastAsia="宋体" w:cs="宋体"/>
              <w:sz w:val="28"/>
              <w:szCs w:val="28"/>
              <w:lang w:val="en-US" w:eastAsia="zh-CN"/>
            </w:rPr>
            <w:t>7</w:t>
          </w:r>
          <w:r>
            <w:rPr>
              <w:rFonts w:hint="eastAsia" w:ascii="宋体" w:hAnsi="宋体" w:eastAsia="宋体" w:cs="宋体"/>
              <w:sz w:val="28"/>
              <w:szCs w:val="28"/>
            </w:rPr>
            <w:fldChar w:fldCharType="end"/>
          </w:r>
          <w:bookmarkEnd w:id="1"/>
        </w:p>
        <w:p>
          <w:pPr>
            <w:pStyle w:val="21"/>
            <w:tabs>
              <w:tab w:val="right" w:leader="dot" w:pos="8306"/>
            </w:tabs>
            <w:rPr>
              <w:rFonts w:hint="eastAsia" w:ascii="宋体" w:hAnsi="宋体" w:eastAsia="宋体" w:cs="宋体"/>
              <w:b/>
              <w:sz w:val="44"/>
              <w:szCs w:val="44"/>
            </w:rPr>
          </w:pPr>
          <w:bookmarkStart w:id="17" w:name="_Toc74592687_WPSOffice_Level1"/>
        </w:p>
      </w:sdtContent>
    </w:sdt>
    <w:bookmarkEnd w:id="2"/>
    <w:bookmarkEnd w:id="17"/>
    <w:p>
      <w:pPr>
        <w:pStyle w:val="12"/>
        <w:rPr>
          <w:rFonts w:hint="eastAsia" w:ascii="宋体" w:hAnsi="宋体" w:eastAsia="宋体" w:cs="宋体"/>
          <w:szCs w:val="28"/>
        </w:rPr>
      </w:pPr>
      <w:r>
        <w:rPr>
          <w:rFonts w:hint="eastAsia" w:ascii="宋体" w:hAnsi="宋体" w:eastAsia="宋体" w:cs="宋体"/>
          <w:bCs w:val="0"/>
          <w:sz w:val="44"/>
          <w:szCs w:val="44"/>
          <w:lang w:eastAsia="zh-CN"/>
        </w:rPr>
        <w:t>声</w:t>
      </w:r>
      <w:r>
        <w:rPr>
          <w:rFonts w:hint="eastAsia" w:ascii="宋体" w:hAnsi="宋体" w:eastAsia="宋体" w:cs="宋体"/>
          <w:bCs w:val="0"/>
          <w:sz w:val="44"/>
          <w:szCs w:val="44"/>
          <w:lang w:val="en-US" w:eastAsia="zh-CN"/>
        </w:rPr>
        <w:t xml:space="preserve">   </w:t>
      </w:r>
      <w:r>
        <w:rPr>
          <w:rFonts w:hint="eastAsia" w:ascii="宋体" w:hAnsi="宋体" w:eastAsia="宋体" w:cs="宋体"/>
          <w:bCs w:val="0"/>
          <w:sz w:val="44"/>
          <w:szCs w:val="44"/>
          <w:lang w:eastAsia="zh-CN"/>
        </w:rPr>
        <w:t>明</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本资产评估报告依据财政部发布的资产评估基本准则和中国资产评估协会发布的资产评估执业准则和职业道德准则编制。</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本资产评估报告仅供委托人、资产评估委托合同中约定的其他资产评估报告使用人和法律、行政法规规定的资产评估报告使用人使用；除此之外，其他任何机构和个人不能成为资产评估报告的使用人。</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本资产评估机构及资产评估师提示资产评估报告使用人应当正确理解评估结论， 评估结论不等同于评估对象可实现价格，评估结论不应当被认为是对评估对象可实现价格的保证。</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本资产评估机构及资产评估师遵守法律、行政法规和资产评估准则，坚持独立、客观和公正的原则，并对所出具的资产评估报告依法承担责任。</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评估对象涉及的资产清单由委托人、</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申报并经其采用签名、盖章或法律允许的其他方式确认；委托人和其他相关当事人依法对其提供资料的真实性、完整性、合法性负责。</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本资产评估机构及资产评估师与资产评估报告中的评估对象没有现存或者预期的利益关系；与相关当事方没有现存或者预期的利益关系，对相关当事方不存在偏见。</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资产评估师经对评估报告中的评估对象及其所涉及资产进行现场调查；已经对评估对象及其所涉及资产的法律权属状况给予必要的关注，对评估对象及其所涉及资产的法律权属资料进行了查验，并对已经发现的问题进行了如实披露，并且已提请委托人及相关当事方完善产权以满足出具评估报告的要求。</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本资产评估机构出具的资产评估报告中的分析、判断和结果受评估报告中假设和限定条件的限制，资产评估报告使用人应当充分考虑评估报告中载明的假设、限定条件、特别事项说明及其对评估结论的影响。 </w:t>
      </w:r>
      <w:r>
        <w:rPr>
          <w:rFonts w:hint="eastAsia" w:ascii="宋体" w:hAnsi="宋体" w:eastAsia="宋体" w:cs="宋体"/>
        </w:rPr>
        <w:t xml:space="preserve">   </w:t>
      </w:r>
    </w:p>
    <w:p>
      <w:pPr>
        <w:pStyle w:val="2"/>
        <w:spacing w:line="360" w:lineRule="auto"/>
        <w:ind w:left="-420" w:leftChars="-200" w:right="-420" w:rightChars="-200" w:firstLine="480" w:firstLineChars="200"/>
        <w:rPr>
          <w:rFonts w:hint="eastAsia" w:ascii="宋体" w:hAnsi="宋体" w:eastAsia="宋体" w:cs="宋体"/>
        </w:rPr>
      </w:pPr>
      <w:r>
        <w:rPr>
          <w:rFonts w:hint="eastAsia" w:ascii="宋体" w:hAnsi="宋体" w:eastAsia="宋体" w:cs="宋体"/>
        </w:rPr>
        <w:t xml:space="preserve"> 十、本资产评估报告是根据人民法院及相关当事人提供的资料和信息出具，资料和信息的真实性、完整性、合法性对评估结论构成影响，依据同一标的资产的其他资料或者信息可能得出与本报告不一致的评估结论。</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rPr>
        <w:t>杭州市富阳区人民法院拟财产处置涉及的</w:t>
      </w:r>
      <w:r>
        <w:rPr>
          <w:rFonts w:hint="eastAsia" w:ascii="宋体" w:hAnsi="宋体" w:eastAsia="宋体" w:cs="宋体"/>
          <w:b/>
          <w:sz w:val="28"/>
          <w:szCs w:val="28"/>
          <w:lang w:eastAsia="zh-CN"/>
        </w:rPr>
        <w:t>郭其美、毛里永</w:t>
      </w:r>
    </w:p>
    <w:p>
      <w:pPr>
        <w:spacing w:line="360" w:lineRule="auto"/>
        <w:ind w:right="-2" w:rightChars="-1"/>
        <w:jc w:val="center"/>
        <w:rPr>
          <w:rFonts w:hint="eastAsia" w:ascii="宋体" w:hAnsi="宋体" w:eastAsia="宋体" w:cs="宋体"/>
          <w:b/>
          <w:sz w:val="28"/>
          <w:szCs w:val="28"/>
          <w:lang w:eastAsia="zh-CN"/>
        </w:rPr>
      </w:pPr>
      <w:r>
        <w:rPr>
          <w:rFonts w:hint="eastAsia" w:ascii="宋体" w:hAnsi="宋体" w:eastAsia="宋体" w:cs="宋体"/>
          <w:b/>
          <w:sz w:val="28"/>
          <w:szCs w:val="28"/>
          <w:lang w:eastAsia="zh-CN"/>
        </w:rPr>
        <w:t>所有的</w:t>
      </w:r>
      <w:r>
        <w:rPr>
          <w:rFonts w:hint="eastAsia" w:ascii="宋体" w:hAnsi="宋体" w:eastAsia="宋体" w:cs="宋体"/>
          <w:b/>
          <w:sz w:val="28"/>
          <w:szCs w:val="28"/>
        </w:rPr>
        <w:t>位于</w:t>
      </w:r>
      <w:r>
        <w:rPr>
          <w:rFonts w:hint="eastAsia" w:ascii="宋体" w:hAnsi="宋体" w:eastAsia="宋体" w:cs="宋体"/>
          <w:b/>
          <w:sz w:val="28"/>
          <w:szCs w:val="28"/>
          <w:lang w:eastAsia="zh-CN"/>
        </w:rPr>
        <w:t>诸暨市浣东街道宏城瑞东园5幢1单元201室</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lang w:eastAsia="zh-CN"/>
        </w:rPr>
        <w:t>房地产、地下车位、室内装修及家具家电</w:t>
      </w:r>
      <w:r>
        <w:rPr>
          <w:rFonts w:hint="eastAsia" w:ascii="宋体" w:hAnsi="宋体" w:eastAsia="宋体" w:cs="宋体"/>
          <w:b/>
          <w:sz w:val="28"/>
          <w:szCs w:val="28"/>
        </w:rPr>
        <w:t>市场价值司法评估项目</w:t>
      </w:r>
    </w:p>
    <w:p>
      <w:pPr>
        <w:pStyle w:val="12"/>
        <w:spacing w:before="0" w:after="0" w:line="360" w:lineRule="auto"/>
        <w:rPr>
          <w:rFonts w:hint="eastAsia" w:ascii="宋体" w:hAnsi="宋体" w:eastAsia="宋体" w:cs="宋体"/>
          <w:bCs w:val="0"/>
          <w:color w:val="000000"/>
          <w:sz w:val="36"/>
          <w:szCs w:val="36"/>
        </w:rPr>
      </w:pPr>
      <w:r>
        <w:rPr>
          <w:rFonts w:hint="eastAsia" w:ascii="宋体" w:hAnsi="宋体" w:eastAsia="宋体" w:cs="宋体"/>
          <w:bCs w:val="0"/>
          <w:color w:val="000000"/>
          <w:sz w:val="36"/>
          <w:szCs w:val="36"/>
        </w:rPr>
        <w:t>资产评估报告</w:t>
      </w:r>
    </w:p>
    <w:p>
      <w:pPr>
        <w:spacing w:line="360" w:lineRule="auto"/>
        <w:jc w:val="center"/>
        <w:rPr>
          <w:rFonts w:hint="eastAsia" w:ascii="宋体" w:hAnsi="宋体" w:eastAsia="宋体" w:cs="宋体"/>
          <w:b/>
          <w:color w:val="000000"/>
          <w:sz w:val="24"/>
          <w:lang w:eastAsia="zh-CN"/>
        </w:rPr>
      </w:pPr>
      <w:r>
        <w:rPr>
          <w:rFonts w:hint="eastAsia" w:ascii="宋体" w:hAnsi="宋体" w:eastAsia="宋体" w:cs="宋体"/>
          <w:b/>
          <w:color w:val="000000"/>
          <w:sz w:val="24"/>
          <w:lang w:eastAsia="zh-CN"/>
        </w:rPr>
        <w:t>富资评字【2022】SF第0071号</w:t>
      </w:r>
    </w:p>
    <w:p>
      <w:pPr>
        <w:pStyle w:val="12"/>
        <w:spacing w:before="0" w:after="0" w:line="360" w:lineRule="auto"/>
        <w:rPr>
          <w:rFonts w:hint="eastAsia" w:ascii="宋体" w:hAnsi="宋体" w:eastAsia="宋体" w:cs="宋体"/>
          <w:color w:val="000000"/>
        </w:rPr>
      </w:pPr>
      <w:bookmarkStart w:id="18" w:name="_Toc37185836"/>
      <w:r>
        <w:rPr>
          <w:rFonts w:hint="eastAsia" w:ascii="宋体" w:hAnsi="宋体" w:eastAsia="宋体" w:cs="宋体"/>
        </w:rPr>
        <w:t>摘 要</w:t>
      </w:r>
      <w:bookmarkEnd w:id="1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杭州富诚资产评估有限公司接受杭州市富阳区人民法院的委托，根据法律、行政法规和资产评估准则的规定，坚持独立、客观和公正的原则，采用市场法、成本法，</w:t>
      </w:r>
      <w:r>
        <w:rPr>
          <w:rFonts w:hint="eastAsia" w:ascii="宋体" w:hAnsi="宋体" w:eastAsia="宋体" w:cs="宋体"/>
          <w:color w:val="000000"/>
          <w:sz w:val="24"/>
        </w:rPr>
        <w:t>对</w:t>
      </w:r>
      <w:r>
        <w:rPr>
          <w:rFonts w:hint="eastAsia" w:ascii="宋体" w:hAnsi="宋体" w:eastAsia="宋体" w:cs="宋体"/>
          <w:color w:val="000000"/>
          <w:sz w:val="24"/>
          <w:lang w:eastAsia="zh-CN"/>
        </w:rPr>
        <w:t>被执行人郭其美、毛里永非法吸收公众存款罪退赔一案中</w:t>
      </w:r>
      <w:r>
        <w:rPr>
          <w:rFonts w:hint="eastAsia" w:ascii="宋体" w:hAnsi="宋体" w:eastAsia="宋体" w:cs="宋体"/>
          <w:color w:val="000000"/>
          <w:sz w:val="24"/>
        </w:rPr>
        <w:t>涉及的</w:t>
      </w:r>
      <w:r>
        <w:rPr>
          <w:rFonts w:hint="eastAsia" w:ascii="宋体" w:hAnsi="宋体" w:eastAsia="宋体" w:cs="宋体"/>
          <w:sz w:val="24"/>
          <w:lang w:eastAsia="zh-CN"/>
        </w:rPr>
        <w:t>房地产、地下车位、室内装修及家具家电</w:t>
      </w:r>
      <w:r>
        <w:rPr>
          <w:rFonts w:hint="eastAsia" w:ascii="宋体" w:hAnsi="宋体" w:eastAsia="宋体" w:cs="宋体"/>
          <w:sz w:val="24"/>
        </w:rPr>
        <w:t>价值</w:t>
      </w:r>
      <w:r>
        <w:rPr>
          <w:rFonts w:hint="eastAsia" w:ascii="宋体" w:hAnsi="宋体" w:eastAsia="宋体" w:cs="宋体"/>
          <w:color w:val="000000"/>
          <w:sz w:val="24"/>
        </w:rPr>
        <w:t>进行的评估</w:t>
      </w:r>
      <w:r>
        <w:rPr>
          <w:rFonts w:hint="eastAsia" w:ascii="宋体" w:hAnsi="宋体" w:eastAsia="宋体" w:cs="宋体"/>
          <w:sz w:val="24"/>
        </w:rPr>
        <w:t>。本公司评估人员按照必要的评估程序，对委托评估的资产实施了实地查勘、市场调查，根据《资产评估准则》及相关专业规范性文件发表价值意见。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我们认为，除本报告所载明的特别事项说明外，在符合评估基准日、评估假设等限制条件下，本报告所载评估结论对委托评估的资产在</w:t>
      </w:r>
      <w:r>
        <w:rPr>
          <w:rFonts w:hint="eastAsia" w:ascii="宋体" w:hAnsi="宋体" w:eastAsia="宋体" w:cs="宋体"/>
          <w:sz w:val="24"/>
          <w:lang w:eastAsia="zh-CN"/>
        </w:rPr>
        <w:t>2022年9月29日</w:t>
      </w:r>
      <w:r>
        <w:rPr>
          <w:rFonts w:hint="eastAsia" w:ascii="宋体" w:hAnsi="宋体" w:eastAsia="宋体" w:cs="宋体"/>
          <w:sz w:val="24"/>
        </w:rPr>
        <w:t>所表现的市场价值作出了恰当的反映。现将评估报告摘要如下：</w:t>
      </w:r>
    </w:p>
    <w:p>
      <w:pPr>
        <w:pStyle w:val="6"/>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评估目的：因执行</w:t>
      </w:r>
      <w:r>
        <w:rPr>
          <w:rFonts w:hint="eastAsia" w:ascii="宋体" w:hAnsi="宋体" w:eastAsia="宋体" w:cs="宋体"/>
          <w:sz w:val="24"/>
          <w:lang w:eastAsia="zh-CN"/>
        </w:rPr>
        <w:t>（2020）浙0111执3185号被执行人郭其美、毛里永非法吸收公众存款罪退赔一案中，对案件中涉及的</w:t>
      </w:r>
      <w:r>
        <w:rPr>
          <w:rFonts w:hint="eastAsia" w:ascii="宋体" w:hAnsi="宋体" w:eastAsia="宋体" w:cs="宋体"/>
          <w:sz w:val="24"/>
        </w:rPr>
        <w:t>位于</w:t>
      </w:r>
      <w:r>
        <w:rPr>
          <w:rFonts w:hint="eastAsia" w:ascii="宋体" w:hAnsi="宋体" w:eastAsia="宋体" w:cs="宋体"/>
          <w:sz w:val="24"/>
          <w:lang w:eastAsia="zh-CN"/>
        </w:rPr>
        <w:t>诸暨市浣东街道宏城瑞东园5幢1单元201室房地产、地下车位、室内装修及家具家电</w:t>
      </w:r>
      <w:r>
        <w:rPr>
          <w:rFonts w:hint="eastAsia" w:ascii="宋体" w:hAnsi="宋体" w:eastAsia="宋体" w:cs="宋体"/>
          <w:sz w:val="24"/>
        </w:rPr>
        <w:t>市场价值进行评估。本次评估目的是</w:t>
      </w:r>
      <w:r>
        <w:rPr>
          <w:rFonts w:hint="eastAsia" w:ascii="宋体" w:hAnsi="宋体" w:eastAsia="宋体" w:cs="宋体"/>
          <w:sz w:val="24"/>
          <w:lang w:eastAsia="zh-CN"/>
        </w:rPr>
        <w:t>为人民法院确定财产处置参考价提供服务</w:t>
      </w:r>
      <w:r>
        <w:rPr>
          <w:rFonts w:hint="eastAsia" w:ascii="宋体" w:hAnsi="宋体" w:eastAsia="宋体" w:cs="宋体"/>
          <w:color w:val="000000"/>
          <w:sz w:val="24"/>
        </w:rPr>
        <w:t>。</w:t>
      </w:r>
    </w:p>
    <w:p>
      <w:pPr>
        <w:pStyle w:val="6"/>
        <w:numPr>
          <w:ilvl w:val="0"/>
          <w:numId w:val="3"/>
        </w:numPr>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评估对象及范围：评估对象是</w:t>
      </w:r>
      <w:r>
        <w:rPr>
          <w:rFonts w:hint="eastAsia" w:ascii="宋体" w:hAnsi="宋体" w:eastAsia="宋体" w:cs="宋体"/>
          <w:sz w:val="24"/>
          <w:lang w:eastAsia="zh-CN"/>
        </w:rPr>
        <w:t>郭其美、毛里永共同所有的位于诸暨市浣东街道宏城瑞东园5幢1单元201室房地产、地下车位、室内装修及家具家电的市场价值</w:t>
      </w:r>
      <w:r>
        <w:rPr>
          <w:rFonts w:hint="eastAsia" w:ascii="宋体" w:hAnsi="宋体" w:eastAsia="宋体" w:cs="宋体"/>
          <w:sz w:val="24"/>
        </w:rPr>
        <w:t>。评估范围为</w:t>
      </w:r>
      <w:r>
        <w:rPr>
          <w:rFonts w:hint="eastAsia" w:ascii="宋体" w:hAnsi="宋体" w:eastAsia="宋体" w:cs="宋体"/>
          <w:sz w:val="24"/>
          <w:lang w:eastAsia="zh-CN"/>
        </w:rPr>
        <w:t>诸暨市浣东街道宏城瑞东园5幢1单元201室房地产、地下车位、室内装修及家具家电</w:t>
      </w:r>
      <w:r>
        <w:rPr>
          <w:rFonts w:hint="eastAsia" w:ascii="宋体" w:hAnsi="宋体" w:eastAsia="宋体" w:cs="宋体"/>
          <w:sz w:val="24"/>
        </w:rPr>
        <w:t>，建筑面积为</w:t>
      </w:r>
      <w:r>
        <w:rPr>
          <w:rFonts w:hint="eastAsia" w:ascii="宋体" w:hAnsi="宋体" w:eastAsia="宋体" w:cs="宋体"/>
          <w:sz w:val="24"/>
          <w:lang w:eastAsia="zh-CN"/>
        </w:rPr>
        <w:t>126.78</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三、价值类型：市场价值</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四、评估基准日：</w:t>
      </w:r>
      <w:r>
        <w:rPr>
          <w:rFonts w:hint="eastAsia" w:ascii="宋体" w:hAnsi="宋体" w:eastAsia="宋体" w:cs="宋体"/>
          <w:sz w:val="24"/>
          <w:lang w:eastAsia="zh-CN"/>
        </w:rPr>
        <w:t>2022年9月29日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五、评估方法：市场法、成本法</w:t>
      </w:r>
    </w:p>
    <w:p>
      <w:pPr>
        <w:adjustRightInd w:val="0"/>
        <w:snapToGrid w:val="0"/>
        <w:spacing w:line="360" w:lineRule="auto"/>
        <w:ind w:firstLine="480" w:firstLineChars="200"/>
        <w:rPr>
          <w:rFonts w:hint="eastAsia" w:ascii="宋体" w:hAnsi="宋体" w:cs="宋体" w:eastAsiaTheme="minorEastAsia"/>
          <w:sz w:val="24"/>
          <w:lang w:eastAsia="zh-CN"/>
        </w:rPr>
      </w:pPr>
      <w:r>
        <w:rPr>
          <w:rFonts w:hint="eastAsia" w:ascii="宋体" w:hAnsi="宋体" w:eastAsia="宋体" w:cs="宋体"/>
          <w:sz w:val="24"/>
        </w:rPr>
        <w:t>六、评估结论：</w:t>
      </w:r>
      <w:bookmarkStart w:id="19" w:name="_Hlk93586035"/>
      <w:r>
        <w:rPr>
          <w:rFonts w:hint="eastAsia" w:ascii="宋体" w:hAnsi="宋体" w:eastAsia="宋体" w:cs="宋体"/>
          <w:sz w:val="24"/>
          <w:lang w:eastAsia="zh-CN"/>
        </w:rPr>
        <w:t>经实施评估程序后，在评估基准日</w:t>
      </w:r>
      <w:r>
        <w:rPr>
          <w:rFonts w:hint="eastAsia" w:ascii="宋体" w:hAnsi="宋体" w:eastAsia="宋体" w:cs="宋体"/>
          <w:sz w:val="24"/>
          <w:lang w:val="en-US" w:eastAsia="zh-CN"/>
        </w:rPr>
        <w:t>2022年9月29日，在本报告所揭示的假设前提条件基础上，委评资产的评估价值为</w:t>
      </w:r>
      <w:bookmarkStart w:id="81" w:name="_GoBack"/>
      <w:r>
        <w:rPr>
          <w:rFonts w:hint="eastAsia" w:ascii="宋体" w:hAnsi="宋体" w:eastAsia="宋体" w:cs="宋体"/>
          <w:sz w:val="24"/>
          <w:lang w:val="en-US" w:eastAsia="zh-CN"/>
        </w:rPr>
        <w:t>1,845,200</w:t>
      </w:r>
      <w:bookmarkEnd w:id="81"/>
      <w:r>
        <w:rPr>
          <w:rFonts w:hint="eastAsia" w:ascii="宋体" w:hAnsi="宋体" w:eastAsia="宋体" w:cs="宋体"/>
          <w:sz w:val="24"/>
          <w:lang w:val="en-US" w:eastAsia="zh-CN"/>
        </w:rPr>
        <w:t>.00元（大写人民币壹佰捌拾肆万伍仟贰佰元整），具体明细如下：</w:t>
      </w:r>
    </w:p>
    <w:p>
      <w:pPr>
        <w:pStyle w:val="2"/>
        <w:jc w:val="right"/>
        <w:rPr>
          <w:rFonts w:hint="eastAsia" w:ascii="宋体" w:hAnsi="宋体" w:eastAsia="宋体" w:cs="宋体"/>
          <w:lang w:eastAsia="zh-CN"/>
        </w:rPr>
      </w:pPr>
      <w:r>
        <w:rPr>
          <w:rFonts w:hint="eastAsia" w:ascii="宋体" w:hAnsi="宋体" w:eastAsia="宋体" w:cs="宋体"/>
          <w:sz w:val="24"/>
          <w:lang w:eastAsia="zh-CN"/>
        </w:rPr>
        <w:t>金额单位：人民币元</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4206"/>
        <w:gridCol w:w="1275"/>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序号</w:t>
            </w:r>
          </w:p>
        </w:tc>
        <w:tc>
          <w:tcPr>
            <w:tcW w:w="2468"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资产名称</w:t>
            </w:r>
          </w:p>
        </w:tc>
        <w:tc>
          <w:tcPr>
            <w:tcW w:w="748"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面积（㎡）</w:t>
            </w:r>
          </w:p>
        </w:tc>
        <w:tc>
          <w:tcPr>
            <w:tcW w:w="1235"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7"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1</w:t>
            </w:r>
          </w:p>
        </w:tc>
        <w:tc>
          <w:tcPr>
            <w:tcW w:w="2468" w:type="pct"/>
            <w:vAlign w:val="center"/>
          </w:tcPr>
          <w:p>
            <w:pPr>
              <w:keepNext w:val="0"/>
              <w:keepLines w:val="0"/>
              <w:widowControl/>
              <w:suppressLineNumbers w:val="0"/>
              <w:jc w:val="left"/>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诸暨市浣东街道宏城瑞东园5幢1单元201室</w:t>
            </w:r>
          </w:p>
        </w:tc>
        <w:tc>
          <w:tcPr>
            <w:tcW w:w="748" w:type="pct"/>
            <w:vAlign w:val="center"/>
          </w:tcPr>
          <w:p>
            <w:pPr>
              <w:keepNext w:val="0"/>
              <w:keepLines w:val="0"/>
              <w:widowControl/>
              <w:suppressLineNumbers w:val="0"/>
              <w:jc w:val="center"/>
              <w:textAlignment w:val="center"/>
              <w:rPr>
                <w:rFonts w:hint="default" w:ascii="宋体" w:hAnsi="宋体" w:eastAsia="宋体" w:cs="宋体"/>
                <w:vertAlign w:val="baseline"/>
                <w:lang w:val="en-US"/>
              </w:rPr>
            </w:pPr>
            <w:r>
              <w:rPr>
                <w:rFonts w:hint="eastAsia" w:ascii="宋体" w:hAnsi="宋体" w:eastAsia="宋体" w:cs="宋体"/>
                <w:i w:val="0"/>
                <w:iCs w:val="0"/>
                <w:color w:val="000000"/>
                <w:kern w:val="0"/>
                <w:sz w:val="20"/>
                <w:szCs w:val="20"/>
                <w:u w:val="none"/>
                <w:lang w:val="en-US" w:eastAsia="zh-CN" w:bidi="ar"/>
              </w:rPr>
              <w:t>126.78</w:t>
            </w:r>
          </w:p>
        </w:tc>
        <w:tc>
          <w:tcPr>
            <w:tcW w:w="2106" w:type="dxa"/>
            <w:vAlign w:val="center"/>
          </w:tcPr>
          <w:p>
            <w:pPr>
              <w:keepNext w:val="0"/>
              <w:keepLines w:val="0"/>
              <w:widowControl/>
              <w:suppressLineNumbers w:val="0"/>
              <w:jc w:val="right"/>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 xml:space="preserve">1,590,500.00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7"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468"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诸暨市浣东街道宏城瑞东园5幢1单元201室地下车位</w:t>
            </w:r>
          </w:p>
        </w:tc>
        <w:tc>
          <w:tcPr>
            <w:tcW w:w="748"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30.05</w:t>
            </w:r>
          </w:p>
        </w:tc>
        <w:tc>
          <w:tcPr>
            <w:tcW w:w="2106"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3</w:t>
            </w:r>
          </w:p>
        </w:tc>
        <w:tc>
          <w:tcPr>
            <w:tcW w:w="2468" w:type="pct"/>
            <w:vAlign w:val="center"/>
          </w:tcPr>
          <w:p>
            <w:pPr>
              <w:keepNext w:val="0"/>
              <w:keepLines w:val="0"/>
              <w:widowControl/>
              <w:suppressLineNumbers w:val="0"/>
              <w:jc w:val="left"/>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诸暨市浣东街道宏城瑞东园5幢1单元201室室内装修</w:t>
            </w:r>
          </w:p>
        </w:tc>
        <w:tc>
          <w:tcPr>
            <w:tcW w:w="748"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w:t>
            </w:r>
          </w:p>
        </w:tc>
        <w:tc>
          <w:tcPr>
            <w:tcW w:w="2106" w:type="dxa"/>
            <w:vAlign w:val="center"/>
          </w:tcPr>
          <w:p>
            <w:pPr>
              <w:keepNext w:val="0"/>
              <w:keepLines w:val="0"/>
              <w:widowControl/>
              <w:suppressLineNumbers w:val="0"/>
              <w:jc w:val="right"/>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 xml:space="preserve">100,700.00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2468"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诸暨市浣东街道宏城瑞东园5幢1单元201室家具家电</w:t>
            </w:r>
          </w:p>
        </w:tc>
        <w:tc>
          <w:tcPr>
            <w:tcW w:w="74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06"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8" w:type="pct"/>
            <w:vAlign w:val="top"/>
          </w:tcPr>
          <w:p>
            <w:pPr>
              <w:keepNext w:val="0"/>
              <w:keepLines w:val="0"/>
              <w:widowControl/>
              <w:suppressLineNumbers w:val="0"/>
              <w:spacing w:line="48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748"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35" w:type="pct"/>
            <w:vAlign w:val="top"/>
          </w:tcPr>
          <w:p>
            <w:pPr>
              <w:keepNext w:val="0"/>
              <w:keepLines w:val="0"/>
              <w:widowControl/>
              <w:suppressLineNumbers w:val="0"/>
              <w:spacing w:line="48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1,845,200.00 </w:t>
            </w:r>
          </w:p>
        </w:tc>
      </w:tr>
      <w:bookmarkEnd w:id="19"/>
    </w:tbl>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评估结论的详细情况见评估明细表</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本报告书评估结论的有效期限为壹年，自评估基准日</w:t>
      </w:r>
      <w:r>
        <w:rPr>
          <w:rFonts w:hint="eastAsia" w:ascii="宋体" w:hAnsi="宋体" w:eastAsia="宋体" w:cs="宋体"/>
          <w:sz w:val="24"/>
          <w:lang w:eastAsia="zh-CN"/>
        </w:rPr>
        <w:t>2022年9月29日</w:t>
      </w:r>
      <w:r>
        <w:rPr>
          <w:rFonts w:hint="eastAsia" w:ascii="宋体" w:hAnsi="宋体" w:eastAsia="宋体" w:cs="宋体"/>
          <w:sz w:val="24"/>
        </w:rPr>
        <w:t>起</w:t>
      </w:r>
      <w:r>
        <w:rPr>
          <w:rFonts w:hint="eastAsia" w:ascii="宋体" w:hAnsi="宋体" w:eastAsia="宋体" w:cs="宋体"/>
          <w:sz w:val="24"/>
          <w:lang w:eastAsia="zh-CN"/>
        </w:rPr>
        <w:t>2023年9月28日</w:t>
      </w:r>
      <w:r>
        <w:rPr>
          <w:rFonts w:hint="eastAsia" w:ascii="宋体" w:hAnsi="宋体" w:eastAsia="宋体" w:cs="宋体"/>
          <w:sz w:val="24"/>
        </w:rPr>
        <w:t>止，只有当评估基准日与经济行为实现日期不超过一年时，才可以使用本评估报告，超过期限，需重新确定评估结论。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七、对评估结果产生影响的特别事项：在使用本评估结论时，提请评估报告使用人关注报告正文中的评估假设和限制条件、特别事项说明及其对评估结论的影响，并在使用本报告时给与充分考虑。 </w:t>
      </w:r>
    </w:p>
    <w:p>
      <w:pPr>
        <w:pStyle w:val="2"/>
        <w:rPr>
          <w:rFonts w:hint="eastAsia"/>
        </w:rPr>
      </w:pPr>
    </w:p>
    <w:p>
      <w:pPr>
        <w:pStyle w:val="2"/>
        <w:rPr>
          <w:rFonts w:hint="eastAsia"/>
        </w:rPr>
      </w:pPr>
    </w:p>
    <w:p>
      <w:pPr>
        <w:pStyle w:val="2"/>
        <w:spacing w:line="360" w:lineRule="auto"/>
        <w:ind w:firstLine="602" w:firstLineChars="200"/>
        <w:rPr>
          <w:rFonts w:hint="eastAsia" w:ascii="宋体" w:hAnsi="宋体" w:eastAsia="宋体" w:cs="宋体"/>
          <w:b/>
          <w:bCs/>
          <w:sz w:val="30"/>
          <w:szCs w:val="30"/>
          <w:shd w:val="clear" w:color="auto" w:fill="FFFFFF"/>
        </w:rPr>
      </w:pPr>
      <w:r>
        <w:rPr>
          <w:rFonts w:hint="eastAsia" w:ascii="宋体" w:hAnsi="宋体" w:eastAsia="宋体" w:cs="宋体"/>
          <w:b/>
          <w:bCs/>
          <w:sz w:val="30"/>
          <w:szCs w:val="30"/>
        </w:rPr>
        <w:t>以上摘自评估报告正文，欲了解本评估项目的详细情况和合理理解评估结论，应当阅读评估报告正文，</w:t>
      </w:r>
      <w:r>
        <w:rPr>
          <w:rFonts w:hint="eastAsia" w:ascii="宋体" w:hAnsi="宋体" w:eastAsia="宋体" w:cs="宋体"/>
          <w:b/>
          <w:bCs/>
          <w:sz w:val="30"/>
          <w:szCs w:val="30"/>
          <w:shd w:val="clear" w:color="auto" w:fill="FFFFFF"/>
        </w:rPr>
        <w:t>同时提请资产评估报告使用人关注资产评估报告中的评估假设、限制使用条件以及特别事项说明。</w:t>
      </w: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rPr>
          <w:rFonts w:hint="eastAsia" w:ascii="宋体" w:hAnsi="宋体" w:eastAsia="宋体" w:cs="宋体"/>
          <w:b/>
          <w:bCs/>
          <w:sz w:val="30"/>
          <w:szCs w:val="30"/>
          <w:shd w:val="clear" w:color="auto" w:fill="FFFFFF"/>
        </w:rPr>
      </w:pPr>
    </w:p>
    <w:p>
      <w:pPr>
        <w:spacing w:line="360" w:lineRule="auto"/>
        <w:ind w:right="-2" w:rightChars="-1"/>
        <w:jc w:val="center"/>
        <w:rPr>
          <w:rFonts w:hint="eastAsia" w:ascii="宋体" w:hAnsi="宋体" w:eastAsia="宋体" w:cs="宋体"/>
          <w:b/>
          <w:sz w:val="28"/>
          <w:szCs w:val="28"/>
        </w:rPr>
      </w:pPr>
      <w:bookmarkStart w:id="20" w:name="_Hlk93587888"/>
      <w:r>
        <w:rPr>
          <w:rFonts w:hint="eastAsia" w:ascii="宋体" w:hAnsi="宋体" w:eastAsia="宋体" w:cs="宋体"/>
          <w:b/>
          <w:sz w:val="28"/>
          <w:szCs w:val="28"/>
        </w:rPr>
        <w:t>杭州市富阳区人民法院拟财产处置涉及的</w:t>
      </w:r>
      <w:r>
        <w:rPr>
          <w:rFonts w:hint="eastAsia" w:ascii="宋体" w:hAnsi="宋体" w:eastAsia="宋体" w:cs="宋体"/>
          <w:b/>
          <w:sz w:val="28"/>
          <w:szCs w:val="28"/>
          <w:lang w:eastAsia="zh-CN"/>
        </w:rPr>
        <w:t>郭其美、毛里永</w:t>
      </w:r>
    </w:p>
    <w:p>
      <w:pPr>
        <w:spacing w:line="360" w:lineRule="auto"/>
        <w:ind w:right="-2" w:rightChars="-1"/>
        <w:jc w:val="center"/>
        <w:rPr>
          <w:rFonts w:hint="eastAsia" w:ascii="宋体" w:hAnsi="宋体" w:eastAsia="宋体" w:cs="宋体"/>
          <w:b/>
          <w:sz w:val="28"/>
          <w:szCs w:val="28"/>
          <w:lang w:eastAsia="zh-CN"/>
        </w:rPr>
      </w:pPr>
      <w:r>
        <w:rPr>
          <w:rFonts w:hint="eastAsia" w:ascii="宋体" w:hAnsi="宋体" w:eastAsia="宋体" w:cs="宋体"/>
          <w:b/>
          <w:sz w:val="28"/>
          <w:szCs w:val="28"/>
          <w:lang w:eastAsia="zh-CN"/>
        </w:rPr>
        <w:t>所有的</w:t>
      </w:r>
      <w:r>
        <w:rPr>
          <w:rFonts w:hint="eastAsia" w:ascii="宋体" w:hAnsi="宋体" w:eastAsia="宋体" w:cs="宋体"/>
          <w:b/>
          <w:sz w:val="28"/>
          <w:szCs w:val="28"/>
        </w:rPr>
        <w:t>位于</w:t>
      </w:r>
      <w:bookmarkEnd w:id="20"/>
      <w:r>
        <w:rPr>
          <w:rFonts w:hint="eastAsia" w:ascii="宋体" w:hAnsi="宋体" w:eastAsia="宋体" w:cs="宋体"/>
          <w:b/>
          <w:sz w:val="28"/>
          <w:szCs w:val="28"/>
          <w:lang w:eastAsia="zh-CN"/>
        </w:rPr>
        <w:t>诸暨市浣东街道宏城瑞东园5幢1单元201室</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lang w:eastAsia="zh-CN"/>
        </w:rPr>
        <w:t>房地产、地下车位、室内装修及家具家电</w:t>
      </w:r>
      <w:r>
        <w:rPr>
          <w:rFonts w:hint="eastAsia" w:ascii="宋体" w:hAnsi="宋体" w:eastAsia="宋体" w:cs="宋体"/>
          <w:b/>
          <w:sz w:val="28"/>
          <w:szCs w:val="28"/>
        </w:rPr>
        <w:t>市场价值司法评估项目</w:t>
      </w:r>
    </w:p>
    <w:p>
      <w:pPr>
        <w:pStyle w:val="12"/>
        <w:spacing w:before="0" w:after="0" w:line="360" w:lineRule="auto"/>
        <w:rPr>
          <w:rFonts w:hint="eastAsia" w:ascii="宋体" w:hAnsi="宋体" w:eastAsia="宋体" w:cs="宋体"/>
          <w:bCs w:val="0"/>
          <w:color w:val="000000"/>
          <w:sz w:val="36"/>
          <w:szCs w:val="36"/>
        </w:rPr>
      </w:pPr>
      <w:r>
        <w:rPr>
          <w:rFonts w:hint="eastAsia" w:ascii="宋体" w:hAnsi="宋体" w:eastAsia="宋体" w:cs="宋体"/>
          <w:bCs w:val="0"/>
          <w:color w:val="000000"/>
          <w:sz w:val="36"/>
          <w:szCs w:val="36"/>
        </w:rPr>
        <w:t>资产评估报告</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lang w:eastAsia="zh-CN"/>
        </w:rPr>
        <w:t>富资评字【2022】SF第0071号</w:t>
      </w:r>
    </w:p>
    <w:p>
      <w:pPr>
        <w:pStyle w:val="12"/>
        <w:spacing w:before="0" w:after="0" w:line="360" w:lineRule="auto"/>
        <w:rPr>
          <w:rFonts w:hint="eastAsia" w:ascii="宋体" w:hAnsi="宋体" w:eastAsia="宋体" w:cs="宋体"/>
        </w:rPr>
      </w:pPr>
      <w:bookmarkStart w:id="21" w:name="_Toc37185837"/>
      <w:r>
        <w:rPr>
          <w:rFonts w:hint="eastAsia" w:ascii="宋体" w:hAnsi="宋体" w:eastAsia="宋体" w:cs="宋体"/>
        </w:rPr>
        <w:t>正  文</w:t>
      </w:r>
      <w:bookmarkEnd w:id="21"/>
    </w:p>
    <w:p>
      <w:pPr>
        <w:spacing w:line="360" w:lineRule="auto"/>
        <w:rPr>
          <w:rFonts w:hint="eastAsia" w:ascii="宋体" w:hAnsi="宋体" w:eastAsia="宋体" w:cs="宋体"/>
          <w:sz w:val="24"/>
        </w:rPr>
      </w:pPr>
      <w:r>
        <w:rPr>
          <w:rFonts w:hint="eastAsia" w:ascii="宋体" w:hAnsi="宋体" w:eastAsia="宋体" w:cs="宋体"/>
          <w:sz w:val="24"/>
        </w:rPr>
        <w:t>杭州市富阳区人民法院：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杭州富诚资产评估有限公司接受贵单位的委托，根据国家有关资产评估的规定，本着客观、独立、公正的原则，</w:t>
      </w:r>
      <w:r>
        <w:rPr>
          <w:rFonts w:hint="eastAsia" w:ascii="宋体" w:hAnsi="宋体" w:eastAsia="宋体" w:cs="宋体"/>
          <w:sz w:val="24"/>
          <w:lang w:eastAsia="zh-CN"/>
        </w:rPr>
        <w:t>采用</w:t>
      </w:r>
      <w:r>
        <w:rPr>
          <w:rFonts w:hint="eastAsia" w:ascii="宋体" w:hAnsi="宋体" w:eastAsia="宋体" w:cs="宋体"/>
          <w:sz w:val="24"/>
        </w:rPr>
        <w:t>公认的资产评估方法，对</w:t>
      </w:r>
      <w:r>
        <w:rPr>
          <w:rFonts w:hint="eastAsia" w:ascii="宋体" w:hAnsi="宋体" w:eastAsia="宋体" w:cs="宋体"/>
          <w:sz w:val="24"/>
          <w:lang w:eastAsia="zh-CN"/>
        </w:rPr>
        <w:t>被执行人郭其美、毛里永非法吸收公众存款罪退赔一案中</w:t>
      </w:r>
      <w:r>
        <w:rPr>
          <w:rFonts w:hint="eastAsia" w:ascii="宋体" w:hAnsi="宋体" w:eastAsia="宋体" w:cs="宋体"/>
          <w:sz w:val="24"/>
        </w:rPr>
        <w:t>涉及的</w:t>
      </w:r>
      <w:r>
        <w:rPr>
          <w:rFonts w:hint="eastAsia" w:ascii="宋体" w:hAnsi="宋体" w:eastAsia="宋体" w:cs="宋体"/>
          <w:sz w:val="24"/>
          <w:lang w:eastAsia="zh-CN"/>
        </w:rPr>
        <w:t>房地产、地下车位、室内装修及家具家电</w:t>
      </w:r>
      <w:r>
        <w:rPr>
          <w:rFonts w:hint="eastAsia" w:ascii="宋体" w:hAnsi="宋体" w:eastAsia="宋体" w:cs="宋体"/>
          <w:sz w:val="24"/>
        </w:rPr>
        <w:t>市场价值进行评估。本公司评估人员按照必要的评估程序，对委托评估的资产实施了实地查勘、市场调查。本公司在此基础上根据《资产评估准则》及相关专业规范性文件发表价值意见。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我们认为，除本报告所载明的特别事项说明外，在符合评估基准日、评估假设等限制条件下，本报告所载评估结论对委托评估的资产在</w:t>
      </w:r>
      <w:r>
        <w:rPr>
          <w:rFonts w:hint="eastAsia" w:ascii="宋体" w:hAnsi="宋体" w:eastAsia="宋体" w:cs="宋体"/>
          <w:sz w:val="24"/>
          <w:lang w:eastAsia="zh-CN"/>
        </w:rPr>
        <w:t>2022年9月29日</w:t>
      </w:r>
      <w:r>
        <w:rPr>
          <w:rFonts w:hint="eastAsia" w:ascii="宋体" w:hAnsi="宋体" w:eastAsia="宋体" w:cs="宋体"/>
          <w:sz w:val="24"/>
        </w:rPr>
        <w:t>所表现的市场价值作出了恰当的反映。现将资产评估情况及评估结果报告如下：</w:t>
      </w:r>
    </w:p>
    <w:p>
      <w:pPr>
        <w:pStyle w:val="3"/>
        <w:keepLines/>
        <w:numPr>
          <w:ilvl w:val="0"/>
          <w:numId w:val="0"/>
        </w:numPr>
        <w:autoSpaceDE/>
        <w:autoSpaceDN/>
        <w:adjustRightInd/>
        <w:spacing w:line="360" w:lineRule="auto"/>
        <w:ind w:right="0"/>
        <w:jc w:val="both"/>
        <w:textAlignment w:val="auto"/>
        <w:rPr>
          <w:rFonts w:hint="eastAsia" w:ascii="宋体" w:hAnsi="宋体" w:eastAsia="宋体" w:cs="宋体"/>
          <w:b/>
          <w:bCs/>
          <w:color w:val="000000"/>
          <w:sz w:val="24"/>
          <w:szCs w:val="24"/>
        </w:rPr>
      </w:pPr>
      <w:bookmarkStart w:id="22" w:name="_Toc37165316"/>
      <w:bookmarkStart w:id="23" w:name="_Toc37185838"/>
      <w:bookmarkStart w:id="24" w:name="_Toc498855171_WPSOffice_Level1"/>
      <w:r>
        <w:rPr>
          <w:rFonts w:hint="eastAsia" w:ascii="宋体" w:hAnsi="宋体" w:eastAsia="宋体" w:cs="宋体"/>
          <w:b/>
          <w:bCs/>
          <w:color w:val="000000"/>
          <w:sz w:val="24"/>
          <w:szCs w:val="24"/>
        </w:rPr>
        <w:t>一、委托人、</w:t>
      </w:r>
      <w:r>
        <w:rPr>
          <w:rFonts w:hint="eastAsia" w:ascii="宋体" w:hAnsi="宋体" w:eastAsia="宋体" w:cs="宋体"/>
          <w:b/>
          <w:bCs/>
          <w:color w:val="000000"/>
          <w:sz w:val="24"/>
          <w:szCs w:val="24"/>
          <w:lang w:eastAsia="zh-CN"/>
        </w:rPr>
        <w:t>产权持有者</w:t>
      </w:r>
      <w:r>
        <w:rPr>
          <w:rFonts w:hint="eastAsia" w:ascii="宋体" w:hAnsi="宋体" w:eastAsia="宋体" w:cs="宋体"/>
          <w:b/>
          <w:bCs/>
          <w:color w:val="000000"/>
          <w:sz w:val="24"/>
          <w:szCs w:val="24"/>
        </w:rPr>
        <w:t>和资产评估委托合同约定的其他资产评估报告使用人</w:t>
      </w:r>
      <w:bookmarkEnd w:id="22"/>
      <w:bookmarkEnd w:id="23"/>
      <w:bookmarkEnd w:id="24"/>
    </w:p>
    <w:p>
      <w:pPr>
        <w:spacing w:line="360" w:lineRule="auto"/>
        <w:ind w:left="420" w:leftChars="200"/>
        <w:rPr>
          <w:rFonts w:hint="eastAsia" w:ascii="宋体" w:hAnsi="宋体" w:eastAsia="宋体" w:cs="宋体"/>
          <w:sz w:val="24"/>
        </w:rPr>
      </w:pPr>
      <w:r>
        <w:rPr>
          <w:rFonts w:hint="eastAsia" w:ascii="宋体" w:hAnsi="宋体" w:eastAsia="宋体" w:cs="宋体"/>
          <w:sz w:val="24"/>
        </w:rPr>
        <w:t>（一）委托人基本概况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名称：杭州市富阳区人民法院；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注册地址：杭州市富阳区文居街282号；</w:t>
      </w:r>
    </w:p>
    <w:p>
      <w:pPr>
        <w:pStyle w:val="2"/>
        <w:spacing w:line="360" w:lineRule="auto"/>
        <w:ind w:firstLine="480"/>
        <w:rPr>
          <w:rFonts w:hint="eastAsia" w:ascii="宋体" w:hAnsi="宋体" w:eastAsia="宋体" w:cs="宋体"/>
        </w:rPr>
      </w:pPr>
      <w:r>
        <w:rPr>
          <w:rFonts w:hint="eastAsia" w:ascii="宋体" w:hAnsi="宋体" w:eastAsia="宋体" w:cs="宋体"/>
        </w:rPr>
        <w:t>类型：机关单位；</w:t>
      </w:r>
    </w:p>
    <w:p>
      <w:pPr>
        <w:pStyle w:val="2"/>
        <w:spacing w:line="360" w:lineRule="auto"/>
        <w:ind w:firstLine="480"/>
        <w:rPr>
          <w:rFonts w:hint="eastAsia" w:ascii="宋体" w:hAnsi="宋体" w:eastAsia="宋体" w:cs="宋体"/>
        </w:rPr>
      </w:pPr>
      <w:r>
        <w:rPr>
          <w:rFonts w:hint="eastAsia" w:ascii="宋体" w:hAnsi="宋体" w:eastAsia="宋体" w:cs="宋体"/>
        </w:rPr>
        <w:t>法定代表人：赵平。</w:t>
      </w:r>
    </w:p>
    <w:p>
      <w:pPr>
        <w:spacing w:line="360" w:lineRule="auto"/>
        <w:ind w:left="420" w:leftChars="200"/>
        <w:rPr>
          <w:rFonts w:hint="eastAsia" w:ascii="宋体" w:hAnsi="宋体" w:eastAsia="宋体" w:cs="宋体"/>
          <w:sz w:val="24"/>
        </w:rPr>
      </w:pPr>
      <w:r>
        <w:rPr>
          <w:rFonts w:hint="eastAsia" w:ascii="宋体" w:hAnsi="宋体" w:eastAsia="宋体" w:cs="宋体"/>
          <w:sz w:val="24"/>
        </w:rPr>
        <w:t>（二）</w:t>
      </w:r>
      <w:r>
        <w:rPr>
          <w:rFonts w:hint="eastAsia" w:ascii="宋体" w:hAnsi="宋体" w:eastAsia="宋体" w:cs="宋体"/>
          <w:sz w:val="24"/>
          <w:lang w:eastAsia="zh-CN"/>
        </w:rPr>
        <w:t>产权持有者</w:t>
      </w:r>
      <w:r>
        <w:rPr>
          <w:rFonts w:hint="eastAsia" w:ascii="宋体" w:hAnsi="宋体" w:eastAsia="宋体" w:cs="宋体"/>
          <w:sz w:val="24"/>
        </w:rPr>
        <w:t>概况</w:t>
      </w:r>
    </w:p>
    <w:p>
      <w:pPr>
        <w:tabs>
          <w:tab w:val="left" w:pos="1080"/>
        </w:tabs>
        <w:spacing w:line="360" w:lineRule="auto"/>
        <w:ind w:firstLine="480" w:firstLineChars="200"/>
        <w:rPr>
          <w:rFonts w:hint="eastAsia" w:ascii="宋体" w:hAnsi="宋体" w:eastAsia="宋体" w:cs="宋体"/>
          <w:sz w:val="24"/>
        </w:rPr>
      </w:pPr>
      <w:r>
        <w:rPr>
          <w:rFonts w:hint="eastAsia" w:ascii="宋体" w:hAnsi="宋体" w:eastAsia="宋体" w:cs="宋体"/>
          <w:sz w:val="24"/>
        </w:rPr>
        <w:t>自然人：</w:t>
      </w:r>
      <w:r>
        <w:rPr>
          <w:rFonts w:hint="eastAsia" w:ascii="宋体" w:hAnsi="宋体" w:eastAsia="宋体" w:cs="宋体"/>
          <w:sz w:val="24"/>
          <w:lang w:eastAsia="zh-CN"/>
        </w:rPr>
        <w:t>郭其美、毛里永</w:t>
      </w:r>
      <w:r>
        <w:rPr>
          <w:rFonts w:hint="eastAsia" w:ascii="宋体" w:hAnsi="宋体" w:eastAsia="宋体" w:cs="宋体"/>
          <w:sz w:val="24"/>
        </w:rPr>
        <w:t>。</w:t>
      </w:r>
    </w:p>
    <w:p>
      <w:pPr>
        <w:spacing w:line="360" w:lineRule="auto"/>
        <w:ind w:left="420" w:leftChars="200"/>
        <w:rPr>
          <w:rFonts w:hint="eastAsia" w:ascii="宋体" w:hAnsi="宋体" w:eastAsia="宋体" w:cs="宋体"/>
          <w:sz w:val="24"/>
        </w:rPr>
      </w:pPr>
      <w:r>
        <w:rPr>
          <w:rFonts w:hint="eastAsia" w:ascii="宋体" w:hAnsi="宋体" w:eastAsia="宋体" w:cs="宋体"/>
          <w:sz w:val="24"/>
        </w:rPr>
        <w:t>（三）委托人、</w:t>
      </w:r>
      <w:r>
        <w:rPr>
          <w:rFonts w:hint="eastAsia" w:ascii="宋体" w:hAnsi="宋体" w:eastAsia="宋体" w:cs="宋体"/>
          <w:sz w:val="24"/>
          <w:lang w:eastAsia="zh-CN"/>
        </w:rPr>
        <w:t>产权持有者</w:t>
      </w:r>
      <w:r>
        <w:rPr>
          <w:rFonts w:hint="eastAsia" w:ascii="宋体" w:hAnsi="宋体" w:eastAsia="宋体" w:cs="宋体"/>
          <w:sz w:val="24"/>
        </w:rPr>
        <w:t>关系</w:t>
      </w:r>
    </w:p>
    <w:p>
      <w:pPr>
        <w:pStyle w:val="2"/>
        <w:spacing w:line="360" w:lineRule="auto"/>
        <w:rPr>
          <w:rFonts w:hint="eastAsia" w:ascii="宋体" w:hAnsi="宋体" w:eastAsia="宋体" w:cs="宋体"/>
        </w:rPr>
      </w:pPr>
      <w:r>
        <w:rPr>
          <w:rFonts w:hint="eastAsia" w:ascii="宋体" w:hAnsi="宋体" w:eastAsia="宋体" w:cs="宋体"/>
        </w:rPr>
        <w:t xml:space="preserve">    委托人与</w:t>
      </w:r>
      <w:r>
        <w:rPr>
          <w:rFonts w:hint="eastAsia" w:hAnsi="宋体" w:cs="宋体"/>
          <w:lang w:eastAsia="zh-CN"/>
        </w:rPr>
        <w:t>产权持有者</w:t>
      </w:r>
      <w:r>
        <w:rPr>
          <w:rFonts w:hint="eastAsia" w:ascii="宋体" w:hAnsi="宋体" w:eastAsia="宋体" w:cs="宋体"/>
        </w:rPr>
        <w:t>的关系为资产处置的权利主体与被执行人。</w:t>
      </w:r>
    </w:p>
    <w:p>
      <w:pPr>
        <w:tabs>
          <w:tab w:val="left" w:pos="720"/>
        </w:tabs>
        <w:spacing w:line="360" w:lineRule="auto"/>
        <w:ind w:left="420" w:leftChars="200"/>
        <w:rPr>
          <w:rFonts w:hint="eastAsia" w:ascii="宋体" w:hAnsi="宋体" w:eastAsia="宋体" w:cs="宋体"/>
          <w:sz w:val="24"/>
        </w:rPr>
      </w:pPr>
      <w:r>
        <w:rPr>
          <w:rFonts w:hint="eastAsia" w:ascii="宋体" w:hAnsi="宋体" w:eastAsia="宋体" w:cs="宋体"/>
          <w:sz w:val="24"/>
        </w:rPr>
        <w:t>（四</w:t>
      </w:r>
      <w:r>
        <w:rPr>
          <w:rFonts w:hint="eastAsia" w:ascii="宋体" w:hAnsi="宋体" w:eastAsia="宋体" w:cs="宋体"/>
          <w:sz w:val="24"/>
          <w:lang w:eastAsia="zh-Hans"/>
        </w:rPr>
        <w:t>）</w:t>
      </w:r>
      <w:r>
        <w:rPr>
          <w:rFonts w:hint="eastAsia" w:ascii="宋体" w:hAnsi="宋体" w:eastAsia="宋体" w:cs="宋体"/>
          <w:sz w:val="24"/>
        </w:rPr>
        <w:t>资产评估委托合同约定的其他资产评估报告使用人</w:t>
      </w:r>
    </w:p>
    <w:p>
      <w:pPr>
        <w:tabs>
          <w:tab w:val="left" w:pos="720"/>
        </w:tabs>
        <w:spacing w:line="360" w:lineRule="auto"/>
        <w:ind w:left="420" w:leftChars="200"/>
        <w:rPr>
          <w:rFonts w:hint="eastAsia" w:ascii="宋体" w:hAnsi="宋体" w:eastAsia="宋体" w:cs="宋体"/>
          <w:sz w:val="24"/>
        </w:rPr>
      </w:pPr>
      <w:r>
        <w:rPr>
          <w:rFonts w:hint="eastAsia" w:ascii="宋体" w:hAnsi="宋体" w:eastAsia="宋体" w:cs="宋体"/>
          <w:sz w:val="24"/>
        </w:rPr>
        <w:t>本资产评估报告的使用人包括委托人和资产评估委托合同约定的其他资产评估报告使用人。</w:t>
      </w:r>
    </w:p>
    <w:p>
      <w:pPr>
        <w:tabs>
          <w:tab w:val="left" w:pos="540"/>
        </w:tabs>
        <w:spacing w:line="360" w:lineRule="auto"/>
        <w:outlineLvl w:val="0"/>
        <w:rPr>
          <w:rFonts w:hint="eastAsia" w:ascii="宋体" w:hAnsi="宋体" w:eastAsia="宋体" w:cs="宋体"/>
          <w:b/>
          <w:sz w:val="24"/>
        </w:rPr>
      </w:pPr>
      <w:bookmarkStart w:id="25" w:name="_Toc482701109_WPSOffice_Level1"/>
      <w:bookmarkStart w:id="26" w:name="_Toc275872920"/>
      <w:bookmarkStart w:id="27" w:name="_Toc37185839"/>
      <w:r>
        <w:rPr>
          <w:rFonts w:hint="eastAsia" w:ascii="宋体" w:hAnsi="宋体" w:eastAsia="宋体" w:cs="宋体"/>
          <w:b/>
          <w:sz w:val="24"/>
          <w:lang w:eastAsia="zh-Hans"/>
        </w:rPr>
        <w:t>二、</w:t>
      </w:r>
      <w:r>
        <w:rPr>
          <w:rFonts w:hint="eastAsia" w:ascii="宋体" w:hAnsi="宋体" w:eastAsia="宋体" w:cs="宋体"/>
          <w:b/>
          <w:sz w:val="24"/>
        </w:rPr>
        <w:t>评估目的</w:t>
      </w:r>
      <w:bookmarkEnd w:id="25"/>
      <w:bookmarkEnd w:id="26"/>
      <w:bookmarkEnd w:id="27"/>
    </w:p>
    <w:p>
      <w:pPr>
        <w:pStyle w:val="6"/>
        <w:numPr>
          <w:ilvl w:val="0"/>
          <w:numId w:val="0"/>
        </w:numPr>
        <w:adjustRightInd w:val="0"/>
        <w:snapToGrid w:val="0"/>
        <w:spacing w:after="0" w:line="360" w:lineRule="auto"/>
        <w:ind w:firstLine="480" w:firstLineChars="200"/>
        <w:rPr>
          <w:rFonts w:hint="eastAsia" w:ascii="宋体" w:hAnsi="宋体" w:eastAsia="宋体" w:cs="宋体"/>
          <w:sz w:val="24"/>
        </w:rPr>
      </w:pPr>
      <w:bookmarkStart w:id="28" w:name="_Hlk93491997"/>
      <w:r>
        <w:rPr>
          <w:rFonts w:hint="eastAsia" w:ascii="宋体" w:hAnsi="宋体" w:eastAsia="宋体" w:cs="宋体"/>
          <w:sz w:val="24"/>
        </w:rPr>
        <w:t>因执行</w:t>
      </w:r>
      <w:r>
        <w:rPr>
          <w:rFonts w:hint="eastAsia" w:ascii="宋体" w:hAnsi="宋体" w:eastAsia="宋体" w:cs="宋体"/>
          <w:sz w:val="24"/>
          <w:lang w:eastAsia="zh-CN"/>
        </w:rPr>
        <w:t>（2020）浙0111执3185号被执行人郭其美、毛里永非法吸收公众存款罪退赔一案中，对案件中涉及的</w:t>
      </w:r>
      <w:r>
        <w:rPr>
          <w:rFonts w:hint="eastAsia" w:ascii="宋体" w:hAnsi="宋体" w:eastAsia="宋体" w:cs="宋体"/>
          <w:sz w:val="24"/>
        </w:rPr>
        <w:t>位于</w:t>
      </w:r>
      <w:r>
        <w:rPr>
          <w:rFonts w:hint="eastAsia" w:ascii="宋体" w:hAnsi="宋体" w:eastAsia="宋体" w:cs="宋体"/>
          <w:sz w:val="24"/>
          <w:lang w:eastAsia="zh-CN"/>
        </w:rPr>
        <w:t>诸暨市浣东街道宏城瑞东园5幢1单元201室房地产、地下车位、室内装修及家具家电</w:t>
      </w:r>
      <w:r>
        <w:rPr>
          <w:rFonts w:hint="eastAsia" w:ascii="宋体" w:hAnsi="宋体" w:eastAsia="宋体" w:cs="宋体"/>
          <w:sz w:val="24"/>
        </w:rPr>
        <w:t>市场价值进行评估。本次评估目的是</w:t>
      </w:r>
      <w:r>
        <w:rPr>
          <w:rFonts w:hint="eastAsia" w:ascii="宋体" w:hAnsi="宋体" w:eastAsia="宋体" w:cs="宋体"/>
          <w:sz w:val="24"/>
          <w:lang w:eastAsia="zh-CN"/>
        </w:rPr>
        <w:t>为人民法院确定财产处置参考价提供服务</w:t>
      </w:r>
      <w:r>
        <w:rPr>
          <w:rFonts w:hint="eastAsia" w:ascii="宋体" w:hAnsi="宋体" w:eastAsia="宋体" w:cs="宋体"/>
          <w:color w:val="000000"/>
          <w:sz w:val="24"/>
        </w:rPr>
        <w:t>。</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本次经济行为依据为杭州市富阳区人民法院提供的</w:t>
      </w:r>
      <w:r>
        <w:rPr>
          <w:rFonts w:hint="eastAsia" w:ascii="宋体" w:hAnsi="宋体" w:eastAsia="宋体" w:cs="宋体"/>
          <w:sz w:val="24"/>
          <w:lang w:eastAsia="zh-CN"/>
        </w:rPr>
        <w:t>（2020）浙0111执3185号《杭州市富阳区人民法院通知书》</w:t>
      </w:r>
      <w:r>
        <w:rPr>
          <w:rFonts w:hint="eastAsia" w:ascii="宋体" w:hAnsi="宋体" w:eastAsia="宋体" w:cs="宋体"/>
          <w:sz w:val="24"/>
        </w:rPr>
        <w:t>。</w:t>
      </w:r>
    </w:p>
    <w:bookmarkEnd w:id="28"/>
    <w:p>
      <w:pPr>
        <w:tabs>
          <w:tab w:val="left" w:pos="540"/>
        </w:tabs>
        <w:spacing w:line="360" w:lineRule="auto"/>
        <w:outlineLvl w:val="0"/>
        <w:rPr>
          <w:rFonts w:hint="eastAsia" w:ascii="宋体" w:hAnsi="宋体" w:eastAsia="宋体" w:cs="宋体"/>
          <w:b/>
          <w:sz w:val="24"/>
        </w:rPr>
      </w:pPr>
      <w:bookmarkStart w:id="29" w:name="_Toc275872921"/>
      <w:bookmarkStart w:id="30" w:name="_Toc37185840"/>
      <w:bookmarkStart w:id="31" w:name="_Toc1711804244_WPSOffice_Level1"/>
      <w:r>
        <w:rPr>
          <w:rFonts w:hint="eastAsia" w:ascii="宋体" w:hAnsi="宋体" w:eastAsia="宋体" w:cs="宋体"/>
          <w:b/>
          <w:sz w:val="24"/>
          <w:lang w:eastAsia="zh-Hans"/>
        </w:rPr>
        <w:t>三、</w:t>
      </w:r>
      <w:r>
        <w:rPr>
          <w:rFonts w:hint="eastAsia" w:ascii="宋体" w:hAnsi="宋体" w:eastAsia="宋体" w:cs="宋体"/>
          <w:b/>
          <w:sz w:val="24"/>
        </w:rPr>
        <w:t>评估对象及</w:t>
      </w:r>
      <w:bookmarkEnd w:id="29"/>
      <w:r>
        <w:rPr>
          <w:rFonts w:hint="eastAsia" w:ascii="宋体" w:hAnsi="宋体" w:eastAsia="宋体" w:cs="宋体"/>
          <w:b/>
          <w:sz w:val="24"/>
        </w:rPr>
        <w:t>范围</w:t>
      </w:r>
      <w:bookmarkEnd w:id="30"/>
      <w:bookmarkEnd w:id="31"/>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评估对象是</w:t>
      </w:r>
      <w:r>
        <w:rPr>
          <w:rFonts w:hint="eastAsia" w:ascii="宋体" w:hAnsi="宋体" w:eastAsia="宋体" w:cs="宋体"/>
          <w:sz w:val="24"/>
          <w:lang w:eastAsia="zh-CN"/>
        </w:rPr>
        <w:t>郭其美、毛里永共同所有的位于诸暨市浣东街道宏城瑞东园5幢1单元201室房地产、地下车位、室内装修及家具家电的市场价值</w:t>
      </w:r>
      <w:r>
        <w:rPr>
          <w:rFonts w:hint="eastAsia" w:ascii="宋体" w:hAnsi="宋体" w:eastAsia="宋体" w:cs="宋体"/>
          <w:sz w:val="24"/>
        </w:rPr>
        <w:t>。</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评估范围为</w:t>
      </w:r>
      <w:r>
        <w:rPr>
          <w:rFonts w:hint="eastAsia" w:ascii="宋体" w:hAnsi="宋体" w:eastAsia="宋体" w:cs="宋体"/>
          <w:sz w:val="24"/>
          <w:lang w:eastAsia="zh-CN"/>
        </w:rPr>
        <w:t>郭其美、毛里永共同所有的位于诸暨市浣东街道宏城瑞东园5幢1单元201室房地产、地下车位、室内装修及家具家电</w:t>
      </w:r>
      <w:r>
        <w:rPr>
          <w:rFonts w:hint="eastAsia" w:ascii="宋体" w:hAnsi="宋体" w:eastAsia="宋体" w:cs="宋体"/>
          <w:sz w:val="24"/>
        </w:rPr>
        <w:t>，主要资产的概况：</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1、房地产权利状况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3341"/>
        <w:gridCol w:w="49"/>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39" w:type="dxa"/>
            <w:vMerge w:val="restart"/>
          </w:tcPr>
          <w:p>
            <w:pPr>
              <w:keepNext w:val="0"/>
              <w:keepLines w:val="0"/>
              <w:pageBreakBefore w:val="0"/>
              <w:widowControl w:val="0"/>
              <w:kinsoku/>
              <w:wordWrap/>
              <w:overflowPunct/>
              <w:topLinePunct w:val="0"/>
              <w:autoSpaceDE/>
              <w:autoSpaceDN/>
              <w:bidi w:val="0"/>
              <w:spacing w:line="72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项目</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39"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pPr>
          </w:p>
        </w:tc>
        <w:tc>
          <w:tcPr>
            <w:tcW w:w="3341"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eastAsia" w:eastAsiaTheme="minorEastAsia"/>
                <w:lang w:eastAsia="zh-CN"/>
              </w:rPr>
            </w:pPr>
            <w:r>
              <w:rPr>
                <w:rFonts w:hint="eastAsia" w:ascii="Times New Roman" w:hAnsi="Times New Roman" w:eastAsia="宋体" w:cs="Times New Roman"/>
                <w:color w:val="auto"/>
                <w:sz w:val="24"/>
                <w:szCs w:val="24"/>
                <w:highlight w:val="none"/>
                <w:vertAlign w:val="baseline"/>
                <w:lang w:val="en-US" w:eastAsia="zh-CN"/>
              </w:rPr>
              <w:t>房产</w:t>
            </w:r>
          </w:p>
        </w:tc>
        <w:tc>
          <w:tcPr>
            <w:tcW w:w="3342"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权利人</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lang w:eastAsia="zh-CN"/>
              </w:rPr>
              <w:t>郭其美、毛里永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坐落</w:t>
            </w:r>
          </w:p>
        </w:tc>
        <w:tc>
          <w:tcPr>
            <w:tcW w:w="6683" w:type="dxa"/>
            <w:gridSpan w:val="3"/>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eastAsia"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lang w:eastAsia="zh-CN"/>
              </w:rPr>
              <w:t>诸暨市浣东街道宏城瑞东园5幢1单元201室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证载面积（㎡）</w:t>
            </w:r>
          </w:p>
        </w:tc>
        <w:tc>
          <w:tcPr>
            <w:tcW w:w="3390" w:type="dxa"/>
            <w:gridSpan w:val="2"/>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126.78</w:t>
            </w:r>
          </w:p>
        </w:tc>
        <w:tc>
          <w:tcPr>
            <w:tcW w:w="3293"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Times New Roman" w:hAnsi="Times New Roman" w:eastAsia="宋体" w:cs="Times New Roman"/>
                <w:color w:val="auto"/>
                <w:sz w:val="24"/>
                <w:szCs w:val="24"/>
                <w:highlight w:val="none"/>
                <w:vertAlign w:val="baseline"/>
                <w:lang w:val="en-US" w:eastAsia="zh-CN"/>
              </w:rPr>
              <w:t>不动产证号</w:t>
            </w:r>
          </w:p>
        </w:tc>
        <w:tc>
          <w:tcPr>
            <w:tcW w:w="6683" w:type="dxa"/>
            <w:gridSpan w:val="3"/>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宋体" w:hAnsi="宋体" w:eastAsia="宋体" w:cs="宋体"/>
                <w:color w:val="auto"/>
                <w:sz w:val="24"/>
                <w:szCs w:val="24"/>
                <w:highlight w:val="none"/>
                <w:lang w:val="en-US" w:eastAsia="zh-CN"/>
              </w:rPr>
              <w:t>浙（2017）诸暨市不动产权第0015189</w:t>
            </w:r>
            <w:r>
              <w:rPr>
                <w:rFonts w:hint="eastAsia" w:ascii="宋体" w:hAnsi="宋体" w:eastAsia="宋体" w:cs="宋体"/>
                <w:color w:val="auto"/>
                <w:sz w:val="24"/>
                <w:szCs w:val="24"/>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权利类型</w:t>
            </w:r>
          </w:p>
        </w:tc>
        <w:tc>
          <w:tcPr>
            <w:tcW w:w="3390"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w:t>
            </w:r>
          </w:p>
        </w:tc>
        <w:tc>
          <w:tcPr>
            <w:tcW w:w="3293"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权利性质</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登记日期</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lang w:val="en-US" w:eastAsia="zh-CN"/>
              </w:rPr>
              <w:t>2017</w:t>
            </w:r>
            <w:r>
              <w:rPr>
                <w:rFonts w:hint="eastAsia" w:ascii="宋体" w:hAnsi="宋体" w:eastAsia="宋体" w:cs="宋体"/>
                <w:sz w:val="24"/>
              </w:rPr>
              <w:t>年</w:t>
            </w:r>
            <w:r>
              <w:rPr>
                <w:rFonts w:hint="eastAsia" w:ascii="宋体" w:hAnsi="宋体" w:eastAsia="宋体" w:cs="宋体"/>
                <w:sz w:val="24"/>
                <w:lang w:val="en-US" w:eastAsia="zh-CN"/>
              </w:rPr>
              <w:t>05</w:t>
            </w:r>
            <w:r>
              <w:rPr>
                <w:rFonts w:hint="eastAsia" w:ascii="宋体" w:hAnsi="宋体" w:eastAsia="宋体" w:cs="宋体"/>
                <w:sz w:val="24"/>
              </w:rPr>
              <w:t>月</w:t>
            </w:r>
            <w:r>
              <w:rPr>
                <w:rFonts w:hint="eastAsia" w:ascii="宋体" w:hAnsi="宋体" w:eastAsia="宋体" w:cs="宋体"/>
                <w:sz w:val="24"/>
                <w:lang w:val="en-US" w:eastAsia="zh-CN"/>
              </w:rPr>
              <w:t>26</w:t>
            </w:r>
            <w:r>
              <w:rPr>
                <w:rFonts w:hint="eastAsia" w:ascii="宋体" w:hAnsi="宋体" w:eastAsia="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使用期限</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rPr>
              <w:t>至</w:t>
            </w:r>
            <w:r>
              <w:rPr>
                <w:rFonts w:hint="eastAsia" w:ascii="宋体" w:hAnsi="宋体" w:eastAsia="宋体" w:cs="宋体"/>
                <w:sz w:val="24"/>
                <w:lang w:val="en-US" w:eastAsia="zh-CN"/>
              </w:rPr>
              <w:t>2085</w:t>
            </w:r>
            <w:r>
              <w:rPr>
                <w:rFonts w:hint="eastAsia" w:ascii="宋体" w:hAnsi="宋体" w:eastAsia="宋体" w:cs="宋体"/>
                <w:sz w:val="24"/>
              </w:rPr>
              <w:t>年</w:t>
            </w:r>
            <w:r>
              <w:rPr>
                <w:rFonts w:hint="eastAsia" w:ascii="宋体" w:hAnsi="宋体" w:eastAsia="宋体" w:cs="宋体"/>
                <w:sz w:val="24"/>
                <w:lang w:val="en-US" w:eastAsia="zh-CN"/>
              </w:rPr>
              <w:t>7</w:t>
            </w:r>
            <w:r>
              <w:rPr>
                <w:rFonts w:hint="eastAsia" w:ascii="宋体" w:hAnsi="宋体" w:eastAsia="宋体" w:cs="宋体"/>
                <w:sz w:val="24"/>
              </w:rPr>
              <w:t>月</w:t>
            </w:r>
            <w:r>
              <w:rPr>
                <w:rFonts w:hint="eastAsia" w:ascii="宋体" w:hAnsi="宋体" w:eastAsia="宋体" w:cs="宋体"/>
                <w:sz w:val="24"/>
                <w:lang w:val="en-US" w:eastAsia="zh-CN"/>
              </w:rPr>
              <w:t>13</w:t>
            </w:r>
            <w:r>
              <w:rPr>
                <w:rFonts w:hint="eastAsia" w:ascii="宋体" w:hAnsi="宋体" w:eastAsia="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附记</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所在楼层</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2/8</w:t>
            </w:r>
          </w:p>
        </w:tc>
      </w:tr>
    </w:tbl>
    <w:p>
      <w:pPr>
        <w:pStyle w:val="2"/>
        <w:rPr>
          <w:rFonts w:hint="eastAsia"/>
        </w:rPr>
      </w:pPr>
    </w:p>
    <w:tbl>
      <w:tblPr>
        <w:tblStyle w:val="15"/>
        <w:tblW w:w="9990" w:type="dxa"/>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项目</w:t>
            </w:r>
          </w:p>
        </w:tc>
        <w:tc>
          <w:tcPr>
            <w:tcW w:w="871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tcPr>
          <w:p>
            <w:pPr>
              <w:keepNext w:val="0"/>
              <w:keepLines w:val="0"/>
              <w:pageBreakBefore w:val="0"/>
              <w:widowControl w:val="0"/>
              <w:kinsoku/>
              <w:wordWrap/>
              <w:overflowPunct/>
              <w:topLinePunct w:val="0"/>
              <w:autoSpaceDE/>
              <w:autoSpaceDN/>
              <w:bidi w:val="0"/>
              <w:spacing w:line="360" w:lineRule="auto"/>
              <w:ind w:right="0" w:rightChars="0"/>
              <w:jc w:val="both"/>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查封状况</w:t>
            </w:r>
          </w:p>
        </w:tc>
        <w:tc>
          <w:tcPr>
            <w:tcW w:w="871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查封状况较多，详情见附件《诸暨市自然资源和规划局不动产登记查询证明》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异议状况</w:t>
            </w:r>
          </w:p>
        </w:tc>
        <w:tc>
          <w:tcPr>
            <w:tcW w:w="871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无</w:t>
            </w: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2、房地产实物状况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土地实物状况描述分析</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u w:val="none"/>
          <w:lang w:val="en-US" w:eastAsia="zh-CN" w:bidi="ar-SA"/>
        </w:rPr>
        <w:t>评估对象位于</w:t>
      </w:r>
      <w:r>
        <w:rPr>
          <w:rFonts w:hint="eastAsia" w:hAnsi="宋体" w:cs="宋体"/>
          <w:color w:val="auto"/>
          <w:kern w:val="2"/>
          <w:sz w:val="24"/>
          <w:szCs w:val="24"/>
          <w:highlight w:val="none"/>
          <w:u w:val="none"/>
          <w:lang w:val="en-US" w:eastAsia="zh-CN" w:bidi="ar-SA"/>
        </w:rPr>
        <w:t>诸暨市宏城瑞东园5幢1单元201室，</w:t>
      </w:r>
      <w:r>
        <w:rPr>
          <w:rFonts w:hint="eastAsia" w:ascii="宋体" w:hAnsi="宋体" w:eastAsia="宋体" w:cs="宋体"/>
          <w:color w:val="auto"/>
          <w:kern w:val="2"/>
          <w:sz w:val="24"/>
          <w:szCs w:val="24"/>
          <w:highlight w:val="none"/>
          <w:u w:val="none"/>
          <w:lang w:val="en-US" w:eastAsia="zh-CN" w:bidi="ar-SA"/>
        </w:rPr>
        <w:t>土地使用权面积</w:t>
      </w:r>
      <w:r>
        <w:rPr>
          <w:rFonts w:hint="eastAsia" w:hAnsi="宋体" w:cs="宋体"/>
          <w:color w:val="auto"/>
          <w:kern w:val="2"/>
          <w:sz w:val="24"/>
          <w:szCs w:val="24"/>
          <w:highlight w:val="none"/>
          <w:u w:val="none"/>
          <w:lang w:val="en-US" w:eastAsia="zh-CN" w:bidi="ar-SA"/>
        </w:rPr>
        <w:t>20.42</w:t>
      </w:r>
      <w:r>
        <w:rPr>
          <w:rFonts w:hint="eastAsia" w:ascii="宋体" w:hAnsi="宋体" w:eastAsia="宋体" w:cs="宋体"/>
          <w:color w:val="auto"/>
          <w:kern w:val="2"/>
          <w:sz w:val="24"/>
          <w:szCs w:val="24"/>
          <w:highlight w:val="none"/>
          <w:u w:val="none"/>
          <w:lang w:val="en-US" w:eastAsia="zh-CN" w:bidi="ar-SA"/>
        </w:rPr>
        <w:t>平方米。土地四至：小区东靠</w:t>
      </w:r>
      <w:r>
        <w:rPr>
          <w:rFonts w:hint="eastAsia" w:hAnsi="宋体" w:cs="宋体"/>
          <w:color w:val="auto"/>
          <w:kern w:val="2"/>
          <w:sz w:val="24"/>
          <w:szCs w:val="24"/>
          <w:highlight w:val="none"/>
          <w:u w:val="none"/>
          <w:lang w:val="en-US" w:eastAsia="zh-CN" w:bidi="ar-SA"/>
        </w:rPr>
        <w:t>东福路</w:t>
      </w:r>
      <w:r>
        <w:rPr>
          <w:rFonts w:hint="eastAsia" w:ascii="宋体" w:hAnsi="宋体" w:eastAsia="宋体" w:cs="宋体"/>
          <w:color w:val="auto"/>
          <w:kern w:val="2"/>
          <w:sz w:val="24"/>
          <w:szCs w:val="24"/>
          <w:highlight w:val="none"/>
          <w:u w:val="none"/>
          <w:lang w:val="en-US" w:eastAsia="zh-CN" w:bidi="ar-SA"/>
        </w:rPr>
        <w:t>，西至</w:t>
      </w:r>
      <w:r>
        <w:rPr>
          <w:rFonts w:hint="eastAsia" w:hAnsi="宋体" w:cs="宋体"/>
          <w:color w:val="auto"/>
          <w:kern w:val="2"/>
          <w:sz w:val="24"/>
          <w:szCs w:val="24"/>
          <w:highlight w:val="none"/>
          <w:u w:val="none"/>
          <w:lang w:val="en-US" w:eastAsia="zh-CN" w:bidi="ar-SA"/>
        </w:rPr>
        <w:t>东二环路</w:t>
      </w:r>
      <w:r>
        <w:rPr>
          <w:rFonts w:hint="eastAsia" w:ascii="宋体" w:hAnsi="宋体" w:eastAsia="宋体" w:cs="宋体"/>
          <w:color w:val="auto"/>
          <w:kern w:val="2"/>
          <w:sz w:val="24"/>
          <w:szCs w:val="24"/>
          <w:highlight w:val="none"/>
          <w:u w:val="none"/>
          <w:lang w:val="en-US" w:eastAsia="zh-CN" w:bidi="ar-SA"/>
        </w:rPr>
        <w:t>，南至</w:t>
      </w:r>
      <w:r>
        <w:rPr>
          <w:rFonts w:hint="eastAsia" w:hAnsi="宋体" w:cs="宋体"/>
          <w:color w:val="auto"/>
          <w:kern w:val="2"/>
          <w:sz w:val="24"/>
          <w:szCs w:val="24"/>
          <w:highlight w:val="none"/>
          <w:u w:val="none"/>
          <w:lang w:val="en-US" w:eastAsia="zh-CN" w:bidi="ar-SA"/>
        </w:rPr>
        <w:t>东一路</w:t>
      </w:r>
      <w:r>
        <w:rPr>
          <w:rFonts w:hint="eastAsia" w:ascii="宋体" w:hAnsi="宋体" w:eastAsia="宋体" w:cs="宋体"/>
          <w:color w:val="auto"/>
          <w:kern w:val="2"/>
          <w:sz w:val="24"/>
          <w:szCs w:val="24"/>
          <w:highlight w:val="none"/>
          <w:u w:val="none"/>
          <w:lang w:val="en-US" w:eastAsia="zh-CN" w:bidi="ar-SA"/>
        </w:rPr>
        <w:t>，北邻</w:t>
      </w:r>
      <w:r>
        <w:rPr>
          <w:rFonts w:hint="eastAsia" w:hAnsi="宋体" w:cs="宋体"/>
          <w:color w:val="auto"/>
          <w:kern w:val="2"/>
          <w:sz w:val="24"/>
          <w:szCs w:val="24"/>
          <w:highlight w:val="none"/>
          <w:u w:val="none"/>
          <w:lang w:val="en-US" w:eastAsia="zh-CN" w:bidi="ar-SA"/>
        </w:rPr>
        <w:t>望湖路</w:t>
      </w:r>
      <w:r>
        <w:rPr>
          <w:rFonts w:hint="eastAsia" w:ascii="宋体" w:hAnsi="宋体" w:eastAsia="宋体" w:cs="宋体"/>
          <w:color w:val="auto"/>
          <w:kern w:val="2"/>
          <w:sz w:val="24"/>
          <w:szCs w:val="24"/>
          <w:highlight w:val="none"/>
          <w:u w:val="none"/>
          <w:lang w:val="en-US" w:eastAsia="zh-CN" w:bidi="ar-SA"/>
        </w:rPr>
        <w:t>。至价值时点，估价对象所在宗地达到“六通一平”。土地地势平坦，自然排水通畅，地基有足够承载力，承载力适于建筑，整体基础配套设施目前处于正常使用中</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建筑物实物状况描述分析</w:t>
      </w:r>
    </w:p>
    <w:p>
      <w:pPr>
        <w:spacing w:line="360" w:lineRule="auto"/>
        <w:ind w:firstLine="480" w:firstLineChars="200"/>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none"/>
          <w:u w:val="none"/>
        </w:rPr>
        <w:t>评估对象</w:t>
      </w:r>
      <w:r>
        <w:rPr>
          <w:rFonts w:hint="eastAsia" w:ascii="宋体" w:hAnsi="宋体" w:eastAsia="宋体" w:cs="宋体"/>
          <w:color w:val="auto"/>
          <w:sz w:val="24"/>
          <w:szCs w:val="24"/>
          <w:highlight w:val="none"/>
          <w:u w:val="none"/>
          <w:lang w:val="en-US" w:eastAsia="zh-CN"/>
        </w:rPr>
        <w:t>所在区域位于</w:t>
      </w:r>
      <w:r>
        <w:rPr>
          <w:rFonts w:hint="eastAsia" w:ascii="宋体" w:hAnsi="宋体" w:eastAsia="宋体" w:cs="宋体"/>
          <w:sz w:val="24"/>
          <w:szCs w:val="24"/>
          <w:lang w:val="en-US" w:eastAsia="zh-CN"/>
        </w:rPr>
        <w:t>诸暨市宏城瑞东园5幢1单元201室，</w:t>
      </w:r>
      <w:r>
        <w:rPr>
          <w:rFonts w:hint="eastAsia" w:ascii="宋体" w:hAnsi="宋体" w:eastAsia="宋体" w:cs="宋体"/>
          <w:color w:val="auto"/>
          <w:sz w:val="24"/>
          <w:szCs w:val="24"/>
          <w:highlight w:val="none"/>
          <w:u w:val="none"/>
        </w:rPr>
        <w:t>共</w:t>
      </w:r>
      <w:r>
        <w:rPr>
          <w:rFonts w:hint="eastAsia" w:ascii="宋体" w:hAnsi="宋体" w:eastAsia="宋体" w:cs="宋体"/>
          <w:color w:val="auto"/>
          <w:sz w:val="24"/>
          <w:szCs w:val="24"/>
          <w:highlight w:val="none"/>
          <w:u w:val="none"/>
          <w:lang w:val="en-US" w:eastAsia="zh-CN"/>
        </w:rPr>
        <w:t>8</w:t>
      </w:r>
      <w:r>
        <w:rPr>
          <w:rFonts w:hint="eastAsia" w:ascii="宋体" w:hAnsi="宋体" w:eastAsia="宋体" w:cs="宋体"/>
          <w:color w:val="auto"/>
          <w:sz w:val="24"/>
          <w:szCs w:val="24"/>
          <w:highlight w:val="none"/>
          <w:u w:val="none"/>
        </w:rPr>
        <w:t>层</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所在层次</w:t>
      </w:r>
      <w:r>
        <w:rPr>
          <w:rFonts w:hint="eastAsia" w:ascii="宋体" w:hAnsi="宋体" w:eastAsia="宋体" w:cs="宋体"/>
          <w:color w:val="auto"/>
          <w:sz w:val="24"/>
          <w:szCs w:val="24"/>
          <w:highlight w:val="none"/>
          <w:u w:val="none"/>
        </w:rPr>
        <w:t>位于第</w:t>
      </w:r>
      <w:r>
        <w:rPr>
          <w:rFonts w:hint="eastAsia" w:ascii="宋体" w:hAnsi="宋体" w:eastAsia="宋体" w:cs="宋体"/>
          <w:color w:val="auto"/>
          <w:sz w:val="24"/>
          <w:szCs w:val="24"/>
          <w:highlight w:val="none"/>
          <w:u w:val="none"/>
          <w:lang w:val="en-US" w:eastAsia="zh-CN"/>
        </w:rPr>
        <w:t>2层</w:t>
      </w:r>
      <w:r>
        <w:rPr>
          <w:rFonts w:hint="eastAsia" w:ascii="宋体" w:hAnsi="宋体" w:eastAsia="宋体" w:cs="宋体"/>
          <w:color w:val="auto"/>
          <w:sz w:val="24"/>
          <w:szCs w:val="24"/>
          <w:highlight w:val="none"/>
          <w:u w:val="none"/>
        </w:rPr>
        <w:t>，</w:t>
      </w:r>
      <w:r>
        <w:rPr>
          <w:rFonts w:hint="eastAsia" w:ascii="宋体" w:hAnsi="宋体" w:eastAsia="宋体"/>
          <w:sz w:val="24"/>
          <w:lang w:val="en-US" w:eastAsia="zh-CN"/>
        </w:rPr>
        <w:t>钢混</w:t>
      </w:r>
      <w:r>
        <w:rPr>
          <w:rFonts w:hint="eastAsia" w:ascii="宋体" w:hAnsi="宋体"/>
          <w:sz w:val="24"/>
        </w:rPr>
        <w:t>结构，</w:t>
      </w:r>
      <w:r>
        <w:rPr>
          <w:rFonts w:hint="eastAsia" w:ascii="宋体" w:hAnsi="宋体"/>
          <w:sz w:val="24"/>
          <w:lang w:val="en-US" w:eastAsia="zh-CN"/>
        </w:rPr>
        <w:t>钢砼楼地面，</w:t>
      </w:r>
      <w:r>
        <w:rPr>
          <w:rFonts w:hint="eastAsia" w:ascii="宋体" w:hAnsi="宋体"/>
          <w:sz w:val="24"/>
        </w:rPr>
        <w:t>主体结构为南北朝向</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val="en-US" w:eastAsia="zh-CN"/>
        </w:rPr>
        <w:t>总体布局：三室两厅一厨两卫。</w:t>
      </w:r>
      <w:r>
        <w:rPr>
          <w:rFonts w:hint="eastAsia" w:ascii="宋体" w:hAnsi="宋体" w:eastAsia="宋体" w:cs="宋体"/>
          <w:color w:val="auto"/>
          <w:spacing w:val="10"/>
          <w:sz w:val="24"/>
          <w:szCs w:val="24"/>
          <w:highlight w:val="none"/>
          <w:u w:val="none"/>
        </w:rPr>
        <w:t>室内格局：</w:t>
      </w:r>
      <w:r>
        <w:rPr>
          <w:rFonts w:hint="eastAsia" w:ascii="宋体" w:hAnsi="宋体" w:eastAsia="宋体" w:cs="宋体"/>
          <w:color w:val="auto"/>
          <w:spacing w:val="10"/>
          <w:sz w:val="24"/>
          <w:szCs w:val="24"/>
          <w:highlight w:val="none"/>
          <w:u w:val="none"/>
          <w:lang w:val="en-US" w:eastAsia="zh-CN"/>
        </w:rPr>
        <w:t>精装修，不锈钢大门，餐客厅地面为抛光砖，顶面凹凸吊顶。卧室平吊顶，地面木地板，卧室两间朝南一间朝北，采光良好，视野开阔。</w:t>
      </w:r>
      <w:r>
        <w:rPr>
          <w:rFonts w:hint="eastAsia" w:ascii="宋体" w:hAnsi="宋体" w:eastAsia="宋体" w:cs="宋体"/>
          <w:color w:val="auto"/>
          <w:sz w:val="24"/>
          <w:szCs w:val="24"/>
          <w:highlight w:val="none"/>
          <w:u w:val="none"/>
        </w:rPr>
        <w:t>该房产</w:t>
      </w:r>
      <w:r>
        <w:rPr>
          <w:rFonts w:hint="eastAsia" w:ascii="宋体" w:hAnsi="宋体" w:eastAsia="宋体" w:cs="宋体"/>
          <w:color w:val="auto"/>
          <w:sz w:val="24"/>
          <w:szCs w:val="24"/>
          <w:highlight w:val="none"/>
          <w:u w:val="none"/>
          <w:lang w:val="en-US" w:eastAsia="zh-CN"/>
        </w:rPr>
        <w:t>整体</w:t>
      </w:r>
      <w:r>
        <w:rPr>
          <w:rFonts w:hint="eastAsia" w:ascii="宋体" w:hAnsi="宋体" w:eastAsia="宋体" w:cs="宋体"/>
          <w:color w:val="auto"/>
          <w:sz w:val="24"/>
          <w:szCs w:val="24"/>
          <w:highlight w:val="none"/>
          <w:u w:val="none"/>
        </w:rPr>
        <w:t>户型设计、通风、采光情况</w:t>
      </w:r>
      <w:r>
        <w:rPr>
          <w:rFonts w:hint="eastAsia" w:ascii="宋体" w:hAnsi="宋体" w:eastAsia="宋体" w:cs="宋体"/>
          <w:color w:val="auto"/>
          <w:sz w:val="24"/>
          <w:szCs w:val="24"/>
          <w:highlight w:val="none"/>
          <w:u w:val="none"/>
          <w:lang w:val="en-US" w:eastAsia="zh-CN"/>
        </w:rPr>
        <w:t>较</w:t>
      </w:r>
      <w:r>
        <w:rPr>
          <w:rFonts w:hint="eastAsia" w:ascii="宋体" w:hAnsi="宋体" w:eastAsia="宋体" w:cs="宋体"/>
          <w:color w:val="auto"/>
          <w:sz w:val="24"/>
          <w:szCs w:val="24"/>
          <w:highlight w:val="none"/>
          <w:u w:val="none"/>
        </w:rPr>
        <w:t>好，使用维护情况良好</w:t>
      </w:r>
      <w:r>
        <w:rPr>
          <w:rFonts w:hint="eastAsia" w:ascii="宋体" w:hAnsi="宋体" w:eastAsia="宋体" w:cs="宋体"/>
          <w:color w:val="auto"/>
          <w:sz w:val="24"/>
          <w:szCs w:val="24"/>
          <w:highlight w:val="none"/>
        </w:rPr>
        <w:t>。</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3、区域状况分析  </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0"/>
          <w:sz w:val="24"/>
          <w:szCs w:val="24"/>
          <w:highlight w:val="none"/>
          <w:u w:val="none"/>
        </w:rPr>
        <w:t>评估对象所在</w:t>
      </w:r>
      <w:r>
        <w:rPr>
          <w:rFonts w:hint="eastAsia" w:ascii="宋体" w:hAnsi="宋体" w:eastAsia="宋体" w:cs="宋体"/>
          <w:color w:val="auto"/>
          <w:spacing w:val="10"/>
          <w:sz w:val="24"/>
          <w:szCs w:val="24"/>
          <w:highlight w:val="none"/>
          <w:u w:val="none"/>
          <w:lang w:val="en-US" w:eastAsia="zh-CN"/>
        </w:rPr>
        <w:t>区域</w:t>
      </w:r>
      <w:r>
        <w:rPr>
          <w:rFonts w:hint="eastAsia" w:ascii="宋体" w:hAnsi="宋体" w:eastAsia="宋体" w:cs="宋体"/>
          <w:color w:val="auto"/>
          <w:spacing w:val="10"/>
          <w:sz w:val="24"/>
          <w:szCs w:val="24"/>
          <w:highlight w:val="none"/>
          <w:u w:val="none"/>
        </w:rPr>
        <w:t>位于</w:t>
      </w:r>
      <w:r>
        <w:rPr>
          <w:rFonts w:hint="eastAsia" w:ascii="宋体" w:hAnsi="宋体" w:eastAsia="宋体" w:cs="宋体"/>
          <w:color w:val="auto"/>
          <w:spacing w:val="10"/>
          <w:sz w:val="24"/>
          <w:szCs w:val="24"/>
          <w:highlight w:val="none"/>
          <w:u w:val="none"/>
          <w:lang w:val="en-US" w:eastAsia="zh-CN"/>
        </w:rPr>
        <w:t>诸暨市宏城瑞东园5幢1单元201室</w:t>
      </w:r>
      <w:r>
        <w:rPr>
          <w:rFonts w:hint="eastAsia" w:ascii="宋体" w:hAnsi="宋体" w:eastAsia="宋体" w:cs="宋体"/>
          <w:color w:val="auto"/>
          <w:spacing w:val="10"/>
          <w:sz w:val="24"/>
          <w:szCs w:val="24"/>
          <w:highlight w:val="none"/>
          <w:u w:val="none"/>
        </w:rPr>
        <w:t>，住宅楼</w:t>
      </w:r>
      <w:r>
        <w:rPr>
          <w:rFonts w:hint="eastAsia" w:ascii="宋体" w:hAnsi="宋体" w:eastAsia="宋体" w:cs="宋体"/>
          <w:color w:val="auto"/>
          <w:spacing w:val="10"/>
          <w:sz w:val="24"/>
          <w:szCs w:val="24"/>
          <w:highlight w:val="none"/>
          <w:u w:val="none"/>
          <w:lang w:val="en-US" w:eastAsia="zh-CN"/>
        </w:rPr>
        <w:t>区域为宏城瑞东园小区，</w:t>
      </w:r>
      <w:r>
        <w:rPr>
          <w:rFonts w:hint="eastAsia" w:ascii="宋体" w:hAnsi="宋体" w:eastAsia="宋体" w:cs="宋体"/>
          <w:color w:val="auto"/>
          <w:sz w:val="24"/>
          <w:szCs w:val="24"/>
          <w:highlight w:val="none"/>
          <w:u w:val="none"/>
          <w:lang w:val="en-US" w:eastAsia="zh-CN"/>
        </w:rPr>
        <w:t>小区</w:t>
      </w:r>
      <w:r>
        <w:rPr>
          <w:rFonts w:hint="eastAsia" w:ascii="宋体" w:hAnsi="宋体" w:eastAsia="宋体" w:cs="宋体"/>
          <w:color w:val="auto"/>
          <w:sz w:val="24"/>
          <w:szCs w:val="24"/>
          <w:highlight w:val="none"/>
          <w:u w:val="none"/>
        </w:rPr>
        <w:t>周边有</w:t>
      </w:r>
      <w:r>
        <w:rPr>
          <w:rFonts w:hint="eastAsia" w:ascii="宋体" w:hAnsi="宋体" w:eastAsia="宋体" w:cs="宋体"/>
          <w:color w:val="auto"/>
          <w:sz w:val="24"/>
          <w:szCs w:val="24"/>
          <w:highlight w:val="none"/>
          <w:u w:val="none"/>
          <w:lang w:val="en-US" w:eastAsia="zh-CN"/>
        </w:rPr>
        <w:t>浣东小学</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val="en-US" w:eastAsia="zh-CN"/>
        </w:rPr>
        <w:t>诸暨市中医院</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val="en-US" w:eastAsia="zh-CN"/>
        </w:rPr>
        <w:t>诸暨市民公园、诸暨万达广场</w:t>
      </w:r>
      <w:r>
        <w:rPr>
          <w:rFonts w:hint="eastAsia" w:ascii="宋体" w:hAnsi="宋体" w:eastAsia="宋体" w:cs="宋体"/>
          <w:color w:val="auto"/>
          <w:sz w:val="24"/>
          <w:szCs w:val="24"/>
          <w:highlight w:val="none"/>
          <w:u w:val="none"/>
        </w:rPr>
        <w:t>等</w:t>
      </w:r>
      <w:r>
        <w:rPr>
          <w:rFonts w:hint="eastAsia" w:ascii="宋体" w:hAnsi="宋体" w:eastAsia="宋体" w:cs="宋体"/>
          <w:color w:val="auto"/>
          <w:sz w:val="24"/>
          <w:szCs w:val="24"/>
          <w:highlight w:val="none"/>
          <w:u w:val="none"/>
          <w:lang w:val="en-US" w:eastAsia="zh-CN"/>
        </w:rPr>
        <w:t>基本配套设施</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val="en-US" w:eastAsia="zh-CN"/>
        </w:rPr>
        <w:t>附近亦有诸暨13路、17路等多路公交，</w:t>
      </w:r>
      <w:r>
        <w:rPr>
          <w:rFonts w:hint="eastAsia" w:ascii="宋体" w:hAnsi="宋体" w:eastAsia="宋体" w:cs="宋体"/>
          <w:color w:val="auto"/>
          <w:sz w:val="24"/>
          <w:szCs w:val="24"/>
          <w:highlight w:val="none"/>
          <w:u w:val="none"/>
        </w:rPr>
        <w:t>交通便捷。</w:t>
      </w:r>
      <w:r>
        <w:rPr>
          <w:rFonts w:hint="eastAsia" w:ascii="宋体" w:hAnsi="宋体" w:eastAsia="宋体" w:cs="宋体"/>
          <w:color w:val="auto"/>
          <w:sz w:val="24"/>
          <w:szCs w:val="24"/>
          <w:highlight w:val="none"/>
          <w:u w:val="none"/>
          <w:lang w:val="en-US" w:eastAsia="zh-CN"/>
        </w:rPr>
        <w:t>小区附近亦有望湖佳苑、朗臻幸福家园等住宅小区，居住环境较好</w:t>
      </w:r>
      <w:r>
        <w:rPr>
          <w:rFonts w:hint="eastAsia" w:ascii="宋体" w:hAnsi="宋体" w:eastAsia="宋体" w:cs="宋体"/>
          <w:color w:val="auto"/>
          <w:sz w:val="24"/>
          <w:szCs w:val="24"/>
          <w:highlight w:val="none"/>
          <w:u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列入评估范围的资产截止至评估基准日，处于</w:t>
      </w:r>
      <w:r>
        <w:rPr>
          <w:rFonts w:hint="eastAsia" w:ascii="宋体" w:hAnsi="宋体" w:eastAsia="宋体" w:cs="宋体"/>
          <w:sz w:val="24"/>
          <w:szCs w:val="24"/>
          <w:u w:val="none"/>
          <w:lang w:val="en-US" w:eastAsia="zh-CN"/>
        </w:rPr>
        <w:t>查封</w:t>
      </w:r>
      <w:r>
        <w:rPr>
          <w:rFonts w:hint="eastAsia" w:ascii="宋体" w:hAnsi="宋体" w:eastAsia="宋体" w:cs="宋体"/>
          <w:sz w:val="24"/>
          <w:szCs w:val="24"/>
          <w:u w:val="none"/>
        </w:rPr>
        <w:t>状态。</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szCs w:val="24"/>
          <w:u w:val="none"/>
        </w:rPr>
        <w:t>上述评估对象和评估范围与委托评估时确定的评估对象和评估范围一致</w:t>
      </w:r>
      <w:r>
        <w:rPr>
          <w:rFonts w:hint="eastAsia" w:ascii="宋体" w:hAnsi="宋体" w:eastAsia="宋体" w:cs="宋体"/>
          <w:sz w:val="24"/>
        </w:rPr>
        <w:t>。</w:t>
      </w:r>
    </w:p>
    <w:p>
      <w:pPr>
        <w:tabs>
          <w:tab w:val="left" w:pos="540"/>
        </w:tabs>
        <w:spacing w:line="360" w:lineRule="auto"/>
        <w:outlineLvl w:val="0"/>
        <w:rPr>
          <w:rFonts w:hint="eastAsia" w:ascii="宋体" w:hAnsi="宋体" w:eastAsia="宋体" w:cs="宋体"/>
          <w:b/>
          <w:sz w:val="24"/>
        </w:rPr>
      </w:pPr>
      <w:bookmarkStart w:id="32" w:name="_Toc37185841"/>
      <w:bookmarkStart w:id="33" w:name="_Toc275872922"/>
      <w:bookmarkStart w:id="34" w:name="_Toc455510049_WPSOffice_Level1"/>
      <w:r>
        <w:rPr>
          <w:rFonts w:hint="eastAsia" w:ascii="宋体" w:hAnsi="宋体" w:eastAsia="宋体" w:cs="宋体"/>
          <w:b/>
          <w:sz w:val="24"/>
          <w:lang w:eastAsia="zh-Hans"/>
        </w:rPr>
        <w:t>四、</w:t>
      </w:r>
      <w:r>
        <w:rPr>
          <w:rFonts w:hint="eastAsia" w:ascii="宋体" w:hAnsi="宋体" w:eastAsia="宋体" w:cs="宋体"/>
          <w:b/>
          <w:sz w:val="24"/>
        </w:rPr>
        <w:t>价值类型</w:t>
      </w:r>
      <w:bookmarkEnd w:id="32"/>
      <w:bookmarkEnd w:id="33"/>
      <w:bookmarkEnd w:id="34"/>
    </w:p>
    <w:p>
      <w:pPr>
        <w:spacing w:line="360" w:lineRule="auto"/>
        <w:ind w:firstLine="480" w:firstLineChars="200"/>
        <w:rPr>
          <w:rFonts w:hint="eastAsia" w:ascii="宋体" w:hAnsi="宋体" w:eastAsia="宋体" w:cs="宋体"/>
          <w:sz w:val="24"/>
        </w:rPr>
      </w:pPr>
      <w:bookmarkStart w:id="35" w:name="_Toc275872923"/>
      <w:r>
        <w:rPr>
          <w:rFonts w:hint="eastAsia" w:ascii="宋体" w:hAnsi="宋体" w:eastAsia="宋体" w:cs="宋体"/>
          <w:sz w:val="24"/>
        </w:rPr>
        <w:t>资产评估价值类型包括市场价值和市场价值以外的价值（投资价值、在用价值、清算价值、残余价值等）两种类型。经评估人员与委托人充分沟通后，根据本次评估目的、市场条件及评估对象自身条件等因素，最终选定市场价值作为本评估报告的评估结论的价值类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市场价值是指自愿买方和自愿卖方，在各自理性行事且未受任何强迫的情况下，评估对象在评估基准日进行正常公平交易的价值估计数额。</w:t>
      </w:r>
    </w:p>
    <w:p>
      <w:pPr>
        <w:tabs>
          <w:tab w:val="left" w:pos="540"/>
        </w:tabs>
        <w:spacing w:line="360" w:lineRule="auto"/>
        <w:outlineLvl w:val="0"/>
        <w:rPr>
          <w:rFonts w:hint="eastAsia" w:ascii="宋体" w:hAnsi="宋体" w:eastAsia="宋体" w:cs="宋体"/>
          <w:b/>
          <w:sz w:val="24"/>
        </w:rPr>
      </w:pPr>
      <w:bookmarkStart w:id="36" w:name="_Toc2125675635_WPSOffice_Level1"/>
      <w:bookmarkStart w:id="37" w:name="_Toc37185842"/>
      <w:r>
        <w:rPr>
          <w:rFonts w:hint="eastAsia" w:ascii="宋体" w:hAnsi="宋体" w:eastAsia="宋体" w:cs="宋体"/>
          <w:b/>
          <w:sz w:val="24"/>
          <w:lang w:eastAsia="zh-Hans"/>
        </w:rPr>
        <w:t>五、</w:t>
      </w:r>
      <w:r>
        <w:rPr>
          <w:rFonts w:hint="eastAsia" w:ascii="宋体" w:hAnsi="宋体" w:eastAsia="宋体" w:cs="宋体"/>
          <w:b/>
          <w:sz w:val="24"/>
        </w:rPr>
        <w:t>评估基准日</w:t>
      </w:r>
      <w:bookmarkEnd w:id="35"/>
      <w:bookmarkEnd w:id="36"/>
      <w:bookmarkEnd w:id="37"/>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本次资产评估的基准日为</w:t>
      </w:r>
      <w:r>
        <w:rPr>
          <w:rFonts w:hint="eastAsia" w:ascii="宋体" w:hAnsi="宋体" w:eastAsia="宋体" w:cs="宋体"/>
          <w:sz w:val="24"/>
          <w:lang w:eastAsia="zh-CN"/>
        </w:rPr>
        <w:t>2022年9月29日</w:t>
      </w:r>
      <w:r>
        <w:rPr>
          <w:rFonts w:hint="eastAsia" w:ascii="宋体" w:hAnsi="宋体" w:eastAsia="宋体" w:cs="宋体"/>
          <w:sz w:val="24"/>
        </w:rPr>
        <w:t>。</w:t>
      </w:r>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选取上述日期为评估基准日的理由是:</w:t>
      </w:r>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根据评估目的由委托人确定评估基准日。主要考虑使评估基准日尽可能与评估目的实现日接近，使评估结论较合理地为评估目的服务。</w:t>
      </w:r>
    </w:p>
    <w:p>
      <w:pPr>
        <w:tabs>
          <w:tab w:val="left" w:pos="540"/>
        </w:tabs>
        <w:spacing w:line="360" w:lineRule="auto"/>
        <w:outlineLvl w:val="0"/>
        <w:rPr>
          <w:rFonts w:hint="eastAsia" w:ascii="宋体" w:hAnsi="宋体" w:eastAsia="宋体" w:cs="宋体"/>
          <w:b/>
          <w:sz w:val="24"/>
        </w:rPr>
      </w:pPr>
      <w:bookmarkStart w:id="38" w:name="_Toc692445953_WPSOffice_Level1"/>
      <w:bookmarkStart w:id="39" w:name="_Toc37185843"/>
      <w:r>
        <w:rPr>
          <w:rFonts w:hint="eastAsia" w:ascii="宋体" w:hAnsi="宋体" w:eastAsia="宋体" w:cs="宋体"/>
          <w:b/>
          <w:sz w:val="24"/>
          <w:lang w:eastAsia="zh-Hans"/>
        </w:rPr>
        <w:t>六、</w:t>
      </w:r>
      <w:r>
        <w:rPr>
          <w:rFonts w:hint="eastAsia" w:ascii="宋体" w:hAnsi="宋体" w:eastAsia="宋体" w:cs="宋体"/>
          <w:b/>
          <w:sz w:val="24"/>
        </w:rPr>
        <w:t>评估假设</w:t>
      </w:r>
      <w:bookmarkEnd w:id="38"/>
      <w:bookmarkEnd w:id="39"/>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(一)基础性假设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1、交易假设:假设评估对象处于交易过程中，评估师根据评估对象的交易条件等模拟市场进行</w:t>
      </w:r>
      <w:r>
        <w:rPr>
          <w:rFonts w:hint="eastAsia" w:ascii="宋体" w:hAnsi="宋体" w:eastAsia="宋体" w:cs="宋体"/>
          <w:sz w:val="24"/>
          <w:lang w:eastAsia="zh-CN"/>
        </w:rPr>
        <w:t>评估</w:t>
      </w:r>
      <w:r>
        <w:rPr>
          <w:rFonts w:hint="eastAsia" w:ascii="宋体" w:hAnsi="宋体" w:eastAsia="宋体" w:cs="宋体"/>
          <w:sz w:val="24"/>
        </w:rPr>
        <w:t>，评估结果是对评估对象最可能达成交易价格的估计。</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2、公开市场假设: 假设评估对象及其所涉及资产是在公开市场上进行交易的，在该市场上，买者与卖者的地位平等，彼此都有获取足够市场信息的机会和时间，买卖双方的交易行为都是在自愿的、理智的、非强制条件下进行的。</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3、持续使用假设:假设在评估目的经济行为实现后，评估对象及其所涉及的资产将按其评估基准日的用途与使用方式在原址持续使用。</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(二)宏观经济环境假设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1、国家现行的经济政策方针无重大变化;</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2、在</w:t>
      </w:r>
      <w:r>
        <w:rPr>
          <w:rFonts w:hint="eastAsia" w:ascii="宋体" w:hAnsi="宋体" w:eastAsia="宋体" w:cs="宋体"/>
          <w:sz w:val="24"/>
          <w:lang w:eastAsia="zh-CN"/>
        </w:rPr>
        <w:t>评估结论有效期内</w:t>
      </w:r>
      <w:r>
        <w:rPr>
          <w:rFonts w:hint="eastAsia" w:ascii="宋体" w:hAnsi="宋体" w:eastAsia="宋体" w:cs="宋体"/>
          <w:sz w:val="24"/>
        </w:rPr>
        <w:t>银行信贷利率、汇率、税率无重大变化;</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3、评估对象所在地区的社会经济环境无重大变化。</w:t>
      </w:r>
    </w:p>
    <w:p>
      <w:pPr>
        <w:tabs>
          <w:tab w:val="left" w:pos="945"/>
        </w:tabs>
        <w:adjustRightInd w:val="0"/>
        <w:snapToGrid w:val="0"/>
        <w:spacing w:line="360" w:lineRule="auto"/>
        <w:ind w:firstLine="240" w:firstLineChars="100"/>
        <w:rPr>
          <w:rFonts w:hint="eastAsia" w:ascii="宋体" w:hAnsi="宋体" w:eastAsia="宋体" w:cs="宋体"/>
          <w:sz w:val="24"/>
        </w:rPr>
      </w:pPr>
      <w:r>
        <w:rPr>
          <w:rFonts w:hint="eastAsia" w:ascii="宋体" w:hAnsi="宋体" w:eastAsia="宋体" w:cs="宋体"/>
          <w:sz w:val="24"/>
        </w:rPr>
        <w:t xml:space="preserve">  (三)评估对象于评估基准日状态假设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1、除评估师所知范围之外，假设评估对象及其所涉及资产的购置、取得或开发过程均符合国家有关法律、法规规定。</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2、除评估师所知范围之外，假设评估对象及其所涉及资产均无附带影响其价格的权利瑕疵、负债和限制，假设评估对象及其所涉及资产之价款、税费、各种应付款项均已付清。</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 除评估师所知范围之外，假设评估对象及其所涉及其他的有形资产无影响其持续使用的重大故障，该资产中不存在对其价值有不利影响的有害物质，该资产所在地无危险物及其他有害环境条件对该等资产价值产生不利影响。</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(四)限制性假设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1、本资产评估报告假设由委托人提供的法律文件等评估相关资料均真实可信。我们亦不承担与评估对象涉及资产产权有关的任何法律事宜。</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2、除非另有说明，本资产评估报告假设通过可见实体外表对评估范围内有形资 产视察的现场调查结果，与其实际经济使用寿命基本相符。本次评估未对该等资产的结构、</w:t>
      </w:r>
      <w:r>
        <w:rPr>
          <w:rFonts w:hint="eastAsia" w:ascii="宋体" w:hAnsi="宋体" w:eastAsia="宋体" w:cs="宋体"/>
          <w:sz w:val="24"/>
          <w:lang w:eastAsia="zh-CN"/>
        </w:rPr>
        <w:t>装修</w:t>
      </w:r>
      <w:r>
        <w:rPr>
          <w:rFonts w:hint="eastAsia" w:ascii="宋体" w:hAnsi="宋体" w:eastAsia="宋体" w:cs="宋体"/>
          <w:sz w:val="24"/>
        </w:rPr>
        <w:t>等进行专项技术检测。</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本评估报告评估结论在上述假设条件下在评估基准日时成立，当上述假设条件发生较大变化时，签字资产评估师及本评估机构将不承担由于假设条件改变而推导出不同评估结论的责任。</w:t>
      </w:r>
    </w:p>
    <w:p>
      <w:pPr>
        <w:tabs>
          <w:tab w:val="left" w:pos="540"/>
        </w:tabs>
        <w:spacing w:line="360" w:lineRule="auto"/>
        <w:outlineLvl w:val="0"/>
        <w:rPr>
          <w:rFonts w:hint="eastAsia" w:ascii="宋体" w:hAnsi="宋体" w:eastAsia="宋体" w:cs="宋体"/>
          <w:sz w:val="24"/>
        </w:rPr>
      </w:pPr>
      <w:bookmarkStart w:id="40" w:name="_Toc37185844"/>
      <w:bookmarkStart w:id="41" w:name="_Toc725248978_WPSOffice_Level1"/>
      <w:r>
        <w:rPr>
          <w:rFonts w:hint="eastAsia" w:ascii="宋体" w:hAnsi="宋体" w:eastAsia="宋体" w:cs="宋体"/>
          <w:b/>
          <w:sz w:val="24"/>
          <w:lang w:eastAsia="zh-Hans"/>
        </w:rPr>
        <w:t>七、</w:t>
      </w:r>
      <w:r>
        <w:rPr>
          <w:rFonts w:hint="eastAsia" w:ascii="宋体" w:hAnsi="宋体" w:eastAsia="宋体" w:cs="宋体"/>
          <w:b/>
          <w:sz w:val="24"/>
        </w:rPr>
        <w:t>评估依据</w:t>
      </w:r>
      <w:bookmarkEnd w:id="40"/>
      <w:bookmarkEnd w:id="41"/>
    </w:p>
    <w:p>
      <w:pPr>
        <w:tabs>
          <w:tab w:val="left" w:pos="540"/>
        </w:tabs>
        <w:adjustRightInd w:val="0"/>
        <w:spacing w:line="360" w:lineRule="auto"/>
        <w:ind w:firstLine="480" w:firstLineChars="200"/>
        <w:outlineLvl w:val="0"/>
        <w:rPr>
          <w:rFonts w:hint="eastAsia" w:ascii="宋体" w:hAnsi="宋体" w:eastAsia="宋体" w:cs="宋体"/>
          <w:sz w:val="24"/>
        </w:rPr>
      </w:pPr>
      <w:r>
        <w:rPr>
          <w:rFonts w:hint="eastAsia" w:ascii="宋体" w:hAnsi="宋体" w:eastAsia="宋体" w:cs="宋体"/>
          <w:sz w:val="24"/>
        </w:rPr>
        <w:t>（一）行为依据</w:t>
      </w:r>
    </w:p>
    <w:p>
      <w:pPr>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sz w:val="24"/>
        </w:rPr>
        <w:t>杭州市富阳区人民法院</w:t>
      </w:r>
      <w:r>
        <w:rPr>
          <w:rFonts w:hint="eastAsia" w:ascii="宋体" w:hAnsi="宋体" w:eastAsia="宋体" w:cs="宋体"/>
          <w:sz w:val="24"/>
          <w:lang w:eastAsia="zh-CN"/>
        </w:rPr>
        <w:t>（2020）浙0111执3185号《杭州市富阳区人民法院通知书》</w:t>
      </w:r>
      <w:r>
        <w:rPr>
          <w:rFonts w:hint="eastAsia" w:ascii="宋体" w:hAnsi="宋体" w:eastAsia="宋体" w:cs="宋体"/>
          <w:sz w:val="24"/>
        </w:rPr>
        <w:t>。</w:t>
      </w:r>
    </w:p>
    <w:p>
      <w:pPr>
        <w:tabs>
          <w:tab w:val="left" w:pos="0"/>
        </w:tabs>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（二）法律法规依据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1、《中华人民共和国资产评估法》（2016年7月2日全国人大常委会发布）；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2、《中华人民共和国拍卖法》（2015年4月24日第十二届全国人大常委会第十次会议修正）；</w:t>
      </w:r>
    </w:p>
    <w:p>
      <w:pPr>
        <w:adjustRightInd w:val="0"/>
        <w:spacing w:line="360" w:lineRule="auto"/>
        <w:ind w:firstLine="480" w:firstLineChars="200"/>
        <w:jc w:val="left"/>
        <w:rPr>
          <w:rFonts w:hint="eastAsia" w:ascii="宋体" w:hAnsi="宋体" w:eastAsia="宋体" w:cs="宋体"/>
        </w:rPr>
      </w:pPr>
      <w:r>
        <w:rPr>
          <w:rFonts w:hint="eastAsia" w:ascii="宋体" w:hAnsi="宋体" w:eastAsia="宋体" w:cs="宋体"/>
          <w:sz w:val="24"/>
        </w:rPr>
        <w:t>3、《中华人民共和国民法典》（2020年5月28日第十三届全国人大常委会三次会议表决通过）；</w:t>
      </w:r>
    </w:p>
    <w:p>
      <w:pPr>
        <w:pStyle w:val="2"/>
        <w:ind w:firstLine="480"/>
        <w:rPr>
          <w:rFonts w:hint="eastAsia" w:ascii="宋体" w:hAnsi="宋体" w:eastAsia="宋体" w:cs="宋体"/>
        </w:rPr>
      </w:pPr>
      <w:r>
        <w:rPr>
          <w:rFonts w:hint="eastAsia" w:ascii="宋体" w:hAnsi="宋体" w:eastAsia="宋体" w:cs="宋体"/>
        </w:rPr>
        <w:t>4、《中华人民共和国增值税暂行条例》（2017年11月19日国务院令第691号公布）；</w:t>
      </w:r>
    </w:p>
    <w:p>
      <w:pPr>
        <w:pStyle w:val="2"/>
        <w:spacing w:line="360" w:lineRule="auto"/>
        <w:ind w:firstLine="482"/>
        <w:rPr>
          <w:rFonts w:hint="eastAsia" w:ascii="宋体" w:hAnsi="宋体" w:eastAsia="宋体" w:cs="宋体"/>
        </w:rPr>
      </w:pPr>
      <w:r>
        <w:rPr>
          <w:rFonts w:hint="eastAsia" w:ascii="宋体" w:hAnsi="宋体" w:eastAsia="宋体" w:cs="宋体"/>
        </w:rPr>
        <w:t>5、《司法鉴定程序通则》（2016年5月1日，司法部令第132号）；</w:t>
      </w:r>
    </w:p>
    <w:p>
      <w:pPr>
        <w:pStyle w:val="2"/>
        <w:spacing w:line="360" w:lineRule="auto"/>
        <w:ind w:firstLine="482"/>
        <w:rPr>
          <w:rFonts w:hint="eastAsia" w:ascii="宋体" w:hAnsi="宋体" w:eastAsia="宋体" w:cs="宋体"/>
        </w:rPr>
      </w:pPr>
      <w:r>
        <w:rPr>
          <w:rFonts w:hint="eastAsia" w:ascii="宋体" w:hAnsi="宋体" w:eastAsia="宋体" w:cs="宋体"/>
        </w:rPr>
        <w:t>6、《浙江省人民法院实施〈人民法院对外委托司法鉴定管理规定〉细则》（浙高法[2010]299号）；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7、《最高人民法院关于人民法院确定财产处置参考价若干问题的规定》（2018年6月4日最高人民法院审判委员会第1741次会议通过）；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8、《资产评估行业财政监督管理办法》（2017年4月21日中华人民共和国财政部令第86号）；</w:t>
      </w:r>
    </w:p>
    <w:p>
      <w:pPr>
        <w:pStyle w:val="2"/>
        <w:spacing w:line="360" w:lineRule="auto"/>
        <w:ind w:firstLine="480" w:firstLineChars="200"/>
        <w:rPr>
          <w:rFonts w:hint="eastAsia" w:ascii="宋体" w:hAnsi="宋体" w:eastAsia="宋体" w:cs="宋体"/>
          <w:color w:val="auto"/>
          <w:kern w:val="2"/>
        </w:rPr>
      </w:pPr>
      <w:r>
        <w:rPr>
          <w:rFonts w:hint="eastAsia" w:ascii="宋体" w:hAnsi="宋体" w:eastAsia="宋体" w:cs="宋体"/>
        </w:rPr>
        <w:t>9、</w:t>
      </w:r>
      <w:r>
        <w:rPr>
          <w:rFonts w:hint="eastAsia" w:ascii="宋体" w:hAnsi="宋体" w:eastAsia="宋体" w:cs="宋体"/>
          <w:color w:val="auto"/>
          <w:kern w:val="2"/>
        </w:rPr>
        <w:t>《中华人民共和国城市房地产管理法》（2019年8月26日第十三届全国人民代表大会常务委员会第十二次会议）；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10、国家有关部门颁布的其他相关的法律、法规及规章。</w:t>
      </w:r>
    </w:p>
    <w:p>
      <w:pPr>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kern w:val="0"/>
          <w:sz w:val="24"/>
        </w:rPr>
        <w:t>（三）评估准则依据</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1、《资产评估基本准则》（财资[2017]43号）；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2、《资产评估职业道德准则》（中评协[2017]30号）；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3、《资产评估执业准则——资产评估程序》（中评协[2018]36号）；</w:t>
      </w:r>
    </w:p>
    <w:p>
      <w:pPr>
        <w:tabs>
          <w:tab w:val="left" w:pos="1069"/>
        </w:tabs>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rPr>
        <w:t>4、《资产评估执业准则——不动产》（中评协[2017]38号）；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5</w:t>
      </w:r>
      <w:r>
        <w:rPr>
          <w:rFonts w:hint="eastAsia" w:ascii="宋体" w:hAnsi="宋体" w:eastAsia="宋体" w:cs="宋体"/>
          <w:color w:val="000000"/>
          <w:sz w:val="24"/>
        </w:rPr>
        <w:t>、《资产评估执业准则——资产评估报告》（中评协[2018]35号）；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6</w:t>
      </w:r>
      <w:r>
        <w:rPr>
          <w:rFonts w:hint="eastAsia" w:ascii="宋体" w:hAnsi="宋体" w:eastAsia="宋体" w:cs="宋体"/>
          <w:color w:val="000000"/>
          <w:sz w:val="24"/>
        </w:rPr>
        <w:t>、《资产评估执业准则——资产评估委托合同》（中评协[2017]33号）；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7</w:t>
      </w:r>
      <w:r>
        <w:rPr>
          <w:rFonts w:hint="eastAsia" w:ascii="宋体" w:hAnsi="宋体" w:eastAsia="宋体" w:cs="宋体"/>
          <w:color w:val="000000"/>
          <w:sz w:val="24"/>
        </w:rPr>
        <w:t>、《资产评估执业准则——资产评估档案》（中评协[2018]37号）；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8</w:t>
      </w:r>
      <w:r>
        <w:rPr>
          <w:rFonts w:hint="eastAsia" w:ascii="宋体" w:hAnsi="宋体" w:eastAsia="宋体" w:cs="宋体"/>
          <w:color w:val="000000"/>
          <w:sz w:val="24"/>
        </w:rPr>
        <w:t>、《资产评估对象法律权属指导意见》（中评协[2017]48号）；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9</w:t>
      </w:r>
      <w:r>
        <w:rPr>
          <w:rFonts w:hint="eastAsia" w:ascii="宋体" w:hAnsi="宋体" w:eastAsia="宋体" w:cs="宋体"/>
          <w:color w:val="000000"/>
          <w:sz w:val="24"/>
        </w:rPr>
        <w:t>、《资产评估机构业务质量控制指南》（中评协[2017]46号）；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0</w:t>
      </w:r>
      <w:r>
        <w:rPr>
          <w:rFonts w:hint="eastAsia" w:ascii="宋体" w:hAnsi="宋体" w:eastAsia="宋体" w:cs="宋体"/>
          <w:color w:val="000000"/>
          <w:sz w:val="24"/>
        </w:rPr>
        <w:t>、《资产评估价值类型指导意见》（中评协[2017]47号）；</w:t>
      </w:r>
    </w:p>
    <w:p>
      <w:pPr>
        <w:tabs>
          <w:tab w:val="left" w:pos="1069"/>
        </w:tabs>
        <w:spacing w:line="360" w:lineRule="auto"/>
        <w:ind w:firstLine="480" w:firstLineChars="200"/>
        <w:rPr>
          <w:rFonts w:hint="eastAsia" w:ascii="宋体" w:hAnsi="宋体" w:eastAsia="宋体" w:cs="宋体"/>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1</w:t>
      </w:r>
      <w:r>
        <w:rPr>
          <w:rFonts w:hint="eastAsia" w:ascii="宋体" w:hAnsi="宋体" w:eastAsia="宋体" w:cs="宋体"/>
          <w:color w:val="000000"/>
          <w:sz w:val="24"/>
        </w:rPr>
        <w:t>、《人民法院委托司法相关财产处置资产评估指导意见》（中评协[2019]14号）；</w:t>
      </w:r>
    </w:p>
    <w:p>
      <w:pPr>
        <w:pStyle w:val="2"/>
        <w:spacing w:line="360" w:lineRule="auto"/>
        <w:ind w:firstLine="480" w:firstLineChars="200"/>
        <w:rPr>
          <w:rFonts w:hint="eastAsia" w:ascii="宋体" w:hAnsi="宋体" w:eastAsia="宋体" w:cs="宋体"/>
        </w:rPr>
      </w:pPr>
      <w:r>
        <w:rPr>
          <w:rFonts w:hint="eastAsia" w:ascii="宋体" w:hAnsi="宋体" w:eastAsia="宋体" w:cs="宋体"/>
        </w:rPr>
        <w:t>1</w:t>
      </w:r>
      <w:r>
        <w:rPr>
          <w:rFonts w:hint="eastAsia" w:hAnsi="宋体" w:cs="宋体"/>
          <w:lang w:val="en-US" w:eastAsia="zh-CN"/>
        </w:rPr>
        <w:t>2</w:t>
      </w:r>
      <w:r>
        <w:rPr>
          <w:rFonts w:hint="eastAsia" w:ascii="宋体" w:hAnsi="宋体" w:eastAsia="宋体" w:cs="宋体"/>
        </w:rPr>
        <w:t>、《资产评估执业准则——评估方法》（中评协[2019]35号）；</w:t>
      </w:r>
    </w:p>
    <w:p>
      <w:pPr>
        <w:pStyle w:val="2"/>
        <w:spacing w:line="360" w:lineRule="auto"/>
        <w:ind w:firstLine="480" w:firstLineChars="200"/>
        <w:rPr>
          <w:rFonts w:hint="eastAsia" w:ascii="宋体" w:hAnsi="宋体" w:eastAsia="宋体" w:cs="宋体"/>
          <w:lang w:eastAsia="zh-CN"/>
        </w:rPr>
      </w:pPr>
      <w:r>
        <w:rPr>
          <w:rFonts w:hint="eastAsia" w:ascii="宋体" w:hAnsi="宋体" w:eastAsia="宋体" w:cs="宋体"/>
        </w:rPr>
        <w:t>1</w:t>
      </w:r>
      <w:r>
        <w:rPr>
          <w:rFonts w:hint="eastAsia" w:hAnsi="宋体" w:cs="宋体"/>
          <w:lang w:val="en-US" w:eastAsia="zh-CN"/>
        </w:rPr>
        <w:t>3</w:t>
      </w:r>
      <w:r>
        <w:rPr>
          <w:rFonts w:hint="eastAsia" w:ascii="宋体" w:hAnsi="宋体" w:eastAsia="宋体" w:cs="宋体"/>
        </w:rPr>
        <w:t>、《房地产估价规范》</w:t>
      </w:r>
      <w:r>
        <w:rPr>
          <w:rFonts w:hint="eastAsia" w:hAnsi="宋体" w:cs="宋体"/>
          <w:lang w:eastAsia="zh-CN"/>
        </w:rPr>
        <w:t>（</w:t>
      </w:r>
      <w:r>
        <w:rPr>
          <w:rFonts w:hint="eastAsia" w:ascii="宋体" w:hAnsi="宋体" w:eastAsia="宋体" w:cs="宋体"/>
        </w:rPr>
        <w:t>国家标准GB/T50291-2015</w:t>
      </w:r>
      <w:r>
        <w:rPr>
          <w:rFonts w:hint="eastAsia" w:hAnsi="宋体" w:cs="宋体"/>
          <w:lang w:eastAsia="zh-CN"/>
        </w:rPr>
        <w:t>）。</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Hans"/>
        </w:rPr>
        <w:t>四）</w:t>
      </w:r>
      <w:r>
        <w:rPr>
          <w:rFonts w:hint="eastAsia" w:ascii="宋体" w:hAnsi="宋体" w:eastAsia="宋体" w:cs="宋体"/>
          <w:sz w:val="24"/>
        </w:rPr>
        <w:t>产权依据</w:t>
      </w:r>
    </w:p>
    <w:p>
      <w:pPr>
        <w:numPr>
          <w:ilvl w:val="0"/>
          <w:numId w:val="4"/>
        </w:numPr>
        <w:spacing w:line="360" w:lineRule="auto"/>
        <w:ind w:firstLine="480" w:firstLineChars="200"/>
        <w:rPr>
          <w:rFonts w:hint="eastAsia" w:ascii="宋体" w:hAnsi="宋体" w:eastAsia="宋体" w:cs="宋体"/>
          <w:sz w:val="24"/>
        </w:rPr>
      </w:pPr>
      <w:r>
        <w:rPr>
          <w:rFonts w:hint="eastAsia" w:ascii="宋体" w:hAnsi="宋体" w:eastAsia="宋体" w:cs="宋体"/>
          <w:sz w:val="24"/>
        </w:rPr>
        <w:t>委托人提供的相关资料；</w:t>
      </w:r>
    </w:p>
    <w:p>
      <w:pPr>
        <w:pStyle w:val="11"/>
        <w:widowControl/>
        <w:numPr>
          <w:ilvl w:val="0"/>
          <w:numId w:val="4"/>
        </w:numPr>
        <w:spacing w:before="0" w:beforeAutospacing="0" w:after="0" w:afterAutospacing="0" w:line="360" w:lineRule="auto"/>
        <w:ind w:left="0" w:leftChars="0" w:firstLine="480" w:firstLineChars="200"/>
        <w:jc w:val="both"/>
        <w:rPr>
          <w:rFonts w:hint="eastAsia" w:ascii="宋体" w:hAnsi="宋体" w:eastAsia="宋体" w:cs="宋体"/>
        </w:rPr>
      </w:pPr>
      <w:r>
        <w:rPr>
          <w:rFonts w:hint="eastAsia" w:ascii="宋体" w:hAnsi="宋体" w:eastAsia="宋体" w:cs="宋体"/>
          <w:lang w:eastAsia="zh-CN"/>
        </w:rPr>
        <w:t>杭州市富阳区人民法院</w:t>
      </w:r>
      <w:r>
        <w:rPr>
          <w:rFonts w:hint="eastAsia" w:ascii="宋体" w:hAnsi="宋体" w:eastAsia="宋体" w:cs="宋体"/>
          <w:kern w:val="2"/>
          <w:sz w:val="24"/>
          <w:szCs w:val="24"/>
          <w:lang w:val="en-US" w:eastAsia="zh-CN" w:bidi="ar-SA"/>
        </w:rPr>
        <w:t>《杭州市富阳区人民法院通知书》</w:t>
      </w:r>
      <w:r>
        <w:rPr>
          <w:rFonts w:hint="eastAsia" w:ascii="宋体" w:hAnsi="宋体" w:eastAsia="宋体" w:cs="宋体"/>
          <w:lang w:eastAsia="zh-CN"/>
        </w:rPr>
        <w:t>；</w:t>
      </w:r>
    </w:p>
    <w:p>
      <w:pPr>
        <w:pStyle w:val="11"/>
        <w:widowControl/>
        <w:numPr>
          <w:ilvl w:val="0"/>
          <w:numId w:val="4"/>
        </w:numPr>
        <w:spacing w:before="0" w:beforeAutospacing="0" w:after="0" w:afterAutospacing="0" w:line="360" w:lineRule="auto"/>
        <w:ind w:left="0" w:leftChars="0" w:firstLine="480" w:firstLineChars="200"/>
        <w:jc w:val="both"/>
        <w:rPr>
          <w:rFonts w:hint="eastAsia" w:ascii="宋体" w:hAnsi="宋体" w:eastAsia="宋体" w:cs="宋体"/>
        </w:rPr>
      </w:pPr>
      <w:r>
        <w:rPr>
          <w:rFonts w:hint="eastAsia" w:ascii="宋体" w:hAnsi="宋体" w:eastAsia="宋体" w:cs="宋体"/>
        </w:rPr>
        <w:t>评估人员现场勘查的相关资料；</w:t>
      </w:r>
    </w:p>
    <w:p>
      <w:pPr>
        <w:pStyle w:val="11"/>
        <w:widowControl/>
        <w:spacing w:before="0" w:beforeAutospacing="0" w:after="0" w:afterAutospacing="0" w:line="360" w:lineRule="auto"/>
        <w:ind w:firstLine="480" w:firstLineChars="200"/>
        <w:jc w:val="both"/>
        <w:rPr>
          <w:rFonts w:hint="eastAsia" w:ascii="宋体" w:hAnsi="宋体" w:eastAsia="宋体" w:cs="宋体"/>
        </w:rPr>
      </w:pPr>
      <w:r>
        <w:rPr>
          <w:rFonts w:hint="eastAsia" w:ascii="宋体" w:hAnsi="宋体" w:eastAsia="宋体" w:cs="宋体"/>
          <w:shd w:val="clear" w:color="auto" w:fill="FFFFFF"/>
          <w:lang w:val="en-US" w:eastAsia="zh-CN"/>
        </w:rPr>
        <w:t>4</w:t>
      </w:r>
      <w:r>
        <w:rPr>
          <w:rFonts w:hint="eastAsia" w:ascii="宋体" w:hAnsi="宋体" w:eastAsia="宋体" w:cs="宋体"/>
          <w:shd w:val="clear" w:color="auto" w:fill="FFFFFF"/>
        </w:rPr>
        <w:t>、</w:t>
      </w:r>
      <w:r>
        <w:rPr>
          <w:rFonts w:hint="eastAsia" w:ascii="宋体" w:hAnsi="宋体" w:eastAsia="宋体" w:cs="宋体"/>
          <w:lang w:eastAsia="zh-CN"/>
        </w:rPr>
        <w:t>杭州市不动产权属信息查询记录。</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Hans"/>
        </w:rPr>
        <w:t>五）</w:t>
      </w:r>
      <w:r>
        <w:rPr>
          <w:rFonts w:hint="eastAsia" w:ascii="宋体" w:hAnsi="宋体" w:eastAsia="宋体" w:cs="宋体"/>
          <w:sz w:val="24"/>
        </w:rPr>
        <w:t>取价依据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1、委托评估资产的有关资产市场价格信息；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2、评估人员现场勘察记录及收集的其他相关估价信息资料；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3、国家有关部门颁布的统计资料和技术标准资料，以及本公司评估专业技术人员现场勘察和市场调查所取得的资料；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4、有关建材市场</w:t>
      </w:r>
      <w:r>
        <w:rPr>
          <w:rFonts w:hint="eastAsia" w:ascii="宋体" w:hAnsi="宋体" w:eastAsia="宋体" w:cs="宋体"/>
          <w:sz w:val="24"/>
          <w:lang w:eastAsia="zh-CN"/>
        </w:rPr>
        <w:t>价格信息</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5、其他资料。</w:t>
      </w:r>
    </w:p>
    <w:p>
      <w:pPr>
        <w:tabs>
          <w:tab w:val="left" w:pos="540"/>
        </w:tabs>
        <w:spacing w:line="360" w:lineRule="auto"/>
        <w:outlineLvl w:val="0"/>
        <w:rPr>
          <w:rFonts w:hint="eastAsia" w:ascii="宋体" w:hAnsi="宋体" w:eastAsia="宋体" w:cs="宋体"/>
          <w:sz w:val="24"/>
        </w:rPr>
      </w:pPr>
      <w:bookmarkStart w:id="42" w:name="_Toc142392874_WPSOffice_Level1"/>
      <w:r>
        <w:rPr>
          <w:rFonts w:hint="eastAsia" w:ascii="宋体" w:hAnsi="宋体" w:eastAsia="宋体" w:cs="宋体"/>
          <w:b/>
          <w:sz w:val="24"/>
          <w:lang w:eastAsia="zh-Hans"/>
        </w:rPr>
        <w:t>八、</w:t>
      </w:r>
      <w:bookmarkStart w:id="43" w:name="_Hlk94096399"/>
      <w:r>
        <w:rPr>
          <w:rFonts w:hint="eastAsia" w:ascii="宋体" w:hAnsi="宋体" w:eastAsia="宋体" w:cs="宋体"/>
          <w:b/>
          <w:sz w:val="24"/>
        </w:rPr>
        <w:t>评估方法</w:t>
      </w:r>
      <w:bookmarkEnd w:id="42"/>
      <w:bookmarkEnd w:id="43"/>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（一）</w:t>
      </w:r>
      <w:r>
        <w:rPr>
          <w:rFonts w:hint="eastAsia" w:ascii="宋体" w:hAnsi="宋体" w:eastAsia="宋体" w:cs="宋体"/>
          <w:sz w:val="24"/>
        </w:rPr>
        <w:t>评估方法的</w:t>
      </w:r>
      <w:r>
        <w:rPr>
          <w:rFonts w:hint="eastAsia" w:ascii="宋体" w:hAnsi="宋体" w:eastAsia="宋体" w:cs="宋体"/>
          <w:sz w:val="24"/>
          <w:lang w:eastAsia="zh-CN"/>
        </w:rPr>
        <w:t>介绍</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按照《资产评估基本准则》，评估需根据评估目的、价值类型、资料收集情况等相关条件，恰当选择一种或多种资产评估方法。价值评估通常采用的评估方法有市场法、收益法和成本法。</w:t>
      </w:r>
      <w:bookmarkStart w:id="44" w:name="_Toc417635592"/>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资产评估中的收益法，是指将预期收益资本化或者折现，确定评估对象价值的评估方法。收益法常用的具体方法包括股利折现法和现金流量折现法。</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资产评估中的市场法，是指将评估对象与可比上市公司或者可比交易案例进行比较，确定评估对象价值的评估方法。市场法常用的两种具体方法是上市公司比较法和交易案例比较法。</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资产评估中的成本法，是指按照重建或者重置被评估资产的思路，将评估对象的重建或者重置成本作为确定资产价值的基础，扣除相关贬值，以此确定资产价值的评估方法的总称。</w:t>
      </w:r>
    </w:p>
    <w:p>
      <w:pPr>
        <w:spacing w:line="360" w:lineRule="auto"/>
        <w:ind w:firstLine="480" w:firstLineChars="200"/>
        <w:rPr>
          <w:rFonts w:hint="eastAsia" w:ascii="宋体" w:hAnsi="宋体" w:eastAsia="宋体" w:cs="宋体"/>
        </w:rPr>
      </w:pPr>
      <w:r>
        <w:rPr>
          <w:rFonts w:hint="eastAsia" w:ascii="宋体" w:hAnsi="宋体" w:eastAsia="宋体" w:cs="宋体"/>
          <w:sz w:val="24"/>
          <w:lang w:eastAsia="zh-CN"/>
        </w:rPr>
        <w:t>（二）</w:t>
      </w:r>
      <w:r>
        <w:rPr>
          <w:rFonts w:hint="eastAsia" w:ascii="宋体" w:hAnsi="宋体" w:eastAsia="宋体" w:cs="宋体"/>
          <w:sz w:val="24"/>
        </w:rPr>
        <w:t>房屋建筑物评估方法的选择：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由于评估对象所在区域住房目前租金水平相对较低，通过调查得到的租金资料计算的收益价格与评估对象的实际价值差别较大，故收益法不适宜评估对象的评估；而成本法仅仅是从房地产开发投入的客观成本角度测算房地产价值，实际投入的多少与房地产的市场价格之间有较大的差异，成本法不能确切反映房地产的市场价格，故成本法不适宜评估对象的评估；评估对象所在杭州市</w:t>
      </w:r>
      <w:r>
        <w:rPr>
          <w:rFonts w:hint="eastAsia" w:ascii="宋体" w:hAnsi="宋体" w:eastAsia="宋体" w:cs="宋体"/>
          <w:sz w:val="24"/>
          <w:lang w:eastAsia="zh-CN"/>
        </w:rPr>
        <w:t>富阳区</w:t>
      </w:r>
      <w:r>
        <w:rPr>
          <w:rFonts w:hint="eastAsia" w:ascii="宋体" w:hAnsi="宋体" w:eastAsia="宋体" w:cs="宋体"/>
          <w:sz w:val="24"/>
        </w:rPr>
        <w:t>，周边房地产市场较活跃，价值时点近期有一定量的类似房地产的交易，故可选用市场法进行测算。</w:t>
      </w:r>
    </w:p>
    <w:bookmarkEnd w:id="44"/>
    <w:p>
      <w:pPr>
        <w:overflowPunct w:val="0"/>
        <w:adjustRightInd w:val="0"/>
        <w:snapToGrid w:val="0"/>
        <w:spacing w:line="360" w:lineRule="auto"/>
        <w:ind w:firstLine="480" w:firstLineChars="200"/>
        <w:rPr>
          <w:rFonts w:hint="eastAsia" w:ascii="宋体" w:hAnsi="宋体" w:eastAsia="宋体" w:cs="宋体"/>
          <w:color w:val="000000"/>
          <w:sz w:val="24"/>
        </w:rPr>
      </w:pPr>
      <w:bookmarkStart w:id="45" w:name="_Toc417635589"/>
      <w:bookmarkEnd w:id="45"/>
      <w:r>
        <w:rPr>
          <w:rFonts w:hint="eastAsia" w:ascii="宋体" w:hAnsi="宋体" w:eastAsia="宋体" w:cs="宋体"/>
          <w:color w:val="000000"/>
          <w:sz w:val="24"/>
        </w:rPr>
        <w:t>市场法是将评估对象与在评估时点的近期发生过交易的类似交易案例进行比较，对各个因素进行指数量化，通过指数对比调整，得出评估对象市场价值的方法。评估人员分析了评估对象的特点和实际状况，并研究了委托人提供的资料，结合实地查勘和市场调研的结果，由于评估对象周边同类物业二级市场交易较为活跃，在市场上有可供参照的交易案例，故确定房地产采用市场法评估。其计算公式为：</w:t>
      </w:r>
    </w:p>
    <w:p>
      <w:pPr>
        <w:overflowPunct w:val="0"/>
        <w:adjustRightInd w:val="0"/>
        <w:snapToGrid w:val="0"/>
        <w:spacing w:line="360" w:lineRule="auto"/>
        <w:ind w:firstLine="480" w:firstLineChars="200"/>
        <w:rPr>
          <w:rFonts w:hint="eastAsia" w:ascii="宋体" w:hAnsi="宋体" w:eastAsia="宋体" w:cs="宋体"/>
          <w:color w:val="000000"/>
          <w:sz w:val="24"/>
        </w:rPr>
      </w:pPr>
      <w:bookmarkStart w:id="46" w:name="_Hlk93493965"/>
      <w:r>
        <w:rPr>
          <w:rFonts w:hint="eastAsia" w:ascii="宋体" w:hAnsi="宋体" w:eastAsia="宋体" w:cs="宋体"/>
          <w:color w:val="000000"/>
          <w:sz w:val="24"/>
        </w:rPr>
        <w:t>V=VB×A×B×C×D×E</w:t>
      </w:r>
    </w:p>
    <w:bookmarkEnd w:id="46"/>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式中： V：待估房屋价值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VB：比较案例价格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A：待估房屋交易情况指数/比较案例交易情况指数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B：待估房屋期日价格指数/比较案例期日价格指数</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C：待估房屋区域因素条件指数/比较案例区域因素条件指数 </w:t>
      </w:r>
    </w:p>
    <w:p>
      <w:pPr>
        <w:overflowPunct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color w:val="000000"/>
          <w:sz w:val="24"/>
        </w:rPr>
        <w:t>D：待估房屋实物因素条件指数/比较案例实物因素条</w:t>
      </w:r>
      <w:r>
        <w:rPr>
          <w:rFonts w:hint="eastAsia" w:ascii="宋体" w:hAnsi="宋体" w:eastAsia="宋体" w:cs="宋体"/>
          <w:kern w:val="0"/>
          <w:sz w:val="24"/>
        </w:rPr>
        <w:t>件指数</w:t>
      </w:r>
    </w:p>
    <w:p>
      <w:pPr>
        <w:autoSpaceDE w:val="0"/>
        <w:autoSpaceDN w:val="0"/>
        <w:adjustRightInd w:val="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    E：待估房屋权益因素条件指数/比较案例权益因素条件指数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根据上述评估方法评估，得出房地产评估价值。</w:t>
      </w:r>
    </w:p>
    <w:p>
      <w:pPr>
        <w:spacing w:line="360" w:lineRule="auto"/>
        <w:ind w:firstLine="480" w:firstLineChars="200"/>
        <w:rPr>
          <w:rFonts w:hint="eastAsia" w:ascii="宋体" w:hAnsi="宋体" w:eastAsia="宋体" w:cs="宋体"/>
        </w:rPr>
      </w:pPr>
      <w:r>
        <w:rPr>
          <w:rFonts w:hint="eastAsia" w:ascii="宋体" w:hAnsi="宋体" w:eastAsia="宋体" w:cs="宋体"/>
          <w:sz w:val="24"/>
          <w:lang w:eastAsia="zh-CN"/>
        </w:rPr>
        <w:t>（三）</w:t>
      </w:r>
      <w:r>
        <w:rPr>
          <w:rFonts w:hint="eastAsia" w:ascii="宋体" w:hAnsi="宋体" w:eastAsia="宋体" w:cs="宋体"/>
          <w:sz w:val="24"/>
        </w:rPr>
        <w:t>室内装修</w:t>
      </w:r>
      <w:r>
        <w:rPr>
          <w:rFonts w:hint="eastAsia" w:ascii="宋体" w:hAnsi="宋体" w:eastAsia="宋体" w:cs="宋体"/>
          <w:sz w:val="24"/>
          <w:lang w:eastAsia="zh-CN"/>
        </w:rPr>
        <w:t>、家具家电</w:t>
      </w:r>
      <w:r>
        <w:rPr>
          <w:rFonts w:hint="eastAsia" w:ascii="宋体" w:hAnsi="宋体" w:eastAsia="宋体" w:cs="宋体"/>
          <w:sz w:val="24"/>
        </w:rPr>
        <w:t>评估方法的选择：</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根据委托人的要求，需将室内装修</w:t>
      </w:r>
      <w:r>
        <w:rPr>
          <w:rFonts w:hint="eastAsia" w:ascii="Times New Roman" w:hAnsi="Times New Roman" w:cs="Times New Roman"/>
          <w:color w:val="000000"/>
          <w:sz w:val="24"/>
          <w:lang w:eastAsia="zh-CN"/>
        </w:rPr>
        <w:t>、家具家电</w:t>
      </w:r>
      <w:r>
        <w:rPr>
          <w:rFonts w:hint="default" w:ascii="Times New Roman" w:hAnsi="Times New Roman" w:cs="Times New Roman"/>
          <w:color w:val="000000"/>
          <w:sz w:val="24"/>
          <w:lang w:eastAsia="zh-CN"/>
        </w:rPr>
        <w:t>的价值在房地产价值之外单独评估。</w:t>
      </w:r>
    </w:p>
    <w:p>
      <w:pPr>
        <w:overflowPunct w:val="0"/>
        <w:adjustRightInd w:val="0"/>
        <w:snapToGrid w:val="0"/>
        <w:spacing w:line="360" w:lineRule="auto"/>
        <w:ind w:firstLine="480" w:firstLineChars="200"/>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由于室内装修</w:t>
      </w:r>
      <w:r>
        <w:rPr>
          <w:rFonts w:hint="eastAsia" w:ascii="Times New Roman" w:hAnsi="Times New Roman" w:cs="Times New Roman"/>
          <w:color w:val="000000"/>
          <w:sz w:val="24"/>
          <w:lang w:eastAsia="zh-CN"/>
        </w:rPr>
        <w:t>、家具家电</w:t>
      </w:r>
      <w:r>
        <w:rPr>
          <w:rFonts w:hint="default" w:ascii="Times New Roman" w:hAnsi="Times New Roman" w:cs="Times New Roman"/>
          <w:color w:val="000000"/>
          <w:sz w:val="24"/>
          <w:lang w:eastAsia="zh-CN"/>
        </w:rPr>
        <w:t>在二手市场上难以找寻到相关类似的可比交易案例，故不适宜采用市场法进行评估；且室内装修</w:t>
      </w:r>
      <w:r>
        <w:rPr>
          <w:rFonts w:hint="eastAsia" w:ascii="Times New Roman" w:hAnsi="Times New Roman" w:cs="Times New Roman"/>
          <w:color w:val="000000"/>
          <w:sz w:val="24"/>
          <w:lang w:eastAsia="zh-CN"/>
        </w:rPr>
        <w:t>、家具家电</w:t>
      </w:r>
      <w:r>
        <w:rPr>
          <w:rFonts w:hint="default" w:ascii="Times New Roman" w:hAnsi="Times New Roman" w:cs="Times New Roman"/>
          <w:color w:val="000000"/>
          <w:sz w:val="24"/>
          <w:lang w:eastAsia="zh-CN"/>
        </w:rPr>
        <w:t>无法脱离</w:t>
      </w:r>
      <w:r>
        <w:rPr>
          <w:rFonts w:hint="eastAsia" w:ascii="Times New Roman" w:hAnsi="Times New Roman" w:cs="Times New Roman"/>
          <w:color w:val="000000"/>
          <w:sz w:val="24"/>
          <w:lang w:eastAsia="zh-CN"/>
        </w:rPr>
        <w:t>房地产</w:t>
      </w:r>
      <w:r>
        <w:rPr>
          <w:rFonts w:hint="default" w:ascii="Times New Roman" w:hAnsi="Times New Roman" w:cs="Times New Roman"/>
          <w:color w:val="000000"/>
          <w:sz w:val="24"/>
          <w:lang w:eastAsia="zh-CN"/>
        </w:rPr>
        <w:t>单独产生收益，故不适宜采用收益法进行评估。评估人员结合评估目的、价值类型等因素，最终采用成本法对室内装修</w:t>
      </w:r>
      <w:r>
        <w:rPr>
          <w:rFonts w:hint="eastAsia" w:ascii="Times New Roman" w:hAnsi="Times New Roman" w:cs="Times New Roman"/>
          <w:color w:val="000000"/>
          <w:sz w:val="24"/>
          <w:lang w:eastAsia="zh-CN"/>
        </w:rPr>
        <w:t>、家具家电</w:t>
      </w:r>
      <w:r>
        <w:rPr>
          <w:rFonts w:hint="default" w:ascii="Times New Roman" w:hAnsi="Times New Roman" w:cs="Times New Roman"/>
          <w:color w:val="000000"/>
          <w:sz w:val="24"/>
          <w:lang w:eastAsia="zh-CN"/>
        </w:rPr>
        <w:t>价值进行评估。</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重置成本法也称成本法，是指在资产评估时按被评估资产的现时重置成本扣除其各项损耗来确定被评估资产价值的方法。</w:t>
      </w:r>
    </w:p>
    <w:p>
      <w:pPr>
        <w:overflowPunct w:val="0"/>
        <w:adjustRightInd w:val="0"/>
        <w:snapToGrid w:val="0"/>
        <w:spacing w:line="360" w:lineRule="auto"/>
        <w:ind w:firstLine="480" w:firstLineChars="200"/>
        <w:rPr>
          <w:rFonts w:hint="eastAsia" w:ascii="宋体" w:hAnsi="宋体" w:eastAsia="宋体" w:cs="宋体"/>
        </w:rPr>
      </w:pPr>
      <w:r>
        <w:rPr>
          <w:rFonts w:hint="eastAsia" w:ascii="宋体" w:hAnsi="宋体" w:eastAsia="宋体" w:cs="宋体"/>
          <w:color w:val="000000"/>
          <w:sz w:val="24"/>
        </w:rPr>
        <w:t>重置成本法，就是在现实条件下重新购置或建造一个全新状态的评估对象，所需的</w:t>
      </w:r>
      <w:r>
        <w:rPr>
          <w:rFonts w:hint="eastAsia" w:ascii="宋体" w:hAnsi="宋体" w:eastAsia="宋体" w:cs="宋体"/>
          <w:color w:val="000000"/>
          <w:sz w:val="24"/>
        </w:rPr>
        <w:fldChar w:fldCharType="begin"/>
      </w:r>
      <w:r>
        <w:rPr>
          <w:rFonts w:hint="eastAsia" w:ascii="宋体" w:hAnsi="宋体" w:eastAsia="宋体" w:cs="宋体"/>
          <w:color w:val="000000"/>
          <w:sz w:val="24"/>
        </w:rPr>
        <w:instrText xml:space="preserve"> HYPERLINK "https://baike.so.com/doc/655950-694333.html" \t "https://baike.so.com/doc/_blank" </w:instrText>
      </w:r>
      <w:r>
        <w:rPr>
          <w:rFonts w:hint="eastAsia" w:ascii="宋体" w:hAnsi="宋体" w:eastAsia="宋体" w:cs="宋体"/>
          <w:color w:val="000000"/>
          <w:sz w:val="24"/>
        </w:rPr>
        <w:fldChar w:fldCharType="separate"/>
      </w:r>
      <w:r>
        <w:rPr>
          <w:rFonts w:hint="eastAsia" w:ascii="宋体" w:hAnsi="宋体" w:eastAsia="宋体" w:cs="宋体"/>
          <w:color w:val="000000"/>
          <w:sz w:val="24"/>
        </w:rPr>
        <w:t>全部成本</w:t>
      </w:r>
      <w:r>
        <w:rPr>
          <w:rFonts w:hint="eastAsia" w:ascii="宋体" w:hAnsi="宋体" w:eastAsia="宋体" w:cs="宋体"/>
          <w:color w:val="000000"/>
          <w:sz w:val="24"/>
        </w:rPr>
        <w:fldChar w:fldCharType="end"/>
      </w:r>
      <w:r>
        <w:rPr>
          <w:rFonts w:hint="eastAsia" w:ascii="宋体" w:hAnsi="宋体" w:eastAsia="宋体" w:cs="宋体"/>
          <w:color w:val="000000"/>
          <w:sz w:val="24"/>
        </w:rPr>
        <w:t xml:space="preserve">减去评估对象的实体性陈旧贬值、功能性陈旧贬值和经济性陈旧贬值后的差额，以其作为评估对象现实价值的一种评估方法。    </w:t>
      </w:r>
    </w:p>
    <w:p>
      <w:pPr>
        <w:pageBreakBefore w:val="0"/>
        <w:widowControl w:val="0"/>
        <w:kinsoku/>
        <w:wordWrap/>
        <w:overflowPunct w:val="0"/>
        <w:topLinePunct w:val="0"/>
        <w:bidi w:val="0"/>
        <w:adjustRightInd w:val="0"/>
        <w:snapToGrid w:val="0"/>
        <w:spacing w:line="360" w:lineRule="auto"/>
        <w:ind w:left="0" w:leftChars="0" w:right="0" w:rightChars="0" w:firstLine="480" w:firstLineChars="200"/>
        <w:textAlignment w:val="auto"/>
        <w:rPr>
          <w:rFonts w:hint="default" w:ascii="Times New Roman" w:hAnsi="Times New Roman" w:cs="Times New Roman"/>
          <w:color w:val="000000"/>
          <w:sz w:val="24"/>
          <w:lang w:eastAsia="zh-CN"/>
        </w:rPr>
      </w:pPr>
      <w:r>
        <w:rPr>
          <w:rFonts w:hint="eastAsia" w:ascii="宋体" w:hAnsi="宋体" w:eastAsia="宋体" w:cs="宋体"/>
          <w:sz w:val="24"/>
        </w:rPr>
        <w:t>评估值=数量×重置单价×成新率</w:t>
      </w:r>
    </w:p>
    <w:p>
      <w:pPr>
        <w:tabs>
          <w:tab w:val="left" w:pos="540"/>
        </w:tabs>
        <w:spacing w:line="360" w:lineRule="auto"/>
        <w:ind w:firstLine="482" w:firstLineChars="200"/>
        <w:outlineLvl w:val="0"/>
        <w:rPr>
          <w:rFonts w:hint="eastAsia" w:ascii="宋体" w:hAnsi="宋体" w:eastAsia="宋体" w:cs="宋体"/>
          <w:b/>
          <w:sz w:val="24"/>
        </w:rPr>
      </w:pPr>
      <w:bookmarkStart w:id="47" w:name="_Toc900250560_WPSOffice_Level1"/>
      <w:r>
        <w:rPr>
          <w:rFonts w:hint="eastAsia" w:ascii="宋体" w:hAnsi="宋体" w:eastAsia="宋体" w:cs="宋体"/>
          <w:b/>
          <w:sz w:val="24"/>
          <w:lang w:eastAsia="zh-Hans"/>
        </w:rPr>
        <w:t>九、</w:t>
      </w:r>
      <w:r>
        <w:rPr>
          <w:rFonts w:hint="eastAsia" w:ascii="宋体" w:hAnsi="宋体" w:eastAsia="宋体" w:cs="宋体"/>
          <w:b/>
          <w:sz w:val="24"/>
        </w:rPr>
        <w:t>评估过程</w:t>
      </w:r>
      <w:bookmarkEnd w:id="47"/>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整个评估工作分</w:t>
      </w:r>
      <w:r>
        <w:rPr>
          <w:rFonts w:hint="eastAsia" w:ascii="宋体" w:hAnsi="宋体" w:eastAsia="宋体" w:cs="宋体"/>
          <w:color w:val="000000"/>
          <w:sz w:val="24"/>
        </w:rPr>
        <w:t>五</w:t>
      </w:r>
      <w:r>
        <w:rPr>
          <w:rFonts w:hint="eastAsia" w:ascii="宋体" w:hAnsi="宋体" w:eastAsia="宋体" w:cs="宋体"/>
          <w:color w:val="000000"/>
          <w:sz w:val="24"/>
          <w:lang w:val="zh-CN"/>
        </w:rPr>
        <w:t>个阶段进行：</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（一）接受委托阶段</w:t>
      </w:r>
    </w:p>
    <w:p>
      <w:pPr>
        <w:tabs>
          <w:tab w:val="left" w:pos="0"/>
          <w:tab w:val="left" w:pos="1211"/>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1、明确评估业务基本事项，了解项目的委托人、</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和委托人以外的其他资产评估报告使用人、评估目的、评估对象和评估范围、价值类型、评估基准日、资产评估报告使用范围、资产评估报告提交期限及方式、评估服务费及支付方式以及委托人、其他相关当事人与资产评估机构及其资产评估专业人员工作配合和协助等需要明确的重要事项；</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2、接受杭州市富阳区人民法院的</w:t>
      </w:r>
      <w:r>
        <w:rPr>
          <w:rFonts w:hint="eastAsia" w:ascii="宋体" w:hAnsi="宋体" w:eastAsia="宋体" w:cs="宋体"/>
          <w:sz w:val="24"/>
        </w:rPr>
        <w:t>出具的</w:t>
      </w:r>
      <w:r>
        <w:rPr>
          <w:rFonts w:hint="eastAsia" w:ascii="宋体" w:hAnsi="宋体" w:eastAsia="宋体" w:cs="宋体"/>
          <w:kern w:val="2"/>
          <w:sz w:val="24"/>
          <w:szCs w:val="24"/>
          <w:lang w:val="en-US" w:eastAsia="zh-CN" w:bidi="ar-SA"/>
        </w:rPr>
        <w:t>《杭州市富阳区人民法院通知书》</w:t>
      </w:r>
      <w:r>
        <w:rPr>
          <w:rFonts w:hint="eastAsia" w:ascii="宋体" w:hAnsi="宋体" w:eastAsia="宋体" w:cs="宋体"/>
          <w:color w:val="000000"/>
          <w:sz w:val="24"/>
        </w:rPr>
        <w:t>；</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3、制定资产评估工作计划；</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4、组成项目小组，并对项目组成员进行培训。</w:t>
      </w:r>
    </w:p>
    <w:p>
      <w:pPr>
        <w:tabs>
          <w:tab w:val="left" w:pos="1211"/>
        </w:tabs>
        <w:spacing w:line="360" w:lineRule="auto"/>
        <w:rPr>
          <w:rFonts w:hint="eastAsia" w:ascii="宋体" w:hAnsi="宋体" w:eastAsia="宋体" w:cs="宋体"/>
          <w:color w:val="000000"/>
          <w:sz w:val="24"/>
        </w:rPr>
      </w:pPr>
      <w:r>
        <w:rPr>
          <w:rFonts w:hint="eastAsia" w:ascii="宋体" w:hAnsi="宋体" w:eastAsia="宋体" w:cs="宋体"/>
          <w:color w:val="000000"/>
          <w:sz w:val="24"/>
        </w:rPr>
        <w:t>（二）资产核实阶段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1、根据评估工作的需要，向杭州市富阳区人民法院提供资产评估清单表样，并协助其进行资产清查工作；</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2、了解</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基本情况及委评资产状况，并收集相关资料；</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3、审查核对杭州市富阳区人民法院提供的资产评估清单和相关资料；</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4、根据资产评估申报表的内容进行现场核实和勘察；</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5、收集并查验资产评估所需的其他相关资料。</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（三）评定估算阶段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1、根据委评资产的实际状况和特点，制订具体评估方法；</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2、开展市场调研、询价工作；</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3、对委评资产进行评估，测算其评估价值；</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4、分析并汇总分项资产的评估结果，汇集评估底稿；</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5、撰写评估报告、评估说明，编制评估明细表。</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（四）出具报告阶段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1、征求有关各方意见；</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2、内部进行复核程序，验证评估结果；</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3、评估结果的分析调整和评估报告的完善；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4、正式出具资产评估报告。</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（五）整理归集评估档案</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在出具资产评估报告后，评估人员按照资产评估基本准则和资产评估执业准则规范整理归集评估档案。</w:t>
      </w:r>
    </w:p>
    <w:p>
      <w:pPr>
        <w:tabs>
          <w:tab w:val="left" w:pos="540"/>
        </w:tabs>
        <w:spacing w:line="360" w:lineRule="auto"/>
        <w:outlineLvl w:val="0"/>
        <w:rPr>
          <w:rFonts w:hint="eastAsia" w:ascii="宋体" w:hAnsi="宋体" w:eastAsia="宋体" w:cs="宋体"/>
          <w:b/>
          <w:sz w:val="24"/>
        </w:rPr>
      </w:pPr>
      <w:bookmarkStart w:id="48" w:name="_Toc37185847"/>
      <w:bookmarkStart w:id="49" w:name="_Toc1488868805_WPSOffice_Level1"/>
      <w:bookmarkStart w:id="50" w:name="_Toc275872929"/>
      <w:r>
        <w:rPr>
          <w:rFonts w:hint="eastAsia" w:ascii="宋体" w:hAnsi="宋体" w:eastAsia="宋体" w:cs="宋体"/>
          <w:b/>
          <w:sz w:val="24"/>
          <w:lang w:eastAsia="zh-Hans"/>
        </w:rPr>
        <w:t>十、</w:t>
      </w:r>
      <w:r>
        <w:rPr>
          <w:rFonts w:hint="eastAsia" w:ascii="宋体" w:hAnsi="宋体" w:eastAsia="宋体" w:cs="宋体"/>
          <w:b/>
          <w:sz w:val="24"/>
        </w:rPr>
        <w:t>评估结论</w:t>
      </w:r>
      <w:bookmarkEnd w:id="48"/>
      <w:bookmarkEnd w:id="49"/>
      <w:bookmarkEnd w:id="50"/>
    </w:p>
    <w:p>
      <w:pPr>
        <w:adjustRightInd w:val="0"/>
        <w:snapToGrid w:val="0"/>
        <w:spacing w:line="360" w:lineRule="auto"/>
        <w:ind w:firstLine="480" w:firstLineChars="200"/>
        <w:rPr>
          <w:rFonts w:hint="eastAsia" w:ascii="宋体" w:hAnsi="宋体" w:cs="宋体" w:eastAsiaTheme="minorEastAsia"/>
          <w:sz w:val="24"/>
          <w:lang w:eastAsia="zh-CN"/>
        </w:rPr>
      </w:pPr>
      <w:bookmarkStart w:id="51" w:name="_Toc275872930"/>
      <w:r>
        <w:rPr>
          <w:rFonts w:hint="eastAsia" w:ascii="宋体" w:hAnsi="宋体" w:eastAsia="宋体" w:cs="宋体"/>
          <w:sz w:val="24"/>
          <w:lang w:eastAsia="zh-CN"/>
        </w:rPr>
        <w:t>经实施评估程序后，在评估基准日</w:t>
      </w:r>
      <w:r>
        <w:rPr>
          <w:rFonts w:hint="eastAsia" w:ascii="宋体" w:hAnsi="宋体" w:eastAsia="宋体" w:cs="宋体"/>
          <w:sz w:val="24"/>
          <w:lang w:val="en-US" w:eastAsia="zh-CN"/>
        </w:rPr>
        <w:t>2022年9月29日，在本报告所揭示的假设前提条件基础上，委评资产的评估价值为1,845,200.00元（大写人民币壹佰捌拾肆万伍仟贰佰元整），具体明细如下：</w:t>
      </w:r>
    </w:p>
    <w:p>
      <w:pPr>
        <w:pStyle w:val="2"/>
        <w:jc w:val="right"/>
        <w:rPr>
          <w:rFonts w:hint="eastAsia" w:ascii="宋体" w:hAnsi="宋体" w:eastAsia="宋体" w:cs="宋体"/>
          <w:lang w:eastAsia="zh-CN"/>
        </w:rPr>
      </w:pPr>
      <w:r>
        <w:rPr>
          <w:rFonts w:hint="eastAsia" w:ascii="宋体" w:hAnsi="宋体" w:eastAsia="宋体" w:cs="宋体"/>
          <w:sz w:val="24"/>
          <w:lang w:eastAsia="zh-CN"/>
        </w:rPr>
        <w:t>金额单位：人民币元</w:t>
      </w:r>
    </w:p>
    <w:tbl>
      <w:tblPr>
        <w:tblStyle w:val="1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4205"/>
        <w:gridCol w:w="1275"/>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序号</w:t>
            </w:r>
          </w:p>
        </w:tc>
        <w:tc>
          <w:tcPr>
            <w:tcW w:w="2468"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资产名称</w:t>
            </w:r>
          </w:p>
        </w:tc>
        <w:tc>
          <w:tcPr>
            <w:tcW w:w="748"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面积（㎡）</w:t>
            </w:r>
          </w:p>
        </w:tc>
        <w:tc>
          <w:tcPr>
            <w:tcW w:w="1235"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7"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1</w:t>
            </w:r>
          </w:p>
        </w:tc>
        <w:tc>
          <w:tcPr>
            <w:tcW w:w="2468" w:type="pct"/>
            <w:vAlign w:val="center"/>
          </w:tcPr>
          <w:p>
            <w:pPr>
              <w:keepNext w:val="0"/>
              <w:keepLines w:val="0"/>
              <w:widowControl/>
              <w:suppressLineNumbers w:val="0"/>
              <w:jc w:val="left"/>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诸暨市浣东街道宏城瑞东园5幢1单元201室</w:t>
            </w:r>
          </w:p>
        </w:tc>
        <w:tc>
          <w:tcPr>
            <w:tcW w:w="748" w:type="pct"/>
            <w:vAlign w:val="center"/>
          </w:tcPr>
          <w:p>
            <w:pPr>
              <w:keepNext w:val="0"/>
              <w:keepLines w:val="0"/>
              <w:widowControl/>
              <w:suppressLineNumbers w:val="0"/>
              <w:jc w:val="center"/>
              <w:textAlignment w:val="center"/>
              <w:rPr>
                <w:rFonts w:hint="default" w:ascii="宋体" w:hAnsi="宋体" w:eastAsia="宋体" w:cs="宋体"/>
                <w:vertAlign w:val="baseline"/>
                <w:lang w:val="en-US"/>
              </w:rPr>
            </w:pPr>
            <w:r>
              <w:rPr>
                <w:rFonts w:hint="eastAsia" w:ascii="宋体" w:hAnsi="宋体" w:eastAsia="宋体" w:cs="宋体"/>
                <w:i w:val="0"/>
                <w:iCs w:val="0"/>
                <w:color w:val="000000"/>
                <w:kern w:val="0"/>
                <w:sz w:val="20"/>
                <w:szCs w:val="20"/>
                <w:u w:val="none"/>
                <w:lang w:val="en-US" w:eastAsia="zh-CN" w:bidi="ar"/>
              </w:rPr>
              <w:t>126.78</w:t>
            </w:r>
          </w:p>
        </w:tc>
        <w:tc>
          <w:tcPr>
            <w:tcW w:w="2105" w:type="dxa"/>
            <w:vAlign w:val="center"/>
          </w:tcPr>
          <w:p>
            <w:pPr>
              <w:keepNext w:val="0"/>
              <w:keepLines w:val="0"/>
              <w:widowControl/>
              <w:suppressLineNumbers w:val="0"/>
              <w:jc w:val="right"/>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 xml:space="preserve">1,590,500.00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7"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468"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诸暨市浣东街道宏城瑞东园5幢1单元201室地下车位</w:t>
            </w:r>
          </w:p>
        </w:tc>
        <w:tc>
          <w:tcPr>
            <w:tcW w:w="748"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30.05</w:t>
            </w:r>
          </w:p>
        </w:tc>
        <w:tc>
          <w:tcPr>
            <w:tcW w:w="2105"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130,000.00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2</w:t>
            </w:r>
          </w:p>
        </w:tc>
        <w:tc>
          <w:tcPr>
            <w:tcW w:w="2468" w:type="pct"/>
            <w:vAlign w:val="center"/>
          </w:tcPr>
          <w:p>
            <w:pPr>
              <w:keepNext w:val="0"/>
              <w:keepLines w:val="0"/>
              <w:widowControl/>
              <w:suppressLineNumbers w:val="0"/>
              <w:jc w:val="left"/>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诸暨市浣东街道宏城瑞东园5幢1单元201室室内装修</w:t>
            </w:r>
          </w:p>
        </w:tc>
        <w:tc>
          <w:tcPr>
            <w:tcW w:w="748" w:type="pct"/>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w:t>
            </w:r>
          </w:p>
        </w:tc>
        <w:tc>
          <w:tcPr>
            <w:tcW w:w="2105" w:type="dxa"/>
            <w:vAlign w:val="center"/>
          </w:tcPr>
          <w:p>
            <w:pPr>
              <w:keepNext w:val="0"/>
              <w:keepLines w:val="0"/>
              <w:widowControl/>
              <w:suppressLineNumbers w:val="0"/>
              <w:jc w:val="right"/>
              <w:textAlignment w:val="center"/>
              <w:rPr>
                <w:rFonts w:hint="eastAsia" w:ascii="宋体" w:hAnsi="宋体" w:eastAsia="宋体" w:cs="宋体"/>
                <w:vertAlign w:val="baseline"/>
              </w:rPr>
            </w:pPr>
            <w:r>
              <w:rPr>
                <w:rFonts w:hint="eastAsia" w:ascii="宋体" w:hAnsi="宋体" w:eastAsia="宋体" w:cs="宋体"/>
                <w:i w:val="0"/>
                <w:iCs w:val="0"/>
                <w:color w:val="000000"/>
                <w:kern w:val="0"/>
                <w:sz w:val="20"/>
                <w:szCs w:val="20"/>
                <w:u w:val="none"/>
                <w:lang w:val="en-US" w:eastAsia="zh-CN" w:bidi="ar"/>
              </w:rPr>
              <w:t xml:space="preserve">100,700.00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2468"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诸暨市浣东街道宏城瑞东园5幢1单元201室家具家电</w:t>
            </w:r>
          </w:p>
        </w:tc>
        <w:tc>
          <w:tcPr>
            <w:tcW w:w="74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05"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24,000.00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7"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68" w:type="pct"/>
            <w:vAlign w:val="top"/>
          </w:tcPr>
          <w:p>
            <w:pPr>
              <w:keepNext w:val="0"/>
              <w:keepLines w:val="0"/>
              <w:widowControl/>
              <w:suppressLineNumbers w:val="0"/>
              <w:spacing w:line="48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748" w:type="pct"/>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35" w:type="pct"/>
            <w:vAlign w:val="top"/>
          </w:tcPr>
          <w:p>
            <w:pPr>
              <w:keepNext w:val="0"/>
              <w:keepLines w:val="0"/>
              <w:widowControl/>
              <w:suppressLineNumbers w:val="0"/>
              <w:spacing w:line="480" w:lineRule="auto"/>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1,845,200.00 </w:t>
            </w:r>
          </w:p>
        </w:tc>
      </w:tr>
    </w:tbl>
    <w:p>
      <w:pPr>
        <w:tabs>
          <w:tab w:val="left" w:pos="840"/>
        </w:tabs>
        <w:spacing w:line="360" w:lineRule="auto"/>
        <w:ind w:firstLine="480" w:firstLineChars="200"/>
        <w:rPr>
          <w:rFonts w:hint="eastAsia" w:ascii="宋体" w:hAnsi="宋体" w:eastAsia="宋体" w:cs="宋体"/>
          <w:sz w:val="24"/>
        </w:rPr>
      </w:pPr>
      <w:r>
        <w:rPr>
          <w:rFonts w:hint="eastAsia" w:ascii="宋体" w:hAnsi="宋体" w:eastAsia="宋体" w:cs="宋体"/>
          <w:sz w:val="24"/>
        </w:rPr>
        <w:t>评估结论的详细情况见评估明细表。</w:t>
      </w:r>
    </w:p>
    <w:p>
      <w:pPr>
        <w:tabs>
          <w:tab w:val="left" w:pos="540"/>
        </w:tabs>
        <w:spacing w:line="360" w:lineRule="auto"/>
        <w:outlineLvl w:val="0"/>
        <w:rPr>
          <w:rFonts w:hint="eastAsia" w:ascii="宋体" w:hAnsi="宋体" w:eastAsia="宋体" w:cs="宋体"/>
          <w:sz w:val="24"/>
        </w:rPr>
      </w:pPr>
      <w:bookmarkStart w:id="52" w:name="_Toc37185848"/>
      <w:bookmarkStart w:id="53" w:name="_Toc938550791_WPSOffice_Level1"/>
      <w:r>
        <w:rPr>
          <w:rFonts w:hint="eastAsia" w:ascii="宋体" w:hAnsi="宋体" w:eastAsia="宋体" w:cs="宋体"/>
          <w:b/>
          <w:sz w:val="24"/>
          <w:lang w:eastAsia="zh-Hans"/>
        </w:rPr>
        <w:t>十一、</w:t>
      </w:r>
      <w:r>
        <w:rPr>
          <w:rFonts w:hint="eastAsia" w:ascii="宋体" w:hAnsi="宋体" w:eastAsia="宋体" w:cs="宋体"/>
          <w:b/>
          <w:sz w:val="24"/>
        </w:rPr>
        <w:t>特别事项说明</w:t>
      </w:r>
      <w:bookmarkEnd w:id="51"/>
      <w:bookmarkEnd w:id="52"/>
      <w:bookmarkEnd w:id="5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以下为在评估过程中已发现可能影响评估结论但非评估人员执业水平和能力所能评定估算的有关事项(包括但不限于以下)：</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（一）未决事项、法律纠纷等不确定因素</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本报告未发现未决事项、法律纠纷等不确定因素。</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（二）重大期后事项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期后事项是指评估基准日之后出具评估报告之前发生的重大事项。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本报告无重大期后事项。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（三）其他需要说明的事项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rPr>
        <w:t>1、</w:t>
      </w:r>
      <w:r>
        <w:rPr>
          <w:rFonts w:hint="eastAsia" w:ascii="宋体" w:hAnsi="宋体" w:eastAsia="宋体" w:cs="宋体"/>
          <w:color w:val="000000"/>
          <w:sz w:val="24"/>
          <w:lang w:val="zh-CN"/>
        </w:rPr>
        <w:t>评估师和评估机构的法律责任是对本报告所述评估目的下的资产价值量做出专业判断，并不涉及到评估师和评估机构对该项评估目的所对应的经济行为做出任何判断。</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2、 评估报告中涉及的有关权属证明文件及相关资料由委托人提供，委托人对其真实性、合法性承担法律责任。</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color w:val="000000"/>
          <w:sz w:val="24"/>
        </w:rPr>
        <w:t>3、</w:t>
      </w:r>
      <w:r>
        <w:rPr>
          <w:rFonts w:hint="eastAsia" w:ascii="宋体" w:hAnsi="宋体" w:eastAsia="宋体" w:cs="宋体"/>
          <w:sz w:val="24"/>
          <w:lang w:eastAsia="zh-CN"/>
        </w:rPr>
        <w:t>本次评估，评估专业人员在假定委托人提供的有关资料是真实、有效的前提下，通过现场勘查对委评资产在基准日的结构等物理现状进行判断，未对其结构等物理状况做专项技术检测</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4、未考虑评估费、拍卖费、诉讼费、律师费以及交易税费等财产处置费用对评估结论的影响。</w:t>
      </w:r>
    </w:p>
    <w:p>
      <w:pPr>
        <w:pStyle w:val="2"/>
        <w:spacing w:line="360" w:lineRule="auto"/>
        <w:ind w:firstLine="480" w:firstLineChars="200"/>
        <w:rPr>
          <w:rFonts w:hint="eastAsia" w:ascii="宋体" w:hAnsi="宋体" w:eastAsia="宋体" w:cs="宋体"/>
        </w:rPr>
      </w:pPr>
      <w:r>
        <w:rPr>
          <w:rFonts w:hint="eastAsia" w:ascii="宋体" w:hAnsi="宋体" w:eastAsia="宋体" w:cs="宋体"/>
        </w:rPr>
        <w:t>5、未考虑查封、设立担保物权和其他优先受偿权对其价值的任何影响。</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6、截至评估基准日，</w:t>
      </w:r>
      <w:r>
        <w:rPr>
          <w:rFonts w:hint="eastAsia" w:ascii="宋体" w:hAnsi="宋体" w:eastAsia="宋体" w:cs="宋体"/>
          <w:color w:val="000000"/>
          <w:sz w:val="24"/>
          <w:lang w:eastAsia="zh-CN"/>
        </w:rPr>
        <w:t>评估对象处于空置状态；现场勘查被执行人未到场。</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7、</w:t>
      </w:r>
      <w:r>
        <w:rPr>
          <w:rFonts w:hint="eastAsia" w:ascii="宋体" w:hAnsi="宋体" w:eastAsia="宋体" w:cs="宋体"/>
          <w:color w:val="000000"/>
          <w:sz w:val="24"/>
          <w:lang w:val="zh-CN"/>
        </w:rPr>
        <w:t>在评估基准日以后的有效期内，如果资产数量及作价标准发生变化时，应按以下原则处理：</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1）</w:t>
      </w:r>
      <w:r>
        <w:rPr>
          <w:rFonts w:hint="eastAsia" w:ascii="宋体" w:hAnsi="宋体" w:eastAsia="宋体" w:cs="宋体"/>
          <w:color w:val="000000"/>
          <w:sz w:val="24"/>
          <w:lang w:val="zh-CN"/>
        </w:rPr>
        <w:t>当资产数量发生变化时，应根据原评估方法对资产数额进行相应调整；</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2）</w:t>
      </w:r>
      <w:r>
        <w:rPr>
          <w:rFonts w:hint="eastAsia" w:ascii="宋体" w:hAnsi="宋体" w:eastAsia="宋体" w:cs="宋体"/>
          <w:color w:val="000000"/>
          <w:sz w:val="24"/>
          <w:lang w:val="zh-CN"/>
        </w:rPr>
        <w:t>当资产价格标准发生变化、且对资产评估结果产生明显影响时，委托人应及时聘请有资格的资产评估机构重新确定评估价值；</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3）</w:t>
      </w:r>
      <w:r>
        <w:rPr>
          <w:rFonts w:hint="eastAsia" w:ascii="宋体" w:hAnsi="宋体" w:eastAsia="宋体" w:cs="宋体"/>
          <w:color w:val="000000"/>
          <w:sz w:val="24"/>
          <w:lang w:val="zh-CN"/>
        </w:rPr>
        <w:t>对评估基准日后，资产数量、价格标准的变化，委托人在资产实际作价时应给予充分考虑，进行相应调整。</w:t>
      </w:r>
    </w:p>
    <w:p>
      <w:pPr>
        <w:spacing w:line="360" w:lineRule="auto"/>
        <w:jc w:val="center"/>
        <w:rPr>
          <w:rFonts w:hint="eastAsia" w:ascii="宋体" w:hAnsi="宋体" w:eastAsia="宋体" w:cs="宋体"/>
          <w:b/>
          <w:i/>
          <w:sz w:val="28"/>
          <w:szCs w:val="28"/>
        </w:rPr>
      </w:pPr>
      <w:r>
        <w:rPr>
          <w:rFonts w:hint="eastAsia" w:ascii="宋体" w:hAnsi="宋体" w:eastAsia="宋体" w:cs="宋体"/>
          <w:b/>
          <w:i/>
          <w:sz w:val="28"/>
          <w:szCs w:val="28"/>
        </w:rPr>
        <w:t>评估报告使用者应注意以上的特别事项对评估结论所产生的影响。</w:t>
      </w:r>
    </w:p>
    <w:p>
      <w:pPr>
        <w:tabs>
          <w:tab w:val="left" w:pos="540"/>
        </w:tabs>
        <w:spacing w:line="360" w:lineRule="auto"/>
        <w:outlineLvl w:val="0"/>
        <w:rPr>
          <w:rFonts w:hint="eastAsia" w:ascii="宋体" w:hAnsi="宋体" w:eastAsia="宋体" w:cs="宋体"/>
          <w:b/>
          <w:sz w:val="24"/>
        </w:rPr>
      </w:pPr>
      <w:bookmarkStart w:id="54" w:name="_Toc275872931"/>
      <w:bookmarkStart w:id="55" w:name="_Toc955757122_WPSOffice_Level1"/>
      <w:bookmarkStart w:id="56" w:name="_Toc37185849"/>
      <w:r>
        <w:rPr>
          <w:rFonts w:hint="eastAsia" w:ascii="宋体" w:hAnsi="宋体" w:eastAsia="宋体" w:cs="宋体"/>
          <w:b/>
          <w:sz w:val="24"/>
          <w:lang w:eastAsia="zh-Hans"/>
        </w:rPr>
        <w:t>十二、</w:t>
      </w:r>
      <w:r>
        <w:rPr>
          <w:rFonts w:hint="eastAsia" w:ascii="宋体" w:hAnsi="宋体" w:eastAsia="宋体" w:cs="宋体"/>
          <w:b/>
          <w:sz w:val="24"/>
        </w:rPr>
        <w:t>评估报告使用限制说明</w:t>
      </w:r>
      <w:bookmarkEnd w:id="54"/>
      <w:bookmarkEnd w:id="55"/>
      <w:bookmarkEnd w:id="56"/>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（一）评估报告仅用于评估报告载明的评估目的和用途；</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（二）评估报告只能由评估报告载明的评估报告使用者使用；</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（三）评估报告未经核准或者备案，评估结论不得被使用；</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（四）委托人或其他资产评估报告使用人未按法律法规及资产评估报告载明的使用范围使用资产评估报告的，资产评估机构及其资产评估师不承担责任；</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（五）资产评估报告使用人应当正确理解评估结论，评估结论不等同于评估对象可实现价格，评估结论不应当被认为是对评估对象可实现价格的保证；</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（六）未征得杭州富诚资产评估有限公司的同意，评估报告的内容不得被摘抄、引用或披露于公开媒体，法律、法规规定以及相关当事方另有约定的除外；</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（七）评估报告及评估结论的使用有效期。本报告书评估结论的有效期限为壹年，自评估基准日</w:t>
      </w:r>
      <w:r>
        <w:rPr>
          <w:rFonts w:hint="eastAsia" w:ascii="宋体" w:hAnsi="宋体" w:eastAsia="宋体" w:cs="宋体"/>
          <w:bCs/>
          <w:sz w:val="24"/>
          <w:lang w:eastAsia="zh-CN"/>
        </w:rPr>
        <w:t>2022年9月29日</w:t>
      </w:r>
      <w:r>
        <w:rPr>
          <w:rFonts w:hint="eastAsia" w:ascii="宋体" w:hAnsi="宋体" w:eastAsia="宋体" w:cs="宋体"/>
          <w:bCs/>
          <w:sz w:val="24"/>
        </w:rPr>
        <w:t>起</w:t>
      </w:r>
      <w:r>
        <w:rPr>
          <w:rFonts w:hint="eastAsia" w:ascii="宋体" w:hAnsi="宋体" w:eastAsia="宋体" w:cs="宋体"/>
          <w:bCs/>
          <w:sz w:val="24"/>
          <w:lang w:eastAsia="zh-CN"/>
        </w:rPr>
        <w:t>2023年9月28日</w:t>
      </w:r>
      <w:r>
        <w:rPr>
          <w:rFonts w:hint="eastAsia" w:ascii="宋体" w:hAnsi="宋体" w:eastAsia="宋体" w:cs="宋体"/>
          <w:bCs/>
          <w:sz w:val="24"/>
        </w:rPr>
        <w:t>止，当评估目的在有效期内实现时，以评估结论作为资产作价的依据，超过期限，需重新确定评估结论；</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（八）本评估报告在评估机构签字盖章后，具有法律效力；</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（九）本报告书的评估结论仅供委托人为本次评估目的使用，报告书的使用</w:t>
      </w:r>
    </w:p>
    <w:p>
      <w:pPr>
        <w:tabs>
          <w:tab w:val="left" w:pos="540"/>
        </w:tabs>
        <w:adjustRightInd w:val="0"/>
        <w:spacing w:line="360" w:lineRule="auto"/>
        <w:outlineLvl w:val="0"/>
        <w:rPr>
          <w:rFonts w:hint="eastAsia" w:ascii="宋体" w:hAnsi="宋体" w:eastAsia="宋体" w:cs="宋体"/>
          <w:bCs/>
          <w:sz w:val="24"/>
        </w:rPr>
      </w:pPr>
      <w:r>
        <w:rPr>
          <w:rFonts w:hint="eastAsia" w:ascii="宋体" w:hAnsi="宋体" w:eastAsia="宋体" w:cs="宋体"/>
          <w:bCs/>
          <w:sz w:val="24"/>
        </w:rPr>
        <w:t>权归委托人所有，未经委托人许可，我公司不能随意向他人公开。</w:t>
      </w:r>
    </w:p>
    <w:p>
      <w:pPr>
        <w:tabs>
          <w:tab w:val="left" w:pos="540"/>
        </w:tabs>
        <w:spacing w:line="360" w:lineRule="auto"/>
        <w:outlineLvl w:val="0"/>
        <w:rPr>
          <w:rFonts w:hint="eastAsia" w:ascii="宋体" w:hAnsi="宋体" w:eastAsia="宋体" w:cs="宋体"/>
          <w:b/>
          <w:sz w:val="24"/>
        </w:rPr>
      </w:pPr>
      <w:bookmarkStart w:id="57" w:name="_Toc222741556"/>
      <w:bookmarkStart w:id="58" w:name="_Toc105580759"/>
      <w:bookmarkStart w:id="59" w:name="_Toc37185850"/>
      <w:bookmarkStart w:id="60" w:name="_Toc530303619"/>
      <w:bookmarkStart w:id="61" w:name="_Toc275872932"/>
      <w:bookmarkStart w:id="62" w:name="_Toc232269894_WPSOffice_Level1"/>
      <w:r>
        <w:rPr>
          <w:rFonts w:hint="eastAsia" w:ascii="宋体" w:hAnsi="宋体" w:eastAsia="宋体" w:cs="宋体"/>
          <w:b/>
          <w:sz w:val="24"/>
          <w:lang w:eastAsia="zh-Hans"/>
        </w:rPr>
        <w:t>十三、</w:t>
      </w:r>
      <w:r>
        <w:rPr>
          <w:rFonts w:hint="eastAsia" w:ascii="宋体" w:hAnsi="宋体" w:eastAsia="宋体" w:cs="宋体"/>
          <w:b/>
          <w:sz w:val="24"/>
        </w:rPr>
        <w:t>评估报告日</w:t>
      </w:r>
      <w:bookmarkEnd w:id="57"/>
      <w:bookmarkEnd w:id="58"/>
      <w:bookmarkEnd w:id="59"/>
      <w:bookmarkEnd w:id="60"/>
      <w:bookmarkEnd w:id="61"/>
      <w:bookmarkEnd w:id="62"/>
    </w:p>
    <w:p>
      <w:pPr>
        <w:tabs>
          <w:tab w:val="left" w:pos="540"/>
        </w:tabs>
        <w:spacing w:line="360" w:lineRule="auto"/>
        <w:ind w:firstLine="480" w:firstLineChars="200"/>
        <w:outlineLvl w:val="0"/>
        <w:rPr>
          <w:rFonts w:hint="eastAsia" w:ascii="宋体" w:hAnsi="宋体" w:eastAsia="宋体" w:cs="宋体"/>
          <w:b/>
          <w:bCs/>
          <w:sz w:val="24"/>
        </w:rPr>
      </w:pPr>
      <w:bookmarkStart w:id="63" w:name="_Toc4697049"/>
      <w:bookmarkStart w:id="64" w:name="_Toc37185651"/>
      <w:bookmarkStart w:id="65" w:name="_Toc4697077"/>
      <w:bookmarkStart w:id="66" w:name="_Toc37185851"/>
      <w:r>
        <w:rPr>
          <w:rFonts w:hint="eastAsia" w:ascii="宋体" w:hAnsi="宋体" w:eastAsia="宋体" w:cs="宋体"/>
          <w:sz w:val="24"/>
          <w:lang w:eastAsia="zh-Hans"/>
        </w:rPr>
        <w:t>本</w:t>
      </w:r>
      <w:r>
        <w:rPr>
          <w:rFonts w:hint="eastAsia" w:ascii="宋体" w:hAnsi="宋体" w:eastAsia="宋体" w:cs="宋体"/>
          <w:sz w:val="24"/>
        </w:rPr>
        <w:t>评估报告的</w:t>
      </w:r>
      <w:r>
        <w:rPr>
          <w:rFonts w:hint="eastAsia" w:ascii="宋体" w:hAnsi="宋体" w:eastAsia="宋体" w:cs="宋体"/>
          <w:sz w:val="24"/>
          <w:lang w:eastAsia="zh-Hans"/>
        </w:rPr>
        <w:t>报告日为</w:t>
      </w:r>
      <w:r>
        <w:rPr>
          <w:rFonts w:hint="eastAsia" w:ascii="宋体" w:hAnsi="宋体" w:eastAsia="宋体" w:cs="宋体"/>
          <w:sz w:val="24"/>
        </w:rPr>
        <w:t>：</w:t>
      </w:r>
      <w:bookmarkEnd w:id="63"/>
      <w:bookmarkEnd w:id="64"/>
      <w:bookmarkEnd w:id="65"/>
      <w:bookmarkEnd w:id="66"/>
      <w:r>
        <w:rPr>
          <w:rFonts w:hint="eastAsia" w:ascii="宋体" w:hAnsi="宋体" w:eastAsia="宋体" w:cs="宋体"/>
          <w:sz w:val="24"/>
          <w:lang w:eastAsia="zh-CN"/>
        </w:rPr>
        <w:t>二〇二二年十月十四日</w:t>
      </w:r>
      <w:r>
        <w:rPr>
          <w:rFonts w:hint="eastAsia" w:ascii="宋体" w:hAnsi="宋体" w:eastAsia="宋体" w:cs="宋体"/>
          <w:sz w:val="24"/>
        </w:rPr>
        <w:t>。</w:t>
      </w:r>
      <w:bookmarkStart w:id="67" w:name="_Toc1782321859_WPSOffice_Level1"/>
    </w:p>
    <w:p>
      <w:pPr>
        <w:spacing w:line="360" w:lineRule="auto"/>
        <w:rPr>
          <w:rFonts w:hint="eastAsia" w:ascii="宋体" w:hAnsi="宋体" w:eastAsia="宋体" w:cs="宋体"/>
          <w:sz w:val="24"/>
        </w:rPr>
      </w:pPr>
      <w:r>
        <w:rPr>
          <w:rFonts w:hint="eastAsia" w:ascii="宋体" w:hAnsi="宋体" w:eastAsia="宋体" w:cs="宋体"/>
          <w:b/>
          <w:bCs/>
          <w:sz w:val="24"/>
        </w:rPr>
        <w:t>十四、 资产评估专业人员签名和资产评估机构印章</w:t>
      </w:r>
      <w:bookmarkEnd w:id="67"/>
    </w:p>
    <w:p>
      <w:pPr>
        <w:pStyle w:val="2"/>
        <w:rPr>
          <w:rFonts w:hint="eastAsia" w:ascii="宋体" w:hAnsi="宋体" w:eastAsia="宋体" w:cs="宋体"/>
          <w:sz w:val="24"/>
        </w:rPr>
      </w:pPr>
    </w:p>
    <w:p>
      <w:pPr>
        <w:spacing w:line="360" w:lineRule="auto"/>
        <w:rPr>
          <w:rFonts w:hint="eastAsia" w:ascii="宋体" w:hAnsi="宋体" w:eastAsia="宋体" w:cs="宋体"/>
          <w:sz w:val="24"/>
          <w:lang w:eastAsia="zh-CN"/>
        </w:rPr>
      </w:pPr>
      <w:r>
        <w:rPr>
          <w:rFonts w:hint="eastAsia" w:ascii="宋体" w:hAnsi="宋体" w:eastAsia="宋体" w:cs="宋体"/>
          <w:sz w:val="24"/>
        </w:rPr>
        <w:t>杭州富诚资产评估有限公司              资产评估师：</w:t>
      </w:r>
    </w:p>
    <w:p>
      <w:pPr>
        <w:spacing w:line="360" w:lineRule="auto"/>
        <w:ind w:firstLine="480" w:firstLineChars="200"/>
        <w:rPr>
          <w:rFonts w:hint="eastAsia" w:ascii="宋体" w:hAnsi="宋体" w:eastAsia="宋体" w:cs="宋体"/>
          <w:sz w:val="24"/>
        </w:rPr>
      </w:pPr>
    </w:p>
    <w:p>
      <w:pPr>
        <w:pStyle w:val="2"/>
        <w:rPr>
          <w:rFonts w:hint="eastAsia" w:ascii="宋体" w:hAnsi="宋体" w:eastAsia="宋体" w:cs="宋体"/>
        </w:rPr>
      </w:pPr>
    </w:p>
    <w:p>
      <w:pPr>
        <w:pStyle w:val="4"/>
        <w:spacing w:line="360" w:lineRule="auto"/>
        <w:ind w:firstLine="4588" w:firstLineChars="1912"/>
        <w:rPr>
          <w:rFonts w:hint="eastAsia" w:ascii="宋体" w:hAnsi="宋体" w:eastAsia="宋体" w:cs="宋体"/>
          <w:sz w:val="24"/>
          <w:szCs w:val="24"/>
        </w:rPr>
      </w:pPr>
      <w:r>
        <w:rPr>
          <w:rFonts w:hint="eastAsia" w:ascii="宋体" w:hAnsi="宋体" w:eastAsia="宋体" w:cs="宋体"/>
          <w:sz w:val="24"/>
          <w:szCs w:val="24"/>
        </w:rPr>
        <w:t xml:space="preserve">资产评估师：  </w:t>
      </w:r>
    </w:p>
    <w:p>
      <w:pPr>
        <w:spacing w:line="360" w:lineRule="auto"/>
        <w:ind w:firstLine="510"/>
        <w:rPr>
          <w:rFonts w:hint="eastAsia" w:ascii="宋体" w:hAnsi="宋体" w:eastAsia="宋体" w:cs="宋体"/>
          <w:sz w:val="24"/>
        </w:rPr>
      </w:pPr>
    </w:p>
    <w:p>
      <w:pPr>
        <w:spacing w:line="360" w:lineRule="auto"/>
        <w:ind w:firstLine="510"/>
        <w:rPr>
          <w:rFonts w:hint="eastAsia" w:ascii="宋体" w:hAnsi="宋体" w:eastAsia="宋体" w:cs="宋体"/>
          <w:sz w:val="24"/>
        </w:rPr>
      </w:pPr>
    </w:p>
    <w:p>
      <w:pPr>
        <w:spacing w:line="360" w:lineRule="auto"/>
        <w:ind w:firstLine="510"/>
        <w:rPr>
          <w:rFonts w:hint="eastAsia" w:ascii="宋体" w:hAnsi="宋体" w:eastAsia="宋体" w:cs="宋体"/>
          <w:sz w:val="44"/>
          <w:szCs w:val="44"/>
        </w:rPr>
      </w:pPr>
      <w:r>
        <w:rPr>
          <w:rFonts w:hint="eastAsia" w:ascii="宋体" w:hAnsi="宋体" w:eastAsia="宋体" w:cs="宋体"/>
          <w:sz w:val="24"/>
        </w:rPr>
        <w:t>浙江・杭州</w:t>
      </w:r>
      <w:bookmarkStart w:id="68" w:name="_Toc530299041"/>
      <w:bookmarkStart w:id="69" w:name="_Toc530303620"/>
      <w:r>
        <w:rPr>
          <w:rFonts w:hint="eastAsia" w:ascii="宋体" w:hAnsi="宋体" w:eastAsia="宋体" w:cs="宋体"/>
          <w:sz w:val="24"/>
        </w:rPr>
        <w:t xml:space="preserve">  </w:t>
      </w:r>
      <w:bookmarkEnd w:id="68"/>
      <w:bookmarkEnd w:id="69"/>
      <w:r>
        <w:rPr>
          <w:rFonts w:hint="eastAsia" w:ascii="宋体" w:hAnsi="宋体" w:eastAsia="宋体" w:cs="宋体"/>
          <w:sz w:val="24"/>
        </w:rPr>
        <w:t xml:space="preserve">                           </w:t>
      </w:r>
      <w:bookmarkStart w:id="70" w:name="_Toc37185852"/>
      <w:bookmarkStart w:id="71" w:name="_Toc234092210_WPSOffice_Level1"/>
      <w:r>
        <w:rPr>
          <w:rFonts w:hint="eastAsia" w:ascii="宋体" w:hAnsi="宋体" w:eastAsia="宋体" w:cs="宋体"/>
          <w:sz w:val="24"/>
          <w:lang w:eastAsia="zh-CN"/>
        </w:rPr>
        <w:t>二〇二二年十月十四日</w:t>
      </w:r>
    </w:p>
    <w:p>
      <w:pPr>
        <w:pStyle w:val="12"/>
        <w:jc w:val="center"/>
        <w:rPr>
          <w:rFonts w:hint="eastAsia" w:ascii="宋体" w:hAnsi="宋体" w:eastAsia="宋体" w:cs="宋体"/>
          <w:sz w:val="44"/>
          <w:szCs w:val="44"/>
        </w:rPr>
      </w:pPr>
      <w:r>
        <w:rPr>
          <w:rFonts w:hint="eastAsia" w:ascii="宋体" w:hAnsi="宋体" w:eastAsia="宋体" w:cs="宋体"/>
          <w:sz w:val="44"/>
          <w:szCs w:val="44"/>
        </w:rPr>
        <w:t>备查文件目录</w:t>
      </w:r>
      <w:bookmarkEnd w:id="70"/>
      <w:bookmarkEnd w:id="71"/>
    </w:p>
    <w:p>
      <w:pPr>
        <w:tabs>
          <w:tab w:val="left" w:pos="540"/>
        </w:tabs>
        <w:spacing w:before="156" w:beforeLines="50" w:line="360" w:lineRule="auto"/>
        <w:jc w:val="center"/>
        <w:outlineLvl w:val="0"/>
        <w:rPr>
          <w:rFonts w:hint="eastAsia" w:ascii="宋体" w:hAnsi="宋体" w:eastAsia="宋体" w:cs="宋体"/>
          <w:b/>
          <w:sz w:val="44"/>
          <w:szCs w:val="44"/>
        </w:rPr>
      </w:pPr>
    </w:p>
    <w:p>
      <w:pPr>
        <w:tabs>
          <w:tab w:val="left" w:pos="900"/>
        </w:tabs>
        <w:spacing w:line="360" w:lineRule="auto"/>
        <w:ind w:left="750"/>
        <w:rPr>
          <w:rFonts w:hint="eastAsia" w:ascii="宋体" w:hAnsi="宋体" w:eastAsia="宋体" w:cs="宋体"/>
          <w:color w:val="000000"/>
          <w:w w:val="90"/>
          <w:sz w:val="28"/>
          <w:szCs w:val="28"/>
        </w:rPr>
      </w:pPr>
      <w:bookmarkStart w:id="72" w:name="_Toc197732166_WPSOffice_Level1"/>
      <w:r>
        <w:rPr>
          <w:rFonts w:hint="eastAsia" w:ascii="宋体" w:hAnsi="宋体" w:eastAsia="宋体" w:cs="宋体"/>
          <w:color w:val="000000"/>
          <w:w w:val="90"/>
          <w:sz w:val="28"/>
          <w:szCs w:val="28"/>
        </w:rPr>
        <w:t>1、资产评估汇总表及明细表</w:t>
      </w:r>
      <w:bookmarkEnd w:id="72"/>
    </w:p>
    <w:p>
      <w:pPr>
        <w:tabs>
          <w:tab w:val="left" w:pos="900"/>
        </w:tabs>
        <w:spacing w:line="360" w:lineRule="auto"/>
        <w:ind w:left="750"/>
        <w:jc w:val="left"/>
        <w:rPr>
          <w:rFonts w:hint="eastAsia" w:ascii="宋体" w:hAnsi="宋体" w:eastAsia="宋体" w:cs="宋体"/>
          <w:color w:val="000000"/>
          <w:w w:val="90"/>
          <w:sz w:val="28"/>
          <w:szCs w:val="28"/>
          <w:lang w:eastAsia="zh-CN"/>
        </w:rPr>
      </w:pPr>
      <w:bookmarkStart w:id="73" w:name="_Toc1127312053_WPSOffice_Level1"/>
      <w:r>
        <w:rPr>
          <w:rFonts w:hint="eastAsia" w:ascii="宋体" w:hAnsi="宋体" w:eastAsia="宋体" w:cs="宋体"/>
          <w:color w:val="000000"/>
          <w:w w:val="90"/>
          <w:sz w:val="28"/>
          <w:szCs w:val="28"/>
        </w:rPr>
        <w:t>2、</w:t>
      </w:r>
      <w:bookmarkEnd w:id="73"/>
      <w:r>
        <w:rPr>
          <w:rFonts w:hint="eastAsia" w:ascii="宋体" w:hAnsi="宋体" w:eastAsia="宋体" w:cs="宋体"/>
          <w:color w:val="000000"/>
          <w:w w:val="90"/>
          <w:sz w:val="28"/>
          <w:szCs w:val="28"/>
          <w:lang w:eastAsia="zh-CN"/>
        </w:rPr>
        <w:t>（2020）浙0111执3185号《杭州市富阳区人民法院通知书》</w:t>
      </w:r>
    </w:p>
    <w:p>
      <w:pPr>
        <w:tabs>
          <w:tab w:val="left" w:pos="900"/>
        </w:tabs>
        <w:spacing w:line="360" w:lineRule="auto"/>
        <w:ind w:left="750"/>
        <w:rPr>
          <w:rFonts w:hint="eastAsia" w:ascii="宋体" w:hAnsi="宋体" w:eastAsia="宋体" w:cs="宋体"/>
          <w:color w:val="000000"/>
          <w:w w:val="90"/>
          <w:sz w:val="28"/>
          <w:szCs w:val="28"/>
        </w:rPr>
      </w:pPr>
      <w:bookmarkStart w:id="74" w:name="_Toc45976280_WPSOffice_Level1"/>
      <w:r>
        <w:rPr>
          <w:rFonts w:hint="eastAsia" w:ascii="宋体" w:hAnsi="宋体" w:eastAsia="宋体" w:cs="宋体"/>
          <w:color w:val="000000"/>
          <w:w w:val="90"/>
          <w:sz w:val="28"/>
          <w:szCs w:val="28"/>
        </w:rPr>
        <w:t>3、资产评估对象权属资料</w:t>
      </w:r>
      <w:bookmarkEnd w:id="74"/>
    </w:p>
    <w:p>
      <w:pPr>
        <w:tabs>
          <w:tab w:val="left" w:pos="900"/>
        </w:tabs>
        <w:spacing w:line="360" w:lineRule="auto"/>
        <w:ind w:left="750"/>
        <w:rPr>
          <w:rFonts w:hint="eastAsia" w:ascii="宋体" w:hAnsi="宋体" w:eastAsia="宋体" w:cs="宋体"/>
          <w:color w:val="000000"/>
          <w:w w:val="90"/>
          <w:sz w:val="28"/>
          <w:szCs w:val="28"/>
        </w:rPr>
      </w:pPr>
      <w:bookmarkStart w:id="75" w:name="_Toc1776708687_WPSOffice_Level1"/>
      <w:r>
        <w:rPr>
          <w:rFonts w:hint="eastAsia" w:ascii="宋体" w:hAnsi="宋体" w:eastAsia="宋体" w:cs="宋体"/>
          <w:color w:val="000000"/>
          <w:w w:val="90"/>
          <w:sz w:val="28"/>
          <w:szCs w:val="28"/>
        </w:rPr>
        <w:t>4、资产评估对象部分实景照片</w:t>
      </w:r>
      <w:bookmarkEnd w:id="75"/>
    </w:p>
    <w:p>
      <w:pPr>
        <w:tabs>
          <w:tab w:val="left" w:pos="900"/>
        </w:tabs>
        <w:spacing w:line="360" w:lineRule="auto"/>
        <w:ind w:left="750"/>
        <w:rPr>
          <w:rFonts w:hint="eastAsia" w:ascii="宋体" w:hAnsi="宋体" w:eastAsia="宋体" w:cs="宋体"/>
          <w:color w:val="000000"/>
          <w:w w:val="90"/>
          <w:sz w:val="28"/>
          <w:szCs w:val="28"/>
        </w:rPr>
      </w:pPr>
      <w:bookmarkStart w:id="76" w:name="_Toc1852696553_WPSOffice_Level1"/>
      <w:r>
        <w:rPr>
          <w:rFonts w:hint="eastAsia" w:ascii="宋体" w:hAnsi="宋体" w:eastAsia="宋体" w:cs="宋体"/>
          <w:color w:val="000000"/>
          <w:w w:val="90"/>
          <w:sz w:val="28"/>
          <w:szCs w:val="28"/>
        </w:rPr>
        <w:t>5、资产评估师承诺函</w:t>
      </w:r>
      <w:bookmarkEnd w:id="76"/>
    </w:p>
    <w:p>
      <w:pPr>
        <w:tabs>
          <w:tab w:val="left" w:pos="900"/>
        </w:tabs>
        <w:spacing w:line="360" w:lineRule="auto"/>
        <w:ind w:left="750"/>
        <w:rPr>
          <w:rFonts w:hint="eastAsia" w:ascii="宋体" w:hAnsi="宋体" w:eastAsia="宋体" w:cs="宋体"/>
          <w:color w:val="000000"/>
          <w:w w:val="90"/>
          <w:sz w:val="28"/>
          <w:szCs w:val="28"/>
        </w:rPr>
      </w:pPr>
      <w:bookmarkStart w:id="77" w:name="_Toc1905568418_WPSOffice_Level1"/>
      <w:r>
        <w:rPr>
          <w:rFonts w:hint="eastAsia" w:ascii="宋体" w:hAnsi="宋体" w:eastAsia="宋体" w:cs="宋体"/>
          <w:color w:val="000000"/>
          <w:w w:val="90"/>
          <w:sz w:val="28"/>
          <w:szCs w:val="28"/>
        </w:rPr>
        <w:t>6、资产评估人员资格证书复印件</w:t>
      </w:r>
      <w:bookmarkEnd w:id="77"/>
    </w:p>
    <w:p>
      <w:pPr>
        <w:tabs>
          <w:tab w:val="left" w:pos="900"/>
        </w:tabs>
        <w:spacing w:line="360" w:lineRule="auto"/>
        <w:ind w:left="750"/>
        <w:rPr>
          <w:rFonts w:hint="eastAsia" w:ascii="宋体" w:hAnsi="宋体" w:eastAsia="宋体" w:cs="宋体"/>
          <w:color w:val="000000"/>
          <w:w w:val="90"/>
          <w:sz w:val="28"/>
          <w:szCs w:val="28"/>
        </w:rPr>
      </w:pPr>
      <w:bookmarkStart w:id="78" w:name="_Toc1464773615_WPSOffice_Level1"/>
      <w:r>
        <w:rPr>
          <w:rFonts w:hint="eastAsia" w:ascii="宋体" w:hAnsi="宋体" w:eastAsia="宋体" w:cs="宋体"/>
          <w:color w:val="000000"/>
          <w:w w:val="90"/>
          <w:sz w:val="28"/>
          <w:szCs w:val="28"/>
        </w:rPr>
        <w:t>7、资产评估机构营业执照复印件</w:t>
      </w:r>
      <w:bookmarkEnd w:id="78"/>
    </w:p>
    <w:p>
      <w:pPr>
        <w:tabs>
          <w:tab w:val="left" w:pos="900"/>
        </w:tabs>
        <w:spacing w:line="360" w:lineRule="auto"/>
        <w:ind w:left="750"/>
        <w:jc w:val="left"/>
        <w:rPr>
          <w:rFonts w:hint="eastAsia" w:ascii="宋体" w:hAnsi="宋体" w:eastAsia="宋体" w:cs="宋体"/>
          <w:color w:val="000000"/>
          <w:sz w:val="28"/>
          <w:szCs w:val="28"/>
        </w:rPr>
      </w:pPr>
      <w:bookmarkStart w:id="79" w:name="_Toc1845101744_WPSOffice_Level1"/>
      <w:r>
        <w:rPr>
          <w:rFonts w:hint="eastAsia" w:ascii="宋体" w:hAnsi="宋体" w:eastAsia="宋体" w:cs="宋体"/>
          <w:color w:val="000000"/>
          <w:w w:val="90"/>
          <w:sz w:val="28"/>
          <w:szCs w:val="28"/>
        </w:rPr>
        <w:t>8、资产评估机构备案公告复印件</w:t>
      </w:r>
      <w:bookmarkEnd w:id="79"/>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bCs/>
          <w:sz w:val="52"/>
          <w:szCs w:val="52"/>
        </w:rPr>
      </w:pPr>
    </w:p>
    <w:p>
      <w:pPr>
        <w:pStyle w:val="2"/>
        <w:tabs>
          <w:tab w:val="right" w:pos="8306"/>
        </w:tabs>
        <w:jc w:val="right"/>
        <w:rPr>
          <w:rFonts w:hint="eastAsia" w:ascii="宋体" w:hAnsi="宋体" w:eastAsia="宋体" w:cs="宋体"/>
          <w:spacing w:val="4"/>
          <w:sz w:val="28"/>
        </w:rPr>
      </w:pPr>
      <w:r>
        <w:rPr>
          <w:rFonts w:hint="eastAsia" w:ascii="宋体" w:hAnsi="宋体" w:eastAsia="宋体" w:cs="宋体"/>
          <w:spacing w:val="4"/>
          <w:sz w:val="28"/>
        </w:rPr>
        <w:t xml:space="preserve">                                    </w:t>
      </w:r>
    </w:p>
    <w:p>
      <w:pPr>
        <w:jc w:val="center"/>
        <w:rPr>
          <w:rFonts w:hint="eastAsia" w:ascii="黑体" w:eastAsia="黑体"/>
          <w:bCs/>
          <w:sz w:val="44"/>
        </w:rPr>
      </w:pPr>
      <w:r>
        <w:rPr>
          <w:rFonts w:hint="eastAsia" w:ascii="黑体" w:eastAsia="黑体"/>
          <w:bCs/>
          <w:sz w:val="44"/>
        </w:rPr>
        <w:t>资产评估机构及评估师承诺函</w:t>
      </w:r>
    </w:p>
    <w:p>
      <w:pPr>
        <w:rPr>
          <w:rFonts w:hint="eastAsia"/>
          <w:sz w:val="28"/>
          <w:u w:val="single"/>
        </w:rPr>
      </w:pPr>
    </w:p>
    <w:p>
      <w:pPr>
        <w:spacing w:line="360" w:lineRule="auto"/>
        <w:rPr>
          <w:rFonts w:hint="eastAsia"/>
          <w:sz w:val="28"/>
          <w:szCs w:val="28"/>
        </w:rPr>
      </w:pPr>
      <w:r>
        <w:rPr>
          <w:rFonts w:hint="eastAsia"/>
          <w:sz w:val="28"/>
          <w:szCs w:val="28"/>
          <w:lang w:eastAsia="zh-CN"/>
        </w:rPr>
        <w:t>杭州市富阳区</w:t>
      </w:r>
      <w:r>
        <w:rPr>
          <w:rFonts w:hint="eastAsia"/>
          <w:sz w:val="28"/>
          <w:szCs w:val="28"/>
        </w:rPr>
        <w:t>人民法院：</w:t>
      </w:r>
    </w:p>
    <w:p>
      <w:pPr>
        <w:spacing w:line="360" w:lineRule="auto"/>
        <w:ind w:firstLine="560" w:firstLineChars="200"/>
        <w:rPr>
          <w:rFonts w:hint="eastAsia" w:ascii="黑体" w:eastAsia="黑体"/>
          <w:sz w:val="28"/>
          <w:szCs w:val="28"/>
        </w:rPr>
      </w:pPr>
      <w:bookmarkStart w:id="80" w:name="_Toc12449567"/>
      <w:r>
        <w:rPr>
          <w:sz w:val="28"/>
          <w:szCs w:val="28"/>
        </w:rPr>
        <w:t>我们</w:t>
      </w:r>
      <w:r>
        <w:rPr>
          <w:rFonts w:hint="eastAsia"/>
          <w:sz w:val="28"/>
          <w:szCs w:val="28"/>
        </w:rPr>
        <w:t>接受</w:t>
      </w:r>
      <w:r>
        <w:rPr>
          <w:sz w:val="28"/>
          <w:szCs w:val="28"/>
        </w:rPr>
        <w:t>贵</w:t>
      </w:r>
      <w:r>
        <w:rPr>
          <w:rFonts w:hint="eastAsia"/>
          <w:sz w:val="28"/>
          <w:szCs w:val="28"/>
        </w:rPr>
        <w:t>单位的委托，依据</w:t>
      </w:r>
      <w:r>
        <w:rPr>
          <w:rFonts w:hint="eastAsia"/>
          <w:sz w:val="28"/>
          <w:szCs w:val="28"/>
          <w:lang w:eastAsia="zh-CN"/>
        </w:rPr>
        <w:t>（2020）浙0111执3185号《杭州市富阳区人民法院通知书》</w:t>
      </w:r>
      <w:r>
        <w:rPr>
          <w:rFonts w:hint="eastAsia"/>
          <w:sz w:val="28"/>
          <w:szCs w:val="28"/>
        </w:rPr>
        <w:t>，对涉案资产进行了</w:t>
      </w:r>
      <w:r>
        <w:rPr>
          <w:sz w:val="28"/>
          <w:szCs w:val="28"/>
        </w:rPr>
        <w:t>认</w:t>
      </w:r>
      <w:r>
        <w:rPr>
          <w:rFonts w:hint="eastAsia"/>
          <w:sz w:val="28"/>
          <w:szCs w:val="28"/>
        </w:rPr>
        <w:t>真的清查、核</w:t>
      </w:r>
      <w:r>
        <w:rPr>
          <w:sz w:val="28"/>
          <w:szCs w:val="28"/>
        </w:rPr>
        <w:t>实</w:t>
      </w:r>
      <w:r>
        <w:rPr>
          <w:rFonts w:hint="eastAsia"/>
          <w:sz w:val="28"/>
          <w:szCs w:val="28"/>
        </w:rPr>
        <w:t>、</w:t>
      </w:r>
      <w:r>
        <w:rPr>
          <w:sz w:val="28"/>
          <w:szCs w:val="28"/>
        </w:rPr>
        <w:t>评</w:t>
      </w:r>
      <w:r>
        <w:rPr>
          <w:rFonts w:hint="eastAsia"/>
          <w:sz w:val="28"/>
          <w:szCs w:val="28"/>
        </w:rPr>
        <w:t>定估算，并形成了</w:t>
      </w:r>
      <w:r>
        <w:rPr>
          <w:sz w:val="28"/>
          <w:szCs w:val="28"/>
        </w:rPr>
        <w:t>资产评</w:t>
      </w:r>
      <w:r>
        <w:rPr>
          <w:rFonts w:hint="eastAsia"/>
          <w:sz w:val="28"/>
          <w:szCs w:val="28"/>
        </w:rPr>
        <w:t>估</w:t>
      </w:r>
      <w:r>
        <w:rPr>
          <w:sz w:val="28"/>
          <w:szCs w:val="28"/>
        </w:rPr>
        <w:t>报</w:t>
      </w:r>
      <w:r>
        <w:rPr>
          <w:rFonts w:hint="eastAsia"/>
          <w:sz w:val="28"/>
          <w:szCs w:val="28"/>
        </w:rPr>
        <w:t>告</w:t>
      </w:r>
      <w:r>
        <w:rPr>
          <w:sz w:val="28"/>
          <w:szCs w:val="28"/>
        </w:rPr>
        <w:t>书</w:t>
      </w:r>
      <w:r>
        <w:rPr>
          <w:rFonts w:hint="eastAsia"/>
          <w:sz w:val="28"/>
          <w:szCs w:val="28"/>
        </w:rPr>
        <w:t>，在假</w:t>
      </w:r>
      <w:r>
        <w:rPr>
          <w:sz w:val="28"/>
          <w:szCs w:val="28"/>
        </w:rPr>
        <w:t>设条</w:t>
      </w:r>
      <w:r>
        <w:rPr>
          <w:rFonts w:hint="eastAsia"/>
          <w:sz w:val="28"/>
          <w:szCs w:val="28"/>
        </w:rPr>
        <w:t>件成立的情</w:t>
      </w:r>
      <w:r>
        <w:rPr>
          <w:sz w:val="28"/>
          <w:szCs w:val="28"/>
        </w:rPr>
        <w:t>况</w:t>
      </w:r>
      <w:r>
        <w:rPr>
          <w:rFonts w:hint="eastAsia"/>
          <w:sz w:val="28"/>
          <w:szCs w:val="28"/>
        </w:rPr>
        <w:t>下，</w:t>
      </w:r>
      <w:r>
        <w:rPr>
          <w:sz w:val="28"/>
          <w:szCs w:val="28"/>
        </w:rPr>
        <w:t>我们对资产评估结</w:t>
      </w:r>
      <w:r>
        <w:rPr>
          <w:rFonts w:hint="eastAsia"/>
          <w:sz w:val="28"/>
          <w:szCs w:val="28"/>
        </w:rPr>
        <w:t>果承</w:t>
      </w:r>
      <w:r>
        <w:rPr>
          <w:sz w:val="28"/>
          <w:szCs w:val="28"/>
        </w:rPr>
        <w:t>诺</w:t>
      </w:r>
      <w:r>
        <w:rPr>
          <w:rFonts w:hint="eastAsia"/>
          <w:sz w:val="28"/>
          <w:szCs w:val="28"/>
        </w:rPr>
        <w:t>如下，并承</w:t>
      </w:r>
      <w:r>
        <w:rPr>
          <w:sz w:val="28"/>
          <w:szCs w:val="28"/>
        </w:rPr>
        <w:t>担</w:t>
      </w:r>
      <w:r>
        <w:rPr>
          <w:rFonts w:hint="eastAsia"/>
          <w:sz w:val="28"/>
          <w:szCs w:val="28"/>
        </w:rPr>
        <w:t>相</w:t>
      </w:r>
      <w:r>
        <w:rPr>
          <w:sz w:val="28"/>
          <w:szCs w:val="28"/>
        </w:rPr>
        <w:t>应</w:t>
      </w:r>
      <w:r>
        <w:rPr>
          <w:rFonts w:hint="eastAsia"/>
          <w:sz w:val="28"/>
          <w:szCs w:val="28"/>
        </w:rPr>
        <w:t>的法律</w:t>
      </w:r>
      <w:r>
        <w:rPr>
          <w:sz w:val="28"/>
          <w:szCs w:val="28"/>
        </w:rPr>
        <w:t>责</w:t>
      </w:r>
      <w:r>
        <w:rPr>
          <w:rFonts w:hint="eastAsia"/>
          <w:sz w:val="28"/>
          <w:szCs w:val="28"/>
        </w:rPr>
        <w:t>任：</w:t>
      </w:r>
      <w:bookmarkEnd w:id="80"/>
    </w:p>
    <w:p>
      <w:pPr>
        <w:spacing w:line="360" w:lineRule="auto"/>
        <w:rPr>
          <w:rFonts w:hint="eastAsia"/>
          <w:sz w:val="28"/>
          <w:szCs w:val="28"/>
        </w:rPr>
      </w:pPr>
      <w:r>
        <w:rPr>
          <w:sz w:val="28"/>
          <w:szCs w:val="28"/>
        </w:rPr>
        <w:t xml:space="preserve">     1</w:t>
      </w:r>
      <w:r>
        <w:rPr>
          <w:rFonts w:hint="eastAsia"/>
          <w:sz w:val="28"/>
          <w:szCs w:val="28"/>
        </w:rPr>
        <w:t>、</w:t>
      </w:r>
      <w:r>
        <w:rPr>
          <w:sz w:val="28"/>
          <w:szCs w:val="28"/>
        </w:rPr>
        <w:t>资产评</w:t>
      </w:r>
      <w:r>
        <w:rPr>
          <w:rFonts w:hint="eastAsia"/>
          <w:sz w:val="28"/>
          <w:szCs w:val="28"/>
        </w:rPr>
        <w:t>估范</w:t>
      </w:r>
      <w:r>
        <w:rPr>
          <w:sz w:val="28"/>
          <w:szCs w:val="28"/>
        </w:rPr>
        <w:t>围</w:t>
      </w:r>
      <w:r>
        <w:rPr>
          <w:rFonts w:hint="eastAsia"/>
          <w:sz w:val="28"/>
          <w:szCs w:val="28"/>
        </w:rPr>
        <w:t>与</w:t>
      </w:r>
      <w:r>
        <w:rPr>
          <w:sz w:val="28"/>
          <w:szCs w:val="28"/>
        </w:rPr>
        <w:t>经济</w:t>
      </w:r>
      <w:r>
        <w:rPr>
          <w:rFonts w:hint="eastAsia"/>
          <w:sz w:val="28"/>
          <w:szCs w:val="28"/>
        </w:rPr>
        <w:t>行</w:t>
      </w:r>
      <w:r>
        <w:rPr>
          <w:sz w:val="28"/>
          <w:szCs w:val="28"/>
        </w:rPr>
        <w:t>为</w:t>
      </w:r>
      <w:r>
        <w:rPr>
          <w:rFonts w:hint="eastAsia"/>
          <w:sz w:val="28"/>
          <w:szCs w:val="28"/>
        </w:rPr>
        <w:t>所涉及的</w:t>
      </w:r>
      <w:r>
        <w:rPr>
          <w:sz w:val="28"/>
          <w:szCs w:val="28"/>
        </w:rPr>
        <w:t>资产</w:t>
      </w:r>
      <w:r>
        <w:rPr>
          <w:rFonts w:hint="eastAsia"/>
          <w:sz w:val="28"/>
          <w:szCs w:val="28"/>
        </w:rPr>
        <w:t>范</w:t>
      </w:r>
      <w:r>
        <w:rPr>
          <w:sz w:val="28"/>
          <w:szCs w:val="28"/>
        </w:rPr>
        <w:t>围</w:t>
      </w:r>
      <w:r>
        <w:rPr>
          <w:rFonts w:hint="eastAsia"/>
          <w:sz w:val="28"/>
          <w:szCs w:val="28"/>
        </w:rPr>
        <w:t>一致，未重未漏；</w:t>
      </w:r>
    </w:p>
    <w:p>
      <w:pPr>
        <w:spacing w:line="360" w:lineRule="auto"/>
        <w:rPr>
          <w:rFonts w:hint="eastAsia"/>
          <w:sz w:val="28"/>
          <w:szCs w:val="28"/>
        </w:rPr>
      </w:pPr>
      <w:r>
        <w:rPr>
          <w:sz w:val="28"/>
          <w:szCs w:val="28"/>
        </w:rPr>
        <w:t xml:space="preserve">     2</w:t>
      </w:r>
      <w:r>
        <w:rPr>
          <w:rFonts w:hint="eastAsia"/>
          <w:sz w:val="28"/>
          <w:szCs w:val="28"/>
        </w:rPr>
        <w:t>、</w:t>
      </w:r>
      <w:r>
        <w:rPr>
          <w:sz w:val="28"/>
          <w:szCs w:val="28"/>
        </w:rPr>
        <w:t>对</w:t>
      </w:r>
      <w:r>
        <w:rPr>
          <w:rFonts w:hint="eastAsia"/>
          <w:sz w:val="28"/>
          <w:szCs w:val="28"/>
        </w:rPr>
        <w:t>涉及</w:t>
      </w:r>
      <w:r>
        <w:rPr>
          <w:sz w:val="28"/>
          <w:szCs w:val="28"/>
        </w:rPr>
        <w:t>评</w:t>
      </w:r>
      <w:r>
        <w:rPr>
          <w:rFonts w:hint="eastAsia"/>
          <w:sz w:val="28"/>
          <w:szCs w:val="28"/>
        </w:rPr>
        <w:t>估的</w:t>
      </w:r>
      <w:r>
        <w:rPr>
          <w:sz w:val="28"/>
          <w:szCs w:val="28"/>
        </w:rPr>
        <w:t>资产进</w:t>
      </w:r>
      <w:r>
        <w:rPr>
          <w:rFonts w:hint="eastAsia"/>
          <w:sz w:val="28"/>
          <w:szCs w:val="28"/>
        </w:rPr>
        <w:t>行了合理的抽查、核</w:t>
      </w:r>
      <w:r>
        <w:rPr>
          <w:sz w:val="28"/>
          <w:szCs w:val="28"/>
        </w:rPr>
        <w:t>实</w:t>
      </w:r>
      <w:r>
        <w:rPr>
          <w:rFonts w:hint="eastAsia"/>
          <w:sz w:val="28"/>
          <w:szCs w:val="28"/>
        </w:rPr>
        <w:t>；</w:t>
      </w:r>
    </w:p>
    <w:p>
      <w:pPr>
        <w:spacing w:line="360" w:lineRule="auto"/>
        <w:rPr>
          <w:rFonts w:hint="eastAsia"/>
          <w:sz w:val="28"/>
          <w:szCs w:val="28"/>
        </w:rPr>
      </w:pPr>
      <w:r>
        <w:rPr>
          <w:sz w:val="28"/>
          <w:szCs w:val="28"/>
        </w:rPr>
        <w:t xml:space="preserve">     3</w:t>
      </w:r>
      <w:r>
        <w:rPr>
          <w:rFonts w:hint="eastAsia"/>
          <w:sz w:val="28"/>
          <w:szCs w:val="28"/>
        </w:rPr>
        <w:t>、</w:t>
      </w:r>
      <w:r>
        <w:rPr>
          <w:sz w:val="28"/>
          <w:szCs w:val="28"/>
        </w:rPr>
        <w:t>评</w:t>
      </w:r>
      <w:r>
        <w:rPr>
          <w:rFonts w:hint="eastAsia"/>
          <w:sz w:val="28"/>
          <w:szCs w:val="28"/>
        </w:rPr>
        <w:t>估方法</w:t>
      </w:r>
      <w:r>
        <w:rPr>
          <w:sz w:val="28"/>
          <w:szCs w:val="28"/>
        </w:rPr>
        <w:t>选用恰当</w:t>
      </w:r>
      <w:r>
        <w:rPr>
          <w:rFonts w:hint="eastAsia"/>
          <w:sz w:val="28"/>
          <w:szCs w:val="28"/>
        </w:rPr>
        <w:t>，</w:t>
      </w:r>
      <w:r>
        <w:rPr>
          <w:sz w:val="28"/>
          <w:szCs w:val="28"/>
        </w:rPr>
        <w:t>选用</w:t>
      </w:r>
      <w:r>
        <w:rPr>
          <w:rFonts w:hint="eastAsia"/>
          <w:sz w:val="28"/>
          <w:szCs w:val="28"/>
        </w:rPr>
        <w:t>的</w:t>
      </w:r>
      <w:r>
        <w:rPr>
          <w:sz w:val="28"/>
          <w:szCs w:val="28"/>
        </w:rPr>
        <w:t>参照数</w:t>
      </w:r>
      <w:r>
        <w:rPr>
          <w:rFonts w:hint="eastAsia"/>
          <w:sz w:val="28"/>
          <w:szCs w:val="28"/>
        </w:rPr>
        <w:t>据、</w:t>
      </w:r>
      <w:r>
        <w:rPr>
          <w:sz w:val="28"/>
          <w:szCs w:val="28"/>
        </w:rPr>
        <w:t>数</w:t>
      </w:r>
      <w:r>
        <w:rPr>
          <w:rFonts w:hint="eastAsia"/>
          <w:sz w:val="28"/>
          <w:szCs w:val="28"/>
        </w:rPr>
        <w:t>据可靠；</w:t>
      </w:r>
    </w:p>
    <w:p>
      <w:pPr>
        <w:spacing w:line="360" w:lineRule="auto"/>
        <w:rPr>
          <w:rFonts w:hint="eastAsia"/>
          <w:sz w:val="28"/>
          <w:szCs w:val="28"/>
        </w:rPr>
      </w:pPr>
      <w:r>
        <w:rPr>
          <w:sz w:val="28"/>
          <w:szCs w:val="28"/>
        </w:rPr>
        <w:t xml:space="preserve">     4</w:t>
      </w:r>
      <w:r>
        <w:rPr>
          <w:rFonts w:hint="eastAsia"/>
          <w:sz w:val="28"/>
          <w:szCs w:val="28"/>
        </w:rPr>
        <w:t>、影</w:t>
      </w:r>
      <w:r>
        <w:rPr>
          <w:sz w:val="28"/>
          <w:szCs w:val="28"/>
        </w:rPr>
        <w:t>响资产评</w:t>
      </w:r>
      <w:r>
        <w:rPr>
          <w:rFonts w:hint="eastAsia"/>
          <w:sz w:val="28"/>
          <w:szCs w:val="28"/>
        </w:rPr>
        <w:t>估价值的因素考</w:t>
      </w:r>
      <w:r>
        <w:rPr>
          <w:sz w:val="28"/>
          <w:szCs w:val="28"/>
        </w:rPr>
        <w:t>虑</w:t>
      </w:r>
      <w:r>
        <w:rPr>
          <w:rFonts w:hint="eastAsia"/>
          <w:sz w:val="28"/>
          <w:szCs w:val="28"/>
        </w:rPr>
        <w:t>周全；</w:t>
      </w:r>
    </w:p>
    <w:p>
      <w:pPr>
        <w:spacing w:line="360" w:lineRule="auto"/>
        <w:rPr>
          <w:rFonts w:hint="eastAsia"/>
          <w:sz w:val="28"/>
          <w:szCs w:val="28"/>
        </w:rPr>
      </w:pPr>
      <w:r>
        <w:rPr>
          <w:sz w:val="28"/>
          <w:szCs w:val="28"/>
        </w:rPr>
        <w:t xml:space="preserve">     5</w:t>
      </w:r>
      <w:r>
        <w:rPr>
          <w:rFonts w:hint="eastAsia"/>
          <w:sz w:val="28"/>
          <w:szCs w:val="28"/>
        </w:rPr>
        <w:t>、</w:t>
      </w:r>
      <w:r>
        <w:rPr>
          <w:sz w:val="28"/>
          <w:szCs w:val="28"/>
        </w:rPr>
        <w:t>资产评估结</w:t>
      </w:r>
      <w:r>
        <w:rPr>
          <w:rFonts w:hint="eastAsia"/>
          <w:sz w:val="28"/>
          <w:szCs w:val="28"/>
        </w:rPr>
        <w:t>果客</w:t>
      </w:r>
      <w:r>
        <w:rPr>
          <w:sz w:val="28"/>
          <w:szCs w:val="28"/>
        </w:rPr>
        <w:t>观</w:t>
      </w:r>
      <w:r>
        <w:rPr>
          <w:rFonts w:hint="eastAsia"/>
          <w:sz w:val="28"/>
          <w:szCs w:val="28"/>
        </w:rPr>
        <w:t>、公允；</w:t>
      </w:r>
    </w:p>
    <w:p>
      <w:pPr>
        <w:spacing w:line="360" w:lineRule="auto"/>
        <w:rPr>
          <w:rFonts w:hint="eastAsia" w:ascii="宋体" w:hAnsi="宋体"/>
          <w:sz w:val="28"/>
        </w:rPr>
      </w:pPr>
      <w:r>
        <w:rPr>
          <w:sz w:val="28"/>
          <w:szCs w:val="28"/>
        </w:rPr>
        <w:t xml:space="preserve">     6</w:t>
      </w:r>
      <w:r>
        <w:rPr>
          <w:rFonts w:hint="eastAsia"/>
          <w:sz w:val="28"/>
          <w:szCs w:val="28"/>
        </w:rPr>
        <w:t>、</w:t>
      </w:r>
      <w:r>
        <w:rPr>
          <w:sz w:val="28"/>
          <w:szCs w:val="28"/>
        </w:rPr>
        <w:t>评</w:t>
      </w:r>
      <w:r>
        <w:rPr>
          <w:rFonts w:hint="eastAsia"/>
          <w:sz w:val="28"/>
          <w:szCs w:val="28"/>
        </w:rPr>
        <w:t>估工作未受任何</w:t>
      </w:r>
      <w:r>
        <w:rPr>
          <w:sz w:val="28"/>
          <w:szCs w:val="28"/>
        </w:rPr>
        <w:t>人为干预</w:t>
      </w:r>
      <w:r>
        <w:rPr>
          <w:rFonts w:hint="eastAsia"/>
          <w:sz w:val="28"/>
          <w:szCs w:val="28"/>
        </w:rPr>
        <w:t>并</w:t>
      </w:r>
      <w:r>
        <w:rPr>
          <w:sz w:val="28"/>
          <w:szCs w:val="28"/>
        </w:rPr>
        <w:t>独</w:t>
      </w:r>
      <w:r>
        <w:rPr>
          <w:rFonts w:hint="eastAsia"/>
          <w:sz w:val="28"/>
          <w:szCs w:val="28"/>
        </w:rPr>
        <w:t>立</w:t>
      </w:r>
      <w:r>
        <w:rPr>
          <w:sz w:val="28"/>
          <w:szCs w:val="28"/>
        </w:rPr>
        <w:t>进</w:t>
      </w:r>
      <w:r>
        <w:rPr>
          <w:rFonts w:hint="eastAsia"/>
          <w:sz w:val="28"/>
          <w:szCs w:val="28"/>
        </w:rPr>
        <w:t>行。</w:t>
      </w:r>
    </w:p>
    <w:p>
      <w:pPr>
        <w:rPr>
          <w:rFonts w:hint="eastAsia" w:ascii="宋体" w:hAnsi="宋体"/>
          <w:sz w:val="28"/>
        </w:rPr>
      </w:pPr>
    </w:p>
    <w:p>
      <w:pPr>
        <w:rPr>
          <w:rFonts w:hint="eastAsia" w:ascii="宋体" w:hAnsi="宋体"/>
          <w:sz w:val="28"/>
        </w:rPr>
      </w:pPr>
      <w:r>
        <w:rPr>
          <w:rFonts w:hint="eastAsia" w:ascii="宋体" w:hAnsi="宋体"/>
          <w:sz w:val="28"/>
        </w:rPr>
        <w:t>杭州富诚资产评估有限公司</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rPr>
        <w:t xml:space="preserve">资产评估师： </w:t>
      </w:r>
    </w:p>
    <w:p>
      <w:pPr>
        <w:rPr>
          <w:rFonts w:hint="eastAsia" w:ascii="宋体" w:hAnsi="宋体"/>
          <w:sz w:val="28"/>
        </w:rPr>
      </w:pPr>
    </w:p>
    <w:p>
      <w:pPr>
        <w:pStyle w:val="2"/>
        <w:rPr>
          <w:rFonts w:hint="eastAsia"/>
        </w:rPr>
      </w:pPr>
    </w:p>
    <w:p>
      <w:pPr>
        <w:ind w:firstLine="840" w:firstLineChars="300"/>
        <w:rPr>
          <w:rFonts w:hint="eastAsia" w:ascii="宋体" w:hAnsi="宋体"/>
          <w:sz w:val="28"/>
        </w:rPr>
      </w:pPr>
      <w:r>
        <w:rPr>
          <w:rFonts w:hint="eastAsia" w:ascii="宋体" w:hAnsi="宋体"/>
          <w:sz w:val="28"/>
        </w:rPr>
        <w:t>中</w:t>
      </w:r>
      <w:r>
        <w:rPr>
          <w:rFonts w:ascii="宋体" w:hAnsi="宋体"/>
          <w:sz w:val="28"/>
        </w:rPr>
        <w:t>国</w:t>
      </w:r>
      <w:r>
        <w:rPr>
          <w:rFonts w:hint="eastAsia" w:ascii="宋体" w:hAnsi="宋体"/>
          <w:sz w:val="28"/>
        </w:rPr>
        <w:t>·杭州</w:t>
      </w:r>
      <w:r>
        <w:rPr>
          <w:rFonts w:ascii="宋体" w:hAnsi="宋体"/>
          <w:sz w:val="28"/>
        </w:rPr>
        <w:t xml:space="preserve">                           </w:t>
      </w:r>
      <w:r>
        <w:rPr>
          <w:rFonts w:hint="eastAsia" w:ascii="宋体" w:hAnsi="宋体"/>
          <w:sz w:val="28"/>
        </w:rPr>
        <w:t xml:space="preserve">资产评估师： </w:t>
      </w:r>
    </w:p>
    <w:p>
      <w:pPr>
        <w:rPr>
          <w:rFonts w:hint="eastAsia" w:ascii="宋体" w:hAnsi="宋体"/>
          <w:sz w:val="28"/>
        </w:rPr>
      </w:pPr>
      <w:r>
        <w:rPr>
          <w:rFonts w:hint="eastAsia" w:ascii="宋体" w:hAnsi="宋体"/>
          <w:sz w:val="28"/>
        </w:rPr>
        <w:t xml:space="preserve">    </w:t>
      </w:r>
    </w:p>
    <w:p>
      <w:pPr>
        <w:rPr>
          <w:rFonts w:hint="eastAsia" w:ascii="宋体" w:hAnsi="宋体"/>
          <w:sz w:val="28"/>
        </w:rPr>
      </w:pPr>
      <w:r>
        <w:rPr>
          <w:rFonts w:hint="eastAsia" w:ascii="宋体" w:hAnsi="宋体"/>
          <w:sz w:val="28"/>
        </w:rPr>
        <w:t xml:space="preserve">           </w:t>
      </w:r>
    </w:p>
    <w:p>
      <w:pPr>
        <w:pStyle w:val="2"/>
        <w:tabs>
          <w:tab w:val="right" w:pos="8306"/>
        </w:tabs>
        <w:jc w:val="right"/>
        <w:rPr>
          <w:rFonts w:hint="eastAsia" w:ascii="宋体" w:hAnsi="宋体" w:eastAsia="宋体" w:cs="宋体"/>
          <w:spacing w:val="4"/>
          <w:sz w:val="28"/>
          <w:lang w:eastAsia="zh-CN"/>
        </w:rPr>
      </w:pPr>
      <w:r>
        <w:rPr>
          <w:rFonts w:ascii="宋体" w:hAnsi="宋体"/>
          <w:sz w:val="28"/>
        </w:rPr>
        <w:t xml:space="preserve">                                     </w:t>
      </w:r>
      <w:r>
        <w:rPr>
          <w:rFonts w:hint="eastAsia" w:ascii="宋体" w:hAnsi="宋体"/>
          <w:sz w:val="28"/>
        </w:rPr>
        <w:t>日期：2022年</w:t>
      </w:r>
      <w:r>
        <w:rPr>
          <w:rFonts w:hint="eastAsia" w:hAnsi="宋体"/>
          <w:sz w:val="28"/>
          <w:lang w:val="en-US" w:eastAsia="zh-CN"/>
        </w:rPr>
        <w:t>10</w:t>
      </w:r>
      <w:r>
        <w:rPr>
          <w:rFonts w:hint="eastAsia" w:hAnsi="宋体"/>
          <w:sz w:val="28"/>
          <w:lang w:eastAsia="zh-CN"/>
        </w:rPr>
        <w:t>月</w:t>
      </w:r>
      <w:r>
        <w:rPr>
          <w:rFonts w:hint="eastAsia" w:hAnsi="宋体"/>
          <w:sz w:val="28"/>
          <w:lang w:val="en-US" w:eastAsia="zh-CN"/>
        </w:rPr>
        <w:t>14</w:t>
      </w:r>
      <w:r>
        <w:rPr>
          <w:rFonts w:hint="eastAsia" w:hAnsi="宋体"/>
          <w:sz w:val="28"/>
          <w:lang w:eastAsia="zh-CN"/>
        </w:rPr>
        <w:t>日</w:t>
      </w:r>
    </w:p>
    <w:p>
      <w:pPr>
        <w:pStyle w:val="2"/>
        <w:tabs>
          <w:tab w:val="right" w:pos="8306"/>
        </w:tabs>
        <w:jc w:val="right"/>
        <w:rPr>
          <w:rFonts w:hint="eastAsia" w:ascii="宋体" w:hAnsi="宋体" w:eastAsia="宋体" w:cs="宋体"/>
          <w:spacing w:val="4"/>
          <w:sz w:val="28"/>
        </w:rPr>
      </w:pPr>
    </w:p>
    <w:p>
      <w:pPr>
        <w:pStyle w:val="2"/>
        <w:tabs>
          <w:tab w:val="right" w:pos="8306"/>
        </w:tabs>
        <w:jc w:val="right"/>
        <w:rPr>
          <w:rFonts w:hint="eastAsia" w:ascii="宋体" w:hAnsi="宋体" w:eastAsia="宋体" w:cs="宋体"/>
          <w:spacing w:val="4"/>
          <w:sz w:val="28"/>
        </w:rPr>
      </w:pPr>
    </w:p>
    <w:p>
      <w:pPr>
        <w:pStyle w:val="2"/>
        <w:tabs>
          <w:tab w:val="right" w:pos="8306"/>
        </w:tabs>
        <w:jc w:val="right"/>
        <w:rPr>
          <w:rFonts w:hint="eastAsia" w:ascii="宋体" w:hAnsi="宋体" w:eastAsia="宋体" w:cs="宋体"/>
          <w:vanish/>
          <w:spacing w:val="6"/>
          <w:sz w:val="28"/>
        </w:rPr>
      </w:pPr>
    </w:p>
    <w:sectPr>
      <w:footerReference r:id="rId5"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宋体"/>
    <w:panose1 w:val="00000000000000000000"/>
    <w:charset w:val="00"/>
    <w:family w:val="roman"/>
    <w:pitch w:val="default"/>
    <w:sig w:usb0="00000000" w:usb1="00000000" w:usb2="00000010" w:usb3="00000000" w:csb0="00040000" w:csb1="00000000"/>
  </w:font>
  <w:font w:name="DejaVu Sans">
    <w:altName w:val="Times New Roman"/>
    <w:panose1 w:val="00000000000000000000"/>
    <w:charset w:val="00"/>
    <w:family w:val="roman"/>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sz w:val="21"/>
        <w:szCs w:val="21"/>
      </w:rPr>
    </w:pPr>
    <w:r>
      <w:rPr>
        <w:sz w:val="21"/>
        <w:szCs w:val="21"/>
      </w:rPr>
      <w:t>杭州富诚资产评估有限公司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21"/>
        <w:szCs w:val="21"/>
      </w:rPr>
      <w:t>杭州富诚资产评估有限公司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u w:val="single"/>
      </w:rPr>
    </w:pPr>
    <w:r>
      <w:rPr>
        <w:rFonts w:hint="eastAsia"/>
      </w:rPr>
      <w:t>杭州市富阳区人民法院拟财产处置涉及的</w:t>
    </w:r>
    <w:r>
      <w:rPr>
        <w:rFonts w:hint="eastAsia"/>
        <w:lang w:eastAsia="zh-CN"/>
      </w:rPr>
      <w:t>郭其美、毛里永所有的位于诸暨市浣东街道宏城瑞东园5幢1单</w:t>
    </w:r>
    <w:r>
      <w:rPr>
        <w:rFonts w:hint="eastAsia"/>
        <w:u w:val="single"/>
        <w:lang w:eastAsia="zh-CN"/>
      </w:rPr>
      <w:t>元201室房地产、地下车位、室内装修及家具家电</w:t>
    </w:r>
    <w:r>
      <w:rPr>
        <w:rFonts w:hint="eastAsia"/>
        <w:u w:val="single"/>
      </w:rPr>
      <w:t xml:space="preserve">市场价值司法评估项目      </w:t>
    </w:r>
    <w:r>
      <w:rPr>
        <w:rFonts w:hint="eastAsia"/>
        <w:u w:val="single"/>
        <w:lang w:val="en-US" w:eastAsia="zh-CN"/>
      </w:rPr>
      <w:t xml:space="preserve">           </w:t>
    </w:r>
    <w:r>
      <w:rPr>
        <w:rFonts w:hint="eastAsia"/>
        <w:u w:val="single"/>
      </w:rPr>
      <w:t>资产评估报告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0B61D"/>
    <w:multiLevelType w:val="singleLevel"/>
    <w:tmpl w:val="CD10B61D"/>
    <w:lvl w:ilvl="0" w:tentative="0">
      <w:start w:val="1"/>
      <w:numFmt w:val="chineseCounting"/>
      <w:suff w:val="nothing"/>
      <w:lvlText w:val="%1、"/>
      <w:lvlJc w:val="left"/>
      <w:rPr>
        <w:rFonts w:hint="eastAsia"/>
      </w:rPr>
    </w:lvl>
  </w:abstractNum>
  <w:abstractNum w:abstractNumId="1">
    <w:nsid w:val="0000000B"/>
    <w:multiLevelType w:val="singleLevel"/>
    <w:tmpl w:val="0000000B"/>
    <w:lvl w:ilvl="0" w:tentative="0">
      <w:start w:val="6"/>
      <w:numFmt w:val="upperLetter"/>
      <w:pStyle w:val="3"/>
      <w:lvlText w:val="%1、 "/>
      <w:legacy w:legacy="1" w:legacySpace="0" w:legacyIndent="552"/>
      <w:lvlJc w:val="left"/>
      <w:pPr>
        <w:ind w:left="1812" w:hanging="552"/>
      </w:pPr>
      <w:rPr>
        <w:rFonts w:hint="eastAsia" w:ascii="仿宋_GB2312" w:eastAsia="仿宋_GB2312"/>
        <w:b w:val="0"/>
        <w:i w:val="0"/>
        <w:sz w:val="28"/>
        <w:u w:val="none"/>
      </w:rPr>
    </w:lvl>
  </w:abstractNum>
  <w:abstractNum w:abstractNumId="2">
    <w:nsid w:val="5EA230F2"/>
    <w:multiLevelType w:val="singleLevel"/>
    <w:tmpl w:val="5EA230F2"/>
    <w:lvl w:ilvl="0" w:tentative="0">
      <w:start w:val="1"/>
      <w:numFmt w:val="chineseCounting"/>
      <w:suff w:val="nothing"/>
      <w:lvlText w:val="%1、"/>
      <w:lvlJc w:val="left"/>
    </w:lvl>
  </w:abstractNum>
  <w:abstractNum w:abstractNumId="3">
    <w:nsid w:val="5EA625E3"/>
    <w:multiLevelType w:val="singleLevel"/>
    <w:tmpl w:val="5EA625E3"/>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xNmZlMmM3ZmM3ODg1NjFmYjBlMjVmZDA2ZWM3MzgifQ=="/>
  </w:docVars>
  <w:rsids>
    <w:rsidRoot w:val="D7FB192B"/>
    <w:rsid w:val="00150A47"/>
    <w:rsid w:val="001C6A74"/>
    <w:rsid w:val="00211EF8"/>
    <w:rsid w:val="00212EFB"/>
    <w:rsid w:val="00254550"/>
    <w:rsid w:val="002759CC"/>
    <w:rsid w:val="002959F9"/>
    <w:rsid w:val="002F1D16"/>
    <w:rsid w:val="002F4C1A"/>
    <w:rsid w:val="00305BF3"/>
    <w:rsid w:val="00357999"/>
    <w:rsid w:val="00371BC1"/>
    <w:rsid w:val="003A51CB"/>
    <w:rsid w:val="0047760F"/>
    <w:rsid w:val="0048696E"/>
    <w:rsid w:val="004E2BBD"/>
    <w:rsid w:val="005010AF"/>
    <w:rsid w:val="0055416C"/>
    <w:rsid w:val="005617D8"/>
    <w:rsid w:val="0056619A"/>
    <w:rsid w:val="00615998"/>
    <w:rsid w:val="00683F9B"/>
    <w:rsid w:val="00794039"/>
    <w:rsid w:val="007A303B"/>
    <w:rsid w:val="00821A2C"/>
    <w:rsid w:val="00831C34"/>
    <w:rsid w:val="008C290C"/>
    <w:rsid w:val="008F6EB3"/>
    <w:rsid w:val="00A023FF"/>
    <w:rsid w:val="00A11914"/>
    <w:rsid w:val="00A20B6F"/>
    <w:rsid w:val="00A40069"/>
    <w:rsid w:val="00AF7C62"/>
    <w:rsid w:val="00B06A12"/>
    <w:rsid w:val="00BE392B"/>
    <w:rsid w:val="00C44176"/>
    <w:rsid w:val="00CD149A"/>
    <w:rsid w:val="00CD1799"/>
    <w:rsid w:val="00CD28E3"/>
    <w:rsid w:val="00D127D5"/>
    <w:rsid w:val="00D93513"/>
    <w:rsid w:val="00DC4643"/>
    <w:rsid w:val="00DE628B"/>
    <w:rsid w:val="00E31E0A"/>
    <w:rsid w:val="00E53ED5"/>
    <w:rsid w:val="00E716BC"/>
    <w:rsid w:val="00EE47E3"/>
    <w:rsid w:val="00F163BA"/>
    <w:rsid w:val="00F34DC7"/>
    <w:rsid w:val="0106464C"/>
    <w:rsid w:val="013A1571"/>
    <w:rsid w:val="013F2A16"/>
    <w:rsid w:val="01512BE9"/>
    <w:rsid w:val="016D2CC6"/>
    <w:rsid w:val="01773D40"/>
    <w:rsid w:val="017C5973"/>
    <w:rsid w:val="019244F4"/>
    <w:rsid w:val="01987245"/>
    <w:rsid w:val="019A00CD"/>
    <w:rsid w:val="01DB1EFD"/>
    <w:rsid w:val="021A68F9"/>
    <w:rsid w:val="0224184B"/>
    <w:rsid w:val="02852B41"/>
    <w:rsid w:val="028D0A46"/>
    <w:rsid w:val="02AA281D"/>
    <w:rsid w:val="02AF6EE5"/>
    <w:rsid w:val="030D1CFA"/>
    <w:rsid w:val="031C2553"/>
    <w:rsid w:val="037B54CB"/>
    <w:rsid w:val="039B5ABB"/>
    <w:rsid w:val="03BA4C2C"/>
    <w:rsid w:val="03F01A4A"/>
    <w:rsid w:val="040D423D"/>
    <w:rsid w:val="0434075E"/>
    <w:rsid w:val="04446F77"/>
    <w:rsid w:val="045F10E3"/>
    <w:rsid w:val="04A50AB3"/>
    <w:rsid w:val="04C7100A"/>
    <w:rsid w:val="05465C7D"/>
    <w:rsid w:val="055A51F9"/>
    <w:rsid w:val="05844DC6"/>
    <w:rsid w:val="05C6353D"/>
    <w:rsid w:val="05CA6960"/>
    <w:rsid w:val="06032205"/>
    <w:rsid w:val="062235DD"/>
    <w:rsid w:val="0636739F"/>
    <w:rsid w:val="064B334A"/>
    <w:rsid w:val="06590BF0"/>
    <w:rsid w:val="06680FFF"/>
    <w:rsid w:val="0689426A"/>
    <w:rsid w:val="0696473D"/>
    <w:rsid w:val="07202B9B"/>
    <w:rsid w:val="074739BD"/>
    <w:rsid w:val="077B65D0"/>
    <w:rsid w:val="07B45B06"/>
    <w:rsid w:val="082743FB"/>
    <w:rsid w:val="084A21A0"/>
    <w:rsid w:val="08B22395"/>
    <w:rsid w:val="08B7643D"/>
    <w:rsid w:val="08CD7531"/>
    <w:rsid w:val="08E56AC1"/>
    <w:rsid w:val="0905484C"/>
    <w:rsid w:val="090D29A8"/>
    <w:rsid w:val="090E20CB"/>
    <w:rsid w:val="097525CD"/>
    <w:rsid w:val="0A3D2C6F"/>
    <w:rsid w:val="0A4838C3"/>
    <w:rsid w:val="0AD3711C"/>
    <w:rsid w:val="0B04224A"/>
    <w:rsid w:val="0B231D14"/>
    <w:rsid w:val="0B337557"/>
    <w:rsid w:val="0B3A0842"/>
    <w:rsid w:val="0B461066"/>
    <w:rsid w:val="0B55696F"/>
    <w:rsid w:val="0B68056A"/>
    <w:rsid w:val="0BBE36E2"/>
    <w:rsid w:val="0BF16788"/>
    <w:rsid w:val="0C8312E9"/>
    <w:rsid w:val="0CF33496"/>
    <w:rsid w:val="0D0066BE"/>
    <w:rsid w:val="0D023D59"/>
    <w:rsid w:val="0D024F41"/>
    <w:rsid w:val="0D03583D"/>
    <w:rsid w:val="0D5D2AD5"/>
    <w:rsid w:val="0DC2766E"/>
    <w:rsid w:val="0DC50156"/>
    <w:rsid w:val="0DC56830"/>
    <w:rsid w:val="0DF95F7F"/>
    <w:rsid w:val="0E1A2709"/>
    <w:rsid w:val="0E1F4C4D"/>
    <w:rsid w:val="0E29720B"/>
    <w:rsid w:val="0E306947"/>
    <w:rsid w:val="0EA213B4"/>
    <w:rsid w:val="0EE21243"/>
    <w:rsid w:val="0F067F6D"/>
    <w:rsid w:val="0F2F04BA"/>
    <w:rsid w:val="0F615B83"/>
    <w:rsid w:val="0F8E66B9"/>
    <w:rsid w:val="0FAD2763"/>
    <w:rsid w:val="0FD24BED"/>
    <w:rsid w:val="0FF8381F"/>
    <w:rsid w:val="105B5D6F"/>
    <w:rsid w:val="106D0C78"/>
    <w:rsid w:val="1106711E"/>
    <w:rsid w:val="114D70D3"/>
    <w:rsid w:val="116B67B5"/>
    <w:rsid w:val="11BB562D"/>
    <w:rsid w:val="12254F66"/>
    <w:rsid w:val="122B037F"/>
    <w:rsid w:val="127D17EB"/>
    <w:rsid w:val="129338C1"/>
    <w:rsid w:val="12AC21BF"/>
    <w:rsid w:val="12C10A21"/>
    <w:rsid w:val="12E91805"/>
    <w:rsid w:val="134C2D74"/>
    <w:rsid w:val="13BD2104"/>
    <w:rsid w:val="13E92F25"/>
    <w:rsid w:val="13F22C77"/>
    <w:rsid w:val="14304097"/>
    <w:rsid w:val="145F0C2D"/>
    <w:rsid w:val="14617BB5"/>
    <w:rsid w:val="1476458A"/>
    <w:rsid w:val="14C6122A"/>
    <w:rsid w:val="15012AD2"/>
    <w:rsid w:val="15896627"/>
    <w:rsid w:val="16AB496B"/>
    <w:rsid w:val="16F267BB"/>
    <w:rsid w:val="16FE170C"/>
    <w:rsid w:val="171C750D"/>
    <w:rsid w:val="17372457"/>
    <w:rsid w:val="1747512F"/>
    <w:rsid w:val="17550B15"/>
    <w:rsid w:val="17625B02"/>
    <w:rsid w:val="17625E7C"/>
    <w:rsid w:val="178047A5"/>
    <w:rsid w:val="179E4544"/>
    <w:rsid w:val="17B10265"/>
    <w:rsid w:val="17E61B80"/>
    <w:rsid w:val="180B072F"/>
    <w:rsid w:val="180C0990"/>
    <w:rsid w:val="18321074"/>
    <w:rsid w:val="185B5B18"/>
    <w:rsid w:val="18BE4977"/>
    <w:rsid w:val="18C04C00"/>
    <w:rsid w:val="18C2449F"/>
    <w:rsid w:val="18E633FA"/>
    <w:rsid w:val="19600858"/>
    <w:rsid w:val="19704F4F"/>
    <w:rsid w:val="19863D32"/>
    <w:rsid w:val="1B102A7F"/>
    <w:rsid w:val="1B2507BA"/>
    <w:rsid w:val="1B713A58"/>
    <w:rsid w:val="1BBC205B"/>
    <w:rsid w:val="1BE3046D"/>
    <w:rsid w:val="1C016F32"/>
    <w:rsid w:val="1C234B14"/>
    <w:rsid w:val="1C4079B2"/>
    <w:rsid w:val="1C697521"/>
    <w:rsid w:val="1C6E4AA6"/>
    <w:rsid w:val="1C8D6016"/>
    <w:rsid w:val="1CB93919"/>
    <w:rsid w:val="1CE963AA"/>
    <w:rsid w:val="1D0401EB"/>
    <w:rsid w:val="1D1F6D67"/>
    <w:rsid w:val="1D300C7D"/>
    <w:rsid w:val="1D32104F"/>
    <w:rsid w:val="1DB52284"/>
    <w:rsid w:val="1DC92C2C"/>
    <w:rsid w:val="1E4E40D8"/>
    <w:rsid w:val="1EB00FD2"/>
    <w:rsid w:val="1F3D288C"/>
    <w:rsid w:val="1F9957B9"/>
    <w:rsid w:val="200A38CA"/>
    <w:rsid w:val="20120316"/>
    <w:rsid w:val="20447098"/>
    <w:rsid w:val="206877A5"/>
    <w:rsid w:val="206A49DB"/>
    <w:rsid w:val="209B179A"/>
    <w:rsid w:val="20AC7CC7"/>
    <w:rsid w:val="20C21C18"/>
    <w:rsid w:val="20D83B05"/>
    <w:rsid w:val="211272BB"/>
    <w:rsid w:val="21395994"/>
    <w:rsid w:val="21505D92"/>
    <w:rsid w:val="2154594E"/>
    <w:rsid w:val="21C154A8"/>
    <w:rsid w:val="221977B9"/>
    <w:rsid w:val="221F4C91"/>
    <w:rsid w:val="224C41BC"/>
    <w:rsid w:val="226C3577"/>
    <w:rsid w:val="22883309"/>
    <w:rsid w:val="22925F36"/>
    <w:rsid w:val="22A27024"/>
    <w:rsid w:val="22E20688"/>
    <w:rsid w:val="22E7350C"/>
    <w:rsid w:val="2359001E"/>
    <w:rsid w:val="242A2C87"/>
    <w:rsid w:val="2491243D"/>
    <w:rsid w:val="24950E62"/>
    <w:rsid w:val="24D838D4"/>
    <w:rsid w:val="24EA3088"/>
    <w:rsid w:val="24FE1FE6"/>
    <w:rsid w:val="25544AB2"/>
    <w:rsid w:val="25563E3A"/>
    <w:rsid w:val="2567772D"/>
    <w:rsid w:val="25743899"/>
    <w:rsid w:val="25CA694D"/>
    <w:rsid w:val="26370BF7"/>
    <w:rsid w:val="266D4C69"/>
    <w:rsid w:val="268B3F4E"/>
    <w:rsid w:val="26957637"/>
    <w:rsid w:val="26A81CA1"/>
    <w:rsid w:val="26F85860"/>
    <w:rsid w:val="270B3A39"/>
    <w:rsid w:val="27630423"/>
    <w:rsid w:val="276B1318"/>
    <w:rsid w:val="277C2603"/>
    <w:rsid w:val="283B361B"/>
    <w:rsid w:val="284E24FB"/>
    <w:rsid w:val="288B1059"/>
    <w:rsid w:val="28F02E78"/>
    <w:rsid w:val="29932CBF"/>
    <w:rsid w:val="2A744169"/>
    <w:rsid w:val="2ADE20DA"/>
    <w:rsid w:val="2AEE2579"/>
    <w:rsid w:val="2AF3371C"/>
    <w:rsid w:val="2AF74218"/>
    <w:rsid w:val="2B314FDA"/>
    <w:rsid w:val="2B5F4D79"/>
    <w:rsid w:val="2B8E4F46"/>
    <w:rsid w:val="2C2B6413"/>
    <w:rsid w:val="2C547BD4"/>
    <w:rsid w:val="2C5713C2"/>
    <w:rsid w:val="2CB84FCE"/>
    <w:rsid w:val="2CBC4F76"/>
    <w:rsid w:val="2CE8470A"/>
    <w:rsid w:val="2CEE3C8A"/>
    <w:rsid w:val="2CF93DEB"/>
    <w:rsid w:val="2D0B0DBF"/>
    <w:rsid w:val="2D406CBA"/>
    <w:rsid w:val="2D9143A6"/>
    <w:rsid w:val="2D9817F4"/>
    <w:rsid w:val="2ECB2D2C"/>
    <w:rsid w:val="2ECD0019"/>
    <w:rsid w:val="2EE2756C"/>
    <w:rsid w:val="2EE82491"/>
    <w:rsid w:val="2F3D4C43"/>
    <w:rsid w:val="30131319"/>
    <w:rsid w:val="302B55A8"/>
    <w:rsid w:val="305C077F"/>
    <w:rsid w:val="306F0B05"/>
    <w:rsid w:val="30701104"/>
    <w:rsid w:val="30800CCB"/>
    <w:rsid w:val="30AF20CD"/>
    <w:rsid w:val="30CA4B57"/>
    <w:rsid w:val="315B6409"/>
    <w:rsid w:val="317776FC"/>
    <w:rsid w:val="319B58C5"/>
    <w:rsid w:val="31AA68B4"/>
    <w:rsid w:val="31CC50BA"/>
    <w:rsid w:val="31DB5AB3"/>
    <w:rsid w:val="320B147C"/>
    <w:rsid w:val="3218420C"/>
    <w:rsid w:val="32470B0E"/>
    <w:rsid w:val="32656771"/>
    <w:rsid w:val="3276035D"/>
    <w:rsid w:val="32A4066D"/>
    <w:rsid w:val="32A44762"/>
    <w:rsid w:val="32B63E95"/>
    <w:rsid w:val="32C63D3D"/>
    <w:rsid w:val="32CB333C"/>
    <w:rsid w:val="32D6319D"/>
    <w:rsid w:val="3321063F"/>
    <w:rsid w:val="33367504"/>
    <w:rsid w:val="333B6843"/>
    <w:rsid w:val="33744B9C"/>
    <w:rsid w:val="338F3996"/>
    <w:rsid w:val="339C4C67"/>
    <w:rsid w:val="33C42631"/>
    <w:rsid w:val="33EF1FF3"/>
    <w:rsid w:val="33F446F4"/>
    <w:rsid w:val="33F96ACA"/>
    <w:rsid w:val="340A5F7B"/>
    <w:rsid w:val="3485287F"/>
    <w:rsid w:val="34917F85"/>
    <w:rsid w:val="34C268C5"/>
    <w:rsid w:val="34DE7871"/>
    <w:rsid w:val="350D72ED"/>
    <w:rsid w:val="3529264C"/>
    <w:rsid w:val="35B5112C"/>
    <w:rsid w:val="35CD6AD9"/>
    <w:rsid w:val="35F83F56"/>
    <w:rsid w:val="36441BEE"/>
    <w:rsid w:val="366507C0"/>
    <w:rsid w:val="36801361"/>
    <w:rsid w:val="36FD5323"/>
    <w:rsid w:val="370C62E5"/>
    <w:rsid w:val="3755146A"/>
    <w:rsid w:val="378656CC"/>
    <w:rsid w:val="37980C20"/>
    <w:rsid w:val="379C06E7"/>
    <w:rsid w:val="37AE54B1"/>
    <w:rsid w:val="37CA4776"/>
    <w:rsid w:val="37D61063"/>
    <w:rsid w:val="38461876"/>
    <w:rsid w:val="38D004F4"/>
    <w:rsid w:val="39353FF7"/>
    <w:rsid w:val="39761CB6"/>
    <w:rsid w:val="39E8699D"/>
    <w:rsid w:val="39EC7204"/>
    <w:rsid w:val="3A6366DE"/>
    <w:rsid w:val="3AAF206B"/>
    <w:rsid w:val="3AB9743B"/>
    <w:rsid w:val="3B8051A7"/>
    <w:rsid w:val="3BBA2970"/>
    <w:rsid w:val="3BCD168D"/>
    <w:rsid w:val="3BE556AF"/>
    <w:rsid w:val="3BEA0439"/>
    <w:rsid w:val="3C094524"/>
    <w:rsid w:val="3C7B62FF"/>
    <w:rsid w:val="3CB75A06"/>
    <w:rsid w:val="3CF40024"/>
    <w:rsid w:val="3CF55B44"/>
    <w:rsid w:val="3D6F01A9"/>
    <w:rsid w:val="3DC64A41"/>
    <w:rsid w:val="3DD14280"/>
    <w:rsid w:val="3DDB3DAB"/>
    <w:rsid w:val="3DF07218"/>
    <w:rsid w:val="3DFB4605"/>
    <w:rsid w:val="3E871E0D"/>
    <w:rsid w:val="3F3073CA"/>
    <w:rsid w:val="3FAC39B0"/>
    <w:rsid w:val="3FDB0AC5"/>
    <w:rsid w:val="40294794"/>
    <w:rsid w:val="406556DD"/>
    <w:rsid w:val="410A0F95"/>
    <w:rsid w:val="412E1D2A"/>
    <w:rsid w:val="413D4D74"/>
    <w:rsid w:val="4150545A"/>
    <w:rsid w:val="41BC1080"/>
    <w:rsid w:val="41D30FA4"/>
    <w:rsid w:val="41E14844"/>
    <w:rsid w:val="420F4A55"/>
    <w:rsid w:val="421B5948"/>
    <w:rsid w:val="42327C8E"/>
    <w:rsid w:val="424429BC"/>
    <w:rsid w:val="42D461C1"/>
    <w:rsid w:val="42EE53E5"/>
    <w:rsid w:val="4331666D"/>
    <w:rsid w:val="439A2962"/>
    <w:rsid w:val="43BF0F58"/>
    <w:rsid w:val="43E053E0"/>
    <w:rsid w:val="43F30C15"/>
    <w:rsid w:val="44353A8E"/>
    <w:rsid w:val="448C0A09"/>
    <w:rsid w:val="448F0E66"/>
    <w:rsid w:val="44916FB5"/>
    <w:rsid w:val="449E4C2F"/>
    <w:rsid w:val="44B1118C"/>
    <w:rsid w:val="44D70430"/>
    <w:rsid w:val="4500136E"/>
    <w:rsid w:val="454B27E6"/>
    <w:rsid w:val="45815036"/>
    <w:rsid w:val="45DE3962"/>
    <w:rsid w:val="45DF27CC"/>
    <w:rsid w:val="46243CB2"/>
    <w:rsid w:val="4629258A"/>
    <w:rsid w:val="46B27B1F"/>
    <w:rsid w:val="46FA1722"/>
    <w:rsid w:val="471B2D25"/>
    <w:rsid w:val="476734FD"/>
    <w:rsid w:val="47B7A9D9"/>
    <w:rsid w:val="47DB03E8"/>
    <w:rsid w:val="47E30BEF"/>
    <w:rsid w:val="482D6FDC"/>
    <w:rsid w:val="48801A9B"/>
    <w:rsid w:val="488E3760"/>
    <w:rsid w:val="48A5729C"/>
    <w:rsid w:val="49070C52"/>
    <w:rsid w:val="491F7173"/>
    <w:rsid w:val="4921579A"/>
    <w:rsid w:val="49323174"/>
    <w:rsid w:val="496C10E7"/>
    <w:rsid w:val="49D65AC1"/>
    <w:rsid w:val="4A691401"/>
    <w:rsid w:val="4A98079C"/>
    <w:rsid w:val="4A9C6C86"/>
    <w:rsid w:val="4A9E768B"/>
    <w:rsid w:val="4AF23067"/>
    <w:rsid w:val="4B5868B9"/>
    <w:rsid w:val="4B6169FA"/>
    <w:rsid w:val="4B880BEC"/>
    <w:rsid w:val="4BBF1B49"/>
    <w:rsid w:val="4C1F1A26"/>
    <w:rsid w:val="4C2475CA"/>
    <w:rsid w:val="4C3E53A8"/>
    <w:rsid w:val="4C8D34BC"/>
    <w:rsid w:val="4C9F3506"/>
    <w:rsid w:val="4D2C0595"/>
    <w:rsid w:val="4D2E19F5"/>
    <w:rsid w:val="4D48321A"/>
    <w:rsid w:val="4D545B8B"/>
    <w:rsid w:val="4D7F4CE0"/>
    <w:rsid w:val="4D9C7CC1"/>
    <w:rsid w:val="4DA42D6F"/>
    <w:rsid w:val="4DB4746A"/>
    <w:rsid w:val="4DF94417"/>
    <w:rsid w:val="4E4A4A72"/>
    <w:rsid w:val="50624B42"/>
    <w:rsid w:val="508953C2"/>
    <w:rsid w:val="50943276"/>
    <w:rsid w:val="509A0908"/>
    <w:rsid w:val="50A14D40"/>
    <w:rsid w:val="50C13896"/>
    <w:rsid w:val="50EE5A4F"/>
    <w:rsid w:val="50F1569F"/>
    <w:rsid w:val="50FE2B43"/>
    <w:rsid w:val="51123E15"/>
    <w:rsid w:val="513717D3"/>
    <w:rsid w:val="51DA4853"/>
    <w:rsid w:val="51F2795F"/>
    <w:rsid w:val="524C6761"/>
    <w:rsid w:val="52EC169D"/>
    <w:rsid w:val="52FE4928"/>
    <w:rsid w:val="536A5B12"/>
    <w:rsid w:val="53A3335E"/>
    <w:rsid w:val="53E63BA6"/>
    <w:rsid w:val="53F03F18"/>
    <w:rsid w:val="544E66F5"/>
    <w:rsid w:val="546D75BC"/>
    <w:rsid w:val="549F2468"/>
    <w:rsid w:val="54CA3FB4"/>
    <w:rsid w:val="55256612"/>
    <w:rsid w:val="55381A23"/>
    <w:rsid w:val="55655A8A"/>
    <w:rsid w:val="55717E7C"/>
    <w:rsid w:val="55B72A90"/>
    <w:rsid w:val="55C80355"/>
    <w:rsid w:val="56375EDF"/>
    <w:rsid w:val="563C6DC4"/>
    <w:rsid w:val="566058B2"/>
    <w:rsid w:val="567F4F7E"/>
    <w:rsid w:val="56B51CFA"/>
    <w:rsid w:val="56CB6CEC"/>
    <w:rsid w:val="573C0FC8"/>
    <w:rsid w:val="576D5612"/>
    <w:rsid w:val="5781070B"/>
    <w:rsid w:val="57F458A1"/>
    <w:rsid w:val="58620DD5"/>
    <w:rsid w:val="589D4D6D"/>
    <w:rsid w:val="592D0598"/>
    <w:rsid w:val="59407EBE"/>
    <w:rsid w:val="598368A3"/>
    <w:rsid w:val="59914757"/>
    <w:rsid w:val="59993841"/>
    <w:rsid w:val="59EE1E41"/>
    <w:rsid w:val="59F42065"/>
    <w:rsid w:val="5A09432A"/>
    <w:rsid w:val="5A7534F5"/>
    <w:rsid w:val="5A9508EE"/>
    <w:rsid w:val="5A9C5B68"/>
    <w:rsid w:val="5AC52911"/>
    <w:rsid w:val="5B12125B"/>
    <w:rsid w:val="5B66215D"/>
    <w:rsid w:val="5B922B81"/>
    <w:rsid w:val="5BA06D51"/>
    <w:rsid w:val="5C1B73EB"/>
    <w:rsid w:val="5C5C61F3"/>
    <w:rsid w:val="5C654F17"/>
    <w:rsid w:val="5C7E4021"/>
    <w:rsid w:val="5C9214CB"/>
    <w:rsid w:val="5CB4787F"/>
    <w:rsid w:val="5D0B1D75"/>
    <w:rsid w:val="5D280D95"/>
    <w:rsid w:val="5D3D1B00"/>
    <w:rsid w:val="5D5C1C11"/>
    <w:rsid w:val="5D786CFE"/>
    <w:rsid w:val="5D7B27BE"/>
    <w:rsid w:val="5D8B7327"/>
    <w:rsid w:val="5DB93C6D"/>
    <w:rsid w:val="5E035C0E"/>
    <w:rsid w:val="5E836C4D"/>
    <w:rsid w:val="5EBE461E"/>
    <w:rsid w:val="5EBF6BE8"/>
    <w:rsid w:val="5EDF0C56"/>
    <w:rsid w:val="5EE30824"/>
    <w:rsid w:val="5F047CD6"/>
    <w:rsid w:val="5F051193"/>
    <w:rsid w:val="5F661E0C"/>
    <w:rsid w:val="5F683325"/>
    <w:rsid w:val="5F8D45C0"/>
    <w:rsid w:val="5FE41504"/>
    <w:rsid w:val="5FEB2206"/>
    <w:rsid w:val="5FED1DAD"/>
    <w:rsid w:val="5FF345A2"/>
    <w:rsid w:val="60036491"/>
    <w:rsid w:val="601D2EC6"/>
    <w:rsid w:val="603A3756"/>
    <w:rsid w:val="609E3CF8"/>
    <w:rsid w:val="60A264F2"/>
    <w:rsid w:val="60A34233"/>
    <w:rsid w:val="60DF146D"/>
    <w:rsid w:val="60E953A3"/>
    <w:rsid w:val="60ED76A9"/>
    <w:rsid w:val="60EE7BB6"/>
    <w:rsid w:val="6135783D"/>
    <w:rsid w:val="617216AF"/>
    <w:rsid w:val="61972646"/>
    <w:rsid w:val="619E3B67"/>
    <w:rsid w:val="61D967BF"/>
    <w:rsid w:val="61DD71D1"/>
    <w:rsid w:val="61E77707"/>
    <w:rsid w:val="62162436"/>
    <w:rsid w:val="624B1D0A"/>
    <w:rsid w:val="626940EA"/>
    <w:rsid w:val="62966D01"/>
    <w:rsid w:val="62A46F1A"/>
    <w:rsid w:val="62A828E9"/>
    <w:rsid w:val="62B363AF"/>
    <w:rsid w:val="637F12D7"/>
    <w:rsid w:val="63A45F6C"/>
    <w:rsid w:val="63AE4223"/>
    <w:rsid w:val="63B92C94"/>
    <w:rsid w:val="63C613AF"/>
    <w:rsid w:val="63D90BE8"/>
    <w:rsid w:val="63F33BC2"/>
    <w:rsid w:val="640826E4"/>
    <w:rsid w:val="64334010"/>
    <w:rsid w:val="64514552"/>
    <w:rsid w:val="64706AD2"/>
    <w:rsid w:val="64A81A58"/>
    <w:rsid w:val="64CE2219"/>
    <w:rsid w:val="64D82D6C"/>
    <w:rsid w:val="655A7ACF"/>
    <w:rsid w:val="656B1BD6"/>
    <w:rsid w:val="65AD73C0"/>
    <w:rsid w:val="65B72D51"/>
    <w:rsid w:val="6624169D"/>
    <w:rsid w:val="664A347E"/>
    <w:rsid w:val="664D392A"/>
    <w:rsid w:val="666355E1"/>
    <w:rsid w:val="66C82E92"/>
    <w:rsid w:val="66F20DB6"/>
    <w:rsid w:val="67444BFA"/>
    <w:rsid w:val="67B37C4A"/>
    <w:rsid w:val="6800763D"/>
    <w:rsid w:val="681D56FB"/>
    <w:rsid w:val="682B479B"/>
    <w:rsid w:val="686E256C"/>
    <w:rsid w:val="68902444"/>
    <w:rsid w:val="68EB5CD2"/>
    <w:rsid w:val="68F0361B"/>
    <w:rsid w:val="69104C1D"/>
    <w:rsid w:val="6943123A"/>
    <w:rsid w:val="69492603"/>
    <w:rsid w:val="6957280E"/>
    <w:rsid w:val="696741E0"/>
    <w:rsid w:val="69B913D2"/>
    <w:rsid w:val="6A045B47"/>
    <w:rsid w:val="6A4F400D"/>
    <w:rsid w:val="6A681023"/>
    <w:rsid w:val="6A8864E3"/>
    <w:rsid w:val="6A9A1A96"/>
    <w:rsid w:val="6A9B6291"/>
    <w:rsid w:val="6AA74716"/>
    <w:rsid w:val="6AD711E3"/>
    <w:rsid w:val="6BF571E0"/>
    <w:rsid w:val="6BF9633B"/>
    <w:rsid w:val="6C137C75"/>
    <w:rsid w:val="6C203D75"/>
    <w:rsid w:val="6C2412AB"/>
    <w:rsid w:val="6C7E5556"/>
    <w:rsid w:val="6CD57ABD"/>
    <w:rsid w:val="6CEB63DC"/>
    <w:rsid w:val="6D892450"/>
    <w:rsid w:val="6DAE571E"/>
    <w:rsid w:val="6DDF4F5E"/>
    <w:rsid w:val="6DE01E39"/>
    <w:rsid w:val="6E077A51"/>
    <w:rsid w:val="6E0D1E4C"/>
    <w:rsid w:val="6E326CA2"/>
    <w:rsid w:val="6EA55B2A"/>
    <w:rsid w:val="6EE4639C"/>
    <w:rsid w:val="6F152DFC"/>
    <w:rsid w:val="6F370FC4"/>
    <w:rsid w:val="6F510F15"/>
    <w:rsid w:val="6FCA5905"/>
    <w:rsid w:val="6FD41F04"/>
    <w:rsid w:val="700D146B"/>
    <w:rsid w:val="70161521"/>
    <w:rsid w:val="709F0CC5"/>
    <w:rsid w:val="71194E20"/>
    <w:rsid w:val="71205B10"/>
    <w:rsid w:val="716D2E22"/>
    <w:rsid w:val="71FE798C"/>
    <w:rsid w:val="72523709"/>
    <w:rsid w:val="72535C26"/>
    <w:rsid w:val="728C4004"/>
    <w:rsid w:val="7341481D"/>
    <w:rsid w:val="734A0B54"/>
    <w:rsid w:val="73A75F11"/>
    <w:rsid w:val="73C5252D"/>
    <w:rsid w:val="73CE4CA1"/>
    <w:rsid w:val="73FE08B5"/>
    <w:rsid w:val="74014D81"/>
    <w:rsid w:val="7429507D"/>
    <w:rsid w:val="74F5191F"/>
    <w:rsid w:val="752779FF"/>
    <w:rsid w:val="75580311"/>
    <w:rsid w:val="757D5FBC"/>
    <w:rsid w:val="75A37E64"/>
    <w:rsid w:val="75A61A6F"/>
    <w:rsid w:val="75EB25B5"/>
    <w:rsid w:val="763F5E52"/>
    <w:rsid w:val="76774425"/>
    <w:rsid w:val="768A67C8"/>
    <w:rsid w:val="76A21CC8"/>
    <w:rsid w:val="76C878A0"/>
    <w:rsid w:val="76CC4B49"/>
    <w:rsid w:val="76CE4925"/>
    <w:rsid w:val="76F53E21"/>
    <w:rsid w:val="76F82097"/>
    <w:rsid w:val="77694495"/>
    <w:rsid w:val="776944C2"/>
    <w:rsid w:val="77885561"/>
    <w:rsid w:val="78C31B1A"/>
    <w:rsid w:val="78CC0E8B"/>
    <w:rsid w:val="78DA4B49"/>
    <w:rsid w:val="790E092A"/>
    <w:rsid w:val="792D3C84"/>
    <w:rsid w:val="79345A4C"/>
    <w:rsid w:val="79363BF4"/>
    <w:rsid w:val="795461C0"/>
    <w:rsid w:val="79A323B5"/>
    <w:rsid w:val="79A431E5"/>
    <w:rsid w:val="79AB1E0F"/>
    <w:rsid w:val="7A5D252C"/>
    <w:rsid w:val="7A650012"/>
    <w:rsid w:val="7AE6600B"/>
    <w:rsid w:val="7B4C0F01"/>
    <w:rsid w:val="7B4D03D9"/>
    <w:rsid w:val="7BD209FE"/>
    <w:rsid w:val="7BE37E82"/>
    <w:rsid w:val="7BF52043"/>
    <w:rsid w:val="7BFC00ED"/>
    <w:rsid w:val="7C134B67"/>
    <w:rsid w:val="7C49283E"/>
    <w:rsid w:val="7CE57BE4"/>
    <w:rsid w:val="7CF027C3"/>
    <w:rsid w:val="7D133473"/>
    <w:rsid w:val="7D1D1609"/>
    <w:rsid w:val="7D1E7A04"/>
    <w:rsid w:val="7D31799A"/>
    <w:rsid w:val="7D490128"/>
    <w:rsid w:val="7D767639"/>
    <w:rsid w:val="7DA214AB"/>
    <w:rsid w:val="7DA46D63"/>
    <w:rsid w:val="7DD17ECA"/>
    <w:rsid w:val="7DD37A85"/>
    <w:rsid w:val="7DE33FF1"/>
    <w:rsid w:val="7DF76841"/>
    <w:rsid w:val="7E5A18F3"/>
    <w:rsid w:val="7E8437DF"/>
    <w:rsid w:val="7E954413"/>
    <w:rsid w:val="7F1729BC"/>
    <w:rsid w:val="7F4734A5"/>
    <w:rsid w:val="7F823A23"/>
    <w:rsid w:val="7F8E5310"/>
    <w:rsid w:val="7FD4034D"/>
    <w:rsid w:val="7FD57821"/>
    <w:rsid w:val="7FD928DA"/>
    <w:rsid w:val="D7FB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numPr>
        <w:ilvl w:val="0"/>
        <w:numId w:val="1"/>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qFormat/>
    <w:uiPriority w:val="0"/>
    <w:pPr>
      <w:snapToGrid w:val="0"/>
      <w:spacing w:line="300" w:lineRule="auto"/>
      <w:ind w:firstLine="556"/>
    </w:pPr>
    <w:rPr>
      <w:rFonts w:ascii="仿宋_GB2312" w:eastAsia="仿宋_GB2312"/>
      <w:sz w:val="28"/>
      <w:szCs w:val="20"/>
    </w:rPr>
  </w:style>
  <w:style w:type="paragraph" w:styleId="5">
    <w:name w:val="annotation text"/>
    <w:basedOn w:val="1"/>
    <w:link w:val="22"/>
    <w:qFormat/>
    <w:uiPriority w:val="0"/>
    <w:pPr>
      <w:jc w:val="left"/>
    </w:pPr>
  </w:style>
  <w:style w:type="paragraph" w:styleId="6">
    <w:name w:val="Body Text"/>
    <w:basedOn w:val="1"/>
    <w:qFormat/>
    <w:uiPriority w:val="0"/>
    <w:pPr>
      <w:spacing w:after="120"/>
    </w:pPr>
  </w:style>
  <w:style w:type="paragraph" w:styleId="7">
    <w:name w:val="Date"/>
    <w:basedOn w:val="1"/>
    <w:next w:val="1"/>
    <w:link w:val="24"/>
    <w:qFormat/>
    <w:uiPriority w:val="0"/>
    <w:pPr>
      <w:ind w:left="100" w:leftChars="25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10">
    <w:name w:val="toc 1"/>
    <w:basedOn w:val="1"/>
    <w:next w:val="1"/>
    <w:qFormat/>
    <w:uiPriority w:val="0"/>
  </w:style>
  <w:style w:type="paragraph" w:styleId="11">
    <w:name w:val="Normal (Web)"/>
    <w:basedOn w:val="1"/>
    <w:qFormat/>
    <w:uiPriority w:val="0"/>
    <w:pPr>
      <w:spacing w:before="100" w:beforeAutospacing="1" w:after="100" w:afterAutospacing="1"/>
      <w:jc w:val="left"/>
    </w:pPr>
    <w:rPr>
      <w:rFonts w:cs="Times New Roman"/>
      <w:kern w:val="0"/>
      <w:sz w:val="24"/>
    </w:rPr>
  </w:style>
  <w:style w:type="paragraph" w:styleId="12">
    <w:name w:val="Title"/>
    <w:basedOn w:val="1"/>
    <w:next w:val="1"/>
    <w:qFormat/>
    <w:uiPriority w:val="0"/>
    <w:pPr>
      <w:spacing w:before="240" w:after="60"/>
      <w:jc w:val="center"/>
      <w:outlineLvl w:val="0"/>
    </w:pPr>
    <w:rPr>
      <w:rFonts w:ascii="Cambria" w:hAnsi="Cambria" w:cs="Times New Roman"/>
      <w:b/>
      <w:bCs/>
      <w:sz w:val="32"/>
      <w:szCs w:val="32"/>
    </w:rPr>
  </w:style>
  <w:style w:type="paragraph" w:styleId="13">
    <w:name w:val="annotation subject"/>
    <w:basedOn w:val="5"/>
    <w:next w:val="5"/>
    <w:link w:val="23"/>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0"/>
    <w:rPr>
      <w:color w:val="0000FF"/>
      <w:u w:val="single"/>
    </w:rPr>
  </w:style>
  <w:style w:type="character" w:styleId="18">
    <w:name w:val="annotation reference"/>
    <w:basedOn w:val="16"/>
    <w:qFormat/>
    <w:uiPriority w:val="0"/>
    <w:rPr>
      <w:sz w:val="21"/>
      <w:szCs w:val="21"/>
    </w:rPr>
  </w:style>
  <w:style w:type="paragraph" w:customStyle="1" w:styleId="19">
    <w:name w:val="_Style 2"/>
    <w:basedOn w:val="3"/>
    <w:next w:val="1"/>
    <w:unhideWhenUsed/>
    <w:qFormat/>
    <w:uiPriority w:val="39"/>
    <w:pPr>
      <w:keepLines/>
      <w:widowControl/>
      <w:numPr>
        <w:numId w:val="0"/>
      </w:numPr>
      <w:autoSpaceDE/>
      <w:autoSpaceDN/>
      <w:adjustRightInd/>
      <w:spacing w:before="480" w:line="276" w:lineRule="auto"/>
      <w:ind w:right="0"/>
      <w:textAlignment w:val="auto"/>
      <w:outlineLvl w:val="9"/>
    </w:pPr>
    <w:rPr>
      <w:rFonts w:ascii="Cambria" w:hAnsi="Cambria" w:eastAsia="宋体" w:cs="Times New Roman"/>
      <w:b/>
      <w:bCs/>
      <w:color w:val="365F91"/>
      <w:szCs w:val="28"/>
    </w:rPr>
  </w:style>
  <w:style w:type="paragraph" w:customStyle="1" w:styleId="20">
    <w:name w:val="正文文本 31"/>
    <w:basedOn w:val="1"/>
    <w:qFormat/>
    <w:uiPriority w:val="0"/>
    <w:pPr>
      <w:spacing w:line="360" w:lineRule="auto"/>
    </w:pPr>
    <w:rPr>
      <w:rFonts w:hint="eastAsia" w:ascii="宋体"/>
      <w:b/>
      <w:sz w:val="28"/>
    </w:r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character" w:customStyle="1" w:styleId="22">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3">
    <w:name w:val="批注主题 字符"/>
    <w:basedOn w:val="22"/>
    <w:link w:val="13"/>
    <w:qFormat/>
    <w:uiPriority w:val="0"/>
    <w:rPr>
      <w:rFonts w:asciiTheme="minorHAnsi" w:hAnsiTheme="minorHAnsi" w:eastAsiaTheme="minorEastAsia" w:cstheme="minorBidi"/>
      <w:b/>
      <w:bCs/>
      <w:kern w:val="2"/>
      <w:sz w:val="21"/>
      <w:szCs w:val="24"/>
    </w:rPr>
  </w:style>
  <w:style w:type="character" w:customStyle="1" w:styleId="24">
    <w:name w:val="日期 字符"/>
    <w:basedOn w:val="16"/>
    <w:link w:val="7"/>
    <w:qFormat/>
    <w:uiPriority w:val="0"/>
    <w:rPr>
      <w:rFonts w:asciiTheme="minorHAnsi" w:hAnsiTheme="minorHAnsi" w:eastAsiaTheme="minorEastAsia" w:cstheme="minorBidi"/>
      <w:kern w:val="2"/>
      <w:sz w:val="21"/>
      <w:szCs w:val="24"/>
    </w:rPr>
  </w:style>
  <w:style w:type="paragraph" w:customStyle="1" w:styleId="25">
    <w:name w:val="zw"/>
    <w:basedOn w:val="1"/>
    <w:qFormat/>
    <w:uiPriority w:val="0"/>
    <w:pPr>
      <w:adjustRightInd w:val="0"/>
      <w:spacing w:line="360" w:lineRule="auto"/>
      <w:ind w:firstLine="482"/>
      <w:textAlignment w:val="baseline"/>
    </w:pPr>
    <w:rPr>
      <w:rFonts w:ascii="Arial Narrow" w:hAnsi="Arial Narrow" w:eastAsia="楷体_GB2312"/>
      <w:sz w:val="24"/>
    </w:rPr>
  </w:style>
  <w:style w:type="paragraph" w:customStyle="1" w:styleId="26">
    <w:name w:val="p1"/>
    <w:basedOn w:val="1"/>
    <w:qFormat/>
    <w:uiPriority w:val="0"/>
    <w:pPr>
      <w:spacing w:line="380" w:lineRule="atLeast"/>
      <w:jc w:val="left"/>
    </w:pPr>
    <w:rPr>
      <w:rFonts w:ascii="Helvetica Neue" w:hAnsi="Helvetica Neue" w:eastAsia="Helvetica Neue"/>
      <w:color w:val="000000"/>
      <w:kern w:val="0"/>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93f6577-25f3-4dd3-8068-a434f0419ed1}"/>
        <w:style w:val=""/>
        <w:category>
          <w:name w:val="常规"/>
          <w:gallery w:val="placeholder"/>
        </w:category>
        <w:types>
          <w:type w:val="bbPlcHdr"/>
        </w:types>
        <w:behaviors>
          <w:behavior w:val="content"/>
        </w:behaviors>
        <w:description w:val=""/>
        <w:guid w:val="{693F6577-25F3-4DD3-8068-A434F0419ED1}"/>
      </w:docPartPr>
      <w:docPartBody>
        <w:p>
          <w:r>
            <w:rPr>
              <w:color w:val="808080"/>
            </w:rPr>
            <w:t>单击此处输入文字。</w:t>
          </w:r>
        </w:p>
      </w:docPartBody>
    </w:docPart>
    <w:docPart>
      <w:docPartPr>
        <w:name w:val="{5db44a22-710c-44ab-a5e4-1792c8158ba2}"/>
        <w:style w:val=""/>
        <w:category>
          <w:name w:val="常规"/>
          <w:gallery w:val="placeholder"/>
        </w:category>
        <w:types>
          <w:type w:val="bbPlcHdr"/>
        </w:types>
        <w:behaviors>
          <w:behavior w:val="content"/>
        </w:behaviors>
        <w:description w:val=""/>
        <w:guid w:val="{5DB44A22-710C-44AB-A5E4-1792C8158BA2}"/>
      </w:docPartPr>
      <w:docPartBody>
        <w:p>
          <w:r>
            <w:rPr>
              <w:color w:val="808080"/>
            </w:rPr>
            <w:t>单击此处输入文字。</w:t>
          </w:r>
        </w:p>
      </w:docPartBody>
    </w:docPart>
    <w:docPart>
      <w:docPartPr>
        <w:name w:val="{46956840-d113-48e8-89ac-5fa39eae4a2a}"/>
        <w:style w:val=""/>
        <w:category>
          <w:name w:val="常规"/>
          <w:gallery w:val="placeholder"/>
        </w:category>
        <w:types>
          <w:type w:val="bbPlcHdr"/>
        </w:types>
        <w:behaviors>
          <w:behavior w:val="content"/>
        </w:behaviors>
        <w:description w:val=""/>
        <w:guid w:val="{46956840-D113-48E8-89AC-5FA39EAE4A2A}"/>
      </w:docPartPr>
      <w:docPartBody>
        <w:p>
          <w:r>
            <w:rPr>
              <w:color w:val="808080"/>
            </w:rPr>
            <w:t>单击此处输入文字。</w:t>
          </w:r>
        </w:p>
      </w:docPartBody>
    </w:docPart>
    <w:docPart>
      <w:docPartPr>
        <w:name w:val="{c871e4e8-8654-4588-bf74-1ca2489500e1}"/>
        <w:style w:val=""/>
        <w:category>
          <w:name w:val="常规"/>
          <w:gallery w:val="placeholder"/>
        </w:category>
        <w:types>
          <w:type w:val="bbPlcHdr"/>
        </w:types>
        <w:behaviors>
          <w:behavior w:val="content"/>
        </w:behaviors>
        <w:description w:val=""/>
        <w:guid w:val="{C871E4E8-8654-4588-BF74-1CA2489500E1}"/>
      </w:docPartPr>
      <w:docPartBody>
        <w:p>
          <w:r>
            <w:rPr>
              <w:color w:val="808080"/>
            </w:rPr>
            <w:t>单击此处输入文字。</w:t>
          </w:r>
        </w:p>
      </w:docPartBody>
    </w:docPart>
    <w:docPart>
      <w:docPartPr>
        <w:name w:val="{e71e5423-e652-4c65-b080-31dcbd204a72}"/>
        <w:style w:val=""/>
        <w:category>
          <w:name w:val="常规"/>
          <w:gallery w:val="placeholder"/>
        </w:category>
        <w:types>
          <w:type w:val="bbPlcHdr"/>
        </w:types>
        <w:behaviors>
          <w:behavior w:val="content"/>
        </w:behaviors>
        <w:description w:val=""/>
        <w:guid w:val="{E71E5423-E652-4C65-B080-31DCBD204A72}"/>
      </w:docPartPr>
      <w:docPartBody>
        <w:p>
          <w:r>
            <w:rPr>
              <w:color w:val="808080"/>
            </w:rPr>
            <w:t>单击此处输入文字。</w:t>
          </w:r>
        </w:p>
      </w:docPartBody>
    </w:docPart>
    <w:docPart>
      <w:docPartPr>
        <w:name w:val="{c4d4b21c-d43f-44f9-b8ca-a0fb6f66fa0c}"/>
        <w:style w:val=""/>
        <w:category>
          <w:name w:val="常规"/>
          <w:gallery w:val="placeholder"/>
        </w:category>
        <w:types>
          <w:type w:val="bbPlcHdr"/>
        </w:types>
        <w:behaviors>
          <w:behavior w:val="content"/>
        </w:behaviors>
        <w:description w:val=""/>
        <w:guid w:val="{C4D4B21C-D43F-44F9-B8CA-A0FB6F66FA0C}"/>
      </w:docPartPr>
      <w:docPartBody>
        <w:p>
          <w:r>
            <w:rPr>
              <w:color w:val="808080"/>
            </w:rPr>
            <w:t>单击此处输入文字。</w:t>
          </w:r>
        </w:p>
      </w:docPartBody>
    </w:docPart>
    <w:docPart>
      <w:docPartPr>
        <w:name w:val="{1298ea4a-cd1c-4637-9d5c-246c79d9c77c}"/>
        <w:style w:val=""/>
        <w:category>
          <w:name w:val="常规"/>
          <w:gallery w:val="placeholder"/>
        </w:category>
        <w:types>
          <w:type w:val="bbPlcHdr"/>
        </w:types>
        <w:behaviors>
          <w:behavior w:val="content"/>
        </w:behaviors>
        <w:description w:val=""/>
        <w:guid w:val="{1298EA4A-CD1C-4637-9D5C-246C79D9C77C}"/>
      </w:docPartPr>
      <w:docPartBody>
        <w:p>
          <w:r>
            <w:rPr>
              <w:color w:val="808080"/>
            </w:rPr>
            <w:t>单击此处输入文字。</w:t>
          </w:r>
        </w:p>
      </w:docPartBody>
    </w:docPart>
    <w:docPart>
      <w:docPartPr>
        <w:name w:val="{e57bfa72-7b7e-465f-bcd0-6964f032d2a9}"/>
        <w:style w:val=""/>
        <w:category>
          <w:name w:val="常规"/>
          <w:gallery w:val="placeholder"/>
        </w:category>
        <w:types>
          <w:type w:val="bbPlcHdr"/>
        </w:types>
        <w:behaviors>
          <w:behavior w:val="content"/>
        </w:behaviors>
        <w:description w:val=""/>
        <w:guid w:val="{E57BFA72-7B7E-465F-BCD0-6964F032D2A9}"/>
      </w:docPartPr>
      <w:docPartBody>
        <w:p>
          <w:r>
            <w:rPr>
              <w:color w:val="808080"/>
            </w:rPr>
            <w:t>单击此处输入文字。</w:t>
          </w:r>
        </w:p>
      </w:docPartBody>
    </w:docPart>
    <w:docPart>
      <w:docPartPr>
        <w:name w:val="{14eb227b-7283-410c-9201-a18d1f810454}"/>
        <w:style w:val=""/>
        <w:category>
          <w:name w:val="常规"/>
          <w:gallery w:val="placeholder"/>
        </w:category>
        <w:types>
          <w:type w:val="bbPlcHdr"/>
        </w:types>
        <w:behaviors>
          <w:behavior w:val="content"/>
        </w:behaviors>
        <w:description w:val=""/>
        <w:guid w:val="{14EB227B-7283-410C-9201-A18D1F810454}"/>
      </w:docPartPr>
      <w:docPartBody>
        <w:p>
          <w:r>
            <w:rPr>
              <w:color w:val="808080"/>
            </w:rPr>
            <w:t>单击此处输入文字。</w:t>
          </w:r>
        </w:p>
      </w:docPartBody>
    </w:docPart>
    <w:docPart>
      <w:docPartPr>
        <w:name w:val="{cc485ca2-c1dd-4cf8-a5ef-e9511dd8289d}"/>
        <w:style w:val=""/>
        <w:category>
          <w:name w:val="常规"/>
          <w:gallery w:val="placeholder"/>
        </w:category>
        <w:types>
          <w:type w:val="bbPlcHdr"/>
        </w:types>
        <w:behaviors>
          <w:behavior w:val="content"/>
        </w:behaviors>
        <w:description w:val=""/>
        <w:guid w:val="{CC485CA2-C1DD-4CF8-A5EF-E9511DD8289D}"/>
      </w:docPartPr>
      <w:docPartBody>
        <w:p>
          <w:r>
            <w:rPr>
              <w:color w:val="808080"/>
            </w:rPr>
            <w:t>单击此处输入文字。</w:t>
          </w:r>
        </w:p>
      </w:docPartBody>
    </w:docPart>
    <w:docPart>
      <w:docPartPr>
        <w:name w:val="{26ba7ea4-0fa4-4f8b-9938-1fbf7252fad3}"/>
        <w:style w:val=""/>
        <w:category>
          <w:name w:val="常规"/>
          <w:gallery w:val="placeholder"/>
        </w:category>
        <w:types>
          <w:type w:val="bbPlcHdr"/>
        </w:types>
        <w:behaviors>
          <w:behavior w:val="content"/>
        </w:behaviors>
        <w:description w:val=""/>
        <w:guid w:val="{26BA7EA4-0FA4-4F8B-9938-1FBF7252FAD3}"/>
      </w:docPartPr>
      <w:docPartBody>
        <w:p>
          <w:r>
            <w:rPr>
              <w:color w:val="808080"/>
            </w:rPr>
            <w:t>单击此处输入文字。</w:t>
          </w:r>
        </w:p>
      </w:docPartBody>
    </w:docPart>
    <w:docPart>
      <w:docPartPr>
        <w:name w:val="{71391b02-8c8b-4a97-80b1-a14f973e6cbc}"/>
        <w:style w:val=""/>
        <w:category>
          <w:name w:val="常规"/>
          <w:gallery w:val="placeholder"/>
        </w:category>
        <w:types>
          <w:type w:val="bbPlcHdr"/>
        </w:types>
        <w:behaviors>
          <w:behavior w:val="content"/>
        </w:behaviors>
        <w:description w:val=""/>
        <w:guid w:val="{71391B02-8C8B-4A97-80B1-A14F973E6CBC}"/>
      </w:docPartPr>
      <w:docPartBody>
        <w:p>
          <w:r>
            <w:rPr>
              <w:color w:val="808080"/>
            </w:rPr>
            <w:t>单击此处输入文字。</w:t>
          </w:r>
        </w:p>
      </w:docPartBody>
    </w:docPart>
    <w:docPart>
      <w:docPartPr>
        <w:name w:val="{d0deffe7-dd1c-45d7-a6ea-cb7765e91527}"/>
        <w:style w:val=""/>
        <w:category>
          <w:name w:val="常规"/>
          <w:gallery w:val="placeholder"/>
        </w:category>
        <w:types>
          <w:type w:val="bbPlcHdr"/>
        </w:types>
        <w:behaviors>
          <w:behavior w:val="content"/>
        </w:behaviors>
        <w:description w:val=""/>
        <w:guid w:val="{D0DEFFE7-DD1C-45D7-A6EA-CB7765E91527}"/>
      </w:docPartPr>
      <w:docPartBody>
        <w:p>
          <w:r>
            <w:rPr>
              <w:color w:val="808080"/>
            </w:rPr>
            <w:t>单击此处输入文字。</w:t>
          </w:r>
        </w:p>
      </w:docPartBody>
    </w:docPart>
    <w:docPart>
      <w:docPartPr>
        <w:name w:val="{224f95e1-72fb-413f-ba99-74ed28fcad94}"/>
        <w:style w:val=""/>
        <w:category>
          <w:name w:val="常规"/>
          <w:gallery w:val="placeholder"/>
        </w:category>
        <w:types>
          <w:type w:val="bbPlcHdr"/>
        </w:types>
        <w:behaviors>
          <w:behavior w:val="content"/>
        </w:behaviors>
        <w:description w:val=""/>
        <w:guid w:val="{224F95E1-72FB-413F-BA99-74ED28FCAD94}"/>
      </w:docPartPr>
      <w:docPartBody>
        <w:p>
          <w:r>
            <w:rPr>
              <w:color w:val="808080"/>
            </w:rPr>
            <w:t>单击此处输入文字。</w:t>
          </w:r>
        </w:p>
      </w:docPartBody>
    </w:docPart>
    <w:docPart>
      <w:docPartPr>
        <w:name w:val="{7fb97ca2-7e41-44b3-af96-6d847ba470d4}"/>
        <w:style w:val=""/>
        <w:category>
          <w:name w:val="常规"/>
          <w:gallery w:val="placeholder"/>
        </w:category>
        <w:types>
          <w:type w:val="bbPlcHdr"/>
        </w:types>
        <w:behaviors>
          <w:behavior w:val="content"/>
        </w:behaviors>
        <w:description w:val=""/>
        <w:guid w:val="{7FB97CA2-7E41-44B3-AF96-6D847BA470D4}"/>
      </w:docPartPr>
      <w:docPartBody>
        <w:p>
          <w:r>
            <w:rPr>
              <w:color w:val="808080"/>
            </w:rPr>
            <w:t>单击此处输入文字。</w:t>
          </w:r>
        </w:p>
      </w:docPartBody>
    </w:docPart>
    <w:docPart>
      <w:docPartPr>
        <w:name w:val="{39b15929-bde2-40d4-a840-6c9dda42d733}"/>
        <w:style w:val=""/>
        <w:category>
          <w:name w:val="常规"/>
          <w:gallery w:val="placeholder"/>
        </w:category>
        <w:types>
          <w:type w:val="bbPlcHdr"/>
        </w:types>
        <w:behaviors>
          <w:behavior w:val="content"/>
        </w:behaviors>
        <w:description w:val=""/>
        <w:guid w:val="{39B15929-BDE2-40D4-A840-6C9DDA42D73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A2121"/>
    <w:rsid w:val="002A2121"/>
    <w:rsid w:val="004809E8"/>
    <w:rsid w:val="00A218CF"/>
    <w:rsid w:val="00C33937"/>
    <w:rsid w:val="00D4052C"/>
    <w:rsid w:val="00D8729B"/>
    <w:rsid w:val="00FC2DA0"/>
    <w:rsid w:val="00FC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9889</Words>
  <Characters>10390</Characters>
  <Lines>84</Lines>
  <Paragraphs>23</Paragraphs>
  <TotalTime>24</TotalTime>
  <ScaleCrop>false</ScaleCrop>
  <LinksUpToDate>false</LinksUpToDate>
  <CharactersWithSpaces>10713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2020-10-21T01:53:00Z</dcterms:created>
  <dc:creator>mac</dc:creator>
  <cp:lastModifiedBy>冲是首当其冲的冲</cp:lastModifiedBy>
  <cp:lastPrinted>2022-10-17T06:02:00Z</cp:lastPrinted>
  <dcterms:modified xsi:type="dcterms:W3CDTF">2022-10-19T08:14:51Z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FA775A37DB7C410EAFD1325B2F6A32DB</vt:lpwstr>
  </property>
  <property fmtid="{D5CDD505-2E9C-101B-9397-08002B2CF9AE}" pid="4" name="commondata">
    <vt:lpwstr>eyJoZGlkIjoiMGIxNmZlMmM3ZmM3ODg1NjFmYjBlMjVmZDA2ZWM3MzgifQ==</vt:lpwstr>
  </property>
</Properties>
</file>