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9"/>
        <w:rPr>
          <w:rFonts w:hint="eastAsia" w:eastAsia="楷体_GB2312"/>
          <w:b/>
          <w:bCs/>
          <w:color w:val="auto"/>
          <w:sz w:val="52"/>
          <w:szCs w:val="52"/>
        </w:rPr>
      </w:pPr>
      <w:bookmarkStart w:id="0" w:name="_Toc31170"/>
      <w:bookmarkStart w:id="1" w:name="OLE_LINK3"/>
      <w:bookmarkStart w:id="2" w:name="_Toc218927466"/>
      <w:bookmarkStart w:id="3" w:name="_Toc218927563"/>
    </w:p>
    <w:p>
      <w:pPr>
        <w:spacing w:line="360" w:lineRule="auto"/>
        <w:jc w:val="both"/>
        <w:outlineLvl w:val="9"/>
        <w:rPr>
          <w:rFonts w:hint="eastAsia" w:eastAsia="楷体_GB2312"/>
          <w:b/>
          <w:bCs/>
          <w:color w:val="auto"/>
          <w:sz w:val="52"/>
          <w:szCs w:val="52"/>
        </w:rPr>
      </w:pPr>
    </w:p>
    <w:p>
      <w:pPr>
        <w:spacing w:line="360" w:lineRule="auto"/>
        <w:jc w:val="center"/>
        <w:outlineLvl w:val="9"/>
        <w:rPr>
          <w:bCs/>
          <w:color w:val="auto"/>
          <w:spacing w:val="0"/>
          <w:sz w:val="26"/>
          <w:szCs w:val="26"/>
          <w:lang w:val="zh-CN"/>
        </w:rPr>
      </w:pPr>
      <w:r>
        <w:rPr>
          <w:rFonts w:hint="eastAsia" w:ascii="楷体_GB2312" w:hAnsi="楷体_GB2312" w:eastAsia="楷体_GB2312" w:cs="楷体_GB2312"/>
          <w:b/>
          <w:bCs w:val="0"/>
          <w:color w:val="auto"/>
          <w:spacing w:val="0"/>
          <w:sz w:val="44"/>
          <w:szCs w:val="44"/>
          <w:lang w:val="zh-CN"/>
        </w:rPr>
        <w:t>涉执房地产处置司法评估报告</w:t>
      </w:r>
    </w:p>
    <w:p>
      <w:pPr>
        <w:keepNext w:val="0"/>
        <w:keepLines w:val="0"/>
        <w:pageBreakBefore w:val="0"/>
        <w:widowControl w:val="0"/>
        <w:tabs>
          <w:tab w:val="left" w:pos="1440"/>
          <w:tab w:val="left" w:pos="1920"/>
        </w:tabs>
        <w:kinsoku/>
        <w:wordWrap/>
        <w:overflowPunct/>
        <w:topLinePunct w:val="0"/>
        <w:autoSpaceDE/>
        <w:autoSpaceDN/>
        <w:bidi w:val="0"/>
        <w:adjustRightInd w:val="0"/>
        <w:snapToGrid/>
        <w:spacing w:line="460" w:lineRule="exact"/>
        <w:ind w:left="962" w:leftChars="401" w:right="1236" w:rightChars="515" w:firstLine="234" w:firstLineChars="90"/>
        <w:jc w:val="center"/>
        <w:textAlignment w:val="auto"/>
        <w:outlineLvl w:val="9"/>
        <w:rPr>
          <w:rFonts w:hint="eastAsia"/>
          <w:b w:val="0"/>
          <w:bCs/>
          <w:color w:val="auto"/>
          <w:spacing w:val="0"/>
          <w:sz w:val="26"/>
          <w:szCs w:val="26"/>
          <w:lang w:eastAsia="zh-CN"/>
        </w:rPr>
      </w:pPr>
    </w:p>
    <w:p>
      <w:pPr>
        <w:keepNext w:val="0"/>
        <w:keepLines w:val="0"/>
        <w:pageBreakBefore w:val="0"/>
        <w:widowControl w:val="0"/>
        <w:tabs>
          <w:tab w:val="left" w:pos="1440"/>
          <w:tab w:val="left" w:pos="1920"/>
        </w:tabs>
        <w:kinsoku/>
        <w:wordWrap/>
        <w:overflowPunct/>
        <w:topLinePunct w:val="0"/>
        <w:autoSpaceDE/>
        <w:autoSpaceDN/>
        <w:bidi w:val="0"/>
        <w:adjustRightInd w:val="0"/>
        <w:snapToGrid/>
        <w:spacing w:line="460" w:lineRule="exact"/>
        <w:ind w:left="962" w:leftChars="401" w:right="1236" w:rightChars="515" w:firstLine="234" w:firstLineChars="90"/>
        <w:jc w:val="center"/>
        <w:textAlignment w:val="auto"/>
        <w:outlineLvl w:val="9"/>
        <w:rPr>
          <w:rFonts w:hint="eastAsia"/>
          <w:b w:val="0"/>
          <w:bCs/>
          <w:color w:val="auto"/>
          <w:spacing w:val="0"/>
          <w:sz w:val="26"/>
          <w:szCs w:val="26"/>
          <w:lang w:eastAsia="zh-CN"/>
        </w:rPr>
      </w:pPr>
    </w:p>
    <w:p>
      <w:pPr>
        <w:keepNext w:val="0"/>
        <w:keepLines w:val="0"/>
        <w:pageBreakBefore w:val="0"/>
        <w:widowControl w:val="0"/>
        <w:kinsoku/>
        <w:wordWrap/>
        <w:overflowPunct/>
        <w:topLinePunct w:val="0"/>
        <w:autoSpaceDE/>
        <w:autoSpaceDN/>
        <w:bidi w:val="0"/>
        <w:adjustRightInd w:val="0"/>
        <w:snapToGrid/>
        <w:spacing w:before="0" w:after="0" w:line="600" w:lineRule="auto"/>
        <w:ind w:left="1968" w:leftChars="0" w:right="0" w:rightChars="0" w:hanging="1968" w:hangingChars="700"/>
        <w:jc w:val="both"/>
        <w:textAlignment w:val="auto"/>
        <w:outlineLvl w:val="9"/>
        <w:rPr>
          <w:rFonts w:hint="eastAsia"/>
          <w:b w:val="0"/>
          <w:bCs/>
          <w:color w:val="auto"/>
          <w:spacing w:val="-6"/>
          <w:sz w:val="28"/>
          <w:szCs w:val="28"/>
          <w:lang w:eastAsia="zh-CN"/>
        </w:rPr>
      </w:pPr>
      <w:r>
        <w:rPr>
          <w:b/>
          <w:color w:val="auto"/>
          <w:sz w:val="28"/>
          <w:szCs w:val="28"/>
        </w:rPr>
        <w:t>估价项目名称：</w:t>
      </w:r>
      <w:r>
        <w:rPr>
          <w:rFonts w:hint="eastAsia"/>
          <w:b w:val="0"/>
          <w:bCs/>
          <w:color w:val="auto"/>
          <w:spacing w:val="-6"/>
          <w:sz w:val="28"/>
          <w:szCs w:val="28"/>
          <w:lang w:eastAsia="zh-CN"/>
        </w:rPr>
        <w:t>周美丽所属坐落于绍兴市越城区稽山街道禹陵公寓27幢303室</w:t>
      </w:r>
    </w:p>
    <w:p>
      <w:pPr>
        <w:keepNext w:val="0"/>
        <w:keepLines w:val="0"/>
        <w:pageBreakBefore w:val="0"/>
        <w:widowControl w:val="0"/>
        <w:kinsoku/>
        <w:wordWrap/>
        <w:overflowPunct/>
        <w:topLinePunct w:val="0"/>
        <w:autoSpaceDE/>
        <w:autoSpaceDN/>
        <w:bidi w:val="0"/>
        <w:adjustRightInd w:val="0"/>
        <w:snapToGrid/>
        <w:spacing w:before="0" w:after="0" w:line="600" w:lineRule="auto"/>
        <w:ind w:left="0" w:leftChars="0" w:right="0" w:rightChars="0" w:firstLine="1959" w:firstLineChars="731"/>
        <w:jc w:val="both"/>
        <w:textAlignment w:val="auto"/>
        <w:outlineLvl w:val="9"/>
        <w:rPr>
          <w:color w:val="auto"/>
          <w:spacing w:val="0"/>
          <w:sz w:val="28"/>
          <w:szCs w:val="28"/>
        </w:rPr>
      </w:pPr>
      <w:r>
        <w:rPr>
          <w:rFonts w:hint="eastAsia"/>
          <w:b w:val="0"/>
          <w:bCs/>
          <w:color w:val="auto"/>
          <w:spacing w:val="-6"/>
          <w:sz w:val="28"/>
          <w:szCs w:val="28"/>
          <w:lang w:eastAsia="zh-CN"/>
        </w:rPr>
        <w:t>住宅房地产市场价值评估</w:t>
      </w:r>
    </w:p>
    <w:p>
      <w:pPr>
        <w:adjustRightInd w:val="0"/>
        <w:spacing w:line="780" w:lineRule="auto"/>
        <w:rPr>
          <w:b w:val="0"/>
          <w:bCs/>
          <w:color w:val="auto"/>
          <w:sz w:val="28"/>
          <w:szCs w:val="28"/>
        </w:rPr>
      </w:pPr>
      <w:r>
        <w:rPr>
          <w:b/>
          <w:color w:val="auto"/>
          <w:sz w:val="28"/>
          <w:szCs w:val="28"/>
        </w:rPr>
        <w:t>估价委托</w:t>
      </w:r>
      <w:r>
        <w:rPr>
          <w:rFonts w:hint="eastAsia"/>
          <w:b/>
          <w:color w:val="auto"/>
          <w:sz w:val="28"/>
          <w:szCs w:val="28"/>
        </w:rPr>
        <w:t>人</w:t>
      </w:r>
      <w:r>
        <w:rPr>
          <w:b/>
          <w:color w:val="auto"/>
          <w:sz w:val="28"/>
          <w:szCs w:val="28"/>
        </w:rPr>
        <w:t>：</w:t>
      </w:r>
      <w:r>
        <w:rPr>
          <w:rFonts w:hint="eastAsia"/>
          <w:b w:val="0"/>
          <w:bCs/>
          <w:color w:val="auto"/>
          <w:spacing w:val="0"/>
          <w:sz w:val="28"/>
          <w:szCs w:val="28"/>
          <w:lang w:eastAsia="zh-CN"/>
        </w:rPr>
        <w:t>绍兴市越城区人民法院</w:t>
      </w:r>
    </w:p>
    <w:p>
      <w:pPr>
        <w:adjustRightInd w:val="0"/>
        <w:spacing w:line="780" w:lineRule="auto"/>
        <w:rPr>
          <w:color w:val="auto"/>
          <w:sz w:val="28"/>
          <w:szCs w:val="28"/>
        </w:rPr>
      </w:pPr>
      <w:r>
        <w:rPr>
          <w:rFonts w:hint="eastAsia"/>
          <w:b/>
          <w:color w:val="auto"/>
          <w:sz w:val="28"/>
          <w:szCs w:val="28"/>
        </w:rPr>
        <w:t>房地产</w:t>
      </w:r>
      <w:r>
        <w:rPr>
          <w:b/>
          <w:color w:val="auto"/>
          <w:sz w:val="28"/>
          <w:szCs w:val="28"/>
        </w:rPr>
        <w:t>估价机构：</w:t>
      </w:r>
      <w:r>
        <w:rPr>
          <w:rFonts w:hint="eastAsia"/>
          <w:color w:val="auto"/>
          <w:sz w:val="28"/>
          <w:szCs w:val="28"/>
        </w:rPr>
        <w:t>博文房地产评估造价集团有限公司</w:t>
      </w:r>
    </w:p>
    <w:p>
      <w:pPr>
        <w:adjustRightInd w:val="0"/>
        <w:spacing w:line="780" w:lineRule="auto"/>
        <w:rPr>
          <w:color w:val="auto"/>
          <w:sz w:val="28"/>
          <w:szCs w:val="28"/>
        </w:rPr>
      </w:pPr>
      <w:r>
        <w:rPr>
          <w:b/>
          <w:color w:val="auto"/>
          <w:sz w:val="28"/>
          <w:szCs w:val="28"/>
        </w:rPr>
        <w:t>注册房地产估价师：</w:t>
      </w:r>
      <w:r>
        <w:rPr>
          <w:rFonts w:hint="eastAsia"/>
          <w:bCs/>
          <w:color w:val="auto"/>
          <w:sz w:val="28"/>
          <w:szCs w:val="28"/>
          <w:lang w:val="zh-CN"/>
        </w:rPr>
        <w:t>陈峰伟</w:t>
      </w:r>
      <w:r>
        <w:rPr>
          <w:bCs/>
          <w:color w:val="auto"/>
          <w:sz w:val="28"/>
          <w:szCs w:val="28"/>
        </w:rPr>
        <w:t>（注册号</w:t>
      </w:r>
      <w:r>
        <w:rPr>
          <w:rFonts w:hint="eastAsia"/>
          <w:bCs/>
          <w:color w:val="auto"/>
          <w:sz w:val="28"/>
          <w:szCs w:val="28"/>
          <w:lang w:eastAsia="zh-CN"/>
        </w:rPr>
        <w:t>33201</w:t>
      </w:r>
      <w:r>
        <w:rPr>
          <w:rFonts w:hint="eastAsia"/>
          <w:bCs/>
          <w:color w:val="auto"/>
          <w:sz w:val="28"/>
          <w:szCs w:val="28"/>
          <w:lang w:val="en-US" w:eastAsia="zh-CN"/>
        </w:rPr>
        <w:t>80041</w:t>
      </w:r>
      <w:r>
        <w:rPr>
          <w:bCs/>
          <w:color w:val="auto"/>
          <w:sz w:val="28"/>
          <w:szCs w:val="28"/>
        </w:rPr>
        <w:t>）</w:t>
      </w:r>
      <w:r>
        <w:rPr>
          <w:color w:val="auto"/>
          <w:sz w:val="28"/>
          <w:szCs w:val="28"/>
        </w:rPr>
        <w:t xml:space="preserve"> </w:t>
      </w:r>
    </w:p>
    <w:p>
      <w:pPr>
        <w:adjustRightInd w:val="0"/>
        <w:spacing w:line="780" w:lineRule="auto"/>
        <w:ind w:left="0" w:leftChars="0" w:firstLine="0" w:firstLineChars="0"/>
        <w:rPr>
          <w:color w:val="auto"/>
          <w:sz w:val="28"/>
          <w:szCs w:val="28"/>
        </w:rPr>
      </w:pPr>
      <w:r>
        <w:rPr>
          <w:rFonts w:hint="eastAsia"/>
          <w:color w:val="auto"/>
          <w:sz w:val="28"/>
          <w:szCs w:val="28"/>
        </w:rPr>
        <w:t xml:space="preserve">                  </w:t>
      </w:r>
      <w:r>
        <w:rPr>
          <w:rFonts w:hint="eastAsia" w:cs="Times New Roman"/>
          <w:bCs/>
          <w:color w:val="auto"/>
          <w:sz w:val="28"/>
          <w:szCs w:val="28"/>
          <w:lang w:eastAsia="zh-CN"/>
        </w:rPr>
        <w:t>张慧燕</w:t>
      </w:r>
      <w:r>
        <w:rPr>
          <w:rFonts w:hint="default" w:ascii="Times New Roman" w:hAnsi="Times New Roman" w:eastAsia="仿宋_GB2312" w:cs="Times New Roman"/>
          <w:bCs/>
          <w:color w:val="auto"/>
          <w:sz w:val="28"/>
          <w:szCs w:val="28"/>
        </w:rPr>
        <w:t>（注册号</w:t>
      </w:r>
      <w:r>
        <w:rPr>
          <w:rFonts w:hint="eastAsia" w:cs="Times New Roman"/>
          <w:bCs/>
          <w:color w:val="auto"/>
          <w:sz w:val="28"/>
          <w:szCs w:val="28"/>
          <w:lang w:eastAsia="zh-CN"/>
        </w:rPr>
        <w:t>3320150090</w:t>
      </w:r>
      <w:r>
        <w:rPr>
          <w:rFonts w:hint="default" w:ascii="Times New Roman" w:hAnsi="Times New Roman" w:eastAsia="仿宋_GB2312" w:cs="Times New Roman"/>
          <w:bCs/>
          <w:color w:val="auto"/>
          <w:sz w:val="28"/>
          <w:szCs w:val="28"/>
        </w:rPr>
        <w:t>）</w:t>
      </w:r>
      <w:r>
        <w:rPr>
          <w:bCs/>
          <w:color w:val="auto"/>
          <w:sz w:val="28"/>
          <w:szCs w:val="28"/>
        </w:rPr>
        <w:t xml:space="preserve"> </w:t>
      </w:r>
      <w:r>
        <w:rPr>
          <w:color w:val="auto"/>
          <w:sz w:val="28"/>
          <w:szCs w:val="28"/>
        </w:rPr>
        <w:t xml:space="preserve">  </w:t>
      </w:r>
    </w:p>
    <w:p>
      <w:pPr>
        <w:adjustRightInd w:val="0"/>
        <w:spacing w:afterAutospacing="0" w:line="780" w:lineRule="auto"/>
        <w:rPr>
          <w:rFonts w:hint="eastAsia" w:eastAsia="仿宋_GB2312"/>
          <w:color w:val="auto"/>
          <w:sz w:val="28"/>
          <w:szCs w:val="28"/>
          <w:lang w:eastAsia="zh-CN"/>
        </w:rPr>
      </w:pPr>
      <w:r>
        <w:rPr>
          <w:b/>
          <w:color w:val="auto"/>
          <w:sz w:val="28"/>
          <w:szCs w:val="28"/>
        </w:rPr>
        <w:t>估价报告出具日期：</w:t>
      </w:r>
      <w:r>
        <w:rPr>
          <w:rFonts w:hint="eastAsia"/>
          <w:bCs/>
          <w:color w:val="auto"/>
          <w:sz w:val="28"/>
          <w:szCs w:val="28"/>
          <w:lang w:eastAsia="zh-CN"/>
        </w:rPr>
        <w:t>二〇二二年十一月十八日</w:t>
      </w:r>
    </w:p>
    <w:p>
      <w:pPr>
        <w:widowControl w:val="0"/>
        <w:wordWrap/>
        <w:adjustRightInd/>
        <w:snapToGrid/>
        <w:spacing w:before="0" w:beforeAutospacing="0" w:after="0" w:line="780" w:lineRule="auto"/>
        <w:ind w:left="0" w:leftChars="0" w:right="0" w:firstLine="0" w:firstLineChars="0"/>
        <w:jc w:val="both"/>
        <w:textAlignment w:val="auto"/>
        <w:outlineLvl w:val="9"/>
        <w:rPr>
          <w:rFonts w:hint="eastAsia" w:eastAsia="仿宋_GB2312"/>
          <w:b/>
          <w:color w:val="auto"/>
          <w:sz w:val="28"/>
          <w:szCs w:val="28"/>
          <w:lang w:val="zh-CN" w:eastAsia="zh-CN"/>
        </w:rPr>
      </w:pPr>
      <w:r>
        <w:rPr>
          <w:b/>
          <w:color w:val="auto"/>
          <w:sz w:val="28"/>
          <w:szCs w:val="28"/>
        </w:rPr>
        <w:t>估价报告编号：</w:t>
      </w:r>
      <w:bookmarkStart w:id="4" w:name="OLE_LINK31"/>
      <w:bookmarkStart w:id="5" w:name="OLE_LINK6"/>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59264"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2" name="Picture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0288"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3" name="Picture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1312"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4" name="Picture 8"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2336"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5" name="Picture 9"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3360"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6" name="Picture 4"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4384" behindDoc="0" locked="0" layoutInCell="1" allowOverlap="1">
            <wp:simplePos x="0" y="0"/>
            <wp:positionH relativeFrom="column">
              <wp:posOffset>5753100</wp:posOffset>
            </wp:positionH>
            <wp:positionV relativeFrom="paragraph">
              <wp:posOffset>9048750</wp:posOffset>
            </wp:positionV>
            <wp:extent cx="762000" cy="762000"/>
            <wp:effectExtent l="0" t="0" r="0" b="0"/>
            <wp:wrapNone/>
            <wp:docPr id="7" name="图片 1"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5408"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8" name="Picture 11"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rFonts w:hint="default" w:ascii="Times New Roman" w:hAnsi="Times New Roman" w:eastAsia="仿宋_GB2312" w:cs="Times New Roman"/>
          <w:bCs/>
          <w:color w:val="auto"/>
          <w:kern w:val="0"/>
          <w:sz w:val="28"/>
          <w:szCs w:val="28"/>
          <w:lang w:val="en-US" w:eastAsia="zh-CN" w:bidi="ar-SA"/>
        </w:rPr>
        <w:drawing>
          <wp:anchor distT="0" distB="0" distL="114300" distR="114300" simplePos="0" relativeHeight="251666432" behindDoc="0" locked="0" layoutInCell="1" allowOverlap="1">
            <wp:simplePos x="0" y="0"/>
            <wp:positionH relativeFrom="column">
              <wp:posOffset>5753100</wp:posOffset>
            </wp:positionH>
            <wp:positionV relativeFrom="paragraph">
              <wp:posOffset>9048750</wp:posOffset>
            </wp:positionV>
            <wp:extent cx="762000" cy="762000"/>
            <wp:effectExtent l="0" t="0" r="0" b="0"/>
            <wp:wrapNone/>
            <wp:docPr id="9" name="Picture 12"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bookmarkEnd w:id="4"/>
      <w:bookmarkEnd w:id="5"/>
      <w:r>
        <w:rPr>
          <w:rFonts w:hint="default" w:ascii="Times New Roman" w:hAnsi="Times New Roman" w:eastAsia="仿宋_GB2312" w:cs="Times New Roman"/>
          <w:color w:val="auto"/>
          <w:sz w:val="28"/>
          <w:szCs w:val="28"/>
          <w:lang w:val="zh-CN"/>
        </w:rPr>
        <w:t>博文房估字</w:t>
      </w:r>
      <w:r>
        <w:rPr>
          <w:rFonts w:hint="default" w:ascii="Times New Roman" w:hAnsi="Times New Roman" w:eastAsia="仿宋_GB2312" w:cs="Times New Roman"/>
          <w:color w:val="auto"/>
          <w:sz w:val="28"/>
          <w:szCs w:val="28"/>
        </w:rPr>
        <w:t>（202</w:t>
      </w:r>
      <w:r>
        <w:rPr>
          <w:rFonts w:hint="eastAsia" w:cs="Times New Roman"/>
          <w:color w:val="auto"/>
          <w:sz w:val="28"/>
          <w:szCs w:val="28"/>
          <w:lang w:val="en-US" w:eastAsia="zh-CN"/>
        </w:rPr>
        <w:t>2</w:t>
      </w:r>
      <w:r>
        <w:rPr>
          <w:rFonts w:hint="default" w:ascii="Times New Roman" w:hAnsi="Times New Roman" w:eastAsia="仿宋_GB2312" w:cs="Times New Roman"/>
          <w:color w:val="auto"/>
          <w:sz w:val="28"/>
          <w:szCs w:val="28"/>
        </w:rPr>
        <w:t>）第</w:t>
      </w:r>
      <w:r>
        <w:rPr>
          <w:rFonts w:hint="eastAsia" w:cs="Times New Roman"/>
          <w:color w:val="auto"/>
          <w:sz w:val="28"/>
          <w:szCs w:val="28"/>
          <w:lang w:val="en-US" w:eastAsia="zh-CN"/>
        </w:rPr>
        <w:t>12614</w:t>
      </w:r>
      <w:r>
        <w:rPr>
          <w:rFonts w:hint="eastAsia" w:cs="Times New Roman"/>
          <w:color w:val="auto"/>
          <w:sz w:val="28"/>
          <w:szCs w:val="28"/>
          <w:lang w:eastAsia="zh-CN"/>
        </w:rPr>
        <w:t>号</w:t>
      </w:r>
    </w:p>
    <w:p>
      <w:pPr>
        <w:widowControl w:val="0"/>
        <w:wordWrap/>
        <w:adjustRightInd/>
        <w:snapToGrid/>
        <w:spacing w:before="0" w:after="0" w:line="780" w:lineRule="auto"/>
        <w:ind w:left="0" w:leftChars="0" w:right="0" w:firstLine="0" w:firstLineChars="0"/>
        <w:jc w:val="both"/>
        <w:textAlignment w:val="auto"/>
        <w:outlineLvl w:val="9"/>
        <w:rPr>
          <w:rFonts w:hint="eastAsia" w:cs="Times New Roman"/>
          <w:color w:val="auto"/>
          <w:sz w:val="28"/>
          <w:szCs w:val="28"/>
          <w:lang w:val="zh-CN"/>
        </w:rPr>
      </w:pPr>
      <w:r>
        <w:rPr>
          <w:rFonts w:hint="eastAsia"/>
          <w:b/>
          <w:color w:val="auto"/>
          <w:sz w:val="28"/>
          <w:szCs w:val="28"/>
        </w:rPr>
        <w:t>司法评估委托书号：</w:t>
      </w:r>
      <w:r>
        <w:rPr>
          <w:rFonts w:hint="eastAsia" w:cs="Times New Roman"/>
          <w:color w:val="auto"/>
          <w:sz w:val="28"/>
          <w:szCs w:val="28"/>
          <w:lang w:val="zh-CN"/>
        </w:rPr>
        <w:t>（2022）绍越法委评字第349号</w:t>
      </w:r>
    </w:p>
    <w:p>
      <w:pPr>
        <w:keepNext w:val="0"/>
        <w:keepLines w:val="0"/>
        <w:pageBreakBefore w:val="0"/>
        <w:widowControl w:val="0"/>
        <w:kinsoku/>
        <w:wordWrap/>
        <w:overflowPunct/>
        <w:topLinePunct w:val="0"/>
        <w:autoSpaceDE/>
        <w:autoSpaceDN/>
        <w:bidi w:val="0"/>
        <w:adjustRightInd/>
        <w:snapToGrid w:val="0"/>
        <w:spacing w:before="0" w:after="0" w:line="700" w:lineRule="exact"/>
        <w:ind w:left="0" w:leftChars="0" w:right="0" w:firstLine="0" w:firstLineChars="0"/>
        <w:jc w:val="both"/>
        <w:textAlignment w:val="auto"/>
        <w:outlineLvl w:val="9"/>
        <w:rPr>
          <w:rFonts w:hint="eastAsia" w:ascii="仿宋" w:hAnsi="仿宋" w:eastAsia="仿宋" w:cs="仿宋"/>
          <w:b/>
          <w:bCs/>
          <w:color w:val="auto"/>
          <w:sz w:val="34"/>
          <w:szCs w:val="34"/>
        </w:rPr>
      </w:pPr>
    </w:p>
    <w:p>
      <w:pPr>
        <w:keepNext w:val="0"/>
        <w:keepLines w:val="0"/>
        <w:pageBreakBefore w:val="0"/>
        <w:widowControl w:val="0"/>
        <w:kinsoku/>
        <w:wordWrap/>
        <w:overflowPunct/>
        <w:topLinePunct w:val="0"/>
        <w:autoSpaceDE/>
        <w:autoSpaceDN/>
        <w:bidi w:val="0"/>
        <w:adjustRightInd/>
        <w:snapToGrid w:val="0"/>
        <w:spacing w:before="0" w:after="0" w:line="700" w:lineRule="exact"/>
        <w:ind w:left="0" w:leftChars="0" w:right="0" w:firstLine="0" w:firstLineChars="0"/>
        <w:jc w:val="center"/>
        <w:textAlignment w:val="auto"/>
        <w:outlineLvl w:val="9"/>
        <w:rPr>
          <w:color w:val="auto"/>
          <w:sz w:val="26"/>
          <w:szCs w:val="26"/>
        </w:rPr>
      </w:pPr>
      <w:r>
        <w:rPr>
          <w:rFonts w:hint="eastAsia" w:ascii="仿宋" w:hAnsi="仿宋" w:eastAsia="仿宋" w:cs="仿宋"/>
          <w:b/>
          <w:bCs/>
          <w:color w:val="auto"/>
          <w:sz w:val="34"/>
          <w:szCs w:val="34"/>
        </w:rPr>
        <w:t>第一部分：致估价委托人函</w:t>
      </w:r>
      <w:bookmarkEnd w:id="0"/>
    </w:p>
    <w:bookmarkEnd w:id="1"/>
    <w:p>
      <w:pPr>
        <w:keepNext w:val="0"/>
        <w:keepLines w:val="0"/>
        <w:pageBreakBefore w:val="0"/>
        <w:widowControl w:val="0"/>
        <w:kinsoku/>
        <w:wordWrap/>
        <w:overflowPunct/>
        <w:topLinePunct w:val="0"/>
        <w:autoSpaceDE/>
        <w:autoSpaceDN/>
        <w:bidi w:val="0"/>
        <w:adjustRightInd/>
        <w:snapToGrid w:val="0"/>
        <w:spacing w:line="460" w:lineRule="exact"/>
        <w:textAlignment w:val="auto"/>
        <w:rPr>
          <w:color w:val="auto"/>
          <w:sz w:val="26"/>
          <w:szCs w:val="26"/>
        </w:rPr>
      </w:pPr>
      <w:r>
        <w:rPr>
          <w:rFonts w:hint="eastAsia" w:ascii="仿宋_GB2312"/>
          <w:bCs/>
          <w:color w:val="auto"/>
          <w:sz w:val="26"/>
          <w:szCs w:val="26"/>
          <w:lang w:eastAsia="zh-CN"/>
        </w:rPr>
        <w:t>绍兴市越城区人民法院</w:t>
      </w:r>
      <w:r>
        <w:rPr>
          <w:rFonts w:hint="eastAsia"/>
          <w:color w:val="auto"/>
          <w:sz w:val="26"/>
          <w:szCs w:val="26"/>
        </w:rPr>
        <w:t>：</w:t>
      </w:r>
    </w:p>
    <w:p>
      <w:pPr>
        <w:keepNext w:val="0"/>
        <w:keepLines w:val="0"/>
        <w:pageBreakBefore w:val="0"/>
        <w:widowControl w:val="0"/>
        <w:kinsoku/>
        <w:wordWrap/>
        <w:overflowPunct/>
        <w:topLinePunct w:val="0"/>
        <w:autoSpaceDE/>
        <w:autoSpaceDN/>
        <w:bidi w:val="0"/>
        <w:adjustRightInd/>
        <w:snapToGrid w:val="0"/>
        <w:spacing w:line="460" w:lineRule="exact"/>
        <w:ind w:firstLine="520" w:firstLineChars="200"/>
        <w:textAlignment w:val="auto"/>
        <w:rPr>
          <w:color w:val="auto"/>
          <w:sz w:val="26"/>
          <w:szCs w:val="26"/>
        </w:rPr>
      </w:pPr>
      <w:r>
        <w:rPr>
          <w:rFonts w:hint="eastAsia"/>
          <w:color w:val="auto"/>
          <w:sz w:val="26"/>
          <w:szCs w:val="26"/>
        </w:rPr>
        <w:t>受贵院委托【</w:t>
      </w:r>
      <w:r>
        <w:rPr>
          <w:rFonts w:hint="eastAsia"/>
          <w:color w:val="auto"/>
          <w:sz w:val="26"/>
          <w:szCs w:val="26"/>
          <w:lang w:eastAsia="zh-CN"/>
        </w:rPr>
        <w:t>（2022）绍越法委评字第349号</w:t>
      </w:r>
      <w:r>
        <w:rPr>
          <w:rFonts w:hint="eastAsia"/>
          <w:color w:val="auto"/>
          <w:sz w:val="26"/>
          <w:szCs w:val="26"/>
        </w:rPr>
        <w:t>】，我公司依据国家标准《房地产估价规范》（</w:t>
      </w:r>
      <w:r>
        <w:rPr>
          <w:color w:val="auto"/>
          <w:sz w:val="26"/>
          <w:szCs w:val="26"/>
        </w:rPr>
        <w:t>GB/T 50291-2015</w:t>
      </w:r>
      <w:r>
        <w:rPr>
          <w:rFonts w:hint="eastAsia"/>
          <w:color w:val="auto"/>
          <w:sz w:val="26"/>
          <w:szCs w:val="26"/>
        </w:rPr>
        <w:t>）、《房地产估价基本术语标准》（</w:t>
      </w:r>
      <w:r>
        <w:rPr>
          <w:color w:val="auto"/>
          <w:sz w:val="26"/>
          <w:szCs w:val="26"/>
        </w:rPr>
        <w:t>GB/T 50899-2013</w:t>
      </w:r>
      <w:r>
        <w:rPr>
          <w:rFonts w:hint="eastAsia"/>
          <w:color w:val="auto"/>
          <w:sz w:val="26"/>
          <w:szCs w:val="26"/>
        </w:rPr>
        <w:t>），《最高人民法院关于人民法院委托评估、拍卖和变卖工作的若干规定》</w:t>
      </w:r>
      <w:r>
        <w:rPr>
          <w:rFonts w:hint="eastAsia"/>
          <w:color w:val="auto"/>
          <w:sz w:val="26"/>
          <w:szCs w:val="26"/>
          <w:lang w:eastAsia="zh-CN"/>
        </w:rPr>
        <w:t>等</w:t>
      </w:r>
      <w:r>
        <w:rPr>
          <w:rFonts w:hint="eastAsia"/>
          <w:color w:val="auto"/>
          <w:sz w:val="26"/>
          <w:szCs w:val="26"/>
        </w:rPr>
        <w:t>有关</w:t>
      </w:r>
      <w:r>
        <w:rPr>
          <w:rFonts w:hint="eastAsia"/>
          <w:color w:val="auto"/>
          <w:sz w:val="26"/>
          <w:szCs w:val="26"/>
          <w:lang w:eastAsia="zh-CN"/>
        </w:rPr>
        <w:t>规范标准</w:t>
      </w:r>
      <w:r>
        <w:rPr>
          <w:rFonts w:hint="eastAsia"/>
          <w:color w:val="auto"/>
          <w:sz w:val="26"/>
          <w:szCs w:val="26"/>
        </w:rPr>
        <w:t>规定，对</w:t>
      </w:r>
      <w:r>
        <w:rPr>
          <w:rFonts w:hint="eastAsia"/>
          <w:color w:val="auto"/>
          <w:sz w:val="26"/>
          <w:szCs w:val="26"/>
          <w:lang w:eastAsia="zh-CN"/>
        </w:rPr>
        <w:t>贵院办理的</w:t>
      </w:r>
      <w:r>
        <w:rPr>
          <w:rFonts w:hint="eastAsia"/>
          <w:color w:val="auto"/>
          <w:sz w:val="26"/>
          <w:szCs w:val="26"/>
          <w:lang w:val="en-US" w:eastAsia="zh-CN"/>
        </w:rPr>
        <w:t>2022浙0602执5284号一案所涉及的</w:t>
      </w:r>
      <w:r>
        <w:rPr>
          <w:rFonts w:hint="eastAsia"/>
          <w:color w:val="auto"/>
          <w:sz w:val="26"/>
          <w:szCs w:val="26"/>
          <w:lang w:eastAsia="zh-CN"/>
        </w:rPr>
        <w:t>周美丽</w:t>
      </w:r>
      <w:r>
        <w:rPr>
          <w:rFonts w:hint="eastAsia"/>
          <w:color w:val="auto"/>
          <w:sz w:val="26"/>
          <w:szCs w:val="26"/>
        </w:rPr>
        <w:t>所属坐落于</w:t>
      </w:r>
      <w:r>
        <w:rPr>
          <w:rFonts w:hint="eastAsia"/>
          <w:color w:val="auto"/>
          <w:sz w:val="26"/>
          <w:szCs w:val="26"/>
          <w:lang w:eastAsia="zh-CN"/>
        </w:rPr>
        <w:t>绍兴市越城区稽山街道禹陵公寓27幢303室</w:t>
      </w:r>
      <w:r>
        <w:rPr>
          <w:rFonts w:hint="eastAsia"/>
          <w:color w:val="auto"/>
          <w:sz w:val="26"/>
          <w:szCs w:val="26"/>
        </w:rPr>
        <w:t>住宅房地产于价值时点现状下的市场价值进行评估。住宅</w:t>
      </w:r>
      <w:r>
        <w:rPr>
          <w:rFonts w:hint="eastAsia"/>
          <w:color w:val="auto"/>
          <w:sz w:val="26"/>
          <w:szCs w:val="26"/>
          <w:lang w:eastAsia="zh-CN"/>
        </w:rPr>
        <w:t>登记</w:t>
      </w:r>
      <w:r>
        <w:rPr>
          <w:rFonts w:hint="eastAsia"/>
          <w:color w:val="auto"/>
          <w:sz w:val="26"/>
          <w:szCs w:val="26"/>
        </w:rPr>
        <w:t>建筑面积为</w:t>
      </w:r>
      <w:r>
        <w:rPr>
          <w:rFonts w:hint="eastAsia"/>
          <w:color w:val="auto"/>
          <w:sz w:val="26"/>
          <w:szCs w:val="26"/>
          <w:lang w:eastAsia="zh-CN"/>
        </w:rPr>
        <w:t>83.12</w:t>
      </w:r>
      <w:r>
        <w:rPr>
          <w:rFonts w:hint="eastAsia"/>
          <w:color w:val="auto"/>
          <w:sz w:val="26"/>
          <w:szCs w:val="26"/>
        </w:rPr>
        <w:t>平方米</w:t>
      </w:r>
      <w:r>
        <w:rPr>
          <w:rFonts w:hint="eastAsia"/>
          <w:color w:val="auto"/>
          <w:sz w:val="26"/>
          <w:szCs w:val="26"/>
          <w:lang w:eastAsia="zh-CN"/>
        </w:rPr>
        <w:t>，自行车库建筑面积为</w:t>
      </w:r>
      <w:r>
        <w:rPr>
          <w:rFonts w:hint="eastAsia"/>
          <w:color w:val="auto"/>
          <w:sz w:val="26"/>
          <w:szCs w:val="26"/>
          <w:lang w:val="en-US" w:eastAsia="zh-CN"/>
        </w:rPr>
        <w:t>28.58平方米</w:t>
      </w:r>
      <w:r>
        <w:rPr>
          <w:rFonts w:hint="eastAsia"/>
          <w:color w:val="auto"/>
          <w:sz w:val="26"/>
          <w:szCs w:val="26"/>
          <w:lang w:eastAsia="zh-CN"/>
        </w:rPr>
        <w:t>，</w:t>
      </w:r>
      <w:r>
        <w:rPr>
          <w:rFonts w:hint="eastAsia"/>
          <w:color w:val="auto"/>
          <w:sz w:val="26"/>
          <w:szCs w:val="26"/>
        </w:rPr>
        <w:t>国有</w:t>
      </w:r>
      <w:r>
        <w:rPr>
          <w:rFonts w:hint="eastAsia"/>
          <w:color w:val="auto"/>
          <w:sz w:val="26"/>
          <w:szCs w:val="26"/>
          <w:lang w:eastAsia="zh-CN"/>
        </w:rPr>
        <w:t>出让</w:t>
      </w:r>
      <w:r>
        <w:rPr>
          <w:rFonts w:hint="eastAsia"/>
          <w:color w:val="auto"/>
          <w:sz w:val="26"/>
          <w:szCs w:val="26"/>
        </w:rPr>
        <w:t>建设用地使用权</w:t>
      </w:r>
      <w:r>
        <w:rPr>
          <w:rFonts w:hint="eastAsia"/>
          <w:color w:val="auto"/>
          <w:sz w:val="26"/>
          <w:szCs w:val="26"/>
          <w:lang w:eastAsia="zh-CN"/>
        </w:rPr>
        <w:t>分摊</w:t>
      </w:r>
      <w:r>
        <w:rPr>
          <w:rFonts w:hint="eastAsia"/>
          <w:color w:val="auto"/>
          <w:sz w:val="26"/>
          <w:szCs w:val="26"/>
        </w:rPr>
        <w:t>面积为</w:t>
      </w:r>
      <w:r>
        <w:rPr>
          <w:rFonts w:hint="eastAsia"/>
          <w:color w:val="auto"/>
          <w:sz w:val="26"/>
          <w:szCs w:val="26"/>
          <w:lang w:eastAsia="zh-CN"/>
        </w:rPr>
        <w:t>62.96</w:t>
      </w:r>
      <w:r>
        <w:rPr>
          <w:rFonts w:hint="eastAsia"/>
          <w:color w:val="auto"/>
          <w:sz w:val="26"/>
          <w:szCs w:val="26"/>
        </w:rPr>
        <w:t>平方米。</w:t>
      </w:r>
      <w:r>
        <w:rPr>
          <w:rFonts w:hint="default" w:ascii="Times New Roman" w:hAnsi="Times New Roman" w:eastAsia="仿宋_GB2312" w:cs="Times New Roman"/>
          <w:color w:val="auto"/>
          <w:spacing w:val="0"/>
          <w:sz w:val="26"/>
          <w:szCs w:val="26"/>
        </w:rPr>
        <w:t>估价目的</w:t>
      </w: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w:t>
      </w:r>
    </w:p>
    <w:p>
      <w:pPr>
        <w:keepNext w:val="0"/>
        <w:keepLines w:val="0"/>
        <w:pageBreakBefore w:val="0"/>
        <w:widowControl w:val="0"/>
        <w:kinsoku/>
        <w:wordWrap/>
        <w:overflowPunct/>
        <w:topLinePunct w:val="0"/>
        <w:autoSpaceDE/>
        <w:autoSpaceDN/>
        <w:bidi w:val="0"/>
        <w:adjustRightInd/>
        <w:snapToGrid w:val="0"/>
        <w:spacing w:line="460" w:lineRule="exact"/>
        <w:ind w:firstLine="520"/>
        <w:jc w:val="left"/>
        <w:textAlignment w:val="auto"/>
        <w:rPr>
          <w:rFonts w:hint="default" w:ascii="仿宋_GB2312" w:eastAsia="仿宋_GB2312" w:cs="仿宋_GB2312"/>
          <w:color w:val="auto"/>
          <w:sz w:val="26"/>
          <w:szCs w:val="26"/>
          <w:lang w:val="en-US" w:eastAsia="zh-CN"/>
        </w:rPr>
      </w:pPr>
      <w:r>
        <w:rPr>
          <w:rFonts w:hint="eastAsia"/>
          <w:color w:val="auto"/>
          <w:sz w:val="26"/>
          <w:szCs w:val="26"/>
        </w:rPr>
        <w:t>注册房地产估价师根据特定的估价目的，遵循估价原则，按照严谨的估价程序，采用比较法，在认真分析所掌握的资料并充分考虑估价对象价格影响因素的基础上，在报告中已说明的其他假设和限制条件下，经过周密、细致的综合测算，并结合估价经验，最终确定估价对象于价值时点（</w:t>
      </w:r>
      <w:r>
        <w:rPr>
          <w:rFonts w:hint="eastAsia"/>
          <w:color w:val="auto"/>
          <w:sz w:val="26"/>
          <w:szCs w:val="26"/>
          <w:lang w:eastAsia="zh-CN"/>
        </w:rPr>
        <w:t>2022年11月16日</w:t>
      </w:r>
      <w:r>
        <w:rPr>
          <w:rFonts w:hint="eastAsia"/>
          <w:color w:val="auto"/>
          <w:sz w:val="26"/>
          <w:szCs w:val="26"/>
        </w:rPr>
        <w:t>）的市场价值为大写人民币</w:t>
      </w:r>
      <w:r>
        <w:rPr>
          <w:rFonts w:hint="eastAsia" w:ascii="仿宋_GB2312" w:hAnsi="仿宋_GB2312" w:cs="仿宋_GB2312"/>
          <w:b/>
          <w:bCs/>
          <w:color w:val="auto"/>
          <w:sz w:val="26"/>
          <w:szCs w:val="26"/>
          <w:lang w:eastAsia="zh-CN"/>
        </w:rPr>
        <w:t>壹佰肆拾伍万陆仟叁佰</w:t>
      </w:r>
      <w:r>
        <w:rPr>
          <w:rFonts w:hint="eastAsia"/>
          <w:color w:val="auto"/>
          <w:sz w:val="26"/>
          <w:szCs w:val="26"/>
        </w:rPr>
        <w:t>元整（小写</w:t>
      </w:r>
      <w:r>
        <w:rPr>
          <w:color w:val="auto"/>
          <w:sz w:val="26"/>
          <w:szCs w:val="26"/>
        </w:rPr>
        <w:t>RMB</w:t>
      </w:r>
      <w:r>
        <w:rPr>
          <w:rFonts w:hint="eastAsia"/>
          <w:color w:val="auto"/>
          <w:sz w:val="26"/>
          <w:szCs w:val="26"/>
        </w:rPr>
        <w:t>：</w:t>
      </w:r>
      <w:r>
        <w:rPr>
          <w:rFonts w:hint="eastAsia"/>
          <w:color w:val="auto"/>
          <w:sz w:val="26"/>
          <w:szCs w:val="26"/>
          <w:lang w:val="en-US" w:eastAsia="zh-CN"/>
        </w:rPr>
        <w:t>145.63万</w:t>
      </w:r>
      <w:r>
        <w:rPr>
          <w:rFonts w:hint="eastAsia"/>
          <w:color w:val="auto"/>
          <w:sz w:val="26"/>
          <w:szCs w:val="26"/>
        </w:rPr>
        <w:t>元）</w:t>
      </w:r>
      <w:r>
        <w:rPr>
          <w:rFonts w:hint="eastAsia"/>
          <w:color w:val="auto"/>
          <w:sz w:val="26"/>
          <w:szCs w:val="26"/>
        </w:rPr>
        <w:t>。</w:t>
      </w:r>
    </w:p>
    <w:p>
      <w:pPr>
        <w:pStyle w:val="4"/>
        <w:keepNext w:val="0"/>
        <w:keepLines w:val="0"/>
        <w:pageBreakBefore w:val="0"/>
        <w:widowControl w:val="0"/>
        <w:kinsoku/>
        <w:wordWrap/>
        <w:overflowPunct/>
        <w:topLinePunct w:val="0"/>
        <w:autoSpaceDE/>
        <w:autoSpaceDN/>
        <w:bidi w:val="0"/>
        <w:adjustRightInd/>
        <w:snapToGrid w:val="0"/>
        <w:spacing w:line="360" w:lineRule="exact"/>
        <w:ind w:firstLine="0"/>
        <w:jc w:val="center"/>
        <w:textAlignment w:val="auto"/>
        <w:rPr>
          <w:rFonts w:eastAsia="仿宋_GB2312"/>
          <w:b/>
          <w:color w:val="auto"/>
          <w:sz w:val="26"/>
          <w:szCs w:val="26"/>
        </w:rPr>
      </w:pPr>
      <w:r>
        <w:rPr>
          <w:rFonts w:hint="eastAsia" w:eastAsia="仿宋_GB2312"/>
          <w:b/>
          <w:color w:val="auto"/>
          <w:spacing w:val="-20"/>
          <w:sz w:val="26"/>
          <w:szCs w:val="26"/>
        </w:rPr>
        <w:t>表</w:t>
      </w:r>
      <w:r>
        <w:rPr>
          <w:rFonts w:eastAsia="仿宋_GB2312"/>
          <w:b/>
          <w:color w:val="auto"/>
          <w:spacing w:val="-20"/>
          <w:sz w:val="26"/>
          <w:szCs w:val="26"/>
        </w:rPr>
        <w:t>1</w:t>
      </w:r>
      <w:r>
        <w:rPr>
          <w:rFonts w:hint="eastAsia" w:eastAsia="仿宋_GB2312"/>
          <w:b/>
          <w:color w:val="auto"/>
          <w:spacing w:val="-20"/>
          <w:sz w:val="26"/>
          <w:szCs w:val="26"/>
        </w:rPr>
        <w:t xml:space="preserve"> </w:t>
      </w:r>
      <w:r>
        <w:rPr>
          <w:rFonts w:hint="eastAsia" w:eastAsia="仿宋_GB2312"/>
          <w:b/>
          <w:color w:val="auto"/>
          <w:sz w:val="26"/>
          <w:szCs w:val="26"/>
        </w:rPr>
        <w:t>估价结果一览表</w:t>
      </w:r>
    </w:p>
    <w:tbl>
      <w:tblPr>
        <w:tblStyle w:val="30"/>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1418"/>
        <w:gridCol w:w="1503"/>
        <w:gridCol w:w="186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671" w:type="dxa"/>
            <w:vAlign w:val="center"/>
          </w:tcPr>
          <w:p>
            <w:pPr>
              <w:spacing w:line="280" w:lineRule="exact"/>
              <w:jc w:val="center"/>
              <w:rPr>
                <w:rFonts w:hint="eastAsia" w:eastAsia="仿宋_GB2312"/>
                <w:b/>
                <w:color w:val="auto"/>
                <w:sz w:val="23"/>
                <w:szCs w:val="23"/>
                <w:lang w:eastAsia="zh-CN"/>
              </w:rPr>
            </w:pPr>
            <w:r>
              <w:rPr>
                <w:rFonts w:hint="eastAsia"/>
                <w:b/>
                <w:color w:val="auto"/>
                <w:sz w:val="23"/>
                <w:szCs w:val="23"/>
                <w:lang w:eastAsia="zh-CN"/>
              </w:rPr>
              <w:t>估价对象</w:t>
            </w:r>
          </w:p>
        </w:tc>
        <w:tc>
          <w:tcPr>
            <w:tcW w:w="1418" w:type="dxa"/>
            <w:vAlign w:val="center"/>
          </w:tcPr>
          <w:p>
            <w:pPr>
              <w:spacing w:line="280" w:lineRule="exact"/>
              <w:jc w:val="center"/>
              <w:rPr>
                <w:b/>
                <w:color w:val="auto"/>
                <w:kern w:val="0"/>
                <w:sz w:val="23"/>
                <w:szCs w:val="23"/>
              </w:rPr>
            </w:pPr>
            <w:r>
              <w:rPr>
                <w:rFonts w:hint="eastAsia"/>
                <w:b/>
                <w:color w:val="auto"/>
                <w:sz w:val="23"/>
                <w:szCs w:val="23"/>
              </w:rPr>
              <w:t>用途</w:t>
            </w:r>
          </w:p>
        </w:tc>
        <w:tc>
          <w:tcPr>
            <w:tcW w:w="1503" w:type="dxa"/>
            <w:vAlign w:val="center"/>
          </w:tcPr>
          <w:p>
            <w:pPr>
              <w:widowControl/>
              <w:spacing w:line="280" w:lineRule="exact"/>
              <w:jc w:val="center"/>
              <w:rPr>
                <w:rFonts w:hint="eastAsia"/>
                <w:b/>
                <w:color w:val="auto"/>
                <w:kern w:val="0"/>
                <w:sz w:val="23"/>
                <w:szCs w:val="23"/>
              </w:rPr>
            </w:pPr>
            <w:r>
              <w:rPr>
                <w:rFonts w:hint="eastAsia"/>
                <w:b/>
                <w:color w:val="auto"/>
                <w:kern w:val="0"/>
                <w:sz w:val="23"/>
                <w:szCs w:val="23"/>
              </w:rPr>
              <w:t>建筑面积</w:t>
            </w:r>
          </w:p>
          <w:p>
            <w:pPr>
              <w:widowControl/>
              <w:spacing w:line="280" w:lineRule="exact"/>
              <w:jc w:val="center"/>
              <w:rPr>
                <w:b/>
                <w:color w:val="auto"/>
                <w:kern w:val="0"/>
                <w:sz w:val="23"/>
                <w:szCs w:val="23"/>
              </w:rPr>
            </w:pPr>
            <w:r>
              <w:rPr>
                <w:rFonts w:hint="eastAsia"/>
                <w:b/>
                <w:color w:val="auto"/>
                <w:kern w:val="0"/>
                <w:sz w:val="23"/>
                <w:szCs w:val="23"/>
              </w:rPr>
              <w:t>（</w:t>
            </w:r>
            <w:r>
              <w:rPr>
                <w:b/>
                <w:color w:val="auto"/>
                <w:kern w:val="0"/>
                <w:sz w:val="23"/>
                <w:szCs w:val="23"/>
              </w:rPr>
              <w:t>m</w:t>
            </w:r>
            <w:r>
              <w:rPr>
                <w:b/>
                <w:color w:val="auto"/>
                <w:kern w:val="0"/>
                <w:sz w:val="23"/>
                <w:szCs w:val="23"/>
                <w:vertAlign w:val="superscript"/>
              </w:rPr>
              <w:t>2</w:t>
            </w:r>
            <w:r>
              <w:rPr>
                <w:rFonts w:hint="eastAsia"/>
                <w:b/>
                <w:color w:val="auto"/>
                <w:kern w:val="0"/>
                <w:sz w:val="23"/>
                <w:szCs w:val="23"/>
              </w:rPr>
              <w:t>）</w:t>
            </w:r>
          </w:p>
        </w:tc>
        <w:tc>
          <w:tcPr>
            <w:tcW w:w="1864" w:type="dxa"/>
            <w:vAlign w:val="center"/>
          </w:tcPr>
          <w:p>
            <w:pPr>
              <w:widowControl/>
              <w:spacing w:line="280" w:lineRule="exact"/>
              <w:jc w:val="center"/>
              <w:rPr>
                <w:b/>
                <w:color w:val="auto"/>
                <w:kern w:val="0"/>
                <w:sz w:val="23"/>
                <w:szCs w:val="23"/>
              </w:rPr>
            </w:pPr>
            <w:r>
              <w:rPr>
                <w:rFonts w:hint="eastAsia"/>
                <w:b/>
                <w:color w:val="auto"/>
                <w:kern w:val="0"/>
                <w:sz w:val="23"/>
                <w:szCs w:val="23"/>
              </w:rPr>
              <w:t>单价</w:t>
            </w:r>
          </w:p>
          <w:p>
            <w:pPr>
              <w:spacing w:line="280" w:lineRule="exact"/>
              <w:jc w:val="center"/>
              <w:rPr>
                <w:b/>
                <w:color w:val="auto"/>
                <w:kern w:val="0"/>
                <w:sz w:val="23"/>
                <w:szCs w:val="23"/>
              </w:rPr>
            </w:pPr>
            <w:r>
              <w:rPr>
                <w:b/>
                <w:color w:val="auto"/>
                <w:kern w:val="0"/>
                <w:sz w:val="23"/>
                <w:szCs w:val="23"/>
              </w:rPr>
              <w:t>(</w:t>
            </w:r>
            <w:r>
              <w:rPr>
                <w:rFonts w:hint="eastAsia"/>
                <w:b/>
                <w:color w:val="auto"/>
                <w:kern w:val="0"/>
                <w:sz w:val="23"/>
                <w:szCs w:val="23"/>
              </w:rPr>
              <w:t>元</w:t>
            </w:r>
            <w:r>
              <w:rPr>
                <w:b/>
                <w:color w:val="auto"/>
                <w:kern w:val="0"/>
                <w:sz w:val="23"/>
                <w:szCs w:val="23"/>
              </w:rPr>
              <w:t>/m</w:t>
            </w:r>
            <w:r>
              <w:rPr>
                <w:b/>
                <w:color w:val="auto"/>
                <w:kern w:val="0"/>
                <w:sz w:val="23"/>
                <w:szCs w:val="23"/>
                <w:vertAlign w:val="superscript"/>
              </w:rPr>
              <w:t>2</w:t>
            </w:r>
            <w:r>
              <w:rPr>
                <w:b/>
                <w:color w:val="auto"/>
                <w:kern w:val="0"/>
                <w:sz w:val="23"/>
                <w:szCs w:val="23"/>
              </w:rPr>
              <w:t>)</w:t>
            </w:r>
          </w:p>
        </w:tc>
        <w:tc>
          <w:tcPr>
            <w:tcW w:w="1868" w:type="dxa"/>
            <w:vAlign w:val="center"/>
          </w:tcPr>
          <w:p>
            <w:pPr>
              <w:spacing w:line="280" w:lineRule="exact"/>
              <w:jc w:val="center"/>
              <w:rPr>
                <w:b/>
                <w:color w:val="auto"/>
                <w:kern w:val="0"/>
                <w:sz w:val="23"/>
                <w:szCs w:val="23"/>
              </w:rPr>
            </w:pPr>
            <w:r>
              <w:rPr>
                <w:rFonts w:hint="eastAsia"/>
                <w:b/>
                <w:color w:val="auto"/>
                <w:kern w:val="0"/>
                <w:sz w:val="23"/>
                <w:szCs w:val="23"/>
              </w:rPr>
              <w:t>评估价值</w:t>
            </w:r>
          </w:p>
          <w:p>
            <w:pPr>
              <w:spacing w:line="280" w:lineRule="exact"/>
              <w:jc w:val="center"/>
              <w:rPr>
                <w:rFonts w:hint="eastAsia"/>
                <w:b/>
                <w:color w:val="auto"/>
                <w:kern w:val="0"/>
                <w:sz w:val="23"/>
                <w:szCs w:val="23"/>
              </w:rPr>
            </w:pPr>
            <w:r>
              <w:rPr>
                <w:rFonts w:hint="eastAsia"/>
                <w:b/>
                <w:color w:val="auto"/>
                <w:kern w:val="0"/>
                <w:sz w:val="23"/>
                <w:szCs w:val="23"/>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671" w:type="dxa"/>
            <w:vMerge w:val="restart"/>
            <w:vAlign w:val="center"/>
          </w:tcPr>
          <w:p>
            <w:pPr>
              <w:snapToGrid w:val="0"/>
              <w:spacing w:line="240" w:lineRule="auto"/>
              <w:jc w:val="center"/>
              <w:rPr>
                <w:color w:val="auto"/>
                <w:szCs w:val="24"/>
              </w:rPr>
            </w:pPr>
            <w:r>
              <w:rPr>
                <w:rFonts w:hint="eastAsia" w:ascii="Times New Roman" w:hAnsi="Times New Roman" w:cs="Times New Roman"/>
                <w:color w:val="auto"/>
                <w:szCs w:val="24"/>
                <w:lang w:eastAsia="zh-CN"/>
              </w:rPr>
              <w:t>绍兴市越城区稽山街道禹陵公寓27幢303室</w:t>
            </w:r>
          </w:p>
        </w:tc>
        <w:tc>
          <w:tcPr>
            <w:tcW w:w="1418" w:type="dxa"/>
            <w:vAlign w:val="center"/>
          </w:tcPr>
          <w:p>
            <w:pPr>
              <w:snapToGrid w:val="0"/>
              <w:spacing w:line="240" w:lineRule="auto"/>
              <w:jc w:val="center"/>
              <w:rPr>
                <w:rFonts w:hint="eastAsia" w:eastAsia="仿宋_GB2312"/>
                <w:color w:val="auto"/>
                <w:szCs w:val="24"/>
                <w:lang w:eastAsia="zh-CN"/>
              </w:rPr>
            </w:pPr>
            <w:r>
              <w:rPr>
                <w:color w:val="auto"/>
                <w:szCs w:val="24"/>
              </w:rPr>
              <w:t>住宅</w:t>
            </w:r>
          </w:p>
        </w:tc>
        <w:tc>
          <w:tcPr>
            <w:tcW w:w="1503" w:type="dxa"/>
            <w:vAlign w:val="center"/>
          </w:tcPr>
          <w:p>
            <w:pPr>
              <w:keepNext w:val="0"/>
              <w:keepLines w:val="0"/>
              <w:widowControl/>
              <w:suppressLineNumbers w:val="0"/>
              <w:jc w:val="center"/>
              <w:textAlignment w:val="center"/>
              <w:rPr>
                <w:rFonts w:hint="eastAsia" w:eastAsia="仿宋_GB2312"/>
                <w:color w:val="auto"/>
                <w:sz w:val="24"/>
                <w:szCs w:val="24"/>
                <w:lang w:val="en-US" w:eastAsia="zh-CN"/>
              </w:rPr>
            </w:pPr>
            <w:r>
              <w:rPr>
                <w:rFonts w:hint="eastAsia" w:eastAsia="宋体" w:cs="Times New Roman"/>
                <w:i w:val="0"/>
                <w:color w:val="auto"/>
                <w:kern w:val="0"/>
                <w:sz w:val="24"/>
                <w:szCs w:val="24"/>
                <w:u w:val="none"/>
                <w:lang w:val="en-US" w:eastAsia="zh-CN" w:bidi="ar"/>
              </w:rPr>
              <w:t>83.12</w:t>
            </w:r>
          </w:p>
        </w:tc>
        <w:tc>
          <w:tcPr>
            <w:tcW w:w="1864" w:type="dxa"/>
            <w:vAlign w:val="center"/>
          </w:tcPr>
          <w:p>
            <w:pPr>
              <w:keepNext w:val="0"/>
              <w:keepLines w:val="0"/>
              <w:widowControl/>
              <w:suppressLineNumbers w:val="0"/>
              <w:jc w:val="center"/>
              <w:textAlignment w:val="center"/>
              <w:rPr>
                <w:rFonts w:hint="default" w:eastAsia="宋体" w:cs="Times New Roman"/>
                <w:i w:val="0"/>
                <w:color w:val="auto"/>
                <w:kern w:val="0"/>
                <w:sz w:val="24"/>
                <w:szCs w:val="24"/>
                <w:u w:val="none"/>
                <w:lang w:val="en-US" w:eastAsia="zh-CN" w:bidi="ar"/>
              </w:rPr>
            </w:pPr>
            <w:r>
              <w:rPr>
                <w:rFonts w:hint="eastAsia" w:eastAsia="宋体" w:cs="Times New Roman"/>
                <w:i w:val="0"/>
                <w:color w:val="auto"/>
                <w:kern w:val="0"/>
                <w:sz w:val="24"/>
                <w:szCs w:val="24"/>
                <w:u w:val="none"/>
                <w:lang w:val="en-US" w:eastAsia="zh-CN" w:bidi="ar"/>
              </w:rPr>
              <w:t>16660</w:t>
            </w:r>
          </w:p>
        </w:tc>
        <w:tc>
          <w:tcPr>
            <w:tcW w:w="1868"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eastAsia" w:eastAsia="宋体" w:cs="Times New Roman"/>
                <w:i w:val="0"/>
                <w:color w:val="auto"/>
                <w:kern w:val="0"/>
                <w:sz w:val="24"/>
                <w:szCs w:val="24"/>
                <w:u w:val="none"/>
                <w:lang w:val="en-US" w:eastAsia="zh-CN" w:bidi="ar"/>
              </w:rPr>
              <w:t>138.48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671" w:type="dxa"/>
            <w:vMerge w:val="continue"/>
            <w:vAlign w:val="center"/>
          </w:tcPr>
          <w:p>
            <w:pPr>
              <w:snapToGrid w:val="0"/>
              <w:spacing w:line="240" w:lineRule="auto"/>
              <w:jc w:val="center"/>
              <w:rPr>
                <w:rFonts w:hint="eastAsia"/>
                <w:color w:val="auto"/>
                <w:szCs w:val="24"/>
                <w:lang w:eastAsia="zh-CN"/>
              </w:rPr>
            </w:pPr>
          </w:p>
        </w:tc>
        <w:tc>
          <w:tcPr>
            <w:tcW w:w="1418" w:type="dxa"/>
            <w:vAlign w:val="center"/>
          </w:tcPr>
          <w:p>
            <w:pPr>
              <w:snapToGrid w:val="0"/>
              <w:spacing w:line="240" w:lineRule="auto"/>
              <w:jc w:val="center"/>
              <w:rPr>
                <w:rFonts w:hint="eastAsia" w:eastAsia="仿宋_GB2312"/>
                <w:color w:val="auto"/>
                <w:szCs w:val="24"/>
                <w:lang w:eastAsia="zh-CN"/>
              </w:rPr>
            </w:pPr>
            <w:r>
              <w:rPr>
                <w:rFonts w:hint="eastAsia"/>
                <w:color w:val="auto"/>
                <w:szCs w:val="24"/>
                <w:lang w:eastAsia="zh-CN"/>
              </w:rPr>
              <w:t>自行车库</w:t>
            </w:r>
          </w:p>
        </w:tc>
        <w:tc>
          <w:tcPr>
            <w:tcW w:w="1503" w:type="dxa"/>
            <w:vAlign w:val="center"/>
          </w:tcPr>
          <w:p>
            <w:pPr>
              <w:keepNext w:val="0"/>
              <w:keepLines w:val="0"/>
              <w:widowControl/>
              <w:suppressLineNumbers w:val="0"/>
              <w:jc w:val="center"/>
              <w:textAlignment w:val="center"/>
              <w:rPr>
                <w:rFonts w:hint="default" w:eastAsia="宋体" w:cs="Times New Roman"/>
                <w:i w:val="0"/>
                <w:color w:val="auto"/>
                <w:kern w:val="0"/>
                <w:sz w:val="24"/>
                <w:szCs w:val="24"/>
                <w:u w:val="none"/>
                <w:lang w:val="en-US" w:eastAsia="zh-CN" w:bidi="ar"/>
              </w:rPr>
            </w:pPr>
            <w:r>
              <w:rPr>
                <w:rFonts w:hint="eastAsia" w:eastAsia="宋体" w:cs="Times New Roman"/>
                <w:i w:val="0"/>
                <w:color w:val="auto"/>
                <w:kern w:val="0"/>
                <w:sz w:val="24"/>
                <w:szCs w:val="24"/>
                <w:u w:val="none"/>
                <w:lang w:val="en-US" w:eastAsia="zh-CN" w:bidi="ar"/>
              </w:rPr>
              <w:t>28.58</w:t>
            </w:r>
          </w:p>
        </w:tc>
        <w:tc>
          <w:tcPr>
            <w:tcW w:w="1864" w:type="dxa"/>
            <w:vAlign w:val="center"/>
          </w:tcPr>
          <w:p>
            <w:pPr>
              <w:keepNext w:val="0"/>
              <w:keepLines w:val="0"/>
              <w:widowControl/>
              <w:suppressLineNumbers w:val="0"/>
              <w:jc w:val="center"/>
              <w:textAlignment w:val="center"/>
              <w:rPr>
                <w:rFonts w:hint="default" w:eastAsia="宋体" w:cs="Times New Roman"/>
                <w:i w:val="0"/>
                <w:color w:val="auto"/>
                <w:kern w:val="0"/>
                <w:sz w:val="24"/>
                <w:szCs w:val="24"/>
                <w:u w:val="none"/>
                <w:lang w:val="en-US" w:eastAsia="zh-CN" w:bidi="ar"/>
              </w:rPr>
            </w:pPr>
            <w:r>
              <w:rPr>
                <w:rFonts w:hint="eastAsia" w:eastAsia="宋体" w:cs="Times New Roman"/>
                <w:i w:val="0"/>
                <w:color w:val="auto"/>
                <w:kern w:val="0"/>
                <w:sz w:val="24"/>
                <w:szCs w:val="24"/>
                <w:u w:val="none"/>
                <w:lang w:val="en-US" w:eastAsia="zh-CN" w:bidi="ar"/>
              </w:rPr>
              <w:t>2500</w:t>
            </w:r>
          </w:p>
        </w:tc>
        <w:tc>
          <w:tcPr>
            <w:tcW w:w="1868" w:type="dxa"/>
            <w:vAlign w:val="center"/>
          </w:tcPr>
          <w:p>
            <w:pPr>
              <w:keepNext w:val="0"/>
              <w:keepLines w:val="0"/>
              <w:widowControl/>
              <w:suppressLineNumbers w:val="0"/>
              <w:jc w:val="center"/>
              <w:textAlignment w:val="center"/>
              <w:rPr>
                <w:rFonts w:hint="default" w:eastAsia="宋体" w:cs="Times New Roman"/>
                <w:i w:val="0"/>
                <w:color w:val="auto"/>
                <w:kern w:val="0"/>
                <w:sz w:val="24"/>
                <w:szCs w:val="24"/>
                <w:u w:val="none"/>
                <w:lang w:val="en-US" w:eastAsia="zh-CN" w:bidi="ar"/>
              </w:rPr>
            </w:pPr>
            <w:r>
              <w:rPr>
                <w:rFonts w:hint="eastAsia" w:eastAsia="宋体" w:cs="Times New Roman"/>
                <w:i w:val="0"/>
                <w:color w:val="auto"/>
                <w:kern w:val="0"/>
                <w:sz w:val="24"/>
                <w:szCs w:val="24"/>
                <w:u w:val="none"/>
                <w:lang w:val="en-US" w:eastAsia="zh-CN" w:bidi="ar"/>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89" w:type="dxa"/>
            <w:gridSpan w:val="2"/>
            <w:vAlign w:val="center"/>
          </w:tcPr>
          <w:p>
            <w:pPr>
              <w:snapToGrid w:val="0"/>
              <w:spacing w:line="240" w:lineRule="auto"/>
              <w:jc w:val="center"/>
              <w:rPr>
                <w:rFonts w:hint="eastAsia" w:eastAsia="仿宋_GB2312"/>
                <w:b/>
                <w:bCs/>
                <w:color w:val="auto"/>
                <w:szCs w:val="24"/>
                <w:lang w:eastAsia="zh-CN"/>
              </w:rPr>
            </w:pPr>
            <w:r>
              <w:rPr>
                <w:rFonts w:hint="eastAsia"/>
                <w:b/>
                <w:bCs/>
                <w:color w:val="auto"/>
                <w:szCs w:val="24"/>
                <w:lang w:eastAsia="zh-CN"/>
              </w:rPr>
              <w:t>合计</w:t>
            </w:r>
          </w:p>
        </w:tc>
        <w:tc>
          <w:tcPr>
            <w:tcW w:w="1503" w:type="dxa"/>
            <w:vAlign w:val="center"/>
          </w:tcPr>
          <w:p>
            <w:pPr>
              <w:keepNext w:val="0"/>
              <w:keepLines w:val="0"/>
              <w:widowControl/>
              <w:suppressLineNumbers w:val="0"/>
              <w:jc w:val="center"/>
              <w:textAlignment w:val="center"/>
              <w:rPr>
                <w:rFonts w:hint="default" w:eastAsia="宋体" w:cs="Times New Roman"/>
                <w:b/>
                <w:bCs/>
                <w:i w:val="0"/>
                <w:color w:val="auto"/>
                <w:kern w:val="0"/>
                <w:sz w:val="24"/>
                <w:szCs w:val="24"/>
                <w:u w:val="none"/>
                <w:lang w:val="en-US" w:eastAsia="zh-CN" w:bidi="ar"/>
              </w:rPr>
            </w:pPr>
            <w:r>
              <w:rPr>
                <w:rFonts w:hint="eastAsia" w:eastAsia="宋体" w:cs="Times New Roman"/>
                <w:b/>
                <w:bCs/>
                <w:i w:val="0"/>
                <w:color w:val="auto"/>
                <w:kern w:val="0"/>
                <w:sz w:val="24"/>
                <w:szCs w:val="24"/>
                <w:u w:val="none"/>
                <w:lang w:val="en-US" w:eastAsia="zh-CN" w:bidi="ar"/>
              </w:rPr>
              <w:t>111.70</w:t>
            </w:r>
          </w:p>
        </w:tc>
        <w:tc>
          <w:tcPr>
            <w:tcW w:w="1864" w:type="dxa"/>
            <w:vAlign w:val="center"/>
          </w:tcPr>
          <w:p>
            <w:pPr>
              <w:keepNext w:val="0"/>
              <w:keepLines w:val="0"/>
              <w:widowControl/>
              <w:suppressLineNumbers w:val="0"/>
              <w:jc w:val="center"/>
              <w:textAlignment w:val="center"/>
              <w:rPr>
                <w:rFonts w:hint="default" w:eastAsia="宋体" w:cs="Times New Roman"/>
                <w:b/>
                <w:bCs/>
                <w:i w:val="0"/>
                <w:color w:val="auto"/>
                <w:kern w:val="0"/>
                <w:sz w:val="24"/>
                <w:szCs w:val="24"/>
                <w:u w:val="none"/>
                <w:lang w:val="en-US" w:eastAsia="zh-CN" w:bidi="ar"/>
              </w:rPr>
            </w:pPr>
            <w:r>
              <w:rPr>
                <w:rFonts w:hint="eastAsia" w:eastAsia="宋体" w:cs="Times New Roman"/>
                <w:b/>
                <w:bCs/>
                <w:i w:val="0"/>
                <w:color w:val="auto"/>
                <w:kern w:val="0"/>
                <w:sz w:val="24"/>
                <w:szCs w:val="24"/>
                <w:u w:val="none"/>
                <w:lang w:val="en-US" w:eastAsia="zh-CN" w:bidi="ar"/>
              </w:rPr>
              <w:t>/</w:t>
            </w:r>
          </w:p>
        </w:tc>
        <w:tc>
          <w:tcPr>
            <w:tcW w:w="1868" w:type="dxa"/>
            <w:vAlign w:val="center"/>
          </w:tcPr>
          <w:p>
            <w:pPr>
              <w:keepNext w:val="0"/>
              <w:keepLines w:val="0"/>
              <w:widowControl/>
              <w:suppressLineNumbers w:val="0"/>
              <w:jc w:val="center"/>
              <w:textAlignment w:val="center"/>
              <w:rPr>
                <w:rFonts w:hint="default" w:eastAsia="宋体" w:cs="Times New Roman"/>
                <w:b/>
                <w:bCs/>
                <w:i w:val="0"/>
                <w:color w:val="auto"/>
                <w:kern w:val="0"/>
                <w:sz w:val="24"/>
                <w:szCs w:val="24"/>
                <w:u w:val="none"/>
                <w:lang w:val="en-US" w:eastAsia="zh-CN" w:bidi="ar"/>
              </w:rPr>
            </w:pPr>
            <w:r>
              <w:rPr>
                <w:rFonts w:hint="eastAsia" w:eastAsia="宋体" w:cs="Times New Roman"/>
                <w:b/>
                <w:bCs/>
                <w:i w:val="0"/>
                <w:color w:val="auto"/>
                <w:kern w:val="0"/>
                <w:sz w:val="24"/>
                <w:szCs w:val="24"/>
                <w:u w:val="none"/>
                <w:lang w:val="en-US" w:eastAsia="zh-CN" w:bidi="ar"/>
              </w:rPr>
              <w:t>145.63</w:t>
            </w:r>
          </w:p>
        </w:tc>
      </w:tr>
    </w:tbl>
    <w:p>
      <w:pPr>
        <w:pStyle w:val="4"/>
        <w:spacing w:line="480" w:lineRule="exact"/>
        <w:ind w:firstLine="0"/>
        <w:jc w:val="center"/>
        <w:rPr>
          <w:rFonts w:eastAsia="仿宋_GB2312"/>
          <w:b/>
          <w:color w:val="auto"/>
          <w:spacing w:val="-20"/>
          <w:sz w:val="24"/>
          <w:szCs w:val="24"/>
        </w:rPr>
      </w:pPr>
      <w:r>
        <w:rPr>
          <w:rFonts w:eastAsia="仿宋_GB2312"/>
          <w:b/>
          <w:color w:val="auto"/>
          <w:spacing w:val="-20"/>
          <w:sz w:val="26"/>
          <w:szCs w:val="26"/>
        </w:rPr>
        <w:t xml:space="preserve">表2 </w:t>
      </w:r>
      <w:r>
        <w:rPr>
          <w:rFonts w:eastAsia="仿宋_GB2312"/>
          <w:b/>
          <w:color w:val="auto"/>
          <w:sz w:val="26"/>
          <w:szCs w:val="26"/>
        </w:rPr>
        <w:t>土地状况一览表</w:t>
      </w:r>
    </w:p>
    <w:tbl>
      <w:tblPr>
        <w:tblStyle w:val="30"/>
        <w:tblW w:w="9355"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2"/>
        <w:gridCol w:w="1399"/>
        <w:gridCol w:w="1296"/>
        <w:gridCol w:w="170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b/>
                <w:color w:val="auto"/>
                <w:szCs w:val="24"/>
              </w:rPr>
            </w:pPr>
            <w:r>
              <w:rPr>
                <w:b/>
                <w:color w:val="auto"/>
                <w:kern w:val="0"/>
                <w:szCs w:val="24"/>
              </w:rPr>
              <w:t>坐  落</w:t>
            </w:r>
          </w:p>
        </w:tc>
        <w:tc>
          <w:tcPr>
            <w:tcW w:w="1399"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auto"/>
                <w:szCs w:val="24"/>
              </w:rPr>
            </w:pPr>
            <w:r>
              <w:rPr>
                <w:b/>
                <w:color w:val="auto"/>
                <w:szCs w:val="24"/>
              </w:rPr>
              <w:t>地类</w:t>
            </w:r>
          </w:p>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auto"/>
                <w:szCs w:val="24"/>
              </w:rPr>
            </w:pPr>
            <w:r>
              <w:rPr>
                <w:b/>
                <w:color w:val="auto"/>
                <w:szCs w:val="24"/>
              </w:rPr>
              <w:t>（用途）</w:t>
            </w:r>
          </w:p>
        </w:tc>
        <w:tc>
          <w:tcPr>
            <w:tcW w:w="1296"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auto"/>
                <w:szCs w:val="24"/>
              </w:rPr>
            </w:pPr>
            <w:r>
              <w:rPr>
                <w:b/>
                <w:color w:val="auto"/>
                <w:szCs w:val="24"/>
              </w:rPr>
              <w:t>使用权</w:t>
            </w:r>
          </w:p>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auto"/>
                <w:szCs w:val="24"/>
              </w:rPr>
            </w:pPr>
            <w:r>
              <w:rPr>
                <w:b/>
                <w:color w:val="auto"/>
                <w:szCs w:val="24"/>
              </w:rPr>
              <w:t>类型</w:t>
            </w:r>
          </w:p>
        </w:tc>
        <w:tc>
          <w:tcPr>
            <w:tcW w:w="1704"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auto"/>
                <w:szCs w:val="24"/>
              </w:rPr>
            </w:pPr>
            <w:r>
              <w:rPr>
                <w:b/>
                <w:color w:val="auto"/>
                <w:szCs w:val="24"/>
              </w:rPr>
              <w:t>使用权面积</w:t>
            </w:r>
          </w:p>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auto"/>
                <w:szCs w:val="24"/>
              </w:rPr>
            </w:pPr>
            <w:r>
              <w:rPr>
                <w:b/>
                <w:color w:val="auto"/>
                <w:szCs w:val="24"/>
              </w:rPr>
              <w:t>（</w:t>
            </w:r>
            <w:r>
              <w:rPr>
                <w:b/>
                <w:color w:val="auto"/>
                <w:kern w:val="0"/>
                <w:szCs w:val="24"/>
              </w:rPr>
              <w:t>m</w:t>
            </w:r>
            <w:r>
              <w:rPr>
                <w:b/>
                <w:color w:val="auto"/>
                <w:kern w:val="0"/>
                <w:szCs w:val="24"/>
                <w:vertAlign w:val="superscript"/>
              </w:rPr>
              <w:t>2</w:t>
            </w:r>
            <w:r>
              <w:rPr>
                <w:b/>
                <w:color w:val="auto"/>
                <w:szCs w:val="24"/>
              </w:rPr>
              <w:t>）</w:t>
            </w:r>
          </w:p>
        </w:tc>
        <w:tc>
          <w:tcPr>
            <w:tcW w:w="2264"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auto"/>
                <w:szCs w:val="24"/>
              </w:rPr>
            </w:pPr>
            <w:r>
              <w:rPr>
                <w:b/>
                <w:color w:val="auto"/>
                <w:szCs w:val="24"/>
              </w:rPr>
              <w:t>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692" w:type="dxa"/>
            <w:tcBorders>
              <w:tl2br w:val="nil"/>
              <w:tr2bl w:val="nil"/>
            </w:tcBorders>
            <w:vAlign w:val="center"/>
          </w:tcPr>
          <w:p>
            <w:pPr>
              <w:pStyle w:val="13"/>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color w:val="auto"/>
                <w:szCs w:val="24"/>
              </w:rPr>
            </w:pPr>
            <w:r>
              <w:rPr>
                <w:rFonts w:hint="eastAsia" w:ascii="Times New Roman" w:hAnsi="Times New Roman" w:cs="Times New Roman"/>
                <w:color w:val="auto"/>
                <w:szCs w:val="24"/>
                <w:lang w:eastAsia="zh-CN"/>
              </w:rPr>
              <w:t>绍兴市越城区稽山街道禹陵公寓27幢303室</w:t>
            </w:r>
          </w:p>
        </w:tc>
        <w:tc>
          <w:tcPr>
            <w:tcW w:w="1399" w:type="dxa"/>
            <w:tcBorders>
              <w:tl2br w:val="nil"/>
              <w:tr2bl w:val="nil"/>
            </w:tcBorders>
            <w:vAlign w:val="center"/>
          </w:tcPr>
          <w:p>
            <w:pPr>
              <w:pStyle w:val="13"/>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color w:val="auto"/>
                <w:szCs w:val="24"/>
              </w:rPr>
            </w:pPr>
            <w:r>
              <w:rPr>
                <w:rFonts w:ascii="Times New Roman" w:hAnsi="Times New Roman"/>
                <w:color w:val="auto"/>
                <w:szCs w:val="24"/>
              </w:rPr>
              <w:t>住宅用地</w:t>
            </w:r>
          </w:p>
        </w:tc>
        <w:tc>
          <w:tcPr>
            <w:tcW w:w="1296" w:type="dxa"/>
            <w:tcBorders>
              <w:tl2br w:val="nil"/>
              <w:tr2bl w:val="nil"/>
            </w:tcBorders>
            <w:vAlign w:val="center"/>
          </w:tcPr>
          <w:p>
            <w:pPr>
              <w:pStyle w:val="13"/>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仿宋_GB2312"/>
                <w:color w:val="auto"/>
                <w:szCs w:val="24"/>
                <w:lang w:eastAsia="zh-CN"/>
              </w:rPr>
            </w:pPr>
            <w:r>
              <w:rPr>
                <w:rFonts w:ascii="Times New Roman" w:hAnsi="Times New Roman"/>
                <w:color w:val="auto"/>
                <w:szCs w:val="24"/>
              </w:rPr>
              <w:t>出让</w:t>
            </w:r>
          </w:p>
        </w:tc>
        <w:tc>
          <w:tcPr>
            <w:tcW w:w="1704" w:type="dxa"/>
            <w:tcBorders>
              <w:tl2br w:val="nil"/>
              <w:tr2bl w:val="nil"/>
            </w:tcBorders>
            <w:vAlign w:val="center"/>
          </w:tcPr>
          <w:p>
            <w:pPr>
              <w:pStyle w:val="13"/>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仿宋_GB2312"/>
                <w:color w:val="auto"/>
                <w:szCs w:val="24"/>
                <w:lang w:eastAsia="zh-CN"/>
              </w:rPr>
            </w:pPr>
            <w:r>
              <w:rPr>
                <w:rFonts w:hint="eastAsia" w:ascii="Times New Roman" w:hAnsi="Times New Roman"/>
                <w:color w:val="auto"/>
                <w:szCs w:val="24"/>
                <w:lang w:eastAsia="zh-CN"/>
              </w:rPr>
              <w:t>62.96</w:t>
            </w:r>
          </w:p>
        </w:tc>
        <w:tc>
          <w:tcPr>
            <w:tcW w:w="2264" w:type="dxa"/>
            <w:tcBorders>
              <w:tl2br w:val="nil"/>
              <w:tr2bl w:val="nil"/>
            </w:tcBorders>
            <w:vAlign w:val="center"/>
          </w:tcPr>
          <w:p>
            <w:pPr>
              <w:pStyle w:val="13"/>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color w:val="auto"/>
                <w:szCs w:val="24"/>
                <w:lang w:eastAsia="zh-CN"/>
              </w:rPr>
            </w:pPr>
            <w:r>
              <w:rPr>
                <w:rFonts w:hint="eastAsia" w:ascii="Times New Roman" w:hAnsi="Times New Roman"/>
                <w:color w:val="auto"/>
                <w:szCs w:val="24"/>
                <w:lang w:eastAsia="zh-CN"/>
              </w:rPr>
              <w:t>2078年12月8日</w:t>
            </w:r>
          </w:p>
        </w:tc>
      </w:tr>
    </w:tbl>
    <w:p>
      <w:pPr>
        <w:pStyle w:val="8"/>
        <w:keepNext w:val="0"/>
        <w:keepLines w:val="0"/>
        <w:pageBreakBefore w:val="0"/>
        <w:widowControl w:val="0"/>
        <w:kinsoku/>
        <w:wordWrap/>
        <w:overflowPunct/>
        <w:topLinePunct w:val="0"/>
        <w:autoSpaceDE/>
        <w:autoSpaceDN/>
        <w:bidi w:val="0"/>
        <w:adjustRightInd/>
        <w:snapToGrid w:val="0"/>
        <w:spacing w:line="460" w:lineRule="atLeast"/>
        <w:ind w:firstLine="520" w:firstLineChars="200"/>
        <w:textAlignment w:val="auto"/>
        <w:rPr>
          <w:rFonts w:hint="eastAsia"/>
          <w:color w:val="auto"/>
          <w:sz w:val="26"/>
          <w:szCs w:val="26"/>
        </w:rPr>
      </w:pPr>
      <w:r>
        <w:rPr>
          <w:rFonts w:hint="eastAsia"/>
          <w:color w:val="auto"/>
          <w:sz w:val="26"/>
          <w:szCs w:val="26"/>
        </w:rPr>
        <w:t>备注：</w:t>
      </w:r>
      <w:r>
        <w:rPr>
          <w:rFonts w:hint="default" w:ascii="Times New Roman" w:hAnsi="Times New Roman" w:eastAsia="仿宋_GB2312" w:cs="Times New Roman"/>
          <w:color w:val="auto"/>
          <w:sz w:val="26"/>
          <w:szCs w:val="26"/>
        </w:rPr>
        <w:t>本次估价评估范围包括估价对象的国有出让建设用地使用权、建筑物以及</w:t>
      </w:r>
      <w:r>
        <w:rPr>
          <w:rFonts w:hint="eastAsia" w:cs="Times New Roman"/>
          <w:color w:val="auto"/>
          <w:sz w:val="26"/>
          <w:szCs w:val="26"/>
          <w:lang w:eastAsia="zh-CN"/>
        </w:rPr>
        <w:t>所有</w:t>
      </w:r>
      <w:r>
        <w:rPr>
          <w:rFonts w:hint="default" w:ascii="Times New Roman" w:hAnsi="Times New Roman" w:eastAsia="仿宋_GB2312" w:cs="Times New Roman"/>
          <w:color w:val="auto"/>
          <w:sz w:val="26"/>
          <w:szCs w:val="26"/>
        </w:rPr>
        <w:t>能使建筑物正常使用的</w:t>
      </w:r>
      <w:r>
        <w:rPr>
          <w:rFonts w:hint="eastAsia" w:cs="Times New Roman"/>
          <w:color w:val="auto"/>
          <w:sz w:val="26"/>
          <w:szCs w:val="26"/>
          <w:lang w:eastAsia="zh-CN"/>
        </w:rPr>
        <w:t>固定装饰装修</w:t>
      </w:r>
      <w:r>
        <w:rPr>
          <w:rFonts w:hint="eastAsia"/>
          <w:color w:val="auto"/>
          <w:sz w:val="26"/>
          <w:szCs w:val="26"/>
        </w:rPr>
        <w:t>，但不包括室内动产、债权债务等。</w:t>
      </w:r>
    </w:p>
    <w:p>
      <w:pPr>
        <w:pStyle w:val="8"/>
        <w:keepNext w:val="0"/>
        <w:keepLines w:val="0"/>
        <w:pageBreakBefore w:val="0"/>
        <w:widowControl w:val="0"/>
        <w:kinsoku/>
        <w:wordWrap/>
        <w:overflowPunct/>
        <w:topLinePunct w:val="0"/>
        <w:autoSpaceDE/>
        <w:autoSpaceDN/>
        <w:bidi w:val="0"/>
        <w:adjustRightInd/>
        <w:snapToGrid w:val="0"/>
        <w:spacing w:line="460" w:lineRule="atLeast"/>
        <w:ind w:firstLine="520" w:firstLineChars="200"/>
        <w:textAlignment w:val="auto"/>
        <w:rPr>
          <w:rFonts w:hint="eastAsia"/>
          <w:color w:val="auto"/>
          <w:sz w:val="26"/>
          <w:szCs w:val="26"/>
        </w:rPr>
      </w:pPr>
    </w:p>
    <w:p>
      <w:pPr>
        <w:keepNext w:val="0"/>
        <w:keepLines w:val="0"/>
        <w:pageBreakBefore w:val="0"/>
        <w:widowControl w:val="0"/>
        <w:kinsoku/>
        <w:wordWrap w:val="0"/>
        <w:overflowPunct/>
        <w:topLinePunct w:val="0"/>
        <w:autoSpaceDE/>
        <w:autoSpaceDN/>
        <w:bidi w:val="0"/>
        <w:adjustRightInd/>
        <w:snapToGrid w:val="0"/>
        <w:spacing w:beforeAutospacing="0" w:line="340" w:lineRule="atLeast"/>
        <w:ind w:right="1956"/>
        <w:textAlignment w:val="auto"/>
        <w:rPr>
          <w:rFonts w:hint="eastAsia" w:ascii="仿宋_GB2312" w:hAnsi="仿宋_GB2312" w:cs="仿宋_GB2312"/>
          <w:color w:val="auto"/>
          <w:sz w:val="26"/>
          <w:szCs w:val="26"/>
        </w:rPr>
      </w:pPr>
    </w:p>
    <w:p>
      <w:pPr>
        <w:keepNext w:val="0"/>
        <w:keepLines w:val="0"/>
        <w:pageBreakBefore w:val="0"/>
        <w:widowControl w:val="0"/>
        <w:kinsoku/>
        <w:wordWrap w:val="0"/>
        <w:overflowPunct/>
        <w:topLinePunct w:val="0"/>
        <w:autoSpaceDE/>
        <w:autoSpaceDN/>
        <w:bidi w:val="0"/>
        <w:adjustRightInd/>
        <w:snapToGrid w:val="0"/>
        <w:spacing w:beforeAutospacing="0" w:line="400" w:lineRule="atLeast"/>
        <w:ind w:right="1956" w:firstLine="3900" w:firstLineChars="1500"/>
        <w:textAlignment w:val="auto"/>
        <w:rPr>
          <w:rFonts w:ascii="仿宋_GB2312" w:cs="仿宋_GB2312"/>
          <w:color w:val="auto"/>
          <w:sz w:val="26"/>
          <w:szCs w:val="26"/>
        </w:rPr>
      </w:pPr>
      <w:r>
        <w:rPr>
          <w:rFonts w:hint="eastAsia" w:ascii="仿宋_GB2312" w:hAnsi="仿宋_GB2312" w:cs="仿宋_GB2312"/>
          <w:color w:val="auto"/>
          <w:sz w:val="26"/>
          <w:szCs w:val="26"/>
        </w:rPr>
        <w:t>法定代表人：</w:t>
      </w:r>
    </w:p>
    <w:p>
      <w:pPr>
        <w:keepNext w:val="0"/>
        <w:keepLines w:val="0"/>
        <w:pageBreakBefore w:val="0"/>
        <w:widowControl w:val="0"/>
        <w:kinsoku/>
        <w:wordWrap w:val="0"/>
        <w:overflowPunct/>
        <w:topLinePunct w:val="0"/>
        <w:autoSpaceDE/>
        <w:autoSpaceDN/>
        <w:bidi w:val="0"/>
        <w:adjustRightInd/>
        <w:snapToGrid w:val="0"/>
        <w:spacing w:line="400" w:lineRule="atLeast"/>
        <w:ind w:firstLine="520"/>
        <w:jc w:val="right"/>
        <w:textAlignment w:val="auto"/>
        <w:rPr>
          <w:rFonts w:ascii="仿宋_GB2312" w:hAnsi="仿宋_GB2312" w:cs="仿宋_GB2312"/>
          <w:color w:val="auto"/>
          <w:sz w:val="26"/>
          <w:szCs w:val="26"/>
        </w:rPr>
      </w:pPr>
      <w:r>
        <w:rPr>
          <w:rFonts w:hint="eastAsia" w:ascii="仿宋_GB2312" w:hAnsi="仿宋_GB2312" w:cs="仿宋_GB2312"/>
          <w:color w:val="auto"/>
          <w:sz w:val="26"/>
          <w:szCs w:val="26"/>
          <w:lang w:val="en-US" w:eastAsia="zh-CN"/>
        </w:rPr>
        <w:t xml:space="preserve">      </w:t>
      </w:r>
      <w:bookmarkEnd w:id="2"/>
      <w:bookmarkEnd w:id="3"/>
      <w:bookmarkStart w:id="6" w:name="_Toc213473258"/>
      <w:bookmarkStart w:id="7" w:name="_Toc454373093"/>
      <w:bookmarkStart w:id="8" w:name="_Toc166894319"/>
      <w:r>
        <w:rPr>
          <w:rFonts w:hint="eastAsia" w:ascii="仿宋_GB2312" w:hAnsi="仿宋_GB2312" w:cs="仿宋_GB2312"/>
          <w:color w:val="auto"/>
          <w:sz w:val="26"/>
          <w:szCs w:val="26"/>
          <w:lang w:eastAsia="zh-CN"/>
        </w:rPr>
        <w:t>二〇二二年十一月十八日</w:t>
      </w:r>
      <w:r>
        <w:rPr>
          <w:rFonts w:hint="eastAsia" w:ascii="仿宋_GB2312" w:hAnsi="仿宋_GB2312" w:cs="仿宋_GB2312"/>
          <w:color w:val="auto"/>
          <w:sz w:val="26"/>
          <w:szCs w:val="26"/>
        </w:rPr>
        <w:t xml:space="preserve">    </w:t>
      </w:r>
    </w:p>
    <w:p>
      <w:pPr>
        <w:snapToGrid w:val="0"/>
        <w:spacing w:line="440" w:lineRule="atLeast"/>
        <w:ind w:firstLine="520"/>
        <w:jc w:val="center"/>
        <w:rPr>
          <w:rFonts w:ascii="仿宋_GB2312"/>
          <w:b/>
          <w:color w:val="auto"/>
          <w:sz w:val="34"/>
          <w:szCs w:val="36"/>
        </w:rPr>
      </w:pPr>
      <w:r>
        <w:rPr>
          <w:rFonts w:hint="eastAsia" w:ascii="仿宋_GB2312" w:hAnsi="仿宋_GB2312"/>
          <w:b/>
          <w:color w:val="auto"/>
          <w:sz w:val="34"/>
          <w:szCs w:val="36"/>
        </w:rPr>
        <w:br w:type="page"/>
      </w:r>
      <w:r>
        <w:rPr>
          <w:rFonts w:hint="eastAsia" w:ascii="仿宋_GB2312" w:hAnsi="仿宋_GB2312"/>
          <w:b/>
          <w:color w:val="auto"/>
          <w:sz w:val="34"/>
          <w:szCs w:val="36"/>
        </w:rPr>
        <w:t>目</w:t>
      </w:r>
      <w:r>
        <w:rPr>
          <w:rFonts w:ascii="仿宋_GB2312" w:hAnsi="仿宋_GB2312"/>
          <w:b/>
          <w:color w:val="auto"/>
          <w:sz w:val="34"/>
          <w:szCs w:val="36"/>
        </w:rPr>
        <w:t xml:space="preserve">    </w:t>
      </w:r>
      <w:r>
        <w:rPr>
          <w:rFonts w:hint="eastAsia" w:ascii="仿宋_GB2312" w:hAnsi="仿宋_GB2312"/>
          <w:b/>
          <w:color w:val="auto"/>
          <w:sz w:val="34"/>
          <w:szCs w:val="36"/>
        </w:rPr>
        <w:t>录</w:t>
      </w:r>
    </w:p>
    <w:p>
      <w:pPr>
        <w:pStyle w:val="20"/>
        <w:tabs>
          <w:tab w:val="right" w:leader="dot" w:pos="9638"/>
        </w:tabs>
        <w:spacing w:line="520" w:lineRule="exact"/>
        <w:rPr>
          <w:rFonts w:eastAsia="仿宋_GB2312"/>
          <w:color w:val="auto"/>
          <w:sz w:val="26"/>
          <w:szCs w:val="26"/>
        </w:rPr>
      </w:pPr>
      <w:r>
        <w:rPr>
          <w:rFonts w:eastAsia="仿宋_GB2312"/>
          <w:color w:val="auto"/>
          <w:sz w:val="26"/>
          <w:szCs w:val="26"/>
        </w:rPr>
        <w:fldChar w:fldCharType="begin"/>
      </w:r>
      <w:r>
        <w:rPr>
          <w:rFonts w:eastAsia="仿宋_GB2312"/>
          <w:color w:val="auto"/>
          <w:sz w:val="26"/>
          <w:szCs w:val="26"/>
        </w:rPr>
        <w:instrText xml:space="preserve">TOC \o "1-2" \h \u </w:instrText>
      </w:r>
      <w:r>
        <w:rPr>
          <w:rFonts w:eastAsia="仿宋_GB2312"/>
          <w:color w:val="auto"/>
          <w:sz w:val="26"/>
          <w:szCs w:val="26"/>
        </w:rPr>
        <w:fldChar w:fldCharType="separate"/>
      </w:r>
      <w:r>
        <w:rPr>
          <w:color w:val="auto"/>
        </w:rPr>
        <w:fldChar w:fldCharType="begin"/>
      </w:r>
      <w:r>
        <w:rPr>
          <w:color w:val="auto"/>
        </w:rPr>
        <w:instrText xml:space="preserve">HYPERLINK  \l "_Toc31170" </w:instrText>
      </w:r>
      <w:r>
        <w:rPr>
          <w:color w:val="auto"/>
        </w:rPr>
        <w:fldChar w:fldCharType="separate"/>
      </w:r>
      <w:r>
        <w:rPr>
          <w:rFonts w:hint="eastAsia" w:ascii="仿宋_GB2312" w:hAnsi="仿宋_GB2312" w:eastAsia="仿宋_GB2312" w:cs="仿宋_GB2312"/>
          <w:bCs/>
          <w:color w:val="auto"/>
          <w:sz w:val="26"/>
          <w:szCs w:val="26"/>
        </w:rPr>
        <w:t>第一部分：致估价委托人函</w:t>
      </w:r>
      <w:r>
        <w:rPr>
          <w:rFonts w:eastAsia="仿宋_GB2312"/>
          <w:color w:val="auto"/>
          <w:sz w:val="26"/>
          <w:szCs w:val="26"/>
        </w:rPr>
        <w:tab/>
      </w:r>
      <w:r>
        <w:rPr>
          <w:rFonts w:hint="eastAsia" w:eastAsia="仿宋_GB2312"/>
          <w:color w:val="auto"/>
          <w:sz w:val="26"/>
          <w:szCs w:val="26"/>
          <w:lang w:val="en-US" w:eastAsia="zh-CN"/>
        </w:rPr>
        <w:t>2</w:t>
      </w:r>
      <w:r>
        <w:rPr>
          <w:color w:val="auto"/>
        </w:rPr>
        <w:fldChar w:fldCharType="end"/>
      </w:r>
    </w:p>
    <w:p>
      <w:pPr>
        <w:pStyle w:val="20"/>
        <w:tabs>
          <w:tab w:val="right" w:leader="dot" w:pos="9638"/>
        </w:tabs>
        <w:spacing w:line="520" w:lineRule="exact"/>
        <w:rPr>
          <w:rFonts w:eastAsia="仿宋_GB2312"/>
          <w:color w:val="auto"/>
          <w:sz w:val="26"/>
          <w:szCs w:val="26"/>
        </w:rPr>
      </w:pPr>
      <w:r>
        <w:rPr>
          <w:color w:val="auto"/>
        </w:rPr>
        <w:fldChar w:fldCharType="begin"/>
      </w:r>
      <w:r>
        <w:rPr>
          <w:color w:val="auto"/>
        </w:rPr>
        <w:instrText xml:space="preserve">HYPERLINK  \l "_Toc17229" </w:instrText>
      </w:r>
      <w:r>
        <w:rPr>
          <w:color w:val="auto"/>
        </w:rPr>
        <w:fldChar w:fldCharType="separate"/>
      </w:r>
      <w:r>
        <w:rPr>
          <w:rFonts w:hint="eastAsia" w:ascii="仿宋_GB2312" w:hAnsi="仿宋_GB2312" w:eastAsia="仿宋_GB2312" w:cs="仿宋_GB2312"/>
          <w:bCs/>
          <w:color w:val="auto"/>
          <w:sz w:val="26"/>
          <w:szCs w:val="26"/>
        </w:rPr>
        <w:t>第二部分：估价师声明</w:t>
      </w:r>
      <w:r>
        <w:rPr>
          <w:rFonts w:eastAsia="仿宋_GB2312"/>
          <w:color w:val="auto"/>
          <w:sz w:val="26"/>
          <w:szCs w:val="26"/>
        </w:rPr>
        <w:tab/>
      </w:r>
      <w:r>
        <w:rPr>
          <w:rFonts w:eastAsia="仿宋_GB2312"/>
          <w:color w:val="auto"/>
          <w:sz w:val="26"/>
          <w:szCs w:val="26"/>
        </w:rPr>
        <w:fldChar w:fldCharType="begin"/>
      </w:r>
      <w:r>
        <w:rPr>
          <w:rFonts w:eastAsia="仿宋_GB2312"/>
          <w:color w:val="auto"/>
          <w:sz w:val="26"/>
          <w:szCs w:val="26"/>
        </w:rPr>
        <w:instrText xml:space="preserve"> PAGEREF _Toc17229 </w:instrText>
      </w:r>
      <w:r>
        <w:rPr>
          <w:rFonts w:eastAsia="仿宋_GB2312"/>
          <w:color w:val="auto"/>
          <w:sz w:val="26"/>
          <w:szCs w:val="26"/>
        </w:rPr>
        <w:fldChar w:fldCharType="separate"/>
      </w:r>
      <w:r>
        <w:rPr>
          <w:rFonts w:eastAsia="仿宋_GB2312"/>
          <w:color w:val="auto"/>
          <w:sz w:val="26"/>
          <w:szCs w:val="26"/>
        </w:rPr>
        <w:t>4</w:t>
      </w:r>
      <w:r>
        <w:rPr>
          <w:rFonts w:eastAsia="仿宋_GB2312"/>
          <w:color w:val="auto"/>
          <w:sz w:val="26"/>
          <w:szCs w:val="26"/>
        </w:rPr>
        <w:fldChar w:fldCharType="end"/>
      </w:r>
      <w:r>
        <w:rPr>
          <w:color w:val="auto"/>
        </w:rPr>
        <w:fldChar w:fldCharType="end"/>
      </w:r>
    </w:p>
    <w:p>
      <w:pPr>
        <w:pStyle w:val="20"/>
        <w:tabs>
          <w:tab w:val="right" w:leader="dot" w:pos="9638"/>
        </w:tabs>
        <w:spacing w:line="520" w:lineRule="exact"/>
        <w:rPr>
          <w:rFonts w:eastAsia="仿宋_GB2312"/>
          <w:color w:val="auto"/>
          <w:sz w:val="26"/>
          <w:szCs w:val="26"/>
        </w:rPr>
      </w:pPr>
      <w:r>
        <w:rPr>
          <w:color w:val="auto"/>
        </w:rPr>
        <w:fldChar w:fldCharType="begin"/>
      </w:r>
      <w:r>
        <w:rPr>
          <w:color w:val="auto"/>
        </w:rPr>
        <w:instrText xml:space="preserve">HYPERLINK  \l "_Toc2866" </w:instrText>
      </w:r>
      <w:r>
        <w:rPr>
          <w:color w:val="auto"/>
        </w:rPr>
        <w:fldChar w:fldCharType="separate"/>
      </w:r>
      <w:r>
        <w:rPr>
          <w:rFonts w:hint="eastAsia" w:ascii="仿宋_GB2312" w:hAnsi="仿宋_GB2312" w:eastAsia="仿宋_GB2312" w:cs="仿宋_GB2312"/>
          <w:bCs/>
          <w:color w:val="auto"/>
          <w:sz w:val="26"/>
          <w:szCs w:val="26"/>
        </w:rPr>
        <w:t>第三部分：估价的假设和限制条件</w:t>
      </w:r>
      <w:r>
        <w:rPr>
          <w:rFonts w:eastAsia="仿宋_GB2312"/>
          <w:color w:val="auto"/>
          <w:sz w:val="26"/>
          <w:szCs w:val="26"/>
        </w:rPr>
        <w:tab/>
      </w:r>
      <w:r>
        <w:rPr>
          <w:rFonts w:eastAsia="仿宋_GB2312"/>
          <w:color w:val="auto"/>
          <w:sz w:val="26"/>
          <w:szCs w:val="26"/>
        </w:rPr>
        <w:fldChar w:fldCharType="begin"/>
      </w:r>
      <w:r>
        <w:rPr>
          <w:rFonts w:eastAsia="仿宋_GB2312"/>
          <w:color w:val="auto"/>
          <w:sz w:val="26"/>
          <w:szCs w:val="26"/>
        </w:rPr>
        <w:instrText xml:space="preserve"> PAGEREF _Toc2866 </w:instrText>
      </w:r>
      <w:r>
        <w:rPr>
          <w:rFonts w:eastAsia="仿宋_GB2312"/>
          <w:color w:val="auto"/>
          <w:sz w:val="26"/>
          <w:szCs w:val="26"/>
        </w:rPr>
        <w:fldChar w:fldCharType="separate"/>
      </w:r>
      <w:r>
        <w:rPr>
          <w:rFonts w:eastAsia="仿宋_GB2312"/>
          <w:color w:val="auto"/>
          <w:sz w:val="26"/>
          <w:szCs w:val="26"/>
        </w:rPr>
        <w:t>5</w:t>
      </w:r>
      <w:r>
        <w:rPr>
          <w:rFonts w:eastAsia="仿宋_GB2312"/>
          <w:color w:val="auto"/>
          <w:sz w:val="26"/>
          <w:szCs w:val="26"/>
        </w:rPr>
        <w:fldChar w:fldCharType="end"/>
      </w:r>
      <w:r>
        <w:rPr>
          <w:color w:val="auto"/>
        </w:rPr>
        <w:fldChar w:fldCharType="end"/>
      </w:r>
    </w:p>
    <w:p>
      <w:pPr>
        <w:pStyle w:val="20"/>
        <w:tabs>
          <w:tab w:val="right" w:leader="dot" w:pos="9638"/>
        </w:tabs>
        <w:spacing w:line="520" w:lineRule="exact"/>
        <w:rPr>
          <w:rFonts w:eastAsia="仿宋_GB2312"/>
          <w:color w:val="auto"/>
          <w:sz w:val="26"/>
          <w:szCs w:val="26"/>
        </w:rPr>
      </w:pPr>
      <w:r>
        <w:rPr>
          <w:color w:val="auto"/>
        </w:rPr>
        <w:fldChar w:fldCharType="begin"/>
      </w:r>
      <w:r>
        <w:rPr>
          <w:color w:val="auto"/>
        </w:rPr>
        <w:instrText xml:space="preserve">HYPERLINK  \l "_Toc2866" </w:instrText>
      </w:r>
      <w:r>
        <w:rPr>
          <w:color w:val="auto"/>
        </w:rPr>
        <w:fldChar w:fldCharType="separate"/>
      </w:r>
      <w:r>
        <w:rPr>
          <w:rFonts w:hint="eastAsia" w:ascii="仿宋_GB2312" w:hAnsi="仿宋_GB2312" w:eastAsia="仿宋_GB2312" w:cs="仿宋_GB2312"/>
          <w:bCs/>
          <w:color w:val="auto"/>
          <w:sz w:val="26"/>
          <w:szCs w:val="26"/>
        </w:rPr>
        <w:t>第四部分：估价结果报告</w:t>
      </w:r>
      <w:r>
        <w:rPr>
          <w:rFonts w:eastAsia="仿宋_GB2312"/>
          <w:color w:val="auto"/>
          <w:sz w:val="26"/>
          <w:szCs w:val="26"/>
        </w:rPr>
        <w:tab/>
      </w:r>
      <w:r>
        <w:rPr>
          <w:rFonts w:hint="eastAsia" w:eastAsia="仿宋_GB2312"/>
          <w:color w:val="auto"/>
          <w:sz w:val="26"/>
          <w:szCs w:val="26"/>
        </w:rPr>
        <w:t>7</w:t>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"_Toc20706" </w:instrText>
      </w:r>
      <w:r>
        <w:rPr>
          <w:color w:val="auto"/>
        </w:rPr>
        <w:fldChar w:fldCharType="separate"/>
      </w:r>
      <w:r>
        <w:rPr>
          <w:rFonts w:hint="eastAsia"/>
          <w:color w:val="auto"/>
          <w:sz w:val="26"/>
          <w:szCs w:val="26"/>
        </w:rPr>
        <w:t>一、估价委托人</w:t>
      </w:r>
      <w:r>
        <w:rPr>
          <w:color w:val="auto"/>
          <w:sz w:val="26"/>
          <w:szCs w:val="26"/>
        </w:rPr>
        <w:tab/>
      </w:r>
      <w:r>
        <w:rPr>
          <w:color w:val="auto"/>
          <w:sz w:val="26"/>
          <w:szCs w:val="26"/>
        </w:rPr>
        <w:fldChar w:fldCharType="begin"/>
      </w:r>
      <w:r>
        <w:rPr>
          <w:color w:val="auto"/>
          <w:sz w:val="26"/>
          <w:szCs w:val="26"/>
        </w:rPr>
        <w:instrText xml:space="preserve"> PAGEREF _Toc20706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"_Toc18153" </w:instrText>
      </w:r>
      <w:r>
        <w:rPr>
          <w:color w:val="auto"/>
        </w:rPr>
        <w:fldChar w:fldCharType="separate"/>
      </w:r>
      <w:r>
        <w:rPr>
          <w:rFonts w:hint="eastAsia"/>
          <w:color w:val="auto"/>
          <w:sz w:val="26"/>
          <w:szCs w:val="26"/>
        </w:rPr>
        <w:t>二、房地产估价机构</w:t>
      </w:r>
      <w:r>
        <w:rPr>
          <w:color w:val="auto"/>
          <w:sz w:val="26"/>
          <w:szCs w:val="26"/>
        </w:rPr>
        <w:tab/>
      </w:r>
      <w:r>
        <w:rPr>
          <w:color w:val="auto"/>
          <w:sz w:val="26"/>
          <w:szCs w:val="26"/>
        </w:rPr>
        <w:fldChar w:fldCharType="begin"/>
      </w:r>
      <w:r>
        <w:rPr>
          <w:color w:val="auto"/>
          <w:sz w:val="26"/>
          <w:szCs w:val="26"/>
        </w:rPr>
        <w:instrText xml:space="preserve"> PAGEREF _Toc18153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"_Toc29187" </w:instrText>
      </w:r>
      <w:r>
        <w:rPr>
          <w:color w:val="auto"/>
        </w:rPr>
        <w:fldChar w:fldCharType="separate"/>
      </w:r>
      <w:r>
        <w:rPr>
          <w:rFonts w:hint="eastAsia"/>
          <w:color w:val="auto"/>
          <w:sz w:val="26"/>
          <w:szCs w:val="26"/>
        </w:rPr>
        <w:t>三、估价目的</w:t>
      </w:r>
      <w:r>
        <w:rPr>
          <w:color w:val="auto"/>
          <w:sz w:val="26"/>
          <w:szCs w:val="26"/>
        </w:rPr>
        <w:tab/>
      </w:r>
      <w:r>
        <w:rPr>
          <w:color w:val="auto"/>
          <w:sz w:val="26"/>
          <w:szCs w:val="26"/>
        </w:rPr>
        <w:fldChar w:fldCharType="begin"/>
      </w:r>
      <w:r>
        <w:rPr>
          <w:color w:val="auto"/>
          <w:sz w:val="26"/>
          <w:szCs w:val="26"/>
        </w:rPr>
        <w:instrText xml:space="preserve"> PAGEREF _Toc29187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"_Toc25049" </w:instrText>
      </w:r>
      <w:r>
        <w:rPr>
          <w:color w:val="auto"/>
        </w:rPr>
        <w:fldChar w:fldCharType="separate"/>
      </w:r>
      <w:r>
        <w:rPr>
          <w:rFonts w:hint="eastAsia"/>
          <w:color w:val="auto"/>
          <w:sz w:val="26"/>
          <w:szCs w:val="26"/>
        </w:rPr>
        <w:t>四、估价对象</w:t>
      </w:r>
      <w:r>
        <w:rPr>
          <w:color w:val="auto"/>
          <w:sz w:val="26"/>
          <w:szCs w:val="26"/>
        </w:rPr>
        <w:tab/>
      </w:r>
      <w:r>
        <w:rPr>
          <w:color w:val="auto"/>
          <w:sz w:val="26"/>
          <w:szCs w:val="26"/>
        </w:rPr>
        <w:fldChar w:fldCharType="begin"/>
      </w:r>
      <w:r>
        <w:rPr>
          <w:color w:val="auto"/>
          <w:sz w:val="26"/>
          <w:szCs w:val="26"/>
        </w:rPr>
        <w:instrText xml:space="preserve"> PAGEREF _Toc25049 </w:instrText>
      </w:r>
      <w:r>
        <w:rPr>
          <w:color w:val="auto"/>
          <w:sz w:val="26"/>
          <w:szCs w:val="26"/>
        </w:rPr>
        <w:fldChar w:fldCharType="separate"/>
      </w:r>
      <w:r>
        <w:rPr>
          <w:color w:val="auto"/>
          <w:sz w:val="26"/>
          <w:szCs w:val="26"/>
        </w:rPr>
        <w:t>7</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"_Toc13528" </w:instrText>
      </w:r>
      <w:r>
        <w:rPr>
          <w:color w:val="auto"/>
        </w:rPr>
        <w:fldChar w:fldCharType="separate"/>
      </w:r>
      <w:r>
        <w:rPr>
          <w:rFonts w:hint="eastAsia"/>
          <w:color w:val="auto"/>
          <w:sz w:val="26"/>
          <w:szCs w:val="26"/>
        </w:rPr>
        <w:t>五、价值时点</w:t>
      </w:r>
      <w:r>
        <w:rPr>
          <w:color w:val="auto"/>
          <w:sz w:val="26"/>
          <w:szCs w:val="26"/>
        </w:rPr>
        <w:tab/>
      </w:r>
      <w:r>
        <w:rPr>
          <w:color w:val="auto"/>
          <w:sz w:val="26"/>
          <w:szCs w:val="26"/>
        </w:rPr>
        <w:fldChar w:fldCharType="begin"/>
      </w:r>
      <w:r>
        <w:rPr>
          <w:color w:val="auto"/>
          <w:sz w:val="26"/>
          <w:szCs w:val="26"/>
        </w:rPr>
        <w:instrText xml:space="preserve"> PAGEREF _Toc13528 </w:instrText>
      </w:r>
      <w:r>
        <w:rPr>
          <w:color w:val="auto"/>
          <w:sz w:val="26"/>
          <w:szCs w:val="26"/>
        </w:rPr>
        <w:fldChar w:fldCharType="separate"/>
      </w:r>
      <w:r>
        <w:rPr>
          <w:color w:val="auto"/>
          <w:sz w:val="26"/>
          <w:szCs w:val="26"/>
        </w:rPr>
        <w:t>8</w:t>
      </w:r>
      <w:r>
        <w:rPr>
          <w:color w:val="auto"/>
          <w:sz w:val="26"/>
          <w:szCs w:val="26"/>
        </w:rPr>
        <w:fldChar w:fldCharType="end"/>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"_Toc12933" </w:instrText>
      </w:r>
      <w:r>
        <w:rPr>
          <w:color w:val="auto"/>
        </w:rPr>
        <w:fldChar w:fldCharType="separate"/>
      </w:r>
      <w:r>
        <w:rPr>
          <w:rFonts w:hint="eastAsia"/>
          <w:color w:val="auto"/>
          <w:sz w:val="26"/>
          <w:szCs w:val="26"/>
        </w:rPr>
        <w:t>六、价值类型</w:t>
      </w:r>
      <w:r>
        <w:rPr>
          <w:color w:val="auto"/>
          <w:sz w:val="26"/>
          <w:szCs w:val="26"/>
        </w:rPr>
        <w:tab/>
      </w:r>
      <w:r>
        <w:rPr>
          <w:rFonts w:hint="eastAsia"/>
          <w:color w:val="auto"/>
          <w:sz w:val="26"/>
          <w:szCs w:val="26"/>
          <w:lang w:val="en-US" w:eastAsia="zh-CN"/>
        </w:rPr>
        <w:t>8</w:t>
      </w:r>
      <w:r>
        <w:rPr>
          <w:color w:val="auto"/>
        </w:rPr>
        <w:fldChar w:fldCharType="end"/>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"_Toc31469" </w:instrText>
      </w:r>
      <w:r>
        <w:rPr>
          <w:color w:val="auto"/>
        </w:rPr>
        <w:fldChar w:fldCharType="separate"/>
      </w:r>
      <w:r>
        <w:rPr>
          <w:rFonts w:hint="eastAsia"/>
          <w:color w:val="auto"/>
          <w:sz w:val="26"/>
          <w:szCs w:val="26"/>
        </w:rPr>
        <w:t>七、估价原则</w:t>
      </w:r>
      <w:r>
        <w:rPr>
          <w:color w:val="auto"/>
          <w:sz w:val="26"/>
          <w:szCs w:val="26"/>
        </w:rPr>
        <w:tab/>
      </w:r>
      <w:r>
        <w:rPr>
          <w:rFonts w:hint="eastAsia"/>
          <w:color w:val="auto"/>
          <w:sz w:val="26"/>
          <w:szCs w:val="26"/>
          <w:lang w:val="en-US" w:eastAsia="zh-CN"/>
        </w:rPr>
        <w:t>8</w:t>
      </w:r>
      <w:r>
        <w:rPr>
          <w:color w:val="auto"/>
        </w:rPr>
        <w:fldChar w:fldCharType="end"/>
      </w:r>
    </w:p>
    <w:p>
      <w:pPr>
        <w:pStyle w:val="25"/>
        <w:tabs>
          <w:tab w:val="right" w:leader="dot" w:pos="9638"/>
        </w:tabs>
        <w:spacing w:line="520" w:lineRule="exact"/>
        <w:rPr>
          <w:rFonts w:hint="eastAsia" w:eastAsia="仿宋_GB2312"/>
          <w:color w:val="auto"/>
          <w:sz w:val="26"/>
          <w:szCs w:val="26"/>
          <w:lang w:val="en-US" w:eastAsia="zh-CN"/>
        </w:rPr>
      </w:pPr>
      <w:r>
        <w:rPr>
          <w:color w:val="auto"/>
        </w:rPr>
        <w:fldChar w:fldCharType="begin"/>
      </w:r>
      <w:r>
        <w:rPr>
          <w:color w:val="auto"/>
        </w:rPr>
        <w:instrText xml:space="preserve">HYPERLINK  \l "_Toc11541" </w:instrText>
      </w:r>
      <w:r>
        <w:rPr>
          <w:color w:val="auto"/>
        </w:rPr>
        <w:fldChar w:fldCharType="separate"/>
      </w:r>
      <w:r>
        <w:rPr>
          <w:rFonts w:hint="eastAsia"/>
          <w:color w:val="auto"/>
          <w:sz w:val="26"/>
          <w:szCs w:val="26"/>
        </w:rPr>
        <w:t>八、估价依据</w:t>
      </w:r>
      <w:r>
        <w:rPr>
          <w:color w:val="auto"/>
          <w:sz w:val="26"/>
          <w:szCs w:val="26"/>
        </w:rPr>
        <w:tab/>
      </w:r>
      <w:r>
        <w:rPr>
          <w:rFonts w:hint="eastAsia"/>
          <w:color w:val="auto"/>
          <w:sz w:val="26"/>
          <w:szCs w:val="26"/>
          <w:lang w:val="en-US" w:eastAsia="zh-CN"/>
        </w:rPr>
        <w:t>9</w:t>
      </w:r>
      <w:r>
        <w:rPr>
          <w:color w:val="auto"/>
        </w:rPr>
        <w:fldChar w:fldCharType="end"/>
      </w:r>
    </w:p>
    <w:p>
      <w:pPr>
        <w:pStyle w:val="25"/>
        <w:tabs>
          <w:tab w:val="right" w:leader="dot" w:pos="9638"/>
        </w:tabs>
        <w:spacing w:line="520" w:lineRule="exact"/>
        <w:rPr>
          <w:rFonts w:hint="eastAsia" w:eastAsia="仿宋_GB2312"/>
          <w:color w:val="auto"/>
          <w:sz w:val="26"/>
          <w:szCs w:val="26"/>
          <w:lang w:val="en-US" w:eastAsia="zh-CN"/>
        </w:rPr>
      </w:pPr>
      <w:r>
        <w:rPr>
          <w:color w:val="auto"/>
        </w:rPr>
        <w:fldChar w:fldCharType="begin"/>
      </w:r>
      <w:r>
        <w:rPr>
          <w:color w:val="auto"/>
        </w:rPr>
        <w:instrText xml:space="preserve">HYPERLINK  \l "_Toc17776" </w:instrText>
      </w:r>
      <w:r>
        <w:rPr>
          <w:color w:val="auto"/>
        </w:rPr>
        <w:fldChar w:fldCharType="separate"/>
      </w:r>
      <w:r>
        <w:rPr>
          <w:rFonts w:hint="eastAsia"/>
          <w:color w:val="auto"/>
          <w:sz w:val="26"/>
          <w:szCs w:val="26"/>
        </w:rPr>
        <w:t>九、估价方法</w:t>
      </w:r>
      <w:r>
        <w:rPr>
          <w:color w:val="auto"/>
          <w:sz w:val="26"/>
          <w:szCs w:val="26"/>
        </w:rPr>
        <w:tab/>
      </w:r>
      <w:r>
        <w:rPr>
          <w:rFonts w:hint="eastAsia"/>
          <w:color w:val="auto"/>
          <w:sz w:val="26"/>
          <w:szCs w:val="26"/>
          <w:lang w:val="en-US" w:eastAsia="zh-CN"/>
        </w:rPr>
        <w:t>1</w:t>
      </w:r>
      <w:r>
        <w:rPr>
          <w:color w:val="auto"/>
        </w:rPr>
        <w:fldChar w:fldCharType="end"/>
      </w:r>
      <w:r>
        <w:rPr>
          <w:rFonts w:hint="eastAsia"/>
          <w:color w:val="auto"/>
          <w:lang w:val="en-US" w:eastAsia="zh-CN"/>
        </w:rPr>
        <w:t>0</w:t>
      </w:r>
    </w:p>
    <w:p>
      <w:pPr>
        <w:pStyle w:val="25"/>
        <w:tabs>
          <w:tab w:val="right" w:leader="dot" w:pos="9638"/>
        </w:tabs>
        <w:spacing w:line="520" w:lineRule="exact"/>
        <w:rPr>
          <w:rFonts w:hint="eastAsia" w:eastAsia="仿宋_GB2312"/>
          <w:color w:val="auto"/>
          <w:sz w:val="26"/>
          <w:szCs w:val="26"/>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HYPERLINK  \l "_Toc15643" </w:instrText>
      </w:r>
      <w:r>
        <w:rPr>
          <w:rFonts w:hint="default" w:ascii="Times New Roman" w:hAnsi="Times New Roman" w:cs="Times New Roman"/>
          <w:color w:val="auto"/>
        </w:rPr>
        <w:fldChar w:fldCharType="separate"/>
      </w:r>
      <w:r>
        <w:rPr>
          <w:rFonts w:hint="default" w:ascii="Times New Roman" w:hAnsi="Times New Roman" w:cs="Times New Roman"/>
          <w:color w:val="auto"/>
          <w:sz w:val="26"/>
          <w:szCs w:val="26"/>
        </w:rPr>
        <w:t>十、估价结果</w:t>
      </w:r>
      <w:r>
        <w:rPr>
          <w:rFonts w:hint="default" w:ascii="Times New Roman" w:hAnsi="Times New Roman" w:cs="Times New Roman"/>
          <w:color w:val="auto"/>
          <w:sz w:val="26"/>
          <w:szCs w:val="26"/>
        </w:rPr>
        <w:tab/>
      </w:r>
      <w:r>
        <w:rPr>
          <w:rFonts w:hint="default" w:ascii="Times New Roman" w:hAnsi="Times New Roman" w:cs="Times New Roman"/>
          <w:color w:val="auto"/>
          <w:sz w:val="26"/>
          <w:szCs w:val="26"/>
          <w:lang w:val="en-US" w:eastAsia="zh-CN"/>
        </w:rPr>
        <w:t>1</w:t>
      </w:r>
      <w:r>
        <w:rPr>
          <w:rFonts w:hint="default" w:ascii="Times New Roman" w:hAnsi="Times New Roman" w:cs="Times New Roman"/>
          <w:color w:val="auto"/>
        </w:rPr>
        <w:fldChar w:fldCharType="end"/>
      </w:r>
      <w:r>
        <w:rPr>
          <w:rFonts w:hint="eastAsia" w:cs="Times New Roman"/>
          <w:color w:val="auto"/>
          <w:sz w:val="26"/>
          <w:szCs w:val="26"/>
          <w:lang w:val="en-US" w:eastAsia="zh-CN"/>
        </w:rPr>
        <w:t>1</w:t>
      </w:r>
    </w:p>
    <w:p>
      <w:pPr>
        <w:pStyle w:val="25"/>
        <w:tabs>
          <w:tab w:val="right" w:leader="dot" w:pos="9638"/>
        </w:tabs>
        <w:spacing w:line="520" w:lineRule="exact"/>
        <w:rPr>
          <w:color w:val="auto"/>
          <w:sz w:val="26"/>
          <w:szCs w:val="26"/>
        </w:rPr>
      </w:pPr>
      <w:r>
        <w:rPr>
          <w:color w:val="auto"/>
        </w:rPr>
        <w:fldChar w:fldCharType="begin"/>
      </w:r>
      <w:r>
        <w:rPr>
          <w:color w:val="auto"/>
        </w:rPr>
        <w:instrText xml:space="preserve">HYPERLINK  \l "_Toc27736" </w:instrText>
      </w:r>
      <w:r>
        <w:rPr>
          <w:color w:val="auto"/>
        </w:rPr>
        <w:fldChar w:fldCharType="separate"/>
      </w:r>
      <w:r>
        <w:rPr>
          <w:rFonts w:hint="eastAsia"/>
          <w:color w:val="auto"/>
          <w:sz w:val="26"/>
          <w:szCs w:val="26"/>
        </w:rPr>
        <w:t>十一、注册房地产估价师</w:t>
      </w:r>
      <w:r>
        <w:rPr>
          <w:color w:val="auto"/>
          <w:sz w:val="26"/>
          <w:szCs w:val="26"/>
        </w:rPr>
        <w:tab/>
      </w:r>
      <w:r>
        <w:rPr>
          <w:color w:val="auto"/>
          <w:sz w:val="26"/>
          <w:szCs w:val="26"/>
        </w:rPr>
        <w:fldChar w:fldCharType="begin"/>
      </w:r>
      <w:r>
        <w:rPr>
          <w:color w:val="auto"/>
          <w:sz w:val="26"/>
          <w:szCs w:val="26"/>
        </w:rPr>
        <w:instrText xml:space="preserve"> PAGEREF _Toc27736 </w:instrText>
      </w:r>
      <w:r>
        <w:rPr>
          <w:color w:val="auto"/>
          <w:sz w:val="26"/>
          <w:szCs w:val="26"/>
        </w:rPr>
        <w:fldChar w:fldCharType="separate"/>
      </w:r>
      <w:r>
        <w:rPr>
          <w:color w:val="auto"/>
          <w:sz w:val="26"/>
          <w:szCs w:val="26"/>
        </w:rPr>
        <w:t>12</w:t>
      </w:r>
      <w:r>
        <w:rPr>
          <w:color w:val="auto"/>
          <w:sz w:val="26"/>
          <w:szCs w:val="26"/>
        </w:rPr>
        <w:fldChar w:fldCharType="end"/>
      </w:r>
      <w:r>
        <w:rPr>
          <w:color w:val="auto"/>
        </w:rPr>
        <w:fldChar w:fldCharType="end"/>
      </w:r>
    </w:p>
    <w:p>
      <w:pPr>
        <w:pStyle w:val="25"/>
        <w:tabs>
          <w:tab w:val="right" w:leader="dot" w:pos="9638"/>
        </w:tabs>
        <w:spacing w:line="520" w:lineRule="exact"/>
        <w:rPr>
          <w:rFonts w:hint="eastAsia" w:eastAsia="仿宋_GB2312"/>
          <w:color w:val="auto"/>
          <w:sz w:val="26"/>
          <w:szCs w:val="26"/>
          <w:lang w:eastAsia="zh-CN"/>
        </w:rPr>
      </w:pPr>
      <w:r>
        <w:rPr>
          <w:color w:val="auto"/>
        </w:rPr>
        <w:fldChar w:fldCharType="begin"/>
      </w:r>
      <w:r>
        <w:rPr>
          <w:color w:val="auto"/>
        </w:rPr>
        <w:instrText xml:space="preserve">HYPERLINK  \l "_Toc21141" </w:instrText>
      </w:r>
      <w:r>
        <w:rPr>
          <w:color w:val="auto"/>
        </w:rPr>
        <w:fldChar w:fldCharType="separate"/>
      </w:r>
      <w:r>
        <w:rPr>
          <w:rFonts w:hint="eastAsia"/>
          <w:color w:val="auto"/>
          <w:sz w:val="26"/>
          <w:szCs w:val="26"/>
        </w:rPr>
        <w:t>十二、实地查勘期</w:t>
      </w:r>
      <w:r>
        <w:rPr>
          <w:color w:val="auto"/>
          <w:sz w:val="26"/>
          <w:szCs w:val="26"/>
        </w:rPr>
        <w:tab/>
      </w:r>
      <w:r>
        <w:rPr>
          <w:rFonts w:hint="eastAsia"/>
          <w:color w:val="auto"/>
          <w:sz w:val="26"/>
          <w:szCs w:val="26"/>
        </w:rPr>
        <w:t>1</w:t>
      </w:r>
      <w:r>
        <w:rPr>
          <w:color w:val="auto"/>
        </w:rPr>
        <w:fldChar w:fldCharType="end"/>
      </w:r>
      <w:r>
        <w:rPr>
          <w:rFonts w:hint="eastAsia"/>
          <w:color w:val="auto"/>
          <w:sz w:val="26"/>
          <w:szCs w:val="26"/>
          <w:lang w:val="en-US" w:eastAsia="zh-CN"/>
        </w:rPr>
        <w:t>2</w:t>
      </w:r>
    </w:p>
    <w:p>
      <w:pPr>
        <w:pStyle w:val="25"/>
        <w:tabs>
          <w:tab w:val="right" w:leader="dot" w:pos="9638"/>
        </w:tabs>
        <w:spacing w:line="520" w:lineRule="exact"/>
        <w:rPr>
          <w:rFonts w:hint="eastAsia" w:eastAsia="仿宋_GB2312"/>
          <w:color w:val="auto"/>
          <w:sz w:val="26"/>
          <w:szCs w:val="26"/>
          <w:lang w:eastAsia="zh-CN"/>
        </w:rPr>
      </w:pPr>
      <w:r>
        <w:rPr>
          <w:color w:val="auto"/>
        </w:rPr>
        <w:fldChar w:fldCharType="begin"/>
      </w:r>
      <w:r>
        <w:rPr>
          <w:color w:val="auto"/>
        </w:rPr>
        <w:instrText xml:space="preserve">HYPERLINK  \l "_Toc24555" </w:instrText>
      </w:r>
      <w:r>
        <w:rPr>
          <w:color w:val="auto"/>
        </w:rPr>
        <w:fldChar w:fldCharType="separate"/>
      </w:r>
      <w:r>
        <w:rPr>
          <w:rFonts w:hint="eastAsia"/>
          <w:color w:val="auto"/>
          <w:sz w:val="26"/>
          <w:szCs w:val="26"/>
        </w:rPr>
        <w:t>十三、估价作业日期</w:t>
      </w:r>
      <w:r>
        <w:rPr>
          <w:color w:val="auto"/>
          <w:sz w:val="26"/>
          <w:szCs w:val="26"/>
        </w:rPr>
        <w:tab/>
      </w:r>
      <w:r>
        <w:rPr>
          <w:rFonts w:hint="eastAsia"/>
          <w:color w:val="auto"/>
          <w:sz w:val="26"/>
          <w:szCs w:val="26"/>
        </w:rPr>
        <w:t>1</w:t>
      </w:r>
      <w:r>
        <w:rPr>
          <w:color w:val="auto"/>
        </w:rPr>
        <w:fldChar w:fldCharType="end"/>
      </w:r>
      <w:r>
        <w:rPr>
          <w:rFonts w:hint="eastAsia"/>
          <w:color w:val="auto"/>
          <w:sz w:val="26"/>
          <w:szCs w:val="26"/>
          <w:lang w:val="en-US" w:eastAsia="zh-CN"/>
        </w:rPr>
        <w:t>2</w:t>
      </w:r>
    </w:p>
    <w:p>
      <w:pPr>
        <w:pStyle w:val="20"/>
        <w:tabs>
          <w:tab w:val="right" w:leader="dot" w:pos="9638"/>
        </w:tabs>
        <w:spacing w:line="520" w:lineRule="exact"/>
        <w:rPr>
          <w:rFonts w:hint="eastAsia" w:eastAsia="宋体"/>
          <w:color w:val="auto"/>
          <w:sz w:val="26"/>
          <w:szCs w:val="26"/>
          <w:lang w:val="en-US" w:eastAsia="zh-CN"/>
        </w:rPr>
      </w:pPr>
      <w:r>
        <w:rPr>
          <w:color w:val="auto"/>
        </w:rPr>
        <w:fldChar w:fldCharType="begin"/>
      </w:r>
      <w:r>
        <w:rPr>
          <w:color w:val="auto"/>
        </w:rPr>
        <w:instrText xml:space="preserve">HYPERLINK  \l "_Toc25586" </w:instrText>
      </w:r>
      <w:r>
        <w:rPr>
          <w:color w:val="auto"/>
        </w:rPr>
        <w:fldChar w:fldCharType="separate"/>
      </w:r>
      <w:r>
        <w:rPr>
          <w:rFonts w:hint="eastAsia" w:ascii="仿宋_GB2312" w:hAnsi="仿宋_GB2312" w:eastAsia="仿宋_GB2312" w:cs="仿宋_GB2312"/>
          <w:bCs/>
          <w:color w:val="auto"/>
          <w:sz w:val="26"/>
          <w:szCs w:val="26"/>
        </w:rPr>
        <w:t>第五部分：</w:t>
      </w:r>
      <w:r>
        <w:rPr>
          <w:rFonts w:hint="eastAsia" w:ascii="仿宋_GB2312" w:hAnsi="仿宋_GB2312" w:eastAsia="仿宋_GB2312"/>
          <w:color w:val="auto"/>
          <w:sz w:val="26"/>
          <w:szCs w:val="26"/>
        </w:rPr>
        <w:t>附</w:t>
      </w:r>
      <w:r>
        <w:rPr>
          <w:rFonts w:ascii="仿宋_GB2312" w:hAnsi="仿宋_GB2312" w:eastAsia="仿宋_GB2312"/>
          <w:color w:val="auto"/>
          <w:sz w:val="26"/>
          <w:szCs w:val="26"/>
        </w:rPr>
        <w:t xml:space="preserve">    </w:t>
      </w:r>
      <w:r>
        <w:rPr>
          <w:rFonts w:hint="eastAsia" w:ascii="仿宋_GB2312" w:hAnsi="仿宋_GB2312" w:eastAsia="仿宋_GB2312"/>
          <w:color w:val="auto"/>
          <w:sz w:val="26"/>
          <w:szCs w:val="26"/>
        </w:rPr>
        <w:t>件</w:t>
      </w:r>
      <w:r>
        <w:rPr>
          <w:rFonts w:eastAsia="仿宋_GB2312"/>
          <w:color w:val="auto"/>
          <w:sz w:val="26"/>
          <w:szCs w:val="26"/>
        </w:rPr>
        <w:tab/>
      </w:r>
      <w:r>
        <w:rPr>
          <w:rFonts w:hint="eastAsia" w:eastAsia="仿宋_GB2312"/>
          <w:color w:val="auto"/>
          <w:sz w:val="26"/>
          <w:szCs w:val="26"/>
          <w:lang w:val="en-US" w:eastAsia="zh-CN"/>
        </w:rPr>
        <w:t>1</w:t>
      </w:r>
      <w:r>
        <w:rPr>
          <w:color w:val="auto"/>
        </w:rPr>
        <w:fldChar w:fldCharType="end"/>
      </w:r>
      <w:r>
        <w:rPr>
          <w:rFonts w:hint="eastAsia"/>
          <w:color w:val="auto"/>
          <w:lang w:val="en-US" w:eastAsia="zh-CN"/>
        </w:rPr>
        <w:t>2</w:t>
      </w:r>
    </w:p>
    <w:p>
      <w:pPr>
        <w:spacing w:line="400" w:lineRule="exact"/>
        <w:rPr>
          <w:color w:val="auto"/>
          <w:sz w:val="22"/>
          <w:szCs w:val="22"/>
        </w:rPr>
      </w:pPr>
      <w:r>
        <w:rPr>
          <w:color w:val="auto"/>
          <w:sz w:val="26"/>
          <w:szCs w:val="26"/>
        </w:rPr>
        <w:fldChar w:fldCharType="end"/>
      </w:r>
      <w:r>
        <w:rPr>
          <w:rFonts w:hint="eastAsia"/>
          <w:color w:val="auto"/>
          <w:sz w:val="26"/>
          <w:szCs w:val="26"/>
          <w:lang w:val="en-US" w:eastAsia="zh-CN"/>
        </w:rPr>
        <w:t xml:space="preserve">  </w:t>
      </w:r>
      <w:r>
        <w:rPr>
          <w:rFonts w:hint="eastAsia"/>
          <w:color w:val="auto"/>
          <w:sz w:val="24"/>
          <w:szCs w:val="24"/>
          <w:lang w:val="en-US" w:eastAsia="zh-CN"/>
        </w:rPr>
        <w:t xml:space="preserve"> </w:t>
      </w:r>
      <w:r>
        <w:rPr>
          <w:color w:val="auto"/>
          <w:sz w:val="24"/>
          <w:szCs w:val="24"/>
          <w:u w:val="single"/>
        </w:rPr>
        <w:t>1.</w:t>
      </w:r>
      <w:r>
        <w:rPr>
          <w:rFonts w:hint="eastAsia"/>
          <w:color w:val="auto"/>
          <w:sz w:val="24"/>
          <w:szCs w:val="24"/>
          <w:u w:val="single"/>
        </w:rPr>
        <w:t>估价对象现场照片</w:t>
      </w:r>
      <w:r>
        <w:rPr>
          <w:color w:val="auto"/>
          <w:sz w:val="24"/>
          <w:szCs w:val="24"/>
          <w:u w:val="single"/>
        </w:rPr>
        <w:t>2.</w:t>
      </w:r>
      <w:r>
        <w:rPr>
          <w:rFonts w:hint="eastAsia"/>
          <w:color w:val="auto"/>
          <w:sz w:val="24"/>
          <w:szCs w:val="24"/>
          <w:u w:val="single"/>
        </w:rPr>
        <w:t>地理位置示意图</w:t>
      </w:r>
      <w:r>
        <w:rPr>
          <w:color w:val="auto"/>
          <w:sz w:val="24"/>
          <w:szCs w:val="24"/>
          <w:u w:val="single"/>
        </w:rPr>
        <w:t>3.</w:t>
      </w:r>
      <w:r>
        <w:rPr>
          <w:rFonts w:hint="eastAsia"/>
          <w:color w:val="auto"/>
          <w:sz w:val="24"/>
          <w:szCs w:val="24"/>
          <w:u w:val="single"/>
        </w:rPr>
        <w:t>司法评估委托书复印件</w:t>
      </w:r>
      <w:r>
        <w:rPr>
          <w:color w:val="auto"/>
          <w:sz w:val="24"/>
          <w:szCs w:val="24"/>
          <w:u w:val="single"/>
        </w:rPr>
        <w:t>4.</w:t>
      </w:r>
      <w:r>
        <w:rPr>
          <w:rFonts w:hint="eastAsia"/>
          <w:color w:val="auto"/>
          <w:sz w:val="24"/>
          <w:szCs w:val="24"/>
          <w:u w:val="single"/>
        </w:rPr>
        <w:t>《</w:t>
      </w:r>
      <w:r>
        <w:rPr>
          <w:rFonts w:hint="eastAsia"/>
          <w:color w:val="auto"/>
          <w:sz w:val="24"/>
          <w:szCs w:val="24"/>
          <w:u w:val="single"/>
          <w:lang w:eastAsia="zh-CN"/>
        </w:rPr>
        <w:t>不动产信息查询记录</w:t>
      </w:r>
      <w:r>
        <w:rPr>
          <w:rFonts w:hint="eastAsia"/>
          <w:color w:val="auto"/>
          <w:sz w:val="24"/>
          <w:szCs w:val="24"/>
          <w:u w:val="single"/>
        </w:rPr>
        <w:t>》复印件5.估价师资格证书复印件</w:t>
      </w:r>
      <w:r>
        <w:rPr>
          <w:rFonts w:hint="eastAsia"/>
          <w:color w:val="auto"/>
          <w:sz w:val="24"/>
          <w:szCs w:val="24"/>
          <w:u w:val="single"/>
          <w:lang w:val="en-US" w:eastAsia="zh-CN"/>
        </w:rPr>
        <w:t>6.</w:t>
      </w:r>
      <w:r>
        <w:rPr>
          <w:rFonts w:hint="eastAsia"/>
          <w:color w:val="auto"/>
          <w:sz w:val="24"/>
          <w:szCs w:val="24"/>
          <w:u w:val="single"/>
        </w:rPr>
        <w:t>估价机构资格证书复印件</w:t>
      </w:r>
      <w:r>
        <w:rPr>
          <w:rFonts w:hint="eastAsia"/>
          <w:color w:val="auto"/>
          <w:sz w:val="24"/>
          <w:szCs w:val="24"/>
          <w:u w:val="single"/>
          <w:lang w:val="en-US" w:eastAsia="zh-CN"/>
        </w:rPr>
        <w:t>7</w:t>
      </w:r>
      <w:r>
        <w:rPr>
          <w:color w:val="auto"/>
          <w:sz w:val="24"/>
          <w:szCs w:val="24"/>
          <w:u w:val="single"/>
        </w:rPr>
        <w:t>.</w:t>
      </w:r>
      <w:r>
        <w:rPr>
          <w:rFonts w:hint="eastAsia"/>
          <w:color w:val="auto"/>
          <w:sz w:val="24"/>
          <w:szCs w:val="24"/>
          <w:u w:val="single"/>
        </w:rPr>
        <w:t>估价机构营业执照复印件</w:t>
      </w:r>
    </w:p>
    <w:p>
      <w:pPr>
        <w:spacing w:line="400" w:lineRule="exact"/>
        <w:ind w:firstLine="240" w:firstLineChars="100"/>
        <w:rPr>
          <w:color w:val="auto"/>
          <w:szCs w:val="26"/>
        </w:rPr>
      </w:pPr>
    </w:p>
    <w:p>
      <w:pPr>
        <w:spacing w:line="480" w:lineRule="exact"/>
        <w:ind w:firstLine="480" w:firstLineChars="200"/>
        <w:rPr>
          <w:rStyle w:val="37"/>
          <w:bCs/>
          <w:color w:val="auto"/>
          <w:u w:val="none"/>
        </w:rPr>
      </w:pPr>
    </w:p>
    <w:p>
      <w:pPr>
        <w:spacing w:line="240" w:lineRule="auto"/>
        <w:rPr>
          <w:color w:val="auto"/>
          <w:szCs w:val="24"/>
        </w:rPr>
      </w:pPr>
    </w:p>
    <w:p>
      <w:pPr>
        <w:spacing w:line="240" w:lineRule="auto"/>
        <w:rPr>
          <w:color w:val="auto"/>
          <w:szCs w:val="24"/>
        </w:rPr>
      </w:pPr>
    </w:p>
    <w:p>
      <w:pPr>
        <w:spacing w:line="240" w:lineRule="auto"/>
        <w:rPr>
          <w:color w:val="auto"/>
          <w:szCs w:val="24"/>
        </w:rPr>
      </w:pPr>
    </w:p>
    <w:p>
      <w:pPr>
        <w:spacing w:line="240" w:lineRule="auto"/>
        <w:rPr>
          <w:color w:val="auto"/>
          <w:szCs w:val="24"/>
        </w:rPr>
      </w:pPr>
    </w:p>
    <w:bookmarkEnd w:id="6"/>
    <w:bookmarkEnd w:id="7"/>
    <w:bookmarkEnd w:id="8"/>
    <w:p>
      <w:pPr>
        <w:snapToGrid w:val="0"/>
        <w:spacing w:line="440" w:lineRule="exact"/>
        <w:jc w:val="center"/>
        <w:outlineLvl w:val="0"/>
        <w:rPr>
          <w:rFonts w:ascii="仿宋_GB2312" w:hAnsi="仿宋_GB2312" w:cs="仿宋_GB2312"/>
          <w:b/>
          <w:bCs/>
          <w:color w:val="auto"/>
          <w:sz w:val="34"/>
          <w:szCs w:val="34"/>
        </w:rPr>
      </w:pPr>
      <w:r>
        <w:rPr>
          <w:rFonts w:hint="eastAsia" w:ascii="仿宋_GB2312" w:hAnsi="仿宋_GB2312" w:cs="仿宋_GB2312"/>
          <w:b/>
          <w:bCs/>
          <w:color w:val="auto"/>
          <w:sz w:val="34"/>
          <w:szCs w:val="34"/>
        </w:rPr>
        <w:br w:type="page"/>
      </w:r>
      <w:bookmarkStart w:id="9" w:name="_Toc17229"/>
      <w:r>
        <w:rPr>
          <w:rFonts w:hint="eastAsia" w:ascii="仿宋_GB2312" w:hAnsi="仿宋_GB2312" w:cs="仿宋_GB2312"/>
          <w:b/>
          <w:bCs/>
          <w:color w:val="auto"/>
          <w:sz w:val="34"/>
          <w:szCs w:val="34"/>
        </w:rPr>
        <w:t>第二部分：估价师声明</w:t>
      </w:r>
      <w:bookmarkEnd w:id="9"/>
    </w:p>
    <w:p>
      <w:pPr>
        <w:snapToGrid w:val="0"/>
        <w:spacing w:line="440" w:lineRule="exact"/>
        <w:outlineLvl w:val="0"/>
        <w:rPr>
          <w:rFonts w:ascii="仿宋_GB2312" w:hAnsi="仿宋_GB2312" w:cs="仿宋_GB2312"/>
          <w:b/>
          <w:bCs/>
          <w:color w:val="auto"/>
          <w:sz w:val="34"/>
          <w:szCs w:val="34"/>
        </w:rPr>
      </w:pPr>
    </w:p>
    <w:p>
      <w:pPr>
        <w:snapToGrid w:val="0"/>
        <w:spacing w:line="480" w:lineRule="exact"/>
        <w:rPr>
          <w:rFonts w:ascii="仿宋_GB2312" w:cs="仿宋_GB2312"/>
          <w:color w:val="auto"/>
          <w:sz w:val="26"/>
          <w:szCs w:val="26"/>
        </w:rPr>
      </w:pPr>
      <w:r>
        <w:rPr>
          <w:rFonts w:hint="eastAsia" w:ascii="仿宋_GB2312" w:hAnsi="仿宋_GB2312" w:cs="仿宋_GB2312"/>
          <w:color w:val="auto"/>
          <w:sz w:val="26"/>
          <w:szCs w:val="26"/>
        </w:rPr>
        <w:t>我们根据自己的专业知识和职业道德，在此郑重声明：</w:t>
      </w:r>
    </w:p>
    <w:p>
      <w:pPr>
        <w:snapToGrid w:val="0"/>
        <w:spacing w:line="480" w:lineRule="exact"/>
        <w:ind w:firstLine="520" w:firstLineChars="200"/>
        <w:rPr>
          <w:color w:val="auto"/>
          <w:sz w:val="26"/>
          <w:szCs w:val="26"/>
        </w:rPr>
      </w:pPr>
      <w:r>
        <w:rPr>
          <w:color w:val="auto"/>
          <w:sz w:val="26"/>
          <w:szCs w:val="26"/>
        </w:rPr>
        <w:t>1</w:t>
      </w:r>
      <w:r>
        <w:rPr>
          <w:rFonts w:hint="eastAsia"/>
          <w:color w:val="auto"/>
          <w:sz w:val="26"/>
          <w:szCs w:val="26"/>
        </w:rPr>
        <w:t>、我们在估价报告中对事实的说明是真实和准确的，没有虚假记载、误导性陈诉和重大遗漏。</w:t>
      </w:r>
    </w:p>
    <w:p>
      <w:pPr>
        <w:snapToGrid w:val="0"/>
        <w:spacing w:line="480" w:lineRule="exact"/>
        <w:ind w:firstLine="520" w:firstLineChars="200"/>
        <w:rPr>
          <w:color w:val="auto"/>
          <w:sz w:val="26"/>
          <w:szCs w:val="26"/>
        </w:rPr>
      </w:pPr>
      <w:r>
        <w:rPr>
          <w:color w:val="auto"/>
          <w:sz w:val="26"/>
          <w:szCs w:val="26"/>
        </w:rPr>
        <w:t>2</w:t>
      </w:r>
      <w:r>
        <w:rPr>
          <w:rFonts w:hint="eastAsia"/>
          <w:color w:val="auto"/>
          <w:sz w:val="26"/>
          <w:szCs w:val="26"/>
        </w:rPr>
        <w:t>、本估价报告中的分析、意见和结论是房地产估价师独立、客观、公正的专业分析、意见和结论，但受到估价报告中已经说明的估价假设和限制条件的限制。</w:t>
      </w:r>
    </w:p>
    <w:p>
      <w:pPr>
        <w:snapToGrid w:val="0"/>
        <w:spacing w:line="480" w:lineRule="exact"/>
        <w:ind w:firstLine="520" w:firstLineChars="200"/>
        <w:rPr>
          <w:color w:val="auto"/>
          <w:sz w:val="26"/>
          <w:szCs w:val="26"/>
        </w:rPr>
      </w:pPr>
      <w:r>
        <w:rPr>
          <w:color w:val="auto"/>
          <w:sz w:val="26"/>
          <w:szCs w:val="26"/>
        </w:rPr>
        <w:t>3</w:t>
      </w:r>
      <w:r>
        <w:rPr>
          <w:rFonts w:hint="eastAsia"/>
          <w:color w:val="auto"/>
          <w:sz w:val="26"/>
          <w:szCs w:val="26"/>
        </w:rPr>
        <w:t>、我们与估价报告中的估价对象没有现实或潜在的利益，与估价委托人及估价利害关系人没有利害关系。</w:t>
      </w:r>
      <w:r>
        <w:rPr>
          <w:color w:val="auto"/>
          <w:sz w:val="26"/>
          <w:szCs w:val="26"/>
        </w:rPr>
        <w:t xml:space="preserve"> </w:t>
      </w:r>
    </w:p>
    <w:p>
      <w:pPr>
        <w:snapToGrid w:val="0"/>
        <w:spacing w:line="480" w:lineRule="exact"/>
        <w:ind w:firstLine="520" w:firstLineChars="200"/>
        <w:rPr>
          <w:color w:val="auto"/>
          <w:sz w:val="26"/>
          <w:szCs w:val="26"/>
        </w:rPr>
      </w:pPr>
      <w:r>
        <w:rPr>
          <w:color w:val="auto"/>
          <w:sz w:val="26"/>
          <w:szCs w:val="26"/>
        </w:rPr>
        <w:t>4</w:t>
      </w:r>
      <w:r>
        <w:rPr>
          <w:rFonts w:hint="eastAsia"/>
          <w:color w:val="auto"/>
          <w:sz w:val="26"/>
          <w:szCs w:val="26"/>
        </w:rPr>
        <w:t>、我们对估价报告中的估价对象、估价委托人及估价利害关系人没有偏见。</w:t>
      </w:r>
    </w:p>
    <w:p>
      <w:pPr>
        <w:snapToGrid w:val="0"/>
        <w:spacing w:line="480" w:lineRule="exact"/>
        <w:ind w:firstLine="520" w:firstLineChars="200"/>
        <w:rPr>
          <w:color w:val="auto"/>
          <w:sz w:val="26"/>
          <w:szCs w:val="26"/>
        </w:rPr>
      </w:pPr>
      <w:r>
        <w:rPr>
          <w:color w:val="auto"/>
          <w:sz w:val="26"/>
          <w:szCs w:val="26"/>
        </w:rPr>
        <w:t>5</w:t>
      </w:r>
      <w:r>
        <w:rPr>
          <w:rFonts w:hint="eastAsia"/>
          <w:color w:val="auto"/>
          <w:sz w:val="26"/>
          <w:szCs w:val="26"/>
        </w:rPr>
        <w:t>、我们是依照中华人民共和国国家标准《房地产估价规范》（</w:t>
      </w:r>
      <w:r>
        <w:rPr>
          <w:color w:val="auto"/>
          <w:sz w:val="26"/>
          <w:szCs w:val="26"/>
        </w:rPr>
        <w:t>GB/T 50291-2015</w:t>
      </w:r>
      <w:r>
        <w:rPr>
          <w:rFonts w:hint="eastAsia"/>
          <w:color w:val="auto"/>
          <w:sz w:val="26"/>
          <w:szCs w:val="26"/>
        </w:rPr>
        <w:t>）、《房地产估价基本术语标准》（</w:t>
      </w:r>
      <w:r>
        <w:rPr>
          <w:color w:val="auto"/>
          <w:sz w:val="26"/>
          <w:szCs w:val="26"/>
        </w:rPr>
        <w:t>GB/T 50899-2013</w:t>
      </w:r>
      <w:r>
        <w:rPr>
          <w:rFonts w:hint="eastAsia"/>
          <w:color w:val="auto"/>
          <w:sz w:val="26"/>
          <w:szCs w:val="26"/>
        </w:rPr>
        <w:t>）以及相关房地产估价专项标准进行分析，形成意见和结论，撰写估价报告。</w:t>
      </w:r>
    </w:p>
    <w:p>
      <w:pPr>
        <w:snapToGrid w:val="0"/>
        <w:spacing w:line="480" w:lineRule="exact"/>
        <w:ind w:firstLine="520" w:firstLineChars="200"/>
        <w:rPr>
          <w:color w:val="auto"/>
          <w:sz w:val="26"/>
          <w:szCs w:val="26"/>
        </w:rPr>
      </w:pPr>
      <w:r>
        <w:rPr>
          <w:color w:val="auto"/>
          <w:sz w:val="26"/>
          <w:szCs w:val="26"/>
        </w:rPr>
        <w:t>6</w:t>
      </w:r>
      <w:r>
        <w:rPr>
          <w:rFonts w:hint="eastAsia"/>
          <w:color w:val="auto"/>
          <w:sz w:val="26"/>
          <w:szCs w:val="26"/>
        </w:rPr>
        <w:t>、</w:t>
      </w:r>
      <w:r>
        <w:rPr>
          <w:color w:val="auto"/>
          <w:sz w:val="26"/>
          <w:szCs w:val="26"/>
        </w:rPr>
        <w:t>我们的</w:t>
      </w:r>
      <w:r>
        <w:rPr>
          <w:rFonts w:hint="eastAsia"/>
          <w:color w:val="auto"/>
          <w:sz w:val="26"/>
          <w:szCs w:val="26"/>
          <w:lang w:eastAsia="zh-CN"/>
        </w:rPr>
        <w:t>注册</w:t>
      </w:r>
      <w:r>
        <w:rPr>
          <w:color w:val="auto"/>
          <w:sz w:val="26"/>
          <w:szCs w:val="26"/>
        </w:rPr>
        <w:t>房地产估价人员已于价值时点对本估价报告中的估价对象的建筑结构、室内外状况进行了实地</w:t>
      </w:r>
      <w:r>
        <w:rPr>
          <w:rFonts w:hint="eastAsia"/>
          <w:color w:val="auto"/>
          <w:sz w:val="26"/>
          <w:szCs w:val="26"/>
          <w:lang w:eastAsia="zh-CN"/>
        </w:rPr>
        <w:t>查勘</w:t>
      </w:r>
      <w:r>
        <w:rPr>
          <w:color w:val="auto"/>
          <w:sz w:val="26"/>
          <w:szCs w:val="26"/>
        </w:rPr>
        <w:t>并进行记录。但仅限于估价对象的外观与目前维护管理状况，尤其因提供资料有限，我们不承担对估价对象建筑结构质量、建筑面积数量准确性、相应权益进行检视的责任，也不承担其他被遮盖，未暴露及难以接触到的部分进行检视的责任</w:t>
      </w:r>
      <w:r>
        <w:rPr>
          <w:rFonts w:hint="eastAsia"/>
          <w:color w:val="auto"/>
          <w:sz w:val="26"/>
          <w:szCs w:val="26"/>
        </w:rPr>
        <w:t>。</w:t>
      </w:r>
      <w:r>
        <w:rPr>
          <w:color w:val="auto"/>
          <w:sz w:val="26"/>
          <w:szCs w:val="26"/>
        </w:rPr>
        <w:t xml:space="preserve">    </w:t>
      </w:r>
    </w:p>
    <w:p>
      <w:pPr>
        <w:snapToGrid w:val="0"/>
        <w:spacing w:line="480" w:lineRule="exact"/>
        <w:ind w:firstLine="520" w:firstLineChars="200"/>
        <w:rPr>
          <w:color w:val="auto"/>
          <w:sz w:val="26"/>
          <w:szCs w:val="26"/>
        </w:rPr>
      </w:pPr>
      <w:r>
        <w:rPr>
          <w:color w:val="auto"/>
          <w:sz w:val="26"/>
          <w:szCs w:val="26"/>
        </w:rPr>
        <w:t>7</w:t>
      </w:r>
      <w:r>
        <w:rPr>
          <w:rFonts w:hint="eastAsia"/>
          <w:color w:val="auto"/>
          <w:sz w:val="26"/>
          <w:szCs w:val="26"/>
        </w:rPr>
        <w:t>、没有人对本估价报告提供重要专业帮助。</w:t>
      </w:r>
    </w:p>
    <w:p>
      <w:pPr>
        <w:snapToGrid w:val="0"/>
        <w:spacing w:line="480" w:lineRule="exact"/>
        <w:ind w:firstLine="520" w:firstLineChars="200"/>
        <w:rPr>
          <w:color w:val="auto"/>
          <w:sz w:val="26"/>
          <w:szCs w:val="26"/>
        </w:rPr>
      </w:pPr>
    </w:p>
    <w:p>
      <w:pPr>
        <w:snapToGrid w:val="0"/>
        <w:spacing w:line="480" w:lineRule="exact"/>
        <w:ind w:firstLine="520" w:firstLineChars="200"/>
        <w:rPr>
          <w:color w:val="auto"/>
          <w:sz w:val="26"/>
          <w:szCs w:val="26"/>
        </w:rPr>
      </w:pPr>
    </w:p>
    <w:p>
      <w:pPr>
        <w:snapToGrid w:val="0"/>
        <w:spacing w:line="480" w:lineRule="exact"/>
        <w:ind w:firstLine="520" w:firstLineChars="200"/>
        <w:rPr>
          <w:color w:val="auto"/>
          <w:sz w:val="26"/>
          <w:szCs w:val="26"/>
        </w:rPr>
      </w:pPr>
    </w:p>
    <w:p>
      <w:pPr>
        <w:snapToGrid w:val="0"/>
        <w:spacing w:line="500" w:lineRule="exact"/>
        <w:jc w:val="center"/>
        <w:outlineLvl w:val="0"/>
        <w:rPr>
          <w:rFonts w:ascii="仿宋_GB2312" w:cs="仿宋_GB2312"/>
          <w:b/>
          <w:bCs/>
          <w:color w:val="auto"/>
          <w:sz w:val="34"/>
          <w:szCs w:val="34"/>
        </w:rPr>
      </w:pPr>
      <w:r>
        <w:rPr>
          <w:color w:val="auto"/>
        </w:rPr>
        <w:br w:type="page"/>
      </w:r>
      <w:bookmarkStart w:id="10" w:name="_Toc2866"/>
      <w:bookmarkStart w:id="11" w:name="_Toc213473260"/>
      <w:bookmarkStart w:id="12" w:name="_Toc119160798"/>
      <w:bookmarkStart w:id="13" w:name="_Toc454373095"/>
      <w:bookmarkStart w:id="14" w:name="_Toc469641710"/>
      <w:r>
        <w:rPr>
          <w:rFonts w:hint="eastAsia" w:ascii="仿宋_GB2312" w:hAnsi="仿宋_GB2312" w:cs="仿宋_GB2312"/>
          <w:b/>
          <w:bCs/>
          <w:color w:val="auto"/>
          <w:sz w:val="34"/>
          <w:szCs w:val="34"/>
        </w:rPr>
        <w:t>第三部分：估价的假设和限制条件</w:t>
      </w:r>
      <w:bookmarkEnd w:id="10"/>
    </w:p>
    <w:p>
      <w:pPr>
        <w:numPr>
          <w:ilvl w:val="0"/>
          <w:numId w:val="2"/>
        </w:numPr>
        <w:spacing w:beforeLines="50" w:line="480" w:lineRule="exact"/>
        <w:rPr>
          <w:b/>
          <w:color w:val="auto"/>
          <w:sz w:val="26"/>
          <w:szCs w:val="26"/>
        </w:rPr>
      </w:pPr>
      <w:r>
        <w:rPr>
          <w:rFonts w:hint="eastAsia"/>
          <w:b/>
          <w:color w:val="auto"/>
          <w:sz w:val="26"/>
          <w:szCs w:val="26"/>
        </w:rPr>
        <w:t>本次估价的一般假设</w:t>
      </w:r>
    </w:p>
    <w:p>
      <w:pPr>
        <w:spacing w:line="480" w:lineRule="exact"/>
        <w:ind w:firstLine="520" w:firstLineChars="200"/>
        <w:rPr>
          <w:bCs/>
          <w:color w:val="auto"/>
          <w:sz w:val="26"/>
          <w:szCs w:val="26"/>
        </w:rPr>
      </w:pPr>
      <w:r>
        <w:rPr>
          <w:bCs/>
          <w:color w:val="auto"/>
          <w:sz w:val="26"/>
          <w:szCs w:val="26"/>
        </w:rPr>
        <w:t>1</w:t>
      </w:r>
      <w:r>
        <w:rPr>
          <w:rFonts w:hint="eastAsia"/>
          <w:bCs/>
          <w:color w:val="auto"/>
          <w:sz w:val="26"/>
          <w:szCs w:val="26"/>
        </w:rPr>
        <w:t>、估价对象房地产产权明晰，手续齐全，可在公开市场上自由转让。</w:t>
      </w:r>
    </w:p>
    <w:p>
      <w:pPr>
        <w:spacing w:line="480" w:lineRule="exact"/>
        <w:ind w:firstLine="520" w:firstLineChars="200"/>
        <w:rPr>
          <w:bCs/>
          <w:color w:val="auto"/>
          <w:sz w:val="26"/>
          <w:szCs w:val="26"/>
        </w:rPr>
      </w:pPr>
      <w:r>
        <w:rPr>
          <w:bCs/>
          <w:color w:val="auto"/>
          <w:sz w:val="26"/>
          <w:szCs w:val="26"/>
        </w:rPr>
        <w:t>2</w:t>
      </w:r>
      <w:r>
        <w:rPr>
          <w:rFonts w:hint="eastAsia"/>
          <w:bCs/>
          <w:color w:val="auto"/>
          <w:sz w:val="26"/>
          <w:szCs w:val="26"/>
        </w:rPr>
        <w:t>、</w:t>
      </w:r>
      <w:r>
        <w:rPr>
          <w:rFonts w:hint="eastAsia"/>
          <w:color w:val="auto"/>
          <w:sz w:val="26"/>
          <w:szCs w:val="26"/>
        </w:rPr>
        <w:t>本次评估的房产建筑面积</w:t>
      </w:r>
      <w:r>
        <w:rPr>
          <w:rFonts w:hint="eastAsia"/>
          <w:color w:val="auto"/>
          <w:sz w:val="26"/>
          <w:szCs w:val="26"/>
          <w:lang w:eastAsia="zh-CN"/>
        </w:rPr>
        <w:t>及土地使用权面积</w:t>
      </w:r>
      <w:r>
        <w:rPr>
          <w:rFonts w:hint="eastAsia"/>
          <w:color w:val="auto"/>
          <w:sz w:val="26"/>
          <w:szCs w:val="26"/>
        </w:rPr>
        <w:t>以委托人提供的《</w:t>
      </w:r>
      <w:r>
        <w:rPr>
          <w:rFonts w:hint="eastAsia"/>
          <w:color w:val="auto"/>
          <w:sz w:val="26"/>
          <w:szCs w:val="26"/>
          <w:lang w:eastAsia="zh-CN"/>
        </w:rPr>
        <w:t>不动产信息查询记录</w:t>
      </w:r>
      <w:r>
        <w:rPr>
          <w:rFonts w:hint="eastAsia"/>
          <w:color w:val="auto"/>
          <w:sz w:val="26"/>
          <w:szCs w:val="26"/>
        </w:rPr>
        <w:t>》记载的面积数据为依据，且由委托人提供，来源合法，</w:t>
      </w:r>
      <w:r>
        <w:rPr>
          <w:rFonts w:hint="eastAsia" w:ascii="仿宋_GB2312" w:hAnsi="仿宋_GB2312" w:cs="仿宋_GB2312"/>
          <w:color w:val="auto"/>
          <w:sz w:val="26"/>
          <w:szCs w:val="26"/>
        </w:rPr>
        <w:t>我们未向政府有关部门进行核实。在无理由怀疑其合法性、真实性、准确性和完整性的情况下，假定委托人提供的资料合法、真实、准确、完整</w:t>
      </w:r>
      <w:r>
        <w:rPr>
          <w:rFonts w:hint="eastAsia"/>
          <w:bCs/>
          <w:color w:val="auto"/>
          <w:sz w:val="26"/>
          <w:szCs w:val="26"/>
        </w:rPr>
        <w:t>。</w:t>
      </w:r>
    </w:p>
    <w:p>
      <w:pPr>
        <w:spacing w:line="480" w:lineRule="exact"/>
        <w:ind w:firstLine="520" w:firstLineChars="200"/>
        <w:rPr>
          <w:bCs/>
          <w:color w:val="auto"/>
          <w:sz w:val="26"/>
          <w:szCs w:val="26"/>
        </w:rPr>
      </w:pPr>
      <w:r>
        <w:rPr>
          <w:bCs/>
          <w:color w:val="auto"/>
          <w:sz w:val="26"/>
          <w:szCs w:val="26"/>
        </w:rPr>
        <w:t>3</w:t>
      </w:r>
      <w:r>
        <w:rPr>
          <w:rFonts w:hint="eastAsia"/>
          <w:bCs/>
          <w:color w:val="auto"/>
          <w:sz w:val="26"/>
          <w:szCs w:val="26"/>
        </w:rPr>
        <w:t>、房地产市场供应关系、市场结构保持稳定、未发生重大变化或实质性改变。</w:t>
      </w:r>
    </w:p>
    <w:p>
      <w:pPr>
        <w:spacing w:line="480" w:lineRule="exact"/>
        <w:ind w:firstLine="520" w:firstLineChars="200"/>
        <w:rPr>
          <w:bCs/>
          <w:color w:val="auto"/>
          <w:sz w:val="26"/>
          <w:szCs w:val="26"/>
        </w:rPr>
      </w:pPr>
      <w:r>
        <w:rPr>
          <w:bCs/>
          <w:color w:val="auto"/>
          <w:sz w:val="26"/>
          <w:szCs w:val="26"/>
        </w:rPr>
        <w:t>4</w:t>
      </w:r>
      <w:r>
        <w:rPr>
          <w:rFonts w:hint="eastAsia"/>
          <w:bCs/>
          <w:color w:val="auto"/>
          <w:sz w:val="26"/>
          <w:szCs w:val="26"/>
        </w:rPr>
        <w:t>、本次估价未对估价对象做建筑物基础和结构上的测量和实验，本次评估假设其无基础、结构等方面的重大质量问题。</w:t>
      </w:r>
    </w:p>
    <w:p>
      <w:pPr>
        <w:spacing w:line="480" w:lineRule="exact"/>
        <w:ind w:firstLine="520" w:firstLineChars="200"/>
        <w:rPr>
          <w:bCs/>
          <w:color w:val="auto"/>
          <w:sz w:val="26"/>
          <w:szCs w:val="26"/>
        </w:rPr>
      </w:pPr>
      <w:r>
        <w:rPr>
          <w:bCs/>
          <w:color w:val="auto"/>
          <w:sz w:val="26"/>
          <w:szCs w:val="26"/>
        </w:rPr>
        <w:t>5</w:t>
      </w:r>
      <w:r>
        <w:rPr>
          <w:rFonts w:hint="eastAsia"/>
          <w:bCs/>
          <w:color w:val="auto"/>
          <w:sz w:val="26"/>
          <w:szCs w:val="26"/>
        </w:rPr>
        <w:t>、交易双方都具有完全市场信息，对交易对象具有必要的专业知识，不考虑特殊买家的附加出价。</w:t>
      </w:r>
    </w:p>
    <w:p>
      <w:pPr>
        <w:spacing w:line="480" w:lineRule="exact"/>
        <w:ind w:firstLine="520" w:firstLineChars="200"/>
        <w:rPr>
          <w:color w:val="auto"/>
          <w:sz w:val="26"/>
          <w:szCs w:val="26"/>
        </w:rPr>
      </w:pPr>
      <w:r>
        <w:rPr>
          <w:color w:val="auto"/>
          <w:sz w:val="26"/>
          <w:szCs w:val="26"/>
        </w:rPr>
        <w:t>6</w:t>
      </w:r>
      <w:r>
        <w:rPr>
          <w:rFonts w:hint="eastAsia"/>
          <w:color w:val="auto"/>
          <w:sz w:val="26"/>
          <w:szCs w:val="26"/>
        </w:rPr>
        <w:t>、根据价值时点原则，假定处在不断变化中的影响价格的各项因素在价值时点静止不变。</w:t>
      </w:r>
    </w:p>
    <w:p>
      <w:pPr>
        <w:spacing w:line="480" w:lineRule="exact"/>
        <w:ind w:firstLine="520"/>
        <w:rPr>
          <w:rFonts w:hint="eastAsia"/>
          <w:bCs/>
          <w:color w:val="auto"/>
          <w:sz w:val="26"/>
          <w:szCs w:val="26"/>
        </w:rPr>
      </w:pPr>
      <w:r>
        <w:rPr>
          <w:bCs/>
          <w:color w:val="auto"/>
          <w:sz w:val="26"/>
          <w:szCs w:val="26"/>
        </w:rPr>
        <w:t>7</w:t>
      </w:r>
      <w:r>
        <w:rPr>
          <w:rFonts w:hint="eastAsia"/>
          <w:bCs/>
          <w:color w:val="auto"/>
          <w:sz w:val="26"/>
          <w:szCs w:val="26"/>
        </w:rPr>
        <w:t>、本估价报告的估价结果基于估价对象完整的物质实体状况和权益状况，也基于估价对象应享有公共部分的通行权，水、电、公共设施的使用权等。</w:t>
      </w:r>
    </w:p>
    <w:p>
      <w:pPr>
        <w:spacing w:line="480" w:lineRule="exact"/>
        <w:rPr>
          <w:b/>
          <w:color w:val="auto"/>
          <w:sz w:val="26"/>
          <w:szCs w:val="26"/>
        </w:rPr>
      </w:pPr>
      <w:r>
        <w:rPr>
          <w:bCs/>
          <w:color w:val="auto"/>
          <w:sz w:val="26"/>
          <w:szCs w:val="26"/>
        </w:rPr>
        <w:t xml:space="preserve"> </w:t>
      </w:r>
      <w:r>
        <w:rPr>
          <w:rFonts w:hint="eastAsia"/>
          <w:b/>
          <w:color w:val="auto"/>
          <w:sz w:val="26"/>
          <w:szCs w:val="26"/>
        </w:rPr>
        <w:t>二、不确定事项假设</w:t>
      </w:r>
    </w:p>
    <w:p>
      <w:pPr>
        <w:numPr>
          <w:ilvl w:val="0"/>
          <w:numId w:val="3"/>
        </w:numPr>
        <w:spacing w:line="480" w:lineRule="exact"/>
        <w:ind w:firstLine="570"/>
        <w:rPr>
          <w:color w:val="auto"/>
          <w:sz w:val="26"/>
          <w:szCs w:val="26"/>
        </w:rPr>
      </w:pPr>
      <w:r>
        <w:rPr>
          <w:bCs/>
          <w:color w:val="auto"/>
          <w:sz w:val="26"/>
          <w:szCs w:val="26"/>
        </w:rPr>
        <w:t>如至价值时点止，原产权人尚有任何有关估价对象的应缴未缴税费，应按照规定缴纳或从评估价值中相应扣减。</w:t>
      </w:r>
      <w:r>
        <w:rPr>
          <w:rFonts w:hint="eastAsia" w:ascii="仿宋_GB2312" w:hAnsi="仿宋_GB2312" w:eastAsia="仿宋_GB2312" w:cs="仿宋_GB2312"/>
          <w:bCs/>
          <w:color w:val="auto"/>
          <w:sz w:val="26"/>
          <w:szCs w:val="26"/>
          <w:lang w:eastAsia="zh-CN"/>
        </w:rPr>
        <w:t>本次估价未考虑</w:t>
      </w:r>
      <w:r>
        <w:rPr>
          <w:rFonts w:hint="eastAsia" w:ascii="仿宋_GB2312" w:hAnsi="仿宋_GB2312" w:eastAsia="仿宋_GB2312" w:cs="仿宋_GB2312"/>
          <w:bCs/>
          <w:color w:val="auto"/>
          <w:sz w:val="26"/>
          <w:szCs w:val="26"/>
        </w:rPr>
        <w:t>应缴未缴税</w:t>
      </w:r>
      <w:r>
        <w:rPr>
          <w:rFonts w:hint="eastAsia" w:ascii="仿宋_GB2312" w:hAnsi="仿宋_GB2312" w:eastAsia="仿宋_GB2312" w:cs="仿宋_GB2312"/>
          <w:bCs/>
          <w:color w:val="auto"/>
          <w:sz w:val="26"/>
          <w:szCs w:val="26"/>
          <w:lang w:eastAsia="zh-CN"/>
        </w:rPr>
        <w:t>金及</w:t>
      </w:r>
      <w:r>
        <w:rPr>
          <w:rFonts w:hint="eastAsia" w:ascii="仿宋_GB2312" w:hAnsi="仿宋_GB2312" w:eastAsia="仿宋_GB2312" w:cs="仿宋_GB2312"/>
          <w:bCs/>
          <w:color w:val="auto"/>
          <w:sz w:val="26"/>
          <w:szCs w:val="26"/>
        </w:rPr>
        <w:t>费</w:t>
      </w:r>
      <w:r>
        <w:rPr>
          <w:rFonts w:hint="eastAsia" w:ascii="仿宋_GB2312" w:hAnsi="仿宋_GB2312" w:eastAsia="仿宋_GB2312" w:cs="仿宋_GB2312"/>
          <w:bCs/>
          <w:color w:val="auto"/>
          <w:sz w:val="26"/>
          <w:szCs w:val="26"/>
          <w:lang w:eastAsia="zh-CN"/>
        </w:rPr>
        <w:t>用对房地产市场价值的影响</w:t>
      </w:r>
      <w:r>
        <w:rPr>
          <w:rFonts w:hint="eastAsia"/>
          <w:color w:val="auto"/>
          <w:sz w:val="26"/>
          <w:szCs w:val="26"/>
        </w:rPr>
        <w:t>。</w:t>
      </w:r>
    </w:p>
    <w:p>
      <w:pPr>
        <w:numPr>
          <w:ilvl w:val="0"/>
          <w:numId w:val="3"/>
        </w:numPr>
        <w:spacing w:line="480" w:lineRule="exact"/>
        <w:ind w:firstLine="570"/>
        <w:rPr>
          <w:color w:val="auto"/>
          <w:spacing w:val="-2"/>
          <w:sz w:val="26"/>
          <w:szCs w:val="26"/>
        </w:rPr>
      </w:pPr>
      <w:r>
        <w:rPr>
          <w:rFonts w:hint="eastAsia"/>
          <w:color w:val="auto"/>
          <w:sz w:val="26"/>
          <w:szCs w:val="26"/>
        </w:rPr>
        <w:t>估价时没有考虑国家宏观经济政策发生变化、市场供应关系变化、市场结构转变、遇有自然力和其他不可抗力等因素对房地产价值的影响，也没有考虑估价对象</w:t>
      </w:r>
      <w:r>
        <w:rPr>
          <w:rFonts w:hint="eastAsia"/>
          <w:color w:val="auto"/>
          <w:spacing w:val="-4"/>
          <w:sz w:val="26"/>
          <w:szCs w:val="26"/>
        </w:rPr>
        <w:t>将来可能承担违约责任的事宜，以及特殊交易方式下的特殊交易价格等评估价值的影响</w:t>
      </w:r>
      <w:r>
        <w:rPr>
          <w:rFonts w:hint="eastAsia"/>
          <w:color w:val="auto"/>
          <w:spacing w:val="-2"/>
          <w:sz w:val="26"/>
          <w:szCs w:val="26"/>
        </w:rPr>
        <w:t>。</w:t>
      </w:r>
    </w:p>
    <w:p>
      <w:pPr>
        <w:numPr>
          <w:ilvl w:val="0"/>
          <w:numId w:val="3"/>
        </w:numPr>
        <w:spacing w:line="480" w:lineRule="exact"/>
        <w:ind w:firstLine="570"/>
        <w:rPr>
          <w:color w:val="auto"/>
          <w:spacing w:val="-2"/>
          <w:sz w:val="26"/>
          <w:szCs w:val="26"/>
        </w:rPr>
      </w:pPr>
      <w:r>
        <w:rPr>
          <w:rFonts w:eastAsia="仿宋_GB2312"/>
          <w:color w:val="auto"/>
          <w:spacing w:val="-2"/>
          <w:sz w:val="26"/>
          <w:szCs w:val="26"/>
          <w:lang w:val="en-US" w:eastAsia="zh-CN"/>
        </w:rPr>
        <w:t>本次</w:t>
      </w:r>
      <w:r>
        <w:rPr>
          <w:rFonts w:hint="eastAsia"/>
          <w:color w:val="auto"/>
          <w:spacing w:val="-2"/>
          <w:sz w:val="26"/>
          <w:szCs w:val="26"/>
          <w:lang w:val="en-US" w:eastAsia="zh-CN"/>
        </w:rPr>
        <w:t>评估涉及的自行车库，</w:t>
      </w:r>
      <w:r>
        <w:rPr>
          <w:rFonts w:hint="eastAsia"/>
          <w:color w:val="auto"/>
          <w:sz w:val="26"/>
          <w:szCs w:val="26"/>
          <w:lang w:eastAsia="zh-CN"/>
        </w:rPr>
        <w:t>应委托人的要求，依据产权登记的建筑面积数据，在无理由怀疑产权登记准确性的前提下，仅对其市场价值进行评估。其</w:t>
      </w:r>
      <w:r>
        <w:rPr>
          <w:rFonts w:hint="eastAsia"/>
          <w:color w:val="auto"/>
          <w:spacing w:val="-2"/>
          <w:sz w:val="26"/>
          <w:szCs w:val="26"/>
          <w:lang w:val="en-US" w:eastAsia="zh-CN"/>
        </w:rPr>
        <w:t>具体位置应以不动产登记部门、开发商及小区物业公司确认或原产权人实际交付为准，提醒报告使用者注意。</w:t>
      </w:r>
    </w:p>
    <w:p>
      <w:pPr>
        <w:spacing w:line="480" w:lineRule="exact"/>
        <w:rPr>
          <w:b/>
          <w:color w:val="auto"/>
          <w:sz w:val="26"/>
          <w:szCs w:val="26"/>
        </w:rPr>
      </w:pPr>
      <w:r>
        <w:rPr>
          <w:rFonts w:hint="eastAsia"/>
          <w:b/>
          <w:color w:val="auto"/>
          <w:sz w:val="26"/>
          <w:szCs w:val="26"/>
        </w:rPr>
        <w:t>三、背离实际情况假设</w:t>
      </w:r>
    </w:p>
    <w:p>
      <w:pPr>
        <w:spacing w:line="480" w:lineRule="exact"/>
        <w:ind w:firstLine="570"/>
        <w:rPr>
          <w:color w:val="auto"/>
          <w:sz w:val="26"/>
          <w:szCs w:val="26"/>
        </w:rPr>
      </w:pPr>
      <w:r>
        <w:rPr>
          <w:color w:val="auto"/>
          <w:sz w:val="26"/>
          <w:szCs w:val="26"/>
        </w:rPr>
        <w:t>1</w:t>
      </w:r>
      <w:r>
        <w:rPr>
          <w:rFonts w:hint="eastAsia"/>
          <w:color w:val="auto"/>
          <w:sz w:val="26"/>
          <w:szCs w:val="26"/>
        </w:rPr>
        <w:t>、本估价报告所提供的市场价值未考虑抵押、租赁、清算、抵债等他项权利</w:t>
      </w:r>
    </w:p>
    <w:p>
      <w:pPr>
        <w:spacing w:line="480" w:lineRule="exact"/>
        <w:rPr>
          <w:color w:val="auto"/>
          <w:sz w:val="26"/>
          <w:szCs w:val="26"/>
        </w:rPr>
      </w:pPr>
      <w:r>
        <w:rPr>
          <w:rFonts w:hint="eastAsia"/>
          <w:color w:val="auto"/>
          <w:sz w:val="26"/>
          <w:szCs w:val="26"/>
        </w:rPr>
        <w:t>对房地产价格的影响，同时假定该估价对象无附带可能影响其价值的负担、限制等，</w:t>
      </w:r>
    </w:p>
    <w:p>
      <w:pPr>
        <w:spacing w:line="480" w:lineRule="exact"/>
        <w:rPr>
          <w:color w:val="auto"/>
          <w:sz w:val="26"/>
          <w:szCs w:val="26"/>
        </w:rPr>
      </w:pPr>
      <w:r>
        <w:rPr>
          <w:rFonts w:hint="eastAsia"/>
          <w:color w:val="auto"/>
          <w:sz w:val="26"/>
          <w:szCs w:val="26"/>
        </w:rPr>
        <w:t>估价结果是正常的公开市场价格。</w:t>
      </w:r>
    </w:p>
    <w:p>
      <w:pPr>
        <w:tabs>
          <w:tab w:val="left" w:pos="630"/>
          <w:tab w:val="left" w:pos="840"/>
        </w:tabs>
        <w:spacing w:line="480" w:lineRule="exact"/>
        <w:ind w:firstLine="569" w:firstLineChars="219"/>
        <w:rPr>
          <w:color w:val="auto"/>
          <w:sz w:val="26"/>
          <w:szCs w:val="26"/>
        </w:rPr>
      </w:pPr>
      <w:r>
        <w:rPr>
          <w:color w:val="auto"/>
          <w:sz w:val="26"/>
          <w:szCs w:val="26"/>
        </w:rPr>
        <w:t>2</w:t>
      </w:r>
      <w:r>
        <w:rPr>
          <w:rFonts w:hint="eastAsia"/>
          <w:color w:val="auto"/>
          <w:sz w:val="26"/>
          <w:szCs w:val="26"/>
        </w:rPr>
        <w:t>、本报告估价结果中的市场价值是指在公开市场前提下的房地产市场价值，不包含可能存在的水、电、物业费等欠费，也未考虑快速变现等处置方式带来的影响。</w:t>
      </w:r>
    </w:p>
    <w:p>
      <w:pPr>
        <w:tabs>
          <w:tab w:val="left" w:pos="630"/>
          <w:tab w:val="left" w:pos="840"/>
        </w:tabs>
        <w:spacing w:line="480" w:lineRule="exact"/>
        <w:rPr>
          <w:b/>
          <w:bCs/>
          <w:color w:val="auto"/>
          <w:sz w:val="26"/>
          <w:szCs w:val="26"/>
        </w:rPr>
      </w:pPr>
      <w:r>
        <w:rPr>
          <w:rFonts w:hint="eastAsia"/>
          <w:b/>
          <w:bCs/>
          <w:color w:val="auto"/>
          <w:sz w:val="26"/>
          <w:szCs w:val="26"/>
        </w:rPr>
        <w:t>四、不相一致假设</w:t>
      </w:r>
    </w:p>
    <w:p>
      <w:pPr>
        <w:tabs>
          <w:tab w:val="left" w:pos="630"/>
          <w:tab w:val="left" w:pos="840"/>
        </w:tabs>
        <w:spacing w:line="480" w:lineRule="exact"/>
        <w:ind w:firstLine="520" w:firstLineChars="200"/>
        <w:rPr>
          <w:color w:val="auto"/>
          <w:sz w:val="26"/>
          <w:szCs w:val="26"/>
        </w:rPr>
      </w:pPr>
      <w:r>
        <w:rPr>
          <w:rFonts w:hint="eastAsia"/>
          <w:color w:val="auto"/>
          <w:sz w:val="26"/>
          <w:szCs w:val="26"/>
        </w:rPr>
        <w:t>本估价项目估价对象的实际用途、登记用途、规划用途等用途，不同权属证明上的权利人，估价对象的名称或地址之间无不一致，故本估价报告无不相一致假设。</w:t>
      </w:r>
      <w:r>
        <w:rPr>
          <w:color w:val="auto"/>
          <w:sz w:val="26"/>
          <w:szCs w:val="26"/>
        </w:rPr>
        <w:t xml:space="preserve"> </w:t>
      </w:r>
    </w:p>
    <w:p>
      <w:pPr>
        <w:numPr>
          <w:ilvl w:val="0"/>
          <w:numId w:val="4"/>
        </w:numPr>
        <w:spacing w:line="480" w:lineRule="exact"/>
        <w:rPr>
          <w:b/>
          <w:bCs/>
          <w:color w:val="auto"/>
          <w:sz w:val="26"/>
          <w:szCs w:val="26"/>
        </w:rPr>
      </w:pPr>
      <w:r>
        <w:rPr>
          <w:rFonts w:hint="eastAsia"/>
          <w:b/>
          <w:bCs/>
          <w:color w:val="auto"/>
          <w:sz w:val="26"/>
          <w:szCs w:val="26"/>
        </w:rPr>
        <w:t>依据不足假设</w:t>
      </w:r>
    </w:p>
    <w:p>
      <w:pPr>
        <w:spacing w:line="480" w:lineRule="exact"/>
        <w:ind w:firstLine="520" w:firstLineChars="200"/>
        <w:rPr>
          <w:color w:val="auto"/>
          <w:sz w:val="26"/>
          <w:szCs w:val="26"/>
        </w:rPr>
      </w:pPr>
      <w:r>
        <w:rPr>
          <w:rFonts w:hint="eastAsia"/>
          <w:color w:val="auto"/>
          <w:sz w:val="26"/>
          <w:szCs w:val="26"/>
        </w:rPr>
        <w:t>本估价项目所必需的反映估价对象状况的资料齐全，故本估价报告无依据不足假设。</w:t>
      </w:r>
    </w:p>
    <w:p>
      <w:pPr>
        <w:spacing w:line="480" w:lineRule="exact"/>
        <w:rPr>
          <w:b/>
          <w:bCs/>
          <w:color w:val="auto"/>
          <w:sz w:val="26"/>
          <w:szCs w:val="26"/>
        </w:rPr>
      </w:pPr>
      <w:r>
        <w:rPr>
          <w:rFonts w:hint="eastAsia"/>
          <w:b/>
          <w:bCs/>
          <w:color w:val="auto"/>
          <w:sz w:val="26"/>
          <w:szCs w:val="26"/>
        </w:rPr>
        <w:t>六、本报告使用的限制条件</w:t>
      </w:r>
    </w:p>
    <w:p>
      <w:pPr>
        <w:spacing w:line="480" w:lineRule="exact"/>
        <w:ind w:firstLine="570"/>
        <w:rPr>
          <w:b/>
          <w:bCs/>
          <w:color w:val="auto"/>
          <w:sz w:val="26"/>
          <w:szCs w:val="26"/>
        </w:rPr>
      </w:pPr>
      <w:r>
        <w:rPr>
          <w:color w:val="auto"/>
          <w:sz w:val="26"/>
          <w:szCs w:val="26"/>
        </w:rPr>
        <w:t>1</w:t>
      </w:r>
      <w:r>
        <w:rPr>
          <w:rFonts w:hint="eastAsia"/>
          <w:color w:val="auto"/>
          <w:sz w:val="26"/>
          <w:szCs w:val="26"/>
        </w:rPr>
        <w:t>、根据《最高人民法院关于人民法院民事执行中拍卖、变卖财产的规定》，当事人或者其他利害关系人对评估报告有异议的，可以在收到评估报告后五日内以书面形式向</w:t>
      </w:r>
      <w:r>
        <w:rPr>
          <w:rFonts w:hint="eastAsia"/>
          <w:color w:val="auto"/>
          <w:sz w:val="26"/>
          <w:szCs w:val="26"/>
          <w:lang w:eastAsia="zh-CN"/>
        </w:rPr>
        <w:t>绍兴市越城区人民法院</w:t>
      </w:r>
      <w:r>
        <w:rPr>
          <w:rFonts w:hint="eastAsia"/>
          <w:color w:val="auto"/>
          <w:sz w:val="26"/>
          <w:szCs w:val="26"/>
        </w:rPr>
        <w:t>提出，逾期视为认同。</w:t>
      </w:r>
    </w:p>
    <w:p>
      <w:pPr>
        <w:spacing w:line="480" w:lineRule="exact"/>
        <w:ind w:firstLine="520"/>
        <w:rPr>
          <w:color w:val="auto"/>
          <w:sz w:val="26"/>
          <w:szCs w:val="26"/>
        </w:rPr>
      </w:pPr>
      <w:r>
        <w:rPr>
          <w:color w:val="auto"/>
          <w:sz w:val="26"/>
          <w:szCs w:val="26"/>
        </w:rPr>
        <w:t>2</w:t>
      </w:r>
      <w:r>
        <w:rPr>
          <w:rFonts w:hint="eastAsia"/>
          <w:color w:val="auto"/>
          <w:sz w:val="26"/>
          <w:szCs w:val="26"/>
        </w:rPr>
        <w:t>、本估价报告仅为</w:t>
      </w:r>
      <w:r>
        <w:rPr>
          <w:rFonts w:hint="eastAsia"/>
          <w:color w:val="auto"/>
          <w:sz w:val="26"/>
          <w:szCs w:val="26"/>
          <w:lang w:eastAsia="zh-CN"/>
        </w:rPr>
        <w:t>绍兴市越城区人民法院</w:t>
      </w:r>
      <w:r>
        <w:rPr>
          <w:rFonts w:hint="default" w:ascii="Times New Roman" w:hAnsi="Times New Roman" w:eastAsia="仿宋_GB2312" w:cs="Times New Roman"/>
          <w:color w:val="auto"/>
          <w:sz w:val="26"/>
          <w:szCs w:val="26"/>
          <w:lang w:val="en-US" w:eastAsia="zh-CN"/>
        </w:rPr>
        <w:t>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，不作它用。</w:t>
      </w:r>
    </w:p>
    <w:p>
      <w:pPr>
        <w:spacing w:line="480" w:lineRule="exact"/>
        <w:ind w:firstLine="520"/>
        <w:rPr>
          <w:color w:val="auto"/>
          <w:sz w:val="26"/>
          <w:szCs w:val="26"/>
        </w:rPr>
      </w:pPr>
      <w:r>
        <w:rPr>
          <w:color w:val="auto"/>
          <w:sz w:val="26"/>
          <w:szCs w:val="26"/>
        </w:rPr>
        <w:t>3</w:t>
      </w:r>
      <w:r>
        <w:rPr>
          <w:rFonts w:hint="eastAsia"/>
          <w:color w:val="auto"/>
          <w:sz w:val="26"/>
          <w:szCs w:val="26"/>
        </w:rPr>
        <w:t>、本估价报告使用有效期为壹年（自</w:t>
      </w:r>
      <w:r>
        <w:rPr>
          <w:rFonts w:hint="eastAsia"/>
          <w:color w:val="auto"/>
          <w:sz w:val="26"/>
          <w:szCs w:val="26"/>
          <w:lang w:eastAsia="zh-CN"/>
        </w:rPr>
        <w:t>2022年11月1</w:t>
      </w:r>
      <w:r>
        <w:rPr>
          <w:rFonts w:hint="eastAsia"/>
          <w:color w:val="auto"/>
          <w:sz w:val="26"/>
          <w:szCs w:val="26"/>
          <w:lang w:val="en-US" w:eastAsia="zh-CN"/>
        </w:rPr>
        <w:t>8</w:t>
      </w:r>
      <w:r>
        <w:rPr>
          <w:rFonts w:hint="eastAsia"/>
          <w:color w:val="auto"/>
          <w:sz w:val="26"/>
          <w:szCs w:val="26"/>
          <w:lang w:eastAsia="zh-CN"/>
        </w:rPr>
        <w:t>日</w:t>
      </w:r>
      <w:r>
        <w:rPr>
          <w:rFonts w:hint="eastAsia"/>
          <w:color w:val="auto"/>
          <w:sz w:val="26"/>
          <w:szCs w:val="26"/>
        </w:rPr>
        <w:t>至</w:t>
      </w:r>
      <w:r>
        <w:rPr>
          <w:color w:val="auto"/>
          <w:sz w:val="26"/>
          <w:szCs w:val="26"/>
        </w:rPr>
        <w:t>20</w:t>
      </w:r>
      <w:r>
        <w:rPr>
          <w:rFonts w:hint="eastAsia"/>
          <w:color w:val="auto"/>
          <w:sz w:val="26"/>
          <w:szCs w:val="26"/>
        </w:rPr>
        <w:t>2</w:t>
      </w:r>
      <w:r>
        <w:rPr>
          <w:rFonts w:hint="eastAsia"/>
          <w:color w:val="auto"/>
          <w:sz w:val="26"/>
          <w:szCs w:val="26"/>
          <w:lang w:val="en-US" w:eastAsia="zh-CN"/>
        </w:rPr>
        <w:t>3</w:t>
      </w:r>
      <w:r>
        <w:rPr>
          <w:rFonts w:hint="eastAsia"/>
          <w:color w:val="auto"/>
          <w:sz w:val="26"/>
          <w:szCs w:val="26"/>
        </w:rPr>
        <w:t>年</w:t>
      </w:r>
      <w:r>
        <w:rPr>
          <w:rFonts w:hint="eastAsia"/>
          <w:color w:val="auto"/>
          <w:sz w:val="26"/>
          <w:szCs w:val="26"/>
          <w:lang w:val="en-US" w:eastAsia="zh-CN"/>
        </w:rPr>
        <w:t>11</w:t>
      </w:r>
      <w:r>
        <w:rPr>
          <w:rFonts w:hint="eastAsia"/>
          <w:color w:val="auto"/>
          <w:sz w:val="26"/>
          <w:szCs w:val="26"/>
          <w:lang w:eastAsia="zh-CN"/>
        </w:rPr>
        <w:t>月</w:t>
      </w:r>
      <w:r>
        <w:rPr>
          <w:rFonts w:hint="eastAsia"/>
          <w:color w:val="auto"/>
          <w:sz w:val="26"/>
          <w:szCs w:val="26"/>
          <w:lang w:val="en-US" w:eastAsia="zh-CN"/>
        </w:rPr>
        <w:t>17</w:t>
      </w:r>
      <w:r>
        <w:rPr>
          <w:rFonts w:hint="eastAsia"/>
          <w:color w:val="auto"/>
          <w:sz w:val="26"/>
          <w:szCs w:val="26"/>
          <w:lang w:eastAsia="zh-CN"/>
        </w:rPr>
        <w:t>日</w:t>
      </w:r>
      <w:r>
        <w:rPr>
          <w:rFonts w:hint="eastAsia"/>
          <w:color w:val="auto"/>
          <w:sz w:val="26"/>
          <w:szCs w:val="26"/>
        </w:rPr>
        <w:t>止），但随着房地产市场情况的变化、国家相关政策的调整以及估价对象自身情况的变化，估价结果应作相应调整或重新评估。</w:t>
      </w:r>
    </w:p>
    <w:p>
      <w:pPr>
        <w:spacing w:line="480" w:lineRule="exact"/>
        <w:ind w:firstLine="520"/>
        <w:rPr>
          <w:color w:val="auto"/>
          <w:sz w:val="26"/>
          <w:szCs w:val="26"/>
        </w:rPr>
      </w:pPr>
      <w:r>
        <w:rPr>
          <w:color w:val="auto"/>
          <w:sz w:val="26"/>
          <w:szCs w:val="26"/>
        </w:rPr>
        <w:t>4</w:t>
      </w:r>
      <w:r>
        <w:rPr>
          <w:rFonts w:hint="eastAsia"/>
          <w:color w:val="auto"/>
          <w:sz w:val="26"/>
          <w:szCs w:val="26"/>
        </w:rPr>
        <w:t>、未经本估价机构书面同意，本估价报告不得向估价委托人、估价目的有关方和估价报告审核部门以外的单位和个人提供，报告的全部或部分内容，亦不得应用于任何公开的文件、通告或其它书面报告中。</w:t>
      </w:r>
    </w:p>
    <w:p>
      <w:pPr>
        <w:spacing w:line="480" w:lineRule="exact"/>
        <w:ind w:firstLine="520"/>
        <w:rPr>
          <w:rFonts w:ascii="仿宋_GB2312" w:cs="仿宋_GB2312"/>
          <w:color w:val="auto"/>
          <w:sz w:val="26"/>
          <w:szCs w:val="26"/>
        </w:rPr>
      </w:pPr>
      <w:r>
        <w:rPr>
          <w:color w:val="auto"/>
          <w:sz w:val="26"/>
          <w:szCs w:val="26"/>
        </w:rPr>
        <w:t>5</w:t>
      </w:r>
      <w:r>
        <w:rPr>
          <w:rFonts w:hint="eastAsia"/>
          <w:color w:val="auto"/>
          <w:sz w:val="26"/>
          <w:szCs w:val="26"/>
        </w:rPr>
        <w:t>、估价结果是注册房地产估价师模拟市场形成价格的机制和过程，将估价对象客观存在的价格或价值揭示出来。估价结果是一种专业意见，而不应当被认为是房地产估价机构或注册房地产估价师对估价对象可实现价格的保证</w:t>
      </w:r>
      <w:r>
        <w:rPr>
          <w:rFonts w:hint="eastAsia" w:ascii="仿宋_GB2312" w:hAnsi="仿宋_GB2312" w:cs="仿宋_GB2312"/>
          <w:color w:val="auto"/>
          <w:sz w:val="26"/>
          <w:szCs w:val="26"/>
        </w:rPr>
        <w:t>。</w:t>
      </w:r>
    </w:p>
    <w:p>
      <w:pPr>
        <w:spacing w:line="480" w:lineRule="exact"/>
        <w:ind w:firstLine="569" w:firstLineChars="219"/>
        <w:rPr>
          <w:color w:val="auto"/>
          <w:sz w:val="26"/>
          <w:szCs w:val="26"/>
        </w:rPr>
      </w:pPr>
      <w:r>
        <w:rPr>
          <w:color w:val="auto"/>
          <w:sz w:val="26"/>
          <w:szCs w:val="26"/>
        </w:rPr>
        <w:t>6</w:t>
      </w:r>
      <w:r>
        <w:rPr>
          <w:rFonts w:hint="eastAsia"/>
          <w:color w:val="auto"/>
          <w:sz w:val="26"/>
          <w:szCs w:val="26"/>
        </w:rPr>
        <w:t>、本估价报告中的数据全部系采用电算化连续计算得出，并按四舍五入取整。因此可能出现个别等式左右不完全相等的情况，但不影响最终评估结果的准确性。</w:t>
      </w:r>
    </w:p>
    <w:p>
      <w:pPr>
        <w:spacing w:line="480" w:lineRule="exact"/>
        <w:rPr>
          <w:color w:val="auto"/>
          <w:sz w:val="26"/>
          <w:szCs w:val="26"/>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仿宋_GB2312" w:hAnsi="仿宋_GB2312" w:cs="仿宋_GB2312"/>
          <w:b/>
          <w:bCs/>
          <w:color w:val="auto"/>
          <w:sz w:val="34"/>
          <w:szCs w:val="34"/>
        </w:rPr>
      </w:pPr>
      <w:r>
        <w:rPr>
          <w:rFonts w:hint="eastAsia" w:ascii="仿宋_GB2312" w:hAnsi="仿宋_GB2312" w:cs="仿宋_GB2312"/>
          <w:bCs/>
          <w:color w:val="auto"/>
          <w:sz w:val="34"/>
          <w:szCs w:val="34"/>
        </w:rPr>
        <w:br w:type="page"/>
      </w:r>
      <w:r>
        <w:rPr>
          <w:rFonts w:hint="eastAsia" w:ascii="仿宋_GB2312" w:hAnsi="仿宋_GB2312" w:cs="仿宋_GB2312"/>
          <w:b/>
          <w:bCs/>
          <w:color w:val="auto"/>
          <w:sz w:val="34"/>
          <w:szCs w:val="34"/>
        </w:rPr>
        <w:t>第四部分：估价结果报告</w:t>
      </w:r>
      <w:bookmarkEnd w:id="11"/>
      <w:bookmarkEnd w:id="12"/>
      <w:bookmarkEnd w:id="13"/>
      <w:bookmarkEnd w:id="14"/>
      <w:bookmarkStart w:id="15" w:name="_Toc454373098"/>
      <w:bookmarkStart w:id="16" w:name="OLE_LINK5"/>
      <w:bookmarkStart w:id="17" w:name="OLE_LINK4"/>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18" w:name="_Toc20706"/>
      <w:r>
        <w:rPr>
          <w:rFonts w:hint="eastAsia"/>
          <w:b/>
          <w:color w:val="auto"/>
          <w:sz w:val="26"/>
          <w:szCs w:val="26"/>
        </w:rPr>
        <w:t>一、估价委托人</w:t>
      </w:r>
      <w:bookmarkEnd w:id="18"/>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color w:val="auto"/>
          <w:sz w:val="26"/>
          <w:szCs w:val="26"/>
        </w:rPr>
      </w:pPr>
      <w:r>
        <w:rPr>
          <w:rFonts w:hint="eastAsia"/>
          <w:color w:val="auto"/>
          <w:sz w:val="26"/>
          <w:szCs w:val="26"/>
        </w:rPr>
        <w:t>委托人：</w:t>
      </w:r>
      <w:r>
        <w:rPr>
          <w:rFonts w:hint="eastAsia"/>
          <w:color w:val="auto"/>
          <w:sz w:val="26"/>
          <w:szCs w:val="26"/>
          <w:lang w:eastAsia="zh-CN"/>
        </w:rPr>
        <w:t>绍兴市越城区人民法院</w:t>
      </w:r>
      <w:r>
        <w:rPr>
          <w:color w:val="auto"/>
          <w:sz w:val="26"/>
          <w:szCs w:val="26"/>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eastAsia="仿宋_GB2312"/>
          <w:color w:val="auto"/>
          <w:sz w:val="26"/>
          <w:szCs w:val="26"/>
          <w:lang w:val="en-US" w:eastAsia="zh-CN"/>
        </w:rPr>
      </w:pPr>
      <w:r>
        <w:rPr>
          <w:rFonts w:hint="eastAsia"/>
          <w:color w:val="auto"/>
          <w:sz w:val="26"/>
          <w:szCs w:val="26"/>
        </w:rPr>
        <w:t>联系电话：</w:t>
      </w:r>
      <w:r>
        <w:rPr>
          <w:rFonts w:hint="eastAsia"/>
          <w:color w:val="auto"/>
          <w:sz w:val="26"/>
          <w:szCs w:val="26"/>
          <w:lang w:val="en-US" w:eastAsia="zh-CN"/>
        </w:rPr>
        <w:t>0575-89192632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19" w:name="_Toc18153"/>
      <w:r>
        <w:rPr>
          <w:rFonts w:hint="eastAsia"/>
          <w:b/>
          <w:color w:val="auto"/>
          <w:sz w:val="26"/>
          <w:szCs w:val="26"/>
        </w:rPr>
        <w:t>二、房地产估价机构</w:t>
      </w:r>
      <w:bookmarkEnd w:id="19"/>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bookmarkStart w:id="20" w:name="_Toc29187"/>
      <w:r>
        <w:rPr>
          <w:rFonts w:hint="eastAsia"/>
          <w:color w:val="auto"/>
          <w:sz w:val="26"/>
          <w:szCs w:val="26"/>
        </w:rPr>
        <w:t>机构名称：博文房地产评估造价集团有限公司</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rPr>
        <w:t>法定代表人：徐文井</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rPr>
        <w:t>住所：北京市西城区宣武门外大街20号6层办公0713</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lang w:eastAsia="zh-CN"/>
        </w:rPr>
        <w:t>备案</w:t>
      </w:r>
      <w:r>
        <w:rPr>
          <w:rFonts w:hint="eastAsia"/>
          <w:color w:val="auto"/>
          <w:sz w:val="26"/>
          <w:szCs w:val="26"/>
        </w:rPr>
        <w:t>等级：一级</w:t>
      </w:r>
      <w:r>
        <w:rPr>
          <w:rFonts w:hint="eastAsia"/>
          <w:color w:val="auto"/>
          <w:sz w:val="26"/>
          <w:szCs w:val="26"/>
          <w:lang w:val="en-US" w:eastAsia="zh-CN"/>
        </w:rPr>
        <w:t xml:space="preserve">   </w:t>
      </w:r>
      <w:r>
        <w:rPr>
          <w:rFonts w:hint="eastAsia"/>
          <w:color w:val="auto"/>
          <w:sz w:val="26"/>
          <w:szCs w:val="26"/>
        </w:rPr>
        <w:t>证书编号：建房估证字[2015]025号</w:t>
      </w:r>
    </w:p>
    <w:p>
      <w:pPr>
        <w:keepNext w:val="0"/>
        <w:keepLines w:val="0"/>
        <w:pageBreakBefore w:val="0"/>
        <w:widowControl w:val="0"/>
        <w:kinsoku/>
        <w:wordWrap/>
        <w:topLinePunct w:val="0"/>
        <w:bidi w:val="0"/>
        <w:spacing w:line="480" w:lineRule="exact"/>
        <w:ind w:left="480" w:leftChars="200"/>
        <w:jc w:val="left"/>
        <w:rPr>
          <w:rFonts w:hint="eastAsia" w:eastAsia="仿宋_GB2312"/>
          <w:color w:val="auto"/>
          <w:sz w:val="26"/>
          <w:szCs w:val="26"/>
          <w:lang w:eastAsia="zh-CN"/>
        </w:rPr>
      </w:pPr>
      <w:r>
        <w:rPr>
          <w:rFonts w:hint="eastAsia"/>
          <w:color w:val="auto"/>
          <w:sz w:val="26"/>
          <w:szCs w:val="26"/>
        </w:rPr>
        <w:t>有效期限：20</w:t>
      </w:r>
      <w:r>
        <w:rPr>
          <w:rFonts w:hint="eastAsia"/>
          <w:color w:val="auto"/>
          <w:sz w:val="26"/>
          <w:szCs w:val="26"/>
          <w:lang w:val="en-US" w:eastAsia="zh-CN"/>
        </w:rPr>
        <w:t>21</w:t>
      </w:r>
      <w:r>
        <w:rPr>
          <w:rFonts w:hint="eastAsia"/>
          <w:color w:val="auto"/>
          <w:sz w:val="26"/>
          <w:szCs w:val="26"/>
        </w:rPr>
        <w:t>年</w:t>
      </w:r>
      <w:r>
        <w:rPr>
          <w:rFonts w:hint="eastAsia"/>
          <w:color w:val="auto"/>
          <w:sz w:val="26"/>
          <w:szCs w:val="26"/>
          <w:lang w:val="en-US" w:eastAsia="zh-CN"/>
        </w:rPr>
        <w:t>10</w:t>
      </w:r>
      <w:r>
        <w:rPr>
          <w:rFonts w:hint="eastAsia"/>
          <w:color w:val="auto"/>
          <w:sz w:val="26"/>
          <w:szCs w:val="26"/>
        </w:rPr>
        <w:t>月</w:t>
      </w:r>
      <w:r>
        <w:rPr>
          <w:rFonts w:hint="eastAsia"/>
          <w:color w:val="auto"/>
          <w:sz w:val="26"/>
          <w:szCs w:val="26"/>
          <w:lang w:val="en-US" w:eastAsia="zh-CN"/>
        </w:rPr>
        <w:t>8</w:t>
      </w:r>
      <w:r>
        <w:rPr>
          <w:rFonts w:hint="eastAsia"/>
          <w:color w:val="auto"/>
          <w:sz w:val="26"/>
          <w:szCs w:val="26"/>
        </w:rPr>
        <w:t>日至202</w:t>
      </w:r>
      <w:r>
        <w:rPr>
          <w:rFonts w:hint="eastAsia"/>
          <w:color w:val="auto"/>
          <w:sz w:val="26"/>
          <w:szCs w:val="26"/>
          <w:lang w:val="en-US" w:eastAsia="zh-CN"/>
        </w:rPr>
        <w:t>4</w:t>
      </w:r>
      <w:r>
        <w:rPr>
          <w:rFonts w:hint="eastAsia"/>
          <w:color w:val="auto"/>
          <w:sz w:val="26"/>
          <w:szCs w:val="26"/>
        </w:rPr>
        <w:t>年</w:t>
      </w:r>
      <w:r>
        <w:rPr>
          <w:rFonts w:hint="eastAsia"/>
          <w:color w:val="auto"/>
          <w:sz w:val="26"/>
          <w:szCs w:val="26"/>
          <w:lang w:eastAsia="zh-CN"/>
        </w:rPr>
        <w:t>10月</w:t>
      </w:r>
      <w:r>
        <w:rPr>
          <w:rFonts w:hint="eastAsia"/>
          <w:color w:val="auto"/>
          <w:sz w:val="26"/>
          <w:szCs w:val="26"/>
          <w:lang w:val="en-US" w:eastAsia="zh-CN"/>
        </w:rPr>
        <w:t>7</w:t>
      </w:r>
      <w:r>
        <w:rPr>
          <w:rFonts w:hint="eastAsia"/>
          <w:color w:val="auto"/>
          <w:sz w:val="26"/>
          <w:szCs w:val="26"/>
          <w:lang w:eastAsia="zh-CN"/>
        </w:rPr>
        <w:t>日</w:t>
      </w:r>
    </w:p>
    <w:p>
      <w:pPr>
        <w:keepNext w:val="0"/>
        <w:keepLines w:val="0"/>
        <w:pageBreakBefore w:val="0"/>
        <w:widowControl w:val="0"/>
        <w:kinsoku/>
        <w:wordWrap/>
        <w:topLinePunct w:val="0"/>
        <w:bidi w:val="0"/>
        <w:spacing w:line="480" w:lineRule="exact"/>
        <w:ind w:left="480" w:leftChars="200"/>
        <w:jc w:val="left"/>
        <w:rPr>
          <w:rFonts w:hint="eastAsia"/>
          <w:color w:val="auto"/>
          <w:sz w:val="26"/>
          <w:szCs w:val="26"/>
        </w:rPr>
      </w:pPr>
      <w:r>
        <w:rPr>
          <w:rFonts w:hint="eastAsia"/>
          <w:color w:val="auto"/>
          <w:sz w:val="26"/>
          <w:szCs w:val="26"/>
        </w:rPr>
        <w:t>统一社会信用代码：911100007394033502</w:t>
      </w:r>
    </w:p>
    <w:p>
      <w:pPr>
        <w:keepNext w:val="0"/>
        <w:keepLines w:val="0"/>
        <w:pageBreakBefore w:val="0"/>
        <w:widowControl w:val="0"/>
        <w:kinsoku/>
        <w:wordWrap/>
        <w:topLinePunct w:val="0"/>
        <w:bidi w:val="0"/>
        <w:spacing w:line="480" w:lineRule="exact"/>
        <w:ind w:left="480" w:leftChars="200"/>
        <w:jc w:val="left"/>
        <w:rPr>
          <w:color w:val="auto"/>
          <w:sz w:val="26"/>
          <w:szCs w:val="26"/>
        </w:rPr>
      </w:pPr>
      <w:r>
        <w:rPr>
          <w:rFonts w:hint="eastAsia"/>
          <w:color w:val="auto"/>
          <w:sz w:val="26"/>
          <w:szCs w:val="26"/>
        </w:rPr>
        <w:t>经营范围：房地产评估、土地评估、资产评估、房地产咨询、工程监理、工程造价咨询、工程招标代理、地理信息系统工程设计、工程测量、不动产测绘、不动产权属登记代理、工程咨询</w:t>
      </w:r>
    </w:p>
    <w:p>
      <w:pPr>
        <w:keepNext w:val="0"/>
        <w:keepLines w:val="0"/>
        <w:pageBreakBefore w:val="0"/>
        <w:widowControl w:val="0"/>
        <w:kinsoku/>
        <w:wordWrap/>
        <w:topLinePunct w:val="0"/>
        <w:bidi w:val="0"/>
        <w:spacing w:line="480" w:lineRule="exact"/>
        <w:ind w:left="480" w:leftChars="200"/>
        <w:jc w:val="left"/>
        <w:rPr>
          <w:color w:val="auto"/>
          <w:sz w:val="26"/>
          <w:szCs w:val="26"/>
        </w:rPr>
      </w:pPr>
      <w:r>
        <w:rPr>
          <w:color w:val="auto"/>
          <w:sz w:val="26"/>
          <w:szCs w:val="26"/>
        </w:rPr>
        <w:t>分支机构备案证书编号：浙房估备[2013]005号</w:t>
      </w:r>
    </w:p>
    <w:p>
      <w:pPr>
        <w:keepNext w:val="0"/>
        <w:keepLines w:val="0"/>
        <w:pageBreakBefore w:val="0"/>
        <w:widowControl w:val="0"/>
        <w:kinsoku/>
        <w:wordWrap/>
        <w:topLinePunct w:val="0"/>
        <w:bidi w:val="0"/>
        <w:spacing w:line="480" w:lineRule="exact"/>
        <w:ind w:left="480" w:leftChars="200"/>
        <w:jc w:val="left"/>
        <w:rPr>
          <w:rFonts w:hint="eastAsia" w:eastAsia="仿宋_GB2312"/>
          <w:color w:val="auto"/>
          <w:sz w:val="26"/>
          <w:szCs w:val="26"/>
          <w:lang w:eastAsia="zh-CN"/>
        </w:rPr>
      </w:pPr>
      <w:r>
        <w:rPr>
          <w:rFonts w:hint="eastAsia"/>
          <w:color w:val="auto"/>
          <w:sz w:val="26"/>
          <w:szCs w:val="26"/>
        </w:rPr>
        <w:t>有效期限：20</w:t>
      </w:r>
      <w:r>
        <w:rPr>
          <w:rFonts w:hint="eastAsia"/>
          <w:color w:val="auto"/>
          <w:sz w:val="26"/>
          <w:szCs w:val="26"/>
          <w:lang w:val="en-US" w:eastAsia="zh-CN"/>
        </w:rPr>
        <w:t>24</w:t>
      </w:r>
      <w:r>
        <w:rPr>
          <w:rFonts w:hint="eastAsia"/>
          <w:color w:val="auto"/>
          <w:sz w:val="26"/>
          <w:szCs w:val="26"/>
        </w:rPr>
        <w:t>年</w:t>
      </w:r>
      <w:r>
        <w:rPr>
          <w:rFonts w:hint="eastAsia"/>
          <w:color w:val="auto"/>
          <w:sz w:val="26"/>
          <w:szCs w:val="26"/>
          <w:lang w:eastAsia="zh-CN"/>
        </w:rPr>
        <w:t>10月</w:t>
      </w:r>
      <w:r>
        <w:rPr>
          <w:rFonts w:hint="eastAsia"/>
          <w:color w:val="auto"/>
          <w:sz w:val="26"/>
          <w:szCs w:val="26"/>
          <w:lang w:val="en-US" w:eastAsia="zh-CN"/>
        </w:rPr>
        <w:t>7</w:t>
      </w:r>
      <w:r>
        <w:rPr>
          <w:rFonts w:hint="eastAsia"/>
          <w:color w:val="auto"/>
          <w:sz w:val="26"/>
          <w:szCs w:val="26"/>
          <w:lang w:eastAsia="zh-CN"/>
        </w:rPr>
        <w:t>日</w:t>
      </w:r>
    </w:p>
    <w:p>
      <w:pPr>
        <w:keepNext w:val="0"/>
        <w:keepLines w:val="0"/>
        <w:pageBreakBefore w:val="0"/>
        <w:widowControl w:val="0"/>
        <w:kinsoku/>
        <w:wordWrap/>
        <w:topLinePunct w:val="0"/>
        <w:bidi w:val="0"/>
        <w:spacing w:line="480" w:lineRule="exact"/>
        <w:ind w:left="480" w:leftChars="200"/>
        <w:jc w:val="left"/>
        <w:rPr>
          <w:rFonts w:hint="eastAsia" w:eastAsia="仿宋_GB2312"/>
          <w:color w:val="auto"/>
          <w:sz w:val="26"/>
          <w:szCs w:val="26"/>
          <w:lang w:eastAsia="zh-CN"/>
        </w:rPr>
      </w:pPr>
      <w:r>
        <w:rPr>
          <w:color w:val="auto"/>
          <w:sz w:val="26"/>
          <w:szCs w:val="26"/>
        </w:rPr>
        <w:t>分支机构办公地址：</w:t>
      </w:r>
      <w:r>
        <w:rPr>
          <w:rFonts w:hint="eastAsia"/>
          <w:color w:val="auto"/>
          <w:sz w:val="26"/>
          <w:szCs w:val="26"/>
          <w:lang w:eastAsia="zh-CN"/>
        </w:rPr>
        <w:t>诸暨市浣东街道东二路123号宏城财富中心2102-2室</w:t>
      </w:r>
    </w:p>
    <w:p>
      <w:pPr>
        <w:keepNext w:val="0"/>
        <w:keepLines w:val="0"/>
        <w:pageBreakBefore w:val="0"/>
        <w:widowControl w:val="0"/>
        <w:kinsoku/>
        <w:wordWrap/>
        <w:topLinePunct w:val="0"/>
        <w:bidi w:val="0"/>
        <w:spacing w:line="480" w:lineRule="exact"/>
        <w:ind w:left="480" w:leftChars="200"/>
        <w:jc w:val="left"/>
        <w:rPr>
          <w:color w:val="auto"/>
          <w:sz w:val="26"/>
          <w:szCs w:val="26"/>
        </w:rPr>
      </w:pPr>
      <w:r>
        <w:rPr>
          <w:color w:val="auto"/>
          <w:sz w:val="26"/>
          <w:szCs w:val="26"/>
        </w:rPr>
        <w:t>分支机构负责人：张慧燕</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lang w:eastAsia="zh-CN"/>
        </w:rPr>
      </w:pPr>
      <w:r>
        <w:rPr>
          <w:color w:val="auto"/>
          <w:sz w:val="26"/>
          <w:szCs w:val="26"/>
        </w:rPr>
        <w:t>联系电话</w:t>
      </w:r>
      <w:r>
        <w:rPr>
          <w:rFonts w:hint="eastAsia"/>
          <w:color w:val="auto"/>
          <w:sz w:val="26"/>
          <w:szCs w:val="26"/>
        </w:rPr>
        <w:t>（传真）</w:t>
      </w:r>
      <w:r>
        <w:rPr>
          <w:color w:val="auto"/>
          <w:sz w:val="26"/>
          <w:szCs w:val="26"/>
        </w:rPr>
        <w:t>：0575－87132322</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r>
        <w:rPr>
          <w:rFonts w:hint="eastAsia"/>
          <w:b/>
          <w:color w:val="auto"/>
          <w:sz w:val="26"/>
          <w:szCs w:val="26"/>
        </w:rPr>
        <w:t>三、估价目的</w:t>
      </w:r>
      <w:bookmarkEnd w:id="15"/>
      <w:bookmarkEnd w:id="20"/>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w:t>
      </w:r>
    </w:p>
    <w:bookmarkEnd w:id="16"/>
    <w:bookmarkEnd w:id="17"/>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21" w:name="_Toc25049"/>
      <w:bookmarkStart w:id="22" w:name="_Toc454373100"/>
      <w:r>
        <w:rPr>
          <w:rFonts w:hint="eastAsia"/>
          <w:b/>
          <w:color w:val="auto"/>
          <w:sz w:val="26"/>
          <w:szCs w:val="26"/>
        </w:rPr>
        <w:t>四、估价对象</w:t>
      </w:r>
      <w:bookmarkEnd w:id="21"/>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rFonts w:hint="eastAsia"/>
          <w:color w:val="auto"/>
          <w:sz w:val="26"/>
          <w:szCs w:val="26"/>
        </w:rPr>
        <w:t>（一）估价事由</w:t>
      </w:r>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eastAsia"/>
          <w:color w:val="auto"/>
          <w:sz w:val="26"/>
          <w:szCs w:val="26"/>
        </w:rPr>
        <w:t>我公司接受</w:t>
      </w:r>
      <w:r>
        <w:rPr>
          <w:rFonts w:hint="eastAsia"/>
          <w:color w:val="auto"/>
          <w:sz w:val="26"/>
          <w:szCs w:val="26"/>
          <w:lang w:eastAsia="zh-CN"/>
        </w:rPr>
        <w:t>绍兴市越城区人民法院</w:t>
      </w:r>
      <w:r>
        <w:rPr>
          <w:rFonts w:hint="eastAsia"/>
          <w:color w:val="auto"/>
          <w:sz w:val="26"/>
          <w:szCs w:val="26"/>
        </w:rPr>
        <w:t>委托，</w:t>
      </w:r>
      <w:r>
        <w:rPr>
          <w:rFonts w:hint="eastAsia"/>
          <w:color w:val="auto"/>
          <w:sz w:val="26"/>
          <w:szCs w:val="26"/>
          <w:lang w:eastAsia="zh-CN"/>
        </w:rPr>
        <w:t>对办理的</w:t>
      </w:r>
      <w:r>
        <w:rPr>
          <w:rFonts w:hint="eastAsia"/>
          <w:color w:val="auto"/>
          <w:sz w:val="26"/>
          <w:szCs w:val="26"/>
          <w:lang w:val="en-US" w:eastAsia="zh-CN"/>
        </w:rPr>
        <w:t>2022浙0602执5284号一案</w:t>
      </w:r>
      <w:r>
        <w:rPr>
          <w:rFonts w:hint="eastAsia"/>
          <w:color w:val="auto"/>
          <w:sz w:val="26"/>
          <w:szCs w:val="26"/>
          <w:lang w:val="en-US" w:eastAsia="zh-CN"/>
        </w:rPr>
        <w:t>所涉及的</w:t>
      </w:r>
      <w:r>
        <w:rPr>
          <w:rFonts w:hint="eastAsia"/>
          <w:color w:val="auto"/>
          <w:sz w:val="26"/>
          <w:szCs w:val="26"/>
          <w:lang w:eastAsia="zh-CN"/>
        </w:rPr>
        <w:t>周美丽</w:t>
      </w:r>
      <w:r>
        <w:rPr>
          <w:rFonts w:hint="eastAsia"/>
          <w:color w:val="auto"/>
          <w:sz w:val="26"/>
          <w:szCs w:val="26"/>
        </w:rPr>
        <w:t>所属坐落于</w:t>
      </w:r>
      <w:r>
        <w:rPr>
          <w:rFonts w:hint="eastAsia"/>
          <w:color w:val="auto"/>
          <w:sz w:val="26"/>
          <w:szCs w:val="26"/>
          <w:lang w:eastAsia="zh-CN"/>
        </w:rPr>
        <w:t>绍兴市越城区稽山街道禹陵公寓27幢303室</w:t>
      </w:r>
      <w:r>
        <w:rPr>
          <w:rFonts w:hint="eastAsia"/>
          <w:color w:val="auto"/>
          <w:sz w:val="26"/>
          <w:szCs w:val="26"/>
        </w:rPr>
        <w:t>住宅房地产于价值时点现状下的市场价值进行评估，</w:t>
      </w: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480" w:lineRule="exact"/>
        <w:textAlignment w:val="auto"/>
        <w:rPr>
          <w:color w:val="auto"/>
          <w:sz w:val="26"/>
          <w:szCs w:val="26"/>
        </w:rPr>
      </w:pPr>
      <w:r>
        <w:rPr>
          <w:rFonts w:hint="eastAsia"/>
          <w:color w:val="auto"/>
          <w:sz w:val="26"/>
          <w:szCs w:val="26"/>
        </w:rPr>
        <w:t>估价对象概况及范围</w:t>
      </w:r>
    </w:p>
    <w:p>
      <w:pPr>
        <w:keepNext w:val="0"/>
        <w:keepLines w:val="0"/>
        <w:pageBreakBefore w:val="0"/>
        <w:widowControl w:val="0"/>
        <w:kinsoku/>
        <w:wordWrap/>
        <w:overflowPunct/>
        <w:topLinePunct w:val="0"/>
        <w:autoSpaceDE/>
        <w:autoSpaceDN/>
        <w:bidi w:val="0"/>
        <w:adjustRightInd w:val="0"/>
        <w:snapToGrid w:val="0"/>
        <w:spacing w:line="480" w:lineRule="exact"/>
        <w:ind w:firstLine="520"/>
        <w:textAlignment w:val="auto"/>
        <w:rPr>
          <w:rFonts w:hint="eastAsia"/>
          <w:color w:val="auto"/>
          <w:sz w:val="26"/>
          <w:szCs w:val="26"/>
        </w:rPr>
      </w:pPr>
      <w:r>
        <w:rPr>
          <w:rFonts w:hint="eastAsia"/>
          <w:color w:val="auto"/>
          <w:sz w:val="26"/>
          <w:szCs w:val="26"/>
          <w:lang w:eastAsia="zh-CN"/>
        </w:rPr>
        <w:t>估价</w:t>
      </w:r>
      <w:r>
        <w:rPr>
          <w:rFonts w:hint="eastAsia"/>
          <w:color w:val="auto"/>
          <w:sz w:val="26"/>
          <w:szCs w:val="26"/>
        </w:rPr>
        <w:t>对象</w:t>
      </w:r>
      <w:r>
        <w:rPr>
          <w:rFonts w:hint="eastAsia"/>
          <w:color w:val="auto"/>
          <w:sz w:val="26"/>
          <w:szCs w:val="26"/>
          <w:lang w:eastAsia="zh-CN"/>
        </w:rPr>
        <w:t>为绍兴市越城区稽山街道禹陵公寓27幢303室</w:t>
      </w:r>
      <w:r>
        <w:rPr>
          <w:rFonts w:hint="eastAsia"/>
          <w:color w:val="auto"/>
          <w:sz w:val="26"/>
          <w:szCs w:val="26"/>
        </w:rPr>
        <w:t>，住宅</w:t>
      </w:r>
      <w:r>
        <w:rPr>
          <w:rFonts w:hint="eastAsia"/>
          <w:color w:val="auto"/>
          <w:sz w:val="26"/>
          <w:szCs w:val="26"/>
          <w:lang w:eastAsia="zh-CN"/>
        </w:rPr>
        <w:t>登记</w:t>
      </w:r>
      <w:r>
        <w:rPr>
          <w:rFonts w:hint="eastAsia"/>
          <w:color w:val="auto"/>
          <w:sz w:val="26"/>
          <w:szCs w:val="26"/>
        </w:rPr>
        <w:t>建筑面积为</w:t>
      </w:r>
      <w:r>
        <w:rPr>
          <w:rFonts w:hint="eastAsia"/>
          <w:color w:val="auto"/>
          <w:sz w:val="26"/>
          <w:szCs w:val="26"/>
          <w:lang w:eastAsia="zh-CN"/>
        </w:rPr>
        <w:t>83.12</w:t>
      </w:r>
      <w:r>
        <w:rPr>
          <w:rFonts w:hint="eastAsia"/>
          <w:color w:val="auto"/>
          <w:sz w:val="26"/>
          <w:szCs w:val="26"/>
        </w:rPr>
        <w:t>平方米</w:t>
      </w:r>
      <w:r>
        <w:rPr>
          <w:rFonts w:hint="eastAsia"/>
          <w:color w:val="auto"/>
          <w:sz w:val="26"/>
          <w:szCs w:val="26"/>
          <w:lang w:eastAsia="zh-CN"/>
        </w:rPr>
        <w:t>，自行车库建筑面积为</w:t>
      </w:r>
      <w:r>
        <w:rPr>
          <w:rFonts w:hint="eastAsia"/>
          <w:color w:val="auto"/>
          <w:sz w:val="26"/>
          <w:szCs w:val="26"/>
          <w:lang w:val="en-US" w:eastAsia="zh-CN"/>
        </w:rPr>
        <w:t>28.58平方米</w:t>
      </w:r>
      <w:r>
        <w:rPr>
          <w:rFonts w:hint="eastAsia"/>
          <w:color w:val="auto"/>
          <w:sz w:val="26"/>
          <w:szCs w:val="26"/>
          <w:lang w:eastAsia="zh-CN"/>
        </w:rPr>
        <w:t>，</w:t>
      </w:r>
      <w:r>
        <w:rPr>
          <w:rFonts w:hint="eastAsia"/>
          <w:color w:val="auto"/>
          <w:sz w:val="26"/>
          <w:szCs w:val="26"/>
        </w:rPr>
        <w:t>国有</w:t>
      </w:r>
      <w:r>
        <w:rPr>
          <w:rFonts w:hint="eastAsia"/>
          <w:color w:val="auto"/>
          <w:sz w:val="26"/>
          <w:szCs w:val="26"/>
          <w:lang w:eastAsia="zh-CN"/>
        </w:rPr>
        <w:t>出让</w:t>
      </w:r>
      <w:r>
        <w:rPr>
          <w:rFonts w:hint="eastAsia"/>
          <w:color w:val="auto"/>
          <w:sz w:val="26"/>
          <w:szCs w:val="26"/>
        </w:rPr>
        <w:t>建设用地使用权</w:t>
      </w:r>
      <w:r>
        <w:rPr>
          <w:rFonts w:hint="eastAsia"/>
          <w:color w:val="auto"/>
          <w:sz w:val="26"/>
          <w:szCs w:val="26"/>
          <w:lang w:eastAsia="zh-CN"/>
        </w:rPr>
        <w:t>分摊</w:t>
      </w:r>
      <w:r>
        <w:rPr>
          <w:rFonts w:hint="eastAsia"/>
          <w:color w:val="auto"/>
          <w:sz w:val="26"/>
          <w:szCs w:val="26"/>
        </w:rPr>
        <w:t>面积为</w:t>
      </w:r>
      <w:r>
        <w:rPr>
          <w:rFonts w:hint="eastAsia"/>
          <w:color w:val="auto"/>
          <w:sz w:val="26"/>
          <w:szCs w:val="26"/>
          <w:lang w:eastAsia="zh-CN"/>
        </w:rPr>
        <w:t>62.96</w:t>
      </w:r>
      <w:r>
        <w:rPr>
          <w:rFonts w:hint="eastAsia"/>
          <w:color w:val="auto"/>
          <w:sz w:val="26"/>
          <w:szCs w:val="26"/>
        </w:rPr>
        <w:t>平方米。</w:t>
      </w:r>
      <w:r>
        <w:rPr>
          <w:rFonts w:hint="default" w:ascii="Times New Roman" w:hAnsi="Times New Roman" w:eastAsia="仿宋_GB2312" w:cs="Times New Roman"/>
          <w:color w:val="auto"/>
          <w:sz w:val="26"/>
          <w:szCs w:val="26"/>
        </w:rPr>
        <w:t>本次估价评估范围包括估价对象的国有出让建设用地使用权、建筑物以及</w:t>
      </w:r>
      <w:r>
        <w:rPr>
          <w:rFonts w:hint="eastAsia" w:cs="Times New Roman"/>
          <w:color w:val="auto"/>
          <w:sz w:val="26"/>
          <w:szCs w:val="26"/>
          <w:lang w:eastAsia="zh-CN"/>
        </w:rPr>
        <w:t>所有</w:t>
      </w:r>
      <w:r>
        <w:rPr>
          <w:rFonts w:hint="default" w:ascii="Times New Roman" w:hAnsi="Times New Roman" w:eastAsia="仿宋_GB2312" w:cs="Times New Roman"/>
          <w:color w:val="auto"/>
          <w:sz w:val="26"/>
          <w:szCs w:val="26"/>
        </w:rPr>
        <w:t>能使建筑物正常使用的</w:t>
      </w:r>
      <w:r>
        <w:rPr>
          <w:rFonts w:hint="eastAsia" w:cs="Times New Roman"/>
          <w:color w:val="auto"/>
          <w:sz w:val="26"/>
          <w:szCs w:val="26"/>
          <w:lang w:eastAsia="zh-CN"/>
        </w:rPr>
        <w:t>固定装饰装修</w:t>
      </w:r>
      <w:r>
        <w:rPr>
          <w:rFonts w:hint="eastAsia"/>
          <w:color w:val="auto"/>
          <w:sz w:val="26"/>
          <w:szCs w:val="26"/>
        </w:rPr>
        <w:t>（</w:t>
      </w:r>
      <w:r>
        <w:rPr>
          <w:rFonts w:hint="eastAsia"/>
          <w:color w:val="auto"/>
          <w:sz w:val="26"/>
          <w:szCs w:val="26"/>
          <w:lang w:eastAsia="zh-CN"/>
        </w:rPr>
        <w:t>包含</w:t>
      </w:r>
      <w:r>
        <w:rPr>
          <w:rFonts w:hint="eastAsia"/>
          <w:color w:val="auto"/>
          <w:sz w:val="26"/>
          <w:szCs w:val="26"/>
        </w:rPr>
        <w:t>固定装修物、门窗、灯具、</w:t>
      </w:r>
      <w:r>
        <w:rPr>
          <w:rFonts w:hint="eastAsia"/>
          <w:color w:val="auto"/>
          <w:sz w:val="26"/>
          <w:szCs w:val="26"/>
          <w:lang w:eastAsia="zh-CN"/>
        </w:rPr>
        <w:t>开关插座、固定壁柜、厨房及卫生间内固定设施</w:t>
      </w:r>
      <w:r>
        <w:rPr>
          <w:rFonts w:hint="eastAsia"/>
          <w:color w:val="auto"/>
          <w:sz w:val="26"/>
          <w:szCs w:val="26"/>
        </w:rPr>
        <w:t>等），但不包</w:t>
      </w:r>
      <w:r>
        <w:rPr>
          <w:rFonts w:hint="eastAsia"/>
          <w:color w:val="auto"/>
          <w:sz w:val="26"/>
          <w:szCs w:val="26"/>
          <w:lang w:eastAsia="zh-CN"/>
        </w:rPr>
        <w:t>括</w:t>
      </w:r>
      <w:r>
        <w:rPr>
          <w:rFonts w:hint="eastAsia"/>
          <w:color w:val="auto"/>
          <w:sz w:val="26"/>
          <w:szCs w:val="26"/>
        </w:rPr>
        <w:t>室内动产</w:t>
      </w:r>
      <w:r>
        <w:rPr>
          <w:rFonts w:hint="eastAsia"/>
          <w:color w:val="auto"/>
          <w:sz w:val="26"/>
          <w:szCs w:val="26"/>
          <w:lang w:eastAsia="zh-CN"/>
        </w:rPr>
        <w:t>、</w:t>
      </w:r>
      <w:r>
        <w:rPr>
          <w:rFonts w:hint="eastAsia"/>
          <w:color w:val="auto"/>
          <w:sz w:val="26"/>
          <w:szCs w:val="26"/>
        </w:rPr>
        <w:t>债权债务等。</w:t>
      </w:r>
    </w:p>
    <w:p>
      <w:pPr>
        <w:pStyle w:val="13"/>
        <w:keepNext w:val="0"/>
        <w:keepLines w:val="0"/>
        <w:pageBreakBefore w:val="0"/>
        <w:widowControl w:val="0"/>
        <w:tabs>
          <w:tab w:val="left" w:pos="3904"/>
        </w:tabs>
        <w:kinsoku/>
        <w:wordWrap/>
        <w:topLinePunct w:val="0"/>
        <w:bidi w:val="0"/>
        <w:snapToGrid w:val="0"/>
        <w:spacing w:line="480" w:lineRule="exact"/>
        <w:rPr>
          <w:rFonts w:ascii="Times New Roman" w:hAnsi="Times New Roman"/>
          <w:color w:val="auto"/>
          <w:sz w:val="26"/>
          <w:szCs w:val="26"/>
        </w:rPr>
      </w:pPr>
      <w:r>
        <w:rPr>
          <w:rFonts w:hint="eastAsia" w:ascii="Times New Roman" w:hAnsi="Times New Roman"/>
          <w:color w:val="auto"/>
          <w:sz w:val="26"/>
          <w:szCs w:val="26"/>
        </w:rPr>
        <w:t>（三）估价对象土地状况</w:t>
      </w:r>
    </w:p>
    <w:p>
      <w:pPr>
        <w:pStyle w:val="4"/>
        <w:keepNext w:val="0"/>
        <w:keepLines w:val="0"/>
        <w:pageBreakBefore w:val="0"/>
        <w:widowControl w:val="0"/>
        <w:kinsoku/>
        <w:wordWrap/>
        <w:overflowPunct w:val="0"/>
        <w:topLinePunct w:val="0"/>
        <w:autoSpaceDE w:val="0"/>
        <w:autoSpaceDN w:val="0"/>
        <w:bidi w:val="0"/>
        <w:adjustRightInd w:val="0"/>
        <w:snapToGrid w:val="0"/>
        <w:spacing w:line="480" w:lineRule="exact"/>
        <w:ind w:firstLine="520" w:firstLineChars="200"/>
        <w:textAlignment w:val="baseline"/>
        <w:rPr>
          <w:rFonts w:eastAsia="仿宋_GB2312"/>
          <w:color w:val="auto"/>
          <w:sz w:val="26"/>
          <w:szCs w:val="26"/>
        </w:rPr>
      </w:pPr>
      <w:r>
        <w:rPr>
          <w:rFonts w:hint="eastAsia" w:eastAsia="仿宋_GB2312"/>
          <w:color w:val="auto"/>
          <w:sz w:val="26"/>
          <w:szCs w:val="26"/>
        </w:rPr>
        <w:t>估价对象所在</w:t>
      </w:r>
      <w:r>
        <w:rPr>
          <w:rFonts w:hint="eastAsia" w:eastAsia="仿宋_GB2312"/>
          <w:color w:val="auto"/>
          <w:sz w:val="26"/>
          <w:szCs w:val="26"/>
          <w:lang w:eastAsia="zh-CN"/>
        </w:rPr>
        <w:t>小区</w:t>
      </w:r>
      <w:r>
        <w:rPr>
          <w:rFonts w:hint="eastAsia" w:eastAsia="仿宋_GB2312"/>
          <w:color w:val="auto"/>
          <w:sz w:val="26"/>
          <w:szCs w:val="26"/>
        </w:rPr>
        <w:t>四至为</w:t>
      </w:r>
      <w:r>
        <w:rPr>
          <w:rFonts w:hint="eastAsia" w:eastAsia="仿宋_GB2312"/>
          <w:color w:val="auto"/>
          <w:sz w:val="26"/>
          <w:szCs w:val="26"/>
          <w:lang w:eastAsia="zh-CN"/>
        </w:rPr>
        <w:t>东至曹江路、西至禹陵江、南至二环南路、北至天姥路</w:t>
      </w:r>
      <w:r>
        <w:rPr>
          <w:rFonts w:hint="eastAsia" w:eastAsia="仿宋_GB2312"/>
          <w:color w:val="auto"/>
          <w:sz w:val="26"/>
          <w:szCs w:val="26"/>
        </w:rPr>
        <w:t>，</w:t>
      </w:r>
      <w:r>
        <w:rPr>
          <w:rFonts w:hint="eastAsia" w:eastAsia="仿宋_GB2312"/>
          <w:color w:val="auto"/>
          <w:sz w:val="26"/>
          <w:szCs w:val="26"/>
          <w:lang w:eastAsia="zh-CN"/>
        </w:rPr>
        <w:t>宗地</w:t>
      </w:r>
      <w:r>
        <w:rPr>
          <w:rFonts w:hint="eastAsia" w:eastAsia="仿宋_GB2312"/>
          <w:color w:val="auto"/>
          <w:sz w:val="26"/>
          <w:szCs w:val="26"/>
        </w:rPr>
        <w:t>形状较规则，地势平坦，地类</w:t>
      </w:r>
      <w:r>
        <w:rPr>
          <w:rFonts w:hint="eastAsia" w:eastAsia="仿宋_GB2312"/>
          <w:color w:val="auto"/>
          <w:sz w:val="26"/>
          <w:szCs w:val="26"/>
          <w:lang w:eastAsia="zh-CN"/>
        </w:rPr>
        <w:t>（</w:t>
      </w:r>
      <w:r>
        <w:rPr>
          <w:rFonts w:hint="eastAsia" w:eastAsia="仿宋_GB2312"/>
          <w:color w:val="auto"/>
          <w:sz w:val="26"/>
          <w:szCs w:val="26"/>
        </w:rPr>
        <w:t>用途</w:t>
      </w:r>
      <w:r>
        <w:rPr>
          <w:rFonts w:hint="eastAsia" w:eastAsia="仿宋_GB2312"/>
          <w:color w:val="auto"/>
          <w:sz w:val="26"/>
          <w:szCs w:val="26"/>
          <w:lang w:eastAsia="zh-CN"/>
        </w:rPr>
        <w:t>）</w:t>
      </w:r>
      <w:r>
        <w:rPr>
          <w:rFonts w:hint="eastAsia" w:eastAsia="仿宋_GB2312"/>
          <w:color w:val="auto"/>
          <w:sz w:val="26"/>
          <w:szCs w:val="26"/>
        </w:rPr>
        <w:t>为住宅用地，使用权类型为出让，土地使用</w:t>
      </w:r>
      <w:r>
        <w:rPr>
          <w:rFonts w:hint="eastAsia" w:eastAsia="仿宋_GB2312"/>
          <w:color w:val="auto"/>
          <w:sz w:val="26"/>
          <w:szCs w:val="26"/>
          <w:lang w:eastAsia="zh-CN"/>
        </w:rPr>
        <w:t>权</w:t>
      </w:r>
      <w:r>
        <w:rPr>
          <w:rFonts w:hint="eastAsia" w:eastAsia="仿宋_GB2312"/>
          <w:color w:val="auto"/>
          <w:sz w:val="26"/>
          <w:szCs w:val="26"/>
        </w:rPr>
        <w:t>终止日期为</w:t>
      </w:r>
      <w:r>
        <w:rPr>
          <w:rFonts w:hint="eastAsia" w:eastAsia="仿宋_GB2312"/>
          <w:color w:val="auto"/>
          <w:sz w:val="26"/>
          <w:szCs w:val="26"/>
          <w:lang w:eastAsia="zh-CN"/>
        </w:rPr>
        <w:t>2078年12月8日</w:t>
      </w:r>
      <w:r>
        <w:rPr>
          <w:rFonts w:hint="eastAsia" w:eastAsia="仿宋_GB2312"/>
          <w:color w:val="auto"/>
          <w:sz w:val="26"/>
          <w:szCs w:val="26"/>
        </w:rPr>
        <w:t>，土地剩余使用年限为</w:t>
      </w:r>
      <w:r>
        <w:rPr>
          <w:rFonts w:hint="eastAsia" w:eastAsia="仿宋_GB2312"/>
          <w:color w:val="auto"/>
          <w:sz w:val="26"/>
          <w:szCs w:val="26"/>
          <w:lang w:val="en-US" w:eastAsia="zh-CN"/>
        </w:rPr>
        <w:t>56.06年</w:t>
      </w:r>
      <w:r>
        <w:rPr>
          <w:rFonts w:eastAsia="仿宋_GB2312"/>
          <w:color w:val="auto"/>
          <w:sz w:val="26"/>
          <w:szCs w:val="26"/>
        </w:rPr>
        <w:t>。</w:t>
      </w:r>
    </w:p>
    <w:p>
      <w:pPr>
        <w:pStyle w:val="4"/>
        <w:keepNext w:val="0"/>
        <w:keepLines w:val="0"/>
        <w:pageBreakBefore w:val="0"/>
        <w:widowControl w:val="0"/>
        <w:kinsoku/>
        <w:wordWrap/>
        <w:overflowPunct w:val="0"/>
        <w:topLinePunct w:val="0"/>
        <w:autoSpaceDE w:val="0"/>
        <w:autoSpaceDN w:val="0"/>
        <w:bidi w:val="0"/>
        <w:adjustRightInd w:val="0"/>
        <w:snapToGrid w:val="0"/>
        <w:spacing w:line="480" w:lineRule="exact"/>
        <w:ind w:firstLine="0"/>
        <w:textAlignment w:val="baseline"/>
        <w:rPr>
          <w:rFonts w:eastAsia="仿宋_GB2312"/>
          <w:color w:val="auto"/>
          <w:sz w:val="26"/>
          <w:szCs w:val="26"/>
        </w:rPr>
      </w:pPr>
      <w:r>
        <w:rPr>
          <w:rFonts w:hint="eastAsia" w:eastAsia="仿宋_GB2312"/>
          <w:color w:val="auto"/>
          <w:sz w:val="26"/>
          <w:szCs w:val="26"/>
        </w:rPr>
        <w:t>（四）估价对象建筑物状况</w:t>
      </w:r>
    </w:p>
    <w:p>
      <w:pPr>
        <w:keepNext w:val="0"/>
        <w:keepLines w:val="0"/>
        <w:pageBreakBefore w:val="0"/>
        <w:widowControl w:val="0"/>
        <w:kinsoku/>
        <w:wordWrap/>
        <w:topLinePunct w:val="0"/>
        <w:bidi w:val="0"/>
        <w:snapToGrid w:val="0"/>
        <w:spacing w:line="480" w:lineRule="exact"/>
        <w:ind w:left="0" w:leftChars="0" w:firstLine="520" w:firstLineChars="200"/>
        <w:rPr>
          <w:rFonts w:hint="eastAsia"/>
          <w:color w:val="auto"/>
          <w:sz w:val="26"/>
          <w:szCs w:val="26"/>
        </w:rPr>
      </w:pPr>
      <w:r>
        <w:rPr>
          <w:rFonts w:hint="eastAsia"/>
          <w:color w:val="auto"/>
          <w:sz w:val="26"/>
          <w:szCs w:val="26"/>
        </w:rPr>
        <w:t>估价对象</w:t>
      </w:r>
      <w:r>
        <w:rPr>
          <w:rFonts w:hint="eastAsia"/>
          <w:color w:val="auto"/>
          <w:sz w:val="26"/>
          <w:szCs w:val="26"/>
          <w:lang w:eastAsia="zh-CN"/>
        </w:rPr>
        <w:t>所在层数</w:t>
      </w:r>
      <w:r>
        <w:rPr>
          <w:rFonts w:hint="eastAsia"/>
          <w:color w:val="auto"/>
          <w:sz w:val="26"/>
          <w:szCs w:val="26"/>
        </w:rPr>
        <w:t>位于第</w:t>
      </w:r>
      <w:r>
        <w:rPr>
          <w:rFonts w:hint="eastAsia"/>
          <w:color w:val="auto"/>
          <w:sz w:val="26"/>
          <w:szCs w:val="26"/>
          <w:lang w:val="en-US" w:eastAsia="zh-CN"/>
        </w:rPr>
        <w:t>3</w:t>
      </w:r>
      <w:r>
        <w:rPr>
          <w:rFonts w:hint="eastAsia"/>
          <w:color w:val="auto"/>
          <w:sz w:val="26"/>
          <w:szCs w:val="26"/>
          <w:lang w:eastAsia="zh-CN"/>
        </w:rPr>
        <w:t>层，砖混</w:t>
      </w:r>
      <w:r>
        <w:rPr>
          <w:rFonts w:hint="eastAsia"/>
          <w:color w:val="auto"/>
          <w:sz w:val="26"/>
          <w:szCs w:val="26"/>
        </w:rPr>
        <w:t>结构。</w:t>
      </w:r>
      <w:r>
        <w:rPr>
          <w:rFonts w:hint="eastAsia"/>
          <w:color w:val="auto"/>
          <w:sz w:val="26"/>
          <w:szCs w:val="26"/>
          <w:lang w:eastAsia="zh-CN"/>
        </w:rPr>
        <w:t>装饰</w:t>
      </w:r>
      <w:r>
        <w:rPr>
          <w:rFonts w:hint="eastAsia"/>
          <w:color w:val="auto"/>
          <w:sz w:val="26"/>
          <w:szCs w:val="26"/>
        </w:rPr>
        <w:t>装修情况</w:t>
      </w:r>
      <w:r>
        <w:rPr>
          <w:rFonts w:hint="eastAsia"/>
          <w:color w:val="auto"/>
          <w:sz w:val="26"/>
          <w:szCs w:val="26"/>
          <w:lang w:eastAsia="zh-CN"/>
        </w:rPr>
        <w:t>如下</w:t>
      </w:r>
      <w:r>
        <w:rPr>
          <w:rFonts w:hint="eastAsia"/>
          <w:color w:val="auto"/>
          <w:sz w:val="26"/>
          <w:szCs w:val="26"/>
        </w:rPr>
        <w:t>：防盗门入户</w:t>
      </w:r>
      <w:r>
        <w:rPr>
          <w:rFonts w:hint="eastAsia"/>
          <w:color w:val="auto"/>
          <w:sz w:val="26"/>
          <w:szCs w:val="26"/>
          <w:lang w:eastAsia="zh-CN"/>
        </w:rPr>
        <w:t>，内部为木门，铝合金玻璃门，铝合金玻璃窗</w:t>
      </w:r>
      <w:r>
        <w:rPr>
          <w:rFonts w:hint="eastAsia"/>
          <w:color w:val="auto"/>
          <w:sz w:val="26"/>
          <w:szCs w:val="26"/>
          <w:lang w:eastAsia="zh-CN"/>
        </w:rPr>
        <w:t>；客厅及餐厅地面地砖贴面，墙面墙纸饰面，顶面石膏板吊顶、涂料刷白；卧室地面木地板铺设，墙面墙纸饰面，装有木壁柜，顶面涂料刷白；厨房及卫生间地面地砖贴面，墙面墙砖贴面，顶面</w:t>
      </w:r>
      <w:r>
        <w:rPr>
          <w:rFonts w:hint="eastAsia"/>
          <w:color w:val="auto"/>
          <w:sz w:val="26"/>
          <w:szCs w:val="26"/>
          <w:lang w:val="en-US" w:eastAsia="zh-CN"/>
        </w:rPr>
        <w:t>PVC扣板吊顶，内部橱柜及卫浴设施安装齐全；阳台地面地砖贴面，墙面墙砖贴面，顶面石膏板吊顶、涂料刷白；</w:t>
      </w:r>
      <w:r>
        <w:rPr>
          <w:rFonts w:hint="eastAsia"/>
          <w:color w:val="auto"/>
          <w:sz w:val="26"/>
          <w:szCs w:val="26"/>
        </w:rPr>
        <w:t>根据注册房地产估价师现场查勘，估价对象</w:t>
      </w:r>
      <w:r>
        <w:rPr>
          <w:rFonts w:hint="eastAsia"/>
          <w:color w:val="auto"/>
          <w:sz w:val="26"/>
          <w:szCs w:val="26"/>
          <w:lang w:eastAsia="zh-CN"/>
        </w:rPr>
        <w:t>室内采光、通风、日照情况良好，</w:t>
      </w:r>
      <w:r>
        <w:rPr>
          <w:rFonts w:hint="eastAsia"/>
          <w:color w:val="auto"/>
          <w:sz w:val="26"/>
          <w:szCs w:val="26"/>
        </w:rPr>
        <w:t>水、电齐全，</w:t>
      </w:r>
      <w:r>
        <w:rPr>
          <w:rFonts w:hint="eastAsia"/>
          <w:color w:val="auto"/>
          <w:sz w:val="26"/>
          <w:szCs w:val="26"/>
          <w:lang w:eastAsia="zh-CN"/>
        </w:rPr>
        <w:t>建筑物整体维护保养状况良好</w:t>
      </w:r>
      <w:r>
        <w:rPr>
          <w:rFonts w:hint="eastAsia"/>
          <w:color w:val="auto"/>
          <w:sz w:val="26"/>
          <w:szCs w:val="26"/>
        </w:rPr>
        <w:t>。</w:t>
      </w:r>
    </w:p>
    <w:p>
      <w:pPr>
        <w:keepNext w:val="0"/>
        <w:keepLines w:val="0"/>
        <w:pageBreakBefore w:val="0"/>
        <w:widowControl w:val="0"/>
        <w:kinsoku/>
        <w:wordWrap/>
        <w:topLinePunct w:val="0"/>
        <w:bidi w:val="0"/>
        <w:snapToGrid w:val="0"/>
        <w:spacing w:line="480" w:lineRule="exact"/>
        <w:rPr>
          <w:color w:val="auto"/>
          <w:sz w:val="26"/>
          <w:szCs w:val="26"/>
        </w:rPr>
      </w:pPr>
      <w:r>
        <w:rPr>
          <w:rFonts w:hint="eastAsia"/>
          <w:color w:val="auto"/>
          <w:sz w:val="26"/>
          <w:szCs w:val="26"/>
        </w:rPr>
        <w:t>（五）他项权利状况</w:t>
      </w:r>
    </w:p>
    <w:p>
      <w:pPr>
        <w:keepNext w:val="0"/>
        <w:keepLines w:val="0"/>
        <w:pageBreakBefore w:val="0"/>
        <w:widowControl w:val="0"/>
        <w:kinsoku/>
        <w:wordWrap/>
        <w:topLinePunct w:val="0"/>
        <w:bidi w:val="0"/>
        <w:snapToGrid w:val="0"/>
        <w:spacing w:line="480" w:lineRule="exact"/>
        <w:ind w:firstLine="520" w:firstLineChars="200"/>
        <w:rPr>
          <w:color w:val="auto"/>
          <w:sz w:val="26"/>
          <w:szCs w:val="26"/>
        </w:rPr>
      </w:pPr>
      <w:r>
        <w:rPr>
          <w:color w:val="auto"/>
          <w:sz w:val="26"/>
          <w:szCs w:val="26"/>
        </w:rPr>
        <w:t>根据委托人提供的资料，至价值时点，估价对象</w:t>
      </w:r>
      <w:r>
        <w:rPr>
          <w:rFonts w:hint="eastAsia"/>
          <w:color w:val="auto"/>
          <w:sz w:val="26"/>
          <w:szCs w:val="26"/>
          <w:lang w:eastAsia="zh-CN"/>
        </w:rPr>
        <w:t>已设定抵押权，</w:t>
      </w:r>
      <w:r>
        <w:rPr>
          <w:rFonts w:hint="eastAsia"/>
          <w:color w:val="auto"/>
          <w:sz w:val="26"/>
          <w:szCs w:val="26"/>
          <w:lang w:eastAsia="zh-CN"/>
        </w:rPr>
        <w:t>且</w:t>
      </w:r>
      <w:r>
        <w:rPr>
          <w:rFonts w:hint="eastAsia"/>
          <w:color w:val="auto"/>
          <w:sz w:val="26"/>
          <w:szCs w:val="26"/>
        </w:rPr>
        <w:t>已</w:t>
      </w:r>
      <w:r>
        <w:rPr>
          <w:color w:val="auto"/>
          <w:sz w:val="26"/>
          <w:szCs w:val="26"/>
        </w:rPr>
        <w:t>被</w:t>
      </w:r>
      <w:r>
        <w:rPr>
          <w:rFonts w:hint="eastAsia"/>
          <w:color w:val="auto"/>
          <w:sz w:val="26"/>
          <w:szCs w:val="26"/>
          <w:lang w:eastAsia="zh-CN"/>
        </w:rPr>
        <w:t>绍兴市越城区人民法院</w:t>
      </w:r>
      <w:r>
        <w:rPr>
          <w:color w:val="auto"/>
          <w:sz w:val="26"/>
          <w:szCs w:val="26"/>
        </w:rPr>
        <w:t>查封。</w:t>
      </w:r>
      <w:r>
        <w:rPr>
          <w:rFonts w:hint="eastAsia"/>
          <w:color w:val="auto"/>
          <w:sz w:val="26"/>
          <w:szCs w:val="26"/>
        </w:rPr>
        <w:t>根据本次估价目的及委托方要求，本次评估未考虑在估价对象上设定抵押、担保、租赁等他项权利和查封情况对房地产市场价值的影响。</w:t>
      </w:r>
    </w:p>
    <w:p>
      <w:pPr>
        <w:keepNext w:val="0"/>
        <w:keepLines w:val="0"/>
        <w:pageBreakBefore w:val="0"/>
        <w:widowControl w:val="0"/>
        <w:kinsoku/>
        <w:wordWrap/>
        <w:topLinePunct w:val="0"/>
        <w:bidi w:val="0"/>
        <w:adjustRightInd w:val="0"/>
        <w:snapToGrid w:val="0"/>
        <w:spacing w:line="480" w:lineRule="exact"/>
        <w:outlineLvl w:val="1"/>
        <w:rPr>
          <w:b/>
          <w:color w:val="auto"/>
          <w:sz w:val="26"/>
          <w:szCs w:val="26"/>
        </w:rPr>
      </w:pPr>
      <w:bookmarkStart w:id="23" w:name="_Toc13528"/>
      <w:r>
        <w:rPr>
          <w:rFonts w:hint="eastAsia"/>
          <w:b/>
          <w:color w:val="auto"/>
          <w:sz w:val="26"/>
          <w:szCs w:val="26"/>
        </w:rPr>
        <w:t>五、价值时点</w:t>
      </w:r>
      <w:bookmarkEnd w:id="22"/>
      <w:bookmarkEnd w:id="23"/>
    </w:p>
    <w:p>
      <w:pPr>
        <w:pStyle w:val="15"/>
        <w:keepNext w:val="0"/>
        <w:keepLines w:val="0"/>
        <w:pageBreakBefore w:val="0"/>
        <w:widowControl w:val="0"/>
        <w:kinsoku/>
        <w:wordWrap/>
        <w:topLinePunct w:val="0"/>
        <w:bidi w:val="0"/>
        <w:snapToGrid w:val="0"/>
        <w:spacing w:line="480" w:lineRule="exact"/>
        <w:ind w:firstLine="520" w:firstLineChars="200"/>
        <w:rPr>
          <w:rFonts w:eastAsia="仿宋_GB2312"/>
          <w:color w:val="auto"/>
          <w:sz w:val="26"/>
          <w:szCs w:val="26"/>
        </w:rPr>
      </w:pPr>
      <w:r>
        <w:rPr>
          <w:rFonts w:hint="eastAsia" w:eastAsia="仿宋_GB2312"/>
          <w:color w:val="auto"/>
          <w:sz w:val="26"/>
          <w:szCs w:val="26"/>
          <w:lang w:eastAsia="zh-CN"/>
        </w:rPr>
        <w:t>2022年11月16日</w:t>
      </w:r>
      <w:r>
        <w:rPr>
          <w:rFonts w:hint="eastAsia" w:eastAsia="仿宋_GB2312"/>
          <w:color w:val="auto"/>
          <w:sz w:val="26"/>
          <w:szCs w:val="26"/>
        </w:rPr>
        <w:t>（实地查勘之日）</w:t>
      </w:r>
    </w:p>
    <w:p>
      <w:pPr>
        <w:keepNext w:val="0"/>
        <w:keepLines w:val="0"/>
        <w:pageBreakBefore w:val="0"/>
        <w:widowControl w:val="0"/>
        <w:kinsoku/>
        <w:wordWrap/>
        <w:topLinePunct w:val="0"/>
        <w:bidi w:val="0"/>
        <w:adjustRightInd w:val="0"/>
        <w:snapToGrid w:val="0"/>
        <w:spacing w:line="480" w:lineRule="exact"/>
        <w:outlineLvl w:val="1"/>
        <w:rPr>
          <w:b/>
          <w:color w:val="auto"/>
          <w:sz w:val="26"/>
          <w:szCs w:val="26"/>
        </w:rPr>
      </w:pPr>
      <w:bookmarkStart w:id="24" w:name="_Toc454373101"/>
      <w:bookmarkStart w:id="25" w:name="_Toc12933"/>
      <w:r>
        <w:rPr>
          <w:rFonts w:hint="eastAsia"/>
          <w:b/>
          <w:color w:val="auto"/>
          <w:sz w:val="26"/>
          <w:szCs w:val="26"/>
        </w:rPr>
        <w:t>六、价值类型</w:t>
      </w:r>
      <w:bookmarkEnd w:id="24"/>
      <w:bookmarkEnd w:id="25"/>
    </w:p>
    <w:p>
      <w:pPr>
        <w:keepNext w:val="0"/>
        <w:keepLines w:val="0"/>
        <w:pageBreakBefore w:val="0"/>
        <w:widowControl w:val="0"/>
        <w:kinsoku/>
        <w:wordWrap/>
        <w:topLinePunct w:val="0"/>
        <w:bidi w:val="0"/>
        <w:snapToGrid w:val="0"/>
        <w:spacing w:line="480" w:lineRule="exact"/>
        <w:ind w:firstLine="520" w:firstLineChars="200"/>
        <w:rPr>
          <w:color w:val="auto"/>
          <w:sz w:val="26"/>
          <w:szCs w:val="26"/>
        </w:rPr>
      </w:pPr>
      <w:r>
        <w:rPr>
          <w:rFonts w:hint="eastAsia"/>
          <w:color w:val="auto"/>
          <w:sz w:val="26"/>
          <w:szCs w:val="26"/>
        </w:rPr>
        <w:t>本次估价结果是指估价对象在满足全部假设和限制条件的前提下于价值时点</w:t>
      </w:r>
      <w:r>
        <w:rPr>
          <w:rFonts w:hint="eastAsia"/>
          <w:color w:val="auto"/>
          <w:sz w:val="26"/>
          <w:szCs w:val="26"/>
          <w:lang w:eastAsia="zh-CN"/>
        </w:rPr>
        <w:t>2022年11月16日</w:t>
      </w:r>
      <w:r>
        <w:rPr>
          <w:rFonts w:hint="eastAsia"/>
          <w:color w:val="auto"/>
          <w:sz w:val="26"/>
          <w:szCs w:val="26"/>
        </w:rPr>
        <w:t>合法利用条件下用途为住宅的房地产市场价值。</w:t>
      </w:r>
    </w:p>
    <w:p>
      <w:pPr>
        <w:keepNext w:val="0"/>
        <w:keepLines w:val="0"/>
        <w:pageBreakBefore w:val="0"/>
        <w:widowControl w:val="0"/>
        <w:kinsoku/>
        <w:wordWrap/>
        <w:topLinePunct w:val="0"/>
        <w:bidi w:val="0"/>
        <w:snapToGrid w:val="0"/>
        <w:spacing w:line="480" w:lineRule="exact"/>
        <w:ind w:firstLine="520" w:firstLineChars="200"/>
        <w:rPr>
          <w:rFonts w:hint="eastAsia"/>
          <w:color w:val="auto"/>
          <w:kern w:val="0"/>
          <w:sz w:val="26"/>
          <w:szCs w:val="26"/>
        </w:rPr>
      </w:pPr>
      <w:r>
        <w:rPr>
          <w:rFonts w:hint="eastAsia"/>
          <w:color w:val="auto"/>
          <w:sz w:val="26"/>
          <w:szCs w:val="26"/>
        </w:rPr>
        <w:t>价值定义：鉴定评估的价值定义为房地产市场价值，通常不评估变现价值，不考虑房地产拍卖（变卖）成交后交易的税费以及税费的转移分担。本次估价的价值定义为估价对象房地产市场价值。</w:t>
      </w:r>
    </w:p>
    <w:p>
      <w:pPr>
        <w:keepNext w:val="0"/>
        <w:keepLines w:val="0"/>
        <w:pageBreakBefore w:val="0"/>
        <w:widowControl w:val="0"/>
        <w:kinsoku/>
        <w:wordWrap/>
        <w:topLinePunct w:val="0"/>
        <w:bidi w:val="0"/>
        <w:adjustRightInd w:val="0"/>
        <w:snapToGrid w:val="0"/>
        <w:spacing w:line="480" w:lineRule="exact"/>
        <w:outlineLvl w:val="1"/>
        <w:rPr>
          <w:b/>
          <w:color w:val="auto"/>
          <w:sz w:val="26"/>
          <w:szCs w:val="26"/>
        </w:rPr>
      </w:pPr>
      <w:bookmarkStart w:id="26" w:name="_Toc31469"/>
      <w:r>
        <w:rPr>
          <w:rFonts w:hint="eastAsia"/>
          <w:b/>
          <w:color w:val="auto"/>
          <w:sz w:val="26"/>
          <w:szCs w:val="26"/>
        </w:rPr>
        <w:t>七、估价原则</w:t>
      </w:r>
      <w:bookmarkEnd w:id="26"/>
    </w:p>
    <w:p>
      <w:pPr>
        <w:keepNext w:val="0"/>
        <w:keepLines w:val="0"/>
        <w:pageBreakBefore w:val="0"/>
        <w:widowControl w:val="0"/>
        <w:kinsoku/>
        <w:wordWrap/>
        <w:topLinePunct w:val="0"/>
        <w:bidi w:val="0"/>
        <w:adjustRightInd w:val="0"/>
        <w:snapToGrid w:val="0"/>
        <w:spacing w:line="480" w:lineRule="exact"/>
        <w:ind w:firstLine="520" w:firstLineChars="200"/>
        <w:rPr>
          <w:color w:val="auto"/>
          <w:sz w:val="26"/>
          <w:szCs w:val="26"/>
        </w:rPr>
      </w:pPr>
      <w:r>
        <w:rPr>
          <w:rFonts w:hint="eastAsia"/>
          <w:color w:val="auto"/>
          <w:sz w:val="26"/>
          <w:szCs w:val="26"/>
        </w:rPr>
        <w:t>本次估价遵循合法原则、价值时点原则、独立客观公正原则、替代原则、最高最佳利用原则等房地产估价原则。</w:t>
      </w:r>
    </w:p>
    <w:p>
      <w:pPr>
        <w:keepNext w:val="0"/>
        <w:keepLines w:val="0"/>
        <w:pageBreakBefore w:val="0"/>
        <w:widowControl w:val="0"/>
        <w:kinsoku/>
        <w:wordWrap/>
        <w:topLinePunct w:val="0"/>
        <w:bidi w:val="0"/>
        <w:adjustRightInd w:val="0"/>
        <w:snapToGrid w:val="0"/>
        <w:spacing w:line="480" w:lineRule="exact"/>
        <w:ind w:firstLine="520" w:firstLineChars="200"/>
        <w:rPr>
          <w:color w:val="auto"/>
          <w:sz w:val="26"/>
          <w:szCs w:val="26"/>
        </w:rPr>
      </w:pPr>
      <w:r>
        <w:rPr>
          <w:color w:val="auto"/>
          <w:sz w:val="26"/>
          <w:szCs w:val="26"/>
        </w:rPr>
        <w:t>1</w:t>
      </w:r>
      <w:r>
        <w:rPr>
          <w:rFonts w:hint="eastAsia"/>
          <w:color w:val="auto"/>
          <w:sz w:val="26"/>
          <w:szCs w:val="26"/>
        </w:rPr>
        <w:t>、合法原则</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w:t>
      </w:r>
      <w:r>
        <w:rPr>
          <w:rFonts w:hint="eastAsia"/>
          <w:color w:val="auto"/>
          <w:sz w:val="26"/>
          <w:szCs w:val="26"/>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2</w:t>
      </w:r>
      <w:r>
        <w:rPr>
          <w:rFonts w:hint="eastAsia"/>
          <w:color w:val="auto"/>
          <w:sz w:val="26"/>
          <w:szCs w:val="26"/>
        </w:rPr>
        <w:t>、价值时点原则</w:t>
      </w:r>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eastAsia"/>
          <w:color w:val="auto"/>
          <w:sz w:val="26"/>
          <w:szCs w:val="26"/>
        </w:rPr>
        <w:t>房地产市场是不断变化的，房地产价格具有很强的时间性，它是某一时点上的价格。在不同时点，同一宗房地产往往会有不同价格。价值时点原则是指求取某一时点上的价格，所以在评估一宗房地产的价格时，必须假定市场停止在价值时点上，同时估价对象房地产的状况通常也是以其在该时间点的状况为准。</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3</w:t>
      </w:r>
      <w:r>
        <w:rPr>
          <w:rFonts w:hint="eastAsia"/>
          <w:color w:val="auto"/>
          <w:sz w:val="26"/>
          <w:szCs w:val="26"/>
        </w:rPr>
        <w:t>、独立、客观、公正原则</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w:t>
      </w:r>
      <w:r>
        <w:rPr>
          <w:rFonts w:hint="eastAsia"/>
          <w:color w:val="auto"/>
          <w:sz w:val="26"/>
          <w:szCs w:val="26"/>
        </w:rPr>
        <w:t>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snapToGrid w:val="0"/>
        <w:spacing w:line="480" w:lineRule="exact"/>
        <w:textAlignment w:val="auto"/>
        <w:rPr>
          <w:color w:val="auto"/>
          <w:sz w:val="26"/>
          <w:szCs w:val="26"/>
        </w:rPr>
      </w:pPr>
      <w:r>
        <w:rPr>
          <w:color w:val="auto"/>
          <w:sz w:val="26"/>
          <w:szCs w:val="26"/>
        </w:rPr>
        <w:t xml:space="preserve">    4</w:t>
      </w:r>
      <w:r>
        <w:rPr>
          <w:rFonts w:hint="eastAsia"/>
          <w:color w:val="auto"/>
          <w:sz w:val="26"/>
          <w:szCs w:val="26"/>
        </w:rPr>
        <w:t>、替代原则</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rFonts w:hint="eastAsia"/>
          <w:color w:val="auto"/>
          <w:sz w:val="26"/>
          <w:szCs w:val="26"/>
        </w:rPr>
        <w:t>根据市场运行规律，在同一商品市场，商品或提供服务的效用相同或大致相似时，价格低者吸引需求，即有两个以上互有替代性的商品或服务同时存在时，商品或服务的价格中经过相互影响与比较之后来决定的。</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color w:val="auto"/>
          <w:sz w:val="26"/>
          <w:szCs w:val="26"/>
        </w:rPr>
        <w:t>5</w:t>
      </w:r>
      <w:r>
        <w:rPr>
          <w:rFonts w:hint="eastAsia"/>
          <w:color w:val="auto"/>
          <w:sz w:val="26"/>
          <w:szCs w:val="26"/>
        </w:rPr>
        <w:t>、最高最佳利用原则</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rFonts w:hint="eastAsia"/>
          <w:color w:val="auto"/>
          <w:sz w:val="26"/>
          <w:szCs w:val="26"/>
        </w:rPr>
        <w:t>所谓最高最佳利用是估价对象一种最可能的使用，这种最可能的使用是法律上允许、技术上可能、财务上可行、价值最大化，经过充分合理的论证，并能给予估价对象带来最高价值的使用。它的一种具体表现，是以能使估价对象获利最多的用途和开发强度来衡量。这是因为在房地产市场中，每位房地产拥有者在主观上都试图充分的发挥房地产的潜力，采用最高最佳利用方式，取得最大的收益。</w:t>
      </w:r>
    </w:p>
    <w:p>
      <w:pPr>
        <w:keepNext w:val="0"/>
        <w:keepLines w:val="0"/>
        <w:pageBreakBefore w:val="0"/>
        <w:widowControl w:val="0"/>
        <w:kinsoku/>
        <w:wordWrap/>
        <w:overflowPunct/>
        <w:topLinePunct w:val="0"/>
        <w:autoSpaceDE/>
        <w:autoSpaceDN/>
        <w:bidi w:val="0"/>
        <w:snapToGrid w:val="0"/>
        <w:spacing w:line="480" w:lineRule="exact"/>
        <w:ind w:firstLine="520"/>
        <w:textAlignment w:val="auto"/>
        <w:rPr>
          <w:color w:val="auto"/>
          <w:sz w:val="26"/>
          <w:szCs w:val="26"/>
        </w:rPr>
      </w:pPr>
      <w:r>
        <w:rPr>
          <w:rFonts w:hint="eastAsia"/>
          <w:color w:val="auto"/>
          <w:sz w:val="26"/>
          <w:szCs w:val="26"/>
        </w:rPr>
        <w:t>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27" w:name="_Toc11541"/>
      <w:r>
        <w:rPr>
          <w:rFonts w:hint="eastAsia"/>
          <w:b/>
          <w:color w:val="auto"/>
          <w:sz w:val="26"/>
          <w:szCs w:val="26"/>
        </w:rPr>
        <w:t>八、估价依据</w:t>
      </w:r>
      <w:bookmarkEnd w:id="27"/>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color w:val="auto"/>
          <w:sz w:val="26"/>
          <w:szCs w:val="26"/>
        </w:rPr>
      </w:pPr>
      <w:r>
        <w:rPr>
          <w:rFonts w:hint="eastAsia"/>
          <w:color w:val="auto"/>
          <w:sz w:val="26"/>
          <w:szCs w:val="26"/>
        </w:rPr>
        <w:t>本次估价所依据的有关法律、法规和政策文件及相关资料</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1.《中华人民共和国民法典》（2020年5月28日，十三届全国人大三次会议表决通过了，自2021年1月1日起施行）；</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2.《中华人民共和国城市房地产管理法》（2019年8月26日中华人民共和国主席令第32号，2020年1月1日起施行）；</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3.《中华人民共和国土地管理法》（2019年8月26日中华人民共和国主席令第32号，2020年1月1日起施行）；</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4.《中华人民共和国城乡规划法》（2019年4月23日中华人民共和国主席令第29号，2019年4月23日起施行）；</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5.《中华人民共和国拍卖法》（第八届全国人民代表大会常务委员会第二十次会议审议于1996年7月5日审议通过，自1997年1月1日起施行。2015年4月24日第十二届全国人民代表大会常务委员会第十四次会议修正）；</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6.《中华人民共和国资产评估法》(2016年7月2日中华人民共和国主席令第46号，2016年12月1日起实施)；</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7.《人民法院司法鉴定工作暂行规定》(法发〔2001〕23号）</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8.《最高人民法院关于人民法院民事执行中拍卖、变卖财产的规定》（法释〔2004〕16号）；</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9.《最高人民法院关于人民法院委托评估、拍卖工作的若干规定》（法释〔2011〕21号） ；</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rPr>
      </w:pPr>
      <w:r>
        <w:rPr>
          <w:rFonts w:hint="eastAsia"/>
          <w:color w:val="auto"/>
          <w:sz w:val="26"/>
          <w:szCs w:val="26"/>
        </w:rPr>
        <w:t>10.《最高人民法院关于人民法院确定财产处置参考价若干问题的规定》（法释〔2018〕15号）。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eastAsia"/>
          <w:color w:val="auto"/>
          <w:sz w:val="26"/>
          <w:szCs w:val="26"/>
          <w:lang w:val="en-US" w:eastAsia="zh-CN"/>
        </w:rPr>
      </w:pPr>
      <w:r>
        <w:rPr>
          <w:rFonts w:hint="eastAsia"/>
          <w:color w:val="auto"/>
          <w:sz w:val="26"/>
          <w:szCs w:val="26"/>
          <w:lang w:val="en-US" w:eastAsia="zh-CN"/>
        </w:rPr>
        <w:t>11．《涉执房地产处置司法评估指导意见（试行）》（中房学〔2021〕37号）；</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color w:val="auto"/>
          <w:sz w:val="26"/>
          <w:szCs w:val="26"/>
          <w:lang w:val="en-US" w:eastAsia="zh-CN"/>
        </w:rPr>
      </w:pPr>
      <w:r>
        <w:rPr>
          <w:rFonts w:hint="eastAsia"/>
          <w:color w:val="auto"/>
          <w:sz w:val="26"/>
          <w:szCs w:val="26"/>
          <w:lang w:val="en-US" w:eastAsia="zh-CN"/>
        </w:rPr>
        <w:t>12．《绍兴市越城区人民法院司法评估委托书》【（2022）绍越法委评字第349号】；</w:t>
      </w:r>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color w:val="auto"/>
          <w:spacing w:val="0"/>
          <w:sz w:val="26"/>
          <w:szCs w:val="26"/>
        </w:rPr>
      </w:pPr>
      <w:bookmarkStart w:id="28" w:name="_Toc1013"/>
      <w:r>
        <w:rPr>
          <w:rFonts w:hint="eastAsia"/>
          <w:color w:val="auto"/>
          <w:spacing w:val="0"/>
          <w:sz w:val="26"/>
          <w:szCs w:val="26"/>
        </w:rPr>
        <w:t>1</w:t>
      </w:r>
      <w:r>
        <w:rPr>
          <w:rFonts w:hint="eastAsia"/>
          <w:color w:val="auto"/>
          <w:spacing w:val="0"/>
          <w:sz w:val="26"/>
          <w:szCs w:val="26"/>
          <w:lang w:val="en-US" w:eastAsia="zh-CN"/>
        </w:rPr>
        <w:t>3</w:t>
      </w:r>
      <w:r>
        <w:rPr>
          <w:rFonts w:hint="eastAsia"/>
          <w:color w:val="auto"/>
          <w:spacing w:val="0"/>
          <w:sz w:val="26"/>
          <w:szCs w:val="26"/>
        </w:rPr>
        <w:t>．委托人提供的《</w:t>
      </w:r>
      <w:r>
        <w:rPr>
          <w:rFonts w:hint="eastAsia"/>
          <w:color w:val="auto"/>
          <w:spacing w:val="0"/>
          <w:sz w:val="26"/>
          <w:szCs w:val="26"/>
          <w:lang w:eastAsia="zh-CN"/>
        </w:rPr>
        <w:t>不动产信息查询记录</w:t>
      </w:r>
      <w:r>
        <w:rPr>
          <w:rFonts w:hint="eastAsia"/>
          <w:color w:val="auto"/>
          <w:spacing w:val="0"/>
          <w:sz w:val="26"/>
          <w:szCs w:val="26"/>
        </w:rPr>
        <w:t>》复印件及其他相关资料；</w:t>
      </w:r>
      <w:bookmarkEnd w:id="28"/>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color w:val="auto"/>
          <w:sz w:val="26"/>
          <w:szCs w:val="26"/>
        </w:rPr>
      </w:pPr>
      <w:r>
        <w:rPr>
          <w:rFonts w:hint="eastAsia"/>
          <w:color w:val="auto"/>
          <w:sz w:val="26"/>
          <w:szCs w:val="26"/>
        </w:rPr>
        <w:t>1</w:t>
      </w:r>
      <w:r>
        <w:rPr>
          <w:rFonts w:hint="eastAsia"/>
          <w:color w:val="auto"/>
          <w:sz w:val="26"/>
          <w:szCs w:val="26"/>
          <w:lang w:val="en-US" w:eastAsia="zh-CN"/>
        </w:rPr>
        <w:t>4</w:t>
      </w:r>
      <w:r>
        <w:rPr>
          <w:rFonts w:hint="eastAsia"/>
          <w:color w:val="auto"/>
          <w:sz w:val="26"/>
          <w:szCs w:val="26"/>
        </w:rPr>
        <w:t>．其他实地查勘调查获得的资料。</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29" w:name="_Toc454373104"/>
      <w:bookmarkStart w:id="30" w:name="_Toc17776"/>
      <w:r>
        <w:rPr>
          <w:rFonts w:hint="eastAsia"/>
          <w:b/>
          <w:color w:val="auto"/>
          <w:sz w:val="26"/>
          <w:szCs w:val="26"/>
        </w:rPr>
        <w:t>九、估价方法</w:t>
      </w:r>
      <w:bookmarkEnd w:id="29"/>
      <w:bookmarkEnd w:id="30"/>
    </w:p>
    <w:p>
      <w:pPr>
        <w:pStyle w:val="13"/>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rFonts w:ascii="Times New Roman" w:hAnsi="Times New Roman"/>
          <w:color w:val="auto"/>
          <w:sz w:val="26"/>
          <w:szCs w:val="26"/>
        </w:rPr>
      </w:pPr>
      <w:bookmarkStart w:id="31" w:name="_Toc454373105"/>
      <w:r>
        <w:rPr>
          <w:rFonts w:hint="eastAsia" w:ascii="Times New Roman" w:hAnsi="Times New Roman"/>
          <w:color w:val="auto"/>
          <w:sz w:val="26"/>
          <w:szCs w:val="26"/>
        </w:rPr>
        <w:t>（一）估价方法的选用</w:t>
      </w:r>
    </w:p>
    <w:p>
      <w:pPr>
        <w:pStyle w:val="13"/>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rFonts w:ascii="Times New Roman" w:hAnsi="Times New Roman"/>
          <w:color w:val="auto"/>
          <w:sz w:val="26"/>
          <w:szCs w:val="26"/>
        </w:rPr>
      </w:pPr>
      <w:r>
        <w:rPr>
          <w:rFonts w:hint="eastAsia" w:ascii="Times New Roman" w:hAnsi="Times New Roman"/>
          <w:color w:val="auto"/>
          <w:sz w:val="26"/>
          <w:szCs w:val="26"/>
        </w:rPr>
        <w:t>根据《房地产估价规范》（</w:t>
      </w:r>
      <w:r>
        <w:rPr>
          <w:rFonts w:ascii="Times New Roman" w:hAnsi="Times New Roman"/>
          <w:color w:val="auto"/>
          <w:sz w:val="26"/>
          <w:szCs w:val="26"/>
        </w:rPr>
        <w:t>GB/T50291-2015</w:t>
      </w:r>
      <w:r>
        <w:rPr>
          <w:rFonts w:hint="eastAsia" w:ascii="Times New Roman" w:hAnsi="Times New Roman"/>
          <w:color w:val="auto"/>
          <w:sz w:val="26"/>
          <w:szCs w:val="26"/>
        </w:rPr>
        <w:t>），估价方法通常有比较法、收益法、成本法、假设开发法等估价方法。不同的估价方法从不同的角度反映了所估房地产在一定权利状态及一定时间点的价格水平，只是各种方法的适用条件、方法特点、资料要求有所不同，需根据委估房地产的估价目的、实际情况等选择合适的估价方法。</w:t>
      </w:r>
    </w:p>
    <w:p>
      <w:pPr>
        <w:pStyle w:val="13"/>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rFonts w:ascii="Times New Roman" w:hAnsi="Times New Roman"/>
          <w:color w:val="auto"/>
          <w:sz w:val="26"/>
          <w:szCs w:val="26"/>
        </w:rPr>
      </w:pPr>
      <w:r>
        <w:rPr>
          <w:rFonts w:hint="eastAsia" w:ascii="Times New Roman" w:hAnsi="Times New Roman"/>
          <w:color w:val="auto"/>
          <w:sz w:val="26"/>
          <w:szCs w:val="26"/>
        </w:rPr>
        <w:t>注册房地产估价师对估价对象的文件资料进行了必要的审核及分析，并进行认真的实地查勘和调查了解，最终选择采用比较法，测算估价对象房地产的市场价值。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估价对象为住宅房地产，与估价对象位于同一供求范围内，并与其相类似的房地产交易案例较多，根据替代原则可选用比较法进行评估。</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与其同一供求范围内多为自用型住宅房地产，周边出租案例租金</w:t>
      </w:r>
      <w:r>
        <w:rPr>
          <w:rFonts w:hint="eastAsia" w:ascii="Times New Roman" w:hAnsi="Times New Roman"/>
          <w:color w:val="auto"/>
          <w:sz w:val="26"/>
          <w:szCs w:val="26"/>
          <w:lang w:eastAsia="zh-CN"/>
        </w:rPr>
        <w:t>普遍</w:t>
      </w:r>
      <w:r>
        <w:rPr>
          <w:rFonts w:hint="eastAsia" w:ascii="Times New Roman" w:hAnsi="Times New Roman"/>
          <w:color w:val="auto"/>
          <w:sz w:val="26"/>
          <w:szCs w:val="26"/>
        </w:rPr>
        <w:t>偏低，测算出的收益价值严重偏离市场价</w:t>
      </w:r>
      <w:r>
        <w:rPr>
          <w:rFonts w:hint="eastAsia" w:ascii="Times New Roman" w:hAnsi="Times New Roman"/>
          <w:color w:val="auto"/>
          <w:sz w:val="26"/>
          <w:szCs w:val="26"/>
          <w:lang w:eastAsia="zh-CN"/>
        </w:rPr>
        <w:t>值</w:t>
      </w:r>
      <w:r>
        <w:rPr>
          <w:rFonts w:hint="eastAsia" w:ascii="Times New Roman" w:hAnsi="Times New Roman"/>
          <w:color w:val="auto"/>
          <w:sz w:val="26"/>
          <w:szCs w:val="26"/>
        </w:rPr>
        <w:t>，故不适宜选用收益法评估其价值。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估价对象区域内房地产建设项目均是在几年前取得，目前相关政策变化较大，不同项目的取得成本差异较大，且成本法计算的过程中过多的考虑项目投入成本，而对市场变化的反映较为落后，故不适宜选用成本法评估其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估价对象为已建成的房地产，并将维持现状以持续利用，不具有投资开发或再开发潜力，故不适宜选用假设开发法评估其价值。</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（二）估价方法定义与技术路线</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比较法定义：选取一定数量的可比实例，将它们与估价对象进行比较，根据其间的差异对可比实例成交价格进行处理后得到估价对象价值或价格的方法。</w:t>
      </w:r>
    </w:p>
    <w:p>
      <w:pPr>
        <w:pStyle w:val="13"/>
        <w:keepNext w:val="0"/>
        <w:keepLines w:val="0"/>
        <w:pageBreakBefore w:val="0"/>
        <w:widowControl w:val="0"/>
        <w:kinsoku/>
        <w:wordWrap/>
        <w:overflowPunct/>
        <w:topLinePunct w:val="0"/>
        <w:autoSpaceDE/>
        <w:autoSpaceDN/>
        <w:bidi w:val="0"/>
        <w:snapToGrid w:val="0"/>
        <w:spacing w:line="480" w:lineRule="exact"/>
        <w:ind w:firstLine="570"/>
        <w:textAlignment w:val="auto"/>
        <w:rPr>
          <w:rFonts w:ascii="Times New Roman" w:hAnsi="Times New Roman"/>
          <w:color w:val="auto"/>
          <w:sz w:val="26"/>
          <w:szCs w:val="26"/>
        </w:rPr>
      </w:pPr>
      <w:r>
        <w:rPr>
          <w:rFonts w:hint="eastAsia" w:ascii="Times New Roman" w:hAnsi="Times New Roman"/>
          <w:color w:val="auto"/>
          <w:sz w:val="26"/>
          <w:szCs w:val="26"/>
        </w:rPr>
        <w:t>比较法技术路线为：选择类似区域、用途相似、结构相近等类似房地产交易实例，通过对交易实例与估价对象的分析、比较，在对可比实例进行区位状况、实物状况和权益状况修正后，确定估价对象的市场价值。</w:t>
      </w:r>
    </w:p>
    <w:p>
      <w:pPr>
        <w:keepNext w:val="0"/>
        <w:keepLines w:val="0"/>
        <w:pageBreakBefore w:val="0"/>
        <w:widowControl w:val="0"/>
        <w:kinsoku/>
        <w:wordWrap/>
        <w:overflowPunct/>
        <w:topLinePunct w:val="0"/>
        <w:autoSpaceDE/>
        <w:autoSpaceDN/>
        <w:bidi w:val="0"/>
        <w:snapToGrid w:val="0"/>
        <w:spacing w:line="480" w:lineRule="exact"/>
        <w:ind w:left="480" w:leftChars="200"/>
        <w:textAlignment w:val="auto"/>
        <w:rPr>
          <w:color w:val="auto"/>
          <w:sz w:val="26"/>
          <w:szCs w:val="26"/>
        </w:rPr>
      </w:pPr>
      <w:r>
        <w:rPr>
          <w:rFonts w:hint="eastAsia"/>
          <w:color w:val="auto"/>
          <w:sz w:val="26"/>
          <w:szCs w:val="26"/>
        </w:rPr>
        <w:t>（三）价格影响因素分析</w:t>
      </w:r>
    </w:p>
    <w:p>
      <w:pPr>
        <w:keepNext w:val="0"/>
        <w:keepLines w:val="0"/>
        <w:pageBreakBefore w:val="0"/>
        <w:widowControl w:val="0"/>
        <w:kinsoku/>
        <w:wordWrap/>
        <w:overflowPunct/>
        <w:topLinePunct w:val="0"/>
        <w:autoSpaceDE/>
        <w:autoSpaceDN/>
        <w:bidi w:val="0"/>
        <w:snapToGrid w:val="0"/>
        <w:spacing w:line="480" w:lineRule="exact"/>
        <w:ind w:firstLine="520" w:firstLineChars="200"/>
        <w:textAlignment w:val="auto"/>
        <w:rPr>
          <w:color w:val="auto"/>
          <w:sz w:val="26"/>
          <w:szCs w:val="26"/>
        </w:rPr>
      </w:pPr>
      <w:r>
        <w:rPr>
          <w:rFonts w:hint="eastAsia"/>
          <w:color w:val="auto"/>
          <w:sz w:val="26"/>
          <w:szCs w:val="26"/>
        </w:rPr>
        <w:t>价格受租赁、查封、债务情况、产权纠纷等影响。由于本次估价目的是</w:t>
      </w:r>
      <w:r>
        <w:rPr>
          <w:rFonts w:hint="default" w:ascii="Times New Roman" w:hAnsi="Times New Roman" w:eastAsia="仿宋_GB2312" w:cs="Times New Roman"/>
          <w:color w:val="auto"/>
          <w:sz w:val="26"/>
          <w:szCs w:val="26"/>
          <w:lang w:eastAsia="zh-CN"/>
        </w:rPr>
        <w:t>为</w:t>
      </w:r>
      <w:r>
        <w:rPr>
          <w:rFonts w:hint="default" w:ascii="Times New Roman" w:hAnsi="Times New Roman" w:eastAsia="仿宋_GB2312" w:cs="Times New Roman"/>
          <w:color w:val="auto"/>
          <w:sz w:val="26"/>
          <w:szCs w:val="26"/>
          <w:lang w:val="en-US" w:eastAsia="zh-CN"/>
        </w:rPr>
        <w:t>人民法院确定财产处置参考价</w:t>
      </w:r>
      <w:r>
        <w:rPr>
          <w:rFonts w:hint="default" w:ascii="Times New Roman" w:hAnsi="Times New Roman" w:eastAsia="仿宋_GB2312" w:cs="Times New Roman"/>
          <w:color w:val="auto"/>
          <w:sz w:val="26"/>
          <w:szCs w:val="26"/>
          <w:lang w:eastAsia="zh-CN"/>
        </w:rPr>
        <w:t>提</w:t>
      </w:r>
      <w:r>
        <w:rPr>
          <w:rFonts w:hint="eastAsia" w:ascii="Times New Roman" w:hAnsi="Times New Roman" w:eastAsia="仿宋_GB2312" w:cs="Times New Roman"/>
          <w:color w:val="auto"/>
          <w:sz w:val="26"/>
          <w:szCs w:val="26"/>
          <w:lang w:eastAsia="zh-CN"/>
        </w:rPr>
        <w:t>供参考依据</w:t>
      </w:r>
      <w:r>
        <w:rPr>
          <w:rFonts w:hint="eastAsia"/>
          <w:color w:val="auto"/>
          <w:sz w:val="26"/>
          <w:szCs w:val="26"/>
        </w:rPr>
        <w:t>，故查封不影响估价对象的价值，但租赁情况、产权纠纷将对估价对象的价值产生影响。根据我国相关法律规定，抵押权实现不能对抗抵押权设立前已设定的租赁权，由于承租者权益的存在，将使估价对象价值偏离正常市场价值。产权纠纷对估价对象价值也将产生较大影响，估价委托人应提供上述影响价格的相关资料，以便于估价人员对房地产价格影响因素进行充分分析。本次估价时委托人未提供影响价格的上述资料，故本估价结果为假设不存在上述情况下的分析结果。</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1"/>
        <w:rPr>
          <w:b/>
          <w:color w:val="auto"/>
          <w:sz w:val="26"/>
          <w:szCs w:val="26"/>
        </w:rPr>
      </w:pPr>
      <w:bookmarkStart w:id="32" w:name="_Toc15643"/>
      <w:r>
        <w:rPr>
          <w:rFonts w:hint="eastAsia"/>
          <w:b/>
          <w:color w:val="auto"/>
          <w:sz w:val="26"/>
          <w:szCs w:val="26"/>
        </w:rPr>
        <w:t>十、估价结果</w:t>
      </w:r>
      <w:bookmarkEnd w:id="31"/>
      <w:bookmarkEnd w:id="32"/>
    </w:p>
    <w:p>
      <w:pPr>
        <w:keepNext w:val="0"/>
        <w:keepLines w:val="0"/>
        <w:pageBreakBefore w:val="0"/>
        <w:widowControl w:val="0"/>
        <w:kinsoku/>
        <w:wordWrap/>
        <w:overflowPunct/>
        <w:topLinePunct w:val="0"/>
        <w:autoSpaceDE/>
        <w:autoSpaceDN/>
        <w:bidi w:val="0"/>
        <w:adjustRightInd w:val="0"/>
        <w:snapToGrid w:val="0"/>
        <w:spacing w:line="480" w:lineRule="exact"/>
        <w:ind w:firstLine="520" w:firstLineChars="200"/>
        <w:textAlignment w:val="auto"/>
        <w:rPr>
          <w:rFonts w:hint="default"/>
          <w:color w:val="auto"/>
          <w:sz w:val="26"/>
          <w:szCs w:val="26"/>
          <w:lang w:val="en-US"/>
        </w:rPr>
      </w:pPr>
      <w:bookmarkStart w:id="33" w:name="_Toc454373106"/>
      <w:r>
        <w:rPr>
          <w:rFonts w:hint="eastAsia"/>
          <w:color w:val="auto"/>
          <w:sz w:val="26"/>
          <w:szCs w:val="26"/>
        </w:rPr>
        <w:t>注册房地产估价师根据特定的估价目的，遵循估价原则，按照严谨的估价程序，采用比较法，在认真分析所掌握的资料并充分考虑估价对象价格影响因素的基础上，在报告中已说明的其他假设和限制条件下，经过周密、细致的综合测算，并结合估价经验，最终确定估价对象于价值时点（</w:t>
      </w:r>
      <w:r>
        <w:rPr>
          <w:rFonts w:hint="eastAsia"/>
          <w:color w:val="auto"/>
          <w:sz w:val="26"/>
          <w:szCs w:val="26"/>
          <w:lang w:eastAsia="zh-CN"/>
        </w:rPr>
        <w:t>2022年11月16日</w:t>
      </w:r>
      <w:r>
        <w:rPr>
          <w:rFonts w:hint="eastAsia"/>
          <w:color w:val="auto"/>
          <w:sz w:val="26"/>
          <w:szCs w:val="26"/>
        </w:rPr>
        <w:t>）的市场价值为大写人民币</w:t>
      </w:r>
      <w:r>
        <w:rPr>
          <w:rFonts w:hint="eastAsia" w:ascii="仿宋_GB2312" w:hAnsi="仿宋_GB2312" w:cs="仿宋_GB2312"/>
          <w:b/>
          <w:bCs/>
          <w:color w:val="auto"/>
          <w:sz w:val="26"/>
          <w:szCs w:val="26"/>
          <w:lang w:eastAsia="zh-CN"/>
        </w:rPr>
        <w:t>壹佰肆拾伍万陆仟叁佰</w:t>
      </w:r>
      <w:r>
        <w:rPr>
          <w:rFonts w:hint="eastAsia"/>
          <w:color w:val="auto"/>
          <w:sz w:val="26"/>
          <w:szCs w:val="26"/>
        </w:rPr>
        <w:t>元整（小写</w:t>
      </w:r>
      <w:r>
        <w:rPr>
          <w:color w:val="auto"/>
          <w:sz w:val="26"/>
          <w:szCs w:val="26"/>
        </w:rPr>
        <w:t>RMB</w:t>
      </w:r>
      <w:r>
        <w:rPr>
          <w:rFonts w:hint="eastAsia"/>
          <w:color w:val="auto"/>
          <w:sz w:val="26"/>
          <w:szCs w:val="26"/>
        </w:rPr>
        <w:t>：</w:t>
      </w:r>
      <w:r>
        <w:rPr>
          <w:rFonts w:hint="eastAsia"/>
          <w:color w:val="auto"/>
          <w:sz w:val="26"/>
          <w:szCs w:val="26"/>
          <w:lang w:val="en-US" w:eastAsia="zh-CN"/>
        </w:rPr>
        <w:t>145.63万</w:t>
      </w:r>
      <w:r>
        <w:rPr>
          <w:rFonts w:hint="eastAsia"/>
          <w:color w:val="auto"/>
          <w:sz w:val="26"/>
          <w:szCs w:val="26"/>
        </w:rPr>
        <w:t>元）</w:t>
      </w:r>
      <w:r>
        <w:rPr>
          <w:rFonts w:hint="eastAsia"/>
          <w:color w:val="auto"/>
          <w:sz w:val="26"/>
          <w:szCs w:val="26"/>
          <w:lang w:eastAsia="zh-CN"/>
        </w:rPr>
        <w:t>。</w:t>
      </w:r>
    </w:p>
    <w:bookmarkEnd w:id="33"/>
    <w:p>
      <w:pPr>
        <w:keepNext w:val="0"/>
        <w:keepLines w:val="0"/>
        <w:pageBreakBefore w:val="0"/>
        <w:widowControl w:val="0"/>
        <w:kinsoku/>
        <w:wordWrap/>
        <w:overflowPunct/>
        <w:topLinePunct w:val="0"/>
        <w:autoSpaceDE/>
        <w:autoSpaceDN/>
        <w:bidi w:val="0"/>
        <w:adjustRightInd w:val="0"/>
        <w:snapToGrid w:val="0"/>
        <w:spacing w:line="500" w:lineRule="atLeast"/>
        <w:textAlignment w:val="auto"/>
        <w:outlineLvl w:val="1"/>
        <w:rPr>
          <w:b/>
          <w:color w:val="auto"/>
          <w:sz w:val="26"/>
          <w:szCs w:val="26"/>
        </w:rPr>
      </w:pPr>
      <w:bookmarkStart w:id="34" w:name="_Toc27736"/>
      <w:bookmarkStart w:id="35" w:name="_Toc454373107"/>
      <w:r>
        <w:rPr>
          <w:rFonts w:hint="eastAsia"/>
          <w:b/>
          <w:color w:val="auto"/>
          <w:sz w:val="26"/>
          <w:szCs w:val="26"/>
        </w:rPr>
        <w:t>十一、注册房地产估价师</w:t>
      </w:r>
      <w:bookmarkEnd w:id="34"/>
    </w:p>
    <w:tbl>
      <w:tblPr>
        <w:tblStyle w:val="30"/>
        <w:tblW w:w="975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340"/>
        <w:gridCol w:w="339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2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姓</w:t>
            </w:r>
            <w:r>
              <w:rPr>
                <w:rFonts w:ascii="仿宋_GB2312" w:hAnsi="仿宋_GB2312" w:cs="仿宋_GB2312"/>
                <w:color w:val="auto"/>
                <w:sz w:val="26"/>
                <w:szCs w:val="26"/>
              </w:rPr>
              <w:t xml:space="preserve">  </w:t>
            </w:r>
            <w:r>
              <w:rPr>
                <w:rFonts w:hint="eastAsia" w:ascii="仿宋_GB2312" w:hAnsi="仿宋_GB2312" w:cs="仿宋_GB2312"/>
                <w:color w:val="auto"/>
                <w:sz w:val="26"/>
                <w:szCs w:val="26"/>
              </w:rPr>
              <w:t>名</w:t>
            </w:r>
          </w:p>
        </w:tc>
        <w:tc>
          <w:tcPr>
            <w:tcW w:w="234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注册号</w:t>
            </w:r>
          </w:p>
        </w:tc>
        <w:tc>
          <w:tcPr>
            <w:tcW w:w="339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签名盖章</w:t>
            </w:r>
          </w:p>
        </w:tc>
        <w:tc>
          <w:tcPr>
            <w:tcW w:w="1900" w:type="dxa"/>
            <w:vAlign w:val="center"/>
          </w:tcPr>
          <w:p>
            <w:pPr>
              <w:snapToGrid w:val="0"/>
              <w:spacing w:line="420" w:lineRule="exact"/>
              <w:jc w:val="center"/>
              <w:rPr>
                <w:rFonts w:ascii="仿宋_GB2312" w:cs="仿宋_GB2312"/>
                <w:color w:val="auto"/>
                <w:sz w:val="26"/>
                <w:szCs w:val="26"/>
              </w:rPr>
            </w:pPr>
            <w:r>
              <w:rPr>
                <w:rFonts w:hint="eastAsia" w:ascii="仿宋_GB2312" w:hAnsi="仿宋_GB2312" w:cs="仿宋_GB2312"/>
                <w:color w:val="auto"/>
                <w:sz w:val="26"/>
                <w:szCs w:val="26"/>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120" w:type="dxa"/>
            <w:vAlign w:val="center"/>
          </w:tcPr>
          <w:p>
            <w:pPr>
              <w:snapToGrid w:val="0"/>
              <w:spacing w:line="460" w:lineRule="exact"/>
              <w:jc w:val="center"/>
              <w:rPr>
                <w:rFonts w:ascii="仿宋_GB2312" w:hAnsi="Times New Roman" w:eastAsia="仿宋_GB2312" w:cs="仿宋_GB2312"/>
                <w:color w:val="auto"/>
                <w:kern w:val="2"/>
                <w:sz w:val="26"/>
                <w:szCs w:val="26"/>
                <w:lang w:val="en-US" w:eastAsia="zh-CN" w:bidi="ar-SA"/>
              </w:rPr>
            </w:pPr>
            <w:r>
              <w:rPr>
                <w:rFonts w:hint="eastAsia" w:ascii="仿宋_GB2312" w:cs="仿宋_GB2312"/>
                <w:color w:val="auto"/>
                <w:sz w:val="26"/>
                <w:szCs w:val="26"/>
              </w:rPr>
              <w:t>陈峰伟</w:t>
            </w:r>
          </w:p>
        </w:tc>
        <w:tc>
          <w:tcPr>
            <w:tcW w:w="2340" w:type="dxa"/>
            <w:vAlign w:val="center"/>
          </w:tcPr>
          <w:p>
            <w:pPr>
              <w:snapToGrid w:val="0"/>
              <w:spacing w:line="460" w:lineRule="exact"/>
              <w:jc w:val="center"/>
              <w:rPr>
                <w:rFonts w:hint="eastAsia" w:ascii="仿宋_GB2312" w:hAnsi="Times New Roman" w:eastAsia="仿宋_GB2312" w:cs="仿宋_GB2312"/>
                <w:color w:val="auto"/>
                <w:kern w:val="2"/>
                <w:sz w:val="26"/>
                <w:szCs w:val="26"/>
                <w:lang w:val="en-US" w:eastAsia="zh-CN" w:bidi="ar-SA"/>
              </w:rPr>
            </w:pPr>
            <w:r>
              <w:rPr>
                <w:rFonts w:hint="eastAsia" w:eastAsia="楷体_GB2312"/>
                <w:bCs/>
                <w:color w:val="auto"/>
                <w:sz w:val="26"/>
                <w:szCs w:val="26"/>
                <w:lang w:val="en-US" w:eastAsia="zh-CN"/>
              </w:rPr>
              <w:t>3320180041</w:t>
            </w:r>
          </w:p>
        </w:tc>
        <w:tc>
          <w:tcPr>
            <w:tcW w:w="3390" w:type="dxa"/>
            <w:vAlign w:val="center"/>
          </w:tcPr>
          <w:p>
            <w:pPr>
              <w:snapToGrid w:val="0"/>
              <w:spacing w:line="460" w:lineRule="exact"/>
              <w:jc w:val="center"/>
              <w:rPr>
                <w:rFonts w:ascii="仿宋_GB2312" w:cs="仿宋_GB2312"/>
                <w:color w:val="auto"/>
                <w:sz w:val="26"/>
                <w:szCs w:val="26"/>
              </w:rPr>
            </w:pPr>
          </w:p>
        </w:tc>
        <w:tc>
          <w:tcPr>
            <w:tcW w:w="1900" w:type="dxa"/>
            <w:vAlign w:val="center"/>
          </w:tcPr>
          <w:p>
            <w:pPr>
              <w:snapToGrid w:val="0"/>
              <w:spacing w:line="460" w:lineRule="exact"/>
              <w:jc w:val="center"/>
              <w:rPr>
                <w:rFonts w:ascii="仿宋_GB2312" w:cs="仿宋_GB2312"/>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120" w:type="dxa"/>
            <w:vAlign w:val="center"/>
          </w:tcPr>
          <w:p>
            <w:pPr>
              <w:snapToGrid w:val="0"/>
              <w:spacing w:line="460" w:lineRule="exact"/>
              <w:jc w:val="center"/>
              <w:rPr>
                <w:rFonts w:ascii="仿宋_GB2312" w:cs="仿宋_GB2312"/>
                <w:color w:val="auto"/>
                <w:sz w:val="26"/>
                <w:szCs w:val="26"/>
              </w:rPr>
            </w:pPr>
            <w:r>
              <w:rPr>
                <w:rFonts w:hint="eastAsia" w:ascii="仿宋_GB2312" w:hAnsi="仿宋_GB2312" w:cs="仿宋_GB2312"/>
                <w:color w:val="auto"/>
                <w:sz w:val="26"/>
                <w:szCs w:val="26"/>
                <w:lang w:eastAsia="zh-CN"/>
              </w:rPr>
              <w:t>张慧燕</w:t>
            </w:r>
          </w:p>
        </w:tc>
        <w:tc>
          <w:tcPr>
            <w:tcW w:w="2340" w:type="dxa"/>
            <w:vAlign w:val="center"/>
          </w:tcPr>
          <w:p>
            <w:pPr>
              <w:snapToGrid w:val="0"/>
              <w:spacing w:line="460" w:lineRule="exact"/>
              <w:jc w:val="center"/>
              <w:rPr>
                <w:rFonts w:hint="eastAsia" w:ascii="仿宋_GB2312" w:eastAsia="仿宋_GB2312" w:cs="仿宋_GB2312"/>
                <w:color w:val="auto"/>
                <w:sz w:val="26"/>
                <w:szCs w:val="26"/>
                <w:lang w:val="en-US" w:eastAsia="zh-CN"/>
              </w:rPr>
            </w:pPr>
            <w:r>
              <w:rPr>
                <w:rFonts w:hint="eastAsia"/>
                <w:color w:val="auto"/>
                <w:sz w:val="26"/>
                <w:szCs w:val="26"/>
                <w:lang w:eastAsia="zh-CN"/>
              </w:rPr>
              <w:t>3320150090</w:t>
            </w:r>
            <w:r>
              <w:rPr>
                <w:rFonts w:hint="eastAsia" w:eastAsia="仿宋_GB2312"/>
                <w:color w:val="auto"/>
                <w:sz w:val="26"/>
                <w:szCs w:val="26"/>
              </w:rPr>
              <w:t xml:space="preserve">  </w:t>
            </w:r>
          </w:p>
        </w:tc>
        <w:tc>
          <w:tcPr>
            <w:tcW w:w="3390" w:type="dxa"/>
            <w:vAlign w:val="top"/>
          </w:tcPr>
          <w:p>
            <w:pPr>
              <w:snapToGrid w:val="0"/>
              <w:spacing w:line="460" w:lineRule="exact"/>
              <w:jc w:val="center"/>
              <w:rPr>
                <w:rFonts w:ascii="仿宋_GB2312" w:cs="仿宋_GB2312"/>
                <w:color w:val="auto"/>
                <w:sz w:val="26"/>
                <w:szCs w:val="26"/>
              </w:rPr>
            </w:pPr>
          </w:p>
        </w:tc>
        <w:tc>
          <w:tcPr>
            <w:tcW w:w="1900" w:type="dxa"/>
            <w:vAlign w:val="top"/>
          </w:tcPr>
          <w:p>
            <w:pPr>
              <w:snapToGrid w:val="0"/>
              <w:spacing w:line="460" w:lineRule="exact"/>
              <w:jc w:val="center"/>
              <w:rPr>
                <w:rFonts w:ascii="仿宋_GB2312" w:cs="仿宋_GB2312"/>
                <w:color w:val="auto"/>
                <w:sz w:val="26"/>
                <w:szCs w:val="26"/>
              </w:rPr>
            </w:pPr>
          </w:p>
        </w:tc>
      </w:tr>
    </w:tbl>
    <w:p>
      <w:pPr>
        <w:keepNext w:val="0"/>
        <w:keepLines w:val="0"/>
        <w:pageBreakBefore w:val="0"/>
        <w:widowControl w:val="0"/>
        <w:kinsoku/>
        <w:wordWrap/>
        <w:topLinePunct w:val="0"/>
        <w:bidi w:val="0"/>
        <w:adjustRightInd w:val="0"/>
        <w:snapToGrid w:val="0"/>
        <w:spacing w:line="480" w:lineRule="atLeast"/>
        <w:outlineLvl w:val="1"/>
        <w:rPr>
          <w:rFonts w:hint="eastAsia"/>
          <w:b/>
          <w:color w:val="auto"/>
          <w:sz w:val="26"/>
          <w:szCs w:val="26"/>
        </w:rPr>
      </w:pPr>
      <w:bookmarkStart w:id="36" w:name="_Toc21141"/>
      <w:r>
        <w:rPr>
          <w:rFonts w:hint="eastAsia"/>
          <w:b/>
          <w:color w:val="auto"/>
          <w:sz w:val="26"/>
          <w:szCs w:val="26"/>
        </w:rPr>
        <w:t>十二、</w:t>
      </w:r>
      <w:bookmarkEnd w:id="35"/>
      <w:r>
        <w:rPr>
          <w:rFonts w:hint="eastAsia"/>
          <w:b/>
          <w:color w:val="auto"/>
          <w:sz w:val="26"/>
          <w:szCs w:val="26"/>
        </w:rPr>
        <w:t>实地查勘期</w:t>
      </w:r>
      <w:bookmarkEnd w:id="36"/>
    </w:p>
    <w:p>
      <w:pPr>
        <w:keepNext w:val="0"/>
        <w:keepLines w:val="0"/>
        <w:pageBreakBefore w:val="0"/>
        <w:widowControl w:val="0"/>
        <w:kinsoku/>
        <w:wordWrap/>
        <w:topLinePunct w:val="0"/>
        <w:bidi w:val="0"/>
        <w:adjustRightInd w:val="0"/>
        <w:snapToGrid w:val="0"/>
        <w:spacing w:line="480" w:lineRule="atLeast"/>
        <w:ind w:firstLine="520" w:firstLineChars="200"/>
        <w:outlineLvl w:val="1"/>
        <w:rPr>
          <w:rFonts w:hint="eastAsia" w:eastAsia="仿宋_GB2312"/>
          <w:color w:val="auto"/>
          <w:sz w:val="26"/>
          <w:szCs w:val="26"/>
          <w:lang w:eastAsia="zh-CN"/>
        </w:rPr>
      </w:pPr>
      <w:bookmarkStart w:id="37" w:name="_Toc454373108"/>
      <w:bookmarkStart w:id="38" w:name="_Toc24555"/>
      <w:r>
        <w:rPr>
          <w:rFonts w:hint="eastAsia"/>
          <w:color w:val="auto"/>
          <w:sz w:val="26"/>
          <w:szCs w:val="26"/>
          <w:lang w:eastAsia="zh-CN"/>
        </w:rPr>
        <w:t>2022年11月16日</w:t>
      </w:r>
    </w:p>
    <w:p>
      <w:pPr>
        <w:keepNext w:val="0"/>
        <w:keepLines w:val="0"/>
        <w:pageBreakBefore w:val="0"/>
        <w:widowControl w:val="0"/>
        <w:kinsoku/>
        <w:wordWrap/>
        <w:topLinePunct w:val="0"/>
        <w:bidi w:val="0"/>
        <w:adjustRightInd w:val="0"/>
        <w:snapToGrid w:val="0"/>
        <w:spacing w:line="480" w:lineRule="atLeast"/>
        <w:outlineLvl w:val="1"/>
        <w:rPr>
          <w:rFonts w:hint="eastAsia"/>
          <w:b/>
          <w:color w:val="auto"/>
          <w:sz w:val="26"/>
          <w:szCs w:val="26"/>
        </w:rPr>
      </w:pPr>
      <w:r>
        <w:rPr>
          <w:rFonts w:hint="eastAsia"/>
          <w:b/>
          <w:color w:val="auto"/>
          <w:sz w:val="26"/>
          <w:szCs w:val="26"/>
        </w:rPr>
        <w:t>十三、估价作业日期</w:t>
      </w:r>
      <w:bookmarkEnd w:id="37"/>
      <w:bookmarkEnd w:id="38"/>
    </w:p>
    <w:p>
      <w:pPr>
        <w:pStyle w:val="4"/>
        <w:spacing w:line="480" w:lineRule="exact"/>
        <w:ind w:left="0" w:leftChars="0" w:firstLine="520" w:firstLineChars="200"/>
        <w:rPr>
          <w:rFonts w:hint="eastAsia" w:eastAsia="仿宋_GB2312"/>
          <w:color w:val="auto"/>
          <w:sz w:val="26"/>
          <w:szCs w:val="26"/>
          <w:lang w:eastAsia="zh-CN"/>
        </w:rPr>
      </w:pPr>
      <w:r>
        <w:rPr>
          <w:rFonts w:hint="eastAsia" w:eastAsia="仿宋_GB2312"/>
          <w:color w:val="auto"/>
          <w:sz w:val="26"/>
          <w:szCs w:val="26"/>
          <w:lang w:eastAsia="zh-CN"/>
        </w:rPr>
        <w:t>2022年</w:t>
      </w:r>
      <w:r>
        <w:rPr>
          <w:rFonts w:hint="eastAsia" w:eastAsia="仿宋_GB2312"/>
          <w:color w:val="auto"/>
          <w:sz w:val="26"/>
          <w:szCs w:val="26"/>
          <w:lang w:val="en-US" w:eastAsia="zh-CN"/>
        </w:rPr>
        <w:t>11</w:t>
      </w:r>
      <w:r>
        <w:rPr>
          <w:rFonts w:hint="eastAsia" w:eastAsia="仿宋_GB2312"/>
          <w:color w:val="auto"/>
          <w:sz w:val="26"/>
          <w:szCs w:val="26"/>
          <w:lang w:eastAsia="zh-CN"/>
        </w:rPr>
        <w:t>月</w:t>
      </w:r>
      <w:r>
        <w:rPr>
          <w:rFonts w:hint="eastAsia" w:eastAsia="仿宋_GB2312"/>
          <w:color w:val="auto"/>
          <w:sz w:val="26"/>
          <w:szCs w:val="26"/>
          <w:lang w:val="en-US" w:eastAsia="zh-CN"/>
        </w:rPr>
        <w:t>10</w:t>
      </w:r>
      <w:r>
        <w:rPr>
          <w:rFonts w:hint="eastAsia" w:eastAsia="仿宋_GB2312"/>
          <w:color w:val="auto"/>
          <w:sz w:val="26"/>
          <w:szCs w:val="26"/>
          <w:lang w:eastAsia="zh-CN"/>
        </w:rPr>
        <w:t>日</w:t>
      </w:r>
      <w:r>
        <w:rPr>
          <w:rFonts w:hint="eastAsia" w:eastAsia="仿宋_GB2312"/>
          <w:color w:val="auto"/>
          <w:sz w:val="26"/>
          <w:szCs w:val="26"/>
        </w:rPr>
        <w:t>至</w:t>
      </w:r>
      <w:r>
        <w:rPr>
          <w:rFonts w:hint="eastAsia" w:eastAsia="仿宋_GB2312"/>
          <w:color w:val="auto"/>
          <w:sz w:val="26"/>
          <w:szCs w:val="26"/>
          <w:lang w:eastAsia="zh-CN"/>
        </w:rPr>
        <w:t>2022年11月1</w:t>
      </w:r>
      <w:r>
        <w:rPr>
          <w:rFonts w:hint="eastAsia" w:eastAsia="仿宋_GB2312"/>
          <w:color w:val="auto"/>
          <w:sz w:val="26"/>
          <w:szCs w:val="26"/>
          <w:lang w:val="en-US" w:eastAsia="zh-CN"/>
        </w:rPr>
        <w:t>8</w:t>
      </w:r>
      <w:r>
        <w:rPr>
          <w:rFonts w:hint="eastAsia" w:eastAsia="仿宋_GB2312"/>
          <w:color w:val="auto"/>
          <w:sz w:val="26"/>
          <w:szCs w:val="26"/>
          <w:lang w:eastAsia="zh-CN"/>
        </w:rPr>
        <w:t>日</w:t>
      </w:r>
    </w:p>
    <w:p>
      <w:pPr>
        <w:adjustRightInd w:val="0"/>
        <w:snapToGrid w:val="0"/>
        <w:spacing w:line="480" w:lineRule="exact"/>
        <w:jc w:val="both"/>
        <w:outlineLvl w:val="0"/>
        <w:rPr>
          <w:rFonts w:hint="eastAsia" w:ascii="仿宋_GB2312" w:hAnsi="仿宋_GB2312" w:cs="仿宋_GB2312"/>
          <w:b/>
          <w:bCs/>
          <w:color w:val="auto"/>
          <w:sz w:val="34"/>
          <w:szCs w:val="34"/>
        </w:rPr>
      </w:pPr>
      <w:bookmarkStart w:id="39" w:name="_Toc25586"/>
      <w:bookmarkStart w:id="40" w:name="_Toc119160799"/>
      <w:bookmarkStart w:id="41" w:name="_Toc7343633"/>
      <w:bookmarkStart w:id="42" w:name="_Toc469641711"/>
      <w:bookmarkStart w:id="43" w:name="_Toc240707870"/>
      <w:bookmarkStart w:id="44" w:name="_Toc469826793"/>
      <w:bookmarkStart w:id="45" w:name="_Toc213473261"/>
    </w:p>
    <w:p>
      <w:pPr>
        <w:adjustRightInd w:val="0"/>
        <w:snapToGrid w:val="0"/>
        <w:spacing w:line="480" w:lineRule="exact"/>
        <w:jc w:val="center"/>
        <w:outlineLvl w:val="0"/>
        <w:rPr>
          <w:rFonts w:hint="eastAsia" w:ascii="仿宋_GB2312" w:hAnsi="仿宋_GB2312" w:cs="仿宋_GB2312"/>
          <w:b/>
          <w:bCs/>
          <w:color w:val="auto"/>
          <w:sz w:val="34"/>
          <w:szCs w:val="34"/>
        </w:rPr>
      </w:pPr>
    </w:p>
    <w:p>
      <w:pPr>
        <w:adjustRightInd w:val="0"/>
        <w:snapToGrid w:val="0"/>
        <w:spacing w:line="480" w:lineRule="exact"/>
        <w:jc w:val="center"/>
        <w:outlineLvl w:val="0"/>
        <w:rPr>
          <w:rFonts w:hint="eastAsia" w:ascii="仿宋_GB2312" w:hAnsi="仿宋_GB2312" w:cs="仿宋_GB2312"/>
          <w:b/>
          <w:bCs/>
          <w:color w:val="auto"/>
          <w:sz w:val="34"/>
          <w:szCs w:val="34"/>
        </w:rPr>
      </w:pPr>
    </w:p>
    <w:p>
      <w:pPr>
        <w:adjustRightInd w:val="0"/>
        <w:snapToGrid w:val="0"/>
        <w:spacing w:line="480" w:lineRule="exact"/>
        <w:jc w:val="center"/>
        <w:outlineLvl w:val="0"/>
        <w:rPr>
          <w:rFonts w:hint="eastAsia" w:ascii="仿宋_GB2312" w:hAnsi="仿宋_GB2312"/>
          <w:b/>
          <w:color w:val="auto"/>
          <w:sz w:val="34"/>
          <w:szCs w:val="34"/>
        </w:rPr>
      </w:pPr>
      <w:r>
        <w:rPr>
          <w:rFonts w:hint="eastAsia" w:ascii="仿宋_GB2312" w:hAnsi="仿宋_GB2312" w:cs="仿宋_GB2312"/>
          <w:b/>
          <w:bCs/>
          <w:color w:val="auto"/>
          <w:sz w:val="34"/>
          <w:szCs w:val="34"/>
        </w:rPr>
        <w:t>第五部分：</w:t>
      </w:r>
      <w:r>
        <w:rPr>
          <w:rFonts w:hint="eastAsia" w:ascii="仿宋_GB2312" w:hAnsi="仿宋_GB2312"/>
          <w:b/>
          <w:color w:val="auto"/>
          <w:sz w:val="34"/>
          <w:szCs w:val="34"/>
        </w:rPr>
        <w:t>附</w:t>
      </w:r>
      <w:r>
        <w:rPr>
          <w:rFonts w:ascii="仿宋_GB2312" w:hAnsi="仿宋_GB2312"/>
          <w:b/>
          <w:color w:val="auto"/>
          <w:sz w:val="34"/>
          <w:szCs w:val="34"/>
        </w:rPr>
        <w:t xml:space="preserve">    </w:t>
      </w:r>
      <w:r>
        <w:rPr>
          <w:rFonts w:hint="eastAsia" w:ascii="仿宋_GB2312" w:hAnsi="仿宋_GB2312"/>
          <w:b/>
          <w:color w:val="auto"/>
          <w:sz w:val="34"/>
          <w:szCs w:val="34"/>
        </w:rPr>
        <w:t>件</w:t>
      </w:r>
      <w:bookmarkEnd w:id="39"/>
      <w:bookmarkStart w:id="46" w:name="_GoBack"/>
      <w:bookmarkEnd w:id="46"/>
    </w:p>
    <w:p>
      <w:pPr>
        <w:adjustRightInd w:val="0"/>
        <w:snapToGrid w:val="0"/>
        <w:spacing w:line="480" w:lineRule="exact"/>
        <w:outlineLvl w:val="0"/>
        <w:rPr>
          <w:rFonts w:ascii="仿宋_GB2312"/>
          <w:b/>
          <w:color w:val="auto"/>
          <w:sz w:val="34"/>
          <w:szCs w:val="3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1. </w:t>
      </w:r>
      <w:r>
        <w:rPr>
          <w:rFonts w:hint="eastAsia"/>
          <w:color w:val="auto"/>
          <w:sz w:val="26"/>
          <w:szCs w:val="26"/>
        </w:rPr>
        <w:t>估价对象现场照片</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2. </w:t>
      </w:r>
      <w:r>
        <w:rPr>
          <w:rFonts w:hint="eastAsia"/>
          <w:color w:val="auto"/>
          <w:sz w:val="26"/>
          <w:szCs w:val="26"/>
        </w:rPr>
        <w:t>估价对象地理位置示意图</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3.</w:t>
      </w:r>
      <w:r>
        <w:rPr>
          <w:rFonts w:hint="eastAsia"/>
          <w:color w:val="auto"/>
          <w:sz w:val="26"/>
          <w:szCs w:val="26"/>
        </w:rPr>
        <w:t>《</w:t>
      </w:r>
      <w:r>
        <w:rPr>
          <w:rFonts w:hint="eastAsia"/>
          <w:color w:val="auto"/>
          <w:sz w:val="26"/>
          <w:szCs w:val="26"/>
          <w:lang w:eastAsia="zh-CN"/>
        </w:rPr>
        <w:t>绍兴市越城区人民法院</w:t>
      </w:r>
      <w:r>
        <w:rPr>
          <w:rFonts w:hint="eastAsia"/>
          <w:color w:val="auto"/>
          <w:sz w:val="26"/>
          <w:szCs w:val="26"/>
        </w:rPr>
        <w:t>司法评估委托书》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w:t>
      </w:r>
      <w:r>
        <w:rPr>
          <w:rFonts w:hint="eastAsia"/>
          <w:color w:val="auto"/>
          <w:sz w:val="26"/>
          <w:szCs w:val="26"/>
        </w:rPr>
        <w:t>【</w:t>
      </w:r>
      <w:r>
        <w:rPr>
          <w:rFonts w:hint="eastAsia"/>
          <w:color w:val="auto"/>
          <w:sz w:val="26"/>
          <w:szCs w:val="26"/>
          <w:lang w:eastAsia="zh-CN"/>
        </w:rPr>
        <w:t>（2022）绍越法委评字第349号</w:t>
      </w:r>
      <w:r>
        <w:rPr>
          <w:rFonts w:hint="eastAsia"/>
          <w:color w:val="auto"/>
          <w:sz w:val="26"/>
          <w:szCs w:val="26"/>
        </w:rPr>
        <w:t>】复印件</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1560" w:firstLineChars="600"/>
        <w:jc w:val="left"/>
        <w:textAlignment w:val="auto"/>
        <w:rPr>
          <w:color w:val="auto"/>
          <w:sz w:val="26"/>
          <w:szCs w:val="26"/>
        </w:rPr>
      </w:pPr>
      <w:r>
        <w:rPr>
          <w:rFonts w:hint="eastAsia"/>
          <w:color w:val="auto"/>
          <w:sz w:val="26"/>
          <w:szCs w:val="26"/>
        </w:rPr>
        <w:t>《</w:t>
      </w:r>
      <w:r>
        <w:rPr>
          <w:rFonts w:hint="eastAsia"/>
          <w:color w:val="auto"/>
          <w:sz w:val="26"/>
          <w:szCs w:val="26"/>
          <w:lang w:eastAsia="zh-CN"/>
        </w:rPr>
        <w:t>不动产信息查询记录</w:t>
      </w:r>
      <w:r>
        <w:rPr>
          <w:rFonts w:hint="eastAsia"/>
          <w:color w:val="auto"/>
          <w:sz w:val="26"/>
          <w:szCs w:val="26"/>
        </w:rPr>
        <w:t>》 复印件</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1560" w:firstLineChars="600"/>
        <w:jc w:val="left"/>
        <w:textAlignment w:val="auto"/>
        <w:rPr>
          <w:color w:val="auto"/>
          <w:sz w:val="26"/>
          <w:szCs w:val="26"/>
        </w:rPr>
      </w:pPr>
      <w:r>
        <w:rPr>
          <w:rFonts w:hint="eastAsia"/>
          <w:color w:val="auto"/>
          <w:sz w:val="26"/>
          <w:szCs w:val="26"/>
          <w:lang w:val="en-US" w:eastAsia="zh-CN"/>
        </w:rPr>
        <w:t xml:space="preserve"> </w:t>
      </w:r>
      <w:r>
        <w:rPr>
          <w:rFonts w:hint="eastAsia"/>
          <w:color w:val="auto"/>
          <w:sz w:val="26"/>
          <w:szCs w:val="26"/>
        </w:rPr>
        <w:t>注册房地产估价师资质证书</w:t>
      </w:r>
      <w:r>
        <w:rPr>
          <w:color w:val="auto"/>
          <w:sz w:val="26"/>
          <w:szCs w:val="26"/>
        </w:rPr>
        <w:t xml:space="preserve"> </w:t>
      </w:r>
      <w:r>
        <w:rPr>
          <w:rFonts w:hint="eastAsia"/>
          <w:color w:val="auto"/>
          <w:sz w:val="26"/>
          <w:szCs w:val="26"/>
        </w:rPr>
        <w:t>复印件</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1560" w:firstLineChars="600"/>
        <w:jc w:val="left"/>
        <w:textAlignment w:val="auto"/>
        <w:rPr>
          <w:color w:val="auto"/>
          <w:sz w:val="26"/>
          <w:szCs w:val="26"/>
        </w:rPr>
      </w:pPr>
      <w:r>
        <w:rPr>
          <w:rFonts w:hint="eastAsia"/>
          <w:color w:val="auto"/>
          <w:sz w:val="26"/>
          <w:szCs w:val="26"/>
          <w:lang w:val="en-US" w:eastAsia="zh-CN"/>
        </w:rPr>
        <w:t xml:space="preserve"> </w:t>
      </w:r>
      <w:r>
        <w:rPr>
          <w:rFonts w:hint="eastAsia"/>
          <w:color w:val="auto"/>
          <w:sz w:val="26"/>
          <w:szCs w:val="26"/>
        </w:rPr>
        <w:t>估价机构资质证书</w:t>
      </w:r>
      <w:r>
        <w:rPr>
          <w:color w:val="auto"/>
          <w:sz w:val="26"/>
          <w:szCs w:val="26"/>
        </w:rPr>
        <w:t xml:space="preserve"> </w:t>
      </w:r>
      <w:r>
        <w:rPr>
          <w:rFonts w:hint="eastAsia"/>
          <w:color w:val="auto"/>
          <w:sz w:val="26"/>
          <w:szCs w:val="26"/>
        </w:rPr>
        <w:t>复印件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color w:val="auto"/>
          <w:sz w:val="26"/>
          <w:szCs w:val="26"/>
        </w:rPr>
      </w:pPr>
      <w:r>
        <w:rPr>
          <w:color w:val="auto"/>
          <w:sz w:val="26"/>
          <w:szCs w:val="26"/>
        </w:rPr>
        <w:t xml:space="preserve">            </w:t>
      </w:r>
      <w:r>
        <w:rPr>
          <w:rFonts w:hint="eastAsia"/>
          <w:color w:val="auto"/>
          <w:sz w:val="26"/>
          <w:szCs w:val="26"/>
          <w:lang w:val="en-US" w:eastAsia="zh-CN"/>
        </w:rPr>
        <w:t>7.</w:t>
      </w:r>
      <w:r>
        <w:rPr>
          <w:color w:val="auto"/>
          <w:sz w:val="26"/>
          <w:szCs w:val="26"/>
        </w:rPr>
        <w:t xml:space="preserve"> </w:t>
      </w:r>
      <w:r>
        <w:rPr>
          <w:rFonts w:hint="eastAsia"/>
          <w:color w:val="auto"/>
          <w:sz w:val="26"/>
          <w:szCs w:val="26"/>
        </w:rPr>
        <w:t>估价机构营业执照</w:t>
      </w:r>
      <w:r>
        <w:rPr>
          <w:color w:val="auto"/>
          <w:sz w:val="26"/>
          <w:szCs w:val="26"/>
        </w:rPr>
        <w:t xml:space="preserve"> </w:t>
      </w:r>
      <w:r>
        <w:rPr>
          <w:rFonts w:hint="eastAsia"/>
          <w:color w:val="auto"/>
          <w:sz w:val="26"/>
          <w:szCs w:val="26"/>
        </w:rPr>
        <w:t>复印件</w:t>
      </w:r>
    </w:p>
    <w:bookmarkEnd w:id="40"/>
    <w:bookmarkEnd w:id="41"/>
    <w:bookmarkEnd w:id="42"/>
    <w:bookmarkEnd w:id="43"/>
    <w:bookmarkEnd w:id="44"/>
    <w:bookmarkEnd w:id="45"/>
    <w:p>
      <w:pPr>
        <w:pStyle w:val="13"/>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rPr>
          <w:color w:val="auto"/>
        </w:rPr>
      </w:pPr>
    </w:p>
    <w:sectPr>
      <w:headerReference r:id="rId5" w:type="default"/>
      <w:footerReference r:id="rId6" w:type="default"/>
      <w:pgSz w:w="11907" w:h="16840"/>
      <w:pgMar w:top="1020" w:right="1247" w:bottom="1020" w:left="1247" w:header="567" w:footer="567" w:gutter="0"/>
      <w:pgBorders>
        <w:top w:val="none" w:sz="0" w:space="0"/>
        <w:left w:val="none" w:sz="0" w:space="0"/>
        <w:bottom w:val="none" w:sz="0" w:space="0"/>
        <w:right w:val="none" w:sz="0" w:space="0"/>
      </w:pgBorders>
      <w:cols w:space="720" w:num="1"/>
      <w:rtlGutter w:val="0"/>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0"/>
        <w:tab w:val="clear" w:pos="4153"/>
      </w:tabs>
      <w:jc w:val="both"/>
      <w:rPr>
        <w:rFonts w:ascii="宋体" w:eastAsia="宋体"/>
        <w:kern w:val="0"/>
        <w:u w:val="single"/>
      </w:rPr>
    </w:pPr>
    <w:r>
      <w:rPr>
        <w:rFonts w:ascii="宋体" w:hAnsi="宋体"/>
        <w:kern w:val="0"/>
        <w:u w:val="single"/>
      </w:rPr>
      <w:t xml:space="preserve">                                                                                                                                                              </w:t>
    </w:r>
  </w:p>
  <w:p>
    <w:pPr>
      <w:pStyle w:val="18"/>
      <w:tabs>
        <w:tab w:val="center" w:pos="0"/>
        <w:tab w:val="right" w:pos="8312"/>
        <w:tab w:val="clear" w:pos="4153"/>
        <w:tab w:val="clear" w:pos="8306"/>
      </w:tabs>
      <w:jc w:val="left"/>
      <w:rPr>
        <w:rFonts w:eastAsia="隶书"/>
      </w:rPr>
    </w:pPr>
    <w:r>
      <w:rPr>
        <w:rFonts w:hint="eastAsia"/>
      </w:rPr>
      <w:t>地址：</w:t>
    </w:r>
    <w:r>
      <w:rPr>
        <w:rFonts w:hint="eastAsia" w:ascii="宋体" w:hAnsi="宋体"/>
        <w:lang w:eastAsia="zh-CN"/>
      </w:rPr>
      <w:t>诸暨市东二路123号宏城财富中心2102-2室</w:t>
    </w:r>
    <w:r>
      <w:rPr>
        <w:rFonts w:hint="eastAsia" w:cs="Times New Roman"/>
        <w:lang w:val="en-US" w:eastAsia="zh-CN"/>
      </w:rPr>
      <w:t xml:space="preserve">              </w:t>
    </w:r>
    <w:r>
      <w:rPr>
        <w:rFonts w:hint="default" w:ascii="Times New Roman" w:hAnsi="Times New Roman" w:cs="Times New Roman"/>
      </w:rPr>
      <w:t xml:space="preserve"> </w:t>
    </w:r>
    <w:r>
      <w:rPr>
        <w:rStyle w:val="34"/>
        <w:rFonts w:hint="default" w:ascii="Times New Roman" w:hAnsi="Times New Roman" w:cs="Times New Roman"/>
      </w:rPr>
      <w:fldChar w:fldCharType="begin"/>
    </w:r>
    <w:r>
      <w:rPr>
        <w:rStyle w:val="34"/>
        <w:rFonts w:hint="default" w:ascii="Times New Roman" w:hAnsi="Times New Roman" w:cs="Times New Roman"/>
      </w:rPr>
      <w:instrText xml:space="preserve"> PAGE </w:instrText>
    </w:r>
    <w:r>
      <w:rPr>
        <w:rStyle w:val="34"/>
        <w:rFonts w:hint="default" w:ascii="Times New Roman" w:hAnsi="Times New Roman" w:cs="Times New Roman"/>
      </w:rPr>
      <w:fldChar w:fldCharType="separate"/>
    </w:r>
    <w:r>
      <w:rPr>
        <w:rStyle w:val="34"/>
        <w:rFonts w:hint="default" w:ascii="Times New Roman" w:hAnsi="Times New Roman" w:cs="Times New Roman"/>
      </w:rPr>
      <w:t>16</w:t>
    </w:r>
    <w:r>
      <w:rPr>
        <w:rStyle w:val="34"/>
        <w:rFonts w:hint="default" w:ascii="Times New Roman" w:hAnsi="Times New Roman" w:cs="Times New Roman"/>
      </w:rPr>
      <w:fldChar w:fldCharType="end"/>
    </w:r>
    <w:r>
      <w:rPr>
        <w:rFonts w:hint="default" w:ascii="Times New Roman" w:hAnsi="Times New Roman" w:cs="Times New Roman"/>
      </w:rPr>
      <w:t xml:space="preserve">                    </w:t>
    </w:r>
    <w:r>
      <w:rPr>
        <w:rFonts w:hint="eastAsia" w:cs="Times New Roman"/>
        <w:lang w:val="en-US" w:eastAsia="zh-CN"/>
      </w:rPr>
      <w:t xml:space="preserve">   </w:t>
    </w:r>
    <w:r>
      <w:rPr>
        <w:rFonts w:hint="default" w:ascii="Times New Roman" w:hAnsi="Times New Roman" w:cs="Times New Roman"/>
      </w:rPr>
      <w:t xml:space="preserve">  电话：0575-87132322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left"/>
      <w:rPr>
        <w:rFonts w:hint="eastAsia" w:ascii="隶书" w:eastAsia="隶书"/>
        <w:sz w:val="21"/>
        <w:szCs w:val="21"/>
      </w:rPr>
    </w:pPr>
    <w:r>
      <w:rPr>
        <w:rFonts w:hint="eastAsia" w:ascii="Times New Roman" w:hAnsi="Times New Roman" w:eastAsia="仿宋_GB2312" w:cs="Times New Roman"/>
        <w:kern w:val="2"/>
        <w:sz w:val="21"/>
        <w:szCs w:val="21"/>
        <w:lang w:val="en-US" w:eastAsia="zh-CN" w:bidi="ar-SA"/>
      </w:rPr>
      <w:drawing>
        <wp:inline distT="0" distB="0" distL="114300" distR="114300">
          <wp:extent cx="240665" cy="222885"/>
          <wp:effectExtent l="0" t="0" r="6985" b="5715"/>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1">
                    <a:lum/>
                  </a:blip>
                  <a:stretch>
                    <a:fillRect/>
                  </a:stretch>
                </pic:blipFill>
                <pic:spPr>
                  <a:xfrm>
                    <a:off x="0" y="0"/>
                    <a:ext cx="240665" cy="222885"/>
                  </a:xfrm>
                  <a:prstGeom prst="rect">
                    <a:avLst/>
                  </a:prstGeom>
                  <a:noFill/>
                  <a:ln>
                    <a:noFill/>
                  </a:ln>
                </pic:spPr>
              </pic:pic>
            </a:graphicData>
          </a:graphic>
        </wp:inline>
      </w:drawing>
    </w:r>
    <w:r>
      <w:rPr>
        <w:rFonts w:hint="eastAsia"/>
      </w:rPr>
      <w:t>博文房地产评估造价集团有限公司</w:t>
    </w:r>
    <w:r>
      <w:rPr>
        <w:rFonts w:hint="eastAsia"/>
        <w:i/>
        <w:iCs/>
      </w:rPr>
      <w:t xml:space="preserve"> </w:t>
    </w:r>
    <w:r>
      <w:rPr>
        <w:rFonts w:hint="eastAsia"/>
        <w:sz w:val="21"/>
        <w:szCs w:val="21"/>
      </w:rPr>
      <w:t xml:space="preserve">            </w:t>
    </w:r>
    <w:r>
      <w:rPr>
        <w:rFonts w:hint="eastAsia"/>
        <w:sz w:val="21"/>
        <w:szCs w:val="21"/>
        <w:lang w:val="en-US" w:eastAsia="zh-CN"/>
      </w:rPr>
      <w:t xml:space="preserve">                            </w:t>
    </w:r>
    <w:r>
      <w:rPr>
        <w:rFonts w:hint="eastAsia"/>
      </w:rPr>
      <w:t>房地产司法鉴定估价报告</w:t>
    </w:r>
    <w:r>
      <w:rPr>
        <w:rFonts w:hint="eastAsia"/>
        <w:sz w:val="21"/>
        <w:szCs w:val="21"/>
      </w:rPr>
      <w:t xml:space="preserve">             </w:t>
    </w:r>
    <w:r>
      <w:rPr>
        <w:rFonts w:hint="eastAsia"/>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suff w:val="nothing"/>
      <w:lvlText w:val="%1、"/>
      <w:lvlJc w:val="left"/>
      <w:rPr>
        <w:rFonts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1">
    <w:nsid w:val="0000000C"/>
    <w:multiLevelType w:val="multilevel"/>
    <w:tmpl w:val="0000000C"/>
    <w:lvl w:ilvl="0" w:tentative="0">
      <w:start w:val="2"/>
      <w:numFmt w:val="chineseCounting"/>
      <w:suff w:val="nothing"/>
      <w:lvlText w:val="（%1）"/>
      <w:lvlJc w:val="left"/>
      <w:rPr>
        <w:rFonts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2">
    <w:nsid w:val="00000011"/>
    <w:multiLevelType w:val="multilevel"/>
    <w:tmpl w:val="00000011"/>
    <w:lvl w:ilvl="0" w:tentative="0">
      <w:start w:val="3"/>
      <w:numFmt w:val="decimal"/>
      <w:pStyle w:val="40"/>
      <w:lvlText w:val="%1、"/>
      <w:lvlJc w:val="left"/>
      <w:pPr>
        <w:tabs>
          <w:tab w:val="left" w:pos="1275"/>
        </w:tabs>
        <w:ind w:left="1275" w:hanging="720"/>
      </w:pPr>
      <w:rPr>
        <w:rFonts w:hint="default"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3">
    <w:nsid w:val="00000012"/>
    <w:multiLevelType w:val="singleLevel"/>
    <w:tmpl w:val="00000012"/>
    <w:lvl w:ilvl="0" w:tentative="0">
      <w:start w:val="1"/>
      <w:numFmt w:val="decimal"/>
      <w:suff w:val="nothing"/>
      <w:lvlText w:val="%1、"/>
      <w:lvlJc w:val="left"/>
      <w:rPr>
        <w:rFonts w:cs="Times New Roman"/>
      </w:rPr>
    </w:lvl>
  </w:abstractNum>
  <w:abstractNum w:abstractNumId="4">
    <w:nsid w:val="02068648"/>
    <w:multiLevelType w:val="singleLevel"/>
    <w:tmpl w:val="02068648"/>
    <w:lvl w:ilvl="0" w:tentative="0">
      <w:start w:val="5"/>
      <w:numFmt w:val="chineseCounting"/>
      <w:suff w:val="nothing"/>
      <w:lvlText w:val="%1、"/>
      <w:lvlJc w:val="left"/>
      <w:rPr>
        <w:rFonts w:hint="eastAsia" w:cs="Times New Roman"/>
      </w:rPr>
    </w:lvl>
  </w:abstractNum>
  <w:abstractNum w:abstractNumId="5">
    <w:nsid w:val="5C35977C"/>
    <w:multiLevelType w:val="singleLevel"/>
    <w:tmpl w:val="5C35977C"/>
    <w:lvl w:ilvl="0" w:tentative="0">
      <w:start w:val="4"/>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readOnly" w:formatting="1" w:enforcement="1" w:cryptProviderType="rsaFull" w:cryptAlgorithmClass="hash" w:cryptAlgorithmType="typeAny" w:cryptAlgorithmSid="4" w:cryptSpinCount="0" w:hash="Ve8Y9zkpC/YAK6ufv4CK7gI2UO4=" w:salt="HDv4dnO/nlXZ3OKZTmSkjg=="/>
  <w:defaultTabStop w:val="420"/>
  <w:drawingGridHorizontalSpacing w:val="0"/>
  <w:drawingGridVerticalSpacing w:val="16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NDRjMzkwZDdlMDM4YWZiYzdkN2E1NTAzZDlmOGMifQ=="/>
  </w:docVars>
  <w:rsids>
    <w:rsidRoot w:val="00000000"/>
    <w:rsid w:val="0002561E"/>
    <w:rsid w:val="00064F84"/>
    <w:rsid w:val="000B6281"/>
    <w:rsid w:val="001A3DA5"/>
    <w:rsid w:val="0047267D"/>
    <w:rsid w:val="00522102"/>
    <w:rsid w:val="00712D3A"/>
    <w:rsid w:val="00793699"/>
    <w:rsid w:val="008D313A"/>
    <w:rsid w:val="00C85F20"/>
    <w:rsid w:val="00D91EDB"/>
    <w:rsid w:val="00E54D24"/>
    <w:rsid w:val="00F705B3"/>
    <w:rsid w:val="00F8365B"/>
    <w:rsid w:val="010D74EC"/>
    <w:rsid w:val="013E4434"/>
    <w:rsid w:val="013E62CA"/>
    <w:rsid w:val="01536131"/>
    <w:rsid w:val="01537B4D"/>
    <w:rsid w:val="0160034F"/>
    <w:rsid w:val="016D6AC7"/>
    <w:rsid w:val="01795F7A"/>
    <w:rsid w:val="018A58CB"/>
    <w:rsid w:val="01A324E9"/>
    <w:rsid w:val="01B73C4B"/>
    <w:rsid w:val="01C34939"/>
    <w:rsid w:val="01E967EA"/>
    <w:rsid w:val="01F94D12"/>
    <w:rsid w:val="02040F47"/>
    <w:rsid w:val="0207305F"/>
    <w:rsid w:val="02076F1C"/>
    <w:rsid w:val="0213766F"/>
    <w:rsid w:val="0216551C"/>
    <w:rsid w:val="021A09FD"/>
    <w:rsid w:val="022121A5"/>
    <w:rsid w:val="024B6E08"/>
    <w:rsid w:val="025C16FA"/>
    <w:rsid w:val="02906F11"/>
    <w:rsid w:val="02931CA0"/>
    <w:rsid w:val="02BF3353"/>
    <w:rsid w:val="02C646E1"/>
    <w:rsid w:val="02D23086"/>
    <w:rsid w:val="02F92D08"/>
    <w:rsid w:val="02F96864"/>
    <w:rsid w:val="032616E1"/>
    <w:rsid w:val="0328539C"/>
    <w:rsid w:val="032F2286"/>
    <w:rsid w:val="033449B1"/>
    <w:rsid w:val="034F7E94"/>
    <w:rsid w:val="035166A0"/>
    <w:rsid w:val="035C6DF3"/>
    <w:rsid w:val="036363D4"/>
    <w:rsid w:val="03652B48"/>
    <w:rsid w:val="039E740C"/>
    <w:rsid w:val="03A8028B"/>
    <w:rsid w:val="03B21A7E"/>
    <w:rsid w:val="03C00B78"/>
    <w:rsid w:val="03C2759E"/>
    <w:rsid w:val="03C86237"/>
    <w:rsid w:val="03D42E2E"/>
    <w:rsid w:val="03D96696"/>
    <w:rsid w:val="03E14A0D"/>
    <w:rsid w:val="03E77005"/>
    <w:rsid w:val="04073203"/>
    <w:rsid w:val="04130C9C"/>
    <w:rsid w:val="04325B2C"/>
    <w:rsid w:val="0433224A"/>
    <w:rsid w:val="043A305A"/>
    <w:rsid w:val="043A35D9"/>
    <w:rsid w:val="046E3282"/>
    <w:rsid w:val="04711F57"/>
    <w:rsid w:val="04722833"/>
    <w:rsid w:val="04763EE5"/>
    <w:rsid w:val="047F0912"/>
    <w:rsid w:val="04854128"/>
    <w:rsid w:val="04BD38C2"/>
    <w:rsid w:val="04DC643E"/>
    <w:rsid w:val="04DE21B6"/>
    <w:rsid w:val="04ED064B"/>
    <w:rsid w:val="04FC6CD7"/>
    <w:rsid w:val="050B287F"/>
    <w:rsid w:val="052102F4"/>
    <w:rsid w:val="055E50A5"/>
    <w:rsid w:val="05681A7F"/>
    <w:rsid w:val="0577465B"/>
    <w:rsid w:val="05856AD5"/>
    <w:rsid w:val="058B7F28"/>
    <w:rsid w:val="059E36F3"/>
    <w:rsid w:val="05BC3F67"/>
    <w:rsid w:val="05C06149"/>
    <w:rsid w:val="05C56ED2"/>
    <w:rsid w:val="05CD222A"/>
    <w:rsid w:val="05D37841"/>
    <w:rsid w:val="05D854BC"/>
    <w:rsid w:val="05D90BCF"/>
    <w:rsid w:val="05E25CD6"/>
    <w:rsid w:val="05E2747D"/>
    <w:rsid w:val="05EC445F"/>
    <w:rsid w:val="05FD2B10"/>
    <w:rsid w:val="05FD666C"/>
    <w:rsid w:val="060A0314"/>
    <w:rsid w:val="060E6ACB"/>
    <w:rsid w:val="06166AEA"/>
    <w:rsid w:val="063469F7"/>
    <w:rsid w:val="065D535C"/>
    <w:rsid w:val="06626A6A"/>
    <w:rsid w:val="066B5890"/>
    <w:rsid w:val="06701ABF"/>
    <w:rsid w:val="06983B94"/>
    <w:rsid w:val="069A0522"/>
    <w:rsid w:val="069F5EFC"/>
    <w:rsid w:val="06B37672"/>
    <w:rsid w:val="06B44EDA"/>
    <w:rsid w:val="06C01DAF"/>
    <w:rsid w:val="06C74ECC"/>
    <w:rsid w:val="06F8397D"/>
    <w:rsid w:val="06FF56BD"/>
    <w:rsid w:val="07023FB8"/>
    <w:rsid w:val="07060EA1"/>
    <w:rsid w:val="070B3019"/>
    <w:rsid w:val="07106F5A"/>
    <w:rsid w:val="07227172"/>
    <w:rsid w:val="073267E9"/>
    <w:rsid w:val="073A38EF"/>
    <w:rsid w:val="073E4756"/>
    <w:rsid w:val="074004F7"/>
    <w:rsid w:val="075449B1"/>
    <w:rsid w:val="076369A2"/>
    <w:rsid w:val="076B1309"/>
    <w:rsid w:val="07750484"/>
    <w:rsid w:val="078864AF"/>
    <w:rsid w:val="07887F95"/>
    <w:rsid w:val="078F59E9"/>
    <w:rsid w:val="079E5C2C"/>
    <w:rsid w:val="07A64367"/>
    <w:rsid w:val="07BE1E2B"/>
    <w:rsid w:val="07DB3307"/>
    <w:rsid w:val="07E35D35"/>
    <w:rsid w:val="07E37AE3"/>
    <w:rsid w:val="07E71668"/>
    <w:rsid w:val="07E81BFF"/>
    <w:rsid w:val="07E92E41"/>
    <w:rsid w:val="0828617C"/>
    <w:rsid w:val="0854278F"/>
    <w:rsid w:val="087A0447"/>
    <w:rsid w:val="08852948"/>
    <w:rsid w:val="08A14AC5"/>
    <w:rsid w:val="08A255C7"/>
    <w:rsid w:val="08A60005"/>
    <w:rsid w:val="08AC25CB"/>
    <w:rsid w:val="08B21D59"/>
    <w:rsid w:val="08CE4844"/>
    <w:rsid w:val="08D96CBA"/>
    <w:rsid w:val="08E43B13"/>
    <w:rsid w:val="08EB4EA1"/>
    <w:rsid w:val="08EB6C4F"/>
    <w:rsid w:val="08F71A98"/>
    <w:rsid w:val="08F875BE"/>
    <w:rsid w:val="09016473"/>
    <w:rsid w:val="09093579"/>
    <w:rsid w:val="091E5277"/>
    <w:rsid w:val="09344791"/>
    <w:rsid w:val="096B1B3E"/>
    <w:rsid w:val="09864BCA"/>
    <w:rsid w:val="09A736A8"/>
    <w:rsid w:val="09B01831"/>
    <w:rsid w:val="09DC2A3C"/>
    <w:rsid w:val="09FC4E8C"/>
    <w:rsid w:val="0A002BCE"/>
    <w:rsid w:val="0A053D41"/>
    <w:rsid w:val="0A081A83"/>
    <w:rsid w:val="0A096DD5"/>
    <w:rsid w:val="0A187F18"/>
    <w:rsid w:val="0A1B1BB6"/>
    <w:rsid w:val="0A1C74D3"/>
    <w:rsid w:val="0A3D1D1F"/>
    <w:rsid w:val="0A434869"/>
    <w:rsid w:val="0A4725AB"/>
    <w:rsid w:val="0A6902A5"/>
    <w:rsid w:val="0A717628"/>
    <w:rsid w:val="0A8455AD"/>
    <w:rsid w:val="0A93759F"/>
    <w:rsid w:val="0AAA2B3A"/>
    <w:rsid w:val="0AB7602A"/>
    <w:rsid w:val="0AB85257"/>
    <w:rsid w:val="0AD00FEA"/>
    <w:rsid w:val="0AD17496"/>
    <w:rsid w:val="0AE24082"/>
    <w:rsid w:val="0AFF69E2"/>
    <w:rsid w:val="0B0264D2"/>
    <w:rsid w:val="0B095AB3"/>
    <w:rsid w:val="0B1F52D6"/>
    <w:rsid w:val="0B286CC6"/>
    <w:rsid w:val="0B301291"/>
    <w:rsid w:val="0B386F43"/>
    <w:rsid w:val="0B3E247C"/>
    <w:rsid w:val="0B4B7E79"/>
    <w:rsid w:val="0B640F3B"/>
    <w:rsid w:val="0B672EA9"/>
    <w:rsid w:val="0B680A2B"/>
    <w:rsid w:val="0B6902FF"/>
    <w:rsid w:val="0B8C04AD"/>
    <w:rsid w:val="0B8E5FB8"/>
    <w:rsid w:val="0B995089"/>
    <w:rsid w:val="0BAE0408"/>
    <w:rsid w:val="0BB2614A"/>
    <w:rsid w:val="0BB35A1E"/>
    <w:rsid w:val="0BE5207C"/>
    <w:rsid w:val="0C0A7D34"/>
    <w:rsid w:val="0C1069CD"/>
    <w:rsid w:val="0C142961"/>
    <w:rsid w:val="0C1C35C4"/>
    <w:rsid w:val="0C321039"/>
    <w:rsid w:val="0C405504"/>
    <w:rsid w:val="0C4072B2"/>
    <w:rsid w:val="0C4A6383"/>
    <w:rsid w:val="0C54203F"/>
    <w:rsid w:val="0C5745FC"/>
    <w:rsid w:val="0C5810C9"/>
    <w:rsid w:val="0C6236CC"/>
    <w:rsid w:val="0C637445"/>
    <w:rsid w:val="0C6F5DE9"/>
    <w:rsid w:val="0C7871FC"/>
    <w:rsid w:val="0C7B29E0"/>
    <w:rsid w:val="0C8053E9"/>
    <w:rsid w:val="0C8D2471"/>
    <w:rsid w:val="0CA522AE"/>
    <w:rsid w:val="0CB3217A"/>
    <w:rsid w:val="0CC3448B"/>
    <w:rsid w:val="0CD143AE"/>
    <w:rsid w:val="0CE84A75"/>
    <w:rsid w:val="0CFE090C"/>
    <w:rsid w:val="0D0E6898"/>
    <w:rsid w:val="0D35136C"/>
    <w:rsid w:val="0D562B05"/>
    <w:rsid w:val="0D565F97"/>
    <w:rsid w:val="0D5F7C0C"/>
    <w:rsid w:val="0D793870"/>
    <w:rsid w:val="0D795A3C"/>
    <w:rsid w:val="0D921D8F"/>
    <w:rsid w:val="0D98311E"/>
    <w:rsid w:val="0DA6583B"/>
    <w:rsid w:val="0DA769D6"/>
    <w:rsid w:val="0DAE649D"/>
    <w:rsid w:val="0DC708B6"/>
    <w:rsid w:val="0DCC7D55"/>
    <w:rsid w:val="0DD06C7C"/>
    <w:rsid w:val="0DE240CF"/>
    <w:rsid w:val="0DEF71E2"/>
    <w:rsid w:val="0DF447F8"/>
    <w:rsid w:val="0DF92677"/>
    <w:rsid w:val="0DFC4615"/>
    <w:rsid w:val="0E034A3B"/>
    <w:rsid w:val="0E06452B"/>
    <w:rsid w:val="0E112137"/>
    <w:rsid w:val="0E3C019A"/>
    <w:rsid w:val="0E4F5ED2"/>
    <w:rsid w:val="0E500C4D"/>
    <w:rsid w:val="0E552DBD"/>
    <w:rsid w:val="0E567261"/>
    <w:rsid w:val="0E7019A5"/>
    <w:rsid w:val="0E7201B5"/>
    <w:rsid w:val="0E73283E"/>
    <w:rsid w:val="0E881861"/>
    <w:rsid w:val="0E8D07A9"/>
    <w:rsid w:val="0E8F4521"/>
    <w:rsid w:val="0E9A1761"/>
    <w:rsid w:val="0EAA135B"/>
    <w:rsid w:val="0EAB15A1"/>
    <w:rsid w:val="0EAE19DB"/>
    <w:rsid w:val="0EB21FBD"/>
    <w:rsid w:val="0EB43F87"/>
    <w:rsid w:val="0EC0292C"/>
    <w:rsid w:val="0EC817E1"/>
    <w:rsid w:val="0ECA7307"/>
    <w:rsid w:val="0ED91C40"/>
    <w:rsid w:val="0EFB3964"/>
    <w:rsid w:val="0F0E18EA"/>
    <w:rsid w:val="0F1B4006"/>
    <w:rsid w:val="0F3550C8"/>
    <w:rsid w:val="0F44530B"/>
    <w:rsid w:val="0F495631"/>
    <w:rsid w:val="0F4D52C0"/>
    <w:rsid w:val="0F5C00AE"/>
    <w:rsid w:val="0F60532F"/>
    <w:rsid w:val="0F7731C8"/>
    <w:rsid w:val="0F8D22CE"/>
    <w:rsid w:val="0F9F0794"/>
    <w:rsid w:val="0FA1450C"/>
    <w:rsid w:val="0FA61B22"/>
    <w:rsid w:val="0FAE09D7"/>
    <w:rsid w:val="0FB81855"/>
    <w:rsid w:val="0FCB1589"/>
    <w:rsid w:val="0FCC6409"/>
    <w:rsid w:val="0FD06B9F"/>
    <w:rsid w:val="0FD3668F"/>
    <w:rsid w:val="0FDE6348"/>
    <w:rsid w:val="0FE16FFE"/>
    <w:rsid w:val="0FED14FF"/>
    <w:rsid w:val="0FF54858"/>
    <w:rsid w:val="102D3FA5"/>
    <w:rsid w:val="10394744"/>
    <w:rsid w:val="103C2486"/>
    <w:rsid w:val="1049582D"/>
    <w:rsid w:val="10596B94"/>
    <w:rsid w:val="106A0DA2"/>
    <w:rsid w:val="106F460A"/>
    <w:rsid w:val="108B0D18"/>
    <w:rsid w:val="1091122E"/>
    <w:rsid w:val="10947BCD"/>
    <w:rsid w:val="10B22749"/>
    <w:rsid w:val="10BD35C7"/>
    <w:rsid w:val="10BE4C49"/>
    <w:rsid w:val="10CF039B"/>
    <w:rsid w:val="10D12BCF"/>
    <w:rsid w:val="10D5084A"/>
    <w:rsid w:val="10D5117F"/>
    <w:rsid w:val="10D55340"/>
    <w:rsid w:val="10D921A2"/>
    <w:rsid w:val="10F04988"/>
    <w:rsid w:val="10F12AEC"/>
    <w:rsid w:val="10F1501F"/>
    <w:rsid w:val="110D797F"/>
    <w:rsid w:val="110F11B2"/>
    <w:rsid w:val="110F7B9B"/>
    <w:rsid w:val="112C6057"/>
    <w:rsid w:val="1139366D"/>
    <w:rsid w:val="113B0990"/>
    <w:rsid w:val="113F4086"/>
    <w:rsid w:val="114A0BD3"/>
    <w:rsid w:val="114A2981"/>
    <w:rsid w:val="116577BB"/>
    <w:rsid w:val="116F23E8"/>
    <w:rsid w:val="116F3BD7"/>
    <w:rsid w:val="117417AC"/>
    <w:rsid w:val="11765524"/>
    <w:rsid w:val="11861FC1"/>
    <w:rsid w:val="119903D6"/>
    <w:rsid w:val="11AE1162"/>
    <w:rsid w:val="11B04EDA"/>
    <w:rsid w:val="11CB3AC2"/>
    <w:rsid w:val="11DD55A3"/>
    <w:rsid w:val="11F12DFD"/>
    <w:rsid w:val="11F34DC7"/>
    <w:rsid w:val="11FA6155"/>
    <w:rsid w:val="12135469"/>
    <w:rsid w:val="121C60CC"/>
    <w:rsid w:val="12287803"/>
    <w:rsid w:val="12303925"/>
    <w:rsid w:val="123719C5"/>
    <w:rsid w:val="12413D84"/>
    <w:rsid w:val="12485112"/>
    <w:rsid w:val="124D3A29"/>
    <w:rsid w:val="126D6927"/>
    <w:rsid w:val="12706417"/>
    <w:rsid w:val="127F48AC"/>
    <w:rsid w:val="12B75DF4"/>
    <w:rsid w:val="12BE3627"/>
    <w:rsid w:val="12C02EFB"/>
    <w:rsid w:val="12C772E3"/>
    <w:rsid w:val="12E666D9"/>
    <w:rsid w:val="12EE71AF"/>
    <w:rsid w:val="134C0770"/>
    <w:rsid w:val="1379754E"/>
    <w:rsid w:val="137C3344"/>
    <w:rsid w:val="138278AD"/>
    <w:rsid w:val="13962A84"/>
    <w:rsid w:val="139D12DE"/>
    <w:rsid w:val="13C20EF5"/>
    <w:rsid w:val="13D1738A"/>
    <w:rsid w:val="13F015BE"/>
    <w:rsid w:val="13F479EC"/>
    <w:rsid w:val="13F946A9"/>
    <w:rsid w:val="13FD7B0F"/>
    <w:rsid w:val="14172189"/>
    <w:rsid w:val="14186D36"/>
    <w:rsid w:val="14270D58"/>
    <w:rsid w:val="142F3536"/>
    <w:rsid w:val="143D67CD"/>
    <w:rsid w:val="143F42F3"/>
    <w:rsid w:val="144E5957"/>
    <w:rsid w:val="14526267"/>
    <w:rsid w:val="145D3F2A"/>
    <w:rsid w:val="14634486"/>
    <w:rsid w:val="14641FAC"/>
    <w:rsid w:val="14643D5A"/>
    <w:rsid w:val="14902DA1"/>
    <w:rsid w:val="14A05B55"/>
    <w:rsid w:val="14A30D26"/>
    <w:rsid w:val="14B12E64"/>
    <w:rsid w:val="14BF71E2"/>
    <w:rsid w:val="14CF38C9"/>
    <w:rsid w:val="14E54E9B"/>
    <w:rsid w:val="14F43330"/>
    <w:rsid w:val="15175270"/>
    <w:rsid w:val="15263BE4"/>
    <w:rsid w:val="155468E1"/>
    <w:rsid w:val="156F0C08"/>
    <w:rsid w:val="15714980"/>
    <w:rsid w:val="1572581B"/>
    <w:rsid w:val="157D5945"/>
    <w:rsid w:val="157E1165"/>
    <w:rsid w:val="157E709D"/>
    <w:rsid w:val="159E329B"/>
    <w:rsid w:val="15A5462A"/>
    <w:rsid w:val="15CE3B81"/>
    <w:rsid w:val="15D409FC"/>
    <w:rsid w:val="15DF566E"/>
    <w:rsid w:val="15F01D49"/>
    <w:rsid w:val="1602382A"/>
    <w:rsid w:val="160A3976"/>
    <w:rsid w:val="16226F75"/>
    <w:rsid w:val="162935F4"/>
    <w:rsid w:val="16322361"/>
    <w:rsid w:val="163424D9"/>
    <w:rsid w:val="16361726"/>
    <w:rsid w:val="163D0D06"/>
    <w:rsid w:val="16763C00"/>
    <w:rsid w:val="168626AD"/>
    <w:rsid w:val="168F32B3"/>
    <w:rsid w:val="169D3553"/>
    <w:rsid w:val="16A6065A"/>
    <w:rsid w:val="16AF021A"/>
    <w:rsid w:val="16BC55E2"/>
    <w:rsid w:val="16C44F84"/>
    <w:rsid w:val="16D451C7"/>
    <w:rsid w:val="16DA3748"/>
    <w:rsid w:val="170B13AF"/>
    <w:rsid w:val="170C5E97"/>
    <w:rsid w:val="1715758D"/>
    <w:rsid w:val="1720040C"/>
    <w:rsid w:val="1740460A"/>
    <w:rsid w:val="1754026C"/>
    <w:rsid w:val="17562080"/>
    <w:rsid w:val="17667DE9"/>
    <w:rsid w:val="17771FF6"/>
    <w:rsid w:val="17797B1C"/>
    <w:rsid w:val="17A10E21"/>
    <w:rsid w:val="17D86F39"/>
    <w:rsid w:val="17DA4A5F"/>
    <w:rsid w:val="17DB5C48"/>
    <w:rsid w:val="18045B0C"/>
    <w:rsid w:val="18115FA7"/>
    <w:rsid w:val="18335F1D"/>
    <w:rsid w:val="183B1275"/>
    <w:rsid w:val="18475E6C"/>
    <w:rsid w:val="184B770B"/>
    <w:rsid w:val="185D2255"/>
    <w:rsid w:val="187546F0"/>
    <w:rsid w:val="18786026"/>
    <w:rsid w:val="189664AC"/>
    <w:rsid w:val="189F1804"/>
    <w:rsid w:val="18B04224"/>
    <w:rsid w:val="18BF61B7"/>
    <w:rsid w:val="18C8188B"/>
    <w:rsid w:val="18CD45C3"/>
    <w:rsid w:val="18DA0A8E"/>
    <w:rsid w:val="18E216F1"/>
    <w:rsid w:val="18E65685"/>
    <w:rsid w:val="190842A5"/>
    <w:rsid w:val="19102702"/>
    <w:rsid w:val="191B361B"/>
    <w:rsid w:val="193B76F1"/>
    <w:rsid w:val="193C3BE4"/>
    <w:rsid w:val="194A3E2E"/>
    <w:rsid w:val="19752658"/>
    <w:rsid w:val="19783AB2"/>
    <w:rsid w:val="19792055"/>
    <w:rsid w:val="197F187B"/>
    <w:rsid w:val="198F7ACB"/>
    <w:rsid w:val="19940C3D"/>
    <w:rsid w:val="19A51261"/>
    <w:rsid w:val="19B37775"/>
    <w:rsid w:val="19C42447"/>
    <w:rsid w:val="19C8429F"/>
    <w:rsid w:val="19D62FD3"/>
    <w:rsid w:val="19DD0836"/>
    <w:rsid w:val="19E80F89"/>
    <w:rsid w:val="1A086860"/>
    <w:rsid w:val="1A0F4768"/>
    <w:rsid w:val="1A0F6516"/>
    <w:rsid w:val="1A1D0C33"/>
    <w:rsid w:val="1A4A39F2"/>
    <w:rsid w:val="1A562397"/>
    <w:rsid w:val="1A601949"/>
    <w:rsid w:val="1A713FAF"/>
    <w:rsid w:val="1A813D6B"/>
    <w:rsid w:val="1A870DB6"/>
    <w:rsid w:val="1A9D1D74"/>
    <w:rsid w:val="1AA41354"/>
    <w:rsid w:val="1AC65DF2"/>
    <w:rsid w:val="1ACA4C62"/>
    <w:rsid w:val="1ADA4D76"/>
    <w:rsid w:val="1AF10478"/>
    <w:rsid w:val="1AF35E37"/>
    <w:rsid w:val="1B081C0D"/>
    <w:rsid w:val="1B1645D5"/>
    <w:rsid w:val="1B1F3294"/>
    <w:rsid w:val="1B21523C"/>
    <w:rsid w:val="1B302BE8"/>
    <w:rsid w:val="1B471B08"/>
    <w:rsid w:val="1B5468D6"/>
    <w:rsid w:val="1B7E7DF7"/>
    <w:rsid w:val="1B844ABD"/>
    <w:rsid w:val="1B866CAC"/>
    <w:rsid w:val="1B8D63E4"/>
    <w:rsid w:val="1B950C9D"/>
    <w:rsid w:val="1BA3785E"/>
    <w:rsid w:val="1BAA76E0"/>
    <w:rsid w:val="1BB67591"/>
    <w:rsid w:val="1BBC26CD"/>
    <w:rsid w:val="1BCD0437"/>
    <w:rsid w:val="1BD17F27"/>
    <w:rsid w:val="1BDD4B1E"/>
    <w:rsid w:val="1BE20386"/>
    <w:rsid w:val="1BE84863"/>
    <w:rsid w:val="1C071B9A"/>
    <w:rsid w:val="1C2A5889"/>
    <w:rsid w:val="1C3D736A"/>
    <w:rsid w:val="1C41734C"/>
    <w:rsid w:val="1C464A58"/>
    <w:rsid w:val="1C4F52EF"/>
    <w:rsid w:val="1C672639"/>
    <w:rsid w:val="1C7D1E5D"/>
    <w:rsid w:val="1C950273"/>
    <w:rsid w:val="1C9B0535"/>
    <w:rsid w:val="1CA90EA4"/>
    <w:rsid w:val="1CAE0268"/>
    <w:rsid w:val="1CC7593C"/>
    <w:rsid w:val="1CDF6673"/>
    <w:rsid w:val="1CE3482A"/>
    <w:rsid w:val="1CF55E97"/>
    <w:rsid w:val="1D1722B1"/>
    <w:rsid w:val="1D187DD7"/>
    <w:rsid w:val="1D3C5874"/>
    <w:rsid w:val="1D3F35B6"/>
    <w:rsid w:val="1D44297A"/>
    <w:rsid w:val="1D453094"/>
    <w:rsid w:val="1D4F7E36"/>
    <w:rsid w:val="1D5A219E"/>
    <w:rsid w:val="1D5B42FF"/>
    <w:rsid w:val="1D6B43AB"/>
    <w:rsid w:val="1D6C5A1E"/>
    <w:rsid w:val="1D6E79F7"/>
    <w:rsid w:val="1D76150D"/>
    <w:rsid w:val="1D786BA6"/>
    <w:rsid w:val="1D852670"/>
    <w:rsid w:val="1D853C55"/>
    <w:rsid w:val="1D970CFC"/>
    <w:rsid w:val="1D9751A0"/>
    <w:rsid w:val="1D984CEE"/>
    <w:rsid w:val="1D9A259A"/>
    <w:rsid w:val="1DA17DCD"/>
    <w:rsid w:val="1DA5799C"/>
    <w:rsid w:val="1DA750FA"/>
    <w:rsid w:val="1DAC0C4B"/>
    <w:rsid w:val="1DBC7851"/>
    <w:rsid w:val="1DC615E1"/>
    <w:rsid w:val="1DC6338F"/>
    <w:rsid w:val="1DE05B5B"/>
    <w:rsid w:val="1DE57CB9"/>
    <w:rsid w:val="1DE859FC"/>
    <w:rsid w:val="1E024F05"/>
    <w:rsid w:val="1E1B192D"/>
    <w:rsid w:val="1E203A88"/>
    <w:rsid w:val="1E205195"/>
    <w:rsid w:val="1E2F362A"/>
    <w:rsid w:val="1E37428D"/>
    <w:rsid w:val="1E3E386E"/>
    <w:rsid w:val="1E3E561C"/>
    <w:rsid w:val="1E4A14A1"/>
    <w:rsid w:val="1E506AE9"/>
    <w:rsid w:val="1E5D3CF4"/>
    <w:rsid w:val="1E731769"/>
    <w:rsid w:val="1E894AE9"/>
    <w:rsid w:val="1E9A6CF6"/>
    <w:rsid w:val="1E9D53FE"/>
    <w:rsid w:val="1E9D67E6"/>
    <w:rsid w:val="1EB37DB8"/>
    <w:rsid w:val="1EB4081A"/>
    <w:rsid w:val="1EBB6C6C"/>
    <w:rsid w:val="1EC27FFB"/>
    <w:rsid w:val="1EE066D3"/>
    <w:rsid w:val="1EE76191"/>
    <w:rsid w:val="1EF50FAB"/>
    <w:rsid w:val="1EF81C6E"/>
    <w:rsid w:val="1F026649"/>
    <w:rsid w:val="1F063ED9"/>
    <w:rsid w:val="1F170346"/>
    <w:rsid w:val="1F207E7E"/>
    <w:rsid w:val="1F3D7237"/>
    <w:rsid w:val="1F503858"/>
    <w:rsid w:val="1F5368C3"/>
    <w:rsid w:val="1F574BE7"/>
    <w:rsid w:val="1F5A0233"/>
    <w:rsid w:val="1F666BD8"/>
    <w:rsid w:val="1F6D440A"/>
    <w:rsid w:val="1F6D77B1"/>
    <w:rsid w:val="1F7237CF"/>
    <w:rsid w:val="1F731183"/>
    <w:rsid w:val="1F7B37A2"/>
    <w:rsid w:val="1F7C464D"/>
    <w:rsid w:val="1F901EA7"/>
    <w:rsid w:val="1F902BBF"/>
    <w:rsid w:val="1FAC4585"/>
    <w:rsid w:val="1FAD4807"/>
    <w:rsid w:val="1FAE6898"/>
    <w:rsid w:val="1FC3402A"/>
    <w:rsid w:val="1FD20711"/>
    <w:rsid w:val="1FEA7809"/>
    <w:rsid w:val="200831DC"/>
    <w:rsid w:val="200C3AA5"/>
    <w:rsid w:val="20124FB2"/>
    <w:rsid w:val="20156C71"/>
    <w:rsid w:val="2026718C"/>
    <w:rsid w:val="2027454C"/>
    <w:rsid w:val="202820DF"/>
    <w:rsid w:val="204F58BE"/>
    <w:rsid w:val="208732AA"/>
    <w:rsid w:val="20994D8B"/>
    <w:rsid w:val="20A21E92"/>
    <w:rsid w:val="20BA6CB0"/>
    <w:rsid w:val="20BF0C96"/>
    <w:rsid w:val="20C7155E"/>
    <w:rsid w:val="20E06E5E"/>
    <w:rsid w:val="20E2444F"/>
    <w:rsid w:val="20EF2BFD"/>
    <w:rsid w:val="20F14BC7"/>
    <w:rsid w:val="21076199"/>
    <w:rsid w:val="211655AC"/>
    <w:rsid w:val="21194D40"/>
    <w:rsid w:val="211D3C0E"/>
    <w:rsid w:val="211F34E2"/>
    <w:rsid w:val="213322D5"/>
    <w:rsid w:val="2136082C"/>
    <w:rsid w:val="21366A7E"/>
    <w:rsid w:val="213B4094"/>
    <w:rsid w:val="214A5EDD"/>
    <w:rsid w:val="214B2529"/>
    <w:rsid w:val="214E201A"/>
    <w:rsid w:val="216B44FF"/>
    <w:rsid w:val="21725D08"/>
    <w:rsid w:val="21751354"/>
    <w:rsid w:val="21837F15"/>
    <w:rsid w:val="21867DDE"/>
    <w:rsid w:val="218D2B42"/>
    <w:rsid w:val="219F703E"/>
    <w:rsid w:val="21A7055E"/>
    <w:rsid w:val="21BF16DB"/>
    <w:rsid w:val="21C826F1"/>
    <w:rsid w:val="21CD1190"/>
    <w:rsid w:val="21D20555"/>
    <w:rsid w:val="21E23CAA"/>
    <w:rsid w:val="21F07A26"/>
    <w:rsid w:val="21F7527A"/>
    <w:rsid w:val="21F91F85"/>
    <w:rsid w:val="220A4192"/>
    <w:rsid w:val="221C5C74"/>
    <w:rsid w:val="222B4109"/>
    <w:rsid w:val="222D1C2F"/>
    <w:rsid w:val="22345E0E"/>
    <w:rsid w:val="22665141"/>
    <w:rsid w:val="22796354"/>
    <w:rsid w:val="227B6E3E"/>
    <w:rsid w:val="227D021A"/>
    <w:rsid w:val="227D2BB6"/>
    <w:rsid w:val="22864132"/>
    <w:rsid w:val="228C4BA7"/>
    <w:rsid w:val="228D0920"/>
    <w:rsid w:val="2292431F"/>
    <w:rsid w:val="229D03E0"/>
    <w:rsid w:val="22BE07BC"/>
    <w:rsid w:val="22D8603F"/>
    <w:rsid w:val="22DD5A92"/>
    <w:rsid w:val="22F15352"/>
    <w:rsid w:val="22F97D63"/>
    <w:rsid w:val="23005595"/>
    <w:rsid w:val="23053BAC"/>
    <w:rsid w:val="231057D9"/>
    <w:rsid w:val="231B417D"/>
    <w:rsid w:val="231D4FDA"/>
    <w:rsid w:val="233C28E7"/>
    <w:rsid w:val="2348106B"/>
    <w:rsid w:val="2355143D"/>
    <w:rsid w:val="235D6FF1"/>
    <w:rsid w:val="23713D9D"/>
    <w:rsid w:val="23761D08"/>
    <w:rsid w:val="23770E0F"/>
    <w:rsid w:val="238241FC"/>
    <w:rsid w:val="2385214B"/>
    <w:rsid w:val="238E494F"/>
    <w:rsid w:val="23952182"/>
    <w:rsid w:val="23983A20"/>
    <w:rsid w:val="23A0431E"/>
    <w:rsid w:val="23BA1BE8"/>
    <w:rsid w:val="23C6233B"/>
    <w:rsid w:val="23DE58D7"/>
    <w:rsid w:val="23E66539"/>
    <w:rsid w:val="23F21382"/>
    <w:rsid w:val="23F31361"/>
    <w:rsid w:val="23FC7B0B"/>
    <w:rsid w:val="24032801"/>
    <w:rsid w:val="24082954"/>
    <w:rsid w:val="24144852"/>
    <w:rsid w:val="241D2C02"/>
    <w:rsid w:val="242F6132"/>
    <w:rsid w:val="244514B2"/>
    <w:rsid w:val="24565BE1"/>
    <w:rsid w:val="24633277"/>
    <w:rsid w:val="2477646F"/>
    <w:rsid w:val="247B1813"/>
    <w:rsid w:val="247C0D6C"/>
    <w:rsid w:val="2480073C"/>
    <w:rsid w:val="248024EA"/>
    <w:rsid w:val="24856CC5"/>
    <w:rsid w:val="248C5333"/>
    <w:rsid w:val="248E284F"/>
    <w:rsid w:val="2494625B"/>
    <w:rsid w:val="249D12EE"/>
    <w:rsid w:val="24C74FB8"/>
    <w:rsid w:val="24D32F62"/>
    <w:rsid w:val="24DA1963"/>
    <w:rsid w:val="24E011DB"/>
    <w:rsid w:val="24E32A79"/>
    <w:rsid w:val="24EE1B49"/>
    <w:rsid w:val="24F37EE5"/>
    <w:rsid w:val="24F70A13"/>
    <w:rsid w:val="2500362B"/>
    <w:rsid w:val="252A71B9"/>
    <w:rsid w:val="252F26A2"/>
    <w:rsid w:val="2540611D"/>
    <w:rsid w:val="25406B75"/>
    <w:rsid w:val="255B2F57"/>
    <w:rsid w:val="255D6CCF"/>
    <w:rsid w:val="25627E42"/>
    <w:rsid w:val="25683A99"/>
    <w:rsid w:val="256C2A6E"/>
    <w:rsid w:val="257077C3"/>
    <w:rsid w:val="25A00076"/>
    <w:rsid w:val="25B85CB3"/>
    <w:rsid w:val="25BA5ED0"/>
    <w:rsid w:val="25C7239A"/>
    <w:rsid w:val="25D24FC7"/>
    <w:rsid w:val="25F74A2E"/>
    <w:rsid w:val="26040EF9"/>
    <w:rsid w:val="261F2503"/>
    <w:rsid w:val="262929F4"/>
    <w:rsid w:val="262F241A"/>
    <w:rsid w:val="26370A86"/>
    <w:rsid w:val="2637307C"/>
    <w:rsid w:val="26396DF4"/>
    <w:rsid w:val="26413EFB"/>
    <w:rsid w:val="264A1001"/>
    <w:rsid w:val="264B6B28"/>
    <w:rsid w:val="265453B2"/>
    <w:rsid w:val="26663961"/>
    <w:rsid w:val="266952C5"/>
    <w:rsid w:val="266D4CF0"/>
    <w:rsid w:val="267D0924"/>
    <w:rsid w:val="26887D7C"/>
    <w:rsid w:val="26B8286D"/>
    <w:rsid w:val="26C568DA"/>
    <w:rsid w:val="26D62895"/>
    <w:rsid w:val="26DB434F"/>
    <w:rsid w:val="26E31456"/>
    <w:rsid w:val="26F471BF"/>
    <w:rsid w:val="26F947D6"/>
    <w:rsid w:val="27037402"/>
    <w:rsid w:val="2727260F"/>
    <w:rsid w:val="27357A10"/>
    <w:rsid w:val="273A72C8"/>
    <w:rsid w:val="273D46C2"/>
    <w:rsid w:val="274624D4"/>
    <w:rsid w:val="27714E0D"/>
    <w:rsid w:val="277D5407"/>
    <w:rsid w:val="27870033"/>
    <w:rsid w:val="278B636C"/>
    <w:rsid w:val="279571FA"/>
    <w:rsid w:val="27A31279"/>
    <w:rsid w:val="27B51705"/>
    <w:rsid w:val="27C272BD"/>
    <w:rsid w:val="27E46E64"/>
    <w:rsid w:val="27EB411E"/>
    <w:rsid w:val="27EB6814"/>
    <w:rsid w:val="27F751B9"/>
    <w:rsid w:val="27F82CDF"/>
    <w:rsid w:val="28082772"/>
    <w:rsid w:val="280B656E"/>
    <w:rsid w:val="281C4C20"/>
    <w:rsid w:val="2826784C"/>
    <w:rsid w:val="284321AC"/>
    <w:rsid w:val="285048C9"/>
    <w:rsid w:val="28550131"/>
    <w:rsid w:val="28642123"/>
    <w:rsid w:val="28675388"/>
    <w:rsid w:val="28687705"/>
    <w:rsid w:val="286E4D4F"/>
    <w:rsid w:val="28754330"/>
    <w:rsid w:val="287852AF"/>
    <w:rsid w:val="28812CD5"/>
    <w:rsid w:val="28A0077B"/>
    <w:rsid w:val="28B07116"/>
    <w:rsid w:val="28B766F6"/>
    <w:rsid w:val="28B82F93"/>
    <w:rsid w:val="28CA03CD"/>
    <w:rsid w:val="28ED2118"/>
    <w:rsid w:val="28FE3E8A"/>
    <w:rsid w:val="290F208E"/>
    <w:rsid w:val="29114058"/>
    <w:rsid w:val="293E16B1"/>
    <w:rsid w:val="2940493E"/>
    <w:rsid w:val="294A756A"/>
    <w:rsid w:val="29646967"/>
    <w:rsid w:val="29671ECA"/>
    <w:rsid w:val="297002DD"/>
    <w:rsid w:val="29824A15"/>
    <w:rsid w:val="298736A4"/>
    <w:rsid w:val="29A053DC"/>
    <w:rsid w:val="29C966E1"/>
    <w:rsid w:val="29D97940"/>
    <w:rsid w:val="29DF4157"/>
    <w:rsid w:val="29F64FFC"/>
    <w:rsid w:val="2A0B0770"/>
    <w:rsid w:val="2A2658E2"/>
    <w:rsid w:val="2A337FFE"/>
    <w:rsid w:val="2A4E3D12"/>
    <w:rsid w:val="2A557F75"/>
    <w:rsid w:val="2A5A3653"/>
    <w:rsid w:val="2A750672"/>
    <w:rsid w:val="2A795A35"/>
    <w:rsid w:val="2A7B1391"/>
    <w:rsid w:val="2A7C19A5"/>
    <w:rsid w:val="2A7F4FF2"/>
    <w:rsid w:val="2A816D01"/>
    <w:rsid w:val="2A9F38E6"/>
    <w:rsid w:val="2A9F7442"/>
    <w:rsid w:val="2AA700F3"/>
    <w:rsid w:val="2AAF1BB2"/>
    <w:rsid w:val="2AB717D1"/>
    <w:rsid w:val="2AB949A8"/>
    <w:rsid w:val="2AC10C90"/>
    <w:rsid w:val="2AC375D4"/>
    <w:rsid w:val="2AD90525"/>
    <w:rsid w:val="2AED40DA"/>
    <w:rsid w:val="2AFB200E"/>
    <w:rsid w:val="2AFB2ADE"/>
    <w:rsid w:val="2B08148B"/>
    <w:rsid w:val="2B0901FB"/>
    <w:rsid w:val="2B120295"/>
    <w:rsid w:val="2B1B11BE"/>
    <w:rsid w:val="2B27276C"/>
    <w:rsid w:val="2B2D2CA0"/>
    <w:rsid w:val="2B342C57"/>
    <w:rsid w:val="2B4029D3"/>
    <w:rsid w:val="2B5A509A"/>
    <w:rsid w:val="2B683CD8"/>
    <w:rsid w:val="2B6A7A50"/>
    <w:rsid w:val="2B872B79"/>
    <w:rsid w:val="2B880137"/>
    <w:rsid w:val="2B942D1F"/>
    <w:rsid w:val="2B9E7C61"/>
    <w:rsid w:val="2BA2368E"/>
    <w:rsid w:val="2BB84C5F"/>
    <w:rsid w:val="2BBD4024"/>
    <w:rsid w:val="2BBD4FBA"/>
    <w:rsid w:val="2BC25ADE"/>
    <w:rsid w:val="2BC453B2"/>
    <w:rsid w:val="2BE9306B"/>
    <w:rsid w:val="2BFA3C4A"/>
    <w:rsid w:val="2BFC3928"/>
    <w:rsid w:val="2BFF4DBC"/>
    <w:rsid w:val="2C016606"/>
    <w:rsid w:val="2C1856FE"/>
    <w:rsid w:val="2C1E7A72"/>
    <w:rsid w:val="2C285D23"/>
    <w:rsid w:val="2C324A12"/>
    <w:rsid w:val="2C365B84"/>
    <w:rsid w:val="2C3C7D2B"/>
    <w:rsid w:val="2C5A7AC4"/>
    <w:rsid w:val="2C5F157F"/>
    <w:rsid w:val="2C6918CF"/>
    <w:rsid w:val="2C6B3A80"/>
    <w:rsid w:val="2C6D5A4A"/>
    <w:rsid w:val="2C762BA4"/>
    <w:rsid w:val="2C8D1C48"/>
    <w:rsid w:val="2C932FD6"/>
    <w:rsid w:val="2C9B279F"/>
    <w:rsid w:val="2CAB47C4"/>
    <w:rsid w:val="2CB177FA"/>
    <w:rsid w:val="2CB82A3D"/>
    <w:rsid w:val="2CC2465C"/>
    <w:rsid w:val="2CC859C6"/>
    <w:rsid w:val="2CCC1406"/>
    <w:rsid w:val="2CDE24A4"/>
    <w:rsid w:val="2CFE2B46"/>
    <w:rsid w:val="2CFF0338"/>
    <w:rsid w:val="2D0F154F"/>
    <w:rsid w:val="2D17374A"/>
    <w:rsid w:val="2D391DD0"/>
    <w:rsid w:val="2D4A18E7"/>
    <w:rsid w:val="2D4B0AA8"/>
    <w:rsid w:val="2D647661"/>
    <w:rsid w:val="2D784298"/>
    <w:rsid w:val="2D7E5A35"/>
    <w:rsid w:val="2D8868B3"/>
    <w:rsid w:val="2D8D5C78"/>
    <w:rsid w:val="2D8F4D5F"/>
    <w:rsid w:val="2DA235D8"/>
    <w:rsid w:val="2DC7118A"/>
    <w:rsid w:val="2DCF44E2"/>
    <w:rsid w:val="2DDD6899"/>
    <w:rsid w:val="2DEA2E7C"/>
    <w:rsid w:val="2DF6381D"/>
    <w:rsid w:val="2DFD4BAB"/>
    <w:rsid w:val="2E093550"/>
    <w:rsid w:val="2E0E6DB8"/>
    <w:rsid w:val="2E141EF5"/>
    <w:rsid w:val="2E150147"/>
    <w:rsid w:val="2E2564A3"/>
    <w:rsid w:val="2E4B3B69"/>
    <w:rsid w:val="2E6764C9"/>
    <w:rsid w:val="2E731311"/>
    <w:rsid w:val="2E750BE6"/>
    <w:rsid w:val="2E76603B"/>
    <w:rsid w:val="2E8831F5"/>
    <w:rsid w:val="2E894691"/>
    <w:rsid w:val="2E913D07"/>
    <w:rsid w:val="2E963361"/>
    <w:rsid w:val="2E982B26"/>
    <w:rsid w:val="2E9F0D29"/>
    <w:rsid w:val="2EA72D69"/>
    <w:rsid w:val="2EA94D33"/>
    <w:rsid w:val="2ED721E0"/>
    <w:rsid w:val="2EDA3699"/>
    <w:rsid w:val="2EDF69A7"/>
    <w:rsid w:val="2EFE4C69"/>
    <w:rsid w:val="2F0361F1"/>
    <w:rsid w:val="2F0D62B4"/>
    <w:rsid w:val="2F0F2DE8"/>
    <w:rsid w:val="2F155F81"/>
    <w:rsid w:val="2F177EEF"/>
    <w:rsid w:val="2F191EB9"/>
    <w:rsid w:val="2F2A5E74"/>
    <w:rsid w:val="2F2B74F6"/>
    <w:rsid w:val="2F372D57"/>
    <w:rsid w:val="2F4B7B98"/>
    <w:rsid w:val="2F551796"/>
    <w:rsid w:val="2F561217"/>
    <w:rsid w:val="2F5702EB"/>
    <w:rsid w:val="2F5C3B54"/>
    <w:rsid w:val="2F601896"/>
    <w:rsid w:val="2F6A44C2"/>
    <w:rsid w:val="2F6B65FA"/>
    <w:rsid w:val="2F835584"/>
    <w:rsid w:val="2F9C2BB1"/>
    <w:rsid w:val="2FA264AA"/>
    <w:rsid w:val="2FC33BD3"/>
    <w:rsid w:val="2FCE76C7"/>
    <w:rsid w:val="2FE5140C"/>
    <w:rsid w:val="2FF87D20"/>
    <w:rsid w:val="301B3A0F"/>
    <w:rsid w:val="3020752F"/>
    <w:rsid w:val="30274161"/>
    <w:rsid w:val="30281C88"/>
    <w:rsid w:val="303A20E7"/>
    <w:rsid w:val="3045283A"/>
    <w:rsid w:val="304765B2"/>
    <w:rsid w:val="306C6018"/>
    <w:rsid w:val="30751D5D"/>
    <w:rsid w:val="30760C45"/>
    <w:rsid w:val="307F2F20"/>
    <w:rsid w:val="30872E52"/>
    <w:rsid w:val="308E3854"/>
    <w:rsid w:val="30935943"/>
    <w:rsid w:val="309F019C"/>
    <w:rsid w:val="30A6152A"/>
    <w:rsid w:val="30A734F4"/>
    <w:rsid w:val="30C65728"/>
    <w:rsid w:val="30C92414"/>
    <w:rsid w:val="30DA7426"/>
    <w:rsid w:val="30DC319E"/>
    <w:rsid w:val="30E52BF7"/>
    <w:rsid w:val="30F5248B"/>
    <w:rsid w:val="30F878AC"/>
    <w:rsid w:val="30FF0C3A"/>
    <w:rsid w:val="310149B3"/>
    <w:rsid w:val="31042C17"/>
    <w:rsid w:val="31097D0B"/>
    <w:rsid w:val="3112665C"/>
    <w:rsid w:val="31156DED"/>
    <w:rsid w:val="31214827"/>
    <w:rsid w:val="31293F09"/>
    <w:rsid w:val="31461D02"/>
    <w:rsid w:val="314D409C"/>
    <w:rsid w:val="31592A40"/>
    <w:rsid w:val="318D4498"/>
    <w:rsid w:val="319E0453"/>
    <w:rsid w:val="31D04385"/>
    <w:rsid w:val="31EC7411"/>
    <w:rsid w:val="31F2254D"/>
    <w:rsid w:val="3200785A"/>
    <w:rsid w:val="322070BA"/>
    <w:rsid w:val="322E7A29"/>
    <w:rsid w:val="3240150B"/>
    <w:rsid w:val="324E60C8"/>
    <w:rsid w:val="324F174E"/>
    <w:rsid w:val="324F74C3"/>
    <w:rsid w:val="325477D2"/>
    <w:rsid w:val="326E5515"/>
    <w:rsid w:val="326E62FA"/>
    <w:rsid w:val="327F2033"/>
    <w:rsid w:val="32980D49"/>
    <w:rsid w:val="32A221C5"/>
    <w:rsid w:val="32A92F8D"/>
    <w:rsid w:val="32BA458A"/>
    <w:rsid w:val="32CB171C"/>
    <w:rsid w:val="32D3237F"/>
    <w:rsid w:val="32DA54BB"/>
    <w:rsid w:val="32DD066E"/>
    <w:rsid w:val="32EB46F7"/>
    <w:rsid w:val="32EF0326"/>
    <w:rsid w:val="32F742BF"/>
    <w:rsid w:val="330A14E2"/>
    <w:rsid w:val="331A61FF"/>
    <w:rsid w:val="33233306"/>
    <w:rsid w:val="332E1CAB"/>
    <w:rsid w:val="333C7F24"/>
    <w:rsid w:val="334A2702"/>
    <w:rsid w:val="33541711"/>
    <w:rsid w:val="335A484E"/>
    <w:rsid w:val="337376BE"/>
    <w:rsid w:val="337C6572"/>
    <w:rsid w:val="338602C2"/>
    <w:rsid w:val="33890C8F"/>
    <w:rsid w:val="338D69D1"/>
    <w:rsid w:val="339A5F22"/>
    <w:rsid w:val="33B2468A"/>
    <w:rsid w:val="33B40937"/>
    <w:rsid w:val="33C543BD"/>
    <w:rsid w:val="33C61EE3"/>
    <w:rsid w:val="33CA3782"/>
    <w:rsid w:val="33D22636"/>
    <w:rsid w:val="33DA0AE6"/>
    <w:rsid w:val="33DA14EB"/>
    <w:rsid w:val="33DB773D"/>
    <w:rsid w:val="33DC34B5"/>
    <w:rsid w:val="33EF4F96"/>
    <w:rsid w:val="340A0022"/>
    <w:rsid w:val="340A0D53"/>
    <w:rsid w:val="341E3ACD"/>
    <w:rsid w:val="3422736E"/>
    <w:rsid w:val="342F1837"/>
    <w:rsid w:val="34321327"/>
    <w:rsid w:val="34362BC5"/>
    <w:rsid w:val="344352E2"/>
    <w:rsid w:val="34533777"/>
    <w:rsid w:val="34572B3B"/>
    <w:rsid w:val="34594B05"/>
    <w:rsid w:val="345D63A4"/>
    <w:rsid w:val="34745D06"/>
    <w:rsid w:val="348558FB"/>
    <w:rsid w:val="34A00986"/>
    <w:rsid w:val="34A71D15"/>
    <w:rsid w:val="34B63D06"/>
    <w:rsid w:val="34B720AF"/>
    <w:rsid w:val="34DB19BE"/>
    <w:rsid w:val="34DF500B"/>
    <w:rsid w:val="34F74F9D"/>
    <w:rsid w:val="35064C8D"/>
    <w:rsid w:val="35071CDE"/>
    <w:rsid w:val="350E769E"/>
    <w:rsid w:val="35245113"/>
    <w:rsid w:val="352B64A2"/>
    <w:rsid w:val="352E1AEE"/>
    <w:rsid w:val="355A0B35"/>
    <w:rsid w:val="355F614C"/>
    <w:rsid w:val="3567534F"/>
    <w:rsid w:val="356C2617"/>
    <w:rsid w:val="357518CC"/>
    <w:rsid w:val="35901502"/>
    <w:rsid w:val="3595753D"/>
    <w:rsid w:val="35977693"/>
    <w:rsid w:val="35A5124B"/>
    <w:rsid w:val="35A95619"/>
    <w:rsid w:val="35B21E8E"/>
    <w:rsid w:val="35E42962"/>
    <w:rsid w:val="35E548A3"/>
    <w:rsid w:val="35E6686D"/>
    <w:rsid w:val="35EF5F2A"/>
    <w:rsid w:val="35FC1E4D"/>
    <w:rsid w:val="3600792F"/>
    <w:rsid w:val="36056CF3"/>
    <w:rsid w:val="360A4586"/>
    <w:rsid w:val="36104D58"/>
    <w:rsid w:val="36160F00"/>
    <w:rsid w:val="361B6516"/>
    <w:rsid w:val="363915D7"/>
    <w:rsid w:val="36424A80"/>
    <w:rsid w:val="364B3202"/>
    <w:rsid w:val="365D08DD"/>
    <w:rsid w:val="366003CD"/>
    <w:rsid w:val="366276DD"/>
    <w:rsid w:val="366F0610"/>
    <w:rsid w:val="367D2D2D"/>
    <w:rsid w:val="3680281D"/>
    <w:rsid w:val="36851BE2"/>
    <w:rsid w:val="36A93B22"/>
    <w:rsid w:val="36BE4CF5"/>
    <w:rsid w:val="36BE6EA2"/>
    <w:rsid w:val="36C73DF2"/>
    <w:rsid w:val="36D645D2"/>
    <w:rsid w:val="36DE1408"/>
    <w:rsid w:val="36E763F9"/>
    <w:rsid w:val="36F01751"/>
    <w:rsid w:val="370B658B"/>
    <w:rsid w:val="370E607B"/>
    <w:rsid w:val="37256F21"/>
    <w:rsid w:val="3726563B"/>
    <w:rsid w:val="372C5EE8"/>
    <w:rsid w:val="37411FAD"/>
    <w:rsid w:val="374563BE"/>
    <w:rsid w:val="37503D85"/>
    <w:rsid w:val="37531CE0"/>
    <w:rsid w:val="37704640"/>
    <w:rsid w:val="377203B8"/>
    <w:rsid w:val="37757EA8"/>
    <w:rsid w:val="37781E68"/>
    <w:rsid w:val="37871BFE"/>
    <w:rsid w:val="37895702"/>
    <w:rsid w:val="37904CE2"/>
    <w:rsid w:val="379A4227"/>
    <w:rsid w:val="37A75ABC"/>
    <w:rsid w:val="37A8202C"/>
    <w:rsid w:val="37B24C58"/>
    <w:rsid w:val="37B54749"/>
    <w:rsid w:val="37C369C1"/>
    <w:rsid w:val="37CD55EE"/>
    <w:rsid w:val="37D44A18"/>
    <w:rsid w:val="37DA41AF"/>
    <w:rsid w:val="37E17617"/>
    <w:rsid w:val="37F34577"/>
    <w:rsid w:val="37FA03AE"/>
    <w:rsid w:val="380006E2"/>
    <w:rsid w:val="38064FA4"/>
    <w:rsid w:val="38226953"/>
    <w:rsid w:val="382E5D6B"/>
    <w:rsid w:val="38606463"/>
    <w:rsid w:val="38767A34"/>
    <w:rsid w:val="3881572B"/>
    <w:rsid w:val="388F1BA1"/>
    <w:rsid w:val="38B7702D"/>
    <w:rsid w:val="38C34C43"/>
    <w:rsid w:val="38D539D2"/>
    <w:rsid w:val="38D94467"/>
    <w:rsid w:val="38E50C02"/>
    <w:rsid w:val="38F03F29"/>
    <w:rsid w:val="38FE1599"/>
    <w:rsid w:val="39072EC2"/>
    <w:rsid w:val="39096AFA"/>
    <w:rsid w:val="39270A12"/>
    <w:rsid w:val="392F4C95"/>
    <w:rsid w:val="39382AF5"/>
    <w:rsid w:val="394418E0"/>
    <w:rsid w:val="39567866"/>
    <w:rsid w:val="395F2BBE"/>
    <w:rsid w:val="398F6024"/>
    <w:rsid w:val="39987E7E"/>
    <w:rsid w:val="39AB5AD6"/>
    <w:rsid w:val="39AE1450"/>
    <w:rsid w:val="39B527DE"/>
    <w:rsid w:val="39BA1BA2"/>
    <w:rsid w:val="39D23390"/>
    <w:rsid w:val="39D75145"/>
    <w:rsid w:val="39D8471E"/>
    <w:rsid w:val="39DC420F"/>
    <w:rsid w:val="39EB6FE9"/>
    <w:rsid w:val="39EE5CF0"/>
    <w:rsid w:val="39F57AE6"/>
    <w:rsid w:val="3A080B60"/>
    <w:rsid w:val="3A1A4D37"/>
    <w:rsid w:val="3A241712"/>
    <w:rsid w:val="3A3B5AFC"/>
    <w:rsid w:val="3A4725D3"/>
    <w:rsid w:val="3A5A6B16"/>
    <w:rsid w:val="3A663E19"/>
    <w:rsid w:val="3A6B0D26"/>
    <w:rsid w:val="3A777A93"/>
    <w:rsid w:val="3A7B57D6"/>
    <w:rsid w:val="3A810912"/>
    <w:rsid w:val="3A836438"/>
    <w:rsid w:val="3AA0523C"/>
    <w:rsid w:val="3AC0768C"/>
    <w:rsid w:val="3B0C5D64"/>
    <w:rsid w:val="3B0D6DAB"/>
    <w:rsid w:val="3B2B5704"/>
    <w:rsid w:val="3B2E2848"/>
    <w:rsid w:val="3B443E1A"/>
    <w:rsid w:val="3B482082"/>
    <w:rsid w:val="3B677B08"/>
    <w:rsid w:val="3B7A3CDF"/>
    <w:rsid w:val="3B7A6B55"/>
    <w:rsid w:val="3B7B1805"/>
    <w:rsid w:val="3B89306E"/>
    <w:rsid w:val="3B9C2225"/>
    <w:rsid w:val="3BA242DF"/>
    <w:rsid w:val="3BA82D9F"/>
    <w:rsid w:val="3BAE3989"/>
    <w:rsid w:val="3BCC2061"/>
    <w:rsid w:val="3BCE5DD9"/>
    <w:rsid w:val="3BEE0229"/>
    <w:rsid w:val="3C3457CA"/>
    <w:rsid w:val="3C3C0F95"/>
    <w:rsid w:val="3C432323"/>
    <w:rsid w:val="3C4C6036"/>
    <w:rsid w:val="3C5928D3"/>
    <w:rsid w:val="3C642351"/>
    <w:rsid w:val="3C6840A7"/>
    <w:rsid w:val="3C7F0E81"/>
    <w:rsid w:val="3C94492D"/>
    <w:rsid w:val="3C9A5CBB"/>
    <w:rsid w:val="3CA32DC2"/>
    <w:rsid w:val="3CA72370"/>
    <w:rsid w:val="3CAA23A2"/>
    <w:rsid w:val="3CCA3D07"/>
    <w:rsid w:val="3CD218F9"/>
    <w:rsid w:val="3CD334E5"/>
    <w:rsid w:val="3CD411CD"/>
    <w:rsid w:val="3CE82ECA"/>
    <w:rsid w:val="3CFB02C4"/>
    <w:rsid w:val="3D6A38DF"/>
    <w:rsid w:val="3D956E55"/>
    <w:rsid w:val="3DA24A0C"/>
    <w:rsid w:val="3DBA6615"/>
    <w:rsid w:val="3DBB3D72"/>
    <w:rsid w:val="3DC2371B"/>
    <w:rsid w:val="3DC254CA"/>
    <w:rsid w:val="3DDA19C6"/>
    <w:rsid w:val="3DED7156"/>
    <w:rsid w:val="3DFB72A2"/>
    <w:rsid w:val="3DFC6C2D"/>
    <w:rsid w:val="3DFF671E"/>
    <w:rsid w:val="3E104583"/>
    <w:rsid w:val="3E174D94"/>
    <w:rsid w:val="3E1A70B4"/>
    <w:rsid w:val="3E202C74"/>
    <w:rsid w:val="3E254A0D"/>
    <w:rsid w:val="3E274272"/>
    <w:rsid w:val="3E344619"/>
    <w:rsid w:val="3E573E64"/>
    <w:rsid w:val="3E5E1696"/>
    <w:rsid w:val="3E5F540E"/>
    <w:rsid w:val="3E69430F"/>
    <w:rsid w:val="3E744D4B"/>
    <w:rsid w:val="3E783E49"/>
    <w:rsid w:val="3E7C38CA"/>
    <w:rsid w:val="3E9C3F6D"/>
    <w:rsid w:val="3EA616B4"/>
    <w:rsid w:val="3EBE2135"/>
    <w:rsid w:val="3EBF7C5B"/>
    <w:rsid w:val="3EC534C3"/>
    <w:rsid w:val="3EC55271"/>
    <w:rsid w:val="3ECB6600"/>
    <w:rsid w:val="3ED53A5C"/>
    <w:rsid w:val="3EDC6A5F"/>
    <w:rsid w:val="3EE020AB"/>
    <w:rsid w:val="3EE871B2"/>
    <w:rsid w:val="3EEC2355"/>
    <w:rsid w:val="3F0B2EA0"/>
    <w:rsid w:val="3F102E57"/>
    <w:rsid w:val="3F212422"/>
    <w:rsid w:val="3F253F62"/>
    <w:rsid w:val="3F2D2E17"/>
    <w:rsid w:val="3F487C50"/>
    <w:rsid w:val="3F4D5267"/>
    <w:rsid w:val="3F555337"/>
    <w:rsid w:val="3F626F64"/>
    <w:rsid w:val="3F6E5909"/>
    <w:rsid w:val="3F780536"/>
    <w:rsid w:val="3F7E18C4"/>
    <w:rsid w:val="3F80388E"/>
    <w:rsid w:val="3F9A4950"/>
    <w:rsid w:val="3FA07A8C"/>
    <w:rsid w:val="3FA532F5"/>
    <w:rsid w:val="3FA64167"/>
    <w:rsid w:val="3FB34064"/>
    <w:rsid w:val="3FC512A1"/>
    <w:rsid w:val="3FD00372"/>
    <w:rsid w:val="3FE47979"/>
    <w:rsid w:val="3FEE25A6"/>
    <w:rsid w:val="3FF878C8"/>
    <w:rsid w:val="400C675F"/>
    <w:rsid w:val="40175FA1"/>
    <w:rsid w:val="40181659"/>
    <w:rsid w:val="40336734"/>
    <w:rsid w:val="4036289A"/>
    <w:rsid w:val="403D014D"/>
    <w:rsid w:val="4042414A"/>
    <w:rsid w:val="40526FD9"/>
    <w:rsid w:val="40583EC3"/>
    <w:rsid w:val="405A28DA"/>
    <w:rsid w:val="40752CC7"/>
    <w:rsid w:val="408E3D89"/>
    <w:rsid w:val="40907B01"/>
    <w:rsid w:val="409307E3"/>
    <w:rsid w:val="40963E36"/>
    <w:rsid w:val="40B25CC9"/>
    <w:rsid w:val="40BF41BE"/>
    <w:rsid w:val="40C003E6"/>
    <w:rsid w:val="40CA2C97"/>
    <w:rsid w:val="40CD48B1"/>
    <w:rsid w:val="40D75730"/>
    <w:rsid w:val="40FC0CF2"/>
    <w:rsid w:val="40FE4A6B"/>
    <w:rsid w:val="410858E9"/>
    <w:rsid w:val="4113768A"/>
    <w:rsid w:val="411C427A"/>
    <w:rsid w:val="41290D23"/>
    <w:rsid w:val="41354204"/>
    <w:rsid w:val="414A6124"/>
    <w:rsid w:val="417834AC"/>
    <w:rsid w:val="419453CF"/>
    <w:rsid w:val="41C23CEA"/>
    <w:rsid w:val="41D654A3"/>
    <w:rsid w:val="420402AF"/>
    <w:rsid w:val="420C1409"/>
    <w:rsid w:val="4214206C"/>
    <w:rsid w:val="422837DE"/>
    <w:rsid w:val="423170C2"/>
    <w:rsid w:val="423C78C7"/>
    <w:rsid w:val="425608D6"/>
    <w:rsid w:val="425D1C65"/>
    <w:rsid w:val="42645FDE"/>
    <w:rsid w:val="42731488"/>
    <w:rsid w:val="42770F78"/>
    <w:rsid w:val="427E22EE"/>
    <w:rsid w:val="42A6360C"/>
    <w:rsid w:val="42A930FC"/>
    <w:rsid w:val="42C5381B"/>
    <w:rsid w:val="42CD3EF8"/>
    <w:rsid w:val="42D92E89"/>
    <w:rsid w:val="42DA1507"/>
    <w:rsid w:val="42F205FF"/>
    <w:rsid w:val="42F46362"/>
    <w:rsid w:val="42FA74B4"/>
    <w:rsid w:val="430D71E7"/>
    <w:rsid w:val="43104F29"/>
    <w:rsid w:val="43180D62"/>
    <w:rsid w:val="43193DDE"/>
    <w:rsid w:val="432F1853"/>
    <w:rsid w:val="433A3D54"/>
    <w:rsid w:val="434F4CA9"/>
    <w:rsid w:val="436239D7"/>
    <w:rsid w:val="43670434"/>
    <w:rsid w:val="436C4DD7"/>
    <w:rsid w:val="43866F99"/>
    <w:rsid w:val="439A793E"/>
    <w:rsid w:val="43A7281A"/>
    <w:rsid w:val="43B14016"/>
    <w:rsid w:val="43C10950"/>
    <w:rsid w:val="43D3165F"/>
    <w:rsid w:val="43D9356D"/>
    <w:rsid w:val="43EE7018"/>
    <w:rsid w:val="43FE2FD4"/>
    <w:rsid w:val="44071E88"/>
    <w:rsid w:val="440A1978"/>
    <w:rsid w:val="441B3395"/>
    <w:rsid w:val="4425644E"/>
    <w:rsid w:val="443E0239"/>
    <w:rsid w:val="444529B0"/>
    <w:rsid w:val="44486482"/>
    <w:rsid w:val="444C01E3"/>
    <w:rsid w:val="445157F9"/>
    <w:rsid w:val="4453331F"/>
    <w:rsid w:val="44562E10"/>
    <w:rsid w:val="446E2545"/>
    <w:rsid w:val="448072A7"/>
    <w:rsid w:val="448B2AB9"/>
    <w:rsid w:val="448B4867"/>
    <w:rsid w:val="44901E7E"/>
    <w:rsid w:val="44A1052F"/>
    <w:rsid w:val="44A973E3"/>
    <w:rsid w:val="44AB6CB7"/>
    <w:rsid w:val="44B813D4"/>
    <w:rsid w:val="44BA6822"/>
    <w:rsid w:val="44BB5059"/>
    <w:rsid w:val="44BD4C3D"/>
    <w:rsid w:val="44C02694"/>
    <w:rsid w:val="44C67E5A"/>
    <w:rsid w:val="44CD4038"/>
    <w:rsid w:val="44DC50C3"/>
    <w:rsid w:val="44DF2E05"/>
    <w:rsid w:val="44E65F41"/>
    <w:rsid w:val="450767C9"/>
    <w:rsid w:val="450F1DE5"/>
    <w:rsid w:val="4517434D"/>
    <w:rsid w:val="452E3FD4"/>
    <w:rsid w:val="45303661"/>
    <w:rsid w:val="45344114"/>
    <w:rsid w:val="453D45FD"/>
    <w:rsid w:val="45464C32"/>
    <w:rsid w:val="458E55EE"/>
    <w:rsid w:val="45AD6A5F"/>
    <w:rsid w:val="45AF0A29"/>
    <w:rsid w:val="45C81AEB"/>
    <w:rsid w:val="45C83899"/>
    <w:rsid w:val="45D1274E"/>
    <w:rsid w:val="45D95AA6"/>
    <w:rsid w:val="45E05789"/>
    <w:rsid w:val="45E306D3"/>
    <w:rsid w:val="45EA1A61"/>
    <w:rsid w:val="45FD38AA"/>
    <w:rsid w:val="46072613"/>
    <w:rsid w:val="460B75EF"/>
    <w:rsid w:val="461336D4"/>
    <w:rsid w:val="46160AA8"/>
    <w:rsid w:val="462A6302"/>
    <w:rsid w:val="462E4B6B"/>
    <w:rsid w:val="462F1B6A"/>
    <w:rsid w:val="46357180"/>
    <w:rsid w:val="46405B25"/>
    <w:rsid w:val="464253F9"/>
    <w:rsid w:val="464473C4"/>
    <w:rsid w:val="46647A66"/>
    <w:rsid w:val="466B51CE"/>
    <w:rsid w:val="466C70B0"/>
    <w:rsid w:val="467001B9"/>
    <w:rsid w:val="46962F84"/>
    <w:rsid w:val="469A5235"/>
    <w:rsid w:val="46A55988"/>
    <w:rsid w:val="46AF5450"/>
    <w:rsid w:val="46D06EA9"/>
    <w:rsid w:val="46E619D5"/>
    <w:rsid w:val="46EB7CEE"/>
    <w:rsid w:val="46FC1A4C"/>
    <w:rsid w:val="47064679"/>
    <w:rsid w:val="47204A1A"/>
    <w:rsid w:val="4723347D"/>
    <w:rsid w:val="473E02B7"/>
    <w:rsid w:val="47424727"/>
    <w:rsid w:val="474C1DAA"/>
    <w:rsid w:val="47573126"/>
    <w:rsid w:val="47670CEF"/>
    <w:rsid w:val="477E06B3"/>
    <w:rsid w:val="47950C90"/>
    <w:rsid w:val="479A6B7B"/>
    <w:rsid w:val="47A32C15"/>
    <w:rsid w:val="47A74873"/>
    <w:rsid w:val="47CA7D9C"/>
    <w:rsid w:val="47D06A35"/>
    <w:rsid w:val="47DB78B4"/>
    <w:rsid w:val="47E66258"/>
    <w:rsid w:val="48064CD8"/>
    <w:rsid w:val="480908C5"/>
    <w:rsid w:val="480D5DEA"/>
    <w:rsid w:val="483B0352"/>
    <w:rsid w:val="484B443F"/>
    <w:rsid w:val="484D62D8"/>
    <w:rsid w:val="4854510F"/>
    <w:rsid w:val="48574B24"/>
    <w:rsid w:val="485A35CD"/>
    <w:rsid w:val="485E04E5"/>
    <w:rsid w:val="487A531F"/>
    <w:rsid w:val="48824938"/>
    <w:rsid w:val="48831387"/>
    <w:rsid w:val="488A583D"/>
    <w:rsid w:val="489B16F9"/>
    <w:rsid w:val="489E3D34"/>
    <w:rsid w:val="48AB372A"/>
    <w:rsid w:val="48C1068F"/>
    <w:rsid w:val="48C71E2E"/>
    <w:rsid w:val="48E42798"/>
    <w:rsid w:val="48F246AF"/>
    <w:rsid w:val="48F36E7F"/>
    <w:rsid w:val="48F607F0"/>
    <w:rsid w:val="48F826E7"/>
    <w:rsid w:val="48FF400E"/>
    <w:rsid w:val="49064E04"/>
    <w:rsid w:val="49137521"/>
    <w:rsid w:val="49145953"/>
    <w:rsid w:val="491D5CAA"/>
    <w:rsid w:val="4933371F"/>
    <w:rsid w:val="49351245"/>
    <w:rsid w:val="493C25D4"/>
    <w:rsid w:val="494871CB"/>
    <w:rsid w:val="494E2307"/>
    <w:rsid w:val="495C1F8D"/>
    <w:rsid w:val="497F022A"/>
    <w:rsid w:val="49802A68"/>
    <w:rsid w:val="49861DA3"/>
    <w:rsid w:val="498871A5"/>
    <w:rsid w:val="4989333F"/>
    <w:rsid w:val="49911EF4"/>
    <w:rsid w:val="499C7517"/>
    <w:rsid w:val="49A2287B"/>
    <w:rsid w:val="49A95790"/>
    <w:rsid w:val="49BB5BEF"/>
    <w:rsid w:val="49BF05AD"/>
    <w:rsid w:val="49CF0B1E"/>
    <w:rsid w:val="49D722FD"/>
    <w:rsid w:val="49DB48E8"/>
    <w:rsid w:val="49E113CD"/>
    <w:rsid w:val="49E17B66"/>
    <w:rsid w:val="49F43244"/>
    <w:rsid w:val="4A29760D"/>
    <w:rsid w:val="4A3239D7"/>
    <w:rsid w:val="4A325785"/>
    <w:rsid w:val="4A510301"/>
    <w:rsid w:val="4A662B6B"/>
    <w:rsid w:val="4A834233"/>
    <w:rsid w:val="4AA074FF"/>
    <w:rsid w:val="4AAF5028"/>
    <w:rsid w:val="4AB42CD1"/>
    <w:rsid w:val="4AB661FB"/>
    <w:rsid w:val="4AC42881"/>
    <w:rsid w:val="4AC62BC0"/>
    <w:rsid w:val="4AC65DE8"/>
    <w:rsid w:val="4AC73BDA"/>
    <w:rsid w:val="4AC76815"/>
    <w:rsid w:val="4AD36F68"/>
    <w:rsid w:val="4AE44CD1"/>
    <w:rsid w:val="4B0233A9"/>
    <w:rsid w:val="4B090BDC"/>
    <w:rsid w:val="4B09298A"/>
    <w:rsid w:val="4B094738"/>
    <w:rsid w:val="4B125CE2"/>
    <w:rsid w:val="4B2169B0"/>
    <w:rsid w:val="4B2F0960"/>
    <w:rsid w:val="4B345231"/>
    <w:rsid w:val="4B3814C1"/>
    <w:rsid w:val="4B3A0D95"/>
    <w:rsid w:val="4B4B7EDA"/>
    <w:rsid w:val="4B5005B9"/>
    <w:rsid w:val="4B6D3B53"/>
    <w:rsid w:val="4B6E6C91"/>
    <w:rsid w:val="4B725BF4"/>
    <w:rsid w:val="4B756271"/>
    <w:rsid w:val="4B7778F3"/>
    <w:rsid w:val="4B7A252C"/>
    <w:rsid w:val="4B7D5AC6"/>
    <w:rsid w:val="4B8822CD"/>
    <w:rsid w:val="4B8A1D1C"/>
    <w:rsid w:val="4B9569B5"/>
    <w:rsid w:val="4BA95F1B"/>
    <w:rsid w:val="4BC66ACD"/>
    <w:rsid w:val="4BD31B47"/>
    <w:rsid w:val="4BF2341E"/>
    <w:rsid w:val="4BFC24EE"/>
    <w:rsid w:val="4C167283"/>
    <w:rsid w:val="4C2953FA"/>
    <w:rsid w:val="4C2C2DD4"/>
    <w:rsid w:val="4C3250C7"/>
    <w:rsid w:val="4C343813"/>
    <w:rsid w:val="4C4260AB"/>
    <w:rsid w:val="4C43011D"/>
    <w:rsid w:val="4C8147A2"/>
    <w:rsid w:val="4C885B30"/>
    <w:rsid w:val="4CC81420"/>
    <w:rsid w:val="4CCC0113"/>
    <w:rsid w:val="4CE54C10"/>
    <w:rsid w:val="4CEB1255"/>
    <w:rsid w:val="4CFB09F8"/>
    <w:rsid w:val="4D2046D9"/>
    <w:rsid w:val="4D260609"/>
    <w:rsid w:val="4D2832EB"/>
    <w:rsid w:val="4D2E66D8"/>
    <w:rsid w:val="4D414087"/>
    <w:rsid w:val="4D47493C"/>
    <w:rsid w:val="4D4C3002"/>
    <w:rsid w:val="4D52686A"/>
    <w:rsid w:val="4D726FBA"/>
    <w:rsid w:val="4DAC273E"/>
    <w:rsid w:val="4DB27309"/>
    <w:rsid w:val="4DBE3EFF"/>
    <w:rsid w:val="4DC94652"/>
    <w:rsid w:val="4DC96400"/>
    <w:rsid w:val="4DE1199C"/>
    <w:rsid w:val="4DFA480C"/>
    <w:rsid w:val="4DFE42FC"/>
    <w:rsid w:val="4E0336C0"/>
    <w:rsid w:val="4E0B6A19"/>
    <w:rsid w:val="4E4A5793"/>
    <w:rsid w:val="4E692C81"/>
    <w:rsid w:val="4E7E151F"/>
    <w:rsid w:val="4E850579"/>
    <w:rsid w:val="4E8F31A6"/>
    <w:rsid w:val="4E915170"/>
    <w:rsid w:val="4EA263A4"/>
    <w:rsid w:val="4EA7345A"/>
    <w:rsid w:val="4EAA4EA4"/>
    <w:rsid w:val="4EB946C7"/>
    <w:rsid w:val="4EE82754"/>
    <w:rsid w:val="4EF23735"/>
    <w:rsid w:val="4EFC68C1"/>
    <w:rsid w:val="4EFD3DD4"/>
    <w:rsid w:val="4F005E52"/>
    <w:rsid w:val="4F2B3B35"/>
    <w:rsid w:val="4F3A5808"/>
    <w:rsid w:val="4F4421E2"/>
    <w:rsid w:val="4F602D94"/>
    <w:rsid w:val="4F711574"/>
    <w:rsid w:val="4F7C1DA9"/>
    <w:rsid w:val="4F821ECC"/>
    <w:rsid w:val="4F860A4D"/>
    <w:rsid w:val="4F9273F2"/>
    <w:rsid w:val="4F9F38BD"/>
    <w:rsid w:val="4FAD1DBA"/>
    <w:rsid w:val="4FB91229"/>
    <w:rsid w:val="4FBA24A4"/>
    <w:rsid w:val="4FC9093A"/>
    <w:rsid w:val="4FD65621"/>
    <w:rsid w:val="4FEA5CCA"/>
    <w:rsid w:val="4FFA6065"/>
    <w:rsid w:val="4FFE6835"/>
    <w:rsid w:val="4FFF40B3"/>
    <w:rsid w:val="50061A02"/>
    <w:rsid w:val="501F49FD"/>
    <w:rsid w:val="50201542"/>
    <w:rsid w:val="5023629C"/>
    <w:rsid w:val="502B6EFE"/>
    <w:rsid w:val="50377F99"/>
    <w:rsid w:val="504B57F2"/>
    <w:rsid w:val="5052092F"/>
    <w:rsid w:val="505B3C87"/>
    <w:rsid w:val="506F14E1"/>
    <w:rsid w:val="50744D49"/>
    <w:rsid w:val="50827466"/>
    <w:rsid w:val="508F2486"/>
    <w:rsid w:val="5095081C"/>
    <w:rsid w:val="50974594"/>
    <w:rsid w:val="50A16CA7"/>
    <w:rsid w:val="50A3063C"/>
    <w:rsid w:val="50B60EBE"/>
    <w:rsid w:val="50B62173"/>
    <w:rsid w:val="50B73555"/>
    <w:rsid w:val="50B74C36"/>
    <w:rsid w:val="50C9671E"/>
    <w:rsid w:val="50CF3D2E"/>
    <w:rsid w:val="50D06D4C"/>
    <w:rsid w:val="50D5227B"/>
    <w:rsid w:val="50D750DF"/>
    <w:rsid w:val="50D94BAC"/>
    <w:rsid w:val="50DD192D"/>
    <w:rsid w:val="50DD28EE"/>
    <w:rsid w:val="50E13A61"/>
    <w:rsid w:val="50F96FFC"/>
    <w:rsid w:val="510D48F4"/>
    <w:rsid w:val="510F7CBF"/>
    <w:rsid w:val="51167BAE"/>
    <w:rsid w:val="511B7821"/>
    <w:rsid w:val="51346287"/>
    <w:rsid w:val="514B4E23"/>
    <w:rsid w:val="5153670D"/>
    <w:rsid w:val="51556929"/>
    <w:rsid w:val="515D758B"/>
    <w:rsid w:val="516052CE"/>
    <w:rsid w:val="517174DB"/>
    <w:rsid w:val="51777728"/>
    <w:rsid w:val="517843C5"/>
    <w:rsid w:val="517B3EB5"/>
    <w:rsid w:val="51874608"/>
    <w:rsid w:val="518A5306"/>
    <w:rsid w:val="51A46F68"/>
    <w:rsid w:val="51C93D83"/>
    <w:rsid w:val="51CB0999"/>
    <w:rsid w:val="51D610EC"/>
    <w:rsid w:val="51FE1F11"/>
    <w:rsid w:val="520E19FD"/>
    <w:rsid w:val="521340EE"/>
    <w:rsid w:val="521F6F37"/>
    <w:rsid w:val="522E2CD6"/>
    <w:rsid w:val="52497B10"/>
    <w:rsid w:val="525922BB"/>
    <w:rsid w:val="525E180D"/>
    <w:rsid w:val="526B5CD8"/>
    <w:rsid w:val="52726EDF"/>
    <w:rsid w:val="529656FD"/>
    <w:rsid w:val="52B71D91"/>
    <w:rsid w:val="52CF270B"/>
    <w:rsid w:val="52E02222"/>
    <w:rsid w:val="52EA759B"/>
    <w:rsid w:val="52F91C5C"/>
    <w:rsid w:val="530028C4"/>
    <w:rsid w:val="53083EEF"/>
    <w:rsid w:val="530F48B5"/>
    <w:rsid w:val="53195734"/>
    <w:rsid w:val="531A0B1A"/>
    <w:rsid w:val="531E71EE"/>
    <w:rsid w:val="531F0E26"/>
    <w:rsid w:val="53281E1B"/>
    <w:rsid w:val="532D10B1"/>
    <w:rsid w:val="53397B84"/>
    <w:rsid w:val="534E1882"/>
    <w:rsid w:val="535475D6"/>
    <w:rsid w:val="535D1AC5"/>
    <w:rsid w:val="536410A5"/>
    <w:rsid w:val="53650979"/>
    <w:rsid w:val="536F17F8"/>
    <w:rsid w:val="537F5B2E"/>
    <w:rsid w:val="53874D93"/>
    <w:rsid w:val="53876B42"/>
    <w:rsid w:val="538C23AA"/>
    <w:rsid w:val="538E5084"/>
    <w:rsid w:val="5394125E"/>
    <w:rsid w:val="539B4F9B"/>
    <w:rsid w:val="53A22875"/>
    <w:rsid w:val="53AB23C5"/>
    <w:rsid w:val="53AC65A8"/>
    <w:rsid w:val="53CE29C2"/>
    <w:rsid w:val="53D17EF8"/>
    <w:rsid w:val="53D63625"/>
    <w:rsid w:val="53EE1957"/>
    <w:rsid w:val="53FD5056"/>
    <w:rsid w:val="540168F4"/>
    <w:rsid w:val="5403357C"/>
    <w:rsid w:val="541F321E"/>
    <w:rsid w:val="54295E4B"/>
    <w:rsid w:val="542B1BC3"/>
    <w:rsid w:val="54330A77"/>
    <w:rsid w:val="543F566E"/>
    <w:rsid w:val="54453904"/>
    <w:rsid w:val="544834D5"/>
    <w:rsid w:val="5454005A"/>
    <w:rsid w:val="54543190"/>
    <w:rsid w:val="5474356A"/>
    <w:rsid w:val="547D7C36"/>
    <w:rsid w:val="548337AD"/>
    <w:rsid w:val="548412D3"/>
    <w:rsid w:val="549F6DFB"/>
    <w:rsid w:val="54A13C33"/>
    <w:rsid w:val="54B41BB8"/>
    <w:rsid w:val="54B576DE"/>
    <w:rsid w:val="54DB0E0C"/>
    <w:rsid w:val="54E27347"/>
    <w:rsid w:val="54EC5540"/>
    <w:rsid w:val="54FE2E33"/>
    <w:rsid w:val="55012924"/>
    <w:rsid w:val="5524397A"/>
    <w:rsid w:val="55300F23"/>
    <w:rsid w:val="55306D65"/>
    <w:rsid w:val="554907E0"/>
    <w:rsid w:val="554C1057"/>
    <w:rsid w:val="554E3851"/>
    <w:rsid w:val="55564A1D"/>
    <w:rsid w:val="555667CB"/>
    <w:rsid w:val="555E1B24"/>
    <w:rsid w:val="556C2493"/>
    <w:rsid w:val="557F5FBD"/>
    <w:rsid w:val="55973D40"/>
    <w:rsid w:val="55C53951"/>
    <w:rsid w:val="55CF657E"/>
    <w:rsid w:val="55E9250A"/>
    <w:rsid w:val="55FD133D"/>
    <w:rsid w:val="55FF6E63"/>
    <w:rsid w:val="56075D18"/>
    <w:rsid w:val="56116B96"/>
    <w:rsid w:val="562B40FC"/>
    <w:rsid w:val="562F68CC"/>
    <w:rsid w:val="563665FD"/>
    <w:rsid w:val="56530F5D"/>
    <w:rsid w:val="566413BC"/>
    <w:rsid w:val="566E4218"/>
    <w:rsid w:val="56701B0F"/>
    <w:rsid w:val="56752351"/>
    <w:rsid w:val="56786C15"/>
    <w:rsid w:val="567C6706"/>
    <w:rsid w:val="56815ACA"/>
    <w:rsid w:val="56B25E37"/>
    <w:rsid w:val="56D402F0"/>
    <w:rsid w:val="56E30533"/>
    <w:rsid w:val="56E72D84"/>
    <w:rsid w:val="56F1144A"/>
    <w:rsid w:val="56FC04D0"/>
    <w:rsid w:val="56FE711B"/>
    <w:rsid w:val="57032983"/>
    <w:rsid w:val="570D735E"/>
    <w:rsid w:val="57154464"/>
    <w:rsid w:val="571B5F1F"/>
    <w:rsid w:val="572C19FA"/>
    <w:rsid w:val="572D5C52"/>
    <w:rsid w:val="573113BD"/>
    <w:rsid w:val="57327C4A"/>
    <w:rsid w:val="5737087F"/>
    <w:rsid w:val="57390791"/>
    <w:rsid w:val="573B211D"/>
    <w:rsid w:val="57527466"/>
    <w:rsid w:val="57550121"/>
    <w:rsid w:val="57577504"/>
    <w:rsid w:val="575D64CC"/>
    <w:rsid w:val="57653A97"/>
    <w:rsid w:val="576C0528"/>
    <w:rsid w:val="576D24F2"/>
    <w:rsid w:val="576F671C"/>
    <w:rsid w:val="57833AC4"/>
    <w:rsid w:val="57890280"/>
    <w:rsid w:val="578D66F1"/>
    <w:rsid w:val="578F06BB"/>
    <w:rsid w:val="5797131D"/>
    <w:rsid w:val="579B705F"/>
    <w:rsid w:val="57A13234"/>
    <w:rsid w:val="57A23F4A"/>
    <w:rsid w:val="57BD6FD6"/>
    <w:rsid w:val="57C02622"/>
    <w:rsid w:val="57C33762"/>
    <w:rsid w:val="57D84CEA"/>
    <w:rsid w:val="57DE1AF7"/>
    <w:rsid w:val="57DE6F4C"/>
    <w:rsid w:val="57E75E01"/>
    <w:rsid w:val="57EC3417"/>
    <w:rsid w:val="57FB18AC"/>
    <w:rsid w:val="581035A9"/>
    <w:rsid w:val="58160494"/>
    <w:rsid w:val="581666E6"/>
    <w:rsid w:val="581C48F6"/>
    <w:rsid w:val="583825B2"/>
    <w:rsid w:val="583C439E"/>
    <w:rsid w:val="584006DB"/>
    <w:rsid w:val="584414A5"/>
    <w:rsid w:val="584C035A"/>
    <w:rsid w:val="5862192B"/>
    <w:rsid w:val="58872800"/>
    <w:rsid w:val="588D5A69"/>
    <w:rsid w:val="589005C8"/>
    <w:rsid w:val="58997BFB"/>
    <w:rsid w:val="589B2D6B"/>
    <w:rsid w:val="58A957AC"/>
    <w:rsid w:val="58B079CA"/>
    <w:rsid w:val="58C3061C"/>
    <w:rsid w:val="58C44394"/>
    <w:rsid w:val="58CE2AC0"/>
    <w:rsid w:val="58DA3BB7"/>
    <w:rsid w:val="58ED658F"/>
    <w:rsid w:val="58F45391"/>
    <w:rsid w:val="58F702C5"/>
    <w:rsid w:val="59101387"/>
    <w:rsid w:val="591744C4"/>
    <w:rsid w:val="592654A5"/>
    <w:rsid w:val="59301A4B"/>
    <w:rsid w:val="594F4FD1"/>
    <w:rsid w:val="59527BF2"/>
    <w:rsid w:val="596154A1"/>
    <w:rsid w:val="59710078"/>
    <w:rsid w:val="59BD4780"/>
    <w:rsid w:val="59C044E7"/>
    <w:rsid w:val="59C503C4"/>
    <w:rsid w:val="59C6120F"/>
    <w:rsid w:val="59C664A1"/>
    <w:rsid w:val="59CA313A"/>
    <w:rsid w:val="59D95C1D"/>
    <w:rsid w:val="59E940B2"/>
    <w:rsid w:val="59EC772F"/>
    <w:rsid w:val="59F12F67"/>
    <w:rsid w:val="5A097F8F"/>
    <w:rsid w:val="5A196400"/>
    <w:rsid w:val="5A204FE9"/>
    <w:rsid w:val="5A33532D"/>
    <w:rsid w:val="5A380B4C"/>
    <w:rsid w:val="5A405C9C"/>
    <w:rsid w:val="5A582FE6"/>
    <w:rsid w:val="5A6732FD"/>
    <w:rsid w:val="5A6C3B7B"/>
    <w:rsid w:val="5A752DA8"/>
    <w:rsid w:val="5A783688"/>
    <w:rsid w:val="5A810627"/>
    <w:rsid w:val="5A812D5D"/>
    <w:rsid w:val="5A867B53"/>
    <w:rsid w:val="5A8E2EAB"/>
    <w:rsid w:val="5A9009D2"/>
    <w:rsid w:val="5A90372F"/>
    <w:rsid w:val="5A9658BC"/>
    <w:rsid w:val="5A9B1124"/>
    <w:rsid w:val="5AA4622B"/>
    <w:rsid w:val="5AB04891"/>
    <w:rsid w:val="5ABA77FD"/>
    <w:rsid w:val="5ABE24D8"/>
    <w:rsid w:val="5AD703AE"/>
    <w:rsid w:val="5AE617D2"/>
    <w:rsid w:val="5AFF16B3"/>
    <w:rsid w:val="5B0373F5"/>
    <w:rsid w:val="5B044F1C"/>
    <w:rsid w:val="5B296DA0"/>
    <w:rsid w:val="5B47212F"/>
    <w:rsid w:val="5B4A6146"/>
    <w:rsid w:val="5B6836FC"/>
    <w:rsid w:val="5B721E85"/>
    <w:rsid w:val="5B7E4CCE"/>
    <w:rsid w:val="5B8502F4"/>
    <w:rsid w:val="5B8A3673"/>
    <w:rsid w:val="5B8F6EDB"/>
    <w:rsid w:val="5B910ABF"/>
    <w:rsid w:val="5BAA47CD"/>
    <w:rsid w:val="5BAC183B"/>
    <w:rsid w:val="5BB27DF8"/>
    <w:rsid w:val="5BB57FC4"/>
    <w:rsid w:val="5BB75BFE"/>
    <w:rsid w:val="5BB84455"/>
    <w:rsid w:val="5BBB482B"/>
    <w:rsid w:val="5BCC5A39"/>
    <w:rsid w:val="5BCC6458"/>
    <w:rsid w:val="5BFF6504"/>
    <w:rsid w:val="5C2A6C04"/>
    <w:rsid w:val="5C2F5FC8"/>
    <w:rsid w:val="5C393460"/>
    <w:rsid w:val="5C4A4BB0"/>
    <w:rsid w:val="5C62639E"/>
    <w:rsid w:val="5C8005D2"/>
    <w:rsid w:val="5C82434A"/>
    <w:rsid w:val="5C8442C7"/>
    <w:rsid w:val="5C846314"/>
    <w:rsid w:val="5CA42512"/>
    <w:rsid w:val="5CA44A95"/>
    <w:rsid w:val="5CA47D08"/>
    <w:rsid w:val="5CA93FCD"/>
    <w:rsid w:val="5CB36FBC"/>
    <w:rsid w:val="5CBD1826"/>
    <w:rsid w:val="5CC26E3C"/>
    <w:rsid w:val="5CC41B60"/>
    <w:rsid w:val="5CD768AD"/>
    <w:rsid w:val="5CD90184"/>
    <w:rsid w:val="5CFF3BED"/>
    <w:rsid w:val="5D054089"/>
    <w:rsid w:val="5D287FDD"/>
    <w:rsid w:val="5D4810F0"/>
    <w:rsid w:val="5D4D587D"/>
    <w:rsid w:val="5D577585"/>
    <w:rsid w:val="5D666411"/>
    <w:rsid w:val="5D6E48CE"/>
    <w:rsid w:val="5D6F2B20"/>
    <w:rsid w:val="5D814602"/>
    <w:rsid w:val="5D880229"/>
    <w:rsid w:val="5D8A6FA8"/>
    <w:rsid w:val="5D9B1B67"/>
    <w:rsid w:val="5DA872AE"/>
    <w:rsid w:val="5DC34C1A"/>
    <w:rsid w:val="5DDA18A1"/>
    <w:rsid w:val="5DDB53CC"/>
    <w:rsid w:val="5DE14DFC"/>
    <w:rsid w:val="5DF96FAE"/>
    <w:rsid w:val="5DFE5A93"/>
    <w:rsid w:val="5E0771FD"/>
    <w:rsid w:val="5E0E133F"/>
    <w:rsid w:val="5E281D50"/>
    <w:rsid w:val="5E2E359A"/>
    <w:rsid w:val="5E323B4E"/>
    <w:rsid w:val="5E337FF2"/>
    <w:rsid w:val="5E3653EC"/>
    <w:rsid w:val="5E421FE3"/>
    <w:rsid w:val="5E4B55AD"/>
    <w:rsid w:val="5E5B4E53"/>
    <w:rsid w:val="5E602469"/>
    <w:rsid w:val="5E6463FD"/>
    <w:rsid w:val="5E6C7060"/>
    <w:rsid w:val="5E7B3747"/>
    <w:rsid w:val="5E7B5C20"/>
    <w:rsid w:val="5EB17168"/>
    <w:rsid w:val="5EB822A5"/>
    <w:rsid w:val="5EBA5279"/>
    <w:rsid w:val="5EBB3B43"/>
    <w:rsid w:val="5ED370DF"/>
    <w:rsid w:val="5EE756F5"/>
    <w:rsid w:val="5EF23378"/>
    <w:rsid w:val="5EF95416"/>
    <w:rsid w:val="5EFD3A3C"/>
    <w:rsid w:val="5F1119B5"/>
    <w:rsid w:val="5F1F40D2"/>
    <w:rsid w:val="5F2636B2"/>
    <w:rsid w:val="5F36413D"/>
    <w:rsid w:val="5F3833E6"/>
    <w:rsid w:val="5F4D50E3"/>
    <w:rsid w:val="5F5C5326"/>
    <w:rsid w:val="5F5F4E16"/>
    <w:rsid w:val="5F64242D"/>
    <w:rsid w:val="5F657235"/>
    <w:rsid w:val="5F720D2C"/>
    <w:rsid w:val="5F795ED8"/>
    <w:rsid w:val="5F93061C"/>
    <w:rsid w:val="5F9F08CE"/>
    <w:rsid w:val="5FBC4017"/>
    <w:rsid w:val="5FBC7B73"/>
    <w:rsid w:val="5FC13B8C"/>
    <w:rsid w:val="5FC30F01"/>
    <w:rsid w:val="5FCB425A"/>
    <w:rsid w:val="5FDD0BB0"/>
    <w:rsid w:val="5FE315A4"/>
    <w:rsid w:val="5FFA069B"/>
    <w:rsid w:val="60022D1E"/>
    <w:rsid w:val="60064A3D"/>
    <w:rsid w:val="600B6708"/>
    <w:rsid w:val="600F05EB"/>
    <w:rsid w:val="6013172F"/>
    <w:rsid w:val="60180F9F"/>
    <w:rsid w:val="601C4AB5"/>
    <w:rsid w:val="60275934"/>
    <w:rsid w:val="603A511A"/>
    <w:rsid w:val="60567FC7"/>
    <w:rsid w:val="606454DE"/>
    <w:rsid w:val="6085265B"/>
    <w:rsid w:val="60A24FBB"/>
    <w:rsid w:val="60A30D33"/>
    <w:rsid w:val="60AA4B50"/>
    <w:rsid w:val="60B31304"/>
    <w:rsid w:val="60E540CC"/>
    <w:rsid w:val="60E90E3C"/>
    <w:rsid w:val="60F11A9E"/>
    <w:rsid w:val="60F8551C"/>
    <w:rsid w:val="60FD48E7"/>
    <w:rsid w:val="61011BF6"/>
    <w:rsid w:val="612105D5"/>
    <w:rsid w:val="612400C6"/>
    <w:rsid w:val="6142385D"/>
    <w:rsid w:val="616E1341"/>
    <w:rsid w:val="61776447"/>
    <w:rsid w:val="617D4D07"/>
    <w:rsid w:val="61923281"/>
    <w:rsid w:val="61953267"/>
    <w:rsid w:val="619E1C26"/>
    <w:rsid w:val="61AC3836"/>
    <w:rsid w:val="61B447A9"/>
    <w:rsid w:val="61D05B58"/>
    <w:rsid w:val="61D554F1"/>
    <w:rsid w:val="61EE47DE"/>
    <w:rsid w:val="620F12EB"/>
    <w:rsid w:val="621041A6"/>
    <w:rsid w:val="622A5268"/>
    <w:rsid w:val="624125B1"/>
    <w:rsid w:val="62420210"/>
    <w:rsid w:val="6247406C"/>
    <w:rsid w:val="624D0F56"/>
    <w:rsid w:val="624D2DED"/>
    <w:rsid w:val="62580A03"/>
    <w:rsid w:val="62691AE8"/>
    <w:rsid w:val="627961EF"/>
    <w:rsid w:val="62816E52"/>
    <w:rsid w:val="629E7A04"/>
    <w:rsid w:val="62A3326C"/>
    <w:rsid w:val="62A3501A"/>
    <w:rsid w:val="62B965EC"/>
    <w:rsid w:val="62BB05B6"/>
    <w:rsid w:val="62C21944"/>
    <w:rsid w:val="62D76F73"/>
    <w:rsid w:val="62DD6A50"/>
    <w:rsid w:val="62E0626E"/>
    <w:rsid w:val="62E23D94"/>
    <w:rsid w:val="62E358B2"/>
    <w:rsid w:val="62E96ED1"/>
    <w:rsid w:val="62FD0BCE"/>
    <w:rsid w:val="63047A6A"/>
    <w:rsid w:val="630E6937"/>
    <w:rsid w:val="631228C2"/>
    <w:rsid w:val="63147CC6"/>
    <w:rsid w:val="63260639"/>
    <w:rsid w:val="63275C4B"/>
    <w:rsid w:val="63383B32"/>
    <w:rsid w:val="63497970"/>
    <w:rsid w:val="6366754E"/>
    <w:rsid w:val="63696264"/>
    <w:rsid w:val="636D5D54"/>
    <w:rsid w:val="637277A1"/>
    <w:rsid w:val="637E512E"/>
    <w:rsid w:val="63950E07"/>
    <w:rsid w:val="63D27965"/>
    <w:rsid w:val="63D86F45"/>
    <w:rsid w:val="63DE27AE"/>
    <w:rsid w:val="63F26259"/>
    <w:rsid w:val="63F83144"/>
    <w:rsid w:val="64030EC3"/>
    <w:rsid w:val="64186691"/>
    <w:rsid w:val="641F4B74"/>
    <w:rsid w:val="64416899"/>
    <w:rsid w:val="645627B5"/>
    <w:rsid w:val="64591E34"/>
    <w:rsid w:val="646933E6"/>
    <w:rsid w:val="646A5F37"/>
    <w:rsid w:val="647318A6"/>
    <w:rsid w:val="647829EF"/>
    <w:rsid w:val="64803865"/>
    <w:rsid w:val="64A70DF2"/>
    <w:rsid w:val="64AA6B34"/>
    <w:rsid w:val="64AF414A"/>
    <w:rsid w:val="64B928D3"/>
    <w:rsid w:val="64D8544F"/>
    <w:rsid w:val="64DD4813"/>
    <w:rsid w:val="64E9765C"/>
    <w:rsid w:val="64F60A97"/>
    <w:rsid w:val="64F66F11"/>
    <w:rsid w:val="64F96F29"/>
    <w:rsid w:val="64FB2656"/>
    <w:rsid w:val="65045E61"/>
    <w:rsid w:val="650C1BCA"/>
    <w:rsid w:val="650D68F5"/>
    <w:rsid w:val="651B17E0"/>
    <w:rsid w:val="651E6BDA"/>
    <w:rsid w:val="652F0DE7"/>
    <w:rsid w:val="65346DA8"/>
    <w:rsid w:val="65420B1A"/>
    <w:rsid w:val="6545457D"/>
    <w:rsid w:val="654F3237"/>
    <w:rsid w:val="655F355B"/>
    <w:rsid w:val="65620F4A"/>
    <w:rsid w:val="65646CE3"/>
    <w:rsid w:val="65735178"/>
    <w:rsid w:val="659B2A56"/>
    <w:rsid w:val="65A11CE5"/>
    <w:rsid w:val="65A747C3"/>
    <w:rsid w:val="65AE14B7"/>
    <w:rsid w:val="65C07C91"/>
    <w:rsid w:val="65C15EE3"/>
    <w:rsid w:val="65DC2D1D"/>
    <w:rsid w:val="65E0657C"/>
    <w:rsid w:val="65E63B9C"/>
    <w:rsid w:val="65E77E19"/>
    <w:rsid w:val="65F23E27"/>
    <w:rsid w:val="65F55B8D"/>
    <w:rsid w:val="660778C4"/>
    <w:rsid w:val="660B7786"/>
    <w:rsid w:val="662A244F"/>
    <w:rsid w:val="662B7800"/>
    <w:rsid w:val="66343768"/>
    <w:rsid w:val="6639016F"/>
    <w:rsid w:val="664D7777"/>
    <w:rsid w:val="665054B9"/>
    <w:rsid w:val="66807FCF"/>
    <w:rsid w:val="668C4743"/>
    <w:rsid w:val="66911D59"/>
    <w:rsid w:val="669A0F6F"/>
    <w:rsid w:val="66A17AC3"/>
    <w:rsid w:val="66B51D9D"/>
    <w:rsid w:val="66BE68C6"/>
    <w:rsid w:val="66C67529"/>
    <w:rsid w:val="66D15EF7"/>
    <w:rsid w:val="66D460EA"/>
    <w:rsid w:val="66DB4D83"/>
    <w:rsid w:val="66FA39C9"/>
    <w:rsid w:val="66FE3167"/>
    <w:rsid w:val="6716225F"/>
    <w:rsid w:val="67226E55"/>
    <w:rsid w:val="67331BC7"/>
    <w:rsid w:val="67397CFB"/>
    <w:rsid w:val="673B2277"/>
    <w:rsid w:val="67475AAF"/>
    <w:rsid w:val="675D553E"/>
    <w:rsid w:val="678C42CF"/>
    <w:rsid w:val="678E0047"/>
    <w:rsid w:val="6794010C"/>
    <w:rsid w:val="679D472E"/>
    <w:rsid w:val="679F04A6"/>
    <w:rsid w:val="67A45ABC"/>
    <w:rsid w:val="67AB6E4B"/>
    <w:rsid w:val="67C717AB"/>
    <w:rsid w:val="67D42199"/>
    <w:rsid w:val="67D839B8"/>
    <w:rsid w:val="67DA328C"/>
    <w:rsid w:val="67FC76A6"/>
    <w:rsid w:val="67FF778B"/>
    <w:rsid w:val="68040309"/>
    <w:rsid w:val="68046843"/>
    <w:rsid w:val="68083B62"/>
    <w:rsid w:val="68182006"/>
    <w:rsid w:val="68214259"/>
    <w:rsid w:val="6836269B"/>
    <w:rsid w:val="6850354E"/>
    <w:rsid w:val="68582403"/>
    <w:rsid w:val="688F051A"/>
    <w:rsid w:val="6897117D"/>
    <w:rsid w:val="689855D4"/>
    <w:rsid w:val="68B06327"/>
    <w:rsid w:val="68C006D4"/>
    <w:rsid w:val="68C31F72"/>
    <w:rsid w:val="68D33D84"/>
    <w:rsid w:val="68E03490"/>
    <w:rsid w:val="68E77D01"/>
    <w:rsid w:val="68EC771B"/>
    <w:rsid w:val="690A194F"/>
    <w:rsid w:val="69232A11"/>
    <w:rsid w:val="692A0243"/>
    <w:rsid w:val="69326188"/>
    <w:rsid w:val="695F79AB"/>
    <w:rsid w:val="69793683"/>
    <w:rsid w:val="697D65C5"/>
    <w:rsid w:val="69823BDB"/>
    <w:rsid w:val="698A26A7"/>
    <w:rsid w:val="698C2CAC"/>
    <w:rsid w:val="698E1E10"/>
    <w:rsid w:val="69AC6EAA"/>
    <w:rsid w:val="69AD5866"/>
    <w:rsid w:val="69AE677E"/>
    <w:rsid w:val="69B310D4"/>
    <w:rsid w:val="69B875FD"/>
    <w:rsid w:val="69BA2C84"/>
    <w:rsid w:val="69BA2FC3"/>
    <w:rsid w:val="69D77F92"/>
    <w:rsid w:val="69DA7573"/>
    <w:rsid w:val="69E14DA6"/>
    <w:rsid w:val="69E228CC"/>
    <w:rsid w:val="69E26C26"/>
    <w:rsid w:val="69E953CD"/>
    <w:rsid w:val="69FA7C16"/>
    <w:rsid w:val="69FB7CD5"/>
    <w:rsid w:val="69FF6FDA"/>
    <w:rsid w:val="6A227B9B"/>
    <w:rsid w:val="6A257F8C"/>
    <w:rsid w:val="6A303346"/>
    <w:rsid w:val="6A325601"/>
    <w:rsid w:val="6A350C4E"/>
    <w:rsid w:val="6A3A6264"/>
    <w:rsid w:val="6A4B0471"/>
    <w:rsid w:val="6A4C625D"/>
    <w:rsid w:val="6A5476EB"/>
    <w:rsid w:val="6A6032F2"/>
    <w:rsid w:val="6A824910"/>
    <w:rsid w:val="6A845731"/>
    <w:rsid w:val="6A8B4D12"/>
    <w:rsid w:val="6ACD0E86"/>
    <w:rsid w:val="6AD20B92"/>
    <w:rsid w:val="6B016D82"/>
    <w:rsid w:val="6B1465A8"/>
    <w:rsid w:val="6B1D005F"/>
    <w:rsid w:val="6B223B33"/>
    <w:rsid w:val="6B3E7FD6"/>
    <w:rsid w:val="6B437AD4"/>
    <w:rsid w:val="6B466EA6"/>
    <w:rsid w:val="6B4F1E78"/>
    <w:rsid w:val="6B5C03C1"/>
    <w:rsid w:val="6BAA40D8"/>
    <w:rsid w:val="6BD12BF8"/>
    <w:rsid w:val="6BD31CB4"/>
    <w:rsid w:val="6BD9385B"/>
    <w:rsid w:val="6BF12217"/>
    <w:rsid w:val="6C150D37"/>
    <w:rsid w:val="6C39161F"/>
    <w:rsid w:val="6C391AB7"/>
    <w:rsid w:val="6C4A0AA8"/>
    <w:rsid w:val="6C4B2055"/>
    <w:rsid w:val="6C506213"/>
    <w:rsid w:val="6C6B0957"/>
    <w:rsid w:val="6C757A27"/>
    <w:rsid w:val="6C783074"/>
    <w:rsid w:val="6C840E99"/>
    <w:rsid w:val="6C983716"/>
    <w:rsid w:val="6C9B7BBF"/>
    <w:rsid w:val="6CA846BA"/>
    <w:rsid w:val="6CB70040"/>
    <w:rsid w:val="6CB93DB8"/>
    <w:rsid w:val="6CC14A1B"/>
    <w:rsid w:val="6CF06A88"/>
    <w:rsid w:val="6CF941B4"/>
    <w:rsid w:val="6D013069"/>
    <w:rsid w:val="6D1E00BF"/>
    <w:rsid w:val="6D394EF9"/>
    <w:rsid w:val="6D3C0545"/>
    <w:rsid w:val="6D433682"/>
    <w:rsid w:val="6D4A5BC3"/>
    <w:rsid w:val="6D4B2536"/>
    <w:rsid w:val="6D4C2D82"/>
    <w:rsid w:val="6D4F64CA"/>
    <w:rsid w:val="6D5C2995"/>
    <w:rsid w:val="6D7E290C"/>
    <w:rsid w:val="6D8A7502"/>
    <w:rsid w:val="6D8F2D6B"/>
    <w:rsid w:val="6DA34120"/>
    <w:rsid w:val="6DAD4F9F"/>
    <w:rsid w:val="6DB21597"/>
    <w:rsid w:val="6DB30807"/>
    <w:rsid w:val="6DB40CD1"/>
    <w:rsid w:val="6DC20A4A"/>
    <w:rsid w:val="6DD358C1"/>
    <w:rsid w:val="6DEC3D19"/>
    <w:rsid w:val="6DEE7A91"/>
    <w:rsid w:val="6DF332FA"/>
    <w:rsid w:val="6E001573"/>
    <w:rsid w:val="6E017446"/>
    <w:rsid w:val="6E030604"/>
    <w:rsid w:val="6E1868BC"/>
    <w:rsid w:val="6E2302F3"/>
    <w:rsid w:val="6E2C05BA"/>
    <w:rsid w:val="6E341BAB"/>
    <w:rsid w:val="6E4A0D8F"/>
    <w:rsid w:val="6E5E705D"/>
    <w:rsid w:val="6E65356B"/>
    <w:rsid w:val="6E671E2C"/>
    <w:rsid w:val="6E6B2E90"/>
    <w:rsid w:val="6E6D5094"/>
    <w:rsid w:val="6E6F1ECD"/>
    <w:rsid w:val="6EAC1232"/>
    <w:rsid w:val="6EB32A89"/>
    <w:rsid w:val="6EC6456A"/>
    <w:rsid w:val="6ED62223"/>
    <w:rsid w:val="6EDF5CA1"/>
    <w:rsid w:val="6EE079F1"/>
    <w:rsid w:val="6EF03395"/>
    <w:rsid w:val="6EF4063F"/>
    <w:rsid w:val="6EFC1D3A"/>
    <w:rsid w:val="6F0C3D1C"/>
    <w:rsid w:val="6F2637B4"/>
    <w:rsid w:val="6F2F01EF"/>
    <w:rsid w:val="6F4A519B"/>
    <w:rsid w:val="6F5558EE"/>
    <w:rsid w:val="6F5F02D2"/>
    <w:rsid w:val="6F602316"/>
    <w:rsid w:val="6F61032D"/>
    <w:rsid w:val="6F893129"/>
    <w:rsid w:val="6F8A5598"/>
    <w:rsid w:val="6F9C5A16"/>
    <w:rsid w:val="6FDC1B6B"/>
    <w:rsid w:val="6FE729EA"/>
    <w:rsid w:val="70052E70"/>
    <w:rsid w:val="701C2A47"/>
    <w:rsid w:val="70330313"/>
    <w:rsid w:val="70343031"/>
    <w:rsid w:val="70384FF4"/>
    <w:rsid w:val="705C767E"/>
    <w:rsid w:val="706202C3"/>
    <w:rsid w:val="70627164"/>
    <w:rsid w:val="7075449A"/>
    <w:rsid w:val="70980188"/>
    <w:rsid w:val="70A00DEB"/>
    <w:rsid w:val="70A408DB"/>
    <w:rsid w:val="70AA03A1"/>
    <w:rsid w:val="70C8281B"/>
    <w:rsid w:val="70D311C0"/>
    <w:rsid w:val="70D72A5F"/>
    <w:rsid w:val="70EE0109"/>
    <w:rsid w:val="70FC0717"/>
    <w:rsid w:val="710D6480"/>
    <w:rsid w:val="71121CE9"/>
    <w:rsid w:val="711315BD"/>
    <w:rsid w:val="711A0B9D"/>
    <w:rsid w:val="71262927"/>
    <w:rsid w:val="71290DE0"/>
    <w:rsid w:val="713B3971"/>
    <w:rsid w:val="713E2ADE"/>
    <w:rsid w:val="71505C69"/>
    <w:rsid w:val="71566079"/>
    <w:rsid w:val="71704C61"/>
    <w:rsid w:val="71762627"/>
    <w:rsid w:val="717F6C52"/>
    <w:rsid w:val="718801FD"/>
    <w:rsid w:val="719C2F48"/>
    <w:rsid w:val="71A768D5"/>
    <w:rsid w:val="71B44B4E"/>
    <w:rsid w:val="71D13952"/>
    <w:rsid w:val="71D15700"/>
    <w:rsid w:val="71DA48C5"/>
    <w:rsid w:val="71DB4FD9"/>
    <w:rsid w:val="71DC2049"/>
    <w:rsid w:val="71EF57F5"/>
    <w:rsid w:val="71F02786"/>
    <w:rsid w:val="720553A9"/>
    <w:rsid w:val="72133F6A"/>
    <w:rsid w:val="7238752D"/>
    <w:rsid w:val="723F6B0D"/>
    <w:rsid w:val="72671BC0"/>
    <w:rsid w:val="72765DE3"/>
    <w:rsid w:val="727662A7"/>
    <w:rsid w:val="72802C82"/>
    <w:rsid w:val="728C5ACB"/>
    <w:rsid w:val="729329B5"/>
    <w:rsid w:val="72AF5315"/>
    <w:rsid w:val="72BA1E3C"/>
    <w:rsid w:val="72BA3449"/>
    <w:rsid w:val="72CB03A1"/>
    <w:rsid w:val="72CC10C0"/>
    <w:rsid w:val="72E40921"/>
    <w:rsid w:val="731735E6"/>
    <w:rsid w:val="733D7BA8"/>
    <w:rsid w:val="73464466"/>
    <w:rsid w:val="734D7008"/>
    <w:rsid w:val="735E2505"/>
    <w:rsid w:val="736304E5"/>
    <w:rsid w:val="736E51D0"/>
    <w:rsid w:val="736F5B92"/>
    <w:rsid w:val="73760242"/>
    <w:rsid w:val="737C0BB3"/>
    <w:rsid w:val="738B3CFA"/>
    <w:rsid w:val="73AD3F4B"/>
    <w:rsid w:val="73B40E35"/>
    <w:rsid w:val="73BB0416"/>
    <w:rsid w:val="73BE7090"/>
    <w:rsid w:val="73C80D84"/>
    <w:rsid w:val="73D17C39"/>
    <w:rsid w:val="73D70FC8"/>
    <w:rsid w:val="740D2C3B"/>
    <w:rsid w:val="741E5EB2"/>
    <w:rsid w:val="74324450"/>
    <w:rsid w:val="74454D65"/>
    <w:rsid w:val="744A1799"/>
    <w:rsid w:val="744A5382"/>
    <w:rsid w:val="74583AEE"/>
    <w:rsid w:val="74626AE3"/>
    <w:rsid w:val="7463285B"/>
    <w:rsid w:val="7467234B"/>
    <w:rsid w:val="74681C20"/>
    <w:rsid w:val="746C1710"/>
    <w:rsid w:val="746F537C"/>
    <w:rsid w:val="747131CA"/>
    <w:rsid w:val="74732A9E"/>
    <w:rsid w:val="747607E0"/>
    <w:rsid w:val="74A215D5"/>
    <w:rsid w:val="74A739EE"/>
    <w:rsid w:val="74AC72EF"/>
    <w:rsid w:val="74B17509"/>
    <w:rsid w:val="74B35591"/>
    <w:rsid w:val="74C96B62"/>
    <w:rsid w:val="74E219D2"/>
    <w:rsid w:val="74E42783"/>
    <w:rsid w:val="750840CC"/>
    <w:rsid w:val="750C4CA1"/>
    <w:rsid w:val="75104791"/>
    <w:rsid w:val="751A73BE"/>
    <w:rsid w:val="751F6782"/>
    <w:rsid w:val="75297601"/>
    <w:rsid w:val="752B1E77"/>
    <w:rsid w:val="7538447B"/>
    <w:rsid w:val="753C37D8"/>
    <w:rsid w:val="75412B9C"/>
    <w:rsid w:val="75422471"/>
    <w:rsid w:val="754348DA"/>
    <w:rsid w:val="7561323F"/>
    <w:rsid w:val="75720FA8"/>
    <w:rsid w:val="75812F99"/>
    <w:rsid w:val="75952EE8"/>
    <w:rsid w:val="75986535"/>
    <w:rsid w:val="75AC7D65"/>
    <w:rsid w:val="75BE3196"/>
    <w:rsid w:val="75C15254"/>
    <w:rsid w:val="75D03F20"/>
    <w:rsid w:val="75FE6CDF"/>
    <w:rsid w:val="760A11E0"/>
    <w:rsid w:val="760D6F22"/>
    <w:rsid w:val="761E6A3A"/>
    <w:rsid w:val="762A1882"/>
    <w:rsid w:val="763C5112"/>
    <w:rsid w:val="76530DD9"/>
    <w:rsid w:val="766316F6"/>
    <w:rsid w:val="7686733D"/>
    <w:rsid w:val="768B563C"/>
    <w:rsid w:val="76976346"/>
    <w:rsid w:val="769B008A"/>
    <w:rsid w:val="769D3E02"/>
    <w:rsid w:val="76A258BD"/>
    <w:rsid w:val="76A74D49"/>
    <w:rsid w:val="76CD6238"/>
    <w:rsid w:val="76D10ADE"/>
    <w:rsid w:val="76D33CC8"/>
    <w:rsid w:val="76D417EE"/>
    <w:rsid w:val="76D67314"/>
    <w:rsid w:val="76EB0DD5"/>
    <w:rsid w:val="7702635B"/>
    <w:rsid w:val="771D0AD3"/>
    <w:rsid w:val="7726029C"/>
    <w:rsid w:val="77304C77"/>
    <w:rsid w:val="77493F8A"/>
    <w:rsid w:val="776112D4"/>
    <w:rsid w:val="779717BC"/>
    <w:rsid w:val="779D6084"/>
    <w:rsid w:val="779F0C16"/>
    <w:rsid w:val="77A80CB1"/>
    <w:rsid w:val="77B84BFB"/>
    <w:rsid w:val="77C35B08"/>
    <w:rsid w:val="77CA26FC"/>
    <w:rsid w:val="77ED0DBA"/>
    <w:rsid w:val="77F51A1C"/>
    <w:rsid w:val="77FC124B"/>
    <w:rsid w:val="7803238B"/>
    <w:rsid w:val="781B6A26"/>
    <w:rsid w:val="781C344D"/>
    <w:rsid w:val="78340796"/>
    <w:rsid w:val="78393C06"/>
    <w:rsid w:val="78546447"/>
    <w:rsid w:val="78654728"/>
    <w:rsid w:val="787259C9"/>
    <w:rsid w:val="78880AE2"/>
    <w:rsid w:val="78A84CE1"/>
    <w:rsid w:val="78B44A40"/>
    <w:rsid w:val="78C87131"/>
    <w:rsid w:val="78CF04BF"/>
    <w:rsid w:val="78D83818"/>
    <w:rsid w:val="78D86FA4"/>
    <w:rsid w:val="78DA631E"/>
    <w:rsid w:val="78DE0702"/>
    <w:rsid w:val="78F16688"/>
    <w:rsid w:val="79006A68"/>
    <w:rsid w:val="790C34C1"/>
    <w:rsid w:val="791660EE"/>
    <w:rsid w:val="79211A2D"/>
    <w:rsid w:val="7940316B"/>
    <w:rsid w:val="79492020"/>
    <w:rsid w:val="795C11D1"/>
    <w:rsid w:val="79831A93"/>
    <w:rsid w:val="79890016"/>
    <w:rsid w:val="79950E1D"/>
    <w:rsid w:val="79A67472"/>
    <w:rsid w:val="79A74F98"/>
    <w:rsid w:val="79B002F1"/>
    <w:rsid w:val="79BE0C60"/>
    <w:rsid w:val="79C67B14"/>
    <w:rsid w:val="79D8414E"/>
    <w:rsid w:val="79F91C98"/>
    <w:rsid w:val="7A0643B5"/>
    <w:rsid w:val="7A081EDB"/>
    <w:rsid w:val="7A0B69A2"/>
    <w:rsid w:val="7A0D6076"/>
    <w:rsid w:val="7A173ECC"/>
    <w:rsid w:val="7A2860D9"/>
    <w:rsid w:val="7A293BFF"/>
    <w:rsid w:val="7A450F4C"/>
    <w:rsid w:val="7A862E00"/>
    <w:rsid w:val="7A884DCA"/>
    <w:rsid w:val="7A9A0D0A"/>
    <w:rsid w:val="7AA51F62"/>
    <w:rsid w:val="7AAC6D0A"/>
    <w:rsid w:val="7AAD2A82"/>
    <w:rsid w:val="7ACA7190"/>
    <w:rsid w:val="7ACF29F8"/>
    <w:rsid w:val="7ACF6A70"/>
    <w:rsid w:val="7AD1051F"/>
    <w:rsid w:val="7ADB314B"/>
    <w:rsid w:val="7AE87A11"/>
    <w:rsid w:val="7AEE5EEF"/>
    <w:rsid w:val="7AEF309B"/>
    <w:rsid w:val="7AF56E0E"/>
    <w:rsid w:val="7B007056"/>
    <w:rsid w:val="7B02472F"/>
    <w:rsid w:val="7B0A1C83"/>
    <w:rsid w:val="7B0C77A9"/>
    <w:rsid w:val="7B193C74"/>
    <w:rsid w:val="7B2965AD"/>
    <w:rsid w:val="7B3B1E3C"/>
    <w:rsid w:val="7B4A02D1"/>
    <w:rsid w:val="7B670E83"/>
    <w:rsid w:val="7B694BFB"/>
    <w:rsid w:val="7B852B86"/>
    <w:rsid w:val="7B8D1846"/>
    <w:rsid w:val="7B973A2E"/>
    <w:rsid w:val="7BA7127F"/>
    <w:rsid w:val="7BAB0D70"/>
    <w:rsid w:val="7BB0591F"/>
    <w:rsid w:val="7BB120C7"/>
    <w:rsid w:val="7BD41564"/>
    <w:rsid w:val="7BD66930"/>
    <w:rsid w:val="7BD81D81"/>
    <w:rsid w:val="7C02295A"/>
    <w:rsid w:val="7C0A6496"/>
    <w:rsid w:val="7C0D37D8"/>
    <w:rsid w:val="7C130885"/>
    <w:rsid w:val="7C18217D"/>
    <w:rsid w:val="7C2823C0"/>
    <w:rsid w:val="7C2D3E7B"/>
    <w:rsid w:val="7C3B7D31"/>
    <w:rsid w:val="7C596A1E"/>
    <w:rsid w:val="7C6B04FF"/>
    <w:rsid w:val="7C743857"/>
    <w:rsid w:val="7CA37C99"/>
    <w:rsid w:val="7CA865BF"/>
    <w:rsid w:val="7CAD41E9"/>
    <w:rsid w:val="7CD9190C"/>
    <w:rsid w:val="7CE107C1"/>
    <w:rsid w:val="7CED65EA"/>
    <w:rsid w:val="7CF44998"/>
    <w:rsid w:val="7D095F38"/>
    <w:rsid w:val="7D133070"/>
    <w:rsid w:val="7D1E2880"/>
    <w:rsid w:val="7D2749BA"/>
    <w:rsid w:val="7D3802B5"/>
    <w:rsid w:val="7D88445B"/>
    <w:rsid w:val="7D8C4BD1"/>
    <w:rsid w:val="7D8F0614"/>
    <w:rsid w:val="7DA06B23"/>
    <w:rsid w:val="7DA55C93"/>
    <w:rsid w:val="7DA56559"/>
    <w:rsid w:val="7DEA19F0"/>
    <w:rsid w:val="7DF12740"/>
    <w:rsid w:val="7E077E4A"/>
    <w:rsid w:val="7E2272E3"/>
    <w:rsid w:val="7E235535"/>
    <w:rsid w:val="7E290672"/>
    <w:rsid w:val="7E2D63B4"/>
    <w:rsid w:val="7E342E0F"/>
    <w:rsid w:val="7E413C0D"/>
    <w:rsid w:val="7E417769"/>
    <w:rsid w:val="7E492AC2"/>
    <w:rsid w:val="7E551406"/>
    <w:rsid w:val="7E5A4CCF"/>
    <w:rsid w:val="7E5C63E7"/>
    <w:rsid w:val="7E792DBB"/>
    <w:rsid w:val="7E7A0ECD"/>
    <w:rsid w:val="7E7E6C0F"/>
    <w:rsid w:val="7E81400A"/>
    <w:rsid w:val="7E8C4E86"/>
    <w:rsid w:val="7E9F1CCF"/>
    <w:rsid w:val="7ECA3C03"/>
    <w:rsid w:val="7ED76320"/>
    <w:rsid w:val="7EDA3881"/>
    <w:rsid w:val="7EDE5655"/>
    <w:rsid w:val="7EE02EFA"/>
    <w:rsid w:val="7EE54599"/>
    <w:rsid w:val="7EEF71C5"/>
    <w:rsid w:val="7EF40C80"/>
    <w:rsid w:val="7F05444E"/>
    <w:rsid w:val="7F0C3B4B"/>
    <w:rsid w:val="7F10538E"/>
    <w:rsid w:val="7F1F77DC"/>
    <w:rsid w:val="7F222255"/>
    <w:rsid w:val="7F29172D"/>
    <w:rsid w:val="7F291C13"/>
    <w:rsid w:val="7F2B72E2"/>
    <w:rsid w:val="7F315A30"/>
    <w:rsid w:val="7F361298"/>
    <w:rsid w:val="7F3B68AE"/>
    <w:rsid w:val="7F3E639F"/>
    <w:rsid w:val="7F511C2E"/>
    <w:rsid w:val="7F594F87"/>
    <w:rsid w:val="7F716C54"/>
    <w:rsid w:val="7F7D0C75"/>
    <w:rsid w:val="7F842003"/>
    <w:rsid w:val="7F8E4A19"/>
    <w:rsid w:val="7F9C40BD"/>
    <w:rsid w:val="7F9E4C8A"/>
    <w:rsid w:val="7FA06711"/>
    <w:rsid w:val="7FCF0A6D"/>
    <w:rsid w:val="7FDF548C"/>
    <w:rsid w:val="7FF865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semiHidden="0" w:name="Default Paragraph Font"/>
    <w:lsdException w:uiPriority="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uiPriority="0" w:name="Body Text First Indent" w:locked="1"/>
    <w:lsdException w:uiPriority="0" w:name="Body Text First Indent 2" w:locked="1"/>
    <w:lsdException w:uiPriority="0" w:name="Note Heading" w:locked="1"/>
    <w:lsdException w:qFormat="1" w:unhideWhenUsed="0" w:uiPriority="99" w:semiHidden="0" w:name="Body Text 2"/>
    <w:lsdException w:uiPriority="0" w:name="Body Text 3" w:locked="1"/>
    <w:lsdException w:qFormat="1" w:unhideWhenUsed="0" w:uiPriority="99" w:semiHidden="0" w:name="Body Text Indent 2"/>
    <w:lsdException w:qFormat="1" w:unhideWhenUsed="0" w:uiPriority="99" w:semiHidden="0" w:name="Body Text Indent 3"/>
    <w:lsdException w:uiPriority="0" w:name="Block Text" w:locked="1"/>
    <w:lsdException w:qFormat="1" w:unhideWhenUsed="0" w:uiPriority="99" w:semiHidden="0" w:name="Hyperlink"/>
    <w:lsdException w:uiPriority="0"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49"/>
    <w:qFormat/>
    <w:uiPriority w:val="99"/>
    <w:pPr>
      <w:keepNext/>
      <w:keepLines/>
      <w:spacing w:before="340" w:after="330" w:line="578" w:lineRule="auto"/>
      <w:jc w:val="center"/>
      <w:outlineLvl w:val="0"/>
    </w:pPr>
    <w:rPr>
      <w:rFonts w:eastAsia="宋体"/>
      <w:b/>
      <w:spacing w:val="40"/>
      <w:kern w:val="44"/>
      <w:sz w:val="44"/>
    </w:rPr>
  </w:style>
  <w:style w:type="paragraph" w:styleId="3">
    <w:name w:val="heading 2"/>
    <w:basedOn w:val="1"/>
    <w:next w:val="4"/>
    <w:link w:val="50"/>
    <w:qFormat/>
    <w:uiPriority w:val="99"/>
    <w:pPr>
      <w:keepNext/>
      <w:keepLines/>
      <w:spacing w:before="260" w:after="260" w:line="415" w:lineRule="auto"/>
      <w:jc w:val="center"/>
      <w:outlineLvl w:val="1"/>
    </w:pPr>
    <w:rPr>
      <w:rFonts w:ascii="Arial" w:hAnsi="Arial" w:eastAsia="宋体"/>
      <w:b/>
      <w:spacing w:val="20"/>
      <w:sz w:val="36"/>
    </w:rPr>
  </w:style>
  <w:style w:type="paragraph" w:styleId="5">
    <w:name w:val="heading 3"/>
    <w:basedOn w:val="1"/>
    <w:next w:val="4"/>
    <w:link w:val="51"/>
    <w:qFormat/>
    <w:uiPriority w:val="99"/>
    <w:pPr>
      <w:keepNext/>
      <w:keepLines/>
      <w:spacing w:before="260" w:after="260" w:line="415" w:lineRule="auto"/>
      <w:jc w:val="center"/>
      <w:outlineLvl w:val="2"/>
    </w:pPr>
    <w:rPr>
      <w:rFonts w:eastAsia="宋体"/>
      <w:b/>
      <w:spacing w:val="50"/>
      <w:sz w:val="32"/>
    </w:rPr>
  </w:style>
  <w:style w:type="character" w:default="1" w:styleId="31">
    <w:name w:val="Default Paragraph Font"/>
    <w:link w:val="32"/>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4">
    <w:name w:val="Normal Indent"/>
    <w:basedOn w:val="1"/>
    <w:link w:val="68"/>
    <w:qFormat/>
    <w:uiPriority w:val="99"/>
    <w:pPr>
      <w:snapToGrid w:val="0"/>
      <w:spacing w:line="360" w:lineRule="auto"/>
      <w:ind w:firstLine="567"/>
    </w:pPr>
    <w:rPr>
      <w:rFonts w:eastAsia="宋体"/>
      <w:kern w:val="0"/>
      <w:sz w:val="20"/>
    </w:rPr>
  </w:style>
  <w:style w:type="paragraph" w:styleId="6">
    <w:name w:val="toc 7"/>
    <w:basedOn w:val="1"/>
    <w:next w:val="1"/>
    <w:semiHidden/>
    <w:qFormat/>
    <w:uiPriority w:val="99"/>
    <w:pPr>
      <w:ind w:left="2520"/>
    </w:pPr>
  </w:style>
  <w:style w:type="paragraph" w:styleId="7">
    <w:name w:val="Document Map"/>
    <w:basedOn w:val="1"/>
    <w:link w:val="54"/>
    <w:semiHidden/>
    <w:qFormat/>
    <w:uiPriority w:val="99"/>
    <w:pPr>
      <w:shd w:val="clear" w:color="auto" w:fill="000080"/>
    </w:pPr>
  </w:style>
  <w:style w:type="paragraph" w:styleId="8">
    <w:name w:val="annotation text"/>
    <w:basedOn w:val="1"/>
    <w:link w:val="52"/>
    <w:semiHidden/>
    <w:qFormat/>
    <w:uiPriority w:val="99"/>
    <w:pPr>
      <w:jc w:val="left"/>
    </w:pPr>
  </w:style>
  <w:style w:type="paragraph" w:styleId="9">
    <w:name w:val="Salutation"/>
    <w:basedOn w:val="1"/>
    <w:next w:val="1"/>
    <w:link w:val="55"/>
    <w:qFormat/>
    <w:uiPriority w:val="99"/>
    <w:pPr>
      <w:widowControl/>
      <w:spacing w:line="240" w:lineRule="auto"/>
      <w:jc w:val="left"/>
    </w:pPr>
    <w:rPr>
      <w:rFonts w:eastAsia="宋体"/>
      <w:kern w:val="0"/>
      <w:sz w:val="28"/>
    </w:rPr>
  </w:style>
  <w:style w:type="paragraph" w:styleId="10">
    <w:name w:val="Body Text Indent"/>
    <w:basedOn w:val="1"/>
    <w:link w:val="56"/>
    <w:qFormat/>
    <w:uiPriority w:val="99"/>
    <w:pPr>
      <w:ind w:left="360" w:firstLine="540"/>
    </w:pPr>
    <w:rPr>
      <w:rFonts w:ascii="楷体_GB2312" w:eastAsia="楷体_GB2312"/>
      <w:sz w:val="44"/>
    </w:rPr>
  </w:style>
  <w:style w:type="paragraph" w:styleId="11">
    <w:name w:val="toc 5"/>
    <w:basedOn w:val="1"/>
    <w:next w:val="1"/>
    <w:semiHidden/>
    <w:qFormat/>
    <w:uiPriority w:val="99"/>
    <w:pPr>
      <w:ind w:left="1680"/>
    </w:pPr>
  </w:style>
  <w:style w:type="paragraph" w:styleId="12">
    <w:name w:val="toc 3"/>
    <w:basedOn w:val="1"/>
    <w:next w:val="1"/>
    <w:qFormat/>
    <w:uiPriority w:val="99"/>
    <w:pPr>
      <w:tabs>
        <w:tab w:val="right" w:leader="dot" w:pos="8303"/>
      </w:tabs>
      <w:ind w:left="480" w:leftChars="200"/>
    </w:pPr>
  </w:style>
  <w:style w:type="paragraph" w:styleId="13">
    <w:name w:val="Plain Text"/>
    <w:basedOn w:val="1"/>
    <w:link w:val="57"/>
    <w:qFormat/>
    <w:uiPriority w:val="99"/>
    <w:rPr>
      <w:rFonts w:ascii="宋体" w:hAnsi="Courier New"/>
    </w:rPr>
  </w:style>
  <w:style w:type="paragraph" w:styleId="14">
    <w:name w:val="toc 8"/>
    <w:basedOn w:val="1"/>
    <w:next w:val="1"/>
    <w:semiHidden/>
    <w:qFormat/>
    <w:uiPriority w:val="99"/>
    <w:pPr>
      <w:ind w:left="2940"/>
    </w:pPr>
  </w:style>
  <w:style w:type="paragraph" w:styleId="15">
    <w:name w:val="Date"/>
    <w:basedOn w:val="1"/>
    <w:next w:val="1"/>
    <w:link w:val="58"/>
    <w:qFormat/>
    <w:uiPriority w:val="99"/>
    <w:pPr>
      <w:spacing w:line="240" w:lineRule="auto"/>
    </w:pPr>
    <w:rPr>
      <w:rFonts w:eastAsia="宋体"/>
    </w:rPr>
  </w:style>
  <w:style w:type="paragraph" w:styleId="16">
    <w:name w:val="Body Text Indent 2"/>
    <w:basedOn w:val="1"/>
    <w:link w:val="59"/>
    <w:qFormat/>
    <w:uiPriority w:val="99"/>
    <w:pPr>
      <w:ind w:firstLine="570"/>
    </w:pPr>
    <w:rPr>
      <w:rFonts w:ascii="楷体_GB2312" w:eastAsia="楷体_GB2312"/>
      <w:sz w:val="28"/>
    </w:rPr>
  </w:style>
  <w:style w:type="paragraph" w:styleId="17">
    <w:name w:val="Balloon Text"/>
    <w:basedOn w:val="1"/>
    <w:link w:val="60"/>
    <w:semiHidden/>
    <w:qFormat/>
    <w:uiPriority w:val="99"/>
    <w:rPr>
      <w:sz w:val="18"/>
      <w:szCs w:val="18"/>
    </w:rPr>
  </w:style>
  <w:style w:type="paragraph" w:styleId="18">
    <w:name w:val="footer"/>
    <w:basedOn w:val="1"/>
    <w:link w:val="61"/>
    <w:qFormat/>
    <w:uiPriority w:val="99"/>
    <w:pPr>
      <w:tabs>
        <w:tab w:val="center" w:pos="4153"/>
        <w:tab w:val="right" w:pos="8306"/>
      </w:tabs>
      <w:snapToGrid w:val="0"/>
      <w:jc w:val="left"/>
    </w:pPr>
    <w:rPr>
      <w:sz w:val="18"/>
    </w:rPr>
  </w:style>
  <w:style w:type="paragraph" w:styleId="19">
    <w:name w:val="header"/>
    <w:basedOn w:val="1"/>
    <w:link w:val="62"/>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99"/>
    <w:pPr>
      <w:ind w:firstLine="567"/>
    </w:pPr>
    <w:rPr>
      <w:rFonts w:eastAsia="宋体"/>
      <w:spacing w:val="10"/>
      <w:sz w:val="28"/>
    </w:rPr>
  </w:style>
  <w:style w:type="paragraph" w:styleId="21">
    <w:name w:val="toc 4"/>
    <w:basedOn w:val="1"/>
    <w:next w:val="1"/>
    <w:semiHidden/>
    <w:qFormat/>
    <w:uiPriority w:val="99"/>
    <w:pPr>
      <w:ind w:left="1260"/>
    </w:pPr>
  </w:style>
  <w:style w:type="paragraph" w:styleId="22">
    <w:name w:val="footnote text"/>
    <w:basedOn w:val="1"/>
    <w:link w:val="63"/>
    <w:semiHidden/>
    <w:qFormat/>
    <w:uiPriority w:val="99"/>
    <w:pPr>
      <w:snapToGrid w:val="0"/>
      <w:jc w:val="left"/>
    </w:pPr>
    <w:rPr>
      <w:sz w:val="18"/>
    </w:rPr>
  </w:style>
  <w:style w:type="paragraph" w:styleId="23">
    <w:name w:val="toc 6"/>
    <w:basedOn w:val="1"/>
    <w:next w:val="1"/>
    <w:semiHidden/>
    <w:qFormat/>
    <w:uiPriority w:val="99"/>
    <w:pPr>
      <w:ind w:left="2100"/>
    </w:pPr>
  </w:style>
  <w:style w:type="paragraph" w:styleId="24">
    <w:name w:val="Body Text Indent 3"/>
    <w:basedOn w:val="1"/>
    <w:link w:val="64"/>
    <w:qFormat/>
    <w:uiPriority w:val="99"/>
    <w:pPr>
      <w:spacing w:line="480" w:lineRule="exact"/>
      <w:ind w:firstLine="560" w:firstLineChars="200"/>
    </w:pPr>
    <w:rPr>
      <w:rFonts w:ascii="宋体" w:hAnsi="宋体" w:eastAsia="宋体"/>
      <w:sz w:val="28"/>
    </w:rPr>
  </w:style>
  <w:style w:type="paragraph" w:styleId="25">
    <w:name w:val="toc 2"/>
    <w:basedOn w:val="1"/>
    <w:next w:val="1"/>
    <w:qFormat/>
    <w:uiPriority w:val="99"/>
    <w:pPr>
      <w:ind w:left="420"/>
    </w:pPr>
  </w:style>
  <w:style w:type="paragraph" w:styleId="26">
    <w:name w:val="toc 9"/>
    <w:basedOn w:val="1"/>
    <w:next w:val="1"/>
    <w:semiHidden/>
    <w:qFormat/>
    <w:uiPriority w:val="99"/>
    <w:pPr>
      <w:ind w:left="3360"/>
    </w:pPr>
  </w:style>
  <w:style w:type="paragraph" w:styleId="27">
    <w:name w:val="Body Text 2"/>
    <w:basedOn w:val="1"/>
    <w:link w:val="65"/>
    <w:qFormat/>
    <w:uiPriority w:val="99"/>
    <w:pPr>
      <w:adjustRightInd w:val="0"/>
      <w:snapToGrid w:val="0"/>
      <w:spacing w:line="240" w:lineRule="auto"/>
      <w:jc w:val="center"/>
    </w:pPr>
    <w:rPr>
      <w:spacing w:val="-8"/>
      <w:sz w:val="21"/>
    </w:rPr>
  </w:style>
  <w:style w:type="paragraph" w:styleId="28">
    <w:name w:val="Normal (Web)"/>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9">
    <w:name w:val="annotation subject"/>
    <w:basedOn w:val="8"/>
    <w:next w:val="8"/>
    <w:link w:val="53"/>
    <w:semiHidden/>
    <w:qFormat/>
    <w:uiPriority w:val="99"/>
    <w:rPr>
      <w:b/>
      <w:bCs/>
    </w:rPr>
  </w:style>
  <w:style w:type="paragraph" w:customStyle="1" w:styleId="32">
    <w:name w:val=" Char"/>
    <w:basedOn w:val="1"/>
    <w:link w:val="31"/>
    <w:qFormat/>
    <w:uiPriority w:val="0"/>
    <w:pPr>
      <w:numPr>
        <w:ilvl w:val="0"/>
        <w:numId w:val="1"/>
      </w:numPr>
    </w:pPr>
  </w:style>
  <w:style w:type="character" w:styleId="33">
    <w:name w:val="Strong"/>
    <w:qFormat/>
    <w:uiPriority w:val="99"/>
    <w:rPr>
      <w:rFonts w:cs="Times New Roman"/>
      <w:b/>
    </w:rPr>
  </w:style>
  <w:style w:type="character" w:styleId="34">
    <w:name w:val="page number"/>
    <w:basedOn w:val="31"/>
    <w:qFormat/>
    <w:uiPriority w:val="99"/>
    <w:rPr>
      <w:rFonts w:cs="Times New Roman"/>
    </w:rPr>
  </w:style>
  <w:style w:type="character" w:styleId="35">
    <w:name w:val="Emphasis"/>
    <w:qFormat/>
    <w:uiPriority w:val="99"/>
    <w:rPr>
      <w:rFonts w:cs="Times New Roman"/>
      <w:color w:val="CC0000"/>
    </w:rPr>
  </w:style>
  <w:style w:type="character" w:styleId="36">
    <w:name w:val="line number"/>
    <w:qFormat/>
    <w:uiPriority w:val="99"/>
    <w:rPr>
      <w:rFonts w:cs="Times New Roman"/>
    </w:rPr>
  </w:style>
  <w:style w:type="character" w:styleId="37">
    <w:name w:val="Hyperlink"/>
    <w:qFormat/>
    <w:uiPriority w:val="99"/>
    <w:rPr>
      <w:rFonts w:cs="Times New Roman"/>
      <w:color w:val="0000FF"/>
      <w:u w:val="single"/>
    </w:rPr>
  </w:style>
  <w:style w:type="character" w:styleId="38">
    <w:name w:val="annotation reference"/>
    <w:semiHidden/>
    <w:qFormat/>
    <w:uiPriority w:val="99"/>
    <w:rPr>
      <w:rFonts w:cs="Times New Roman"/>
      <w:sz w:val="21"/>
    </w:rPr>
  </w:style>
  <w:style w:type="character" w:styleId="39">
    <w:name w:val="footnote reference"/>
    <w:semiHidden/>
    <w:qFormat/>
    <w:uiPriority w:val="99"/>
    <w:rPr>
      <w:rFonts w:cs="Times New Roman"/>
      <w:vertAlign w:val="superscript"/>
    </w:rPr>
  </w:style>
  <w:style w:type="paragraph" w:customStyle="1" w:styleId="40">
    <w:name w:val="Char"/>
    <w:basedOn w:val="1"/>
    <w:qFormat/>
    <w:uiPriority w:val="99"/>
    <w:pPr>
      <w:numPr>
        <w:ilvl w:val="0"/>
        <w:numId w:val="1"/>
      </w:numPr>
    </w:pPr>
  </w:style>
  <w:style w:type="paragraph" w:customStyle="1" w:styleId="41">
    <w:name w:val="1"/>
    <w:basedOn w:val="1"/>
    <w:next w:val="4"/>
    <w:qFormat/>
    <w:uiPriority w:val="99"/>
    <w:pPr>
      <w:snapToGrid w:val="0"/>
      <w:spacing w:line="360" w:lineRule="auto"/>
      <w:ind w:firstLine="567"/>
    </w:pPr>
    <w:rPr>
      <w:rFonts w:eastAsia="宋体"/>
      <w:sz w:val="28"/>
    </w:rPr>
  </w:style>
  <w:style w:type="paragraph" w:customStyle="1" w:styleId="42">
    <w:name w:val="xl30"/>
    <w:basedOn w:val="1"/>
    <w:qFormat/>
    <w:uiPriority w:val="99"/>
    <w:pPr>
      <w:widowControl/>
      <w:spacing w:before="100" w:beforeAutospacing="1" w:after="100" w:afterAutospacing="1" w:line="240" w:lineRule="auto"/>
      <w:jc w:val="center"/>
      <w:textAlignment w:val="center"/>
    </w:pPr>
    <w:rPr>
      <w:rFonts w:ascii="宋体" w:hAnsi="宋体" w:eastAsia="宋体"/>
      <w:kern w:val="0"/>
      <w:szCs w:val="24"/>
    </w:rPr>
  </w:style>
  <w:style w:type="paragraph" w:customStyle="1" w:styleId="43">
    <w:name w:val="列出段落1"/>
    <w:basedOn w:val="1"/>
    <w:qFormat/>
    <w:uiPriority w:val="99"/>
    <w:pPr>
      <w:spacing w:line="360" w:lineRule="auto"/>
      <w:ind w:firstLine="420" w:firstLineChars="200"/>
    </w:pPr>
    <w:rPr>
      <w:rFonts w:ascii="Calibri" w:hAnsi="Calibri" w:eastAsia="宋体" w:cs="Calibri"/>
      <w:sz w:val="21"/>
      <w:szCs w:val="21"/>
    </w:rPr>
  </w:style>
  <w:style w:type="paragraph" w:customStyle="1" w:styleId="44">
    <w:name w:val="Default"/>
    <w:qFormat/>
    <w:uiPriority w:val="99"/>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45">
    <w:name w:val="Char2"/>
    <w:basedOn w:val="1"/>
    <w:qFormat/>
    <w:uiPriority w:val="99"/>
    <w:pPr>
      <w:spacing w:line="240" w:lineRule="auto"/>
    </w:pPr>
    <w:rPr>
      <w:rFonts w:ascii="Tahoma" w:hAnsi="Tahoma" w:eastAsia="宋体"/>
    </w:rPr>
  </w:style>
  <w:style w:type="paragraph" w:customStyle="1" w:styleId="46">
    <w:name w:val="_Style 30"/>
    <w:basedOn w:val="1"/>
    <w:qFormat/>
    <w:uiPriority w:val="99"/>
    <w:pPr>
      <w:spacing w:line="240" w:lineRule="auto"/>
    </w:pPr>
  </w:style>
  <w:style w:type="paragraph" w:customStyle="1" w:styleId="47">
    <w:name w:val="List Paragraph1"/>
    <w:basedOn w:val="1"/>
    <w:qFormat/>
    <w:uiPriority w:val="99"/>
    <w:pPr>
      <w:spacing w:line="360" w:lineRule="auto"/>
      <w:ind w:firstLine="420" w:firstLineChars="200"/>
    </w:pPr>
    <w:rPr>
      <w:rFonts w:ascii="Calibri" w:hAnsi="Calibri" w:eastAsia="宋体" w:cs="Calibri"/>
      <w:sz w:val="21"/>
      <w:szCs w:val="21"/>
    </w:rPr>
  </w:style>
  <w:style w:type="paragraph" w:customStyle="1" w:styleId="48">
    <w:name w:val="Char1"/>
    <w:basedOn w:val="1"/>
    <w:qFormat/>
    <w:uiPriority w:val="99"/>
    <w:pPr>
      <w:tabs>
        <w:tab w:val="left" w:pos="420"/>
      </w:tabs>
      <w:adjustRightInd w:val="0"/>
      <w:snapToGrid w:val="0"/>
      <w:spacing w:beforeLines="100" w:afterLines="100" w:line="360" w:lineRule="auto"/>
      <w:ind w:firstLine="57"/>
    </w:pPr>
    <w:rPr>
      <w:rFonts w:eastAsia="宋体"/>
      <w:b/>
      <w:sz w:val="28"/>
      <w:szCs w:val="28"/>
    </w:rPr>
  </w:style>
  <w:style w:type="character" w:customStyle="1" w:styleId="49">
    <w:name w:val="标题 1 Char"/>
    <w:link w:val="2"/>
    <w:qFormat/>
    <w:locked/>
    <w:uiPriority w:val="99"/>
    <w:rPr>
      <w:rFonts w:ascii="Times New Roman" w:hAnsi="Times New Roman" w:eastAsia="宋体" w:cs="Times New Roman"/>
      <w:b/>
      <w:spacing w:val="40"/>
      <w:kern w:val="44"/>
      <w:sz w:val="20"/>
      <w:szCs w:val="20"/>
    </w:rPr>
  </w:style>
  <w:style w:type="character" w:customStyle="1" w:styleId="50">
    <w:name w:val="标题 2 Char"/>
    <w:link w:val="3"/>
    <w:qFormat/>
    <w:locked/>
    <w:uiPriority w:val="99"/>
    <w:rPr>
      <w:rFonts w:ascii="Arial" w:hAnsi="Arial" w:eastAsia="宋体" w:cs="Times New Roman"/>
      <w:b/>
      <w:spacing w:val="20"/>
      <w:sz w:val="20"/>
      <w:szCs w:val="20"/>
    </w:rPr>
  </w:style>
  <w:style w:type="character" w:customStyle="1" w:styleId="51">
    <w:name w:val="标题 3 Char"/>
    <w:link w:val="5"/>
    <w:qFormat/>
    <w:locked/>
    <w:uiPriority w:val="99"/>
    <w:rPr>
      <w:rFonts w:ascii="Times New Roman" w:hAnsi="Times New Roman" w:eastAsia="宋体" w:cs="Times New Roman"/>
      <w:b/>
      <w:spacing w:val="50"/>
      <w:sz w:val="20"/>
      <w:szCs w:val="20"/>
    </w:rPr>
  </w:style>
  <w:style w:type="character" w:customStyle="1" w:styleId="52">
    <w:name w:val="批注文字 Char"/>
    <w:link w:val="8"/>
    <w:semiHidden/>
    <w:qFormat/>
    <w:locked/>
    <w:uiPriority w:val="99"/>
    <w:rPr>
      <w:rFonts w:ascii="Times New Roman" w:hAnsi="Times New Roman" w:eastAsia="仿宋_GB2312" w:cs="Times New Roman"/>
      <w:sz w:val="20"/>
      <w:szCs w:val="20"/>
    </w:rPr>
  </w:style>
  <w:style w:type="character" w:customStyle="1" w:styleId="53">
    <w:name w:val="批注主题 Char"/>
    <w:link w:val="29"/>
    <w:semiHidden/>
    <w:qFormat/>
    <w:locked/>
    <w:uiPriority w:val="99"/>
    <w:rPr>
      <w:rFonts w:ascii="Times New Roman" w:hAnsi="Times New Roman" w:eastAsia="仿宋_GB2312" w:cs="Times New Roman"/>
      <w:b/>
      <w:bCs/>
      <w:sz w:val="20"/>
      <w:szCs w:val="20"/>
    </w:rPr>
  </w:style>
  <w:style w:type="character" w:customStyle="1" w:styleId="54">
    <w:name w:val="文档结构图 Char"/>
    <w:link w:val="7"/>
    <w:semiHidden/>
    <w:qFormat/>
    <w:locked/>
    <w:uiPriority w:val="99"/>
    <w:rPr>
      <w:rFonts w:ascii="Times New Roman" w:hAnsi="Times New Roman" w:eastAsia="仿宋_GB2312" w:cs="Times New Roman"/>
      <w:sz w:val="20"/>
      <w:szCs w:val="20"/>
      <w:shd w:val="clear" w:color="auto" w:fill="000080"/>
    </w:rPr>
  </w:style>
  <w:style w:type="character" w:customStyle="1" w:styleId="55">
    <w:name w:val="称呼 Char"/>
    <w:link w:val="9"/>
    <w:qFormat/>
    <w:locked/>
    <w:uiPriority w:val="99"/>
    <w:rPr>
      <w:rFonts w:ascii="Times New Roman" w:hAnsi="Times New Roman" w:eastAsia="宋体" w:cs="Times New Roman"/>
      <w:kern w:val="0"/>
      <w:sz w:val="20"/>
      <w:szCs w:val="20"/>
    </w:rPr>
  </w:style>
  <w:style w:type="character" w:customStyle="1" w:styleId="56">
    <w:name w:val="正文文本缩进 Char"/>
    <w:link w:val="10"/>
    <w:qFormat/>
    <w:locked/>
    <w:uiPriority w:val="99"/>
    <w:rPr>
      <w:rFonts w:ascii="楷体_GB2312" w:hAnsi="Times New Roman" w:eastAsia="楷体_GB2312" w:cs="Times New Roman"/>
      <w:sz w:val="20"/>
      <w:szCs w:val="20"/>
    </w:rPr>
  </w:style>
  <w:style w:type="character" w:customStyle="1" w:styleId="57">
    <w:name w:val="纯文本 Char"/>
    <w:link w:val="13"/>
    <w:qFormat/>
    <w:locked/>
    <w:uiPriority w:val="99"/>
    <w:rPr>
      <w:rFonts w:ascii="宋体" w:hAnsi="Courier New" w:eastAsia="仿宋_GB2312" w:cs="Times New Roman"/>
      <w:sz w:val="20"/>
      <w:szCs w:val="20"/>
    </w:rPr>
  </w:style>
  <w:style w:type="character" w:customStyle="1" w:styleId="58">
    <w:name w:val="日期 Char"/>
    <w:link w:val="15"/>
    <w:qFormat/>
    <w:locked/>
    <w:uiPriority w:val="99"/>
    <w:rPr>
      <w:rFonts w:ascii="Times New Roman" w:hAnsi="Times New Roman" w:eastAsia="宋体" w:cs="Times New Roman"/>
      <w:sz w:val="20"/>
      <w:szCs w:val="20"/>
    </w:rPr>
  </w:style>
  <w:style w:type="character" w:customStyle="1" w:styleId="59">
    <w:name w:val="正文文本缩进 2 Char"/>
    <w:link w:val="16"/>
    <w:qFormat/>
    <w:locked/>
    <w:uiPriority w:val="99"/>
    <w:rPr>
      <w:rFonts w:ascii="楷体_GB2312" w:hAnsi="Times New Roman" w:eastAsia="楷体_GB2312" w:cs="Times New Roman"/>
      <w:sz w:val="20"/>
      <w:szCs w:val="20"/>
    </w:rPr>
  </w:style>
  <w:style w:type="character" w:customStyle="1" w:styleId="60">
    <w:name w:val="批注框文本 Char"/>
    <w:link w:val="17"/>
    <w:semiHidden/>
    <w:qFormat/>
    <w:locked/>
    <w:uiPriority w:val="99"/>
    <w:rPr>
      <w:rFonts w:ascii="Times New Roman" w:hAnsi="Times New Roman" w:eastAsia="仿宋_GB2312" w:cs="Times New Roman"/>
      <w:sz w:val="18"/>
      <w:szCs w:val="18"/>
    </w:rPr>
  </w:style>
  <w:style w:type="character" w:customStyle="1" w:styleId="61">
    <w:name w:val="页脚 Char"/>
    <w:link w:val="18"/>
    <w:qFormat/>
    <w:locked/>
    <w:uiPriority w:val="99"/>
    <w:rPr>
      <w:rFonts w:ascii="Times New Roman" w:hAnsi="Times New Roman" w:eastAsia="仿宋_GB2312" w:cs="Times New Roman"/>
      <w:sz w:val="20"/>
      <w:szCs w:val="20"/>
    </w:rPr>
  </w:style>
  <w:style w:type="character" w:customStyle="1" w:styleId="62">
    <w:name w:val="页眉 Char"/>
    <w:link w:val="19"/>
    <w:qFormat/>
    <w:locked/>
    <w:uiPriority w:val="99"/>
    <w:rPr>
      <w:rFonts w:ascii="Times New Roman" w:hAnsi="Times New Roman" w:eastAsia="仿宋_GB2312" w:cs="Times New Roman"/>
      <w:sz w:val="20"/>
      <w:szCs w:val="20"/>
    </w:rPr>
  </w:style>
  <w:style w:type="character" w:customStyle="1" w:styleId="63">
    <w:name w:val="脚注文本 Char"/>
    <w:link w:val="22"/>
    <w:semiHidden/>
    <w:qFormat/>
    <w:locked/>
    <w:uiPriority w:val="99"/>
    <w:rPr>
      <w:rFonts w:ascii="Times New Roman" w:hAnsi="Times New Roman" w:eastAsia="仿宋_GB2312" w:cs="Times New Roman"/>
      <w:sz w:val="20"/>
      <w:szCs w:val="20"/>
    </w:rPr>
  </w:style>
  <w:style w:type="character" w:customStyle="1" w:styleId="64">
    <w:name w:val="正文文本缩进 3 Char"/>
    <w:link w:val="24"/>
    <w:qFormat/>
    <w:locked/>
    <w:uiPriority w:val="99"/>
    <w:rPr>
      <w:rFonts w:ascii="宋体" w:hAnsi="宋体" w:eastAsia="宋体" w:cs="Times New Roman"/>
      <w:sz w:val="20"/>
      <w:szCs w:val="20"/>
    </w:rPr>
  </w:style>
  <w:style w:type="character" w:customStyle="1" w:styleId="65">
    <w:name w:val="正文文本 2 Char"/>
    <w:link w:val="27"/>
    <w:qFormat/>
    <w:locked/>
    <w:uiPriority w:val="99"/>
    <w:rPr>
      <w:rFonts w:ascii="Times New Roman" w:hAnsi="Times New Roman" w:eastAsia="仿宋_GB2312" w:cs="Times New Roman"/>
      <w:spacing w:val="-8"/>
      <w:sz w:val="20"/>
      <w:szCs w:val="20"/>
    </w:rPr>
  </w:style>
  <w:style w:type="character" w:customStyle="1" w:styleId="66">
    <w:name w:val="ninetext1"/>
    <w:qFormat/>
    <w:uiPriority w:val="99"/>
    <w:rPr>
      <w:sz w:val="18"/>
    </w:rPr>
  </w:style>
  <w:style w:type="character" w:customStyle="1" w:styleId="67">
    <w:name w:val="正文（首行缩进两字） Char"/>
    <w:qFormat/>
    <w:uiPriority w:val="99"/>
    <w:rPr>
      <w:rFonts w:eastAsia="宋体"/>
      <w:kern w:val="2"/>
      <w:sz w:val="28"/>
      <w:lang w:val="en-US" w:eastAsia="zh-CN"/>
    </w:rPr>
  </w:style>
  <w:style w:type="character" w:customStyle="1" w:styleId="68">
    <w:name w:val="正文缩进 Char"/>
    <w:link w:val="4"/>
    <w:qFormat/>
    <w:locked/>
    <w:uiPriority w:val="99"/>
    <w:rPr>
      <w:rFonts w:ascii="Times New Roman" w:hAnsi="Times New Roman" w:eastAsia="宋体"/>
      <w:sz w:val="20"/>
    </w:rPr>
  </w:style>
  <w:style w:type="character" w:customStyle="1" w:styleId="69">
    <w:name w:val="Char Char1"/>
    <w:qFormat/>
    <w:uiPriority w:val="99"/>
    <w:rPr>
      <w:rFonts w:ascii="宋体" w:eastAsia="宋体"/>
      <w:sz w:val="21"/>
      <w:lang w:val="en-US" w:eastAsia="zh-CN"/>
    </w:rPr>
  </w:style>
  <w:style w:type="character" w:customStyle="1" w:styleId="70">
    <w:name w:val="正文（首行缩进两字） Char3"/>
    <w:qFormat/>
    <w:uiPriority w:val="99"/>
    <w:rPr>
      <w:rFonts w:eastAsia="宋体"/>
      <w:kern w:val="2"/>
      <w:sz w:val="28"/>
      <w:lang w:val="en-US" w:eastAsia="zh-CN"/>
    </w:rPr>
  </w:style>
  <w:style w:type="character" w:customStyle="1" w:styleId="71">
    <w:name w:val="普通文字 Char Char"/>
    <w:qFormat/>
    <w:uiPriority w:val="99"/>
    <w:rPr>
      <w:rFonts w:ascii="宋体" w:hAnsi="Courier New" w:eastAsia="仿宋_GB2312"/>
      <w:kern w:val="2"/>
      <w:sz w:val="24"/>
      <w:lang w:val="en-US" w:eastAsia="zh-CN"/>
    </w:rPr>
  </w:style>
  <w:style w:type="character" w:customStyle="1" w:styleId="72">
    <w:name w:val="apple-style-span"/>
    <w:qFormat/>
    <w:uiPriority w:val="99"/>
    <w:rPr>
      <w:rFonts w:cs="Times New Roman"/>
    </w:rPr>
  </w:style>
  <w:style w:type="character" w:customStyle="1" w:styleId="73">
    <w:name w:val="正文缩进 Char1"/>
    <w:qFormat/>
    <w:uiPriority w:val="99"/>
    <w:rPr>
      <w:rFonts w:ascii="Times New Roman" w:hAnsi="Times New Roman" w:eastAsia="宋体"/>
      <w:sz w:val="20"/>
    </w:rPr>
  </w:style>
  <w:style w:type="character" w:customStyle="1" w:styleId="74">
    <w:name w:val="Char Char"/>
    <w:qFormat/>
    <w:uiPriority w:val="99"/>
    <w:rPr>
      <w:rFonts w:eastAsia="宋体"/>
      <w:kern w:val="2"/>
      <w:sz w:val="28"/>
      <w:lang w:val="en-US" w:eastAsia="zh-CN"/>
    </w:rPr>
  </w:style>
  <w:style w:type="character" w:customStyle="1" w:styleId="75">
    <w:name w:val="font71"/>
    <w:qFormat/>
    <w:uiPriority w:val="0"/>
    <w:rPr>
      <w:rFonts w:ascii="Times New Roman" w:hAnsi="Times New Roman" w:cs="Times New Roman"/>
      <w:color w:val="000000"/>
      <w:sz w:val="21"/>
      <w:szCs w:val="21"/>
    </w:rPr>
  </w:style>
  <w:style w:type="character" w:customStyle="1" w:styleId="76">
    <w:name w:val="font51"/>
    <w:basedOn w:val="31"/>
    <w:qFormat/>
    <w:uiPriority w:val="0"/>
    <w:rPr>
      <w:rFonts w:hint="eastAsia" w:ascii="仿宋_GB2312" w:eastAsia="仿宋_GB2312" w:cs="仿宋_GB2312"/>
      <w:color w:val="000000"/>
      <w:sz w:val="21"/>
      <w:szCs w:val="21"/>
    </w:rPr>
  </w:style>
  <w:style w:type="character" w:customStyle="1" w:styleId="77">
    <w:name w:val="font41"/>
    <w:qFormat/>
    <w:uiPriority w:val="0"/>
    <w:rPr>
      <w:rFonts w:ascii="Times New Roman" w:hAnsi="Times New Roman" w:cs="Times New Roman"/>
      <w:color w:val="000000"/>
      <w:sz w:val="21"/>
      <w:szCs w:val="21"/>
      <w:vertAlign w:val="superscript"/>
    </w:rPr>
  </w:style>
  <w:style w:type="character" w:customStyle="1" w:styleId="78">
    <w:name w:val="font21"/>
    <w:qFormat/>
    <w:uiPriority w:val="0"/>
    <w:rPr>
      <w:rFonts w:hint="eastAsia" w:ascii="仿宋_GB2312" w:eastAsia="仿宋_GB2312" w:cs="仿宋_GB2312"/>
      <w:color w:val="000000"/>
      <w:sz w:val="21"/>
      <w:szCs w:val="21"/>
      <w:vertAlign w:val="superscript"/>
    </w:rPr>
  </w:style>
  <w:style w:type="character" w:customStyle="1" w:styleId="79">
    <w:name w:val="font61"/>
    <w:basedOn w:val="31"/>
    <w:qFormat/>
    <w:uiPriority w:val="0"/>
    <w:rPr>
      <w:rFonts w:hint="eastAsia" w:ascii="宋体" w:hAnsi="宋体" w:eastAsia="宋体" w:cs="宋体"/>
      <w:color w:val="000000"/>
      <w:sz w:val="21"/>
      <w:szCs w:val="21"/>
    </w:rPr>
  </w:style>
  <w:style w:type="character" w:customStyle="1" w:styleId="80">
    <w:name w:val="font01"/>
    <w:basedOn w:val="31"/>
    <w:qFormat/>
    <w:uiPriority w:val="0"/>
    <w:rPr>
      <w:rFonts w:ascii="Times New Roman" w:hAnsi="Times New Roman" w:cs="Times New Roman"/>
      <w:color w:val="000000"/>
      <w:sz w:val="21"/>
      <w:szCs w:val="21"/>
      <w:vertAlign w:val="superscript"/>
    </w:rPr>
  </w:style>
  <w:style w:type="character" w:customStyle="1" w:styleId="81">
    <w:name w:val="font31"/>
    <w:qFormat/>
    <w:uiPriority w:val="0"/>
    <w:rPr>
      <w:rFonts w:ascii="Times New Roman" w:hAnsi="Times New Roman" w:cs="Times New Roman"/>
      <w:color w:val="000000"/>
      <w:sz w:val="21"/>
      <w:szCs w:val="21"/>
    </w:rPr>
  </w:style>
  <w:style w:type="character" w:customStyle="1" w:styleId="82">
    <w:name w:val="font81"/>
    <w:qFormat/>
    <w:uiPriority w:val="0"/>
    <w:rPr>
      <w:rFonts w:ascii="Times New Roman" w:hAnsi="Times New Roman" w:cs="Times New Roman"/>
      <w:color w:val="000000"/>
      <w:sz w:val="21"/>
      <w:szCs w:val="21"/>
      <w:vertAlign w:val="superscript"/>
    </w:rPr>
  </w:style>
  <w:style w:type="character" w:customStyle="1" w:styleId="83">
    <w:name w:val="font11"/>
    <w:qFormat/>
    <w:uiPriority w:val="0"/>
    <w:rPr>
      <w:rFonts w:hint="eastAsia" w:ascii="宋体" w:hAnsi="宋体" w:eastAsia="宋体" w:cs="宋体"/>
      <w:color w:val="000000"/>
      <w:sz w:val="21"/>
      <w:szCs w:val="21"/>
    </w:rPr>
  </w:style>
  <w:style w:type="character" w:customStyle="1" w:styleId="84">
    <w:name w:val="font91"/>
    <w:qFormat/>
    <w:uiPriority w:val="0"/>
    <w:rPr>
      <w:rFonts w:ascii="Times New Roman" w:hAnsi="Times New Roman" w:cs="Times New Roman"/>
      <w:color w:val="000000"/>
      <w:sz w:val="21"/>
      <w:szCs w:val="21"/>
    </w:rPr>
  </w:style>
  <w:style w:type="character" w:customStyle="1" w:styleId="85">
    <w:name w:val="font101"/>
    <w:qFormat/>
    <w:uiPriority w:val="0"/>
    <w:rPr>
      <w:rFonts w:hint="eastAsia" w:ascii="仿宋_GB2312" w:eastAsia="仿宋_GB2312" w:cs="仿宋_GB2312"/>
      <w:color w:val="000000"/>
      <w:sz w:val="21"/>
      <w:szCs w:val="21"/>
    </w:rPr>
  </w:style>
  <w:style w:type="character" w:customStyle="1" w:styleId="86">
    <w:name w:val="font112"/>
    <w:basedOn w:val="31"/>
    <w:qFormat/>
    <w:uiPriority w:val="0"/>
    <w:rPr>
      <w:rFonts w:hint="default" w:ascii="Times New Roman" w:hAnsi="Times New Roman" w:cs="Times New Roman"/>
      <w:color w:val="000000"/>
      <w:sz w:val="21"/>
      <w:szCs w:val="21"/>
      <w:u w:val="none"/>
      <w:vertAlign w:val="superscript"/>
    </w:rPr>
  </w:style>
  <w:style w:type="character" w:customStyle="1" w:styleId="87">
    <w:name w:val="font121"/>
    <w:basedOn w:val="31"/>
    <w:qFormat/>
    <w:uiPriority w:val="0"/>
    <w:rPr>
      <w:rFonts w:hint="eastAsia" w:ascii="仿宋_GB2312" w:eastAsia="仿宋_GB2312" w:cs="仿宋_GB2312"/>
      <w:color w:val="000000"/>
      <w:sz w:val="21"/>
      <w:szCs w:val="21"/>
      <w:u w:val="none"/>
    </w:rPr>
  </w:style>
  <w:style w:type="character" w:customStyle="1" w:styleId="88">
    <w:name w:val="font131"/>
    <w:basedOn w:val="31"/>
    <w:qFormat/>
    <w:uiPriority w:val="0"/>
    <w:rPr>
      <w:rFonts w:hint="eastAsia" w:ascii="仿宋_GB2312" w:eastAsia="仿宋_GB2312" w:cs="仿宋_GB2312"/>
      <w:color w:val="000000"/>
      <w:sz w:val="21"/>
      <w:szCs w:val="21"/>
      <w:u w:val="none"/>
    </w:rPr>
  </w:style>
  <w:style w:type="character" w:customStyle="1" w:styleId="89">
    <w:name w:val="font141"/>
    <w:basedOn w:val="31"/>
    <w:qFormat/>
    <w:uiPriority w:val="0"/>
    <w:rPr>
      <w:rFonts w:hint="eastAsia" w:ascii="宋体" w:hAnsi="宋体" w:eastAsia="宋体" w:cs="宋体"/>
      <w:color w:val="000000"/>
      <w:sz w:val="21"/>
      <w:szCs w:val="21"/>
      <w:u w:val="none"/>
    </w:rPr>
  </w:style>
  <w:style w:type="character" w:customStyle="1" w:styleId="90">
    <w:name w:val="font151"/>
    <w:basedOn w:val="31"/>
    <w:qFormat/>
    <w:uiPriority w:val="0"/>
    <w:rPr>
      <w:rFonts w:hint="eastAsia" w:ascii="仿宋_GB2312" w:eastAsia="仿宋_GB2312" w:cs="仿宋_GB2312"/>
      <w:color w:val="000000"/>
      <w:sz w:val="21"/>
      <w:szCs w:val="21"/>
      <w:u w:val="none"/>
    </w:rPr>
  </w:style>
  <w:style w:type="character" w:customStyle="1" w:styleId="91">
    <w:name w:val="font161"/>
    <w:basedOn w:val="31"/>
    <w:qFormat/>
    <w:uiPriority w:val="0"/>
    <w:rPr>
      <w:rFonts w:hint="eastAsia" w:ascii="仿宋_GB2312" w:eastAsia="仿宋_GB2312" w:cs="仿宋_GB2312"/>
      <w:color w:val="000000"/>
      <w:sz w:val="21"/>
      <w:szCs w:val="21"/>
      <w:u w:val="none"/>
    </w:rPr>
  </w:style>
  <w:style w:type="character" w:customStyle="1" w:styleId="92">
    <w:name w:val="font171"/>
    <w:basedOn w:val="31"/>
    <w:qFormat/>
    <w:uiPriority w:val="0"/>
    <w:rPr>
      <w:rFonts w:hint="eastAsia" w:ascii="宋体" w:hAnsi="宋体" w:eastAsia="宋体" w:cs="宋体"/>
      <w:color w:val="000000"/>
      <w:sz w:val="21"/>
      <w:szCs w:val="21"/>
      <w:u w:val="none"/>
    </w:rPr>
  </w:style>
  <w:style w:type="character" w:customStyle="1" w:styleId="93">
    <w:name w:val="font181"/>
    <w:basedOn w:val="31"/>
    <w:qFormat/>
    <w:uiPriority w:val="0"/>
    <w:rPr>
      <w:rFonts w:ascii="仿宋_GB2312" w:eastAsia="仿宋_GB2312" w:cs="仿宋_GB2312"/>
      <w:color w:val="000000"/>
      <w:sz w:val="21"/>
      <w:szCs w:val="21"/>
      <w:u w:val="none"/>
    </w:rPr>
  </w:style>
  <w:style w:type="character" w:customStyle="1" w:styleId="94">
    <w:name w:val="font191"/>
    <w:basedOn w:val="31"/>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NJ</Company>
  <Pages>12</Pages>
  <Words>7112</Words>
  <Characters>7592</Characters>
  <Lines>128</Lines>
  <Paragraphs>36</Paragraphs>
  <TotalTime>3</TotalTime>
  <ScaleCrop>false</ScaleCrop>
  <LinksUpToDate>false</LinksUpToDate>
  <CharactersWithSpaces>7812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2017-05-19T07:21:00Z</dcterms:created>
  <dc:creator>angbo y</dc:creator>
  <cp:lastModifiedBy>Administrator</cp:lastModifiedBy>
  <cp:lastPrinted>2022-09-09T06:15:00Z</cp:lastPrinted>
  <dcterms:modified xsi:type="dcterms:W3CDTF">2022-11-29T06:09:30Z</dcterms:modified>
  <dc:title>房地产司法鉴定估价报告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634710D0D9114FA889C6E81A576BB5A0</vt:lpwstr>
  </property>
</Properties>
</file>