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65"/>
        </w:tabs>
        <w:ind w:firstLine="960" w:firstLineChars="200"/>
        <w:jc w:val="left"/>
        <w:rPr>
          <w:rFonts w:hint="eastAsia" w:ascii="黑体" w:hAnsi="黑体" w:eastAsia="黑体"/>
          <w:color w:val="000000" w:themeColor="text1"/>
          <w:sz w:val="48"/>
          <w:szCs w:val="48"/>
          <w14:textFill>
            <w14:solidFill>
              <w14:schemeClr w14:val="tx1"/>
            </w14:solidFill>
          </w14:textFill>
        </w:rPr>
      </w:pPr>
    </w:p>
    <w:p>
      <w:pPr>
        <w:tabs>
          <w:tab w:val="left" w:pos="5265"/>
        </w:tabs>
        <w:ind w:firstLine="960" w:firstLineChars="200"/>
        <w:jc w:val="left"/>
        <w:rPr>
          <w:rFonts w:ascii="黑体" w:hAnsi="黑体" w:eastAsia="黑体"/>
          <w:color w:val="000000" w:themeColor="text1"/>
          <w:sz w:val="48"/>
          <w:szCs w:val="48"/>
          <w14:textFill>
            <w14:solidFill>
              <w14:schemeClr w14:val="tx1"/>
            </w14:solidFill>
          </w14:textFill>
        </w:rPr>
      </w:pPr>
      <w:r>
        <w:rPr>
          <w:rFonts w:hint="eastAsia" w:ascii="黑体" w:hAnsi="黑体" w:eastAsia="黑体"/>
          <w:color w:val="000000" w:themeColor="text1"/>
          <w:sz w:val="48"/>
          <w:szCs w:val="48"/>
          <w14:textFill>
            <w14:solidFill>
              <w14:schemeClr w14:val="tx1"/>
            </w14:solidFill>
          </w14:textFill>
        </w:rPr>
        <w:t>房地产司法处置（诉讼）</w:t>
      </w:r>
      <w:r>
        <w:rPr>
          <w:rFonts w:ascii="黑体" w:hAnsi="黑体" w:eastAsia="黑体"/>
          <w:color w:val="000000" w:themeColor="text1"/>
          <w:sz w:val="48"/>
          <w:szCs w:val="48"/>
          <w14:textFill>
            <w14:solidFill>
              <w14:schemeClr w14:val="tx1"/>
            </w14:solidFill>
          </w14:textFill>
        </w:rPr>
        <w:t>估价报告</w:t>
      </w:r>
    </w:p>
    <w:p>
      <w:pPr>
        <w:rPr>
          <w:rFonts w:eastAsia="黑体"/>
          <w:sz w:val="72"/>
        </w:rPr>
      </w:pPr>
    </w:p>
    <w:p>
      <w:pPr>
        <w:spacing w:line="700" w:lineRule="exact"/>
        <w:rPr>
          <w:rFonts w:eastAsia="黑体"/>
          <w:sz w:val="52"/>
        </w:rPr>
      </w:pPr>
    </w:p>
    <w:p>
      <w:pPr>
        <w:pStyle w:val="73"/>
        <w:tabs>
          <w:tab w:val="left" w:pos="2835"/>
        </w:tabs>
        <w:spacing w:line="800" w:lineRule="exact"/>
        <w:ind w:left="2828" w:leftChars="332" w:hanging="2131" w:hangingChars="666"/>
        <w:jc w:val="both"/>
        <w:rPr>
          <w:rFonts w:ascii="仿宋" w:hAnsi="仿宋" w:eastAsia="仿宋"/>
          <w:spacing w:val="0"/>
          <w:kern w:val="0"/>
          <w:sz w:val="32"/>
          <w:szCs w:val="32"/>
        </w:rPr>
      </w:pPr>
      <w:r>
        <w:rPr>
          <w:rFonts w:eastAsia="黑体"/>
          <w:spacing w:val="0"/>
          <w:kern w:val="0"/>
          <w:sz w:val="32"/>
        </w:rPr>
        <w:t>估价项目名称：</w:t>
      </w:r>
      <w:r>
        <w:rPr>
          <w:rFonts w:hint="eastAsia" w:ascii="仿宋" w:hAnsi="仿宋" w:eastAsia="仿宋"/>
          <w:spacing w:val="0"/>
          <w:kern w:val="0"/>
          <w:sz w:val="32"/>
          <w:szCs w:val="32"/>
          <w:lang w:eastAsia="zh-CN"/>
        </w:rPr>
        <w:t>宁慈西路1455号枫湾家园10幢1单元102室的</w:t>
      </w:r>
      <w:r>
        <w:rPr>
          <w:rFonts w:ascii="仿宋" w:hAnsi="仿宋" w:eastAsia="仿宋"/>
          <w:spacing w:val="0"/>
          <w:kern w:val="0"/>
          <w:sz w:val="32"/>
          <w:szCs w:val="32"/>
        </w:rPr>
        <w:t>住宅</w:t>
      </w:r>
      <w:r>
        <w:rPr>
          <w:rFonts w:hint="eastAsia" w:ascii="仿宋" w:hAnsi="仿宋" w:eastAsia="仿宋"/>
          <w:spacing w:val="0"/>
          <w:kern w:val="0"/>
          <w:sz w:val="32"/>
          <w:szCs w:val="32"/>
        </w:rPr>
        <w:t>房地产司法处置（诉讼）估价报告</w:t>
      </w:r>
    </w:p>
    <w:p>
      <w:pPr>
        <w:tabs>
          <w:tab w:val="left" w:pos="2198"/>
        </w:tabs>
        <w:spacing w:line="800" w:lineRule="exact"/>
        <w:ind w:right="26" w:firstLine="640" w:firstLineChars="200"/>
        <w:rPr>
          <w:rFonts w:hint="eastAsia" w:ascii="仿宋" w:hAnsi="仿宋" w:eastAsia="黑体"/>
          <w:sz w:val="32"/>
          <w:lang w:eastAsia="zh-CN"/>
        </w:rPr>
      </w:pPr>
      <w:r>
        <w:rPr>
          <w:rFonts w:eastAsia="黑体"/>
          <w:sz w:val="32"/>
        </w:rPr>
        <w:t>估价委托人：</w:t>
      </w:r>
      <w:r>
        <w:rPr>
          <w:rFonts w:hint="eastAsia" w:ascii="仿宋" w:hAnsi="仿宋" w:eastAsia="仿宋"/>
          <w:sz w:val="32"/>
          <w:szCs w:val="32"/>
          <w:lang w:eastAsia="zh-CN"/>
        </w:rPr>
        <w:t>宁波市江北区人民法院</w:t>
      </w:r>
    </w:p>
    <w:p>
      <w:pPr>
        <w:tabs>
          <w:tab w:val="left" w:pos="2198"/>
        </w:tabs>
        <w:spacing w:line="800" w:lineRule="exact"/>
        <w:ind w:firstLine="640" w:firstLineChars="200"/>
        <w:rPr>
          <w:rFonts w:hint="eastAsia" w:eastAsia="黑体"/>
          <w:sz w:val="32"/>
          <w:lang w:eastAsia="zh-CN"/>
        </w:rPr>
      </w:pPr>
      <w:r>
        <w:rPr>
          <w:rFonts w:eastAsia="黑体"/>
          <w:sz w:val="32"/>
        </w:rPr>
        <w:t>房地产估价机构：</w:t>
      </w:r>
      <w:r>
        <w:rPr>
          <w:rFonts w:hint="eastAsia" w:ascii="仿宋" w:hAnsi="仿宋" w:eastAsia="仿宋"/>
          <w:sz w:val="32"/>
          <w:lang w:eastAsia="zh-CN"/>
        </w:rPr>
        <w:t>宁海县博信房地产资产评估有限公司</w:t>
      </w:r>
    </w:p>
    <w:p>
      <w:pPr>
        <w:tabs>
          <w:tab w:val="left" w:pos="2198"/>
        </w:tabs>
        <w:spacing w:line="800" w:lineRule="exact"/>
        <w:ind w:right="-651" w:rightChars="-310" w:firstLine="640" w:firstLineChars="200"/>
        <w:jc w:val="left"/>
        <w:rPr>
          <w:rFonts w:ascii="仿宋" w:hAnsi="仿宋" w:eastAsia="仿宋"/>
          <w:sz w:val="32"/>
        </w:rPr>
      </w:pPr>
      <w:r>
        <w:rPr>
          <w:rFonts w:eastAsia="黑体"/>
          <w:sz w:val="32"/>
        </w:rPr>
        <w:t>注册房地产估价师：</w:t>
      </w:r>
      <w:r>
        <w:rPr>
          <w:rFonts w:hint="eastAsia" w:ascii="仿宋" w:hAnsi="仿宋" w:eastAsia="仿宋"/>
          <w:sz w:val="32"/>
          <w:szCs w:val="22"/>
          <w:lang w:eastAsia="zh-CN"/>
        </w:rPr>
        <w:t>***</w:t>
      </w:r>
      <w:r>
        <w:rPr>
          <w:rFonts w:ascii="仿宋" w:hAnsi="仿宋" w:eastAsia="仿宋"/>
          <w:sz w:val="32"/>
        </w:rPr>
        <w:t>(注册号</w:t>
      </w:r>
      <w:r>
        <w:rPr>
          <w:rFonts w:hint="eastAsia" w:ascii="仿宋" w:hAnsi="仿宋" w:eastAsia="仿宋"/>
          <w:sz w:val="32"/>
          <w:lang w:val="en-US" w:eastAsia="zh-CN"/>
        </w:rPr>
        <w:t>**********</w:t>
      </w:r>
      <w:r>
        <w:rPr>
          <w:rFonts w:ascii="仿宋" w:hAnsi="仿宋" w:eastAsia="仿宋"/>
          <w:sz w:val="32"/>
        </w:rPr>
        <w:t>)</w:t>
      </w:r>
    </w:p>
    <w:p>
      <w:pPr>
        <w:tabs>
          <w:tab w:val="left" w:pos="2410"/>
        </w:tabs>
        <w:spacing w:line="800" w:lineRule="exact"/>
        <w:ind w:right="-651" w:rightChars="-310" w:firstLine="3542" w:firstLineChars="1107"/>
        <w:jc w:val="left"/>
        <w:rPr>
          <w:rFonts w:ascii="仿宋" w:hAnsi="仿宋" w:eastAsia="仿宋"/>
          <w:sz w:val="32"/>
        </w:rPr>
      </w:pPr>
      <w:r>
        <w:rPr>
          <w:rFonts w:hint="eastAsia" w:ascii="仿宋" w:hAnsi="仿宋" w:eastAsia="仿宋"/>
          <w:sz w:val="32"/>
          <w:lang w:eastAsia="zh-CN"/>
        </w:rPr>
        <w:t>***</w:t>
      </w:r>
      <w:r>
        <w:rPr>
          <w:rFonts w:ascii="仿宋" w:hAnsi="仿宋" w:eastAsia="仿宋"/>
          <w:sz w:val="32"/>
        </w:rPr>
        <w:t>(注册号</w:t>
      </w:r>
      <w:r>
        <w:rPr>
          <w:rFonts w:hint="eastAsia" w:ascii="仿宋" w:hAnsi="仿宋" w:eastAsia="仿宋"/>
          <w:sz w:val="32"/>
          <w:lang w:val="en-US" w:eastAsia="zh-CN"/>
        </w:rPr>
        <w:t>**********</w:t>
      </w:r>
      <w:r>
        <w:rPr>
          <w:rFonts w:ascii="仿宋" w:hAnsi="仿宋" w:eastAsia="仿宋"/>
          <w:sz w:val="32"/>
        </w:rPr>
        <w:t>)</w:t>
      </w:r>
    </w:p>
    <w:p>
      <w:pPr>
        <w:tabs>
          <w:tab w:val="left" w:pos="2198"/>
        </w:tabs>
        <w:spacing w:line="800" w:lineRule="exact"/>
        <w:ind w:firstLine="640" w:firstLineChars="200"/>
        <w:rPr>
          <w:rFonts w:hint="eastAsia" w:ascii="仿宋" w:hAnsi="仿宋" w:eastAsia="黑体"/>
          <w:sz w:val="32"/>
          <w:lang w:val="en-US" w:eastAsia="zh-CN"/>
        </w:rPr>
      </w:pPr>
      <w:r>
        <w:rPr>
          <w:rFonts w:eastAsia="黑体"/>
          <w:sz w:val="32"/>
        </w:rPr>
        <w:t>估价报告出具日期：</w:t>
      </w:r>
      <w:r>
        <w:rPr>
          <w:rFonts w:hint="eastAsia" w:ascii="仿宋" w:hAnsi="仿宋" w:eastAsia="仿宋"/>
          <w:sz w:val="32"/>
          <w:lang w:eastAsia="zh-CN"/>
        </w:rPr>
        <w:t>2022年11月22日</w:t>
      </w:r>
      <w:r>
        <w:rPr>
          <w:rFonts w:hint="eastAsia" w:ascii="仿宋" w:hAnsi="仿宋" w:eastAsia="仿宋"/>
          <w:sz w:val="32"/>
          <w:lang w:val="en-US" w:eastAsia="zh-CN"/>
        </w:rPr>
        <w:t xml:space="preserve">                                                                            </w:t>
      </w:r>
    </w:p>
    <w:p>
      <w:pPr>
        <w:tabs>
          <w:tab w:val="left" w:pos="2198"/>
        </w:tabs>
        <w:spacing w:line="800" w:lineRule="exact"/>
        <w:ind w:firstLine="640" w:firstLineChars="200"/>
        <w:rPr>
          <w:rFonts w:ascii="仿宋" w:hAnsi="仿宋" w:eastAsia="仿宋"/>
          <w:sz w:val="32"/>
        </w:rPr>
      </w:pPr>
      <w:r>
        <w:rPr>
          <w:rFonts w:eastAsia="黑体"/>
          <w:sz w:val="32"/>
        </w:rPr>
        <w:t>估价报告编号：</w:t>
      </w:r>
      <w:r>
        <w:rPr>
          <w:rFonts w:hint="eastAsia" w:ascii="仿宋" w:hAnsi="仿宋" w:eastAsia="仿宋"/>
          <w:sz w:val="32"/>
          <w:lang w:eastAsia="zh-CN"/>
        </w:rPr>
        <w:t>甬宁博估（2022）司字第1103号</w:t>
      </w: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r>
        <w:rPr>
          <w:rFonts w:eastAsia="黑体"/>
          <w:sz w:val="36"/>
          <w:szCs w:val="36"/>
        </w:rPr>
        <w:t>致估价委托人函</w:t>
      </w:r>
    </w:p>
    <w:p>
      <w:pPr>
        <w:spacing w:line="460" w:lineRule="exact"/>
        <w:jc w:val="center"/>
        <w:rPr>
          <w:rFonts w:hint="eastAsia" w:eastAsia="黑体"/>
          <w:sz w:val="21"/>
          <w:szCs w:val="21"/>
        </w:rPr>
      </w:pPr>
      <w:r>
        <w:rPr>
          <w:rFonts w:hint="eastAsia" w:eastAsia="黑体"/>
          <w:color w:val="auto"/>
          <w:sz w:val="21"/>
          <w:szCs w:val="21"/>
          <w:lang w:eastAsia="zh-CN"/>
        </w:rPr>
        <w:t>甬宁博估（2022）司字第1103号</w:t>
      </w:r>
    </w:p>
    <w:p>
      <w:pPr>
        <w:keepNext w:val="0"/>
        <w:keepLines w:val="0"/>
        <w:pageBreakBefore w:val="0"/>
        <w:widowControl w:val="0"/>
        <w:kinsoku/>
        <w:wordWrap/>
        <w:overflowPunct/>
        <w:topLinePunct w:val="0"/>
        <w:autoSpaceDE/>
        <w:autoSpaceDN/>
        <w:bidi w:val="0"/>
        <w:adjustRightInd w:val="0"/>
        <w:snapToGrid/>
        <w:spacing w:line="400" w:lineRule="exact"/>
        <w:ind w:firstLine="567"/>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宁波市江北区人民法院</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400" w:lineRule="exact"/>
        <w:ind w:firstLine="567"/>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宁海县博信房地产资产评估有限公司</w:t>
      </w:r>
      <w:r>
        <w:rPr>
          <w:rFonts w:hint="eastAsia" w:ascii="仿宋" w:hAnsi="仿宋" w:eastAsia="仿宋" w:cs="仿宋"/>
          <w:color w:val="000000" w:themeColor="text1"/>
          <w:sz w:val="28"/>
          <w:szCs w:val="28"/>
          <w14:textFill>
            <w14:solidFill>
              <w14:schemeClr w14:val="tx1"/>
            </w14:solidFill>
          </w14:textFill>
        </w:rPr>
        <w:t>接受贵方的委托</w:t>
      </w:r>
      <w:r>
        <w:rPr>
          <w:rFonts w:hint="eastAsia" w:ascii="仿宋" w:hAnsi="仿宋" w:eastAsia="仿宋" w:cs="仿宋"/>
          <w:color w:val="000000" w:themeColor="text1"/>
          <w:sz w:val="28"/>
          <w:szCs w:val="28"/>
          <w:lang w:eastAsia="zh-CN"/>
          <w14:textFill>
            <w14:solidFill>
              <w14:schemeClr w14:val="tx1"/>
            </w14:solidFill>
          </w14:textFill>
        </w:rPr>
        <w:t>（（2022）浙0205法委评80号《司法评估委托书》</w:t>
      </w:r>
      <w:r>
        <w:rPr>
          <w:rFonts w:hint="eastAsia" w:ascii="仿宋" w:hAnsi="仿宋" w:eastAsia="仿宋" w:cs="仿宋"/>
          <w:sz w:val="28"/>
          <w:lang w:eastAsia="zh-CN"/>
        </w:rPr>
        <w:t>）</w:t>
      </w:r>
      <w:r>
        <w:rPr>
          <w:rFonts w:hint="eastAsia" w:ascii="仿宋" w:hAnsi="仿宋" w:eastAsia="仿宋" w:cs="仿宋"/>
          <w:color w:val="000000" w:themeColor="text1"/>
          <w:sz w:val="28"/>
          <w:szCs w:val="28"/>
          <w14:textFill>
            <w14:solidFill>
              <w14:schemeClr w14:val="tx1"/>
            </w14:solidFill>
          </w14:textFill>
        </w:rPr>
        <w:t>，委派</w:t>
      </w:r>
      <w:r>
        <w:rPr>
          <w:rFonts w:hint="eastAsia" w:ascii="仿宋" w:hAnsi="仿宋" w:eastAsia="仿宋" w:cs="仿宋"/>
          <w:color w:val="000000" w:themeColor="text1"/>
          <w:sz w:val="28"/>
          <w:szCs w:val="28"/>
          <w:lang w:eastAsia="zh-CN"/>
          <w14:textFill>
            <w14:solidFill>
              <w14:schemeClr w14:val="tx1"/>
            </w14:solidFill>
          </w14:textFill>
        </w:rPr>
        <w:t>专业估价人员</w:t>
      </w:r>
      <w:r>
        <w:rPr>
          <w:rFonts w:hint="eastAsia" w:ascii="仿宋" w:hAnsi="仿宋" w:eastAsia="仿宋" w:cs="仿宋"/>
          <w:color w:val="000000" w:themeColor="text1"/>
          <w:sz w:val="28"/>
          <w:szCs w:val="28"/>
          <w14:textFill>
            <w14:solidFill>
              <w14:schemeClr w14:val="tx1"/>
            </w14:solidFill>
          </w14:textFill>
        </w:rPr>
        <w:t>对估价对象进行了估价，有关内容报告如下。</w:t>
      </w:r>
    </w:p>
    <w:p>
      <w:pPr>
        <w:keepNext w:val="0"/>
        <w:keepLines w:val="0"/>
        <w:pageBreakBefore w:val="0"/>
        <w:widowControl w:val="0"/>
        <w:kinsoku/>
        <w:wordWrap/>
        <w:overflowPunct/>
        <w:topLinePunct w:val="0"/>
        <w:autoSpaceDE/>
        <w:autoSpaceDN/>
        <w:bidi w:val="0"/>
        <w:adjustRightInd w:val="0"/>
        <w:snapToGrid/>
        <w:spacing w:line="400" w:lineRule="exact"/>
        <w:ind w:firstLine="560" w:firstLineChars="200"/>
        <w:textAlignment w:val="auto"/>
        <w:rPr>
          <w:rFonts w:hint="eastAsia" w:ascii="仿宋" w:hAnsi="仿宋" w:eastAsia="仿宋" w:cs="仿宋"/>
          <w:sz w:val="28"/>
        </w:rPr>
      </w:pPr>
      <w:r>
        <w:rPr>
          <w:rFonts w:hint="eastAsia" w:ascii="仿宋" w:hAnsi="仿宋" w:eastAsia="仿宋" w:cs="仿宋"/>
          <w:color w:val="000000" w:themeColor="text1"/>
          <w:sz w:val="28"/>
          <w14:textFill>
            <w14:solidFill>
              <w14:schemeClr w14:val="tx1"/>
            </w14:solidFill>
          </w14:textFill>
        </w:rPr>
        <w:t>估价目的：</w:t>
      </w:r>
      <w:r>
        <w:rPr>
          <w:rFonts w:hint="eastAsia" w:ascii="仿宋" w:hAnsi="仿宋" w:eastAsia="仿宋" w:cs="仿宋"/>
          <w:sz w:val="28"/>
          <w:lang w:eastAsia="zh-CN"/>
        </w:rPr>
        <w:t>为人民法院确定财产处置参考价提供参考依据</w:t>
      </w:r>
      <w:r>
        <w:rPr>
          <w:rFonts w:hint="eastAsia" w:ascii="仿宋" w:hAnsi="仿宋" w:eastAsia="仿宋" w:cs="仿宋"/>
          <w:sz w:val="28"/>
        </w:rPr>
        <w:t>。</w:t>
      </w:r>
    </w:p>
    <w:p>
      <w:pPr>
        <w:keepNext w:val="0"/>
        <w:keepLines w:val="0"/>
        <w:pageBreakBefore w:val="0"/>
        <w:widowControl w:val="0"/>
        <w:tabs>
          <w:tab w:val="left" w:pos="900"/>
        </w:tabs>
        <w:kinsoku/>
        <w:wordWrap/>
        <w:overflowPunct/>
        <w:topLinePunct w:val="0"/>
        <w:autoSpaceDE/>
        <w:autoSpaceDN/>
        <w:bidi w:val="0"/>
        <w:adjustRightInd w:val="0"/>
        <w:snapToGrid/>
        <w:spacing w:line="400" w:lineRule="exact"/>
        <w:ind w:firstLine="560" w:firstLineChars="200"/>
        <w:textAlignment w:val="auto"/>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估价对象：</w:t>
      </w:r>
      <w:r>
        <w:rPr>
          <w:rFonts w:hint="eastAsia" w:ascii="仿宋" w:hAnsi="仿宋" w:eastAsia="仿宋" w:cs="仿宋"/>
          <w:color w:val="000000" w:themeColor="text1"/>
          <w:sz w:val="28"/>
          <w:lang w:eastAsia="zh-CN"/>
          <w14:textFill>
            <w14:solidFill>
              <w14:schemeClr w14:val="tx1"/>
            </w14:solidFill>
          </w14:textFill>
        </w:rPr>
        <w:t>宁波市江北区宁慈西路1455号枫湾家园10幢1单元102室的</w:t>
      </w:r>
      <w:r>
        <w:rPr>
          <w:rFonts w:hint="eastAsia" w:ascii="仿宋" w:hAnsi="仿宋" w:eastAsia="仿宋" w:cs="仿宋"/>
          <w:color w:val="000000" w:themeColor="text1"/>
          <w:sz w:val="28"/>
          <w14:textFill>
            <w14:solidFill>
              <w14:schemeClr w14:val="tx1"/>
            </w14:solidFill>
          </w14:textFill>
        </w:rPr>
        <w:t>房地产，财产范围</w:t>
      </w:r>
      <w:r>
        <w:rPr>
          <w:rFonts w:ascii="仿宋" w:hAnsi="仿宋" w:eastAsia="仿宋"/>
          <w:sz w:val="28"/>
        </w:rPr>
        <w:t>包括建筑物</w:t>
      </w:r>
      <w:r>
        <w:rPr>
          <w:rFonts w:hint="eastAsia" w:ascii="仿宋" w:hAnsi="仿宋" w:eastAsia="仿宋"/>
          <w:sz w:val="28"/>
          <w:lang w:eastAsia="zh-CN"/>
        </w:rPr>
        <w:t>（含室内固定装修）</w:t>
      </w:r>
      <w:r>
        <w:rPr>
          <w:rFonts w:ascii="仿宋" w:hAnsi="仿宋" w:eastAsia="仿宋"/>
          <w:sz w:val="28"/>
        </w:rPr>
        <w:t>、分摊的土地使用权</w:t>
      </w:r>
      <w:r>
        <w:rPr>
          <w:rFonts w:eastAsia="仿宋"/>
          <w:color w:val="000000" w:themeColor="text1"/>
          <w:sz w:val="28"/>
          <w14:textFill>
            <w14:solidFill>
              <w14:schemeClr w14:val="tx1"/>
            </w14:solidFill>
          </w14:textFill>
        </w:rPr>
        <w:t>及</w:t>
      </w:r>
      <w:r>
        <w:rPr>
          <w:rFonts w:hint="eastAsia" w:ascii="仿宋_GB2312" w:hAnsi="宋体" w:eastAsia="仿宋_GB2312"/>
          <w:sz w:val="28"/>
          <w:szCs w:val="28"/>
        </w:rPr>
        <w:t>维持估价对象正常使用所配套的水、电、卫等设施</w:t>
      </w:r>
      <w:r>
        <w:rPr>
          <w:rFonts w:hint="eastAsia" w:ascii="仿宋_GB2312" w:hAnsi="宋体" w:eastAsia="仿宋_GB2312"/>
          <w:sz w:val="28"/>
          <w:szCs w:val="28"/>
          <w:lang w:eastAsia="zh-CN"/>
        </w:rPr>
        <w:t>及自行车房</w:t>
      </w:r>
      <w:r>
        <w:rPr>
          <w:rFonts w:ascii="仿宋" w:hAnsi="仿宋" w:eastAsia="仿宋"/>
          <w:sz w:val="28"/>
        </w:rPr>
        <w:t>，</w:t>
      </w:r>
      <w:r>
        <w:rPr>
          <w:rFonts w:hint="eastAsia" w:ascii="仿宋" w:hAnsi="仿宋" w:eastAsia="仿宋"/>
          <w:color w:val="auto"/>
          <w:sz w:val="28"/>
          <w:lang w:eastAsia="zh-CN"/>
        </w:rPr>
        <w:t>包括附表中的部份</w:t>
      </w:r>
      <w:r>
        <w:rPr>
          <w:rFonts w:ascii="仿宋" w:hAnsi="仿宋" w:eastAsia="仿宋"/>
          <w:color w:val="auto"/>
          <w:sz w:val="28"/>
        </w:rPr>
        <w:t>动产</w:t>
      </w:r>
      <w:r>
        <w:rPr>
          <w:rFonts w:hint="eastAsia" w:ascii="仿宋" w:hAnsi="仿宋" w:eastAsia="仿宋"/>
          <w:color w:val="auto"/>
          <w:sz w:val="28"/>
          <w:lang w:eastAsia="zh-CN"/>
        </w:rPr>
        <w:t>，</w:t>
      </w:r>
      <w:r>
        <w:rPr>
          <w:rFonts w:ascii="仿宋" w:hAnsi="仿宋" w:eastAsia="仿宋"/>
          <w:color w:val="auto"/>
          <w:sz w:val="28"/>
        </w:rPr>
        <w:t>不包括债权</w:t>
      </w:r>
      <w:r>
        <w:rPr>
          <w:rFonts w:ascii="仿宋" w:hAnsi="仿宋" w:eastAsia="仿宋"/>
          <w:sz w:val="28"/>
        </w:rPr>
        <w:t>债务、特许经营权等其他财产或权益</w:t>
      </w:r>
      <w:r>
        <w:rPr>
          <w:rFonts w:hint="eastAsia" w:ascii="仿宋" w:hAnsi="仿宋" w:eastAsia="仿宋" w:cs="仿宋"/>
          <w:color w:val="000000" w:themeColor="text1"/>
          <w:sz w:val="28"/>
          <w14:textFill>
            <w14:solidFill>
              <w14:schemeClr w14:val="tx1"/>
            </w14:solidFill>
          </w14:textFill>
        </w:rPr>
        <w:t>；</w:t>
      </w:r>
      <w:r>
        <w:rPr>
          <w:rFonts w:hint="eastAsia" w:ascii="仿宋" w:hAnsi="仿宋" w:eastAsia="仿宋" w:cs="仿宋"/>
          <w:color w:val="000000" w:themeColor="text1"/>
          <w:sz w:val="28"/>
          <w:lang w:eastAsia="zh-CN"/>
          <w14:textFill>
            <w14:solidFill>
              <w14:schemeClr w14:val="tx1"/>
            </w14:solidFill>
          </w14:textFill>
        </w:rPr>
        <w:t>估价对象建筑物</w:t>
      </w:r>
      <w:r>
        <w:rPr>
          <w:rFonts w:hint="eastAsia" w:ascii="仿宋" w:hAnsi="仿宋" w:eastAsia="仿宋" w:cs="仿宋"/>
          <w:color w:val="000000" w:themeColor="text1"/>
          <w:sz w:val="28"/>
          <w14:textFill>
            <w14:solidFill>
              <w14:schemeClr w14:val="tx1"/>
            </w14:solidFill>
          </w14:textFill>
        </w:rPr>
        <w:t>位于</w:t>
      </w:r>
      <w:r>
        <w:rPr>
          <w:rFonts w:hint="eastAsia" w:ascii="仿宋" w:hAnsi="仿宋" w:eastAsia="仿宋" w:cs="仿宋"/>
          <w:color w:val="000000" w:themeColor="text1"/>
          <w:sz w:val="28"/>
          <w:lang w:eastAsia="zh-CN"/>
          <w14:textFill>
            <w14:solidFill>
              <w14:schemeClr w14:val="tx1"/>
            </w14:solidFill>
          </w14:textFill>
        </w:rPr>
        <w:t>所在</w:t>
      </w:r>
      <w:r>
        <w:rPr>
          <w:rFonts w:hint="eastAsia" w:ascii="仿宋" w:hAnsi="仿宋" w:eastAsia="仿宋" w:cs="仿宋"/>
          <w:color w:val="000000" w:themeColor="text1"/>
          <w:sz w:val="28"/>
          <w14:textFill>
            <w14:solidFill>
              <w14:schemeClr w14:val="tx1"/>
            </w14:solidFill>
          </w14:textFill>
        </w:rPr>
        <w:t>楼幢的第</w:t>
      </w:r>
      <w:r>
        <w:rPr>
          <w:rFonts w:hint="eastAsia" w:ascii="仿宋" w:hAnsi="仿宋" w:eastAsia="仿宋" w:cs="仿宋"/>
          <w:color w:val="000000" w:themeColor="text1"/>
          <w:sz w:val="28"/>
          <w:lang w:val="en-US" w:eastAsia="zh-CN"/>
          <w14:textFill>
            <w14:solidFill>
              <w14:schemeClr w14:val="tx1"/>
            </w14:solidFill>
          </w14:textFill>
        </w:rPr>
        <w:t>1</w:t>
      </w:r>
      <w:r>
        <w:rPr>
          <w:rFonts w:hint="eastAsia" w:ascii="仿宋" w:hAnsi="仿宋" w:eastAsia="仿宋" w:cs="仿宋"/>
          <w:color w:val="000000" w:themeColor="text1"/>
          <w:sz w:val="28"/>
          <w14:textFill>
            <w14:solidFill>
              <w14:schemeClr w14:val="tx1"/>
            </w14:solidFill>
          </w14:textFill>
        </w:rPr>
        <w:t>层；权属人为</w:t>
      </w:r>
      <w:r>
        <w:rPr>
          <w:rFonts w:hint="eastAsia" w:ascii="仿宋" w:hAnsi="仿宋" w:eastAsia="仿宋" w:cs="仿宋"/>
          <w:color w:val="000000" w:themeColor="text1"/>
          <w:sz w:val="28"/>
          <w:lang w:eastAsia="zh-CN"/>
          <w14:textFill>
            <w14:solidFill>
              <w14:schemeClr w14:val="tx1"/>
            </w14:solidFill>
          </w14:textFill>
        </w:rPr>
        <w:t>***，</w:t>
      </w:r>
      <w:r>
        <w:rPr>
          <w:rFonts w:hint="eastAsia" w:ascii="仿宋" w:hAnsi="仿宋" w:eastAsia="仿宋" w:cs="仿宋"/>
          <w:color w:val="000000" w:themeColor="text1"/>
          <w:sz w:val="28"/>
          <w14:textFill>
            <w14:solidFill>
              <w14:schemeClr w14:val="tx1"/>
            </w14:solidFill>
          </w14:textFill>
        </w:rPr>
        <w:t>房屋建筑面积</w:t>
      </w:r>
      <w:r>
        <w:rPr>
          <w:rFonts w:hint="eastAsia" w:ascii="仿宋" w:hAnsi="仿宋" w:eastAsia="仿宋" w:cs="仿宋"/>
          <w:color w:val="000000" w:themeColor="text1"/>
          <w:sz w:val="28"/>
          <w:lang w:eastAsia="zh-CN"/>
          <w14:textFill>
            <w14:solidFill>
              <w14:schemeClr w14:val="tx1"/>
            </w14:solidFill>
          </w14:textFill>
        </w:rPr>
        <w:t>120.39平方米，</w:t>
      </w:r>
      <w:r>
        <w:rPr>
          <w:rFonts w:hint="eastAsia" w:ascii="仿宋" w:hAnsi="仿宋" w:eastAsia="仿宋" w:cs="仿宋"/>
          <w:color w:val="000000" w:themeColor="text1"/>
          <w:sz w:val="28"/>
          <w14:textFill>
            <w14:solidFill>
              <w14:schemeClr w14:val="tx1"/>
            </w14:solidFill>
          </w14:textFill>
        </w:rPr>
        <w:t>房屋建筑法定用途及实际用途均为住宅，土地使用权类型为</w:t>
      </w:r>
      <w:r>
        <w:rPr>
          <w:rFonts w:hint="eastAsia" w:ascii="仿宋" w:hAnsi="仿宋" w:eastAsia="仿宋" w:cs="仿宋"/>
          <w:color w:val="000000" w:themeColor="text1"/>
          <w:sz w:val="28"/>
          <w:lang w:eastAsia="zh-CN"/>
          <w14:textFill>
            <w14:solidFill>
              <w14:schemeClr w14:val="tx1"/>
            </w14:solidFill>
          </w14:textFill>
        </w:rPr>
        <w:t>划拨，土地使用权面积为</w:t>
      </w:r>
      <w:r>
        <w:rPr>
          <w:rFonts w:hint="eastAsia" w:ascii="仿宋" w:hAnsi="仿宋" w:eastAsia="仿宋" w:cs="仿宋"/>
          <w:color w:val="000000" w:themeColor="text1"/>
          <w:sz w:val="28"/>
          <w:lang w:val="en-US" w:eastAsia="zh-CN"/>
          <w14:textFill>
            <w14:solidFill>
              <w14:schemeClr w14:val="tx1"/>
            </w14:solidFill>
          </w14:textFill>
        </w:rPr>
        <w:t>24.08平方米；另有5号自行车房一间，计7.6平方米</w:t>
      </w:r>
      <w:r>
        <w:rPr>
          <w:rFonts w:hint="eastAsia" w:ascii="仿宋" w:hAnsi="仿宋" w:eastAsia="仿宋" w:cs="仿宋"/>
          <w:color w:val="000000" w:themeColor="text1"/>
          <w:sz w:val="28"/>
          <w14:textFill>
            <w14:solidFill>
              <w14:schemeClr w14:val="tx1"/>
            </w14:solidFill>
          </w14:textFill>
        </w:rPr>
        <w:t>。</w:t>
      </w:r>
    </w:p>
    <w:p>
      <w:pPr>
        <w:keepNext w:val="0"/>
        <w:keepLines w:val="0"/>
        <w:pageBreakBefore w:val="0"/>
        <w:widowControl w:val="0"/>
        <w:tabs>
          <w:tab w:val="left" w:pos="900"/>
        </w:tabs>
        <w:kinsoku/>
        <w:wordWrap/>
        <w:overflowPunct/>
        <w:topLinePunct w:val="0"/>
        <w:autoSpaceDE/>
        <w:autoSpaceDN/>
        <w:bidi w:val="0"/>
        <w:adjustRightInd w:val="0"/>
        <w:snapToGrid/>
        <w:spacing w:line="400" w:lineRule="exact"/>
        <w:ind w:firstLine="560" w:firstLineChars="200"/>
        <w:textAlignment w:val="auto"/>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价值时点：</w:t>
      </w:r>
      <w:r>
        <w:rPr>
          <w:rFonts w:hint="eastAsia" w:ascii="仿宋" w:hAnsi="仿宋" w:eastAsia="仿宋" w:cs="仿宋"/>
          <w:color w:val="000000" w:themeColor="text1"/>
          <w:sz w:val="28"/>
          <w:lang w:eastAsia="zh-CN"/>
          <w14:textFill>
            <w14:solidFill>
              <w14:schemeClr w14:val="tx1"/>
            </w14:solidFill>
          </w14:textFill>
        </w:rPr>
        <w:t>2022年11月16日</w:t>
      </w:r>
      <w:r>
        <w:rPr>
          <w:rFonts w:hint="eastAsia" w:ascii="仿宋" w:hAnsi="仿宋" w:eastAsia="仿宋" w:cs="仿宋"/>
          <w:color w:val="000000" w:themeColor="text1"/>
          <w:sz w:val="28"/>
          <w14:textFill>
            <w14:solidFill>
              <w14:schemeClr w14:val="tx1"/>
            </w14:solidFill>
          </w14:textFill>
        </w:rPr>
        <w:t>；</w:t>
      </w:r>
    </w:p>
    <w:p>
      <w:pPr>
        <w:keepNext w:val="0"/>
        <w:keepLines w:val="0"/>
        <w:pageBreakBefore w:val="0"/>
        <w:widowControl w:val="0"/>
        <w:tabs>
          <w:tab w:val="left" w:pos="900"/>
        </w:tabs>
        <w:kinsoku/>
        <w:wordWrap/>
        <w:overflowPunct/>
        <w:topLinePunct w:val="0"/>
        <w:autoSpaceDE/>
        <w:autoSpaceDN/>
        <w:bidi w:val="0"/>
        <w:adjustRightInd w:val="0"/>
        <w:snapToGrid/>
        <w:spacing w:line="400" w:lineRule="exact"/>
        <w:ind w:firstLine="560" w:firstLineChars="200"/>
        <w:textAlignment w:val="auto"/>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价值类型：市场价值；</w:t>
      </w:r>
    </w:p>
    <w:p>
      <w:pPr>
        <w:keepNext w:val="0"/>
        <w:keepLines w:val="0"/>
        <w:pageBreakBefore w:val="0"/>
        <w:widowControl w:val="0"/>
        <w:tabs>
          <w:tab w:val="left" w:pos="900"/>
        </w:tabs>
        <w:kinsoku/>
        <w:wordWrap/>
        <w:overflowPunct/>
        <w:topLinePunct w:val="0"/>
        <w:autoSpaceDE/>
        <w:autoSpaceDN/>
        <w:bidi w:val="0"/>
        <w:adjustRightInd w:val="0"/>
        <w:snapToGrid/>
        <w:spacing w:line="400" w:lineRule="exact"/>
        <w:ind w:firstLine="560" w:firstLineChars="200"/>
        <w:textAlignment w:val="auto"/>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lang w:eastAsia="zh-CN"/>
          <w14:textFill>
            <w14:solidFill>
              <w14:schemeClr w14:val="tx1"/>
            </w14:solidFill>
          </w14:textFill>
        </w:rPr>
        <w:t>估价结果：估价人员采用比较法经过测算并结合估价经验确定估价对象房地产在价值时点的评估结果为</w:t>
      </w:r>
      <w:r>
        <w:rPr>
          <w:rFonts w:hint="eastAsia" w:ascii="仿宋" w:hAnsi="仿宋" w:eastAsia="仿宋" w:cs="仿宋"/>
          <w:color w:val="000000" w:themeColor="text1"/>
          <w:sz w:val="28"/>
          <w:lang w:val="en-US" w:eastAsia="zh-CN"/>
          <w14:textFill>
            <w14:solidFill>
              <w14:schemeClr w14:val="tx1"/>
            </w14:solidFill>
          </w14:textFill>
        </w:rPr>
        <w:t>239.63万元，</w:t>
      </w:r>
      <w:r>
        <w:rPr>
          <w:rFonts w:hint="eastAsia" w:ascii="仿宋" w:hAnsi="仿宋" w:eastAsia="仿宋" w:cs="仿宋"/>
          <w:color w:val="000000" w:themeColor="text1"/>
          <w:sz w:val="28"/>
          <w:lang w:eastAsia="zh-CN"/>
          <w14:textFill>
            <w14:solidFill>
              <w14:schemeClr w14:val="tx1"/>
            </w14:solidFill>
          </w14:textFill>
        </w:rPr>
        <w:t>大写人民币贰佰叁拾玖万陆仟叁佰元整，综合单价为</w:t>
      </w:r>
      <w:r>
        <w:rPr>
          <w:rFonts w:hint="eastAsia" w:ascii="仿宋" w:hAnsi="仿宋" w:eastAsia="仿宋" w:cs="仿宋"/>
          <w:color w:val="000000" w:themeColor="text1"/>
          <w:sz w:val="28"/>
          <w:lang w:val="en-US" w:eastAsia="zh-CN"/>
          <w14:textFill>
            <w14:solidFill>
              <w14:schemeClr w14:val="tx1"/>
            </w14:solidFill>
          </w14:textFill>
        </w:rPr>
        <w:t>19904</w:t>
      </w:r>
      <w:r>
        <w:rPr>
          <w:rFonts w:hint="eastAsia" w:ascii="仿宋" w:hAnsi="仿宋" w:eastAsia="仿宋" w:cs="仿宋"/>
          <w:color w:val="000000" w:themeColor="text1"/>
          <w:sz w:val="28"/>
          <w:lang w:eastAsia="zh-CN"/>
          <w14:textFill>
            <w14:solidFill>
              <w14:schemeClr w14:val="tx1"/>
            </w14:solidFill>
          </w14:textFill>
        </w:rPr>
        <w:t>元/㎡，明细结果如下表。</w:t>
      </w:r>
      <w:r>
        <w:rPr>
          <w:rFonts w:hint="eastAsia" w:ascii="仿宋" w:hAnsi="仿宋" w:eastAsia="仿宋" w:cs="仿宋"/>
          <w:color w:val="000000" w:themeColor="text1"/>
          <w:sz w:val="28"/>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估价结果明细表</w:t>
      </w:r>
    </w:p>
    <w:tbl>
      <w:tblPr>
        <w:tblStyle w:val="1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00"/>
        <w:gridCol w:w="1395"/>
        <w:gridCol w:w="2621"/>
        <w:gridCol w:w="1334"/>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0" w:hRule="atLeast"/>
        </w:trPr>
        <w:tc>
          <w:tcPr>
            <w:tcW w:w="2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估价对象</w:t>
            </w:r>
          </w:p>
        </w:tc>
        <w:tc>
          <w:tcPr>
            <w:tcW w:w="139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建筑面积（㎡）</w:t>
            </w:r>
          </w:p>
        </w:tc>
        <w:tc>
          <w:tcPr>
            <w:tcW w:w="262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房屋评估总价（万元，其中室内固定装修）</w:t>
            </w:r>
          </w:p>
        </w:tc>
        <w:tc>
          <w:tcPr>
            <w:tcW w:w="13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自行车房总价（万元）</w:t>
            </w:r>
          </w:p>
        </w:tc>
        <w:tc>
          <w:tcPr>
            <w:tcW w:w="17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室内家电家具总价（万元）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宁慈西路1455号枫湾家园10幢1单元102室</w:t>
            </w:r>
          </w:p>
        </w:tc>
        <w:tc>
          <w:tcPr>
            <w:tcW w:w="139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120.39</w:t>
            </w:r>
          </w:p>
        </w:tc>
        <w:tc>
          <w:tcPr>
            <w:tcW w:w="26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235.36（8.13）</w:t>
            </w:r>
          </w:p>
        </w:tc>
        <w:tc>
          <w:tcPr>
            <w:tcW w:w="133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2.66</w:t>
            </w:r>
          </w:p>
        </w:tc>
        <w:tc>
          <w:tcPr>
            <w:tcW w:w="171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 计（万元）</w:t>
            </w:r>
          </w:p>
        </w:tc>
        <w:tc>
          <w:tcPr>
            <w:tcW w:w="7066"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239.63</w:t>
            </w:r>
          </w:p>
        </w:tc>
      </w:tr>
    </w:tbl>
    <w:p>
      <w:pPr>
        <w:spacing w:line="300" w:lineRule="exact"/>
        <w:jc w:val="left"/>
        <w:rPr>
          <w:rStyle w:val="30"/>
          <w:rFonts w:ascii="仿宋" w:hAnsi="仿宋" w:eastAsia="仿宋"/>
          <w:szCs w:val="21"/>
        </w:rPr>
      </w:pPr>
      <w:r>
        <w:rPr>
          <w:rStyle w:val="30"/>
          <w:rFonts w:ascii="仿宋" w:hAnsi="仿宋" w:eastAsia="仿宋"/>
          <w:szCs w:val="21"/>
        </w:rPr>
        <w:t>特别提示：</w:t>
      </w:r>
      <w:r>
        <w:rPr>
          <w:rStyle w:val="30"/>
          <w:rFonts w:hint="eastAsia" w:ascii="仿宋" w:hAnsi="仿宋" w:eastAsia="仿宋"/>
          <w:szCs w:val="21"/>
        </w:rPr>
        <w:t>（1）估价结果未考虑估价对象原有的担保物权、其他法定优先受偿权</w:t>
      </w:r>
      <w:r>
        <w:rPr>
          <w:rStyle w:val="30"/>
          <w:rFonts w:hint="eastAsia" w:ascii="仿宋" w:hAnsi="仿宋" w:eastAsia="仿宋"/>
          <w:szCs w:val="21"/>
          <w:lang w:eastAsia="zh-CN"/>
        </w:rPr>
        <w:t>等因素</w:t>
      </w:r>
      <w:r>
        <w:rPr>
          <w:rStyle w:val="30"/>
          <w:rFonts w:hint="eastAsia" w:ascii="仿宋" w:hAnsi="仿宋" w:eastAsia="仿宋"/>
          <w:szCs w:val="21"/>
        </w:rPr>
        <w:t>。</w:t>
      </w:r>
    </w:p>
    <w:p>
      <w:pPr>
        <w:spacing w:line="300" w:lineRule="exact"/>
        <w:jc w:val="left"/>
        <w:rPr>
          <w:rStyle w:val="30"/>
          <w:rFonts w:ascii="仿宋" w:hAnsi="仿宋" w:eastAsia="仿宋"/>
          <w:szCs w:val="21"/>
        </w:rPr>
      </w:pPr>
      <w:r>
        <w:rPr>
          <w:rStyle w:val="30"/>
          <w:rFonts w:hint="eastAsia" w:ascii="仿宋" w:hAnsi="仿宋" w:eastAsia="仿宋"/>
          <w:szCs w:val="21"/>
        </w:rPr>
        <w:t>（2）本次评估价格不包含房产过户中应缴纳的各项交易税费</w:t>
      </w:r>
      <w:r>
        <w:rPr>
          <w:rStyle w:val="30"/>
          <w:rFonts w:hint="eastAsia" w:ascii="仿宋" w:hAnsi="仿宋" w:eastAsia="仿宋"/>
          <w:szCs w:val="21"/>
          <w:lang w:eastAsia="zh-CN"/>
        </w:rPr>
        <w:t>，亦未包含估价对象过户时由划拨地转为国有出让地应补交的土地使用权出让金</w:t>
      </w:r>
      <w:r>
        <w:rPr>
          <w:rStyle w:val="30"/>
          <w:rFonts w:hint="eastAsia" w:ascii="仿宋" w:hAnsi="仿宋" w:eastAsia="仿宋"/>
          <w:szCs w:val="21"/>
        </w:rPr>
        <w:t>。</w:t>
      </w:r>
    </w:p>
    <w:p>
      <w:pPr>
        <w:spacing w:line="300" w:lineRule="exact"/>
        <w:jc w:val="left"/>
        <w:rPr>
          <w:rStyle w:val="30"/>
          <w:rFonts w:hint="eastAsia" w:ascii="仿宋" w:hAnsi="仿宋" w:eastAsia="仿宋"/>
          <w:szCs w:val="21"/>
        </w:rPr>
      </w:pPr>
      <w:r>
        <w:rPr>
          <w:rStyle w:val="30"/>
          <w:rFonts w:hint="eastAsia" w:ascii="仿宋" w:hAnsi="仿宋" w:eastAsia="仿宋"/>
          <w:szCs w:val="21"/>
        </w:rPr>
        <w:t>（3）本次评估按照房地产</w:t>
      </w:r>
      <w:r>
        <w:rPr>
          <w:rStyle w:val="30"/>
          <w:rFonts w:hint="eastAsia" w:ascii="仿宋" w:hAnsi="仿宋" w:eastAsia="仿宋"/>
          <w:szCs w:val="21"/>
          <w:lang w:eastAsia="zh-CN"/>
        </w:rPr>
        <w:t>价值</w:t>
      </w:r>
      <w:r>
        <w:rPr>
          <w:rStyle w:val="30"/>
          <w:rFonts w:hint="eastAsia" w:ascii="仿宋" w:hAnsi="仿宋" w:eastAsia="仿宋"/>
          <w:szCs w:val="21"/>
        </w:rPr>
        <w:t>时点现状进行评估。</w:t>
      </w:r>
    </w:p>
    <w:p>
      <w:pPr>
        <w:spacing w:line="300" w:lineRule="exact"/>
        <w:jc w:val="left"/>
        <w:rPr>
          <w:rStyle w:val="30"/>
          <w:rFonts w:hint="eastAsia" w:ascii="仿宋" w:hAnsi="仿宋" w:eastAsia="仿宋"/>
          <w:szCs w:val="21"/>
        </w:rPr>
      </w:pPr>
      <w:r>
        <w:rPr>
          <w:rStyle w:val="30"/>
          <w:rFonts w:hint="eastAsia" w:ascii="仿宋" w:hAnsi="仿宋" w:eastAsia="仿宋"/>
          <w:szCs w:val="21"/>
        </w:rPr>
        <w:t>（4）本估价结果不应作为价格实现的保证。欲知详情，请仔细阅读本估价报告全文。</w:t>
      </w:r>
    </w:p>
    <w:p>
      <w:pPr>
        <w:spacing w:line="300" w:lineRule="exact"/>
        <w:jc w:val="left"/>
        <w:rPr>
          <w:rStyle w:val="30"/>
          <w:rFonts w:hint="default" w:ascii="仿宋" w:hAnsi="仿宋" w:eastAsia="仿宋"/>
          <w:szCs w:val="21"/>
          <w:lang w:val="en-US" w:eastAsia="zh-CN"/>
        </w:rPr>
      </w:pPr>
      <w:r>
        <w:rPr>
          <w:rStyle w:val="30"/>
          <w:rFonts w:hint="eastAsia" w:ascii="仿宋" w:hAnsi="仿宋" w:eastAsia="仿宋"/>
          <w:szCs w:val="21"/>
          <w:lang w:eastAsia="zh-CN"/>
        </w:rPr>
        <w:t>（</w:t>
      </w:r>
      <w:r>
        <w:rPr>
          <w:rStyle w:val="30"/>
          <w:rFonts w:hint="eastAsia" w:ascii="仿宋" w:hAnsi="仿宋" w:eastAsia="仿宋"/>
          <w:szCs w:val="21"/>
          <w:lang w:val="en-US" w:eastAsia="zh-CN"/>
        </w:rPr>
        <w:t>5)据估价人员向物业公司了解到，估价对象房地产拖欠物业费用共866.88元，由于物业公司未提供书面证明，其金额或有变动。</w:t>
      </w:r>
    </w:p>
    <w:p>
      <w:pPr>
        <w:spacing w:line="480" w:lineRule="exact"/>
        <w:ind w:right="-86" w:rightChars="-41" w:firstLine="1080"/>
        <w:jc w:val="right"/>
        <w:rPr>
          <w:rFonts w:hint="eastAsia" w:eastAsia="黑体"/>
          <w:sz w:val="28"/>
          <w:szCs w:val="28"/>
          <w:lang w:eastAsia="zh-CN"/>
        </w:rPr>
      </w:pPr>
      <w:r>
        <w:rPr>
          <w:rFonts w:hint="eastAsia" w:eastAsia="黑体"/>
          <w:sz w:val="28"/>
          <w:szCs w:val="28"/>
          <w:lang w:eastAsia="zh-CN"/>
        </w:rPr>
        <w:t>宁海县博信房地产资产评估有限公司</w:t>
      </w:r>
    </w:p>
    <w:p>
      <w:pPr>
        <w:wordWrap w:val="0"/>
        <w:spacing w:line="480" w:lineRule="exact"/>
        <w:ind w:right="-86" w:rightChars="-41"/>
        <w:jc w:val="right"/>
        <w:rPr>
          <w:rFonts w:hint="eastAsia" w:eastAsia="黑体"/>
          <w:sz w:val="28"/>
          <w:szCs w:val="28"/>
          <w:lang w:eastAsia="zh-CN"/>
        </w:rPr>
      </w:pPr>
      <w:r>
        <w:rPr>
          <w:rFonts w:eastAsia="黑体"/>
          <w:sz w:val="28"/>
          <w:szCs w:val="28"/>
        </w:rPr>
        <w:t>法定代表人：</w:t>
      </w:r>
      <w:r>
        <w:rPr>
          <w:rFonts w:hint="eastAsia" w:eastAsia="黑体"/>
          <w:sz w:val="28"/>
          <w:szCs w:val="28"/>
          <w:lang w:eastAsia="zh-CN"/>
        </w:rPr>
        <w:t>***</w:t>
      </w:r>
    </w:p>
    <w:p>
      <w:pPr>
        <w:wordWrap w:val="0"/>
        <w:spacing w:line="480" w:lineRule="exact"/>
        <w:ind w:right="-86" w:rightChars="-41"/>
        <w:jc w:val="right"/>
        <w:rPr>
          <w:rStyle w:val="48"/>
          <w:rFonts w:hint="eastAsia" w:ascii="Times New Roman" w:eastAsia="黑体"/>
          <w:spacing w:val="0"/>
          <w:kern w:val="0"/>
          <w:sz w:val="30"/>
          <w:lang w:eastAsia="zh-CN"/>
        </w:rPr>
      </w:pPr>
      <w:r>
        <w:rPr>
          <w:rStyle w:val="48"/>
          <w:rFonts w:hint="eastAsia" w:eastAsia="黑体"/>
          <w:spacing w:val="0"/>
          <w:kern w:val="0"/>
          <w:sz w:val="30"/>
          <w:lang w:eastAsia="zh-CN"/>
        </w:rPr>
        <w:t>二〇二二年十一月二十二日</w:t>
      </w:r>
    </w:p>
    <w:p>
      <w:pPr>
        <w:rPr>
          <w:rStyle w:val="48"/>
          <w:rFonts w:hint="eastAsia" w:ascii="Times New Roman" w:eastAsia="黑体"/>
          <w:spacing w:val="0"/>
          <w:kern w:val="0"/>
          <w:sz w:val="30"/>
          <w:lang w:eastAsia="zh-CN"/>
        </w:rPr>
      </w:pPr>
      <w:r>
        <w:rPr>
          <w:rStyle w:val="48"/>
          <w:rFonts w:hint="eastAsia" w:ascii="Times New Roman" w:eastAsia="黑体"/>
          <w:spacing w:val="0"/>
          <w:kern w:val="0"/>
          <w:sz w:val="30"/>
          <w:lang w:eastAsia="zh-CN"/>
        </w:rPr>
        <w:br w:type="page"/>
      </w:r>
    </w:p>
    <w:p>
      <w:pPr>
        <w:pStyle w:val="79"/>
        <w:jc w:val="center"/>
        <w:rPr>
          <w:rFonts w:ascii="Times New Roman" w:hAnsi="Times New Roman" w:eastAsia="黑体"/>
          <w:b w:val="0"/>
          <w:color w:val="000000"/>
          <w:sz w:val="44"/>
          <w:szCs w:val="44"/>
        </w:rPr>
      </w:pPr>
      <w:r>
        <w:rPr>
          <w:rFonts w:ascii="Times New Roman" w:hAnsi="Times New Roman" w:eastAsia="黑体"/>
          <w:b w:val="0"/>
          <w:color w:val="000000"/>
          <w:sz w:val="44"/>
          <w:szCs w:val="44"/>
          <w:lang w:val="zh-CN"/>
        </w:rPr>
        <w:t>目录</w:t>
      </w:r>
    </w:p>
    <w:p>
      <w:pPr>
        <w:pStyle w:val="15"/>
        <w:tabs>
          <w:tab w:val="right" w:leader="dot" w:pos="9345"/>
        </w:tabs>
        <w:rPr>
          <w:rStyle w:val="27"/>
        </w:rPr>
      </w:pPr>
      <w:r>
        <w:rPr>
          <w:rStyle w:val="27"/>
        </w:rPr>
        <w:fldChar w:fldCharType="begin"/>
      </w:r>
      <w:r>
        <w:rPr>
          <w:rStyle w:val="27"/>
        </w:rPr>
        <w:instrText xml:space="preserve"> TOC \o "1-3" \h \z \u </w:instrText>
      </w:r>
      <w:r>
        <w:rPr>
          <w:rStyle w:val="27"/>
        </w:rPr>
        <w:fldChar w:fldCharType="separate"/>
      </w:r>
      <w:r>
        <w:fldChar w:fldCharType="begin"/>
      </w:r>
      <w:r>
        <w:instrText xml:space="preserve"> HYPERLINK \l "_Toc76733166" </w:instrText>
      </w:r>
      <w:r>
        <w:fldChar w:fldCharType="separate"/>
      </w:r>
      <w:r>
        <w:rPr>
          <w:rStyle w:val="27"/>
          <w:rFonts w:hint="eastAsia"/>
        </w:rPr>
        <w:t>房地产估价师声明</w:t>
      </w:r>
      <w:r>
        <w:rPr>
          <w:rStyle w:val="27"/>
        </w:rPr>
        <w:tab/>
      </w:r>
      <w:r>
        <w:rPr>
          <w:rStyle w:val="27"/>
        </w:rPr>
        <w:fldChar w:fldCharType="begin"/>
      </w:r>
      <w:r>
        <w:rPr>
          <w:rStyle w:val="27"/>
        </w:rPr>
        <w:instrText xml:space="preserve"> PAGEREF _Toc76733166 \h </w:instrText>
      </w:r>
      <w:r>
        <w:rPr>
          <w:rStyle w:val="27"/>
        </w:rPr>
        <w:fldChar w:fldCharType="separate"/>
      </w:r>
      <w:r>
        <w:rPr>
          <w:rStyle w:val="27"/>
        </w:rPr>
        <w:t>4</w:t>
      </w:r>
      <w:r>
        <w:rPr>
          <w:rStyle w:val="27"/>
        </w:rPr>
        <w:fldChar w:fldCharType="end"/>
      </w:r>
      <w:r>
        <w:rPr>
          <w:rStyle w:val="27"/>
        </w:rPr>
        <w:fldChar w:fldCharType="end"/>
      </w:r>
    </w:p>
    <w:p>
      <w:pPr>
        <w:pStyle w:val="15"/>
        <w:tabs>
          <w:tab w:val="right" w:leader="dot" w:pos="9345"/>
        </w:tabs>
        <w:rPr>
          <w:rStyle w:val="27"/>
          <w:rFonts w:hint="eastAsia" w:eastAsia="宋体"/>
          <w:lang w:val="en-US" w:eastAsia="zh-CN"/>
        </w:rPr>
      </w:pPr>
      <w:r>
        <w:fldChar w:fldCharType="begin"/>
      </w:r>
      <w:r>
        <w:instrText xml:space="preserve"> HYPERLINK \l "_Toc76733167" </w:instrText>
      </w:r>
      <w:r>
        <w:fldChar w:fldCharType="separate"/>
      </w:r>
      <w:r>
        <w:rPr>
          <w:rStyle w:val="27"/>
          <w:rFonts w:hint="eastAsia"/>
        </w:rPr>
        <w:t>估价的假设和限制条件</w:t>
      </w:r>
      <w:r>
        <w:rPr>
          <w:rStyle w:val="27"/>
        </w:rPr>
        <w:tab/>
      </w:r>
      <w:r>
        <w:rPr>
          <w:rStyle w:val="27"/>
        </w:rPr>
        <w:fldChar w:fldCharType="begin"/>
      </w:r>
      <w:r>
        <w:rPr>
          <w:rStyle w:val="27"/>
        </w:rPr>
        <w:instrText xml:space="preserve"> PAGEREF _Toc76733167 \h </w:instrText>
      </w:r>
      <w:r>
        <w:rPr>
          <w:rStyle w:val="27"/>
        </w:rPr>
        <w:fldChar w:fldCharType="separate"/>
      </w:r>
      <w:r>
        <w:rPr>
          <w:rStyle w:val="27"/>
        </w:rPr>
        <w:t>5</w:t>
      </w:r>
      <w:r>
        <w:rPr>
          <w:rStyle w:val="27"/>
        </w:rPr>
        <w:fldChar w:fldCharType="end"/>
      </w:r>
      <w:r>
        <w:rPr>
          <w:rStyle w:val="27"/>
        </w:rPr>
        <w:fldChar w:fldCharType="end"/>
      </w:r>
      <w:r>
        <w:rPr>
          <w:rStyle w:val="27"/>
          <w:rFonts w:hint="eastAsia"/>
          <w:lang w:val="en-US" w:eastAsia="zh-CN"/>
        </w:rPr>
        <w:t>-6</w:t>
      </w:r>
    </w:p>
    <w:p>
      <w:pPr>
        <w:pStyle w:val="17"/>
        <w:tabs>
          <w:tab w:val="right" w:leader="dot" w:pos="9345"/>
        </w:tabs>
        <w:rPr>
          <w:rStyle w:val="27"/>
        </w:rPr>
      </w:pPr>
      <w:r>
        <w:fldChar w:fldCharType="begin"/>
      </w:r>
      <w:r>
        <w:instrText xml:space="preserve"> HYPERLINK \l "_Toc76733168" </w:instrText>
      </w:r>
      <w:r>
        <w:fldChar w:fldCharType="separate"/>
      </w:r>
      <w:r>
        <w:rPr>
          <w:rStyle w:val="27"/>
          <w:rFonts w:hint="eastAsia"/>
        </w:rPr>
        <w:t>一、本次估价的各项估价假设</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"_Toc76733169" </w:instrText>
      </w:r>
      <w:r>
        <w:fldChar w:fldCharType="separate"/>
      </w:r>
      <w:r>
        <w:rPr>
          <w:rStyle w:val="27"/>
          <w:rFonts w:hint="eastAsia"/>
        </w:rPr>
        <w:t>二、估价报告使用限制</w:t>
      </w:r>
      <w:r>
        <w:rPr>
          <w:rStyle w:val="27"/>
        </w:rPr>
        <w:tab/>
      </w:r>
      <w:r>
        <w:rPr>
          <w:rStyle w:val="27"/>
        </w:rPr>
        <w:fldChar w:fldCharType="end"/>
      </w:r>
    </w:p>
    <w:p>
      <w:pPr>
        <w:pStyle w:val="15"/>
        <w:tabs>
          <w:tab w:val="right" w:leader="dot" w:pos="9345"/>
        </w:tabs>
        <w:rPr>
          <w:rStyle w:val="27"/>
          <w:rFonts w:hint="eastAsia" w:eastAsia="宋体"/>
          <w:lang w:val="en-US" w:eastAsia="zh-CN"/>
        </w:rPr>
      </w:pPr>
      <w:r>
        <w:fldChar w:fldCharType="begin"/>
      </w:r>
      <w:r>
        <w:instrText xml:space="preserve"> HYPERLINK \l "_Toc76733170" </w:instrText>
      </w:r>
      <w:r>
        <w:fldChar w:fldCharType="separate"/>
      </w:r>
      <w:r>
        <w:rPr>
          <w:rStyle w:val="27"/>
          <w:rFonts w:hint="eastAsia"/>
        </w:rPr>
        <w:t>房地产估价结果报告</w:t>
      </w:r>
      <w:r>
        <w:rPr>
          <w:rStyle w:val="27"/>
        </w:rPr>
        <w:tab/>
      </w:r>
      <w:r>
        <w:rPr>
          <w:rStyle w:val="27"/>
        </w:rPr>
        <w:fldChar w:fldCharType="end"/>
      </w:r>
      <w:r>
        <w:rPr>
          <w:rStyle w:val="27"/>
          <w:rFonts w:hint="eastAsia"/>
          <w:lang w:val="en-US" w:eastAsia="zh-CN"/>
        </w:rPr>
        <w:t>7-14</w:t>
      </w:r>
    </w:p>
    <w:p>
      <w:pPr>
        <w:pStyle w:val="17"/>
        <w:tabs>
          <w:tab w:val="right" w:leader="dot" w:pos="9345"/>
        </w:tabs>
        <w:rPr>
          <w:rStyle w:val="27"/>
        </w:rPr>
      </w:pPr>
      <w:r>
        <w:fldChar w:fldCharType="begin"/>
      </w:r>
      <w:r>
        <w:instrText xml:space="preserve"> HYPERLINK \l "_Toc76733171" </w:instrText>
      </w:r>
      <w:r>
        <w:fldChar w:fldCharType="separate"/>
      </w:r>
      <w:r>
        <w:rPr>
          <w:rStyle w:val="27"/>
          <w:rFonts w:hint="eastAsia"/>
        </w:rPr>
        <w:t>一、估价委托人及相关当事人</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"_Toc76733172" </w:instrText>
      </w:r>
      <w:r>
        <w:fldChar w:fldCharType="separate"/>
      </w:r>
      <w:r>
        <w:rPr>
          <w:rStyle w:val="27"/>
          <w:rFonts w:hint="eastAsia"/>
        </w:rPr>
        <w:t>二、房地产估价机构</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"_Toc76733173" </w:instrText>
      </w:r>
      <w:r>
        <w:fldChar w:fldCharType="separate"/>
      </w:r>
      <w:r>
        <w:rPr>
          <w:rStyle w:val="27"/>
          <w:rFonts w:hint="eastAsia"/>
        </w:rPr>
        <w:t>三、估价目的</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"_Toc76733174" </w:instrText>
      </w:r>
      <w:r>
        <w:fldChar w:fldCharType="separate"/>
      </w:r>
      <w:r>
        <w:rPr>
          <w:rStyle w:val="27"/>
          <w:rFonts w:hint="eastAsia"/>
        </w:rPr>
        <w:t>四、估价对象</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"_Toc76733175" </w:instrText>
      </w:r>
      <w:r>
        <w:fldChar w:fldCharType="separate"/>
      </w:r>
      <w:r>
        <w:rPr>
          <w:rStyle w:val="27"/>
          <w:rFonts w:hint="eastAsia"/>
        </w:rPr>
        <w:t>五、价值时点</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"_Toc76733176" </w:instrText>
      </w:r>
      <w:r>
        <w:fldChar w:fldCharType="separate"/>
      </w:r>
      <w:r>
        <w:rPr>
          <w:rStyle w:val="27"/>
          <w:rFonts w:hint="eastAsia"/>
        </w:rPr>
        <w:t>六、价值类型</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"_Toc76733177" </w:instrText>
      </w:r>
      <w:r>
        <w:fldChar w:fldCharType="separate"/>
      </w:r>
      <w:r>
        <w:rPr>
          <w:rStyle w:val="27"/>
          <w:rFonts w:hint="eastAsia"/>
        </w:rPr>
        <w:t>七、估价原则</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"_Toc76733178" </w:instrText>
      </w:r>
      <w:r>
        <w:fldChar w:fldCharType="separate"/>
      </w:r>
      <w:r>
        <w:rPr>
          <w:rStyle w:val="27"/>
          <w:rFonts w:hint="eastAsia"/>
        </w:rPr>
        <w:t>八、估价依据</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"_Toc76733179" </w:instrText>
      </w:r>
      <w:r>
        <w:fldChar w:fldCharType="separate"/>
      </w:r>
      <w:r>
        <w:rPr>
          <w:rStyle w:val="27"/>
          <w:rFonts w:hint="eastAsia"/>
        </w:rPr>
        <w:t>九、估价方法</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"_Toc76733180" </w:instrText>
      </w:r>
      <w:r>
        <w:fldChar w:fldCharType="separate"/>
      </w:r>
      <w:r>
        <w:rPr>
          <w:rStyle w:val="27"/>
          <w:rFonts w:hint="eastAsia"/>
        </w:rPr>
        <w:t>十、估价结果</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"_Toc76733181" </w:instrText>
      </w:r>
      <w:r>
        <w:fldChar w:fldCharType="separate"/>
      </w:r>
      <w:r>
        <w:rPr>
          <w:rStyle w:val="27"/>
          <w:rFonts w:hint="eastAsia"/>
        </w:rPr>
        <w:t>十一、参加本次估价的注册房地产估价师签字盖章</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"_Toc76733182" </w:instrText>
      </w:r>
      <w:r>
        <w:fldChar w:fldCharType="separate"/>
      </w:r>
      <w:r>
        <w:rPr>
          <w:rStyle w:val="27"/>
          <w:rFonts w:hint="eastAsia"/>
        </w:rPr>
        <w:t>十二、实地勘查日期</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"_Toc76733183" </w:instrText>
      </w:r>
      <w:r>
        <w:fldChar w:fldCharType="separate"/>
      </w:r>
      <w:r>
        <w:rPr>
          <w:rStyle w:val="27"/>
          <w:rFonts w:hint="eastAsia"/>
        </w:rPr>
        <w:t>十三、估价作业日期</w:t>
      </w:r>
      <w:r>
        <w:rPr>
          <w:rStyle w:val="27"/>
        </w:rPr>
        <w:tab/>
      </w:r>
      <w:r>
        <w:rPr>
          <w:rStyle w:val="27"/>
        </w:rPr>
        <w:fldChar w:fldCharType="end"/>
      </w:r>
    </w:p>
    <w:p>
      <w:pPr>
        <w:pStyle w:val="15"/>
        <w:tabs>
          <w:tab w:val="right" w:leader="dot" w:pos="9345"/>
        </w:tabs>
        <w:rPr>
          <w:rStyle w:val="27"/>
          <w:rFonts w:hint="eastAsia" w:eastAsia="宋体"/>
          <w:lang w:val="en-US" w:eastAsia="zh-CN"/>
        </w:rPr>
      </w:pPr>
      <w:r>
        <w:fldChar w:fldCharType="begin"/>
      </w:r>
      <w:r>
        <w:instrText xml:space="preserve"> HYPERLINK \l "_Toc76733184" </w:instrText>
      </w:r>
      <w:r>
        <w:fldChar w:fldCharType="separate"/>
      </w:r>
      <w:r>
        <w:rPr>
          <w:rStyle w:val="27"/>
          <w:rFonts w:hint="eastAsia"/>
        </w:rPr>
        <w:t>附件</w:t>
      </w:r>
      <w:r>
        <w:rPr>
          <w:rStyle w:val="27"/>
        </w:rPr>
        <w:tab/>
      </w:r>
      <w:r>
        <w:rPr>
          <w:rStyle w:val="27"/>
        </w:rPr>
        <w:fldChar w:fldCharType="end"/>
      </w:r>
      <w:r>
        <w:rPr>
          <w:rStyle w:val="27"/>
          <w:rFonts w:hint="eastAsia"/>
          <w:lang w:val="en-US" w:eastAsia="zh-CN"/>
        </w:rPr>
        <w:t>15-17</w:t>
      </w:r>
    </w:p>
    <w:p>
      <w:pPr>
        <w:pStyle w:val="17"/>
        <w:tabs>
          <w:tab w:val="right" w:leader="dot" w:pos="9345"/>
        </w:tabs>
        <w:rPr>
          <w:rStyle w:val="27"/>
        </w:rPr>
      </w:pPr>
      <w:r>
        <w:fldChar w:fldCharType="begin"/>
      </w:r>
      <w:r>
        <w:instrText xml:space="preserve"> HYPERLINK \l "_Toc76733187" </w:instrText>
      </w:r>
      <w:r>
        <w:fldChar w:fldCharType="separate"/>
      </w:r>
      <w:r>
        <w:rPr>
          <w:rFonts w:hint="eastAsia"/>
          <w:lang w:eastAsia="zh-CN"/>
        </w:rPr>
        <w:t>一</w:t>
      </w:r>
      <w:r>
        <w:rPr>
          <w:rStyle w:val="27"/>
          <w:rFonts w:hint="eastAsia"/>
        </w:rPr>
        <w:t>、估价对象室内及周围环境照片</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"_Toc76733188" </w:instrText>
      </w:r>
      <w:r>
        <w:fldChar w:fldCharType="separate"/>
      </w:r>
      <w:r>
        <w:rPr>
          <w:rFonts w:hint="eastAsia"/>
          <w:lang w:eastAsia="zh-CN"/>
        </w:rPr>
        <w:t>二</w:t>
      </w:r>
      <w:r>
        <w:rPr>
          <w:rStyle w:val="27"/>
          <w:rFonts w:hint="eastAsia"/>
        </w:rPr>
        <w:t>、估价对象地理位置图</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"_Toc76733185" </w:instrText>
      </w:r>
      <w:r>
        <w:fldChar w:fldCharType="separate"/>
      </w:r>
      <w:r>
        <w:rPr>
          <w:rFonts w:hint="eastAsia"/>
          <w:lang w:eastAsia="zh-CN"/>
        </w:rPr>
        <w:t>三</w:t>
      </w:r>
      <w:r>
        <w:rPr>
          <w:rStyle w:val="27"/>
          <w:rFonts w:hint="eastAsia"/>
        </w:rPr>
        <w:t>、估价委托书</w:t>
      </w:r>
      <w:r>
        <w:rPr>
          <w:rStyle w:val="27"/>
          <w:rFonts w:hint="eastAsia"/>
          <w:lang w:eastAsia="zh-CN"/>
        </w:rPr>
        <w:t>（2022）浙0205法委评80号</w:t>
      </w:r>
      <w:r>
        <w:rPr>
          <w:rStyle w:val="27"/>
        </w:rPr>
        <w:tab/>
      </w:r>
      <w:r>
        <w:rPr>
          <w:rStyle w:val="27"/>
        </w:rPr>
        <w:fldChar w:fldCharType="end"/>
      </w:r>
    </w:p>
    <w:p>
      <w:pPr>
        <w:pStyle w:val="17"/>
        <w:tabs>
          <w:tab w:val="right" w:leader="dot" w:pos="9345"/>
        </w:tabs>
        <w:rPr>
          <w:rFonts w:hint="eastAsia" w:eastAsia="宋体"/>
          <w:lang w:val="en-US" w:eastAsia="zh-CN"/>
        </w:rPr>
      </w:pPr>
      <w:r>
        <w:fldChar w:fldCharType="begin"/>
      </w:r>
      <w:r>
        <w:instrText xml:space="preserve"> HYPERLINK \l "_Toc76733186" </w:instrText>
      </w:r>
      <w:r>
        <w:fldChar w:fldCharType="separate"/>
      </w:r>
      <w:r>
        <w:rPr>
          <w:rFonts w:hint="eastAsia"/>
          <w:lang w:eastAsia="zh-CN"/>
        </w:rPr>
        <w:t>四</w:t>
      </w:r>
      <w:r>
        <w:rPr>
          <w:rStyle w:val="27"/>
          <w:rFonts w:hint="eastAsia"/>
        </w:rPr>
        <w:t>、权属证明复印件</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"_Toc76733190" </w:instrText>
      </w:r>
      <w:r>
        <w:fldChar w:fldCharType="separate"/>
      </w:r>
      <w:r>
        <w:rPr>
          <w:rFonts w:hint="eastAsia"/>
          <w:lang w:eastAsia="zh-CN"/>
        </w:rPr>
        <w:t>五</w:t>
      </w:r>
      <w:r>
        <w:rPr>
          <w:rStyle w:val="27"/>
          <w:rFonts w:hint="eastAsia"/>
        </w:rPr>
        <w:t>、房地产估价机构营业执照复印件</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"_Toc76733191" </w:instrText>
      </w:r>
      <w:r>
        <w:fldChar w:fldCharType="separate"/>
      </w:r>
      <w:r>
        <w:rPr>
          <w:rFonts w:hint="eastAsia"/>
          <w:lang w:eastAsia="zh-CN"/>
        </w:rPr>
        <w:t>六</w:t>
      </w:r>
      <w:r>
        <w:rPr>
          <w:rStyle w:val="27"/>
          <w:rFonts w:hint="eastAsia"/>
        </w:rPr>
        <w:t>、房地产估价机构备案证书复印件</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"_Toc76733189" </w:instrText>
      </w:r>
      <w:r>
        <w:fldChar w:fldCharType="separate"/>
      </w:r>
      <w:r>
        <w:rPr>
          <w:rFonts w:hint="eastAsia"/>
          <w:lang w:eastAsia="zh-CN"/>
        </w:rPr>
        <w:t>七</w:t>
      </w:r>
      <w:r>
        <w:rPr>
          <w:rStyle w:val="27"/>
          <w:rFonts w:hint="eastAsia"/>
        </w:rPr>
        <w:t>、房地产估价师注册证书复印件</w:t>
      </w:r>
      <w:r>
        <w:rPr>
          <w:rStyle w:val="27"/>
        </w:rPr>
        <w:tab/>
      </w:r>
      <w:r>
        <w:rPr>
          <w:rStyle w:val="27"/>
        </w:rPr>
        <w:fldChar w:fldCharType="end"/>
      </w:r>
    </w:p>
    <w:p>
      <w:pPr>
        <w:rPr>
          <w:rStyle w:val="27"/>
        </w:rPr>
      </w:pPr>
      <w:r>
        <w:rPr>
          <w:rStyle w:val="27"/>
        </w:rPr>
        <w:fldChar w:fldCharType="end"/>
      </w:r>
      <w:r>
        <w:rPr>
          <w:rStyle w:val="27"/>
        </w:rPr>
        <w:br w:type="page"/>
      </w:r>
    </w:p>
    <w:p>
      <w:pPr>
        <w:pStyle w:val="2"/>
        <w:spacing w:line="460" w:lineRule="exact"/>
        <w:rPr>
          <w:rFonts w:ascii="Times New Roman" w:hAnsi="Times New Roman" w:cs="Times New Roman"/>
          <w:szCs w:val="32"/>
        </w:rPr>
      </w:pPr>
    </w:p>
    <w:p>
      <w:pPr>
        <w:pStyle w:val="2"/>
        <w:spacing w:line="460" w:lineRule="exact"/>
        <w:rPr>
          <w:rFonts w:ascii="Times New Roman" w:hAnsi="Times New Roman" w:cs="Times New Roman"/>
          <w:szCs w:val="32"/>
        </w:rPr>
      </w:pPr>
      <w:bookmarkStart w:id="0" w:name="_Toc76733166"/>
      <w:r>
        <w:rPr>
          <w:rFonts w:ascii="Times New Roman" w:hAnsi="Times New Roman" w:cs="Times New Roman"/>
          <w:szCs w:val="32"/>
        </w:rPr>
        <w:t>房地产估价师声明</w:t>
      </w:r>
      <w:bookmarkEnd w:id="0"/>
    </w:p>
    <w:p/>
    <w:p>
      <w:pPr>
        <w:spacing w:line="480" w:lineRule="exact"/>
        <w:rPr>
          <w:rFonts w:eastAsia="仿宋_GB2312"/>
          <w:color w:val="000000" w:themeColor="text1"/>
          <w:sz w:val="28"/>
          <w14:textFill>
            <w14:solidFill>
              <w14:schemeClr w14:val="tx1"/>
            </w14:solidFill>
          </w14:textFill>
        </w:rPr>
      </w:pPr>
      <w:r>
        <w:rPr>
          <w:rFonts w:eastAsia="黑体"/>
          <w:color w:val="000000" w:themeColor="text1"/>
          <w:sz w:val="28"/>
          <w14:textFill>
            <w14:solidFill>
              <w14:schemeClr w14:val="tx1"/>
            </w14:solidFill>
          </w14:textFill>
        </w:rPr>
        <w:t>我们根据自己的专业知识和职业道德，在此郑重声明</w:t>
      </w:r>
      <w:r>
        <w:rPr>
          <w:rFonts w:eastAsia="仿宋_GB2312"/>
          <w:color w:val="000000" w:themeColor="text1"/>
          <w:sz w:val="28"/>
          <w14:textFill>
            <w14:solidFill>
              <w14:schemeClr w14:val="tx1"/>
            </w14:solidFill>
          </w14:textFill>
        </w:rPr>
        <w:t>：</w:t>
      </w:r>
    </w:p>
    <w:p>
      <w:pPr>
        <w:spacing w:line="480" w:lineRule="exact"/>
        <w:rPr>
          <w:rFonts w:eastAsia="仿宋_GB2312"/>
          <w:color w:val="000000" w:themeColor="text1"/>
          <w:sz w:val="28"/>
          <w14:textFill>
            <w14:solidFill>
              <w14:schemeClr w14:val="tx1"/>
            </w14:solidFill>
          </w14:textFill>
        </w:rPr>
      </w:pPr>
    </w:p>
    <w:p>
      <w:pPr>
        <w:tabs>
          <w:tab w:val="left" w:pos="180"/>
        </w:tabs>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(1)我们在本估价报告中对事实的说明是真实和准确的，没有虚假记载、误导性陈述和重大遗漏。</w:t>
      </w:r>
    </w:p>
    <w:p>
      <w:pPr>
        <w:tabs>
          <w:tab w:val="left" w:pos="180"/>
        </w:tabs>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(2)本估价报告中的分析、意见和结论是我们独立、客观、公正的专业分析、意见和结论，但受到本估价报告中已经说明的估价假设和限制条件的限制。</w:t>
      </w:r>
    </w:p>
    <w:p>
      <w:pPr>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(3)我们与本估价报告中的估价对象没有现实或潜在的利益，与估价委托人及估价利害关系人没有利害关系。</w:t>
      </w:r>
    </w:p>
    <w:p>
      <w:pPr>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(4)我们对本估价报告中的估价对象、估价委托人及估价利害关系人没有偏见。</w:t>
      </w:r>
    </w:p>
    <w:p>
      <w:pPr>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(5)我们依照中华人民共和国国家标准《房地产估价规范》GB/T50291-2015、《房地产估价基本术语标准》GB/T50899-2013进行分析，形成意见和结论，撰写本估价报告。</w:t>
      </w:r>
    </w:p>
    <w:p>
      <w:pPr>
        <w:spacing w:line="480" w:lineRule="exact"/>
        <w:ind w:firstLine="539"/>
        <w:rPr>
          <w:rFonts w:ascii="仿宋" w:hAnsi="仿宋" w:eastAsia="仿宋"/>
          <w:sz w:val="28"/>
        </w:rPr>
      </w:pPr>
      <w:r>
        <w:rPr>
          <w:rFonts w:ascii="仿宋" w:hAnsi="仿宋" w:eastAsia="仿宋"/>
          <w:color w:val="000000" w:themeColor="text1"/>
          <w:sz w:val="28"/>
          <w14:textFill>
            <w14:solidFill>
              <w14:schemeClr w14:val="tx1"/>
            </w14:solidFill>
          </w14:textFill>
        </w:rPr>
        <w:t>(6)</w:t>
      </w:r>
      <w:r>
        <w:rPr>
          <w:rFonts w:ascii="仿宋" w:hAnsi="仿宋" w:eastAsia="仿宋"/>
          <w:sz w:val="28"/>
        </w:rPr>
        <w:t>注册房地产估价师已于</w:t>
      </w:r>
      <w:r>
        <w:rPr>
          <w:rFonts w:hint="eastAsia" w:ascii="仿宋" w:hAnsi="仿宋" w:eastAsia="仿宋"/>
          <w:sz w:val="28"/>
          <w:lang w:val="en-US" w:eastAsia="zh-CN"/>
        </w:rPr>
        <w:t>2022年11月16日</w:t>
      </w:r>
      <w:r>
        <w:rPr>
          <w:rFonts w:ascii="仿宋" w:hAnsi="仿宋" w:eastAsia="仿宋"/>
          <w:sz w:val="28"/>
        </w:rPr>
        <w:t>对本估价报告中的估价对象进行了</w:t>
      </w:r>
      <w:r>
        <w:rPr>
          <w:rFonts w:hint="eastAsia" w:ascii="仿宋" w:hAnsi="仿宋" w:eastAsia="仿宋"/>
          <w:sz w:val="28"/>
        </w:rPr>
        <w:t>实地</w:t>
      </w:r>
      <w:r>
        <w:rPr>
          <w:rFonts w:ascii="仿宋" w:hAnsi="仿宋" w:eastAsia="仿宋"/>
          <w:sz w:val="28"/>
        </w:rPr>
        <w:t>查勘。</w:t>
      </w:r>
    </w:p>
    <w:p>
      <w:pPr>
        <w:spacing w:line="480" w:lineRule="exact"/>
        <w:ind w:firstLine="539"/>
        <w:rPr>
          <w:rFonts w:eastAsia="仿宋_GB2312"/>
          <w:sz w:val="28"/>
        </w:rPr>
      </w:pPr>
      <w:r>
        <w:rPr>
          <w:rFonts w:ascii="仿宋" w:hAnsi="仿宋" w:eastAsia="仿宋"/>
          <w:color w:val="000000" w:themeColor="text1"/>
          <w:sz w:val="28"/>
          <w14:textFill>
            <w14:solidFill>
              <w14:schemeClr w14:val="tx1"/>
            </w14:solidFill>
          </w14:textFill>
        </w:rPr>
        <w:t>(7)没有人对本估价报告提供了重要专业帮助。</w:t>
      </w:r>
    </w:p>
    <w:p>
      <w:pPr>
        <w:spacing w:line="460" w:lineRule="exact"/>
        <w:ind w:firstLine="539"/>
        <w:rPr>
          <w:rFonts w:ascii="Times New Roman" w:hAnsi="Times New Roman" w:cs="Times New Roman"/>
          <w:szCs w:val="32"/>
        </w:rPr>
      </w:pPr>
      <w:r>
        <w:rPr>
          <w:rFonts w:eastAsia="仿宋_GB2312"/>
          <w:sz w:val="28"/>
        </w:rPr>
        <w:br w:type="page"/>
      </w:r>
    </w:p>
    <w:p>
      <w:pPr>
        <w:pStyle w:val="2"/>
        <w:spacing w:line="460" w:lineRule="exact"/>
        <w:rPr>
          <w:rFonts w:ascii="Times New Roman" w:hAnsi="Times New Roman" w:cs="Times New Roman"/>
          <w:szCs w:val="32"/>
        </w:rPr>
      </w:pPr>
      <w:bookmarkStart w:id="1" w:name="_Toc76733167"/>
      <w:r>
        <w:rPr>
          <w:rFonts w:ascii="Times New Roman" w:hAnsi="Times New Roman" w:cs="Times New Roman"/>
          <w:szCs w:val="32"/>
        </w:rPr>
        <w:t>估价的假设和限制条件</w:t>
      </w:r>
      <w:bookmarkEnd w:id="1"/>
    </w:p>
    <w:p>
      <w:pPr>
        <w:pStyle w:val="3"/>
        <w:spacing w:line="480" w:lineRule="exact"/>
        <w:rPr>
          <w:rFonts w:ascii="Times New Roman" w:hAnsi="Times New Roman"/>
        </w:rPr>
      </w:pPr>
      <w:bookmarkStart w:id="2" w:name="_Toc76733168"/>
      <w:bookmarkStart w:id="3" w:name="_Toc477248467"/>
      <w:r>
        <w:rPr>
          <w:rFonts w:ascii="Times New Roman" w:hAnsi="Times New Roman"/>
        </w:rPr>
        <w:t>一、本次估价的各项估价假设</w:t>
      </w:r>
      <w:bookmarkEnd w:id="2"/>
      <w:bookmarkEnd w:id="3"/>
    </w:p>
    <w:p>
      <w:pPr>
        <w:keepNext w:val="0"/>
        <w:keepLines w:val="0"/>
        <w:pageBreakBefore w:val="0"/>
        <w:widowControl w:val="0"/>
        <w:kinsoku/>
        <w:wordWrap/>
        <w:overflowPunct/>
        <w:topLinePunct w:val="0"/>
        <w:autoSpaceDE/>
        <w:autoSpaceDN/>
        <w:bidi w:val="0"/>
        <w:adjustRightInd w:val="0"/>
        <w:spacing w:line="440" w:lineRule="exact"/>
        <w:ind w:firstLine="565" w:firstLineChars="202"/>
        <w:textAlignment w:val="auto"/>
        <w:outlineLvl w:val="9"/>
        <w:rPr>
          <w:rFonts w:ascii="仿宋" w:hAnsi="仿宋" w:eastAsia="仿宋"/>
          <w:sz w:val="28"/>
        </w:rPr>
      </w:pPr>
      <w:r>
        <w:rPr>
          <w:rFonts w:ascii="仿宋" w:hAnsi="仿宋" w:eastAsia="仿宋"/>
          <w:sz w:val="28"/>
        </w:rPr>
        <w:t>（一）一般假设</w:t>
      </w:r>
    </w:p>
    <w:p>
      <w:pPr>
        <w:keepNext w:val="0"/>
        <w:keepLines w:val="0"/>
        <w:pageBreakBefore w:val="0"/>
        <w:widowControl w:val="0"/>
        <w:kinsoku/>
        <w:wordWrap/>
        <w:overflowPunct/>
        <w:topLinePunct w:val="0"/>
        <w:autoSpaceDE/>
        <w:autoSpaceDN/>
        <w:bidi w:val="0"/>
        <w:adjustRightInd w:val="0"/>
        <w:snapToGrid w:val="0"/>
        <w:spacing w:line="440" w:lineRule="exact"/>
        <w:ind w:left="1"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w:t>
      </w:r>
      <w:r>
        <w:rPr>
          <w:rFonts w:ascii="仿宋_GB2312" w:eastAsia="仿宋_GB2312"/>
          <w:sz w:val="28"/>
          <w:szCs w:val="28"/>
        </w:rPr>
        <w:t>估价委托人应当向估价机构如实提供有关情况和资料，不隐瞒或者提供虚假情况和资料。</w:t>
      </w:r>
      <w:r>
        <w:rPr>
          <w:rFonts w:hint="eastAsia" w:ascii="仿宋_GB2312" w:hAnsi="仿宋_GB2312" w:eastAsia="仿宋_GB2312" w:cs="仿宋_GB2312"/>
          <w:sz w:val="28"/>
          <w:szCs w:val="28"/>
        </w:rPr>
        <w:t>本次评估估价委托人提供了</w:t>
      </w:r>
      <w:r>
        <w:rPr>
          <w:rFonts w:hint="eastAsia" w:ascii="仿宋_GB2312" w:hAnsi="仿宋_GB2312" w:eastAsia="仿宋_GB2312" w:cs="仿宋_GB2312"/>
          <w:sz w:val="28"/>
          <w:szCs w:val="28"/>
          <w:lang w:eastAsia="zh-CN"/>
        </w:rPr>
        <w:t>房权证甬北慈私字第20080313号、甬国用（2008）第0501127号《不动产权证》</w:t>
      </w:r>
      <w:r>
        <w:rPr>
          <w:rFonts w:hint="eastAsia" w:ascii="仿宋_GB2312" w:hAnsi="仿宋_GB2312" w:eastAsia="仿宋_GB2312" w:cs="仿宋_GB2312"/>
          <w:sz w:val="28"/>
          <w:szCs w:val="28"/>
        </w:rPr>
        <w:t>复印件等资料，</w:t>
      </w:r>
      <w:r>
        <w:rPr>
          <w:rFonts w:ascii="仿宋_GB2312" w:eastAsia="仿宋_GB2312"/>
          <w:sz w:val="28"/>
          <w:szCs w:val="28"/>
        </w:rPr>
        <w:t>估价师对</w:t>
      </w:r>
      <w:r>
        <w:rPr>
          <w:rFonts w:hint="eastAsia" w:ascii="仿宋_GB2312" w:eastAsia="仿宋_GB2312"/>
          <w:sz w:val="28"/>
          <w:szCs w:val="28"/>
        </w:rPr>
        <w:t>估价</w:t>
      </w:r>
      <w:r>
        <w:rPr>
          <w:rFonts w:ascii="仿宋_GB2312" w:eastAsia="仿宋_GB2312"/>
          <w:sz w:val="28"/>
          <w:szCs w:val="28"/>
        </w:rPr>
        <w:t>委托人提供的有关情况和资料进行了必要的检查，无理由怀疑</w:t>
      </w:r>
      <w:r>
        <w:rPr>
          <w:rFonts w:hint="eastAsia" w:ascii="仿宋_GB2312" w:eastAsia="仿宋_GB2312"/>
          <w:sz w:val="28"/>
          <w:szCs w:val="28"/>
        </w:rPr>
        <w:t>估价</w:t>
      </w:r>
      <w:r>
        <w:rPr>
          <w:rFonts w:ascii="仿宋_GB2312" w:eastAsia="仿宋_GB2312"/>
          <w:sz w:val="28"/>
          <w:szCs w:val="28"/>
        </w:rPr>
        <w:t>委托人提供的情况和资料的真实性、合法性，其真实性、合法性和完整性由估价委托人负责。</w:t>
      </w:r>
    </w:p>
    <w:p>
      <w:pPr>
        <w:keepNext w:val="0"/>
        <w:keepLines w:val="0"/>
        <w:pageBreakBefore w:val="0"/>
        <w:widowControl w:val="0"/>
        <w:kinsoku/>
        <w:wordWrap/>
        <w:overflowPunct/>
        <w:topLinePunct w:val="0"/>
        <w:autoSpaceDE/>
        <w:autoSpaceDN/>
        <w:bidi w:val="0"/>
        <w:adjustRightInd w:val="0"/>
        <w:snapToGrid w:val="0"/>
        <w:spacing w:line="440" w:lineRule="exact"/>
        <w:ind w:left="1" w:firstLine="560" w:firstLineChars="200"/>
        <w:textAlignment w:val="auto"/>
        <w:outlineLvl w:val="9"/>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本次估价评估</w:t>
      </w:r>
      <w:r>
        <w:rPr>
          <w:rFonts w:hint="eastAsia" w:ascii="仿宋_GB2312" w:eastAsia="仿宋_GB2312"/>
          <w:sz w:val="28"/>
          <w:szCs w:val="28"/>
        </w:rPr>
        <w:t>公开市场价值，</w:t>
      </w:r>
      <w:r>
        <w:rPr>
          <w:rFonts w:ascii="仿宋_GB2312" w:eastAsia="仿宋_GB2312"/>
          <w:sz w:val="28"/>
          <w:szCs w:val="28"/>
        </w:rPr>
        <w:t>公开市场价值</w:t>
      </w:r>
      <w:r>
        <w:rPr>
          <w:rFonts w:hint="eastAsia" w:ascii="仿宋_GB2312" w:eastAsia="仿宋_GB2312"/>
          <w:sz w:val="28"/>
          <w:szCs w:val="28"/>
        </w:rPr>
        <w:t>应</w:t>
      </w:r>
      <w:r>
        <w:rPr>
          <w:rFonts w:ascii="仿宋_GB2312" w:eastAsia="仿宋_GB2312"/>
          <w:sz w:val="28"/>
          <w:szCs w:val="28"/>
        </w:rPr>
        <w:t>满足下列条件：</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交易双方是自愿地进行交易的。</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交易双方进行交易的目的是追求各自最大的利益。</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交易双方是理性而谨慎的，并且了解交易对象、知晓市场行情。</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交易双方有较充裕的时间进行交易。</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不存在买者因特殊兴趣而给予附加出价。</w:t>
      </w:r>
    </w:p>
    <w:p>
      <w:pPr>
        <w:keepNext w:val="0"/>
        <w:keepLines w:val="0"/>
        <w:pageBreakBefore w:val="0"/>
        <w:widowControl w:val="0"/>
        <w:kinsoku/>
        <w:wordWrap/>
        <w:overflowPunct/>
        <w:topLinePunct w:val="0"/>
        <w:autoSpaceDE/>
        <w:autoSpaceDN/>
        <w:bidi w:val="0"/>
        <w:adjustRightInd w:val="0"/>
        <w:snapToGrid w:val="0"/>
        <w:spacing w:line="440" w:lineRule="exact"/>
        <w:ind w:left="1" w:firstLine="560" w:firstLineChars="200"/>
        <w:textAlignment w:val="auto"/>
        <w:outlineLvl w:val="9"/>
        <w:rPr>
          <w:rFonts w:hint="eastAsia" w:ascii="仿宋_GB2312" w:eastAsia="仿宋_GB2312"/>
          <w:sz w:val="28"/>
          <w:szCs w:val="28"/>
        </w:rPr>
      </w:pPr>
      <w:r>
        <w:rPr>
          <w:rFonts w:ascii="仿宋_GB2312" w:eastAsia="仿宋_GB2312"/>
          <w:sz w:val="28"/>
          <w:szCs w:val="28"/>
        </w:rPr>
        <w:t>本次估价假定</w:t>
      </w:r>
      <w:r>
        <w:rPr>
          <w:rFonts w:hint="eastAsia" w:ascii="仿宋_GB2312" w:eastAsia="仿宋_GB2312"/>
          <w:sz w:val="28"/>
          <w:szCs w:val="28"/>
        </w:rPr>
        <w:t>在</w:t>
      </w:r>
      <w:r>
        <w:rPr>
          <w:rFonts w:ascii="仿宋_GB2312" w:eastAsia="仿宋_GB2312"/>
          <w:sz w:val="28"/>
          <w:szCs w:val="28"/>
        </w:rPr>
        <w:t>价值时点时的房地产市场状况是公开、平等、自愿的交易市场为假设前提。</w:t>
      </w:r>
    </w:p>
    <w:p>
      <w:pPr>
        <w:keepNext w:val="0"/>
        <w:keepLines w:val="0"/>
        <w:pageBreakBefore w:val="0"/>
        <w:widowControl w:val="0"/>
        <w:kinsoku/>
        <w:wordWrap/>
        <w:overflowPunct/>
        <w:topLinePunct w:val="0"/>
        <w:autoSpaceDE/>
        <w:autoSpaceDN/>
        <w:bidi w:val="0"/>
        <w:adjustRightInd w:val="0"/>
        <w:snapToGrid w:val="0"/>
        <w:spacing w:line="440" w:lineRule="exact"/>
        <w:ind w:left="1"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估价人员对估价对象的</w:t>
      </w:r>
      <w:r>
        <w:rPr>
          <w:rFonts w:hint="eastAsia" w:ascii="仿宋_GB2312" w:eastAsia="仿宋_GB2312"/>
          <w:sz w:val="28"/>
          <w:szCs w:val="28"/>
        </w:rPr>
        <w:t>实地查勘</w:t>
      </w:r>
      <w:r>
        <w:rPr>
          <w:rFonts w:ascii="仿宋_GB2312" w:eastAsia="仿宋_GB2312"/>
          <w:sz w:val="28"/>
          <w:szCs w:val="28"/>
        </w:rPr>
        <w:t>仅限于估价对象在</w:t>
      </w:r>
      <w:r>
        <w:rPr>
          <w:rFonts w:hint="eastAsia" w:ascii="仿宋_GB2312" w:eastAsia="仿宋_GB2312"/>
          <w:sz w:val="28"/>
          <w:szCs w:val="28"/>
        </w:rPr>
        <w:t>实地查勘日</w:t>
      </w:r>
      <w:r>
        <w:rPr>
          <w:rFonts w:ascii="仿宋_GB2312" w:eastAsia="仿宋_GB2312"/>
          <w:sz w:val="28"/>
          <w:szCs w:val="28"/>
        </w:rPr>
        <w:t>的外观</w:t>
      </w:r>
      <w:r>
        <w:rPr>
          <w:rFonts w:hint="eastAsia" w:ascii="仿宋_GB2312" w:eastAsia="仿宋_GB2312"/>
          <w:sz w:val="28"/>
          <w:szCs w:val="28"/>
        </w:rPr>
        <w:t>、内部状况</w:t>
      </w:r>
      <w:r>
        <w:rPr>
          <w:rFonts w:ascii="仿宋_GB2312" w:eastAsia="仿宋_GB2312"/>
          <w:sz w:val="28"/>
          <w:szCs w:val="28"/>
        </w:rPr>
        <w:t>和使用</w:t>
      </w:r>
      <w:r>
        <w:rPr>
          <w:rFonts w:hint="eastAsia" w:ascii="仿宋_GB2312" w:eastAsia="仿宋_GB2312"/>
          <w:sz w:val="28"/>
          <w:szCs w:val="28"/>
        </w:rPr>
        <w:t>现状及周围环境与目前维护管理状况</w:t>
      </w:r>
      <w:r>
        <w:rPr>
          <w:rFonts w:ascii="仿宋_GB2312" w:eastAsia="仿宋_GB2312"/>
          <w:sz w:val="28"/>
          <w:szCs w:val="28"/>
        </w:rPr>
        <w:t>，并未对其</w:t>
      </w:r>
      <w:r>
        <w:rPr>
          <w:rFonts w:hint="eastAsia" w:ascii="仿宋_GB2312" w:eastAsia="仿宋_GB2312"/>
          <w:sz w:val="28"/>
          <w:szCs w:val="28"/>
        </w:rPr>
        <w:t>建筑结构质量</w:t>
      </w:r>
      <w:r>
        <w:rPr>
          <w:rFonts w:ascii="仿宋_GB2312" w:eastAsia="仿宋_GB2312"/>
          <w:sz w:val="28"/>
          <w:szCs w:val="28"/>
        </w:rPr>
        <w:t>进行测试，故不能确定其有无内部缺陷</w:t>
      </w:r>
      <w:r>
        <w:rPr>
          <w:rFonts w:hint="eastAsia" w:ascii="仿宋_GB2312" w:eastAsia="仿宋_GB2312"/>
          <w:sz w:val="28"/>
          <w:szCs w:val="28"/>
        </w:rPr>
        <w:t>。</w:t>
      </w:r>
      <w:r>
        <w:rPr>
          <w:rFonts w:ascii="仿宋_GB2312" w:eastAsia="仿宋_GB2312"/>
          <w:sz w:val="28"/>
          <w:szCs w:val="28"/>
        </w:rPr>
        <w:t>本报告假设估价对象符合国家有关技术、质量、验收规范，其质量足以维持正常的使用寿命为前提。</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本次估价是以提供给估价机构的估价对象房屋所有权及土地使用权不存在抵押权、典权等他项权利，权属清晰无异议，无法律、法规规定禁止按本次</w:t>
      </w:r>
      <w:r>
        <w:rPr>
          <w:rFonts w:hint="eastAsia" w:ascii="仿宋_GB2312" w:eastAsia="仿宋_GB2312"/>
          <w:sz w:val="28"/>
          <w:szCs w:val="28"/>
        </w:rPr>
        <w:t>估价</w:t>
      </w:r>
      <w:r>
        <w:rPr>
          <w:rFonts w:ascii="仿宋_GB2312" w:eastAsia="仿宋_GB2312"/>
          <w:sz w:val="28"/>
          <w:szCs w:val="28"/>
        </w:rPr>
        <w:t>目的使用的其他情形为假设前提</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ind w:left="1" w:firstLine="560" w:firstLineChars="200"/>
        <w:textAlignment w:val="auto"/>
        <w:outlineLvl w:val="9"/>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本次估价包含了室内固定装修</w:t>
      </w:r>
      <w:r>
        <w:rPr>
          <w:rFonts w:hint="eastAsia" w:ascii="仿宋_GB2312" w:eastAsia="仿宋_GB2312"/>
          <w:color w:val="auto"/>
          <w:sz w:val="28"/>
          <w:szCs w:val="28"/>
          <w:lang w:eastAsia="zh-CN"/>
        </w:rPr>
        <w:t>及部份家电等动产</w:t>
      </w:r>
      <w:r>
        <w:rPr>
          <w:rFonts w:hint="eastAsia" w:ascii="仿宋_GB2312" w:eastAsia="仿宋_GB2312"/>
          <w:color w:val="auto"/>
          <w:sz w:val="28"/>
          <w:szCs w:val="28"/>
        </w:rPr>
        <w:t>的价值，因委托人未提供装修结算清单、使用主材的品牌、型号、规格清单</w:t>
      </w:r>
      <w:r>
        <w:rPr>
          <w:rFonts w:hint="eastAsia" w:ascii="仿宋_GB2312" w:eastAsia="仿宋_GB2312"/>
          <w:color w:val="auto"/>
          <w:sz w:val="28"/>
          <w:szCs w:val="28"/>
          <w:lang w:eastAsia="zh-CN"/>
        </w:rPr>
        <w:t>、设备规格型号</w:t>
      </w:r>
      <w:r>
        <w:rPr>
          <w:rFonts w:hint="eastAsia" w:ascii="仿宋_GB2312" w:eastAsia="仿宋_GB2312"/>
          <w:color w:val="auto"/>
          <w:sz w:val="28"/>
          <w:szCs w:val="28"/>
        </w:rPr>
        <w:t>等资料，根据其使用材料、品牌及现状对其只作大致粗略估算，仅供司法处置参考。</w:t>
      </w:r>
    </w:p>
    <w:p>
      <w:pPr>
        <w:pageBreakBefore w:val="0"/>
        <w:widowControl w:val="0"/>
        <w:kinsoku/>
        <w:wordWrap/>
        <w:overflowPunct/>
        <w:topLinePunct w:val="0"/>
        <w:autoSpaceDE/>
        <w:autoSpaceDN/>
        <w:bidi w:val="0"/>
        <w:adjustRightInd w:val="0"/>
        <w:spacing w:line="440" w:lineRule="exact"/>
        <w:ind w:firstLine="565" w:firstLineChars="202"/>
        <w:textAlignment w:val="auto"/>
        <w:rPr>
          <w:rFonts w:ascii="仿宋" w:hAnsi="仿宋" w:eastAsia="仿宋"/>
          <w:sz w:val="28"/>
        </w:rPr>
      </w:pPr>
      <w:r>
        <w:rPr>
          <w:rFonts w:ascii="仿宋" w:hAnsi="仿宋" w:eastAsia="仿宋"/>
          <w:sz w:val="28"/>
        </w:rPr>
        <w:t>（二）未定事项假设</w:t>
      </w:r>
    </w:p>
    <w:p>
      <w:pPr>
        <w:pageBreakBefore w:val="0"/>
        <w:widowControl w:val="0"/>
        <w:kinsoku/>
        <w:wordWrap/>
        <w:overflowPunct/>
        <w:topLinePunct w:val="0"/>
        <w:autoSpaceDE/>
        <w:autoSpaceDN/>
        <w:bidi w:val="0"/>
        <w:adjustRightInd w:val="0"/>
        <w:spacing w:line="440" w:lineRule="exact"/>
        <w:ind w:firstLine="560" w:firstLineChars="200"/>
        <w:textAlignment w:val="auto"/>
        <w:rPr>
          <w:rFonts w:ascii="仿宋" w:hAnsi="仿宋" w:eastAsia="仿宋"/>
          <w:sz w:val="28"/>
        </w:rPr>
      </w:pPr>
      <w:r>
        <w:rPr>
          <w:rFonts w:ascii="仿宋" w:hAnsi="仿宋" w:eastAsia="仿宋"/>
          <w:sz w:val="28"/>
        </w:rPr>
        <w:t>无未定事项假设。</w:t>
      </w:r>
    </w:p>
    <w:p>
      <w:pPr>
        <w:pageBreakBefore w:val="0"/>
        <w:widowControl w:val="0"/>
        <w:kinsoku/>
        <w:wordWrap/>
        <w:overflowPunct/>
        <w:topLinePunct w:val="0"/>
        <w:autoSpaceDE/>
        <w:autoSpaceDN/>
        <w:bidi w:val="0"/>
        <w:adjustRightInd w:val="0"/>
        <w:spacing w:line="440" w:lineRule="exact"/>
        <w:ind w:firstLine="560" w:firstLineChars="200"/>
        <w:textAlignment w:val="auto"/>
        <w:rPr>
          <w:rFonts w:ascii="仿宋" w:hAnsi="仿宋" w:eastAsia="仿宋"/>
          <w:sz w:val="28"/>
        </w:rPr>
      </w:pPr>
      <w:r>
        <w:rPr>
          <w:rFonts w:ascii="仿宋" w:hAnsi="仿宋" w:eastAsia="仿宋"/>
          <w:sz w:val="28"/>
        </w:rPr>
        <w:t>（三）背离事实假设</w:t>
      </w:r>
    </w:p>
    <w:p>
      <w:pPr>
        <w:pageBreakBefore w:val="0"/>
        <w:widowControl w:val="0"/>
        <w:kinsoku/>
        <w:wordWrap/>
        <w:overflowPunct/>
        <w:topLinePunct w:val="0"/>
        <w:autoSpaceDE/>
        <w:autoSpaceDN/>
        <w:bidi w:val="0"/>
        <w:adjustRightInd w:val="0"/>
        <w:spacing w:line="440" w:lineRule="exact"/>
        <w:ind w:firstLine="560" w:firstLineChars="200"/>
        <w:textAlignment w:val="auto"/>
        <w:rPr>
          <w:rFonts w:ascii="仿宋" w:hAnsi="仿宋" w:eastAsia="仿宋"/>
          <w:sz w:val="28"/>
        </w:rPr>
      </w:pPr>
      <w:r>
        <w:rPr>
          <w:rFonts w:hint="eastAsia" w:ascii="仿宋" w:hAnsi="仿宋" w:eastAsia="仿宋"/>
          <w:sz w:val="28"/>
        </w:rPr>
        <w:t>不考虑估价对象被查封、原有的担保物权以及其他法定优先受偿权</w:t>
      </w:r>
      <w:r>
        <w:rPr>
          <w:rFonts w:hint="eastAsia" w:ascii="仿宋" w:hAnsi="仿宋" w:eastAsia="仿宋"/>
          <w:sz w:val="28"/>
          <w:lang w:eastAsia="zh-CN"/>
        </w:rPr>
        <w:t>及欠缴税费</w:t>
      </w:r>
      <w:r>
        <w:rPr>
          <w:rFonts w:hint="eastAsia" w:ascii="仿宋" w:hAnsi="仿宋" w:eastAsia="仿宋"/>
          <w:sz w:val="28"/>
        </w:rPr>
        <w:t>对估价结果的影响。</w:t>
      </w:r>
    </w:p>
    <w:p>
      <w:pPr>
        <w:pageBreakBefore w:val="0"/>
        <w:widowControl w:val="0"/>
        <w:kinsoku/>
        <w:wordWrap/>
        <w:overflowPunct/>
        <w:topLinePunct w:val="0"/>
        <w:autoSpaceDE/>
        <w:autoSpaceDN/>
        <w:bidi w:val="0"/>
        <w:adjustRightInd w:val="0"/>
        <w:spacing w:line="440" w:lineRule="exact"/>
        <w:ind w:firstLine="560" w:firstLineChars="200"/>
        <w:textAlignment w:val="auto"/>
        <w:rPr>
          <w:rFonts w:ascii="仿宋" w:hAnsi="仿宋" w:eastAsia="仿宋"/>
          <w:sz w:val="28"/>
        </w:rPr>
      </w:pPr>
      <w:r>
        <w:rPr>
          <w:rFonts w:ascii="仿宋" w:hAnsi="仿宋" w:eastAsia="仿宋"/>
          <w:sz w:val="28"/>
        </w:rPr>
        <w:t>（四）不相一致假设</w:t>
      </w:r>
    </w:p>
    <w:p>
      <w:pPr>
        <w:pageBreakBefore w:val="0"/>
        <w:widowControl w:val="0"/>
        <w:kinsoku/>
        <w:wordWrap/>
        <w:overflowPunct/>
        <w:topLinePunct w:val="0"/>
        <w:autoSpaceDE/>
        <w:autoSpaceDN/>
        <w:bidi w:val="0"/>
        <w:adjustRightInd w:val="0"/>
        <w:spacing w:line="440" w:lineRule="exact"/>
        <w:ind w:firstLine="560" w:firstLineChars="200"/>
        <w:textAlignment w:val="auto"/>
        <w:rPr>
          <w:rFonts w:ascii="仿宋" w:hAnsi="仿宋" w:eastAsia="仿宋"/>
          <w:sz w:val="28"/>
        </w:rPr>
      </w:pPr>
      <w:r>
        <w:rPr>
          <w:rFonts w:ascii="仿宋" w:hAnsi="仿宋" w:eastAsia="仿宋"/>
          <w:sz w:val="28"/>
        </w:rPr>
        <w:t>无不相一致假设。</w:t>
      </w:r>
    </w:p>
    <w:p>
      <w:pPr>
        <w:pageBreakBefore w:val="0"/>
        <w:widowControl w:val="0"/>
        <w:kinsoku/>
        <w:wordWrap/>
        <w:overflowPunct/>
        <w:topLinePunct w:val="0"/>
        <w:autoSpaceDE/>
        <w:autoSpaceDN/>
        <w:bidi w:val="0"/>
        <w:adjustRightInd w:val="0"/>
        <w:spacing w:line="440" w:lineRule="exact"/>
        <w:ind w:firstLine="560" w:firstLineChars="200"/>
        <w:textAlignment w:val="auto"/>
        <w:rPr>
          <w:rFonts w:ascii="仿宋" w:hAnsi="仿宋" w:eastAsia="仿宋"/>
          <w:sz w:val="28"/>
        </w:rPr>
      </w:pPr>
      <w:r>
        <w:rPr>
          <w:rFonts w:ascii="仿宋" w:hAnsi="仿宋" w:eastAsia="仿宋"/>
          <w:sz w:val="28"/>
        </w:rPr>
        <w:t>（五）依据不足假设</w:t>
      </w:r>
    </w:p>
    <w:p>
      <w:pPr>
        <w:pageBreakBefore w:val="0"/>
        <w:widowControl w:val="0"/>
        <w:kinsoku/>
        <w:wordWrap/>
        <w:overflowPunct/>
        <w:topLinePunct w:val="0"/>
        <w:autoSpaceDE/>
        <w:autoSpaceDN/>
        <w:bidi w:val="0"/>
        <w:adjustRightInd w:val="0"/>
        <w:spacing w:line="440" w:lineRule="exact"/>
        <w:ind w:firstLine="560" w:firstLineChars="200"/>
        <w:textAlignment w:val="auto"/>
        <w:rPr>
          <w:rFonts w:ascii="仿宋" w:hAnsi="仿宋" w:eastAsia="仿宋"/>
          <w:sz w:val="28"/>
        </w:rPr>
      </w:pPr>
      <w:r>
        <w:rPr>
          <w:rFonts w:ascii="仿宋" w:hAnsi="仿宋" w:eastAsia="仿宋"/>
          <w:sz w:val="28"/>
        </w:rPr>
        <w:t>无依据不足假设。</w:t>
      </w:r>
    </w:p>
    <w:p>
      <w:pPr>
        <w:pStyle w:val="3"/>
        <w:pageBreakBefore w:val="0"/>
        <w:widowControl w:val="0"/>
        <w:kinsoku/>
        <w:wordWrap/>
        <w:overflowPunct/>
        <w:topLinePunct w:val="0"/>
        <w:autoSpaceDE/>
        <w:autoSpaceDN/>
        <w:bidi w:val="0"/>
        <w:adjustRightInd w:val="0"/>
        <w:spacing w:line="440" w:lineRule="exact"/>
        <w:textAlignment w:val="auto"/>
        <w:rPr>
          <w:rFonts w:ascii="Times New Roman" w:hAnsi="Times New Roman"/>
        </w:rPr>
      </w:pPr>
      <w:bookmarkStart w:id="4" w:name="_Toc477248468"/>
      <w:bookmarkStart w:id="5" w:name="_Toc76733169"/>
      <w:bookmarkStart w:id="6" w:name="_Toc476677362"/>
      <w:r>
        <w:rPr>
          <w:rFonts w:ascii="Times New Roman" w:hAnsi="Times New Roman"/>
        </w:rPr>
        <w:t>二、估价报告使用限制</w:t>
      </w:r>
      <w:bookmarkEnd w:id="4"/>
      <w:bookmarkEnd w:id="5"/>
      <w:bookmarkEnd w:id="6"/>
    </w:p>
    <w:p>
      <w:pPr>
        <w:pageBreakBefore w:val="0"/>
        <w:widowControl w:val="0"/>
        <w:kinsoku/>
        <w:wordWrap/>
        <w:overflowPunct/>
        <w:topLinePunct w:val="0"/>
        <w:autoSpaceDE/>
        <w:autoSpaceDN/>
        <w:bidi w:val="0"/>
        <w:adjustRightInd w:val="0"/>
        <w:spacing w:line="440" w:lineRule="exact"/>
        <w:ind w:firstLine="403" w:firstLineChars="192"/>
        <w:textAlignment w:val="auto"/>
        <w:rPr>
          <w:rFonts w:hint="eastAsia" w:ascii="仿宋" w:hAnsi="仿宋" w:eastAsia="仿宋"/>
          <w:sz w:val="28"/>
          <w:szCs w:val="28"/>
        </w:rPr>
      </w:pPr>
      <w:r>
        <w:rPr>
          <w:rFonts w:hint="eastAsia"/>
          <w:lang w:val="en-US" w:eastAsia="zh-CN"/>
        </w:rPr>
        <w:t xml:space="preserve">  </w:t>
      </w:r>
      <w:r>
        <w:rPr>
          <w:rFonts w:hint="eastAsia" w:ascii="仿宋" w:hAnsi="仿宋" w:eastAsia="仿宋"/>
          <w:sz w:val="28"/>
          <w:szCs w:val="28"/>
        </w:rPr>
        <w:t>1、本次评估系受“</w:t>
      </w:r>
      <w:r>
        <w:rPr>
          <w:rFonts w:hint="eastAsia" w:ascii="仿宋" w:hAnsi="仿宋" w:eastAsia="仿宋"/>
          <w:sz w:val="28"/>
          <w:szCs w:val="28"/>
          <w:lang w:eastAsia="zh-CN"/>
        </w:rPr>
        <w:t>（2022）浙0205法委评80号</w:t>
      </w:r>
      <w:r>
        <w:rPr>
          <w:rFonts w:hint="eastAsia" w:ascii="仿宋" w:hAnsi="仿宋" w:eastAsia="仿宋"/>
          <w:sz w:val="28"/>
          <w:szCs w:val="28"/>
        </w:rPr>
        <w:t>”《</w:t>
      </w:r>
      <w:r>
        <w:rPr>
          <w:rFonts w:hint="eastAsia" w:ascii="仿宋" w:hAnsi="仿宋" w:eastAsia="仿宋"/>
          <w:sz w:val="28"/>
          <w:szCs w:val="28"/>
          <w:lang w:eastAsia="zh-CN"/>
        </w:rPr>
        <w:t>宁波市江北区人民法院</w:t>
      </w:r>
      <w:r>
        <w:rPr>
          <w:rFonts w:hint="eastAsia" w:ascii="仿宋" w:hAnsi="仿宋" w:eastAsia="仿宋"/>
          <w:sz w:val="28"/>
          <w:szCs w:val="28"/>
        </w:rPr>
        <w:t>司法评估委托书》委托。本报告仅适用于本估价报告所列明的估价目的，完整使用才能有效，并仅供委托司法机构确定拍卖保留价确定房地产快速变现价值参考。如果用于其他估价目的、引用其中的部分数据或非指定机构采用引起不当后果，本公司概不负责。</w:t>
      </w:r>
    </w:p>
    <w:p>
      <w:pPr>
        <w:pageBreakBefore w:val="0"/>
        <w:widowControl w:val="0"/>
        <w:kinsoku/>
        <w:wordWrap/>
        <w:overflowPunct/>
        <w:topLinePunct w:val="0"/>
        <w:autoSpaceDE/>
        <w:autoSpaceDN/>
        <w:bidi w:val="0"/>
        <w:adjustRightInd w:val="0"/>
        <w:spacing w:line="440" w:lineRule="exact"/>
        <w:ind w:firstLine="560" w:firstLineChars="200"/>
        <w:textAlignment w:val="auto"/>
        <w:rPr>
          <w:rFonts w:hint="eastAsia" w:eastAsia="宋体"/>
          <w:lang w:val="en-US" w:eastAsia="zh-CN"/>
        </w:rPr>
      </w:pPr>
      <w:r>
        <w:rPr>
          <w:rFonts w:hint="eastAsia" w:ascii="仿宋" w:hAnsi="仿宋" w:eastAsia="仿宋"/>
          <w:sz w:val="28"/>
          <w:szCs w:val="28"/>
        </w:rPr>
        <w:t>2、估价时点后，估价报告有效期内，如估价对象的质量及价格标准发生变化，并对估价对象价值产生明显影响时，不能直接使用本估价结论。</w:t>
      </w:r>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outlineLvl w:val="9"/>
        <w:rPr>
          <w:rFonts w:ascii="仿宋" w:hAnsi="仿宋" w:eastAsia="仿宋"/>
          <w:sz w:val="28"/>
          <w:szCs w:val="22"/>
        </w:rPr>
      </w:pPr>
      <w:r>
        <w:rPr>
          <w:rFonts w:hint="eastAsia" w:ascii="仿宋" w:hAnsi="仿宋" w:eastAsia="仿宋"/>
          <w:sz w:val="28"/>
          <w:szCs w:val="22"/>
          <w:lang w:val="en-US" w:eastAsia="zh-CN"/>
        </w:rPr>
        <w:t>3</w:t>
      </w:r>
      <w:r>
        <w:rPr>
          <w:rFonts w:ascii="仿宋" w:hAnsi="仿宋" w:eastAsia="仿宋"/>
          <w:sz w:val="28"/>
          <w:szCs w:val="22"/>
        </w:rPr>
        <w:t>、</w:t>
      </w:r>
      <w:r>
        <w:rPr>
          <w:rFonts w:hint="eastAsia" w:ascii="仿宋" w:hAnsi="仿宋" w:eastAsia="仿宋"/>
          <w:sz w:val="28"/>
          <w:szCs w:val="22"/>
        </w:rPr>
        <w:t>本估价报告仅作为本次估价目的使用不作其他任何用途使用。</w:t>
      </w:r>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outlineLvl w:val="9"/>
        <w:rPr>
          <w:rFonts w:ascii="仿宋" w:hAnsi="仿宋" w:eastAsia="仿宋"/>
          <w:sz w:val="28"/>
          <w:szCs w:val="22"/>
        </w:rPr>
      </w:pPr>
      <w:r>
        <w:rPr>
          <w:rFonts w:hint="eastAsia" w:ascii="仿宋" w:hAnsi="仿宋" w:eastAsia="仿宋"/>
          <w:sz w:val="28"/>
          <w:szCs w:val="22"/>
          <w:lang w:val="en-US" w:eastAsia="zh-CN"/>
        </w:rPr>
        <w:t>4</w:t>
      </w:r>
      <w:r>
        <w:rPr>
          <w:rFonts w:hint="eastAsia" w:ascii="仿宋" w:hAnsi="仿宋" w:eastAsia="仿宋"/>
          <w:sz w:val="28"/>
          <w:szCs w:val="22"/>
        </w:rPr>
        <w:t>、估价报告使用者为估价委托人（</w:t>
      </w:r>
      <w:r>
        <w:rPr>
          <w:rFonts w:hint="eastAsia" w:ascii="仿宋" w:hAnsi="仿宋" w:eastAsia="仿宋"/>
          <w:sz w:val="28"/>
          <w:szCs w:val="22"/>
          <w:lang w:eastAsia="zh-CN"/>
        </w:rPr>
        <w:t>宁波市江北区人民法院</w:t>
      </w:r>
      <w:r>
        <w:rPr>
          <w:rFonts w:hint="eastAsia" w:ascii="仿宋" w:hAnsi="仿宋" w:eastAsia="仿宋"/>
          <w:sz w:val="28"/>
          <w:szCs w:val="22"/>
        </w:rPr>
        <w:t>）。</w:t>
      </w:r>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outlineLvl w:val="9"/>
        <w:rPr>
          <w:rFonts w:ascii="仿宋" w:hAnsi="仿宋" w:eastAsia="仿宋"/>
          <w:sz w:val="28"/>
          <w:szCs w:val="22"/>
        </w:rPr>
      </w:pPr>
      <w:r>
        <w:rPr>
          <w:rFonts w:hint="eastAsia" w:ascii="仿宋" w:hAnsi="仿宋" w:eastAsia="仿宋"/>
          <w:sz w:val="28"/>
          <w:szCs w:val="22"/>
          <w:lang w:val="en-US" w:eastAsia="zh-CN"/>
        </w:rPr>
        <w:t>5</w:t>
      </w:r>
      <w:r>
        <w:rPr>
          <w:rFonts w:ascii="仿宋" w:hAnsi="仿宋" w:eastAsia="仿宋"/>
          <w:sz w:val="28"/>
          <w:szCs w:val="22"/>
        </w:rPr>
        <w:t>、本估价报告须待估价机构加盖公章、注册房地产估价签名盖章后方为有效，估价报告的全部或部分复印件均无效。</w:t>
      </w:r>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outlineLvl w:val="9"/>
        <w:rPr>
          <w:rFonts w:ascii="仿宋" w:hAnsi="仿宋" w:eastAsia="仿宋"/>
          <w:sz w:val="28"/>
          <w:szCs w:val="22"/>
        </w:rPr>
      </w:pPr>
      <w:r>
        <w:rPr>
          <w:rFonts w:hint="eastAsia" w:ascii="仿宋" w:hAnsi="仿宋" w:eastAsia="仿宋"/>
          <w:sz w:val="28"/>
          <w:szCs w:val="22"/>
          <w:lang w:val="en-US" w:eastAsia="zh-CN"/>
        </w:rPr>
        <w:t>6</w:t>
      </w:r>
      <w:r>
        <w:rPr>
          <w:rFonts w:ascii="仿宋" w:hAnsi="仿宋" w:eastAsia="仿宋"/>
          <w:sz w:val="28"/>
          <w:szCs w:val="22"/>
        </w:rPr>
        <w:t>、未经本估价机构书面同意，任何单位或个人不得将本估价报告的全部或部分内容发表于任何公开媒体上。</w:t>
      </w:r>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outlineLvl w:val="9"/>
      </w:pPr>
      <w:r>
        <w:rPr>
          <w:rFonts w:hint="eastAsia" w:ascii="仿宋" w:hAnsi="仿宋" w:eastAsia="仿宋"/>
          <w:sz w:val="28"/>
          <w:szCs w:val="22"/>
          <w:lang w:val="en-US" w:eastAsia="zh-CN"/>
        </w:rPr>
        <w:t>7</w:t>
      </w:r>
      <w:r>
        <w:rPr>
          <w:rFonts w:ascii="仿宋" w:hAnsi="仿宋" w:eastAsia="仿宋"/>
          <w:sz w:val="28"/>
          <w:szCs w:val="22"/>
        </w:rPr>
        <w:t>、</w:t>
      </w:r>
      <w:r>
        <w:rPr>
          <w:rFonts w:hint="eastAsia" w:ascii="仿宋" w:hAnsi="仿宋" w:eastAsia="仿宋"/>
          <w:sz w:val="28"/>
          <w:szCs w:val="28"/>
        </w:rPr>
        <w:t>本报告使用期限</w:t>
      </w:r>
      <w:r>
        <w:rPr>
          <w:rFonts w:hint="eastAsia" w:ascii="仿宋" w:hAnsi="仿宋" w:eastAsia="仿宋"/>
          <w:b w:val="0"/>
          <w:bCs w:val="0"/>
          <w:sz w:val="28"/>
          <w:szCs w:val="28"/>
        </w:rPr>
        <w:t>为一年。</w:t>
      </w:r>
      <w:r>
        <w:rPr>
          <w:rFonts w:hint="eastAsia" w:ascii="仿宋" w:hAnsi="仿宋" w:eastAsia="仿宋"/>
          <w:sz w:val="28"/>
          <w:szCs w:val="28"/>
        </w:rPr>
        <w:t>如使用本评估结果的时间与本估价报告的出具之日相</w:t>
      </w:r>
      <w:r>
        <w:rPr>
          <w:rFonts w:hint="eastAsia" w:ascii="仿宋" w:hAnsi="仿宋" w:eastAsia="仿宋"/>
          <w:b w:val="0"/>
          <w:bCs w:val="0"/>
          <w:sz w:val="28"/>
          <w:szCs w:val="28"/>
        </w:rPr>
        <w:t>差一年或</w:t>
      </w:r>
      <w:r>
        <w:rPr>
          <w:rFonts w:hint="eastAsia" w:ascii="仿宋" w:hAnsi="仿宋" w:eastAsia="仿宋"/>
          <w:sz w:val="28"/>
          <w:szCs w:val="28"/>
        </w:rPr>
        <w:t>以上，或者市场价格变化很快时，报告使用人应对房地产市场价值进行再评估，本公司对直接应用此结果而对有关方面造成的损失不负任何责任。</w:t>
      </w:r>
      <w:r>
        <w:br w:type="page"/>
      </w:r>
    </w:p>
    <w:p>
      <w:pPr>
        <w:pStyle w:val="2"/>
        <w:spacing w:line="460" w:lineRule="exact"/>
        <w:rPr>
          <w:rFonts w:ascii="Times New Roman" w:hAnsi="Times New Roman" w:cs="Times New Roman"/>
          <w:szCs w:val="32"/>
        </w:rPr>
      </w:pPr>
    </w:p>
    <w:p>
      <w:pPr>
        <w:pStyle w:val="2"/>
        <w:spacing w:line="460" w:lineRule="exact"/>
        <w:rPr>
          <w:rFonts w:ascii="Times New Roman" w:hAnsi="Times New Roman" w:cs="Times New Roman"/>
          <w:szCs w:val="32"/>
        </w:rPr>
      </w:pPr>
      <w:bookmarkStart w:id="7" w:name="_Toc76733170"/>
      <w:r>
        <w:rPr>
          <w:rFonts w:ascii="Times New Roman" w:hAnsi="Times New Roman" w:cs="Times New Roman"/>
          <w:szCs w:val="32"/>
        </w:rPr>
        <w:t>房地产估价结果报告</w:t>
      </w:r>
      <w:bookmarkEnd w:id="7"/>
    </w:p>
    <w:p>
      <w:pPr>
        <w:pStyle w:val="3"/>
        <w:spacing w:line="460" w:lineRule="exact"/>
        <w:rPr>
          <w:rFonts w:ascii="Times New Roman" w:hAnsi="Times New Roman"/>
        </w:rPr>
      </w:pPr>
      <w:bookmarkStart w:id="8" w:name="_Toc76733171"/>
      <w:r>
        <w:rPr>
          <w:rFonts w:ascii="Times New Roman" w:hAnsi="Times New Roman"/>
        </w:rPr>
        <w:t>一、估价委托人</w:t>
      </w:r>
      <w:r>
        <w:rPr>
          <w:rFonts w:hint="eastAsia" w:ascii="Times New Roman" w:hAnsi="Times New Roman"/>
        </w:rPr>
        <w:t>及相关当事人</w:t>
      </w:r>
      <w:bookmarkEnd w:id="8"/>
    </w:p>
    <w:p>
      <w:pPr>
        <w:spacing w:line="480" w:lineRule="exact"/>
        <w:ind w:firstLine="539"/>
        <w:rPr>
          <w:rFonts w:hint="eastAsia" w:ascii="仿宋" w:hAnsi="仿宋" w:eastAsia="仿宋"/>
          <w:sz w:val="28"/>
          <w:lang w:eastAsia="zh-CN"/>
        </w:rPr>
      </w:pPr>
      <w:r>
        <w:rPr>
          <w:rFonts w:hint="eastAsia" w:ascii="仿宋" w:hAnsi="仿宋" w:eastAsia="仿宋"/>
          <w:sz w:val="28"/>
        </w:rPr>
        <w:t>估价委托人：</w:t>
      </w:r>
      <w:r>
        <w:rPr>
          <w:rFonts w:hint="eastAsia" w:ascii="仿宋" w:hAnsi="仿宋" w:eastAsia="仿宋"/>
          <w:sz w:val="28"/>
          <w:lang w:eastAsia="zh-CN"/>
        </w:rPr>
        <w:t>宁波市江北区人民法院</w:t>
      </w:r>
    </w:p>
    <w:p>
      <w:pPr>
        <w:spacing w:line="480" w:lineRule="exact"/>
        <w:ind w:firstLine="539"/>
        <w:rPr>
          <w:rFonts w:hint="eastAsia" w:eastAsia="仿宋"/>
          <w:color w:val="auto"/>
          <w:sz w:val="28"/>
          <w:lang w:eastAsia="zh-CN"/>
        </w:rPr>
      </w:pPr>
      <w:r>
        <w:rPr>
          <w:rFonts w:hint="eastAsia" w:ascii="仿宋" w:hAnsi="仿宋" w:eastAsia="仿宋"/>
          <w:sz w:val="28"/>
        </w:rPr>
        <w:t>权属人</w:t>
      </w:r>
      <w:r>
        <w:rPr>
          <w:rFonts w:hint="eastAsia" w:ascii="仿宋" w:hAnsi="仿宋" w:eastAsia="仿宋"/>
          <w:color w:val="auto"/>
          <w:sz w:val="28"/>
        </w:rPr>
        <w:t>：</w:t>
      </w:r>
      <w:r>
        <w:rPr>
          <w:rFonts w:hint="eastAsia" w:eastAsia="仿宋"/>
          <w:color w:val="000000" w:themeColor="text1"/>
          <w:sz w:val="28"/>
          <w:lang w:eastAsia="zh-CN"/>
          <w14:textFill>
            <w14:solidFill>
              <w14:schemeClr w14:val="tx1"/>
            </w14:solidFill>
          </w14:textFill>
        </w:rPr>
        <w:t>***</w:t>
      </w:r>
    </w:p>
    <w:p>
      <w:pPr>
        <w:spacing w:line="480" w:lineRule="exact"/>
        <w:ind w:firstLine="539"/>
        <w:rPr>
          <w:rFonts w:hint="eastAsia" w:eastAsia="仿宋"/>
          <w:color w:val="000000" w:themeColor="text1"/>
          <w:sz w:val="28"/>
          <w:lang w:eastAsia="zh-CN"/>
          <w14:textFill>
            <w14:solidFill>
              <w14:schemeClr w14:val="tx1"/>
            </w14:solidFill>
          </w14:textFill>
        </w:rPr>
      </w:pPr>
      <w:r>
        <w:rPr>
          <w:rFonts w:hint="eastAsia" w:ascii="仿宋" w:hAnsi="仿宋" w:eastAsia="仿宋"/>
          <w:sz w:val="28"/>
        </w:rPr>
        <w:t>被执行人：</w:t>
      </w:r>
      <w:r>
        <w:rPr>
          <w:rFonts w:hint="eastAsia" w:eastAsia="仿宋"/>
          <w:color w:val="000000" w:themeColor="text1"/>
          <w:sz w:val="28"/>
          <w:lang w:eastAsia="zh-CN"/>
          <w14:textFill>
            <w14:solidFill>
              <w14:schemeClr w14:val="tx1"/>
            </w14:solidFill>
          </w14:textFill>
        </w:rPr>
        <w:t>***</w:t>
      </w:r>
    </w:p>
    <w:p>
      <w:pPr>
        <w:spacing w:line="480" w:lineRule="exact"/>
        <w:ind w:firstLine="565" w:firstLineChars="202"/>
        <w:rPr>
          <w:rFonts w:hint="eastAsia" w:ascii="仿宋" w:hAnsi="仿宋" w:eastAsia="仿宋"/>
          <w:sz w:val="28"/>
          <w:lang w:eastAsia="zh-CN"/>
        </w:rPr>
      </w:pPr>
      <w:r>
        <w:rPr>
          <w:rFonts w:hint="eastAsia" w:ascii="仿宋" w:hAnsi="仿宋" w:eastAsia="仿宋"/>
          <w:sz w:val="28"/>
        </w:rPr>
        <w:t>申请执行人：</w:t>
      </w:r>
      <w:r>
        <w:rPr>
          <w:rFonts w:hint="eastAsia" w:ascii="仿宋" w:hAnsi="仿宋" w:eastAsia="仿宋"/>
          <w:sz w:val="28"/>
          <w:lang w:eastAsia="zh-CN"/>
        </w:rPr>
        <w:t>**********</w:t>
      </w:r>
    </w:p>
    <w:p>
      <w:pPr>
        <w:pStyle w:val="3"/>
        <w:spacing w:line="480" w:lineRule="exact"/>
        <w:rPr>
          <w:rFonts w:ascii="Times New Roman" w:hAnsi="Times New Roman"/>
        </w:rPr>
      </w:pPr>
      <w:bookmarkStart w:id="9" w:name="_Toc76733172"/>
      <w:r>
        <w:rPr>
          <w:rFonts w:ascii="Times New Roman" w:hAnsi="Times New Roman"/>
        </w:rPr>
        <w:t>二、房地产估价机构</w:t>
      </w:r>
      <w:bookmarkEnd w:id="9"/>
    </w:p>
    <w:p>
      <w:pPr>
        <w:spacing w:line="480" w:lineRule="exact"/>
        <w:ind w:firstLine="539"/>
        <w:rPr>
          <w:rFonts w:hint="eastAsia" w:ascii="仿宋" w:hAnsi="仿宋" w:eastAsia="仿宋"/>
          <w:sz w:val="28"/>
          <w:lang w:eastAsia="zh-CN"/>
        </w:rPr>
      </w:pPr>
      <w:r>
        <w:rPr>
          <w:rFonts w:ascii="仿宋" w:hAnsi="仿宋" w:eastAsia="仿宋"/>
          <w:sz w:val="28"/>
        </w:rPr>
        <w:t>名称：</w:t>
      </w:r>
      <w:r>
        <w:rPr>
          <w:rFonts w:hint="eastAsia" w:ascii="仿宋" w:hAnsi="仿宋" w:eastAsia="仿宋"/>
          <w:sz w:val="28"/>
          <w:lang w:eastAsia="zh-CN"/>
        </w:rPr>
        <w:t>宁海县博信房地产资产评估有限公司</w:t>
      </w:r>
    </w:p>
    <w:p>
      <w:pPr>
        <w:spacing w:line="480" w:lineRule="exact"/>
        <w:ind w:firstLine="539"/>
        <w:rPr>
          <w:rFonts w:hint="eastAsia" w:ascii="仿宋" w:hAnsi="仿宋" w:eastAsia="仿宋"/>
          <w:sz w:val="28"/>
          <w:lang w:eastAsia="zh-CN"/>
        </w:rPr>
      </w:pPr>
      <w:r>
        <w:rPr>
          <w:rFonts w:hint="eastAsia" w:ascii="仿宋" w:hAnsi="仿宋" w:eastAsia="仿宋"/>
          <w:sz w:val="28"/>
        </w:rPr>
        <w:t>法定代表人：</w:t>
      </w:r>
      <w:r>
        <w:rPr>
          <w:rFonts w:hint="eastAsia" w:ascii="仿宋" w:hAnsi="仿宋" w:eastAsia="仿宋"/>
          <w:sz w:val="28"/>
          <w:lang w:eastAsia="zh-CN"/>
        </w:rPr>
        <w:t>***</w:t>
      </w:r>
    </w:p>
    <w:p>
      <w:pPr>
        <w:spacing w:line="480" w:lineRule="exact"/>
        <w:ind w:firstLine="539"/>
        <w:rPr>
          <w:rFonts w:hint="eastAsia" w:ascii="仿宋" w:hAnsi="仿宋" w:eastAsia="仿宋"/>
          <w:sz w:val="28"/>
          <w:lang w:val="en-US" w:eastAsia="zh-CN"/>
        </w:rPr>
      </w:pPr>
      <w:r>
        <w:rPr>
          <w:rFonts w:hint="eastAsia" w:ascii="仿宋" w:hAnsi="仿宋" w:eastAsia="仿宋"/>
          <w:sz w:val="28"/>
          <w:lang w:eastAsia="zh-CN"/>
        </w:rPr>
        <w:t>地址</w:t>
      </w:r>
      <w:r>
        <w:rPr>
          <w:rFonts w:ascii="仿宋" w:hAnsi="仿宋" w:eastAsia="仿宋"/>
          <w:sz w:val="28"/>
        </w:rPr>
        <w:t>：</w:t>
      </w:r>
      <w:r>
        <w:rPr>
          <w:rFonts w:hint="eastAsia" w:ascii="仿宋" w:hAnsi="仿宋" w:eastAsia="仿宋"/>
          <w:sz w:val="28"/>
          <w:lang w:eastAsia="zh-CN"/>
        </w:rPr>
        <w:t>宁海县银河东路</w:t>
      </w:r>
      <w:r>
        <w:rPr>
          <w:rFonts w:hint="eastAsia" w:ascii="仿宋" w:hAnsi="仿宋" w:eastAsia="仿宋"/>
          <w:sz w:val="28"/>
          <w:lang w:val="en-US" w:eastAsia="zh-CN"/>
        </w:rPr>
        <w:t>50号</w:t>
      </w:r>
    </w:p>
    <w:p>
      <w:pPr>
        <w:spacing w:line="480" w:lineRule="exact"/>
        <w:ind w:firstLine="539"/>
        <w:rPr>
          <w:rFonts w:hint="eastAsia" w:ascii="仿宋" w:hAnsi="仿宋" w:eastAsia="仿宋"/>
          <w:sz w:val="28"/>
          <w:lang w:val="en-US" w:eastAsia="zh-CN"/>
        </w:rPr>
      </w:pPr>
      <w:r>
        <w:rPr>
          <w:rFonts w:ascii="仿宋" w:hAnsi="仿宋" w:eastAsia="仿宋"/>
          <w:sz w:val="28"/>
        </w:rPr>
        <w:t>联系电话：</w:t>
      </w:r>
      <w:r>
        <w:rPr>
          <w:rFonts w:hint="eastAsia" w:ascii="仿宋" w:hAnsi="仿宋" w:eastAsia="仿宋"/>
          <w:sz w:val="28"/>
        </w:rPr>
        <w:t>057</w:t>
      </w:r>
      <w:r>
        <w:rPr>
          <w:rFonts w:hint="eastAsia" w:ascii="仿宋" w:hAnsi="仿宋" w:eastAsia="仿宋"/>
          <w:sz w:val="28"/>
          <w:lang w:val="en-US" w:eastAsia="zh-CN"/>
        </w:rPr>
        <w:t>4-82535666</w:t>
      </w:r>
    </w:p>
    <w:p>
      <w:pPr>
        <w:spacing w:line="480" w:lineRule="exact"/>
        <w:ind w:firstLine="539"/>
        <w:rPr>
          <w:rFonts w:hint="eastAsia" w:ascii="仿宋" w:hAnsi="仿宋" w:eastAsia="仿宋"/>
          <w:sz w:val="28"/>
          <w:lang w:eastAsia="zh-CN"/>
        </w:rPr>
      </w:pPr>
      <w:r>
        <w:rPr>
          <w:rFonts w:ascii="仿宋" w:hAnsi="仿宋" w:eastAsia="仿宋"/>
          <w:sz w:val="28"/>
        </w:rPr>
        <w:t>备案等级：</w:t>
      </w:r>
      <w:r>
        <w:rPr>
          <w:rFonts w:hint="eastAsia" w:ascii="仿宋" w:hAnsi="仿宋" w:eastAsia="仿宋"/>
          <w:sz w:val="28"/>
          <w:lang w:eastAsia="zh-CN"/>
        </w:rPr>
        <w:t>贰级</w:t>
      </w:r>
    </w:p>
    <w:p>
      <w:pPr>
        <w:spacing w:line="480" w:lineRule="exact"/>
        <w:ind w:firstLine="539"/>
        <w:rPr>
          <w:rFonts w:ascii="仿宋" w:hAnsi="仿宋" w:eastAsia="仿宋"/>
          <w:sz w:val="28"/>
        </w:rPr>
      </w:pPr>
      <w:r>
        <w:rPr>
          <w:rFonts w:ascii="仿宋" w:hAnsi="仿宋" w:eastAsia="仿宋"/>
          <w:sz w:val="28"/>
        </w:rPr>
        <w:t>证书编号：浙建房估证字</w:t>
      </w:r>
      <w:r>
        <w:rPr>
          <w:rFonts w:hint="eastAsia" w:ascii="仿宋" w:hAnsi="仿宋" w:eastAsia="仿宋"/>
          <w:sz w:val="28"/>
        </w:rPr>
        <w:t>[</w:t>
      </w:r>
      <w:r>
        <w:rPr>
          <w:rFonts w:ascii="仿宋" w:hAnsi="仿宋" w:eastAsia="仿宋"/>
          <w:sz w:val="28"/>
        </w:rPr>
        <w:t>201</w:t>
      </w:r>
      <w:r>
        <w:rPr>
          <w:rFonts w:hint="eastAsia" w:ascii="仿宋" w:hAnsi="仿宋" w:eastAsia="仿宋"/>
          <w:sz w:val="28"/>
          <w:lang w:val="en-US" w:eastAsia="zh-CN"/>
        </w:rPr>
        <w:t>4</w:t>
      </w:r>
      <w:r>
        <w:rPr>
          <w:rFonts w:hint="eastAsia" w:ascii="仿宋" w:hAnsi="仿宋" w:eastAsia="仿宋"/>
          <w:sz w:val="28"/>
        </w:rPr>
        <w:t>]</w:t>
      </w:r>
      <w:r>
        <w:rPr>
          <w:rFonts w:ascii="仿宋" w:hAnsi="仿宋" w:eastAsia="仿宋"/>
          <w:sz w:val="28"/>
        </w:rPr>
        <w:t>00</w:t>
      </w:r>
      <w:r>
        <w:rPr>
          <w:rFonts w:hint="eastAsia" w:ascii="仿宋" w:hAnsi="仿宋" w:eastAsia="仿宋"/>
          <w:sz w:val="28"/>
          <w:lang w:val="en-US" w:eastAsia="zh-CN"/>
        </w:rPr>
        <w:t>2</w:t>
      </w:r>
      <w:r>
        <w:rPr>
          <w:rFonts w:ascii="仿宋" w:hAnsi="仿宋" w:eastAsia="仿宋"/>
          <w:sz w:val="28"/>
        </w:rPr>
        <w:t>号</w:t>
      </w:r>
    </w:p>
    <w:p>
      <w:pPr>
        <w:pStyle w:val="3"/>
        <w:spacing w:line="460" w:lineRule="exact"/>
        <w:rPr>
          <w:rFonts w:ascii="Times New Roman" w:hAnsi="Times New Roman"/>
        </w:rPr>
      </w:pPr>
      <w:bookmarkStart w:id="10" w:name="_Toc76733173"/>
      <w:r>
        <w:rPr>
          <w:rFonts w:ascii="Times New Roman" w:hAnsi="Times New Roman"/>
        </w:rPr>
        <w:t>三、估价目的</w:t>
      </w:r>
      <w:bookmarkEnd w:id="10"/>
    </w:p>
    <w:p>
      <w:pPr>
        <w:spacing w:line="480" w:lineRule="exact"/>
        <w:ind w:firstLine="537" w:firstLineChars="192"/>
        <w:rPr>
          <w:rFonts w:ascii="仿宋" w:hAnsi="仿宋" w:eastAsia="仿宋"/>
          <w:sz w:val="28"/>
        </w:rPr>
      </w:pPr>
      <w:r>
        <w:rPr>
          <w:rFonts w:hint="eastAsia" w:ascii="仿宋" w:hAnsi="仿宋" w:eastAsia="仿宋"/>
          <w:sz w:val="28"/>
          <w:lang w:eastAsia="zh-CN"/>
        </w:rPr>
        <w:t>为人民法院确定财产处置参考价提供参考依据</w:t>
      </w:r>
      <w:r>
        <w:rPr>
          <w:rFonts w:hint="eastAsia" w:ascii="仿宋" w:hAnsi="仿宋" w:eastAsia="仿宋"/>
          <w:sz w:val="28"/>
        </w:rPr>
        <w:t>。</w:t>
      </w:r>
    </w:p>
    <w:p>
      <w:pPr>
        <w:pStyle w:val="3"/>
        <w:spacing w:line="460" w:lineRule="exact"/>
        <w:rPr>
          <w:rFonts w:ascii="Times New Roman" w:hAnsi="Times New Roman"/>
        </w:rPr>
      </w:pPr>
      <w:bookmarkStart w:id="11" w:name="_Toc76733174"/>
      <w:r>
        <w:rPr>
          <w:rFonts w:ascii="Times New Roman" w:hAnsi="Times New Roman"/>
        </w:rPr>
        <w:t>四、估价对象</w:t>
      </w:r>
      <w:bookmarkEnd w:id="11"/>
    </w:p>
    <w:p>
      <w:pPr>
        <w:autoSpaceDE w:val="0"/>
        <w:autoSpaceDN w:val="0"/>
        <w:spacing w:line="480" w:lineRule="exact"/>
        <w:ind w:firstLine="560" w:firstLineChars="200"/>
        <w:textAlignment w:val="bottom"/>
        <w:rPr>
          <w:rFonts w:ascii="仿宋" w:hAnsi="仿宋" w:eastAsia="仿宋"/>
          <w:sz w:val="28"/>
        </w:rPr>
      </w:pPr>
      <w:r>
        <w:rPr>
          <w:rFonts w:ascii="仿宋" w:hAnsi="仿宋" w:eastAsia="仿宋"/>
          <w:sz w:val="28"/>
        </w:rPr>
        <w:t>（一）估价对象财产范围</w:t>
      </w:r>
    </w:p>
    <w:p>
      <w:pPr>
        <w:spacing w:line="480" w:lineRule="exact"/>
        <w:ind w:firstLine="537" w:firstLineChars="192"/>
        <w:rPr>
          <w:rFonts w:ascii="仿宋" w:hAnsi="仿宋" w:eastAsia="仿宋"/>
          <w:color w:val="auto"/>
          <w:sz w:val="28"/>
        </w:rPr>
      </w:pPr>
      <w:r>
        <w:rPr>
          <w:rFonts w:ascii="仿宋" w:hAnsi="仿宋" w:eastAsia="仿宋"/>
          <w:sz w:val="28"/>
        </w:rPr>
        <w:t>估价对象财产范围包括建筑物</w:t>
      </w:r>
      <w:r>
        <w:rPr>
          <w:rFonts w:hint="eastAsia" w:ascii="仿宋" w:hAnsi="仿宋" w:eastAsia="仿宋"/>
          <w:sz w:val="28"/>
          <w:lang w:eastAsia="zh-CN"/>
        </w:rPr>
        <w:t>（含室内固定装修）</w:t>
      </w:r>
      <w:r>
        <w:rPr>
          <w:rFonts w:ascii="仿宋" w:hAnsi="仿宋" w:eastAsia="仿宋"/>
          <w:sz w:val="28"/>
        </w:rPr>
        <w:t>、分摊的土地使用权</w:t>
      </w:r>
      <w:r>
        <w:rPr>
          <w:rFonts w:eastAsia="仿宋"/>
          <w:color w:val="000000" w:themeColor="text1"/>
          <w:sz w:val="28"/>
          <w14:textFill>
            <w14:solidFill>
              <w14:schemeClr w14:val="tx1"/>
            </w14:solidFill>
          </w14:textFill>
        </w:rPr>
        <w:t>及</w:t>
      </w:r>
      <w:r>
        <w:rPr>
          <w:rFonts w:hint="eastAsia" w:ascii="仿宋_GB2312" w:hAnsi="宋体" w:eastAsia="仿宋_GB2312"/>
          <w:sz w:val="28"/>
          <w:szCs w:val="28"/>
        </w:rPr>
        <w:t>维持估价对象正常使用所配套的水、电、卫等设施</w:t>
      </w:r>
      <w:r>
        <w:rPr>
          <w:rFonts w:ascii="仿宋" w:hAnsi="仿宋" w:eastAsia="仿宋"/>
          <w:color w:val="auto"/>
          <w:sz w:val="28"/>
        </w:rPr>
        <w:t>，</w:t>
      </w:r>
      <w:r>
        <w:rPr>
          <w:rFonts w:hint="eastAsia" w:ascii="仿宋" w:hAnsi="仿宋" w:eastAsia="仿宋"/>
          <w:color w:val="auto"/>
          <w:sz w:val="28"/>
          <w:lang w:eastAsia="zh-CN"/>
        </w:rPr>
        <w:t>包括附表中的部份</w:t>
      </w:r>
      <w:r>
        <w:rPr>
          <w:rFonts w:ascii="仿宋" w:hAnsi="仿宋" w:eastAsia="仿宋"/>
          <w:color w:val="auto"/>
          <w:sz w:val="28"/>
        </w:rPr>
        <w:t>动产</w:t>
      </w:r>
      <w:r>
        <w:rPr>
          <w:rFonts w:hint="eastAsia" w:ascii="仿宋" w:hAnsi="仿宋" w:eastAsia="仿宋"/>
          <w:color w:val="auto"/>
          <w:sz w:val="28"/>
          <w:lang w:eastAsia="zh-CN"/>
        </w:rPr>
        <w:t>，</w:t>
      </w:r>
      <w:r>
        <w:rPr>
          <w:rFonts w:ascii="仿宋" w:hAnsi="仿宋" w:eastAsia="仿宋"/>
          <w:color w:val="auto"/>
          <w:sz w:val="28"/>
        </w:rPr>
        <w:t>不包括债权债务、特许经营权等其他财产或权益。</w:t>
      </w:r>
    </w:p>
    <w:p>
      <w:pPr>
        <w:spacing w:line="480" w:lineRule="exact"/>
        <w:ind w:firstLine="537" w:firstLineChars="192"/>
        <w:rPr>
          <w:rFonts w:ascii="仿宋" w:hAnsi="仿宋" w:eastAsia="仿宋"/>
          <w:sz w:val="28"/>
        </w:rPr>
      </w:pPr>
      <w:r>
        <w:rPr>
          <w:rFonts w:ascii="仿宋" w:hAnsi="仿宋" w:eastAsia="仿宋"/>
          <w:sz w:val="28"/>
        </w:rPr>
        <w:t>（</w:t>
      </w:r>
      <w:r>
        <w:rPr>
          <w:rFonts w:hint="eastAsia" w:ascii="仿宋" w:hAnsi="仿宋" w:eastAsia="仿宋"/>
          <w:sz w:val="28"/>
        </w:rPr>
        <w:t>二</w:t>
      </w:r>
      <w:r>
        <w:rPr>
          <w:rFonts w:ascii="仿宋" w:hAnsi="仿宋" w:eastAsia="仿宋"/>
          <w:sz w:val="28"/>
        </w:rPr>
        <w:t>）估价对象基本状况</w:t>
      </w:r>
    </w:p>
    <w:p>
      <w:pPr>
        <w:spacing w:line="480" w:lineRule="exact"/>
        <w:ind w:firstLine="537" w:firstLineChars="192"/>
        <w:rPr>
          <w:rFonts w:hint="eastAsia"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估价对象坐落于</w:t>
      </w:r>
      <w:r>
        <w:rPr>
          <w:rFonts w:hint="eastAsia" w:ascii="仿宋" w:hAnsi="仿宋" w:eastAsia="仿宋"/>
          <w:sz w:val="28"/>
          <w:lang w:eastAsia="zh-CN"/>
        </w:rPr>
        <w:t>宁慈西路1455号枫湾家园10幢1单元102室</w:t>
      </w:r>
      <w:r>
        <w:rPr>
          <w:rFonts w:hint="eastAsia" w:ascii="仿宋" w:hAnsi="仿宋" w:eastAsia="仿宋"/>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所在楼幢总层数为</w:t>
      </w:r>
      <w:r>
        <w:rPr>
          <w:rFonts w:hint="eastAsia" w:ascii="仿宋" w:hAnsi="仿宋" w:eastAsia="仿宋"/>
          <w:color w:val="000000" w:themeColor="text1"/>
          <w:sz w:val="28"/>
          <w:lang w:val="en-US" w:eastAsia="zh-CN"/>
          <w14:textFill>
            <w14:solidFill>
              <w14:schemeClr w14:val="tx1"/>
            </w14:solidFill>
          </w14:textFill>
        </w:rPr>
        <w:t>4</w:t>
      </w:r>
      <w:r>
        <w:rPr>
          <w:rFonts w:ascii="仿宋" w:hAnsi="仿宋" w:eastAsia="仿宋"/>
          <w:color w:val="000000" w:themeColor="text1"/>
          <w:sz w:val="28"/>
          <w14:textFill>
            <w14:solidFill>
              <w14:schemeClr w14:val="tx1"/>
            </w14:solidFill>
          </w14:textFill>
        </w:rPr>
        <w:t>层，估价对象位于第</w:t>
      </w:r>
      <w:r>
        <w:rPr>
          <w:rFonts w:hint="eastAsia" w:ascii="仿宋" w:hAnsi="仿宋" w:eastAsia="仿宋"/>
          <w:color w:val="000000" w:themeColor="text1"/>
          <w:sz w:val="28"/>
          <w:lang w:val="en-US" w:eastAsia="zh-CN"/>
          <w14:textFill>
            <w14:solidFill>
              <w14:schemeClr w14:val="tx1"/>
            </w14:solidFill>
          </w14:textFill>
        </w:rPr>
        <w:t>1</w:t>
      </w:r>
      <w:r>
        <w:rPr>
          <w:rFonts w:ascii="仿宋" w:hAnsi="仿宋" w:eastAsia="仿宋"/>
          <w:color w:val="000000" w:themeColor="text1"/>
          <w:sz w:val="28"/>
          <w14:textFill>
            <w14:solidFill>
              <w14:schemeClr w14:val="tx1"/>
            </w14:solidFill>
          </w14:textFill>
        </w:rPr>
        <w:t>层，</w:t>
      </w:r>
      <w:r>
        <w:rPr>
          <w:rFonts w:hint="eastAsia" w:ascii="仿宋" w:hAnsi="仿宋" w:eastAsia="仿宋"/>
          <w:color w:val="000000" w:themeColor="text1"/>
          <w:sz w:val="28"/>
          <w:lang w:eastAsia="zh-CN"/>
          <w14:textFill>
            <w14:solidFill>
              <w14:schemeClr w14:val="tx1"/>
            </w14:solidFill>
          </w14:textFill>
        </w:rPr>
        <w:t>房屋</w:t>
      </w:r>
      <w:r>
        <w:rPr>
          <w:rFonts w:ascii="仿宋" w:hAnsi="仿宋" w:eastAsia="仿宋"/>
          <w:color w:val="000000" w:themeColor="text1"/>
          <w:sz w:val="28"/>
          <w14:textFill>
            <w14:solidFill>
              <w14:schemeClr w14:val="tx1"/>
            </w14:solidFill>
          </w14:textFill>
        </w:rPr>
        <w:t>建筑面积</w:t>
      </w:r>
      <w:r>
        <w:rPr>
          <w:rFonts w:hint="eastAsia" w:ascii="仿宋" w:hAnsi="仿宋" w:eastAsia="仿宋"/>
          <w:color w:val="000000" w:themeColor="text1"/>
          <w:sz w:val="28"/>
          <w:lang w:eastAsia="zh-CN"/>
          <w14:textFill>
            <w14:solidFill>
              <w14:schemeClr w14:val="tx1"/>
            </w14:solidFill>
          </w14:textFill>
        </w:rPr>
        <w:t>120.39平方米</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lang w:eastAsia="zh-CN"/>
          <w14:textFill>
            <w14:solidFill>
              <w14:schemeClr w14:val="tx1"/>
            </w14:solidFill>
          </w14:textFill>
        </w:rPr>
        <w:t>结构为钢混，</w:t>
      </w:r>
      <w:r>
        <w:rPr>
          <w:rFonts w:ascii="仿宋" w:hAnsi="仿宋" w:eastAsia="仿宋"/>
          <w:color w:val="000000" w:themeColor="text1"/>
          <w:sz w:val="28"/>
          <w14:textFill>
            <w14:solidFill>
              <w14:schemeClr w14:val="tx1"/>
            </w14:solidFill>
          </w14:textFill>
        </w:rPr>
        <w:t>法定用途及实际用途均为住宅，权属人为</w:t>
      </w:r>
      <w:r>
        <w:rPr>
          <w:rFonts w:hint="eastAsia" w:eastAsia="仿宋"/>
          <w:color w:val="000000" w:themeColor="text1"/>
          <w:sz w:val="28"/>
          <w:lang w:eastAsia="zh-CN"/>
          <w14:textFill>
            <w14:solidFill>
              <w14:schemeClr w14:val="tx1"/>
            </w14:solidFill>
          </w14:textFill>
        </w:rPr>
        <w:t>***，为独有产权房屋；另有</w:t>
      </w:r>
      <w:r>
        <w:rPr>
          <w:rFonts w:hint="eastAsia" w:eastAsia="仿宋"/>
          <w:color w:val="000000" w:themeColor="text1"/>
          <w:sz w:val="28"/>
          <w:lang w:val="en-US" w:eastAsia="zh-CN"/>
          <w14:textFill>
            <w14:solidFill>
              <w14:schemeClr w14:val="tx1"/>
            </w14:solidFill>
          </w14:textFill>
        </w:rPr>
        <w:t>5号自行车房一间，计7.6平方米</w:t>
      </w:r>
      <w:r>
        <w:rPr>
          <w:rFonts w:hint="eastAsia" w:eastAsia="仿宋"/>
          <w:color w:val="000000" w:themeColor="text1"/>
          <w:sz w:val="28"/>
          <w14:textFill>
            <w14:solidFill>
              <w14:schemeClr w14:val="tx1"/>
            </w14:solidFill>
          </w14:textFill>
        </w:rPr>
        <w:t>。</w:t>
      </w:r>
    </w:p>
    <w:p>
      <w:pPr>
        <w:spacing w:line="480" w:lineRule="exact"/>
        <w:ind w:firstLine="537" w:firstLineChars="192"/>
        <w:rPr>
          <w:rFonts w:hint="eastAsia" w:eastAsia="仿宋"/>
          <w:color w:val="000000" w:themeColor="text1"/>
          <w:sz w:val="28"/>
          <w:lang w:val="en-US" w:eastAsia="zh-CN"/>
          <w14:textFill>
            <w14:solidFill>
              <w14:schemeClr w14:val="tx1"/>
            </w14:solidFill>
          </w14:textFill>
        </w:rPr>
      </w:pPr>
      <w:r>
        <w:rPr>
          <w:rFonts w:hint="eastAsia" w:eastAsia="仿宋"/>
          <w:color w:val="000000" w:themeColor="text1"/>
          <w:sz w:val="28"/>
          <w:lang w:val="en-US" w:eastAsia="zh-CN"/>
          <w14:textFill>
            <w14:solidFill>
              <w14:schemeClr w14:val="tx1"/>
            </w14:solidFill>
          </w14:textFill>
        </w:rPr>
        <w:t>1、估价对象实物状况</w:t>
      </w:r>
    </w:p>
    <w:p>
      <w:pPr>
        <w:spacing w:line="480" w:lineRule="exact"/>
        <w:ind w:firstLine="537" w:firstLineChars="192"/>
        <w:rPr>
          <w:rFonts w:ascii="仿宋" w:hAnsi="仿宋" w:eastAsia="仿宋"/>
          <w:sz w:val="28"/>
        </w:rPr>
      </w:pPr>
      <w:r>
        <w:rPr>
          <w:rFonts w:ascii="仿宋" w:hAnsi="仿宋" w:eastAsia="仿宋"/>
          <w:sz w:val="28"/>
        </w:rPr>
        <w:t>（</w:t>
      </w:r>
      <w:r>
        <w:rPr>
          <w:rFonts w:hint="eastAsia" w:ascii="仿宋" w:hAnsi="仿宋" w:eastAsia="仿宋"/>
          <w:sz w:val="28"/>
          <w:lang w:val="en-US" w:eastAsia="zh-CN"/>
        </w:rPr>
        <w:t>1</w:t>
      </w:r>
      <w:r>
        <w:rPr>
          <w:rFonts w:ascii="仿宋" w:hAnsi="仿宋" w:eastAsia="仿宋"/>
          <w:sz w:val="28"/>
        </w:rPr>
        <w:t>）土地基本状况</w:t>
      </w:r>
    </w:p>
    <w:p>
      <w:pPr>
        <w:spacing w:line="480" w:lineRule="exact"/>
        <w:ind w:firstLine="539"/>
        <w:rPr>
          <w:rFonts w:ascii="仿宋" w:hAnsi="仿宋" w:eastAsia="仿宋"/>
          <w:szCs w:val="21"/>
        </w:rPr>
      </w:pPr>
      <w:r>
        <w:rPr>
          <w:rFonts w:ascii="仿宋" w:hAnsi="仿宋" w:eastAsia="仿宋"/>
          <w:color w:val="000000" w:themeColor="text1"/>
          <w:sz w:val="28"/>
          <w14:textFill>
            <w14:solidFill>
              <w14:schemeClr w14:val="tx1"/>
            </w14:solidFill>
          </w14:textFill>
        </w:rPr>
        <w:t>土地使用权人：</w:t>
      </w:r>
      <w:r>
        <w:rPr>
          <w:rFonts w:hint="eastAsia" w:eastAsia="仿宋"/>
          <w:color w:val="000000" w:themeColor="text1"/>
          <w:sz w:val="28"/>
          <w:lang w:eastAsia="zh-CN"/>
          <w14:textFill>
            <w14:solidFill>
              <w14:schemeClr w14:val="tx1"/>
            </w14:solidFill>
          </w14:textFill>
        </w:rPr>
        <w:t>***</w:t>
      </w:r>
      <w:r>
        <w:rPr>
          <w:rFonts w:ascii="仿宋" w:hAnsi="仿宋" w:eastAsia="仿宋"/>
          <w:color w:val="000000" w:themeColor="text1"/>
          <w:sz w:val="28"/>
          <w14:textFill>
            <w14:solidFill>
              <w14:schemeClr w14:val="tx1"/>
            </w14:solidFill>
          </w14:textFill>
        </w:rPr>
        <w:t>。</w:t>
      </w:r>
    </w:p>
    <w:p>
      <w:pPr>
        <w:spacing w:line="480" w:lineRule="exact"/>
        <w:ind w:firstLine="565" w:firstLineChars="202"/>
        <w:rPr>
          <w:rFonts w:ascii="仿宋" w:hAnsi="仿宋" w:eastAsia="仿宋"/>
          <w:color w:val="auto"/>
          <w:sz w:val="28"/>
        </w:rPr>
      </w:pPr>
      <w:r>
        <w:rPr>
          <w:rFonts w:hint="eastAsia" w:ascii="仿宋" w:hAnsi="仿宋" w:eastAsia="仿宋"/>
          <w:color w:val="000000" w:themeColor="text1"/>
          <w:sz w:val="28"/>
          <w:lang w:eastAsia="zh-CN"/>
          <w14:textFill>
            <w14:solidFill>
              <w14:schemeClr w14:val="tx1"/>
            </w14:solidFill>
          </w14:textFill>
        </w:rPr>
        <w:t>小区</w:t>
      </w:r>
      <w:r>
        <w:rPr>
          <w:rFonts w:ascii="仿宋" w:hAnsi="仿宋" w:eastAsia="仿宋"/>
          <w:color w:val="000000" w:themeColor="text1"/>
          <w:sz w:val="28"/>
          <w14:textFill>
            <w14:solidFill>
              <w14:schemeClr w14:val="tx1"/>
            </w14:solidFill>
          </w14:textFill>
        </w:rPr>
        <w:t>四至范围：</w:t>
      </w:r>
      <w:r>
        <w:rPr>
          <w:rFonts w:hint="eastAsia" w:ascii="仿宋" w:hAnsi="仿宋" w:eastAsia="仿宋"/>
          <w:color w:val="auto"/>
          <w:sz w:val="28"/>
        </w:rPr>
        <w:t>东至</w:t>
      </w:r>
      <w:r>
        <w:rPr>
          <w:rFonts w:hint="eastAsia" w:ascii="仿宋" w:hAnsi="仿宋" w:eastAsia="仿宋"/>
          <w:color w:val="auto"/>
          <w:sz w:val="28"/>
          <w:lang w:eastAsia="zh-CN"/>
        </w:rPr>
        <w:t>江北大道</w:t>
      </w:r>
      <w:r>
        <w:rPr>
          <w:rFonts w:hint="eastAsia" w:ascii="仿宋" w:hAnsi="仿宋" w:eastAsia="仿宋"/>
          <w:color w:val="auto"/>
          <w:sz w:val="28"/>
        </w:rPr>
        <w:t>，</w:t>
      </w:r>
      <w:r>
        <w:rPr>
          <w:rFonts w:hint="eastAsia" w:ascii="仿宋" w:hAnsi="仿宋" w:eastAsia="仿宋"/>
          <w:color w:val="auto"/>
          <w:sz w:val="28"/>
          <w:lang w:eastAsia="zh-CN"/>
        </w:rPr>
        <w:t>南至自然河道</w:t>
      </w:r>
      <w:r>
        <w:rPr>
          <w:rFonts w:hint="eastAsia" w:ascii="仿宋" w:hAnsi="仿宋" w:eastAsia="仿宋"/>
          <w:color w:val="auto"/>
          <w:sz w:val="28"/>
        </w:rPr>
        <w:t>，</w:t>
      </w:r>
      <w:r>
        <w:rPr>
          <w:rFonts w:hint="eastAsia" w:ascii="仿宋" w:hAnsi="仿宋" w:eastAsia="仿宋"/>
          <w:color w:val="auto"/>
          <w:sz w:val="28"/>
          <w:lang w:eastAsia="zh-CN"/>
        </w:rPr>
        <w:t>西至胡坑基路</w:t>
      </w:r>
      <w:r>
        <w:rPr>
          <w:rFonts w:hint="eastAsia" w:ascii="仿宋" w:hAnsi="仿宋" w:eastAsia="仿宋"/>
          <w:color w:val="auto"/>
          <w:sz w:val="28"/>
        </w:rPr>
        <w:t>，北至</w:t>
      </w:r>
      <w:r>
        <w:rPr>
          <w:rFonts w:hint="eastAsia" w:ascii="仿宋" w:hAnsi="仿宋" w:eastAsia="仿宋"/>
          <w:color w:val="auto"/>
          <w:sz w:val="28"/>
          <w:lang w:eastAsia="zh-CN"/>
        </w:rPr>
        <w:t>天慈良园</w:t>
      </w:r>
      <w:r>
        <w:rPr>
          <w:rFonts w:ascii="仿宋" w:hAnsi="仿宋" w:eastAsia="仿宋"/>
          <w:color w:val="auto"/>
          <w:sz w:val="28"/>
        </w:rPr>
        <w:t>。</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用途：</w:t>
      </w:r>
      <w:r>
        <w:rPr>
          <w:rFonts w:hint="eastAsia" w:ascii="仿宋" w:hAnsi="仿宋" w:eastAsia="仿宋"/>
          <w:color w:val="000000" w:themeColor="text1"/>
          <w:sz w:val="28"/>
          <w:lang w:eastAsia="zh-CN"/>
          <w14:textFill>
            <w14:solidFill>
              <w14:schemeClr w14:val="tx1"/>
            </w14:solidFill>
          </w14:textFill>
        </w:rPr>
        <w:t>城镇</w:t>
      </w:r>
      <w:r>
        <w:rPr>
          <w:rFonts w:ascii="仿宋" w:hAnsi="仿宋" w:eastAsia="仿宋"/>
          <w:color w:val="000000" w:themeColor="text1"/>
          <w:sz w:val="28"/>
          <w14:textFill>
            <w14:solidFill>
              <w14:schemeClr w14:val="tx1"/>
            </w14:solidFill>
          </w14:textFill>
        </w:rPr>
        <w:t>住宅</w:t>
      </w:r>
      <w:r>
        <w:rPr>
          <w:rFonts w:hint="eastAsia" w:ascii="仿宋" w:hAnsi="仿宋" w:eastAsia="仿宋"/>
          <w:color w:val="000000" w:themeColor="text1"/>
          <w:sz w:val="28"/>
          <w:lang w:eastAsia="zh-CN"/>
          <w14:textFill>
            <w14:solidFill>
              <w14:schemeClr w14:val="tx1"/>
            </w14:solidFill>
          </w14:textFill>
        </w:rPr>
        <w:t>用地</w:t>
      </w:r>
      <w:r>
        <w:rPr>
          <w:rFonts w:ascii="仿宋" w:hAnsi="仿宋" w:eastAsia="仿宋"/>
          <w:color w:val="000000" w:themeColor="text1"/>
          <w:sz w:val="28"/>
          <w14:textFill>
            <w14:solidFill>
              <w14:schemeClr w14:val="tx1"/>
            </w14:solidFill>
          </w14:textFill>
        </w:rPr>
        <w:t>。</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土地形状：</w:t>
      </w:r>
      <w:r>
        <w:rPr>
          <w:rFonts w:hint="eastAsia" w:ascii="仿宋" w:hAnsi="仿宋" w:eastAsia="仿宋"/>
          <w:color w:val="000000" w:themeColor="text1"/>
          <w:sz w:val="28"/>
          <w:lang w:eastAsia="zh-CN"/>
          <w14:textFill>
            <w14:solidFill>
              <w14:schemeClr w14:val="tx1"/>
            </w14:solidFill>
          </w14:textFill>
        </w:rPr>
        <w:t>较</w:t>
      </w:r>
      <w:r>
        <w:rPr>
          <w:rFonts w:ascii="仿宋" w:hAnsi="仿宋" w:eastAsia="仿宋"/>
          <w:color w:val="000000" w:themeColor="text1"/>
          <w:sz w:val="28"/>
          <w14:textFill>
            <w14:solidFill>
              <w14:schemeClr w14:val="tx1"/>
            </w14:solidFill>
          </w14:textFill>
        </w:rPr>
        <w:t>规则。</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地形地势：平坦。</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土壤地基：良好。</w:t>
      </w:r>
    </w:p>
    <w:p>
      <w:pPr>
        <w:spacing w:line="480" w:lineRule="exact"/>
        <w:ind w:firstLine="537" w:firstLineChars="192"/>
        <w:rPr>
          <w:rFonts w:ascii="仿宋" w:hAnsi="仿宋" w:eastAsia="仿宋"/>
          <w:sz w:val="28"/>
        </w:rPr>
      </w:pPr>
      <w:r>
        <w:rPr>
          <w:rFonts w:ascii="仿宋" w:hAnsi="仿宋" w:eastAsia="仿宋"/>
          <w:color w:val="000000" w:themeColor="text1"/>
          <w:sz w:val="28"/>
          <w14:textFill>
            <w14:solidFill>
              <w14:schemeClr w14:val="tx1"/>
            </w14:solidFill>
          </w14:textFill>
        </w:rPr>
        <w:t>土地开发程度：完成</w:t>
      </w:r>
      <w:r>
        <w:rPr>
          <w:rFonts w:hint="eastAsia" w:ascii="仿宋" w:hAnsi="仿宋" w:eastAsia="仿宋"/>
          <w:color w:val="000000" w:themeColor="text1"/>
          <w:sz w:val="28"/>
          <w:lang w:eastAsia="zh-CN"/>
          <w14:textFill>
            <w14:solidFill>
              <w14:schemeClr w14:val="tx1"/>
            </w14:solidFill>
          </w14:textFill>
        </w:rPr>
        <w:t>六</w:t>
      </w:r>
      <w:r>
        <w:rPr>
          <w:rFonts w:ascii="仿宋" w:hAnsi="仿宋" w:eastAsia="仿宋"/>
          <w:color w:val="000000" w:themeColor="text1"/>
          <w:sz w:val="28"/>
          <w14:textFill>
            <w14:solidFill>
              <w14:schemeClr w14:val="tx1"/>
            </w14:solidFill>
          </w14:textFill>
        </w:rPr>
        <w:t>通一平。</w:t>
      </w:r>
    </w:p>
    <w:p>
      <w:pPr>
        <w:tabs>
          <w:tab w:val="left" w:pos="3060"/>
        </w:tabs>
        <w:spacing w:line="480" w:lineRule="exact"/>
        <w:ind w:right="181" w:firstLine="560" w:firstLineChars="200"/>
        <w:rPr>
          <w:rFonts w:ascii="仿宋" w:hAnsi="仿宋" w:eastAsia="仿宋"/>
          <w:color w:val="000000" w:themeColor="text1"/>
          <w:sz w:val="28"/>
          <w14:textFill>
            <w14:solidFill>
              <w14:schemeClr w14:val="tx1"/>
            </w14:solidFill>
          </w14:textFill>
        </w:rPr>
      </w:pPr>
      <w:r>
        <w:rPr>
          <w:rFonts w:ascii="仿宋" w:hAnsi="仿宋" w:eastAsia="仿宋"/>
          <w:sz w:val="28"/>
        </w:rPr>
        <w:t>（</w:t>
      </w:r>
      <w:r>
        <w:rPr>
          <w:rFonts w:hint="eastAsia" w:ascii="仿宋" w:hAnsi="仿宋" w:eastAsia="仿宋"/>
          <w:sz w:val="28"/>
          <w:lang w:val="en-US" w:eastAsia="zh-CN"/>
        </w:rPr>
        <w:t>2</w:t>
      </w:r>
      <w:r>
        <w:rPr>
          <w:rFonts w:ascii="仿宋" w:hAnsi="仿宋" w:eastAsia="仿宋"/>
          <w:sz w:val="28"/>
        </w:rPr>
        <w:t>）建筑物基本状况</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房屋所有权人：</w:t>
      </w:r>
      <w:r>
        <w:rPr>
          <w:rFonts w:hint="eastAsia" w:eastAsia="仿宋"/>
          <w:color w:val="000000" w:themeColor="text1"/>
          <w:sz w:val="28"/>
          <w:lang w:eastAsia="zh-CN"/>
          <w14:textFill>
            <w14:solidFill>
              <w14:schemeClr w14:val="tx1"/>
            </w14:solidFill>
          </w14:textFill>
        </w:rPr>
        <w:t>***</w:t>
      </w:r>
      <w:r>
        <w:rPr>
          <w:rFonts w:ascii="仿宋" w:hAnsi="仿宋" w:eastAsia="仿宋"/>
          <w:color w:val="000000" w:themeColor="text1"/>
          <w:sz w:val="28"/>
          <w14:textFill>
            <w14:solidFill>
              <w14:schemeClr w14:val="tx1"/>
            </w14:solidFill>
          </w14:textFill>
        </w:rPr>
        <w:t>。</w:t>
      </w:r>
    </w:p>
    <w:p>
      <w:pPr>
        <w:spacing w:line="480" w:lineRule="exact"/>
        <w:ind w:firstLine="567"/>
        <w:rPr>
          <w:rFonts w:ascii="仿宋" w:hAnsi="仿宋" w:eastAsia="仿宋"/>
          <w:color w:val="000000" w:themeColor="text1"/>
          <w:sz w:val="28"/>
          <w:szCs w:val="28"/>
          <w:lang w:val="en-US"/>
          <w14:textFill>
            <w14:solidFill>
              <w14:schemeClr w14:val="tx1"/>
            </w14:solidFill>
          </w14:textFill>
        </w:rPr>
      </w:pPr>
      <w:r>
        <w:rPr>
          <w:rStyle w:val="59"/>
          <w:rFonts w:ascii="仿宋" w:hAnsi="仿宋" w:eastAsia="仿宋"/>
          <w:color w:val="000000" w:themeColor="text1"/>
          <w:sz w:val="28"/>
          <w:szCs w:val="28"/>
          <w14:textFill>
            <w14:solidFill>
              <w14:schemeClr w14:val="tx1"/>
            </w14:solidFill>
          </w14:textFill>
        </w:rPr>
        <w:t>规模：建筑面积</w:t>
      </w:r>
      <w:r>
        <w:rPr>
          <w:rStyle w:val="59"/>
          <w:rFonts w:hint="eastAsia" w:ascii="仿宋" w:hAnsi="仿宋" w:eastAsia="仿宋"/>
          <w:color w:val="000000" w:themeColor="text1"/>
          <w:sz w:val="28"/>
          <w:szCs w:val="28"/>
          <w:lang w:eastAsia="zh-CN"/>
          <w14:textFill>
            <w14:solidFill>
              <w14:schemeClr w14:val="tx1"/>
            </w14:solidFill>
          </w14:textFill>
        </w:rPr>
        <w:t>120.39平方米</w:t>
      </w:r>
      <w:r>
        <w:rPr>
          <w:rStyle w:val="59"/>
          <w:rFonts w:ascii="仿宋" w:hAnsi="仿宋" w:eastAsia="仿宋"/>
          <w:color w:val="000000" w:themeColor="text1"/>
          <w:sz w:val="28"/>
          <w:szCs w:val="28"/>
          <w14:textFill>
            <w14:solidFill>
              <w14:schemeClr w14:val="tx1"/>
            </w14:solidFill>
          </w14:textFill>
        </w:rPr>
        <w:t>，</w:t>
      </w:r>
      <w:r>
        <w:rPr>
          <w:rStyle w:val="59"/>
          <w:rFonts w:hint="eastAsia" w:ascii="仿宋" w:hAnsi="仿宋" w:eastAsia="仿宋"/>
          <w:color w:val="000000" w:themeColor="text1"/>
          <w:sz w:val="28"/>
          <w:szCs w:val="28"/>
          <w:lang w:val="en-US" w:eastAsia="zh-CN"/>
          <w14:textFill>
            <w14:solidFill>
              <w14:schemeClr w14:val="tx1"/>
            </w14:solidFill>
          </w14:textFill>
        </w:rPr>
        <w:t>4</w:t>
      </w:r>
      <w:r>
        <w:rPr>
          <w:rStyle w:val="59"/>
          <w:rFonts w:ascii="仿宋" w:hAnsi="仿宋" w:eastAsia="仿宋"/>
          <w:color w:val="000000" w:themeColor="text1"/>
          <w:sz w:val="28"/>
          <w:szCs w:val="28"/>
          <w14:textFill>
            <w14:solidFill>
              <w14:schemeClr w14:val="tx1"/>
            </w14:solidFill>
          </w14:textFill>
        </w:rPr>
        <w:t>室</w:t>
      </w:r>
      <w:r>
        <w:rPr>
          <w:rStyle w:val="59"/>
          <w:rFonts w:hint="eastAsia" w:ascii="仿宋" w:hAnsi="仿宋" w:eastAsia="仿宋"/>
          <w:color w:val="000000" w:themeColor="text1"/>
          <w:sz w:val="28"/>
          <w:szCs w:val="28"/>
          <w:lang w:val="en-US" w:eastAsia="zh-CN"/>
          <w14:textFill>
            <w14:solidFill>
              <w14:schemeClr w14:val="tx1"/>
            </w14:solidFill>
          </w14:textFill>
        </w:rPr>
        <w:t>2</w:t>
      </w:r>
      <w:r>
        <w:rPr>
          <w:rStyle w:val="59"/>
          <w:rFonts w:ascii="仿宋" w:hAnsi="仿宋" w:eastAsia="仿宋"/>
          <w:color w:val="000000" w:themeColor="text1"/>
          <w:sz w:val="28"/>
          <w:szCs w:val="28"/>
          <w14:textFill>
            <w14:solidFill>
              <w14:schemeClr w14:val="tx1"/>
            </w14:solidFill>
          </w14:textFill>
        </w:rPr>
        <w:t>厅</w:t>
      </w:r>
      <w:r>
        <w:rPr>
          <w:rStyle w:val="59"/>
          <w:rFonts w:hint="eastAsia" w:ascii="仿宋" w:hAnsi="仿宋" w:eastAsia="仿宋"/>
          <w:color w:val="000000" w:themeColor="text1"/>
          <w:sz w:val="28"/>
          <w:szCs w:val="28"/>
          <w14:textFill>
            <w14:solidFill>
              <w14:schemeClr w14:val="tx1"/>
            </w14:solidFill>
          </w14:textFill>
        </w:rPr>
        <w:t>1厨</w:t>
      </w:r>
      <w:r>
        <w:rPr>
          <w:rStyle w:val="59"/>
          <w:rFonts w:hint="eastAsia" w:ascii="仿宋" w:hAnsi="仿宋" w:eastAsia="仿宋"/>
          <w:color w:val="000000" w:themeColor="text1"/>
          <w:sz w:val="28"/>
          <w:szCs w:val="28"/>
          <w:lang w:val="en-US" w:eastAsia="zh-CN"/>
          <w14:textFill>
            <w14:solidFill>
              <w14:schemeClr w14:val="tx1"/>
            </w14:solidFill>
          </w14:textFill>
        </w:rPr>
        <w:t>2</w:t>
      </w:r>
      <w:r>
        <w:rPr>
          <w:rStyle w:val="59"/>
          <w:rFonts w:hint="eastAsia" w:ascii="仿宋" w:hAnsi="仿宋" w:eastAsia="仿宋"/>
          <w:color w:val="000000" w:themeColor="text1"/>
          <w:sz w:val="28"/>
          <w:szCs w:val="28"/>
          <w14:textFill>
            <w14:solidFill>
              <w14:schemeClr w14:val="tx1"/>
            </w14:solidFill>
          </w14:textFill>
        </w:rPr>
        <w:t>卫1阳台布局</w:t>
      </w:r>
      <w:r>
        <w:rPr>
          <w:rStyle w:val="59"/>
          <w:rFonts w:hint="eastAsia" w:ascii="仿宋" w:hAnsi="仿宋" w:eastAsia="仿宋"/>
          <w:color w:val="000000" w:themeColor="text1"/>
          <w:sz w:val="28"/>
          <w:szCs w:val="28"/>
          <w:lang w:val="en-US" w:eastAsia="zh-CN"/>
          <w14:textFill>
            <w14:solidFill>
              <w14:schemeClr w14:val="tx1"/>
            </w14:solidFill>
          </w14:textFill>
        </w:rPr>
        <w:t>。</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建筑物结构：</w:t>
      </w:r>
      <w:r>
        <w:rPr>
          <w:rFonts w:hint="eastAsia" w:ascii="仿宋" w:hAnsi="仿宋" w:eastAsia="仿宋"/>
          <w:color w:val="000000" w:themeColor="text1"/>
          <w:sz w:val="28"/>
          <w:lang w:eastAsia="zh-CN"/>
          <w14:textFill>
            <w14:solidFill>
              <w14:schemeClr w14:val="tx1"/>
            </w14:solidFill>
          </w14:textFill>
        </w:rPr>
        <w:t>钢混</w:t>
      </w:r>
      <w:r>
        <w:rPr>
          <w:rFonts w:ascii="仿宋" w:hAnsi="仿宋" w:eastAsia="仿宋"/>
          <w:color w:val="000000" w:themeColor="text1"/>
          <w:sz w:val="28"/>
          <w14:textFill>
            <w14:solidFill>
              <w14:schemeClr w14:val="tx1"/>
            </w14:solidFill>
          </w14:textFill>
        </w:rPr>
        <w:t>结构。</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朝向：</w:t>
      </w:r>
      <w:r>
        <w:rPr>
          <w:rFonts w:hint="eastAsia" w:ascii="仿宋" w:hAnsi="仿宋" w:eastAsia="仿宋"/>
          <w:color w:val="000000" w:themeColor="text1"/>
          <w:sz w:val="28"/>
          <w:lang w:eastAsia="zh-CN"/>
          <w14:textFill>
            <w14:solidFill>
              <w14:schemeClr w14:val="tx1"/>
            </w14:solidFill>
          </w14:textFill>
        </w:rPr>
        <w:t>南北</w:t>
      </w:r>
      <w:r>
        <w:rPr>
          <w:rFonts w:hint="eastAsia" w:ascii="仿宋" w:hAnsi="仿宋" w:eastAsia="仿宋"/>
          <w:color w:val="000000" w:themeColor="text1"/>
          <w:sz w:val="28"/>
          <w14:textFill>
            <w14:solidFill>
              <w14:schemeClr w14:val="tx1"/>
            </w14:solidFill>
          </w14:textFill>
        </w:rPr>
        <w:t>。</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设施设备：水</w:t>
      </w:r>
      <w:r>
        <w:rPr>
          <w:rFonts w:hint="eastAsia" w:ascii="仿宋" w:hAnsi="仿宋" w:eastAsia="仿宋"/>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电</w:t>
      </w:r>
      <w:r>
        <w:rPr>
          <w:rFonts w:hint="eastAsia" w:ascii="仿宋" w:hAnsi="仿宋" w:eastAsia="仿宋"/>
          <w:color w:val="000000" w:themeColor="text1"/>
          <w:sz w:val="28"/>
          <w:lang w:eastAsia="zh-CN"/>
          <w14:textFill>
            <w14:solidFill>
              <w14:schemeClr w14:val="tx1"/>
            </w14:solidFill>
          </w14:textFill>
        </w:rPr>
        <w:t>、卫</w:t>
      </w:r>
      <w:r>
        <w:rPr>
          <w:rFonts w:ascii="仿宋" w:hAnsi="仿宋" w:eastAsia="仿宋"/>
          <w:color w:val="000000" w:themeColor="text1"/>
          <w:sz w:val="28"/>
          <w14:textFill>
            <w14:solidFill>
              <w14:schemeClr w14:val="tx1"/>
            </w14:solidFill>
          </w14:textFill>
        </w:rPr>
        <w:t>等设施齐全。</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维护状况：整体维护状况良好，无对价值增加或减少产生较大影响的因素。</w:t>
      </w:r>
    </w:p>
    <w:p>
      <w:pPr>
        <w:tabs>
          <w:tab w:val="left" w:pos="3060"/>
        </w:tabs>
        <w:spacing w:line="480" w:lineRule="exact"/>
        <w:ind w:right="181" w:firstLine="560" w:firstLineChars="200"/>
        <w:rPr>
          <w:rFonts w:hint="eastAsia" w:ascii="仿宋" w:hAnsi="仿宋" w:eastAsia="仿宋"/>
          <w:color w:val="000000" w:themeColor="text1"/>
          <w:sz w:val="28"/>
          <w:lang w:val="en-US" w:eastAsia="zh-CN"/>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室内</w:t>
      </w:r>
      <w:r>
        <w:rPr>
          <w:rFonts w:hint="eastAsia" w:ascii="仿宋" w:hAnsi="仿宋" w:eastAsia="仿宋"/>
          <w:color w:val="000000" w:themeColor="text1"/>
          <w:sz w:val="28"/>
          <w:lang w:eastAsia="zh-CN"/>
          <w14:textFill>
            <w14:solidFill>
              <w14:schemeClr w14:val="tx1"/>
            </w14:solidFill>
          </w14:textFill>
        </w:rPr>
        <w:t>外</w:t>
      </w:r>
      <w:r>
        <w:rPr>
          <w:rFonts w:hint="eastAsia" w:ascii="仿宋" w:hAnsi="仿宋" w:eastAsia="仿宋"/>
          <w:color w:val="000000" w:themeColor="text1"/>
          <w:sz w:val="28"/>
          <w14:textFill>
            <w14:solidFill>
              <w14:schemeClr w14:val="tx1"/>
            </w14:solidFill>
          </w14:textFill>
        </w:rPr>
        <w:t>装修</w:t>
      </w:r>
      <w:r>
        <w:rPr>
          <w:rFonts w:hint="eastAsia" w:ascii="仿宋" w:hAnsi="仿宋" w:eastAsia="仿宋"/>
          <w:color w:val="000000" w:themeColor="text1"/>
          <w:sz w:val="28"/>
          <w:lang w:eastAsia="zh-CN"/>
          <w14:textFill>
            <w14:solidFill>
              <w14:schemeClr w14:val="tx1"/>
            </w14:solidFill>
          </w14:textFill>
        </w:rPr>
        <w:t>情况：估价对象外墙为主要为涂料，进户防盗门；室内客厅地面主要为地砖、墙面主要为乳胶漆，天花吊顶，厨房地面地砖、墙面贴瓷砖、天花塑料扣板，配有橱柜及吊柜；卫生间地面为地砖、墙面贴瓷砖、天花塑料扣板，坐便器及洗手盆等；卧室地面地砖、墙面及天花主要为乳胶漆，装饰木门，铝合金窗；另有</w:t>
      </w:r>
      <w:r>
        <w:rPr>
          <w:rFonts w:hint="eastAsia" w:ascii="仿宋" w:hAnsi="仿宋" w:eastAsia="仿宋"/>
          <w:color w:val="000000" w:themeColor="text1"/>
          <w:sz w:val="28"/>
          <w:lang w:val="en-US" w:eastAsia="zh-CN"/>
          <w14:textFill>
            <w14:solidFill>
              <w14:schemeClr w14:val="tx1"/>
            </w14:solidFill>
          </w14:textFill>
        </w:rPr>
        <w:t>5号</w:t>
      </w:r>
      <w:r>
        <w:rPr>
          <w:rFonts w:hint="eastAsia" w:ascii="仿宋" w:hAnsi="仿宋" w:eastAsia="仿宋"/>
          <w:color w:val="000000" w:themeColor="text1"/>
          <w:sz w:val="28"/>
          <w:lang w:eastAsia="zh-CN"/>
          <w14:textFill>
            <w14:solidFill>
              <w14:schemeClr w14:val="tx1"/>
            </w14:solidFill>
          </w14:textFill>
        </w:rPr>
        <w:t>自行</w:t>
      </w:r>
      <w:r>
        <w:rPr>
          <w:rFonts w:hint="eastAsia" w:ascii="仿宋" w:hAnsi="仿宋" w:eastAsia="仿宋"/>
          <w:color w:val="000000" w:themeColor="text1"/>
          <w:sz w:val="28"/>
          <w:lang w:val="en-US" w:eastAsia="zh-CN"/>
          <w14:textFill>
            <w14:solidFill>
              <w14:schemeClr w14:val="tx1"/>
            </w14:solidFill>
          </w14:textFill>
        </w:rPr>
        <w:t>车房一间，计7.6平方米</w:t>
      </w:r>
      <w:r>
        <w:rPr>
          <w:rFonts w:hint="eastAsia" w:ascii="仿宋" w:hAnsi="仿宋" w:eastAsia="仿宋"/>
          <w:color w:val="000000" w:themeColor="text1"/>
          <w:sz w:val="28"/>
          <w:lang w:eastAsia="zh-CN"/>
          <w14:textFill>
            <w14:solidFill>
              <w14:schemeClr w14:val="tx1"/>
            </w14:solidFill>
          </w14:textFill>
        </w:rPr>
        <w:t>。</w:t>
      </w:r>
    </w:p>
    <w:p>
      <w:pPr>
        <w:widowControl w:val="0"/>
        <w:snapToGrid w:val="0"/>
        <w:spacing w:line="600" w:lineRule="exact"/>
        <w:ind w:firstLine="280" w:firstLineChars="100"/>
        <w:rPr>
          <w:rFonts w:hint="eastAsia" w:ascii="仿宋_GB2312" w:hAnsi="宋体" w:eastAsia="仿宋_GB2312"/>
          <w:color w:val="auto"/>
          <w:sz w:val="28"/>
          <w:szCs w:val="28"/>
        </w:rPr>
      </w:pPr>
      <w:r>
        <w:rPr>
          <w:rFonts w:hint="eastAsia" w:ascii="仿宋_GB2312" w:hAnsi="宋体" w:eastAsia="仿宋_GB2312"/>
          <w:color w:val="auto"/>
          <w:sz w:val="28"/>
          <w:szCs w:val="28"/>
        </w:rPr>
        <w:t>2、估价对象权益状况</w:t>
      </w:r>
    </w:p>
    <w:p>
      <w:pPr>
        <w:widowControl w:val="0"/>
        <w:snapToGrid w:val="0"/>
        <w:spacing w:line="600" w:lineRule="exact"/>
        <w:ind w:firstLine="280" w:firstLineChars="100"/>
        <w:rPr>
          <w:rFonts w:hint="eastAsia" w:ascii="仿宋_GB2312" w:hAnsi="宋体" w:eastAsia="仿宋_GB2312"/>
          <w:color w:val="auto"/>
          <w:sz w:val="28"/>
          <w:szCs w:val="28"/>
        </w:rPr>
      </w:pPr>
      <w:r>
        <w:rPr>
          <w:rFonts w:hint="eastAsia" w:ascii="仿宋_GB2312" w:hAnsi="宋体" w:eastAsia="仿宋_GB2312"/>
          <w:color w:val="auto"/>
          <w:sz w:val="28"/>
          <w:szCs w:val="28"/>
        </w:rPr>
        <w:t>（1）土地权益状况</w:t>
      </w:r>
    </w:p>
    <w:p>
      <w:pPr>
        <w:keepNext w:val="0"/>
        <w:keepLines w:val="0"/>
        <w:pageBreakBefore w:val="0"/>
        <w:widowControl w:val="0"/>
        <w:kinsoku/>
        <w:wordWrap/>
        <w:overflowPunct/>
        <w:topLinePunct w:val="0"/>
        <w:autoSpaceDE/>
        <w:autoSpaceDN/>
        <w:bidi w:val="0"/>
        <w:adjustRightInd w:val="0"/>
        <w:snapToGrid w:val="0"/>
        <w:spacing w:line="480" w:lineRule="exact"/>
        <w:ind w:firstLine="280" w:firstLineChars="100"/>
        <w:textAlignment w:val="auto"/>
        <w:rPr>
          <w:rFonts w:hint="eastAsia" w:ascii="仿宋_GB2312" w:hAnsi="宋体" w:eastAsia="仿宋_GB2312"/>
          <w:color w:val="auto"/>
          <w:sz w:val="28"/>
          <w:szCs w:val="28"/>
          <w:lang w:val="en-US"/>
        </w:rPr>
      </w:pPr>
      <w:r>
        <w:rPr>
          <w:rFonts w:hint="eastAsia" w:ascii="仿宋_GB2312" w:hAnsi="宋体" w:eastAsia="仿宋_GB2312"/>
          <w:color w:val="auto"/>
          <w:sz w:val="28"/>
          <w:szCs w:val="28"/>
        </w:rPr>
        <w:t>　估价对象土地使用权人为</w:t>
      </w:r>
      <w:r>
        <w:rPr>
          <w:rFonts w:hint="eastAsia" w:eastAsia="仿宋"/>
          <w:color w:val="auto"/>
          <w:sz w:val="28"/>
          <w:lang w:eastAsia="zh-CN"/>
        </w:rPr>
        <w:t>***</w:t>
      </w:r>
      <w:r>
        <w:rPr>
          <w:rFonts w:hint="eastAsia" w:ascii="仿宋_GB2312" w:hAnsi="宋体" w:eastAsia="仿宋_GB2312"/>
          <w:color w:val="auto"/>
          <w:sz w:val="28"/>
          <w:szCs w:val="28"/>
        </w:rPr>
        <w:t>，已取</w:t>
      </w:r>
      <w:r>
        <w:rPr>
          <w:rFonts w:hint="eastAsia" w:ascii="仿宋_GB2312" w:hAnsi="宋体" w:eastAsia="仿宋_GB2312"/>
          <w:color w:val="auto"/>
          <w:sz w:val="28"/>
          <w:szCs w:val="28"/>
          <w:lang w:eastAsia="zh-CN"/>
        </w:rPr>
        <w:t>得甬国用（2008）第0501127号《土地使用权证》</w:t>
      </w:r>
      <w:r>
        <w:rPr>
          <w:rFonts w:hint="eastAsia" w:ascii="仿宋_GB2312" w:hAnsi="宋体" w:eastAsia="仿宋_GB2312"/>
          <w:color w:val="auto"/>
          <w:sz w:val="28"/>
          <w:szCs w:val="28"/>
        </w:rPr>
        <w:t>，土地</w:t>
      </w:r>
      <w:r>
        <w:rPr>
          <w:rFonts w:hint="eastAsia" w:ascii="仿宋_GB2312" w:hAnsi="宋体" w:eastAsia="仿宋_GB2312"/>
          <w:color w:val="auto"/>
          <w:sz w:val="28"/>
          <w:szCs w:val="28"/>
          <w:lang w:eastAsia="zh-CN"/>
        </w:rPr>
        <w:t>面积</w:t>
      </w:r>
      <w:r>
        <w:rPr>
          <w:rFonts w:hint="eastAsia" w:ascii="仿宋_GB2312" w:hAnsi="宋体" w:eastAsia="仿宋_GB2312"/>
          <w:color w:val="auto"/>
          <w:sz w:val="28"/>
          <w:szCs w:val="28"/>
          <w:lang w:val="en-US" w:eastAsia="zh-CN"/>
        </w:rPr>
        <w:t>24.08平方米，为国有划拨住宅用地</w:t>
      </w:r>
      <w:r>
        <w:rPr>
          <w:rFonts w:hint="eastAsia" w:ascii="仿宋" w:hAnsi="仿宋" w:eastAsia="仿宋"/>
          <w:sz w:val="28"/>
          <w:lang w:val="en-US" w:eastAsia="zh-CN"/>
        </w:rPr>
        <w:t>。</w:t>
      </w:r>
    </w:p>
    <w:p>
      <w:pPr>
        <w:widowControl w:val="0"/>
        <w:snapToGrid w:val="0"/>
        <w:spacing w:line="600" w:lineRule="exact"/>
        <w:ind w:firstLine="280" w:firstLineChars="100"/>
        <w:rPr>
          <w:rFonts w:hint="eastAsia" w:ascii="仿宋_GB2312" w:hAnsi="宋体" w:eastAsia="仿宋_GB2312"/>
          <w:color w:val="auto"/>
          <w:sz w:val="28"/>
          <w:szCs w:val="28"/>
        </w:rPr>
      </w:pPr>
      <w:r>
        <w:rPr>
          <w:rFonts w:hint="eastAsia" w:ascii="仿宋_GB2312" w:hAnsi="宋体" w:eastAsia="仿宋_GB2312"/>
          <w:color w:val="auto"/>
          <w:sz w:val="28"/>
          <w:szCs w:val="28"/>
        </w:rPr>
        <w:t>（2）建筑物权益状况</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olor w:val="auto"/>
          <w:sz w:val="28"/>
          <w:szCs w:val="28"/>
          <w:lang w:eastAsia="zh-CN"/>
        </w:rPr>
      </w:pPr>
      <w:r>
        <w:rPr>
          <w:rFonts w:hint="eastAsia" w:ascii="仿宋_GB2312" w:hAnsi="宋体" w:eastAsia="仿宋_GB2312"/>
          <w:sz w:val="28"/>
          <w:szCs w:val="28"/>
        </w:rPr>
        <w:t>估价对象房屋所有权人为</w:t>
      </w:r>
      <w:r>
        <w:rPr>
          <w:rFonts w:hint="eastAsia" w:eastAsia="仿宋"/>
          <w:color w:val="000000" w:themeColor="text1"/>
          <w:sz w:val="28"/>
          <w:lang w:eastAsia="zh-CN"/>
          <w14:textFill>
            <w14:solidFill>
              <w14:schemeClr w14:val="tx1"/>
            </w14:solidFill>
          </w14:textFill>
        </w:rPr>
        <w:t>***</w:t>
      </w:r>
      <w:r>
        <w:rPr>
          <w:rFonts w:hint="eastAsia" w:ascii="仿宋_GB2312" w:hAnsi="宋体" w:eastAsia="仿宋_GB2312"/>
          <w:sz w:val="28"/>
          <w:szCs w:val="28"/>
        </w:rPr>
        <w:t>，房屋坐落于</w:t>
      </w:r>
      <w:r>
        <w:rPr>
          <w:rFonts w:hint="eastAsia" w:ascii="仿宋" w:hAnsi="仿宋" w:eastAsia="仿宋"/>
          <w:sz w:val="28"/>
          <w:lang w:eastAsia="zh-CN"/>
        </w:rPr>
        <w:t>宁慈西路1455号枫湾家园10幢1单元102室</w:t>
      </w:r>
      <w:r>
        <w:rPr>
          <w:rFonts w:hint="eastAsia" w:ascii="仿宋_GB2312" w:hAnsi="宋体" w:eastAsia="仿宋_GB2312"/>
          <w:color w:val="auto"/>
          <w:sz w:val="28"/>
          <w:szCs w:val="28"/>
          <w:lang w:val="en-US" w:eastAsia="zh-CN"/>
        </w:rPr>
        <w:t>,</w:t>
      </w:r>
      <w:r>
        <w:rPr>
          <w:rFonts w:hint="eastAsia" w:ascii="仿宋_GB2312" w:hAnsi="宋体" w:eastAsia="仿宋_GB2312"/>
          <w:sz w:val="28"/>
          <w:szCs w:val="28"/>
        </w:rPr>
        <w:t>已取</w:t>
      </w:r>
      <w:r>
        <w:rPr>
          <w:rFonts w:hint="eastAsia" w:ascii="仿宋_GB2312" w:hAnsi="宋体" w:eastAsia="仿宋_GB2312"/>
          <w:color w:val="auto"/>
          <w:sz w:val="28"/>
          <w:szCs w:val="28"/>
        </w:rPr>
        <w:t>得</w:t>
      </w:r>
      <w:r>
        <w:rPr>
          <w:rFonts w:hint="eastAsia" w:ascii="仿宋_GB2312" w:hAnsi="宋体" w:eastAsia="仿宋_GB2312"/>
          <w:color w:val="auto"/>
          <w:sz w:val="28"/>
          <w:szCs w:val="28"/>
          <w:lang w:eastAsia="zh-CN"/>
        </w:rPr>
        <w:t>房权证甬北慈私字第20080313号《房屋所有权证》，</w:t>
      </w:r>
      <w:r>
        <w:rPr>
          <w:rFonts w:hint="eastAsia" w:ascii="仿宋_GB2312" w:hAnsi="宋体" w:eastAsia="仿宋_GB2312"/>
          <w:color w:val="auto"/>
          <w:sz w:val="28"/>
          <w:szCs w:val="28"/>
        </w:rPr>
        <w:t>证载</w:t>
      </w:r>
      <w:r>
        <w:rPr>
          <w:rFonts w:hint="eastAsia" w:ascii="仿宋_GB2312" w:hAnsi="宋体" w:eastAsia="仿宋_GB2312"/>
          <w:color w:val="auto"/>
          <w:sz w:val="28"/>
          <w:szCs w:val="28"/>
          <w:lang w:eastAsia="zh-CN"/>
        </w:rPr>
        <w:t>房屋</w:t>
      </w:r>
      <w:r>
        <w:rPr>
          <w:rFonts w:hint="eastAsia" w:ascii="仿宋_GB2312" w:hAnsi="宋体" w:eastAsia="仿宋_GB2312"/>
          <w:color w:val="auto"/>
          <w:sz w:val="28"/>
          <w:szCs w:val="28"/>
        </w:rPr>
        <w:t>建筑面积</w:t>
      </w:r>
      <w:r>
        <w:rPr>
          <w:rFonts w:hint="eastAsia" w:ascii="仿宋_GB2312" w:hAnsi="宋体" w:eastAsia="仿宋_GB2312"/>
          <w:color w:val="auto"/>
          <w:sz w:val="28"/>
          <w:szCs w:val="28"/>
          <w:lang w:val="en-US" w:eastAsia="zh-CN"/>
        </w:rPr>
        <w:t>120.39平方米</w:t>
      </w:r>
      <w:r>
        <w:rPr>
          <w:rFonts w:hint="eastAsia" w:ascii="仿宋_GB2312" w:hAnsi="宋体" w:eastAsia="仿宋_GB2312"/>
          <w:sz w:val="28"/>
          <w:szCs w:val="28"/>
        </w:rPr>
        <w:t>，规划用途为</w:t>
      </w:r>
      <w:r>
        <w:rPr>
          <w:rFonts w:hint="eastAsia" w:ascii="仿宋_GB2312" w:hAnsi="宋体" w:eastAsia="仿宋_GB2312"/>
          <w:sz w:val="28"/>
          <w:szCs w:val="28"/>
          <w:lang w:eastAsia="zh-CN"/>
        </w:rPr>
        <w:t>住宅</w:t>
      </w:r>
      <w:r>
        <w:rPr>
          <w:rFonts w:hint="eastAsia" w:ascii="仿宋_GB2312" w:hAnsi="宋体" w:eastAsia="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eastAsia="zh-CN"/>
        </w:rPr>
        <w:t>该房地产已抵押，抵押权人为**********；该房地产已被宁波市江北区人民法院查封。</w:t>
      </w:r>
    </w:p>
    <w:p>
      <w:pPr>
        <w:spacing w:line="520" w:lineRule="exact"/>
        <w:ind w:firstLine="560" w:firstLineChars="200"/>
        <w:rPr>
          <w:rFonts w:ascii="仿宋" w:hAnsi="仿宋" w:eastAsia="仿宋"/>
          <w:sz w:val="18"/>
          <w:szCs w:val="18"/>
        </w:rPr>
      </w:pPr>
      <w:r>
        <w:rPr>
          <w:rFonts w:hint="eastAsia" w:ascii="仿宋" w:hAnsi="仿宋" w:eastAsia="仿宋"/>
          <w:sz w:val="28"/>
          <w:lang w:val="en-US" w:eastAsia="zh-CN"/>
        </w:rPr>
        <w:t>3、</w:t>
      </w:r>
      <w:r>
        <w:rPr>
          <w:rFonts w:ascii="仿宋" w:hAnsi="仿宋" w:eastAsia="仿宋"/>
          <w:sz w:val="28"/>
        </w:rPr>
        <w:t>估价对象区位状况</w:t>
      </w:r>
    </w:p>
    <w:tbl>
      <w:tblPr>
        <w:tblStyle w:val="19"/>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609" w:type="dxa"/>
            <w:vAlign w:val="center"/>
          </w:tcPr>
          <w:p>
            <w:pPr>
              <w:tabs>
                <w:tab w:val="left" w:pos="3060"/>
              </w:tabs>
              <w:spacing w:line="460" w:lineRule="exact"/>
              <w:jc w:val="center"/>
              <w:rPr>
                <w:rFonts w:hint="eastAsia" w:ascii="仿宋" w:hAnsi="仿宋" w:eastAsia="仿宋" w:cs="仿宋"/>
                <w:color w:val="auto"/>
                <w:szCs w:val="21"/>
              </w:rPr>
            </w:pPr>
            <w:r>
              <w:rPr>
                <w:rFonts w:hint="eastAsia" w:ascii="仿宋" w:hAnsi="仿宋" w:eastAsia="仿宋" w:cs="仿宋"/>
                <w:color w:val="auto"/>
                <w:szCs w:val="21"/>
              </w:rPr>
              <w:t>交通便捷度</w:t>
            </w:r>
          </w:p>
        </w:tc>
        <w:tc>
          <w:tcPr>
            <w:tcW w:w="7561" w:type="dxa"/>
            <w:vAlign w:val="center"/>
          </w:tcPr>
          <w:p>
            <w:pPr>
              <w:tabs>
                <w:tab w:val="left" w:pos="3060"/>
              </w:tabs>
              <w:autoSpaceDN w:val="0"/>
              <w:spacing w:line="440" w:lineRule="exact"/>
              <w:rPr>
                <w:rFonts w:hint="eastAsia" w:ascii="仿宋" w:hAnsi="仿宋" w:eastAsia="仿宋" w:cs="仿宋"/>
                <w:color w:val="auto"/>
                <w:szCs w:val="21"/>
              </w:rPr>
            </w:pPr>
            <w:r>
              <w:rPr>
                <w:rFonts w:hint="eastAsia" w:ascii="仿宋" w:hAnsi="仿宋" w:eastAsia="仿宋" w:cs="仿宋"/>
                <w:color w:val="auto"/>
                <w:szCs w:val="21"/>
                <w:lang w:eastAsia="zh-CN"/>
              </w:rPr>
              <w:t>估价对象位于宁慈西路1455号枫湾家园10幢1单元102室，所在楼盘枫湾家园近江北大道，周边路网较密集，有336-1、336-2路、336-3路、336路、337路、微29路等公交线路经过，交通方便。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09" w:type="dxa"/>
            <w:vAlign w:val="center"/>
          </w:tcPr>
          <w:p>
            <w:pPr>
              <w:tabs>
                <w:tab w:val="left" w:pos="3060"/>
              </w:tabs>
              <w:spacing w:line="460" w:lineRule="exact"/>
              <w:jc w:val="center"/>
              <w:rPr>
                <w:rFonts w:hint="eastAsia" w:ascii="仿宋" w:hAnsi="仿宋" w:eastAsia="仿宋" w:cs="仿宋"/>
                <w:color w:val="auto"/>
                <w:szCs w:val="21"/>
              </w:rPr>
            </w:pPr>
            <w:r>
              <w:rPr>
                <w:rFonts w:hint="eastAsia" w:ascii="仿宋" w:hAnsi="仿宋" w:eastAsia="仿宋" w:cs="仿宋"/>
                <w:color w:val="auto"/>
                <w:szCs w:val="21"/>
              </w:rPr>
              <w:t>周边配套</w:t>
            </w:r>
          </w:p>
        </w:tc>
        <w:tc>
          <w:tcPr>
            <w:tcW w:w="7561"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ind w:left="0" w:right="0" w:firstLine="150"/>
              <w:rPr>
                <w:rFonts w:hint="eastAsia" w:ascii="仿宋" w:hAnsi="仿宋" w:eastAsia="仿宋" w:cs="仿宋"/>
                <w:b w:val="0"/>
                <w:bCs w:val="0"/>
                <w:color w:val="auto"/>
                <w:sz w:val="21"/>
                <w:szCs w:val="21"/>
                <w:lang w:val="en-US" w:eastAsia="zh-CN" w:bidi="ar-SA"/>
              </w:rPr>
            </w:pPr>
            <w:r>
              <w:rPr>
                <w:rFonts w:hint="eastAsia" w:ascii="仿宋" w:hAnsi="仿宋" w:eastAsia="仿宋" w:cs="仿宋"/>
                <w:b w:val="0"/>
                <w:bCs w:val="0"/>
                <w:color w:val="auto"/>
                <w:sz w:val="21"/>
                <w:szCs w:val="21"/>
                <w:lang w:val="en-US" w:eastAsia="zh-CN" w:bidi="ar-SA"/>
              </w:rPr>
              <w:t>估价对象位于宁波市江北区，属于宁波市城区范围内，周边附近有宁波外事学校、贝贝佳幼儿园、中城小学、三江购物金田店、博雅健贝口腔、甬城农商银行、中国银行等生活配套设施，生活便利。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09" w:type="dxa"/>
            <w:vAlign w:val="center"/>
          </w:tcPr>
          <w:p>
            <w:pPr>
              <w:tabs>
                <w:tab w:val="left" w:pos="3060"/>
              </w:tabs>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环境</w:t>
            </w:r>
          </w:p>
        </w:tc>
        <w:tc>
          <w:tcPr>
            <w:tcW w:w="7561" w:type="dxa"/>
            <w:vAlign w:val="center"/>
          </w:tcPr>
          <w:p>
            <w:pPr>
              <w:tabs>
                <w:tab w:val="left" w:pos="3060"/>
              </w:tabs>
              <w:spacing w:line="440" w:lineRule="exact"/>
              <w:rPr>
                <w:rFonts w:hint="eastAsia" w:ascii="仿宋" w:hAnsi="仿宋" w:eastAsia="仿宋" w:cs="仿宋"/>
                <w:color w:val="auto"/>
                <w:szCs w:val="21"/>
                <w:lang w:eastAsia="zh-CN"/>
              </w:rPr>
            </w:pPr>
            <w:r>
              <w:rPr>
                <w:rFonts w:hint="eastAsia" w:ascii="仿宋" w:hAnsi="仿宋" w:eastAsia="仿宋" w:cs="仿宋"/>
                <w:color w:val="auto"/>
                <w:szCs w:val="21"/>
                <w:lang w:eastAsia="zh-CN"/>
              </w:rPr>
              <w:t>周边环境景观一般</w:t>
            </w:r>
          </w:p>
        </w:tc>
      </w:tr>
    </w:tbl>
    <w:p>
      <w:pPr>
        <w:pStyle w:val="3"/>
        <w:spacing w:line="460" w:lineRule="exact"/>
        <w:rPr>
          <w:rFonts w:ascii="Times New Roman" w:hAnsi="Times New Roman"/>
        </w:rPr>
      </w:pPr>
      <w:bookmarkStart w:id="12" w:name="_Toc76733175"/>
      <w:r>
        <w:rPr>
          <w:rFonts w:ascii="Times New Roman" w:hAnsi="Times New Roman"/>
        </w:rPr>
        <w:t>五、价值时点</w:t>
      </w:r>
      <w:bookmarkEnd w:id="12"/>
    </w:p>
    <w:p>
      <w:pPr>
        <w:spacing w:line="480" w:lineRule="exact"/>
        <w:ind w:firstLine="560" w:firstLineChars="200"/>
        <w:rPr>
          <w:rFonts w:ascii="仿宋" w:hAnsi="仿宋" w:eastAsia="仿宋"/>
        </w:rPr>
      </w:pPr>
      <w:r>
        <w:rPr>
          <w:rStyle w:val="59"/>
          <w:rFonts w:ascii="仿宋" w:hAnsi="仿宋" w:eastAsia="仿宋"/>
          <w:sz w:val="28"/>
        </w:rPr>
        <w:t>价值时点为</w:t>
      </w:r>
      <w:r>
        <w:rPr>
          <w:rStyle w:val="59"/>
          <w:rFonts w:hint="eastAsia" w:ascii="仿宋" w:hAnsi="仿宋" w:eastAsia="仿宋"/>
          <w:sz w:val="28"/>
          <w:lang w:eastAsia="zh-CN"/>
        </w:rPr>
        <w:t>2022年11月16日</w:t>
      </w:r>
      <w:r>
        <w:rPr>
          <w:rFonts w:ascii="仿宋" w:hAnsi="仿宋" w:eastAsia="仿宋"/>
          <w:sz w:val="28"/>
        </w:rPr>
        <w:t>(实地查勘之日)。</w:t>
      </w:r>
    </w:p>
    <w:p>
      <w:pPr>
        <w:pStyle w:val="3"/>
        <w:spacing w:line="460" w:lineRule="exact"/>
        <w:rPr>
          <w:rFonts w:ascii="Times New Roman" w:hAnsi="Times New Roman"/>
        </w:rPr>
      </w:pPr>
      <w:bookmarkStart w:id="13" w:name="_Toc76733176"/>
      <w:r>
        <w:rPr>
          <w:rFonts w:ascii="Times New Roman" w:hAnsi="Times New Roman"/>
        </w:rPr>
        <w:t>六、价值类型</w:t>
      </w:r>
      <w:bookmarkEnd w:id="13"/>
    </w:p>
    <w:p>
      <w:pPr>
        <w:pStyle w:val="3"/>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ascii="仿宋" w:hAnsi="仿宋" w:eastAsia="仿宋"/>
          <w:sz w:val="28"/>
        </w:rPr>
        <w:t>本次估价的价值类型为</w:t>
      </w:r>
      <w:r>
        <w:rPr>
          <w:rFonts w:hint="eastAsia" w:ascii="仿宋" w:hAnsi="仿宋" w:eastAsia="仿宋"/>
          <w:sz w:val="28"/>
        </w:rPr>
        <w:t>市场</w:t>
      </w:r>
      <w:r>
        <w:rPr>
          <w:rFonts w:ascii="仿宋" w:hAnsi="仿宋" w:eastAsia="仿宋"/>
          <w:sz w:val="28"/>
        </w:rPr>
        <w:t>价值。</w:t>
      </w:r>
    </w:p>
    <w:p>
      <w:pPr>
        <w:pageBreakBefore w:val="0"/>
        <w:widowControl w:val="0"/>
        <w:kinsoku/>
        <w:wordWrap/>
        <w:overflowPunct/>
        <w:topLinePunct w:val="0"/>
        <w:autoSpaceDE/>
        <w:autoSpaceDN/>
        <w:bidi w:val="0"/>
        <w:adjustRightInd w:val="0"/>
        <w:snapToGrid/>
        <w:spacing w:line="480" w:lineRule="exact"/>
        <w:ind w:firstLine="565" w:firstLineChars="202"/>
        <w:textAlignment w:val="auto"/>
        <w:rPr>
          <w:rFonts w:ascii="Times New Roman" w:hAnsi="Times New Roman"/>
        </w:rPr>
      </w:pPr>
      <w:r>
        <w:rPr>
          <w:rFonts w:hint="eastAsia" w:ascii="仿宋" w:hAnsi="仿宋" w:eastAsia="仿宋"/>
          <w:sz w:val="28"/>
        </w:rPr>
        <w:t>市场价值为估价对象经适当营销后，由熟悉情况、谨慎行事且不受强迫的交易双方以公平交易方式在价值时点自愿进行交易的金额。</w:t>
      </w:r>
      <w:bookmarkStart w:id="14" w:name="_Toc76733177"/>
    </w:p>
    <w:p>
      <w:pPr>
        <w:pStyle w:val="3"/>
        <w:spacing w:line="460" w:lineRule="exact"/>
        <w:rPr>
          <w:rFonts w:ascii="Times New Roman" w:hAnsi="Times New Roman"/>
        </w:rPr>
      </w:pPr>
      <w:r>
        <w:rPr>
          <w:rFonts w:ascii="Times New Roman" w:hAnsi="Times New Roman"/>
        </w:rPr>
        <w:t>七、估价原则</w:t>
      </w:r>
      <w:bookmarkEnd w:id="14"/>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hint="eastAsia" w:ascii="仿宋" w:hAnsi="仿宋" w:eastAsia="仿宋"/>
          <w:sz w:val="28"/>
        </w:rPr>
        <w:t>本次估价遵循以下原则：</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1、遵循独立、客观、公正原则：要求站在中立的立场上，实事求是、公平正直地评估出对各方估价利害关系人均是公平合理的价值或价格的原则。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2、遵循合法原则：要求估价结果是在依法判定的估价对象状况下的价值或价格的原则。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3、遵循价值时点原则：要求估价结果是在根据估价目的确定的某一特定时间的价值或价格的原则。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4、遵循替代原则：要求估价结果与估价对象的类似房地产在同等条件下的价值或价格偏差在合理范围内的原则。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5、遵循最高最佳利用原则：要求估价结果是在估价对象最高最佳利用状况下的价值或价格的原则。最高最佳利用是指房地产在法律上允许、技术上可能、财务上可行并使价值最大的合理、可能的利用，包括最佳的用途、规模、档次等。</w:t>
      </w:r>
    </w:p>
    <w:p>
      <w:pPr>
        <w:pStyle w:val="3"/>
        <w:spacing w:line="460" w:lineRule="exact"/>
        <w:rPr>
          <w:rFonts w:ascii="Times New Roman" w:hAnsi="Times New Roman"/>
        </w:rPr>
      </w:pPr>
      <w:bookmarkStart w:id="15" w:name="_Toc76733178"/>
      <w:r>
        <w:rPr>
          <w:rFonts w:ascii="Times New Roman" w:hAnsi="Times New Roman"/>
        </w:rPr>
        <w:t>八、估价依据</w:t>
      </w:r>
      <w:bookmarkEnd w:id="15"/>
    </w:p>
    <w:p>
      <w:pPr>
        <w:spacing w:line="480" w:lineRule="exact"/>
        <w:ind w:firstLine="284"/>
        <w:rPr>
          <w:rFonts w:ascii="仿宋" w:hAnsi="仿宋" w:eastAsia="仿宋"/>
          <w:sz w:val="28"/>
        </w:rPr>
      </w:pPr>
      <w:r>
        <w:rPr>
          <w:rFonts w:ascii="仿宋" w:hAnsi="仿宋" w:eastAsia="仿宋"/>
          <w:sz w:val="28"/>
        </w:rPr>
        <w:t>（一）法律法规及文件依据</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1、《中华人民共和国</w:t>
      </w:r>
      <w:r>
        <w:rPr>
          <w:rFonts w:hint="eastAsia" w:ascii="仿宋" w:hAnsi="仿宋" w:eastAsia="仿宋"/>
          <w:sz w:val="28"/>
        </w:rPr>
        <w:t>民法典</w:t>
      </w:r>
      <w:r>
        <w:rPr>
          <w:rFonts w:ascii="仿宋" w:hAnsi="仿宋" w:eastAsia="仿宋"/>
          <w:sz w:val="28"/>
        </w:rPr>
        <w:t>》；</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2、《中华人民共和国城市房地产管理法》；</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3、《中华人民共和国土地管理法》；</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4、《中华人民共和国城市规划法》；</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5、《中华人民共和国资产</w:t>
      </w:r>
      <w:r>
        <w:rPr>
          <w:rFonts w:hint="eastAsia" w:ascii="仿宋" w:hAnsi="仿宋" w:eastAsia="仿宋"/>
          <w:sz w:val="28"/>
        </w:rPr>
        <w:t>评估</w:t>
      </w:r>
      <w:r>
        <w:rPr>
          <w:rFonts w:ascii="仿宋" w:hAnsi="仿宋" w:eastAsia="仿宋"/>
          <w:sz w:val="28"/>
        </w:rPr>
        <w:t>法》</w:t>
      </w:r>
      <w:r>
        <w:rPr>
          <w:rFonts w:hint="eastAsia" w:ascii="仿宋" w:hAnsi="仿宋" w:eastAsia="仿宋"/>
          <w:sz w:val="28"/>
        </w:rPr>
        <w:t>；</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hint="eastAsia" w:ascii="仿宋" w:hAnsi="仿宋" w:eastAsia="仿宋"/>
          <w:sz w:val="28"/>
        </w:rPr>
        <w:t>6、《最高人民法院对外委托鉴定、评估、拍卖等工作管理规定》法办发[</w:t>
      </w:r>
      <w:r>
        <w:rPr>
          <w:rFonts w:ascii="仿宋" w:hAnsi="仿宋" w:eastAsia="仿宋"/>
          <w:sz w:val="28"/>
        </w:rPr>
        <w:t>2007]5</w:t>
      </w:r>
      <w:r>
        <w:rPr>
          <w:rFonts w:hint="eastAsia" w:ascii="仿宋" w:hAnsi="仿宋" w:eastAsia="仿宋"/>
          <w:sz w:val="28"/>
        </w:rPr>
        <w:t>号</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hint="eastAsia" w:ascii="仿宋" w:hAnsi="仿宋" w:eastAsia="仿宋"/>
          <w:sz w:val="28"/>
        </w:rPr>
        <w:t>7、《最高人民法院关于人民法院民事执行中查封、扣押、冻结财产的规定》法释(2004)15号</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hint="eastAsia" w:ascii="仿宋" w:hAnsi="仿宋" w:eastAsia="仿宋"/>
          <w:sz w:val="28"/>
        </w:rPr>
        <w:t>8、《最高人民法院关于人民法院民事执行中拍卖、变卖财产的现定》 法释(2004)16号</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hint="eastAsia" w:ascii="仿宋" w:hAnsi="仿宋" w:eastAsia="仿宋"/>
          <w:sz w:val="28"/>
        </w:rPr>
        <w:t>9、《最高人民法院关于人民法院委托评估、拍卖和变卖工作的若干规定》法释(2009)16号</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hint="eastAsia" w:ascii="仿宋" w:hAnsi="仿宋" w:eastAsia="仿宋"/>
          <w:sz w:val="28"/>
        </w:rPr>
        <w:t>1</w:t>
      </w:r>
      <w:r>
        <w:rPr>
          <w:rFonts w:ascii="仿宋" w:hAnsi="仿宋" w:eastAsia="仿宋"/>
          <w:sz w:val="28"/>
        </w:rPr>
        <w:t>0</w:t>
      </w:r>
      <w:r>
        <w:rPr>
          <w:rFonts w:hint="eastAsia" w:ascii="仿宋" w:hAnsi="仿宋" w:eastAsia="仿宋"/>
          <w:sz w:val="28"/>
        </w:rPr>
        <w:t>、《最高人民法院关于人民法院网络司法拍卖若干问题的规定》法释(2016)18号</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hint="eastAsia" w:ascii="仿宋" w:hAnsi="仿宋" w:eastAsia="仿宋"/>
          <w:sz w:val="28"/>
        </w:rPr>
        <w:t>1</w:t>
      </w:r>
      <w:r>
        <w:rPr>
          <w:rFonts w:ascii="仿宋" w:hAnsi="仿宋" w:eastAsia="仿宋"/>
          <w:sz w:val="28"/>
        </w:rPr>
        <w:t>1</w:t>
      </w:r>
      <w:r>
        <w:rPr>
          <w:rFonts w:hint="eastAsia" w:ascii="仿宋" w:hAnsi="仿宋" w:eastAsia="仿宋"/>
          <w:sz w:val="28"/>
        </w:rPr>
        <w:t>、《最高人民法院关于人民法院确定财产处置参考价若干问题的规定》法释(2018)15号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hint="eastAsia" w:ascii="仿宋" w:hAnsi="仿宋" w:eastAsia="仿宋"/>
          <w:sz w:val="28"/>
        </w:rPr>
        <w:t>1</w:t>
      </w:r>
      <w:r>
        <w:rPr>
          <w:rFonts w:ascii="仿宋" w:hAnsi="仿宋" w:eastAsia="仿宋"/>
          <w:sz w:val="28"/>
        </w:rPr>
        <w:t>2</w:t>
      </w:r>
      <w:r>
        <w:rPr>
          <w:rFonts w:hint="eastAsia" w:ascii="仿宋" w:hAnsi="仿宋" w:eastAsia="仿宋"/>
          <w:sz w:val="28"/>
        </w:rPr>
        <w:t>、《人民法院委托评估工作规范》法办(2018)273号</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ascii="仿宋" w:hAnsi="仿宋" w:eastAsia="仿宋"/>
          <w:sz w:val="28"/>
        </w:rPr>
      </w:pPr>
      <w:r>
        <w:rPr>
          <w:rFonts w:ascii="仿宋" w:hAnsi="仿宋" w:eastAsia="仿宋"/>
          <w:sz w:val="28"/>
        </w:rPr>
        <w:t>13</w:t>
      </w:r>
      <w:r>
        <w:rPr>
          <w:rFonts w:hint="eastAsia" w:ascii="仿宋" w:hAnsi="仿宋" w:eastAsia="仿宋"/>
          <w:sz w:val="28"/>
        </w:rPr>
        <w:t>、《浙江省高级人民法院执行局关于规范不动产网络司法拍卖、变卖</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ascii="仿宋" w:hAnsi="仿宋" w:eastAsia="仿宋"/>
          <w:sz w:val="28"/>
        </w:rPr>
      </w:pPr>
      <w:r>
        <w:rPr>
          <w:rFonts w:hint="eastAsia" w:ascii="仿宋" w:hAnsi="仿宋" w:eastAsia="仿宋"/>
          <w:sz w:val="28"/>
        </w:rPr>
        <w:t>工作指引》浙高法执[2020]6号</w:t>
      </w:r>
      <w:r>
        <w:rPr>
          <w:rFonts w:ascii="仿宋" w:hAnsi="仿宋" w:eastAsia="仿宋"/>
          <w:sz w:val="28"/>
        </w:rPr>
        <w:cr/>
      </w:r>
      <w:r>
        <w:rPr>
          <w:rFonts w:ascii="仿宋" w:hAnsi="仿宋" w:eastAsia="仿宋"/>
          <w:sz w:val="28"/>
        </w:rPr>
        <w:t>（二）估价标准依据</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1、《房地产估价规范》GB/T50291-2015；</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2、《房地产估价基本术语标准》GB/T50899-2013；</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hint="eastAsia" w:ascii="仿宋" w:hAnsi="仿宋" w:eastAsia="仿宋"/>
          <w:sz w:val="28"/>
        </w:rPr>
        <w:t>3、关于印发《浙江省房地产司法估价技术指引(试行)》的通知 浙估协[2020]22号；</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hint="eastAsia" w:ascii="仿宋" w:hAnsi="仿宋" w:eastAsia="仿宋"/>
          <w:sz w:val="28"/>
        </w:rPr>
        <w:t>4、关于修订《浙江省房地产司法评估指导意见(试行)》的通知 浙估协[2021]3号</w:t>
      </w:r>
    </w:p>
    <w:p>
      <w:pPr>
        <w:keepNext w:val="0"/>
        <w:keepLines w:val="0"/>
        <w:pageBreakBefore w:val="0"/>
        <w:widowControl w:val="0"/>
        <w:kinsoku/>
        <w:wordWrap/>
        <w:overflowPunct/>
        <w:topLinePunct w:val="0"/>
        <w:autoSpaceDE/>
        <w:autoSpaceDN/>
        <w:bidi w:val="0"/>
        <w:adjustRightInd w:val="0"/>
        <w:snapToGrid/>
        <w:spacing w:line="480" w:lineRule="exact"/>
        <w:ind w:firstLine="284"/>
        <w:textAlignment w:val="auto"/>
        <w:rPr>
          <w:rFonts w:ascii="仿宋" w:hAnsi="仿宋" w:eastAsia="仿宋"/>
          <w:sz w:val="28"/>
        </w:rPr>
      </w:pPr>
      <w:r>
        <w:rPr>
          <w:rFonts w:ascii="仿宋" w:hAnsi="仿宋" w:eastAsia="仿宋"/>
          <w:sz w:val="28"/>
        </w:rPr>
        <w:t>（三）估价委托人提供的资料依据</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1、《估价委托书》</w:t>
      </w:r>
      <w:r>
        <w:rPr>
          <w:rFonts w:hint="eastAsia" w:ascii="仿宋" w:hAnsi="仿宋" w:eastAsia="仿宋"/>
          <w:sz w:val="28"/>
        </w:rPr>
        <w:t>[</w:t>
      </w:r>
      <w:r>
        <w:rPr>
          <w:rFonts w:hint="eastAsia" w:ascii="仿宋" w:hAnsi="仿宋" w:eastAsia="仿宋"/>
          <w:sz w:val="28"/>
          <w:szCs w:val="28"/>
          <w:lang w:eastAsia="zh-CN"/>
        </w:rPr>
        <w:t>（2022）浙0205法委评80号</w:t>
      </w:r>
      <w:r>
        <w:rPr>
          <w:rFonts w:hint="eastAsia" w:ascii="仿宋" w:hAnsi="仿宋" w:eastAsia="仿宋"/>
          <w:sz w:val="28"/>
        </w:rPr>
        <w:t>]</w:t>
      </w:r>
      <w:r>
        <w:rPr>
          <w:rFonts w:ascii="仿宋" w:hAnsi="仿宋" w:eastAsia="仿宋"/>
          <w:sz w:val="28"/>
        </w:rPr>
        <w:t>；</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仿宋" w:hAnsi="仿宋" w:eastAsia="仿宋"/>
          <w:sz w:val="28"/>
        </w:rPr>
      </w:pPr>
      <w:r>
        <w:rPr>
          <w:rFonts w:ascii="仿宋" w:hAnsi="仿宋" w:eastAsia="仿宋"/>
          <w:sz w:val="28"/>
        </w:rPr>
        <w:t>2、</w:t>
      </w:r>
      <w:r>
        <w:rPr>
          <w:rFonts w:hint="eastAsia" w:ascii="仿宋" w:hAnsi="仿宋" w:eastAsia="仿宋"/>
          <w:sz w:val="28"/>
          <w:lang w:eastAsia="zh-CN"/>
        </w:rPr>
        <w:t>房权证甬北慈私字第20080313号《房屋所有权证》、甬国用（2008）第0501127号《土地使用证》</w:t>
      </w:r>
      <w:r>
        <w:rPr>
          <w:rFonts w:ascii="仿宋" w:hAnsi="仿宋" w:eastAsia="仿宋"/>
          <w:sz w:val="28"/>
        </w:rPr>
        <w:t>复印件</w:t>
      </w:r>
      <w:r>
        <w:rPr>
          <w:rFonts w:hint="eastAsia" w:ascii="仿宋" w:hAnsi="仿宋" w:eastAsia="仿宋"/>
          <w:sz w:val="28"/>
        </w:rPr>
        <w:t>。</w:t>
      </w:r>
    </w:p>
    <w:p>
      <w:pPr>
        <w:keepNext w:val="0"/>
        <w:keepLines w:val="0"/>
        <w:pageBreakBefore w:val="0"/>
        <w:widowControl w:val="0"/>
        <w:kinsoku/>
        <w:wordWrap/>
        <w:overflowPunct/>
        <w:topLinePunct w:val="0"/>
        <w:autoSpaceDE/>
        <w:autoSpaceDN/>
        <w:bidi w:val="0"/>
        <w:adjustRightInd w:val="0"/>
        <w:snapToGrid/>
        <w:spacing w:line="480" w:lineRule="exact"/>
        <w:ind w:firstLine="284"/>
        <w:textAlignment w:val="auto"/>
        <w:rPr>
          <w:rFonts w:hint="eastAsia" w:ascii="仿宋" w:hAnsi="仿宋" w:eastAsia="仿宋"/>
          <w:sz w:val="28"/>
          <w:lang w:eastAsia="zh-CN"/>
        </w:rPr>
      </w:pPr>
      <w:r>
        <w:rPr>
          <w:rFonts w:ascii="仿宋" w:hAnsi="仿宋" w:eastAsia="仿宋"/>
          <w:sz w:val="28"/>
        </w:rPr>
        <w:t>（四）估价机构及估价师搜集的</w:t>
      </w:r>
      <w:r>
        <w:rPr>
          <w:rFonts w:hint="eastAsia" w:ascii="仿宋" w:hAnsi="仿宋" w:eastAsia="仿宋"/>
          <w:sz w:val="28"/>
          <w:lang w:eastAsia="zh-CN"/>
        </w:rPr>
        <w:t>相关资料</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ascii="Times New Roman" w:hAnsi="Times New Roman" w:eastAsia="黑体" w:cs="Times New Roman"/>
          <w:bCs/>
          <w:sz w:val="28"/>
          <w:szCs w:val="32"/>
          <w:lang w:val="en-US" w:eastAsia="zh-CN" w:bidi="ar-SA"/>
        </w:rPr>
      </w:pPr>
      <w:bookmarkStart w:id="16" w:name="_Toc76733179"/>
      <w:r>
        <w:rPr>
          <w:rFonts w:ascii="Times New Roman" w:hAnsi="Times New Roman" w:eastAsia="黑体" w:cs="Times New Roman"/>
          <w:bCs/>
          <w:sz w:val="28"/>
          <w:szCs w:val="32"/>
          <w:lang w:val="en-US" w:eastAsia="zh-CN" w:bidi="ar-SA"/>
        </w:rPr>
        <w:t>九、估价方法</w:t>
      </w:r>
      <w:bookmarkEnd w:id="16"/>
      <w:r>
        <w:rPr>
          <w:rFonts w:hint="eastAsia" w:eastAsia="黑体" w:cs="Times New Roman"/>
          <w:bCs/>
          <w:sz w:val="28"/>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hint="eastAsia" w:ascii="仿宋" w:hAnsi="仿宋" w:eastAsia="仿宋"/>
          <w:sz w:val="28"/>
          <w:szCs w:val="22"/>
        </w:rPr>
      </w:pPr>
      <w:bookmarkStart w:id="17" w:name="_Toc76733180"/>
      <w:r>
        <w:rPr>
          <w:rFonts w:hint="eastAsia" w:ascii="仿宋" w:hAnsi="仿宋" w:eastAsia="仿宋"/>
          <w:sz w:val="28"/>
          <w:szCs w:val="22"/>
        </w:rPr>
        <w:t>估价方法通常有比较法、收益法、成本法、假设开发法等估价方法。比较法适用于同类房地产交易案例较多的估价；收益法适用于有收益或有潜在收益的房地产估价；成本法适用于无市场依据或市场依据不充分而不宜采用比较法、收益法、假设开发法进行估价的情况下的房地产估价；假设开发法适用于具有投资开发或再开发潜力的房地产估价。</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hint="eastAsia" w:ascii="仿宋" w:hAnsi="仿宋" w:eastAsia="仿宋"/>
          <w:sz w:val="28"/>
          <w:szCs w:val="22"/>
        </w:rPr>
      </w:pPr>
      <w:r>
        <w:rPr>
          <w:rFonts w:hint="eastAsia" w:ascii="仿宋" w:hAnsi="仿宋" w:eastAsia="仿宋"/>
          <w:sz w:val="28"/>
          <w:szCs w:val="22"/>
        </w:rPr>
        <w:t>本估价机构估价人员根据估价对象房地产的具体情况，在对其进行实地勘察和类似物业调查后，按照估价程序，认真分析了影响委估项目价值的相关因素，并深入细致地分析了委估项目的特点和实际情况，根据估价委托人提供及本估价机构所掌握的资料，通过实地勘查和调研，结合估价人员的经验认为，采用比较法评估其市场价值。</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hint="eastAsia" w:ascii="仿宋" w:hAnsi="仿宋" w:eastAsia="仿宋"/>
          <w:sz w:val="28"/>
          <w:szCs w:val="22"/>
        </w:rPr>
      </w:pPr>
      <w:r>
        <w:rPr>
          <w:rFonts w:hint="eastAsia" w:ascii="仿宋" w:hAnsi="仿宋" w:eastAsia="仿宋"/>
          <w:sz w:val="28"/>
          <w:szCs w:val="22"/>
        </w:rPr>
        <w:t>比较法，又称市场比较法，是将估价对象与在价值时点有过交易的类似房地产进行比较，对这些类似房地产的已知价格作适当的修正和调整，以此估算估价对象的客观合理价格或价值的方法。</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hint="eastAsia" w:ascii="仿宋" w:hAnsi="仿宋" w:eastAsia="仿宋"/>
          <w:sz w:val="28"/>
          <w:szCs w:val="22"/>
        </w:rPr>
      </w:pPr>
      <w:r>
        <w:rPr>
          <w:rFonts w:hint="eastAsia" w:ascii="仿宋" w:hAnsi="仿宋" w:eastAsia="仿宋"/>
          <w:sz w:val="28"/>
          <w:szCs w:val="22"/>
        </w:rPr>
        <w:t>估价技术路线: 在与估价对象处于同一供需圈内，选取近期成交的与估价对象类似的三个可比实例，分别与估价对象进行逐项对比，通过进行交易情况、交易日期、区域因素、个别因素等修正后，由此得出比准单价，再与估价对象的建筑面积相乘后得出估价对象市场价值。</w:t>
      </w:r>
    </w:p>
    <w:p>
      <w:pPr>
        <w:keepNext w:val="0"/>
        <w:keepLines w:val="0"/>
        <w:pageBreakBefore w:val="0"/>
        <w:widowControl w:val="0"/>
        <w:kinsoku/>
        <w:wordWrap/>
        <w:overflowPunct/>
        <w:topLinePunct w:val="0"/>
        <w:autoSpaceDE/>
        <w:autoSpaceDN/>
        <w:bidi w:val="0"/>
        <w:adjustRightInd w:val="0"/>
        <w:snapToGrid/>
        <w:spacing w:line="480" w:lineRule="exact"/>
        <w:ind w:firstLine="539"/>
        <w:textAlignment w:val="auto"/>
        <w:rPr>
          <w:rFonts w:hint="eastAsia" w:ascii="仿宋" w:hAnsi="仿宋" w:eastAsia="仿宋"/>
          <w:sz w:val="28"/>
          <w:szCs w:val="22"/>
        </w:rPr>
      </w:pPr>
      <w:r>
        <w:rPr>
          <w:rFonts w:hint="eastAsia" w:ascii="仿宋" w:hAnsi="仿宋" w:eastAsia="仿宋"/>
          <w:sz w:val="28"/>
          <w:szCs w:val="22"/>
        </w:rPr>
        <w:t>比准价格=可比实例成交价格×交易情况修正系数×市场状况调整系数×区位状况调整系数×权益状况调整系数×实物状况调整系数</w:t>
      </w:r>
    </w:p>
    <w:p>
      <w:pPr>
        <w:pStyle w:val="3"/>
        <w:spacing w:line="460" w:lineRule="exact"/>
        <w:rPr>
          <w:rFonts w:ascii="Times New Roman" w:hAnsi="Times New Roman"/>
        </w:rPr>
      </w:pPr>
      <w:r>
        <w:rPr>
          <w:rFonts w:ascii="Times New Roman" w:hAnsi="Times New Roman"/>
        </w:rPr>
        <w:t>十、估价结果</w:t>
      </w:r>
      <w:bookmarkEnd w:id="17"/>
    </w:p>
    <w:p>
      <w:pPr>
        <w:keepNext w:val="0"/>
        <w:keepLines w:val="0"/>
        <w:pageBreakBefore w:val="0"/>
        <w:widowControl w:val="0"/>
        <w:kinsoku/>
        <w:wordWrap/>
        <w:overflowPunct/>
        <w:topLinePunct w:val="0"/>
        <w:autoSpaceDE/>
        <w:autoSpaceDN/>
        <w:bidi w:val="0"/>
        <w:adjustRightInd w:val="0"/>
        <w:snapToGrid/>
        <w:spacing w:after="156" w:afterLines="50" w:line="480" w:lineRule="exact"/>
        <w:ind w:firstLine="560" w:firstLineChars="200"/>
        <w:textAlignment w:val="auto"/>
        <w:rPr>
          <w:rFonts w:hint="eastAsia" w:ascii="仿宋_GB2312" w:eastAsia="仿宋_GB2312"/>
          <w:color w:val="auto"/>
          <w:sz w:val="28"/>
          <w:szCs w:val="28"/>
        </w:rPr>
      </w:pPr>
      <w:r>
        <w:rPr>
          <w:rFonts w:ascii="仿宋" w:hAnsi="仿宋" w:eastAsia="仿宋"/>
          <w:sz w:val="28"/>
        </w:rPr>
        <w:t>遵照有关的法律法规、政策文件和估价标准，根据委托人提供的相关资料以及本估价机构及注册房地产估价师掌握的资料，按照估价目的，遵循估价原则，</w:t>
      </w:r>
      <w:r>
        <w:rPr>
          <w:rFonts w:hint="eastAsia" w:ascii="仿宋" w:hAnsi="仿宋" w:eastAsia="仿宋"/>
          <w:sz w:val="28"/>
        </w:rPr>
        <w:t>在满足估价假设和限制条件下，</w:t>
      </w:r>
      <w:bookmarkStart w:id="18" w:name="_Toc465070364"/>
      <w:bookmarkStart w:id="19" w:name="_Toc76733181"/>
      <w:r>
        <w:rPr>
          <w:rFonts w:hint="eastAsia" w:eastAsia="仿宋"/>
          <w:color w:val="000000" w:themeColor="text1"/>
          <w:sz w:val="28"/>
          <w:lang w:eastAsia="zh-CN"/>
          <w14:textFill>
            <w14:solidFill>
              <w14:schemeClr w14:val="tx1"/>
            </w14:solidFill>
          </w14:textFill>
        </w:rPr>
        <w:t>估价人员采用比较法</w:t>
      </w:r>
      <w:r>
        <w:rPr>
          <w:rFonts w:hint="eastAsia" w:ascii="仿宋_GB2312" w:eastAsia="仿宋_GB2312"/>
          <w:sz w:val="28"/>
          <w:szCs w:val="28"/>
        </w:rPr>
        <w:t>经过测算并结合估价经验</w:t>
      </w:r>
      <w:r>
        <w:rPr>
          <w:rFonts w:hint="eastAsia" w:ascii="仿宋" w:hAnsi="仿宋" w:eastAsia="仿宋"/>
          <w:sz w:val="28"/>
          <w:lang w:eastAsia="zh-CN"/>
        </w:rPr>
        <w:t>确定</w:t>
      </w:r>
      <w:r>
        <w:rPr>
          <w:rFonts w:hint="eastAsia" w:ascii="仿宋_GB2312" w:eastAsia="仿宋_GB2312"/>
          <w:sz w:val="28"/>
          <w:szCs w:val="28"/>
        </w:rPr>
        <w:t>估价对象房地产在价值时点的</w:t>
      </w:r>
      <w:r>
        <w:rPr>
          <w:rFonts w:hint="eastAsia" w:ascii="仿宋_GB2312" w:eastAsia="仿宋_GB2312"/>
          <w:sz w:val="28"/>
          <w:szCs w:val="28"/>
          <w:lang w:eastAsia="zh-CN"/>
        </w:rPr>
        <w:t>评估结果为</w:t>
      </w:r>
      <w:r>
        <w:rPr>
          <w:rFonts w:hint="eastAsia" w:ascii="仿宋_GB2312" w:eastAsia="仿宋_GB2312"/>
          <w:color w:val="auto"/>
          <w:sz w:val="28"/>
          <w:szCs w:val="28"/>
          <w:lang w:val="en-US" w:eastAsia="zh-CN"/>
        </w:rPr>
        <w:t>239.63万元，</w:t>
      </w:r>
      <w:r>
        <w:rPr>
          <w:rFonts w:hint="eastAsia" w:ascii="仿宋" w:hAnsi="仿宋" w:eastAsia="仿宋" w:cs="仿宋"/>
          <w:b/>
          <w:bCs/>
          <w:color w:val="auto"/>
          <w:sz w:val="28"/>
          <w:lang w:eastAsia="zh-CN"/>
        </w:rPr>
        <w:t>大写人民币贰佰叁拾玖万陆仟叁佰元整</w:t>
      </w:r>
      <w:r>
        <w:rPr>
          <w:rFonts w:hint="eastAsia" w:ascii="仿宋" w:hAnsi="仿宋" w:eastAsia="仿宋" w:cs="仿宋"/>
          <w:color w:val="auto"/>
          <w:sz w:val="28"/>
          <w:lang w:eastAsia="zh-CN"/>
        </w:rPr>
        <w:t>，综合单价为</w:t>
      </w:r>
      <w:r>
        <w:rPr>
          <w:rFonts w:hint="eastAsia" w:ascii="仿宋" w:hAnsi="仿宋" w:eastAsia="仿宋" w:cs="仿宋"/>
          <w:color w:val="auto"/>
          <w:sz w:val="28"/>
          <w:lang w:val="en-US" w:eastAsia="zh-CN"/>
        </w:rPr>
        <w:t>19904</w:t>
      </w:r>
      <w:r>
        <w:rPr>
          <w:rFonts w:hint="eastAsia" w:ascii="仿宋" w:hAnsi="仿宋" w:eastAsia="仿宋" w:cs="仿宋"/>
          <w:color w:val="auto"/>
          <w:sz w:val="28"/>
          <w:lang w:eastAsia="zh-CN"/>
        </w:rPr>
        <w:t>元/㎡，明细结果如下表。</w:t>
      </w:r>
      <w:r>
        <w:rPr>
          <w:rFonts w:hint="eastAsia" w:ascii="仿宋_GB2312" w:eastAsia="仿宋_GB2312"/>
          <w:color w:val="auto"/>
          <w:sz w:val="28"/>
          <w:szCs w:val="28"/>
        </w:rPr>
        <w:t>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估价结果明细表</w:t>
      </w:r>
    </w:p>
    <w:tbl>
      <w:tblPr>
        <w:tblStyle w:val="1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40"/>
        <w:gridCol w:w="1530"/>
        <w:gridCol w:w="2246"/>
        <w:gridCol w:w="1334"/>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估价对象</w:t>
            </w:r>
          </w:p>
        </w:tc>
        <w:tc>
          <w:tcPr>
            <w:tcW w:w="15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建筑面积（㎡）</w:t>
            </w:r>
          </w:p>
        </w:tc>
        <w:tc>
          <w:tcPr>
            <w:tcW w:w="224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房屋评估总价（万元，其中室内固定装修）</w:t>
            </w:r>
          </w:p>
        </w:tc>
        <w:tc>
          <w:tcPr>
            <w:tcW w:w="13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自行车房总价（万元）</w:t>
            </w:r>
          </w:p>
        </w:tc>
        <w:tc>
          <w:tcPr>
            <w:tcW w:w="17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室内家电家具总价（万元）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2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宁慈西路1455号枫湾家园10幢1单元102室</w:t>
            </w:r>
          </w:p>
        </w:tc>
        <w:tc>
          <w:tcPr>
            <w:tcW w:w="153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120.39</w:t>
            </w:r>
          </w:p>
        </w:tc>
        <w:tc>
          <w:tcPr>
            <w:tcW w:w="22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235.36（8.13）</w:t>
            </w:r>
          </w:p>
        </w:tc>
        <w:tc>
          <w:tcPr>
            <w:tcW w:w="133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2.66</w:t>
            </w:r>
          </w:p>
        </w:tc>
        <w:tc>
          <w:tcPr>
            <w:tcW w:w="171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7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 计（万元）</w:t>
            </w:r>
          </w:p>
        </w:tc>
        <w:tc>
          <w:tcPr>
            <w:tcW w:w="6826"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239.63</w:t>
            </w:r>
          </w:p>
        </w:tc>
      </w:tr>
    </w:tbl>
    <w:p>
      <w:pPr>
        <w:pStyle w:val="3"/>
        <w:spacing w:line="460" w:lineRule="exact"/>
        <w:rPr>
          <w:rFonts w:ascii="Times New Roman" w:hAnsi="Times New Roman"/>
        </w:rPr>
      </w:pPr>
      <w:r>
        <w:rPr>
          <w:rFonts w:ascii="Times New Roman" w:hAnsi="Times New Roman"/>
        </w:rPr>
        <w:t>十一、参加本次估价的注册房地产估价师签字盖章</w:t>
      </w:r>
      <w:bookmarkEnd w:id="18"/>
      <w:bookmarkEnd w:id="19"/>
    </w:p>
    <w:tbl>
      <w:tblPr>
        <w:tblStyle w:val="2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410"/>
        <w:gridCol w:w="2819"/>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093" w:type="dxa"/>
            <w:vAlign w:val="center"/>
          </w:tcPr>
          <w:p>
            <w:pPr>
              <w:spacing w:line="500" w:lineRule="exact"/>
              <w:jc w:val="center"/>
              <w:rPr>
                <w:rFonts w:ascii="仿宋" w:hAnsi="仿宋" w:eastAsia="仿宋"/>
                <w:sz w:val="24"/>
                <w:szCs w:val="24"/>
              </w:rPr>
            </w:pPr>
            <w:r>
              <w:rPr>
                <w:rFonts w:ascii="仿宋" w:hAnsi="仿宋" w:eastAsia="仿宋"/>
                <w:sz w:val="24"/>
                <w:szCs w:val="24"/>
              </w:rPr>
              <w:t>姓名</w:t>
            </w:r>
          </w:p>
        </w:tc>
        <w:tc>
          <w:tcPr>
            <w:tcW w:w="2410" w:type="dxa"/>
            <w:vAlign w:val="center"/>
          </w:tcPr>
          <w:p>
            <w:pPr>
              <w:spacing w:line="500" w:lineRule="exact"/>
              <w:jc w:val="center"/>
              <w:rPr>
                <w:rFonts w:ascii="仿宋" w:hAnsi="仿宋" w:eastAsia="仿宋"/>
                <w:sz w:val="24"/>
                <w:szCs w:val="24"/>
              </w:rPr>
            </w:pPr>
            <w:r>
              <w:rPr>
                <w:rFonts w:ascii="仿宋" w:hAnsi="仿宋" w:eastAsia="仿宋"/>
                <w:sz w:val="24"/>
                <w:szCs w:val="24"/>
              </w:rPr>
              <w:t>注册号</w:t>
            </w:r>
          </w:p>
        </w:tc>
        <w:tc>
          <w:tcPr>
            <w:tcW w:w="2819" w:type="dxa"/>
            <w:vAlign w:val="center"/>
          </w:tcPr>
          <w:p>
            <w:pPr>
              <w:spacing w:line="500" w:lineRule="exact"/>
              <w:jc w:val="center"/>
              <w:rPr>
                <w:rFonts w:ascii="仿宋" w:hAnsi="仿宋" w:eastAsia="仿宋"/>
                <w:sz w:val="24"/>
                <w:szCs w:val="24"/>
              </w:rPr>
            </w:pPr>
            <w:r>
              <w:rPr>
                <w:rFonts w:ascii="仿宋" w:hAnsi="仿宋" w:eastAsia="仿宋"/>
                <w:sz w:val="24"/>
                <w:szCs w:val="24"/>
              </w:rPr>
              <w:t>签名</w:t>
            </w:r>
          </w:p>
        </w:tc>
        <w:tc>
          <w:tcPr>
            <w:tcW w:w="2249" w:type="dxa"/>
            <w:vAlign w:val="center"/>
          </w:tcPr>
          <w:p>
            <w:pPr>
              <w:spacing w:line="500" w:lineRule="exact"/>
              <w:jc w:val="center"/>
              <w:rPr>
                <w:rFonts w:ascii="仿宋" w:hAnsi="仿宋" w:eastAsia="仿宋"/>
                <w:sz w:val="24"/>
                <w:szCs w:val="24"/>
              </w:rPr>
            </w:pPr>
            <w:r>
              <w:rPr>
                <w:rFonts w:ascii="仿宋" w:hAnsi="仿宋" w:eastAsia="仿宋"/>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093" w:type="dxa"/>
            <w:vAlign w:val="center"/>
          </w:tcPr>
          <w:p>
            <w:pPr>
              <w:spacing w:line="500" w:lineRule="exact"/>
              <w:jc w:val="center"/>
              <w:rPr>
                <w:rStyle w:val="41"/>
                <w:rFonts w:hint="eastAsia" w:ascii="仿宋" w:hAnsi="仿宋" w:eastAsia="仿宋"/>
                <w:sz w:val="24"/>
                <w:szCs w:val="24"/>
                <w:lang w:eastAsia="zh-CN"/>
              </w:rPr>
            </w:pPr>
            <w:r>
              <w:rPr>
                <w:rStyle w:val="41"/>
                <w:rFonts w:hint="eastAsia" w:ascii="仿宋" w:hAnsi="仿宋" w:eastAsia="仿宋"/>
                <w:sz w:val="24"/>
                <w:szCs w:val="24"/>
                <w:lang w:eastAsia="zh-CN"/>
              </w:rPr>
              <w:t>***</w:t>
            </w:r>
          </w:p>
        </w:tc>
        <w:tc>
          <w:tcPr>
            <w:tcW w:w="2410" w:type="dxa"/>
            <w:vAlign w:val="center"/>
          </w:tcPr>
          <w:p>
            <w:pPr>
              <w:spacing w:line="500" w:lineRule="exact"/>
              <w:jc w:val="center"/>
              <w:rPr>
                <w:rStyle w:val="41"/>
                <w:rFonts w:hint="eastAsia" w:ascii="仿宋" w:hAnsi="仿宋" w:eastAsia="仿宋"/>
                <w:sz w:val="24"/>
                <w:szCs w:val="24"/>
                <w:lang w:val="en-US" w:eastAsia="zh-CN"/>
              </w:rPr>
            </w:pPr>
            <w:r>
              <w:rPr>
                <w:rStyle w:val="41"/>
                <w:rFonts w:hint="eastAsia" w:ascii="仿宋" w:hAnsi="仿宋" w:eastAsia="仿宋"/>
                <w:sz w:val="24"/>
                <w:szCs w:val="24"/>
                <w:lang w:val="en-US" w:eastAsia="zh-CN"/>
              </w:rPr>
              <w:t>**********</w:t>
            </w:r>
          </w:p>
        </w:tc>
        <w:tc>
          <w:tcPr>
            <w:tcW w:w="2819" w:type="dxa"/>
            <w:vAlign w:val="center"/>
          </w:tcPr>
          <w:p>
            <w:pPr>
              <w:spacing w:line="500" w:lineRule="exact"/>
              <w:jc w:val="center"/>
              <w:rPr>
                <w:rStyle w:val="41"/>
                <w:rFonts w:ascii="仿宋" w:hAnsi="仿宋" w:eastAsia="仿宋"/>
                <w:sz w:val="24"/>
                <w:szCs w:val="24"/>
              </w:rPr>
            </w:pPr>
          </w:p>
        </w:tc>
        <w:tc>
          <w:tcPr>
            <w:tcW w:w="2249" w:type="dxa"/>
            <w:vAlign w:val="center"/>
          </w:tcPr>
          <w:p>
            <w:pPr>
              <w:spacing w:line="500" w:lineRule="exact"/>
              <w:jc w:val="center"/>
              <w:rPr>
                <w:rFonts w:hint="eastAsia" w:ascii="仿宋" w:hAnsi="仿宋" w:eastAsia="仿宋"/>
                <w:sz w:val="24"/>
                <w:szCs w:val="24"/>
                <w:lang w:eastAsia="zh-CN"/>
              </w:rPr>
            </w:pPr>
            <w:r>
              <w:rPr>
                <w:rFonts w:hint="eastAsia" w:ascii="仿宋" w:hAnsi="仿宋" w:eastAsia="仿宋"/>
                <w:sz w:val="24"/>
                <w:szCs w:val="24"/>
                <w:lang w:eastAsia="zh-CN"/>
              </w:rPr>
              <w:t>2022年11月22日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2093" w:type="dxa"/>
            <w:vAlign w:val="center"/>
          </w:tcPr>
          <w:p>
            <w:pPr>
              <w:spacing w:line="500" w:lineRule="exact"/>
              <w:jc w:val="center"/>
              <w:rPr>
                <w:rStyle w:val="41"/>
                <w:rFonts w:hint="eastAsia" w:ascii="仿宋" w:hAnsi="仿宋" w:eastAsia="仿宋"/>
                <w:sz w:val="24"/>
                <w:szCs w:val="24"/>
                <w:lang w:eastAsia="zh-CN"/>
              </w:rPr>
            </w:pPr>
            <w:r>
              <w:rPr>
                <w:rStyle w:val="41"/>
                <w:rFonts w:hint="eastAsia" w:ascii="仿宋" w:hAnsi="仿宋" w:eastAsia="仿宋"/>
                <w:sz w:val="24"/>
                <w:szCs w:val="24"/>
                <w:lang w:eastAsia="zh-CN"/>
              </w:rPr>
              <w:t>***</w:t>
            </w:r>
          </w:p>
        </w:tc>
        <w:tc>
          <w:tcPr>
            <w:tcW w:w="2410" w:type="dxa"/>
            <w:vAlign w:val="center"/>
          </w:tcPr>
          <w:p>
            <w:pPr>
              <w:spacing w:line="500" w:lineRule="exact"/>
              <w:jc w:val="center"/>
              <w:rPr>
                <w:rStyle w:val="41"/>
                <w:rFonts w:hint="eastAsia" w:ascii="仿宋" w:hAnsi="仿宋" w:eastAsia="仿宋"/>
                <w:sz w:val="24"/>
                <w:szCs w:val="24"/>
                <w:lang w:val="en-US" w:eastAsia="zh-CN"/>
              </w:rPr>
            </w:pPr>
            <w:r>
              <w:rPr>
                <w:rFonts w:hint="eastAsia" w:ascii="仿宋" w:hAnsi="仿宋" w:eastAsia="仿宋"/>
                <w:sz w:val="24"/>
                <w:szCs w:val="24"/>
                <w:lang w:val="en-US" w:eastAsia="zh-CN"/>
              </w:rPr>
              <w:t>**********</w:t>
            </w:r>
          </w:p>
        </w:tc>
        <w:tc>
          <w:tcPr>
            <w:tcW w:w="2819" w:type="dxa"/>
            <w:vAlign w:val="center"/>
          </w:tcPr>
          <w:p>
            <w:pPr>
              <w:spacing w:line="500" w:lineRule="exact"/>
              <w:jc w:val="center"/>
              <w:rPr>
                <w:rStyle w:val="41"/>
                <w:rFonts w:ascii="仿宋" w:hAnsi="仿宋" w:eastAsia="仿宋"/>
                <w:sz w:val="24"/>
                <w:szCs w:val="24"/>
              </w:rPr>
            </w:pPr>
          </w:p>
        </w:tc>
        <w:tc>
          <w:tcPr>
            <w:tcW w:w="2249" w:type="dxa"/>
            <w:vAlign w:val="center"/>
          </w:tcPr>
          <w:p>
            <w:pPr>
              <w:spacing w:line="500" w:lineRule="exact"/>
              <w:jc w:val="center"/>
              <w:rPr>
                <w:rFonts w:hint="eastAsia" w:ascii="仿宋" w:hAnsi="仿宋" w:eastAsia="仿宋"/>
                <w:sz w:val="24"/>
                <w:szCs w:val="24"/>
                <w:lang w:eastAsia="zh-CN"/>
              </w:rPr>
            </w:pPr>
            <w:r>
              <w:rPr>
                <w:rFonts w:hint="eastAsia" w:ascii="仿宋" w:hAnsi="仿宋" w:eastAsia="仿宋"/>
                <w:sz w:val="24"/>
                <w:szCs w:val="24"/>
                <w:lang w:eastAsia="zh-CN"/>
              </w:rPr>
              <w:t>2022年11月22日</w:t>
            </w:r>
          </w:p>
        </w:tc>
      </w:tr>
    </w:tbl>
    <w:p>
      <w:pPr>
        <w:pStyle w:val="3"/>
        <w:spacing w:line="480" w:lineRule="exact"/>
        <w:rPr>
          <w:rFonts w:ascii="Times New Roman" w:hAnsi="Times New Roman"/>
        </w:rPr>
      </w:pPr>
      <w:bookmarkStart w:id="20" w:name="_Toc76733182"/>
      <w:r>
        <w:rPr>
          <w:rFonts w:ascii="Times New Roman" w:hAnsi="Times New Roman"/>
        </w:rPr>
        <w:t>十二、实地勘查日期</w:t>
      </w:r>
      <w:bookmarkEnd w:id="20"/>
    </w:p>
    <w:p>
      <w:pPr>
        <w:spacing w:line="480" w:lineRule="exact"/>
        <w:ind w:firstLine="560" w:firstLineChars="200"/>
        <w:rPr>
          <w:rStyle w:val="57"/>
          <w:rFonts w:ascii="仿宋" w:hAnsi="仿宋" w:eastAsia="仿宋"/>
          <w:sz w:val="28"/>
          <w:szCs w:val="28"/>
        </w:rPr>
      </w:pPr>
      <w:bookmarkStart w:id="21" w:name="_Toc467600913"/>
      <w:bookmarkStart w:id="22" w:name="_Toc467601064"/>
      <w:r>
        <w:rPr>
          <w:rStyle w:val="57"/>
          <w:rFonts w:hint="eastAsia" w:ascii="仿宋" w:hAnsi="仿宋" w:eastAsia="仿宋"/>
          <w:sz w:val="28"/>
          <w:szCs w:val="28"/>
        </w:rPr>
        <w:t>实地查勘日：</w:t>
      </w:r>
      <w:bookmarkEnd w:id="21"/>
      <w:bookmarkEnd w:id="22"/>
      <w:r>
        <w:rPr>
          <w:rStyle w:val="57"/>
          <w:rFonts w:hint="eastAsia" w:ascii="仿宋" w:hAnsi="仿宋" w:eastAsia="仿宋"/>
          <w:sz w:val="28"/>
          <w:szCs w:val="28"/>
          <w:lang w:eastAsia="zh-CN"/>
        </w:rPr>
        <w:t>2022年11月16日</w:t>
      </w:r>
      <w:r>
        <w:rPr>
          <w:rStyle w:val="57"/>
          <w:rFonts w:hint="eastAsia" w:ascii="仿宋" w:hAnsi="仿宋" w:eastAsia="仿宋"/>
          <w:sz w:val="28"/>
          <w:szCs w:val="28"/>
        </w:rPr>
        <w:t>。</w:t>
      </w:r>
    </w:p>
    <w:p>
      <w:pPr>
        <w:pStyle w:val="3"/>
        <w:spacing w:line="480" w:lineRule="exact"/>
        <w:rPr>
          <w:rFonts w:ascii="Times New Roman" w:hAnsi="Times New Roman"/>
        </w:rPr>
      </w:pPr>
      <w:bookmarkStart w:id="23" w:name="_Toc76733183"/>
      <w:r>
        <w:rPr>
          <w:rFonts w:ascii="Times New Roman" w:hAnsi="Times New Roman"/>
        </w:rPr>
        <w:t>十三、估价作业日期</w:t>
      </w:r>
      <w:bookmarkEnd w:id="23"/>
    </w:p>
    <w:p>
      <w:pPr>
        <w:spacing w:line="480" w:lineRule="exact"/>
        <w:ind w:firstLine="560" w:firstLineChars="200"/>
        <w:rPr>
          <w:rFonts w:eastAsia="黑体"/>
          <w:sz w:val="32"/>
        </w:rPr>
      </w:pPr>
      <w:r>
        <w:rPr>
          <w:rStyle w:val="57"/>
          <w:rFonts w:hint="eastAsia" w:ascii="仿宋" w:hAnsi="仿宋" w:eastAsia="仿宋"/>
          <w:sz w:val="28"/>
        </w:rPr>
        <w:t>估价作业期：</w:t>
      </w:r>
      <w:r>
        <w:rPr>
          <w:rStyle w:val="57"/>
          <w:rFonts w:hint="eastAsia" w:ascii="仿宋" w:hAnsi="仿宋" w:eastAsia="仿宋"/>
          <w:sz w:val="28"/>
          <w:lang w:eastAsia="zh-CN"/>
        </w:rPr>
        <w:t>2022年11月16日</w:t>
      </w:r>
      <w:r>
        <w:rPr>
          <w:rFonts w:ascii="仿宋" w:hAnsi="仿宋" w:eastAsia="仿宋"/>
          <w:sz w:val="28"/>
          <w:szCs w:val="28"/>
        </w:rPr>
        <w:t>至</w:t>
      </w:r>
      <w:bookmarkStart w:id="24" w:name="_Toc465070366"/>
      <w:r>
        <w:rPr>
          <w:rStyle w:val="57"/>
          <w:rFonts w:hint="eastAsia" w:ascii="仿宋" w:hAnsi="仿宋" w:eastAsia="仿宋"/>
          <w:sz w:val="28"/>
          <w:szCs w:val="28"/>
          <w:lang w:eastAsia="zh-CN"/>
        </w:rPr>
        <w:t>2022年11月22日</w:t>
      </w:r>
      <w:r>
        <w:rPr>
          <w:rStyle w:val="42"/>
          <w:rFonts w:hint="eastAsia" w:ascii="仿宋" w:hAnsi="仿宋" w:eastAsia="仿宋"/>
          <w:sz w:val="28"/>
        </w:rPr>
        <w:t>。</w:t>
      </w:r>
      <w:r>
        <w:rPr>
          <w:rFonts w:eastAsia="黑体"/>
          <w:sz w:val="32"/>
        </w:rPr>
        <w:br w:type="page"/>
      </w:r>
    </w:p>
    <w:bookmarkEnd w:id="24"/>
    <w:p>
      <w:pPr>
        <w:pStyle w:val="2"/>
        <w:rPr>
          <w:rFonts w:ascii="Times New Roman" w:hAnsi="Times New Roman" w:cs="Times New Roman"/>
        </w:rPr>
      </w:pPr>
      <w:bookmarkStart w:id="25" w:name="_Toc465070367"/>
    </w:p>
    <w:p>
      <w:pPr>
        <w:pStyle w:val="2"/>
        <w:rPr>
          <w:rFonts w:ascii="Times New Roman" w:hAnsi="Times New Roman" w:cs="Times New Roman"/>
        </w:rPr>
      </w:pPr>
      <w:bookmarkStart w:id="26" w:name="_Toc76733184"/>
      <w:r>
        <w:rPr>
          <w:rFonts w:ascii="Times New Roman" w:hAnsi="Times New Roman" w:cs="Times New Roman"/>
        </w:rPr>
        <w:t>附件</w:t>
      </w:r>
      <w:bookmarkEnd w:id="25"/>
      <w:bookmarkEnd w:id="26"/>
    </w:p>
    <w:p>
      <w:pPr>
        <w:pStyle w:val="3"/>
        <w:spacing w:line="400" w:lineRule="exact"/>
        <w:ind w:firstLine="1416" w:firstLineChars="506"/>
        <w:jc w:val="left"/>
        <w:rPr>
          <w:rFonts w:hint="eastAsia" w:ascii="仿宋" w:hAnsi="仿宋" w:eastAsia="仿宋"/>
          <w:bCs w:val="0"/>
          <w:szCs w:val="20"/>
          <w:lang w:eastAsia="zh-CN"/>
        </w:rPr>
      </w:pPr>
      <w:bookmarkStart w:id="27" w:name="_Toc76733185"/>
      <w:bookmarkStart w:id="28" w:name="_Toc467600914"/>
      <w:bookmarkStart w:id="29" w:name="_Toc465070368"/>
      <w:bookmarkStart w:id="30" w:name="_Toc467601065"/>
      <w:r>
        <w:rPr>
          <w:rFonts w:ascii="仿宋" w:hAnsi="仿宋" w:eastAsia="仿宋"/>
          <w:bCs w:val="0"/>
          <w:szCs w:val="20"/>
        </w:rPr>
        <w:t>一、</w:t>
      </w:r>
      <w:r>
        <w:rPr>
          <w:rFonts w:hint="eastAsia" w:ascii="仿宋" w:hAnsi="仿宋" w:eastAsia="仿宋"/>
          <w:bCs w:val="0"/>
          <w:szCs w:val="20"/>
        </w:rPr>
        <w:t>估价委托书</w:t>
      </w:r>
      <w:bookmarkEnd w:id="27"/>
      <w:r>
        <w:rPr>
          <w:rFonts w:hint="eastAsia" w:ascii="仿宋" w:hAnsi="仿宋" w:eastAsia="仿宋"/>
          <w:bCs w:val="0"/>
          <w:szCs w:val="20"/>
          <w:lang w:eastAsia="zh-CN"/>
        </w:rPr>
        <w:t>（2022）浙0205法委评80号</w:t>
      </w:r>
    </w:p>
    <w:p>
      <w:pPr>
        <w:pStyle w:val="3"/>
        <w:spacing w:line="400" w:lineRule="exact"/>
        <w:ind w:firstLine="1416" w:firstLineChars="506"/>
        <w:jc w:val="left"/>
        <w:rPr>
          <w:rFonts w:ascii="仿宋" w:hAnsi="仿宋" w:eastAsia="仿宋"/>
          <w:bCs w:val="0"/>
          <w:szCs w:val="20"/>
        </w:rPr>
      </w:pPr>
      <w:bookmarkStart w:id="31" w:name="_Toc76733186"/>
      <w:r>
        <w:rPr>
          <w:rFonts w:ascii="仿宋" w:hAnsi="仿宋" w:eastAsia="仿宋"/>
          <w:bCs w:val="0"/>
          <w:szCs w:val="20"/>
        </w:rPr>
        <w:t>二、</w:t>
      </w:r>
      <w:bookmarkEnd w:id="28"/>
      <w:bookmarkEnd w:id="29"/>
      <w:bookmarkEnd w:id="30"/>
      <w:bookmarkEnd w:id="31"/>
      <w:r>
        <w:rPr>
          <w:rFonts w:hint="eastAsia" w:ascii="仿宋" w:hAnsi="仿宋" w:eastAsia="仿宋"/>
          <w:sz w:val="28"/>
          <w:lang w:eastAsia="zh-CN"/>
        </w:rPr>
        <w:t>房权证甬北慈私字第20080313号《房屋所有权证》、甬国用（2008）第0501127号《土地使用证》</w:t>
      </w:r>
      <w:r>
        <w:rPr>
          <w:rFonts w:ascii="仿宋" w:hAnsi="仿宋" w:eastAsia="仿宋"/>
          <w:sz w:val="28"/>
        </w:rPr>
        <w:t>复印件</w:t>
      </w:r>
    </w:p>
    <w:p>
      <w:pPr>
        <w:pStyle w:val="3"/>
        <w:spacing w:line="400" w:lineRule="exact"/>
        <w:ind w:firstLine="1416" w:firstLineChars="506"/>
        <w:jc w:val="left"/>
        <w:rPr>
          <w:rFonts w:ascii="仿宋" w:hAnsi="仿宋" w:eastAsia="仿宋"/>
          <w:bCs w:val="0"/>
          <w:szCs w:val="20"/>
        </w:rPr>
      </w:pPr>
      <w:bookmarkStart w:id="32" w:name="_Toc467601066"/>
      <w:bookmarkStart w:id="33" w:name="_Toc76733187"/>
      <w:bookmarkStart w:id="34" w:name="_Toc465070369"/>
      <w:bookmarkStart w:id="35" w:name="_Toc467600915"/>
      <w:r>
        <w:rPr>
          <w:rFonts w:hint="eastAsia" w:ascii="仿宋" w:hAnsi="仿宋" w:eastAsia="仿宋"/>
          <w:bCs w:val="0"/>
          <w:szCs w:val="20"/>
        </w:rPr>
        <w:t>三</w:t>
      </w:r>
      <w:r>
        <w:rPr>
          <w:rFonts w:ascii="仿宋" w:hAnsi="仿宋" w:eastAsia="仿宋"/>
          <w:bCs w:val="0"/>
          <w:szCs w:val="20"/>
        </w:rPr>
        <w:t>、</w:t>
      </w:r>
      <w:bookmarkEnd w:id="32"/>
      <w:bookmarkEnd w:id="33"/>
      <w:bookmarkEnd w:id="34"/>
      <w:bookmarkEnd w:id="35"/>
      <w:r>
        <w:rPr>
          <w:rFonts w:hint="eastAsia" w:ascii="仿宋" w:hAnsi="仿宋" w:eastAsia="仿宋"/>
          <w:bCs w:val="0"/>
          <w:szCs w:val="20"/>
        </w:rPr>
        <w:t>枫湾家园10幢1单元102室室内家具家电明细表</w:t>
      </w:r>
    </w:p>
    <w:p>
      <w:pPr>
        <w:pStyle w:val="3"/>
        <w:spacing w:line="400" w:lineRule="exact"/>
        <w:ind w:firstLine="1416" w:firstLineChars="506"/>
        <w:jc w:val="left"/>
        <w:rPr>
          <w:rFonts w:ascii="仿宋" w:hAnsi="仿宋" w:eastAsia="仿宋"/>
          <w:bCs w:val="0"/>
          <w:szCs w:val="20"/>
        </w:rPr>
      </w:pPr>
      <w:bookmarkStart w:id="36" w:name="_Toc467600916"/>
      <w:bookmarkStart w:id="37" w:name="_Toc76733188"/>
      <w:bookmarkStart w:id="38" w:name="_Toc465070370"/>
      <w:bookmarkStart w:id="39" w:name="_Toc467601067"/>
      <w:r>
        <w:rPr>
          <w:rFonts w:hint="eastAsia" w:ascii="仿宋" w:hAnsi="仿宋" w:eastAsia="仿宋"/>
          <w:bCs w:val="0"/>
          <w:szCs w:val="20"/>
        </w:rPr>
        <w:t>四</w:t>
      </w:r>
      <w:r>
        <w:rPr>
          <w:rFonts w:ascii="仿宋" w:hAnsi="仿宋" w:eastAsia="仿宋"/>
          <w:bCs w:val="0"/>
          <w:szCs w:val="20"/>
        </w:rPr>
        <w:t>、估价对象室内及周围环境照片</w:t>
      </w:r>
    </w:p>
    <w:p>
      <w:pPr>
        <w:pStyle w:val="3"/>
        <w:spacing w:line="400" w:lineRule="exact"/>
        <w:ind w:firstLine="1416" w:firstLineChars="506"/>
        <w:jc w:val="left"/>
        <w:rPr>
          <w:rFonts w:ascii="仿宋" w:hAnsi="仿宋" w:eastAsia="仿宋"/>
          <w:bCs w:val="0"/>
          <w:szCs w:val="20"/>
        </w:rPr>
      </w:pPr>
      <w:r>
        <w:rPr>
          <w:rFonts w:hint="eastAsia" w:ascii="仿宋" w:hAnsi="仿宋" w:eastAsia="仿宋"/>
          <w:bCs w:val="0"/>
          <w:szCs w:val="20"/>
          <w:lang w:eastAsia="zh-CN"/>
        </w:rPr>
        <w:t>五</w:t>
      </w:r>
      <w:r>
        <w:rPr>
          <w:rFonts w:ascii="仿宋" w:hAnsi="仿宋" w:eastAsia="仿宋"/>
          <w:bCs w:val="0"/>
          <w:szCs w:val="20"/>
        </w:rPr>
        <w:t>、估价对象地理位置图</w:t>
      </w:r>
      <w:bookmarkEnd w:id="36"/>
      <w:bookmarkEnd w:id="37"/>
      <w:bookmarkEnd w:id="38"/>
      <w:bookmarkEnd w:id="39"/>
    </w:p>
    <w:p>
      <w:pPr>
        <w:pStyle w:val="3"/>
        <w:spacing w:line="400" w:lineRule="exact"/>
        <w:ind w:firstLine="1416" w:firstLineChars="506"/>
        <w:jc w:val="left"/>
        <w:rPr>
          <w:rFonts w:ascii="仿宋" w:hAnsi="仿宋" w:eastAsia="仿宋"/>
          <w:bCs w:val="0"/>
          <w:szCs w:val="20"/>
        </w:rPr>
      </w:pPr>
      <w:bookmarkStart w:id="40" w:name="_Toc467600918"/>
      <w:bookmarkStart w:id="41" w:name="_Toc465070372"/>
      <w:bookmarkStart w:id="42" w:name="_Toc467601069"/>
      <w:bookmarkStart w:id="43" w:name="_Toc76733190"/>
      <w:r>
        <w:rPr>
          <w:rFonts w:hint="eastAsia" w:ascii="仿宋" w:hAnsi="仿宋" w:eastAsia="仿宋"/>
          <w:bCs w:val="0"/>
          <w:szCs w:val="20"/>
          <w:lang w:eastAsia="zh-CN"/>
        </w:rPr>
        <w:t>六</w:t>
      </w:r>
      <w:r>
        <w:rPr>
          <w:rFonts w:ascii="仿宋" w:hAnsi="仿宋" w:eastAsia="仿宋"/>
          <w:bCs w:val="0"/>
          <w:szCs w:val="20"/>
        </w:rPr>
        <w:t>、</w:t>
      </w:r>
      <w:r>
        <w:rPr>
          <w:rFonts w:hint="eastAsia" w:ascii="仿宋" w:hAnsi="仿宋" w:eastAsia="仿宋"/>
          <w:bCs w:val="0"/>
          <w:szCs w:val="20"/>
        </w:rPr>
        <w:t>房地产估价机构</w:t>
      </w:r>
      <w:r>
        <w:rPr>
          <w:rFonts w:ascii="仿宋" w:hAnsi="仿宋" w:eastAsia="仿宋"/>
          <w:bCs w:val="0"/>
          <w:szCs w:val="20"/>
        </w:rPr>
        <w:t>营业执照复印件</w:t>
      </w:r>
      <w:bookmarkEnd w:id="40"/>
      <w:bookmarkEnd w:id="41"/>
      <w:bookmarkEnd w:id="42"/>
      <w:bookmarkEnd w:id="43"/>
    </w:p>
    <w:p>
      <w:pPr>
        <w:pStyle w:val="3"/>
        <w:spacing w:line="400" w:lineRule="exact"/>
        <w:ind w:firstLine="1416" w:firstLineChars="506"/>
        <w:jc w:val="left"/>
        <w:rPr>
          <w:rFonts w:ascii="仿宋" w:hAnsi="仿宋" w:eastAsia="仿宋"/>
          <w:bCs w:val="0"/>
          <w:szCs w:val="20"/>
        </w:rPr>
      </w:pPr>
      <w:bookmarkStart w:id="44" w:name="_Toc465070373"/>
      <w:bookmarkStart w:id="45" w:name="_Toc76733191"/>
      <w:bookmarkStart w:id="46" w:name="_Toc467600919"/>
      <w:bookmarkStart w:id="47" w:name="_Toc467601070"/>
      <w:r>
        <w:rPr>
          <w:rFonts w:hint="eastAsia" w:ascii="仿宋" w:hAnsi="仿宋" w:eastAsia="仿宋"/>
          <w:bCs w:val="0"/>
          <w:szCs w:val="20"/>
          <w:lang w:eastAsia="zh-CN"/>
        </w:rPr>
        <w:t>七</w:t>
      </w:r>
      <w:r>
        <w:rPr>
          <w:rFonts w:hint="eastAsia" w:ascii="仿宋" w:hAnsi="仿宋" w:eastAsia="仿宋"/>
          <w:bCs w:val="0"/>
          <w:szCs w:val="20"/>
        </w:rPr>
        <w:t>、房地产估价机构备案</w:t>
      </w:r>
      <w:r>
        <w:rPr>
          <w:rFonts w:ascii="仿宋" w:hAnsi="仿宋" w:eastAsia="仿宋"/>
          <w:bCs w:val="0"/>
          <w:szCs w:val="20"/>
        </w:rPr>
        <w:t>证书复印件</w:t>
      </w:r>
      <w:bookmarkEnd w:id="44"/>
      <w:bookmarkEnd w:id="45"/>
      <w:bookmarkEnd w:id="46"/>
      <w:bookmarkEnd w:id="47"/>
    </w:p>
    <w:p>
      <w:pPr>
        <w:pStyle w:val="3"/>
        <w:spacing w:line="400" w:lineRule="exact"/>
        <w:ind w:firstLine="1416" w:firstLineChars="506"/>
        <w:jc w:val="left"/>
        <w:rPr>
          <w:rFonts w:ascii="仿宋" w:hAnsi="仿宋" w:eastAsia="仿宋"/>
          <w:bCs w:val="0"/>
          <w:szCs w:val="20"/>
        </w:rPr>
      </w:pPr>
      <w:bookmarkStart w:id="48" w:name="_Toc467601068"/>
      <w:bookmarkStart w:id="49" w:name="_Toc465070371"/>
      <w:bookmarkStart w:id="50" w:name="_Toc76733189"/>
      <w:bookmarkStart w:id="51" w:name="_Toc467600917"/>
      <w:r>
        <w:rPr>
          <w:rFonts w:hint="eastAsia" w:ascii="仿宋" w:hAnsi="仿宋" w:eastAsia="仿宋"/>
          <w:bCs w:val="0"/>
          <w:szCs w:val="20"/>
          <w:lang w:eastAsia="zh-CN"/>
        </w:rPr>
        <w:t>八</w:t>
      </w:r>
      <w:r>
        <w:rPr>
          <w:rFonts w:ascii="仿宋" w:hAnsi="仿宋" w:eastAsia="仿宋"/>
          <w:bCs w:val="0"/>
          <w:szCs w:val="20"/>
        </w:rPr>
        <w:t>、</w:t>
      </w:r>
      <w:r>
        <w:rPr>
          <w:rFonts w:hint="eastAsia" w:ascii="仿宋" w:hAnsi="仿宋" w:eastAsia="仿宋"/>
          <w:bCs w:val="0"/>
          <w:szCs w:val="20"/>
        </w:rPr>
        <w:t>房地产估价师注册证书</w:t>
      </w:r>
      <w:r>
        <w:rPr>
          <w:rFonts w:ascii="仿宋" w:hAnsi="仿宋" w:eastAsia="仿宋"/>
          <w:bCs w:val="0"/>
          <w:szCs w:val="20"/>
        </w:rPr>
        <w:t>复印件</w:t>
      </w:r>
      <w:bookmarkEnd w:id="48"/>
      <w:bookmarkEnd w:id="49"/>
      <w:bookmarkEnd w:id="50"/>
      <w:bookmarkEnd w:id="51"/>
    </w:p>
    <w:p>
      <w:pPr>
        <w:rPr>
          <w:rFonts w:hint="eastAsia" w:eastAsia="仿宋"/>
          <w:lang w:val="en-US" w:eastAsia="zh-CN"/>
        </w:rPr>
      </w:pPr>
    </w:p>
    <w:p/>
    <w:p/>
    <w:p/>
    <w:p>
      <w:bookmarkStart w:id="53" w:name="_GoBack"/>
      <w:bookmarkEnd w:id="53"/>
    </w:p>
    <w:p/>
    <w:p/>
    <w:p>
      <w:pPr>
        <w:rPr>
          <w:sz w:val="24"/>
          <w:szCs w:val="24"/>
        </w:rPr>
      </w:pPr>
      <w:bookmarkStart w:id="52" w:name="_Toc465070374"/>
      <w:r>
        <w:rPr>
          <w:sz w:val="24"/>
          <w:szCs w:val="24"/>
        </w:rPr>
        <w:br w:type="page"/>
      </w:r>
    </w:p>
    <w:p>
      <w:pPr>
        <w:spacing w:line="240" w:lineRule="auto"/>
        <w:jc w:val="center"/>
        <w:rPr>
          <w:sz w:val="24"/>
          <w:szCs w:val="24"/>
        </w:rPr>
      </w:pPr>
    </w:p>
    <w:p>
      <w:pPr>
        <w:spacing w:line="240" w:lineRule="auto"/>
        <w:jc w:val="center"/>
        <w:rPr>
          <w:sz w:val="24"/>
          <w:szCs w:val="24"/>
        </w:rPr>
      </w:pPr>
    </w:p>
    <w:p>
      <w:pPr>
        <w:spacing w:line="240" w:lineRule="auto"/>
        <w:jc w:val="center"/>
        <w:rPr>
          <w:sz w:val="24"/>
          <w:szCs w:val="24"/>
        </w:rPr>
      </w:pPr>
      <w:r>
        <w:rPr>
          <w:sz w:val="24"/>
          <w:szCs w:val="24"/>
        </w:rPr>
        <w:t>估价对象室内</w:t>
      </w:r>
      <w:r>
        <w:rPr>
          <w:rFonts w:hint="eastAsia"/>
          <w:sz w:val="24"/>
          <w:szCs w:val="24"/>
          <w:lang w:eastAsia="zh-CN"/>
        </w:rPr>
        <w:t>外</w:t>
      </w:r>
      <w:r>
        <w:rPr>
          <w:sz w:val="24"/>
          <w:szCs w:val="24"/>
        </w:rPr>
        <w:t>及周围环境</w:t>
      </w:r>
      <w:r>
        <w:rPr>
          <w:rFonts w:hint="eastAsia"/>
          <w:sz w:val="24"/>
          <w:szCs w:val="24"/>
          <w:lang w:eastAsia="zh-CN"/>
        </w:rPr>
        <w:t>部分</w:t>
      </w:r>
      <w:r>
        <w:rPr>
          <w:sz w:val="24"/>
          <w:szCs w:val="24"/>
        </w:rPr>
        <w:t>照片</w:t>
      </w:r>
    </w:p>
    <w:p>
      <w:pPr>
        <w:spacing w:line="520" w:lineRule="exact"/>
        <w:ind w:firstLine="540"/>
        <w:jc w:val="center"/>
      </w:pPr>
      <w: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164465</wp:posOffset>
                </wp:positionV>
                <wp:extent cx="2857500" cy="1971675"/>
                <wp:effectExtent l="4445" t="5080" r="14605" b="4445"/>
                <wp:wrapNone/>
                <wp:docPr id="3" name="Text Box 5"/>
                <wp:cNvGraphicFramePr/>
                <a:graphic xmlns:a="http://schemas.openxmlformats.org/drawingml/2006/main">
                  <a:graphicData uri="http://schemas.microsoft.com/office/word/2010/wordprocessingShape">
                    <wps:wsp>
                      <wps:cNvSpPr txBox="1"/>
                      <wps:spPr>
                        <a:xfrm>
                          <a:off x="0" y="0"/>
                          <a:ext cx="2857500" cy="1971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drawing>
                                <wp:inline distT="0" distB="0" distL="114300" distR="114300">
                                  <wp:extent cx="2663825" cy="1865630"/>
                                  <wp:effectExtent l="0" t="0" r="3175" b="1270"/>
                                  <wp:docPr id="2" name="图片 2" descr="IMG_20221116_09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21116_095525"/>
                                          <pic:cNvPicPr>
                                            <a:picLocks noChangeAspect="1"/>
                                          </pic:cNvPicPr>
                                        </pic:nvPicPr>
                                        <pic:blipFill>
                                          <a:blip r:embed="rId7"/>
                                          <a:stretch>
                                            <a:fillRect/>
                                          </a:stretch>
                                        </pic:blipFill>
                                        <pic:spPr>
                                          <a:xfrm>
                                            <a:off x="0" y="0"/>
                                            <a:ext cx="2663825" cy="1865630"/>
                                          </a:xfrm>
                                          <a:prstGeom prst="rect">
                                            <a:avLst/>
                                          </a:prstGeom>
                                        </pic:spPr>
                                      </pic:pic>
                                    </a:graphicData>
                                  </a:graphic>
                                </wp:inline>
                              </w:drawing>
                            </w:r>
                          </w:p>
                          <w:p>
                            <w:pPr>
                              <w:jc w:val="center"/>
                            </w:pPr>
                          </w:p>
                        </w:txbxContent>
                      </wps:txbx>
                      <wps:bodyPr upright="1"/>
                    </wps:wsp>
                  </a:graphicData>
                </a:graphic>
              </wp:anchor>
            </w:drawing>
          </mc:Choice>
          <mc:Fallback>
            <w:pict>
              <v:shape id="Text Box 5" o:spid="_x0000_s1026" o:spt="202" type="#_x0000_t202" style="position:absolute;left:0pt;margin-left:0.6pt;margin-top:12.95pt;height:155.25pt;width:225pt;z-index:251659264;mso-width-relative:page;mso-height-relative:page;" fillcolor="#FFFFFF" filled="t" stroked="t" coordsize="21600,21600" o:gfxdata="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exRo1wAAAAgBAAAPAAAAAAAAAAEAIAAAACIAAABkcnMvZG93bnJl&#10;di54bWxQSwECFAAUAAAACACHTuJA8NqULP4BAAA2BAAADgAAAAAAAAABACAAAAAmAQAAZHJzL2Uy&#10;b0RvYy54bWxQSwUGAAAAAAYABgBZAQAAlg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663825" cy="1865630"/>
                            <wp:effectExtent l="0" t="0" r="3175" b="1270"/>
                            <wp:docPr id="2" name="图片 2" descr="IMG_20221116_09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21116_095525"/>
                                    <pic:cNvPicPr>
                                      <a:picLocks noChangeAspect="1"/>
                                    </pic:cNvPicPr>
                                  </pic:nvPicPr>
                                  <pic:blipFill>
                                    <a:blip r:embed="rId7"/>
                                    <a:stretch>
                                      <a:fillRect/>
                                    </a:stretch>
                                  </pic:blipFill>
                                  <pic:spPr>
                                    <a:xfrm>
                                      <a:off x="0" y="0"/>
                                      <a:ext cx="2663825" cy="1865630"/>
                                    </a:xfrm>
                                    <a:prstGeom prst="rect">
                                      <a:avLst/>
                                    </a:prstGeom>
                                  </pic:spPr>
                                </pic:pic>
                              </a:graphicData>
                            </a:graphic>
                          </wp:inline>
                        </w:drawing>
                      </w:r>
                    </w:p>
                    <w:p>
                      <w:pPr>
                        <w:jc w:val="cente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3007995</wp:posOffset>
                </wp:positionH>
                <wp:positionV relativeFrom="paragraph">
                  <wp:posOffset>164465</wp:posOffset>
                </wp:positionV>
                <wp:extent cx="2933700" cy="1971675"/>
                <wp:effectExtent l="4445" t="5080" r="14605" b="4445"/>
                <wp:wrapNone/>
                <wp:docPr id="4" name="Text Box 6"/>
                <wp:cNvGraphicFramePr/>
                <a:graphic xmlns:a="http://schemas.openxmlformats.org/drawingml/2006/main">
                  <a:graphicData uri="http://schemas.microsoft.com/office/word/2010/wordprocessingShape">
                    <wps:wsp>
                      <wps:cNvSpPr txBox="1"/>
                      <wps:spPr>
                        <a:xfrm>
                          <a:off x="0" y="0"/>
                          <a:ext cx="2933700" cy="1971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drawing>
                                <wp:inline distT="0" distB="0" distL="114300" distR="114300">
                                  <wp:extent cx="2740660" cy="1865630"/>
                                  <wp:effectExtent l="0" t="0" r="2540" b="1270"/>
                                  <wp:docPr id="11" name="图片 11" descr="IMG_20221116_09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21116_095615"/>
                                          <pic:cNvPicPr>
                                            <a:picLocks noChangeAspect="1"/>
                                          </pic:cNvPicPr>
                                        </pic:nvPicPr>
                                        <pic:blipFill>
                                          <a:blip r:embed="rId8"/>
                                          <a:stretch>
                                            <a:fillRect/>
                                          </a:stretch>
                                        </pic:blipFill>
                                        <pic:spPr>
                                          <a:xfrm>
                                            <a:off x="0" y="0"/>
                                            <a:ext cx="2740660" cy="1865630"/>
                                          </a:xfrm>
                                          <a:prstGeom prst="rect">
                                            <a:avLst/>
                                          </a:prstGeom>
                                        </pic:spPr>
                                      </pic:pic>
                                    </a:graphicData>
                                  </a:graphic>
                                </wp:inline>
                              </w:drawing>
                            </w:r>
                          </w:p>
                          <w:p>
                            <w:pPr>
                              <w:jc w:val="center"/>
                            </w:pPr>
                          </w:p>
                        </w:txbxContent>
                      </wps:txbx>
                      <wps:bodyPr upright="1"/>
                    </wps:wsp>
                  </a:graphicData>
                </a:graphic>
              </wp:anchor>
            </w:drawing>
          </mc:Choice>
          <mc:Fallback>
            <w:pict>
              <v:shape id="Text Box 6" o:spid="_x0000_s1026" o:spt="202" type="#_x0000_t202" style="position:absolute;left:0pt;margin-left:236.85pt;margin-top:12.95pt;height:155.25pt;width:231pt;z-index:251660288;mso-width-relative:page;mso-height-relative:page;" fillcolor="#FFFFFF" filled="t" stroked="t" coordsize="21600,21600" o:gfxdata="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sb3p3aAAAACgEAAA8AAAAAAAAAAQAgAAAAIgAAAGRycy9kb3du&#10;cmV2LnhtbFBLAQIUABQAAAAIAIdO4kCnnQ6w/QEAADYEAAAOAAAAAAAAAAEAIAAAACkBAABkcnMv&#10;ZTJvRG9jLnhtbFBLBQYAAAAABgAGAFkBAACYBQ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740660" cy="1865630"/>
                            <wp:effectExtent l="0" t="0" r="2540" b="1270"/>
                            <wp:docPr id="11" name="图片 11" descr="IMG_20221116_09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21116_095615"/>
                                    <pic:cNvPicPr>
                                      <a:picLocks noChangeAspect="1"/>
                                    </pic:cNvPicPr>
                                  </pic:nvPicPr>
                                  <pic:blipFill>
                                    <a:blip r:embed="rId8"/>
                                    <a:stretch>
                                      <a:fillRect/>
                                    </a:stretch>
                                  </pic:blipFill>
                                  <pic:spPr>
                                    <a:xfrm>
                                      <a:off x="0" y="0"/>
                                      <a:ext cx="2740660" cy="1865630"/>
                                    </a:xfrm>
                                    <a:prstGeom prst="rect">
                                      <a:avLst/>
                                    </a:prstGeom>
                                  </pic:spPr>
                                </pic:pic>
                              </a:graphicData>
                            </a:graphic>
                          </wp:inline>
                        </w:drawing>
                      </w:r>
                    </w:p>
                    <w:p>
                      <w:pPr>
                        <w:jc w:val="center"/>
                      </w:pPr>
                    </w:p>
                  </w:txbxContent>
                </v:textbox>
              </v:shape>
            </w:pict>
          </mc:Fallback>
        </mc:AlternateContent>
      </w: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313690</wp:posOffset>
                </wp:positionV>
                <wp:extent cx="2857500" cy="2028825"/>
                <wp:effectExtent l="4445" t="5080" r="14605" b="4445"/>
                <wp:wrapNone/>
                <wp:docPr id="5" name="Text Box 7"/>
                <wp:cNvGraphicFramePr/>
                <a:graphic xmlns:a="http://schemas.openxmlformats.org/drawingml/2006/main">
                  <a:graphicData uri="http://schemas.microsoft.com/office/word/2010/wordprocessingShape">
                    <wps:wsp>
                      <wps:cNvSpPr txBox="1"/>
                      <wps:spPr>
                        <a:xfrm>
                          <a:off x="0" y="0"/>
                          <a:ext cx="2857500" cy="2028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drawing>
                                <wp:inline distT="0" distB="0" distL="114300" distR="114300">
                                  <wp:extent cx="2684780" cy="1879600"/>
                                  <wp:effectExtent l="0" t="0" r="1270" b="6350"/>
                                  <wp:docPr id="12" name="图片 12" descr="IMG_20221116_10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21116_101810"/>
                                          <pic:cNvPicPr>
                                            <a:picLocks noChangeAspect="1"/>
                                          </pic:cNvPicPr>
                                        </pic:nvPicPr>
                                        <pic:blipFill>
                                          <a:blip r:embed="rId9"/>
                                          <a:stretch>
                                            <a:fillRect/>
                                          </a:stretch>
                                        </pic:blipFill>
                                        <pic:spPr>
                                          <a:xfrm>
                                            <a:off x="0" y="0"/>
                                            <a:ext cx="2684780" cy="1879600"/>
                                          </a:xfrm>
                                          <a:prstGeom prst="rect">
                                            <a:avLst/>
                                          </a:prstGeom>
                                        </pic:spPr>
                                      </pic:pic>
                                    </a:graphicData>
                                  </a:graphic>
                                </wp:inline>
                              </w:drawing>
                            </w:r>
                          </w:p>
                          <w:p>
                            <w:pPr>
                              <w:jc w:val="center"/>
                            </w:pPr>
                          </w:p>
                        </w:txbxContent>
                      </wps:txbx>
                      <wps:bodyPr upright="1"/>
                    </wps:wsp>
                  </a:graphicData>
                </a:graphic>
              </wp:anchor>
            </w:drawing>
          </mc:Choice>
          <mc:Fallback>
            <w:pict>
              <v:shape id="Text Box 7" o:spid="_x0000_s1026" o:spt="202" type="#_x0000_t202" style="position:absolute;left:0pt;margin-left:0.6pt;margin-top:24.7pt;height:159.75pt;width:225pt;z-index:251661312;mso-width-relative:page;mso-height-relative:page;" fillcolor="#FFFFFF" filled="t" stroked="t" coordsize="21600,21600" o:gfxdata="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Pzd2nXAAAACAEAAA8AAAAAAAAAAQAgAAAAIgAAAGRycy9kb3ducmV2Lnht&#10;bFBLAQIUABQAAAAIAIdO4kBW+4XF+gEAADYEAAAOAAAAAAAAAAEAIAAAACYBAABkcnMvZTJvRG9j&#10;LnhtbFBLBQYAAAAABgAGAFkBAACSBQ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684780" cy="1879600"/>
                            <wp:effectExtent l="0" t="0" r="1270" b="6350"/>
                            <wp:docPr id="12" name="图片 12" descr="IMG_20221116_10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21116_101810"/>
                                    <pic:cNvPicPr>
                                      <a:picLocks noChangeAspect="1"/>
                                    </pic:cNvPicPr>
                                  </pic:nvPicPr>
                                  <pic:blipFill>
                                    <a:blip r:embed="rId9"/>
                                    <a:stretch>
                                      <a:fillRect/>
                                    </a:stretch>
                                  </pic:blipFill>
                                  <pic:spPr>
                                    <a:xfrm>
                                      <a:off x="0" y="0"/>
                                      <a:ext cx="2684780" cy="1879600"/>
                                    </a:xfrm>
                                    <a:prstGeom prst="rect">
                                      <a:avLst/>
                                    </a:prstGeom>
                                  </pic:spPr>
                                </pic:pic>
                              </a:graphicData>
                            </a:graphic>
                          </wp:inline>
                        </w:drawing>
                      </w:r>
                    </w:p>
                    <w:p>
                      <w:pPr>
                        <w:jc w:val="center"/>
                      </w:pPr>
                    </w:p>
                  </w:txbxContent>
                </v:textbox>
              </v:shape>
            </w:pict>
          </mc:Fallback>
        </mc:AlternateContent>
      </w:r>
    </w:p>
    <w:p>
      <w:pPr>
        <w:spacing w:line="520" w:lineRule="exact"/>
        <w:ind w:firstLine="540"/>
        <w:jc w:val="center"/>
      </w:pPr>
      <w:r>
        <mc:AlternateContent>
          <mc:Choice Requires="wps">
            <w:drawing>
              <wp:anchor distT="0" distB="0" distL="114300" distR="114300" simplePos="0" relativeHeight="251662336" behindDoc="0" locked="0" layoutInCell="1" allowOverlap="1">
                <wp:simplePos x="0" y="0"/>
                <wp:positionH relativeFrom="column">
                  <wp:posOffset>3007995</wp:posOffset>
                </wp:positionH>
                <wp:positionV relativeFrom="paragraph">
                  <wp:posOffset>2540</wp:posOffset>
                </wp:positionV>
                <wp:extent cx="2933700" cy="2038350"/>
                <wp:effectExtent l="4445" t="5080" r="14605" b="13970"/>
                <wp:wrapNone/>
                <wp:docPr id="6" name="Text Box 8"/>
                <wp:cNvGraphicFramePr/>
                <a:graphic xmlns:a="http://schemas.openxmlformats.org/drawingml/2006/main">
                  <a:graphicData uri="http://schemas.microsoft.com/office/word/2010/wordprocessingShape">
                    <wps:wsp>
                      <wps:cNvSpPr txBox="1"/>
                      <wps:spPr>
                        <a:xfrm>
                          <a:off x="0" y="0"/>
                          <a:ext cx="2933700" cy="2038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drawing>
                                <wp:inline distT="0" distB="0" distL="114300" distR="114300">
                                  <wp:extent cx="2771775" cy="1930400"/>
                                  <wp:effectExtent l="0" t="0" r="9525" b="12700"/>
                                  <wp:docPr id="13" name="图片 13" descr="IMG_20221116_1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21116_101824"/>
                                          <pic:cNvPicPr>
                                            <a:picLocks noChangeAspect="1"/>
                                          </pic:cNvPicPr>
                                        </pic:nvPicPr>
                                        <pic:blipFill>
                                          <a:blip r:embed="rId10"/>
                                          <a:stretch>
                                            <a:fillRect/>
                                          </a:stretch>
                                        </pic:blipFill>
                                        <pic:spPr>
                                          <a:xfrm>
                                            <a:off x="0" y="0"/>
                                            <a:ext cx="2771775" cy="1930400"/>
                                          </a:xfrm>
                                          <a:prstGeom prst="rect">
                                            <a:avLst/>
                                          </a:prstGeom>
                                        </pic:spPr>
                                      </pic:pic>
                                    </a:graphicData>
                                  </a:graphic>
                                </wp:inline>
                              </w:drawing>
                            </w:r>
                          </w:p>
                          <w:p>
                            <w:pPr>
                              <w:jc w:val="center"/>
                            </w:pPr>
                          </w:p>
                        </w:txbxContent>
                      </wps:txbx>
                      <wps:bodyPr upright="1"/>
                    </wps:wsp>
                  </a:graphicData>
                </a:graphic>
              </wp:anchor>
            </w:drawing>
          </mc:Choice>
          <mc:Fallback>
            <w:pict>
              <v:shape id="Text Box 8" o:spid="_x0000_s1026" o:spt="202" type="#_x0000_t202" style="position:absolute;left:0pt;margin-left:236.85pt;margin-top:0.2pt;height:160.5pt;width:231pt;z-index:251662336;mso-width-relative:page;mso-height-relative:page;" fillcolor="#FFFFFF" filled="t" stroked="t" coordsize="21600,21600" o:gfxdata="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UrLD9gAAAAIAQAADwAAAAAAAAABACAAAAAiAAAAZHJzL2Rvd25y&#10;ZXYueG1sUEsBAhQAFAAAAAgAh07iQEaJuEn+AQAANgQAAA4AAAAAAAAAAQAgAAAAJwEAAGRycy9l&#10;Mm9Eb2MueG1sUEsFBgAAAAAGAAYAWQEAAJcFA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771775" cy="1930400"/>
                            <wp:effectExtent l="0" t="0" r="9525" b="12700"/>
                            <wp:docPr id="13" name="图片 13" descr="IMG_20221116_1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21116_101824"/>
                                    <pic:cNvPicPr>
                                      <a:picLocks noChangeAspect="1"/>
                                    </pic:cNvPicPr>
                                  </pic:nvPicPr>
                                  <pic:blipFill>
                                    <a:blip r:embed="rId10"/>
                                    <a:stretch>
                                      <a:fillRect/>
                                    </a:stretch>
                                  </pic:blipFill>
                                  <pic:spPr>
                                    <a:xfrm>
                                      <a:off x="0" y="0"/>
                                      <a:ext cx="2771775" cy="1930400"/>
                                    </a:xfrm>
                                    <a:prstGeom prst="rect">
                                      <a:avLst/>
                                    </a:prstGeom>
                                  </pic:spPr>
                                </pic:pic>
                              </a:graphicData>
                            </a:graphic>
                          </wp:inline>
                        </w:drawing>
                      </w:r>
                    </w:p>
                    <w:p>
                      <w:pPr>
                        <w:jc w:val="center"/>
                      </w:pPr>
                    </w:p>
                  </w:txbxContent>
                </v:textbox>
              </v:shape>
            </w:pict>
          </mc:Fallback>
        </mc:AlternateContent>
      </w: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r>
        <mc:AlternateContent>
          <mc:Choice Requires="wps">
            <w:drawing>
              <wp:anchor distT="0" distB="0" distL="114300" distR="114300" simplePos="0" relativeHeight="251664384" behindDoc="0" locked="0" layoutInCell="1" allowOverlap="1">
                <wp:simplePos x="0" y="0"/>
                <wp:positionH relativeFrom="column">
                  <wp:posOffset>3007995</wp:posOffset>
                </wp:positionH>
                <wp:positionV relativeFrom="paragraph">
                  <wp:posOffset>189865</wp:posOffset>
                </wp:positionV>
                <wp:extent cx="2933700" cy="2124075"/>
                <wp:effectExtent l="4445" t="5080" r="14605" b="4445"/>
                <wp:wrapNone/>
                <wp:docPr id="8" name="Text Box 10"/>
                <wp:cNvGraphicFramePr/>
                <a:graphic xmlns:a="http://schemas.openxmlformats.org/drawingml/2006/main">
                  <a:graphicData uri="http://schemas.microsoft.com/office/word/2010/wordprocessingShape">
                    <wps:wsp>
                      <wps:cNvSpPr txBox="1"/>
                      <wps:spPr>
                        <a:xfrm>
                          <a:off x="0" y="0"/>
                          <a:ext cx="2933700" cy="2124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drawing>
                                <wp:inline distT="0" distB="0" distL="114300" distR="114300">
                                  <wp:extent cx="2681605" cy="1989455"/>
                                  <wp:effectExtent l="0" t="0" r="4445" b="10795"/>
                                  <wp:docPr id="15" name="图片 15" descr="IMG_20221116_10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0221116_101959"/>
                                          <pic:cNvPicPr>
                                            <a:picLocks noChangeAspect="1"/>
                                          </pic:cNvPicPr>
                                        </pic:nvPicPr>
                                        <pic:blipFill>
                                          <a:blip r:embed="rId11"/>
                                          <a:stretch>
                                            <a:fillRect/>
                                          </a:stretch>
                                        </pic:blipFill>
                                        <pic:spPr>
                                          <a:xfrm>
                                            <a:off x="0" y="0"/>
                                            <a:ext cx="2681605" cy="1989455"/>
                                          </a:xfrm>
                                          <a:prstGeom prst="rect">
                                            <a:avLst/>
                                          </a:prstGeom>
                                        </pic:spPr>
                                      </pic:pic>
                                    </a:graphicData>
                                  </a:graphic>
                                </wp:inline>
                              </w:drawing>
                            </w:r>
                          </w:p>
                        </w:txbxContent>
                      </wps:txbx>
                      <wps:bodyPr upright="1"/>
                    </wps:wsp>
                  </a:graphicData>
                </a:graphic>
              </wp:anchor>
            </w:drawing>
          </mc:Choice>
          <mc:Fallback>
            <w:pict>
              <v:shape id="Text Box 10" o:spid="_x0000_s1026" o:spt="202" type="#_x0000_t202" style="position:absolute;left:0pt;margin-left:236.85pt;margin-top:14.95pt;height:167.25pt;width:231pt;z-index:251664384;mso-width-relative:page;mso-height-relative:page;" fillcolor="#FFFFFF" filled="t" stroked="t" coordsize="21600,21600" o:gfxdata="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t4jbZAAAACgEAAA8AAAAAAAAAAQAgAAAAIgAAAGRycy9kb3ducmV2&#10;LnhtbFBLAQIUABQAAAAIAIdO4kAtFtAU+wEAADcEAAAOAAAAAAAAAAEAIAAAACgBAABkcnMvZTJv&#10;RG9jLnhtbFBLBQYAAAAABgAGAFkBAACVBQ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681605" cy="1989455"/>
                            <wp:effectExtent l="0" t="0" r="4445" b="10795"/>
                            <wp:docPr id="15" name="图片 15" descr="IMG_20221116_10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0221116_101959"/>
                                    <pic:cNvPicPr>
                                      <a:picLocks noChangeAspect="1"/>
                                    </pic:cNvPicPr>
                                  </pic:nvPicPr>
                                  <pic:blipFill>
                                    <a:blip r:embed="rId11"/>
                                    <a:stretch>
                                      <a:fillRect/>
                                    </a:stretch>
                                  </pic:blipFill>
                                  <pic:spPr>
                                    <a:xfrm>
                                      <a:off x="0" y="0"/>
                                      <a:ext cx="2681605" cy="1989455"/>
                                    </a:xfrm>
                                    <a:prstGeom prst="rect">
                                      <a:avLst/>
                                    </a:prstGeom>
                                  </pic:spPr>
                                </pic:pic>
                              </a:graphicData>
                            </a:graphic>
                          </wp:inline>
                        </w:drawing>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189865</wp:posOffset>
                </wp:positionV>
                <wp:extent cx="2857500" cy="2113915"/>
                <wp:effectExtent l="5080" t="5080" r="13970" b="14605"/>
                <wp:wrapNone/>
                <wp:docPr id="7" name="Text Box 9"/>
                <wp:cNvGraphicFramePr/>
                <a:graphic xmlns:a="http://schemas.openxmlformats.org/drawingml/2006/main">
                  <a:graphicData uri="http://schemas.microsoft.com/office/word/2010/wordprocessingShape">
                    <wps:wsp>
                      <wps:cNvSpPr txBox="1"/>
                      <wps:spPr>
                        <a:xfrm>
                          <a:off x="0" y="0"/>
                          <a:ext cx="2857500" cy="2113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drawing>
                                <wp:inline distT="0" distB="0" distL="114300" distR="114300">
                                  <wp:extent cx="2710815" cy="1989455"/>
                                  <wp:effectExtent l="0" t="0" r="13335" b="10795"/>
                                  <wp:docPr id="14" name="图片 14" descr="IMG_20221116_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221116_101916"/>
                                          <pic:cNvPicPr>
                                            <a:picLocks noChangeAspect="1"/>
                                          </pic:cNvPicPr>
                                        </pic:nvPicPr>
                                        <pic:blipFill>
                                          <a:blip r:embed="rId12"/>
                                          <a:stretch>
                                            <a:fillRect/>
                                          </a:stretch>
                                        </pic:blipFill>
                                        <pic:spPr>
                                          <a:xfrm>
                                            <a:off x="0" y="0"/>
                                            <a:ext cx="2710815" cy="1989455"/>
                                          </a:xfrm>
                                          <a:prstGeom prst="rect">
                                            <a:avLst/>
                                          </a:prstGeom>
                                        </pic:spPr>
                                      </pic:pic>
                                    </a:graphicData>
                                  </a:graphic>
                                </wp:inline>
                              </w:drawing>
                            </w:r>
                          </w:p>
                          <w:p>
                            <w:pPr>
                              <w:jc w:val="center"/>
                            </w:pPr>
                          </w:p>
                        </w:txbxContent>
                      </wps:txbx>
                      <wps:bodyPr upright="1"/>
                    </wps:wsp>
                  </a:graphicData>
                </a:graphic>
              </wp:anchor>
            </w:drawing>
          </mc:Choice>
          <mc:Fallback>
            <w:pict>
              <v:shape id="Text Box 9" o:spid="_x0000_s1026" o:spt="202" type="#_x0000_t202" style="position:absolute;left:0pt;margin-left:0.6pt;margin-top:14.95pt;height:166.45pt;width:225pt;z-index:251663360;mso-width-relative:page;mso-height-relative:page;" fillcolor="#FFFFFF" filled="t" stroked="t" coordsize="21600,21600" o:gfxdata="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ADCp9cAAAAIAQAADwAAAAAAAAABACAAAAAiAAAAZHJzL2Rvd25yZXYu&#10;eG1sUEsBAhQAFAAAAAgAh07iQMCfk6T8AQAANgQAAA4AAAAAAAAAAQAgAAAAJgEAAGRycy9lMm9E&#10;b2MueG1sUEsFBgAAAAAGAAYAWQEAAJQFA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710815" cy="1989455"/>
                            <wp:effectExtent l="0" t="0" r="13335" b="10795"/>
                            <wp:docPr id="14" name="图片 14" descr="IMG_20221116_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221116_101916"/>
                                    <pic:cNvPicPr>
                                      <a:picLocks noChangeAspect="1"/>
                                    </pic:cNvPicPr>
                                  </pic:nvPicPr>
                                  <pic:blipFill>
                                    <a:blip r:embed="rId12"/>
                                    <a:stretch>
                                      <a:fillRect/>
                                    </a:stretch>
                                  </pic:blipFill>
                                  <pic:spPr>
                                    <a:xfrm>
                                      <a:off x="0" y="0"/>
                                      <a:ext cx="2710815" cy="1989455"/>
                                    </a:xfrm>
                                    <a:prstGeom prst="rect">
                                      <a:avLst/>
                                    </a:prstGeom>
                                  </pic:spPr>
                                </pic:pic>
                              </a:graphicData>
                            </a:graphic>
                          </wp:inline>
                        </w:drawing>
                      </w:r>
                    </w:p>
                    <w:p>
                      <w:pPr>
                        <w:jc w:val="center"/>
                      </w:pPr>
                    </w:p>
                  </w:txbxContent>
                </v:textbox>
              </v:shape>
            </w:pict>
          </mc:Fallback>
        </mc:AlternateContent>
      </w: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r>
        <mc:AlternateContent>
          <mc:Choice Requires="wps">
            <w:drawing>
              <wp:anchor distT="0" distB="0" distL="114300" distR="114300" simplePos="0" relativeHeight="251666432" behindDoc="0" locked="0" layoutInCell="1" allowOverlap="1">
                <wp:simplePos x="0" y="0"/>
                <wp:positionH relativeFrom="column">
                  <wp:posOffset>3007995</wp:posOffset>
                </wp:positionH>
                <wp:positionV relativeFrom="paragraph">
                  <wp:posOffset>104140</wp:posOffset>
                </wp:positionV>
                <wp:extent cx="2933700" cy="1780540"/>
                <wp:effectExtent l="4445" t="5080" r="14605" b="5080"/>
                <wp:wrapNone/>
                <wp:docPr id="10" name="Text Box 12"/>
                <wp:cNvGraphicFramePr/>
                <a:graphic xmlns:a="http://schemas.openxmlformats.org/drawingml/2006/main">
                  <a:graphicData uri="http://schemas.microsoft.com/office/word/2010/wordprocessingShape">
                    <wps:wsp>
                      <wps:cNvSpPr txBox="1"/>
                      <wps:spPr>
                        <a:xfrm>
                          <a:off x="0" y="0"/>
                          <a:ext cx="2933700" cy="1780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drawing>
                                <wp:inline distT="0" distB="0" distL="114300" distR="114300">
                                  <wp:extent cx="2728595" cy="1657985"/>
                                  <wp:effectExtent l="0" t="0" r="14605" b="18415"/>
                                  <wp:docPr id="17" name="图片 17" descr="IMG_20221116_10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221116_102217"/>
                                          <pic:cNvPicPr>
                                            <a:picLocks noChangeAspect="1"/>
                                          </pic:cNvPicPr>
                                        </pic:nvPicPr>
                                        <pic:blipFill>
                                          <a:blip r:embed="rId13"/>
                                          <a:stretch>
                                            <a:fillRect/>
                                          </a:stretch>
                                        </pic:blipFill>
                                        <pic:spPr>
                                          <a:xfrm>
                                            <a:off x="0" y="0"/>
                                            <a:ext cx="2728595" cy="1657985"/>
                                          </a:xfrm>
                                          <a:prstGeom prst="rect">
                                            <a:avLst/>
                                          </a:prstGeom>
                                        </pic:spPr>
                                      </pic:pic>
                                    </a:graphicData>
                                  </a:graphic>
                                </wp:inline>
                              </w:drawing>
                            </w:r>
                          </w:p>
                          <w:p>
                            <w:pPr>
                              <w:jc w:val="center"/>
                            </w:pPr>
                          </w:p>
                        </w:txbxContent>
                      </wps:txbx>
                      <wps:bodyPr upright="1"/>
                    </wps:wsp>
                  </a:graphicData>
                </a:graphic>
              </wp:anchor>
            </w:drawing>
          </mc:Choice>
          <mc:Fallback>
            <w:pict>
              <v:shape id="Text Box 12" o:spid="_x0000_s1026" o:spt="202" type="#_x0000_t202" style="position:absolute;left:0pt;margin-left:236.85pt;margin-top:8.2pt;height:140.2pt;width:231pt;z-index:251666432;mso-width-relative:page;mso-height-relative:page;" fillcolor="#FFFFFF" filled="t" stroked="t" coordsize="21600,21600" o:gfxdata="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l38H2QAAAAoBAAAPAAAAAAAAAAEAIAAAACIAAABkcnMvZG93&#10;bnJldi54bWxQSwECFAAUAAAACACHTuJAhazwCf8BAAA4BAAADgAAAAAAAAABACAAAAAoAQAAZHJz&#10;L2Uyb0RvYy54bWxQSwUGAAAAAAYABgBZAQAAmQ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728595" cy="1657985"/>
                            <wp:effectExtent l="0" t="0" r="14605" b="18415"/>
                            <wp:docPr id="17" name="图片 17" descr="IMG_20221116_10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221116_102217"/>
                                    <pic:cNvPicPr>
                                      <a:picLocks noChangeAspect="1"/>
                                    </pic:cNvPicPr>
                                  </pic:nvPicPr>
                                  <pic:blipFill>
                                    <a:blip r:embed="rId13"/>
                                    <a:stretch>
                                      <a:fillRect/>
                                    </a:stretch>
                                  </pic:blipFill>
                                  <pic:spPr>
                                    <a:xfrm>
                                      <a:off x="0" y="0"/>
                                      <a:ext cx="2728595" cy="1657985"/>
                                    </a:xfrm>
                                    <a:prstGeom prst="rect">
                                      <a:avLst/>
                                    </a:prstGeom>
                                  </pic:spPr>
                                </pic:pic>
                              </a:graphicData>
                            </a:graphic>
                          </wp:inline>
                        </w:drawing>
                      </w:r>
                    </w:p>
                    <w:p>
                      <w:pPr>
                        <w:jc w:val="cente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85090</wp:posOffset>
                </wp:positionV>
                <wp:extent cx="2857500" cy="1809115"/>
                <wp:effectExtent l="4445" t="5080" r="14605" b="14605"/>
                <wp:wrapNone/>
                <wp:docPr id="9" name="Text Box 11"/>
                <wp:cNvGraphicFramePr/>
                <a:graphic xmlns:a="http://schemas.openxmlformats.org/drawingml/2006/main">
                  <a:graphicData uri="http://schemas.microsoft.com/office/word/2010/wordprocessingShape">
                    <wps:wsp>
                      <wps:cNvSpPr txBox="1"/>
                      <wps:spPr>
                        <a:xfrm>
                          <a:off x="0" y="0"/>
                          <a:ext cx="2857500" cy="1809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drawing>
                                <wp:inline distT="0" distB="0" distL="114300" distR="114300">
                                  <wp:extent cx="2701925" cy="1699260"/>
                                  <wp:effectExtent l="0" t="0" r="3175" b="15240"/>
                                  <wp:docPr id="16" name="图片 16" descr="IMG_20221116_1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221116_102048"/>
                                          <pic:cNvPicPr>
                                            <a:picLocks noChangeAspect="1"/>
                                          </pic:cNvPicPr>
                                        </pic:nvPicPr>
                                        <pic:blipFill>
                                          <a:blip r:embed="rId14"/>
                                          <a:stretch>
                                            <a:fillRect/>
                                          </a:stretch>
                                        </pic:blipFill>
                                        <pic:spPr>
                                          <a:xfrm>
                                            <a:off x="0" y="0"/>
                                            <a:ext cx="2701925" cy="1699260"/>
                                          </a:xfrm>
                                          <a:prstGeom prst="rect">
                                            <a:avLst/>
                                          </a:prstGeom>
                                        </pic:spPr>
                                      </pic:pic>
                                    </a:graphicData>
                                  </a:graphic>
                                </wp:inline>
                              </w:drawing>
                            </w:r>
                          </w:p>
                          <w:p>
                            <w:pPr>
                              <w:jc w:val="center"/>
                            </w:pPr>
                          </w:p>
                        </w:txbxContent>
                      </wps:txbx>
                      <wps:bodyPr upright="1"/>
                    </wps:wsp>
                  </a:graphicData>
                </a:graphic>
              </wp:anchor>
            </w:drawing>
          </mc:Choice>
          <mc:Fallback>
            <w:pict>
              <v:shape id="Text Box 11" o:spid="_x0000_s1026" o:spt="202" type="#_x0000_t202" style="position:absolute;left:0pt;margin-left:0.6pt;margin-top:6.7pt;height:142.45pt;width:225pt;z-index:251665408;mso-width-relative:page;mso-height-relative:page;" fillcolor="#FFFFFF" filled="t" stroked="t" coordsize="21600,21600" o:gfxdata="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2J4KX1wAAAAgBAAAPAAAAAAAAAAEAIAAAACIAAABkcnMvZG93bnJldi54&#10;bWxQSwECFAAUAAAACACHTuJAS3K5cvsBAAA3BAAADgAAAAAAAAABACAAAAAmAQAAZHJzL2Uyb0Rv&#10;Yy54bWxQSwUGAAAAAAYABgBZAQAAkw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701925" cy="1699260"/>
                            <wp:effectExtent l="0" t="0" r="3175" b="15240"/>
                            <wp:docPr id="16" name="图片 16" descr="IMG_20221116_1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221116_102048"/>
                                    <pic:cNvPicPr>
                                      <a:picLocks noChangeAspect="1"/>
                                    </pic:cNvPicPr>
                                  </pic:nvPicPr>
                                  <pic:blipFill>
                                    <a:blip r:embed="rId14"/>
                                    <a:stretch>
                                      <a:fillRect/>
                                    </a:stretch>
                                  </pic:blipFill>
                                  <pic:spPr>
                                    <a:xfrm>
                                      <a:off x="0" y="0"/>
                                      <a:ext cx="2701925" cy="1699260"/>
                                    </a:xfrm>
                                    <a:prstGeom prst="rect">
                                      <a:avLst/>
                                    </a:prstGeom>
                                  </pic:spPr>
                                </pic:pic>
                              </a:graphicData>
                            </a:graphic>
                          </wp:inline>
                        </w:drawing>
                      </w:r>
                    </w:p>
                    <w:p>
                      <w:pPr>
                        <w:jc w:val="center"/>
                      </w:pPr>
                    </w:p>
                  </w:txbxContent>
                </v:textbox>
              </v:shape>
            </w:pict>
          </mc:Fallback>
        </mc:AlternateContent>
      </w:r>
    </w:p>
    <w:p>
      <w:pPr>
        <w:spacing w:line="520" w:lineRule="exact"/>
        <w:ind w:firstLine="540"/>
        <w:jc w:val="center"/>
      </w:pPr>
    </w:p>
    <w:p>
      <w:pPr>
        <w:spacing w:line="520" w:lineRule="exact"/>
        <w:ind w:firstLine="540"/>
        <w:jc w:val="center"/>
      </w:pPr>
    </w:p>
    <w:p>
      <w:pPr>
        <w:spacing w:line="520" w:lineRule="exact"/>
        <w:ind w:firstLine="540"/>
        <w:jc w:val="center"/>
      </w:pPr>
    </w:p>
    <w:p>
      <w:pPr>
        <w:jc w:val="both"/>
      </w:pPr>
    </w:p>
    <w:p>
      <w:pPr>
        <w:jc w:val="both"/>
      </w:pPr>
    </w:p>
    <w:p>
      <w:pPr>
        <w:jc w:val="center"/>
        <w:rPr>
          <w:rFonts w:asciiTheme="minorEastAsia" w:hAnsiTheme="minorEastAsia" w:eastAsiaTheme="minorEastAsia"/>
          <w:sz w:val="28"/>
          <w:szCs w:val="24"/>
        </w:rPr>
      </w:pPr>
    </w:p>
    <w:p>
      <w:pPr>
        <w:jc w:val="center"/>
        <w:rPr>
          <w:rFonts w:hint="eastAsia" w:asciiTheme="minorEastAsia" w:hAnsiTheme="minorEastAsia" w:eastAsiaTheme="minorEastAsia"/>
          <w:sz w:val="28"/>
          <w:szCs w:val="24"/>
          <w:lang w:eastAsia="zh-CN"/>
        </w:rPr>
      </w:pPr>
      <w:r>
        <w:rPr>
          <w:rFonts w:asciiTheme="minorEastAsia" w:hAnsiTheme="minorEastAsia" w:eastAsiaTheme="minorEastAsia"/>
          <w:sz w:val="28"/>
          <w:szCs w:val="24"/>
        </w:rPr>
        <w:t>估价对象所在位置</w:t>
      </w:r>
      <w:r>
        <w:rPr>
          <w:rFonts w:hint="eastAsia" w:asciiTheme="minorEastAsia" w:hAnsiTheme="minorEastAsia" w:eastAsiaTheme="minorEastAsia"/>
          <w:sz w:val="28"/>
          <w:szCs w:val="24"/>
          <w:lang w:eastAsia="zh-CN"/>
        </w:rPr>
        <w:t>示意图</w:t>
      </w:r>
    </w:p>
    <w:p>
      <w:pPr>
        <w:spacing w:line="520" w:lineRule="exact"/>
        <w:ind w:firstLine="540"/>
        <w:jc w:val="center"/>
      </w:pPr>
    </w:p>
    <w:p>
      <w:pPr>
        <w:spacing w:line="520" w:lineRule="exact"/>
        <w:ind w:firstLine="540"/>
        <w:jc w:val="center"/>
      </w:pPr>
    </w:p>
    <w:p>
      <w:pPr>
        <w:spacing w:line="240" w:lineRule="auto"/>
        <w:ind w:firstLine="540"/>
        <w:jc w:val="center"/>
        <w:rPr>
          <w:rFonts w:hint="eastAsia" w:eastAsia="宋体"/>
          <w:lang w:eastAsia="zh-CN"/>
        </w:rPr>
      </w:pPr>
      <w:r>
        <w:rPr>
          <w:rFonts w:hint="eastAsia" w:ascii="仿宋_GB2312" w:eastAsia="仿宋_GB2312"/>
          <w:bCs/>
          <w:sz w:val="28"/>
          <w:szCs w:val="28"/>
        </w:rPr>
        <mc:AlternateContent>
          <mc:Choice Requires="wps">
            <w:drawing>
              <wp:anchor distT="0" distB="0" distL="114300" distR="114300" simplePos="0" relativeHeight="251667456" behindDoc="0" locked="0" layoutInCell="1" allowOverlap="1">
                <wp:simplePos x="0" y="0"/>
                <wp:positionH relativeFrom="column">
                  <wp:posOffset>2918460</wp:posOffset>
                </wp:positionH>
                <wp:positionV relativeFrom="paragraph">
                  <wp:posOffset>1150620</wp:posOffset>
                </wp:positionV>
                <wp:extent cx="342900" cy="297180"/>
                <wp:effectExtent l="26035" t="19685" r="31115" b="26035"/>
                <wp:wrapNone/>
                <wp:docPr id="36" name="十字星 36"/>
                <wp:cNvGraphicFramePr/>
                <a:graphic xmlns:a="http://schemas.openxmlformats.org/drawingml/2006/main">
                  <a:graphicData uri="http://schemas.microsoft.com/office/word/2010/wordprocessingShape">
                    <wps:wsp>
                      <wps:cNvSpPr/>
                      <wps:spPr>
                        <a:xfrm>
                          <a:off x="0" y="0"/>
                          <a:ext cx="342900" cy="297180"/>
                        </a:xfrm>
                        <a:prstGeom prst="star4">
                          <a:avLst>
                            <a:gd name="adj" fmla="val 12500"/>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87" type="#_x0000_t187" style="position:absolute;left:0pt;margin-left:229.8pt;margin-top:90.6pt;height:23.4pt;width:27pt;z-index:251667456;mso-width-relative:page;mso-height-relative:page;" fillcolor="#FF0000" filled="t" stroked="t" coordsize="21600,21600" o:gfxdata="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Nwezj2QAA&#10;AAsBAAAPAAAAAAAAAAEAIAAAACIAAABkcnMvZG93bnJldi54bWxQSwECFAAUAAAACACHTuJANvVR&#10;Cx0CAABaBAAADgAAAAAAAAABACAAAAAoAQAAZHJzL2Uyb0RvYy54bWxQSwUGAAAAAAYABgBZAQAA&#10;twUAAAAA&#10;" adj="8100">
                <v:fill on="t" focussize="0,0"/>
                <v:stroke color="#FF0000" joinstyle="miter"/>
                <v:imagedata o:title=""/>
                <o:lock v:ext="edit" aspectratio="f"/>
                <v:textbox>
                  <w:txbxContent>
                    <w:p/>
                  </w:txbxContent>
                </v:textbox>
              </v:shape>
            </w:pict>
          </mc:Fallback>
        </mc:AlternateContent>
      </w:r>
      <w:r>
        <w:rPr>
          <w:rFonts w:hint="eastAsia" w:eastAsia="宋体"/>
          <w:lang w:eastAsia="zh-CN"/>
        </w:rPr>
        <w:drawing>
          <wp:inline distT="0" distB="0" distL="114300" distR="114300">
            <wp:extent cx="5544820" cy="3060065"/>
            <wp:effectExtent l="0" t="0" r="17780" b="6985"/>
            <wp:docPr id="1" name="图片 1" descr="定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定位图"/>
                    <pic:cNvPicPr>
                      <a:picLocks noChangeAspect="1"/>
                    </pic:cNvPicPr>
                  </pic:nvPicPr>
                  <pic:blipFill>
                    <a:blip r:embed="rId15"/>
                    <a:stretch>
                      <a:fillRect/>
                    </a:stretch>
                  </pic:blipFill>
                  <pic:spPr>
                    <a:xfrm>
                      <a:off x="0" y="0"/>
                      <a:ext cx="5544820" cy="3060065"/>
                    </a:xfrm>
                    <a:prstGeom prst="rect">
                      <a:avLst/>
                    </a:prstGeom>
                  </pic:spPr>
                </pic:pic>
              </a:graphicData>
            </a:graphic>
          </wp:inline>
        </w:drawing>
      </w:r>
    </w:p>
    <w:p>
      <w:pPr>
        <w:spacing w:line="520" w:lineRule="exact"/>
        <w:ind w:firstLine="540"/>
        <w:jc w:val="center"/>
      </w:pPr>
    </w:p>
    <w:bookmarkEnd w:id="52"/>
    <w:p>
      <w:pPr>
        <w:pStyle w:val="2"/>
        <w:spacing w:line="460" w:lineRule="exact"/>
        <w:jc w:val="both"/>
        <w:rPr>
          <w:rFonts w:ascii="仿宋" w:hAnsi="仿宋" w:eastAsia="仿宋"/>
          <w:sz w:val="28"/>
        </w:rPr>
      </w:pPr>
    </w:p>
    <w:p>
      <w:pPr>
        <w:spacing w:before="120"/>
        <w:jc w:val="left"/>
        <w:rPr>
          <w:rFonts w:hint="eastAsia" w:ascii="仿宋_GB2312" w:eastAsia="仿宋_GB2312"/>
          <w:bCs/>
          <w:sz w:val="28"/>
          <w:szCs w:val="28"/>
        </w:rPr>
      </w:pPr>
      <w:r>
        <w:rPr>
          <w:rFonts w:hint="eastAsia" w:ascii="仿宋_GB2312" w:eastAsia="仿宋_GB2312"/>
          <w:bCs/>
          <w:sz w:val="28"/>
          <w:szCs w:val="28"/>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47625</wp:posOffset>
                </wp:positionV>
                <wp:extent cx="342900" cy="297180"/>
                <wp:effectExtent l="26035" t="19685" r="31115" b="26035"/>
                <wp:wrapNone/>
                <wp:docPr id="38" name="十字星 38"/>
                <wp:cNvGraphicFramePr/>
                <a:graphic xmlns:a="http://schemas.openxmlformats.org/drawingml/2006/main">
                  <a:graphicData uri="http://schemas.microsoft.com/office/word/2010/wordprocessingShape">
                    <wps:wsp>
                      <wps:cNvSpPr/>
                      <wps:spPr>
                        <a:xfrm>
                          <a:off x="0" y="0"/>
                          <a:ext cx="342900" cy="297180"/>
                        </a:xfrm>
                        <a:prstGeom prst="star4">
                          <a:avLst>
                            <a:gd name="adj" fmla="val 12500"/>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87" type="#_x0000_t187" style="position:absolute;left:0pt;margin-left:24.75pt;margin-top:3.75pt;height:23.4pt;width:27pt;z-index:251668480;mso-width-relative:page;mso-height-relative:page;" fillcolor="#FF0000" filled="t" stroked="t" coordsize="21600,21600" o:gfxdata="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cjhWd1gAAAAcB&#10;AAAPAAAAAAAAAAEAIAAAACIAAABkcnMvZG93bnJldi54bWxQSwECFAAUAAAACACHTuJAQZ73Ih0C&#10;AABaBAAADgAAAAAAAAABACAAAAAlAQAAZHJzL2Uyb0RvYy54bWxQSwUGAAAAAAYABgBZAQAAtAUA&#10;AAAA&#10;" adj="8100">
                <v:fill on="t" focussize="0,0"/>
                <v:stroke color="#FF0000" joinstyle="miter"/>
                <v:imagedata o:title=""/>
                <o:lock v:ext="edit" aspectratio="f"/>
                <v:textbox>
                  <w:txbxContent>
                    <w:p/>
                  </w:txbxContent>
                </v:textbox>
              </v:shape>
            </w:pict>
          </mc:Fallback>
        </mc:AlternateContent>
      </w:r>
      <w:r>
        <w:rPr>
          <w:rFonts w:hint="eastAsia" w:ascii="仿宋_GB2312" w:eastAsia="仿宋_GB2312"/>
          <w:bCs/>
          <w:sz w:val="28"/>
          <w:szCs w:val="28"/>
        </w:rPr>
        <w:t>注：    为估价对象所在位置</w:t>
      </w:r>
      <w:r>
        <w:rPr>
          <w:rFonts w:hint="eastAsia" w:ascii="仿宋_GB2312" w:eastAsia="仿宋_GB2312"/>
          <w:bCs/>
          <w:sz w:val="28"/>
          <w:szCs w:val="28"/>
        </w:rPr>
        <w:tab/>
      </w:r>
    </w:p>
    <w:p>
      <w:pPr>
        <w:pStyle w:val="2"/>
        <w:spacing w:line="460" w:lineRule="exact"/>
        <w:jc w:val="both"/>
        <w:rPr>
          <w:rFonts w:hint="eastAsia" w:ascii="仿宋" w:hAnsi="仿宋" w:eastAsia="仿宋"/>
          <w:sz w:val="28"/>
          <w:lang w:val="en-US" w:eastAsia="zh-CN"/>
        </w:rPr>
      </w:pPr>
    </w:p>
    <w:p>
      <w:pPr>
        <w:rPr>
          <w:rFonts w:hint="eastAsia" w:ascii="仿宋" w:hAnsi="仿宋" w:eastAsia="仿宋"/>
          <w:sz w:val="28"/>
          <w:lang w:val="en-US" w:eastAsia="zh-CN"/>
        </w:rPr>
      </w:pPr>
    </w:p>
    <w:p>
      <w:pPr>
        <w:rPr>
          <w:rFonts w:hint="eastAsia" w:ascii="仿宋" w:hAnsi="仿宋" w:eastAsia="仿宋"/>
          <w:sz w:val="28"/>
          <w:lang w:val="en-US" w:eastAsia="zh-CN"/>
        </w:rPr>
      </w:pPr>
    </w:p>
    <w:p>
      <w:pPr>
        <w:rPr>
          <w:rFonts w:hint="eastAsia" w:ascii="仿宋" w:hAnsi="仿宋" w:eastAsia="仿宋"/>
          <w:sz w:val="28"/>
          <w:lang w:val="en-US" w:eastAsia="zh-CN"/>
        </w:rPr>
      </w:pPr>
    </w:p>
    <w:p>
      <w:pPr>
        <w:rPr>
          <w:rFonts w:hint="eastAsia" w:ascii="仿宋" w:hAnsi="仿宋" w:eastAsia="仿宋"/>
          <w:sz w:val="28"/>
          <w:lang w:val="en-US" w:eastAsia="zh-CN"/>
        </w:rPr>
      </w:pPr>
    </w:p>
    <w:p>
      <w:pPr>
        <w:rPr>
          <w:rFonts w:hint="eastAsia" w:ascii="仿宋" w:hAnsi="仿宋" w:eastAsia="仿宋"/>
          <w:sz w:val="28"/>
          <w:lang w:val="en-US" w:eastAsia="zh-CN"/>
        </w:rPr>
      </w:pPr>
    </w:p>
    <w:p>
      <w:pPr>
        <w:rPr>
          <w:rFonts w:hint="eastAsia" w:ascii="仿宋" w:hAnsi="仿宋" w:eastAsia="仿宋"/>
          <w:sz w:val="28"/>
          <w:lang w:val="en-US" w:eastAsia="zh-CN"/>
        </w:rPr>
      </w:pPr>
    </w:p>
    <w:sectPr>
      <w:footerReference r:id="rId5" w:type="default"/>
      <w:pgSz w:w="11906" w:h="16838"/>
      <w:pgMar w:top="964" w:right="1247" w:bottom="964" w:left="1304"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5656" w:y="265"/>
      <w:rPr>
        <w:rStyle w:val="25"/>
        <w:rFonts w:hint="default"/>
        <w:sz w:val="21"/>
        <w:szCs w:val="21"/>
      </w:rPr>
    </w:pPr>
    <w:r>
      <w:rPr>
        <w:sz w:val="21"/>
        <w:szCs w:val="21"/>
      </w:rPr>
      <w:fldChar w:fldCharType="begin"/>
    </w:r>
    <w:r>
      <w:rPr>
        <w:rStyle w:val="25"/>
        <w:rFonts w:hint="default"/>
        <w:sz w:val="21"/>
        <w:szCs w:val="21"/>
      </w:rPr>
      <w:instrText xml:space="preserve">PAGE  </w:instrText>
    </w:r>
    <w:r>
      <w:rPr>
        <w:sz w:val="21"/>
        <w:szCs w:val="21"/>
      </w:rPr>
      <w:fldChar w:fldCharType="separate"/>
    </w:r>
    <w:r>
      <w:rPr>
        <w:rStyle w:val="25"/>
        <w:rFonts w:hint="default"/>
        <w:sz w:val="21"/>
        <w:szCs w:val="21"/>
      </w:rPr>
      <w:t>4</w:t>
    </w:r>
    <w:r>
      <w:rPr>
        <w:sz w:val="21"/>
        <w:szCs w:val="21"/>
      </w:rPr>
      <w:fldChar w:fldCharType="end"/>
    </w:r>
  </w:p>
  <w:p>
    <w:pPr>
      <w:pStyle w:val="13"/>
      <w:ind w:right="360"/>
      <w:rPr>
        <w:rFonts w:hint="eastAsia" w:eastAsia="宋体"/>
        <w:lang w:val="en-US" w:eastAsia="zh-CN"/>
      </w:rPr>
    </w:pPr>
    <w:r>
      <w:rPr>
        <w:rFonts w:hint="eastAsia"/>
        <w:lang w:eastAsia="zh-CN"/>
      </w:rPr>
      <w:t>宁海县博信房地产资产评估有限估公司</w:t>
    </w:r>
    <w:r>
      <w:rPr>
        <w:rFonts w:hint="eastAsia"/>
        <w:lang w:val="en-US" w:eastAsia="zh-CN"/>
      </w:rPr>
      <w:t xml:space="preserve">        地址：宁海县银河东路50号                 电话0574-82535666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83E45"/>
    <w:multiLevelType w:val="multilevel"/>
    <w:tmpl w:val="35083E45"/>
    <w:lvl w:ilvl="0" w:tentative="0">
      <w:start w:val="3"/>
      <w:numFmt w:val="decimal"/>
      <w:pStyle w:val="70"/>
      <w:lvlText w:val="%1、"/>
      <w:lvlJc w:val="left"/>
      <w:pPr>
        <w:tabs>
          <w:tab w:val="left" w:pos="1275"/>
        </w:tabs>
        <w:ind w:left="1275" w:hanging="720"/>
      </w:pPr>
      <w:rPr>
        <w:rFonts w:hint="default"/>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TQ3YjMzMjljZWFjZmRlNjhkN2YyNTU4MzBmNmIifQ=="/>
  </w:docVars>
  <w:rsids>
    <w:rsidRoot w:val="00FB1341"/>
    <w:rsid w:val="000848CB"/>
    <w:rsid w:val="003913AC"/>
    <w:rsid w:val="003D251C"/>
    <w:rsid w:val="004D683B"/>
    <w:rsid w:val="005403DA"/>
    <w:rsid w:val="0062697F"/>
    <w:rsid w:val="0063054C"/>
    <w:rsid w:val="00635871"/>
    <w:rsid w:val="006C4B25"/>
    <w:rsid w:val="006D0F03"/>
    <w:rsid w:val="006D4921"/>
    <w:rsid w:val="00722C50"/>
    <w:rsid w:val="007542E0"/>
    <w:rsid w:val="008107A2"/>
    <w:rsid w:val="0082537C"/>
    <w:rsid w:val="00956091"/>
    <w:rsid w:val="00A25B28"/>
    <w:rsid w:val="00AC3234"/>
    <w:rsid w:val="00AC4D80"/>
    <w:rsid w:val="00AF54C5"/>
    <w:rsid w:val="00B21D4C"/>
    <w:rsid w:val="00C843A5"/>
    <w:rsid w:val="00D31FC2"/>
    <w:rsid w:val="00D44717"/>
    <w:rsid w:val="00D677B2"/>
    <w:rsid w:val="00E26BC6"/>
    <w:rsid w:val="00E41781"/>
    <w:rsid w:val="00E43775"/>
    <w:rsid w:val="00E44F51"/>
    <w:rsid w:val="00EF7532"/>
    <w:rsid w:val="00F731C9"/>
    <w:rsid w:val="00FA4AEC"/>
    <w:rsid w:val="00FB1341"/>
    <w:rsid w:val="00FE6986"/>
    <w:rsid w:val="015E60FA"/>
    <w:rsid w:val="01876983"/>
    <w:rsid w:val="019F0973"/>
    <w:rsid w:val="0217558C"/>
    <w:rsid w:val="02C62162"/>
    <w:rsid w:val="02DD38ED"/>
    <w:rsid w:val="02F359E5"/>
    <w:rsid w:val="02F838DF"/>
    <w:rsid w:val="032B3EC6"/>
    <w:rsid w:val="034B1ECB"/>
    <w:rsid w:val="03623745"/>
    <w:rsid w:val="036E4626"/>
    <w:rsid w:val="037440F9"/>
    <w:rsid w:val="03BC5C8C"/>
    <w:rsid w:val="03E802D1"/>
    <w:rsid w:val="04001891"/>
    <w:rsid w:val="04067EA7"/>
    <w:rsid w:val="041429E8"/>
    <w:rsid w:val="04274A9E"/>
    <w:rsid w:val="04AF69B4"/>
    <w:rsid w:val="04F81019"/>
    <w:rsid w:val="05011927"/>
    <w:rsid w:val="05203B99"/>
    <w:rsid w:val="05432B83"/>
    <w:rsid w:val="05AB3D5F"/>
    <w:rsid w:val="06007DD2"/>
    <w:rsid w:val="0621663F"/>
    <w:rsid w:val="06C2450E"/>
    <w:rsid w:val="06CD7429"/>
    <w:rsid w:val="071B45B6"/>
    <w:rsid w:val="076F7367"/>
    <w:rsid w:val="07EA0CEC"/>
    <w:rsid w:val="07FA6997"/>
    <w:rsid w:val="08115A52"/>
    <w:rsid w:val="082B53D9"/>
    <w:rsid w:val="086407DD"/>
    <w:rsid w:val="087B01B7"/>
    <w:rsid w:val="08C5105A"/>
    <w:rsid w:val="093A7D71"/>
    <w:rsid w:val="093F34A4"/>
    <w:rsid w:val="09401A17"/>
    <w:rsid w:val="09B176C3"/>
    <w:rsid w:val="09DE5DB2"/>
    <w:rsid w:val="0A464106"/>
    <w:rsid w:val="0A474190"/>
    <w:rsid w:val="0A5F470B"/>
    <w:rsid w:val="0A6F6BB1"/>
    <w:rsid w:val="0A7470C8"/>
    <w:rsid w:val="0A8A38E1"/>
    <w:rsid w:val="0AD80908"/>
    <w:rsid w:val="0ADE49AE"/>
    <w:rsid w:val="0AF14393"/>
    <w:rsid w:val="0AFD2838"/>
    <w:rsid w:val="0B0A4800"/>
    <w:rsid w:val="0B7F5D75"/>
    <w:rsid w:val="0B8813F6"/>
    <w:rsid w:val="0BC13D1C"/>
    <w:rsid w:val="0BE37AD9"/>
    <w:rsid w:val="0BE44835"/>
    <w:rsid w:val="0CBB4CF2"/>
    <w:rsid w:val="0CBF6D6A"/>
    <w:rsid w:val="0D59387B"/>
    <w:rsid w:val="0D6867AD"/>
    <w:rsid w:val="0D7D55E1"/>
    <w:rsid w:val="0D8C3ED0"/>
    <w:rsid w:val="0D9455D2"/>
    <w:rsid w:val="0E0127D4"/>
    <w:rsid w:val="0E0F7CA5"/>
    <w:rsid w:val="0E2D455E"/>
    <w:rsid w:val="0E484E6D"/>
    <w:rsid w:val="0EBC56E7"/>
    <w:rsid w:val="0F203A5D"/>
    <w:rsid w:val="0F59758A"/>
    <w:rsid w:val="0F6F028F"/>
    <w:rsid w:val="10951465"/>
    <w:rsid w:val="10BD60AD"/>
    <w:rsid w:val="10E219EE"/>
    <w:rsid w:val="10EE60FB"/>
    <w:rsid w:val="113B5DBC"/>
    <w:rsid w:val="1162576D"/>
    <w:rsid w:val="116C54AE"/>
    <w:rsid w:val="11C82507"/>
    <w:rsid w:val="11C931EA"/>
    <w:rsid w:val="11F94500"/>
    <w:rsid w:val="12523FB5"/>
    <w:rsid w:val="12AE1E1B"/>
    <w:rsid w:val="12C52152"/>
    <w:rsid w:val="13063E97"/>
    <w:rsid w:val="130F7892"/>
    <w:rsid w:val="133D09EF"/>
    <w:rsid w:val="133E7CFB"/>
    <w:rsid w:val="135D0CC3"/>
    <w:rsid w:val="1377486A"/>
    <w:rsid w:val="1382607B"/>
    <w:rsid w:val="138A27CA"/>
    <w:rsid w:val="1392150C"/>
    <w:rsid w:val="13BD1833"/>
    <w:rsid w:val="14835BCC"/>
    <w:rsid w:val="14CA02D7"/>
    <w:rsid w:val="153E1AEF"/>
    <w:rsid w:val="15425C34"/>
    <w:rsid w:val="157805ED"/>
    <w:rsid w:val="157A478B"/>
    <w:rsid w:val="163063EC"/>
    <w:rsid w:val="16EF11D5"/>
    <w:rsid w:val="17274CD0"/>
    <w:rsid w:val="1755610B"/>
    <w:rsid w:val="176A0A5A"/>
    <w:rsid w:val="177C78D3"/>
    <w:rsid w:val="178E35E4"/>
    <w:rsid w:val="17B411A1"/>
    <w:rsid w:val="17C217CA"/>
    <w:rsid w:val="17D85B63"/>
    <w:rsid w:val="182D3470"/>
    <w:rsid w:val="18560493"/>
    <w:rsid w:val="188E29E9"/>
    <w:rsid w:val="18D16403"/>
    <w:rsid w:val="19752292"/>
    <w:rsid w:val="19782F44"/>
    <w:rsid w:val="197A5077"/>
    <w:rsid w:val="197F1D55"/>
    <w:rsid w:val="19C72FCB"/>
    <w:rsid w:val="1A05303A"/>
    <w:rsid w:val="1A1D6E85"/>
    <w:rsid w:val="1A302E06"/>
    <w:rsid w:val="1A5B6C4D"/>
    <w:rsid w:val="1AA74FBE"/>
    <w:rsid w:val="1AEE5D99"/>
    <w:rsid w:val="1B326420"/>
    <w:rsid w:val="1B354880"/>
    <w:rsid w:val="1BD12E27"/>
    <w:rsid w:val="1CAB0901"/>
    <w:rsid w:val="1D1E4ADC"/>
    <w:rsid w:val="1D6F39A6"/>
    <w:rsid w:val="1D991F07"/>
    <w:rsid w:val="1D99777E"/>
    <w:rsid w:val="1DF172AC"/>
    <w:rsid w:val="1E1E1AEA"/>
    <w:rsid w:val="1E4F5A7B"/>
    <w:rsid w:val="1EBF5E69"/>
    <w:rsid w:val="1EE3453C"/>
    <w:rsid w:val="1F317626"/>
    <w:rsid w:val="1F406A8B"/>
    <w:rsid w:val="1FA40300"/>
    <w:rsid w:val="1FE47FDC"/>
    <w:rsid w:val="1FED27B2"/>
    <w:rsid w:val="205B23D6"/>
    <w:rsid w:val="20B42D4B"/>
    <w:rsid w:val="20BA02DE"/>
    <w:rsid w:val="20C4101D"/>
    <w:rsid w:val="20F02F0F"/>
    <w:rsid w:val="2137108F"/>
    <w:rsid w:val="219D7989"/>
    <w:rsid w:val="2240319B"/>
    <w:rsid w:val="22A4081B"/>
    <w:rsid w:val="22CA1D42"/>
    <w:rsid w:val="22D1177A"/>
    <w:rsid w:val="22D52F9E"/>
    <w:rsid w:val="22DC1184"/>
    <w:rsid w:val="23B74FDA"/>
    <w:rsid w:val="24560501"/>
    <w:rsid w:val="24E91EC2"/>
    <w:rsid w:val="25185B18"/>
    <w:rsid w:val="25232978"/>
    <w:rsid w:val="25417837"/>
    <w:rsid w:val="259A1A63"/>
    <w:rsid w:val="25E1520A"/>
    <w:rsid w:val="25E66385"/>
    <w:rsid w:val="25E94F10"/>
    <w:rsid w:val="25ED5753"/>
    <w:rsid w:val="26424D31"/>
    <w:rsid w:val="266E509D"/>
    <w:rsid w:val="26763992"/>
    <w:rsid w:val="26911471"/>
    <w:rsid w:val="26AE595F"/>
    <w:rsid w:val="27047559"/>
    <w:rsid w:val="274F3268"/>
    <w:rsid w:val="27804221"/>
    <w:rsid w:val="27B3021A"/>
    <w:rsid w:val="27C40318"/>
    <w:rsid w:val="281D4C99"/>
    <w:rsid w:val="283416BE"/>
    <w:rsid w:val="283853D3"/>
    <w:rsid w:val="28AF79C5"/>
    <w:rsid w:val="28B9120D"/>
    <w:rsid w:val="28D34167"/>
    <w:rsid w:val="29340F57"/>
    <w:rsid w:val="29915455"/>
    <w:rsid w:val="29A00432"/>
    <w:rsid w:val="29A60CDA"/>
    <w:rsid w:val="29FB0153"/>
    <w:rsid w:val="2A4910D9"/>
    <w:rsid w:val="2A914E79"/>
    <w:rsid w:val="2AD525C3"/>
    <w:rsid w:val="2ADA0244"/>
    <w:rsid w:val="2ADE328A"/>
    <w:rsid w:val="2B1144D2"/>
    <w:rsid w:val="2B136CFA"/>
    <w:rsid w:val="2B222E3E"/>
    <w:rsid w:val="2BD55F40"/>
    <w:rsid w:val="2C27421C"/>
    <w:rsid w:val="2C3313FD"/>
    <w:rsid w:val="2C353CDA"/>
    <w:rsid w:val="2C362220"/>
    <w:rsid w:val="2C5B7745"/>
    <w:rsid w:val="2C9E2810"/>
    <w:rsid w:val="2D2D696E"/>
    <w:rsid w:val="2D4B0C64"/>
    <w:rsid w:val="2D946595"/>
    <w:rsid w:val="2DB37B1F"/>
    <w:rsid w:val="2E2744D4"/>
    <w:rsid w:val="2E3177CD"/>
    <w:rsid w:val="2ECD77DC"/>
    <w:rsid w:val="2F007834"/>
    <w:rsid w:val="2F3012EA"/>
    <w:rsid w:val="2F5426F0"/>
    <w:rsid w:val="2F782A30"/>
    <w:rsid w:val="2F7C458A"/>
    <w:rsid w:val="2FA94D03"/>
    <w:rsid w:val="2FB2760F"/>
    <w:rsid w:val="2FB8052A"/>
    <w:rsid w:val="2FD01BAA"/>
    <w:rsid w:val="30572A03"/>
    <w:rsid w:val="306472BF"/>
    <w:rsid w:val="308D2103"/>
    <w:rsid w:val="30BC360B"/>
    <w:rsid w:val="31694B96"/>
    <w:rsid w:val="319858EE"/>
    <w:rsid w:val="320D52FD"/>
    <w:rsid w:val="321121C8"/>
    <w:rsid w:val="331A3017"/>
    <w:rsid w:val="3366063A"/>
    <w:rsid w:val="3384372F"/>
    <w:rsid w:val="33AB32FB"/>
    <w:rsid w:val="33CE6DD5"/>
    <w:rsid w:val="33DC6F4A"/>
    <w:rsid w:val="33EB5334"/>
    <w:rsid w:val="34085FC2"/>
    <w:rsid w:val="34373152"/>
    <w:rsid w:val="343A2A0C"/>
    <w:rsid w:val="349D6E1A"/>
    <w:rsid w:val="34CA38C9"/>
    <w:rsid w:val="35347504"/>
    <w:rsid w:val="354271E4"/>
    <w:rsid w:val="35FE151C"/>
    <w:rsid w:val="360D217F"/>
    <w:rsid w:val="36140B5B"/>
    <w:rsid w:val="36196691"/>
    <w:rsid w:val="36971CED"/>
    <w:rsid w:val="36BE2E99"/>
    <w:rsid w:val="372A72EA"/>
    <w:rsid w:val="3732264A"/>
    <w:rsid w:val="376422BE"/>
    <w:rsid w:val="376D2FC8"/>
    <w:rsid w:val="37883F3D"/>
    <w:rsid w:val="37B325EF"/>
    <w:rsid w:val="37D9480F"/>
    <w:rsid w:val="38533252"/>
    <w:rsid w:val="385E6FD5"/>
    <w:rsid w:val="3861127C"/>
    <w:rsid w:val="38C430C4"/>
    <w:rsid w:val="38C72151"/>
    <w:rsid w:val="38FC19BF"/>
    <w:rsid w:val="39236CE2"/>
    <w:rsid w:val="394E0484"/>
    <w:rsid w:val="395037DB"/>
    <w:rsid w:val="3965205C"/>
    <w:rsid w:val="3987411D"/>
    <w:rsid w:val="39975FC4"/>
    <w:rsid w:val="3A4202B9"/>
    <w:rsid w:val="3AA2598E"/>
    <w:rsid w:val="3AC21556"/>
    <w:rsid w:val="3B031A92"/>
    <w:rsid w:val="3B331C5D"/>
    <w:rsid w:val="3B7F49D8"/>
    <w:rsid w:val="3B8E165F"/>
    <w:rsid w:val="3BB87CE0"/>
    <w:rsid w:val="3C1B51A2"/>
    <w:rsid w:val="3C432323"/>
    <w:rsid w:val="3D314EF7"/>
    <w:rsid w:val="3D5642D8"/>
    <w:rsid w:val="3D881D9E"/>
    <w:rsid w:val="3DA44573"/>
    <w:rsid w:val="3DA546DF"/>
    <w:rsid w:val="3E0A5032"/>
    <w:rsid w:val="3E0F381C"/>
    <w:rsid w:val="3E1A4D54"/>
    <w:rsid w:val="3E566A23"/>
    <w:rsid w:val="3E5A13F5"/>
    <w:rsid w:val="3E5C60F6"/>
    <w:rsid w:val="3EA61292"/>
    <w:rsid w:val="3F9B14FF"/>
    <w:rsid w:val="401D0D3C"/>
    <w:rsid w:val="403B1D31"/>
    <w:rsid w:val="4043388E"/>
    <w:rsid w:val="40642BDA"/>
    <w:rsid w:val="40681C2F"/>
    <w:rsid w:val="40A87C4C"/>
    <w:rsid w:val="40B36C6D"/>
    <w:rsid w:val="40DE01D3"/>
    <w:rsid w:val="40E05378"/>
    <w:rsid w:val="40EA0A7C"/>
    <w:rsid w:val="41207580"/>
    <w:rsid w:val="413E130B"/>
    <w:rsid w:val="4140358B"/>
    <w:rsid w:val="41473EC0"/>
    <w:rsid w:val="41741A4B"/>
    <w:rsid w:val="41910EF4"/>
    <w:rsid w:val="42447797"/>
    <w:rsid w:val="430A0638"/>
    <w:rsid w:val="432C0BED"/>
    <w:rsid w:val="436617A0"/>
    <w:rsid w:val="438751EB"/>
    <w:rsid w:val="43A707B9"/>
    <w:rsid w:val="43D31BF3"/>
    <w:rsid w:val="43E900E6"/>
    <w:rsid w:val="441A65EF"/>
    <w:rsid w:val="44B30B06"/>
    <w:rsid w:val="44B622AB"/>
    <w:rsid w:val="450A1ED3"/>
    <w:rsid w:val="455701AD"/>
    <w:rsid w:val="45594385"/>
    <w:rsid w:val="4575782F"/>
    <w:rsid w:val="45B80B10"/>
    <w:rsid w:val="463052A5"/>
    <w:rsid w:val="46474E82"/>
    <w:rsid w:val="46932E67"/>
    <w:rsid w:val="46965282"/>
    <w:rsid w:val="469D1F08"/>
    <w:rsid w:val="47006F89"/>
    <w:rsid w:val="475F34AA"/>
    <w:rsid w:val="47E64EA2"/>
    <w:rsid w:val="47F9398E"/>
    <w:rsid w:val="47FC10C4"/>
    <w:rsid w:val="48351F39"/>
    <w:rsid w:val="48B01BC1"/>
    <w:rsid w:val="48CB2E13"/>
    <w:rsid w:val="48DC3D5A"/>
    <w:rsid w:val="48E4773E"/>
    <w:rsid w:val="49042BD6"/>
    <w:rsid w:val="49116D9E"/>
    <w:rsid w:val="495C25BC"/>
    <w:rsid w:val="49633B83"/>
    <w:rsid w:val="49716B91"/>
    <w:rsid w:val="498A07C1"/>
    <w:rsid w:val="4A720ED3"/>
    <w:rsid w:val="4AAA551F"/>
    <w:rsid w:val="4AFD2FC8"/>
    <w:rsid w:val="4B485297"/>
    <w:rsid w:val="4B6A2CE1"/>
    <w:rsid w:val="4C23524A"/>
    <w:rsid w:val="4C3A2A54"/>
    <w:rsid w:val="4C4716CB"/>
    <w:rsid w:val="4C97563B"/>
    <w:rsid w:val="4C993541"/>
    <w:rsid w:val="4D5B330A"/>
    <w:rsid w:val="4DB37EEB"/>
    <w:rsid w:val="4DDE1C73"/>
    <w:rsid w:val="4E1E63B6"/>
    <w:rsid w:val="4E46355E"/>
    <w:rsid w:val="4E7D0F68"/>
    <w:rsid w:val="4ECA4881"/>
    <w:rsid w:val="4F2835E5"/>
    <w:rsid w:val="4FAB780F"/>
    <w:rsid w:val="4FAD7E7A"/>
    <w:rsid w:val="4FE1209A"/>
    <w:rsid w:val="50162238"/>
    <w:rsid w:val="503D25FD"/>
    <w:rsid w:val="50696FCB"/>
    <w:rsid w:val="508172CE"/>
    <w:rsid w:val="50940FB8"/>
    <w:rsid w:val="50B5171B"/>
    <w:rsid w:val="50B64B9C"/>
    <w:rsid w:val="50D66319"/>
    <w:rsid w:val="51313ABE"/>
    <w:rsid w:val="51A37B1C"/>
    <w:rsid w:val="525708AA"/>
    <w:rsid w:val="52840357"/>
    <w:rsid w:val="52860390"/>
    <w:rsid w:val="52AF4A7D"/>
    <w:rsid w:val="52C91B5E"/>
    <w:rsid w:val="536D3975"/>
    <w:rsid w:val="53FE31D5"/>
    <w:rsid w:val="54327615"/>
    <w:rsid w:val="543F3556"/>
    <w:rsid w:val="54B36337"/>
    <w:rsid w:val="54D31C15"/>
    <w:rsid w:val="55621DF3"/>
    <w:rsid w:val="557D421F"/>
    <w:rsid w:val="55BE25C3"/>
    <w:rsid w:val="55D12FCF"/>
    <w:rsid w:val="55DD5069"/>
    <w:rsid w:val="55FE3747"/>
    <w:rsid w:val="56011491"/>
    <w:rsid w:val="560F01F0"/>
    <w:rsid w:val="56532A88"/>
    <w:rsid w:val="56BC5A94"/>
    <w:rsid w:val="570814EB"/>
    <w:rsid w:val="57205CDD"/>
    <w:rsid w:val="57275E09"/>
    <w:rsid w:val="572E723D"/>
    <w:rsid w:val="57923D07"/>
    <w:rsid w:val="58E73E58"/>
    <w:rsid w:val="590821C9"/>
    <w:rsid w:val="592337FB"/>
    <w:rsid w:val="593238C0"/>
    <w:rsid w:val="59DC17E4"/>
    <w:rsid w:val="5A227731"/>
    <w:rsid w:val="5AD07D0C"/>
    <w:rsid w:val="5AD27342"/>
    <w:rsid w:val="5B96439B"/>
    <w:rsid w:val="5BC72CF8"/>
    <w:rsid w:val="5BC74AA2"/>
    <w:rsid w:val="5C0C0945"/>
    <w:rsid w:val="5CBA1D36"/>
    <w:rsid w:val="5D5977A1"/>
    <w:rsid w:val="5D7B134F"/>
    <w:rsid w:val="5DC15C3A"/>
    <w:rsid w:val="5DD92146"/>
    <w:rsid w:val="5E403523"/>
    <w:rsid w:val="5EC10C4D"/>
    <w:rsid w:val="5EC7722B"/>
    <w:rsid w:val="5ECC02B4"/>
    <w:rsid w:val="5EE1203F"/>
    <w:rsid w:val="5FA01FBC"/>
    <w:rsid w:val="5FC33FAE"/>
    <w:rsid w:val="600252B9"/>
    <w:rsid w:val="60A501F9"/>
    <w:rsid w:val="60E10F1B"/>
    <w:rsid w:val="611564F4"/>
    <w:rsid w:val="61611EF8"/>
    <w:rsid w:val="6172529F"/>
    <w:rsid w:val="62B75761"/>
    <w:rsid w:val="632416CC"/>
    <w:rsid w:val="636950E6"/>
    <w:rsid w:val="63A108D4"/>
    <w:rsid w:val="63DE4B88"/>
    <w:rsid w:val="6406261F"/>
    <w:rsid w:val="642C64E4"/>
    <w:rsid w:val="6454411A"/>
    <w:rsid w:val="646E31E4"/>
    <w:rsid w:val="64B16FDA"/>
    <w:rsid w:val="64E244C9"/>
    <w:rsid w:val="64F60FCB"/>
    <w:rsid w:val="6515131C"/>
    <w:rsid w:val="65191BCD"/>
    <w:rsid w:val="65472D25"/>
    <w:rsid w:val="65475FBA"/>
    <w:rsid w:val="659B7A75"/>
    <w:rsid w:val="65A37184"/>
    <w:rsid w:val="65FD2FCD"/>
    <w:rsid w:val="664E34EF"/>
    <w:rsid w:val="664F24B1"/>
    <w:rsid w:val="665852E8"/>
    <w:rsid w:val="66C0263F"/>
    <w:rsid w:val="670E3D4A"/>
    <w:rsid w:val="671C7FF3"/>
    <w:rsid w:val="676844CA"/>
    <w:rsid w:val="6776691A"/>
    <w:rsid w:val="67AC5477"/>
    <w:rsid w:val="67C341C1"/>
    <w:rsid w:val="67E438BB"/>
    <w:rsid w:val="68307470"/>
    <w:rsid w:val="68557648"/>
    <w:rsid w:val="68C87588"/>
    <w:rsid w:val="69004F74"/>
    <w:rsid w:val="694C0160"/>
    <w:rsid w:val="695A4F5F"/>
    <w:rsid w:val="6971713A"/>
    <w:rsid w:val="69835C41"/>
    <w:rsid w:val="69932337"/>
    <w:rsid w:val="69B61D15"/>
    <w:rsid w:val="69BA1D36"/>
    <w:rsid w:val="69FF09EF"/>
    <w:rsid w:val="6A5C0BD8"/>
    <w:rsid w:val="6A665EED"/>
    <w:rsid w:val="6ACA6D9F"/>
    <w:rsid w:val="6ACD49BD"/>
    <w:rsid w:val="6ACF76D3"/>
    <w:rsid w:val="6AD61710"/>
    <w:rsid w:val="6AEC2B49"/>
    <w:rsid w:val="6B795473"/>
    <w:rsid w:val="6B9D2F4E"/>
    <w:rsid w:val="6BFE1165"/>
    <w:rsid w:val="6C110971"/>
    <w:rsid w:val="6C294876"/>
    <w:rsid w:val="6C3B1BBD"/>
    <w:rsid w:val="6C497B77"/>
    <w:rsid w:val="6D0903E5"/>
    <w:rsid w:val="6D265E4F"/>
    <w:rsid w:val="6D65445D"/>
    <w:rsid w:val="6D817D20"/>
    <w:rsid w:val="6DDE43FC"/>
    <w:rsid w:val="6EBF28A3"/>
    <w:rsid w:val="6EDD656C"/>
    <w:rsid w:val="6F352984"/>
    <w:rsid w:val="6F8E73A4"/>
    <w:rsid w:val="6FA14BAD"/>
    <w:rsid w:val="6FA53640"/>
    <w:rsid w:val="6FA71AF6"/>
    <w:rsid w:val="6FBC4094"/>
    <w:rsid w:val="6FBE51E7"/>
    <w:rsid w:val="702A4364"/>
    <w:rsid w:val="70725F57"/>
    <w:rsid w:val="70C469AD"/>
    <w:rsid w:val="70CA368A"/>
    <w:rsid w:val="71830D72"/>
    <w:rsid w:val="71C90F47"/>
    <w:rsid w:val="726A58E9"/>
    <w:rsid w:val="72811476"/>
    <w:rsid w:val="72EF5B71"/>
    <w:rsid w:val="730120A3"/>
    <w:rsid w:val="737730F3"/>
    <w:rsid w:val="7386343C"/>
    <w:rsid w:val="73984F26"/>
    <w:rsid w:val="739F06FE"/>
    <w:rsid w:val="73AC19D0"/>
    <w:rsid w:val="73DE390B"/>
    <w:rsid w:val="744524B7"/>
    <w:rsid w:val="747024CA"/>
    <w:rsid w:val="74A07EBB"/>
    <w:rsid w:val="74F83AED"/>
    <w:rsid w:val="755A6C4B"/>
    <w:rsid w:val="757A71B6"/>
    <w:rsid w:val="759E2859"/>
    <w:rsid w:val="75B111E7"/>
    <w:rsid w:val="75B72B63"/>
    <w:rsid w:val="75B93215"/>
    <w:rsid w:val="75D45505"/>
    <w:rsid w:val="76026018"/>
    <w:rsid w:val="761A6610"/>
    <w:rsid w:val="762662D3"/>
    <w:rsid w:val="766F4097"/>
    <w:rsid w:val="767D67ED"/>
    <w:rsid w:val="76A246B4"/>
    <w:rsid w:val="77305730"/>
    <w:rsid w:val="77C27165"/>
    <w:rsid w:val="77C979BF"/>
    <w:rsid w:val="7821759F"/>
    <w:rsid w:val="78311672"/>
    <w:rsid w:val="789C424F"/>
    <w:rsid w:val="78A34067"/>
    <w:rsid w:val="790A7C38"/>
    <w:rsid w:val="796E1F71"/>
    <w:rsid w:val="79A008F2"/>
    <w:rsid w:val="79CA7E01"/>
    <w:rsid w:val="79EF7A04"/>
    <w:rsid w:val="7A7C37CB"/>
    <w:rsid w:val="7A8F3B17"/>
    <w:rsid w:val="7ACA2D59"/>
    <w:rsid w:val="7B116B6D"/>
    <w:rsid w:val="7B415718"/>
    <w:rsid w:val="7B524CE5"/>
    <w:rsid w:val="7B8330AA"/>
    <w:rsid w:val="7BE133F4"/>
    <w:rsid w:val="7BE2491E"/>
    <w:rsid w:val="7C440D70"/>
    <w:rsid w:val="7D2545FC"/>
    <w:rsid w:val="7D854094"/>
    <w:rsid w:val="7DC84746"/>
    <w:rsid w:val="7E286272"/>
    <w:rsid w:val="7E450072"/>
    <w:rsid w:val="7E613055"/>
    <w:rsid w:val="7EBB63E6"/>
    <w:rsid w:val="7F3C175A"/>
    <w:rsid w:val="7F4E54AD"/>
    <w:rsid w:val="7F6B716A"/>
    <w:rsid w:val="7F8D7A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00" w:lineRule="atLeast"/>
      <w:jc w:val="both"/>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spacing w:line="360" w:lineRule="auto"/>
      <w:jc w:val="center"/>
      <w:outlineLvl w:val="0"/>
    </w:pPr>
    <w:rPr>
      <w:rFonts w:ascii="仿宋_GB2312" w:hAnsi="华文中宋" w:eastAsia="黑体" w:cs="宋体"/>
      <w:sz w:val="32"/>
    </w:rPr>
  </w:style>
  <w:style w:type="paragraph" w:styleId="3">
    <w:name w:val="heading 2"/>
    <w:basedOn w:val="1"/>
    <w:next w:val="1"/>
    <w:link w:val="82"/>
    <w:qFormat/>
    <w:uiPriority w:val="0"/>
    <w:pPr>
      <w:keepNext/>
      <w:keepLines/>
      <w:spacing w:before="260" w:after="260" w:line="416" w:lineRule="atLeast"/>
      <w:outlineLvl w:val="1"/>
    </w:pPr>
    <w:rPr>
      <w:rFonts w:ascii="Arial" w:hAnsi="Arial" w:eastAsia="黑体"/>
      <w:bCs/>
      <w:sz w:val="28"/>
      <w:szCs w:val="32"/>
    </w:rPr>
  </w:style>
  <w:style w:type="paragraph" w:styleId="4">
    <w:name w:val="heading 3"/>
    <w:basedOn w:val="1"/>
    <w:next w:val="1"/>
    <w:qFormat/>
    <w:uiPriority w:val="0"/>
    <w:pPr>
      <w:widowControl/>
      <w:adjustRightInd/>
      <w:spacing w:before="100" w:beforeAutospacing="1" w:after="100" w:afterAutospacing="1" w:line="240" w:lineRule="auto"/>
      <w:jc w:val="left"/>
      <w:outlineLvl w:val="2"/>
    </w:pPr>
    <w:rPr>
      <w:rFonts w:ascii="宋体" w:hAnsi="宋体" w:cs="宋体"/>
      <w:b/>
      <w:bCs/>
      <w:sz w:val="27"/>
      <w:szCs w:val="27"/>
    </w:rPr>
  </w:style>
  <w:style w:type="character" w:default="1" w:styleId="23">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Body Text"/>
    <w:basedOn w:val="1"/>
    <w:qFormat/>
    <w:uiPriority w:val="0"/>
    <w:pPr>
      <w:adjustRightInd/>
      <w:spacing w:line="240" w:lineRule="auto"/>
    </w:pPr>
    <w:rPr>
      <w:kern w:val="2"/>
      <w:sz w:val="28"/>
    </w:rPr>
  </w:style>
  <w:style w:type="paragraph" w:styleId="7">
    <w:name w:val="Body Text Indent"/>
    <w:basedOn w:val="1"/>
    <w:qFormat/>
    <w:uiPriority w:val="0"/>
    <w:pPr>
      <w:spacing w:line="360" w:lineRule="auto"/>
      <w:ind w:firstLine="540"/>
    </w:pPr>
    <w:rPr>
      <w:rFonts w:ascii="仿宋_GB2312" w:eastAsia="仿宋_GB2312"/>
      <w:sz w:val="28"/>
    </w:rPr>
  </w:style>
  <w:style w:type="paragraph" w:styleId="8">
    <w:name w:val="toc 3"/>
    <w:basedOn w:val="1"/>
    <w:next w:val="1"/>
    <w:unhideWhenUsed/>
    <w:qFormat/>
    <w:uiPriority w:val="39"/>
    <w:pPr>
      <w:widowControl/>
      <w:adjustRightInd/>
      <w:spacing w:after="100" w:line="276" w:lineRule="auto"/>
      <w:ind w:left="440"/>
      <w:jc w:val="left"/>
    </w:pPr>
    <w:rPr>
      <w:rFonts w:ascii="Calibri" w:hAnsi="Calibri"/>
      <w:sz w:val="22"/>
      <w:szCs w:val="22"/>
    </w:rPr>
  </w:style>
  <w:style w:type="paragraph" w:styleId="9">
    <w:name w:val="Plain Text"/>
    <w:basedOn w:val="1"/>
    <w:link w:val="78"/>
    <w:qFormat/>
    <w:uiPriority w:val="0"/>
    <w:pPr>
      <w:adjustRightInd/>
      <w:spacing w:line="240" w:lineRule="auto"/>
    </w:pPr>
    <w:rPr>
      <w:rFonts w:ascii="宋体" w:hAnsi="Courier New"/>
      <w:kern w:val="2"/>
    </w:rPr>
  </w:style>
  <w:style w:type="paragraph" w:styleId="10">
    <w:name w:val="Date"/>
    <w:basedOn w:val="1"/>
    <w:next w:val="1"/>
    <w:qFormat/>
    <w:uiPriority w:val="0"/>
    <w:pPr>
      <w:spacing w:line="312" w:lineRule="atLeast"/>
      <w:jc w:val="right"/>
    </w:pPr>
    <w:rPr>
      <w:rFonts w:ascii="仿宋_GB2312" w:eastAsia="仿宋_GB2312"/>
      <w:spacing w:val="40"/>
      <w:kern w:val="32"/>
      <w:sz w:val="28"/>
    </w:rPr>
  </w:style>
  <w:style w:type="paragraph" w:styleId="11">
    <w:name w:val="Body Text Indent 2"/>
    <w:basedOn w:val="1"/>
    <w:qFormat/>
    <w:uiPriority w:val="0"/>
    <w:pPr>
      <w:adjustRightInd/>
      <w:spacing w:line="540" w:lineRule="exact"/>
      <w:ind w:firstLine="432"/>
    </w:pPr>
    <w:rPr>
      <w:spacing w:val="16"/>
      <w:kern w:val="2"/>
      <w:sz w:val="24"/>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pacing w:line="240" w:lineRule="atLeast"/>
      <w:jc w:val="left"/>
    </w:pPr>
    <w:rPr>
      <w:sz w:val="18"/>
    </w:rPr>
  </w:style>
  <w:style w:type="paragraph" w:styleId="14">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5">
    <w:name w:val="toc 1"/>
    <w:basedOn w:val="1"/>
    <w:next w:val="1"/>
    <w:qFormat/>
    <w:uiPriority w:val="39"/>
  </w:style>
  <w:style w:type="paragraph" w:styleId="16">
    <w:name w:val="Body Text Indent 3"/>
    <w:basedOn w:val="1"/>
    <w:qFormat/>
    <w:uiPriority w:val="0"/>
    <w:pPr>
      <w:spacing w:after="120" w:line="312" w:lineRule="atLeast"/>
      <w:ind w:left="420" w:leftChars="200"/>
    </w:pPr>
    <w:rPr>
      <w:sz w:val="16"/>
      <w:szCs w:val="16"/>
    </w:rPr>
  </w:style>
  <w:style w:type="paragraph" w:styleId="17">
    <w:name w:val="toc 2"/>
    <w:basedOn w:val="1"/>
    <w:next w:val="1"/>
    <w:qFormat/>
    <w:uiPriority w:val="39"/>
    <w:pPr>
      <w:ind w:left="420" w:leftChars="200"/>
    </w:pPr>
  </w:style>
  <w:style w:type="paragraph" w:styleId="18">
    <w:name w:val="Normal (Web)"/>
    <w:basedOn w:val="1"/>
    <w:qFormat/>
    <w:uiPriority w:val="0"/>
    <w:pPr>
      <w:widowControl/>
      <w:adjustRightInd/>
      <w:spacing w:before="100" w:beforeAutospacing="1" w:after="100" w:afterAutospacing="1" w:line="240" w:lineRule="auto"/>
      <w:jc w:val="left"/>
    </w:pPr>
    <w:rPr>
      <w:rFonts w:ascii="宋体" w:hAnsi="宋体"/>
      <w:sz w:val="24"/>
      <w:szCs w:val="24"/>
    </w:rPr>
  </w:style>
  <w:style w:type="table" w:styleId="20">
    <w:name w:val="Table Grid"/>
    <w:basedOn w:val="19"/>
    <w:qFormat/>
    <w:uiPriority w:val="0"/>
    <w:pPr>
      <w:widowControl w:val="0"/>
      <w:adjustRightInd w:val="0"/>
      <w:spacing w:line="31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Theme"/>
    <w:basedOn w:val="19"/>
    <w:qFormat/>
    <w:uiPriority w:val="0"/>
    <w:pPr>
      <w:widowControl w:val="0"/>
      <w:adjustRightInd w:val="0"/>
      <w:spacing w:line="50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2">
    <w:name w:val="Table Classic 1"/>
    <w:basedOn w:val="19"/>
    <w:qFormat/>
    <w:uiPriority w:val="0"/>
    <w:pPr>
      <w:widowControl w:val="0"/>
      <w:adjustRightInd w:val="0"/>
      <w:spacing w:line="500" w:lineRule="atLeast"/>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24">
    <w:name w:val="Strong"/>
    <w:qFormat/>
    <w:uiPriority w:val="0"/>
    <w:rPr>
      <w:b/>
      <w:bCs/>
    </w:rPr>
  </w:style>
  <w:style w:type="character" w:styleId="25">
    <w:name w:val="page number"/>
    <w:qFormat/>
    <w:uiPriority w:val="0"/>
    <w:rPr>
      <w:rFonts w:hint="eastAsia" w:ascii="宋体" w:hAnsi="宋体" w:eastAsia="宋体"/>
    </w:rPr>
  </w:style>
  <w:style w:type="character" w:styleId="26">
    <w:name w:val="FollowedHyperlink"/>
    <w:qFormat/>
    <w:uiPriority w:val="0"/>
    <w:rPr>
      <w:color w:val="0000FF"/>
      <w:u w:val="single"/>
    </w:rPr>
  </w:style>
  <w:style w:type="character" w:styleId="27">
    <w:name w:val="Hyperlink"/>
    <w:qFormat/>
    <w:uiPriority w:val="99"/>
    <w:rPr>
      <w:color w:val="0000FF"/>
      <w:u w:val="single"/>
    </w:rPr>
  </w:style>
  <w:style w:type="character" w:customStyle="1" w:styleId="28">
    <w:name w:val="s_地类用途"/>
    <w:basedOn w:val="23"/>
    <w:qFormat/>
    <w:uiPriority w:val="0"/>
  </w:style>
  <w:style w:type="character" w:customStyle="1" w:styleId="29">
    <w:name w:val="r_总价(大写)"/>
    <w:basedOn w:val="23"/>
    <w:qFormat/>
    <w:uiPriority w:val="0"/>
  </w:style>
  <w:style w:type="character" w:customStyle="1" w:styleId="30">
    <w:name w:val="msonormal"/>
    <w:basedOn w:val="23"/>
    <w:qFormat/>
    <w:uiPriority w:val="0"/>
  </w:style>
  <w:style w:type="character" w:customStyle="1" w:styleId="31">
    <w:name w:val="s_用途"/>
    <w:basedOn w:val="23"/>
    <w:qFormat/>
    <w:uiPriority w:val="0"/>
  </w:style>
  <w:style w:type="character" w:customStyle="1" w:styleId="32">
    <w:name w:val="s_土地使用年限"/>
    <w:basedOn w:val="23"/>
    <w:qFormat/>
    <w:uiPriority w:val="0"/>
  </w:style>
  <w:style w:type="character" w:customStyle="1" w:styleId="33">
    <w:name w:val="s_土地等级"/>
    <w:basedOn w:val="23"/>
    <w:qFormat/>
    <w:uiPriority w:val="0"/>
  </w:style>
  <w:style w:type="character" w:customStyle="1" w:styleId="34">
    <w:name w:val="r_短估价目的"/>
    <w:basedOn w:val="23"/>
    <w:qFormat/>
    <w:uiPriority w:val="0"/>
  </w:style>
  <w:style w:type="character" w:customStyle="1" w:styleId="35">
    <w:name w:val="r_报告编号"/>
    <w:basedOn w:val="23"/>
    <w:qFormat/>
    <w:uiPriority w:val="0"/>
  </w:style>
  <w:style w:type="character" w:customStyle="1" w:styleId="36">
    <w:name w:val="despnum"/>
    <w:basedOn w:val="23"/>
    <w:qFormat/>
    <w:uiPriority w:val="0"/>
  </w:style>
  <w:style w:type="character" w:customStyle="1" w:styleId="37">
    <w:name w:val="formuladespnum"/>
    <w:basedOn w:val="23"/>
    <w:qFormat/>
    <w:uiPriority w:val="0"/>
  </w:style>
  <w:style w:type="character" w:customStyle="1" w:styleId="38">
    <w:name w:val="s_土地地号"/>
    <w:basedOn w:val="23"/>
    <w:qFormat/>
    <w:uiPriority w:val="0"/>
  </w:style>
  <w:style w:type="character" w:customStyle="1" w:styleId="39">
    <w:name w:val="s_房屋权证编号"/>
    <w:basedOn w:val="23"/>
    <w:qFormat/>
    <w:uiPriority w:val="0"/>
  </w:style>
  <w:style w:type="character" w:customStyle="1" w:styleId="40">
    <w:name w:val="client1"/>
    <w:basedOn w:val="23"/>
    <w:qFormat/>
    <w:uiPriority w:val="0"/>
  </w:style>
  <w:style w:type="character" w:customStyle="1" w:styleId="41">
    <w:name w:val="appraisers"/>
    <w:basedOn w:val="23"/>
    <w:qFormat/>
    <w:uiPriority w:val="0"/>
  </w:style>
  <w:style w:type="character" w:customStyle="1" w:styleId="42">
    <w:name w:val="r_结束日期(长数字)"/>
    <w:basedOn w:val="23"/>
    <w:qFormat/>
    <w:uiPriority w:val="0"/>
  </w:style>
  <w:style w:type="character" w:customStyle="1" w:styleId="43">
    <w:name w:val="s_土地共同使用人"/>
    <w:basedOn w:val="23"/>
    <w:qFormat/>
    <w:uiPriority w:val="0"/>
  </w:style>
  <w:style w:type="character" w:customStyle="1" w:styleId="44">
    <w:name w:val="s_土地使用权证编号"/>
    <w:basedOn w:val="23"/>
    <w:qFormat/>
    <w:uiPriority w:val="0"/>
  </w:style>
  <w:style w:type="character" w:customStyle="1" w:styleId="45">
    <w:name w:val="v_面积"/>
    <w:basedOn w:val="23"/>
    <w:qFormat/>
    <w:uiPriority w:val="0"/>
  </w:style>
  <w:style w:type="character" w:customStyle="1" w:styleId="46">
    <w:name w:val="casecount"/>
    <w:basedOn w:val="23"/>
    <w:qFormat/>
    <w:uiPriority w:val="0"/>
  </w:style>
  <w:style w:type="character" w:customStyle="1" w:styleId="47">
    <w:name w:val="s_房屋建造年代"/>
    <w:basedOn w:val="23"/>
    <w:qFormat/>
    <w:uiPriority w:val="0"/>
  </w:style>
  <w:style w:type="character" w:customStyle="1" w:styleId="48">
    <w:name w:val="r_结束日期(长)"/>
    <w:basedOn w:val="23"/>
    <w:qFormat/>
    <w:uiPriority w:val="0"/>
  </w:style>
  <w:style w:type="character" w:customStyle="1" w:styleId="49">
    <w:name w:val="r_总价(小写)"/>
    <w:basedOn w:val="23"/>
    <w:qFormat/>
    <w:uiPriority w:val="0"/>
  </w:style>
  <w:style w:type="character" w:customStyle="1" w:styleId="50">
    <w:name w:val="s_地址"/>
    <w:basedOn w:val="23"/>
    <w:qFormat/>
    <w:uiPriority w:val="0"/>
  </w:style>
  <w:style w:type="character" w:customStyle="1" w:styleId="51">
    <w:name w:val="s_单价(小写)"/>
    <w:basedOn w:val="23"/>
    <w:qFormat/>
    <w:uiPriority w:val="0"/>
  </w:style>
  <w:style w:type="character" w:customStyle="1" w:styleId="52">
    <w:name w:val="casenames"/>
    <w:basedOn w:val="23"/>
    <w:qFormat/>
    <w:uiPriority w:val="0"/>
  </w:style>
  <w:style w:type="character" w:customStyle="1" w:styleId="53">
    <w:name w:val="s_房屋丘地号"/>
    <w:basedOn w:val="23"/>
    <w:qFormat/>
    <w:uiPriority w:val="0"/>
  </w:style>
  <w:style w:type="character" w:customStyle="1" w:styleId="54">
    <w:name w:val="v_面积汇总的市场比较法总价"/>
    <w:basedOn w:val="23"/>
    <w:qFormat/>
    <w:uiPriority w:val="0"/>
  </w:style>
  <w:style w:type="character" w:customStyle="1" w:styleId="55">
    <w:name w:val="s_房屋共有权人"/>
    <w:basedOn w:val="23"/>
    <w:qFormat/>
    <w:uiPriority w:val="0"/>
  </w:style>
  <w:style w:type="character" w:customStyle="1" w:styleId="56">
    <w:name w:val="s_土地使用权人"/>
    <w:basedOn w:val="23"/>
    <w:qFormat/>
    <w:uiPriority w:val="0"/>
  </w:style>
  <w:style w:type="character" w:customStyle="1" w:styleId="57">
    <w:name w:val="r_开始日期(长数字)"/>
    <w:basedOn w:val="23"/>
    <w:qFormat/>
    <w:uiPriority w:val="0"/>
  </w:style>
  <w:style w:type="character" w:customStyle="1" w:styleId="58">
    <w:name w:val="s_建筑面积"/>
    <w:basedOn w:val="23"/>
    <w:qFormat/>
    <w:uiPriority w:val="0"/>
  </w:style>
  <w:style w:type="character" w:customStyle="1" w:styleId="59">
    <w:name w:val="r_估价期日(长数字)"/>
    <w:basedOn w:val="23"/>
    <w:qFormat/>
    <w:uiPriority w:val="0"/>
  </w:style>
  <w:style w:type="character" w:customStyle="1" w:styleId="60">
    <w:name w:val="s_房屋共有权证号"/>
    <w:basedOn w:val="23"/>
    <w:qFormat/>
    <w:uiPriority w:val="0"/>
  </w:style>
  <w:style w:type="character" w:customStyle="1" w:styleId="61">
    <w:name w:val="s_房屋所有权人"/>
    <w:basedOn w:val="23"/>
    <w:qFormat/>
    <w:uiPriority w:val="0"/>
  </w:style>
  <w:style w:type="character" w:customStyle="1" w:styleId="62">
    <w:name w:val="s_抵押状况"/>
    <w:basedOn w:val="23"/>
    <w:qFormat/>
    <w:uiPriority w:val="0"/>
  </w:style>
  <w:style w:type="character" w:customStyle="1" w:styleId="63">
    <w:name w:val="s_房屋楼层"/>
    <w:basedOn w:val="23"/>
    <w:qFormat/>
    <w:uiPriority w:val="0"/>
  </w:style>
  <w:style w:type="character" w:customStyle="1" w:styleId="64">
    <w:name w:val="s_房屋结构"/>
    <w:basedOn w:val="23"/>
    <w:qFormat/>
    <w:uiPriority w:val="0"/>
  </w:style>
  <w:style w:type="character" w:customStyle="1" w:styleId="65">
    <w:name w:val="s_用地面积"/>
    <w:basedOn w:val="23"/>
    <w:qFormat/>
    <w:uiPriority w:val="0"/>
  </w:style>
  <w:style w:type="character" w:customStyle="1" w:styleId="66">
    <w:name w:val="basefactorname"/>
    <w:basedOn w:val="23"/>
    <w:qFormat/>
    <w:uiPriority w:val="0"/>
  </w:style>
  <w:style w:type="character" w:customStyle="1" w:styleId="67">
    <w:name w:val="regionfactorname"/>
    <w:basedOn w:val="23"/>
    <w:qFormat/>
    <w:uiPriority w:val="0"/>
  </w:style>
  <w:style w:type="character" w:customStyle="1" w:styleId="68">
    <w:name w:val="specialfactorname"/>
    <w:basedOn w:val="23"/>
    <w:qFormat/>
    <w:uiPriority w:val="0"/>
  </w:style>
  <w:style w:type="character" w:customStyle="1" w:styleId="69">
    <w:name w:val="v_单价"/>
    <w:basedOn w:val="23"/>
    <w:qFormat/>
    <w:uiPriority w:val="0"/>
  </w:style>
  <w:style w:type="paragraph" w:customStyle="1" w:styleId="70">
    <w:name w:val="Char"/>
    <w:basedOn w:val="1"/>
    <w:qFormat/>
    <w:uiPriority w:val="0"/>
    <w:pPr>
      <w:numPr>
        <w:ilvl w:val="0"/>
        <w:numId w:val="1"/>
      </w:numPr>
      <w:adjustRightInd/>
      <w:spacing w:line="240" w:lineRule="auto"/>
    </w:pPr>
    <w:rPr>
      <w:kern w:val="2"/>
      <w:sz w:val="24"/>
      <w:szCs w:val="24"/>
    </w:rPr>
  </w:style>
  <w:style w:type="paragraph" w:customStyle="1" w:styleId="71">
    <w:name w:val="p0"/>
    <w:basedOn w:val="1"/>
    <w:qFormat/>
    <w:uiPriority w:val="0"/>
    <w:pPr>
      <w:widowControl/>
      <w:adjustRightInd/>
      <w:spacing w:before="100" w:beforeAutospacing="1" w:after="100" w:afterAutospacing="1" w:line="240" w:lineRule="auto"/>
      <w:jc w:val="left"/>
    </w:pPr>
    <w:rPr>
      <w:rFonts w:ascii="宋体" w:hAnsi="宋体" w:cs="宋体"/>
      <w:sz w:val="24"/>
      <w:szCs w:val="24"/>
    </w:rPr>
  </w:style>
  <w:style w:type="paragraph" w:customStyle="1" w:styleId="72">
    <w:name w:val="style1"/>
    <w:basedOn w:val="1"/>
    <w:qFormat/>
    <w:uiPriority w:val="0"/>
    <w:pPr>
      <w:widowControl/>
      <w:shd w:val="clear" w:color="auto" w:fill="FFFF00"/>
      <w:adjustRightInd/>
      <w:spacing w:before="100" w:beforeAutospacing="1" w:after="100" w:afterAutospacing="1" w:line="240" w:lineRule="auto"/>
      <w:jc w:val="left"/>
    </w:pPr>
    <w:rPr>
      <w:rFonts w:ascii="宋体" w:hAnsi="宋体"/>
      <w:sz w:val="24"/>
      <w:szCs w:val="24"/>
    </w:rPr>
  </w:style>
  <w:style w:type="paragraph" w:customStyle="1" w:styleId="73">
    <w:name w:val="公司名"/>
    <w:basedOn w:val="1"/>
    <w:qFormat/>
    <w:uiPriority w:val="0"/>
    <w:pPr>
      <w:keepNext/>
      <w:keepLines/>
      <w:widowControl/>
      <w:adjustRightInd/>
      <w:spacing w:line="220" w:lineRule="atLeast"/>
      <w:ind w:left="1080"/>
      <w:jc w:val="left"/>
    </w:pPr>
    <w:rPr>
      <w:spacing w:val="-30"/>
      <w:kern w:val="28"/>
      <w:sz w:val="60"/>
    </w:rPr>
  </w:style>
  <w:style w:type="paragraph" w:customStyle="1" w:styleId="74">
    <w:name w:val="副题目 – 封页"/>
    <w:basedOn w:val="1"/>
    <w:next w:val="6"/>
    <w:qFormat/>
    <w:uiPriority w:val="0"/>
    <w:pPr>
      <w:keepNext/>
      <w:keepLines/>
      <w:widowControl/>
      <w:tabs>
        <w:tab w:val="left" w:pos="8260"/>
      </w:tabs>
      <w:adjustRightInd/>
      <w:spacing w:before="240" w:after="240" w:line="460" w:lineRule="exact"/>
      <w:ind w:right="45"/>
      <w:jc w:val="center"/>
    </w:pPr>
    <w:rPr>
      <w:rFonts w:ascii="宋体" w:hAnsi="Arial"/>
      <w:b/>
      <w:spacing w:val="20"/>
      <w:kern w:val="72"/>
      <w:sz w:val="52"/>
    </w:rPr>
  </w:style>
  <w:style w:type="paragraph" w:customStyle="1" w:styleId="75">
    <w:name w:val="标准"/>
    <w:basedOn w:val="1"/>
    <w:qFormat/>
    <w:uiPriority w:val="0"/>
    <w:pPr>
      <w:spacing w:line="360" w:lineRule="auto"/>
      <w:ind w:left="360" w:hanging="360"/>
      <w:jc w:val="distribute"/>
    </w:pPr>
    <w:rPr>
      <w:rFonts w:ascii="仿宋_GB2312" w:eastAsia="仿宋_GB2312"/>
      <w:sz w:val="28"/>
    </w:rPr>
  </w:style>
  <w:style w:type="paragraph" w:customStyle="1" w:styleId="76">
    <w:name w:val="Char_0"/>
    <w:basedOn w:val="1"/>
    <w:qFormat/>
    <w:uiPriority w:val="0"/>
    <w:pPr>
      <w:tabs>
        <w:tab w:val="left" w:pos="360"/>
      </w:tabs>
      <w:adjustRightInd/>
      <w:spacing w:line="240" w:lineRule="auto"/>
    </w:pPr>
    <w:rPr>
      <w:kern w:val="2"/>
      <w:sz w:val="24"/>
      <w:szCs w:val="24"/>
    </w:rPr>
  </w:style>
  <w:style w:type="paragraph" w:customStyle="1" w:styleId="77">
    <w:name w:val="报告正文"/>
    <w:basedOn w:val="1"/>
    <w:qFormat/>
    <w:uiPriority w:val="0"/>
    <w:pPr>
      <w:adjustRightInd/>
      <w:ind w:firstLine="567"/>
    </w:pPr>
    <w:rPr>
      <w:rFonts w:hint="eastAsia" w:ascii="仿宋_GB2312" w:hAnsi="Courier New" w:eastAsia="仿宋_GB2312"/>
      <w:kern w:val="2"/>
      <w:sz w:val="28"/>
    </w:rPr>
  </w:style>
  <w:style w:type="character" w:customStyle="1" w:styleId="78">
    <w:name w:val="纯文本 Char"/>
    <w:link w:val="9"/>
    <w:qFormat/>
    <w:uiPriority w:val="0"/>
    <w:rPr>
      <w:rFonts w:ascii="宋体" w:hAnsi="Courier New"/>
      <w:kern w:val="2"/>
      <w:sz w:val="21"/>
    </w:rPr>
  </w:style>
  <w:style w:type="paragraph" w:customStyle="1" w:styleId="79">
    <w:name w:val="TOC Heading"/>
    <w:basedOn w:val="2"/>
    <w:next w:val="1"/>
    <w:semiHidden/>
    <w:unhideWhenUsed/>
    <w:qFormat/>
    <w:uiPriority w:val="39"/>
    <w:pPr>
      <w:keepLines/>
      <w:widowControl/>
      <w:adjustRightInd/>
      <w:spacing w:before="480" w:line="276" w:lineRule="auto"/>
      <w:jc w:val="left"/>
      <w:outlineLvl w:val="9"/>
    </w:pPr>
    <w:rPr>
      <w:rFonts w:ascii="Cambria" w:hAnsi="Cambria" w:eastAsia="宋体" w:cs="Times New Roman"/>
      <w:b/>
      <w:bCs/>
      <w:color w:val="365F91"/>
      <w:szCs w:val="28"/>
    </w:rPr>
  </w:style>
  <w:style w:type="paragraph" w:customStyle="1" w:styleId="80">
    <w:name w:val="Char_1"/>
    <w:basedOn w:val="1"/>
    <w:qFormat/>
    <w:uiPriority w:val="0"/>
    <w:pPr>
      <w:tabs>
        <w:tab w:val="left" w:pos="1275"/>
      </w:tabs>
      <w:adjustRightInd/>
      <w:spacing w:line="240" w:lineRule="auto"/>
      <w:ind w:left="1275" w:hanging="720"/>
    </w:pPr>
    <w:rPr>
      <w:kern w:val="2"/>
      <w:sz w:val="24"/>
      <w:szCs w:val="24"/>
    </w:rPr>
  </w:style>
  <w:style w:type="paragraph" w:styleId="81">
    <w:name w:val="List Paragraph"/>
    <w:basedOn w:val="1"/>
    <w:qFormat/>
    <w:uiPriority w:val="34"/>
    <w:pPr>
      <w:ind w:firstLine="420" w:firstLineChars="200"/>
    </w:pPr>
  </w:style>
  <w:style w:type="character" w:customStyle="1" w:styleId="82">
    <w:name w:val="标题 2 Char"/>
    <w:basedOn w:val="23"/>
    <w:link w:val="3"/>
    <w:qFormat/>
    <w:uiPriority w:val="0"/>
    <w:rPr>
      <w:rFonts w:ascii="Arial" w:hAnsi="Arial" w:eastAsia="黑体"/>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BC9A1-AB9C-482C-8E09-49C8611FFAFF}">
  <ds:schemaRefs/>
</ds:datastoreItem>
</file>

<file path=docProps/app.xml><?xml version="1.0" encoding="utf-8"?>
<Properties xmlns="http://schemas.openxmlformats.org/officeDocument/2006/extended-properties" xmlns:vt="http://schemas.openxmlformats.org/officeDocument/2006/docPropsVTypes">
  <Template>Normal.dotm</Template>
  <Company>hj</Company>
  <Pages>15</Pages>
  <Words>6158</Words>
  <Characters>6688</Characters>
  <Lines>336</Lines>
  <Paragraphs>411</Paragraphs>
  <TotalTime>10</TotalTime>
  <ScaleCrop>false</ScaleCrop>
  <LinksUpToDate>false</LinksUpToDate>
  <CharactersWithSpaces>6812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2021-07-09T06:20:00Z</dcterms:created>
  <dc:creator>zx</dc:creator>
  <cp:lastModifiedBy>Administrator</cp:lastModifiedBy>
  <cp:lastPrinted>2022-06-29T06:20:00Z</cp:lastPrinted>
  <dcterms:modified xsi:type="dcterms:W3CDTF">2022-11-23T08:41:29Z</dcterms:modified>
  <dc:title>房地产评估报告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CD396C39307648FC96FBB1E881467522</vt:lpwstr>
  </property>
</Properties>
</file>