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topLinePunct/>
        <w:adjustRightInd w:val="0"/>
        <w:snapToGrid w:val="0"/>
        <w:spacing w:beforeLines="900"/>
        <w:jc w:val="left"/>
        <w:rPr>
          <w:rFonts w:ascii="微软雅黑" w:hAnsi="微软雅黑" w:eastAsia="微软雅黑" w:cs="微软雅黑"/>
          <w:b/>
          <w:color w:val="auto"/>
          <w:sz w:val="24"/>
          <w:szCs w:val="24"/>
          <w:highlight w:val="none"/>
        </w:rPr>
      </w:pPr>
      <w:bookmarkStart w:id="0" w:name="_Toc437251012"/>
      <w:bookmarkStart w:id="1" w:name="_Toc435110940"/>
      <w:bookmarkStart w:id="2" w:name="_Toc435111749"/>
      <w:bookmarkStart w:id="3" w:name="_Toc435110678"/>
      <w:bookmarkStart w:id="4" w:name="_Toc502073648"/>
      <w:bookmarkStart w:id="5" w:name="_Toc448735641"/>
      <w:bookmarkStart w:id="6" w:name="_Toc435604001"/>
      <w:bookmarkStart w:id="7" w:name="_Toc499892123"/>
      <w:bookmarkStart w:id="8" w:name="_Toc435178263"/>
      <w:bookmarkStart w:id="9" w:name="_Toc528075294"/>
      <w:bookmarkStart w:id="216" w:name="_GoBack"/>
      <w:bookmarkEnd w:id="216"/>
      <w:r>
        <w:rPr>
          <w:color w:val="auto"/>
          <w:highlight w:val="none"/>
        </w:rPr>
        <w:drawing>
          <wp:anchor distT="0" distB="0" distL="114300" distR="114300" simplePos="0" relativeHeight="251662336" behindDoc="0" locked="0" layoutInCell="1" allowOverlap="1">
            <wp:simplePos x="0" y="0"/>
            <wp:positionH relativeFrom="column">
              <wp:posOffset>3661410</wp:posOffset>
            </wp:positionH>
            <wp:positionV relativeFrom="paragraph">
              <wp:posOffset>784225</wp:posOffset>
            </wp:positionV>
            <wp:extent cx="1924050" cy="481330"/>
            <wp:effectExtent l="0" t="0" r="0" b="13970"/>
            <wp:wrapNone/>
            <wp:docPr id="31" name="图片 2" descr="同致横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 descr="同致横标志"/>
                    <pic:cNvPicPr>
                      <a:picLocks noChangeAspect="1" noChangeArrowheads="1"/>
                    </pic:cNvPicPr>
                  </pic:nvPicPr>
                  <pic:blipFill>
                    <a:blip r:embed="rId15" cstate="email"/>
                    <a:srcRect/>
                    <a:stretch>
                      <a:fillRect/>
                    </a:stretch>
                  </pic:blipFill>
                  <pic:spPr>
                    <a:xfrm>
                      <a:off x="0" y="0"/>
                      <a:ext cx="1924050" cy="481330"/>
                    </a:xfrm>
                    <a:prstGeom prst="rect">
                      <a:avLst/>
                    </a:prstGeom>
                    <a:noFill/>
                    <a:ln w="9525">
                      <a:noFill/>
                      <a:miter lim="800000"/>
                      <a:headEnd/>
                      <a:tailEnd/>
                    </a:ln>
                  </pic:spPr>
                </pic:pic>
              </a:graphicData>
            </a:graphic>
          </wp:anchor>
        </w:drawing>
      </w:r>
      <w:r>
        <w:rPr>
          <w:color w:val="auto"/>
          <w:highlight w:val="none"/>
        </w:rPr>
        <w:drawing>
          <wp:anchor distT="0" distB="0" distL="114300" distR="114300" simplePos="0" relativeHeight="251661312" behindDoc="0" locked="0" layoutInCell="1" allowOverlap="1">
            <wp:simplePos x="0" y="0"/>
            <wp:positionH relativeFrom="margin">
              <wp:posOffset>23495</wp:posOffset>
            </wp:positionH>
            <wp:positionV relativeFrom="page">
              <wp:posOffset>1866265</wp:posOffset>
            </wp:positionV>
            <wp:extent cx="1811020" cy="504190"/>
            <wp:effectExtent l="0" t="0" r="17780" b="10160"/>
            <wp:wrapNone/>
            <wp:docPr id="30"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5"/>
                    <pic:cNvPicPr>
                      <a:picLocks noChangeAspect="1" noChangeArrowheads="1"/>
                    </pic:cNvPicPr>
                  </pic:nvPicPr>
                  <pic:blipFill>
                    <a:blip r:embed="rId16" cstate="email"/>
                    <a:srcRect/>
                    <a:stretch>
                      <a:fillRect/>
                    </a:stretch>
                  </pic:blipFill>
                  <pic:spPr>
                    <a:xfrm>
                      <a:off x="0" y="0"/>
                      <a:ext cx="1811020" cy="504190"/>
                    </a:xfrm>
                    <a:prstGeom prst="rect">
                      <a:avLst/>
                    </a:prstGeom>
                    <a:noFill/>
                    <a:ln w="9525">
                      <a:noFill/>
                      <a:miter lim="800000"/>
                      <a:headEnd/>
                      <a:tailEnd/>
                    </a:ln>
                  </pic:spPr>
                </pic:pic>
              </a:graphicData>
            </a:graphic>
          </wp:anchor>
        </w:drawing>
      </w:r>
      <w:r>
        <w:rPr>
          <w:rFonts w:hint="eastAsia" w:ascii="微软雅黑" w:hAnsi="微软雅黑" w:eastAsia="微软雅黑"/>
          <w:b/>
          <w:i/>
          <w:color w:val="auto"/>
          <w:sz w:val="6"/>
          <w:szCs w:val="24"/>
          <w:highlight w:val="none"/>
        </w:rPr>
        <w:t xml:space="preserve">同致地产 同致地产 同致地产 同致地产 同致地产 同致地产 同致地产 同致地产 同致地产 同致地产 同致地产 同致地产 同致地产 同致地产 同致地产 同致地产 同致地产 同致地产 同致地产 同致地产 同致地产 同致地产 同致地产 同致地产 同致地产 同致地产 同致地产 同致地产 同致地产 同致地产 同致地产 同致地产 </w:t>
      </w:r>
    </w:p>
    <w:tbl>
      <w:tblPr>
        <w:tblStyle w:val="43"/>
        <w:tblpPr w:leftFromText="181" w:rightFromText="181" w:vertAnchor="page" w:horzAnchor="page" w:tblpX="2131" w:tblpY="4996"/>
        <w:tblOverlap w:val="never"/>
        <w:tblW w:w="0" w:type="auto"/>
        <w:tblInd w:w="0" w:type="dxa"/>
        <w:tblLayout w:type="autofit"/>
        <w:tblCellMar>
          <w:top w:w="0" w:type="dxa"/>
          <w:left w:w="108" w:type="dxa"/>
          <w:bottom w:w="0" w:type="dxa"/>
          <w:right w:w="108" w:type="dxa"/>
        </w:tblCellMar>
      </w:tblPr>
      <w:tblGrid>
        <w:gridCol w:w="645"/>
        <w:gridCol w:w="6237"/>
      </w:tblGrid>
      <w:tr>
        <w:tblPrEx>
          <w:tblCellMar>
            <w:top w:w="0" w:type="dxa"/>
            <w:left w:w="108" w:type="dxa"/>
            <w:bottom w:w="0" w:type="dxa"/>
            <w:right w:w="108" w:type="dxa"/>
          </w:tblCellMar>
        </w:tblPrEx>
        <w:trPr>
          <w:trHeight w:val="510" w:hRule="atLeast"/>
        </w:trPr>
        <w:tc>
          <w:tcPr>
            <w:tcW w:w="645" w:type="dxa"/>
            <w:tcMar>
              <w:left w:w="0" w:type="dxa"/>
              <w:right w:w="0" w:type="dxa"/>
            </w:tcMar>
            <w:vAlign w:val="center"/>
          </w:tcPr>
          <w:p>
            <w:pPr>
              <w:widowControl/>
              <w:topLinePunct/>
              <w:adjustRightInd w:val="0"/>
              <w:snapToGrid w:val="0"/>
              <w:rPr>
                <w:rFonts w:ascii="微软雅黑" w:hAnsi="微软雅黑" w:eastAsia="微软雅黑" w:cs="微软雅黑"/>
                <w:b/>
                <w:color w:val="auto"/>
                <w:sz w:val="24"/>
                <w:szCs w:val="24"/>
                <w:highlight w:val="none"/>
              </w:rPr>
            </w:pPr>
            <w:r>
              <w:rPr>
                <w:rFonts w:hint="eastAsia" w:ascii="微软雅黑" w:hAnsi="微软雅黑" w:eastAsia="微软雅黑" w:cs="微软雅黑"/>
                <w:b/>
                <w:color w:val="auto"/>
                <w:sz w:val="24"/>
                <w:szCs w:val="24"/>
                <w:highlight w:val="none"/>
              </w:rPr>
              <w:t>——</w:t>
            </w:r>
          </w:p>
        </w:tc>
        <w:tc>
          <w:tcPr>
            <w:tcW w:w="6237" w:type="dxa"/>
            <w:tcMar>
              <w:left w:w="0" w:type="dxa"/>
              <w:right w:w="0" w:type="dxa"/>
            </w:tcMar>
            <w:vAlign w:val="center"/>
          </w:tcPr>
          <w:p>
            <w:pPr>
              <w:widowControl/>
              <w:topLinePunct/>
              <w:adjustRightInd w:val="0"/>
              <w:snapToGrid w:val="0"/>
              <w:rPr>
                <w:rFonts w:ascii="微软雅黑" w:hAnsi="微软雅黑" w:eastAsia="微软雅黑" w:cs="微软雅黑"/>
                <w:b/>
                <w:color w:val="auto"/>
                <w:sz w:val="28"/>
                <w:szCs w:val="28"/>
                <w:highlight w:val="none"/>
              </w:rPr>
            </w:pPr>
            <w:r>
              <w:rPr>
                <w:rFonts w:hint="eastAsia" w:ascii="微软雅黑" w:hAnsi="微软雅黑" w:eastAsia="微软雅黑" w:cs="微软雅黑"/>
                <w:b/>
                <w:color w:val="auto"/>
                <w:sz w:val="28"/>
                <w:szCs w:val="28"/>
                <w:highlight w:val="none"/>
              </w:rPr>
              <w:t>估价报告编号</w:t>
            </w:r>
            <w:r>
              <w:rPr>
                <w:rFonts w:hint="eastAsia" w:ascii="微软雅黑" w:hAnsi="微软雅黑" w:eastAsia="微软雅黑" w:cs="微软雅黑"/>
                <w:color w:val="auto"/>
                <w:sz w:val="28"/>
                <w:szCs w:val="28"/>
                <w:highlight w:val="none"/>
              </w:rPr>
              <w:t>：</w:t>
            </w:r>
          </w:p>
        </w:tc>
      </w:tr>
      <w:tr>
        <w:tblPrEx>
          <w:tblCellMar>
            <w:top w:w="0" w:type="dxa"/>
            <w:left w:w="108" w:type="dxa"/>
            <w:bottom w:w="0" w:type="dxa"/>
            <w:right w:w="108" w:type="dxa"/>
          </w:tblCellMar>
        </w:tblPrEx>
        <w:trPr>
          <w:trHeight w:val="510" w:hRule="atLeast"/>
        </w:trPr>
        <w:tc>
          <w:tcPr>
            <w:tcW w:w="645" w:type="dxa"/>
            <w:tcMar>
              <w:left w:w="0" w:type="dxa"/>
              <w:right w:w="0" w:type="dxa"/>
            </w:tcMar>
            <w:vAlign w:val="center"/>
          </w:tcPr>
          <w:p>
            <w:pPr>
              <w:widowControl/>
              <w:topLinePunct/>
              <w:adjustRightInd w:val="0"/>
              <w:snapToGrid w:val="0"/>
              <w:rPr>
                <w:rFonts w:ascii="微软雅黑" w:hAnsi="微软雅黑" w:eastAsia="微软雅黑" w:cs="微软雅黑"/>
                <w:b/>
                <w:color w:val="auto"/>
                <w:sz w:val="24"/>
                <w:szCs w:val="24"/>
                <w:highlight w:val="none"/>
              </w:rPr>
            </w:pPr>
          </w:p>
        </w:tc>
        <w:tc>
          <w:tcPr>
            <w:tcW w:w="6237" w:type="dxa"/>
            <w:tcMar>
              <w:left w:w="0" w:type="dxa"/>
              <w:right w:w="0" w:type="dxa"/>
            </w:tcMar>
            <w:vAlign w:val="center"/>
          </w:tcPr>
          <w:p>
            <w:pPr>
              <w:widowControl/>
              <w:topLinePunct/>
              <w:adjustRightInd w:val="0"/>
              <w:snapToGrid w:val="0"/>
              <w:rPr>
                <w:rFonts w:ascii="微软雅黑" w:hAnsi="微软雅黑" w:eastAsia="微软雅黑" w:cs="微软雅黑"/>
                <w:b/>
                <w:color w:val="auto"/>
                <w:sz w:val="24"/>
                <w:szCs w:val="24"/>
                <w:highlight w:val="none"/>
              </w:rPr>
            </w:pPr>
            <w:r>
              <w:rPr>
                <w:rFonts w:hint="eastAsia" w:ascii="微软雅黑" w:hAnsi="微软雅黑" w:eastAsia="微软雅黑" w:cs="微软雅黑"/>
                <w:color w:val="auto"/>
                <w:sz w:val="24"/>
                <w:szCs w:val="24"/>
                <w:highlight w:val="none"/>
              </w:rPr>
              <w:t>赣同致【</w:t>
            </w:r>
            <w:r>
              <w:rPr>
                <w:rFonts w:ascii="微软雅黑" w:hAnsi="微软雅黑" w:eastAsia="微软雅黑" w:cs="微软雅黑"/>
                <w:color w:val="auto"/>
                <w:sz w:val="24"/>
                <w:szCs w:val="24"/>
                <w:highlight w:val="none"/>
              </w:rPr>
              <w:t>202</w:t>
            </w:r>
            <w:r>
              <w:rPr>
                <w:rFonts w:hint="eastAsia" w:ascii="微软雅黑" w:hAnsi="微软雅黑" w:eastAsia="微软雅黑" w:cs="微软雅黑"/>
                <w:color w:val="auto"/>
                <w:sz w:val="24"/>
                <w:szCs w:val="24"/>
                <w:highlight w:val="none"/>
              </w:rPr>
              <w:t>2】（吉司）第11027号</w:t>
            </w:r>
          </w:p>
        </w:tc>
      </w:tr>
      <w:tr>
        <w:tblPrEx>
          <w:tblCellMar>
            <w:top w:w="0" w:type="dxa"/>
            <w:left w:w="108" w:type="dxa"/>
            <w:bottom w:w="0" w:type="dxa"/>
            <w:right w:w="108" w:type="dxa"/>
          </w:tblCellMar>
        </w:tblPrEx>
        <w:trPr>
          <w:trHeight w:val="510" w:hRule="atLeast"/>
        </w:trPr>
        <w:tc>
          <w:tcPr>
            <w:tcW w:w="645" w:type="dxa"/>
            <w:tcMar>
              <w:left w:w="0" w:type="dxa"/>
              <w:right w:w="0" w:type="dxa"/>
            </w:tcMar>
            <w:vAlign w:val="center"/>
          </w:tcPr>
          <w:p>
            <w:pPr>
              <w:widowControl/>
              <w:topLinePunct/>
              <w:adjustRightInd w:val="0"/>
              <w:snapToGrid w:val="0"/>
              <w:rPr>
                <w:rFonts w:ascii="微软雅黑" w:hAnsi="微软雅黑" w:eastAsia="微软雅黑" w:cs="微软雅黑"/>
                <w:b/>
                <w:color w:val="auto"/>
                <w:sz w:val="24"/>
                <w:szCs w:val="24"/>
                <w:highlight w:val="none"/>
              </w:rPr>
            </w:pPr>
            <w:r>
              <w:rPr>
                <w:rFonts w:hint="eastAsia" w:ascii="微软雅黑" w:hAnsi="微软雅黑" w:eastAsia="微软雅黑" w:cs="微软雅黑"/>
                <w:b/>
                <w:color w:val="auto"/>
                <w:sz w:val="24"/>
                <w:szCs w:val="24"/>
                <w:highlight w:val="none"/>
              </w:rPr>
              <w:t>——</w:t>
            </w:r>
          </w:p>
        </w:tc>
        <w:tc>
          <w:tcPr>
            <w:tcW w:w="6237" w:type="dxa"/>
            <w:tcMar>
              <w:left w:w="0" w:type="dxa"/>
              <w:right w:w="0" w:type="dxa"/>
            </w:tcMar>
            <w:vAlign w:val="center"/>
          </w:tcPr>
          <w:p>
            <w:pPr>
              <w:widowControl/>
              <w:topLinePunct/>
              <w:adjustRightInd w:val="0"/>
              <w:snapToGrid w:val="0"/>
              <w:rPr>
                <w:rFonts w:ascii="微软雅黑" w:hAnsi="微软雅黑" w:eastAsia="微软雅黑" w:cs="微软雅黑"/>
                <w:b/>
                <w:color w:val="auto"/>
                <w:sz w:val="28"/>
                <w:szCs w:val="28"/>
                <w:highlight w:val="none"/>
              </w:rPr>
            </w:pPr>
            <w:r>
              <w:rPr>
                <w:rFonts w:hint="eastAsia" w:ascii="微软雅黑" w:hAnsi="微软雅黑" w:eastAsia="微软雅黑" w:cs="微软雅黑"/>
                <w:b/>
                <w:color w:val="auto"/>
                <w:sz w:val="28"/>
                <w:szCs w:val="28"/>
                <w:highlight w:val="none"/>
              </w:rPr>
              <w:t>估价项目名称：</w:t>
            </w:r>
          </w:p>
        </w:tc>
      </w:tr>
      <w:tr>
        <w:tblPrEx>
          <w:tblCellMar>
            <w:top w:w="0" w:type="dxa"/>
            <w:left w:w="108" w:type="dxa"/>
            <w:bottom w:w="0" w:type="dxa"/>
            <w:right w:w="108" w:type="dxa"/>
          </w:tblCellMar>
        </w:tblPrEx>
        <w:trPr>
          <w:trHeight w:val="684" w:hRule="atLeast"/>
        </w:trPr>
        <w:tc>
          <w:tcPr>
            <w:tcW w:w="645" w:type="dxa"/>
            <w:tcMar>
              <w:left w:w="0" w:type="dxa"/>
              <w:right w:w="0" w:type="dxa"/>
            </w:tcMar>
            <w:vAlign w:val="center"/>
          </w:tcPr>
          <w:p>
            <w:pPr>
              <w:widowControl/>
              <w:topLinePunct/>
              <w:adjustRightInd w:val="0"/>
              <w:snapToGrid w:val="0"/>
              <w:rPr>
                <w:rFonts w:ascii="微软雅黑" w:hAnsi="微软雅黑" w:eastAsia="微软雅黑" w:cs="微软雅黑"/>
                <w:color w:val="auto"/>
                <w:sz w:val="24"/>
                <w:szCs w:val="24"/>
                <w:highlight w:val="none"/>
              </w:rPr>
            </w:pPr>
          </w:p>
        </w:tc>
        <w:tc>
          <w:tcPr>
            <w:tcW w:w="6237" w:type="dxa"/>
            <w:tcMar>
              <w:left w:w="0" w:type="dxa"/>
              <w:right w:w="0" w:type="dxa"/>
            </w:tcMar>
            <w:vAlign w:val="center"/>
          </w:tcPr>
          <w:p>
            <w:pPr>
              <w:pStyle w:val="13"/>
              <w:rPr>
                <w:rFonts w:ascii="微软雅黑" w:hAnsi="微软雅黑" w:eastAsia="微软雅黑" w:cs="微软雅黑"/>
                <w:color w:val="auto"/>
                <w:sz w:val="24"/>
                <w:szCs w:val="24"/>
                <w:highlight w:val="none"/>
              </w:rPr>
            </w:pPr>
            <w:r>
              <w:rPr>
                <w:rFonts w:hint="eastAsia" w:eastAsia="微软雅黑"/>
                <w:color w:val="auto"/>
                <w:sz w:val="24"/>
                <w:szCs w:val="24"/>
                <w:highlight w:val="none"/>
              </w:rPr>
              <w:t>吉州区长塘镇1-2幢1#-405室房地产市场</w:t>
            </w:r>
            <w:r>
              <w:rPr>
                <w:rFonts w:eastAsia="微软雅黑"/>
                <w:color w:val="auto"/>
                <w:sz w:val="24"/>
                <w:szCs w:val="24"/>
                <w:highlight w:val="none"/>
              </w:rPr>
              <w:t>价值评估</w:t>
            </w:r>
          </w:p>
        </w:tc>
      </w:tr>
      <w:tr>
        <w:tblPrEx>
          <w:tblCellMar>
            <w:top w:w="0" w:type="dxa"/>
            <w:left w:w="108" w:type="dxa"/>
            <w:bottom w:w="0" w:type="dxa"/>
            <w:right w:w="108" w:type="dxa"/>
          </w:tblCellMar>
        </w:tblPrEx>
        <w:trPr>
          <w:trHeight w:val="510" w:hRule="atLeast"/>
        </w:trPr>
        <w:tc>
          <w:tcPr>
            <w:tcW w:w="645" w:type="dxa"/>
            <w:tcMar>
              <w:left w:w="0" w:type="dxa"/>
              <w:right w:w="0" w:type="dxa"/>
            </w:tcMar>
            <w:vAlign w:val="center"/>
          </w:tcPr>
          <w:p>
            <w:pPr>
              <w:widowControl/>
              <w:topLinePunct/>
              <w:adjustRightInd w:val="0"/>
              <w:snapToGrid w:val="0"/>
              <w:rPr>
                <w:rFonts w:ascii="微软雅黑" w:hAnsi="微软雅黑" w:eastAsia="微软雅黑" w:cs="微软雅黑"/>
                <w:b/>
                <w:color w:val="auto"/>
                <w:sz w:val="24"/>
                <w:szCs w:val="24"/>
                <w:highlight w:val="none"/>
              </w:rPr>
            </w:pPr>
            <w:r>
              <w:rPr>
                <w:rFonts w:hint="eastAsia" w:ascii="微软雅黑" w:hAnsi="微软雅黑" w:eastAsia="微软雅黑" w:cs="微软雅黑"/>
                <w:b/>
                <w:color w:val="auto"/>
                <w:sz w:val="24"/>
                <w:szCs w:val="24"/>
                <w:highlight w:val="none"/>
              </w:rPr>
              <w:t>——</w:t>
            </w:r>
          </w:p>
        </w:tc>
        <w:tc>
          <w:tcPr>
            <w:tcW w:w="6237" w:type="dxa"/>
            <w:tcMar>
              <w:left w:w="0" w:type="dxa"/>
              <w:right w:w="0" w:type="dxa"/>
            </w:tcMar>
            <w:vAlign w:val="center"/>
          </w:tcPr>
          <w:p>
            <w:pPr>
              <w:widowControl/>
              <w:topLinePunct/>
              <w:adjustRightInd w:val="0"/>
              <w:snapToGrid w:val="0"/>
              <w:rPr>
                <w:rFonts w:ascii="微软雅黑" w:hAnsi="微软雅黑" w:eastAsia="微软雅黑" w:cs="微软雅黑"/>
                <w:b/>
                <w:color w:val="auto"/>
                <w:sz w:val="28"/>
                <w:szCs w:val="28"/>
                <w:highlight w:val="none"/>
              </w:rPr>
            </w:pPr>
            <w:r>
              <w:rPr>
                <w:rFonts w:hint="eastAsia" w:ascii="微软雅黑" w:hAnsi="微软雅黑" w:eastAsia="微软雅黑" w:cs="微软雅黑"/>
                <w:b/>
                <w:color w:val="auto"/>
                <w:sz w:val="28"/>
                <w:szCs w:val="28"/>
                <w:highlight w:val="none"/>
              </w:rPr>
              <w:t>估价委托人：</w:t>
            </w:r>
          </w:p>
        </w:tc>
      </w:tr>
      <w:tr>
        <w:tblPrEx>
          <w:tblCellMar>
            <w:top w:w="0" w:type="dxa"/>
            <w:left w:w="108" w:type="dxa"/>
            <w:bottom w:w="0" w:type="dxa"/>
            <w:right w:w="108" w:type="dxa"/>
          </w:tblCellMar>
        </w:tblPrEx>
        <w:trPr>
          <w:trHeight w:val="510" w:hRule="atLeast"/>
        </w:trPr>
        <w:tc>
          <w:tcPr>
            <w:tcW w:w="645" w:type="dxa"/>
            <w:tcMar>
              <w:left w:w="0" w:type="dxa"/>
              <w:right w:w="0" w:type="dxa"/>
            </w:tcMar>
            <w:vAlign w:val="center"/>
          </w:tcPr>
          <w:p>
            <w:pPr>
              <w:widowControl/>
              <w:topLinePunct/>
              <w:adjustRightInd w:val="0"/>
              <w:snapToGrid w:val="0"/>
              <w:rPr>
                <w:rFonts w:ascii="微软雅黑" w:hAnsi="微软雅黑" w:eastAsia="微软雅黑" w:cs="微软雅黑"/>
                <w:b/>
                <w:color w:val="auto"/>
                <w:sz w:val="24"/>
                <w:szCs w:val="24"/>
                <w:highlight w:val="none"/>
              </w:rPr>
            </w:pPr>
          </w:p>
        </w:tc>
        <w:tc>
          <w:tcPr>
            <w:tcW w:w="6237" w:type="dxa"/>
            <w:tcMar>
              <w:left w:w="0" w:type="dxa"/>
              <w:right w:w="0" w:type="dxa"/>
            </w:tcMar>
            <w:vAlign w:val="center"/>
          </w:tcPr>
          <w:p>
            <w:pPr>
              <w:widowControl/>
              <w:topLinePunct/>
              <w:adjustRightInd w:val="0"/>
              <w:snapToGrid w:val="0"/>
              <w:rPr>
                <w:rFonts w:ascii="微软雅黑" w:hAnsi="微软雅黑" w:eastAsia="微软雅黑" w:cs="微软雅黑"/>
                <w:color w:val="auto"/>
                <w:sz w:val="24"/>
                <w:szCs w:val="28"/>
                <w:highlight w:val="none"/>
              </w:rPr>
            </w:pPr>
            <w:r>
              <w:rPr>
                <w:rFonts w:hint="eastAsia" w:eastAsia="微软雅黑"/>
                <w:color w:val="auto"/>
                <w:sz w:val="24"/>
                <w:szCs w:val="28"/>
                <w:highlight w:val="none"/>
              </w:rPr>
              <w:t>吉安市吉州区人民法院</w:t>
            </w:r>
          </w:p>
        </w:tc>
      </w:tr>
      <w:tr>
        <w:tblPrEx>
          <w:tblCellMar>
            <w:top w:w="0" w:type="dxa"/>
            <w:left w:w="108" w:type="dxa"/>
            <w:bottom w:w="0" w:type="dxa"/>
            <w:right w:w="108" w:type="dxa"/>
          </w:tblCellMar>
        </w:tblPrEx>
        <w:trPr>
          <w:trHeight w:val="510" w:hRule="atLeast"/>
        </w:trPr>
        <w:tc>
          <w:tcPr>
            <w:tcW w:w="645" w:type="dxa"/>
            <w:tcMar>
              <w:left w:w="0" w:type="dxa"/>
              <w:right w:w="0" w:type="dxa"/>
            </w:tcMar>
            <w:vAlign w:val="center"/>
          </w:tcPr>
          <w:p>
            <w:pPr>
              <w:widowControl/>
              <w:topLinePunct/>
              <w:adjustRightInd w:val="0"/>
              <w:snapToGrid w:val="0"/>
              <w:rPr>
                <w:rFonts w:ascii="微软雅黑" w:hAnsi="微软雅黑" w:eastAsia="微软雅黑" w:cs="微软雅黑"/>
                <w:b/>
                <w:color w:val="auto"/>
                <w:sz w:val="24"/>
                <w:szCs w:val="24"/>
                <w:highlight w:val="none"/>
              </w:rPr>
            </w:pPr>
            <w:r>
              <w:rPr>
                <w:rFonts w:hint="eastAsia" w:ascii="微软雅黑" w:hAnsi="微软雅黑" w:eastAsia="微软雅黑" w:cs="微软雅黑"/>
                <w:b/>
                <w:color w:val="auto"/>
                <w:sz w:val="24"/>
                <w:szCs w:val="24"/>
                <w:highlight w:val="none"/>
              </w:rPr>
              <w:t>——</w:t>
            </w:r>
          </w:p>
        </w:tc>
        <w:tc>
          <w:tcPr>
            <w:tcW w:w="6237" w:type="dxa"/>
            <w:tcMar>
              <w:left w:w="0" w:type="dxa"/>
              <w:right w:w="0" w:type="dxa"/>
            </w:tcMar>
            <w:vAlign w:val="center"/>
          </w:tcPr>
          <w:p>
            <w:pPr>
              <w:widowControl/>
              <w:topLinePunct/>
              <w:adjustRightInd w:val="0"/>
              <w:snapToGrid w:val="0"/>
              <w:rPr>
                <w:rFonts w:ascii="微软雅黑" w:hAnsi="微软雅黑" w:eastAsia="微软雅黑" w:cs="微软雅黑"/>
                <w:b/>
                <w:color w:val="auto"/>
                <w:sz w:val="28"/>
                <w:szCs w:val="28"/>
                <w:highlight w:val="none"/>
              </w:rPr>
            </w:pPr>
            <w:r>
              <w:rPr>
                <w:rFonts w:hint="eastAsia" w:ascii="微软雅黑" w:hAnsi="微软雅黑" w:eastAsia="微软雅黑" w:cs="微软雅黑"/>
                <w:b/>
                <w:color w:val="auto"/>
                <w:sz w:val="28"/>
                <w:szCs w:val="28"/>
                <w:highlight w:val="none"/>
              </w:rPr>
              <w:t>房地产估价机构：</w:t>
            </w:r>
          </w:p>
        </w:tc>
      </w:tr>
      <w:tr>
        <w:tblPrEx>
          <w:tblCellMar>
            <w:top w:w="0" w:type="dxa"/>
            <w:left w:w="108" w:type="dxa"/>
            <w:bottom w:w="0" w:type="dxa"/>
            <w:right w:w="108" w:type="dxa"/>
          </w:tblCellMar>
        </w:tblPrEx>
        <w:trPr>
          <w:trHeight w:val="510" w:hRule="atLeast"/>
        </w:trPr>
        <w:tc>
          <w:tcPr>
            <w:tcW w:w="645" w:type="dxa"/>
            <w:tcMar>
              <w:left w:w="0" w:type="dxa"/>
              <w:right w:w="0" w:type="dxa"/>
            </w:tcMar>
            <w:vAlign w:val="center"/>
          </w:tcPr>
          <w:p>
            <w:pPr>
              <w:widowControl/>
              <w:topLinePunct/>
              <w:adjustRightInd w:val="0"/>
              <w:snapToGrid w:val="0"/>
              <w:rPr>
                <w:rFonts w:ascii="微软雅黑" w:hAnsi="微软雅黑" w:eastAsia="微软雅黑" w:cs="微软雅黑"/>
                <w:b/>
                <w:color w:val="auto"/>
                <w:sz w:val="24"/>
                <w:szCs w:val="24"/>
                <w:highlight w:val="none"/>
              </w:rPr>
            </w:pPr>
          </w:p>
        </w:tc>
        <w:tc>
          <w:tcPr>
            <w:tcW w:w="6237" w:type="dxa"/>
            <w:tcMar>
              <w:left w:w="0" w:type="dxa"/>
              <w:right w:w="0" w:type="dxa"/>
            </w:tcMar>
            <w:vAlign w:val="center"/>
          </w:tcPr>
          <w:p>
            <w:pPr>
              <w:widowControl/>
              <w:topLinePunct/>
              <w:adjustRightInd w:val="0"/>
              <w:snapToGrid w:val="0"/>
              <w:rPr>
                <w:rFonts w:ascii="微软雅黑" w:hAnsi="微软雅黑" w:eastAsia="微软雅黑" w:cs="微软雅黑"/>
                <w:b/>
                <w:color w:val="auto"/>
                <w:sz w:val="28"/>
                <w:szCs w:val="28"/>
                <w:highlight w:val="none"/>
              </w:rPr>
            </w:pPr>
            <w:r>
              <w:rPr>
                <w:color w:val="auto"/>
                <w:highlight w:val="none"/>
              </w:rPr>
              <w:pict>
                <v:shape id="_x0000_s1026" o:spid="_x0000_s1026" o:spt="202" type="#_x0000_t202" style="position:absolute;left:0pt;margin-left:206.3pt;margin-top:24.35pt;height:94.15pt;width:145.85pt;z-index:251665408;mso-width-relative:page;mso-height-relative:page;" stroked="f" coordsize="21600,21600" o:gfxdata="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E7dSZdgAAAAKAQAADwAAAAAAAAABACAAAAAiAAAAZHJzL2Rvd25yZXYu&#10;eG1sUEsBAhQAFAAAAAgAh07iQDtCH1g0AgAAUwQAAA4AAAAAAAAAAQAgAAAAJwEAAGRycy9lMm9E&#10;b2MueG1sUEsFBgAAAAAGAAYAWQEAAM0FAAAAAA==&#10;">
                  <v:path/>
                  <v:fill focussize="0,0"/>
                  <v:stroke on="f" joinstyle="miter"/>
                  <v:imagedata o:title=""/>
                  <o:lock v:ext="edit"/>
                  <v:textbox>
                    <w:txbxContent>
                      <w:p>
                        <w:pPr>
                          <w:jc w:val="center"/>
                          <w:rPr>
                            <w:rFonts w:ascii="微软雅黑" w:hAnsi="微软雅黑" w:eastAsia="微软雅黑" w:cs="微软雅黑"/>
                            <w:b/>
                            <w:bCs/>
                            <w:color w:val="C3AD72"/>
                            <w:sz w:val="52"/>
                            <w:szCs w:val="52"/>
                          </w:rPr>
                        </w:pPr>
                        <w:r>
                          <w:rPr>
                            <w:rFonts w:hint="eastAsia" w:ascii="微软雅黑" w:hAnsi="微软雅黑" w:eastAsia="微软雅黑" w:cs="微软雅黑"/>
                            <w:b/>
                            <w:bCs/>
                            <w:color w:val="C3AD72"/>
                            <w:sz w:val="52"/>
                            <w:szCs w:val="52"/>
                          </w:rPr>
                          <w:t>房地产估价报告</w:t>
                        </w:r>
                      </w:p>
                    </w:txbxContent>
                  </v:textbox>
                </v:shape>
              </w:pict>
            </w:r>
            <w:r>
              <w:rPr>
                <w:rFonts w:hint="eastAsia" w:ascii="微软雅黑" w:hAnsi="微软雅黑" w:eastAsia="微软雅黑" w:cs="微软雅黑"/>
                <w:color w:val="auto"/>
                <w:sz w:val="24"/>
                <w:szCs w:val="28"/>
                <w:highlight w:val="none"/>
              </w:rPr>
              <w:t>江西同致房地产土地资产评估咨询有限公司</w:t>
            </w:r>
          </w:p>
        </w:tc>
      </w:tr>
      <w:tr>
        <w:tblPrEx>
          <w:tblCellMar>
            <w:top w:w="0" w:type="dxa"/>
            <w:left w:w="108" w:type="dxa"/>
            <w:bottom w:w="0" w:type="dxa"/>
            <w:right w:w="108" w:type="dxa"/>
          </w:tblCellMar>
        </w:tblPrEx>
        <w:trPr>
          <w:trHeight w:val="510" w:hRule="atLeast"/>
        </w:trPr>
        <w:tc>
          <w:tcPr>
            <w:tcW w:w="645" w:type="dxa"/>
            <w:tcMar>
              <w:left w:w="0" w:type="dxa"/>
              <w:right w:w="0" w:type="dxa"/>
            </w:tcMar>
            <w:vAlign w:val="center"/>
          </w:tcPr>
          <w:p>
            <w:pPr>
              <w:widowControl/>
              <w:topLinePunct/>
              <w:adjustRightInd w:val="0"/>
              <w:snapToGrid w:val="0"/>
              <w:rPr>
                <w:rFonts w:ascii="微软雅黑" w:hAnsi="微软雅黑" w:eastAsia="微软雅黑" w:cs="微软雅黑"/>
                <w:b/>
                <w:color w:val="auto"/>
                <w:sz w:val="24"/>
                <w:szCs w:val="24"/>
                <w:highlight w:val="none"/>
              </w:rPr>
            </w:pPr>
            <w:r>
              <w:rPr>
                <w:rFonts w:hint="eastAsia" w:ascii="微软雅黑" w:hAnsi="微软雅黑" w:eastAsia="微软雅黑" w:cs="微软雅黑"/>
                <w:b/>
                <w:color w:val="auto"/>
                <w:sz w:val="24"/>
                <w:szCs w:val="24"/>
                <w:highlight w:val="none"/>
              </w:rPr>
              <w:t>——</w:t>
            </w:r>
          </w:p>
        </w:tc>
        <w:tc>
          <w:tcPr>
            <w:tcW w:w="6237" w:type="dxa"/>
            <w:tcMar>
              <w:left w:w="0" w:type="dxa"/>
              <w:right w:w="0" w:type="dxa"/>
            </w:tcMar>
            <w:vAlign w:val="center"/>
          </w:tcPr>
          <w:p>
            <w:pPr>
              <w:widowControl/>
              <w:topLinePunct/>
              <w:adjustRightInd w:val="0"/>
              <w:snapToGrid w:val="0"/>
              <w:rPr>
                <w:rFonts w:ascii="微软雅黑" w:hAnsi="微软雅黑" w:eastAsia="微软雅黑" w:cs="微软雅黑"/>
                <w:b/>
                <w:color w:val="auto"/>
                <w:sz w:val="28"/>
                <w:szCs w:val="28"/>
                <w:highlight w:val="none"/>
              </w:rPr>
            </w:pPr>
            <w:r>
              <w:rPr>
                <w:rFonts w:hint="eastAsia" w:ascii="微软雅黑" w:hAnsi="微软雅黑" w:eastAsia="微软雅黑" w:cs="微软雅黑"/>
                <w:b/>
                <w:color w:val="auto"/>
                <w:sz w:val="28"/>
                <w:szCs w:val="28"/>
                <w:highlight w:val="none"/>
              </w:rPr>
              <w:t>注册房地产估价师：</w:t>
            </w:r>
          </w:p>
        </w:tc>
      </w:tr>
      <w:tr>
        <w:tblPrEx>
          <w:tblCellMar>
            <w:top w:w="0" w:type="dxa"/>
            <w:left w:w="108" w:type="dxa"/>
            <w:bottom w:w="0" w:type="dxa"/>
            <w:right w:w="108" w:type="dxa"/>
          </w:tblCellMar>
        </w:tblPrEx>
        <w:trPr>
          <w:trHeight w:val="510" w:hRule="atLeast"/>
        </w:trPr>
        <w:tc>
          <w:tcPr>
            <w:tcW w:w="645" w:type="dxa"/>
            <w:tcMar>
              <w:left w:w="0" w:type="dxa"/>
              <w:right w:w="0" w:type="dxa"/>
            </w:tcMar>
            <w:vAlign w:val="center"/>
          </w:tcPr>
          <w:p>
            <w:pPr>
              <w:widowControl/>
              <w:topLinePunct/>
              <w:adjustRightInd w:val="0"/>
              <w:snapToGrid w:val="0"/>
              <w:rPr>
                <w:rFonts w:ascii="微软雅黑" w:hAnsi="微软雅黑" w:eastAsia="微软雅黑" w:cs="微软雅黑"/>
                <w:color w:val="auto"/>
                <w:sz w:val="24"/>
                <w:szCs w:val="24"/>
                <w:highlight w:val="none"/>
              </w:rPr>
            </w:pPr>
          </w:p>
        </w:tc>
        <w:tc>
          <w:tcPr>
            <w:tcW w:w="6237" w:type="dxa"/>
            <w:tcMar>
              <w:left w:w="0" w:type="dxa"/>
              <w:right w:w="0" w:type="dxa"/>
            </w:tcMar>
            <w:vAlign w:val="center"/>
          </w:tcPr>
          <w:p>
            <w:pPr>
              <w:widowControl/>
              <w:topLinePunct/>
              <w:adjustRightInd w:val="0"/>
              <w:snapToGrid w:val="0"/>
              <w:rPr>
                <w:rFonts w:eastAsia="微软雅黑"/>
                <w:color w:val="auto"/>
                <w:sz w:val="24"/>
                <w:szCs w:val="28"/>
                <w:highlight w:val="none"/>
              </w:rPr>
            </w:pPr>
            <w:r>
              <w:rPr>
                <w:rFonts w:eastAsia="微软雅黑"/>
                <w:color w:val="auto"/>
                <w:sz w:val="24"/>
                <w:szCs w:val="28"/>
                <w:highlight w:val="none"/>
              </w:rPr>
              <w:t>曾繁荣（3620120016）</w:t>
            </w:r>
          </w:p>
          <w:p>
            <w:pPr>
              <w:widowControl/>
              <w:topLinePunct/>
              <w:adjustRightInd w:val="0"/>
              <w:snapToGrid w:val="0"/>
              <w:rPr>
                <w:rFonts w:ascii="微软雅黑" w:hAnsi="微软雅黑" w:eastAsia="微软雅黑" w:cs="微软雅黑"/>
                <w:color w:val="auto"/>
                <w:sz w:val="24"/>
                <w:szCs w:val="28"/>
                <w:highlight w:val="none"/>
              </w:rPr>
            </w:pPr>
            <w:r>
              <w:rPr>
                <w:rFonts w:eastAsia="微软雅黑"/>
                <w:color w:val="auto"/>
                <w:sz w:val="24"/>
                <w:szCs w:val="28"/>
                <w:highlight w:val="none"/>
              </w:rPr>
              <w:t>彭永红（3620080029）</w:t>
            </w:r>
          </w:p>
        </w:tc>
      </w:tr>
      <w:tr>
        <w:tblPrEx>
          <w:tblCellMar>
            <w:top w:w="0" w:type="dxa"/>
            <w:left w:w="108" w:type="dxa"/>
            <w:bottom w:w="0" w:type="dxa"/>
            <w:right w:w="108" w:type="dxa"/>
          </w:tblCellMar>
        </w:tblPrEx>
        <w:trPr>
          <w:trHeight w:val="510" w:hRule="atLeast"/>
        </w:trPr>
        <w:tc>
          <w:tcPr>
            <w:tcW w:w="645" w:type="dxa"/>
            <w:tcMar>
              <w:left w:w="0" w:type="dxa"/>
              <w:right w:w="0" w:type="dxa"/>
            </w:tcMar>
            <w:vAlign w:val="center"/>
          </w:tcPr>
          <w:p>
            <w:pPr>
              <w:widowControl/>
              <w:topLinePunct/>
              <w:adjustRightInd w:val="0"/>
              <w:snapToGrid w:val="0"/>
              <w:rPr>
                <w:rFonts w:ascii="微软雅黑" w:hAnsi="微软雅黑" w:eastAsia="微软雅黑" w:cs="微软雅黑"/>
                <w:b/>
                <w:color w:val="auto"/>
                <w:sz w:val="24"/>
                <w:szCs w:val="24"/>
                <w:highlight w:val="none"/>
              </w:rPr>
            </w:pPr>
            <w:r>
              <w:rPr>
                <w:rFonts w:hint="eastAsia" w:ascii="微软雅黑" w:hAnsi="微软雅黑" w:eastAsia="微软雅黑" w:cs="微软雅黑"/>
                <w:b/>
                <w:color w:val="auto"/>
                <w:sz w:val="24"/>
                <w:szCs w:val="24"/>
                <w:highlight w:val="none"/>
              </w:rPr>
              <w:t>——</w:t>
            </w:r>
          </w:p>
        </w:tc>
        <w:tc>
          <w:tcPr>
            <w:tcW w:w="6237" w:type="dxa"/>
            <w:tcMar>
              <w:left w:w="0" w:type="dxa"/>
              <w:right w:w="0" w:type="dxa"/>
            </w:tcMar>
            <w:vAlign w:val="center"/>
          </w:tcPr>
          <w:p>
            <w:pPr>
              <w:widowControl/>
              <w:topLinePunct/>
              <w:adjustRightInd w:val="0"/>
              <w:snapToGrid w:val="0"/>
              <w:rPr>
                <w:rFonts w:ascii="微软雅黑" w:hAnsi="微软雅黑" w:eastAsia="微软雅黑" w:cs="微软雅黑"/>
                <w:color w:val="auto"/>
                <w:sz w:val="24"/>
                <w:szCs w:val="28"/>
                <w:highlight w:val="none"/>
              </w:rPr>
            </w:pPr>
            <w:r>
              <w:rPr>
                <w:rFonts w:hint="eastAsia" w:ascii="微软雅黑" w:hAnsi="微软雅黑" w:eastAsia="微软雅黑" w:cs="微软雅黑"/>
                <w:b/>
                <w:color w:val="auto"/>
                <w:sz w:val="28"/>
                <w:szCs w:val="28"/>
                <w:highlight w:val="none"/>
              </w:rPr>
              <w:t>估价报告出具日期：</w:t>
            </w:r>
          </w:p>
        </w:tc>
      </w:tr>
      <w:tr>
        <w:tblPrEx>
          <w:tblCellMar>
            <w:top w:w="0" w:type="dxa"/>
            <w:left w:w="108" w:type="dxa"/>
            <w:bottom w:w="0" w:type="dxa"/>
            <w:right w:w="108" w:type="dxa"/>
          </w:tblCellMar>
        </w:tblPrEx>
        <w:trPr>
          <w:trHeight w:val="510" w:hRule="atLeast"/>
        </w:trPr>
        <w:tc>
          <w:tcPr>
            <w:tcW w:w="645" w:type="dxa"/>
            <w:tcMar>
              <w:left w:w="0" w:type="dxa"/>
              <w:right w:w="0" w:type="dxa"/>
            </w:tcMar>
            <w:vAlign w:val="center"/>
          </w:tcPr>
          <w:p>
            <w:pPr>
              <w:widowControl/>
              <w:topLinePunct/>
              <w:adjustRightInd w:val="0"/>
              <w:snapToGrid w:val="0"/>
              <w:rPr>
                <w:rFonts w:ascii="微软雅黑" w:hAnsi="微软雅黑" w:eastAsia="微软雅黑" w:cs="微软雅黑"/>
                <w:b/>
                <w:color w:val="auto"/>
                <w:sz w:val="24"/>
                <w:szCs w:val="24"/>
                <w:highlight w:val="none"/>
              </w:rPr>
            </w:pPr>
          </w:p>
        </w:tc>
        <w:tc>
          <w:tcPr>
            <w:tcW w:w="6237" w:type="dxa"/>
            <w:tcMar>
              <w:left w:w="0" w:type="dxa"/>
              <w:right w:w="0" w:type="dxa"/>
            </w:tcMar>
            <w:vAlign w:val="center"/>
          </w:tcPr>
          <w:p>
            <w:pPr>
              <w:widowControl/>
              <w:topLinePunct/>
              <w:adjustRightInd w:val="0"/>
              <w:snapToGrid w:val="0"/>
              <w:rPr>
                <w:rFonts w:ascii="微软雅黑" w:hAnsi="微软雅黑" w:eastAsia="微软雅黑" w:cs="微软雅黑"/>
                <w:b/>
                <w:color w:val="auto"/>
                <w:sz w:val="28"/>
                <w:szCs w:val="28"/>
                <w:highlight w:val="none"/>
              </w:rPr>
            </w:pPr>
            <w:r>
              <w:rPr>
                <w:rFonts w:hint="eastAsia" w:eastAsia="微软雅黑"/>
                <w:color w:val="auto"/>
                <w:sz w:val="24"/>
                <w:szCs w:val="28"/>
                <w:highlight w:val="none"/>
              </w:rPr>
              <w:t>二〇二二年十一月二十八日</w:t>
            </w:r>
          </w:p>
        </w:tc>
      </w:tr>
    </w:tbl>
    <w:p>
      <w:pPr>
        <w:widowControl/>
        <w:topLinePunct/>
        <w:adjustRightInd w:val="0"/>
        <w:snapToGrid w:val="0"/>
        <w:spacing w:line="288" w:lineRule="auto"/>
        <w:jc w:val="left"/>
        <w:rPr>
          <w:rFonts w:ascii="微软雅黑" w:hAnsi="微软雅黑" w:eastAsia="微软雅黑" w:cs="微软雅黑"/>
          <w:color w:val="auto"/>
          <w:highlight w:val="none"/>
        </w:rPr>
        <w:sectPr>
          <w:headerReference r:id="rId4" w:type="first"/>
          <w:headerReference r:id="rId3" w:type="default"/>
          <w:footerReference r:id="rId5" w:type="default"/>
          <w:pgSz w:w="11906" w:h="16838"/>
          <w:pgMar w:top="1701" w:right="1418" w:bottom="1418" w:left="1701" w:header="851" w:footer="992" w:gutter="0"/>
          <w:pgNumType w:start="0"/>
          <w:cols w:space="720" w:num="1"/>
          <w:titlePg/>
          <w:docGrid w:linePitch="312" w:charSpace="0"/>
        </w:sectPr>
      </w:pPr>
      <w:r>
        <w:rPr>
          <w:color w:val="auto"/>
          <w:highlight w:val="none"/>
        </w:rPr>
        <w:drawing>
          <wp:anchor distT="0" distB="0" distL="114300" distR="114300" simplePos="0" relativeHeight="251660288" behindDoc="1" locked="0" layoutInCell="1" allowOverlap="1">
            <wp:simplePos x="0" y="0"/>
            <wp:positionH relativeFrom="margin">
              <wp:posOffset>3754120</wp:posOffset>
            </wp:positionH>
            <wp:positionV relativeFrom="page">
              <wp:posOffset>2877185</wp:posOffset>
            </wp:positionV>
            <wp:extent cx="2015490" cy="2015490"/>
            <wp:effectExtent l="0" t="0" r="0" b="0"/>
            <wp:wrapNone/>
            <wp:docPr id="29" name="图片 7" descr="C:/Users/lenovo/AppData/Local/Temp/picturecompress_20220225153645/output_1.pngoutput_1"/>
            <wp:cNvGraphicFramePr/>
            <a:graphic xmlns:a="http://schemas.openxmlformats.org/drawingml/2006/main">
              <a:graphicData uri="http://schemas.openxmlformats.org/drawingml/2006/picture">
                <pic:pic xmlns:pic="http://schemas.openxmlformats.org/drawingml/2006/picture">
                  <pic:nvPicPr>
                    <pic:cNvPr id="29" name="图片 7" descr="C:/Users/lenovo/AppData/Local/Temp/picturecompress_20220225153645/output_1.pngoutput_1"/>
                    <pic:cNvPicPr>
                      <a:picLocks noChangeArrowheads="1"/>
                    </pic:cNvPicPr>
                  </pic:nvPicPr>
                  <pic:blipFill>
                    <a:blip r:embed="rId17" cstate="email"/>
                    <a:srcRect/>
                    <a:stretch>
                      <a:fillRect/>
                    </a:stretch>
                  </pic:blipFill>
                  <pic:spPr>
                    <a:xfrm>
                      <a:off x="0" y="0"/>
                      <a:ext cx="2015490" cy="2015490"/>
                    </a:xfrm>
                    <a:prstGeom prst="rect">
                      <a:avLst/>
                    </a:prstGeom>
                    <a:noFill/>
                    <a:ln w="9525">
                      <a:noFill/>
                      <a:miter lim="800000"/>
                      <a:headEnd/>
                      <a:tailEnd/>
                    </a:ln>
                  </pic:spPr>
                </pic:pic>
              </a:graphicData>
            </a:graphic>
          </wp:anchor>
        </w:drawing>
      </w:r>
      <w:r>
        <w:rPr>
          <w:color w:val="auto"/>
          <w:highlight w:val="none"/>
        </w:rPr>
        <w:pict>
          <v:group id="_x0000_s1028" o:spid="_x0000_s1028" o:spt="203" style="position:absolute;left:0pt;margin-left:2.4pt;margin-top:487.65pt;height:66.45pt;width:437.6pt;z-index:251663360;mso-width-relative:page;mso-height-relative:page;" coordsize="0,203203203" o:gfxdata="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">
            <o:lock v:ext="edit"/>
            <v:shape id="文本框 5" o:spid="_x0000_s1033" o:spt="202" type="#_x0000_t202" style="position:absolute;left:3372;top:14084;height:1292;width:7075;" coordsize="21600,21600" o:gfxdata="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Fw/S+5AAAA3QAA&#10;AA8AAAAAAAAAAQAgAAAAIgAAAGRycy9kb3ducmV2LnhtbFBLAQIUABQAAAAIAIdO4kAzLwWeOwAA&#10;ADkAAAAQAAAAAAAAAAEAIAAAAAgBAABkcnMvc2hhcGV4bWwueG1sUEsFBgAAAAAGAAYAWwEAALID&#10;AAAAAA==&#10;">
              <v:path/>
              <v:fill focussize="0,0"/>
              <v:stroke weight="0.5pt" joinstyle="miter"/>
              <v:imagedata o:title=""/>
              <o:lock v:ext="edit"/>
              <v:textbox>
                <w:txbxContent>
                  <w:p>
                    <w:pPr>
                      <w:numPr>
                        <w:ilvl w:val="0"/>
                        <w:numId w:val="1"/>
                      </w:numPr>
                      <w:adjustRightInd w:val="0"/>
                      <w:snapToGrid w:val="0"/>
                      <w:spacing w:beforeLines="40"/>
                      <w:rPr>
                        <w:rFonts w:ascii="微软雅黑" w:hAnsi="微软雅黑" w:eastAsia="微软雅黑" w:cs="微软雅黑"/>
                        <w:bCs/>
                        <w:sz w:val="22"/>
                      </w:rPr>
                    </w:pPr>
                    <w:r>
                      <w:rPr>
                        <w:rFonts w:hint="eastAsia" w:ascii="微软雅黑" w:hAnsi="微软雅黑" w:eastAsia="微软雅黑" w:cs="微软雅黑"/>
                        <w:bCs/>
                        <w:sz w:val="22"/>
                      </w:rPr>
                      <w:t>地址：江西省南昌市红谷滩新区赣江北大道</w:t>
                    </w:r>
                    <w:r>
                      <w:rPr>
                        <w:rFonts w:ascii="微软雅黑" w:hAnsi="微软雅黑" w:eastAsia="微软雅黑" w:cs="微软雅黑"/>
                        <w:bCs/>
                        <w:sz w:val="22"/>
                      </w:rPr>
                      <w:t>1</w:t>
                    </w:r>
                    <w:r>
                      <w:rPr>
                        <w:rFonts w:hint="eastAsia" w:ascii="微软雅黑" w:hAnsi="微软雅黑" w:eastAsia="微软雅黑" w:cs="微软雅黑"/>
                        <w:bCs/>
                        <w:sz w:val="22"/>
                      </w:rPr>
                      <w:t>号中航广场</w:t>
                    </w:r>
                    <w:r>
                      <w:rPr>
                        <w:rFonts w:ascii="微软雅黑" w:hAnsi="微软雅黑" w:eastAsia="微软雅黑" w:cs="微软雅黑"/>
                        <w:bCs/>
                        <w:sz w:val="22"/>
                      </w:rPr>
                      <w:t>14</w:t>
                    </w:r>
                    <w:r>
                      <w:rPr>
                        <w:rFonts w:hint="eastAsia" w:ascii="微软雅黑" w:hAnsi="微软雅黑" w:eastAsia="微软雅黑" w:cs="微软雅黑"/>
                        <w:bCs/>
                        <w:sz w:val="22"/>
                      </w:rPr>
                      <w:t>楼</w:t>
                    </w:r>
                  </w:p>
                  <w:p>
                    <w:pPr>
                      <w:numPr>
                        <w:ilvl w:val="0"/>
                        <w:numId w:val="1"/>
                      </w:numPr>
                      <w:adjustRightInd w:val="0"/>
                      <w:snapToGrid w:val="0"/>
                      <w:rPr>
                        <w:rFonts w:ascii="微软雅黑" w:hAnsi="微软雅黑" w:eastAsia="微软雅黑" w:cs="微软雅黑"/>
                        <w:bCs/>
                        <w:sz w:val="22"/>
                      </w:rPr>
                    </w:pPr>
                    <w:r>
                      <w:rPr>
                        <w:rFonts w:hint="eastAsia" w:ascii="微软雅黑" w:hAnsi="微软雅黑" w:eastAsia="微软雅黑" w:cs="微软雅黑"/>
                        <w:bCs/>
                        <w:sz w:val="22"/>
                      </w:rPr>
                      <w:t>客服电话：</w:t>
                    </w:r>
                    <w:r>
                      <w:rPr>
                        <w:rFonts w:ascii="微软雅黑" w:hAnsi="微软雅黑" w:eastAsia="微软雅黑" w:cs="微软雅黑"/>
                        <w:bCs/>
                        <w:sz w:val="22"/>
                      </w:rPr>
                      <w:t>0791-86801000</w:t>
                    </w:r>
                  </w:p>
                </w:txbxContent>
              </v:textbox>
            </v:shape>
            <v:rect id="矩形 10" o:spid="_x0000_s1032" o:spt="1" style="position:absolute;left:1695;top:14084;height:339;width:135;v-text-anchor:middle;" fillcolor="#C3AD72" filled="t" stroked="f" coordsize="21600,21600" o:gfxdata="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qrE3&#10;zcEAAADdAAAADwAAAAAAAAABACAAAAAiAAAAZHJzL2Rvd25yZXYueG1sUEsBAhQAFAAAAAgAh07i&#10;QDMvBZ47AAAAOQAAABAAAAAAAAAAAQAgAAAAEAEAAGRycy9zaGFwZXhtbC54bWxQSwUGAAAAAAYA&#10;BgBbAQAAugMAAAAA&#10;">
              <v:path/>
              <v:fill on="t" focussize="0,0"/>
              <v:stroke on="f"/>
              <v:imagedata o:title=""/>
              <o:lock v:ext="edit"/>
            </v:rect>
            <v:rect id="矩形 11" o:spid="_x0000_s1031" o:spt="1" style="position:absolute;left:1695;top:14594;height:339;width:135;v-text-anchor:middle;" fillcolor="#A6A6A6" filled="t" stroked="f" coordsize="21600,21600" o:gfxdata="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jrifugAAAN0A&#10;AAAPAAAAAAAAAAEAIAAAACIAAABkcnMvZG93bnJldi54bWxQSwECFAAUAAAACACHTuJAMy8FnjsA&#10;AAA5AAAAEAAAAAAAAAABACAAAAAJAQAAZHJzL3NoYXBleG1sLnhtbFBLBQYAAAAABgAGAFsBAACz&#10;AwAAAAA=&#10;">
              <v:path/>
              <v:fill on="t" focussize="0,0"/>
              <v:stroke on="f"/>
              <v:imagedata o:title=""/>
              <o:lock v:ext="edit"/>
            </v:rect>
            <v:rect id="矩形 12" o:spid="_x0000_s1030" o:spt="1" style="position:absolute;left:1695;top:15074;height:339;width:135;v-text-anchor:middle;" fillcolor="#7F7F7F" filled="t" stroked="f" coordsize="21600,21600" o:gfxdata="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oz74A&#10;AADdAAAADwAAAAAAAAABACAAAAAiAAAAZHJzL2Rvd25yZXYueG1sUEsBAhQAFAAAAAgAh07iQDMv&#10;BZ47AAAAOQAAABAAAAAAAAAAAQAgAAAADQEAAGRycy9zaGFwZXhtbC54bWxQSwUGAAAAAAYABgBb&#10;AQAAtwMAAAAA&#10;">
              <v:path/>
              <v:fill on="t" focussize="0,0"/>
              <v:stroke on="f"/>
              <v:imagedata o:title=""/>
              <o:lock v:ext="edit"/>
            </v:rect>
            <v:shape id="Text Box 23" o:spid="_x0000_s1029" o:spt="202" type="#_x0000_t202" style="position:absolute;left:1968;top:14084;height:1287;width:1317;" coordsize="21600,21600" o:gfxdata="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5GHFbsAAADd&#10;AAAADwAAAAAAAAABACAAAAAiAAAAZHJzL2Rvd25yZXYueG1sUEsBAhQAFAAAAAgAh07iQDMvBZ47&#10;AAAAOQAAABAAAAAAAAAAAQAgAAAACgEAAGRycy9zaGFwZXhtbC54bWxQSwUGAAAAAAYABgBbAQAA&#10;tAMAAAAA&#10;">
              <v:path/>
              <v:fill focussize="0,0"/>
              <v:stroke joinstyle="miter"/>
              <v:imagedata o:title=""/>
              <o:lock v:ext="edit"/>
              <v:textbox inset="0mm,0mm,0mm,0mm">
                <w:txbxContent>
                  <w:p>
                    <w:r>
                      <w:drawing>
                        <wp:inline distT="0" distB="0" distL="114300" distR="114300">
                          <wp:extent cx="808355" cy="829310"/>
                          <wp:effectExtent l="0" t="0" r="10795" b="8890"/>
                          <wp:docPr id="11" name="图片 1" descr="QQ截图2018021009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QQ截图20180210095741"/>
                                  <pic:cNvPicPr>
                                    <a:picLocks noChangeAspect="1"/>
                                  </pic:cNvPicPr>
                                </pic:nvPicPr>
                                <pic:blipFill>
                                  <a:blip r:embed="rId18"/>
                                  <a:stretch>
                                    <a:fillRect/>
                                  </a:stretch>
                                </pic:blipFill>
                                <pic:spPr>
                                  <a:xfrm>
                                    <a:off x="0" y="0"/>
                                    <a:ext cx="808355" cy="829310"/>
                                  </a:xfrm>
                                  <a:prstGeom prst="rect">
                                    <a:avLst/>
                                  </a:prstGeom>
                                  <a:noFill/>
                                  <a:ln>
                                    <a:noFill/>
                                  </a:ln>
                                </pic:spPr>
                              </pic:pic>
                            </a:graphicData>
                          </a:graphic>
                        </wp:inline>
                      </w:drawing>
                    </w:r>
                  </w:p>
                </w:txbxContent>
              </v:textbox>
            </v:shape>
          </v:group>
        </w:pict>
      </w:r>
      <w:r>
        <w:rPr>
          <w:color w:val="auto"/>
          <w:highlight w:val="none"/>
        </w:rPr>
        <w:pict>
          <v:rect id="矩形 7" o:spid="_x0000_s1027" o:spt="1" style="position:absolute;left:0pt;margin-top:215.55pt;height:226.75pt;width:99.2pt;mso-position-horizontal:right;mso-position-horizontal-relative:margin;z-index:251664384;v-text-anchor:middle;mso-width-relative:page;mso-height-relative:page;" filled="f" stroked="t" coordsize="21600,21600" o:gfxdata="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5AeEnZAAAACAEAAA8AAAAAAAAAAQAg&#10;AAAAIgAAAGRycy9kb3ducmV2LnhtbFBLAQIUABQAAAAIAIdO4kCgMU9UDQIAACEEAAAOAAAAAAAA&#10;AAEAIAAAACgBAABkcnMvZTJvRG9jLnhtbFBLBQYAAAAABgAGAFkBAACnBQAAAAA=&#10;">
            <v:path/>
            <v:fill on="f" focussize="0,0"/>
            <v:stroke weight="4.5pt" color="#C0AD72" joinstyle="round"/>
            <v:imagedata o:title=""/>
            <o:lock v:ext="edit"/>
          </v:rect>
        </w:pict>
      </w:r>
    </w:p>
    <w:p>
      <w:pPr>
        <w:tabs>
          <w:tab w:val="left" w:pos="4998"/>
        </w:tabs>
        <w:spacing w:line="480" w:lineRule="exact"/>
        <w:jc w:val="center"/>
        <w:rPr>
          <w:rFonts w:eastAsia="仿宋_GB2312"/>
          <w:b/>
          <w:snapToGrid w:val="0"/>
          <w:color w:val="auto"/>
          <w:kern w:val="0"/>
          <w:sz w:val="32"/>
          <w:szCs w:val="32"/>
          <w:highlight w:val="none"/>
        </w:rPr>
      </w:pPr>
      <w:r>
        <w:rPr>
          <w:rFonts w:hint="eastAsia" w:eastAsia="仿宋_GB2312" w:cs="仿宋_GB2312"/>
          <w:b/>
          <w:snapToGrid w:val="0"/>
          <w:color w:val="auto"/>
          <w:kern w:val="0"/>
          <w:sz w:val="32"/>
          <w:szCs w:val="32"/>
          <w:highlight w:val="none"/>
        </w:rPr>
        <w:t>致</w:t>
      </w:r>
      <w:r>
        <w:rPr>
          <w:rFonts w:hint="eastAsia" w:eastAsia="仿宋_GB2312"/>
          <w:b/>
          <w:color w:val="auto"/>
          <w:sz w:val="32"/>
          <w:szCs w:val="32"/>
          <w:highlight w:val="none"/>
        </w:rPr>
        <w:t>估价</w:t>
      </w:r>
      <w:r>
        <w:rPr>
          <w:rFonts w:hint="eastAsia" w:eastAsia="仿宋_GB2312" w:cs="仿宋_GB2312"/>
          <w:b/>
          <w:snapToGrid w:val="0"/>
          <w:color w:val="auto"/>
          <w:kern w:val="0"/>
          <w:sz w:val="32"/>
          <w:szCs w:val="32"/>
          <w:highlight w:val="none"/>
        </w:rPr>
        <w:t>委托人函</w:t>
      </w:r>
      <w:bookmarkEnd w:id="0"/>
      <w:bookmarkEnd w:id="1"/>
      <w:bookmarkEnd w:id="2"/>
      <w:bookmarkEnd w:id="3"/>
      <w:bookmarkEnd w:id="4"/>
      <w:bookmarkEnd w:id="5"/>
      <w:bookmarkEnd w:id="6"/>
      <w:bookmarkEnd w:id="7"/>
      <w:bookmarkEnd w:id="8"/>
      <w:bookmarkEnd w:id="9"/>
    </w:p>
    <w:p>
      <w:pPr>
        <w:adjustRightInd w:val="0"/>
        <w:snapToGrid w:val="0"/>
        <w:spacing w:line="500" w:lineRule="exact"/>
        <w:jc w:val="left"/>
        <w:rPr>
          <w:rFonts w:eastAsia="仿宋_GB2312"/>
          <w:color w:val="auto"/>
          <w:sz w:val="28"/>
          <w:szCs w:val="28"/>
          <w:highlight w:val="none"/>
        </w:rPr>
      </w:pPr>
      <w:r>
        <w:rPr>
          <w:rFonts w:hint="eastAsia" w:eastAsia="仿宋_GB2312" w:cs="仿宋_GB2312"/>
          <w:color w:val="auto"/>
          <w:sz w:val="28"/>
          <w:szCs w:val="28"/>
          <w:highlight w:val="none"/>
        </w:rPr>
        <w:t>吉安市吉州区人民法院：</w:t>
      </w:r>
    </w:p>
    <w:p>
      <w:pPr>
        <w:adjustRightInd w:val="0"/>
        <w:snapToGrid w:val="0"/>
        <w:spacing w:line="500" w:lineRule="exact"/>
        <w:ind w:firstLine="560" w:firstLineChars="200"/>
        <w:rPr>
          <w:rFonts w:eastAsia="仿宋_GB2312"/>
          <w:color w:val="auto"/>
          <w:sz w:val="28"/>
          <w:szCs w:val="28"/>
          <w:highlight w:val="none"/>
        </w:rPr>
      </w:pPr>
      <w:r>
        <w:rPr>
          <w:rFonts w:hint="eastAsia" w:eastAsia="仿宋_GB2312" w:cs="仿宋_GB2312"/>
          <w:color w:val="auto"/>
          <w:sz w:val="28"/>
          <w:szCs w:val="28"/>
          <w:highlight w:val="none"/>
        </w:rPr>
        <w:t>承蒙委托，我公司对位于吉州区长塘镇1-2幢1#-405室房地产市场价值进行了估</w:t>
      </w:r>
      <w:r>
        <w:rPr>
          <w:rFonts w:hint="eastAsia" w:eastAsia="仿宋_GB2312" w:cs="仿宋_GB2312"/>
          <w:caps/>
          <w:color w:val="auto"/>
          <w:sz w:val="28"/>
          <w:szCs w:val="28"/>
          <w:highlight w:val="none"/>
        </w:rPr>
        <w:t>价，</w:t>
      </w:r>
      <w:r>
        <w:rPr>
          <w:rFonts w:eastAsia="仿宋_GB2312" w:cs="仿宋_GB2312"/>
          <w:caps/>
          <w:color w:val="auto"/>
          <w:sz w:val="28"/>
          <w:szCs w:val="28"/>
          <w:highlight w:val="none"/>
        </w:rPr>
        <w:t>估价目的是</w:t>
      </w:r>
      <w:r>
        <w:rPr>
          <w:rFonts w:hint="eastAsia" w:eastAsia="仿宋_GB2312" w:cs="仿宋_GB2312"/>
          <w:caps/>
          <w:color w:val="auto"/>
          <w:sz w:val="28"/>
          <w:szCs w:val="28"/>
          <w:highlight w:val="none"/>
        </w:rPr>
        <w:t>为吉安市吉州区人民法院确定财产处置参考价提供参考依据。</w:t>
      </w:r>
    </w:p>
    <w:p>
      <w:pPr>
        <w:adjustRightInd w:val="0"/>
        <w:snapToGrid w:val="0"/>
        <w:spacing w:line="500" w:lineRule="exact"/>
        <w:ind w:firstLine="560" w:firstLineChars="200"/>
        <w:rPr>
          <w:rFonts w:eastAsia="仿宋_GB2312"/>
          <w:color w:val="auto"/>
          <w:sz w:val="28"/>
          <w:szCs w:val="28"/>
          <w:highlight w:val="none"/>
        </w:rPr>
      </w:pPr>
      <w:r>
        <w:rPr>
          <w:rFonts w:hint="eastAsia" w:eastAsia="仿宋_GB2312" w:cs="仿宋_GB2312"/>
          <w:color w:val="auto"/>
          <w:sz w:val="28"/>
          <w:szCs w:val="28"/>
          <w:highlight w:val="none"/>
        </w:rPr>
        <w:t>价值时点：</w:t>
      </w:r>
      <w:r>
        <w:rPr>
          <w:rFonts w:hint="eastAsia" w:eastAsia="仿宋_GB2312"/>
          <w:caps/>
          <w:color w:val="auto"/>
          <w:sz w:val="28"/>
          <w:szCs w:val="28"/>
          <w:highlight w:val="none"/>
        </w:rPr>
        <w:t>2022年11月14日，为实地查勘之日</w:t>
      </w:r>
      <w:r>
        <w:rPr>
          <w:rFonts w:hint="eastAsia" w:eastAsia="仿宋_GB2312" w:cs="仿宋_GB2312"/>
          <w:color w:val="auto"/>
          <w:sz w:val="28"/>
          <w:szCs w:val="28"/>
          <w:highlight w:val="none"/>
        </w:rPr>
        <w:t>。</w:t>
      </w:r>
    </w:p>
    <w:p>
      <w:pPr>
        <w:snapToGrid w:val="0"/>
        <w:spacing w:line="500" w:lineRule="exact"/>
        <w:ind w:firstLine="560" w:firstLineChars="200"/>
        <w:rPr>
          <w:rFonts w:eastAsia="仿宋_GB2312"/>
          <w:color w:val="auto"/>
          <w:sz w:val="28"/>
          <w:szCs w:val="28"/>
          <w:highlight w:val="none"/>
        </w:rPr>
      </w:pPr>
      <w:r>
        <w:rPr>
          <w:rFonts w:hint="eastAsia" w:eastAsia="仿宋_GB2312" w:cs="仿宋_GB2312"/>
          <w:color w:val="auto"/>
          <w:sz w:val="28"/>
          <w:szCs w:val="28"/>
          <w:highlight w:val="none"/>
        </w:rPr>
        <w:t>价值类型：市场价值。</w:t>
      </w:r>
    </w:p>
    <w:p>
      <w:pPr>
        <w:tabs>
          <w:tab w:val="left" w:pos="993"/>
        </w:tabs>
        <w:adjustRightInd w:val="0"/>
        <w:snapToGrid w:val="0"/>
        <w:spacing w:line="500" w:lineRule="exact"/>
        <w:ind w:firstLine="560" w:firstLineChars="200"/>
        <w:rPr>
          <w:rFonts w:eastAsia="仿宋_GB2312"/>
          <w:color w:val="auto"/>
          <w:sz w:val="28"/>
          <w:szCs w:val="28"/>
          <w:highlight w:val="none"/>
        </w:rPr>
      </w:pPr>
      <w:r>
        <w:rPr>
          <w:rFonts w:hint="eastAsia" w:eastAsia="仿宋_GB2312" w:cs="仿宋_GB2312"/>
          <w:color w:val="auto"/>
          <w:sz w:val="28"/>
          <w:szCs w:val="28"/>
          <w:highlight w:val="none"/>
        </w:rPr>
        <w:t>估价人员根据估价目的和国家有关房地产估价的规范规定，遵循估价原则，按照估价程序，经过实地查勘与市场调查，选用比较法对估价对象进行了测算，确定估价对象在满足全部假设和限制条件下于价值时点</w:t>
      </w:r>
      <w:r>
        <w:rPr>
          <w:rFonts w:hint="eastAsia" w:eastAsia="仿宋_GB2312"/>
          <w:color w:val="auto"/>
          <w:sz w:val="28"/>
          <w:szCs w:val="28"/>
          <w:highlight w:val="none"/>
        </w:rPr>
        <w:t>2022年11月14日</w:t>
      </w:r>
      <w:r>
        <w:rPr>
          <w:rFonts w:hint="eastAsia" w:eastAsia="仿宋_GB2312" w:cs="仿宋_GB2312"/>
          <w:color w:val="auto"/>
          <w:sz w:val="28"/>
          <w:szCs w:val="28"/>
          <w:highlight w:val="none"/>
        </w:rPr>
        <w:t>的估价结果为</w:t>
      </w:r>
      <w:r>
        <w:rPr>
          <w:rFonts w:hint="eastAsia" w:eastAsia="仿宋_GB2312" w:cs="仿宋_GB2312"/>
          <w:b/>
          <w:bCs/>
          <w:color w:val="auto"/>
          <w:sz w:val="28"/>
          <w:szCs w:val="28"/>
          <w:highlight w:val="none"/>
        </w:rPr>
        <w:t>￥</w:t>
      </w:r>
      <w:r>
        <w:rPr>
          <w:rFonts w:hint="eastAsia" w:eastAsia="仿宋_GB2312"/>
          <w:b/>
          <w:bCs/>
          <w:color w:val="auto"/>
          <w:sz w:val="28"/>
          <w:szCs w:val="28"/>
          <w:highlight w:val="none"/>
        </w:rPr>
        <w:t>138.16</w:t>
      </w:r>
      <w:r>
        <w:rPr>
          <w:rFonts w:hint="eastAsia" w:eastAsia="仿宋_GB2312" w:cs="仿宋_GB2312"/>
          <w:b/>
          <w:bCs/>
          <w:color w:val="auto"/>
          <w:sz w:val="28"/>
          <w:szCs w:val="28"/>
          <w:highlight w:val="none"/>
        </w:rPr>
        <w:t>万元，人民币大写</w:t>
      </w:r>
      <w:r>
        <w:rPr>
          <w:rFonts w:eastAsia="仿宋_GB2312"/>
          <w:b/>
          <w:bCs/>
          <w:color w:val="auto"/>
          <w:sz w:val="28"/>
          <w:szCs w:val="28"/>
          <w:highlight w:val="none"/>
        </w:rPr>
        <w:fldChar w:fldCharType="begin"/>
      </w:r>
      <w:r>
        <w:rPr>
          <w:rFonts w:eastAsia="仿宋_GB2312"/>
          <w:b/>
          <w:bCs/>
          <w:color w:val="auto"/>
          <w:sz w:val="28"/>
          <w:szCs w:val="28"/>
          <w:highlight w:val="none"/>
        </w:rPr>
        <w:instrText xml:space="preserve"> </w:instrText>
      </w:r>
      <w:r>
        <w:rPr>
          <w:rFonts w:hint="eastAsia" w:eastAsia="仿宋_GB2312"/>
          <w:b/>
          <w:bCs/>
          <w:color w:val="auto"/>
          <w:sz w:val="28"/>
          <w:szCs w:val="28"/>
          <w:highlight w:val="none"/>
        </w:rPr>
        <w:instrText xml:space="preserve">= 427800 \* CHINESENUM2</w:instrText>
      </w:r>
      <w:r>
        <w:rPr>
          <w:rFonts w:eastAsia="仿宋_GB2312"/>
          <w:b/>
          <w:bCs/>
          <w:color w:val="auto"/>
          <w:sz w:val="28"/>
          <w:szCs w:val="28"/>
          <w:highlight w:val="none"/>
        </w:rPr>
        <w:instrText xml:space="preserve"> </w:instrText>
      </w:r>
      <w:r>
        <w:rPr>
          <w:rFonts w:eastAsia="仿宋_GB2312"/>
          <w:b/>
          <w:bCs/>
          <w:color w:val="auto"/>
          <w:sz w:val="28"/>
          <w:szCs w:val="28"/>
          <w:highlight w:val="none"/>
        </w:rPr>
        <w:fldChar w:fldCharType="separate"/>
      </w:r>
      <w:r>
        <w:rPr>
          <w:rFonts w:hint="eastAsia" w:eastAsia="仿宋_GB2312"/>
          <w:b/>
          <w:bCs/>
          <w:color w:val="auto"/>
          <w:sz w:val="28"/>
          <w:szCs w:val="28"/>
          <w:highlight w:val="none"/>
        </w:rPr>
        <w:t>壹佰叁拾捌万壹仟陆佰</w:t>
      </w:r>
      <w:r>
        <w:rPr>
          <w:rFonts w:eastAsia="仿宋_GB2312"/>
          <w:b/>
          <w:bCs/>
          <w:color w:val="auto"/>
          <w:sz w:val="28"/>
          <w:szCs w:val="28"/>
          <w:highlight w:val="none"/>
        </w:rPr>
        <w:fldChar w:fldCharType="end"/>
      </w:r>
      <w:r>
        <w:rPr>
          <w:rFonts w:hint="eastAsia" w:eastAsia="仿宋_GB2312" w:cs="仿宋_GB2312"/>
          <w:b/>
          <w:bCs/>
          <w:color w:val="auto"/>
          <w:sz w:val="28"/>
          <w:szCs w:val="28"/>
          <w:highlight w:val="none"/>
        </w:rPr>
        <w:t>元整。</w:t>
      </w:r>
    </w:p>
    <w:p>
      <w:pPr>
        <w:pStyle w:val="40"/>
        <w:adjustRightInd w:val="0"/>
        <w:snapToGrid w:val="0"/>
        <w:spacing w:before="0" w:beforeAutospacing="0" w:after="0" w:afterAutospacing="0" w:line="500" w:lineRule="exact"/>
        <w:jc w:val="center"/>
        <w:rPr>
          <w:rFonts w:ascii="Times New Roman" w:eastAsia="仿宋_GB2312" w:cs="Times New Roman"/>
          <w:b/>
          <w:bCs/>
          <w:color w:val="auto"/>
          <w:kern w:val="2"/>
          <w:sz w:val="28"/>
          <w:szCs w:val="28"/>
          <w:highlight w:val="none"/>
        </w:rPr>
      </w:pPr>
      <w:r>
        <w:rPr>
          <w:rFonts w:hint="eastAsia" w:ascii="Times New Roman" w:eastAsia="仿宋_GB2312" w:cs="仿宋_GB2312"/>
          <w:b/>
          <w:bCs/>
          <w:color w:val="auto"/>
          <w:kern w:val="2"/>
          <w:sz w:val="28"/>
          <w:szCs w:val="28"/>
          <w:highlight w:val="none"/>
        </w:rPr>
        <w:t>估价结果明细表</w:t>
      </w:r>
    </w:p>
    <w:tbl>
      <w:tblPr>
        <w:tblStyle w:val="43"/>
        <w:tblW w:w="1025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30" w:type="dxa"/>
          <w:bottom w:w="0" w:type="dxa"/>
          <w:right w:w="30" w:type="dxa"/>
        </w:tblCellMar>
      </w:tblPr>
      <w:tblGrid>
        <w:gridCol w:w="1372"/>
        <w:gridCol w:w="1559"/>
        <w:gridCol w:w="2136"/>
        <w:gridCol w:w="592"/>
        <w:gridCol w:w="579"/>
        <w:gridCol w:w="870"/>
        <w:gridCol w:w="926"/>
        <w:gridCol w:w="1086"/>
        <w:gridCol w:w="113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30" w:type="dxa"/>
            <w:bottom w:w="0" w:type="dxa"/>
            <w:right w:w="30" w:type="dxa"/>
          </w:tblCellMar>
        </w:tblPrEx>
        <w:trPr>
          <w:cantSplit/>
          <w:trHeight w:val="714" w:hRule="atLeast"/>
          <w:jc w:val="center"/>
        </w:trPr>
        <w:tc>
          <w:tcPr>
            <w:tcW w:w="1372" w:type="dxa"/>
            <w:vAlign w:val="center"/>
          </w:tcPr>
          <w:p>
            <w:pPr>
              <w:autoSpaceDE w:val="0"/>
              <w:autoSpaceDN w:val="0"/>
              <w:adjustRightInd w:val="0"/>
              <w:spacing w:line="0" w:lineRule="atLeast"/>
              <w:jc w:val="center"/>
              <w:rPr>
                <w:rFonts w:eastAsia="仿宋_GB2312"/>
                <w:b/>
                <w:color w:val="auto"/>
                <w:highlight w:val="none"/>
              </w:rPr>
            </w:pPr>
            <w:r>
              <w:rPr>
                <w:rFonts w:hint="eastAsia" w:eastAsia="仿宋_GB2312"/>
                <w:b/>
                <w:color w:val="auto"/>
                <w:highlight w:val="none"/>
              </w:rPr>
              <w:t>合同编号</w:t>
            </w:r>
          </w:p>
        </w:tc>
        <w:tc>
          <w:tcPr>
            <w:tcW w:w="1559" w:type="dxa"/>
            <w:vAlign w:val="center"/>
          </w:tcPr>
          <w:p>
            <w:pPr>
              <w:autoSpaceDE w:val="0"/>
              <w:autoSpaceDN w:val="0"/>
              <w:adjustRightInd w:val="0"/>
              <w:spacing w:line="0" w:lineRule="atLeast"/>
              <w:jc w:val="center"/>
              <w:rPr>
                <w:rFonts w:eastAsia="仿宋_GB2312"/>
                <w:b/>
                <w:color w:val="auto"/>
                <w:highlight w:val="none"/>
              </w:rPr>
            </w:pPr>
            <w:r>
              <w:rPr>
                <w:rFonts w:hint="eastAsia" w:eastAsia="仿宋_GB2312"/>
                <w:b/>
                <w:color w:val="auto"/>
                <w:highlight w:val="none"/>
              </w:rPr>
              <w:t>买方名称</w:t>
            </w:r>
          </w:p>
        </w:tc>
        <w:tc>
          <w:tcPr>
            <w:tcW w:w="2136" w:type="dxa"/>
            <w:vAlign w:val="center"/>
          </w:tcPr>
          <w:p>
            <w:pPr>
              <w:autoSpaceDE w:val="0"/>
              <w:autoSpaceDN w:val="0"/>
              <w:adjustRightInd w:val="0"/>
              <w:spacing w:line="0" w:lineRule="atLeast"/>
              <w:jc w:val="center"/>
              <w:rPr>
                <w:rFonts w:eastAsia="仿宋_GB2312"/>
                <w:b/>
                <w:color w:val="auto"/>
                <w:highlight w:val="none"/>
              </w:rPr>
            </w:pPr>
            <w:r>
              <w:rPr>
                <w:rFonts w:hint="eastAsia" w:eastAsia="仿宋_GB2312"/>
                <w:b/>
                <w:color w:val="auto"/>
                <w:highlight w:val="none"/>
              </w:rPr>
              <w:t>房屋</w:t>
            </w:r>
            <w:r>
              <w:rPr>
                <w:rFonts w:eastAsia="仿宋_GB2312"/>
                <w:b/>
                <w:color w:val="auto"/>
                <w:highlight w:val="none"/>
              </w:rPr>
              <w:t>坐落</w:t>
            </w:r>
          </w:p>
        </w:tc>
        <w:tc>
          <w:tcPr>
            <w:tcW w:w="592" w:type="dxa"/>
            <w:vAlign w:val="center"/>
          </w:tcPr>
          <w:p>
            <w:pPr>
              <w:autoSpaceDE w:val="0"/>
              <w:autoSpaceDN w:val="0"/>
              <w:adjustRightInd w:val="0"/>
              <w:spacing w:line="0" w:lineRule="atLeast"/>
              <w:jc w:val="center"/>
              <w:rPr>
                <w:rFonts w:eastAsia="仿宋_GB2312"/>
                <w:b/>
                <w:color w:val="auto"/>
                <w:highlight w:val="none"/>
              </w:rPr>
            </w:pPr>
            <w:r>
              <w:rPr>
                <w:rFonts w:hint="eastAsia" w:eastAsia="仿宋_GB2312"/>
                <w:b/>
                <w:color w:val="auto"/>
                <w:highlight w:val="none"/>
              </w:rPr>
              <w:t>实际</w:t>
            </w:r>
            <w:r>
              <w:rPr>
                <w:rFonts w:eastAsia="仿宋_GB2312"/>
                <w:b/>
                <w:color w:val="auto"/>
                <w:highlight w:val="none"/>
              </w:rPr>
              <w:t>结构</w:t>
            </w:r>
          </w:p>
        </w:tc>
        <w:tc>
          <w:tcPr>
            <w:tcW w:w="579" w:type="dxa"/>
            <w:vAlign w:val="center"/>
          </w:tcPr>
          <w:p>
            <w:pPr>
              <w:autoSpaceDE w:val="0"/>
              <w:autoSpaceDN w:val="0"/>
              <w:adjustRightInd w:val="0"/>
              <w:snapToGrid w:val="0"/>
              <w:jc w:val="center"/>
              <w:rPr>
                <w:rFonts w:eastAsia="仿宋_GB2312"/>
                <w:b/>
                <w:color w:val="auto"/>
                <w:highlight w:val="none"/>
              </w:rPr>
            </w:pPr>
            <w:r>
              <w:rPr>
                <w:rFonts w:hint="eastAsia" w:eastAsia="仿宋_GB2312"/>
                <w:b/>
                <w:color w:val="auto"/>
                <w:highlight w:val="none"/>
              </w:rPr>
              <w:t>规划用途</w:t>
            </w:r>
          </w:p>
        </w:tc>
        <w:tc>
          <w:tcPr>
            <w:tcW w:w="870" w:type="dxa"/>
            <w:vAlign w:val="center"/>
          </w:tcPr>
          <w:p>
            <w:pPr>
              <w:autoSpaceDE w:val="0"/>
              <w:autoSpaceDN w:val="0"/>
              <w:adjustRightInd w:val="0"/>
              <w:spacing w:line="0" w:lineRule="atLeast"/>
              <w:jc w:val="center"/>
              <w:rPr>
                <w:rFonts w:eastAsia="仿宋_GB2312"/>
                <w:b/>
                <w:color w:val="auto"/>
                <w:highlight w:val="none"/>
              </w:rPr>
            </w:pPr>
            <w:r>
              <w:rPr>
                <w:rFonts w:eastAsia="仿宋_GB2312"/>
                <w:b/>
                <w:color w:val="auto"/>
                <w:highlight w:val="none"/>
              </w:rPr>
              <w:t>评估层/</w:t>
            </w:r>
          </w:p>
          <w:p>
            <w:pPr>
              <w:autoSpaceDE w:val="0"/>
              <w:autoSpaceDN w:val="0"/>
              <w:adjustRightInd w:val="0"/>
              <w:spacing w:line="0" w:lineRule="atLeast"/>
              <w:jc w:val="center"/>
              <w:rPr>
                <w:rFonts w:eastAsia="仿宋_GB2312"/>
                <w:b/>
                <w:color w:val="auto"/>
                <w:highlight w:val="none"/>
              </w:rPr>
            </w:pPr>
            <w:r>
              <w:rPr>
                <w:rFonts w:eastAsia="仿宋_GB2312"/>
                <w:b/>
                <w:color w:val="auto"/>
                <w:highlight w:val="none"/>
              </w:rPr>
              <w:t>总层数</w:t>
            </w:r>
          </w:p>
        </w:tc>
        <w:tc>
          <w:tcPr>
            <w:tcW w:w="926" w:type="dxa"/>
            <w:vAlign w:val="center"/>
          </w:tcPr>
          <w:p>
            <w:pPr>
              <w:autoSpaceDE w:val="0"/>
              <w:autoSpaceDN w:val="0"/>
              <w:adjustRightInd w:val="0"/>
              <w:spacing w:line="0" w:lineRule="atLeast"/>
              <w:jc w:val="center"/>
              <w:rPr>
                <w:rFonts w:eastAsia="仿宋_GB2312"/>
                <w:b/>
                <w:color w:val="auto"/>
                <w:highlight w:val="none"/>
              </w:rPr>
            </w:pPr>
            <w:r>
              <w:rPr>
                <w:rFonts w:eastAsia="仿宋_GB2312"/>
                <w:b/>
                <w:color w:val="auto"/>
                <w:highlight w:val="none"/>
              </w:rPr>
              <w:t>建筑面积(M</w:t>
            </w:r>
            <w:r>
              <w:rPr>
                <w:rFonts w:eastAsia="仿宋_GB2312"/>
                <w:b/>
                <w:color w:val="auto"/>
                <w:highlight w:val="none"/>
                <w:vertAlign w:val="superscript"/>
              </w:rPr>
              <w:t>2</w:t>
            </w:r>
            <w:r>
              <w:rPr>
                <w:rFonts w:eastAsia="仿宋_GB2312"/>
                <w:b/>
                <w:color w:val="auto"/>
                <w:highlight w:val="none"/>
              </w:rPr>
              <w:t>)</w:t>
            </w:r>
          </w:p>
        </w:tc>
        <w:tc>
          <w:tcPr>
            <w:tcW w:w="1086" w:type="dxa"/>
            <w:vAlign w:val="center"/>
          </w:tcPr>
          <w:p>
            <w:pPr>
              <w:autoSpaceDE w:val="0"/>
              <w:autoSpaceDN w:val="0"/>
              <w:adjustRightInd w:val="0"/>
              <w:spacing w:line="0" w:lineRule="atLeast"/>
              <w:jc w:val="center"/>
              <w:rPr>
                <w:rFonts w:eastAsia="仿宋_GB2312"/>
                <w:b/>
                <w:color w:val="auto"/>
                <w:highlight w:val="none"/>
              </w:rPr>
            </w:pPr>
            <w:r>
              <w:rPr>
                <w:rFonts w:hint="eastAsia" w:eastAsia="仿宋_GB2312"/>
                <w:b/>
                <w:color w:val="auto"/>
                <w:highlight w:val="none"/>
              </w:rPr>
              <w:t>评估</w:t>
            </w:r>
            <w:r>
              <w:rPr>
                <w:rFonts w:eastAsia="仿宋_GB2312"/>
                <w:b/>
                <w:color w:val="auto"/>
                <w:highlight w:val="none"/>
              </w:rPr>
              <w:t>单价（元</w:t>
            </w:r>
            <w:r>
              <w:rPr>
                <w:rFonts w:hint="eastAsia" w:eastAsia="仿宋_GB2312"/>
                <w:b/>
                <w:color w:val="auto"/>
                <w:highlight w:val="none"/>
              </w:rPr>
              <w:t>/</w:t>
            </w:r>
            <w:r>
              <w:rPr>
                <w:rFonts w:eastAsia="仿宋_GB2312"/>
                <w:b/>
                <w:color w:val="auto"/>
                <w:highlight w:val="none"/>
              </w:rPr>
              <w:t xml:space="preserve"> M</w:t>
            </w:r>
            <w:r>
              <w:rPr>
                <w:rFonts w:eastAsia="仿宋_GB2312"/>
                <w:b/>
                <w:color w:val="auto"/>
                <w:highlight w:val="none"/>
                <w:vertAlign w:val="superscript"/>
              </w:rPr>
              <w:t>2</w:t>
            </w:r>
            <w:r>
              <w:rPr>
                <w:rFonts w:eastAsia="仿宋_GB2312"/>
                <w:b/>
                <w:color w:val="auto"/>
                <w:highlight w:val="none"/>
              </w:rPr>
              <w:t>）</w:t>
            </w:r>
          </w:p>
        </w:tc>
        <w:tc>
          <w:tcPr>
            <w:tcW w:w="1134" w:type="dxa"/>
            <w:vAlign w:val="center"/>
          </w:tcPr>
          <w:p>
            <w:pPr>
              <w:autoSpaceDE w:val="0"/>
              <w:autoSpaceDN w:val="0"/>
              <w:adjustRightInd w:val="0"/>
              <w:spacing w:line="0" w:lineRule="atLeast"/>
              <w:jc w:val="center"/>
              <w:rPr>
                <w:rFonts w:eastAsia="仿宋_GB2312"/>
                <w:b/>
                <w:color w:val="auto"/>
                <w:highlight w:val="none"/>
              </w:rPr>
            </w:pPr>
            <w:r>
              <w:rPr>
                <w:rFonts w:hint="eastAsia" w:eastAsia="仿宋_GB2312"/>
                <w:b/>
                <w:color w:val="auto"/>
                <w:highlight w:val="none"/>
              </w:rPr>
              <w:t>评估总价</w:t>
            </w:r>
            <w:r>
              <w:rPr>
                <w:rFonts w:eastAsia="仿宋_GB2312"/>
                <w:b/>
                <w:color w:val="auto"/>
                <w:highlight w:val="none"/>
              </w:rPr>
              <w:t>(</w:t>
            </w:r>
            <w:r>
              <w:rPr>
                <w:rFonts w:hint="eastAsia" w:eastAsia="仿宋_GB2312"/>
                <w:b/>
                <w:color w:val="auto"/>
                <w:highlight w:val="none"/>
              </w:rPr>
              <w:t>万</w:t>
            </w:r>
            <w:r>
              <w:rPr>
                <w:rFonts w:eastAsia="仿宋_GB2312"/>
                <w:b/>
                <w:color w:val="auto"/>
                <w:highlight w:val="none"/>
              </w:rPr>
              <w:t>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30" w:type="dxa"/>
            <w:bottom w:w="0" w:type="dxa"/>
            <w:right w:w="30" w:type="dxa"/>
          </w:tblCellMar>
        </w:tblPrEx>
        <w:trPr>
          <w:cantSplit/>
          <w:trHeight w:val="575" w:hRule="atLeast"/>
          <w:jc w:val="center"/>
        </w:trPr>
        <w:tc>
          <w:tcPr>
            <w:tcW w:w="1372" w:type="dxa"/>
            <w:vAlign w:val="center"/>
          </w:tcPr>
          <w:p>
            <w:pPr>
              <w:autoSpaceDE w:val="0"/>
              <w:autoSpaceDN w:val="0"/>
              <w:adjustRightInd w:val="0"/>
              <w:spacing w:line="0" w:lineRule="atLeast"/>
              <w:jc w:val="center"/>
              <w:rPr>
                <w:rFonts w:eastAsia="仿宋_GB2312"/>
                <w:color w:val="auto"/>
                <w:highlight w:val="none"/>
              </w:rPr>
            </w:pPr>
            <w:r>
              <w:rPr>
                <w:rFonts w:hint="eastAsia" w:eastAsia="仿宋_GB2312"/>
                <w:color w:val="auto"/>
                <w:highlight w:val="none"/>
              </w:rPr>
              <w:t>20160702346</w:t>
            </w:r>
          </w:p>
        </w:tc>
        <w:tc>
          <w:tcPr>
            <w:tcW w:w="1559" w:type="dxa"/>
            <w:vAlign w:val="center"/>
          </w:tcPr>
          <w:p>
            <w:pPr>
              <w:autoSpaceDE w:val="0"/>
              <w:autoSpaceDN w:val="0"/>
              <w:adjustRightInd w:val="0"/>
              <w:spacing w:line="0" w:lineRule="atLeast"/>
              <w:jc w:val="center"/>
              <w:rPr>
                <w:rFonts w:eastAsia="仿宋_GB2312"/>
                <w:color w:val="auto"/>
                <w:highlight w:val="none"/>
              </w:rPr>
            </w:pPr>
            <w:r>
              <w:rPr>
                <w:rFonts w:hint="eastAsia" w:eastAsia="仿宋_GB2312"/>
                <w:color w:val="auto"/>
                <w:highlight w:val="none"/>
              </w:rPr>
              <w:t>宋慧、崔国强</w:t>
            </w:r>
          </w:p>
        </w:tc>
        <w:tc>
          <w:tcPr>
            <w:tcW w:w="2136" w:type="dxa"/>
            <w:vAlign w:val="center"/>
          </w:tcPr>
          <w:p>
            <w:pPr>
              <w:autoSpaceDE w:val="0"/>
              <w:autoSpaceDN w:val="0"/>
              <w:adjustRightInd w:val="0"/>
              <w:snapToGrid w:val="0"/>
              <w:jc w:val="center"/>
              <w:rPr>
                <w:rFonts w:eastAsia="仿宋_GB2312"/>
                <w:bCs/>
                <w:color w:val="auto"/>
                <w:highlight w:val="none"/>
              </w:rPr>
            </w:pPr>
            <w:r>
              <w:rPr>
                <w:rFonts w:hint="eastAsia" w:eastAsia="仿宋_GB2312"/>
                <w:bCs/>
                <w:color w:val="auto"/>
                <w:highlight w:val="none"/>
              </w:rPr>
              <w:t>长塘镇1-2幢1#-405室</w:t>
            </w:r>
          </w:p>
        </w:tc>
        <w:tc>
          <w:tcPr>
            <w:tcW w:w="592" w:type="dxa"/>
            <w:vAlign w:val="center"/>
          </w:tcPr>
          <w:p>
            <w:pPr>
              <w:autoSpaceDE w:val="0"/>
              <w:autoSpaceDN w:val="0"/>
              <w:adjustRightInd w:val="0"/>
              <w:spacing w:line="0" w:lineRule="atLeast"/>
              <w:jc w:val="center"/>
              <w:rPr>
                <w:rFonts w:eastAsia="仿宋_GB2312"/>
                <w:color w:val="auto"/>
                <w:highlight w:val="none"/>
              </w:rPr>
            </w:pPr>
            <w:r>
              <w:rPr>
                <w:rFonts w:hint="eastAsia" w:eastAsia="仿宋_GB2312"/>
                <w:color w:val="auto"/>
                <w:highlight w:val="none"/>
              </w:rPr>
              <w:t>钢混</w:t>
            </w:r>
          </w:p>
        </w:tc>
        <w:tc>
          <w:tcPr>
            <w:tcW w:w="579" w:type="dxa"/>
            <w:vAlign w:val="center"/>
          </w:tcPr>
          <w:p>
            <w:pPr>
              <w:autoSpaceDE w:val="0"/>
              <w:autoSpaceDN w:val="0"/>
              <w:adjustRightInd w:val="0"/>
              <w:snapToGrid w:val="0"/>
              <w:jc w:val="center"/>
              <w:rPr>
                <w:rFonts w:eastAsia="仿宋_GB2312"/>
                <w:color w:val="auto"/>
                <w:highlight w:val="none"/>
              </w:rPr>
            </w:pPr>
            <w:r>
              <w:rPr>
                <w:rFonts w:hint="eastAsia" w:eastAsia="仿宋_GB2312"/>
                <w:color w:val="auto"/>
                <w:highlight w:val="none"/>
              </w:rPr>
              <w:t>住宅</w:t>
            </w:r>
          </w:p>
        </w:tc>
        <w:tc>
          <w:tcPr>
            <w:tcW w:w="870" w:type="dxa"/>
            <w:vAlign w:val="center"/>
          </w:tcPr>
          <w:p>
            <w:pPr>
              <w:autoSpaceDE w:val="0"/>
              <w:autoSpaceDN w:val="0"/>
              <w:adjustRightInd w:val="0"/>
              <w:snapToGrid w:val="0"/>
              <w:jc w:val="center"/>
              <w:rPr>
                <w:rFonts w:eastAsia="仿宋_GB2312"/>
                <w:color w:val="auto"/>
                <w:highlight w:val="none"/>
              </w:rPr>
            </w:pPr>
            <w:r>
              <w:rPr>
                <w:rFonts w:hint="eastAsia" w:eastAsia="仿宋_GB2312"/>
                <w:color w:val="auto"/>
                <w:highlight w:val="none"/>
              </w:rPr>
              <w:t>4-6/7</w:t>
            </w:r>
          </w:p>
        </w:tc>
        <w:tc>
          <w:tcPr>
            <w:tcW w:w="926" w:type="dxa"/>
            <w:vAlign w:val="center"/>
          </w:tcPr>
          <w:p>
            <w:pPr>
              <w:spacing w:line="0" w:lineRule="atLeast"/>
              <w:jc w:val="center"/>
              <w:rPr>
                <w:rFonts w:eastAsia="仿宋_GB2312"/>
                <w:color w:val="auto"/>
                <w:highlight w:val="none"/>
              </w:rPr>
            </w:pPr>
            <w:r>
              <w:rPr>
                <w:rFonts w:hint="eastAsia" w:eastAsia="仿宋_GB2312"/>
                <w:color w:val="auto"/>
                <w:highlight w:val="none"/>
              </w:rPr>
              <w:t>227.61</w:t>
            </w:r>
          </w:p>
        </w:tc>
        <w:tc>
          <w:tcPr>
            <w:tcW w:w="1086" w:type="dxa"/>
            <w:vAlign w:val="center"/>
          </w:tcPr>
          <w:p>
            <w:pPr>
              <w:autoSpaceDE w:val="0"/>
              <w:autoSpaceDN w:val="0"/>
              <w:adjustRightInd w:val="0"/>
              <w:spacing w:line="0" w:lineRule="atLeast"/>
              <w:jc w:val="center"/>
              <w:rPr>
                <w:rFonts w:eastAsia="仿宋_GB2312"/>
                <w:color w:val="auto"/>
                <w:highlight w:val="none"/>
              </w:rPr>
            </w:pPr>
            <w:r>
              <w:rPr>
                <w:rFonts w:hint="eastAsia" w:eastAsia="仿宋_GB2312"/>
                <w:color w:val="auto"/>
                <w:highlight w:val="none"/>
              </w:rPr>
              <w:t>6070</w:t>
            </w:r>
          </w:p>
        </w:tc>
        <w:tc>
          <w:tcPr>
            <w:tcW w:w="1134" w:type="dxa"/>
            <w:vAlign w:val="center"/>
          </w:tcPr>
          <w:p>
            <w:pPr>
              <w:widowControl/>
              <w:jc w:val="center"/>
              <w:textAlignment w:val="bottom"/>
              <w:rPr>
                <w:rFonts w:eastAsia="仿宋_GB2312"/>
                <w:color w:val="auto"/>
                <w:highlight w:val="none"/>
              </w:rPr>
            </w:pPr>
            <w:r>
              <w:rPr>
                <w:rFonts w:eastAsia="仿宋_GB2312"/>
                <w:color w:val="auto"/>
                <w:kern w:val="0"/>
                <w:highlight w:val="none"/>
              </w:rPr>
              <w:t>138.16</w:t>
            </w:r>
          </w:p>
        </w:tc>
      </w:tr>
    </w:tbl>
    <w:p>
      <w:pPr>
        <w:widowControl/>
        <w:spacing w:line="300" w:lineRule="exact"/>
        <w:ind w:firstLine="422" w:firstLineChars="200"/>
        <w:jc w:val="left"/>
        <w:rPr>
          <w:rFonts w:eastAsia="仿宋_GB2312" w:cs="仿宋_GB2312"/>
          <w:b/>
          <w:bCs/>
          <w:color w:val="auto"/>
          <w:highlight w:val="none"/>
        </w:rPr>
      </w:pPr>
      <w:r>
        <w:rPr>
          <w:rFonts w:hint="eastAsia" w:eastAsia="仿宋_GB2312" w:cs="仿宋_GB2312"/>
          <w:b/>
          <w:bCs/>
          <w:color w:val="auto"/>
          <w:highlight w:val="none"/>
        </w:rPr>
        <w:t>特别提示：</w:t>
      </w:r>
    </w:p>
    <w:p>
      <w:pPr>
        <w:widowControl/>
        <w:adjustRightInd w:val="0"/>
        <w:snapToGrid w:val="0"/>
        <w:spacing w:line="280" w:lineRule="exact"/>
        <w:ind w:firstLine="357"/>
        <w:rPr>
          <w:rFonts w:eastAsia="仿宋_GB2312"/>
          <w:color w:val="auto"/>
          <w:highlight w:val="none"/>
        </w:rPr>
      </w:pPr>
      <w:r>
        <w:rPr>
          <w:rFonts w:eastAsia="仿宋_GB2312"/>
          <w:color w:val="auto"/>
          <w:highlight w:val="none"/>
        </w:rPr>
        <w:t>1</w:t>
      </w:r>
      <w:r>
        <w:rPr>
          <w:rFonts w:hint="eastAsia" w:eastAsia="仿宋_GB2312" w:cs="仿宋_GB2312"/>
          <w:color w:val="auto"/>
          <w:highlight w:val="none"/>
        </w:rPr>
        <w:t>、上述估价结果中不包含处置时的司法诉讼费用、拍卖佣金、过户税费及其他应付费用等。</w:t>
      </w:r>
    </w:p>
    <w:p>
      <w:pPr>
        <w:widowControl/>
        <w:adjustRightInd w:val="0"/>
        <w:snapToGrid w:val="0"/>
        <w:spacing w:line="280" w:lineRule="exact"/>
        <w:ind w:firstLine="357"/>
        <w:rPr>
          <w:rFonts w:ascii="宋体" w:hAnsi="宋体"/>
          <w:b/>
          <w:color w:val="auto"/>
          <w:highlight w:val="none"/>
        </w:rPr>
      </w:pPr>
      <w:r>
        <w:rPr>
          <w:rFonts w:eastAsia="仿宋_GB2312"/>
          <w:color w:val="auto"/>
          <w:highlight w:val="none"/>
        </w:rPr>
        <w:t>2</w:t>
      </w:r>
      <w:r>
        <w:rPr>
          <w:rFonts w:hint="eastAsia" w:eastAsia="仿宋_GB2312" w:cs="仿宋_GB2312"/>
          <w:color w:val="auto"/>
          <w:highlight w:val="none"/>
        </w:rPr>
        <w:t>、报告使用人在使用本报告之前须对报告全文，特别是“估价的假设和限制条件”认真阅读，以免使用不当，造成损失！估价的详细结果、过程及有关说明，请见《估价结果报告》。本估价报告自出报告之日起一年内有效。</w:t>
      </w:r>
    </w:p>
    <w:p>
      <w:pPr>
        <w:widowControl/>
        <w:adjustRightInd w:val="0"/>
        <w:snapToGrid w:val="0"/>
        <w:spacing w:line="280" w:lineRule="exact"/>
        <w:ind w:firstLine="357"/>
        <w:rPr>
          <w:rFonts w:eastAsia="仿宋_GB2312" w:cs="仿宋_GB2312"/>
          <w:color w:val="auto"/>
          <w:highlight w:val="none"/>
        </w:rPr>
      </w:pPr>
      <w:r>
        <w:rPr>
          <w:rFonts w:hint="eastAsia" w:eastAsia="仿宋_GB2312" w:cs="仿宋_GB2312"/>
          <w:color w:val="auto"/>
          <w:highlight w:val="none"/>
        </w:rPr>
        <w:t>3、因财产拍卖（或者变卖）日期与价值时点不一致，评估对象状况或者房地产市场状况的变化会对评估结果产生影响。</w:t>
      </w:r>
    </w:p>
    <w:p>
      <w:pPr>
        <w:widowControl/>
        <w:adjustRightInd w:val="0"/>
        <w:snapToGrid w:val="0"/>
        <w:spacing w:line="280" w:lineRule="exact"/>
        <w:ind w:firstLine="357"/>
        <w:rPr>
          <w:rFonts w:eastAsia="仿宋_GB2312" w:cs="仿宋_GB2312"/>
          <w:color w:val="auto"/>
          <w:highlight w:val="none"/>
        </w:rPr>
      </w:pPr>
      <w:r>
        <w:rPr>
          <w:rFonts w:hint="eastAsia" w:eastAsia="仿宋_GB2312" w:cs="仿宋_GB2312"/>
          <w:color w:val="auto"/>
          <w:highlight w:val="none"/>
        </w:rPr>
        <w:t>4、评估结果不等于评估对象处置可实现的成交价，不应被认为是对评估对象处置成交价的保证。</w:t>
      </w:r>
    </w:p>
    <w:p>
      <w:pPr>
        <w:snapToGrid w:val="0"/>
        <w:spacing w:line="500" w:lineRule="exact"/>
        <w:jc w:val="right"/>
        <w:rPr>
          <w:rFonts w:eastAsia="仿宋_GB2312" w:cs="仿宋_GB2312"/>
          <w:color w:val="auto"/>
          <w:sz w:val="28"/>
          <w:szCs w:val="28"/>
          <w:highlight w:val="none"/>
        </w:rPr>
      </w:pPr>
      <w:r>
        <w:rPr>
          <w:rFonts w:hint="eastAsia" w:eastAsia="仿宋_GB2312" w:cs="仿宋_GB2312"/>
          <w:color w:val="auto"/>
          <w:sz w:val="28"/>
          <w:szCs w:val="28"/>
          <w:highlight w:val="none"/>
        </w:rPr>
        <w:t>江西同致房地产土地资产评估咨询有限公司</w:t>
      </w:r>
    </w:p>
    <w:p>
      <w:pPr>
        <w:snapToGrid w:val="0"/>
        <w:spacing w:line="500" w:lineRule="exact"/>
        <w:jc w:val="right"/>
        <w:rPr>
          <w:rFonts w:eastAsia="仿宋_GB2312" w:cs="仿宋_GB2312"/>
          <w:color w:val="auto"/>
          <w:sz w:val="28"/>
          <w:szCs w:val="28"/>
          <w:highlight w:val="none"/>
        </w:rPr>
      </w:pPr>
    </w:p>
    <w:p>
      <w:pPr>
        <w:snapToGrid w:val="0"/>
        <w:spacing w:line="500" w:lineRule="exact"/>
        <w:ind w:right="560" w:firstLine="4200" w:firstLineChars="1500"/>
        <w:rPr>
          <w:rFonts w:eastAsia="仿宋_GB2312" w:cs="仿宋_GB2312"/>
          <w:color w:val="auto"/>
          <w:sz w:val="28"/>
          <w:szCs w:val="28"/>
          <w:highlight w:val="none"/>
        </w:rPr>
      </w:pPr>
      <w:bookmarkStart w:id="10" w:name="_Toc383068120"/>
      <w:bookmarkStart w:id="11" w:name="_Toc387827680"/>
      <w:bookmarkStart w:id="12" w:name="_Toc155258955"/>
      <w:bookmarkStart w:id="13" w:name="_Toc382493601"/>
      <w:bookmarkStart w:id="14" w:name="_Toc384813569"/>
      <w:r>
        <w:rPr>
          <w:rFonts w:hint="eastAsia" w:eastAsia="仿宋_GB2312" w:cs="仿宋_GB2312"/>
          <w:color w:val="auto"/>
          <w:sz w:val="28"/>
          <w:szCs w:val="28"/>
          <w:highlight w:val="none"/>
        </w:rPr>
        <w:t>法定代表人：</w:t>
      </w:r>
      <w:bookmarkEnd w:id="10"/>
      <w:bookmarkEnd w:id="11"/>
      <w:bookmarkEnd w:id="12"/>
      <w:bookmarkEnd w:id="13"/>
      <w:bookmarkEnd w:id="14"/>
    </w:p>
    <w:p>
      <w:pPr>
        <w:snapToGrid w:val="0"/>
        <w:spacing w:line="500" w:lineRule="exact"/>
        <w:ind w:right="560" w:firstLine="4200" w:firstLineChars="1500"/>
        <w:rPr>
          <w:rFonts w:eastAsia="仿宋_GB2312" w:cs="仿宋_GB2312"/>
          <w:color w:val="auto"/>
          <w:sz w:val="28"/>
          <w:szCs w:val="28"/>
          <w:highlight w:val="none"/>
        </w:rPr>
      </w:pPr>
    </w:p>
    <w:p>
      <w:pPr>
        <w:snapToGrid w:val="0"/>
        <w:spacing w:line="500" w:lineRule="exact"/>
        <w:ind w:right="560" w:firstLine="4200" w:firstLineChars="1500"/>
        <w:rPr>
          <w:rFonts w:eastAsia="仿宋_GB2312"/>
          <w:color w:val="auto"/>
          <w:sz w:val="28"/>
          <w:szCs w:val="28"/>
          <w:highlight w:val="none"/>
        </w:rPr>
      </w:pPr>
      <w:r>
        <w:rPr>
          <w:rFonts w:hint="eastAsia" w:eastAsia="仿宋_GB2312" w:cs="仿宋_GB2312"/>
          <w:color w:val="auto"/>
          <w:sz w:val="28"/>
          <w:szCs w:val="28"/>
          <w:highlight w:val="none"/>
        </w:rPr>
        <w:t>二O二二年十一月二十八日</w:t>
      </w:r>
    </w:p>
    <w:p>
      <w:pPr>
        <w:snapToGrid w:val="0"/>
        <w:spacing w:line="400" w:lineRule="exact"/>
        <w:rPr>
          <w:rFonts w:eastAsia="仿宋_GB2312"/>
          <w:color w:val="auto"/>
          <w:highlight w:val="none"/>
        </w:rPr>
        <w:sectPr>
          <w:headerReference r:id="rId6" w:type="default"/>
          <w:footerReference r:id="rId7" w:type="default"/>
          <w:pgSz w:w="11906" w:h="16838"/>
          <w:pgMar w:top="1814" w:right="1276" w:bottom="1418" w:left="1701" w:header="1418" w:footer="737" w:gutter="0"/>
          <w:pgNumType w:start="1"/>
          <w:cols w:space="425" w:num="1"/>
          <w:docGrid w:linePitch="312" w:charSpace="0"/>
        </w:sectPr>
      </w:pPr>
    </w:p>
    <w:p>
      <w:pPr>
        <w:tabs>
          <w:tab w:val="left" w:pos="4998"/>
        </w:tabs>
        <w:spacing w:line="480" w:lineRule="exact"/>
        <w:jc w:val="center"/>
        <w:rPr>
          <w:color w:val="auto"/>
          <w:highlight w:val="none"/>
        </w:rPr>
      </w:pPr>
      <w:bookmarkStart w:id="15" w:name="_Toc297122050"/>
      <w:bookmarkStart w:id="16" w:name="_Toc297196345"/>
      <w:bookmarkStart w:id="17" w:name="_Toc435110679"/>
      <w:bookmarkStart w:id="18" w:name="_Toc367869492"/>
      <w:bookmarkStart w:id="19" w:name="_Toc301369710"/>
      <w:r>
        <w:rPr>
          <w:rFonts w:hint="eastAsia" w:eastAsia="仿宋_GB2312" w:cs="仿宋_GB2312"/>
          <w:b/>
          <w:snapToGrid w:val="0"/>
          <w:color w:val="auto"/>
          <w:kern w:val="0"/>
          <w:sz w:val="32"/>
          <w:szCs w:val="32"/>
          <w:highlight w:val="none"/>
        </w:rPr>
        <w:t>目录</w:t>
      </w:r>
      <w:r>
        <w:rPr>
          <w:b/>
          <w:bCs/>
          <w:color w:val="auto"/>
          <w:highlight w:val="none"/>
        </w:rPr>
        <w:fldChar w:fldCharType="begin"/>
      </w:r>
      <w:r>
        <w:rPr>
          <w:b/>
          <w:bCs/>
          <w:color w:val="auto"/>
          <w:highlight w:val="none"/>
        </w:rPr>
        <w:instrText xml:space="preserve"> TOC \o "1-3" \h \z \u </w:instrText>
      </w:r>
      <w:r>
        <w:rPr>
          <w:b/>
          <w:bCs/>
          <w:color w:val="auto"/>
          <w:highlight w:val="none"/>
        </w:rPr>
        <w:fldChar w:fldCharType="separate"/>
      </w:r>
    </w:p>
    <w:p>
      <w:pPr>
        <w:pStyle w:val="29"/>
        <w:rPr>
          <w:b w:val="0"/>
          <w:bCs w:val="0"/>
          <w:color w:val="auto"/>
          <w:spacing w:val="0"/>
          <w:kern w:val="2"/>
          <w:sz w:val="28"/>
          <w:szCs w:val="28"/>
          <w:highlight w:val="none"/>
        </w:rPr>
      </w:pPr>
      <w:r>
        <w:rPr>
          <w:color w:val="auto"/>
          <w:highlight w:val="none"/>
        </w:rPr>
        <w:fldChar w:fldCharType="begin"/>
      </w:r>
      <w:r>
        <w:rPr>
          <w:color w:val="auto"/>
          <w:highlight w:val="none"/>
        </w:rPr>
        <w:instrText xml:space="preserve"> HYPERLINK \l "_Toc106179010" </w:instrText>
      </w:r>
      <w:r>
        <w:rPr>
          <w:color w:val="auto"/>
          <w:highlight w:val="none"/>
        </w:rPr>
        <w:fldChar w:fldCharType="separate"/>
      </w:r>
      <w:r>
        <w:rPr>
          <w:rStyle w:val="50"/>
          <w:color w:val="auto"/>
          <w:sz w:val="28"/>
          <w:szCs w:val="28"/>
          <w:highlight w:val="none"/>
        </w:rPr>
        <w:t>一、估价师声明</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_Toc106179010 \h </w:instrText>
      </w:r>
      <w:r>
        <w:rPr>
          <w:color w:val="auto"/>
          <w:sz w:val="28"/>
          <w:szCs w:val="28"/>
          <w:highlight w:val="none"/>
        </w:rPr>
        <w:fldChar w:fldCharType="separate"/>
      </w:r>
      <w:r>
        <w:rPr>
          <w:color w:val="auto"/>
          <w:sz w:val="28"/>
          <w:szCs w:val="28"/>
          <w:highlight w:val="none"/>
        </w:rPr>
        <w:t>1</w:t>
      </w:r>
      <w:r>
        <w:rPr>
          <w:color w:val="auto"/>
          <w:sz w:val="28"/>
          <w:szCs w:val="28"/>
          <w:highlight w:val="none"/>
        </w:rPr>
        <w:fldChar w:fldCharType="end"/>
      </w:r>
      <w:r>
        <w:rPr>
          <w:color w:val="auto"/>
          <w:sz w:val="28"/>
          <w:szCs w:val="28"/>
          <w:highlight w:val="none"/>
        </w:rPr>
        <w:fldChar w:fldCharType="end"/>
      </w:r>
    </w:p>
    <w:p>
      <w:pPr>
        <w:pStyle w:val="29"/>
        <w:rPr>
          <w:b w:val="0"/>
          <w:bCs w:val="0"/>
          <w:color w:val="auto"/>
          <w:spacing w:val="0"/>
          <w:kern w:val="2"/>
          <w:sz w:val="28"/>
          <w:szCs w:val="28"/>
          <w:highlight w:val="none"/>
        </w:rPr>
      </w:pPr>
      <w:r>
        <w:rPr>
          <w:color w:val="auto"/>
          <w:highlight w:val="none"/>
        </w:rPr>
        <w:fldChar w:fldCharType="begin"/>
      </w:r>
      <w:r>
        <w:rPr>
          <w:color w:val="auto"/>
          <w:highlight w:val="none"/>
        </w:rPr>
        <w:instrText xml:space="preserve"> HYPERLINK \l "_Toc106179011" </w:instrText>
      </w:r>
      <w:r>
        <w:rPr>
          <w:color w:val="auto"/>
          <w:highlight w:val="none"/>
        </w:rPr>
        <w:fldChar w:fldCharType="separate"/>
      </w:r>
      <w:r>
        <w:rPr>
          <w:rStyle w:val="50"/>
          <w:snapToGrid w:val="0"/>
          <w:color w:val="auto"/>
          <w:sz w:val="28"/>
          <w:szCs w:val="28"/>
          <w:highlight w:val="none"/>
        </w:rPr>
        <w:t>二、估价假设和限制条件</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_Toc106179011 \h </w:instrText>
      </w:r>
      <w:r>
        <w:rPr>
          <w:color w:val="auto"/>
          <w:sz w:val="28"/>
          <w:szCs w:val="28"/>
          <w:highlight w:val="none"/>
        </w:rPr>
        <w:fldChar w:fldCharType="separate"/>
      </w:r>
      <w:r>
        <w:rPr>
          <w:color w:val="auto"/>
          <w:sz w:val="28"/>
          <w:szCs w:val="28"/>
          <w:highlight w:val="none"/>
        </w:rPr>
        <w:t>2</w:t>
      </w:r>
      <w:r>
        <w:rPr>
          <w:color w:val="auto"/>
          <w:sz w:val="28"/>
          <w:szCs w:val="28"/>
          <w:highlight w:val="none"/>
        </w:rPr>
        <w:fldChar w:fldCharType="end"/>
      </w:r>
      <w:r>
        <w:rPr>
          <w:color w:val="auto"/>
          <w:sz w:val="28"/>
          <w:szCs w:val="28"/>
          <w:highlight w:val="none"/>
        </w:rPr>
        <w:fldChar w:fldCharType="end"/>
      </w:r>
    </w:p>
    <w:p>
      <w:pPr>
        <w:pStyle w:val="29"/>
        <w:rPr>
          <w:b w:val="0"/>
          <w:bCs w:val="0"/>
          <w:color w:val="auto"/>
          <w:spacing w:val="0"/>
          <w:kern w:val="2"/>
          <w:sz w:val="28"/>
          <w:szCs w:val="28"/>
          <w:highlight w:val="none"/>
        </w:rPr>
      </w:pPr>
      <w:r>
        <w:rPr>
          <w:color w:val="auto"/>
          <w:highlight w:val="none"/>
        </w:rPr>
        <w:fldChar w:fldCharType="begin"/>
      </w:r>
      <w:r>
        <w:rPr>
          <w:color w:val="auto"/>
          <w:highlight w:val="none"/>
        </w:rPr>
        <w:instrText xml:space="preserve"> HYPERLINK \l "_Toc106179012" </w:instrText>
      </w:r>
      <w:r>
        <w:rPr>
          <w:color w:val="auto"/>
          <w:highlight w:val="none"/>
        </w:rPr>
        <w:fldChar w:fldCharType="separate"/>
      </w:r>
      <w:r>
        <w:rPr>
          <w:rStyle w:val="50"/>
          <w:snapToGrid w:val="0"/>
          <w:color w:val="auto"/>
          <w:sz w:val="28"/>
          <w:szCs w:val="28"/>
          <w:highlight w:val="none"/>
        </w:rPr>
        <w:t>三、估价结果报告</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_Toc106179012 \h </w:instrText>
      </w:r>
      <w:r>
        <w:rPr>
          <w:color w:val="auto"/>
          <w:sz w:val="28"/>
          <w:szCs w:val="28"/>
          <w:highlight w:val="none"/>
        </w:rPr>
        <w:fldChar w:fldCharType="separate"/>
      </w:r>
      <w:r>
        <w:rPr>
          <w:color w:val="auto"/>
          <w:sz w:val="28"/>
          <w:szCs w:val="28"/>
          <w:highlight w:val="none"/>
        </w:rPr>
        <w:t>5</w:t>
      </w:r>
      <w:r>
        <w:rPr>
          <w:color w:val="auto"/>
          <w:sz w:val="28"/>
          <w:szCs w:val="28"/>
          <w:highlight w:val="none"/>
        </w:rPr>
        <w:fldChar w:fldCharType="end"/>
      </w:r>
      <w:r>
        <w:rPr>
          <w:color w:val="auto"/>
          <w:sz w:val="28"/>
          <w:szCs w:val="28"/>
          <w:highlight w:val="none"/>
        </w:rPr>
        <w:fldChar w:fldCharType="end"/>
      </w:r>
    </w:p>
    <w:p>
      <w:pPr>
        <w:pStyle w:val="38"/>
        <w:rPr>
          <w:rFonts w:ascii="Times New Roman" w:hAnsi="Times New Roman" w:eastAsia="仿宋_GB2312" w:cs="Times New Roman"/>
          <w:color w:val="auto"/>
          <w:sz w:val="21"/>
          <w:szCs w:val="22"/>
          <w:highlight w:val="none"/>
        </w:rPr>
      </w:pPr>
      <w:r>
        <w:rPr>
          <w:color w:val="auto"/>
          <w:highlight w:val="none"/>
        </w:rPr>
        <w:fldChar w:fldCharType="begin"/>
      </w:r>
      <w:r>
        <w:rPr>
          <w:color w:val="auto"/>
          <w:highlight w:val="none"/>
        </w:rPr>
        <w:instrText xml:space="preserve"> HYPERLINK \l "_Toc106179013" </w:instrText>
      </w:r>
      <w:r>
        <w:rPr>
          <w:color w:val="auto"/>
          <w:highlight w:val="none"/>
        </w:rPr>
        <w:fldChar w:fldCharType="separate"/>
      </w:r>
      <w:r>
        <w:rPr>
          <w:rStyle w:val="50"/>
          <w:rFonts w:ascii="Times New Roman" w:hAnsi="Times New Roman" w:eastAsia="仿宋_GB2312" w:cs="Times New Roman"/>
          <w:color w:val="auto"/>
          <w:highlight w:val="none"/>
        </w:rPr>
        <w:t>（一）估价委托人</w:t>
      </w:r>
      <w:r>
        <w:rPr>
          <w:rFonts w:ascii="Times New Roman" w:hAnsi="Times New Roman" w:eastAsia="仿宋_GB2312" w:cs="Times New Roman"/>
          <w:color w:val="auto"/>
          <w:highlight w:val="none"/>
        </w:rPr>
        <w:tab/>
      </w:r>
      <w:r>
        <w:rPr>
          <w:rFonts w:ascii="Times New Roman" w:hAnsi="Times New Roman" w:eastAsia="仿宋_GB2312" w:cs="Times New Roman"/>
          <w:color w:val="auto"/>
          <w:highlight w:val="none"/>
        </w:rPr>
        <w:fldChar w:fldCharType="begin"/>
      </w:r>
      <w:r>
        <w:rPr>
          <w:rFonts w:ascii="Times New Roman" w:hAnsi="Times New Roman" w:eastAsia="仿宋_GB2312" w:cs="Times New Roman"/>
          <w:color w:val="auto"/>
          <w:highlight w:val="none"/>
        </w:rPr>
        <w:instrText xml:space="preserve"> PAGEREF _Toc106179013 \h </w:instrText>
      </w:r>
      <w:r>
        <w:rPr>
          <w:rFonts w:ascii="Times New Roman" w:hAnsi="Times New Roman" w:eastAsia="仿宋_GB2312" w:cs="Times New Roman"/>
          <w:color w:val="auto"/>
          <w:highlight w:val="none"/>
        </w:rPr>
        <w:fldChar w:fldCharType="separate"/>
      </w:r>
      <w:r>
        <w:rPr>
          <w:rFonts w:ascii="Times New Roman" w:hAnsi="Times New Roman" w:eastAsia="仿宋_GB2312" w:cs="Times New Roman"/>
          <w:color w:val="auto"/>
          <w:highlight w:val="none"/>
        </w:rPr>
        <w:t>5</w:t>
      </w:r>
      <w:r>
        <w:rPr>
          <w:rFonts w:ascii="Times New Roman" w:hAnsi="Times New Roman" w:eastAsia="仿宋_GB2312" w:cs="Times New Roman"/>
          <w:color w:val="auto"/>
          <w:highlight w:val="none"/>
        </w:rPr>
        <w:fldChar w:fldCharType="end"/>
      </w:r>
      <w:r>
        <w:rPr>
          <w:rFonts w:ascii="Times New Roman" w:hAnsi="Times New Roman" w:eastAsia="仿宋_GB2312" w:cs="Times New Roman"/>
          <w:color w:val="auto"/>
          <w:highlight w:val="none"/>
        </w:rPr>
        <w:fldChar w:fldCharType="end"/>
      </w:r>
    </w:p>
    <w:p>
      <w:pPr>
        <w:pStyle w:val="38"/>
        <w:rPr>
          <w:rFonts w:ascii="Times New Roman" w:hAnsi="Times New Roman" w:eastAsia="仿宋_GB2312" w:cs="Times New Roman"/>
          <w:color w:val="auto"/>
          <w:sz w:val="21"/>
          <w:szCs w:val="22"/>
          <w:highlight w:val="none"/>
        </w:rPr>
      </w:pPr>
      <w:r>
        <w:rPr>
          <w:color w:val="auto"/>
          <w:highlight w:val="none"/>
        </w:rPr>
        <w:fldChar w:fldCharType="begin"/>
      </w:r>
      <w:r>
        <w:rPr>
          <w:color w:val="auto"/>
          <w:highlight w:val="none"/>
        </w:rPr>
        <w:instrText xml:space="preserve"> HYPERLINK \l "_Toc106179014" </w:instrText>
      </w:r>
      <w:r>
        <w:rPr>
          <w:color w:val="auto"/>
          <w:highlight w:val="none"/>
        </w:rPr>
        <w:fldChar w:fldCharType="separate"/>
      </w:r>
      <w:r>
        <w:rPr>
          <w:rStyle w:val="50"/>
          <w:rFonts w:ascii="Times New Roman" w:hAnsi="Times New Roman" w:eastAsia="仿宋_GB2312" w:cs="Times New Roman"/>
          <w:color w:val="auto"/>
          <w:highlight w:val="none"/>
        </w:rPr>
        <w:t>（二）房地产估价机构</w:t>
      </w:r>
      <w:r>
        <w:rPr>
          <w:rFonts w:ascii="Times New Roman" w:hAnsi="Times New Roman" w:eastAsia="仿宋_GB2312" w:cs="Times New Roman"/>
          <w:color w:val="auto"/>
          <w:highlight w:val="none"/>
        </w:rPr>
        <w:tab/>
      </w:r>
      <w:r>
        <w:rPr>
          <w:rFonts w:ascii="Times New Roman" w:hAnsi="Times New Roman" w:eastAsia="仿宋_GB2312" w:cs="Times New Roman"/>
          <w:color w:val="auto"/>
          <w:highlight w:val="none"/>
        </w:rPr>
        <w:fldChar w:fldCharType="begin"/>
      </w:r>
      <w:r>
        <w:rPr>
          <w:rFonts w:ascii="Times New Roman" w:hAnsi="Times New Roman" w:eastAsia="仿宋_GB2312" w:cs="Times New Roman"/>
          <w:color w:val="auto"/>
          <w:highlight w:val="none"/>
        </w:rPr>
        <w:instrText xml:space="preserve"> PAGEREF _Toc106179014 \h </w:instrText>
      </w:r>
      <w:r>
        <w:rPr>
          <w:rFonts w:ascii="Times New Roman" w:hAnsi="Times New Roman" w:eastAsia="仿宋_GB2312" w:cs="Times New Roman"/>
          <w:color w:val="auto"/>
          <w:highlight w:val="none"/>
        </w:rPr>
        <w:fldChar w:fldCharType="separate"/>
      </w:r>
      <w:r>
        <w:rPr>
          <w:rFonts w:ascii="Times New Roman" w:hAnsi="Times New Roman" w:eastAsia="仿宋_GB2312" w:cs="Times New Roman"/>
          <w:color w:val="auto"/>
          <w:highlight w:val="none"/>
        </w:rPr>
        <w:t>5</w:t>
      </w:r>
      <w:r>
        <w:rPr>
          <w:rFonts w:ascii="Times New Roman" w:hAnsi="Times New Roman" w:eastAsia="仿宋_GB2312" w:cs="Times New Roman"/>
          <w:color w:val="auto"/>
          <w:highlight w:val="none"/>
        </w:rPr>
        <w:fldChar w:fldCharType="end"/>
      </w:r>
      <w:r>
        <w:rPr>
          <w:rFonts w:ascii="Times New Roman" w:hAnsi="Times New Roman" w:eastAsia="仿宋_GB2312" w:cs="Times New Roman"/>
          <w:color w:val="auto"/>
          <w:highlight w:val="none"/>
        </w:rPr>
        <w:fldChar w:fldCharType="end"/>
      </w:r>
    </w:p>
    <w:p>
      <w:pPr>
        <w:pStyle w:val="38"/>
        <w:rPr>
          <w:rFonts w:ascii="Times New Roman" w:hAnsi="Times New Roman" w:eastAsia="仿宋_GB2312" w:cs="Times New Roman"/>
          <w:color w:val="auto"/>
          <w:sz w:val="21"/>
          <w:szCs w:val="22"/>
          <w:highlight w:val="none"/>
        </w:rPr>
      </w:pPr>
      <w:r>
        <w:rPr>
          <w:color w:val="auto"/>
          <w:highlight w:val="none"/>
        </w:rPr>
        <w:fldChar w:fldCharType="begin"/>
      </w:r>
      <w:r>
        <w:rPr>
          <w:color w:val="auto"/>
          <w:highlight w:val="none"/>
        </w:rPr>
        <w:instrText xml:space="preserve"> HYPERLINK \l "_Toc106179015" </w:instrText>
      </w:r>
      <w:r>
        <w:rPr>
          <w:color w:val="auto"/>
          <w:highlight w:val="none"/>
        </w:rPr>
        <w:fldChar w:fldCharType="separate"/>
      </w:r>
      <w:r>
        <w:rPr>
          <w:rStyle w:val="50"/>
          <w:rFonts w:ascii="Times New Roman" w:hAnsi="Times New Roman" w:eastAsia="仿宋_GB2312" w:cs="Times New Roman"/>
          <w:color w:val="auto"/>
          <w:highlight w:val="none"/>
        </w:rPr>
        <w:t>（三）估价目的</w:t>
      </w:r>
      <w:r>
        <w:rPr>
          <w:rFonts w:ascii="Times New Roman" w:hAnsi="Times New Roman" w:eastAsia="仿宋_GB2312" w:cs="Times New Roman"/>
          <w:color w:val="auto"/>
          <w:highlight w:val="none"/>
        </w:rPr>
        <w:tab/>
      </w:r>
      <w:r>
        <w:rPr>
          <w:rFonts w:ascii="Times New Roman" w:hAnsi="Times New Roman" w:eastAsia="仿宋_GB2312" w:cs="Times New Roman"/>
          <w:color w:val="auto"/>
          <w:highlight w:val="none"/>
        </w:rPr>
        <w:fldChar w:fldCharType="begin"/>
      </w:r>
      <w:r>
        <w:rPr>
          <w:rFonts w:ascii="Times New Roman" w:hAnsi="Times New Roman" w:eastAsia="仿宋_GB2312" w:cs="Times New Roman"/>
          <w:color w:val="auto"/>
          <w:highlight w:val="none"/>
        </w:rPr>
        <w:instrText xml:space="preserve"> PAGEREF _Toc106179015 \h </w:instrText>
      </w:r>
      <w:r>
        <w:rPr>
          <w:rFonts w:ascii="Times New Roman" w:hAnsi="Times New Roman" w:eastAsia="仿宋_GB2312" w:cs="Times New Roman"/>
          <w:color w:val="auto"/>
          <w:highlight w:val="none"/>
        </w:rPr>
        <w:fldChar w:fldCharType="separate"/>
      </w:r>
      <w:r>
        <w:rPr>
          <w:rFonts w:ascii="Times New Roman" w:hAnsi="Times New Roman" w:eastAsia="仿宋_GB2312" w:cs="Times New Roman"/>
          <w:color w:val="auto"/>
          <w:highlight w:val="none"/>
        </w:rPr>
        <w:t>5</w:t>
      </w:r>
      <w:r>
        <w:rPr>
          <w:rFonts w:ascii="Times New Roman" w:hAnsi="Times New Roman" w:eastAsia="仿宋_GB2312" w:cs="Times New Roman"/>
          <w:color w:val="auto"/>
          <w:highlight w:val="none"/>
        </w:rPr>
        <w:fldChar w:fldCharType="end"/>
      </w:r>
      <w:r>
        <w:rPr>
          <w:rFonts w:ascii="Times New Roman" w:hAnsi="Times New Roman" w:eastAsia="仿宋_GB2312" w:cs="Times New Roman"/>
          <w:color w:val="auto"/>
          <w:highlight w:val="none"/>
        </w:rPr>
        <w:fldChar w:fldCharType="end"/>
      </w:r>
    </w:p>
    <w:p>
      <w:pPr>
        <w:pStyle w:val="38"/>
        <w:rPr>
          <w:rFonts w:ascii="Times New Roman" w:hAnsi="Times New Roman" w:eastAsia="仿宋_GB2312" w:cs="Times New Roman"/>
          <w:color w:val="auto"/>
          <w:sz w:val="21"/>
          <w:szCs w:val="22"/>
          <w:highlight w:val="none"/>
        </w:rPr>
      </w:pPr>
      <w:r>
        <w:rPr>
          <w:color w:val="auto"/>
          <w:highlight w:val="none"/>
        </w:rPr>
        <w:fldChar w:fldCharType="begin"/>
      </w:r>
      <w:r>
        <w:rPr>
          <w:color w:val="auto"/>
          <w:highlight w:val="none"/>
        </w:rPr>
        <w:instrText xml:space="preserve"> HYPERLINK \l "_Toc106179016" </w:instrText>
      </w:r>
      <w:r>
        <w:rPr>
          <w:color w:val="auto"/>
          <w:highlight w:val="none"/>
        </w:rPr>
        <w:fldChar w:fldCharType="separate"/>
      </w:r>
      <w:r>
        <w:rPr>
          <w:rStyle w:val="50"/>
          <w:rFonts w:ascii="Times New Roman" w:hAnsi="Times New Roman" w:eastAsia="仿宋_GB2312" w:cs="Times New Roman"/>
          <w:color w:val="auto"/>
          <w:highlight w:val="none"/>
        </w:rPr>
        <w:t>（四）估价对象</w:t>
      </w:r>
      <w:r>
        <w:rPr>
          <w:rFonts w:ascii="Times New Roman" w:hAnsi="Times New Roman" w:eastAsia="仿宋_GB2312" w:cs="Times New Roman"/>
          <w:color w:val="auto"/>
          <w:highlight w:val="none"/>
        </w:rPr>
        <w:tab/>
      </w:r>
      <w:r>
        <w:rPr>
          <w:rFonts w:ascii="Times New Roman" w:hAnsi="Times New Roman" w:eastAsia="仿宋_GB2312" w:cs="Times New Roman"/>
          <w:color w:val="auto"/>
          <w:highlight w:val="none"/>
        </w:rPr>
        <w:fldChar w:fldCharType="begin"/>
      </w:r>
      <w:r>
        <w:rPr>
          <w:rFonts w:ascii="Times New Roman" w:hAnsi="Times New Roman" w:eastAsia="仿宋_GB2312" w:cs="Times New Roman"/>
          <w:color w:val="auto"/>
          <w:highlight w:val="none"/>
        </w:rPr>
        <w:instrText xml:space="preserve"> PAGEREF _Toc106179016 \h </w:instrText>
      </w:r>
      <w:r>
        <w:rPr>
          <w:rFonts w:ascii="Times New Roman" w:hAnsi="Times New Roman" w:eastAsia="仿宋_GB2312" w:cs="Times New Roman"/>
          <w:color w:val="auto"/>
          <w:highlight w:val="none"/>
        </w:rPr>
        <w:fldChar w:fldCharType="separate"/>
      </w:r>
      <w:r>
        <w:rPr>
          <w:rFonts w:ascii="Times New Roman" w:hAnsi="Times New Roman" w:eastAsia="仿宋_GB2312" w:cs="Times New Roman"/>
          <w:color w:val="auto"/>
          <w:highlight w:val="none"/>
        </w:rPr>
        <w:t>5</w:t>
      </w:r>
      <w:r>
        <w:rPr>
          <w:rFonts w:ascii="Times New Roman" w:hAnsi="Times New Roman" w:eastAsia="仿宋_GB2312" w:cs="Times New Roman"/>
          <w:color w:val="auto"/>
          <w:highlight w:val="none"/>
        </w:rPr>
        <w:fldChar w:fldCharType="end"/>
      </w:r>
      <w:r>
        <w:rPr>
          <w:rFonts w:ascii="Times New Roman" w:hAnsi="Times New Roman" w:eastAsia="仿宋_GB2312" w:cs="Times New Roman"/>
          <w:color w:val="auto"/>
          <w:highlight w:val="none"/>
        </w:rPr>
        <w:fldChar w:fldCharType="end"/>
      </w:r>
    </w:p>
    <w:p>
      <w:pPr>
        <w:pStyle w:val="38"/>
        <w:rPr>
          <w:rFonts w:ascii="Times New Roman" w:hAnsi="Times New Roman" w:eastAsia="仿宋_GB2312" w:cs="Times New Roman"/>
          <w:color w:val="auto"/>
          <w:sz w:val="21"/>
          <w:szCs w:val="22"/>
          <w:highlight w:val="none"/>
        </w:rPr>
      </w:pPr>
      <w:r>
        <w:rPr>
          <w:color w:val="auto"/>
          <w:highlight w:val="none"/>
        </w:rPr>
        <w:fldChar w:fldCharType="begin"/>
      </w:r>
      <w:r>
        <w:rPr>
          <w:color w:val="auto"/>
          <w:highlight w:val="none"/>
        </w:rPr>
        <w:instrText xml:space="preserve"> HYPERLINK \l "_Toc106179017" </w:instrText>
      </w:r>
      <w:r>
        <w:rPr>
          <w:color w:val="auto"/>
          <w:highlight w:val="none"/>
        </w:rPr>
        <w:fldChar w:fldCharType="separate"/>
      </w:r>
      <w:r>
        <w:rPr>
          <w:rStyle w:val="50"/>
          <w:rFonts w:ascii="Times New Roman" w:hAnsi="Times New Roman" w:eastAsia="仿宋_GB2312" w:cs="Times New Roman"/>
          <w:color w:val="auto"/>
          <w:highlight w:val="none"/>
        </w:rPr>
        <w:t>（五）价值时点</w:t>
      </w:r>
      <w:r>
        <w:rPr>
          <w:rFonts w:ascii="Times New Roman" w:hAnsi="Times New Roman" w:eastAsia="仿宋_GB2312" w:cs="Times New Roman"/>
          <w:color w:val="auto"/>
          <w:highlight w:val="none"/>
        </w:rPr>
        <w:tab/>
      </w:r>
      <w:r>
        <w:rPr>
          <w:rFonts w:ascii="Times New Roman" w:hAnsi="Times New Roman" w:eastAsia="仿宋_GB2312" w:cs="Times New Roman"/>
          <w:color w:val="auto"/>
          <w:highlight w:val="none"/>
        </w:rPr>
        <w:fldChar w:fldCharType="begin"/>
      </w:r>
      <w:r>
        <w:rPr>
          <w:rFonts w:ascii="Times New Roman" w:hAnsi="Times New Roman" w:eastAsia="仿宋_GB2312" w:cs="Times New Roman"/>
          <w:color w:val="auto"/>
          <w:highlight w:val="none"/>
        </w:rPr>
        <w:instrText xml:space="preserve"> PAGEREF _Toc106179017 \h </w:instrText>
      </w:r>
      <w:r>
        <w:rPr>
          <w:rFonts w:ascii="Times New Roman" w:hAnsi="Times New Roman" w:eastAsia="仿宋_GB2312" w:cs="Times New Roman"/>
          <w:color w:val="auto"/>
          <w:highlight w:val="none"/>
        </w:rPr>
        <w:fldChar w:fldCharType="separate"/>
      </w:r>
      <w:r>
        <w:rPr>
          <w:rFonts w:ascii="Times New Roman" w:hAnsi="Times New Roman" w:eastAsia="仿宋_GB2312" w:cs="Times New Roman"/>
          <w:color w:val="auto"/>
          <w:highlight w:val="none"/>
        </w:rPr>
        <w:t>7</w:t>
      </w:r>
      <w:r>
        <w:rPr>
          <w:rFonts w:ascii="Times New Roman" w:hAnsi="Times New Roman" w:eastAsia="仿宋_GB2312" w:cs="Times New Roman"/>
          <w:color w:val="auto"/>
          <w:highlight w:val="none"/>
        </w:rPr>
        <w:fldChar w:fldCharType="end"/>
      </w:r>
      <w:r>
        <w:rPr>
          <w:rFonts w:ascii="Times New Roman" w:hAnsi="Times New Roman" w:eastAsia="仿宋_GB2312" w:cs="Times New Roman"/>
          <w:color w:val="auto"/>
          <w:highlight w:val="none"/>
        </w:rPr>
        <w:fldChar w:fldCharType="end"/>
      </w:r>
    </w:p>
    <w:p>
      <w:pPr>
        <w:pStyle w:val="38"/>
        <w:rPr>
          <w:rFonts w:ascii="Times New Roman" w:hAnsi="Times New Roman" w:eastAsia="仿宋_GB2312" w:cs="Times New Roman"/>
          <w:color w:val="auto"/>
          <w:sz w:val="21"/>
          <w:szCs w:val="22"/>
          <w:highlight w:val="none"/>
        </w:rPr>
      </w:pPr>
      <w:r>
        <w:rPr>
          <w:color w:val="auto"/>
          <w:highlight w:val="none"/>
        </w:rPr>
        <w:fldChar w:fldCharType="begin"/>
      </w:r>
      <w:r>
        <w:rPr>
          <w:color w:val="auto"/>
          <w:highlight w:val="none"/>
        </w:rPr>
        <w:instrText xml:space="preserve"> HYPERLINK \l "_Toc106179018" </w:instrText>
      </w:r>
      <w:r>
        <w:rPr>
          <w:color w:val="auto"/>
          <w:highlight w:val="none"/>
        </w:rPr>
        <w:fldChar w:fldCharType="separate"/>
      </w:r>
      <w:r>
        <w:rPr>
          <w:rStyle w:val="50"/>
          <w:rFonts w:ascii="Times New Roman" w:hAnsi="Times New Roman" w:eastAsia="仿宋_GB2312" w:cs="Times New Roman"/>
          <w:color w:val="auto"/>
          <w:highlight w:val="none"/>
        </w:rPr>
        <w:t>（六）价值类型</w:t>
      </w:r>
      <w:r>
        <w:rPr>
          <w:rFonts w:ascii="Times New Roman" w:hAnsi="Times New Roman" w:eastAsia="仿宋_GB2312" w:cs="Times New Roman"/>
          <w:color w:val="auto"/>
          <w:highlight w:val="none"/>
        </w:rPr>
        <w:tab/>
      </w:r>
      <w:r>
        <w:rPr>
          <w:rFonts w:ascii="Times New Roman" w:hAnsi="Times New Roman" w:eastAsia="仿宋_GB2312" w:cs="Times New Roman"/>
          <w:color w:val="auto"/>
          <w:highlight w:val="none"/>
        </w:rPr>
        <w:fldChar w:fldCharType="begin"/>
      </w:r>
      <w:r>
        <w:rPr>
          <w:rFonts w:ascii="Times New Roman" w:hAnsi="Times New Roman" w:eastAsia="仿宋_GB2312" w:cs="Times New Roman"/>
          <w:color w:val="auto"/>
          <w:highlight w:val="none"/>
        </w:rPr>
        <w:instrText xml:space="preserve"> PAGEREF _Toc106179018 \h </w:instrText>
      </w:r>
      <w:r>
        <w:rPr>
          <w:rFonts w:ascii="Times New Roman" w:hAnsi="Times New Roman" w:eastAsia="仿宋_GB2312" w:cs="Times New Roman"/>
          <w:color w:val="auto"/>
          <w:highlight w:val="none"/>
        </w:rPr>
        <w:fldChar w:fldCharType="separate"/>
      </w:r>
      <w:r>
        <w:rPr>
          <w:rFonts w:ascii="Times New Roman" w:hAnsi="Times New Roman" w:eastAsia="仿宋_GB2312" w:cs="Times New Roman"/>
          <w:color w:val="auto"/>
          <w:highlight w:val="none"/>
        </w:rPr>
        <w:t>7</w:t>
      </w:r>
      <w:r>
        <w:rPr>
          <w:rFonts w:ascii="Times New Roman" w:hAnsi="Times New Roman" w:eastAsia="仿宋_GB2312" w:cs="Times New Roman"/>
          <w:color w:val="auto"/>
          <w:highlight w:val="none"/>
        </w:rPr>
        <w:fldChar w:fldCharType="end"/>
      </w:r>
      <w:r>
        <w:rPr>
          <w:rFonts w:ascii="Times New Roman" w:hAnsi="Times New Roman" w:eastAsia="仿宋_GB2312" w:cs="Times New Roman"/>
          <w:color w:val="auto"/>
          <w:highlight w:val="none"/>
        </w:rPr>
        <w:fldChar w:fldCharType="end"/>
      </w:r>
    </w:p>
    <w:p>
      <w:pPr>
        <w:pStyle w:val="38"/>
        <w:rPr>
          <w:rFonts w:ascii="Times New Roman" w:hAnsi="Times New Roman" w:eastAsia="仿宋_GB2312" w:cs="Times New Roman"/>
          <w:color w:val="auto"/>
          <w:sz w:val="21"/>
          <w:szCs w:val="22"/>
          <w:highlight w:val="none"/>
        </w:rPr>
      </w:pPr>
      <w:r>
        <w:rPr>
          <w:color w:val="auto"/>
          <w:highlight w:val="none"/>
        </w:rPr>
        <w:fldChar w:fldCharType="begin"/>
      </w:r>
      <w:r>
        <w:rPr>
          <w:color w:val="auto"/>
          <w:highlight w:val="none"/>
        </w:rPr>
        <w:instrText xml:space="preserve"> HYPERLINK \l "_Toc106179019" </w:instrText>
      </w:r>
      <w:r>
        <w:rPr>
          <w:color w:val="auto"/>
          <w:highlight w:val="none"/>
        </w:rPr>
        <w:fldChar w:fldCharType="separate"/>
      </w:r>
      <w:r>
        <w:rPr>
          <w:rStyle w:val="50"/>
          <w:rFonts w:ascii="Times New Roman" w:hAnsi="Times New Roman" w:eastAsia="仿宋_GB2312" w:cs="Times New Roman"/>
          <w:color w:val="auto"/>
          <w:highlight w:val="none"/>
        </w:rPr>
        <w:t>（七）估价原则</w:t>
      </w:r>
      <w:r>
        <w:rPr>
          <w:rFonts w:ascii="Times New Roman" w:hAnsi="Times New Roman" w:eastAsia="仿宋_GB2312" w:cs="Times New Roman"/>
          <w:color w:val="auto"/>
          <w:highlight w:val="none"/>
        </w:rPr>
        <w:tab/>
      </w:r>
      <w:r>
        <w:rPr>
          <w:rFonts w:ascii="Times New Roman" w:hAnsi="Times New Roman" w:eastAsia="仿宋_GB2312" w:cs="Times New Roman"/>
          <w:color w:val="auto"/>
          <w:highlight w:val="none"/>
        </w:rPr>
        <w:fldChar w:fldCharType="begin"/>
      </w:r>
      <w:r>
        <w:rPr>
          <w:rFonts w:ascii="Times New Roman" w:hAnsi="Times New Roman" w:eastAsia="仿宋_GB2312" w:cs="Times New Roman"/>
          <w:color w:val="auto"/>
          <w:highlight w:val="none"/>
        </w:rPr>
        <w:instrText xml:space="preserve"> PAGEREF _Toc106179019 \h </w:instrText>
      </w:r>
      <w:r>
        <w:rPr>
          <w:rFonts w:ascii="Times New Roman" w:hAnsi="Times New Roman" w:eastAsia="仿宋_GB2312" w:cs="Times New Roman"/>
          <w:color w:val="auto"/>
          <w:highlight w:val="none"/>
        </w:rPr>
        <w:fldChar w:fldCharType="separate"/>
      </w:r>
      <w:r>
        <w:rPr>
          <w:rFonts w:ascii="Times New Roman" w:hAnsi="Times New Roman" w:eastAsia="仿宋_GB2312" w:cs="Times New Roman"/>
          <w:color w:val="auto"/>
          <w:highlight w:val="none"/>
        </w:rPr>
        <w:t>7</w:t>
      </w:r>
      <w:r>
        <w:rPr>
          <w:rFonts w:ascii="Times New Roman" w:hAnsi="Times New Roman" w:eastAsia="仿宋_GB2312" w:cs="Times New Roman"/>
          <w:color w:val="auto"/>
          <w:highlight w:val="none"/>
        </w:rPr>
        <w:fldChar w:fldCharType="end"/>
      </w:r>
      <w:r>
        <w:rPr>
          <w:rFonts w:ascii="Times New Roman" w:hAnsi="Times New Roman" w:eastAsia="仿宋_GB2312" w:cs="Times New Roman"/>
          <w:color w:val="auto"/>
          <w:highlight w:val="none"/>
        </w:rPr>
        <w:fldChar w:fldCharType="end"/>
      </w:r>
    </w:p>
    <w:p>
      <w:pPr>
        <w:pStyle w:val="38"/>
        <w:rPr>
          <w:rFonts w:ascii="Times New Roman" w:hAnsi="Times New Roman" w:eastAsia="仿宋_GB2312" w:cs="Times New Roman"/>
          <w:color w:val="auto"/>
          <w:sz w:val="21"/>
          <w:szCs w:val="22"/>
          <w:highlight w:val="none"/>
        </w:rPr>
      </w:pPr>
      <w:r>
        <w:rPr>
          <w:color w:val="auto"/>
          <w:highlight w:val="none"/>
        </w:rPr>
        <w:fldChar w:fldCharType="begin"/>
      </w:r>
      <w:r>
        <w:rPr>
          <w:color w:val="auto"/>
          <w:highlight w:val="none"/>
        </w:rPr>
        <w:instrText xml:space="preserve"> HYPERLINK \l "_Toc106179020" </w:instrText>
      </w:r>
      <w:r>
        <w:rPr>
          <w:color w:val="auto"/>
          <w:highlight w:val="none"/>
        </w:rPr>
        <w:fldChar w:fldCharType="separate"/>
      </w:r>
      <w:r>
        <w:rPr>
          <w:rStyle w:val="50"/>
          <w:rFonts w:ascii="Times New Roman" w:hAnsi="Times New Roman" w:eastAsia="仿宋_GB2312" w:cs="Times New Roman"/>
          <w:color w:val="auto"/>
          <w:highlight w:val="none"/>
        </w:rPr>
        <w:t>（八）估价依据</w:t>
      </w:r>
      <w:r>
        <w:rPr>
          <w:rFonts w:ascii="Times New Roman" w:hAnsi="Times New Roman" w:eastAsia="仿宋_GB2312" w:cs="Times New Roman"/>
          <w:color w:val="auto"/>
          <w:highlight w:val="none"/>
        </w:rPr>
        <w:tab/>
      </w:r>
      <w:r>
        <w:rPr>
          <w:rFonts w:ascii="Times New Roman" w:hAnsi="Times New Roman" w:eastAsia="仿宋_GB2312" w:cs="Times New Roman"/>
          <w:color w:val="auto"/>
          <w:highlight w:val="none"/>
        </w:rPr>
        <w:fldChar w:fldCharType="begin"/>
      </w:r>
      <w:r>
        <w:rPr>
          <w:rFonts w:ascii="Times New Roman" w:hAnsi="Times New Roman" w:eastAsia="仿宋_GB2312" w:cs="Times New Roman"/>
          <w:color w:val="auto"/>
          <w:highlight w:val="none"/>
        </w:rPr>
        <w:instrText xml:space="preserve"> PAGEREF _Toc106179020 \h </w:instrText>
      </w:r>
      <w:r>
        <w:rPr>
          <w:rFonts w:ascii="Times New Roman" w:hAnsi="Times New Roman" w:eastAsia="仿宋_GB2312" w:cs="Times New Roman"/>
          <w:color w:val="auto"/>
          <w:highlight w:val="none"/>
        </w:rPr>
        <w:fldChar w:fldCharType="separate"/>
      </w:r>
      <w:r>
        <w:rPr>
          <w:rFonts w:ascii="Times New Roman" w:hAnsi="Times New Roman" w:eastAsia="仿宋_GB2312" w:cs="Times New Roman"/>
          <w:color w:val="auto"/>
          <w:highlight w:val="none"/>
        </w:rPr>
        <w:t>10</w:t>
      </w:r>
      <w:r>
        <w:rPr>
          <w:rFonts w:ascii="Times New Roman" w:hAnsi="Times New Roman" w:eastAsia="仿宋_GB2312" w:cs="Times New Roman"/>
          <w:color w:val="auto"/>
          <w:highlight w:val="none"/>
        </w:rPr>
        <w:fldChar w:fldCharType="end"/>
      </w:r>
      <w:r>
        <w:rPr>
          <w:rFonts w:ascii="Times New Roman" w:hAnsi="Times New Roman" w:eastAsia="仿宋_GB2312" w:cs="Times New Roman"/>
          <w:color w:val="auto"/>
          <w:highlight w:val="none"/>
        </w:rPr>
        <w:fldChar w:fldCharType="end"/>
      </w:r>
    </w:p>
    <w:p>
      <w:pPr>
        <w:pStyle w:val="38"/>
        <w:rPr>
          <w:rFonts w:ascii="Times New Roman" w:hAnsi="Times New Roman" w:eastAsia="仿宋_GB2312" w:cs="Times New Roman"/>
          <w:color w:val="auto"/>
          <w:sz w:val="21"/>
          <w:szCs w:val="22"/>
          <w:highlight w:val="none"/>
        </w:rPr>
      </w:pPr>
      <w:r>
        <w:rPr>
          <w:color w:val="auto"/>
          <w:highlight w:val="none"/>
        </w:rPr>
        <w:fldChar w:fldCharType="begin"/>
      </w:r>
      <w:r>
        <w:rPr>
          <w:color w:val="auto"/>
          <w:highlight w:val="none"/>
        </w:rPr>
        <w:instrText xml:space="preserve"> HYPERLINK \l "_Toc106179021" </w:instrText>
      </w:r>
      <w:r>
        <w:rPr>
          <w:color w:val="auto"/>
          <w:highlight w:val="none"/>
        </w:rPr>
        <w:fldChar w:fldCharType="separate"/>
      </w:r>
      <w:r>
        <w:rPr>
          <w:rStyle w:val="50"/>
          <w:rFonts w:ascii="Times New Roman" w:hAnsi="Times New Roman" w:eastAsia="仿宋_GB2312" w:cs="Times New Roman"/>
          <w:color w:val="auto"/>
          <w:highlight w:val="none"/>
        </w:rPr>
        <w:t>（九）估价方法</w:t>
      </w:r>
      <w:r>
        <w:rPr>
          <w:rFonts w:ascii="Times New Roman" w:hAnsi="Times New Roman" w:eastAsia="仿宋_GB2312" w:cs="Times New Roman"/>
          <w:color w:val="auto"/>
          <w:highlight w:val="none"/>
        </w:rPr>
        <w:tab/>
      </w:r>
      <w:r>
        <w:rPr>
          <w:rFonts w:ascii="Times New Roman" w:hAnsi="Times New Roman" w:eastAsia="仿宋_GB2312" w:cs="Times New Roman"/>
          <w:color w:val="auto"/>
          <w:highlight w:val="none"/>
        </w:rPr>
        <w:fldChar w:fldCharType="begin"/>
      </w:r>
      <w:r>
        <w:rPr>
          <w:rFonts w:ascii="Times New Roman" w:hAnsi="Times New Roman" w:eastAsia="仿宋_GB2312" w:cs="Times New Roman"/>
          <w:color w:val="auto"/>
          <w:highlight w:val="none"/>
        </w:rPr>
        <w:instrText xml:space="preserve"> PAGEREF _Toc106179021 \h </w:instrText>
      </w:r>
      <w:r>
        <w:rPr>
          <w:rFonts w:ascii="Times New Roman" w:hAnsi="Times New Roman" w:eastAsia="仿宋_GB2312" w:cs="Times New Roman"/>
          <w:color w:val="auto"/>
          <w:highlight w:val="none"/>
        </w:rPr>
        <w:fldChar w:fldCharType="separate"/>
      </w:r>
      <w:r>
        <w:rPr>
          <w:rFonts w:ascii="Times New Roman" w:hAnsi="Times New Roman" w:eastAsia="仿宋_GB2312" w:cs="Times New Roman"/>
          <w:color w:val="auto"/>
          <w:highlight w:val="none"/>
        </w:rPr>
        <w:t>11</w:t>
      </w:r>
      <w:r>
        <w:rPr>
          <w:rFonts w:ascii="Times New Roman" w:hAnsi="Times New Roman" w:eastAsia="仿宋_GB2312" w:cs="Times New Roman"/>
          <w:color w:val="auto"/>
          <w:highlight w:val="none"/>
        </w:rPr>
        <w:fldChar w:fldCharType="end"/>
      </w:r>
      <w:r>
        <w:rPr>
          <w:rFonts w:ascii="Times New Roman" w:hAnsi="Times New Roman" w:eastAsia="仿宋_GB2312" w:cs="Times New Roman"/>
          <w:color w:val="auto"/>
          <w:highlight w:val="none"/>
        </w:rPr>
        <w:fldChar w:fldCharType="end"/>
      </w:r>
    </w:p>
    <w:p>
      <w:pPr>
        <w:pStyle w:val="38"/>
        <w:rPr>
          <w:rFonts w:ascii="Times New Roman" w:hAnsi="Times New Roman" w:eastAsia="仿宋_GB2312" w:cs="Times New Roman"/>
          <w:color w:val="auto"/>
          <w:sz w:val="21"/>
          <w:szCs w:val="22"/>
          <w:highlight w:val="none"/>
        </w:rPr>
      </w:pPr>
      <w:r>
        <w:rPr>
          <w:color w:val="auto"/>
          <w:highlight w:val="none"/>
        </w:rPr>
        <w:fldChar w:fldCharType="begin"/>
      </w:r>
      <w:r>
        <w:rPr>
          <w:color w:val="auto"/>
          <w:highlight w:val="none"/>
        </w:rPr>
        <w:instrText xml:space="preserve"> HYPERLINK \l "_Toc106179022" </w:instrText>
      </w:r>
      <w:r>
        <w:rPr>
          <w:color w:val="auto"/>
          <w:highlight w:val="none"/>
        </w:rPr>
        <w:fldChar w:fldCharType="separate"/>
      </w:r>
      <w:r>
        <w:rPr>
          <w:rStyle w:val="50"/>
          <w:rFonts w:ascii="Times New Roman" w:hAnsi="Times New Roman" w:eastAsia="仿宋_GB2312" w:cs="Times New Roman"/>
          <w:color w:val="auto"/>
          <w:highlight w:val="none"/>
        </w:rPr>
        <w:t>（十）估价结果</w:t>
      </w:r>
      <w:r>
        <w:rPr>
          <w:rFonts w:ascii="Times New Roman" w:hAnsi="Times New Roman" w:eastAsia="仿宋_GB2312" w:cs="Times New Roman"/>
          <w:color w:val="auto"/>
          <w:highlight w:val="none"/>
        </w:rPr>
        <w:tab/>
      </w:r>
      <w:r>
        <w:rPr>
          <w:rFonts w:ascii="Times New Roman" w:hAnsi="Times New Roman" w:eastAsia="仿宋_GB2312" w:cs="Times New Roman"/>
          <w:color w:val="auto"/>
          <w:highlight w:val="none"/>
        </w:rPr>
        <w:fldChar w:fldCharType="begin"/>
      </w:r>
      <w:r>
        <w:rPr>
          <w:rFonts w:ascii="Times New Roman" w:hAnsi="Times New Roman" w:eastAsia="仿宋_GB2312" w:cs="Times New Roman"/>
          <w:color w:val="auto"/>
          <w:highlight w:val="none"/>
        </w:rPr>
        <w:instrText xml:space="preserve"> PAGEREF _Toc106179022 \h </w:instrText>
      </w:r>
      <w:r>
        <w:rPr>
          <w:rFonts w:ascii="Times New Roman" w:hAnsi="Times New Roman" w:eastAsia="仿宋_GB2312" w:cs="Times New Roman"/>
          <w:color w:val="auto"/>
          <w:highlight w:val="none"/>
        </w:rPr>
        <w:fldChar w:fldCharType="separate"/>
      </w:r>
      <w:r>
        <w:rPr>
          <w:rFonts w:ascii="Times New Roman" w:hAnsi="Times New Roman" w:eastAsia="仿宋_GB2312" w:cs="Times New Roman"/>
          <w:color w:val="auto"/>
          <w:highlight w:val="none"/>
        </w:rPr>
        <w:t>13</w:t>
      </w:r>
      <w:r>
        <w:rPr>
          <w:rFonts w:ascii="Times New Roman" w:hAnsi="Times New Roman" w:eastAsia="仿宋_GB2312" w:cs="Times New Roman"/>
          <w:color w:val="auto"/>
          <w:highlight w:val="none"/>
        </w:rPr>
        <w:fldChar w:fldCharType="end"/>
      </w:r>
      <w:r>
        <w:rPr>
          <w:rFonts w:ascii="Times New Roman" w:hAnsi="Times New Roman" w:eastAsia="仿宋_GB2312" w:cs="Times New Roman"/>
          <w:color w:val="auto"/>
          <w:highlight w:val="none"/>
        </w:rPr>
        <w:fldChar w:fldCharType="end"/>
      </w:r>
    </w:p>
    <w:p>
      <w:pPr>
        <w:pStyle w:val="38"/>
        <w:rPr>
          <w:rFonts w:ascii="Times New Roman" w:hAnsi="Times New Roman" w:eastAsia="仿宋_GB2312" w:cs="Times New Roman"/>
          <w:color w:val="auto"/>
          <w:sz w:val="21"/>
          <w:szCs w:val="22"/>
          <w:highlight w:val="none"/>
        </w:rPr>
      </w:pPr>
      <w:r>
        <w:rPr>
          <w:color w:val="auto"/>
          <w:highlight w:val="none"/>
        </w:rPr>
        <w:fldChar w:fldCharType="begin"/>
      </w:r>
      <w:r>
        <w:rPr>
          <w:color w:val="auto"/>
          <w:highlight w:val="none"/>
        </w:rPr>
        <w:instrText xml:space="preserve"> HYPERLINK \l "_Toc106179023" </w:instrText>
      </w:r>
      <w:r>
        <w:rPr>
          <w:color w:val="auto"/>
          <w:highlight w:val="none"/>
        </w:rPr>
        <w:fldChar w:fldCharType="separate"/>
      </w:r>
      <w:r>
        <w:rPr>
          <w:rStyle w:val="50"/>
          <w:rFonts w:ascii="Times New Roman" w:hAnsi="Times New Roman" w:eastAsia="仿宋_GB2312" w:cs="Times New Roman"/>
          <w:color w:val="auto"/>
          <w:highlight w:val="none"/>
        </w:rPr>
        <w:t>（十一）注册房地产估价师</w:t>
      </w:r>
      <w:r>
        <w:rPr>
          <w:rFonts w:ascii="Times New Roman" w:hAnsi="Times New Roman" w:eastAsia="仿宋_GB2312" w:cs="Times New Roman"/>
          <w:color w:val="auto"/>
          <w:highlight w:val="none"/>
        </w:rPr>
        <w:tab/>
      </w:r>
      <w:r>
        <w:rPr>
          <w:rFonts w:ascii="Times New Roman" w:hAnsi="Times New Roman" w:eastAsia="仿宋_GB2312" w:cs="Times New Roman"/>
          <w:color w:val="auto"/>
          <w:highlight w:val="none"/>
        </w:rPr>
        <w:fldChar w:fldCharType="begin"/>
      </w:r>
      <w:r>
        <w:rPr>
          <w:rFonts w:ascii="Times New Roman" w:hAnsi="Times New Roman" w:eastAsia="仿宋_GB2312" w:cs="Times New Roman"/>
          <w:color w:val="auto"/>
          <w:highlight w:val="none"/>
        </w:rPr>
        <w:instrText xml:space="preserve"> PAGEREF _Toc106179023 \h </w:instrText>
      </w:r>
      <w:r>
        <w:rPr>
          <w:rFonts w:ascii="Times New Roman" w:hAnsi="Times New Roman" w:eastAsia="仿宋_GB2312" w:cs="Times New Roman"/>
          <w:color w:val="auto"/>
          <w:highlight w:val="none"/>
        </w:rPr>
        <w:fldChar w:fldCharType="separate"/>
      </w:r>
      <w:r>
        <w:rPr>
          <w:rFonts w:ascii="Times New Roman" w:hAnsi="Times New Roman" w:eastAsia="仿宋_GB2312" w:cs="Times New Roman"/>
          <w:color w:val="auto"/>
          <w:highlight w:val="none"/>
        </w:rPr>
        <w:t>13</w:t>
      </w:r>
      <w:r>
        <w:rPr>
          <w:rFonts w:ascii="Times New Roman" w:hAnsi="Times New Roman" w:eastAsia="仿宋_GB2312" w:cs="Times New Roman"/>
          <w:color w:val="auto"/>
          <w:highlight w:val="none"/>
        </w:rPr>
        <w:fldChar w:fldCharType="end"/>
      </w:r>
      <w:r>
        <w:rPr>
          <w:rFonts w:ascii="Times New Roman" w:hAnsi="Times New Roman" w:eastAsia="仿宋_GB2312" w:cs="Times New Roman"/>
          <w:color w:val="auto"/>
          <w:highlight w:val="none"/>
        </w:rPr>
        <w:fldChar w:fldCharType="end"/>
      </w:r>
    </w:p>
    <w:p>
      <w:pPr>
        <w:pStyle w:val="38"/>
        <w:rPr>
          <w:rFonts w:ascii="Times New Roman" w:hAnsi="Times New Roman" w:eastAsia="仿宋_GB2312" w:cs="Times New Roman"/>
          <w:color w:val="auto"/>
          <w:sz w:val="21"/>
          <w:szCs w:val="22"/>
          <w:highlight w:val="none"/>
        </w:rPr>
      </w:pPr>
      <w:r>
        <w:rPr>
          <w:color w:val="auto"/>
          <w:highlight w:val="none"/>
        </w:rPr>
        <w:fldChar w:fldCharType="begin"/>
      </w:r>
      <w:r>
        <w:rPr>
          <w:color w:val="auto"/>
          <w:highlight w:val="none"/>
        </w:rPr>
        <w:instrText xml:space="preserve"> HYPERLINK \l "_Toc106179024" </w:instrText>
      </w:r>
      <w:r>
        <w:rPr>
          <w:color w:val="auto"/>
          <w:highlight w:val="none"/>
        </w:rPr>
        <w:fldChar w:fldCharType="separate"/>
      </w:r>
      <w:r>
        <w:rPr>
          <w:rStyle w:val="50"/>
          <w:rFonts w:ascii="Times New Roman" w:hAnsi="Times New Roman" w:eastAsia="仿宋_GB2312" w:cs="Times New Roman"/>
          <w:color w:val="auto"/>
          <w:highlight w:val="none"/>
        </w:rPr>
        <w:t>（十二）实地查勘期</w:t>
      </w:r>
      <w:r>
        <w:rPr>
          <w:rFonts w:ascii="Times New Roman" w:hAnsi="Times New Roman" w:eastAsia="仿宋_GB2312" w:cs="Times New Roman"/>
          <w:color w:val="auto"/>
          <w:highlight w:val="none"/>
        </w:rPr>
        <w:tab/>
      </w:r>
      <w:r>
        <w:rPr>
          <w:rFonts w:ascii="Times New Roman" w:hAnsi="Times New Roman" w:eastAsia="仿宋_GB2312" w:cs="Times New Roman"/>
          <w:color w:val="auto"/>
          <w:highlight w:val="none"/>
        </w:rPr>
        <w:fldChar w:fldCharType="begin"/>
      </w:r>
      <w:r>
        <w:rPr>
          <w:rFonts w:ascii="Times New Roman" w:hAnsi="Times New Roman" w:eastAsia="仿宋_GB2312" w:cs="Times New Roman"/>
          <w:color w:val="auto"/>
          <w:highlight w:val="none"/>
        </w:rPr>
        <w:instrText xml:space="preserve"> PAGEREF _Toc106179024 \h </w:instrText>
      </w:r>
      <w:r>
        <w:rPr>
          <w:rFonts w:ascii="Times New Roman" w:hAnsi="Times New Roman" w:eastAsia="仿宋_GB2312" w:cs="Times New Roman"/>
          <w:color w:val="auto"/>
          <w:highlight w:val="none"/>
        </w:rPr>
        <w:fldChar w:fldCharType="separate"/>
      </w:r>
      <w:r>
        <w:rPr>
          <w:rFonts w:ascii="Times New Roman" w:hAnsi="Times New Roman" w:eastAsia="仿宋_GB2312" w:cs="Times New Roman"/>
          <w:color w:val="auto"/>
          <w:highlight w:val="none"/>
        </w:rPr>
        <w:t>13</w:t>
      </w:r>
      <w:r>
        <w:rPr>
          <w:rFonts w:ascii="Times New Roman" w:hAnsi="Times New Roman" w:eastAsia="仿宋_GB2312" w:cs="Times New Roman"/>
          <w:color w:val="auto"/>
          <w:highlight w:val="none"/>
        </w:rPr>
        <w:fldChar w:fldCharType="end"/>
      </w:r>
      <w:r>
        <w:rPr>
          <w:rFonts w:ascii="Times New Roman" w:hAnsi="Times New Roman" w:eastAsia="仿宋_GB2312" w:cs="Times New Roman"/>
          <w:color w:val="auto"/>
          <w:highlight w:val="none"/>
        </w:rPr>
        <w:fldChar w:fldCharType="end"/>
      </w:r>
    </w:p>
    <w:p>
      <w:pPr>
        <w:pStyle w:val="38"/>
        <w:rPr>
          <w:rFonts w:ascii="Times New Roman" w:hAnsi="Times New Roman" w:eastAsia="仿宋_GB2312" w:cs="Times New Roman"/>
          <w:color w:val="auto"/>
          <w:sz w:val="21"/>
          <w:szCs w:val="22"/>
          <w:highlight w:val="none"/>
        </w:rPr>
      </w:pPr>
      <w:r>
        <w:rPr>
          <w:color w:val="auto"/>
          <w:highlight w:val="none"/>
        </w:rPr>
        <w:fldChar w:fldCharType="begin"/>
      </w:r>
      <w:r>
        <w:rPr>
          <w:color w:val="auto"/>
          <w:highlight w:val="none"/>
        </w:rPr>
        <w:instrText xml:space="preserve"> HYPERLINK \l "_Toc106179025" </w:instrText>
      </w:r>
      <w:r>
        <w:rPr>
          <w:color w:val="auto"/>
          <w:highlight w:val="none"/>
        </w:rPr>
        <w:fldChar w:fldCharType="separate"/>
      </w:r>
      <w:r>
        <w:rPr>
          <w:rStyle w:val="50"/>
          <w:rFonts w:ascii="Times New Roman" w:hAnsi="Times New Roman" w:eastAsia="仿宋_GB2312" w:cs="Times New Roman"/>
          <w:color w:val="auto"/>
          <w:highlight w:val="none"/>
        </w:rPr>
        <w:t>（十三）估价作业期</w:t>
      </w:r>
      <w:r>
        <w:rPr>
          <w:rFonts w:ascii="Times New Roman" w:hAnsi="Times New Roman" w:eastAsia="仿宋_GB2312" w:cs="Times New Roman"/>
          <w:color w:val="auto"/>
          <w:highlight w:val="none"/>
        </w:rPr>
        <w:tab/>
      </w:r>
      <w:r>
        <w:rPr>
          <w:rFonts w:ascii="Times New Roman" w:hAnsi="Times New Roman" w:eastAsia="仿宋_GB2312" w:cs="Times New Roman"/>
          <w:color w:val="auto"/>
          <w:highlight w:val="none"/>
        </w:rPr>
        <w:fldChar w:fldCharType="begin"/>
      </w:r>
      <w:r>
        <w:rPr>
          <w:rFonts w:ascii="Times New Roman" w:hAnsi="Times New Roman" w:eastAsia="仿宋_GB2312" w:cs="Times New Roman"/>
          <w:color w:val="auto"/>
          <w:highlight w:val="none"/>
        </w:rPr>
        <w:instrText xml:space="preserve"> PAGEREF _Toc106179025 \h </w:instrText>
      </w:r>
      <w:r>
        <w:rPr>
          <w:rFonts w:ascii="Times New Roman" w:hAnsi="Times New Roman" w:eastAsia="仿宋_GB2312" w:cs="Times New Roman"/>
          <w:color w:val="auto"/>
          <w:highlight w:val="none"/>
        </w:rPr>
        <w:fldChar w:fldCharType="separate"/>
      </w:r>
      <w:r>
        <w:rPr>
          <w:rFonts w:ascii="Times New Roman" w:hAnsi="Times New Roman" w:eastAsia="仿宋_GB2312" w:cs="Times New Roman"/>
          <w:color w:val="auto"/>
          <w:highlight w:val="none"/>
        </w:rPr>
        <w:t>13</w:t>
      </w:r>
      <w:r>
        <w:rPr>
          <w:rFonts w:ascii="Times New Roman" w:hAnsi="Times New Roman" w:eastAsia="仿宋_GB2312" w:cs="Times New Roman"/>
          <w:color w:val="auto"/>
          <w:highlight w:val="none"/>
        </w:rPr>
        <w:fldChar w:fldCharType="end"/>
      </w:r>
      <w:r>
        <w:rPr>
          <w:rFonts w:ascii="Times New Roman" w:hAnsi="Times New Roman" w:eastAsia="仿宋_GB2312" w:cs="Times New Roman"/>
          <w:color w:val="auto"/>
          <w:highlight w:val="none"/>
        </w:rPr>
        <w:fldChar w:fldCharType="end"/>
      </w:r>
    </w:p>
    <w:p>
      <w:pPr>
        <w:pStyle w:val="29"/>
        <w:rPr>
          <w:b w:val="0"/>
          <w:bCs w:val="0"/>
          <w:color w:val="auto"/>
          <w:spacing w:val="0"/>
          <w:kern w:val="2"/>
          <w:sz w:val="28"/>
          <w:szCs w:val="28"/>
          <w:highlight w:val="none"/>
        </w:rPr>
      </w:pPr>
      <w:r>
        <w:rPr>
          <w:color w:val="auto"/>
          <w:highlight w:val="none"/>
        </w:rPr>
        <w:fldChar w:fldCharType="begin"/>
      </w:r>
      <w:r>
        <w:rPr>
          <w:color w:val="auto"/>
          <w:highlight w:val="none"/>
        </w:rPr>
        <w:instrText xml:space="preserve"> HYPERLINK \l "_Toc106179026" </w:instrText>
      </w:r>
      <w:r>
        <w:rPr>
          <w:color w:val="auto"/>
          <w:highlight w:val="none"/>
        </w:rPr>
        <w:fldChar w:fldCharType="separate"/>
      </w:r>
      <w:r>
        <w:rPr>
          <w:rStyle w:val="50"/>
          <w:snapToGrid w:val="0"/>
          <w:color w:val="auto"/>
          <w:sz w:val="28"/>
          <w:szCs w:val="28"/>
          <w:highlight w:val="none"/>
        </w:rPr>
        <w:t>四、附件</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_Toc106179026 \h </w:instrText>
      </w:r>
      <w:r>
        <w:rPr>
          <w:color w:val="auto"/>
          <w:sz w:val="28"/>
          <w:szCs w:val="28"/>
          <w:highlight w:val="none"/>
        </w:rPr>
        <w:fldChar w:fldCharType="separate"/>
      </w:r>
      <w:r>
        <w:rPr>
          <w:color w:val="auto"/>
          <w:sz w:val="28"/>
          <w:szCs w:val="28"/>
          <w:highlight w:val="none"/>
        </w:rPr>
        <w:t>14</w:t>
      </w:r>
      <w:r>
        <w:rPr>
          <w:color w:val="auto"/>
          <w:sz w:val="28"/>
          <w:szCs w:val="28"/>
          <w:highlight w:val="none"/>
        </w:rPr>
        <w:fldChar w:fldCharType="end"/>
      </w:r>
      <w:r>
        <w:rPr>
          <w:color w:val="auto"/>
          <w:sz w:val="28"/>
          <w:szCs w:val="28"/>
          <w:highlight w:val="none"/>
        </w:rPr>
        <w:fldChar w:fldCharType="end"/>
      </w:r>
    </w:p>
    <w:p>
      <w:pPr>
        <w:pStyle w:val="141"/>
        <w:tabs>
          <w:tab w:val="right" w:leader="dot" w:pos="9457"/>
        </w:tabs>
        <w:spacing w:before="0" w:line="440" w:lineRule="exact"/>
        <w:jc w:val="center"/>
        <w:rPr>
          <w:color w:val="auto"/>
          <w:highlight w:val="none"/>
        </w:rPr>
        <w:sectPr>
          <w:headerReference r:id="rId8" w:type="default"/>
          <w:footerReference r:id="rId9" w:type="default"/>
          <w:pgSz w:w="11906" w:h="16838"/>
          <w:pgMar w:top="1814" w:right="1247" w:bottom="1418" w:left="1701" w:header="850" w:footer="850" w:gutter="0"/>
          <w:cols w:space="720" w:num="1"/>
          <w:docGrid w:linePitch="286" w:charSpace="0"/>
        </w:sectPr>
      </w:pPr>
      <w:r>
        <w:rPr>
          <w:b w:val="0"/>
          <w:bCs w:val="0"/>
          <w:color w:val="auto"/>
          <w:highlight w:val="none"/>
        </w:rPr>
        <w:fldChar w:fldCharType="end"/>
      </w:r>
    </w:p>
    <w:p>
      <w:pPr>
        <w:pStyle w:val="29"/>
        <w:spacing w:line="500" w:lineRule="exact"/>
        <w:rPr>
          <w:color w:val="auto"/>
          <w:highlight w:val="none"/>
        </w:rPr>
      </w:pPr>
      <w:bookmarkStart w:id="20" w:name="_Toc106179010"/>
      <w:r>
        <w:rPr>
          <w:rFonts w:hint="eastAsia" w:cs="仿宋_GB2312"/>
          <w:color w:val="auto"/>
          <w:highlight w:val="none"/>
        </w:rPr>
        <w:t>一、估价师声明</w:t>
      </w:r>
      <w:bookmarkEnd w:id="15"/>
      <w:bookmarkEnd w:id="16"/>
      <w:bookmarkEnd w:id="17"/>
      <w:bookmarkEnd w:id="18"/>
      <w:bookmarkEnd w:id="19"/>
      <w:bookmarkEnd w:id="20"/>
    </w:p>
    <w:p>
      <w:pPr>
        <w:spacing w:line="560" w:lineRule="exact"/>
        <w:rPr>
          <w:rFonts w:eastAsia="仿宋_GB2312"/>
          <w:b/>
          <w:bCs/>
          <w:color w:val="auto"/>
          <w:sz w:val="28"/>
          <w:szCs w:val="28"/>
          <w:highlight w:val="none"/>
        </w:rPr>
      </w:pPr>
      <w:bookmarkStart w:id="21" w:name="_Toc362509711"/>
      <w:r>
        <w:rPr>
          <w:rFonts w:hint="eastAsia" w:eastAsia="仿宋_GB2312" w:cs="仿宋_GB2312"/>
          <w:b/>
          <w:bCs/>
          <w:color w:val="auto"/>
          <w:sz w:val="28"/>
          <w:szCs w:val="28"/>
          <w:highlight w:val="none"/>
        </w:rPr>
        <w:t>我们郑重声明：</w:t>
      </w:r>
      <w:bookmarkEnd w:id="21"/>
    </w:p>
    <w:p>
      <w:pPr>
        <w:pStyle w:val="102"/>
        <w:numPr>
          <w:ilvl w:val="0"/>
          <w:numId w:val="2"/>
        </w:numPr>
        <w:adjustRightInd w:val="0"/>
        <w:snapToGrid w:val="0"/>
        <w:spacing w:line="500" w:lineRule="exact"/>
        <w:ind w:left="0" w:firstLine="560"/>
        <w:rPr>
          <w:rFonts w:eastAsia="仿宋_GB2312"/>
          <w:color w:val="auto"/>
          <w:sz w:val="28"/>
          <w:szCs w:val="28"/>
          <w:highlight w:val="none"/>
        </w:rPr>
      </w:pPr>
      <w:bookmarkStart w:id="22" w:name="_Toc435110680"/>
      <w:r>
        <w:rPr>
          <w:rFonts w:hint="eastAsia" w:eastAsia="仿宋_GB2312" w:cs="仿宋_GB2312"/>
          <w:color w:val="auto"/>
          <w:sz w:val="28"/>
          <w:szCs w:val="28"/>
          <w:highlight w:val="none"/>
        </w:rPr>
        <w:t>注册房地产估价师在本估价报告中对事实的说明是真实和准确的，没有虚假记载、误导性陈述和重大遗漏。</w:t>
      </w:r>
    </w:p>
    <w:p>
      <w:pPr>
        <w:pStyle w:val="102"/>
        <w:numPr>
          <w:ilvl w:val="0"/>
          <w:numId w:val="2"/>
        </w:numPr>
        <w:adjustRightInd w:val="0"/>
        <w:snapToGrid w:val="0"/>
        <w:spacing w:line="500" w:lineRule="exact"/>
        <w:ind w:left="0" w:firstLine="560"/>
        <w:rPr>
          <w:rFonts w:eastAsia="仿宋_GB2312"/>
          <w:color w:val="auto"/>
          <w:sz w:val="28"/>
          <w:szCs w:val="28"/>
          <w:highlight w:val="none"/>
        </w:rPr>
      </w:pPr>
      <w:r>
        <w:rPr>
          <w:rFonts w:hint="eastAsia" w:eastAsia="仿宋_GB2312" w:cs="仿宋_GB2312"/>
          <w:color w:val="auto"/>
          <w:sz w:val="28"/>
          <w:szCs w:val="28"/>
          <w:highlight w:val="none"/>
        </w:rPr>
        <w:t>估价报告中的分析、意见和结论是注册房地产估价师独立、客观、公正的专业分析、意见和结论，但受到估价报告中已说明的估价假设和限制条件的限制。</w:t>
      </w:r>
    </w:p>
    <w:p>
      <w:pPr>
        <w:pStyle w:val="102"/>
        <w:numPr>
          <w:ilvl w:val="0"/>
          <w:numId w:val="2"/>
        </w:numPr>
        <w:adjustRightInd w:val="0"/>
        <w:snapToGrid w:val="0"/>
        <w:spacing w:line="500" w:lineRule="exact"/>
        <w:ind w:left="0" w:firstLine="560"/>
        <w:rPr>
          <w:rFonts w:eastAsia="仿宋_GB2312"/>
          <w:color w:val="auto"/>
          <w:sz w:val="28"/>
          <w:szCs w:val="28"/>
          <w:highlight w:val="none"/>
        </w:rPr>
      </w:pPr>
      <w:r>
        <w:rPr>
          <w:rFonts w:hint="eastAsia" w:eastAsia="仿宋_GB2312" w:cs="仿宋_GB2312"/>
          <w:color w:val="auto"/>
          <w:sz w:val="28"/>
          <w:szCs w:val="28"/>
          <w:highlight w:val="none"/>
        </w:rPr>
        <w:t>注册房地产估价师与估价报告中的估价对象没有现实或潜在的利益，与估价委托人及估价利害关系人没有利害关系，也对估价对象、估价委托人及估价利害关系人没有偏见。</w:t>
      </w:r>
    </w:p>
    <w:p>
      <w:pPr>
        <w:pStyle w:val="102"/>
        <w:numPr>
          <w:ilvl w:val="0"/>
          <w:numId w:val="2"/>
        </w:numPr>
        <w:adjustRightInd w:val="0"/>
        <w:snapToGrid w:val="0"/>
        <w:spacing w:line="500" w:lineRule="exact"/>
        <w:ind w:left="0" w:firstLine="560"/>
        <w:rPr>
          <w:rFonts w:eastAsia="仿宋_GB2312"/>
          <w:color w:val="auto"/>
          <w:sz w:val="28"/>
          <w:szCs w:val="28"/>
          <w:highlight w:val="none"/>
        </w:rPr>
      </w:pPr>
      <w:r>
        <w:rPr>
          <w:rFonts w:hint="eastAsia" w:eastAsia="仿宋_GB2312" w:cs="仿宋_GB2312"/>
          <w:color w:val="auto"/>
          <w:sz w:val="28"/>
          <w:szCs w:val="28"/>
          <w:highlight w:val="none"/>
        </w:rPr>
        <w:t>注册房地产估价师是依照中华人民共和国国家标准《房地产估价规范》【</w:t>
      </w:r>
      <w:r>
        <w:rPr>
          <w:rFonts w:eastAsia="仿宋_GB2312"/>
          <w:color w:val="auto"/>
          <w:sz w:val="28"/>
          <w:szCs w:val="28"/>
          <w:highlight w:val="none"/>
        </w:rPr>
        <w:t>GB/T 50291-2015</w:t>
      </w:r>
      <w:r>
        <w:rPr>
          <w:rFonts w:hint="eastAsia" w:eastAsia="仿宋_GB2312" w:cs="仿宋_GB2312"/>
          <w:color w:val="auto"/>
          <w:sz w:val="28"/>
          <w:szCs w:val="28"/>
          <w:highlight w:val="none"/>
        </w:rPr>
        <w:t>】、《房地产估价基本术语标准》【</w:t>
      </w:r>
      <w:r>
        <w:rPr>
          <w:rFonts w:eastAsia="仿宋_GB2312"/>
          <w:color w:val="auto"/>
          <w:sz w:val="28"/>
          <w:szCs w:val="28"/>
          <w:highlight w:val="none"/>
        </w:rPr>
        <w:t>GB/T 50899-2013</w:t>
      </w:r>
      <w:r>
        <w:rPr>
          <w:rFonts w:hint="eastAsia" w:eastAsia="仿宋_GB2312" w:cs="仿宋_GB2312"/>
          <w:color w:val="auto"/>
          <w:sz w:val="28"/>
          <w:szCs w:val="28"/>
          <w:highlight w:val="none"/>
        </w:rPr>
        <w:t>】进行分析，形成意见和结论，撰写本估价报告。</w:t>
      </w:r>
    </w:p>
    <w:p>
      <w:pPr>
        <w:pStyle w:val="102"/>
        <w:numPr>
          <w:ilvl w:val="0"/>
          <w:numId w:val="2"/>
        </w:numPr>
        <w:adjustRightInd w:val="0"/>
        <w:snapToGrid w:val="0"/>
        <w:spacing w:line="500" w:lineRule="exact"/>
        <w:ind w:left="0" w:firstLine="560"/>
        <w:rPr>
          <w:rFonts w:eastAsia="仿宋_GB2312" w:cs="仿宋_GB2312"/>
          <w:color w:val="auto"/>
          <w:sz w:val="28"/>
          <w:szCs w:val="28"/>
          <w:highlight w:val="none"/>
        </w:rPr>
      </w:pPr>
      <w:bookmarkStart w:id="23" w:name="_Toc362509719"/>
      <w:r>
        <w:rPr>
          <w:rFonts w:hint="eastAsia" w:eastAsia="仿宋_GB2312" w:cs="仿宋_GB2312"/>
          <w:color w:val="auto"/>
          <w:sz w:val="28"/>
          <w:szCs w:val="28"/>
          <w:highlight w:val="none"/>
        </w:rPr>
        <w:t>没有外部专家和单位对本估价报告提供重要专业帮助。</w:t>
      </w:r>
      <w:bookmarkEnd w:id="23"/>
    </w:p>
    <w:p>
      <w:pPr>
        <w:pStyle w:val="2"/>
        <w:spacing w:before="0" w:after="0" w:line="460" w:lineRule="exact"/>
        <w:jc w:val="center"/>
        <w:rPr>
          <w:rFonts w:eastAsia="仿宋_GB2312" w:cs="仿宋_GB2312"/>
          <w:snapToGrid w:val="0"/>
          <w:color w:val="auto"/>
          <w:kern w:val="0"/>
          <w:sz w:val="32"/>
          <w:szCs w:val="32"/>
          <w:highlight w:val="none"/>
        </w:rPr>
        <w:sectPr>
          <w:headerReference r:id="rId10" w:type="default"/>
          <w:footerReference r:id="rId11" w:type="default"/>
          <w:pgSz w:w="11906" w:h="16838"/>
          <w:pgMar w:top="1814" w:right="1247" w:bottom="1418" w:left="1701" w:header="1417" w:footer="737" w:gutter="0"/>
          <w:pgNumType w:start="1"/>
          <w:cols w:space="720" w:num="1"/>
          <w:docGrid w:linePitch="286" w:charSpace="0"/>
        </w:sectPr>
      </w:pPr>
    </w:p>
    <w:p>
      <w:pPr>
        <w:pStyle w:val="2"/>
        <w:spacing w:before="0" w:after="0" w:line="460" w:lineRule="exact"/>
        <w:jc w:val="center"/>
        <w:rPr>
          <w:rFonts w:eastAsia="仿宋_GB2312"/>
          <w:snapToGrid w:val="0"/>
          <w:color w:val="auto"/>
          <w:kern w:val="0"/>
          <w:sz w:val="32"/>
          <w:szCs w:val="32"/>
          <w:highlight w:val="none"/>
        </w:rPr>
      </w:pPr>
      <w:bookmarkStart w:id="24" w:name="_Toc106179011"/>
      <w:r>
        <w:rPr>
          <w:rFonts w:hint="eastAsia" w:eastAsia="仿宋_GB2312" w:cs="仿宋_GB2312"/>
          <w:snapToGrid w:val="0"/>
          <w:color w:val="auto"/>
          <w:kern w:val="0"/>
          <w:sz w:val="32"/>
          <w:szCs w:val="32"/>
          <w:highlight w:val="none"/>
        </w:rPr>
        <w:t>二、估价假设和限制条件</w:t>
      </w:r>
      <w:bookmarkEnd w:id="22"/>
      <w:bookmarkEnd w:id="24"/>
    </w:p>
    <w:p>
      <w:pPr>
        <w:spacing w:line="480" w:lineRule="exact"/>
        <w:ind w:firstLine="562" w:firstLineChars="200"/>
        <w:rPr>
          <w:rFonts w:eastAsia="仿宋_GB2312"/>
          <w:b/>
          <w:bCs/>
          <w:color w:val="auto"/>
          <w:sz w:val="28"/>
          <w:szCs w:val="28"/>
          <w:highlight w:val="none"/>
        </w:rPr>
      </w:pPr>
      <w:r>
        <w:rPr>
          <w:rFonts w:eastAsia="仿宋_GB2312"/>
          <w:b/>
          <w:bCs/>
          <w:color w:val="auto"/>
          <w:sz w:val="28"/>
          <w:szCs w:val="28"/>
          <w:highlight w:val="none"/>
        </w:rPr>
        <w:t>1.</w:t>
      </w:r>
      <w:r>
        <w:rPr>
          <w:rFonts w:hint="eastAsia" w:eastAsia="仿宋_GB2312" w:cs="仿宋_GB2312"/>
          <w:b/>
          <w:bCs/>
          <w:color w:val="auto"/>
          <w:sz w:val="28"/>
          <w:szCs w:val="28"/>
          <w:highlight w:val="none"/>
        </w:rPr>
        <w:t>一般假设</w:t>
      </w:r>
    </w:p>
    <w:p>
      <w:pPr>
        <w:spacing w:line="480" w:lineRule="exact"/>
        <w:ind w:firstLine="560" w:firstLineChars="200"/>
        <w:rPr>
          <w:rFonts w:eastAsia="仿宋_GB2312"/>
          <w:color w:val="auto"/>
          <w:sz w:val="28"/>
          <w:szCs w:val="28"/>
          <w:highlight w:val="none"/>
        </w:rPr>
      </w:pPr>
      <w:r>
        <w:rPr>
          <w:rFonts w:hint="eastAsia" w:eastAsia="仿宋_GB2312" w:cs="仿宋_GB2312"/>
          <w:color w:val="auto"/>
          <w:sz w:val="28"/>
          <w:szCs w:val="28"/>
          <w:highlight w:val="none"/>
        </w:rPr>
        <w:t>（</w:t>
      </w:r>
      <w:r>
        <w:rPr>
          <w:rFonts w:eastAsia="仿宋_GB2312"/>
          <w:color w:val="auto"/>
          <w:sz w:val="28"/>
          <w:szCs w:val="28"/>
          <w:highlight w:val="none"/>
        </w:rPr>
        <w:t>1</w:t>
      </w:r>
      <w:r>
        <w:rPr>
          <w:rFonts w:hint="eastAsia" w:eastAsia="仿宋_GB2312" w:cs="仿宋_GB2312"/>
          <w:color w:val="auto"/>
          <w:sz w:val="28"/>
          <w:szCs w:val="28"/>
          <w:highlight w:val="none"/>
        </w:rPr>
        <w:t>）在价值时点的房地产市场为公开、平等、自愿的交易市场。</w:t>
      </w:r>
    </w:p>
    <w:p>
      <w:pPr>
        <w:spacing w:line="480" w:lineRule="exact"/>
        <w:ind w:firstLine="560" w:firstLineChars="200"/>
        <w:rPr>
          <w:rFonts w:eastAsia="仿宋_GB2312"/>
          <w:color w:val="auto"/>
          <w:sz w:val="28"/>
          <w:szCs w:val="28"/>
          <w:highlight w:val="none"/>
        </w:rPr>
      </w:pPr>
      <w:r>
        <w:rPr>
          <w:rFonts w:hint="eastAsia" w:eastAsia="仿宋_GB2312" w:cs="仿宋_GB2312"/>
          <w:color w:val="auto"/>
          <w:sz w:val="28"/>
          <w:szCs w:val="28"/>
          <w:highlight w:val="none"/>
        </w:rPr>
        <w:t>（</w:t>
      </w:r>
      <w:r>
        <w:rPr>
          <w:rFonts w:eastAsia="仿宋_GB2312"/>
          <w:color w:val="auto"/>
          <w:sz w:val="28"/>
          <w:szCs w:val="28"/>
          <w:highlight w:val="none"/>
        </w:rPr>
        <w:t>2</w:t>
      </w:r>
      <w:r>
        <w:rPr>
          <w:rFonts w:hint="eastAsia" w:eastAsia="仿宋_GB2312" w:cs="仿宋_GB2312"/>
          <w:color w:val="auto"/>
          <w:sz w:val="28"/>
          <w:szCs w:val="28"/>
          <w:highlight w:val="none"/>
        </w:rPr>
        <w:t>）估价对象产权明晰，手续齐全，可在公开市场上自由转让。</w:t>
      </w:r>
    </w:p>
    <w:p>
      <w:pPr>
        <w:spacing w:line="480" w:lineRule="exact"/>
        <w:ind w:firstLine="560" w:firstLineChars="200"/>
        <w:rPr>
          <w:rFonts w:eastAsia="仿宋_GB2312"/>
          <w:color w:val="auto"/>
          <w:sz w:val="28"/>
          <w:szCs w:val="28"/>
          <w:highlight w:val="none"/>
        </w:rPr>
      </w:pPr>
      <w:r>
        <w:rPr>
          <w:rFonts w:hint="eastAsia" w:eastAsia="仿宋_GB2312" w:cs="仿宋_GB2312"/>
          <w:color w:val="auto"/>
          <w:sz w:val="28"/>
          <w:szCs w:val="28"/>
          <w:highlight w:val="none"/>
        </w:rPr>
        <w:t>（</w:t>
      </w:r>
      <w:r>
        <w:rPr>
          <w:rFonts w:eastAsia="仿宋_GB2312"/>
          <w:color w:val="auto"/>
          <w:sz w:val="28"/>
          <w:szCs w:val="28"/>
          <w:highlight w:val="none"/>
        </w:rPr>
        <w:t>3</w:t>
      </w:r>
      <w:r>
        <w:rPr>
          <w:rFonts w:hint="eastAsia" w:eastAsia="仿宋_GB2312" w:cs="仿宋_GB2312"/>
          <w:color w:val="auto"/>
          <w:sz w:val="28"/>
          <w:szCs w:val="28"/>
          <w:highlight w:val="none"/>
        </w:rPr>
        <w:t>）任何有关估价对象的运作方式、程序均符合国家、地方的有关法律、法规。</w:t>
      </w:r>
    </w:p>
    <w:p>
      <w:pPr>
        <w:spacing w:line="480" w:lineRule="exact"/>
        <w:ind w:firstLine="560" w:firstLineChars="200"/>
        <w:rPr>
          <w:rFonts w:eastAsia="仿宋_GB2312"/>
          <w:color w:val="auto"/>
          <w:sz w:val="28"/>
          <w:szCs w:val="28"/>
          <w:highlight w:val="none"/>
        </w:rPr>
      </w:pPr>
      <w:r>
        <w:rPr>
          <w:rFonts w:hint="eastAsia" w:eastAsia="仿宋_GB2312" w:cs="仿宋_GB2312"/>
          <w:color w:val="auto"/>
          <w:sz w:val="28"/>
          <w:szCs w:val="28"/>
          <w:highlight w:val="none"/>
        </w:rPr>
        <w:t>（</w:t>
      </w:r>
      <w:r>
        <w:rPr>
          <w:rFonts w:eastAsia="仿宋_GB2312"/>
          <w:color w:val="auto"/>
          <w:sz w:val="28"/>
          <w:szCs w:val="28"/>
          <w:highlight w:val="none"/>
        </w:rPr>
        <w:t>4</w:t>
      </w:r>
      <w:r>
        <w:rPr>
          <w:rFonts w:hint="eastAsia" w:eastAsia="仿宋_GB2312" w:cs="仿宋_GB2312"/>
          <w:color w:val="auto"/>
          <w:sz w:val="28"/>
          <w:szCs w:val="28"/>
          <w:highlight w:val="none"/>
        </w:rPr>
        <w:t>）本次估价结果未考虑国家宏观经济政策发生重大变化以及遇有自然力和其他不可抗力对估价结论的影响。</w:t>
      </w:r>
    </w:p>
    <w:p>
      <w:pPr>
        <w:spacing w:line="480" w:lineRule="exact"/>
        <w:ind w:firstLine="560" w:firstLineChars="200"/>
        <w:rPr>
          <w:rFonts w:eastAsia="仿宋_GB2312"/>
          <w:color w:val="auto"/>
          <w:sz w:val="28"/>
          <w:szCs w:val="28"/>
          <w:highlight w:val="none"/>
        </w:rPr>
      </w:pPr>
      <w:r>
        <w:rPr>
          <w:rFonts w:hint="eastAsia" w:eastAsia="仿宋_GB2312" w:cs="仿宋_GB2312"/>
          <w:color w:val="auto"/>
          <w:sz w:val="28"/>
          <w:szCs w:val="28"/>
          <w:highlight w:val="none"/>
        </w:rPr>
        <w:t>（</w:t>
      </w:r>
      <w:r>
        <w:rPr>
          <w:rFonts w:eastAsia="仿宋_GB2312"/>
          <w:color w:val="auto"/>
          <w:sz w:val="28"/>
          <w:szCs w:val="28"/>
          <w:highlight w:val="none"/>
        </w:rPr>
        <w:t>5</w:t>
      </w:r>
      <w:r>
        <w:rPr>
          <w:rFonts w:hint="eastAsia" w:eastAsia="仿宋_GB2312" w:cs="仿宋_GB2312"/>
          <w:color w:val="auto"/>
          <w:sz w:val="28"/>
          <w:szCs w:val="28"/>
          <w:highlight w:val="none"/>
        </w:rPr>
        <w:t>）本报告以估价对象在价值时点时的状况为依据进行的，且以该状况在估价报告使用期限内无重大变化为前提。</w:t>
      </w:r>
    </w:p>
    <w:p>
      <w:pPr>
        <w:spacing w:line="480" w:lineRule="exact"/>
        <w:ind w:firstLine="560" w:firstLineChars="200"/>
        <w:rPr>
          <w:rFonts w:eastAsia="仿宋_GB2312"/>
          <w:color w:val="auto"/>
          <w:sz w:val="28"/>
          <w:szCs w:val="28"/>
          <w:highlight w:val="none"/>
        </w:rPr>
      </w:pPr>
      <w:r>
        <w:rPr>
          <w:rFonts w:hint="eastAsia" w:eastAsia="仿宋_GB2312" w:cs="仿宋_GB2312"/>
          <w:color w:val="auto"/>
          <w:sz w:val="28"/>
          <w:szCs w:val="28"/>
          <w:highlight w:val="none"/>
        </w:rPr>
        <w:t>（</w:t>
      </w:r>
      <w:r>
        <w:rPr>
          <w:rFonts w:eastAsia="仿宋_GB2312"/>
          <w:color w:val="auto"/>
          <w:sz w:val="28"/>
          <w:szCs w:val="28"/>
          <w:highlight w:val="none"/>
        </w:rPr>
        <w:t>6</w:t>
      </w:r>
      <w:r>
        <w:rPr>
          <w:rFonts w:hint="eastAsia" w:eastAsia="仿宋_GB2312" w:cs="仿宋_GB2312"/>
          <w:color w:val="auto"/>
          <w:sz w:val="28"/>
          <w:szCs w:val="28"/>
          <w:highlight w:val="none"/>
        </w:rPr>
        <w:t>）本次估价未考虑可能与估价对象产权人有关的债权及债务情况对估价结果的影响。</w:t>
      </w:r>
    </w:p>
    <w:p>
      <w:pPr>
        <w:spacing w:line="480" w:lineRule="exact"/>
        <w:ind w:firstLine="560" w:firstLineChars="200"/>
        <w:rPr>
          <w:rFonts w:eastAsia="仿宋_GB2312" w:cs="仿宋_GB2312"/>
          <w:color w:val="auto"/>
          <w:sz w:val="28"/>
          <w:szCs w:val="28"/>
          <w:highlight w:val="none"/>
        </w:rPr>
      </w:pPr>
      <w:r>
        <w:rPr>
          <w:rFonts w:hint="eastAsia" w:eastAsia="仿宋_GB2312" w:cs="仿宋_GB2312"/>
          <w:color w:val="auto"/>
          <w:sz w:val="28"/>
          <w:szCs w:val="28"/>
          <w:highlight w:val="none"/>
        </w:rPr>
        <w:t>（</w:t>
      </w:r>
      <w:r>
        <w:rPr>
          <w:rFonts w:eastAsia="仿宋_GB2312"/>
          <w:color w:val="auto"/>
          <w:sz w:val="28"/>
          <w:szCs w:val="28"/>
          <w:highlight w:val="none"/>
        </w:rPr>
        <w:t>7</w:t>
      </w:r>
      <w:r>
        <w:rPr>
          <w:rFonts w:hint="eastAsia" w:eastAsia="仿宋_GB2312" w:cs="仿宋_GB2312"/>
          <w:color w:val="auto"/>
          <w:sz w:val="28"/>
          <w:szCs w:val="28"/>
          <w:highlight w:val="none"/>
        </w:rPr>
        <w:t>）本报告估价结果没有考虑快速变现、税费转嫁等特殊的交易方式，以及可能发生的办理抵押登记、权利转移相关费用对估价对象房地产价值的影响，如上述条件发生变化，估价结果需做相应调整。</w:t>
      </w:r>
    </w:p>
    <w:p>
      <w:pPr>
        <w:spacing w:line="480" w:lineRule="exact"/>
        <w:ind w:firstLine="560" w:firstLineChars="200"/>
        <w:rPr>
          <w:rFonts w:eastAsia="仿宋_GB2312" w:cs="仿宋_GB2312"/>
          <w:color w:val="auto"/>
          <w:sz w:val="28"/>
          <w:szCs w:val="28"/>
          <w:highlight w:val="none"/>
        </w:rPr>
      </w:pPr>
      <w:r>
        <w:rPr>
          <w:rFonts w:hint="eastAsia" w:eastAsia="仿宋_GB2312" w:cs="仿宋_GB2312"/>
          <w:color w:val="auto"/>
          <w:sz w:val="28"/>
          <w:szCs w:val="28"/>
          <w:highlight w:val="none"/>
        </w:rPr>
        <w:t>（8）本次估价对象的房屋权属情况以《合同备案库查询单》为依据。如上述情况发生变化，估价结果需做相应调整。</w:t>
      </w:r>
    </w:p>
    <w:p>
      <w:pPr>
        <w:spacing w:line="480" w:lineRule="exact"/>
        <w:ind w:firstLine="560" w:firstLineChars="200"/>
        <w:rPr>
          <w:rFonts w:eastAsia="仿宋_GB2312"/>
          <w:b/>
          <w:color w:val="auto"/>
          <w:highlight w:val="none"/>
          <w:u w:val="single"/>
        </w:rPr>
      </w:pPr>
      <w:r>
        <w:rPr>
          <w:rFonts w:eastAsia="仿宋_GB2312"/>
          <w:color w:val="auto"/>
          <w:sz w:val="28"/>
          <w:szCs w:val="28"/>
          <w:highlight w:val="none"/>
        </w:rPr>
        <w:t>（</w:t>
      </w:r>
      <w:r>
        <w:rPr>
          <w:rFonts w:hint="eastAsia" w:eastAsia="仿宋_GB2312"/>
          <w:color w:val="auto"/>
          <w:sz w:val="28"/>
          <w:szCs w:val="28"/>
          <w:highlight w:val="none"/>
        </w:rPr>
        <w:t>9</w:t>
      </w:r>
      <w:r>
        <w:rPr>
          <w:rFonts w:eastAsia="仿宋_GB2312"/>
          <w:color w:val="auto"/>
          <w:sz w:val="28"/>
          <w:szCs w:val="28"/>
          <w:highlight w:val="none"/>
        </w:rPr>
        <w:t>）</w:t>
      </w:r>
      <w:r>
        <w:rPr>
          <w:rFonts w:hint="eastAsia" w:eastAsia="仿宋_GB2312"/>
          <w:color w:val="auto"/>
          <w:sz w:val="28"/>
          <w:szCs w:val="28"/>
          <w:highlight w:val="none"/>
        </w:rPr>
        <w:t>估价人员曾于2022年11月14日对估价对象进行了实地查勘，但估价人员对估价对象的实地查勘仅限于估价对象的外观和使用状况、内部布局、装修及设备情况，并未对估价对象做建筑物基础、房屋结构上的测量和实验，因此无法确认其内部有无缺损、是否存在结构性损坏。对被遮盖、未暴露及难以接触到的房屋结构部分及其内部设施、设备，本报告假设其无建筑物基础、房屋结构等方面的重大质量问题，符合国家有关技术、质量、验收规范，且符合国家有关安全使用标准。</w:t>
      </w:r>
    </w:p>
    <w:p>
      <w:pPr>
        <w:spacing w:line="480" w:lineRule="exact"/>
        <w:ind w:firstLine="562" w:firstLineChars="200"/>
        <w:rPr>
          <w:rFonts w:eastAsia="仿宋_GB2312"/>
          <w:b/>
          <w:bCs/>
          <w:color w:val="auto"/>
          <w:sz w:val="28"/>
          <w:szCs w:val="28"/>
          <w:highlight w:val="none"/>
        </w:rPr>
      </w:pPr>
      <w:r>
        <w:rPr>
          <w:rFonts w:eastAsia="仿宋_GB2312"/>
          <w:b/>
          <w:bCs/>
          <w:color w:val="auto"/>
          <w:sz w:val="28"/>
          <w:szCs w:val="28"/>
          <w:highlight w:val="none"/>
        </w:rPr>
        <w:t>2.</w:t>
      </w:r>
      <w:r>
        <w:rPr>
          <w:rFonts w:hint="eastAsia" w:eastAsia="仿宋_GB2312" w:cs="仿宋_GB2312"/>
          <w:b/>
          <w:bCs/>
          <w:color w:val="auto"/>
          <w:sz w:val="28"/>
          <w:szCs w:val="28"/>
          <w:highlight w:val="none"/>
        </w:rPr>
        <w:t>未定事项假设</w:t>
      </w:r>
    </w:p>
    <w:p>
      <w:pPr>
        <w:topLinePunct/>
        <w:adjustRightInd w:val="0"/>
        <w:snapToGrid w:val="0"/>
        <w:spacing w:line="480" w:lineRule="exact"/>
        <w:ind w:firstLine="560" w:firstLineChars="200"/>
        <w:rPr>
          <w:rFonts w:eastAsia="仿宋_GB2312" w:cs="仿宋_GB2312"/>
          <w:color w:val="auto"/>
          <w:sz w:val="28"/>
          <w:szCs w:val="28"/>
          <w:highlight w:val="none"/>
        </w:rPr>
      </w:pPr>
      <w:r>
        <w:rPr>
          <w:rFonts w:hint="eastAsia" w:eastAsia="仿宋_GB2312" w:cs="仿宋_GB2312"/>
          <w:color w:val="auto"/>
          <w:sz w:val="28"/>
          <w:szCs w:val="28"/>
          <w:highlight w:val="none"/>
        </w:rPr>
        <w:t>无未定事项假设。</w:t>
      </w:r>
    </w:p>
    <w:p>
      <w:pPr>
        <w:spacing w:line="480" w:lineRule="exact"/>
        <w:ind w:firstLine="562" w:firstLineChars="200"/>
        <w:rPr>
          <w:rFonts w:eastAsia="仿宋_GB2312" w:cs="仿宋_GB2312"/>
          <w:b/>
          <w:bCs/>
          <w:color w:val="auto"/>
          <w:sz w:val="28"/>
          <w:szCs w:val="28"/>
          <w:highlight w:val="none"/>
        </w:rPr>
      </w:pPr>
      <w:r>
        <w:rPr>
          <w:rFonts w:eastAsia="仿宋_GB2312"/>
          <w:b/>
          <w:bCs/>
          <w:color w:val="auto"/>
          <w:sz w:val="28"/>
          <w:szCs w:val="28"/>
          <w:highlight w:val="none"/>
        </w:rPr>
        <w:t xml:space="preserve">3. </w:t>
      </w:r>
      <w:r>
        <w:rPr>
          <w:rFonts w:hint="eastAsia" w:eastAsia="仿宋_GB2312" w:cs="仿宋_GB2312"/>
          <w:b/>
          <w:bCs/>
          <w:color w:val="auto"/>
          <w:sz w:val="28"/>
          <w:szCs w:val="28"/>
          <w:highlight w:val="none"/>
        </w:rPr>
        <w:t>背离事实假设</w:t>
      </w:r>
    </w:p>
    <w:p>
      <w:pPr>
        <w:spacing w:line="480" w:lineRule="exact"/>
        <w:ind w:firstLine="560" w:firstLineChars="200"/>
        <w:rPr>
          <w:rFonts w:eastAsia="仿宋_GB2312" w:cs="仿宋_GB2312"/>
          <w:color w:val="auto"/>
          <w:sz w:val="28"/>
          <w:szCs w:val="28"/>
          <w:highlight w:val="none"/>
        </w:rPr>
      </w:pPr>
      <w:r>
        <w:rPr>
          <w:rFonts w:eastAsia="仿宋_GB2312" w:cs="仿宋_GB2312"/>
          <w:color w:val="auto"/>
          <w:sz w:val="28"/>
          <w:szCs w:val="28"/>
          <w:highlight w:val="none"/>
        </w:rPr>
        <w:t>无背离事实假设。</w:t>
      </w:r>
    </w:p>
    <w:p>
      <w:pPr>
        <w:spacing w:line="480" w:lineRule="exact"/>
        <w:ind w:firstLine="562" w:firstLineChars="200"/>
        <w:rPr>
          <w:rFonts w:eastAsia="仿宋_GB2312"/>
          <w:b/>
          <w:bCs/>
          <w:color w:val="auto"/>
          <w:sz w:val="28"/>
          <w:szCs w:val="28"/>
          <w:highlight w:val="none"/>
        </w:rPr>
      </w:pPr>
      <w:r>
        <w:rPr>
          <w:rFonts w:eastAsia="仿宋_GB2312"/>
          <w:b/>
          <w:bCs/>
          <w:color w:val="auto"/>
          <w:sz w:val="28"/>
          <w:szCs w:val="28"/>
          <w:highlight w:val="none"/>
        </w:rPr>
        <w:t>4.</w:t>
      </w:r>
      <w:r>
        <w:rPr>
          <w:rFonts w:hint="eastAsia" w:eastAsia="仿宋_GB2312" w:cs="仿宋_GB2312"/>
          <w:b/>
          <w:bCs/>
          <w:color w:val="auto"/>
          <w:sz w:val="28"/>
          <w:szCs w:val="28"/>
          <w:highlight w:val="none"/>
        </w:rPr>
        <w:t>不相一致假设</w:t>
      </w:r>
    </w:p>
    <w:p>
      <w:pPr>
        <w:spacing w:line="480" w:lineRule="exact"/>
        <w:ind w:firstLine="560" w:firstLineChars="200"/>
        <w:rPr>
          <w:rFonts w:eastAsia="仿宋_GB2312"/>
          <w:color w:val="auto"/>
          <w:sz w:val="28"/>
          <w:szCs w:val="28"/>
          <w:highlight w:val="none"/>
        </w:rPr>
      </w:pPr>
      <w:r>
        <w:rPr>
          <w:rFonts w:eastAsia="仿宋_GB2312"/>
          <w:color w:val="auto"/>
          <w:sz w:val="28"/>
          <w:szCs w:val="28"/>
          <w:highlight w:val="none"/>
        </w:rPr>
        <w:t>无不相一致假设。</w:t>
      </w:r>
    </w:p>
    <w:p>
      <w:pPr>
        <w:spacing w:line="480" w:lineRule="exact"/>
        <w:ind w:firstLine="562" w:firstLineChars="200"/>
        <w:rPr>
          <w:rFonts w:eastAsia="仿宋_GB2312"/>
          <w:b/>
          <w:bCs/>
          <w:color w:val="auto"/>
          <w:sz w:val="28"/>
          <w:szCs w:val="28"/>
          <w:highlight w:val="none"/>
        </w:rPr>
      </w:pPr>
      <w:r>
        <w:rPr>
          <w:rFonts w:eastAsia="仿宋_GB2312"/>
          <w:b/>
          <w:bCs/>
          <w:color w:val="auto"/>
          <w:sz w:val="28"/>
          <w:szCs w:val="28"/>
          <w:highlight w:val="none"/>
        </w:rPr>
        <w:t xml:space="preserve">5. </w:t>
      </w:r>
      <w:r>
        <w:rPr>
          <w:rFonts w:hint="eastAsia" w:eastAsia="仿宋_GB2312" w:cs="仿宋_GB2312"/>
          <w:b/>
          <w:bCs/>
          <w:color w:val="auto"/>
          <w:sz w:val="28"/>
          <w:szCs w:val="28"/>
          <w:highlight w:val="none"/>
        </w:rPr>
        <w:t>依据不足假设</w:t>
      </w:r>
    </w:p>
    <w:p>
      <w:pPr>
        <w:spacing w:line="480" w:lineRule="exact"/>
        <w:ind w:firstLine="560" w:firstLineChars="200"/>
        <w:rPr>
          <w:rFonts w:eastAsia="仿宋_GB2312"/>
          <w:color w:val="auto"/>
          <w:sz w:val="28"/>
          <w:szCs w:val="28"/>
          <w:highlight w:val="none"/>
        </w:rPr>
      </w:pPr>
      <w:r>
        <w:rPr>
          <w:rFonts w:hint="eastAsia" w:eastAsia="仿宋_GB2312"/>
          <w:color w:val="auto"/>
          <w:sz w:val="28"/>
          <w:szCs w:val="28"/>
          <w:highlight w:val="none"/>
        </w:rPr>
        <w:t>由于《合同备案库查询单》未载明估价对象建成年代，根据估价人员的调查，估价对象建成于2017年。本次评估假设估价对象建成年代为2017年。若实际建成年代有变，则报告需做相应调整。</w:t>
      </w:r>
    </w:p>
    <w:p>
      <w:pPr>
        <w:spacing w:line="480" w:lineRule="exact"/>
        <w:ind w:firstLine="562" w:firstLineChars="200"/>
        <w:rPr>
          <w:rFonts w:eastAsia="仿宋_GB2312"/>
          <w:b/>
          <w:bCs/>
          <w:color w:val="auto"/>
          <w:sz w:val="28"/>
          <w:szCs w:val="28"/>
          <w:highlight w:val="none"/>
        </w:rPr>
      </w:pPr>
      <w:r>
        <w:rPr>
          <w:rFonts w:eastAsia="仿宋_GB2312"/>
          <w:b/>
          <w:bCs/>
          <w:color w:val="auto"/>
          <w:sz w:val="28"/>
          <w:szCs w:val="28"/>
          <w:highlight w:val="none"/>
        </w:rPr>
        <w:t xml:space="preserve">6. </w:t>
      </w:r>
      <w:r>
        <w:rPr>
          <w:rFonts w:hint="eastAsia" w:eastAsia="仿宋_GB2312" w:cs="仿宋_GB2312"/>
          <w:b/>
          <w:bCs/>
          <w:color w:val="auto"/>
          <w:sz w:val="28"/>
          <w:szCs w:val="28"/>
          <w:highlight w:val="none"/>
        </w:rPr>
        <w:t>估价报告使用限制</w:t>
      </w:r>
    </w:p>
    <w:p>
      <w:pPr>
        <w:spacing w:line="480" w:lineRule="exact"/>
        <w:ind w:firstLine="560" w:firstLineChars="200"/>
        <w:rPr>
          <w:rFonts w:eastAsia="仿宋_GB2312"/>
          <w:color w:val="auto"/>
          <w:sz w:val="28"/>
          <w:szCs w:val="28"/>
          <w:highlight w:val="none"/>
        </w:rPr>
      </w:pPr>
      <w:bookmarkStart w:id="25" w:name="_Toc243111712"/>
      <w:bookmarkStart w:id="26" w:name="_Toc130033720"/>
      <w:bookmarkStart w:id="27" w:name="_Toc254860123"/>
      <w:bookmarkStart w:id="28" w:name="_Toc243111683"/>
      <w:bookmarkStart w:id="29" w:name="_Toc435110681"/>
      <w:bookmarkStart w:id="30" w:name="_Toc270691065"/>
      <w:bookmarkStart w:id="31" w:name="_Toc297122054"/>
      <w:bookmarkStart w:id="32" w:name="_Toc297196349"/>
      <w:bookmarkStart w:id="33" w:name="_Toc367869494"/>
      <w:bookmarkStart w:id="34" w:name="_Toc254875137"/>
      <w:bookmarkStart w:id="35" w:name="_Toc135016170"/>
      <w:bookmarkStart w:id="36" w:name="_Toc269132866"/>
      <w:bookmarkStart w:id="37" w:name="_Toc301369712"/>
      <w:bookmarkStart w:id="38" w:name="_Toc257051888"/>
      <w:r>
        <w:rPr>
          <w:rFonts w:hint="eastAsia" w:eastAsia="仿宋_GB2312" w:cs="仿宋_GB2312"/>
          <w:color w:val="auto"/>
          <w:sz w:val="28"/>
          <w:szCs w:val="28"/>
          <w:highlight w:val="none"/>
        </w:rPr>
        <w:t>（</w:t>
      </w:r>
      <w:r>
        <w:rPr>
          <w:rFonts w:eastAsia="仿宋_GB2312"/>
          <w:color w:val="auto"/>
          <w:sz w:val="28"/>
          <w:szCs w:val="28"/>
          <w:highlight w:val="none"/>
        </w:rPr>
        <w:t>1</w:t>
      </w:r>
      <w:r>
        <w:rPr>
          <w:rFonts w:hint="eastAsia" w:eastAsia="仿宋_GB2312" w:cs="仿宋_GB2312"/>
          <w:color w:val="auto"/>
          <w:sz w:val="28"/>
          <w:szCs w:val="28"/>
          <w:highlight w:val="none"/>
        </w:rPr>
        <w:t>）本报告仅适用于所述估价</w:t>
      </w:r>
      <w:r>
        <w:rPr>
          <w:rFonts w:eastAsia="仿宋_GB2312" w:cs="仿宋_GB2312"/>
          <w:color w:val="auto"/>
          <w:sz w:val="28"/>
          <w:szCs w:val="28"/>
          <w:highlight w:val="none"/>
        </w:rPr>
        <w:t>目的</w:t>
      </w:r>
      <w:r>
        <w:rPr>
          <w:rFonts w:hint="eastAsia" w:eastAsia="仿宋_GB2312" w:cs="仿宋_GB2312"/>
          <w:color w:val="auto"/>
          <w:sz w:val="28"/>
          <w:szCs w:val="28"/>
          <w:highlight w:val="none"/>
        </w:rPr>
        <w:t>，不作其他估价目的之用。如果估价条件或目的发生变化，估价报告需做相应调整。</w:t>
      </w:r>
    </w:p>
    <w:p>
      <w:pPr>
        <w:spacing w:line="480" w:lineRule="exact"/>
        <w:ind w:firstLine="560" w:firstLineChars="200"/>
        <w:rPr>
          <w:rFonts w:eastAsia="仿宋_GB2312"/>
          <w:color w:val="auto"/>
          <w:sz w:val="28"/>
          <w:szCs w:val="28"/>
          <w:highlight w:val="none"/>
        </w:rPr>
      </w:pPr>
      <w:r>
        <w:rPr>
          <w:rFonts w:hint="eastAsia" w:eastAsia="仿宋_GB2312" w:cs="仿宋_GB2312"/>
          <w:color w:val="auto"/>
          <w:sz w:val="28"/>
          <w:szCs w:val="28"/>
          <w:highlight w:val="none"/>
        </w:rPr>
        <w:t>（</w:t>
      </w:r>
      <w:r>
        <w:rPr>
          <w:rFonts w:eastAsia="仿宋_GB2312"/>
          <w:color w:val="auto"/>
          <w:sz w:val="28"/>
          <w:szCs w:val="28"/>
          <w:highlight w:val="none"/>
        </w:rPr>
        <w:t>2</w:t>
      </w:r>
      <w:r>
        <w:rPr>
          <w:rFonts w:hint="eastAsia" w:eastAsia="仿宋_GB2312" w:cs="仿宋_GB2312"/>
          <w:color w:val="auto"/>
          <w:sz w:val="28"/>
          <w:szCs w:val="28"/>
          <w:highlight w:val="none"/>
        </w:rPr>
        <w:t>）未经本估价机构书面同意，本报告的全部或任何一部分均不得向估价委托人、报告使用者、报告审查部门之外的单位和个人提供，也不得以任何形式公开发表。</w:t>
      </w:r>
    </w:p>
    <w:p>
      <w:pPr>
        <w:spacing w:line="480" w:lineRule="exact"/>
        <w:ind w:firstLine="560" w:firstLineChars="200"/>
        <w:rPr>
          <w:rFonts w:eastAsia="仿宋_GB2312" w:cs="仿宋_GB2312"/>
          <w:color w:val="auto"/>
          <w:sz w:val="28"/>
          <w:szCs w:val="28"/>
          <w:highlight w:val="none"/>
        </w:rPr>
      </w:pPr>
      <w:r>
        <w:rPr>
          <w:rFonts w:hint="eastAsia" w:eastAsia="仿宋_GB2312" w:cs="仿宋_GB2312"/>
          <w:color w:val="auto"/>
          <w:sz w:val="28"/>
          <w:szCs w:val="28"/>
          <w:highlight w:val="none"/>
        </w:rPr>
        <w:t>（</w:t>
      </w:r>
      <w:r>
        <w:rPr>
          <w:rFonts w:eastAsia="仿宋_GB2312"/>
          <w:color w:val="auto"/>
          <w:sz w:val="28"/>
          <w:szCs w:val="28"/>
          <w:highlight w:val="none"/>
        </w:rPr>
        <w:t>3</w:t>
      </w:r>
      <w:r>
        <w:rPr>
          <w:rFonts w:hint="eastAsia" w:eastAsia="仿宋_GB2312" w:cs="仿宋_GB2312"/>
          <w:color w:val="auto"/>
          <w:sz w:val="28"/>
          <w:szCs w:val="28"/>
          <w:highlight w:val="none"/>
        </w:rPr>
        <w:t>）本报告必须完整使用方为有效，对仅使用本报告中部分内容而导致可能的损失，本估价机构不承担责任。</w:t>
      </w:r>
    </w:p>
    <w:p>
      <w:pPr>
        <w:spacing w:line="480" w:lineRule="exact"/>
        <w:ind w:firstLine="560" w:firstLineChars="200"/>
        <w:rPr>
          <w:rFonts w:eastAsia="仿宋_GB2312"/>
          <w:color w:val="auto"/>
          <w:sz w:val="28"/>
          <w:szCs w:val="28"/>
          <w:highlight w:val="none"/>
        </w:rPr>
      </w:pPr>
      <w:r>
        <w:rPr>
          <w:rFonts w:hint="eastAsia" w:eastAsia="仿宋_GB2312" w:cs="仿宋_GB2312"/>
          <w:color w:val="auto"/>
          <w:sz w:val="28"/>
          <w:szCs w:val="28"/>
          <w:highlight w:val="none"/>
        </w:rPr>
        <w:t>（4）</w:t>
      </w:r>
      <w:r>
        <w:rPr>
          <w:rFonts w:eastAsia="仿宋_GB2312"/>
          <w:color w:val="auto"/>
          <w:sz w:val="28"/>
          <w:highlight w:val="none"/>
        </w:rPr>
        <w:t>估价报告中相关证明资料、基础数据等，由估价委托人提供并对其准确性和真实性负责。</w:t>
      </w:r>
    </w:p>
    <w:p>
      <w:pPr>
        <w:spacing w:line="480" w:lineRule="exact"/>
        <w:ind w:firstLine="560" w:firstLineChars="200"/>
        <w:rPr>
          <w:rFonts w:eastAsia="仿宋_GB2312" w:cs="仿宋_GB2312"/>
          <w:color w:val="auto"/>
          <w:sz w:val="28"/>
          <w:szCs w:val="28"/>
          <w:highlight w:val="none"/>
        </w:rPr>
      </w:pPr>
      <w:r>
        <w:rPr>
          <w:rFonts w:hint="eastAsia" w:eastAsia="仿宋_GB2312" w:cs="仿宋_GB2312"/>
          <w:color w:val="auto"/>
          <w:sz w:val="28"/>
          <w:szCs w:val="28"/>
          <w:highlight w:val="none"/>
        </w:rPr>
        <w:t>（</w:t>
      </w:r>
      <w:r>
        <w:rPr>
          <w:rFonts w:hint="eastAsia" w:eastAsia="仿宋_GB2312"/>
          <w:color w:val="auto"/>
          <w:sz w:val="28"/>
          <w:szCs w:val="28"/>
          <w:highlight w:val="none"/>
        </w:rPr>
        <w:t>5</w:t>
      </w:r>
      <w:r>
        <w:rPr>
          <w:rFonts w:hint="eastAsia" w:eastAsia="仿宋_GB2312" w:cs="仿宋_GB2312"/>
          <w:color w:val="auto"/>
          <w:sz w:val="28"/>
          <w:szCs w:val="28"/>
          <w:highlight w:val="none"/>
        </w:rPr>
        <w:t>）本次估价结果受价值时点的限制，且本估价报告使用期限自估价报告出具之日</w:t>
      </w:r>
      <w:r>
        <w:rPr>
          <w:rFonts w:hint="eastAsia" w:eastAsia="仿宋_GB2312"/>
          <w:color w:val="auto"/>
          <w:sz w:val="28"/>
          <w:szCs w:val="28"/>
          <w:highlight w:val="none"/>
        </w:rPr>
        <w:t>2022年11月28日</w:t>
      </w:r>
      <w:r>
        <w:rPr>
          <w:rFonts w:hint="eastAsia" w:eastAsia="仿宋_GB2312" w:cs="仿宋_GB2312"/>
          <w:color w:val="auto"/>
          <w:sz w:val="28"/>
          <w:szCs w:val="28"/>
          <w:highlight w:val="none"/>
        </w:rPr>
        <w:t>起为壹年。若报告使用期限内，房地产市场、建筑市场或估价对象自身状况发生重大变化，估价结果也需做相应调整或委托估价机构重新估价。</w:t>
      </w:r>
    </w:p>
    <w:p>
      <w:pPr>
        <w:spacing w:line="480" w:lineRule="exact"/>
        <w:ind w:firstLine="560" w:firstLineChars="200"/>
        <w:rPr>
          <w:rFonts w:eastAsia="仿宋_GB2312" w:cs="仿宋_GB2312"/>
          <w:color w:val="auto"/>
          <w:sz w:val="28"/>
          <w:szCs w:val="28"/>
          <w:highlight w:val="none"/>
        </w:rPr>
      </w:pPr>
      <w:r>
        <w:rPr>
          <w:rFonts w:eastAsia="仿宋_GB2312"/>
          <w:color w:val="auto"/>
          <w:sz w:val="28"/>
          <w:szCs w:val="28"/>
          <w:highlight w:val="none"/>
        </w:rPr>
        <w:t>（</w:t>
      </w:r>
      <w:r>
        <w:rPr>
          <w:rFonts w:hint="eastAsia" w:eastAsia="仿宋_GB2312"/>
          <w:color w:val="auto"/>
          <w:sz w:val="28"/>
          <w:szCs w:val="28"/>
          <w:highlight w:val="none"/>
        </w:rPr>
        <w:t>6</w:t>
      </w:r>
      <w:r>
        <w:rPr>
          <w:rFonts w:eastAsia="仿宋_GB2312"/>
          <w:color w:val="auto"/>
          <w:sz w:val="28"/>
          <w:szCs w:val="28"/>
          <w:highlight w:val="none"/>
        </w:rPr>
        <w:t>）</w:t>
      </w:r>
      <w:r>
        <w:rPr>
          <w:rFonts w:hint="eastAsia" w:eastAsia="仿宋_GB2312" w:cs="仿宋_GB2312"/>
          <w:color w:val="auto"/>
          <w:sz w:val="28"/>
          <w:szCs w:val="28"/>
          <w:highlight w:val="none"/>
        </w:rPr>
        <w:t>本次估价结果是指在目前房地产市场状况下、估价对象在现状利用条件下的房地产市场价值，包括国有出让土地使用权价值和与房屋有关的土建、安装、装修及室外附属工程价值，不包括可移动的家具、电器等物品价值。</w:t>
      </w:r>
    </w:p>
    <w:p>
      <w:pPr>
        <w:spacing w:line="480" w:lineRule="exact"/>
        <w:ind w:firstLine="560" w:firstLineChars="200"/>
        <w:rPr>
          <w:rFonts w:eastAsia="仿宋_GB2312"/>
          <w:color w:val="auto"/>
          <w:sz w:val="28"/>
          <w:szCs w:val="28"/>
          <w:highlight w:val="none"/>
        </w:rPr>
      </w:pPr>
      <w:r>
        <w:rPr>
          <w:rFonts w:hint="eastAsia" w:eastAsia="仿宋_GB2312" w:cs="仿宋_GB2312"/>
          <w:color w:val="auto"/>
          <w:sz w:val="28"/>
          <w:szCs w:val="28"/>
          <w:highlight w:val="none"/>
        </w:rPr>
        <w:t>（</w:t>
      </w:r>
      <w:r>
        <w:rPr>
          <w:rFonts w:hint="eastAsia" w:eastAsia="仿宋_GB2312"/>
          <w:color w:val="auto"/>
          <w:sz w:val="28"/>
          <w:szCs w:val="28"/>
          <w:highlight w:val="none"/>
        </w:rPr>
        <w:t>7</w:t>
      </w:r>
      <w:r>
        <w:rPr>
          <w:rFonts w:hint="eastAsia" w:eastAsia="仿宋_GB2312" w:cs="仿宋_GB2312"/>
          <w:color w:val="auto"/>
          <w:sz w:val="28"/>
          <w:szCs w:val="28"/>
          <w:highlight w:val="none"/>
        </w:rPr>
        <w:t>）本次评估未考虑快速变现而带来的价值损失。</w:t>
      </w:r>
    </w:p>
    <w:p>
      <w:pPr>
        <w:spacing w:line="480" w:lineRule="exact"/>
        <w:ind w:firstLine="560" w:firstLineChars="200"/>
        <w:rPr>
          <w:rFonts w:eastAsia="仿宋_GB2312"/>
          <w:color w:val="auto"/>
          <w:sz w:val="28"/>
          <w:szCs w:val="28"/>
          <w:highlight w:val="none"/>
        </w:rPr>
      </w:pPr>
      <w:r>
        <w:rPr>
          <w:rFonts w:hint="eastAsia" w:eastAsia="仿宋_GB2312"/>
          <w:color w:val="auto"/>
          <w:sz w:val="28"/>
          <w:szCs w:val="28"/>
          <w:highlight w:val="none"/>
        </w:rPr>
        <w:t>（8）</w:t>
      </w:r>
      <w:r>
        <w:rPr>
          <w:rFonts w:eastAsia="仿宋_GB2312"/>
          <w:color w:val="auto"/>
          <w:sz w:val="28"/>
          <w:highlight w:val="none"/>
        </w:rPr>
        <w:t>本报告只有盖章原件有效，其他复印件等均无法律效力。</w:t>
      </w:r>
    </w:p>
    <w:p>
      <w:pPr>
        <w:pStyle w:val="2"/>
        <w:spacing w:before="0" w:after="0" w:line="500" w:lineRule="exact"/>
        <w:jc w:val="center"/>
        <w:rPr>
          <w:rFonts w:eastAsia="仿宋_GB2312"/>
          <w:b w:val="0"/>
          <w:bCs w:val="0"/>
          <w:snapToGrid w:val="0"/>
          <w:color w:val="auto"/>
          <w:kern w:val="0"/>
          <w:sz w:val="32"/>
          <w:szCs w:val="32"/>
          <w:highlight w:val="none"/>
        </w:rPr>
      </w:pPr>
      <w:r>
        <w:rPr>
          <w:rFonts w:eastAsia="仿宋_GB2312"/>
          <w:color w:val="auto"/>
          <w:sz w:val="26"/>
          <w:szCs w:val="26"/>
          <w:highlight w:val="none"/>
        </w:rPr>
        <w:br w:type="page"/>
      </w:r>
      <w:bookmarkStart w:id="39" w:name="_Toc106179012"/>
      <w:r>
        <w:rPr>
          <w:rFonts w:hint="eastAsia" w:eastAsia="仿宋_GB2312" w:cs="仿宋_GB2312"/>
          <w:snapToGrid w:val="0"/>
          <w:color w:val="auto"/>
          <w:kern w:val="0"/>
          <w:sz w:val="32"/>
          <w:szCs w:val="32"/>
          <w:highlight w:val="none"/>
        </w:rPr>
        <w:t>三、估价结果报告</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Start w:id="40" w:name="_Toc435110682"/>
      <w:bookmarkStart w:id="41" w:name="_Toc367869495"/>
      <w:bookmarkStart w:id="42" w:name="_Toc301369713"/>
      <w:bookmarkStart w:id="43" w:name="_Toc243111699"/>
      <w:bookmarkStart w:id="44" w:name="_Toc254860169"/>
      <w:bookmarkStart w:id="45" w:name="_Toc301369583"/>
      <w:bookmarkStart w:id="46" w:name="_Toc299007139"/>
      <w:bookmarkStart w:id="47" w:name="_Toc299006852"/>
      <w:bookmarkStart w:id="48" w:name="_Toc301369729"/>
      <w:bookmarkStart w:id="49" w:name="_Toc367869511"/>
      <w:bookmarkStart w:id="50" w:name="_Toc269132882"/>
      <w:bookmarkStart w:id="51" w:name="_Toc299005654"/>
      <w:bookmarkStart w:id="52" w:name="_Toc298936786"/>
      <w:bookmarkStart w:id="53" w:name="_Toc94587045"/>
      <w:bookmarkStart w:id="54" w:name="_Toc243111728"/>
      <w:bookmarkStart w:id="55" w:name="_Toc298936729"/>
      <w:bookmarkStart w:id="56" w:name="_Toc254860139"/>
      <w:bookmarkStart w:id="57" w:name="_Toc254875153"/>
      <w:bookmarkStart w:id="58" w:name="_Toc270691081"/>
      <w:bookmarkStart w:id="59" w:name="_Toc94587103"/>
      <w:bookmarkStart w:id="60" w:name="_Toc299004833"/>
      <w:bookmarkStart w:id="61" w:name="_Toc135016185"/>
    </w:p>
    <w:p>
      <w:pPr>
        <w:pStyle w:val="3"/>
        <w:spacing w:before="0" w:after="0" w:line="500" w:lineRule="exact"/>
        <w:rPr>
          <w:rFonts w:eastAsia="仿宋_GB2312"/>
          <w:b w:val="0"/>
          <w:bCs w:val="0"/>
          <w:snapToGrid w:val="0"/>
          <w:color w:val="auto"/>
          <w:kern w:val="0"/>
          <w:highlight w:val="none"/>
        </w:rPr>
      </w:pPr>
      <w:bookmarkStart w:id="62" w:name="_Toc106179013"/>
      <w:r>
        <w:rPr>
          <w:rFonts w:hint="eastAsia" w:eastAsia="仿宋_GB2312" w:cs="仿宋_GB2312"/>
          <w:color w:val="auto"/>
          <w:sz w:val="28"/>
          <w:szCs w:val="28"/>
          <w:highlight w:val="none"/>
        </w:rPr>
        <w:t>（一）估价委托人</w:t>
      </w:r>
      <w:bookmarkEnd w:id="40"/>
      <w:bookmarkEnd w:id="41"/>
      <w:bookmarkEnd w:id="42"/>
      <w:bookmarkEnd w:id="62"/>
    </w:p>
    <w:p>
      <w:pPr>
        <w:spacing w:line="500" w:lineRule="exact"/>
        <w:ind w:firstLine="560" w:firstLineChars="200"/>
        <w:rPr>
          <w:rFonts w:eastAsia="仿宋_GB2312"/>
          <w:caps/>
          <w:color w:val="auto"/>
          <w:sz w:val="28"/>
          <w:szCs w:val="28"/>
          <w:highlight w:val="none"/>
        </w:rPr>
      </w:pPr>
      <w:bookmarkStart w:id="63" w:name="_Toc254860124"/>
      <w:bookmarkStart w:id="64" w:name="_Toc130033721"/>
      <w:bookmarkStart w:id="65" w:name="_Toc135016171"/>
      <w:bookmarkStart w:id="66" w:name="_Toc243111713"/>
      <w:bookmarkStart w:id="67" w:name="_Toc270691066"/>
      <w:bookmarkStart w:id="68" w:name="_Toc254875138"/>
      <w:bookmarkStart w:id="69" w:name="_Toc243111684"/>
      <w:bookmarkStart w:id="70" w:name="_Toc301369714"/>
      <w:bookmarkStart w:id="71" w:name="_Toc367869496"/>
      <w:bookmarkStart w:id="72" w:name="_Toc269132867"/>
      <w:r>
        <w:rPr>
          <w:rFonts w:hint="eastAsia" w:eastAsia="仿宋_GB2312" w:cs="仿宋_GB2312"/>
          <w:caps/>
          <w:color w:val="auto"/>
          <w:sz w:val="28"/>
          <w:szCs w:val="28"/>
          <w:highlight w:val="none"/>
        </w:rPr>
        <w:t>吉安市吉州区人民法院</w:t>
      </w:r>
    </w:p>
    <w:p>
      <w:pPr>
        <w:pStyle w:val="3"/>
        <w:spacing w:before="0" w:after="0" w:line="500" w:lineRule="exact"/>
        <w:rPr>
          <w:rFonts w:eastAsia="仿宋_GB2312"/>
          <w:b w:val="0"/>
          <w:bCs w:val="0"/>
          <w:caps/>
          <w:color w:val="auto"/>
          <w:sz w:val="28"/>
          <w:szCs w:val="28"/>
          <w:highlight w:val="none"/>
        </w:rPr>
      </w:pPr>
      <w:bookmarkStart w:id="73" w:name="_Toc106179014"/>
      <w:bookmarkStart w:id="74" w:name="_Toc435110683"/>
      <w:r>
        <w:rPr>
          <w:rFonts w:hint="eastAsia" w:eastAsia="仿宋_GB2312" w:cs="仿宋_GB2312"/>
          <w:color w:val="auto"/>
          <w:sz w:val="28"/>
          <w:szCs w:val="28"/>
          <w:highlight w:val="none"/>
        </w:rPr>
        <w:t>（二）房地产估价</w:t>
      </w:r>
      <w:bookmarkEnd w:id="63"/>
      <w:bookmarkEnd w:id="64"/>
      <w:bookmarkEnd w:id="65"/>
      <w:bookmarkEnd w:id="66"/>
      <w:bookmarkEnd w:id="67"/>
      <w:bookmarkEnd w:id="68"/>
      <w:bookmarkEnd w:id="69"/>
      <w:bookmarkEnd w:id="70"/>
      <w:bookmarkEnd w:id="71"/>
      <w:bookmarkEnd w:id="72"/>
      <w:r>
        <w:rPr>
          <w:rFonts w:hint="eastAsia" w:eastAsia="仿宋_GB2312" w:cs="仿宋_GB2312"/>
          <w:color w:val="auto"/>
          <w:sz w:val="28"/>
          <w:szCs w:val="28"/>
          <w:highlight w:val="none"/>
        </w:rPr>
        <w:t>机构</w:t>
      </w:r>
      <w:bookmarkEnd w:id="73"/>
      <w:bookmarkEnd w:id="74"/>
    </w:p>
    <w:p>
      <w:pPr>
        <w:adjustRightInd w:val="0"/>
        <w:snapToGrid w:val="0"/>
        <w:spacing w:line="500" w:lineRule="exact"/>
        <w:ind w:firstLine="560" w:firstLineChars="200"/>
        <w:rPr>
          <w:rFonts w:eastAsia="仿宋_GB2312"/>
          <w:color w:val="auto"/>
          <w:sz w:val="28"/>
          <w:szCs w:val="28"/>
          <w:highlight w:val="none"/>
        </w:rPr>
      </w:pPr>
      <w:bookmarkStart w:id="75" w:name="_Toc270691067"/>
      <w:bookmarkStart w:id="76" w:name="_Toc243111685"/>
      <w:bookmarkStart w:id="77" w:name="_Toc269132868"/>
      <w:bookmarkStart w:id="78" w:name="_Toc254875139"/>
      <w:bookmarkStart w:id="79" w:name="_Toc130033722"/>
      <w:bookmarkStart w:id="80" w:name="_Toc367869497"/>
      <w:bookmarkStart w:id="81" w:name="_Toc254860125"/>
      <w:bookmarkStart w:id="82" w:name="_Toc301369715"/>
      <w:bookmarkStart w:id="83" w:name="_Toc243111714"/>
      <w:bookmarkStart w:id="84" w:name="_Toc135016172"/>
      <w:r>
        <w:rPr>
          <w:rFonts w:eastAsia="仿宋_GB2312"/>
          <w:color w:val="auto"/>
          <w:sz w:val="28"/>
          <w:szCs w:val="28"/>
          <w:highlight w:val="none"/>
        </w:rPr>
        <w:t>机构名称：江西同致房地产土地资产评估咨询有限公司</w:t>
      </w:r>
    </w:p>
    <w:p>
      <w:pPr>
        <w:adjustRightInd w:val="0"/>
        <w:snapToGrid w:val="0"/>
        <w:spacing w:line="500" w:lineRule="exact"/>
        <w:ind w:firstLine="560" w:firstLineChars="200"/>
        <w:rPr>
          <w:rFonts w:eastAsia="仿宋_GB2312"/>
          <w:color w:val="auto"/>
          <w:sz w:val="28"/>
          <w:szCs w:val="28"/>
          <w:highlight w:val="none"/>
        </w:rPr>
      </w:pPr>
      <w:r>
        <w:rPr>
          <w:rFonts w:eastAsia="仿宋_GB2312"/>
          <w:color w:val="auto"/>
          <w:sz w:val="28"/>
          <w:szCs w:val="28"/>
          <w:highlight w:val="none"/>
        </w:rPr>
        <w:t>详细地址：江西省南昌市红谷滩新区赣江北大道1号中航国际广场14</w:t>
      </w:r>
      <w:r>
        <w:rPr>
          <w:rFonts w:hint="eastAsia" w:eastAsia="仿宋_GB2312"/>
          <w:color w:val="auto"/>
          <w:sz w:val="28"/>
          <w:szCs w:val="28"/>
          <w:highlight w:val="none"/>
        </w:rPr>
        <w:t>04室</w:t>
      </w:r>
      <w:r>
        <w:rPr>
          <w:rFonts w:eastAsia="仿宋_GB2312"/>
          <w:color w:val="auto"/>
          <w:sz w:val="28"/>
          <w:szCs w:val="28"/>
          <w:highlight w:val="none"/>
        </w:rPr>
        <w:t>、江西省吉安市吉州区古南大道55号（吉安</w:t>
      </w:r>
      <w:r>
        <w:rPr>
          <w:rFonts w:hint="eastAsia" w:eastAsia="仿宋_GB2312"/>
          <w:color w:val="auto"/>
          <w:sz w:val="28"/>
          <w:szCs w:val="28"/>
          <w:highlight w:val="none"/>
        </w:rPr>
        <w:t>分公司</w:t>
      </w:r>
      <w:r>
        <w:rPr>
          <w:rFonts w:eastAsia="仿宋_GB2312"/>
          <w:color w:val="auto"/>
          <w:sz w:val="28"/>
          <w:szCs w:val="28"/>
          <w:highlight w:val="none"/>
        </w:rPr>
        <w:t>）</w:t>
      </w:r>
    </w:p>
    <w:p>
      <w:pPr>
        <w:adjustRightInd w:val="0"/>
        <w:snapToGrid w:val="0"/>
        <w:spacing w:line="500" w:lineRule="exact"/>
        <w:ind w:firstLine="560" w:firstLineChars="200"/>
        <w:rPr>
          <w:rFonts w:eastAsia="仿宋_GB2312"/>
          <w:color w:val="auto"/>
          <w:sz w:val="28"/>
          <w:szCs w:val="28"/>
          <w:highlight w:val="none"/>
        </w:rPr>
      </w:pPr>
      <w:r>
        <w:rPr>
          <w:rFonts w:eastAsia="仿宋_GB2312"/>
          <w:color w:val="auto"/>
          <w:sz w:val="28"/>
          <w:szCs w:val="28"/>
          <w:highlight w:val="none"/>
        </w:rPr>
        <w:t>证书编号：赣建房评字033号</w:t>
      </w:r>
    </w:p>
    <w:p>
      <w:pPr>
        <w:adjustRightInd w:val="0"/>
        <w:snapToGrid w:val="0"/>
        <w:spacing w:line="500" w:lineRule="exact"/>
        <w:ind w:firstLine="560" w:firstLineChars="200"/>
        <w:rPr>
          <w:rFonts w:eastAsia="仿宋_GB2312"/>
          <w:color w:val="auto"/>
          <w:sz w:val="28"/>
          <w:szCs w:val="28"/>
          <w:highlight w:val="none"/>
        </w:rPr>
      </w:pPr>
      <w:r>
        <w:rPr>
          <w:rFonts w:eastAsia="仿宋_GB2312"/>
          <w:color w:val="auto"/>
          <w:sz w:val="28"/>
          <w:szCs w:val="28"/>
          <w:highlight w:val="none"/>
        </w:rPr>
        <w:t>备案等级：</w:t>
      </w:r>
      <w:r>
        <w:rPr>
          <w:rFonts w:eastAsia="仿宋_GB2312"/>
          <w:color w:val="auto"/>
          <w:sz w:val="28"/>
          <w:szCs w:val="28"/>
          <w:highlight w:val="none"/>
        </w:rPr>
        <w:fldChar w:fldCharType="begin"/>
      </w:r>
      <w:r>
        <w:rPr>
          <w:rFonts w:eastAsia="仿宋_GB2312"/>
          <w:color w:val="auto"/>
          <w:sz w:val="28"/>
          <w:szCs w:val="28"/>
          <w:highlight w:val="none"/>
        </w:rPr>
        <w:instrText xml:space="preserve"> = 1 \* CHINESENUM2 </w:instrText>
      </w:r>
      <w:r>
        <w:rPr>
          <w:rFonts w:eastAsia="仿宋_GB2312"/>
          <w:color w:val="auto"/>
          <w:sz w:val="28"/>
          <w:szCs w:val="28"/>
          <w:highlight w:val="none"/>
        </w:rPr>
        <w:fldChar w:fldCharType="separate"/>
      </w:r>
      <w:r>
        <w:rPr>
          <w:rFonts w:eastAsia="仿宋_GB2312"/>
          <w:color w:val="auto"/>
          <w:sz w:val="28"/>
          <w:szCs w:val="28"/>
          <w:highlight w:val="none"/>
        </w:rPr>
        <w:t>壹</w:t>
      </w:r>
      <w:r>
        <w:rPr>
          <w:rFonts w:eastAsia="仿宋_GB2312"/>
          <w:color w:val="auto"/>
          <w:sz w:val="28"/>
          <w:szCs w:val="28"/>
          <w:highlight w:val="none"/>
        </w:rPr>
        <w:fldChar w:fldCharType="end"/>
      </w:r>
      <w:r>
        <w:rPr>
          <w:rFonts w:eastAsia="仿宋_GB2312"/>
          <w:color w:val="auto"/>
          <w:sz w:val="28"/>
          <w:szCs w:val="28"/>
          <w:highlight w:val="none"/>
        </w:rPr>
        <w:t>级</w:t>
      </w:r>
    </w:p>
    <w:p>
      <w:pPr>
        <w:adjustRightInd w:val="0"/>
        <w:snapToGrid w:val="0"/>
        <w:spacing w:line="500" w:lineRule="exact"/>
        <w:ind w:firstLine="560" w:firstLineChars="200"/>
        <w:rPr>
          <w:rFonts w:eastAsia="仿宋_GB2312"/>
          <w:color w:val="auto"/>
          <w:sz w:val="28"/>
          <w:szCs w:val="28"/>
          <w:highlight w:val="none"/>
        </w:rPr>
      </w:pPr>
      <w:r>
        <w:rPr>
          <w:rFonts w:eastAsia="仿宋_GB2312"/>
          <w:color w:val="auto"/>
          <w:sz w:val="28"/>
          <w:szCs w:val="28"/>
          <w:highlight w:val="none"/>
        </w:rPr>
        <w:t>有</w:t>
      </w:r>
      <w:r>
        <w:rPr>
          <w:rFonts w:hint="eastAsia" w:eastAsia="仿宋_GB2312"/>
          <w:color w:val="auto"/>
          <w:sz w:val="28"/>
          <w:szCs w:val="28"/>
          <w:highlight w:val="none"/>
        </w:rPr>
        <w:t xml:space="preserve"> </w:t>
      </w:r>
      <w:r>
        <w:rPr>
          <w:rFonts w:eastAsia="仿宋_GB2312"/>
          <w:color w:val="auto"/>
          <w:sz w:val="28"/>
          <w:szCs w:val="28"/>
          <w:highlight w:val="none"/>
        </w:rPr>
        <w:t>效</w:t>
      </w:r>
      <w:r>
        <w:rPr>
          <w:rFonts w:hint="eastAsia" w:eastAsia="仿宋_GB2312"/>
          <w:color w:val="auto"/>
          <w:sz w:val="28"/>
          <w:szCs w:val="28"/>
          <w:highlight w:val="none"/>
        </w:rPr>
        <w:t xml:space="preserve"> </w:t>
      </w:r>
      <w:r>
        <w:rPr>
          <w:rFonts w:eastAsia="仿宋_GB2312"/>
          <w:color w:val="auto"/>
          <w:sz w:val="28"/>
          <w:szCs w:val="28"/>
          <w:highlight w:val="none"/>
        </w:rPr>
        <w:t>期：至20</w:t>
      </w:r>
      <w:r>
        <w:rPr>
          <w:rFonts w:hint="eastAsia" w:eastAsia="仿宋_GB2312"/>
          <w:color w:val="auto"/>
          <w:sz w:val="28"/>
          <w:szCs w:val="28"/>
          <w:highlight w:val="none"/>
        </w:rPr>
        <w:t>24</w:t>
      </w:r>
      <w:r>
        <w:rPr>
          <w:rFonts w:eastAsia="仿宋_GB2312"/>
          <w:color w:val="auto"/>
          <w:sz w:val="28"/>
          <w:szCs w:val="28"/>
          <w:highlight w:val="none"/>
        </w:rPr>
        <w:t>年</w:t>
      </w:r>
      <w:r>
        <w:rPr>
          <w:rFonts w:hint="eastAsia" w:eastAsia="仿宋_GB2312"/>
          <w:color w:val="auto"/>
          <w:sz w:val="28"/>
          <w:szCs w:val="28"/>
          <w:highlight w:val="none"/>
        </w:rPr>
        <w:t>02</w:t>
      </w:r>
      <w:r>
        <w:rPr>
          <w:rFonts w:eastAsia="仿宋_GB2312"/>
          <w:color w:val="auto"/>
          <w:sz w:val="28"/>
          <w:szCs w:val="28"/>
          <w:highlight w:val="none"/>
        </w:rPr>
        <w:t>月</w:t>
      </w:r>
      <w:r>
        <w:rPr>
          <w:rFonts w:hint="eastAsia" w:eastAsia="仿宋_GB2312"/>
          <w:color w:val="auto"/>
          <w:sz w:val="28"/>
          <w:szCs w:val="28"/>
          <w:highlight w:val="none"/>
        </w:rPr>
        <w:t>02</w:t>
      </w:r>
      <w:r>
        <w:rPr>
          <w:rFonts w:eastAsia="仿宋_GB2312"/>
          <w:color w:val="auto"/>
          <w:sz w:val="28"/>
          <w:szCs w:val="28"/>
          <w:highlight w:val="none"/>
        </w:rPr>
        <w:t>日</w:t>
      </w:r>
    </w:p>
    <w:p>
      <w:pPr>
        <w:adjustRightInd w:val="0"/>
        <w:snapToGrid w:val="0"/>
        <w:spacing w:line="500" w:lineRule="exact"/>
        <w:ind w:firstLine="560" w:firstLineChars="200"/>
        <w:rPr>
          <w:rFonts w:eastAsia="仿宋_GB2312"/>
          <w:color w:val="auto"/>
          <w:sz w:val="28"/>
          <w:szCs w:val="28"/>
          <w:highlight w:val="none"/>
        </w:rPr>
      </w:pPr>
      <w:r>
        <w:rPr>
          <w:rFonts w:hint="eastAsia" w:eastAsia="仿宋_GB2312" w:cs="仿宋_GB2312"/>
          <w:color w:val="auto"/>
          <w:sz w:val="28"/>
          <w:szCs w:val="28"/>
          <w:highlight w:val="none"/>
        </w:rPr>
        <w:t>法定代表人：龚兆华</w:t>
      </w:r>
    </w:p>
    <w:p>
      <w:pPr>
        <w:adjustRightInd w:val="0"/>
        <w:snapToGrid w:val="0"/>
        <w:spacing w:line="500" w:lineRule="exact"/>
        <w:ind w:firstLine="560" w:firstLineChars="200"/>
        <w:rPr>
          <w:rFonts w:eastAsia="仿宋_GB2312"/>
          <w:color w:val="auto"/>
          <w:sz w:val="28"/>
          <w:highlight w:val="none"/>
        </w:rPr>
      </w:pPr>
      <w:r>
        <w:rPr>
          <w:rFonts w:hint="eastAsia" w:eastAsia="仿宋_GB2312" w:cs="仿宋_GB2312"/>
          <w:color w:val="auto"/>
          <w:sz w:val="28"/>
          <w:szCs w:val="28"/>
          <w:highlight w:val="none"/>
        </w:rPr>
        <w:t>联系电话：</w:t>
      </w:r>
      <w:r>
        <w:rPr>
          <w:rFonts w:eastAsia="仿宋_GB2312"/>
          <w:color w:val="auto"/>
          <w:sz w:val="28"/>
          <w:highlight w:val="none"/>
        </w:rPr>
        <w:t>0791-</w:t>
      </w:r>
      <w:r>
        <w:rPr>
          <w:rFonts w:hint="eastAsia" w:eastAsia="仿宋_GB2312"/>
          <w:color w:val="auto"/>
          <w:sz w:val="28"/>
          <w:highlight w:val="none"/>
        </w:rPr>
        <w:t>86801000</w:t>
      </w:r>
    </w:p>
    <w:p>
      <w:pPr>
        <w:adjustRightInd w:val="0"/>
        <w:snapToGrid w:val="0"/>
        <w:spacing w:line="500" w:lineRule="exact"/>
        <w:ind w:firstLine="1960" w:firstLineChars="700"/>
        <w:rPr>
          <w:rFonts w:eastAsia="仿宋_GB2312"/>
          <w:color w:val="auto"/>
          <w:sz w:val="28"/>
          <w:szCs w:val="28"/>
          <w:highlight w:val="none"/>
        </w:rPr>
      </w:pPr>
      <w:r>
        <w:rPr>
          <w:rFonts w:hint="eastAsia" w:eastAsia="仿宋_GB2312"/>
          <w:color w:val="auto"/>
          <w:sz w:val="28"/>
          <w:highlight w:val="none"/>
        </w:rPr>
        <w:t>0796-8220770（吉安分公司）</w:t>
      </w:r>
    </w:p>
    <w:p>
      <w:pPr>
        <w:spacing w:line="500" w:lineRule="exact"/>
        <w:ind w:firstLine="560" w:firstLineChars="200"/>
        <w:rPr>
          <w:rFonts w:eastAsia="仿宋_GB2312"/>
          <w:color w:val="auto"/>
          <w:sz w:val="28"/>
          <w:szCs w:val="28"/>
          <w:highlight w:val="none"/>
        </w:rPr>
      </w:pPr>
      <w:bookmarkStart w:id="85" w:name="_Toc362509735"/>
      <w:r>
        <w:rPr>
          <w:rFonts w:hint="eastAsia" w:eastAsia="仿宋_GB2312" w:cs="仿宋_GB2312"/>
          <w:color w:val="auto"/>
          <w:sz w:val="28"/>
          <w:szCs w:val="28"/>
          <w:highlight w:val="none"/>
        </w:rPr>
        <w:t>邮政编码：</w:t>
      </w:r>
      <w:bookmarkEnd w:id="85"/>
      <w:r>
        <w:rPr>
          <w:rFonts w:eastAsia="仿宋_GB2312"/>
          <w:color w:val="auto"/>
          <w:sz w:val="28"/>
          <w:szCs w:val="28"/>
          <w:highlight w:val="none"/>
        </w:rPr>
        <w:t>3</w:t>
      </w:r>
      <w:bookmarkStart w:id="86" w:name="_Toc435110684"/>
      <w:r>
        <w:rPr>
          <w:rFonts w:hint="eastAsia" w:eastAsia="仿宋_GB2312"/>
          <w:color w:val="auto"/>
          <w:sz w:val="28"/>
          <w:szCs w:val="28"/>
          <w:highlight w:val="none"/>
        </w:rPr>
        <w:t>431000</w:t>
      </w:r>
    </w:p>
    <w:p>
      <w:pPr>
        <w:pStyle w:val="3"/>
        <w:spacing w:before="0" w:after="0" w:line="500" w:lineRule="exact"/>
        <w:rPr>
          <w:rFonts w:eastAsia="仿宋_GB2312"/>
          <w:b w:val="0"/>
          <w:bCs w:val="0"/>
          <w:color w:val="auto"/>
          <w:sz w:val="28"/>
          <w:szCs w:val="28"/>
          <w:highlight w:val="none"/>
        </w:rPr>
      </w:pPr>
      <w:bookmarkStart w:id="87" w:name="_Toc106179015"/>
      <w:r>
        <w:rPr>
          <w:rFonts w:hint="eastAsia" w:eastAsia="仿宋_GB2312" w:cs="仿宋_GB2312"/>
          <w:color w:val="auto"/>
          <w:sz w:val="28"/>
          <w:szCs w:val="28"/>
          <w:highlight w:val="none"/>
        </w:rPr>
        <w:t>（三）估价目的</w:t>
      </w:r>
      <w:bookmarkEnd w:id="86"/>
      <w:bookmarkEnd w:id="87"/>
    </w:p>
    <w:p>
      <w:pPr>
        <w:spacing w:line="500" w:lineRule="exact"/>
        <w:ind w:firstLine="560" w:firstLineChars="200"/>
        <w:rPr>
          <w:rFonts w:eastAsia="仿宋_GB2312"/>
          <w:color w:val="auto"/>
          <w:sz w:val="28"/>
          <w:szCs w:val="28"/>
          <w:highlight w:val="none"/>
        </w:rPr>
      </w:pPr>
      <w:r>
        <w:rPr>
          <w:rFonts w:hint="eastAsia" w:eastAsia="仿宋_GB2312" w:cs="仿宋_GB2312"/>
          <w:caps/>
          <w:color w:val="auto"/>
          <w:sz w:val="28"/>
          <w:szCs w:val="28"/>
          <w:highlight w:val="none"/>
        </w:rPr>
        <w:t>为吉安市吉州区人民法院确定财产处置参考价提供参考依据</w:t>
      </w:r>
      <w:r>
        <w:rPr>
          <w:rFonts w:hint="eastAsia" w:eastAsia="仿宋_GB2312" w:cs="仿宋_GB2312"/>
          <w:color w:val="auto"/>
          <w:sz w:val="28"/>
          <w:szCs w:val="28"/>
          <w:highlight w:val="none"/>
        </w:rPr>
        <w:t>。</w:t>
      </w:r>
      <w:bookmarkStart w:id="88" w:name="_Toc435110685"/>
    </w:p>
    <w:p>
      <w:pPr>
        <w:pStyle w:val="3"/>
        <w:spacing w:before="0" w:after="0" w:line="500" w:lineRule="exact"/>
        <w:rPr>
          <w:rFonts w:eastAsia="仿宋_GB2312"/>
          <w:b w:val="0"/>
          <w:bCs w:val="0"/>
          <w:color w:val="auto"/>
          <w:sz w:val="28"/>
          <w:szCs w:val="28"/>
          <w:highlight w:val="none"/>
        </w:rPr>
      </w:pPr>
      <w:bookmarkStart w:id="89" w:name="_Toc106179016"/>
      <w:r>
        <w:rPr>
          <w:rFonts w:hint="eastAsia" w:eastAsia="仿宋_GB2312" w:cs="仿宋_GB2312"/>
          <w:color w:val="auto"/>
          <w:sz w:val="28"/>
          <w:szCs w:val="28"/>
          <w:highlight w:val="none"/>
        </w:rPr>
        <w:t>（四）估价对象</w:t>
      </w:r>
      <w:bookmarkEnd w:id="75"/>
      <w:bookmarkEnd w:id="76"/>
      <w:bookmarkEnd w:id="77"/>
      <w:bookmarkEnd w:id="78"/>
      <w:bookmarkEnd w:id="79"/>
      <w:bookmarkEnd w:id="80"/>
      <w:bookmarkEnd w:id="81"/>
      <w:bookmarkEnd w:id="82"/>
      <w:bookmarkEnd w:id="83"/>
      <w:bookmarkEnd w:id="84"/>
      <w:bookmarkEnd w:id="88"/>
      <w:bookmarkEnd w:id="89"/>
    </w:p>
    <w:p>
      <w:pPr>
        <w:adjustRightInd w:val="0"/>
        <w:snapToGrid w:val="0"/>
        <w:spacing w:line="500" w:lineRule="exact"/>
        <w:ind w:firstLine="562" w:firstLineChars="200"/>
        <w:rPr>
          <w:rFonts w:eastAsia="仿宋_GB2312"/>
          <w:b/>
          <w:bCs/>
          <w:color w:val="auto"/>
          <w:sz w:val="28"/>
          <w:szCs w:val="28"/>
          <w:highlight w:val="none"/>
        </w:rPr>
      </w:pPr>
      <w:bookmarkStart w:id="90" w:name="_Toc155258965"/>
      <w:bookmarkStart w:id="91" w:name="_Toc243111689"/>
      <w:bookmarkStart w:id="92" w:name="_Toc243111718"/>
      <w:bookmarkStart w:id="93" w:name="_Toc135016175"/>
      <w:bookmarkStart w:id="94" w:name="_Toc367869501"/>
      <w:bookmarkStart w:id="95" w:name="_Toc269132872"/>
      <w:bookmarkStart w:id="96" w:name="_Toc301369719"/>
      <w:bookmarkStart w:id="97" w:name="_Toc130033725"/>
      <w:bookmarkStart w:id="98" w:name="_Toc270691071"/>
      <w:bookmarkStart w:id="99" w:name="_Toc254875143"/>
      <w:bookmarkStart w:id="100" w:name="_Toc254860129"/>
      <w:r>
        <w:rPr>
          <w:rFonts w:eastAsia="仿宋_GB2312"/>
          <w:b/>
          <w:bCs/>
          <w:color w:val="auto"/>
          <w:sz w:val="28"/>
          <w:szCs w:val="28"/>
          <w:highlight w:val="none"/>
        </w:rPr>
        <w:t>1.</w:t>
      </w:r>
      <w:r>
        <w:rPr>
          <w:rFonts w:hint="eastAsia" w:eastAsia="仿宋_GB2312" w:cs="仿宋_GB2312"/>
          <w:b/>
          <w:bCs/>
          <w:color w:val="auto"/>
          <w:sz w:val="28"/>
          <w:szCs w:val="28"/>
          <w:highlight w:val="none"/>
        </w:rPr>
        <w:t>估价对象范围</w:t>
      </w:r>
    </w:p>
    <w:p>
      <w:pPr>
        <w:snapToGrid w:val="0"/>
        <w:spacing w:line="500" w:lineRule="exact"/>
        <w:ind w:firstLine="560" w:firstLineChars="200"/>
        <w:jc w:val="left"/>
        <w:rPr>
          <w:rFonts w:eastAsia="仿宋_GB2312"/>
          <w:caps/>
          <w:color w:val="auto"/>
          <w:sz w:val="28"/>
          <w:szCs w:val="28"/>
          <w:highlight w:val="none"/>
        </w:rPr>
      </w:pPr>
      <w:r>
        <w:rPr>
          <w:rFonts w:hint="eastAsia" w:eastAsia="仿宋_GB2312" w:cs="仿宋_GB2312"/>
          <w:caps/>
          <w:color w:val="auto"/>
          <w:sz w:val="28"/>
          <w:szCs w:val="28"/>
          <w:highlight w:val="none"/>
        </w:rPr>
        <w:t>估价对象为吉州区长塘镇1-2幢1#-405室房地产</w:t>
      </w:r>
      <w:r>
        <w:rPr>
          <w:rFonts w:hint="eastAsia" w:eastAsia="仿宋_GB2312" w:cs="仿宋_GB2312"/>
          <w:color w:val="auto"/>
          <w:sz w:val="28"/>
          <w:szCs w:val="28"/>
          <w:highlight w:val="none"/>
        </w:rPr>
        <w:t>，</w:t>
      </w:r>
      <w:r>
        <w:rPr>
          <w:rFonts w:eastAsia="仿宋_GB2312"/>
          <w:color w:val="auto"/>
          <w:sz w:val="28"/>
          <w:szCs w:val="28"/>
          <w:highlight w:val="none"/>
        </w:rPr>
        <w:t>包括房屋及相应的土地使用权，证载</w:t>
      </w:r>
      <w:r>
        <w:rPr>
          <w:rFonts w:hint="eastAsia" w:eastAsia="仿宋_GB2312"/>
          <w:color w:val="auto"/>
          <w:sz w:val="28"/>
          <w:szCs w:val="28"/>
          <w:highlight w:val="none"/>
        </w:rPr>
        <w:t>建筑面积</w:t>
      </w:r>
      <w:r>
        <w:rPr>
          <w:rFonts w:hint="eastAsia" w:eastAsia="仿宋_GB2312" w:cs="仿宋_GB2312"/>
          <w:color w:val="auto"/>
          <w:sz w:val="28"/>
          <w:szCs w:val="28"/>
          <w:highlight w:val="none"/>
        </w:rPr>
        <w:t>为</w:t>
      </w:r>
      <w:r>
        <w:rPr>
          <w:rFonts w:hint="eastAsia" w:eastAsia="仿宋_GB2312"/>
          <w:caps/>
          <w:color w:val="auto"/>
          <w:sz w:val="28"/>
          <w:szCs w:val="28"/>
          <w:highlight w:val="none"/>
        </w:rPr>
        <w:t>227.61</w:t>
      </w:r>
      <w:r>
        <w:rPr>
          <w:rFonts w:hint="eastAsia" w:eastAsia="仿宋_GB2312" w:cs="仿宋_GB2312"/>
          <w:caps/>
          <w:color w:val="auto"/>
          <w:sz w:val="28"/>
          <w:szCs w:val="28"/>
          <w:highlight w:val="none"/>
        </w:rPr>
        <w:t>平方米。</w:t>
      </w:r>
    </w:p>
    <w:p>
      <w:pPr>
        <w:adjustRightInd w:val="0"/>
        <w:snapToGrid w:val="0"/>
        <w:spacing w:line="500" w:lineRule="exact"/>
        <w:ind w:firstLine="562" w:firstLineChars="200"/>
        <w:rPr>
          <w:rFonts w:eastAsia="仿宋_GB2312"/>
          <w:b/>
          <w:bCs/>
          <w:color w:val="auto"/>
          <w:sz w:val="28"/>
          <w:szCs w:val="28"/>
          <w:highlight w:val="none"/>
        </w:rPr>
      </w:pPr>
      <w:r>
        <w:rPr>
          <w:rFonts w:eastAsia="仿宋_GB2312"/>
          <w:b/>
          <w:bCs/>
          <w:color w:val="auto"/>
          <w:sz w:val="28"/>
          <w:szCs w:val="28"/>
          <w:highlight w:val="none"/>
        </w:rPr>
        <w:t>2.</w:t>
      </w:r>
      <w:r>
        <w:rPr>
          <w:rFonts w:hint="eastAsia" w:eastAsia="仿宋_GB2312" w:cs="仿宋_GB2312"/>
          <w:b/>
          <w:bCs/>
          <w:color w:val="auto"/>
          <w:sz w:val="28"/>
          <w:szCs w:val="28"/>
          <w:highlight w:val="none"/>
        </w:rPr>
        <w:t>估价对象权益状况</w:t>
      </w:r>
    </w:p>
    <w:p>
      <w:pPr>
        <w:pStyle w:val="13"/>
        <w:spacing w:line="500" w:lineRule="exact"/>
        <w:ind w:firstLine="560" w:firstLineChars="200"/>
        <w:rPr>
          <w:rFonts w:eastAsia="仿宋_GB2312"/>
          <w:color w:val="auto"/>
          <w:sz w:val="28"/>
          <w:szCs w:val="28"/>
          <w:highlight w:val="none"/>
        </w:rPr>
      </w:pPr>
      <w:r>
        <w:rPr>
          <w:rFonts w:hint="eastAsia" w:ascii="仿宋_GB2312" w:eastAsia="仿宋_GB2312"/>
          <w:color w:val="auto"/>
          <w:sz w:val="28"/>
          <w:szCs w:val="28"/>
          <w:highlight w:val="none"/>
        </w:rPr>
        <w:t>根据委托人提供的</w:t>
      </w:r>
      <w:r>
        <w:rPr>
          <w:rFonts w:hint="eastAsia" w:eastAsia="仿宋_GB2312"/>
          <w:color w:val="auto"/>
          <w:sz w:val="28"/>
          <w:szCs w:val="28"/>
          <w:highlight w:val="none"/>
        </w:rPr>
        <w:t>《合同备案库查询单》</w:t>
      </w:r>
      <w:r>
        <w:rPr>
          <w:rFonts w:eastAsia="仿宋_GB2312"/>
          <w:color w:val="auto"/>
          <w:sz w:val="28"/>
          <w:szCs w:val="28"/>
          <w:highlight w:val="none"/>
        </w:rPr>
        <w:t>复印件</w:t>
      </w:r>
      <w:r>
        <w:rPr>
          <w:rFonts w:hint="eastAsia" w:ascii="仿宋_GB2312" w:eastAsia="仿宋_GB2312"/>
          <w:color w:val="auto"/>
          <w:sz w:val="28"/>
          <w:szCs w:val="28"/>
          <w:highlight w:val="none"/>
        </w:rPr>
        <w:t>,</w:t>
      </w:r>
      <w:r>
        <w:rPr>
          <w:rFonts w:eastAsia="仿宋_GB2312"/>
          <w:color w:val="auto"/>
          <w:sz w:val="28"/>
          <w:szCs w:val="28"/>
          <w:highlight w:val="none"/>
        </w:rPr>
        <w:t xml:space="preserve"> 估价对象</w:t>
      </w:r>
      <w:r>
        <w:rPr>
          <w:rFonts w:eastAsia="仿宋_GB2312"/>
          <w:color w:val="auto"/>
          <w:sz w:val="28"/>
          <w:highlight w:val="none"/>
        </w:rPr>
        <w:t>权益状况</w:t>
      </w:r>
      <w:r>
        <w:rPr>
          <w:rFonts w:hint="eastAsia" w:eastAsia="仿宋_GB2312"/>
          <w:color w:val="auto"/>
          <w:sz w:val="28"/>
          <w:szCs w:val="28"/>
          <w:highlight w:val="none"/>
        </w:rPr>
        <w:t>详见下表：</w:t>
      </w:r>
    </w:p>
    <w:p>
      <w:pPr>
        <w:rPr>
          <w:rFonts w:eastAsia="仿宋_GB2312"/>
          <w:b/>
          <w:color w:val="auto"/>
          <w:sz w:val="28"/>
          <w:szCs w:val="28"/>
          <w:highlight w:val="none"/>
        </w:rPr>
      </w:pPr>
      <w:r>
        <w:rPr>
          <w:rFonts w:eastAsia="仿宋_GB2312"/>
          <w:b/>
          <w:color w:val="auto"/>
          <w:sz w:val="28"/>
          <w:szCs w:val="28"/>
          <w:highlight w:val="none"/>
        </w:rPr>
        <w:br w:type="page"/>
      </w:r>
    </w:p>
    <w:p>
      <w:pPr>
        <w:widowControl/>
        <w:jc w:val="center"/>
        <w:rPr>
          <w:rFonts w:eastAsia="仿宋_GB2312"/>
          <w:b/>
          <w:color w:val="auto"/>
          <w:sz w:val="28"/>
          <w:szCs w:val="28"/>
          <w:highlight w:val="none"/>
        </w:rPr>
      </w:pPr>
      <w:r>
        <w:rPr>
          <w:rFonts w:eastAsia="仿宋_GB2312"/>
          <w:b/>
          <w:color w:val="auto"/>
          <w:sz w:val="28"/>
          <w:szCs w:val="28"/>
          <w:highlight w:val="none"/>
        </w:rPr>
        <w:t>权益状况</w:t>
      </w:r>
      <w:r>
        <w:rPr>
          <w:rFonts w:hint="eastAsia" w:eastAsia="仿宋_GB2312"/>
          <w:b/>
          <w:color w:val="auto"/>
          <w:sz w:val="28"/>
          <w:szCs w:val="28"/>
          <w:highlight w:val="none"/>
        </w:rPr>
        <w:t>表</w:t>
      </w:r>
    </w:p>
    <w:tbl>
      <w:tblPr>
        <w:tblStyle w:val="43"/>
        <w:tblW w:w="8734" w:type="dxa"/>
        <w:jc w:val="center"/>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30" w:type="dxa"/>
          <w:bottom w:w="0" w:type="dxa"/>
          <w:right w:w="30" w:type="dxa"/>
        </w:tblCellMar>
      </w:tblPr>
      <w:tblGrid>
        <w:gridCol w:w="1418"/>
        <w:gridCol w:w="1435"/>
        <w:gridCol w:w="2172"/>
        <w:gridCol w:w="618"/>
        <w:gridCol w:w="618"/>
        <w:gridCol w:w="773"/>
        <w:gridCol w:w="773"/>
        <w:gridCol w:w="927"/>
      </w:tblGrid>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30" w:type="dxa"/>
            <w:bottom w:w="0" w:type="dxa"/>
            <w:right w:w="30" w:type="dxa"/>
          </w:tblCellMar>
        </w:tblPrEx>
        <w:trPr>
          <w:cantSplit/>
          <w:trHeight w:val="637" w:hRule="atLeast"/>
          <w:jc w:val="center"/>
        </w:trPr>
        <w:tc>
          <w:tcPr>
            <w:tcW w:w="1418" w:type="dxa"/>
            <w:vAlign w:val="center"/>
          </w:tcPr>
          <w:p>
            <w:pPr>
              <w:autoSpaceDE w:val="0"/>
              <w:autoSpaceDN w:val="0"/>
              <w:adjustRightInd w:val="0"/>
              <w:spacing w:line="0" w:lineRule="atLeast"/>
              <w:jc w:val="center"/>
              <w:rPr>
                <w:rFonts w:eastAsia="仿宋_GB2312"/>
                <w:b/>
                <w:color w:val="auto"/>
                <w:highlight w:val="none"/>
              </w:rPr>
            </w:pPr>
            <w:r>
              <w:rPr>
                <w:rFonts w:hint="eastAsia" w:eastAsia="仿宋_GB2312"/>
                <w:b/>
                <w:color w:val="auto"/>
                <w:highlight w:val="none"/>
              </w:rPr>
              <w:t>合同编号</w:t>
            </w:r>
          </w:p>
        </w:tc>
        <w:tc>
          <w:tcPr>
            <w:tcW w:w="1435" w:type="dxa"/>
            <w:vAlign w:val="center"/>
          </w:tcPr>
          <w:p>
            <w:pPr>
              <w:autoSpaceDE w:val="0"/>
              <w:autoSpaceDN w:val="0"/>
              <w:adjustRightInd w:val="0"/>
              <w:spacing w:line="0" w:lineRule="atLeast"/>
              <w:jc w:val="center"/>
              <w:rPr>
                <w:rFonts w:eastAsia="仿宋_GB2312"/>
                <w:b/>
                <w:color w:val="auto"/>
                <w:highlight w:val="none"/>
              </w:rPr>
            </w:pPr>
            <w:r>
              <w:rPr>
                <w:rFonts w:hint="eastAsia" w:eastAsia="仿宋_GB2312"/>
                <w:b/>
                <w:color w:val="auto"/>
                <w:highlight w:val="none"/>
              </w:rPr>
              <w:t>买方名称</w:t>
            </w:r>
          </w:p>
        </w:tc>
        <w:tc>
          <w:tcPr>
            <w:tcW w:w="2172" w:type="dxa"/>
            <w:vAlign w:val="center"/>
          </w:tcPr>
          <w:p>
            <w:pPr>
              <w:autoSpaceDE w:val="0"/>
              <w:autoSpaceDN w:val="0"/>
              <w:adjustRightInd w:val="0"/>
              <w:spacing w:line="0" w:lineRule="atLeast"/>
              <w:jc w:val="center"/>
              <w:rPr>
                <w:rFonts w:eastAsia="仿宋_GB2312"/>
                <w:b/>
                <w:color w:val="auto"/>
                <w:highlight w:val="none"/>
              </w:rPr>
            </w:pPr>
            <w:r>
              <w:rPr>
                <w:rFonts w:hint="eastAsia" w:eastAsia="仿宋_GB2312"/>
                <w:b/>
                <w:color w:val="auto"/>
                <w:highlight w:val="none"/>
              </w:rPr>
              <w:t>房屋</w:t>
            </w:r>
            <w:r>
              <w:rPr>
                <w:rFonts w:eastAsia="仿宋_GB2312"/>
                <w:b/>
                <w:color w:val="auto"/>
                <w:highlight w:val="none"/>
              </w:rPr>
              <w:t>坐落</w:t>
            </w:r>
          </w:p>
        </w:tc>
        <w:tc>
          <w:tcPr>
            <w:tcW w:w="618" w:type="dxa"/>
            <w:vAlign w:val="center"/>
          </w:tcPr>
          <w:p>
            <w:pPr>
              <w:autoSpaceDE w:val="0"/>
              <w:autoSpaceDN w:val="0"/>
              <w:adjustRightInd w:val="0"/>
              <w:spacing w:line="0" w:lineRule="atLeast"/>
              <w:jc w:val="center"/>
              <w:rPr>
                <w:rFonts w:eastAsia="仿宋_GB2312"/>
                <w:b/>
                <w:color w:val="auto"/>
                <w:highlight w:val="none"/>
              </w:rPr>
            </w:pPr>
            <w:r>
              <w:rPr>
                <w:rFonts w:hint="eastAsia" w:eastAsia="仿宋_GB2312"/>
                <w:b/>
                <w:color w:val="auto"/>
                <w:highlight w:val="none"/>
              </w:rPr>
              <w:t>实际</w:t>
            </w:r>
            <w:r>
              <w:rPr>
                <w:rFonts w:eastAsia="仿宋_GB2312"/>
                <w:b/>
                <w:color w:val="auto"/>
                <w:highlight w:val="none"/>
              </w:rPr>
              <w:t>结构</w:t>
            </w:r>
          </w:p>
        </w:tc>
        <w:tc>
          <w:tcPr>
            <w:tcW w:w="618" w:type="dxa"/>
            <w:vAlign w:val="center"/>
          </w:tcPr>
          <w:p>
            <w:pPr>
              <w:autoSpaceDE w:val="0"/>
              <w:autoSpaceDN w:val="0"/>
              <w:adjustRightInd w:val="0"/>
              <w:snapToGrid w:val="0"/>
              <w:jc w:val="center"/>
              <w:rPr>
                <w:rFonts w:eastAsia="仿宋_GB2312"/>
                <w:b/>
                <w:color w:val="auto"/>
                <w:highlight w:val="none"/>
              </w:rPr>
            </w:pPr>
            <w:r>
              <w:rPr>
                <w:rFonts w:hint="eastAsia" w:eastAsia="仿宋_GB2312"/>
                <w:b/>
                <w:color w:val="auto"/>
                <w:highlight w:val="none"/>
              </w:rPr>
              <w:t>规划用途</w:t>
            </w:r>
          </w:p>
        </w:tc>
        <w:tc>
          <w:tcPr>
            <w:tcW w:w="773" w:type="dxa"/>
            <w:vAlign w:val="center"/>
          </w:tcPr>
          <w:p>
            <w:pPr>
              <w:autoSpaceDE w:val="0"/>
              <w:autoSpaceDN w:val="0"/>
              <w:adjustRightInd w:val="0"/>
              <w:snapToGrid w:val="0"/>
              <w:jc w:val="center"/>
              <w:rPr>
                <w:rFonts w:eastAsia="仿宋_GB2312"/>
                <w:b/>
                <w:color w:val="auto"/>
                <w:highlight w:val="none"/>
              </w:rPr>
            </w:pPr>
            <w:r>
              <w:rPr>
                <w:rFonts w:hint="eastAsia" w:eastAsia="仿宋_GB2312"/>
                <w:b/>
                <w:color w:val="auto"/>
                <w:highlight w:val="none"/>
              </w:rPr>
              <w:t>建成年代</w:t>
            </w:r>
          </w:p>
        </w:tc>
        <w:tc>
          <w:tcPr>
            <w:tcW w:w="773" w:type="dxa"/>
            <w:vAlign w:val="center"/>
          </w:tcPr>
          <w:p>
            <w:pPr>
              <w:autoSpaceDE w:val="0"/>
              <w:autoSpaceDN w:val="0"/>
              <w:adjustRightInd w:val="0"/>
              <w:snapToGrid w:val="0"/>
              <w:jc w:val="center"/>
              <w:rPr>
                <w:rFonts w:eastAsia="仿宋_GB2312"/>
                <w:b/>
                <w:color w:val="auto"/>
                <w:highlight w:val="none"/>
              </w:rPr>
            </w:pPr>
            <w:r>
              <w:rPr>
                <w:rFonts w:hint="eastAsia" w:eastAsia="仿宋_GB2312"/>
                <w:b/>
                <w:color w:val="auto"/>
                <w:highlight w:val="none"/>
              </w:rPr>
              <w:t>建筑面积</w:t>
            </w:r>
            <w:r>
              <w:rPr>
                <w:rFonts w:eastAsia="仿宋_GB2312"/>
                <w:b/>
                <w:color w:val="auto"/>
                <w:highlight w:val="none"/>
              </w:rPr>
              <w:t>(M</w:t>
            </w:r>
            <w:r>
              <w:rPr>
                <w:rFonts w:eastAsia="仿宋_GB2312"/>
                <w:b/>
                <w:color w:val="auto"/>
                <w:highlight w:val="none"/>
                <w:vertAlign w:val="superscript"/>
              </w:rPr>
              <w:t>2</w:t>
            </w:r>
            <w:r>
              <w:rPr>
                <w:rFonts w:eastAsia="仿宋_GB2312"/>
                <w:b/>
                <w:color w:val="auto"/>
                <w:highlight w:val="none"/>
              </w:rPr>
              <w:t>)</w:t>
            </w:r>
          </w:p>
        </w:tc>
        <w:tc>
          <w:tcPr>
            <w:tcW w:w="927" w:type="dxa"/>
            <w:vAlign w:val="center"/>
          </w:tcPr>
          <w:p>
            <w:pPr>
              <w:autoSpaceDE w:val="0"/>
              <w:autoSpaceDN w:val="0"/>
              <w:adjustRightInd w:val="0"/>
              <w:snapToGrid w:val="0"/>
              <w:jc w:val="center"/>
              <w:rPr>
                <w:rFonts w:eastAsia="仿宋_GB2312"/>
                <w:b/>
                <w:color w:val="auto"/>
                <w:highlight w:val="none"/>
              </w:rPr>
            </w:pPr>
            <w:r>
              <w:rPr>
                <w:rFonts w:hint="eastAsia" w:eastAsia="仿宋_GB2312"/>
                <w:b/>
                <w:color w:val="auto"/>
                <w:highlight w:val="none"/>
              </w:rPr>
              <w:t>评估层</w:t>
            </w:r>
            <w:r>
              <w:rPr>
                <w:rFonts w:eastAsia="仿宋_GB2312"/>
                <w:b/>
                <w:color w:val="auto"/>
                <w:highlight w:val="none"/>
              </w:rPr>
              <w:t>/</w:t>
            </w:r>
            <w:r>
              <w:rPr>
                <w:rFonts w:hint="eastAsia" w:eastAsia="仿宋_GB2312"/>
                <w:b/>
                <w:color w:val="auto"/>
                <w:highlight w:val="none"/>
              </w:rPr>
              <w:t>总楼层</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30" w:type="dxa"/>
            <w:bottom w:w="0" w:type="dxa"/>
            <w:right w:w="30" w:type="dxa"/>
          </w:tblCellMar>
        </w:tblPrEx>
        <w:trPr>
          <w:cantSplit/>
          <w:trHeight w:val="740" w:hRule="atLeast"/>
          <w:jc w:val="center"/>
        </w:trPr>
        <w:tc>
          <w:tcPr>
            <w:tcW w:w="1418" w:type="dxa"/>
            <w:vAlign w:val="center"/>
          </w:tcPr>
          <w:p>
            <w:pPr>
              <w:autoSpaceDE w:val="0"/>
              <w:autoSpaceDN w:val="0"/>
              <w:adjustRightInd w:val="0"/>
              <w:spacing w:line="0" w:lineRule="atLeast"/>
              <w:jc w:val="center"/>
              <w:rPr>
                <w:rFonts w:eastAsia="仿宋_GB2312"/>
                <w:color w:val="auto"/>
                <w:highlight w:val="none"/>
              </w:rPr>
            </w:pPr>
            <w:r>
              <w:rPr>
                <w:rFonts w:hint="eastAsia" w:eastAsia="仿宋_GB2312"/>
                <w:color w:val="auto"/>
                <w:highlight w:val="none"/>
              </w:rPr>
              <w:t>20160702346</w:t>
            </w:r>
          </w:p>
        </w:tc>
        <w:tc>
          <w:tcPr>
            <w:tcW w:w="1435" w:type="dxa"/>
            <w:vAlign w:val="center"/>
          </w:tcPr>
          <w:p>
            <w:pPr>
              <w:autoSpaceDE w:val="0"/>
              <w:autoSpaceDN w:val="0"/>
              <w:adjustRightInd w:val="0"/>
              <w:spacing w:line="0" w:lineRule="atLeast"/>
              <w:jc w:val="center"/>
              <w:rPr>
                <w:rFonts w:eastAsia="仿宋_GB2312"/>
                <w:color w:val="auto"/>
                <w:highlight w:val="none"/>
              </w:rPr>
            </w:pPr>
            <w:r>
              <w:rPr>
                <w:rFonts w:hint="eastAsia" w:eastAsia="仿宋_GB2312"/>
                <w:color w:val="auto"/>
                <w:highlight w:val="none"/>
              </w:rPr>
              <w:t>宋慧、崔国强</w:t>
            </w:r>
          </w:p>
        </w:tc>
        <w:tc>
          <w:tcPr>
            <w:tcW w:w="2172" w:type="dxa"/>
            <w:vAlign w:val="center"/>
          </w:tcPr>
          <w:p>
            <w:pPr>
              <w:autoSpaceDE w:val="0"/>
              <w:autoSpaceDN w:val="0"/>
              <w:adjustRightInd w:val="0"/>
              <w:snapToGrid w:val="0"/>
              <w:jc w:val="center"/>
              <w:rPr>
                <w:rFonts w:eastAsia="仿宋_GB2312"/>
                <w:bCs/>
                <w:color w:val="auto"/>
                <w:highlight w:val="none"/>
              </w:rPr>
            </w:pPr>
            <w:r>
              <w:rPr>
                <w:rFonts w:hint="eastAsia" w:eastAsia="仿宋_GB2312"/>
                <w:bCs/>
                <w:color w:val="auto"/>
                <w:highlight w:val="none"/>
              </w:rPr>
              <w:t>长塘镇1-2幢1#-405室</w:t>
            </w:r>
          </w:p>
        </w:tc>
        <w:tc>
          <w:tcPr>
            <w:tcW w:w="618" w:type="dxa"/>
            <w:vAlign w:val="center"/>
          </w:tcPr>
          <w:p>
            <w:pPr>
              <w:autoSpaceDE w:val="0"/>
              <w:autoSpaceDN w:val="0"/>
              <w:adjustRightInd w:val="0"/>
              <w:spacing w:line="0" w:lineRule="atLeast"/>
              <w:jc w:val="center"/>
              <w:rPr>
                <w:rFonts w:eastAsia="仿宋_GB2312"/>
                <w:color w:val="auto"/>
                <w:highlight w:val="none"/>
              </w:rPr>
            </w:pPr>
            <w:r>
              <w:rPr>
                <w:rFonts w:hint="eastAsia" w:eastAsia="仿宋_GB2312"/>
                <w:color w:val="auto"/>
                <w:highlight w:val="none"/>
              </w:rPr>
              <w:t>钢混</w:t>
            </w:r>
          </w:p>
        </w:tc>
        <w:tc>
          <w:tcPr>
            <w:tcW w:w="618" w:type="dxa"/>
            <w:vAlign w:val="center"/>
          </w:tcPr>
          <w:p>
            <w:pPr>
              <w:autoSpaceDE w:val="0"/>
              <w:autoSpaceDN w:val="0"/>
              <w:adjustRightInd w:val="0"/>
              <w:snapToGrid w:val="0"/>
              <w:jc w:val="center"/>
              <w:rPr>
                <w:rFonts w:eastAsia="仿宋_GB2312"/>
                <w:color w:val="auto"/>
                <w:highlight w:val="none"/>
              </w:rPr>
            </w:pPr>
            <w:r>
              <w:rPr>
                <w:rFonts w:hint="eastAsia" w:eastAsia="仿宋_GB2312"/>
                <w:color w:val="auto"/>
                <w:highlight w:val="none"/>
              </w:rPr>
              <w:t>住宅</w:t>
            </w:r>
          </w:p>
        </w:tc>
        <w:tc>
          <w:tcPr>
            <w:tcW w:w="773" w:type="dxa"/>
            <w:vAlign w:val="center"/>
          </w:tcPr>
          <w:p>
            <w:pPr>
              <w:spacing w:line="0" w:lineRule="atLeast"/>
              <w:jc w:val="center"/>
              <w:rPr>
                <w:rFonts w:eastAsia="仿宋_GB2312"/>
                <w:color w:val="auto"/>
                <w:highlight w:val="none"/>
              </w:rPr>
            </w:pPr>
            <w:r>
              <w:rPr>
                <w:rFonts w:hint="eastAsia" w:eastAsia="仿宋_GB2312"/>
                <w:color w:val="auto"/>
                <w:highlight w:val="none"/>
              </w:rPr>
              <w:t>2017年</w:t>
            </w:r>
          </w:p>
        </w:tc>
        <w:tc>
          <w:tcPr>
            <w:tcW w:w="773" w:type="dxa"/>
            <w:vAlign w:val="center"/>
          </w:tcPr>
          <w:p>
            <w:pPr>
              <w:spacing w:line="0" w:lineRule="atLeast"/>
              <w:jc w:val="center"/>
              <w:rPr>
                <w:rFonts w:eastAsia="仿宋_GB2312"/>
                <w:color w:val="auto"/>
                <w:highlight w:val="none"/>
              </w:rPr>
            </w:pPr>
            <w:r>
              <w:rPr>
                <w:rFonts w:hint="eastAsia" w:eastAsia="仿宋_GB2312"/>
                <w:color w:val="auto"/>
                <w:highlight w:val="none"/>
              </w:rPr>
              <w:t>227.61</w:t>
            </w:r>
          </w:p>
        </w:tc>
        <w:tc>
          <w:tcPr>
            <w:tcW w:w="927" w:type="dxa"/>
            <w:vAlign w:val="center"/>
          </w:tcPr>
          <w:p>
            <w:pPr>
              <w:autoSpaceDE w:val="0"/>
              <w:autoSpaceDN w:val="0"/>
              <w:adjustRightInd w:val="0"/>
              <w:snapToGrid w:val="0"/>
              <w:jc w:val="center"/>
              <w:rPr>
                <w:rFonts w:eastAsia="仿宋_GB2312"/>
                <w:color w:val="auto"/>
                <w:highlight w:val="none"/>
              </w:rPr>
            </w:pPr>
            <w:r>
              <w:rPr>
                <w:rFonts w:hint="eastAsia" w:eastAsia="仿宋_GB2312"/>
                <w:color w:val="auto"/>
                <w:highlight w:val="none"/>
              </w:rPr>
              <w:t>4-6/7</w:t>
            </w:r>
          </w:p>
        </w:tc>
      </w:tr>
    </w:tbl>
    <w:p>
      <w:pPr>
        <w:adjustRightInd w:val="0"/>
        <w:snapToGrid w:val="0"/>
        <w:spacing w:line="500" w:lineRule="exact"/>
        <w:ind w:firstLine="562" w:firstLineChars="200"/>
        <w:rPr>
          <w:rFonts w:eastAsia="仿宋_GB2312"/>
          <w:b/>
          <w:bCs/>
          <w:color w:val="auto"/>
          <w:sz w:val="28"/>
          <w:szCs w:val="28"/>
          <w:highlight w:val="none"/>
        </w:rPr>
      </w:pPr>
      <w:r>
        <w:rPr>
          <w:rFonts w:eastAsia="仿宋_GB2312"/>
          <w:b/>
          <w:bCs/>
          <w:color w:val="auto"/>
          <w:sz w:val="28"/>
          <w:szCs w:val="28"/>
          <w:highlight w:val="none"/>
        </w:rPr>
        <w:t>3</w:t>
      </w:r>
      <w:r>
        <w:rPr>
          <w:rFonts w:hint="eastAsia" w:eastAsia="仿宋_GB2312"/>
          <w:b/>
          <w:bCs/>
          <w:color w:val="auto"/>
          <w:sz w:val="28"/>
          <w:szCs w:val="28"/>
          <w:highlight w:val="none"/>
        </w:rPr>
        <w:t>．建筑物实物状况描述</w:t>
      </w:r>
    </w:p>
    <w:tbl>
      <w:tblPr>
        <w:tblStyle w:val="43"/>
        <w:tblW w:w="9238" w:type="dxa"/>
        <w:jc w:val="center"/>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80"/>
        <w:gridCol w:w="1254"/>
        <w:gridCol w:w="1553"/>
        <w:gridCol w:w="1088"/>
        <w:gridCol w:w="1190"/>
        <w:gridCol w:w="1195"/>
        <w:gridCol w:w="1378"/>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80" w:type="dxa"/>
            <w:vAlign w:val="center"/>
          </w:tcPr>
          <w:p>
            <w:pPr>
              <w:widowControl/>
              <w:spacing w:line="240" w:lineRule="exact"/>
              <w:jc w:val="center"/>
              <w:rPr>
                <w:rFonts w:eastAsia="仿宋_GB2312"/>
                <w:b/>
                <w:color w:val="auto"/>
                <w:highlight w:val="none"/>
              </w:rPr>
            </w:pPr>
            <w:r>
              <w:rPr>
                <w:rFonts w:eastAsia="仿宋_GB2312"/>
                <w:b/>
                <w:color w:val="auto"/>
                <w:highlight w:val="none"/>
              </w:rPr>
              <w:t>小区名称</w:t>
            </w:r>
          </w:p>
        </w:tc>
        <w:tc>
          <w:tcPr>
            <w:tcW w:w="2807" w:type="dxa"/>
            <w:gridSpan w:val="2"/>
            <w:vAlign w:val="center"/>
          </w:tcPr>
          <w:p>
            <w:pPr>
              <w:widowControl/>
              <w:spacing w:line="240" w:lineRule="exact"/>
              <w:jc w:val="center"/>
              <w:rPr>
                <w:rFonts w:eastAsia="仿宋_GB2312"/>
                <w:color w:val="auto"/>
                <w:highlight w:val="none"/>
              </w:rPr>
            </w:pPr>
            <w:r>
              <w:rPr>
                <w:rFonts w:hint="eastAsia" w:eastAsia="仿宋_GB2312"/>
                <w:color w:val="auto"/>
                <w:highlight w:val="none"/>
              </w:rPr>
              <w:t>华唐府邸</w:t>
            </w:r>
          </w:p>
        </w:tc>
        <w:tc>
          <w:tcPr>
            <w:tcW w:w="1088" w:type="dxa"/>
            <w:vAlign w:val="center"/>
          </w:tcPr>
          <w:p>
            <w:pPr>
              <w:widowControl/>
              <w:spacing w:line="240" w:lineRule="exact"/>
              <w:jc w:val="center"/>
              <w:rPr>
                <w:rFonts w:eastAsia="仿宋_GB2312"/>
                <w:b/>
                <w:color w:val="auto"/>
                <w:highlight w:val="none"/>
              </w:rPr>
            </w:pPr>
            <w:r>
              <w:rPr>
                <w:rFonts w:eastAsia="仿宋_GB2312"/>
                <w:b/>
                <w:color w:val="auto"/>
                <w:highlight w:val="none"/>
              </w:rPr>
              <w:t>小区规模</w:t>
            </w:r>
          </w:p>
        </w:tc>
        <w:tc>
          <w:tcPr>
            <w:tcW w:w="1190" w:type="dxa"/>
            <w:vAlign w:val="center"/>
          </w:tcPr>
          <w:p>
            <w:pPr>
              <w:widowControl/>
              <w:spacing w:line="240" w:lineRule="exact"/>
              <w:jc w:val="center"/>
              <w:rPr>
                <w:rFonts w:eastAsia="仿宋_GB2312"/>
                <w:color w:val="auto"/>
                <w:highlight w:val="none"/>
              </w:rPr>
            </w:pPr>
            <w:r>
              <w:rPr>
                <w:rFonts w:eastAsia="仿宋_GB2312"/>
                <w:color w:val="auto"/>
                <w:highlight w:val="none"/>
              </w:rPr>
              <w:t>一般</w:t>
            </w:r>
          </w:p>
        </w:tc>
        <w:tc>
          <w:tcPr>
            <w:tcW w:w="1195" w:type="dxa"/>
            <w:vAlign w:val="center"/>
          </w:tcPr>
          <w:p>
            <w:pPr>
              <w:widowControl/>
              <w:spacing w:line="240" w:lineRule="exact"/>
              <w:jc w:val="center"/>
              <w:rPr>
                <w:rFonts w:eastAsia="仿宋_GB2312"/>
                <w:b/>
                <w:color w:val="auto"/>
                <w:highlight w:val="none"/>
              </w:rPr>
            </w:pPr>
            <w:r>
              <w:rPr>
                <w:rFonts w:eastAsia="仿宋_GB2312"/>
                <w:b/>
                <w:color w:val="auto"/>
                <w:highlight w:val="none"/>
              </w:rPr>
              <w:t>社区成熟度</w:t>
            </w:r>
          </w:p>
        </w:tc>
        <w:tc>
          <w:tcPr>
            <w:tcW w:w="1378" w:type="dxa"/>
            <w:vAlign w:val="center"/>
          </w:tcPr>
          <w:p>
            <w:pPr>
              <w:widowControl/>
              <w:spacing w:line="240" w:lineRule="exact"/>
              <w:jc w:val="center"/>
              <w:rPr>
                <w:rFonts w:eastAsia="仿宋_GB2312"/>
                <w:color w:val="auto"/>
                <w:highlight w:val="none"/>
              </w:rPr>
            </w:pPr>
            <w:r>
              <w:rPr>
                <w:rFonts w:eastAsia="仿宋_GB2312"/>
                <w:color w:val="auto"/>
                <w:highlight w:val="none"/>
              </w:rPr>
              <w:t>较成熟</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80" w:type="dxa"/>
            <w:vAlign w:val="center"/>
          </w:tcPr>
          <w:p>
            <w:pPr>
              <w:widowControl/>
              <w:spacing w:line="240" w:lineRule="exact"/>
              <w:jc w:val="center"/>
              <w:rPr>
                <w:rFonts w:eastAsia="仿宋_GB2312"/>
                <w:b/>
                <w:color w:val="auto"/>
                <w:highlight w:val="none"/>
              </w:rPr>
            </w:pPr>
            <w:r>
              <w:rPr>
                <w:rFonts w:eastAsia="仿宋_GB2312"/>
                <w:b/>
                <w:color w:val="auto"/>
                <w:highlight w:val="none"/>
              </w:rPr>
              <w:t>小区环境</w:t>
            </w:r>
          </w:p>
        </w:tc>
        <w:tc>
          <w:tcPr>
            <w:tcW w:w="2807" w:type="dxa"/>
            <w:gridSpan w:val="2"/>
            <w:vAlign w:val="center"/>
          </w:tcPr>
          <w:p>
            <w:pPr>
              <w:widowControl/>
              <w:spacing w:line="240" w:lineRule="exact"/>
              <w:jc w:val="center"/>
              <w:rPr>
                <w:rFonts w:eastAsia="仿宋_GB2312"/>
                <w:color w:val="auto"/>
                <w:highlight w:val="none"/>
              </w:rPr>
            </w:pPr>
            <w:r>
              <w:rPr>
                <w:rFonts w:eastAsia="仿宋_GB2312"/>
                <w:color w:val="auto"/>
                <w:highlight w:val="none"/>
              </w:rPr>
              <w:t>一般</w:t>
            </w:r>
          </w:p>
        </w:tc>
        <w:tc>
          <w:tcPr>
            <w:tcW w:w="1088" w:type="dxa"/>
            <w:vAlign w:val="center"/>
          </w:tcPr>
          <w:p>
            <w:pPr>
              <w:widowControl/>
              <w:spacing w:line="240" w:lineRule="exact"/>
              <w:jc w:val="center"/>
              <w:rPr>
                <w:rFonts w:eastAsia="仿宋_GB2312"/>
                <w:b/>
                <w:color w:val="auto"/>
                <w:highlight w:val="none"/>
              </w:rPr>
            </w:pPr>
            <w:r>
              <w:rPr>
                <w:rFonts w:eastAsia="仿宋_GB2312"/>
                <w:b/>
                <w:color w:val="auto"/>
                <w:highlight w:val="none"/>
              </w:rPr>
              <w:t>绿地</w:t>
            </w:r>
          </w:p>
        </w:tc>
        <w:tc>
          <w:tcPr>
            <w:tcW w:w="1190" w:type="dxa"/>
            <w:vAlign w:val="center"/>
          </w:tcPr>
          <w:p>
            <w:pPr>
              <w:widowControl/>
              <w:spacing w:line="240" w:lineRule="exact"/>
              <w:jc w:val="center"/>
              <w:rPr>
                <w:rFonts w:eastAsia="仿宋_GB2312"/>
                <w:color w:val="auto"/>
                <w:highlight w:val="none"/>
              </w:rPr>
            </w:pPr>
            <w:r>
              <w:rPr>
                <w:rFonts w:eastAsia="仿宋_GB2312"/>
                <w:color w:val="auto"/>
                <w:highlight w:val="none"/>
              </w:rPr>
              <w:t>一般</w:t>
            </w:r>
          </w:p>
        </w:tc>
        <w:tc>
          <w:tcPr>
            <w:tcW w:w="1195" w:type="dxa"/>
            <w:vAlign w:val="center"/>
          </w:tcPr>
          <w:p>
            <w:pPr>
              <w:widowControl/>
              <w:spacing w:line="240" w:lineRule="exact"/>
              <w:jc w:val="center"/>
              <w:rPr>
                <w:rFonts w:eastAsia="仿宋_GB2312"/>
                <w:b/>
                <w:color w:val="auto"/>
                <w:highlight w:val="none"/>
              </w:rPr>
            </w:pPr>
            <w:r>
              <w:rPr>
                <w:rFonts w:eastAsia="仿宋_GB2312"/>
                <w:b/>
                <w:color w:val="auto"/>
                <w:highlight w:val="none"/>
              </w:rPr>
              <w:t>停车状况</w:t>
            </w:r>
          </w:p>
        </w:tc>
        <w:tc>
          <w:tcPr>
            <w:tcW w:w="1378" w:type="dxa"/>
            <w:vAlign w:val="center"/>
          </w:tcPr>
          <w:p>
            <w:pPr>
              <w:widowControl/>
              <w:spacing w:line="240" w:lineRule="exact"/>
              <w:jc w:val="center"/>
              <w:rPr>
                <w:rFonts w:eastAsia="仿宋_GB2312"/>
                <w:color w:val="auto"/>
                <w:highlight w:val="none"/>
              </w:rPr>
            </w:pPr>
            <w:r>
              <w:rPr>
                <w:rFonts w:eastAsia="仿宋_GB2312"/>
                <w:color w:val="auto"/>
                <w:highlight w:val="none"/>
              </w:rPr>
              <w:t>一般</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80" w:type="dxa"/>
            <w:vAlign w:val="center"/>
          </w:tcPr>
          <w:p>
            <w:pPr>
              <w:widowControl/>
              <w:spacing w:line="240" w:lineRule="exact"/>
              <w:jc w:val="center"/>
              <w:rPr>
                <w:rFonts w:eastAsia="仿宋_GB2312"/>
                <w:b/>
                <w:color w:val="auto"/>
                <w:highlight w:val="none"/>
              </w:rPr>
            </w:pPr>
            <w:r>
              <w:rPr>
                <w:rFonts w:eastAsia="仿宋_GB2312"/>
                <w:b/>
                <w:color w:val="auto"/>
                <w:highlight w:val="none"/>
              </w:rPr>
              <w:t>物业管理公司</w:t>
            </w:r>
          </w:p>
        </w:tc>
        <w:tc>
          <w:tcPr>
            <w:tcW w:w="2807" w:type="dxa"/>
            <w:gridSpan w:val="2"/>
            <w:vAlign w:val="center"/>
          </w:tcPr>
          <w:p>
            <w:pPr>
              <w:widowControl/>
              <w:spacing w:line="240" w:lineRule="exact"/>
              <w:jc w:val="center"/>
              <w:rPr>
                <w:rFonts w:eastAsia="仿宋_GB2312"/>
                <w:color w:val="auto"/>
                <w:highlight w:val="none"/>
              </w:rPr>
            </w:pPr>
            <w:r>
              <w:rPr>
                <w:rFonts w:eastAsia="仿宋_GB2312"/>
                <w:color w:val="auto"/>
                <w:highlight w:val="none"/>
              </w:rPr>
              <w:t>/</w:t>
            </w:r>
          </w:p>
        </w:tc>
        <w:tc>
          <w:tcPr>
            <w:tcW w:w="1088" w:type="dxa"/>
            <w:vAlign w:val="center"/>
          </w:tcPr>
          <w:p>
            <w:pPr>
              <w:widowControl/>
              <w:spacing w:line="240" w:lineRule="exact"/>
              <w:jc w:val="center"/>
              <w:rPr>
                <w:rFonts w:eastAsia="仿宋_GB2312"/>
                <w:b/>
                <w:color w:val="auto"/>
                <w:highlight w:val="none"/>
              </w:rPr>
            </w:pPr>
            <w:r>
              <w:rPr>
                <w:rFonts w:eastAsia="仿宋_GB2312"/>
                <w:b/>
                <w:color w:val="auto"/>
                <w:highlight w:val="none"/>
              </w:rPr>
              <w:t>管理形式</w:t>
            </w:r>
          </w:p>
        </w:tc>
        <w:tc>
          <w:tcPr>
            <w:tcW w:w="1190" w:type="dxa"/>
            <w:vAlign w:val="center"/>
          </w:tcPr>
          <w:p>
            <w:pPr>
              <w:widowControl/>
              <w:spacing w:line="240" w:lineRule="exact"/>
              <w:jc w:val="center"/>
              <w:rPr>
                <w:rFonts w:eastAsia="仿宋_GB2312"/>
                <w:color w:val="auto"/>
                <w:highlight w:val="none"/>
              </w:rPr>
            </w:pPr>
            <w:r>
              <w:rPr>
                <w:rFonts w:eastAsia="仿宋_GB2312"/>
                <w:color w:val="auto"/>
                <w:highlight w:val="none"/>
              </w:rPr>
              <w:t>开放式</w:t>
            </w:r>
          </w:p>
        </w:tc>
        <w:tc>
          <w:tcPr>
            <w:tcW w:w="1195" w:type="dxa"/>
            <w:vAlign w:val="center"/>
          </w:tcPr>
          <w:p>
            <w:pPr>
              <w:widowControl/>
              <w:spacing w:line="240" w:lineRule="exact"/>
              <w:jc w:val="center"/>
              <w:rPr>
                <w:rFonts w:eastAsia="仿宋_GB2312"/>
                <w:b/>
                <w:color w:val="auto"/>
                <w:highlight w:val="none"/>
              </w:rPr>
            </w:pPr>
            <w:r>
              <w:rPr>
                <w:rFonts w:eastAsia="仿宋_GB2312"/>
                <w:b/>
                <w:color w:val="auto"/>
                <w:highlight w:val="none"/>
              </w:rPr>
              <w:t>物业费</w:t>
            </w:r>
          </w:p>
        </w:tc>
        <w:tc>
          <w:tcPr>
            <w:tcW w:w="1378" w:type="dxa"/>
            <w:vAlign w:val="center"/>
          </w:tcPr>
          <w:p>
            <w:pPr>
              <w:widowControl/>
              <w:spacing w:line="240" w:lineRule="exact"/>
              <w:jc w:val="center"/>
              <w:rPr>
                <w:rFonts w:eastAsia="仿宋_GB2312"/>
                <w:color w:val="auto"/>
                <w:highlight w:val="none"/>
              </w:rPr>
            </w:pPr>
            <w:r>
              <w:rPr>
                <w:rFonts w:eastAsia="仿宋_GB2312"/>
                <w:color w:val="auto"/>
                <w:kern w:val="0"/>
                <w:highlight w:val="none"/>
              </w:rPr>
              <w:t>/</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80" w:type="dxa"/>
            <w:vAlign w:val="center"/>
          </w:tcPr>
          <w:p>
            <w:pPr>
              <w:widowControl/>
              <w:spacing w:line="240" w:lineRule="exact"/>
              <w:jc w:val="center"/>
              <w:rPr>
                <w:rFonts w:eastAsia="仿宋_GB2312"/>
                <w:b/>
                <w:color w:val="auto"/>
                <w:highlight w:val="none"/>
              </w:rPr>
            </w:pPr>
            <w:r>
              <w:rPr>
                <w:rFonts w:eastAsia="仿宋_GB2312"/>
                <w:b/>
                <w:color w:val="auto"/>
                <w:highlight w:val="none"/>
              </w:rPr>
              <w:t>建筑形式</w:t>
            </w:r>
          </w:p>
        </w:tc>
        <w:tc>
          <w:tcPr>
            <w:tcW w:w="2807" w:type="dxa"/>
            <w:gridSpan w:val="2"/>
            <w:vAlign w:val="center"/>
          </w:tcPr>
          <w:p>
            <w:pPr>
              <w:widowControl/>
              <w:spacing w:line="240" w:lineRule="exact"/>
              <w:jc w:val="center"/>
              <w:rPr>
                <w:rFonts w:eastAsia="仿宋_GB2312"/>
                <w:color w:val="auto"/>
                <w:highlight w:val="none"/>
              </w:rPr>
            </w:pPr>
            <w:r>
              <w:rPr>
                <w:rFonts w:eastAsia="仿宋_GB2312"/>
                <w:color w:val="auto"/>
                <w:highlight w:val="none"/>
              </w:rPr>
              <w:t>多层住宅</w:t>
            </w:r>
          </w:p>
        </w:tc>
        <w:tc>
          <w:tcPr>
            <w:tcW w:w="1088" w:type="dxa"/>
            <w:vAlign w:val="center"/>
          </w:tcPr>
          <w:p>
            <w:pPr>
              <w:widowControl/>
              <w:spacing w:line="240" w:lineRule="exact"/>
              <w:jc w:val="center"/>
              <w:rPr>
                <w:rFonts w:eastAsia="仿宋_GB2312"/>
                <w:b/>
                <w:color w:val="auto"/>
                <w:highlight w:val="none"/>
              </w:rPr>
            </w:pPr>
            <w:r>
              <w:rPr>
                <w:rFonts w:eastAsia="仿宋_GB2312"/>
                <w:b/>
                <w:color w:val="auto"/>
                <w:highlight w:val="none"/>
              </w:rPr>
              <w:t>屋面形式</w:t>
            </w:r>
          </w:p>
        </w:tc>
        <w:tc>
          <w:tcPr>
            <w:tcW w:w="1190" w:type="dxa"/>
            <w:vAlign w:val="center"/>
          </w:tcPr>
          <w:p>
            <w:pPr>
              <w:widowControl/>
              <w:spacing w:line="240" w:lineRule="exact"/>
              <w:jc w:val="center"/>
              <w:rPr>
                <w:rFonts w:eastAsia="仿宋_GB2312"/>
                <w:color w:val="auto"/>
                <w:highlight w:val="none"/>
              </w:rPr>
            </w:pPr>
            <w:r>
              <w:rPr>
                <w:rFonts w:eastAsia="仿宋_GB2312"/>
                <w:color w:val="auto"/>
                <w:highlight w:val="none"/>
              </w:rPr>
              <w:t>--</w:t>
            </w:r>
          </w:p>
        </w:tc>
        <w:tc>
          <w:tcPr>
            <w:tcW w:w="1195" w:type="dxa"/>
            <w:vAlign w:val="center"/>
          </w:tcPr>
          <w:p>
            <w:pPr>
              <w:widowControl/>
              <w:spacing w:line="240" w:lineRule="exact"/>
              <w:jc w:val="center"/>
              <w:rPr>
                <w:rFonts w:eastAsia="仿宋_GB2312"/>
                <w:b/>
                <w:color w:val="auto"/>
                <w:highlight w:val="none"/>
              </w:rPr>
            </w:pPr>
            <w:r>
              <w:rPr>
                <w:rFonts w:eastAsia="仿宋_GB2312"/>
                <w:b/>
                <w:color w:val="auto"/>
                <w:highlight w:val="none"/>
              </w:rPr>
              <w:t>景观</w:t>
            </w:r>
          </w:p>
        </w:tc>
        <w:tc>
          <w:tcPr>
            <w:tcW w:w="1378" w:type="dxa"/>
            <w:vAlign w:val="center"/>
          </w:tcPr>
          <w:p>
            <w:pPr>
              <w:widowControl/>
              <w:spacing w:line="240" w:lineRule="exact"/>
              <w:jc w:val="center"/>
              <w:rPr>
                <w:rFonts w:eastAsia="仿宋_GB2312"/>
                <w:color w:val="auto"/>
                <w:highlight w:val="none"/>
              </w:rPr>
            </w:pPr>
            <w:r>
              <w:rPr>
                <w:rFonts w:eastAsia="仿宋_GB2312"/>
                <w:color w:val="auto"/>
                <w:highlight w:val="none"/>
              </w:rPr>
              <w:t>无</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80" w:type="dxa"/>
            <w:vAlign w:val="center"/>
          </w:tcPr>
          <w:p>
            <w:pPr>
              <w:widowControl/>
              <w:spacing w:line="240" w:lineRule="exact"/>
              <w:jc w:val="center"/>
              <w:rPr>
                <w:rFonts w:eastAsia="仿宋_GB2312"/>
                <w:b/>
                <w:color w:val="auto"/>
                <w:highlight w:val="none"/>
              </w:rPr>
            </w:pPr>
            <w:r>
              <w:rPr>
                <w:rFonts w:eastAsia="仿宋_GB2312"/>
                <w:b/>
                <w:color w:val="auto"/>
                <w:highlight w:val="none"/>
              </w:rPr>
              <w:t>户型</w:t>
            </w:r>
          </w:p>
        </w:tc>
        <w:tc>
          <w:tcPr>
            <w:tcW w:w="2807" w:type="dxa"/>
            <w:gridSpan w:val="2"/>
            <w:vAlign w:val="center"/>
          </w:tcPr>
          <w:p>
            <w:pPr>
              <w:widowControl/>
              <w:spacing w:line="240" w:lineRule="exact"/>
              <w:jc w:val="center"/>
              <w:rPr>
                <w:rFonts w:eastAsia="仿宋_GB2312"/>
                <w:color w:val="auto"/>
                <w:highlight w:val="none"/>
              </w:rPr>
            </w:pPr>
            <w:r>
              <w:rPr>
                <w:rFonts w:eastAsia="仿宋_GB2312"/>
                <w:color w:val="auto"/>
                <w:highlight w:val="none"/>
              </w:rPr>
              <w:t>复式楼</w:t>
            </w:r>
          </w:p>
        </w:tc>
        <w:tc>
          <w:tcPr>
            <w:tcW w:w="1088" w:type="dxa"/>
            <w:vAlign w:val="center"/>
          </w:tcPr>
          <w:p>
            <w:pPr>
              <w:widowControl/>
              <w:spacing w:line="240" w:lineRule="exact"/>
              <w:jc w:val="center"/>
              <w:rPr>
                <w:rFonts w:eastAsia="仿宋_GB2312"/>
                <w:b/>
                <w:color w:val="auto"/>
                <w:highlight w:val="none"/>
              </w:rPr>
            </w:pPr>
            <w:r>
              <w:rPr>
                <w:rFonts w:eastAsia="仿宋_GB2312"/>
                <w:b/>
                <w:color w:val="auto"/>
                <w:highlight w:val="none"/>
              </w:rPr>
              <w:t>平面布局</w:t>
            </w:r>
          </w:p>
        </w:tc>
        <w:tc>
          <w:tcPr>
            <w:tcW w:w="1190" w:type="dxa"/>
            <w:vAlign w:val="center"/>
          </w:tcPr>
          <w:p>
            <w:pPr>
              <w:widowControl/>
              <w:spacing w:line="240" w:lineRule="exact"/>
              <w:jc w:val="center"/>
              <w:rPr>
                <w:rFonts w:eastAsia="仿宋_GB2312"/>
                <w:color w:val="auto"/>
                <w:highlight w:val="none"/>
              </w:rPr>
            </w:pPr>
            <w:r>
              <w:rPr>
                <w:rFonts w:eastAsia="仿宋_GB2312"/>
                <w:color w:val="auto"/>
                <w:highlight w:val="none"/>
              </w:rPr>
              <w:t>较优</w:t>
            </w:r>
          </w:p>
        </w:tc>
        <w:tc>
          <w:tcPr>
            <w:tcW w:w="1195" w:type="dxa"/>
            <w:vAlign w:val="center"/>
          </w:tcPr>
          <w:p>
            <w:pPr>
              <w:widowControl/>
              <w:spacing w:line="240" w:lineRule="exact"/>
              <w:jc w:val="center"/>
              <w:rPr>
                <w:rFonts w:eastAsia="仿宋_GB2312"/>
                <w:b/>
                <w:color w:val="auto"/>
                <w:highlight w:val="none"/>
              </w:rPr>
            </w:pPr>
            <w:r>
              <w:rPr>
                <w:rFonts w:eastAsia="仿宋_GB2312"/>
                <w:b/>
                <w:color w:val="auto"/>
                <w:highlight w:val="none"/>
              </w:rPr>
              <w:t>户型结构</w:t>
            </w:r>
          </w:p>
        </w:tc>
        <w:tc>
          <w:tcPr>
            <w:tcW w:w="1378" w:type="dxa"/>
            <w:vAlign w:val="center"/>
          </w:tcPr>
          <w:p>
            <w:pPr>
              <w:widowControl/>
              <w:spacing w:line="240" w:lineRule="exact"/>
              <w:jc w:val="center"/>
              <w:rPr>
                <w:rFonts w:eastAsia="仿宋_GB2312"/>
                <w:color w:val="auto"/>
                <w:highlight w:val="none"/>
              </w:rPr>
            </w:pPr>
            <w:r>
              <w:rPr>
                <w:rFonts w:eastAsia="仿宋_GB2312"/>
                <w:color w:val="auto"/>
                <w:highlight w:val="none"/>
              </w:rPr>
              <w:t>钢混</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80" w:type="dxa"/>
            <w:vAlign w:val="center"/>
          </w:tcPr>
          <w:p>
            <w:pPr>
              <w:widowControl/>
              <w:spacing w:line="240" w:lineRule="exact"/>
              <w:jc w:val="center"/>
              <w:rPr>
                <w:rFonts w:eastAsia="仿宋_GB2312"/>
                <w:b/>
                <w:color w:val="auto"/>
                <w:highlight w:val="none"/>
              </w:rPr>
            </w:pPr>
            <w:r>
              <w:rPr>
                <w:rFonts w:eastAsia="仿宋_GB2312"/>
                <w:b/>
                <w:color w:val="auto"/>
                <w:highlight w:val="none"/>
              </w:rPr>
              <w:t>门禁系统</w:t>
            </w:r>
          </w:p>
        </w:tc>
        <w:tc>
          <w:tcPr>
            <w:tcW w:w="2807" w:type="dxa"/>
            <w:gridSpan w:val="2"/>
            <w:vAlign w:val="center"/>
          </w:tcPr>
          <w:p>
            <w:pPr>
              <w:widowControl/>
              <w:spacing w:line="240" w:lineRule="exact"/>
              <w:jc w:val="center"/>
              <w:rPr>
                <w:rFonts w:eastAsia="仿宋_GB2312"/>
                <w:color w:val="auto"/>
                <w:highlight w:val="none"/>
              </w:rPr>
            </w:pPr>
            <w:r>
              <w:rPr>
                <w:rFonts w:eastAsia="仿宋_GB2312"/>
                <w:color w:val="auto"/>
                <w:highlight w:val="none"/>
              </w:rPr>
              <w:t>无</w:t>
            </w:r>
          </w:p>
        </w:tc>
        <w:tc>
          <w:tcPr>
            <w:tcW w:w="1088" w:type="dxa"/>
            <w:vAlign w:val="center"/>
          </w:tcPr>
          <w:p>
            <w:pPr>
              <w:widowControl/>
              <w:spacing w:line="240" w:lineRule="exact"/>
              <w:jc w:val="center"/>
              <w:rPr>
                <w:rFonts w:eastAsia="仿宋_GB2312"/>
                <w:b/>
                <w:color w:val="auto"/>
                <w:highlight w:val="none"/>
              </w:rPr>
            </w:pPr>
            <w:r>
              <w:rPr>
                <w:rFonts w:eastAsia="仿宋_GB2312"/>
                <w:b/>
                <w:color w:val="auto"/>
                <w:highlight w:val="none"/>
              </w:rPr>
              <w:t>电梯情况</w:t>
            </w:r>
          </w:p>
        </w:tc>
        <w:tc>
          <w:tcPr>
            <w:tcW w:w="3763" w:type="dxa"/>
            <w:gridSpan w:val="3"/>
            <w:vAlign w:val="center"/>
          </w:tcPr>
          <w:p>
            <w:pPr>
              <w:widowControl/>
              <w:spacing w:line="240" w:lineRule="exact"/>
              <w:jc w:val="center"/>
              <w:rPr>
                <w:rFonts w:eastAsia="仿宋_GB2312"/>
                <w:color w:val="auto"/>
                <w:highlight w:val="none"/>
              </w:rPr>
            </w:pPr>
            <w:r>
              <w:rPr>
                <w:rFonts w:eastAsia="仿宋_GB2312"/>
                <w:color w:val="auto"/>
                <w:highlight w:val="none"/>
              </w:rPr>
              <w:t>无</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80" w:type="dxa"/>
            <w:vAlign w:val="center"/>
          </w:tcPr>
          <w:p>
            <w:pPr>
              <w:widowControl/>
              <w:spacing w:line="240" w:lineRule="exact"/>
              <w:jc w:val="center"/>
              <w:rPr>
                <w:rFonts w:eastAsia="仿宋_GB2312"/>
                <w:b/>
                <w:color w:val="auto"/>
                <w:highlight w:val="none"/>
              </w:rPr>
            </w:pPr>
            <w:r>
              <w:rPr>
                <w:rFonts w:eastAsia="仿宋_GB2312"/>
                <w:b/>
                <w:color w:val="auto"/>
                <w:highlight w:val="none"/>
              </w:rPr>
              <w:t>设施、设备</w:t>
            </w:r>
          </w:p>
        </w:tc>
        <w:tc>
          <w:tcPr>
            <w:tcW w:w="7658" w:type="dxa"/>
            <w:gridSpan w:val="6"/>
            <w:vAlign w:val="center"/>
          </w:tcPr>
          <w:p>
            <w:pPr>
              <w:widowControl/>
              <w:spacing w:line="240" w:lineRule="exact"/>
              <w:jc w:val="center"/>
              <w:rPr>
                <w:rFonts w:eastAsia="仿宋_GB2312"/>
                <w:color w:val="auto"/>
                <w:highlight w:val="none"/>
              </w:rPr>
            </w:pPr>
            <w:r>
              <w:rPr>
                <w:rFonts w:eastAsia="仿宋_GB2312"/>
                <w:color w:val="auto"/>
                <w:highlight w:val="none"/>
              </w:rPr>
              <w:t>/</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80" w:type="dxa"/>
            <w:vAlign w:val="center"/>
          </w:tcPr>
          <w:p>
            <w:pPr>
              <w:widowControl/>
              <w:spacing w:line="240" w:lineRule="exact"/>
              <w:jc w:val="center"/>
              <w:rPr>
                <w:rFonts w:eastAsia="仿宋_GB2312"/>
                <w:b/>
                <w:color w:val="auto"/>
                <w:highlight w:val="none"/>
              </w:rPr>
            </w:pPr>
            <w:r>
              <w:rPr>
                <w:rFonts w:eastAsia="仿宋_GB2312"/>
                <w:b/>
                <w:color w:val="auto"/>
                <w:highlight w:val="none"/>
              </w:rPr>
              <w:t>外立面装修</w:t>
            </w:r>
          </w:p>
        </w:tc>
        <w:tc>
          <w:tcPr>
            <w:tcW w:w="1254" w:type="dxa"/>
            <w:vAlign w:val="center"/>
          </w:tcPr>
          <w:p>
            <w:pPr>
              <w:widowControl/>
              <w:spacing w:line="240" w:lineRule="exact"/>
              <w:jc w:val="center"/>
              <w:rPr>
                <w:rFonts w:eastAsia="仿宋_GB2312"/>
                <w:color w:val="auto"/>
                <w:highlight w:val="none"/>
              </w:rPr>
            </w:pPr>
            <w:r>
              <w:rPr>
                <w:rFonts w:eastAsia="仿宋_GB2312"/>
                <w:color w:val="auto"/>
                <w:highlight w:val="none"/>
              </w:rPr>
              <w:t>涂料</w:t>
            </w:r>
          </w:p>
        </w:tc>
        <w:tc>
          <w:tcPr>
            <w:tcW w:w="1553" w:type="dxa"/>
            <w:vAlign w:val="center"/>
          </w:tcPr>
          <w:p>
            <w:pPr>
              <w:widowControl/>
              <w:spacing w:line="240" w:lineRule="exact"/>
              <w:jc w:val="center"/>
              <w:rPr>
                <w:rFonts w:eastAsia="仿宋_GB2312"/>
                <w:b/>
                <w:color w:val="auto"/>
                <w:highlight w:val="none"/>
              </w:rPr>
            </w:pPr>
            <w:r>
              <w:rPr>
                <w:rFonts w:eastAsia="仿宋_GB2312"/>
                <w:b/>
                <w:color w:val="auto"/>
                <w:highlight w:val="none"/>
              </w:rPr>
              <w:t>入户门</w:t>
            </w:r>
          </w:p>
        </w:tc>
        <w:tc>
          <w:tcPr>
            <w:tcW w:w="1088" w:type="dxa"/>
            <w:vAlign w:val="center"/>
          </w:tcPr>
          <w:p>
            <w:pPr>
              <w:widowControl/>
              <w:spacing w:line="240" w:lineRule="exact"/>
              <w:jc w:val="center"/>
              <w:rPr>
                <w:rFonts w:eastAsia="仿宋_GB2312"/>
                <w:color w:val="auto"/>
                <w:highlight w:val="none"/>
              </w:rPr>
            </w:pPr>
            <w:r>
              <w:rPr>
                <w:rFonts w:eastAsia="仿宋_GB2312"/>
                <w:color w:val="auto"/>
                <w:highlight w:val="none"/>
              </w:rPr>
              <w:t>防盗门</w:t>
            </w:r>
          </w:p>
        </w:tc>
        <w:tc>
          <w:tcPr>
            <w:tcW w:w="1190" w:type="dxa"/>
            <w:vAlign w:val="center"/>
          </w:tcPr>
          <w:p>
            <w:pPr>
              <w:widowControl/>
              <w:spacing w:line="240" w:lineRule="exact"/>
              <w:jc w:val="center"/>
              <w:rPr>
                <w:rFonts w:eastAsia="仿宋_GB2312"/>
                <w:b/>
                <w:color w:val="auto"/>
                <w:highlight w:val="none"/>
              </w:rPr>
            </w:pPr>
            <w:r>
              <w:rPr>
                <w:rFonts w:eastAsia="仿宋_GB2312"/>
                <w:b/>
                <w:color w:val="auto"/>
                <w:highlight w:val="none"/>
              </w:rPr>
              <w:t>内门</w:t>
            </w:r>
          </w:p>
        </w:tc>
        <w:tc>
          <w:tcPr>
            <w:tcW w:w="2573" w:type="dxa"/>
            <w:gridSpan w:val="2"/>
            <w:vAlign w:val="center"/>
          </w:tcPr>
          <w:p>
            <w:pPr>
              <w:widowControl/>
              <w:spacing w:line="240" w:lineRule="exact"/>
              <w:jc w:val="center"/>
              <w:rPr>
                <w:rFonts w:eastAsia="仿宋_GB2312"/>
                <w:color w:val="auto"/>
                <w:highlight w:val="none"/>
              </w:rPr>
            </w:pPr>
            <w:r>
              <w:rPr>
                <w:rFonts w:hint="eastAsia" w:eastAsia="仿宋_GB2312"/>
                <w:color w:val="auto"/>
                <w:highlight w:val="none"/>
              </w:rPr>
              <w:t>/</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80" w:type="dxa"/>
            <w:vAlign w:val="center"/>
          </w:tcPr>
          <w:p>
            <w:pPr>
              <w:widowControl/>
              <w:spacing w:line="240" w:lineRule="exact"/>
              <w:jc w:val="center"/>
              <w:rPr>
                <w:rFonts w:eastAsia="仿宋_GB2312"/>
                <w:b/>
                <w:color w:val="auto"/>
                <w:highlight w:val="none"/>
              </w:rPr>
            </w:pPr>
            <w:r>
              <w:rPr>
                <w:rFonts w:eastAsia="仿宋_GB2312"/>
                <w:b/>
                <w:color w:val="auto"/>
                <w:highlight w:val="none"/>
              </w:rPr>
              <w:t>窗</w:t>
            </w:r>
          </w:p>
        </w:tc>
        <w:tc>
          <w:tcPr>
            <w:tcW w:w="1254" w:type="dxa"/>
            <w:vAlign w:val="center"/>
          </w:tcPr>
          <w:p>
            <w:pPr>
              <w:widowControl/>
              <w:spacing w:line="240" w:lineRule="exact"/>
              <w:jc w:val="center"/>
              <w:rPr>
                <w:rFonts w:eastAsia="仿宋_GB2312"/>
                <w:color w:val="auto"/>
                <w:highlight w:val="none"/>
              </w:rPr>
            </w:pPr>
            <w:r>
              <w:rPr>
                <w:rFonts w:eastAsia="仿宋_GB2312"/>
                <w:color w:val="auto"/>
                <w:highlight w:val="none"/>
              </w:rPr>
              <w:t>铝合金</w:t>
            </w:r>
          </w:p>
        </w:tc>
        <w:tc>
          <w:tcPr>
            <w:tcW w:w="1553" w:type="dxa"/>
            <w:vAlign w:val="center"/>
          </w:tcPr>
          <w:p>
            <w:pPr>
              <w:widowControl/>
              <w:spacing w:line="240" w:lineRule="exact"/>
              <w:jc w:val="center"/>
              <w:rPr>
                <w:rFonts w:eastAsia="仿宋_GB2312"/>
                <w:b/>
                <w:color w:val="auto"/>
                <w:highlight w:val="none"/>
              </w:rPr>
            </w:pPr>
            <w:r>
              <w:rPr>
                <w:rFonts w:eastAsia="仿宋_GB2312"/>
                <w:b/>
                <w:color w:val="auto"/>
                <w:highlight w:val="none"/>
              </w:rPr>
              <w:t>装修档次</w:t>
            </w:r>
          </w:p>
        </w:tc>
        <w:tc>
          <w:tcPr>
            <w:tcW w:w="1088" w:type="dxa"/>
            <w:vAlign w:val="center"/>
          </w:tcPr>
          <w:p>
            <w:pPr>
              <w:widowControl/>
              <w:spacing w:line="240" w:lineRule="exact"/>
              <w:jc w:val="center"/>
              <w:rPr>
                <w:rFonts w:eastAsia="仿宋_GB2312"/>
                <w:color w:val="auto"/>
                <w:kern w:val="0"/>
                <w:highlight w:val="none"/>
              </w:rPr>
            </w:pPr>
            <w:r>
              <w:rPr>
                <w:rFonts w:eastAsia="仿宋_GB2312"/>
                <w:color w:val="auto"/>
                <w:kern w:val="0"/>
                <w:highlight w:val="none"/>
              </w:rPr>
              <w:t>毛坯房</w:t>
            </w:r>
          </w:p>
        </w:tc>
        <w:tc>
          <w:tcPr>
            <w:tcW w:w="1190" w:type="dxa"/>
            <w:vAlign w:val="center"/>
          </w:tcPr>
          <w:p>
            <w:pPr>
              <w:widowControl/>
              <w:spacing w:line="240" w:lineRule="exact"/>
              <w:jc w:val="center"/>
              <w:rPr>
                <w:rFonts w:eastAsia="仿宋_GB2312"/>
                <w:b/>
                <w:color w:val="auto"/>
                <w:highlight w:val="none"/>
              </w:rPr>
            </w:pPr>
            <w:r>
              <w:rPr>
                <w:rFonts w:eastAsia="仿宋_GB2312"/>
                <w:b/>
                <w:color w:val="auto"/>
                <w:highlight w:val="none"/>
              </w:rPr>
              <w:t>朝向</w:t>
            </w:r>
          </w:p>
        </w:tc>
        <w:tc>
          <w:tcPr>
            <w:tcW w:w="2573" w:type="dxa"/>
            <w:gridSpan w:val="2"/>
            <w:vAlign w:val="center"/>
          </w:tcPr>
          <w:p>
            <w:pPr>
              <w:widowControl/>
              <w:spacing w:line="240" w:lineRule="exact"/>
              <w:jc w:val="center"/>
              <w:rPr>
                <w:rFonts w:eastAsia="仿宋_GB2312"/>
                <w:color w:val="auto"/>
                <w:highlight w:val="none"/>
              </w:rPr>
            </w:pPr>
            <w:r>
              <w:rPr>
                <w:rFonts w:eastAsia="仿宋_GB2312"/>
                <w:color w:val="auto"/>
                <w:highlight w:val="none"/>
              </w:rPr>
              <w:t>南</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80" w:type="dxa"/>
            <w:vAlign w:val="center"/>
          </w:tcPr>
          <w:p>
            <w:pPr>
              <w:widowControl/>
              <w:spacing w:line="240" w:lineRule="exact"/>
              <w:jc w:val="center"/>
              <w:rPr>
                <w:rFonts w:eastAsia="仿宋_GB2312"/>
                <w:b/>
                <w:color w:val="auto"/>
                <w:highlight w:val="none"/>
              </w:rPr>
            </w:pPr>
            <w:r>
              <w:rPr>
                <w:rFonts w:eastAsia="仿宋_GB2312"/>
                <w:b/>
                <w:color w:val="auto"/>
                <w:highlight w:val="none"/>
              </w:rPr>
              <w:t>实际用途</w:t>
            </w:r>
          </w:p>
        </w:tc>
        <w:tc>
          <w:tcPr>
            <w:tcW w:w="1254" w:type="dxa"/>
            <w:vAlign w:val="center"/>
          </w:tcPr>
          <w:p>
            <w:pPr>
              <w:widowControl/>
              <w:spacing w:line="240" w:lineRule="exact"/>
              <w:jc w:val="center"/>
              <w:rPr>
                <w:rFonts w:eastAsia="仿宋_GB2312"/>
                <w:color w:val="auto"/>
                <w:highlight w:val="none"/>
              </w:rPr>
            </w:pPr>
            <w:r>
              <w:rPr>
                <w:rFonts w:eastAsia="仿宋_GB2312"/>
                <w:color w:val="auto"/>
                <w:highlight w:val="none"/>
              </w:rPr>
              <w:t>住宅</w:t>
            </w:r>
          </w:p>
        </w:tc>
        <w:tc>
          <w:tcPr>
            <w:tcW w:w="1553" w:type="dxa"/>
            <w:vAlign w:val="center"/>
          </w:tcPr>
          <w:p>
            <w:pPr>
              <w:widowControl/>
              <w:spacing w:line="240" w:lineRule="exact"/>
              <w:jc w:val="center"/>
              <w:rPr>
                <w:rFonts w:eastAsia="仿宋_GB2312"/>
                <w:b/>
                <w:color w:val="auto"/>
                <w:highlight w:val="none"/>
              </w:rPr>
            </w:pPr>
            <w:r>
              <w:rPr>
                <w:rFonts w:eastAsia="仿宋_GB2312"/>
                <w:b/>
                <w:color w:val="auto"/>
                <w:highlight w:val="none"/>
              </w:rPr>
              <w:t>使用现状</w:t>
            </w:r>
          </w:p>
        </w:tc>
        <w:tc>
          <w:tcPr>
            <w:tcW w:w="1088" w:type="dxa"/>
            <w:vAlign w:val="center"/>
          </w:tcPr>
          <w:p>
            <w:pPr>
              <w:widowControl/>
              <w:spacing w:line="240" w:lineRule="exact"/>
              <w:jc w:val="center"/>
              <w:rPr>
                <w:rFonts w:eastAsia="仿宋_GB2312"/>
                <w:color w:val="auto"/>
                <w:highlight w:val="none"/>
              </w:rPr>
            </w:pPr>
            <w:r>
              <w:rPr>
                <w:rFonts w:eastAsia="仿宋_GB2312"/>
                <w:color w:val="auto"/>
                <w:highlight w:val="none"/>
              </w:rPr>
              <w:t>空置</w:t>
            </w:r>
          </w:p>
        </w:tc>
        <w:tc>
          <w:tcPr>
            <w:tcW w:w="1190" w:type="dxa"/>
            <w:vAlign w:val="center"/>
          </w:tcPr>
          <w:p>
            <w:pPr>
              <w:widowControl/>
              <w:spacing w:line="240" w:lineRule="exact"/>
              <w:jc w:val="center"/>
              <w:rPr>
                <w:rFonts w:eastAsia="仿宋_GB2312"/>
                <w:b/>
                <w:color w:val="auto"/>
                <w:highlight w:val="none"/>
              </w:rPr>
            </w:pPr>
            <w:r>
              <w:rPr>
                <w:rFonts w:eastAsia="仿宋_GB2312"/>
                <w:b/>
                <w:color w:val="auto"/>
                <w:highlight w:val="none"/>
              </w:rPr>
              <w:t>单元户数</w:t>
            </w:r>
          </w:p>
        </w:tc>
        <w:tc>
          <w:tcPr>
            <w:tcW w:w="2573" w:type="dxa"/>
            <w:gridSpan w:val="2"/>
            <w:vAlign w:val="center"/>
          </w:tcPr>
          <w:p>
            <w:pPr>
              <w:widowControl/>
              <w:spacing w:line="240" w:lineRule="exact"/>
              <w:jc w:val="center"/>
              <w:rPr>
                <w:rFonts w:eastAsia="仿宋_GB2312"/>
                <w:color w:val="auto"/>
                <w:highlight w:val="none"/>
              </w:rPr>
            </w:pPr>
            <w:r>
              <w:rPr>
                <w:rFonts w:eastAsia="仿宋_GB2312"/>
                <w:color w:val="auto"/>
                <w:highlight w:val="none"/>
              </w:rPr>
              <w:t>/</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80" w:type="dxa"/>
            <w:vAlign w:val="center"/>
          </w:tcPr>
          <w:p>
            <w:pPr>
              <w:widowControl/>
              <w:spacing w:line="240" w:lineRule="exact"/>
              <w:jc w:val="center"/>
              <w:rPr>
                <w:rFonts w:eastAsia="仿宋_GB2312"/>
                <w:b/>
                <w:color w:val="auto"/>
                <w:highlight w:val="none"/>
              </w:rPr>
            </w:pPr>
            <w:r>
              <w:rPr>
                <w:rFonts w:eastAsia="仿宋_GB2312"/>
                <w:b/>
                <w:color w:val="auto"/>
                <w:highlight w:val="none"/>
              </w:rPr>
              <w:t>客厅</w:t>
            </w:r>
          </w:p>
        </w:tc>
        <w:tc>
          <w:tcPr>
            <w:tcW w:w="1254" w:type="dxa"/>
            <w:vAlign w:val="center"/>
          </w:tcPr>
          <w:p>
            <w:pPr>
              <w:widowControl/>
              <w:spacing w:line="240" w:lineRule="exact"/>
              <w:jc w:val="center"/>
              <w:rPr>
                <w:rFonts w:eastAsia="仿宋_GB2312"/>
                <w:b/>
                <w:color w:val="auto"/>
                <w:highlight w:val="none"/>
              </w:rPr>
            </w:pPr>
            <w:r>
              <w:rPr>
                <w:rFonts w:eastAsia="仿宋_GB2312"/>
                <w:b/>
                <w:color w:val="auto"/>
                <w:highlight w:val="none"/>
              </w:rPr>
              <w:t>地面</w:t>
            </w:r>
          </w:p>
        </w:tc>
        <w:tc>
          <w:tcPr>
            <w:tcW w:w="1553" w:type="dxa"/>
            <w:vAlign w:val="center"/>
          </w:tcPr>
          <w:p>
            <w:pPr>
              <w:widowControl/>
              <w:spacing w:line="240" w:lineRule="exact"/>
              <w:jc w:val="center"/>
              <w:rPr>
                <w:rFonts w:eastAsia="仿宋_GB2312"/>
                <w:color w:val="auto"/>
                <w:highlight w:val="none"/>
              </w:rPr>
            </w:pPr>
            <w:r>
              <w:rPr>
                <w:rFonts w:eastAsia="仿宋_GB2312"/>
                <w:color w:val="auto"/>
                <w:highlight w:val="none"/>
              </w:rPr>
              <w:t>水泥</w:t>
            </w:r>
          </w:p>
        </w:tc>
        <w:tc>
          <w:tcPr>
            <w:tcW w:w="1088" w:type="dxa"/>
            <w:vAlign w:val="center"/>
          </w:tcPr>
          <w:p>
            <w:pPr>
              <w:widowControl/>
              <w:spacing w:line="240" w:lineRule="exact"/>
              <w:jc w:val="center"/>
              <w:rPr>
                <w:rFonts w:eastAsia="仿宋_GB2312"/>
                <w:b/>
                <w:color w:val="auto"/>
                <w:highlight w:val="none"/>
              </w:rPr>
            </w:pPr>
            <w:r>
              <w:rPr>
                <w:rFonts w:eastAsia="仿宋_GB2312"/>
                <w:b/>
                <w:color w:val="auto"/>
                <w:highlight w:val="none"/>
              </w:rPr>
              <w:t>墙面</w:t>
            </w:r>
          </w:p>
        </w:tc>
        <w:tc>
          <w:tcPr>
            <w:tcW w:w="1190" w:type="dxa"/>
            <w:vAlign w:val="center"/>
          </w:tcPr>
          <w:p>
            <w:pPr>
              <w:widowControl/>
              <w:spacing w:line="240" w:lineRule="exact"/>
              <w:jc w:val="center"/>
              <w:rPr>
                <w:rFonts w:eastAsia="仿宋_GB2312"/>
                <w:color w:val="auto"/>
                <w:highlight w:val="none"/>
              </w:rPr>
            </w:pPr>
            <w:r>
              <w:rPr>
                <w:rFonts w:eastAsia="仿宋_GB2312"/>
                <w:color w:val="auto"/>
                <w:highlight w:val="none"/>
              </w:rPr>
              <w:t>水泥抹面</w:t>
            </w:r>
          </w:p>
        </w:tc>
        <w:tc>
          <w:tcPr>
            <w:tcW w:w="1195" w:type="dxa"/>
            <w:vAlign w:val="center"/>
          </w:tcPr>
          <w:p>
            <w:pPr>
              <w:widowControl/>
              <w:spacing w:line="240" w:lineRule="exact"/>
              <w:jc w:val="center"/>
              <w:rPr>
                <w:rFonts w:eastAsia="仿宋_GB2312"/>
                <w:b/>
                <w:color w:val="auto"/>
                <w:highlight w:val="none"/>
              </w:rPr>
            </w:pPr>
            <w:r>
              <w:rPr>
                <w:rFonts w:eastAsia="仿宋_GB2312"/>
                <w:b/>
                <w:color w:val="auto"/>
                <w:highlight w:val="none"/>
              </w:rPr>
              <w:t>顶棚</w:t>
            </w:r>
          </w:p>
        </w:tc>
        <w:tc>
          <w:tcPr>
            <w:tcW w:w="1378" w:type="dxa"/>
            <w:vAlign w:val="center"/>
          </w:tcPr>
          <w:p>
            <w:pPr>
              <w:widowControl/>
              <w:spacing w:line="240" w:lineRule="exact"/>
              <w:jc w:val="center"/>
              <w:rPr>
                <w:rFonts w:eastAsia="仿宋_GB2312"/>
                <w:color w:val="auto"/>
                <w:highlight w:val="none"/>
              </w:rPr>
            </w:pPr>
            <w:r>
              <w:rPr>
                <w:rFonts w:eastAsia="仿宋_GB2312"/>
                <w:color w:val="auto"/>
                <w:highlight w:val="none"/>
              </w:rPr>
              <w:t>水泥抹面</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80" w:type="dxa"/>
            <w:vAlign w:val="center"/>
          </w:tcPr>
          <w:p>
            <w:pPr>
              <w:widowControl/>
              <w:spacing w:line="240" w:lineRule="exact"/>
              <w:jc w:val="center"/>
              <w:rPr>
                <w:rFonts w:eastAsia="仿宋_GB2312"/>
                <w:b/>
                <w:color w:val="auto"/>
                <w:highlight w:val="none"/>
              </w:rPr>
            </w:pPr>
            <w:r>
              <w:rPr>
                <w:rFonts w:eastAsia="仿宋_GB2312"/>
                <w:b/>
                <w:color w:val="auto"/>
                <w:highlight w:val="none"/>
              </w:rPr>
              <w:t>卧室</w:t>
            </w:r>
          </w:p>
        </w:tc>
        <w:tc>
          <w:tcPr>
            <w:tcW w:w="1254" w:type="dxa"/>
            <w:vAlign w:val="center"/>
          </w:tcPr>
          <w:p>
            <w:pPr>
              <w:widowControl/>
              <w:spacing w:line="240" w:lineRule="exact"/>
              <w:jc w:val="center"/>
              <w:rPr>
                <w:rFonts w:eastAsia="仿宋_GB2312"/>
                <w:b/>
                <w:color w:val="auto"/>
                <w:highlight w:val="none"/>
              </w:rPr>
            </w:pPr>
            <w:r>
              <w:rPr>
                <w:rFonts w:eastAsia="仿宋_GB2312"/>
                <w:b/>
                <w:color w:val="auto"/>
                <w:highlight w:val="none"/>
              </w:rPr>
              <w:t>地面</w:t>
            </w:r>
          </w:p>
        </w:tc>
        <w:tc>
          <w:tcPr>
            <w:tcW w:w="1553" w:type="dxa"/>
            <w:vAlign w:val="center"/>
          </w:tcPr>
          <w:p>
            <w:pPr>
              <w:widowControl/>
              <w:spacing w:line="240" w:lineRule="exact"/>
              <w:jc w:val="center"/>
              <w:rPr>
                <w:rFonts w:eastAsia="仿宋_GB2312"/>
                <w:color w:val="auto"/>
                <w:highlight w:val="none"/>
              </w:rPr>
            </w:pPr>
            <w:r>
              <w:rPr>
                <w:rFonts w:eastAsia="仿宋_GB2312"/>
                <w:color w:val="auto"/>
                <w:highlight w:val="none"/>
              </w:rPr>
              <w:t>水泥</w:t>
            </w:r>
          </w:p>
        </w:tc>
        <w:tc>
          <w:tcPr>
            <w:tcW w:w="1088" w:type="dxa"/>
            <w:vAlign w:val="center"/>
          </w:tcPr>
          <w:p>
            <w:pPr>
              <w:widowControl/>
              <w:spacing w:line="240" w:lineRule="exact"/>
              <w:jc w:val="center"/>
              <w:rPr>
                <w:rFonts w:eastAsia="仿宋_GB2312"/>
                <w:b/>
                <w:color w:val="auto"/>
                <w:highlight w:val="none"/>
              </w:rPr>
            </w:pPr>
            <w:r>
              <w:rPr>
                <w:rFonts w:eastAsia="仿宋_GB2312"/>
                <w:b/>
                <w:color w:val="auto"/>
                <w:highlight w:val="none"/>
              </w:rPr>
              <w:t>墙面</w:t>
            </w:r>
          </w:p>
        </w:tc>
        <w:tc>
          <w:tcPr>
            <w:tcW w:w="1190" w:type="dxa"/>
            <w:vAlign w:val="center"/>
          </w:tcPr>
          <w:p>
            <w:pPr>
              <w:widowControl/>
              <w:spacing w:line="240" w:lineRule="exact"/>
              <w:jc w:val="center"/>
              <w:rPr>
                <w:rFonts w:eastAsia="仿宋_GB2312"/>
                <w:color w:val="auto"/>
                <w:highlight w:val="none"/>
              </w:rPr>
            </w:pPr>
            <w:r>
              <w:rPr>
                <w:rFonts w:eastAsia="仿宋_GB2312"/>
                <w:color w:val="auto"/>
                <w:highlight w:val="none"/>
              </w:rPr>
              <w:t>水泥抹面</w:t>
            </w:r>
          </w:p>
        </w:tc>
        <w:tc>
          <w:tcPr>
            <w:tcW w:w="1195" w:type="dxa"/>
            <w:vAlign w:val="center"/>
          </w:tcPr>
          <w:p>
            <w:pPr>
              <w:widowControl/>
              <w:spacing w:line="240" w:lineRule="exact"/>
              <w:jc w:val="center"/>
              <w:rPr>
                <w:rFonts w:eastAsia="仿宋_GB2312"/>
                <w:b/>
                <w:color w:val="auto"/>
                <w:highlight w:val="none"/>
              </w:rPr>
            </w:pPr>
            <w:r>
              <w:rPr>
                <w:rFonts w:eastAsia="仿宋_GB2312"/>
                <w:b/>
                <w:color w:val="auto"/>
                <w:highlight w:val="none"/>
              </w:rPr>
              <w:t>顶棚</w:t>
            </w:r>
          </w:p>
        </w:tc>
        <w:tc>
          <w:tcPr>
            <w:tcW w:w="1378" w:type="dxa"/>
            <w:vAlign w:val="center"/>
          </w:tcPr>
          <w:p>
            <w:pPr>
              <w:widowControl/>
              <w:spacing w:line="240" w:lineRule="exact"/>
              <w:jc w:val="center"/>
              <w:rPr>
                <w:rFonts w:eastAsia="仿宋_GB2312"/>
                <w:color w:val="auto"/>
                <w:highlight w:val="none"/>
              </w:rPr>
            </w:pPr>
            <w:r>
              <w:rPr>
                <w:rFonts w:eastAsia="仿宋_GB2312"/>
                <w:color w:val="auto"/>
                <w:highlight w:val="none"/>
              </w:rPr>
              <w:t>水泥抹面</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80" w:type="dxa"/>
            <w:vAlign w:val="center"/>
          </w:tcPr>
          <w:p>
            <w:pPr>
              <w:widowControl/>
              <w:spacing w:line="240" w:lineRule="exact"/>
              <w:jc w:val="center"/>
              <w:rPr>
                <w:rFonts w:eastAsia="仿宋_GB2312"/>
                <w:b/>
                <w:color w:val="auto"/>
                <w:highlight w:val="none"/>
              </w:rPr>
            </w:pPr>
            <w:r>
              <w:rPr>
                <w:rFonts w:eastAsia="仿宋_GB2312"/>
                <w:b/>
                <w:color w:val="auto"/>
                <w:highlight w:val="none"/>
              </w:rPr>
              <w:t>厨房</w:t>
            </w:r>
          </w:p>
        </w:tc>
        <w:tc>
          <w:tcPr>
            <w:tcW w:w="1254" w:type="dxa"/>
            <w:vAlign w:val="center"/>
          </w:tcPr>
          <w:p>
            <w:pPr>
              <w:widowControl/>
              <w:spacing w:line="240" w:lineRule="exact"/>
              <w:jc w:val="center"/>
              <w:rPr>
                <w:rFonts w:eastAsia="仿宋_GB2312"/>
                <w:b/>
                <w:color w:val="auto"/>
                <w:highlight w:val="none"/>
              </w:rPr>
            </w:pPr>
            <w:r>
              <w:rPr>
                <w:rFonts w:eastAsia="仿宋_GB2312"/>
                <w:b/>
                <w:color w:val="auto"/>
                <w:highlight w:val="none"/>
              </w:rPr>
              <w:t>地面</w:t>
            </w:r>
          </w:p>
        </w:tc>
        <w:tc>
          <w:tcPr>
            <w:tcW w:w="1553" w:type="dxa"/>
            <w:vAlign w:val="center"/>
          </w:tcPr>
          <w:p>
            <w:pPr>
              <w:widowControl/>
              <w:spacing w:line="240" w:lineRule="exact"/>
              <w:jc w:val="center"/>
              <w:rPr>
                <w:rFonts w:eastAsia="仿宋_GB2312"/>
                <w:color w:val="auto"/>
                <w:highlight w:val="none"/>
              </w:rPr>
            </w:pPr>
            <w:r>
              <w:rPr>
                <w:rFonts w:eastAsia="仿宋_GB2312"/>
                <w:color w:val="auto"/>
                <w:highlight w:val="none"/>
              </w:rPr>
              <w:t>水泥</w:t>
            </w:r>
          </w:p>
        </w:tc>
        <w:tc>
          <w:tcPr>
            <w:tcW w:w="1088" w:type="dxa"/>
            <w:vAlign w:val="center"/>
          </w:tcPr>
          <w:p>
            <w:pPr>
              <w:widowControl/>
              <w:spacing w:line="240" w:lineRule="exact"/>
              <w:jc w:val="center"/>
              <w:rPr>
                <w:rFonts w:eastAsia="仿宋_GB2312"/>
                <w:b/>
                <w:color w:val="auto"/>
                <w:highlight w:val="none"/>
              </w:rPr>
            </w:pPr>
            <w:r>
              <w:rPr>
                <w:rFonts w:eastAsia="仿宋_GB2312"/>
                <w:b/>
                <w:color w:val="auto"/>
                <w:highlight w:val="none"/>
              </w:rPr>
              <w:t>墙面</w:t>
            </w:r>
          </w:p>
        </w:tc>
        <w:tc>
          <w:tcPr>
            <w:tcW w:w="1190" w:type="dxa"/>
            <w:vAlign w:val="center"/>
          </w:tcPr>
          <w:p>
            <w:pPr>
              <w:widowControl/>
              <w:spacing w:line="240" w:lineRule="exact"/>
              <w:jc w:val="center"/>
              <w:rPr>
                <w:rFonts w:eastAsia="仿宋_GB2312"/>
                <w:color w:val="auto"/>
                <w:highlight w:val="none"/>
              </w:rPr>
            </w:pPr>
            <w:r>
              <w:rPr>
                <w:rFonts w:eastAsia="仿宋_GB2312"/>
                <w:color w:val="auto"/>
                <w:highlight w:val="none"/>
              </w:rPr>
              <w:t>水泥抹面</w:t>
            </w:r>
          </w:p>
        </w:tc>
        <w:tc>
          <w:tcPr>
            <w:tcW w:w="1195" w:type="dxa"/>
            <w:vAlign w:val="center"/>
          </w:tcPr>
          <w:p>
            <w:pPr>
              <w:widowControl/>
              <w:spacing w:line="240" w:lineRule="exact"/>
              <w:jc w:val="center"/>
              <w:rPr>
                <w:rFonts w:eastAsia="仿宋_GB2312"/>
                <w:b/>
                <w:color w:val="auto"/>
                <w:highlight w:val="none"/>
              </w:rPr>
            </w:pPr>
            <w:r>
              <w:rPr>
                <w:rFonts w:eastAsia="仿宋_GB2312"/>
                <w:b/>
                <w:color w:val="auto"/>
                <w:highlight w:val="none"/>
              </w:rPr>
              <w:t>顶棚</w:t>
            </w:r>
          </w:p>
        </w:tc>
        <w:tc>
          <w:tcPr>
            <w:tcW w:w="1378" w:type="dxa"/>
            <w:vAlign w:val="center"/>
          </w:tcPr>
          <w:p>
            <w:pPr>
              <w:widowControl/>
              <w:spacing w:line="240" w:lineRule="exact"/>
              <w:jc w:val="center"/>
              <w:rPr>
                <w:rFonts w:eastAsia="仿宋_GB2312"/>
                <w:color w:val="auto"/>
                <w:highlight w:val="none"/>
              </w:rPr>
            </w:pPr>
            <w:r>
              <w:rPr>
                <w:rFonts w:eastAsia="仿宋_GB2312"/>
                <w:color w:val="auto"/>
                <w:highlight w:val="none"/>
              </w:rPr>
              <w:t>水泥抹面</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80" w:type="dxa"/>
            <w:vMerge w:val="restart"/>
            <w:vAlign w:val="center"/>
          </w:tcPr>
          <w:p>
            <w:pPr>
              <w:widowControl/>
              <w:spacing w:line="240" w:lineRule="exact"/>
              <w:jc w:val="center"/>
              <w:rPr>
                <w:rFonts w:eastAsia="仿宋_GB2312"/>
                <w:b/>
                <w:color w:val="auto"/>
                <w:highlight w:val="none"/>
              </w:rPr>
            </w:pPr>
            <w:r>
              <w:rPr>
                <w:rFonts w:eastAsia="仿宋_GB2312"/>
                <w:b/>
                <w:color w:val="auto"/>
                <w:highlight w:val="none"/>
              </w:rPr>
              <w:t>卫生间</w:t>
            </w:r>
          </w:p>
        </w:tc>
        <w:tc>
          <w:tcPr>
            <w:tcW w:w="1254" w:type="dxa"/>
            <w:vAlign w:val="center"/>
          </w:tcPr>
          <w:p>
            <w:pPr>
              <w:widowControl/>
              <w:spacing w:line="240" w:lineRule="exact"/>
              <w:jc w:val="center"/>
              <w:rPr>
                <w:rFonts w:eastAsia="仿宋_GB2312"/>
                <w:b/>
                <w:color w:val="auto"/>
                <w:highlight w:val="none"/>
              </w:rPr>
            </w:pPr>
            <w:r>
              <w:rPr>
                <w:rFonts w:eastAsia="仿宋_GB2312"/>
                <w:b/>
                <w:color w:val="auto"/>
                <w:highlight w:val="none"/>
              </w:rPr>
              <w:t>地面</w:t>
            </w:r>
          </w:p>
        </w:tc>
        <w:tc>
          <w:tcPr>
            <w:tcW w:w="1553" w:type="dxa"/>
            <w:vAlign w:val="center"/>
          </w:tcPr>
          <w:p>
            <w:pPr>
              <w:widowControl/>
              <w:spacing w:line="240" w:lineRule="exact"/>
              <w:jc w:val="center"/>
              <w:rPr>
                <w:rFonts w:eastAsia="仿宋_GB2312"/>
                <w:color w:val="auto"/>
                <w:highlight w:val="none"/>
              </w:rPr>
            </w:pPr>
            <w:r>
              <w:rPr>
                <w:rFonts w:eastAsia="仿宋_GB2312"/>
                <w:color w:val="auto"/>
                <w:highlight w:val="none"/>
              </w:rPr>
              <w:t>水泥</w:t>
            </w:r>
          </w:p>
        </w:tc>
        <w:tc>
          <w:tcPr>
            <w:tcW w:w="1088" w:type="dxa"/>
            <w:vAlign w:val="center"/>
          </w:tcPr>
          <w:p>
            <w:pPr>
              <w:widowControl/>
              <w:spacing w:line="240" w:lineRule="exact"/>
              <w:jc w:val="center"/>
              <w:rPr>
                <w:rFonts w:eastAsia="仿宋_GB2312"/>
                <w:b/>
                <w:color w:val="auto"/>
                <w:highlight w:val="none"/>
              </w:rPr>
            </w:pPr>
            <w:r>
              <w:rPr>
                <w:rFonts w:eastAsia="仿宋_GB2312"/>
                <w:b/>
                <w:color w:val="auto"/>
                <w:highlight w:val="none"/>
              </w:rPr>
              <w:t>墙面</w:t>
            </w:r>
          </w:p>
        </w:tc>
        <w:tc>
          <w:tcPr>
            <w:tcW w:w="1190" w:type="dxa"/>
            <w:vAlign w:val="center"/>
          </w:tcPr>
          <w:p>
            <w:pPr>
              <w:widowControl/>
              <w:spacing w:line="240" w:lineRule="exact"/>
              <w:jc w:val="center"/>
              <w:rPr>
                <w:rFonts w:eastAsia="仿宋_GB2312"/>
                <w:color w:val="auto"/>
                <w:highlight w:val="none"/>
              </w:rPr>
            </w:pPr>
            <w:r>
              <w:rPr>
                <w:rFonts w:eastAsia="仿宋_GB2312"/>
                <w:color w:val="auto"/>
                <w:highlight w:val="none"/>
              </w:rPr>
              <w:t>水泥抹面</w:t>
            </w:r>
          </w:p>
        </w:tc>
        <w:tc>
          <w:tcPr>
            <w:tcW w:w="1195" w:type="dxa"/>
            <w:vAlign w:val="center"/>
          </w:tcPr>
          <w:p>
            <w:pPr>
              <w:widowControl/>
              <w:spacing w:line="240" w:lineRule="exact"/>
              <w:jc w:val="center"/>
              <w:rPr>
                <w:rFonts w:eastAsia="仿宋_GB2312"/>
                <w:b/>
                <w:color w:val="auto"/>
                <w:highlight w:val="none"/>
              </w:rPr>
            </w:pPr>
            <w:r>
              <w:rPr>
                <w:rFonts w:eastAsia="仿宋_GB2312"/>
                <w:b/>
                <w:color w:val="auto"/>
                <w:highlight w:val="none"/>
              </w:rPr>
              <w:t>顶棚</w:t>
            </w:r>
          </w:p>
        </w:tc>
        <w:tc>
          <w:tcPr>
            <w:tcW w:w="1378" w:type="dxa"/>
            <w:vAlign w:val="center"/>
          </w:tcPr>
          <w:p>
            <w:pPr>
              <w:widowControl/>
              <w:spacing w:line="240" w:lineRule="exact"/>
              <w:jc w:val="center"/>
              <w:rPr>
                <w:rFonts w:eastAsia="仿宋_GB2312"/>
                <w:color w:val="auto"/>
                <w:highlight w:val="none"/>
              </w:rPr>
            </w:pPr>
            <w:r>
              <w:rPr>
                <w:rFonts w:eastAsia="仿宋_GB2312"/>
                <w:color w:val="auto"/>
                <w:highlight w:val="none"/>
              </w:rPr>
              <w:t>水泥抹面</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80" w:type="dxa"/>
            <w:vMerge w:val="continue"/>
            <w:vAlign w:val="center"/>
          </w:tcPr>
          <w:p>
            <w:pPr>
              <w:widowControl/>
              <w:spacing w:line="240" w:lineRule="exact"/>
              <w:jc w:val="left"/>
              <w:rPr>
                <w:rFonts w:eastAsia="仿宋_GB2312"/>
                <w:b/>
                <w:color w:val="auto"/>
                <w:highlight w:val="none"/>
              </w:rPr>
            </w:pPr>
          </w:p>
        </w:tc>
        <w:tc>
          <w:tcPr>
            <w:tcW w:w="1254" w:type="dxa"/>
            <w:vAlign w:val="center"/>
          </w:tcPr>
          <w:p>
            <w:pPr>
              <w:widowControl/>
              <w:spacing w:line="240" w:lineRule="exact"/>
              <w:jc w:val="center"/>
              <w:rPr>
                <w:rFonts w:eastAsia="仿宋_GB2312"/>
                <w:b/>
                <w:color w:val="auto"/>
                <w:highlight w:val="none"/>
              </w:rPr>
            </w:pPr>
            <w:r>
              <w:rPr>
                <w:rFonts w:eastAsia="仿宋_GB2312"/>
                <w:b/>
                <w:color w:val="auto"/>
                <w:highlight w:val="none"/>
              </w:rPr>
              <w:t>其它</w:t>
            </w:r>
          </w:p>
        </w:tc>
        <w:tc>
          <w:tcPr>
            <w:tcW w:w="6404" w:type="dxa"/>
            <w:gridSpan w:val="5"/>
            <w:vAlign w:val="center"/>
          </w:tcPr>
          <w:p>
            <w:pPr>
              <w:widowControl/>
              <w:spacing w:line="240" w:lineRule="exact"/>
              <w:jc w:val="center"/>
              <w:rPr>
                <w:rFonts w:eastAsia="仿宋_GB2312"/>
                <w:color w:val="auto"/>
                <w:highlight w:val="none"/>
              </w:rPr>
            </w:pPr>
            <w:r>
              <w:rPr>
                <w:rFonts w:eastAsia="仿宋_GB2312"/>
                <w:color w:val="auto"/>
                <w:highlight w:val="none"/>
              </w:rPr>
              <w:t>/</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80" w:type="dxa"/>
            <w:vAlign w:val="center"/>
          </w:tcPr>
          <w:p>
            <w:pPr>
              <w:widowControl/>
              <w:spacing w:line="240" w:lineRule="exact"/>
              <w:jc w:val="center"/>
              <w:rPr>
                <w:rFonts w:eastAsia="仿宋_GB2312"/>
                <w:b/>
                <w:color w:val="auto"/>
                <w:highlight w:val="none"/>
              </w:rPr>
            </w:pPr>
            <w:r>
              <w:rPr>
                <w:rFonts w:eastAsia="仿宋_GB2312"/>
                <w:b/>
                <w:color w:val="auto"/>
                <w:highlight w:val="none"/>
              </w:rPr>
              <w:t>特殊情况说明</w:t>
            </w:r>
          </w:p>
        </w:tc>
        <w:tc>
          <w:tcPr>
            <w:tcW w:w="7658" w:type="dxa"/>
            <w:gridSpan w:val="6"/>
            <w:vAlign w:val="center"/>
          </w:tcPr>
          <w:p>
            <w:pPr>
              <w:widowControl/>
              <w:spacing w:line="240" w:lineRule="exact"/>
              <w:jc w:val="center"/>
              <w:rPr>
                <w:rFonts w:eastAsia="仿宋_GB2312"/>
                <w:color w:val="auto"/>
                <w:highlight w:val="none"/>
              </w:rPr>
            </w:pPr>
            <w:r>
              <w:rPr>
                <w:rFonts w:eastAsia="仿宋_GB2312"/>
                <w:color w:val="auto"/>
                <w:highlight w:val="none"/>
              </w:rPr>
              <w:t>/</w:t>
            </w:r>
          </w:p>
        </w:tc>
      </w:tr>
    </w:tbl>
    <w:p>
      <w:pPr>
        <w:rPr>
          <w:rFonts w:eastAsia="仿宋_GB2312"/>
          <w:b/>
          <w:bCs/>
          <w:color w:val="auto"/>
          <w:sz w:val="28"/>
          <w:szCs w:val="28"/>
          <w:highlight w:val="none"/>
        </w:rPr>
      </w:pPr>
      <w:r>
        <w:rPr>
          <w:rFonts w:eastAsia="仿宋_GB2312"/>
          <w:b/>
          <w:bCs/>
          <w:color w:val="auto"/>
          <w:sz w:val="28"/>
          <w:szCs w:val="28"/>
          <w:highlight w:val="none"/>
        </w:rPr>
        <w:br w:type="page"/>
      </w:r>
    </w:p>
    <w:p>
      <w:pPr>
        <w:adjustRightInd w:val="0"/>
        <w:snapToGrid w:val="0"/>
        <w:spacing w:line="500" w:lineRule="exact"/>
        <w:ind w:firstLine="562" w:firstLineChars="200"/>
        <w:rPr>
          <w:rFonts w:eastAsia="仿宋_GB2312"/>
          <w:b/>
          <w:bCs/>
          <w:color w:val="auto"/>
          <w:sz w:val="28"/>
          <w:szCs w:val="28"/>
          <w:highlight w:val="none"/>
        </w:rPr>
      </w:pPr>
      <w:r>
        <w:rPr>
          <w:rFonts w:eastAsia="仿宋_GB2312"/>
          <w:b/>
          <w:bCs/>
          <w:color w:val="auto"/>
          <w:sz w:val="28"/>
          <w:szCs w:val="28"/>
          <w:highlight w:val="none"/>
        </w:rPr>
        <w:t>4.</w:t>
      </w:r>
      <w:r>
        <w:rPr>
          <w:rFonts w:hint="eastAsia" w:eastAsia="仿宋_GB2312"/>
          <w:b/>
          <w:bCs/>
          <w:color w:val="auto"/>
          <w:sz w:val="28"/>
          <w:szCs w:val="28"/>
          <w:highlight w:val="none"/>
        </w:rPr>
        <w:t>区位状况描述与分析</w:t>
      </w:r>
    </w:p>
    <w:bookmarkEnd w:id="90"/>
    <w:tbl>
      <w:tblPr>
        <w:tblStyle w:val="43"/>
        <w:tblW w:w="9003" w:type="dxa"/>
        <w:jc w:val="center"/>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0" w:type="dxa"/>
          <w:bottom w:w="0" w:type="dxa"/>
          <w:right w:w="0" w:type="dxa"/>
        </w:tblCellMar>
      </w:tblPr>
      <w:tblGrid>
        <w:gridCol w:w="1763"/>
        <w:gridCol w:w="7240"/>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0" w:type="dxa"/>
            <w:bottom w:w="0" w:type="dxa"/>
            <w:right w:w="0" w:type="dxa"/>
          </w:tblCellMar>
        </w:tblPrEx>
        <w:trPr>
          <w:trHeight w:val="264" w:hRule="atLeast"/>
          <w:jc w:val="center"/>
        </w:trPr>
        <w:tc>
          <w:tcPr>
            <w:tcW w:w="1763" w:type="dxa"/>
            <w:shd w:val="clear" w:color="auto" w:fill="auto"/>
            <w:tcMar>
              <w:top w:w="14" w:type="dxa"/>
              <w:left w:w="14" w:type="dxa"/>
              <w:bottom w:w="0" w:type="dxa"/>
              <w:right w:w="14" w:type="dxa"/>
            </w:tcMar>
            <w:vAlign w:val="center"/>
          </w:tcPr>
          <w:p>
            <w:pPr>
              <w:spacing w:line="240" w:lineRule="exact"/>
              <w:jc w:val="center"/>
              <w:rPr>
                <w:rFonts w:eastAsia="仿宋_GB2312"/>
                <w:b/>
                <w:bCs/>
                <w:color w:val="auto"/>
                <w:highlight w:val="none"/>
              </w:rPr>
            </w:pPr>
            <w:bookmarkStart w:id="101" w:name="_Toc435110686"/>
            <w:r>
              <w:rPr>
                <w:rFonts w:eastAsia="仿宋_GB2312"/>
                <w:b/>
                <w:bCs/>
                <w:color w:val="auto"/>
                <w:highlight w:val="none"/>
              </w:rPr>
              <w:t>位置</w:t>
            </w:r>
          </w:p>
        </w:tc>
        <w:tc>
          <w:tcPr>
            <w:tcW w:w="7240" w:type="dxa"/>
            <w:shd w:val="clear" w:color="auto" w:fill="auto"/>
            <w:tcMar>
              <w:top w:w="14" w:type="dxa"/>
              <w:left w:w="14" w:type="dxa"/>
              <w:bottom w:w="0" w:type="dxa"/>
              <w:right w:w="14" w:type="dxa"/>
            </w:tcMar>
            <w:vAlign w:val="center"/>
          </w:tcPr>
          <w:p>
            <w:pPr>
              <w:spacing w:line="240" w:lineRule="exact"/>
              <w:jc w:val="center"/>
              <w:rPr>
                <w:rStyle w:val="50"/>
                <w:rFonts w:eastAsia="仿宋_GB2312"/>
                <w:caps/>
                <w:color w:val="auto"/>
                <w:highlight w:val="none"/>
              </w:rPr>
            </w:pPr>
            <w:r>
              <w:rPr>
                <w:rFonts w:hint="eastAsia" w:eastAsia="仿宋_GB2312"/>
                <w:color w:val="auto"/>
                <w:highlight w:val="none"/>
              </w:rPr>
              <w:t>估价对象位于</w:t>
            </w:r>
            <w:r>
              <w:rPr>
                <w:rFonts w:hint="eastAsia" w:eastAsia="仿宋_GB2312"/>
                <w:bCs/>
                <w:color w:val="auto"/>
                <w:highlight w:val="none"/>
              </w:rPr>
              <w:t>吉州区长塘镇1-2幢1#-405室</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0" w:type="dxa"/>
            <w:bottom w:w="0" w:type="dxa"/>
            <w:right w:w="0" w:type="dxa"/>
          </w:tblCellMar>
        </w:tblPrEx>
        <w:trPr>
          <w:trHeight w:val="264" w:hRule="atLeast"/>
          <w:jc w:val="center"/>
        </w:trPr>
        <w:tc>
          <w:tcPr>
            <w:tcW w:w="1763" w:type="dxa"/>
            <w:shd w:val="clear" w:color="auto" w:fill="auto"/>
            <w:tcMar>
              <w:top w:w="14" w:type="dxa"/>
              <w:left w:w="14" w:type="dxa"/>
              <w:bottom w:w="0" w:type="dxa"/>
              <w:right w:w="14" w:type="dxa"/>
            </w:tcMar>
            <w:vAlign w:val="center"/>
          </w:tcPr>
          <w:p>
            <w:pPr>
              <w:spacing w:line="240" w:lineRule="exact"/>
              <w:jc w:val="center"/>
              <w:rPr>
                <w:rFonts w:eastAsia="仿宋_GB2312"/>
                <w:b/>
                <w:bCs/>
                <w:color w:val="auto"/>
                <w:highlight w:val="none"/>
              </w:rPr>
            </w:pPr>
            <w:r>
              <w:rPr>
                <w:rFonts w:eastAsia="仿宋_GB2312"/>
                <w:b/>
                <w:bCs/>
                <w:color w:val="auto"/>
                <w:highlight w:val="none"/>
              </w:rPr>
              <w:t>交通便捷度</w:t>
            </w:r>
          </w:p>
        </w:tc>
        <w:tc>
          <w:tcPr>
            <w:tcW w:w="7240" w:type="dxa"/>
            <w:shd w:val="clear" w:color="auto" w:fill="auto"/>
            <w:tcMar>
              <w:top w:w="14" w:type="dxa"/>
              <w:left w:w="14" w:type="dxa"/>
              <w:bottom w:w="0" w:type="dxa"/>
              <w:right w:w="14" w:type="dxa"/>
            </w:tcMar>
            <w:vAlign w:val="center"/>
          </w:tcPr>
          <w:p>
            <w:pPr>
              <w:spacing w:line="240" w:lineRule="exact"/>
              <w:jc w:val="center"/>
              <w:rPr>
                <w:rFonts w:eastAsia="仿宋_GB2312"/>
                <w:color w:val="auto"/>
                <w:highlight w:val="none"/>
              </w:rPr>
            </w:pPr>
            <w:r>
              <w:rPr>
                <w:rFonts w:hint="eastAsia" w:eastAsia="仿宋_GB2312"/>
                <w:color w:val="auto"/>
                <w:highlight w:val="none"/>
              </w:rPr>
              <w:t>临长兴路</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0" w:type="dxa"/>
            <w:bottom w:w="0" w:type="dxa"/>
            <w:right w:w="0" w:type="dxa"/>
          </w:tblCellMar>
        </w:tblPrEx>
        <w:trPr>
          <w:trHeight w:val="216" w:hRule="atLeast"/>
          <w:jc w:val="center"/>
        </w:trPr>
        <w:tc>
          <w:tcPr>
            <w:tcW w:w="1763" w:type="dxa"/>
            <w:shd w:val="clear" w:color="auto" w:fill="auto"/>
            <w:tcMar>
              <w:top w:w="14" w:type="dxa"/>
              <w:left w:w="14" w:type="dxa"/>
              <w:bottom w:w="0" w:type="dxa"/>
              <w:right w:w="14" w:type="dxa"/>
            </w:tcMar>
            <w:vAlign w:val="center"/>
          </w:tcPr>
          <w:p>
            <w:pPr>
              <w:spacing w:line="240" w:lineRule="exact"/>
              <w:jc w:val="center"/>
              <w:rPr>
                <w:rFonts w:eastAsia="仿宋_GB2312"/>
                <w:b/>
                <w:bCs/>
                <w:color w:val="auto"/>
                <w:highlight w:val="none"/>
              </w:rPr>
            </w:pPr>
            <w:r>
              <w:rPr>
                <w:rFonts w:eastAsia="仿宋_GB2312"/>
                <w:b/>
                <w:bCs/>
                <w:color w:val="auto"/>
                <w:highlight w:val="none"/>
              </w:rPr>
              <w:t>基础设施配套</w:t>
            </w:r>
          </w:p>
        </w:tc>
        <w:tc>
          <w:tcPr>
            <w:tcW w:w="7240" w:type="dxa"/>
            <w:shd w:val="clear" w:color="auto" w:fill="auto"/>
            <w:tcMar>
              <w:top w:w="14" w:type="dxa"/>
              <w:left w:w="14" w:type="dxa"/>
              <w:bottom w:w="0" w:type="dxa"/>
              <w:right w:w="14" w:type="dxa"/>
            </w:tcMar>
            <w:vAlign w:val="center"/>
          </w:tcPr>
          <w:p>
            <w:pPr>
              <w:spacing w:line="240" w:lineRule="exact"/>
              <w:jc w:val="center"/>
              <w:rPr>
                <w:rStyle w:val="50"/>
                <w:rFonts w:eastAsia="仿宋_GB2312"/>
                <w:caps/>
                <w:color w:val="auto"/>
                <w:highlight w:val="none"/>
              </w:rPr>
            </w:pPr>
            <w:r>
              <w:rPr>
                <w:rFonts w:hint="eastAsia" w:eastAsia="仿宋_GB2312"/>
                <w:color w:val="auto"/>
                <w:highlight w:val="none"/>
              </w:rPr>
              <w:t>水、电、通讯、燃气等基础设施配套完善，保证率高</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0" w:type="dxa"/>
            <w:bottom w:w="0" w:type="dxa"/>
            <w:right w:w="0" w:type="dxa"/>
          </w:tblCellMar>
        </w:tblPrEx>
        <w:trPr>
          <w:trHeight w:val="327" w:hRule="atLeast"/>
          <w:jc w:val="center"/>
        </w:trPr>
        <w:tc>
          <w:tcPr>
            <w:tcW w:w="1763" w:type="dxa"/>
            <w:shd w:val="clear" w:color="auto" w:fill="auto"/>
            <w:tcMar>
              <w:top w:w="14" w:type="dxa"/>
              <w:left w:w="14" w:type="dxa"/>
              <w:bottom w:w="0" w:type="dxa"/>
              <w:right w:w="14" w:type="dxa"/>
            </w:tcMar>
            <w:vAlign w:val="center"/>
          </w:tcPr>
          <w:p>
            <w:pPr>
              <w:spacing w:line="240" w:lineRule="exact"/>
              <w:jc w:val="center"/>
              <w:rPr>
                <w:rFonts w:eastAsia="仿宋_GB2312"/>
                <w:color w:val="auto"/>
                <w:highlight w:val="none"/>
              </w:rPr>
            </w:pPr>
            <w:r>
              <w:rPr>
                <w:rFonts w:eastAsia="仿宋_GB2312"/>
                <w:b/>
                <w:bCs/>
                <w:color w:val="auto"/>
                <w:highlight w:val="none"/>
              </w:rPr>
              <w:t>公共服务设施</w:t>
            </w:r>
          </w:p>
        </w:tc>
        <w:tc>
          <w:tcPr>
            <w:tcW w:w="7240" w:type="dxa"/>
            <w:shd w:val="clear" w:color="auto" w:fill="auto"/>
            <w:tcMar>
              <w:top w:w="14" w:type="dxa"/>
              <w:left w:w="14" w:type="dxa"/>
              <w:bottom w:w="0" w:type="dxa"/>
              <w:right w:w="14" w:type="dxa"/>
            </w:tcMar>
            <w:vAlign w:val="center"/>
          </w:tcPr>
          <w:p>
            <w:pPr>
              <w:spacing w:line="240" w:lineRule="exact"/>
              <w:jc w:val="center"/>
              <w:rPr>
                <w:rFonts w:eastAsia="仿宋_GB2312"/>
                <w:color w:val="auto"/>
                <w:highlight w:val="none"/>
              </w:rPr>
            </w:pPr>
            <w:r>
              <w:rPr>
                <w:rFonts w:eastAsia="仿宋_GB2312"/>
                <w:color w:val="auto"/>
                <w:highlight w:val="none"/>
              </w:rPr>
              <w:t>区域内</w:t>
            </w:r>
            <w:r>
              <w:rPr>
                <w:rFonts w:hint="eastAsia" w:eastAsia="仿宋_GB2312"/>
                <w:color w:val="auto"/>
                <w:highlight w:val="none"/>
              </w:rPr>
              <w:t>有中国农业银行、吉安农村商业银行、中国邮政储蓄银行等金融机构；</w:t>
            </w:r>
            <w:r>
              <w:rPr>
                <w:rFonts w:eastAsia="仿宋_GB2312"/>
                <w:color w:val="auto"/>
                <w:highlight w:val="none"/>
              </w:rPr>
              <w:t>有长旺人家、家联心小区、华夏长盛丽苑</w:t>
            </w:r>
            <w:r>
              <w:rPr>
                <w:rFonts w:hint="eastAsia" w:eastAsia="仿宋_GB2312"/>
                <w:color w:val="auto"/>
                <w:highlight w:val="none"/>
              </w:rPr>
              <w:t>等住宅小区；有长塘中学、书发希望小学、长塘蓝天幼儿园等教育机构；有长塘农贸市场、天天特价超市等商业设施、有吉安市中心人民医院二部、长塘镇大塘村卫生室等医疗机构。公共服务设施完备度较优。</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0" w:type="dxa"/>
            <w:bottom w:w="0" w:type="dxa"/>
            <w:right w:w="0" w:type="dxa"/>
          </w:tblCellMar>
        </w:tblPrEx>
        <w:trPr>
          <w:trHeight w:val="245" w:hRule="atLeast"/>
          <w:jc w:val="center"/>
        </w:trPr>
        <w:tc>
          <w:tcPr>
            <w:tcW w:w="1763" w:type="dxa"/>
            <w:shd w:val="clear" w:color="auto" w:fill="auto"/>
            <w:tcMar>
              <w:top w:w="14" w:type="dxa"/>
              <w:left w:w="14" w:type="dxa"/>
              <w:bottom w:w="0" w:type="dxa"/>
              <w:right w:w="14" w:type="dxa"/>
            </w:tcMar>
            <w:vAlign w:val="center"/>
          </w:tcPr>
          <w:p>
            <w:pPr>
              <w:spacing w:line="240" w:lineRule="exact"/>
              <w:jc w:val="center"/>
              <w:rPr>
                <w:rFonts w:eastAsia="仿宋_GB2312"/>
                <w:b/>
                <w:bCs/>
                <w:color w:val="auto"/>
                <w:highlight w:val="none"/>
              </w:rPr>
            </w:pPr>
            <w:r>
              <w:rPr>
                <w:rFonts w:eastAsia="仿宋_GB2312"/>
                <w:b/>
                <w:bCs/>
                <w:color w:val="auto"/>
                <w:highlight w:val="none"/>
              </w:rPr>
              <w:t>繁华程度</w:t>
            </w:r>
          </w:p>
        </w:tc>
        <w:tc>
          <w:tcPr>
            <w:tcW w:w="7240" w:type="dxa"/>
            <w:shd w:val="clear" w:color="auto" w:fill="auto"/>
            <w:tcMar>
              <w:top w:w="14" w:type="dxa"/>
              <w:left w:w="14" w:type="dxa"/>
              <w:bottom w:w="0" w:type="dxa"/>
              <w:right w:w="14" w:type="dxa"/>
            </w:tcMar>
            <w:vAlign w:val="center"/>
          </w:tcPr>
          <w:p>
            <w:pPr>
              <w:spacing w:line="240" w:lineRule="exact"/>
              <w:jc w:val="center"/>
              <w:rPr>
                <w:rStyle w:val="50"/>
                <w:rFonts w:eastAsia="仿宋_GB2312"/>
                <w:caps/>
                <w:color w:val="auto"/>
                <w:highlight w:val="none"/>
                <w:u w:val="none"/>
              </w:rPr>
            </w:pPr>
            <w:r>
              <w:rPr>
                <w:rStyle w:val="50"/>
                <w:rFonts w:eastAsia="仿宋_GB2312"/>
                <w:caps/>
                <w:color w:val="auto"/>
                <w:highlight w:val="none"/>
                <w:u w:val="none"/>
              </w:rPr>
              <w:t>一般</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0" w:type="dxa"/>
            <w:bottom w:w="0" w:type="dxa"/>
            <w:right w:w="0" w:type="dxa"/>
          </w:tblCellMar>
        </w:tblPrEx>
        <w:trPr>
          <w:trHeight w:val="249" w:hRule="atLeast"/>
          <w:jc w:val="center"/>
        </w:trPr>
        <w:tc>
          <w:tcPr>
            <w:tcW w:w="1763" w:type="dxa"/>
            <w:shd w:val="clear" w:color="auto" w:fill="auto"/>
            <w:tcMar>
              <w:top w:w="14" w:type="dxa"/>
              <w:left w:w="14" w:type="dxa"/>
              <w:bottom w:w="0" w:type="dxa"/>
              <w:right w:w="14" w:type="dxa"/>
            </w:tcMar>
            <w:vAlign w:val="center"/>
          </w:tcPr>
          <w:p>
            <w:pPr>
              <w:spacing w:line="240" w:lineRule="exact"/>
              <w:jc w:val="center"/>
              <w:rPr>
                <w:rFonts w:eastAsia="仿宋_GB2312"/>
                <w:b/>
                <w:bCs/>
                <w:color w:val="auto"/>
                <w:highlight w:val="none"/>
              </w:rPr>
            </w:pPr>
            <w:r>
              <w:rPr>
                <w:rFonts w:eastAsia="仿宋_GB2312"/>
                <w:b/>
                <w:bCs/>
                <w:color w:val="auto"/>
                <w:highlight w:val="none"/>
              </w:rPr>
              <w:t>环境景观</w:t>
            </w:r>
          </w:p>
        </w:tc>
        <w:tc>
          <w:tcPr>
            <w:tcW w:w="7240" w:type="dxa"/>
            <w:shd w:val="clear" w:color="auto" w:fill="auto"/>
            <w:tcMar>
              <w:top w:w="14" w:type="dxa"/>
              <w:left w:w="14" w:type="dxa"/>
              <w:bottom w:w="0" w:type="dxa"/>
              <w:right w:w="14" w:type="dxa"/>
            </w:tcMar>
            <w:vAlign w:val="center"/>
          </w:tcPr>
          <w:p>
            <w:pPr>
              <w:spacing w:line="240" w:lineRule="exact"/>
              <w:jc w:val="center"/>
              <w:rPr>
                <w:rFonts w:eastAsia="仿宋_GB2312"/>
                <w:color w:val="auto"/>
                <w:highlight w:val="none"/>
              </w:rPr>
            </w:pPr>
            <w:r>
              <w:rPr>
                <w:rFonts w:eastAsia="仿宋_GB2312"/>
                <w:color w:val="auto"/>
                <w:highlight w:val="none"/>
              </w:rPr>
              <w:t>自然及人文环境较优</w:t>
            </w:r>
          </w:p>
        </w:tc>
      </w:tr>
    </w:tbl>
    <w:p>
      <w:pPr>
        <w:pStyle w:val="3"/>
        <w:spacing w:before="0" w:after="0" w:line="500" w:lineRule="exact"/>
        <w:rPr>
          <w:rFonts w:eastAsia="仿宋_GB2312"/>
          <w:b w:val="0"/>
          <w:bCs w:val="0"/>
          <w:color w:val="auto"/>
          <w:sz w:val="28"/>
          <w:szCs w:val="28"/>
          <w:highlight w:val="none"/>
        </w:rPr>
      </w:pPr>
      <w:bookmarkStart w:id="102" w:name="_Toc106179017"/>
      <w:r>
        <w:rPr>
          <w:rFonts w:hint="eastAsia" w:eastAsia="仿宋_GB2312" w:cs="仿宋_GB2312"/>
          <w:color w:val="auto"/>
          <w:sz w:val="28"/>
          <w:szCs w:val="28"/>
          <w:highlight w:val="none"/>
        </w:rPr>
        <w:t>（五）</w:t>
      </w:r>
      <w:bookmarkEnd w:id="91"/>
      <w:bookmarkEnd w:id="92"/>
      <w:bookmarkEnd w:id="93"/>
      <w:bookmarkEnd w:id="94"/>
      <w:bookmarkEnd w:id="95"/>
      <w:bookmarkEnd w:id="96"/>
      <w:bookmarkEnd w:id="97"/>
      <w:bookmarkEnd w:id="98"/>
      <w:bookmarkEnd w:id="99"/>
      <w:bookmarkEnd w:id="100"/>
      <w:r>
        <w:rPr>
          <w:rFonts w:hint="eastAsia" w:eastAsia="仿宋_GB2312" w:cs="仿宋_GB2312"/>
          <w:color w:val="auto"/>
          <w:sz w:val="28"/>
          <w:szCs w:val="28"/>
          <w:highlight w:val="none"/>
        </w:rPr>
        <w:t>价值时点</w:t>
      </w:r>
      <w:bookmarkEnd w:id="101"/>
      <w:bookmarkEnd w:id="102"/>
    </w:p>
    <w:p>
      <w:pPr>
        <w:spacing w:line="500" w:lineRule="exact"/>
        <w:ind w:left="480"/>
        <w:rPr>
          <w:rFonts w:eastAsia="仿宋_GB2312"/>
          <w:snapToGrid w:val="0"/>
          <w:color w:val="auto"/>
          <w:kern w:val="0"/>
          <w:sz w:val="28"/>
          <w:szCs w:val="28"/>
          <w:highlight w:val="none"/>
        </w:rPr>
      </w:pPr>
      <w:bookmarkStart w:id="103" w:name="_Toc269132873"/>
      <w:bookmarkStart w:id="104" w:name="_Toc243111690"/>
      <w:bookmarkStart w:id="105" w:name="_Toc130033726"/>
      <w:bookmarkStart w:id="106" w:name="_Toc270691072"/>
      <w:bookmarkStart w:id="107" w:name="_Toc367869502"/>
      <w:bookmarkStart w:id="108" w:name="_Toc254860130"/>
      <w:bookmarkStart w:id="109" w:name="_Toc135016176"/>
      <w:bookmarkStart w:id="110" w:name="_Toc301369720"/>
      <w:bookmarkStart w:id="111" w:name="_Toc243111719"/>
      <w:bookmarkStart w:id="112" w:name="_Toc254875144"/>
      <w:bookmarkStart w:id="113" w:name="_Toc435110687"/>
      <w:r>
        <w:rPr>
          <w:rFonts w:hint="eastAsia" w:eastAsia="仿宋_GB2312"/>
          <w:snapToGrid w:val="0"/>
          <w:color w:val="auto"/>
          <w:kern w:val="0"/>
          <w:sz w:val="28"/>
          <w:szCs w:val="28"/>
          <w:highlight w:val="none"/>
        </w:rPr>
        <w:t>2022年11月14日，此价值时点为实地查勘之日。</w:t>
      </w:r>
    </w:p>
    <w:p>
      <w:pPr>
        <w:pStyle w:val="3"/>
        <w:spacing w:before="0" w:after="0" w:line="500" w:lineRule="exact"/>
        <w:rPr>
          <w:rFonts w:eastAsia="仿宋_GB2312"/>
          <w:b w:val="0"/>
          <w:bCs w:val="0"/>
          <w:snapToGrid w:val="0"/>
          <w:color w:val="auto"/>
          <w:kern w:val="0"/>
          <w:sz w:val="28"/>
          <w:szCs w:val="28"/>
          <w:highlight w:val="none"/>
        </w:rPr>
      </w:pPr>
      <w:bookmarkStart w:id="114" w:name="_Toc106179018"/>
      <w:r>
        <w:rPr>
          <w:rFonts w:hint="eastAsia" w:eastAsia="仿宋_GB2312" w:cs="仿宋_GB2312"/>
          <w:color w:val="auto"/>
          <w:sz w:val="28"/>
          <w:szCs w:val="28"/>
          <w:highlight w:val="none"/>
        </w:rPr>
        <w:t>（六）价值</w:t>
      </w:r>
      <w:bookmarkEnd w:id="103"/>
      <w:bookmarkEnd w:id="104"/>
      <w:bookmarkEnd w:id="105"/>
      <w:bookmarkEnd w:id="106"/>
      <w:bookmarkEnd w:id="107"/>
      <w:bookmarkEnd w:id="108"/>
      <w:bookmarkEnd w:id="109"/>
      <w:bookmarkEnd w:id="110"/>
      <w:bookmarkEnd w:id="111"/>
      <w:bookmarkEnd w:id="112"/>
      <w:r>
        <w:rPr>
          <w:rFonts w:hint="eastAsia" w:eastAsia="仿宋_GB2312" w:cs="仿宋_GB2312"/>
          <w:color w:val="auto"/>
          <w:sz w:val="28"/>
          <w:szCs w:val="28"/>
          <w:highlight w:val="none"/>
        </w:rPr>
        <w:t>类型</w:t>
      </w:r>
      <w:bookmarkEnd w:id="113"/>
      <w:bookmarkEnd w:id="114"/>
    </w:p>
    <w:p>
      <w:pPr>
        <w:spacing w:line="500" w:lineRule="exact"/>
        <w:ind w:firstLine="560" w:firstLineChars="200"/>
        <w:rPr>
          <w:rFonts w:eastAsia="仿宋_GB2312"/>
          <w:color w:val="auto"/>
          <w:sz w:val="28"/>
          <w:szCs w:val="28"/>
          <w:highlight w:val="none"/>
        </w:rPr>
      </w:pPr>
      <w:bookmarkStart w:id="115" w:name="_Toc270691074"/>
      <w:bookmarkStart w:id="116" w:name="_Toc243111721"/>
      <w:bookmarkStart w:id="117" w:name="_Toc269132875"/>
      <w:bookmarkStart w:id="118" w:name="_Toc135016178"/>
      <w:bookmarkStart w:id="119" w:name="_Toc435110688"/>
      <w:bookmarkStart w:id="120" w:name="_Toc254860132"/>
      <w:bookmarkStart w:id="121" w:name="_Toc130033728"/>
      <w:bookmarkStart w:id="122" w:name="_Toc243111692"/>
      <w:bookmarkStart w:id="123" w:name="_Toc254875146"/>
      <w:bookmarkStart w:id="124" w:name="_Toc301369722"/>
      <w:bookmarkStart w:id="125" w:name="_Toc367869504"/>
      <w:r>
        <w:rPr>
          <w:rFonts w:hint="eastAsia" w:eastAsia="仿宋_GB2312" w:cs="仿宋_GB2312"/>
          <w:color w:val="auto"/>
          <w:sz w:val="28"/>
          <w:szCs w:val="28"/>
          <w:highlight w:val="none"/>
        </w:rPr>
        <w:t>本报告的估价结果是指估价对象在维持规划用途并正常使用的条件下，于价值时点</w:t>
      </w:r>
      <w:r>
        <w:rPr>
          <w:rFonts w:hint="eastAsia" w:eastAsia="仿宋_GB2312"/>
          <w:color w:val="auto"/>
          <w:sz w:val="28"/>
          <w:szCs w:val="28"/>
          <w:highlight w:val="none"/>
        </w:rPr>
        <w:t>2022年11月14日</w:t>
      </w:r>
      <w:r>
        <w:rPr>
          <w:rFonts w:hint="eastAsia" w:eastAsia="仿宋_GB2312" w:cs="仿宋_GB2312"/>
          <w:color w:val="auto"/>
          <w:sz w:val="28"/>
          <w:szCs w:val="28"/>
          <w:highlight w:val="none"/>
        </w:rPr>
        <w:t>房地产市场价值。</w:t>
      </w:r>
    </w:p>
    <w:p>
      <w:pPr>
        <w:spacing w:line="500" w:lineRule="exact"/>
        <w:ind w:firstLine="560" w:firstLineChars="200"/>
        <w:rPr>
          <w:rFonts w:eastAsia="仿宋_GB2312"/>
          <w:color w:val="auto"/>
          <w:sz w:val="28"/>
          <w:szCs w:val="28"/>
          <w:highlight w:val="none"/>
        </w:rPr>
      </w:pPr>
      <w:r>
        <w:rPr>
          <w:rFonts w:hint="eastAsia" w:eastAsia="仿宋_GB2312" w:cs="仿宋_GB2312"/>
          <w:color w:val="auto"/>
          <w:sz w:val="28"/>
          <w:szCs w:val="28"/>
          <w:highlight w:val="none"/>
        </w:rPr>
        <w:t>本报告价格货币单位均为人民币。</w:t>
      </w:r>
    </w:p>
    <w:p>
      <w:pPr>
        <w:pStyle w:val="3"/>
        <w:spacing w:before="0" w:after="0" w:line="500" w:lineRule="exact"/>
        <w:rPr>
          <w:rFonts w:eastAsia="仿宋_GB2312"/>
          <w:b w:val="0"/>
          <w:bCs w:val="0"/>
          <w:color w:val="auto"/>
          <w:sz w:val="28"/>
          <w:szCs w:val="28"/>
          <w:highlight w:val="none"/>
        </w:rPr>
      </w:pPr>
      <w:bookmarkStart w:id="126" w:name="_Toc106179019"/>
      <w:r>
        <w:rPr>
          <w:rFonts w:hint="eastAsia" w:eastAsia="仿宋_GB2312" w:cs="仿宋_GB2312"/>
          <w:color w:val="auto"/>
          <w:sz w:val="28"/>
          <w:szCs w:val="28"/>
          <w:highlight w:val="none"/>
        </w:rPr>
        <w:t>（七）估价原则</w:t>
      </w:r>
      <w:bookmarkEnd w:id="115"/>
      <w:bookmarkEnd w:id="116"/>
      <w:bookmarkEnd w:id="117"/>
      <w:bookmarkEnd w:id="118"/>
      <w:bookmarkEnd w:id="119"/>
      <w:bookmarkEnd w:id="120"/>
      <w:bookmarkEnd w:id="121"/>
      <w:bookmarkEnd w:id="122"/>
      <w:bookmarkEnd w:id="123"/>
      <w:bookmarkEnd w:id="124"/>
      <w:bookmarkEnd w:id="125"/>
      <w:bookmarkEnd w:id="126"/>
    </w:p>
    <w:p>
      <w:pPr>
        <w:adjustRightInd w:val="0"/>
        <w:snapToGrid w:val="0"/>
        <w:spacing w:line="500" w:lineRule="exact"/>
        <w:ind w:firstLine="560" w:firstLineChars="200"/>
        <w:rPr>
          <w:rFonts w:eastAsia="仿宋_GB2312"/>
          <w:color w:val="auto"/>
          <w:sz w:val="28"/>
          <w:szCs w:val="28"/>
          <w:highlight w:val="none"/>
        </w:rPr>
      </w:pPr>
      <w:r>
        <w:rPr>
          <w:rFonts w:hint="eastAsia" w:eastAsia="仿宋_GB2312" w:cs="仿宋_GB2312"/>
          <w:color w:val="auto"/>
          <w:sz w:val="28"/>
          <w:szCs w:val="28"/>
          <w:highlight w:val="none"/>
        </w:rPr>
        <w:t>本次估价遵循的房地产估价原则有：独立、客观、公正原则、合法原则、价值时点原则、替代原则、最高最佳利用原则。</w:t>
      </w:r>
    </w:p>
    <w:p>
      <w:pPr>
        <w:widowControl/>
        <w:numPr>
          <w:ilvl w:val="0"/>
          <w:numId w:val="3"/>
        </w:numPr>
        <w:snapToGrid w:val="0"/>
        <w:spacing w:line="500" w:lineRule="exact"/>
        <w:jc w:val="left"/>
        <w:rPr>
          <w:rFonts w:eastAsia="仿宋_GB2312"/>
          <w:color w:val="auto"/>
          <w:sz w:val="28"/>
          <w:szCs w:val="28"/>
          <w:highlight w:val="none"/>
        </w:rPr>
      </w:pPr>
      <w:bookmarkStart w:id="127" w:name="_Toc130033727"/>
      <w:bookmarkStart w:id="128" w:name="_Toc135016177"/>
      <w:bookmarkStart w:id="129" w:name="_Toc254860131"/>
      <w:bookmarkStart w:id="130" w:name="_Toc243111691"/>
      <w:bookmarkStart w:id="131" w:name="_Toc269132874"/>
      <w:bookmarkStart w:id="132" w:name="_Toc270691073"/>
      <w:bookmarkStart w:id="133" w:name="_Toc367869503"/>
      <w:bookmarkStart w:id="134" w:name="_Toc435110689"/>
      <w:bookmarkStart w:id="135" w:name="_Toc243111720"/>
      <w:bookmarkStart w:id="136" w:name="_Toc301369721"/>
      <w:bookmarkStart w:id="137" w:name="_Toc254875145"/>
      <w:r>
        <w:rPr>
          <w:rFonts w:hint="eastAsia" w:eastAsia="仿宋_GB2312" w:cs="仿宋_GB2312"/>
          <w:color w:val="auto"/>
          <w:sz w:val="28"/>
          <w:szCs w:val="28"/>
          <w:highlight w:val="none"/>
        </w:rPr>
        <w:t>独立、客观、公正原则</w:t>
      </w:r>
    </w:p>
    <w:p>
      <w:pPr>
        <w:adjustRightInd w:val="0"/>
        <w:snapToGrid w:val="0"/>
        <w:spacing w:line="500" w:lineRule="exact"/>
        <w:ind w:firstLine="520"/>
        <w:rPr>
          <w:rFonts w:eastAsia="仿宋_GB2312"/>
          <w:color w:val="auto"/>
          <w:sz w:val="28"/>
          <w:szCs w:val="28"/>
          <w:highlight w:val="none"/>
        </w:rPr>
      </w:pPr>
      <w:r>
        <w:rPr>
          <w:rFonts w:hint="eastAsia" w:eastAsia="仿宋_GB2312" w:cs="仿宋_GB2312"/>
          <w:color w:val="auto"/>
          <w:sz w:val="28"/>
          <w:szCs w:val="28"/>
          <w:highlight w:val="none"/>
        </w:rPr>
        <w:t>要求站在中立的立场上，实事求是、公平正直地评估出对各方估价利害关系人均是公平合理的价值或价格的原则。</w:t>
      </w:r>
    </w:p>
    <w:p>
      <w:pPr>
        <w:adjustRightInd w:val="0"/>
        <w:snapToGrid w:val="0"/>
        <w:spacing w:line="500" w:lineRule="exact"/>
        <w:ind w:firstLine="520"/>
        <w:rPr>
          <w:rFonts w:eastAsia="仿宋_GB2312"/>
          <w:color w:val="auto"/>
          <w:sz w:val="28"/>
          <w:szCs w:val="28"/>
          <w:highlight w:val="none"/>
        </w:rPr>
      </w:pPr>
      <w:r>
        <w:rPr>
          <w:rFonts w:hint="eastAsia" w:eastAsia="仿宋_GB2312" w:cs="仿宋_GB2312"/>
          <w:color w:val="auto"/>
          <w:sz w:val="28"/>
          <w:szCs w:val="28"/>
          <w:highlight w:val="none"/>
        </w:rPr>
        <w:t>所谓</w:t>
      </w:r>
      <w:r>
        <w:rPr>
          <w:rFonts w:eastAsia="仿宋_GB2312"/>
          <w:color w:val="auto"/>
          <w:sz w:val="28"/>
          <w:szCs w:val="28"/>
          <w:highlight w:val="none"/>
        </w:rPr>
        <w:t>“</w:t>
      </w:r>
      <w:r>
        <w:rPr>
          <w:rFonts w:hint="eastAsia" w:eastAsia="仿宋_GB2312" w:cs="仿宋_GB2312"/>
          <w:color w:val="auto"/>
          <w:sz w:val="28"/>
          <w:szCs w:val="28"/>
          <w:highlight w:val="none"/>
        </w:rPr>
        <w:t>独立</w:t>
      </w:r>
      <w:r>
        <w:rPr>
          <w:rFonts w:eastAsia="仿宋_GB2312"/>
          <w:color w:val="auto"/>
          <w:sz w:val="28"/>
          <w:szCs w:val="28"/>
          <w:highlight w:val="none"/>
        </w:rPr>
        <w:t>”</w:t>
      </w:r>
      <w:r>
        <w:rPr>
          <w:rFonts w:hint="eastAsia" w:eastAsia="仿宋_GB2312" w:cs="仿宋_GB2312"/>
          <w:color w:val="auto"/>
          <w:sz w:val="28"/>
          <w:szCs w:val="28"/>
          <w:highlight w:val="none"/>
        </w:rPr>
        <w:t>，就是要求注册房地产估价师和房地产估价机构与估价委托人及估价利害关系人没有利害关系，在估价中不受包括估价委托人在内的任何单位和个人的影响，应凭自己的专业知识、经验和职业道德进行估价。所谓</w:t>
      </w:r>
      <w:r>
        <w:rPr>
          <w:rFonts w:eastAsia="仿宋_GB2312"/>
          <w:color w:val="auto"/>
          <w:sz w:val="28"/>
          <w:szCs w:val="28"/>
          <w:highlight w:val="none"/>
        </w:rPr>
        <w:t>“</w:t>
      </w:r>
      <w:r>
        <w:rPr>
          <w:rFonts w:hint="eastAsia" w:eastAsia="仿宋_GB2312" w:cs="仿宋_GB2312"/>
          <w:color w:val="auto"/>
          <w:sz w:val="28"/>
          <w:szCs w:val="28"/>
          <w:highlight w:val="none"/>
        </w:rPr>
        <w:t>客观</w:t>
      </w:r>
      <w:r>
        <w:rPr>
          <w:rFonts w:eastAsia="仿宋_GB2312"/>
          <w:color w:val="auto"/>
          <w:sz w:val="28"/>
          <w:szCs w:val="28"/>
          <w:highlight w:val="none"/>
        </w:rPr>
        <w:t>”</w:t>
      </w:r>
      <w:r>
        <w:rPr>
          <w:rFonts w:hint="eastAsia" w:eastAsia="仿宋_GB2312" w:cs="仿宋_GB2312"/>
          <w:color w:val="auto"/>
          <w:sz w:val="28"/>
          <w:szCs w:val="28"/>
          <w:highlight w:val="none"/>
        </w:rPr>
        <w:t>，就是要求注册房地产估价师和房地产估价机构在估价中不带着自己的情感、好恶和偏见，应按照事物的本来面目、实事求是地进行估价。所谓</w:t>
      </w:r>
      <w:r>
        <w:rPr>
          <w:rFonts w:eastAsia="仿宋_GB2312"/>
          <w:color w:val="auto"/>
          <w:sz w:val="28"/>
          <w:szCs w:val="28"/>
          <w:highlight w:val="none"/>
        </w:rPr>
        <w:t>“</w:t>
      </w:r>
      <w:r>
        <w:rPr>
          <w:rFonts w:hint="eastAsia" w:eastAsia="仿宋_GB2312" w:cs="仿宋_GB2312"/>
          <w:color w:val="auto"/>
          <w:sz w:val="28"/>
          <w:szCs w:val="28"/>
          <w:highlight w:val="none"/>
        </w:rPr>
        <w:t>公正</w:t>
      </w:r>
      <w:r>
        <w:rPr>
          <w:rFonts w:eastAsia="仿宋_GB2312"/>
          <w:color w:val="auto"/>
          <w:sz w:val="28"/>
          <w:szCs w:val="28"/>
          <w:highlight w:val="none"/>
        </w:rPr>
        <w:t>”</w:t>
      </w:r>
      <w:r>
        <w:rPr>
          <w:rFonts w:hint="eastAsia" w:eastAsia="仿宋_GB2312" w:cs="仿宋_GB2312"/>
          <w:color w:val="auto"/>
          <w:sz w:val="28"/>
          <w:szCs w:val="28"/>
          <w:highlight w:val="none"/>
        </w:rPr>
        <w:t>，就是要求注册房地产估价师和房地产估价机构在估价中不偏袒估价利害关系人中的任何一方，应坚持原则、公平正直地进行估价。</w:t>
      </w:r>
    </w:p>
    <w:p>
      <w:pPr>
        <w:adjustRightInd w:val="0"/>
        <w:snapToGrid w:val="0"/>
        <w:spacing w:line="500" w:lineRule="exact"/>
        <w:ind w:firstLine="520"/>
        <w:rPr>
          <w:rFonts w:eastAsia="仿宋_GB2312"/>
          <w:color w:val="auto"/>
          <w:sz w:val="28"/>
          <w:szCs w:val="28"/>
          <w:highlight w:val="none"/>
        </w:rPr>
      </w:pPr>
      <w:r>
        <w:rPr>
          <w:rFonts w:hint="eastAsia" w:eastAsia="仿宋_GB2312" w:cs="仿宋_GB2312"/>
          <w:color w:val="auto"/>
          <w:sz w:val="28"/>
          <w:szCs w:val="28"/>
          <w:highlight w:val="none"/>
        </w:rPr>
        <w:t>本次估价坚守独立、客观、公正原则，估价机构建立了行之有效的内部审核制度，以保证评估过程规范有序，既不受其他单位和个人的非法干预和影响，也不因房地产估价师个人好恶或主观偏见影响其分析、判断的客观性。</w:t>
      </w:r>
    </w:p>
    <w:p>
      <w:pPr>
        <w:widowControl/>
        <w:numPr>
          <w:ilvl w:val="0"/>
          <w:numId w:val="3"/>
        </w:numPr>
        <w:snapToGrid w:val="0"/>
        <w:spacing w:line="500" w:lineRule="exact"/>
        <w:rPr>
          <w:rFonts w:eastAsia="仿宋_GB2312"/>
          <w:color w:val="auto"/>
          <w:sz w:val="28"/>
          <w:szCs w:val="28"/>
          <w:highlight w:val="none"/>
        </w:rPr>
      </w:pPr>
      <w:r>
        <w:rPr>
          <w:rFonts w:hint="eastAsia" w:eastAsia="仿宋_GB2312" w:cs="仿宋_GB2312"/>
          <w:color w:val="auto"/>
          <w:sz w:val="28"/>
          <w:szCs w:val="28"/>
          <w:highlight w:val="none"/>
        </w:rPr>
        <w:t>合法原则</w:t>
      </w:r>
    </w:p>
    <w:p>
      <w:pPr>
        <w:snapToGrid w:val="0"/>
        <w:spacing w:line="500" w:lineRule="exact"/>
        <w:ind w:firstLine="517"/>
        <w:rPr>
          <w:rFonts w:eastAsia="仿宋_GB2312"/>
          <w:color w:val="auto"/>
          <w:sz w:val="28"/>
          <w:szCs w:val="28"/>
          <w:highlight w:val="none"/>
        </w:rPr>
      </w:pPr>
      <w:r>
        <w:rPr>
          <w:rFonts w:hint="eastAsia" w:eastAsia="仿宋_GB2312" w:cs="仿宋_GB2312"/>
          <w:color w:val="auto"/>
          <w:sz w:val="28"/>
          <w:szCs w:val="28"/>
          <w:highlight w:val="none"/>
        </w:rPr>
        <w:t>要求估价结果是在依法判定的估价对象状况下的价值或价格的原则。</w:t>
      </w:r>
    </w:p>
    <w:p>
      <w:pPr>
        <w:snapToGrid w:val="0"/>
        <w:spacing w:line="500" w:lineRule="exact"/>
        <w:ind w:firstLine="517"/>
        <w:rPr>
          <w:rFonts w:eastAsia="仿宋_GB2312"/>
          <w:color w:val="auto"/>
          <w:sz w:val="28"/>
          <w:szCs w:val="28"/>
          <w:highlight w:val="none"/>
        </w:rPr>
      </w:pPr>
      <w:r>
        <w:rPr>
          <w:rFonts w:hint="eastAsia" w:eastAsia="仿宋_GB2312" w:cs="仿宋_GB2312"/>
          <w:color w:val="auto"/>
          <w:sz w:val="28"/>
          <w:szCs w:val="28"/>
          <w:highlight w:val="none"/>
        </w:rPr>
        <w:t>依法是指不仅要依据有关法律、行政法规、最高人民法院和最高人民检察院发布的有关司法解释，还要依据估价对象所在地的有关地方性法规（民族自治地方应同时依据有关自治条例和单行条例），国务院所属部门颁发的有关部门规章和政策，估价对象所在地人民政府颁发的有关地方政府规章和政策，以及估价对象的不动产登记簿（房屋登记簿、土地登记簿）、权属证书、有关批文和合同等（如规划意见书、国有建设用地使用权出让招标文件、国有建设用地使用权出让合同、房地产转让合同、房屋租赁合同等）。</w:t>
      </w:r>
    </w:p>
    <w:p>
      <w:pPr>
        <w:snapToGrid w:val="0"/>
        <w:spacing w:line="500" w:lineRule="exact"/>
        <w:ind w:firstLine="517"/>
        <w:rPr>
          <w:rFonts w:eastAsia="仿宋_GB2312"/>
          <w:color w:val="auto"/>
          <w:sz w:val="28"/>
          <w:szCs w:val="28"/>
          <w:highlight w:val="none"/>
        </w:rPr>
      </w:pPr>
      <w:r>
        <w:rPr>
          <w:rFonts w:hint="eastAsia" w:eastAsia="仿宋_GB2312" w:cs="仿宋_GB2312"/>
          <w:color w:val="auto"/>
          <w:sz w:val="28"/>
          <w:szCs w:val="28"/>
          <w:highlight w:val="none"/>
        </w:rPr>
        <w:t>遵循合法原则并不意味着只有合法的房地产才能成为估价对象，而是指依法判定估价对象是哪种状况的房地产，就应将其作为那种状况的房地产来估价。</w:t>
      </w:r>
    </w:p>
    <w:p>
      <w:pPr>
        <w:snapToGrid w:val="0"/>
        <w:spacing w:line="500" w:lineRule="exact"/>
        <w:ind w:firstLine="517"/>
        <w:rPr>
          <w:rFonts w:eastAsia="仿宋_GB2312"/>
          <w:color w:val="auto"/>
          <w:sz w:val="28"/>
          <w:szCs w:val="28"/>
          <w:highlight w:val="none"/>
        </w:rPr>
      </w:pPr>
      <w:r>
        <w:rPr>
          <w:rFonts w:hint="eastAsia" w:eastAsia="仿宋_GB2312" w:cs="仿宋_GB2312"/>
          <w:color w:val="auto"/>
          <w:sz w:val="28"/>
          <w:szCs w:val="28"/>
          <w:highlight w:val="none"/>
        </w:rPr>
        <w:t>本次估价以估价对象合法用途为前提，根据委托方提供的合法权属证明等资料进行评估。</w:t>
      </w:r>
    </w:p>
    <w:p>
      <w:pPr>
        <w:widowControl/>
        <w:numPr>
          <w:ilvl w:val="0"/>
          <w:numId w:val="3"/>
        </w:numPr>
        <w:snapToGrid w:val="0"/>
        <w:spacing w:line="500" w:lineRule="exact"/>
        <w:rPr>
          <w:rFonts w:eastAsia="仿宋_GB2312"/>
          <w:color w:val="auto"/>
          <w:sz w:val="28"/>
          <w:szCs w:val="28"/>
          <w:highlight w:val="none"/>
        </w:rPr>
      </w:pPr>
      <w:r>
        <w:rPr>
          <w:rFonts w:hint="eastAsia" w:eastAsia="仿宋_GB2312" w:cs="仿宋_GB2312"/>
          <w:color w:val="auto"/>
          <w:sz w:val="28"/>
          <w:szCs w:val="28"/>
          <w:highlight w:val="none"/>
        </w:rPr>
        <w:t>价值时点原则</w:t>
      </w:r>
    </w:p>
    <w:p>
      <w:pPr>
        <w:snapToGrid w:val="0"/>
        <w:spacing w:line="500" w:lineRule="exact"/>
        <w:ind w:firstLine="560" w:firstLineChars="200"/>
        <w:rPr>
          <w:rFonts w:eastAsia="仿宋_GB2312"/>
          <w:color w:val="auto"/>
          <w:sz w:val="28"/>
          <w:szCs w:val="28"/>
          <w:highlight w:val="none"/>
        </w:rPr>
      </w:pPr>
      <w:r>
        <w:rPr>
          <w:rFonts w:hint="eastAsia" w:eastAsia="仿宋_GB2312" w:cs="仿宋_GB2312"/>
          <w:color w:val="auto"/>
          <w:sz w:val="28"/>
          <w:szCs w:val="28"/>
          <w:highlight w:val="none"/>
        </w:rPr>
        <w:t>要求估价结果是在根据估价目的确定的某一特点时间的价值或价格的原则。</w:t>
      </w:r>
    </w:p>
    <w:p>
      <w:pPr>
        <w:snapToGrid w:val="0"/>
        <w:spacing w:line="500" w:lineRule="exact"/>
        <w:ind w:firstLine="560" w:firstLineChars="200"/>
        <w:rPr>
          <w:rFonts w:eastAsia="仿宋_GB2312"/>
          <w:color w:val="auto"/>
          <w:sz w:val="28"/>
          <w:szCs w:val="28"/>
          <w:highlight w:val="none"/>
        </w:rPr>
      </w:pPr>
      <w:r>
        <w:rPr>
          <w:rFonts w:hint="eastAsia" w:eastAsia="仿宋_GB2312" w:cs="仿宋_GB2312"/>
          <w:color w:val="auto"/>
          <w:sz w:val="28"/>
          <w:szCs w:val="28"/>
          <w:highlight w:val="none"/>
        </w:rPr>
        <w:t>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具不同的市场价格。</w:t>
      </w:r>
    </w:p>
    <w:p>
      <w:pPr>
        <w:snapToGrid w:val="0"/>
        <w:spacing w:line="500" w:lineRule="exact"/>
        <w:ind w:firstLine="560" w:firstLineChars="200"/>
        <w:rPr>
          <w:rFonts w:eastAsia="仿宋_GB2312" w:cs="仿宋_GB2312"/>
          <w:caps/>
          <w:color w:val="auto"/>
          <w:sz w:val="28"/>
          <w:szCs w:val="28"/>
          <w:highlight w:val="none"/>
        </w:rPr>
      </w:pPr>
      <w:r>
        <w:rPr>
          <w:rFonts w:hint="eastAsia" w:eastAsia="仿宋_GB2312" w:cs="仿宋_GB2312"/>
          <w:caps/>
          <w:color w:val="auto"/>
          <w:sz w:val="28"/>
          <w:szCs w:val="28"/>
          <w:highlight w:val="none"/>
        </w:rPr>
        <w:t>本次估价以价值时点原则为前提，根据价值时点原则确定政府有关房地产的法律、法规、税收政策、估价标准等的发布、变更、实施日期等估价依据。估价结果是根据估价目的确定的价值时点对应的市场价值。</w:t>
      </w:r>
    </w:p>
    <w:p>
      <w:pPr>
        <w:snapToGrid w:val="0"/>
        <w:spacing w:line="500" w:lineRule="exact"/>
        <w:ind w:firstLine="560" w:firstLineChars="200"/>
        <w:rPr>
          <w:rFonts w:eastAsia="仿宋_GB2312"/>
          <w:caps/>
          <w:color w:val="auto"/>
          <w:sz w:val="28"/>
          <w:szCs w:val="28"/>
          <w:highlight w:val="none"/>
        </w:rPr>
      </w:pPr>
      <w:bookmarkStart w:id="138" w:name="_Hlk68104042"/>
      <w:r>
        <w:rPr>
          <w:rFonts w:eastAsia="仿宋_GB2312"/>
          <w:caps/>
          <w:color w:val="auto"/>
          <w:sz w:val="28"/>
          <w:szCs w:val="28"/>
          <w:highlight w:val="none"/>
        </w:rPr>
        <w:t>本次评估中，比较法对不同案例的期日修正体现了价值时点原则。</w:t>
      </w:r>
    </w:p>
    <w:bookmarkEnd w:id="138"/>
    <w:p>
      <w:pPr>
        <w:widowControl/>
        <w:numPr>
          <w:ilvl w:val="0"/>
          <w:numId w:val="3"/>
        </w:numPr>
        <w:snapToGrid w:val="0"/>
        <w:spacing w:line="500" w:lineRule="exact"/>
        <w:rPr>
          <w:rFonts w:eastAsia="仿宋_GB2312"/>
          <w:color w:val="auto"/>
          <w:sz w:val="28"/>
          <w:szCs w:val="28"/>
          <w:highlight w:val="none"/>
        </w:rPr>
      </w:pPr>
      <w:r>
        <w:rPr>
          <w:rFonts w:hint="eastAsia" w:eastAsia="仿宋_GB2312" w:cs="仿宋_GB2312"/>
          <w:color w:val="auto"/>
          <w:sz w:val="28"/>
          <w:szCs w:val="28"/>
          <w:highlight w:val="none"/>
        </w:rPr>
        <w:t>替代原则</w:t>
      </w:r>
    </w:p>
    <w:p>
      <w:pPr>
        <w:snapToGrid w:val="0"/>
        <w:spacing w:line="500" w:lineRule="exact"/>
        <w:ind w:firstLine="540"/>
        <w:rPr>
          <w:rFonts w:eastAsia="仿宋_GB2312"/>
          <w:color w:val="auto"/>
          <w:sz w:val="28"/>
          <w:szCs w:val="28"/>
          <w:highlight w:val="none"/>
        </w:rPr>
      </w:pPr>
      <w:r>
        <w:rPr>
          <w:rFonts w:hint="eastAsia" w:eastAsia="仿宋_GB2312" w:cs="仿宋_GB2312"/>
          <w:color w:val="auto"/>
          <w:sz w:val="28"/>
          <w:szCs w:val="28"/>
          <w:highlight w:val="none"/>
        </w:rPr>
        <w:t>要求估价结果与估价对象的类似房地产在同等条件下的价值或价格偏差在合理范围内的原则。</w:t>
      </w:r>
    </w:p>
    <w:p>
      <w:pPr>
        <w:snapToGrid w:val="0"/>
        <w:spacing w:line="500" w:lineRule="exact"/>
        <w:ind w:firstLine="540"/>
        <w:rPr>
          <w:rFonts w:eastAsia="仿宋_GB2312"/>
          <w:color w:val="auto"/>
          <w:sz w:val="28"/>
          <w:szCs w:val="28"/>
          <w:highlight w:val="none"/>
        </w:rPr>
      </w:pPr>
      <w:r>
        <w:rPr>
          <w:rFonts w:hint="eastAsia" w:eastAsia="仿宋_GB2312" w:cs="仿宋_GB2312"/>
          <w:color w:val="auto"/>
          <w:sz w:val="28"/>
          <w:szCs w:val="28"/>
          <w:highlight w:val="none"/>
        </w:rPr>
        <w:t>根据经济学原理，在同一个市场上相同的商品有相同的价格。因为任何理性的买者在购买商品之前都会在市场上搜寻并</w:t>
      </w:r>
      <w:r>
        <w:rPr>
          <w:rFonts w:eastAsia="仿宋_GB2312"/>
          <w:color w:val="auto"/>
          <w:sz w:val="28"/>
          <w:szCs w:val="28"/>
          <w:highlight w:val="none"/>
        </w:rPr>
        <w:t>“</w:t>
      </w:r>
      <w:r>
        <w:rPr>
          <w:rFonts w:hint="eastAsia" w:eastAsia="仿宋_GB2312" w:cs="仿宋_GB2312"/>
          <w:color w:val="auto"/>
          <w:sz w:val="28"/>
          <w:szCs w:val="28"/>
          <w:highlight w:val="none"/>
        </w:rPr>
        <w:t>货比三家</w:t>
      </w:r>
      <w:r>
        <w:rPr>
          <w:rFonts w:eastAsia="仿宋_GB2312"/>
          <w:color w:val="auto"/>
          <w:sz w:val="28"/>
          <w:szCs w:val="28"/>
          <w:highlight w:val="none"/>
        </w:rPr>
        <w:t>”</w:t>
      </w:r>
      <w:r>
        <w:rPr>
          <w:rFonts w:hint="eastAsia" w:eastAsia="仿宋_GB2312" w:cs="仿宋_GB2312"/>
          <w:color w:val="auto"/>
          <w:sz w:val="28"/>
          <w:szCs w:val="28"/>
          <w:highlight w:val="none"/>
        </w:rPr>
        <w:t>，然后购买其中效用最大（或质量、性能最好）而价格最低的，即购买</w:t>
      </w:r>
      <w:r>
        <w:rPr>
          <w:rFonts w:eastAsia="仿宋_GB2312"/>
          <w:color w:val="auto"/>
          <w:sz w:val="28"/>
          <w:szCs w:val="28"/>
          <w:highlight w:val="none"/>
        </w:rPr>
        <w:t>“</w:t>
      </w:r>
      <w:r>
        <w:rPr>
          <w:rFonts w:hint="eastAsia" w:eastAsia="仿宋_GB2312" w:cs="仿宋_GB2312"/>
          <w:color w:val="auto"/>
          <w:sz w:val="28"/>
          <w:szCs w:val="28"/>
          <w:highlight w:val="none"/>
        </w:rPr>
        <w:t>性价比</w:t>
      </w:r>
      <w:r>
        <w:rPr>
          <w:rFonts w:eastAsia="仿宋_GB2312"/>
          <w:color w:val="auto"/>
          <w:sz w:val="28"/>
          <w:szCs w:val="28"/>
          <w:highlight w:val="none"/>
        </w:rPr>
        <w:t>”</w:t>
      </w:r>
      <w:r>
        <w:rPr>
          <w:rFonts w:hint="eastAsia" w:eastAsia="仿宋_GB2312" w:cs="仿宋_GB2312"/>
          <w:color w:val="auto"/>
          <w:sz w:val="28"/>
          <w:szCs w:val="28"/>
          <w:highlight w:val="none"/>
        </w:rPr>
        <w:t>高或</w:t>
      </w:r>
      <w:r>
        <w:rPr>
          <w:rFonts w:eastAsia="仿宋_GB2312"/>
          <w:color w:val="auto"/>
          <w:sz w:val="28"/>
          <w:szCs w:val="28"/>
          <w:highlight w:val="none"/>
        </w:rPr>
        <w:t>“</w:t>
      </w:r>
      <w:r>
        <w:rPr>
          <w:rFonts w:hint="eastAsia" w:eastAsia="仿宋_GB2312" w:cs="仿宋_GB2312"/>
          <w:color w:val="auto"/>
          <w:sz w:val="28"/>
          <w:szCs w:val="28"/>
          <w:highlight w:val="none"/>
        </w:rPr>
        <w:t>物美价廉</w:t>
      </w:r>
      <w:r>
        <w:rPr>
          <w:rFonts w:eastAsia="仿宋_GB2312"/>
          <w:color w:val="auto"/>
          <w:sz w:val="28"/>
          <w:szCs w:val="28"/>
          <w:highlight w:val="none"/>
        </w:rPr>
        <w:t>”</w:t>
      </w:r>
      <w:r>
        <w:rPr>
          <w:rFonts w:hint="eastAsia" w:eastAsia="仿宋_GB2312" w:cs="仿宋_GB2312"/>
          <w:color w:val="auto"/>
          <w:sz w:val="28"/>
          <w:szCs w:val="28"/>
          <w:highlight w:val="none"/>
        </w:rPr>
        <w:t>的。卖者为了使其产品能够卖出，相互之间也会进行价格竞争。市场上买者、卖者的这些行为导致的结果，是在相同的商品之间形成相同的价格。</w:t>
      </w:r>
    </w:p>
    <w:p>
      <w:pPr>
        <w:snapToGrid w:val="0"/>
        <w:spacing w:line="500" w:lineRule="exact"/>
        <w:ind w:firstLine="540"/>
        <w:rPr>
          <w:rFonts w:eastAsia="仿宋_GB2312" w:cs="仿宋_GB2312"/>
          <w:color w:val="auto"/>
          <w:sz w:val="28"/>
          <w:szCs w:val="28"/>
          <w:highlight w:val="none"/>
        </w:rPr>
      </w:pPr>
      <w:r>
        <w:rPr>
          <w:rFonts w:hint="eastAsia" w:eastAsia="仿宋_GB2312" w:cs="仿宋_GB2312"/>
          <w:color w:val="auto"/>
          <w:sz w:val="28"/>
          <w:szCs w:val="28"/>
          <w:highlight w:val="none"/>
        </w:rPr>
        <w:t>房地产价格的形成一般也如此，只是由于房地产的独一无二特性，使得完全相同的房地产几乎没有，但在同一个房地产市场上，相似的房地产会有相近的价格。因为在现实房地产交易中，任何理性的买者和卖者，都会将其拟买或拟卖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牵掣的结果，是他们的价格相互接近。</w:t>
      </w:r>
    </w:p>
    <w:p>
      <w:pPr>
        <w:snapToGrid w:val="0"/>
        <w:spacing w:line="500" w:lineRule="exact"/>
        <w:ind w:firstLine="540"/>
        <w:rPr>
          <w:rFonts w:eastAsia="仿宋_GB2312"/>
          <w:color w:val="auto"/>
          <w:sz w:val="28"/>
          <w:szCs w:val="28"/>
          <w:highlight w:val="none"/>
        </w:rPr>
      </w:pPr>
      <w:r>
        <w:rPr>
          <w:rFonts w:eastAsia="仿宋_GB2312"/>
          <w:color w:val="auto"/>
          <w:sz w:val="28"/>
          <w:szCs w:val="28"/>
          <w:highlight w:val="none"/>
        </w:rPr>
        <w:t>本次评估中，比较法选取具有替代性的案例，遵循了替代原则。</w:t>
      </w:r>
    </w:p>
    <w:p>
      <w:pPr>
        <w:widowControl/>
        <w:numPr>
          <w:ilvl w:val="0"/>
          <w:numId w:val="3"/>
        </w:numPr>
        <w:snapToGrid w:val="0"/>
        <w:spacing w:line="500" w:lineRule="exact"/>
        <w:rPr>
          <w:rFonts w:eastAsia="仿宋_GB2312"/>
          <w:color w:val="auto"/>
          <w:sz w:val="28"/>
          <w:szCs w:val="28"/>
          <w:highlight w:val="none"/>
        </w:rPr>
      </w:pPr>
      <w:r>
        <w:rPr>
          <w:rFonts w:hint="eastAsia" w:eastAsia="仿宋_GB2312" w:cs="仿宋_GB2312"/>
          <w:color w:val="auto"/>
          <w:sz w:val="28"/>
          <w:szCs w:val="28"/>
          <w:highlight w:val="none"/>
        </w:rPr>
        <w:t>最高最佳利用原则</w:t>
      </w:r>
    </w:p>
    <w:p>
      <w:pPr>
        <w:snapToGrid w:val="0"/>
        <w:spacing w:line="500" w:lineRule="exact"/>
        <w:ind w:firstLine="520"/>
        <w:rPr>
          <w:rFonts w:eastAsia="仿宋_GB2312"/>
          <w:color w:val="auto"/>
          <w:sz w:val="28"/>
          <w:szCs w:val="28"/>
          <w:highlight w:val="none"/>
        </w:rPr>
      </w:pPr>
      <w:r>
        <w:rPr>
          <w:rFonts w:hint="eastAsia" w:eastAsia="仿宋_GB2312" w:cs="仿宋_GB2312"/>
          <w:color w:val="auto"/>
          <w:sz w:val="28"/>
          <w:szCs w:val="28"/>
          <w:highlight w:val="none"/>
        </w:rPr>
        <w:t>要求估价结果是在估价对象最高最佳利用状况下的价值或价格的原则。</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eastAsia="仿宋_GB2312"/>
          <w:color w:val="auto"/>
          <w:sz w:val="28"/>
          <w:szCs w:val="28"/>
          <w:highlight w:val="none"/>
        </w:rPr>
      </w:pPr>
      <w:r>
        <w:rPr>
          <w:rFonts w:hint="eastAsia" w:eastAsia="仿宋_GB2312" w:cs="仿宋_GB2312"/>
          <w:color w:val="auto"/>
          <w:sz w:val="28"/>
          <w:szCs w:val="28"/>
          <w:highlight w:val="none"/>
        </w:rPr>
        <w:t>最高最佳利用必须同时满足四个条件：一是法律上允许；二是技术上可能；三是财务上可行；四是价值最大化。实际估价中在选取估价对象的最高最佳利用时，往往容易忽视</w:t>
      </w:r>
      <w:r>
        <w:rPr>
          <w:rFonts w:eastAsia="仿宋_GB2312"/>
          <w:color w:val="auto"/>
          <w:sz w:val="28"/>
          <w:szCs w:val="28"/>
          <w:highlight w:val="none"/>
        </w:rPr>
        <w:t>“</w:t>
      </w:r>
      <w:r>
        <w:rPr>
          <w:rFonts w:hint="eastAsia" w:eastAsia="仿宋_GB2312" w:cs="仿宋_GB2312"/>
          <w:color w:val="auto"/>
          <w:sz w:val="28"/>
          <w:szCs w:val="28"/>
          <w:highlight w:val="none"/>
        </w:rPr>
        <w:t>法律上允许</w:t>
      </w:r>
      <w:r>
        <w:rPr>
          <w:rFonts w:eastAsia="仿宋_GB2312"/>
          <w:color w:val="auto"/>
          <w:sz w:val="28"/>
          <w:szCs w:val="28"/>
          <w:highlight w:val="none"/>
        </w:rPr>
        <w:t>”</w:t>
      </w:r>
      <w:r>
        <w:rPr>
          <w:rFonts w:hint="eastAsia" w:eastAsia="仿宋_GB2312" w:cs="仿宋_GB2312"/>
          <w:color w:val="auto"/>
          <w:sz w:val="28"/>
          <w:szCs w:val="28"/>
          <w:highlight w:val="none"/>
        </w:rPr>
        <w:t>这个前提，甚至误以为最高最佳利用原则与合法原则有时是冲突的。实际上，最高最佳利用不是无条件的最高最佳利用，而是在法律、法规、政策以及建设用地使用权出让合同等允许范围内的最高最佳利用。因此，最高最佳利用原则与合法原则的关系是：遵循了合法原则，并不意味着会遵循最高最佳利用原则；而遵循了最高最佳利用原则，则必然符合了合法原则中对估价对象依法利用的要求，但并不意味着符合了合法原则中的其他要求。</w:t>
      </w:r>
    </w:p>
    <w:p>
      <w:pPr>
        <w:snapToGrid w:val="0"/>
        <w:spacing w:line="500" w:lineRule="exact"/>
        <w:ind w:firstLine="528"/>
        <w:rPr>
          <w:rFonts w:eastAsia="仿宋_GB2312"/>
          <w:color w:val="auto"/>
          <w:sz w:val="28"/>
          <w:szCs w:val="28"/>
          <w:highlight w:val="none"/>
        </w:rPr>
      </w:pPr>
      <w:r>
        <w:rPr>
          <w:rFonts w:hint="eastAsia" w:eastAsia="仿宋_GB2312" w:cs="仿宋_GB2312"/>
          <w:caps/>
          <w:color w:val="auto"/>
          <w:sz w:val="28"/>
          <w:szCs w:val="28"/>
          <w:highlight w:val="none"/>
        </w:rPr>
        <w:t>本估价报告对估价对象的最佳最有效利用进行了分析。</w:t>
      </w:r>
    </w:p>
    <w:p>
      <w:pPr>
        <w:pStyle w:val="3"/>
        <w:spacing w:before="0" w:after="0" w:line="500" w:lineRule="exact"/>
        <w:rPr>
          <w:rFonts w:eastAsia="仿宋_GB2312"/>
          <w:b w:val="0"/>
          <w:bCs w:val="0"/>
          <w:color w:val="auto"/>
          <w:sz w:val="28"/>
          <w:szCs w:val="28"/>
          <w:highlight w:val="none"/>
        </w:rPr>
      </w:pPr>
      <w:bookmarkStart w:id="139" w:name="_Toc106179020"/>
      <w:r>
        <w:rPr>
          <w:rFonts w:hint="eastAsia" w:eastAsia="仿宋_GB2312" w:cs="仿宋_GB2312"/>
          <w:color w:val="auto"/>
          <w:sz w:val="28"/>
          <w:szCs w:val="28"/>
          <w:highlight w:val="none"/>
        </w:rPr>
        <w:t>（八）估价依据</w:t>
      </w:r>
      <w:bookmarkEnd w:id="127"/>
      <w:bookmarkEnd w:id="128"/>
      <w:bookmarkEnd w:id="129"/>
      <w:bookmarkEnd w:id="130"/>
      <w:bookmarkEnd w:id="131"/>
      <w:bookmarkEnd w:id="132"/>
      <w:bookmarkEnd w:id="133"/>
      <w:bookmarkEnd w:id="134"/>
      <w:bookmarkEnd w:id="135"/>
      <w:bookmarkEnd w:id="136"/>
      <w:bookmarkEnd w:id="137"/>
      <w:bookmarkEnd w:id="139"/>
    </w:p>
    <w:p>
      <w:pPr>
        <w:widowControl/>
        <w:snapToGrid w:val="0"/>
        <w:spacing w:line="500" w:lineRule="exact"/>
        <w:ind w:left="567"/>
        <w:jc w:val="left"/>
        <w:rPr>
          <w:rFonts w:eastAsia="仿宋_GB2312"/>
          <w:b/>
          <w:bCs/>
          <w:color w:val="auto"/>
          <w:sz w:val="28"/>
          <w:szCs w:val="28"/>
          <w:highlight w:val="none"/>
        </w:rPr>
      </w:pPr>
      <w:bookmarkStart w:id="140" w:name="_Toc435110690"/>
      <w:r>
        <w:rPr>
          <w:rFonts w:eastAsia="仿宋_GB2312"/>
          <w:b/>
          <w:bCs/>
          <w:caps/>
          <w:color w:val="auto"/>
          <w:sz w:val="28"/>
          <w:szCs w:val="28"/>
          <w:highlight w:val="none"/>
        </w:rPr>
        <w:t>1.</w:t>
      </w:r>
      <w:r>
        <w:rPr>
          <w:rFonts w:hint="eastAsia" w:eastAsia="仿宋_GB2312" w:cs="仿宋_GB2312"/>
          <w:b/>
          <w:bCs/>
          <w:caps/>
          <w:color w:val="auto"/>
          <w:sz w:val="28"/>
          <w:szCs w:val="28"/>
          <w:highlight w:val="none"/>
        </w:rPr>
        <w:t>法律、法规和政策性文件</w:t>
      </w:r>
    </w:p>
    <w:p>
      <w:pPr>
        <w:numPr>
          <w:ilvl w:val="0"/>
          <w:numId w:val="4"/>
        </w:numPr>
        <w:snapToGrid w:val="0"/>
        <w:spacing w:line="500" w:lineRule="exact"/>
        <w:ind w:left="0" w:firstLine="560" w:firstLineChars="200"/>
        <w:rPr>
          <w:rFonts w:eastAsia="仿宋_GB2312" w:cs="仿宋_GB2312"/>
          <w:color w:val="auto"/>
          <w:sz w:val="28"/>
          <w:szCs w:val="28"/>
          <w:highlight w:val="none"/>
        </w:rPr>
      </w:pPr>
      <w:r>
        <w:rPr>
          <w:rFonts w:hint="eastAsia" w:eastAsia="仿宋_GB2312" w:cs="仿宋_GB2312"/>
          <w:color w:val="auto"/>
          <w:sz w:val="28"/>
          <w:szCs w:val="28"/>
          <w:highlight w:val="none"/>
        </w:rPr>
        <w:t>《中华人民共和国民法典》（</w:t>
      </w:r>
      <w:r>
        <w:rPr>
          <w:rFonts w:eastAsia="仿宋_GB2312" w:cs="仿宋_GB2312"/>
          <w:color w:val="auto"/>
          <w:sz w:val="28"/>
          <w:szCs w:val="28"/>
          <w:highlight w:val="none"/>
        </w:rPr>
        <w:t>2020</w:t>
      </w:r>
      <w:r>
        <w:rPr>
          <w:rFonts w:hint="eastAsia" w:eastAsia="仿宋_GB2312" w:cs="仿宋_GB2312"/>
          <w:color w:val="auto"/>
          <w:sz w:val="28"/>
          <w:szCs w:val="28"/>
          <w:highlight w:val="none"/>
        </w:rPr>
        <w:t>年</w:t>
      </w:r>
      <w:r>
        <w:rPr>
          <w:rFonts w:eastAsia="仿宋_GB2312" w:cs="仿宋_GB2312"/>
          <w:color w:val="auto"/>
          <w:sz w:val="28"/>
          <w:szCs w:val="28"/>
          <w:highlight w:val="none"/>
        </w:rPr>
        <w:t>5</w:t>
      </w:r>
      <w:r>
        <w:rPr>
          <w:rFonts w:hint="eastAsia" w:eastAsia="仿宋_GB2312" w:cs="仿宋_GB2312"/>
          <w:color w:val="auto"/>
          <w:sz w:val="28"/>
          <w:szCs w:val="28"/>
          <w:highlight w:val="none"/>
        </w:rPr>
        <w:t>月</w:t>
      </w:r>
      <w:r>
        <w:rPr>
          <w:rFonts w:eastAsia="仿宋_GB2312" w:cs="仿宋_GB2312"/>
          <w:color w:val="auto"/>
          <w:sz w:val="28"/>
          <w:szCs w:val="28"/>
          <w:highlight w:val="none"/>
        </w:rPr>
        <w:t>28</w:t>
      </w:r>
      <w:r>
        <w:rPr>
          <w:rFonts w:hint="eastAsia" w:eastAsia="仿宋_GB2312" w:cs="仿宋_GB2312"/>
          <w:color w:val="auto"/>
          <w:sz w:val="28"/>
          <w:szCs w:val="28"/>
          <w:highlight w:val="none"/>
        </w:rPr>
        <w:t>日第十三届全国人民代表大会第三次会议通过，自</w:t>
      </w:r>
      <w:r>
        <w:rPr>
          <w:rFonts w:eastAsia="仿宋_GB2312" w:cs="仿宋_GB2312"/>
          <w:color w:val="auto"/>
          <w:sz w:val="28"/>
          <w:szCs w:val="28"/>
          <w:highlight w:val="none"/>
        </w:rPr>
        <w:t>2021</w:t>
      </w:r>
      <w:r>
        <w:rPr>
          <w:rFonts w:hint="eastAsia" w:eastAsia="仿宋_GB2312" w:cs="仿宋_GB2312"/>
          <w:color w:val="auto"/>
          <w:sz w:val="28"/>
          <w:szCs w:val="28"/>
          <w:highlight w:val="none"/>
        </w:rPr>
        <w:t>年</w:t>
      </w:r>
      <w:r>
        <w:rPr>
          <w:rFonts w:eastAsia="仿宋_GB2312" w:cs="仿宋_GB2312"/>
          <w:color w:val="auto"/>
          <w:sz w:val="28"/>
          <w:szCs w:val="28"/>
          <w:highlight w:val="none"/>
        </w:rPr>
        <w:t>1</w:t>
      </w:r>
      <w:r>
        <w:rPr>
          <w:rFonts w:hint="eastAsia" w:eastAsia="仿宋_GB2312" w:cs="仿宋_GB2312"/>
          <w:color w:val="auto"/>
          <w:sz w:val="28"/>
          <w:szCs w:val="28"/>
          <w:highlight w:val="none"/>
        </w:rPr>
        <w:t>月</w:t>
      </w:r>
      <w:r>
        <w:rPr>
          <w:rFonts w:eastAsia="仿宋_GB2312" w:cs="仿宋_GB2312"/>
          <w:color w:val="auto"/>
          <w:sz w:val="28"/>
          <w:szCs w:val="28"/>
          <w:highlight w:val="none"/>
        </w:rPr>
        <w:t>1</w:t>
      </w:r>
      <w:r>
        <w:rPr>
          <w:rFonts w:hint="eastAsia" w:eastAsia="仿宋_GB2312" w:cs="仿宋_GB2312"/>
          <w:color w:val="auto"/>
          <w:sz w:val="28"/>
          <w:szCs w:val="28"/>
          <w:highlight w:val="none"/>
        </w:rPr>
        <w:t>日起施行）；</w:t>
      </w:r>
    </w:p>
    <w:p>
      <w:pPr>
        <w:numPr>
          <w:ilvl w:val="0"/>
          <w:numId w:val="4"/>
        </w:numPr>
        <w:snapToGrid w:val="0"/>
        <w:spacing w:line="500" w:lineRule="exact"/>
        <w:ind w:left="0" w:firstLine="560" w:firstLineChars="200"/>
        <w:rPr>
          <w:rFonts w:eastAsia="仿宋_GB2312"/>
          <w:caps/>
          <w:color w:val="auto"/>
          <w:sz w:val="28"/>
          <w:szCs w:val="28"/>
          <w:highlight w:val="none"/>
        </w:rPr>
      </w:pPr>
      <w:r>
        <w:rPr>
          <w:rFonts w:hint="eastAsia" w:eastAsia="仿宋_GB2312" w:cs="仿宋_GB2312"/>
          <w:color w:val="auto"/>
          <w:sz w:val="28"/>
          <w:szCs w:val="28"/>
          <w:highlight w:val="none"/>
        </w:rPr>
        <w:t>《中华人民共和国城市房地产管理法》（2019年8月26日第十三届全国人民代表大会常务委员会第十二次会议通过，自2020年1月1日起施行）</w:t>
      </w:r>
      <w:r>
        <w:rPr>
          <w:rFonts w:hint="eastAsia" w:eastAsia="仿宋_GB2312" w:cs="仿宋_GB2312"/>
          <w:caps/>
          <w:color w:val="auto"/>
          <w:sz w:val="28"/>
          <w:szCs w:val="28"/>
          <w:highlight w:val="none"/>
        </w:rPr>
        <w:t>；</w:t>
      </w:r>
    </w:p>
    <w:p>
      <w:pPr>
        <w:numPr>
          <w:ilvl w:val="0"/>
          <w:numId w:val="4"/>
        </w:numPr>
        <w:snapToGrid w:val="0"/>
        <w:spacing w:line="500" w:lineRule="exact"/>
        <w:ind w:left="0" w:firstLine="560" w:firstLineChars="200"/>
        <w:rPr>
          <w:rFonts w:eastAsia="仿宋_GB2312"/>
          <w:caps/>
          <w:color w:val="auto"/>
          <w:sz w:val="28"/>
          <w:szCs w:val="28"/>
          <w:highlight w:val="none"/>
        </w:rPr>
      </w:pPr>
      <w:r>
        <w:rPr>
          <w:rFonts w:hint="eastAsia" w:eastAsia="仿宋_GB2312" w:cs="仿宋_GB2312"/>
          <w:color w:val="auto"/>
          <w:sz w:val="28"/>
          <w:szCs w:val="28"/>
          <w:highlight w:val="none"/>
        </w:rPr>
        <w:t>《中华人民共和国土地管理法》</w:t>
      </w:r>
      <w:r>
        <w:rPr>
          <w:rFonts w:eastAsia="仿宋_GB2312"/>
          <w:color w:val="auto"/>
          <w:sz w:val="28"/>
          <w:szCs w:val="28"/>
          <w:highlight w:val="none"/>
        </w:rPr>
        <w:t>(</w:t>
      </w:r>
      <w:r>
        <w:rPr>
          <w:rFonts w:hint="eastAsia" w:eastAsia="仿宋_GB2312" w:cs="仿宋_GB2312"/>
          <w:color w:val="auto"/>
          <w:sz w:val="28"/>
          <w:szCs w:val="28"/>
          <w:highlight w:val="none"/>
        </w:rPr>
        <w:t>2019年8月26日第十三届全国人民代表大会常务委员会第十二次会议通过，自2020年1月1日起施行</w:t>
      </w:r>
      <w:r>
        <w:rPr>
          <w:rFonts w:eastAsia="仿宋_GB2312"/>
          <w:color w:val="auto"/>
          <w:sz w:val="28"/>
          <w:szCs w:val="28"/>
          <w:highlight w:val="none"/>
        </w:rPr>
        <w:t>)</w:t>
      </w:r>
      <w:r>
        <w:rPr>
          <w:rFonts w:eastAsia="仿宋_GB2312"/>
          <w:caps/>
          <w:color w:val="auto"/>
          <w:sz w:val="28"/>
          <w:szCs w:val="28"/>
          <w:highlight w:val="none"/>
        </w:rPr>
        <w:t>;</w:t>
      </w:r>
    </w:p>
    <w:p>
      <w:pPr>
        <w:numPr>
          <w:ilvl w:val="0"/>
          <w:numId w:val="4"/>
        </w:numPr>
        <w:snapToGrid w:val="0"/>
        <w:spacing w:line="500" w:lineRule="exact"/>
        <w:ind w:left="0" w:firstLine="560" w:firstLineChars="200"/>
        <w:rPr>
          <w:rFonts w:eastAsia="仿宋_GB2312"/>
          <w:caps/>
          <w:color w:val="auto"/>
          <w:sz w:val="28"/>
          <w:szCs w:val="28"/>
          <w:highlight w:val="none"/>
        </w:rPr>
      </w:pPr>
      <w:r>
        <w:rPr>
          <w:rFonts w:hint="eastAsia" w:eastAsia="仿宋_GB2312" w:cs="仿宋_GB2312"/>
          <w:color w:val="auto"/>
          <w:sz w:val="28"/>
          <w:szCs w:val="28"/>
          <w:highlight w:val="none"/>
        </w:rPr>
        <w:t>《中华人民共和国土地管理法实施条例》</w:t>
      </w:r>
      <w:r>
        <w:rPr>
          <w:rFonts w:eastAsia="仿宋_GB2312"/>
          <w:color w:val="auto"/>
          <w:sz w:val="28"/>
          <w:szCs w:val="28"/>
          <w:highlight w:val="none"/>
        </w:rPr>
        <w:t>（中华人民共和国国务院令第256号，</w:t>
      </w:r>
      <w:r>
        <w:rPr>
          <w:rFonts w:hint="eastAsia" w:eastAsia="仿宋_GB2312"/>
          <w:color w:val="auto"/>
          <w:sz w:val="28"/>
          <w:szCs w:val="28"/>
          <w:highlight w:val="none"/>
        </w:rPr>
        <w:t>自2021年9月1日起施行</w:t>
      </w:r>
      <w:r>
        <w:rPr>
          <w:rFonts w:eastAsia="仿宋_GB2312"/>
          <w:color w:val="auto"/>
          <w:sz w:val="28"/>
          <w:szCs w:val="28"/>
          <w:highlight w:val="none"/>
        </w:rPr>
        <w:t>，20</w:t>
      </w:r>
      <w:r>
        <w:rPr>
          <w:rFonts w:hint="eastAsia" w:eastAsia="仿宋_GB2312"/>
          <w:color w:val="auto"/>
          <w:sz w:val="28"/>
          <w:szCs w:val="28"/>
          <w:highlight w:val="none"/>
        </w:rPr>
        <w:t>21</w:t>
      </w:r>
      <w:r>
        <w:rPr>
          <w:rFonts w:eastAsia="仿宋_GB2312"/>
          <w:color w:val="auto"/>
          <w:sz w:val="28"/>
          <w:szCs w:val="28"/>
          <w:highlight w:val="none"/>
        </w:rPr>
        <w:t>年7月2日第三次修正）</w:t>
      </w:r>
      <w:r>
        <w:rPr>
          <w:rFonts w:hint="eastAsia" w:eastAsia="仿宋_GB2312" w:cs="仿宋_GB2312"/>
          <w:caps/>
          <w:color w:val="auto"/>
          <w:sz w:val="28"/>
          <w:szCs w:val="28"/>
          <w:highlight w:val="none"/>
        </w:rPr>
        <w:t>；</w:t>
      </w:r>
    </w:p>
    <w:p>
      <w:pPr>
        <w:numPr>
          <w:ilvl w:val="0"/>
          <w:numId w:val="4"/>
        </w:numPr>
        <w:snapToGrid w:val="0"/>
        <w:spacing w:line="500" w:lineRule="exact"/>
        <w:ind w:left="0" w:firstLine="560" w:firstLineChars="200"/>
        <w:rPr>
          <w:rFonts w:eastAsia="仿宋_GB2312"/>
          <w:caps/>
          <w:color w:val="auto"/>
          <w:sz w:val="28"/>
          <w:szCs w:val="28"/>
          <w:highlight w:val="none"/>
        </w:rPr>
      </w:pPr>
      <w:r>
        <w:rPr>
          <w:rFonts w:hint="eastAsia" w:eastAsia="仿宋_GB2312" w:cs="仿宋_GB2312"/>
          <w:color w:val="auto"/>
          <w:sz w:val="28"/>
          <w:szCs w:val="28"/>
          <w:highlight w:val="none"/>
        </w:rPr>
        <w:t>《中华人民共和国城镇国有土地使用权出让和转让暂行条例》（</w:t>
      </w:r>
      <w:r>
        <w:rPr>
          <w:rFonts w:eastAsia="仿宋_GB2312" w:cs="仿宋_GB2312"/>
          <w:color w:val="auto"/>
          <w:sz w:val="28"/>
          <w:szCs w:val="28"/>
          <w:highlight w:val="none"/>
        </w:rPr>
        <w:t> 中华人民共和国国务院令第732号</w:t>
      </w:r>
      <w:r>
        <w:rPr>
          <w:rFonts w:hint="eastAsia" w:eastAsia="仿宋_GB2312" w:cs="仿宋_GB2312"/>
          <w:color w:val="auto"/>
          <w:sz w:val="28"/>
          <w:szCs w:val="28"/>
          <w:highlight w:val="none"/>
        </w:rPr>
        <w:t>，自2020年11月29日起实施）</w:t>
      </w:r>
      <w:r>
        <w:rPr>
          <w:rFonts w:hint="eastAsia" w:eastAsia="仿宋_GB2312" w:cs="仿宋_GB2312"/>
          <w:caps/>
          <w:color w:val="auto"/>
          <w:sz w:val="28"/>
          <w:szCs w:val="28"/>
          <w:highlight w:val="none"/>
        </w:rPr>
        <w:t>；</w:t>
      </w:r>
    </w:p>
    <w:p>
      <w:pPr>
        <w:numPr>
          <w:ilvl w:val="0"/>
          <w:numId w:val="4"/>
        </w:numPr>
        <w:snapToGrid w:val="0"/>
        <w:spacing w:line="500" w:lineRule="exact"/>
        <w:ind w:left="0" w:firstLine="560" w:firstLineChars="200"/>
        <w:rPr>
          <w:rFonts w:eastAsia="仿宋_GB2312"/>
          <w:color w:val="auto"/>
          <w:sz w:val="28"/>
          <w:szCs w:val="28"/>
          <w:highlight w:val="none"/>
        </w:rPr>
      </w:pPr>
      <w:r>
        <w:rPr>
          <w:rFonts w:hint="eastAsia" w:eastAsia="仿宋_GB2312" w:cs="仿宋_GB2312"/>
          <w:color w:val="auto"/>
          <w:sz w:val="28"/>
          <w:szCs w:val="28"/>
          <w:highlight w:val="none"/>
        </w:rPr>
        <w:t>《纳税人转让不动产增值税征收管理暂行办法》（国家税务总局公告</w:t>
      </w:r>
      <w:r>
        <w:rPr>
          <w:rFonts w:eastAsia="仿宋_GB2312"/>
          <w:color w:val="auto"/>
          <w:sz w:val="28"/>
          <w:szCs w:val="28"/>
          <w:highlight w:val="none"/>
        </w:rPr>
        <w:t>2016</w:t>
      </w:r>
      <w:r>
        <w:rPr>
          <w:rFonts w:hint="eastAsia" w:eastAsia="仿宋_GB2312" w:cs="仿宋_GB2312"/>
          <w:color w:val="auto"/>
          <w:sz w:val="28"/>
          <w:szCs w:val="28"/>
          <w:highlight w:val="none"/>
        </w:rPr>
        <w:t>年第</w:t>
      </w:r>
      <w:r>
        <w:rPr>
          <w:rFonts w:eastAsia="仿宋_GB2312"/>
          <w:color w:val="auto"/>
          <w:sz w:val="28"/>
          <w:szCs w:val="28"/>
          <w:highlight w:val="none"/>
        </w:rPr>
        <w:t>14</w:t>
      </w:r>
      <w:r>
        <w:rPr>
          <w:rFonts w:hint="eastAsia" w:eastAsia="仿宋_GB2312" w:cs="仿宋_GB2312"/>
          <w:color w:val="auto"/>
          <w:sz w:val="28"/>
          <w:szCs w:val="28"/>
          <w:highlight w:val="none"/>
        </w:rPr>
        <w:t>号）；</w:t>
      </w:r>
    </w:p>
    <w:p>
      <w:pPr>
        <w:numPr>
          <w:ilvl w:val="0"/>
          <w:numId w:val="4"/>
        </w:numPr>
        <w:snapToGrid w:val="0"/>
        <w:spacing w:line="500" w:lineRule="exact"/>
        <w:ind w:left="0" w:firstLine="560" w:firstLineChars="200"/>
        <w:rPr>
          <w:rFonts w:eastAsia="仿宋_GB2312"/>
          <w:color w:val="auto"/>
          <w:sz w:val="28"/>
          <w:szCs w:val="28"/>
          <w:highlight w:val="none"/>
        </w:rPr>
      </w:pPr>
      <w:r>
        <w:rPr>
          <w:rFonts w:hint="eastAsia" w:eastAsia="仿宋_GB2312" w:cs="仿宋_GB2312"/>
          <w:color w:val="auto"/>
          <w:sz w:val="28"/>
          <w:szCs w:val="28"/>
          <w:highlight w:val="none"/>
        </w:rPr>
        <w:t>《关于营改增后契税房产税土地增值税个人所得税计税依据问题的通知》（财税</w:t>
      </w:r>
      <w:r>
        <w:rPr>
          <w:rFonts w:eastAsia="仿宋_GB2312"/>
          <w:color w:val="auto"/>
          <w:sz w:val="28"/>
          <w:szCs w:val="28"/>
          <w:highlight w:val="none"/>
        </w:rPr>
        <w:t>[2016</w:t>
      </w:r>
      <w:r>
        <w:rPr>
          <w:rFonts w:hint="eastAsia" w:eastAsia="仿宋_GB2312"/>
          <w:color w:val="auto"/>
          <w:sz w:val="28"/>
          <w:szCs w:val="28"/>
          <w:highlight w:val="none"/>
        </w:rPr>
        <w:t>）</w:t>
      </w:r>
      <w:r>
        <w:rPr>
          <w:rFonts w:eastAsia="仿宋_GB2312"/>
          <w:color w:val="auto"/>
          <w:sz w:val="28"/>
          <w:szCs w:val="28"/>
          <w:highlight w:val="none"/>
        </w:rPr>
        <w:t>43</w:t>
      </w:r>
      <w:r>
        <w:rPr>
          <w:rFonts w:hint="eastAsia" w:eastAsia="仿宋_GB2312" w:cs="仿宋_GB2312"/>
          <w:color w:val="auto"/>
          <w:sz w:val="28"/>
          <w:szCs w:val="28"/>
          <w:highlight w:val="none"/>
        </w:rPr>
        <w:t>号）；</w:t>
      </w:r>
    </w:p>
    <w:p>
      <w:pPr>
        <w:numPr>
          <w:ilvl w:val="0"/>
          <w:numId w:val="4"/>
        </w:numPr>
        <w:snapToGrid w:val="0"/>
        <w:spacing w:line="500" w:lineRule="exact"/>
        <w:ind w:left="0" w:firstLine="560" w:firstLineChars="200"/>
        <w:rPr>
          <w:rFonts w:hint="eastAsia" w:eastAsia="仿宋_GB2312"/>
          <w:color w:val="auto"/>
          <w:sz w:val="28"/>
          <w:szCs w:val="28"/>
          <w:highlight w:val="none"/>
        </w:rPr>
      </w:pPr>
      <w:r>
        <w:rPr>
          <w:rFonts w:hint="eastAsia" w:eastAsia="仿宋_GB2312"/>
          <w:color w:val="auto"/>
          <w:sz w:val="28"/>
          <w:szCs w:val="28"/>
          <w:highlight w:val="none"/>
        </w:rPr>
        <w:t>《</w:t>
      </w:r>
      <w:r>
        <w:rPr>
          <w:rFonts w:eastAsia="仿宋_GB2312"/>
          <w:color w:val="auto"/>
          <w:sz w:val="28"/>
          <w:szCs w:val="28"/>
          <w:highlight w:val="none"/>
        </w:rPr>
        <w:t>中华人民共和国资产评估法》（中华人民共和国主席令第</w:t>
      </w:r>
      <w:r>
        <w:rPr>
          <w:rFonts w:hint="eastAsia" w:eastAsia="仿宋_GB2312"/>
          <w:color w:val="auto"/>
          <w:sz w:val="28"/>
          <w:szCs w:val="28"/>
          <w:highlight w:val="none"/>
        </w:rPr>
        <w:t>46</w:t>
      </w:r>
      <w:r>
        <w:rPr>
          <w:rFonts w:eastAsia="仿宋_GB2312"/>
          <w:color w:val="auto"/>
          <w:sz w:val="28"/>
          <w:szCs w:val="28"/>
          <w:highlight w:val="none"/>
        </w:rPr>
        <w:t>号，自2016年12月1日起施行）；</w:t>
      </w:r>
    </w:p>
    <w:p>
      <w:pPr>
        <w:numPr>
          <w:ilvl w:val="0"/>
          <w:numId w:val="4"/>
        </w:numPr>
        <w:snapToGrid w:val="0"/>
        <w:spacing w:line="500" w:lineRule="exact"/>
        <w:ind w:left="0" w:firstLine="560" w:firstLineChars="200"/>
        <w:rPr>
          <w:rFonts w:eastAsia="仿宋_GB2312"/>
          <w:color w:val="auto"/>
          <w:sz w:val="28"/>
          <w:szCs w:val="28"/>
          <w:highlight w:val="none"/>
        </w:rPr>
      </w:pPr>
      <w:r>
        <w:rPr>
          <w:rFonts w:eastAsia="仿宋_GB2312"/>
          <w:color w:val="auto"/>
          <w:sz w:val="28"/>
          <w:szCs w:val="28"/>
          <w:highlight w:val="none"/>
        </w:rPr>
        <w:t>《最高人民法院对外委托鉴定、评估、拍卖等工作管理规定》（法办发【2007】5号，自2007年9月l日施行）；</w:t>
      </w:r>
    </w:p>
    <w:p>
      <w:pPr>
        <w:numPr>
          <w:ilvl w:val="0"/>
          <w:numId w:val="4"/>
        </w:numPr>
        <w:snapToGrid w:val="0"/>
        <w:spacing w:line="500" w:lineRule="exact"/>
        <w:ind w:left="0" w:firstLine="560" w:firstLineChars="200"/>
        <w:rPr>
          <w:rFonts w:eastAsia="仿宋_GB2312"/>
          <w:color w:val="auto"/>
          <w:sz w:val="28"/>
          <w:szCs w:val="28"/>
          <w:highlight w:val="none"/>
        </w:rPr>
      </w:pPr>
      <w:r>
        <w:rPr>
          <w:rFonts w:eastAsia="仿宋_GB2312"/>
          <w:color w:val="auto"/>
          <w:sz w:val="28"/>
          <w:szCs w:val="28"/>
          <w:highlight w:val="none"/>
        </w:rPr>
        <w:t>《</w:t>
      </w:r>
      <w:bookmarkStart w:id="141" w:name="OLE_LINK41"/>
      <w:bookmarkStart w:id="142" w:name="OLE_LINK40"/>
      <w:r>
        <w:rPr>
          <w:rFonts w:eastAsia="仿宋_GB2312"/>
          <w:color w:val="auto"/>
          <w:sz w:val="28"/>
          <w:szCs w:val="28"/>
          <w:highlight w:val="none"/>
        </w:rPr>
        <w:t>人民法院委托评估工作规范</w:t>
      </w:r>
      <w:bookmarkEnd w:id="141"/>
      <w:bookmarkEnd w:id="142"/>
      <w:r>
        <w:rPr>
          <w:rFonts w:eastAsia="仿宋_GB2312"/>
          <w:color w:val="auto"/>
          <w:sz w:val="28"/>
          <w:szCs w:val="28"/>
          <w:highlight w:val="none"/>
        </w:rPr>
        <w:t>》（法办【2018】273号，2018年12月10日起施行）。</w:t>
      </w:r>
    </w:p>
    <w:p>
      <w:pPr>
        <w:snapToGrid w:val="0"/>
        <w:spacing w:line="500" w:lineRule="exact"/>
        <w:ind w:left="560"/>
        <w:rPr>
          <w:rFonts w:eastAsia="仿宋_GB2312"/>
          <w:b/>
          <w:bCs/>
          <w:color w:val="auto"/>
          <w:sz w:val="28"/>
          <w:szCs w:val="28"/>
          <w:highlight w:val="none"/>
        </w:rPr>
      </w:pPr>
      <w:r>
        <w:rPr>
          <w:rFonts w:eastAsia="仿宋_GB2312"/>
          <w:b/>
          <w:bCs/>
          <w:color w:val="auto"/>
          <w:sz w:val="28"/>
          <w:szCs w:val="28"/>
          <w:highlight w:val="none"/>
        </w:rPr>
        <w:t>2.</w:t>
      </w:r>
      <w:r>
        <w:rPr>
          <w:rFonts w:hint="eastAsia" w:eastAsia="仿宋_GB2312" w:cs="仿宋_GB2312"/>
          <w:b/>
          <w:bCs/>
          <w:color w:val="auto"/>
          <w:sz w:val="28"/>
          <w:szCs w:val="28"/>
          <w:highlight w:val="none"/>
        </w:rPr>
        <w:t>省市有关法律、行政法规、规章和政策</w:t>
      </w:r>
    </w:p>
    <w:p>
      <w:pPr>
        <w:numPr>
          <w:ilvl w:val="0"/>
          <w:numId w:val="5"/>
        </w:numPr>
        <w:snapToGrid w:val="0"/>
        <w:spacing w:line="500" w:lineRule="exact"/>
        <w:ind w:left="0" w:firstLine="560" w:firstLineChars="200"/>
        <w:rPr>
          <w:rFonts w:eastAsia="仿宋_GB2312"/>
          <w:color w:val="auto"/>
          <w:sz w:val="28"/>
          <w:szCs w:val="28"/>
          <w:highlight w:val="none"/>
        </w:rPr>
      </w:pPr>
      <w:r>
        <w:rPr>
          <w:rFonts w:hint="eastAsia" w:eastAsia="仿宋_GB2312"/>
          <w:color w:val="auto"/>
          <w:sz w:val="28"/>
          <w:szCs w:val="28"/>
          <w:highlight w:val="none"/>
        </w:rPr>
        <w:t>江西省实施《中华人民共和国土地管理法》办法（2022年3月29日江西省第十三届人民代表大会常务委员会第三十七次会议第二次修订，自2022年6月1日起施行）；</w:t>
      </w:r>
    </w:p>
    <w:p>
      <w:pPr>
        <w:numPr>
          <w:ilvl w:val="0"/>
          <w:numId w:val="5"/>
        </w:numPr>
        <w:snapToGrid w:val="0"/>
        <w:spacing w:line="500" w:lineRule="exact"/>
        <w:ind w:left="0" w:firstLine="560" w:firstLineChars="200"/>
        <w:rPr>
          <w:rFonts w:eastAsia="仿宋_GB2312"/>
          <w:color w:val="auto"/>
          <w:sz w:val="28"/>
          <w:szCs w:val="28"/>
          <w:highlight w:val="none"/>
        </w:rPr>
      </w:pPr>
      <w:r>
        <w:rPr>
          <w:rFonts w:hint="eastAsia" w:eastAsia="仿宋_GB2312"/>
          <w:color w:val="auto"/>
          <w:sz w:val="28"/>
          <w:szCs w:val="28"/>
          <w:highlight w:val="none"/>
        </w:rPr>
        <w:t>《江西省城市国有土地使用权出让和划拨管理条例》（江西省人大常委会公告第</w:t>
      </w:r>
      <w:r>
        <w:rPr>
          <w:rFonts w:eastAsia="仿宋_GB2312"/>
          <w:color w:val="auto"/>
          <w:sz w:val="28"/>
          <w:szCs w:val="28"/>
          <w:highlight w:val="none"/>
        </w:rPr>
        <w:t>66</w:t>
      </w:r>
      <w:r>
        <w:rPr>
          <w:rFonts w:hint="eastAsia" w:eastAsia="仿宋_GB2312"/>
          <w:color w:val="auto"/>
          <w:sz w:val="28"/>
          <w:szCs w:val="28"/>
          <w:highlight w:val="none"/>
        </w:rPr>
        <w:t>号</w:t>
      </w:r>
      <w:r>
        <w:rPr>
          <w:rFonts w:eastAsia="仿宋_GB2312"/>
          <w:color w:val="auto"/>
          <w:sz w:val="28"/>
          <w:szCs w:val="28"/>
          <w:highlight w:val="none"/>
        </w:rPr>
        <w:t>2010</w:t>
      </w:r>
      <w:r>
        <w:rPr>
          <w:rFonts w:hint="eastAsia" w:eastAsia="仿宋_GB2312"/>
          <w:color w:val="auto"/>
          <w:sz w:val="28"/>
          <w:szCs w:val="28"/>
          <w:highlight w:val="none"/>
        </w:rPr>
        <w:t>年</w:t>
      </w:r>
      <w:r>
        <w:rPr>
          <w:rFonts w:eastAsia="仿宋_GB2312"/>
          <w:color w:val="auto"/>
          <w:sz w:val="28"/>
          <w:szCs w:val="28"/>
          <w:highlight w:val="none"/>
        </w:rPr>
        <w:t>11</w:t>
      </w:r>
      <w:r>
        <w:rPr>
          <w:rFonts w:hint="eastAsia" w:eastAsia="仿宋_GB2312"/>
          <w:color w:val="auto"/>
          <w:sz w:val="28"/>
          <w:szCs w:val="28"/>
          <w:highlight w:val="none"/>
        </w:rPr>
        <w:t>月</w:t>
      </w:r>
      <w:r>
        <w:rPr>
          <w:rFonts w:eastAsia="仿宋_GB2312"/>
          <w:color w:val="auto"/>
          <w:sz w:val="28"/>
          <w:szCs w:val="28"/>
          <w:highlight w:val="none"/>
        </w:rPr>
        <w:t>29</w:t>
      </w:r>
      <w:r>
        <w:rPr>
          <w:rFonts w:hint="eastAsia" w:eastAsia="仿宋_GB2312"/>
          <w:color w:val="auto"/>
          <w:sz w:val="28"/>
          <w:szCs w:val="28"/>
          <w:highlight w:val="none"/>
        </w:rPr>
        <w:t>日修改）；</w:t>
      </w:r>
    </w:p>
    <w:p>
      <w:pPr>
        <w:widowControl/>
        <w:snapToGrid w:val="0"/>
        <w:spacing w:line="500" w:lineRule="exact"/>
        <w:ind w:left="567"/>
        <w:jc w:val="left"/>
        <w:rPr>
          <w:rFonts w:eastAsia="仿宋_GB2312"/>
          <w:b/>
          <w:bCs/>
          <w:caps/>
          <w:color w:val="auto"/>
          <w:sz w:val="28"/>
          <w:szCs w:val="28"/>
          <w:highlight w:val="none"/>
        </w:rPr>
      </w:pPr>
      <w:r>
        <w:rPr>
          <w:rFonts w:eastAsia="仿宋_GB2312"/>
          <w:b/>
          <w:bCs/>
          <w:caps/>
          <w:color w:val="auto"/>
          <w:sz w:val="28"/>
          <w:szCs w:val="28"/>
          <w:highlight w:val="none"/>
        </w:rPr>
        <w:t>3.</w:t>
      </w:r>
      <w:r>
        <w:rPr>
          <w:rFonts w:hint="eastAsia" w:eastAsia="仿宋_GB2312" w:cs="仿宋_GB2312"/>
          <w:b/>
          <w:bCs/>
          <w:caps/>
          <w:color w:val="auto"/>
          <w:sz w:val="28"/>
          <w:szCs w:val="28"/>
          <w:highlight w:val="none"/>
        </w:rPr>
        <w:t>技术标准、规程、规范</w:t>
      </w:r>
    </w:p>
    <w:p>
      <w:pPr>
        <w:numPr>
          <w:ilvl w:val="0"/>
          <w:numId w:val="6"/>
        </w:numPr>
        <w:snapToGrid w:val="0"/>
        <w:spacing w:line="500" w:lineRule="exact"/>
        <w:rPr>
          <w:rFonts w:eastAsia="仿宋_GB2312"/>
          <w:color w:val="auto"/>
          <w:sz w:val="28"/>
          <w:szCs w:val="28"/>
          <w:highlight w:val="none"/>
        </w:rPr>
      </w:pPr>
      <w:r>
        <w:rPr>
          <w:rFonts w:hint="eastAsia" w:eastAsia="仿宋_GB2312"/>
          <w:color w:val="auto"/>
          <w:sz w:val="28"/>
          <w:szCs w:val="28"/>
          <w:highlight w:val="none"/>
        </w:rPr>
        <w:t>《房地产估价规范》（</w:t>
      </w:r>
      <w:r>
        <w:rPr>
          <w:rFonts w:eastAsia="仿宋_GB2312"/>
          <w:color w:val="auto"/>
          <w:sz w:val="28"/>
          <w:szCs w:val="28"/>
          <w:highlight w:val="none"/>
        </w:rPr>
        <w:t>GB/T 50291-2015</w:t>
      </w:r>
      <w:r>
        <w:rPr>
          <w:rFonts w:hint="eastAsia" w:eastAsia="仿宋_GB2312"/>
          <w:color w:val="auto"/>
          <w:sz w:val="28"/>
          <w:szCs w:val="28"/>
          <w:highlight w:val="none"/>
        </w:rPr>
        <w:t>）；</w:t>
      </w:r>
    </w:p>
    <w:p>
      <w:pPr>
        <w:numPr>
          <w:ilvl w:val="0"/>
          <w:numId w:val="6"/>
        </w:numPr>
        <w:snapToGrid w:val="0"/>
        <w:spacing w:line="500" w:lineRule="exact"/>
        <w:ind w:left="0" w:firstLine="560" w:firstLineChars="200"/>
        <w:rPr>
          <w:rFonts w:eastAsia="仿宋_GB2312"/>
          <w:color w:val="auto"/>
          <w:sz w:val="28"/>
          <w:szCs w:val="28"/>
          <w:highlight w:val="none"/>
        </w:rPr>
      </w:pPr>
      <w:r>
        <w:rPr>
          <w:rFonts w:hint="eastAsia" w:eastAsia="仿宋_GB2312"/>
          <w:color w:val="auto"/>
          <w:sz w:val="28"/>
          <w:szCs w:val="28"/>
          <w:highlight w:val="none"/>
        </w:rPr>
        <w:t>《房地产估价基本术语标准》（</w:t>
      </w:r>
      <w:r>
        <w:rPr>
          <w:rFonts w:eastAsia="仿宋_GB2312"/>
          <w:color w:val="auto"/>
          <w:sz w:val="28"/>
          <w:szCs w:val="28"/>
          <w:highlight w:val="none"/>
        </w:rPr>
        <w:t>GB/T 50899-2013</w:t>
      </w:r>
      <w:r>
        <w:rPr>
          <w:rFonts w:hint="eastAsia" w:eastAsia="仿宋_GB2312"/>
          <w:color w:val="auto"/>
          <w:sz w:val="28"/>
          <w:szCs w:val="28"/>
          <w:highlight w:val="none"/>
        </w:rPr>
        <w:t>）。</w:t>
      </w:r>
    </w:p>
    <w:p>
      <w:pPr>
        <w:widowControl/>
        <w:snapToGrid w:val="0"/>
        <w:spacing w:line="500" w:lineRule="exact"/>
        <w:ind w:left="567"/>
        <w:jc w:val="left"/>
        <w:rPr>
          <w:rFonts w:eastAsia="仿宋_GB2312"/>
          <w:b/>
          <w:bCs/>
          <w:caps/>
          <w:color w:val="auto"/>
          <w:sz w:val="28"/>
          <w:szCs w:val="28"/>
          <w:highlight w:val="none"/>
        </w:rPr>
      </w:pPr>
      <w:r>
        <w:rPr>
          <w:rFonts w:eastAsia="仿宋_GB2312"/>
          <w:b/>
          <w:bCs/>
          <w:caps/>
          <w:color w:val="auto"/>
          <w:sz w:val="28"/>
          <w:szCs w:val="28"/>
          <w:highlight w:val="none"/>
        </w:rPr>
        <w:t>4.</w:t>
      </w:r>
      <w:r>
        <w:rPr>
          <w:rFonts w:hint="eastAsia" w:eastAsia="仿宋_GB2312" w:cs="仿宋_GB2312"/>
          <w:b/>
          <w:bCs/>
          <w:caps/>
          <w:color w:val="auto"/>
          <w:sz w:val="28"/>
          <w:szCs w:val="28"/>
          <w:highlight w:val="none"/>
        </w:rPr>
        <w:t>估价委托人提供的有关资料</w:t>
      </w:r>
    </w:p>
    <w:p>
      <w:pPr>
        <w:numPr>
          <w:ilvl w:val="0"/>
          <w:numId w:val="7"/>
        </w:numPr>
        <w:snapToGrid w:val="0"/>
        <w:spacing w:line="500" w:lineRule="exact"/>
        <w:rPr>
          <w:rFonts w:eastAsia="仿宋_GB2312"/>
          <w:color w:val="auto"/>
          <w:sz w:val="28"/>
          <w:szCs w:val="28"/>
          <w:highlight w:val="none"/>
        </w:rPr>
      </w:pPr>
      <w:r>
        <w:rPr>
          <w:rFonts w:hint="eastAsia" w:eastAsia="仿宋_GB2312"/>
          <w:color w:val="auto"/>
          <w:sz w:val="28"/>
          <w:szCs w:val="28"/>
          <w:highlight w:val="none"/>
        </w:rPr>
        <w:t>《吉安市吉州区人民法院司法技术委托书》复印件；</w:t>
      </w:r>
    </w:p>
    <w:p>
      <w:pPr>
        <w:numPr>
          <w:ilvl w:val="0"/>
          <w:numId w:val="7"/>
        </w:numPr>
        <w:snapToGrid w:val="0"/>
        <w:spacing w:line="500" w:lineRule="exact"/>
        <w:ind w:left="0" w:firstLine="560" w:firstLineChars="200"/>
        <w:rPr>
          <w:rFonts w:eastAsia="仿宋_GB2312"/>
          <w:color w:val="auto"/>
          <w:sz w:val="28"/>
          <w:szCs w:val="28"/>
          <w:highlight w:val="none"/>
        </w:rPr>
      </w:pPr>
      <w:r>
        <w:rPr>
          <w:rFonts w:hint="eastAsia" w:eastAsia="仿宋_GB2312"/>
          <w:color w:val="auto"/>
          <w:sz w:val="28"/>
          <w:szCs w:val="28"/>
          <w:highlight w:val="none"/>
        </w:rPr>
        <w:t>《</w:t>
      </w:r>
      <w:r>
        <w:rPr>
          <w:rFonts w:hint="eastAsia" w:eastAsia="仿宋_GB2312" w:cs="仿宋_GB2312"/>
          <w:color w:val="auto"/>
          <w:sz w:val="28"/>
          <w:szCs w:val="28"/>
          <w:highlight w:val="none"/>
        </w:rPr>
        <w:t>合同备案库查询单</w:t>
      </w:r>
      <w:r>
        <w:rPr>
          <w:rFonts w:hint="eastAsia" w:eastAsia="仿宋_GB2312"/>
          <w:color w:val="auto"/>
          <w:sz w:val="28"/>
          <w:szCs w:val="28"/>
          <w:highlight w:val="none"/>
        </w:rPr>
        <w:t>》复印件。</w:t>
      </w:r>
    </w:p>
    <w:p>
      <w:pPr>
        <w:widowControl/>
        <w:snapToGrid w:val="0"/>
        <w:spacing w:line="500" w:lineRule="exact"/>
        <w:ind w:left="567"/>
        <w:jc w:val="left"/>
        <w:rPr>
          <w:rFonts w:eastAsia="仿宋_GB2312"/>
          <w:b/>
          <w:bCs/>
          <w:caps/>
          <w:color w:val="auto"/>
          <w:sz w:val="28"/>
          <w:szCs w:val="28"/>
          <w:highlight w:val="none"/>
        </w:rPr>
      </w:pPr>
      <w:r>
        <w:rPr>
          <w:rFonts w:eastAsia="仿宋_GB2312"/>
          <w:b/>
          <w:bCs/>
          <w:caps/>
          <w:color w:val="auto"/>
          <w:sz w:val="28"/>
          <w:szCs w:val="28"/>
          <w:highlight w:val="none"/>
        </w:rPr>
        <w:t>5.</w:t>
      </w:r>
      <w:r>
        <w:rPr>
          <w:rFonts w:hint="eastAsia" w:eastAsia="仿宋_GB2312" w:cs="仿宋_GB2312"/>
          <w:b/>
          <w:bCs/>
          <w:caps/>
          <w:color w:val="auto"/>
          <w:sz w:val="28"/>
          <w:szCs w:val="28"/>
          <w:highlight w:val="none"/>
        </w:rPr>
        <w:t>估价机构和注册房地产估价师掌握和搜集的有关资料</w:t>
      </w:r>
    </w:p>
    <w:p>
      <w:pPr>
        <w:numPr>
          <w:ilvl w:val="0"/>
          <w:numId w:val="8"/>
        </w:numPr>
        <w:snapToGrid w:val="0"/>
        <w:spacing w:line="500" w:lineRule="exact"/>
        <w:rPr>
          <w:rFonts w:eastAsia="仿宋_GB2312"/>
          <w:color w:val="auto"/>
          <w:sz w:val="28"/>
          <w:szCs w:val="28"/>
          <w:highlight w:val="none"/>
        </w:rPr>
      </w:pPr>
      <w:r>
        <w:rPr>
          <w:rFonts w:hint="eastAsia" w:eastAsia="仿宋_GB2312"/>
          <w:color w:val="auto"/>
          <w:sz w:val="28"/>
          <w:szCs w:val="28"/>
          <w:highlight w:val="none"/>
        </w:rPr>
        <w:t>实地查勘、摄影和记录；</w:t>
      </w:r>
    </w:p>
    <w:p>
      <w:pPr>
        <w:numPr>
          <w:ilvl w:val="0"/>
          <w:numId w:val="8"/>
        </w:numPr>
        <w:snapToGrid w:val="0"/>
        <w:spacing w:line="500" w:lineRule="exact"/>
        <w:ind w:left="0" w:firstLine="560" w:firstLineChars="200"/>
        <w:rPr>
          <w:rFonts w:eastAsia="仿宋_GB2312"/>
          <w:color w:val="auto"/>
          <w:sz w:val="28"/>
          <w:szCs w:val="28"/>
          <w:highlight w:val="none"/>
        </w:rPr>
      </w:pPr>
      <w:r>
        <w:rPr>
          <w:rFonts w:hint="eastAsia" w:eastAsia="仿宋_GB2312"/>
          <w:color w:val="auto"/>
          <w:sz w:val="28"/>
          <w:szCs w:val="28"/>
          <w:highlight w:val="none"/>
        </w:rPr>
        <w:t>法定优先受偿权利调查；</w:t>
      </w:r>
    </w:p>
    <w:p>
      <w:pPr>
        <w:numPr>
          <w:ilvl w:val="0"/>
          <w:numId w:val="8"/>
        </w:numPr>
        <w:snapToGrid w:val="0"/>
        <w:spacing w:line="500" w:lineRule="exact"/>
        <w:ind w:left="0" w:firstLine="560" w:firstLineChars="200"/>
        <w:rPr>
          <w:rFonts w:eastAsia="仿宋_GB2312"/>
          <w:color w:val="auto"/>
          <w:sz w:val="28"/>
          <w:szCs w:val="28"/>
          <w:highlight w:val="none"/>
        </w:rPr>
      </w:pPr>
      <w:r>
        <w:rPr>
          <w:rFonts w:hint="eastAsia" w:eastAsia="仿宋_GB2312"/>
          <w:color w:val="auto"/>
          <w:sz w:val="28"/>
          <w:szCs w:val="28"/>
          <w:highlight w:val="none"/>
        </w:rPr>
        <w:t>吉安市房地产市场信息；</w:t>
      </w:r>
    </w:p>
    <w:p>
      <w:pPr>
        <w:numPr>
          <w:ilvl w:val="0"/>
          <w:numId w:val="8"/>
        </w:numPr>
        <w:snapToGrid w:val="0"/>
        <w:spacing w:line="500" w:lineRule="exact"/>
        <w:ind w:left="0" w:firstLine="560" w:firstLineChars="200"/>
        <w:rPr>
          <w:rFonts w:eastAsia="仿宋_GB2312"/>
          <w:color w:val="auto"/>
          <w:sz w:val="28"/>
          <w:szCs w:val="28"/>
          <w:highlight w:val="none"/>
        </w:rPr>
      </w:pPr>
      <w:r>
        <w:rPr>
          <w:rFonts w:hint="eastAsia" w:eastAsia="仿宋_GB2312"/>
          <w:color w:val="auto"/>
          <w:sz w:val="28"/>
          <w:szCs w:val="28"/>
          <w:highlight w:val="none"/>
        </w:rPr>
        <w:t>吉安市建筑工程造价信息；</w:t>
      </w:r>
    </w:p>
    <w:p>
      <w:pPr>
        <w:numPr>
          <w:ilvl w:val="0"/>
          <w:numId w:val="8"/>
        </w:numPr>
        <w:snapToGrid w:val="0"/>
        <w:spacing w:line="500" w:lineRule="exact"/>
        <w:ind w:left="0" w:firstLine="560" w:firstLineChars="200"/>
        <w:rPr>
          <w:rFonts w:eastAsia="仿宋_GB2312"/>
          <w:color w:val="auto"/>
          <w:sz w:val="28"/>
          <w:szCs w:val="28"/>
          <w:highlight w:val="none"/>
        </w:rPr>
      </w:pPr>
      <w:r>
        <w:rPr>
          <w:rFonts w:hint="eastAsia" w:eastAsia="仿宋_GB2312"/>
          <w:color w:val="auto"/>
          <w:sz w:val="28"/>
          <w:szCs w:val="28"/>
          <w:highlight w:val="none"/>
        </w:rPr>
        <w:t>人民银行公布的资金存、贷款利率；</w:t>
      </w:r>
    </w:p>
    <w:p>
      <w:pPr>
        <w:numPr>
          <w:ilvl w:val="0"/>
          <w:numId w:val="8"/>
        </w:numPr>
        <w:snapToGrid w:val="0"/>
        <w:spacing w:line="500" w:lineRule="exact"/>
        <w:ind w:left="0" w:firstLine="560" w:firstLineChars="200"/>
        <w:rPr>
          <w:rFonts w:eastAsia="仿宋_GB2312"/>
          <w:color w:val="auto"/>
          <w:sz w:val="28"/>
          <w:szCs w:val="28"/>
          <w:highlight w:val="none"/>
        </w:rPr>
      </w:pPr>
      <w:r>
        <w:rPr>
          <w:rFonts w:hint="eastAsia" w:eastAsia="仿宋_GB2312"/>
          <w:color w:val="auto"/>
          <w:sz w:val="28"/>
          <w:szCs w:val="28"/>
          <w:highlight w:val="none"/>
        </w:rPr>
        <w:t>估价机构及注册房地产估价师掌握的其他相关信息资料。</w:t>
      </w:r>
    </w:p>
    <w:p>
      <w:pPr>
        <w:pStyle w:val="3"/>
        <w:spacing w:before="0" w:after="0" w:line="500" w:lineRule="exact"/>
        <w:rPr>
          <w:rFonts w:eastAsia="仿宋_GB2312" w:cs="仿宋_GB2312"/>
          <w:color w:val="auto"/>
          <w:sz w:val="28"/>
          <w:szCs w:val="28"/>
          <w:highlight w:val="none"/>
        </w:rPr>
      </w:pPr>
      <w:bookmarkStart w:id="143" w:name="_Toc106179021"/>
      <w:r>
        <w:rPr>
          <w:rFonts w:hint="eastAsia" w:eastAsia="仿宋_GB2312" w:cs="仿宋_GB2312"/>
          <w:color w:val="auto"/>
          <w:sz w:val="28"/>
          <w:szCs w:val="28"/>
          <w:highlight w:val="none"/>
        </w:rPr>
        <w:t>（九）</w:t>
      </w:r>
      <w:bookmarkStart w:id="144" w:name="_Toc243111693"/>
      <w:bookmarkStart w:id="145" w:name="_Toc130033729"/>
      <w:bookmarkStart w:id="146" w:name="_Toc301369723"/>
      <w:bookmarkStart w:id="147" w:name="_Toc270691075"/>
      <w:bookmarkStart w:id="148" w:name="_Toc254860133"/>
      <w:bookmarkStart w:id="149" w:name="_Toc135016179"/>
      <w:bookmarkStart w:id="150" w:name="_Toc367869505"/>
      <w:bookmarkStart w:id="151" w:name="_Toc243111722"/>
      <w:bookmarkStart w:id="152" w:name="_Toc269132876"/>
      <w:bookmarkStart w:id="153" w:name="_Toc254875147"/>
      <w:r>
        <w:rPr>
          <w:rFonts w:hint="eastAsia" w:eastAsia="仿宋_GB2312" w:cs="仿宋_GB2312"/>
          <w:color w:val="auto"/>
          <w:sz w:val="28"/>
          <w:szCs w:val="28"/>
          <w:highlight w:val="none"/>
        </w:rPr>
        <w:t>估价方法</w:t>
      </w:r>
      <w:bookmarkEnd w:id="140"/>
      <w:bookmarkEnd w:id="143"/>
      <w:bookmarkEnd w:id="144"/>
      <w:bookmarkEnd w:id="145"/>
      <w:bookmarkEnd w:id="146"/>
      <w:bookmarkEnd w:id="147"/>
      <w:bookmarkEnd w:id="148"/>
      <w:bookmarkEnd w:id="149"/>
      <w:bookmarkEnd w:id="150"/>
      <w:bookmarkEnd w:id="151"/>
      <w:bookmarkEnd w:id="152"/>
      <w:bookmarkEnd w:id="153"/>
    </w:p>
    <w:p>
      <w:pPr>
        <w:snapToGrid w:val="0"/>
        <w:spacing w:line="500" w:lineRule="exact"/>
        <w:ind w:firstLine="560" w:firstLineChars="200"/>
        <w:rPr>
          <w:rFonts w:eastAsia="仿宋_GB2312"/>
          <w:color w:val="auto"/>
          <w:sz w:val="28"/>
          <w:szCs w:val="28"/>
          <w:highlight w:val="none"/>
        </w:rPr>
      </w:pPr>
      <w:bookmarkStart w:id="154" w:name="_Toc301369724"/>
      <w:bookmarkStart w:id="155" w:name="_Toc254875148"/>
      <w:bookmarkStart w:id="156" w:name="_Toc135016180"/>
      <w:bookmarkStart w:id="157" w:name="_Toc269132877"/>
      <w:bookmarkStart w:id="158" w:name="_Toc243111694"/>
      <w:bookmarkStart w:id="159" w:name="_Toc435110691"/>
      <w:bookmarkStart w:id="160" w:name="_Toc270691076"/>
      <w:bookmarkStart w:id="161" w:name="_Toc243111723"/>
      <w:bookmarkStart w:id="162" w:name="_Toc367869506"/>
      <w:bookmarkStart w:id="163" w:name="_Toc254860134"/>
      <w:bookmarkStart w:id="164" w:name="_Toc130033730"/>
      <w:r>
        <w:rPr>
          <w:rFonts w:hint="eastAsia" w:eastAsia="仿宋_GB2312" w:cs="仿宋_GB2312"/>
          <w:color w:val="auto"/>
          <w:sz w:val="28"/>
          <w:szCs w:val="28"/>
          <w:highlight w:val="none"/>
        </w:rPr>
        <w:t>根据《房地产估价规范》（</w:t>
      </w:r>
      <w:r>
        <w:rPr>
          <w:rFonts w:eastAsia="仿宋_GB2312"/>
          <w:color w:val="auto"/>
          <w:sz w:val="28"/>
          <w:szCs w:val="28"/>
          <w:highlight w:val="none"/>
        </w:rPr>
        <w:t>GB/T 50291-2015</w:t>
      </w:r>
      <w:r>
        <w:rPr>
          <w:rFonts w:hint="eastAsia" w:eastAsia="仿宋_GB2312" w:cs="仿宋_GB2312"/>
          <w:color w:val="auto"/>
          <w:sz w:val="28"/>
          <w:szCs w:val="28"/>
          <w:highlight w:val="none"/>
        </w:rPr>
        <w:t>），通行的估价方法有比较法、收益法、成本法、假设开发法等。估价方法的选择应根据当地房地产市场发育情况并结合估价对象的具体特点及估价目的等，选择适当的估价方法。</w:t>
      </w:r>
    </w:p>
    <w:p>
      <w:pPr>
        <w:adjustRightInd w:val="0"/>
        <w:snapToGrid w:val="0"/>
        <w:spacing w:line="500" w:lineRule="exact"/>
        <w:ind w:firstLine="562" w:firstLineChars="200"/>
        <w:rPr>
          <w:rFonts w:eastAsia="仿宋_GB2312"/>
          <w:b/>
          <w:bCs/>
          <w:color w:val="auto"/>
          <w:sz w:val="28"/>
          <w:szCs w:val="28"/>
          <w:highlight w:val="none"/>
        </w:rPr>
      </w:pPr>
      <w:r>
        <w:rPr>
          <w:rFonts w:eastAsia="仿宋_GB2312"/>
          <w:b/>
          <w:bCs/>
          <w:color w:val="auto"/>
          <w:sz w:val="28"/>
          <w:szCs w:val="28"/>
          <w:highlight w:val="none"/>
        </w:rPr>
        <w:t>1</w:t>
      </w:r>
      <w:r>
        <w:rPr>
          <w:rFonts w:hint="eastAsia" w:eastAsia="仿宋_GB2312" w:cs="仿宋_GB2312"/>
          <w:b/>
          <w:bCs/>
          <w:color w:val="auto"/>
          <w:sz w:val="28"/>
          <w:szCs w:val="28"/>
          <w:highlight w:val="none"/>
        </w:rPr>
        <w:t>．方法选用分析</w:t>
      </w:r>
    </w:p>
    <w:p>
      <w:pPr>
        <w:snapToGrid w:val="0"/>
        <w:spacing w:line="500" w:lineRule="exact"/>
        <w:ind w:firstLine="560" w:firstLineChars="200"/>
        <w:rPr>
          <w:rFonts w:eastAsia="仿宋_GB2312"/>
          <w:color w:val="auto"/>
          <w:sz w:val="28"/>
          <w:szCs w:val="28"/>
          <w:highlight w:val="none"/>
        </w:rPr>
      </w:pPr>
      <w:r>
        <w:rPr>
          <w:rFonts w:hint="eastAsia" w:eastAsia="仿宋_GB2312" w:cs="仿宋_GB2312"/>
          <w:color w:val="auto"/>
          <w:sz w:val="28"/>
          <w:szCs w:val="28"/>
          <w:highlight w:val="none"/>
        </w:rPr>
        <w:t>注册房地产估价师在认真分析所掌握的资料，并对估价对象进行了实地查勘以及对周边房地产市场进行调查后，根据《房地产估价规范》（</w:t>
      </w:r>
      <w:r>
        <w:rPr>
          <w:rFonts w:eastAsia="仿宋_GB2312"/>
          <w:color w:val="auto"/>
          <w:sz w:val="28"/>
          <w:szCs w:val="28"/>
          <w:highlight w:val="none"/>
        </w:rPr>
        <w:t>GB/T 50291-2015</w:t>
      </w:r>
      <w:r>
        <w:rPr>
          <w:rFonts w:hint="eastAsia" w:eastAsia="仿宋_GB2312" w:cs="仿宋_GB2312"/>
          <w:color w:val="auto"/>
          <w:sz w:val="28"/>
          <w:szCs w:val="28"/>
          <w:highlight w:val="none"/>
        </w:rPr>
        <w:t>）、</w:t>
      </w:r>
      <w:r>
        <w:rPr>
          <w:rFonts w:hint="eastAsia" w:eastAsia="仿宋_GB2312" w:cs="仿宋_GB2312"/>
          <w:caps/>
          <w:color w:val="auto"/>
          <w:sz w:val="28"/>
          <w:szCs w:val="28"/>
          <w:highlight w:val="none"/>
        </w:rPr>
        <w:t>《房地产估价基本术语标准》（</w:t>
      </w:r>
      <w:r>
        <w:rPr>
          <w:rFonts w:eastAsia="仿宋_GB2312"/>
          <w:caps/>
          <w:color w:val="auto"/>
          <w:sz w:val="28"/>
          <w:szCs w:val="28"/>
          <w:highlight w:val="none"/>
        </w:rPr>
        <w:t>GB/T50899-2013</w:t>
      </w:r>
      <w:r>
        <w:rPr>
          <w:rFonts w:hint="eastAsia" w:eastAsia="仿宋_GB2312" w:cs="仿宋_GB2312"/>
          <w:caps/>
          <w:color w:val="auto"/>
          <w:sz w:val="28"/>
          <w:szCs w:val="28"/>
          <w:highlight w:val="none"/>
        </w:rPr>
        <w:t>）</w:t>
      </w:r>
      <w:r>
        <w:rPr>
          <w:rFonts w:hint="eastAsia" w:eastAsia="仿宋_GB2312" w:cs="仿宋_GB2312"/>
          <w:color w:val="auto"/>
          <w:sz w:val="28"/>
          <w:szCs w:val="28"/>
          <w:highlight w:val="none"/>
        </w:rPr>
        <w:t>，遵照国家有关法律、法规、估价技术标准，经过</w:t>
      </w:r>
      <w:r>
        <w:rPr>
          <w:rFonts w:hint="eastAsia" w:eastAsia="仿宋_GB2312" w:cs="仿宋_GB2312"/>
          <w:caps/>
          <w:color w:val="auto"/>
          <w:sz w:val="28"/>
          <w:szCs w:val="28"/>
          <w:highlight w:val="none"/>
        </w:rPr>
        <w:t>反复研究，最终选取比较法对估价对象进行估价，具体分析如下</w:t>
      </w:r>
      <w:r>
        <w:rPr>
          <w:rFonts w:hint="eastAsia" w:eastAsia="仿宋_GB2312" w:cs="仿宋_GB2312"/>
          <w:color w:val="auto"/>
          <w:sz w:val="28"/>
          <w:szCs w:val="28"/>
          <w:highlight w:val="none"/>
        </w:rPr>
        <w:t>表：</w:t>
      </w:r>
    </w:p>
    <w:tbl>
      <w:tblPr>
        <w:tblStyle w:val="43"/>
        <w:tblW w:w="855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3304"/>
        <w:gridCol w:w="3318"/>
        <w:gridCol w:w="100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3" w:type="dxa"/>
            <w:vAlign w:val="center"/>
          </w:tcPr>
          <w:p>
            <w:pPr>
              <w:tabs>
                <w:tab w:val="left" w:pos="851"/>
              </w:tabs>
              <w:spacing w:line="300" w:lineRule="exact"/>
              <w:jc w:val="center"/>
              <w:rPr>
                <w:rFonts w:eastAsia="仿宋_GB2312" w:asciiTheme="minorHAnsi" w:hAnsiTheme="minorHAnsi" w:cstheme="minorBidi"/>
                <w:b/>
                <w:bCs/>
                <w:color w:val="auto"/>
                <w:spacing w:val="20"/>
                <w:highlight w:val="none"/>
              </w:rPr>
            </w:pPr>
            <w:r>
              <w:rPr>
                <w:rFonts w:eastAsia="仿宋_GB2312" w:asciiTheme="minorHAnsi" w:hAnsiTheme="minorHAnsi" w:cstheme="minorBidi"/>
                <w:b/>
                <w:bCs/>
                <w:color w:val="auto"/>
                <w:spacing w:val="20"/>
                <w:highlight w:val="none"/>
              </w:rPr>
              <w:t>可选估价方法</w:t>
            </w:r>
          </w:p>
        </w:tc>
        <w:tc>
          <w:tcPr>
            <w:tcW w:w="3304" w:type="dxa"/>
            <w:vAlign w:val="center"/>
          </w:tcPr>
          <w:p>
            <w:pPr>
              <w:tabs>
                <w:tab w:val="left" w:pos="630"/>
              </w:tabs>
              <w:spacing w:line="300" w:lineRule="exact"/>
              <w:ind w:left="-66" w:firstLine="66"/>
              <w:jc w:val="center"/>
              <w:rPr>
                <w:rFonts w:eastAsia="仿宋_GB2312" w:asciiTheme="minorHAnsi" w:hAnsiTheme="minorHAnsi" w:cstheme="minorBidi"/>
                <w:b/>
                <w:bCs/>
                <w:color w:val="auto"/>
                <w:spacing w:val="20"/>
                <w:highlight w:val="none"/>
              </w:rPr>
            </w:pPr>
            <w:r>
              <w:rPr>
                <w:rFonts w:eastAsia="仿宋_GB2312" w:asciiTheme="minorHAnsi" w:hAnsiTheme="minorHAnsi" w:cstheme="minorBidi"/>
                <w:b/>
                <w:bCs/>
                <w:color w:val="auto"/>
                <w:spacing w:val="20"/>
                <w:highlight w:val="none"/>
              </w:rPr>
              <w:t>估价方法定义</w:t>
            </w:r>
          </w:p>
        </w:tc>
        <w:tc>
          <w:tcPr>
            <w:tcW w:w="3318" w:type="dxa"/>
            <w:vAlign w:val="center"/>
          </w:tcPr>
          <w:p>
            <w:pPr>
              <w:tabs>
                <w:tab w:val="left" w:pos="630"/>
              </w:tabs>
              <w:spacing w:line="300" w:lineRule="exact"/>
              <w:ind w:left="-13" w:leftChars="-6" w:firstLine="258"/>
              <w:jc w:val="center"/>
              <w:rPr>
                <w:rFonts w:eastAsia="仿宋_GB2312" w:asciiTheme="minorHAnsi" w:hAnsiTheme="minorHAnsi" w:cstheme="minorBidi"/>
                <w:b/>
                <w:bCs/>
                <w:color w:val="auto"/>
                <w:spacing w:val="20"/>
                <w:highlight w:val="none"/>
              </w:rPr>
            </w:pPr>
            <w:r>
              <w:rPr>
                <w:rFonts w:eastAsia="仿宋_GB2312" w:asciiTheme="minorHAnsi" w:hAnsiTheme="minorHAnsi" w:cstheme="minorBidi"/>
                <w:b/>
                <w:bCs/>
                <w:color w:val="auto"/>
                <w:spacing w:val="20"/>
                <w:highlight w:val="none"/>
              </w:rPr>
              <w:t>估价方法是否选择理由</w:t>
            </w:r>
          </w:p>
        </w:tc>
        <w:tc>
          <w:tcPr>
            <w:tcW w:w="1003" w:type="dxa"/>
            <w:vAlign w:val="center"/>
          </w:tcPr>
          <w:p>
            <w:pPr>
              <w:tabs>
                <w:tab w:val="left" w:pos="630"/>
              </w:tabs>
              <w:spacing w:line="300" w:lineRule="exact"/>
              <w:jc w:val="center"/>
              <w:rPr>
                <w:rFonts w:eastAsia="仿宋_GB2312" w:asciiTheme="minorHAnsi" w:hAnsiTheme="minorHAnsi" w:cstheme="minorBidi"/>
                <w:b/>
                <w:bCs/>
                <w:color w:val="auto"/>
                <w:spacing w:val="20"/>
                <w:highlight w:val="none"/>
              </w:rPr>
            </w:pPr>
            <w:r>
              <w:rPr>
                <w:rFonts w:eastAsia="仿宋_GB2312" w:asciiTheme="minorHAnsi" w:hAnsiTheme="minorHAnsi" w:cstheme="minorBidi"/>
                <w:b/>
                <w:bCs/>
                <w:color w:val="auto"/>
                <w:spacing w:val="20"/>
                <w:highlight w:val="none"/>
              </w:rPr>
              <w:t>是否</w:t>
            </w:r>
          </w:p>
          <w:p>
            <w:pPr>
              <w:tabs>
                <w:tab w:val="left" w:pos="630"/>
              </w:tabs>
              <w:spacing w:line="300" w:lineRule="exact"/>
              <w:jc w:val="center"/>
              <w:rPr>
                <w:rFonts w:eastAsia="仿宋_GB2312" w:asciiTheme="minorHAnsi" w:hAnsiTheme="minorHAnsi" w:cstheme="minorBidi"/>
                <w:b/>
                <w:bCs/>
                <w:color w:val="auto"/>
                <w:spacing w:val="20"/>
                <w:highlight w:val="none"/>
              </w:rPr>
            </w:pPr>
            <w:r>
              <w:rPr>
                <w:rFonts w:eastAsia="仿宋_GB2312" w:asciiTheme="minorHAnsi" w:hAnsiTheme="minorHAnsi" w:cstheme="minorBidi"/>
                <w:b/>
                <w:bCs/>
                <w:color w:val="auto"/>
                <w:spacing w:val="20"/>
                <w:highlight w:val="none"/>
              </w:rPr>
              <w:t>选取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3" w:type="dxa"/>
            <w:vAlign w:val="center"/>
          </w:tcPr>
          <w:p>
            <w:pPr>
              <w:spacing w:line="300" w:lineRule="exact"/>
              <w:rPr>
                <w:rFonts w:eastAsia="仿宋_GB2312"/>
                <w:b/>
                <w:bCs/>
                <w:color w:val="auto"/>
                <w:highlight w:val="none"/>
              </w:rPr>
            </w:pPr>
            <w:r>
              <w:rPr>
                <w:rFonts w:eastAsia="仿宋_GB2312"/>
                <w:b/>
                <w:bCs/>
                <w:color w:val="auto"/>
                <w:highlight w:val="none"/>
              </w:rPr>
              <w:t>比较法</w:t>
            </w:r>
          </w:p>
        </w:tc>
        <w:tc>
          <w:tcPr>
            <w:tcW w:w="3304" w:type="dxa"/>
            <w:vAlign w:val="center"/>
          </w:tcPr>
          <w:p>
            <w:pPr>
              <w:spacing w:line="300" w:lineRule="exact"/>
              <w:rPr>
                <w:rFonts w:eastAsia="仿宋_GB2312"/>
                <w:color w:val="auto"/>
                <w:highlight w:val="none"/>
              </w:rPr>
            </w:pPr>
            <w:r>
              <w:rPr>
                <w:rFonts w:eastAsia="仿宋_GB2312"/>
                <w:color w:val="auto"/>
                <w:highlight w:val="none"/>
              </w:rPr>
              <w:t>选取一定数量的可比实例，将它们与估价对象进行比较，根据其间的差异对可比实例成交价格进行处理后得到估价对象价值或价格的方法。</w:t>
            </w:r>
          </w:p>
        </w:tc>
        <w:tc>
          <w:tcPr>
            <w:tcW w:w="3318" w:type="dxa"/>
            <w:vAlign w:val="center"/>
          </w:tcPr>
          <w:p>
            <w:pPr>
              <w:spacing w:line="300" w:lineRule="exact"/>
              <w:ind w:firstLine="210" w:firstLineChars="100"/>
              <w:rPr>
                <w:rFonts w:eastAsia="仿宋_GB2312"/>
                <w:color w:val="auto"/>
                <w:highlight w:val="none"/>
              </w:rPr>
            </w:pPr>
            <w:r>
              <w:rPr>
                <w:rFonts w:eastAsia="仿宋_GB2312"/>
                <w:color w:val="auto"/>
                <w:highlight w:val="none"/>
              </w:rPr>
              <w:t>估价对象规划用途为住宅，所在区域与估价对象相似的可比案例（同一供需圈内、用途一致、邻近区域）较多，故本次评估选取比较法对估价对象进行估价。</w:t>
            </w:r>
          </w:p>
        </w:tc>
        <w:tc>
          <w:tcPr>
            <w:tcW w:w="1003" w:type="dxa"/>
            <w:vAlign w:val="center"/>
          </w:tcPr>
          <w:p>
            <w:pPr>
              <w:spacing w:line="300" w:lineRule="exact"/>
              <w:jc w:val="center"/>
              <w:rPr>
                <w:rFonts w:eastAsia="仿宋_GB2312"/>
                <w:color w:val="auto"/>
                <w:highlight w:val="none"/>
              </w:rPr>
            </w:pPr>
            <w:r>
              <w:rPr>
                <w:rFonts w:eastAsia="仿宋_GB2312"/>
                <w:color w:val="auto"/>
                <w:spacing w:val="20"/>
                <w:highlight w:val="none"/>
              </w:rPr>
              <w:t>选取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3" w:type="dxa"/>
            <w:vAlign w:val="center"/>
          </w:tcPr>
          <w:p>
            <w:pPr>
              <w:spacing w:line="300" w:lineRule="exact"/>
              <w:rPr>
                <w:rFonts w:eastAsia="仿宋_GB2312"/>
                <w:b/>
                <w:bCs/>
                <w:color w:val="auto"/>
                <w:highlight w:val="none"/>
              </w:rPr>
            </w:pPr>
            <w:r>
              <w:rPr>
                <w:rFonts w:eastAsia="仿宋_GB2312"/>
                <w:b/>
                <w:bCs/>
                <w:color w:val="auto"/>
                <w:highlight w:val="none"/>
              </w:rPr>
              <w:t>收益法</w:t>
            </w:r>
          </w:p>
        </w:tc>
        <w:tc>
          <w:tcPr>
            <w:tcW w:w="3304" w:type="dxa"/>
            <w:vAlign w:val="center"/>
          </w:tcPr>
          <w:p>
            <w:pPr>
              <w:spacing w:line="300" w:lineRule="exact"/>
              <w:rPr>
                <w:rFonts w:eastAsia="仿宋_GB2312"/>
                <w:color w:val="auto"/>
                <w:highlight w:val="none"/>
              </w:rPr>
            </w:pPr>
            <w:r>
              <w:rPr>
                <w:rFonts w:eastAsia="仿宋_GB2312"/>
                <w:color w:val="auto"/>
                <w:highlight w:val="none"/>
              </w:rPr>
              <w:t>预测估价对象的未来收益，利用报酬率或资本化率、收益乘数将未来收益转换为价值得到估价对象价值或价格的方法。</w:t>
            </w:r>
          </w:p>
        </w:tc>
        <w:tc>
          <w:tcPr>
            <w:tcW w:w="3318" w:type="dxa"/>
            <w:vAlign w:val="center"/>
          </w:tcPr>
          <w:p>
            <w:pPr>
              <w:spacing w:line="300" w:lineRule="exact"/>
              <w:ind w:firstLine="210" w:firstLineChars="100"/>
              <w:rPr>
                <w:rFonts w:eastAsia="仿宋_GB2312"/>
                <w:color w:val="auto"/>
                <w:highlight w:val="none"/>
              </w:rPr>
            </w:pPr>
            <w:r>
              <w:rPr>
                <w:rFonts w:eastAsia="仿宋_GB2312"/>
                <w:color w:val="auto"/>
                <w:highlight w:val="none"/>
              </w:rPr>
              <w:t>收益法适宜用于收益性物业评估，即为有经济收益或有潜在经济收益的房地产，估价对象为住宅，目前为空置，由于周边市场租金水平不能完全反映估价对象市场价值。故本次评估不选取收益法进行估价。</w:t>
            </w:r>
          </w:p>
        </w:tc>
        <w:tc>
          <w:tcPr>
            <w:tcW w:w="1003" w:type="dxa"/>
            <w:vAlign w:val="center"/>
          </w:tcPr>
          <w:p>
            <w:pPr>
              <w:spacing w:line="300" w:lineRule="exact"/>
              <w:jc w:val="center"/>
              <w:rPr>
                <w:rFonts w:eastAsia="仿宋_GB2312"/>
                <w:color w:val="auto"/>
                <w:highlight w:val="none"/>
              </w:rPr>
            </w:pPr>
            <w:r>
              <w:rPr>
                <w:rFonts w:eastAsia="仿宋_GB2312"/>
                <w:color w:val="auto"/>
                <w:highlight w:val="none"/>
              </w:rPr>
              <w:t>不选取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13" w:hRule="atLeast"/>
          <w:jc w:val="center"/>
        </w:trPr>
        <w:tc>
          <w:tcPr>
            <w:tcW w:w="933" w:type="dxa"/>
            <w:vAlign w:val="center"/>
          </w:tcPr>
          <w:p>
            <w:pPr>
              <w:spacing w:line="300" w:lineRule="exact"/>
              <w:rPr>
                <w:rFonts w:eastAsia="仿宋_GB2312"/>
                <w:b/>
                <w:bCs/>
                <w:color w:val="auto"/>
                <w:highlight w:val="none"/>
              </w:rPr>
            </w:pPr>
            <w:r>
              <w:rPr>
                <w:rFonts w:eastAsia="仿宋_GB2312"/>
                <w:b/>
                <w:bCs/>
                <w:color w:val="auto"/>
                <w:highlight w:val="none"/>
              </w:rPr>
              <w:t>假设开发法</w:t>
            </w:r>
          </w:p>
        </w:tc>
        <w:tc>
          <w:tcPr>
            <w:tcW w:w="3304" w:type="dxa"/>
            <w:vAlign w:val="center"/>
          </w:tcPr>
          <w:p>
            <w:pPr>
              <w:spacing w:line="300" w:lineRule="exact"/>
              <w:rPr>
                <w:rFonts w:eastAsia="仿宋_GB2312"/>
                <w:color w:val="auto"/>
                <w:highlight w:val="none"/>
              </w:rPr>
            </w:pPr>
            <w:r>
              <w:rPr>
                <w:rFonts w:eastAsia="仿宋_GB2312"/>
                <w:color w:val="auto"/>
                <w:highlight w:val="none"/>
              </w:rPr>
              <w:t>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tc>
        <w:tc>
          <w:tcPr>
            <w:tcW w:w="3318" w:type="dxa"/>
            <w:vAlign w:val="center"/>
          </w:tcPr>
          <w:p>
            <w:pPr>
              <w:spacing w:line="300" w:lineRule="exact"/>
              <w:ind w:firstLine="210" w:firstLineChars="100"/>
              <w:rPr>
                <w:rFonts w:eastAsia="仿宋_GB2312"/>
                <w:color w:val="auto"/>
                <w:highlight w:val="none"/>
              </w:rPr>
            </w:pPr>
            <w:r>
              <w:rPr>
                <w:rFonts w:eastAsia="仿宋_GB2312"/>
                <w:color w:val="auto"/>
                <w:highlight w:val="none"/>
              </w:rPr>
              <w:t>假设开发法适用于评估具有投资开发价值或再开发潜力的房地产，估价对象为已完成开发的</w:t>
            </w:r>
            <w:r>
              <w:rPr>
                <w:rFonts w:hint="eastAsia" w:eastAsia="仿宋_GB2312"/>
                <w:color w:val="auto"/>
                <w:highlight w:val="none"/>
              </w:rPr>
              <w:t>住宅</w:t>
            </w:r>
            <w:r>
              <w:rPr>
                <w:rFonts w:eastAsia="仿宋_GB2312"/>
                <w:color w:val="auto"/>
                <w:highlight w:val="none"/>
              </w:rPr>
              <w:t>物业，故本次评估不选取假设开发法作为估价方法。</w:t>
            </w:r>
          </w:p>
        </w:tc>
        <w:tc>
          <w:tcPr>
            <w:tcW w:w="1003" w:type="dxa"/>
            <w:vAlign w:val="center"/>
          </w:tcPr>
          <w:p>
            <w:pPr>
              <w:spacing w:line="300" w:lineRule="exact"/>
              <w:jc w:val="center"/>
              <w:rPr>
                <w:rFonts w:eastAsia="仿宋_GB2312"/>
                <w:color w:val="auto"/>
                <w:highlight w:val="none"/>
              </w:rPr>
            </w:pPr>
            <w:r>
              <w:rPr>
                <w:rFonts w:eastAsia="仿宋_GB2312"/>
                <w:color w:val="auto"/>
                <w:highlight w:val="none"/>
              </w:rPr>
              <w:t>不选取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33" w:type="dxa"/>
            <w:vAlign w:val="center"/>
          </w:tcPr>
          <w:p>
            <w:pPr>
              <w:spacing w:line="300" w:lineRule="exact"/>
              <w:rPr>
                <w:rFonts w:eastAsia="仿宋_GB2312"/>
                <w:b/>
                <w:bCs/>
                <w:color w:val="auto"/>
                <w:highlight w:val="none"/>
              </w:rPr>
            </w:pPr>
            <w:r>
              <w:rPr>
                <w:rFonts w:eastAsia="仿宋_GB2312"/>
                <w:b/>
                <w:bCs/>
                <w:color w:val="auto"/>
                <w:highlight w:val="none"/>
              </w:rPr>
              <w:t>成本法</w:t>
            </w:r>
          </w:p>
        </w:tc>
        <w:tc>
          <w:tcPr>
            <w:tcW w:w="3304" w:type="dxa"/>
            <w:vAlign w:val="center"/>
          </w:tcPr>
          <w:p>
            <w:pPr>
              <w:spacing w:line="300" w:lineRule="exact"/>
              <w:rPr>
                <w:rFonts w:eastAsia="仿宋_GB2312"/>
                <w:color w:val="auto"/>
                <w:highlight w:val="none"/>
              </w:rPr>
            </w:pPr>
            <w:r>
              <w:rPr>
                <w:rFonts w:eastAsia="仿宋_GB2312"/>
                <w:color w:val="auto"/>
                <w:highlight w:val="none"/>
              </w:rPr>
              <w:t>测算估价对象在价值时点的重置成本或重建成本和折旧，将重置成本或重建成本减去折旧得到估价对象价值或价格的方法。</w:t>
            </w:r>
          </w:p>
        </w:tc>
        <w:tc>
          <w:tcPr>
            <w:tcW w:w="3318" w:type="dxa"/>
            <w:vAlign w:val="center"/>
          </w:tcPr>
          <w:p>
            <w:pPr>
              <w:spacing w:line="300" w:lineRule="exact"/>
              <w:ind w:firstLine="210" w:firstLineChars="100"/>
              <w:rPr>
                <w:rFonts w:eastAsia="仿宋_GB2312"/>
                <w:color w:val="auto"/>
                <w:highlight w:val="none"/>
              </w:rPr>
            </w:pPr>
            <w:r>
              <w:rPr>
                <w:rFonts w:eastAsia="仿宋_GB2312"/>
                <w:color w:val="auto"/>
                <w:highlight w:val="none"/>
              </w:rPr>
              <w:t>运用成本法测算的结果不能较好反映估价对象市场价值，故不选取成本法进行评估。</w:t>
            </w:r>
          </w:p>
        </w:tc>
        <w:tc>
          <w:tcPr>
            <w:tcW w:w="1003" w:type="dxa"/>
            <w:vAlign w:val="center"/>
          </w:tcPr>
          <w:p>
            <w:pPr>
              <w:spacing w:line="300" w:lineRule="exact"/>
              <w:jc w:val="center"/>
              <w:rPr>
                <w:rFonts w:eastAsia="仿宋_GB2312"/>
                <w:color w:val="auto"/>
                <w:highlight w:val="none"/>
              </w:rPr>
            </w:pPr>
            <w:r>
              <w:rPr>
                <w:rFonts w:eastAsia="仿宋_GB2312"/>
                <w:color w:val="auto"/>
                <w:highlight w:val="none"/>
              </w:rPr>
              <w:t>不选取</w:t>
            </w:r>
          </w:p>
        </w:tc>
      </w:tr>
    </w:tbl>
    <w:p>
      <w:pPr>
        <w:pStyle w:val="35"/>
        <w:snapToGrid w:val="0"/>
        <w:spacing w:line="500" w:lineRule="exact"/>
        <w:ind w:firstLine="590"/>
        <w:rPr>
          <w:rFonts w:ascii="Times New Roman" w:eastAsia="仿宋_GB2312"/>
          <w:b/>
          <w:bCs/>
          <w:color w:val="auto"/>
          <w:highlight w:val="none"/>
        </w:rPr>
      </w:pPr>
      <w:r>
        <w:rPr>
          <w:rFonts w:ascii="Times New Roman" w:eastAsia="仿宋_GB2312"/>
          <w:b/>
          <w:bCs/>
          <w:color w:val="auto"/>
          <w:highlight w:val="none"/>
        </w:rPr>
        <w:t>2</w:t>
      </w:r>
      <w:r>
        <w:rPr>
          <w:rFonts w:hint="eastAsia" w:ascii="Times New Roman" w:eastAsia="仿宋_GB2312" w:cs="仿宋_GB2312"/>
          <w:b/>
          <w:bCs/>
          <w:color w:val="auto"/>
          <w:highlight w:val="none"/>
        </w:rPr>
        <w:t>．本次选用估价方法定义及基本公式</w:t>
      </w:r>
    </w:p>
    <w:p>
      <w:pPr>
        <w:adjustRightInd w:val="0"/>
        <w:snapToGrid w:val="0"/>
        <w:spacing w:line="500" w:lineRule="exact"/>
        <w:ind w:firstLine="584"/>
        <w:rPr>
          <w:rFonts w:eastAsia="仿宋_GB2312"/>
          <w:color w:val="auto"/>
          <w:sz w:val="28"/>
          <w:szCs w:val="28"/>
          <w:highlight w:val="none"/>
        </w:rPr>
      </w:pPr>
      <w:r>
        <w:rPr>
          <w:rFonts w:eastAsia="仿宋_GB2312"/>
          <w:color w:val="auto"/>
          <w:sz w:val="28"/>
          <w:szCs w:val="28"/>
          <w:highlight w:val="none"/>
        </w:rPr>
        <w:t>比较法</w:t>
      </w:r>
    </w:p>
    <w:p>
      <w:pPr>
        <w:snapToGrid w:val="0"/>
        <w:spacing w:line="500" w:lineRule="exact"/>
        <w:ind w:firstLine="560" w:firstLineChars="200"/>
        <w:rPr>
          <w:rFonts w:eastAsia="仿宋_GB2312"/>
          <w:color w:val="auto"/>
          <w:sz w:val="28"/>
          <w:szCs w:val="28"/>
          <w:highlight w:val="none"/>
        </w:rPr>
      </w:pPr>
      <w:r>
        <w:rPr>
          <w:rFonts w:eastAsia="仿宋_GB2312"/>
          <w:color w:val="auto"/>
          <w:sz w:val="28"/>
          <w:szCs w:val="28"/>
          <w:highlight w:val="none"/>
        </w:rPr>
        <w:t>比较法是选取一定数量的可比实例，将它们与估价对象进行比较，根据其间的差异对可比实例成交价格进行处理后得到估价对象价值或价格的方法。</w:t>
      </w:r>
    </w:p>
    <w:p>
      <w:pPr>
        <w:snapToGrid w:val="0"/>
        <w:spacing w:line="500" w:lineRule="exact"/>
        <w:ind w:firstLine="537" w:firstLineChars="192"/>
        <w:rPr>
          <w:rFonts w:eastAsia="仿宋_GB2312"/>
          <w:color w:val="auto"/>
          <w:sz w:val="28"/>
          <w:szCs w:val="28"/>
          <w:highlight w:val="none"/>
        </w:rPr>
      </w:pPr>
      <w:r>
        <w:rPr>
          <w:rFonts w:eastAsia="仿宋_GB2312"/>
          <w:color w:val="auto"/>
          <w:sz w:val="28"/>
          <w:szCs w:val="28"/>
          <w:highlight w:val="none"/>
        </w:rPr>
        <w:t>运用比较法求取估价对象的比较价值，基本公式如下：</w:t>
      </w:r>
    </w:p>
    <w:p>
      <w:pPr>
        <w:adjustRightInd w:val="0"/>
        <w:snapToGrid w:val="0"/>
        <w:spacing w:line="500" w:lineRule="exact"/>
        <w:ind w:firstLine="584"/>
        <w:rPr>
          <w:rFonts w:eastAsia="仿宋_GB2312"/>
          <w:color w:val="auto"/>
          <w:sz w:val="28"/>
          <w:szCs w:val="28"/>
          <w:highlight w:val="none"/>
        </w:rPr>
      </w:pPr>
      <w:r>
        <w:rPr>
          <w:rFonts w:eastAsia="仿宋_GB2312"/>
          <w:color w:val="auto"/>
          <w:sz w:val="28"/>
          <w:szCs w:val="28"/>
          <w:highlight w:val="none"/>
        </w:rPr>
        <w:t>比较价值＝可比实例成交价格×交易情况修正系数×市场状况调整系数×房地产状况调整系数。</w:t>
      </w:r>
    </w:p>
    <w:p>
      <w:pPr>
        <w:pStyle w:val="35"/>
        <w:snapToGrid w:val="0"/>
        <w:spacing w:line="500" w:lineRule="exact"/>
        <w:ind w:firstLine="590"/>
        <w:rPr>
          <w:rFonts w:ascii="Times New Roman" w:eastAsia="仿宋_GB2312"/>
          <w:b/>
          <w:bCs/>
          <w:color w:val="auto"/>
          <w:highlight w:val="none"/>
        </w:rPr>
      </w:pPr>
      <w:r>
        <w:rPr>
          <w:rFonts w:ascii="Times New Roman" w:eastAsia="仿宋_GB2312"/>
          <w:b/>
          <w:bCs/>
          <w:color w:val="auto"/>
          <w:highlight w:val="none"/>
        </w:rPr>
        <w:t>3．估价技术路线</w:t>
      </w:r>
    </w:p>
    <w:p>
      <w:pPr>
        <w:adjustRightInd w:val="0"/>
        <w:snapToGrid w:val="0"/>
        <w:spacing w:line="500" w:lineRule="exact"/>
        <w:ind w:firstLine="560" w:firstLineChars="200"/>
        <w:rPr>
          <w:rFonts w:eastAsia="仿宋_GB2312"/>
          <w:color w:val="auto"/>
          <w:sz w:val="28"/>
          <w:szCs w:val="28"/>
          <w:highlight w:val="none"/>
        </w:rPr>
      </w:pPr>
      <w:r>
        <w:rPr>
          <w:rFonts w:eastAsia="仿宋_GB2312"/>
          <w:color w:val="auto"/>
          <w:sz w:val="28"/>
          <w:szCs w:val="28"/>
          <w:highlight w:val="none"/>
        </w:rPr>
        <w:t>运用比较法求取估价对象房地产</w:t>
      </w:r>
      <w:r>
        <w:rPr>
          <w:rFonts w:hint="eastAsia" w:eastAsia="仿宋_GB2312"/>
          <w:color w:val="auto"/>
          <w:sz w:val="28"/>
          <w:szCs w:val="28"/>
          <w:highlight w:val="none"/>
        </w:rPr>
        <w:t>市场</w:t>
      </w:r>
      <w:r>
        <w:rPr>
          <w:rFonts w:eastAsia="仿宋_GB2312"/>
          <w:color w:val="auto"/>
          <w:sz w:val="28"/>
          <w:szCs w:val="28"/>
          <w:highlight w:val="none"/>
        </w:rPr>
        <w:t>价值。</w:t>
      </w:r>
    </w:p>
    <w:p>
      <w:pPr>
        <w:pStyle w:val="3"/>
        <w:spacing w:before="0" w:after="0" w:line="500" w:lineRule="exact"/>
        <w:rPr>
          <w:rFonts w:eastAsia="仿宋_GB2312"/>
          <w:b w:val="0"/>
          <w:bCs w:val="0"/>
          <w:color w:val="auto"/>
          <w:sz w:val="28"/>
          <w:szCs w:val="28"/>
          <w:highlight w:val="none"/>
        </w:rPr>
      </w:pPr>
      <w:bookmarkStart w:id="165" w:name="_Toc106179022"/>
      <w:r>
        <w:rPr>
          <w:rFonts w:hint="eastAsia" w:eastAsia="仿宋_GB2312" w:cs="仿宋_GB2312"/>
          <w:color w:val="auto"/>
          <w:sz w:val="28"/>
          <w:szCs w:val="28"/>
          <w:highlight w:val="none"/>
        </w:rPr>
        <w:t>（十）估价结果</w:t>
      </w:r>
      <w:bookmarkEnd w:id="154"/>
      <w:bookmarkEnd w:id="155"/>
      <w:bookmarkEnd w:id="156"/>
      <w:bookmarkEnd w:id="157"/>
      <w:bookmarkEnd w:id="158"/>
      <w:bookmarkEnd w:id="159"/>
      <w:bookmarkEnd w:id="160"/>
      <w:bookmarkEnd w:id="161"/>
      <w:bookmarkEnd w:id="162"/>
      <w:bookmarkEnd w:id="163"/>
      <w:bookmarkEnd w:id="164"/>
      <w:bookmarkEnd w:id="165"/>
    </w:p>
    <w:p>
      <w:pPr>
        <w:tabs>
          <w:tab w:val="left" w:pos="993"/>
        </w:tabs>
        <w:adjustRightInd w:val="0"/>
        <w:snapToGrid w:val="0"/>
        <w:spacing w:line="500" w:lineRule="exact"/>
        <w:ind w:firstLine="560" w:firstLineChars="200"/>
        <w:rPr>
          <w:rFonts w:eastAsia="仿宋_GB2312"/>
          <w:color w:val="auto"/>
          <w:sz w:val="28"/>
          <w:szCs w:val="28"/>
          <w:highlight w:val="none"/>
        </w:rPr>
      </w:pPr>
      <w:bookmarkStart w:id="166" w:name="_Toc254860135"/>
      <w:bookmarkStart w:id="167" w:name="_Toc254875149"/>
      <w:bookmarkStart w:id="168" w:name="_Toc301369725"/>
      <w:bookmarkStart w:id="169" w:name="_Toc243111724"/>
      <w:bookmarkStart w:id="170" w:name="_Toc243111695"/>
      <w:bookmarkStart w:id="171" w:name="_Toc269132878"/>
      <w:bookmarkStart w:id="172" w:name="_Toc270691077"/>
      <w:bookmarkStart w:id="173" w:name="_Toc135016181"/>
      <w:bookmarkStart w:id="174" w:name="_Toc367869507"/>
      <w:bookmarkStart w:id="175" w:name="_Toc130033731"/>
      <w:r>
        <w:rPr>
          <w:rFonts w:hint="eastAsia" w:eastAsia="仿宋_GB2312" w:cs="仿宋_GB2312"/>
          <w:color w:val="auto"/>
          <w:sz w:val="28"/>
          <w:szCs w:val="28"/>
          <w:highlight w:val="none"/>
        </w:rPr>
        <w:t>估价人员根据估价目的和国家有关房地产估价的规范、规定，遵循估价原则，按照估价程序，经过实地查勘与市场调查，并进行了测算，确定估价对象在满足全部假设和限制条件下于价值时点</w:t>
      </w:r>
      <w:r>
        <w:rPr>
          <w:rFonts w:hint="eastAsia" w:eastAsia="仿宋_GB2312"/>
          <w:color w:val="auto"/>
          <w:sz w:val="28"/>
          <w:szCs w:val="28"/>
          <w:highlight w:val="none"/>
        </w:rPr>
        <w:t>2022年11月14日</w:t>
      </w:r>
      <w:r>
        <w:rPr>
          <w:rFonts w:hint="eastAsia" w:eastAsia="仿宋_GB2312" w:cs="仿宋_GB2312"/>
          <w:color w:val="auto"/>
          <w:sz w:val="28"/>
          <w:szCs w:val="28"/>
          <w:highlight w:val="none"/>
        </w:rPr>
        <w:t>的估价结果为</w:t>
      </w:r>
      <w:bookmarkStart w:id="176" w:name="_Toc435110692"/>
      <w:r>
        <w:rPr>
          <w:rFonts w:hint="eastAsia" w:eastAsia="仿宋_GB2312" w:cs="仿宋_GB2312"/>
          <w:b/>
          <w:bCs/>
          <w:color w:val="auto"/>
          <w:sz w:val="28"/>
          <w:szCs w:val="28"/>
          <w:highlight w:val="none"/>
        </w:rPr>
        <w:t>￥</w:t>
      </w:r>
      <w:r>
        <w:rPr>
          <w:rFonts w:hint="eastAsia" w:eastAsia="仿宋_GB2312"/>
          <w:b/>
          <w:bCs/>
          <w:color w:val="auto"/>
          <w:sz w:val="28"/>
          <w:szCs w:val="28"/>
          <w:highlight w:val="none"/>
        </w:rPr>
        <w:t>138.16</w:t>
      </w:r>
      <w:r>
        <w:rPr>
          <w:rFonts w:hint="eastAsia" w:eastAsia="仿宋_GB2312" w:cs="仿宋_GB2312"/>
          <w:b/>
          <w:bCs/>
          <w:color w:val="auto"/>
          <w:sz w:val="28"/>
          <w:szCs w:val="28"/>
          <w:highlight w:val="none"/>
        </w:rPr>
        <w:t>万元，人民币大写</w:t>
      </w:r>
      <w:r>
        <w:rPr>
          <w:rFonts w:eastAsia="仿宋_GB2312"/>
          <w:b/>
          <w:bCs/>
          <w:color w:val="auto"/>
          <w:sz w:val="28"/>
          <w:szCs w:val="28"/>
          <w:highlight w:val="none"/>
        </w:rPr>
        <w:fldChar w:fldCharType="begin"/>
      </w:r>
      <w:r>
        <w:rPr>
          <w:rFonts w:eastAsia="仿宋_GB2312"/>
          <w:b/>
          <w:bCs/>
          <w:color w:val="auto"/>
          <w:sz w:val="28"/>
          <w:szCs w:val="28"/>
          <w:highlight w:val="none"/>
        </w:rPr>
        <w:instrText xml:space="preserve"> </w:instrText>
      </w:r>
      <w:r>
        <w:rPr>
          <w:rFonts w:hint="eastAsia" w:eastAsia="仿宋_GB2312"/>
          <w:b/>
          <w:bCs/>
          <w:color w:val="auto"/>
          <w:sz w:val="28"/>
          <w:szCs w:val="28"/>
          <w:highlight w:val="none"/>
        </w:rPr>
        <w:instrText xml:space="preserve">= 427800 \* CHINESENUM2</w:instrText>
      </w:r>
      <w:r>
        <w:rPr>
          <w:rFonts w:eastAsia="仿宋_GB2312"/>
          <w:b/>
          <w:bCs/>
          <w:color w:val="auto"/>
          <w:sz w:val="28"/>
          <w:szCs w:val="28"/>
          <w:highlight w:val="none"/>
        </w:rPr>
        <w:instrText xml:space="preserve"> </w:instrText>
      </w:r>
      <w:r>
        <w:rPr>
          <w:rFonts w:eastAsia="仿宋_GB2312"/>
          <w:b/>
          <w:bCs/>
          <w:color w:val="auto"/>
          <w:sz w:val="28"/>
          <w:szCs w:val="28"/>
          <w:highlight w:val="none"/>
        </w:rPr>
        <w:fldChar w:fldCharType="separate"/>
      </w:r>
      <w:r>
        <w:rPr>
          <w:rFonts w:hint="eastAsia" w:eastAsia="仿宋_GB2312"/>
          <w:b/>
          <w:bCs/>
          <w:color w:val="auto"/>
          <w:sz w:val="28"/>
          <w:szCs w:val="28"/>
          <w:highlight w:val="none"/>
        </w:rPr>
        <w:t>壹佰叁拾捌万壹仟陆佰</w:t>
      </w:r>
      <w:r>
        <w:rPr>
          <w:rFonts w:eastAsia="仿宋_GB2312"/>
          <w:b/>
          <w:bCs/>
          <w:color w:val="auto"/>
          <w:sz w:val="28"/>
          <w:szCs w:val="28"/>
          <w:highlight w:val="none"/>
        </w:rPr>
        <w:fldChar w:fldCharType="end"/>
      </w:r>
      <w:r>
        <w:rPr>
          <w:rFonts w:hint="eastAsia" w:eastAsia="仿宋_GB2312" w:cs="仿宋_GB2312"/>
          <w:b/>
          <w:bCs/>
          <w:color w:val="auto"/>
          <w:sz w:val="28"/>
          <w:szCs w:val="28"/>
          <w:highlight w:val="none"/>
        </w:rPr>
        <w:t>元整。</w:t>
      </w:r>
    </w:p>
    <w:p>
      <w:pPr>
        <w:jc w:val="center"/>
        <w:rPr>
          <w:rFonts w:eastAsia="仿宋_GB2312"/>
          <w:b/>
          <w:bCs/>
          <w:color w:val="auto"/>
          <w:sz w:val="28"/>
          <w:szCs w:val="28"/>
          <w:highlight w:val="none"/>
        </w:rPr>
      </w:pPr>
      <w:r>
        <w:rPr>
          <w:rFonts w:hint="eastAsia" w:eastAsia="仿宋_GB2312" w:cs="仿宋_GB2312"/>
          <w:b/>
          <w:bCs/>
          <w:color w:val="auto"/>
          <w:sz w:val="28"/>
          <w:szCs w:val="28"/>
          <w:highlight w:val="none"/>
        </w:rPr>
        <w:t>估价结果明细表</w:t>
      </w:r>
    </w:p>
    <w:tbl>
      <w:tblPr>
        <w:tblStyle w:val="43"/>
        <w:tblW w:w="1025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30" w:type="dxa"/>
          <w:bottom w:w="0" w:type="dxa"/>
          <w:right w:w="30" w:type="dxa"/>
        </w:tblCellMar>
      </w:tblPr>
      <w:tblGrid>
        <w:gridCol w:w="1372"/>
        <w:gridCol w:w="1559"/>
        <w:gridCol w:w="2136"/>
        <w:gridCol w:w="592"/>
        <w:gridCol w:w="579"/>
        <w:gridCol w:w="870"/>
        <w:gridCol w:w="926"/>
        <w:gridCol w:w="1086"/>
        <w:gridCol w:w="113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30" w:type="dxa"/>
            <w:bottom w:w="0" w:type="dxa"/>
            <w:right w:w="30" w:type="dxa"/>
          </w:tblCellMar>
        </w:tblPrEx>
        <w:trPr>
          <w:cantSplit/>
          <w:trHeight w:val="714" w:hRule="atLeast"/>
          <w:jc w:val="center"/>
        </w:trPr>
        <w:tc>
          <w:tcPr>
            <w:tcW w:w="1372" w:type="dxa"/>
            <w:vAlign w:val="center"/>
          </w:tcPr>
          <w:p>
            <w:pPr>
              <w:autoSpaceDE w:val="0"/>
              <w:autoSpaceDN w:val="0"/>
              <w:adjustRightInd w:val="0"/>
              <w:spacing w:line="0" w:lineRule="atLeast"/>
              <w:jc w:val="center"/>
              <w:rPr>
                <w:rFonts w:eastAsia="仿宋_GB2312"/>
                <w:b/>
                <w:color w:val="auto"/>
                <w:highlight w:val="none"/>
              </w:rPr>
            </w:pPr>
            <w:r>
              <w:rPr>
                <w:rFonts w:hint="eastAsia" w:eastAsia="仿宋_GB2312"/>
                <w:b/>
                <w:color w:val="auto"/>
                <w:highlight w:val="none"/>
              </w:rPr>
              <w:t>合同编号</w:t>
            </w:r>
          </w:p>
        </w:tc>
        <w:tc>
          <w:tcPr>
            <w:tcW w:w="1559" w:type="dxa"/>
            <w:vAlign w:val="center"/>
          </w:tcPr>
          <w:p>
            <w:pPr>
              <w:autoSpaceDE w:val="0"/>
              <w:autoSpaceDN w:val="0"/>
              <w:adjustRightInd w:val="0"/>
              <w:spacing w:line="0" w:lineRule="atLeast"/>
              <w:jc w:val="center"/>
              <w:rPr>
                <w:rFonts w:eastAsia="仿宋_GB2312"/>
                <w:b/>
                <w:color w:val="auto"/>
                <w:highlight w:val="none"/>
              </w:rPr>
            </w:pPr>
            <w:r>
              <w:rPr>
                <w:rFonts w:hint="eastAsia" w:eastAsia="仿宋_GB2312"/>
                <w:b/>
                <w:color w:val="auto"/>
                <w:highlight w:val="none"/>
              </w:rPr>
              <w:t>买方名称</w:t>
            </w:r>
          </w:p>
        </w:tc>
        <w:tc>
          <w:tcPr>
            <w:tcW w:w="2136" w:type="dxa"/>
            <w:vAlign w:val="center"/>
          </w:tcPr>
          <w:p>
            <w:pPr>
              <w:autoSpaceDE w:val="0"/>
              <w:autoSpaceDN w:val="0"/>
              <w:adjustRightInd w:val="0"/>
              <w:spacing w:line="0" w:lineRule="atLeast"/>
              <w:jc w:val="center"/>
              <w:rPr>
                <w:rFonts w:eastAsia="仿宋_GB2312"/>
                <w:b/>
                <w:color w:val="auto"/>
                <w:highlight w:val="none"/>
              </w:rPr>
            </w:pPr>
            <w:r>
              <w:rPr>
                <w:rFonts w:hint="eastAsia" w:eastAsia="仿宋_GB2312"/>
                <w:b/>
                <w:color w:val="auto"/>
                <w:highlight w:val="none"/>
              </w:rPr>
              <w:t>房屋</w:t>
            </w:r>
            <w:r>
              <w:rPr>
                <w:rFonts w:eastAsia="仿宋_GB2312"/>
                <w:b/>
                <w:color w:val="auto"/>
                <w:highlight w:val="none"/>
              </w:rPr>
              <w:t>坐落</w:t>
            </w:r>
          </w:p>
        </w:tc>
        <w:tc>
          <w:tcPr>
            <w:tcW w:w="592" w:type="dxa"/>
            <w:vAlign w:val="center"/>
          </w:tcPr>
          <w:p>
            <w:pPr>
              <w:autoSpaceDE w:val="0"/>
              <w:autoSpaceDN w:val="0"/>
              <w:adjustRightInd w:val="0"/>
              <w:spacing w:line="0" w:lineRule="atLeast"/>
              <w:jc w:val="center"/>
              <w:rPr>
                <w:rFonts w:eastAsia="仿宋_GB2312"/>
                <w:b/>
                <w:color w:val="auto"/>
                <w:highlight w:val="none"/>
              </w:rPr>
            </w:pPr>
            <w:r>
              <w:rPr>
                <w:rFonts w:hint="eastAsia" w:eastAsia="仿宋_GB2312"/>
                <w:b/>
                <w:color w:val="auto"/>
                <w:highlight w:val="none"/>
              </w:rPr>
              <w:t>实际</w:t>
            </w:r>
            <w:r>
              <w:rPr>
                <w:rFonts w:eastAsia="仿宋_GB2312"/>
                <w:b/>
                <w:color w:val="auto"/>
                <w:highlight w:val="none"/>
              </w:rPr>
              <w:t>结构</w:t>
            </w:r>
          </w:p>
        </w:tc>
        <w:tc>
          <w:tcPr>
            <w:tcW w:w="579" w:type="dxa"/>
            <w:vAlign w:val="center"/>
          </w:tcPr>
          <w:p>
            <w:pPr>
              <w:autoSpaceDE w:val="0"/>
              <w:autoSpaceDN w:val="0"/>
              <w:adjustRightInd w:val="0"/>
              <w:snapToGrid w:val="0"/>
              <w:jc w:val="center"/>
              <w:rPr>
                <w:rFonts w:eastAsia="仿宋_GB2312"/>
                <w:b/>
                <w:color w:val="auto"/>
                <w:highlight w:val="none"/>
              </w:rPr>
            </w:pPr>
            <w:r>
              <w:rPr>
                <w:rFonts w:hint="eastAsia" w:eastAsia="仿宋_GB2312"/>
                <w:b/>
                <w:color w:val="auto"/>
                <w:highlight w:val="none"/>
              </w:rPr>
              <w:t>规划用途</w:t>
            </w:r>
          </w:p>
        </w:tc>
        <w:tc>
          <w:tcPr>
            <w:tcW w:w="870" w:type="dxa"/>
            <w:vAlign w:val="center"/>
          </w:tcPr>
          <w:p>
            <w:pPr>
              <w:autoSpaceDE w:val="0"/>
              <w:autoSpaceDN w:val="0"/>
              <w:adjustRightInd w:val="0"/>
              <w:spacing w:line="0" w:lineRule="atLeast"/>
              <w:jc w:val="center"/>
              <w:rPr>
                <w:rFonts w:eastAsia="仿宋_GB2312"/>
                <w:b/>
                <w:color w:val="auto"/>
                <w:highlight w:val="none"/>
              </w:rPr>
            </w:pPr>
            <w:r>
              <w:rPr>
                <w:rFonts w:eastAsia="仿宋_GB2312"/>
                <w:b/>
                <w:color w:val="auto"/>
                <w:highlight w:val="none"/>
              </w:rPr>
              <w:t>评估层/</w:t>
            </w:r>
          </w:p>
          <w:p>
            <w:pPr>
              <w:autoSpaceDE w:val="0"/>
              <w:autoSpaceDN w:val="0"/>
              <w:adjustRightInd w:val="0"/>
              <w:spacing w:line="0" w:lineRule="atLeast"/>
              <w:jc w:val="center"/>
              <w:rPr>
                <w:rFonts w:eastAsia="仿宋_GB2312"/>
                <w:b/>
                <w:color w:val="auto"/>
                <w:highlight w:val="none"/>
              </w:rPr>
            </w:pPr>
            <w:r>
              <w:rPr>
                <w:rFonts w:eastAsia="仿宋_GB2312"/>
                <w:b/>
                <w:color w:val="auto"/>
                <w:highlight w:val="none"/>
              </w:rPr>
              <w:t>总层数</w:t>
            </w:r>
          </w:p>
        </w:tc>
        <w:tc>
          <w:tcPr>
            <w:tcW w:w="926" w:type="dxa"/>
            <w:vAlign w:val="center"/>
          </w:tcPr>
          <w:p>
            <w:pPr>
              <w:autoSpaceDE w:val="0"/>
              <w:autoSpaceDN w:val="0"/>
              <w:adjustRightInd w:val="0"/>
              <w:spacing w:line="0" w:lineRule="atLeast"/>
              <w:jc w:val="center"/>
              <w:rPr>
                <w:rFonts w:eastAsia="仿宋_GB2312"/>
                <w:b/>
                <w:color w:val="auto"/>
                <w:highlight w:val="none"/>
              </w:rPr>
            </w:pPr>
            <w:r>
              <w:rPr>
                <w:rFonts w:eastAsia="仿宋_GB2312"/>
                <w:b/>
                <w:color w:val="auto"/>
                <w:highlight w:val="none"/>
              </w:rPr>
              <w:t>建筑面积(M</w:t>
            </w:r>
            <w:r>
              <w:rPr>
                <w:rFonts w:eastAsia="仿宋_GB2312"/>
                <w:b/>
                <w:color w:val="auto"/>
                <w:highlight w:val="none"/>
                <w:vertAlign w:val="superscript"/>
              </w:rPr>
              <w:t>2</w:t>
            </w:r>
            <w:r>
              <w:rPr>
                <w:rFonts w:eastAsia="仿宋_GB2312"/>
                <w:b/>
                <w:color w:val="auto"/>
                <w:highlight w:val="none"/>
              </w:rPr>
              <w:t>)</w:t>
            </w:r>
          </w:p>
        </w:tc>
        <w:tc>
          <w:tcPr>
            <w:tcW w:w="1086" w:type="dxa"/>
            <w:vAlign w:val="center"/>
          </w:tcPr>
          <w:p>
            <w:pPr>
              <w:autoSpaceDE w:val="0"/>
              <w:autoSpaceDN w:val="0"/>
              <w:adjustRightInd w:val="0"/>
              <w:spacing w:line="0" w:lineRule="atLeast"/>
              <w:jc w:val="center"/>
              <w:rPr>
                <w:rFonts w:eastAsia="仿宋_GB2312"/>
                <w:b/>
                <w:color w:val="auto"/>
                <w:highlight w:val="none"/>
              </w:rPr>
            </w:pPr>
            <w:r>
              <w:rPr>
                <w:rFonts w:hint="eastAsia" w:eastAsia="仿宋_GB2312"/>
                <w:b/>
                <w:color w:val="auto"/>
                <w:highlight w:val="none"/>
              </w:rPr>
              <w:t>评估</w:t>
            </w:r>
            <w:r>
              <w:rPr>
                <w:rFonts w:eastAsia="仿宋_GB2312"/>
                <w:b/>
                <w:color w:val="auto"/>
                <w:highlight w:val="none"/>
              </w:rPr>
              <w:t>单价（元</w:t>
            </w:r>
            <w:r>
              <w:rPr>
                <w:rFonts w:hint="eastAsia" w:eastAsia="仿宋_GB2312"/>
                <w:b/>
                <w:color w:val="auto"/>
                <w:highlight w:val="none"/>
              </w:rPr>
              <w:t>/</w:t>
            </w:r>
            <w:r>
              <w:rPr>
                <w:rFonts w:eastAsia="仿宋_GB2312"/>
                <w:b/>
                <w:color w:val="auto"/>
                <w:highlight w:val="none"/>
              </w:rPr>
              <w:t xml:space="preserve"> M</w:t>
            </w:r>
            <w:r>
              <w:rPr>
                <w:rFonts w:eastAsia="仿宋_GB2312"/>
                <w:b/>
                <w:color w:val="auto"/>
                <w:highlight w:val="none"/>
                <w:vertAlign w:val="superscript"/>
              </w:rPr>
              <w:t>2</w:t>
            </w:r>
            <w:r>
              <w:rPr>
                <w:rFonts w:eastAsia="仿宋_GB2312"/>
                <w:b/>
                <w:color w:val="auto"/>
                <w:highlight w:val="none"/>
              </w:rPr>
              <w:t>）</w:t>
            </w:r>
          </w:p>
        </w:tc>
        <w:tc>
          <w:tcPr>
            <w:tcW w:w="1134" w:type="dxa"/>
            <w:vAlign w:val="center"/>
          </w:tcPr>
          <w:p>
            <w:pPr>
              <w:autoSpaceDE w:val="0"/>
              <w:autoSpaceDN w:val="0"/>
              <w:adjustRightInd w:val="0"/>
              <w:spacing w:line="0" w:lineRule="atLeast"/>
              <w:jc w:val="center"/>
              <w:rPr>
                <w:rFonts w:eastAsia="仿宋_GB2312"/>
                <w:b/>
                <w:color w:val="auto"/>
                <w:highlight w:val="none"/>
              </w:rPr>
            </w:pPr>
            <w:r>
              <w:rPr>
                <w:rFonts w:hint="eastAsia" w:eastAsia="仿宋_GB2312"/>
                <w:b/>
                <w:color w:val="auto"/>
                <w:highlight w:val="none"/>
              </w:rPr>
              <w:t>评估总价</w:t>
            </w:r>
            <w:r>
              <w:rPr>
                <w:rFonts w:eastAsia="仿宋_GB2312"/>
                <w:b/>
                <w:color w:val="auto"/>
                <w:highlight w:val="none"/>
              </w:rPr>
              <w:t>(</w:t>
            </w:r>
            <w:r>
              <w:rPr>
                <w:rFonts w:hint="eastAsia" w:eastAsia="仿宋_GB2312"/>
                <w:b/>
                <w:color w:val="auto"/>
                <w:highlight w:val="none"/>
              </w:rPr>
              <w:t>万</w:t>
            </w:r>
            <w:r>
              <w:rPr>
                <w:rFonts w:eastAsia="仿宋_GB2312"/>
                <w:b/>
                <w:color w:val="auto"/>
                <w:highlight w:val="none"/>
              </w:rPr>
              <w:t>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30" w:type="dxa"/>
            <w:bottom w:w="0" w:type="dxa"/>
            <w:right w:w="30" w:type="dxa"/>
          </w:tblCellMar>
        </w:tblPrEx>
        <w:trPr>
          <w:cantSplit/>
          <w:trHeight w:val="575" w:hRule="atLeast"/>
          <w:jc w:val="center"/>
        </w:trPr>
        <w:tc>
          <w:tcPr>
            <w:tcW w:w="1372" w:type="dxa"/>
            <w:vAlign w:val="center"/>
          </w:tcPr>
          <w:p>
            <w:pPr>
              <w:autoSpaceDE w:val="0"/>
              <w:autoSpaceDN w:val="0"/>
              <w:adjustRightInd w:val="0"/>
              <w:spacing w:line="0" w:lineRule="atLeast"/>
              <w:jc w:val="center"/>
              <w:rPr>
                <w:rFonts w:eastAsia="仿宋_GB2312"/>
                <w:color w:val="auto"/>
                <w:highlight w:val="none"/>
              </w:rPr>
            </w:pPr>
            <w:r>
              <w:rPr>
                <w:rFonts w:hint="eastAsia" w:eastAsia="仿宋_GB2312"/>
                <w:color w:val="auto"/>
                <w:highlight w:val="none"/>
              </w:rPr>
              <w:t>20160702346</w:t>
            </w:r>
          </w:p>
        </w:tc>
        <w:tc>
          <w:tcPr>
            <w:tcW w:w="1559" w:type="dxa"/>
            <w:vAlign w:val="center"/>
          </w:tcPr>
          <w:p>
            <w:pPr>
              <w:autoSpaceDE w:val="0"/>
              <w:autoSpaceDN w:val="0"/>
              <w:adjustRightInd w:val="0"/>
              <w:spacing w:line="0" w:lineRule="atLeast"/>
              <w:jc w:val="center"/>
              <w:rPr>
                <w:rFonts w:eastAsia="仿宋_GB2312"/>
                <w:color w:val="auto"/>
                <w:highlight w:val="none"/>
              </w:rPr>
            </w:pPr>
            <w:r>
              <w:rPr>
                <w:rFonts w:hint="eastAsia" w:eastAsia="仿宋_GB2312"/>
                <w:color w:val="auto"/>
                <w:highlight w:val="none"/>
              </w:rPr>
              <w:t>宋慧、崔国强</w:t>
            </w:r>
          </w:p>
        </w:tc>
        <w:tc>
          <w:tcPr>
            <w:tcW w:w="2136" w:type="dxa"/>
            <w:vAlign w:val="center"/>
          </w:tcPr>
          <w:p>
            <w:pPr>
              <w:autoSpaceDE w:val="0"/>
              <w:autoSpaceDN w:val="0"/>
              <w:adjustRightInd w:val="0"/>
              <w:snapToGrid w:val="0"/>
              <w:jc w:val="center"/>
              <w:rPr>
                <w:rFonts w:eastAsia="仿宋_GB2312"/>
                <w:bCs/>
                <w:color w:val="auto"/>
                <w:highlight w:val="none"/>
              </w:rPr>
            </w:pPr>
            <w:r>
              <w:rPr>
                <w:rFonts w:hint="eastAsia" w:eastAsia="仿宋_GB2312"/>
                <w:bCs/>
                <w:color w:val="auto"/>
                <w:highlight w:val="none"/>
              </w:rPr>
              <w:t>长塘镇1-2幢1#-405室</w:t>
            </w:r>
          </w:p>
        </w:tc>
        <w:tc>
          <w:tcPr>
            <w:tcW w:w="592" w:type="dxa"/>
            <w:vAlign w:val="center"/>
          </w:tcPr>
          <w:p>
            <w:pPr>
              <w:autoSpaceDE w:val="0"/>
              <w:autoSpaceDN w:val="0"/>
              <w:adjustRightInd w:val="0"/>
              <w:spacing w:line="0" w:lineRule="atLeast"/>
              <w:jc w:val="center"/>
              <w:rPr>
                <w:rFonts w:eastAsia="仿宋_GB2312"/>
                <w:color w:val="auto"/>
                <w:highlight w:val="none"/>
              </w:rPr>
            </w:pPr>
            <w:r>
              <w:rPr>
                <w:rFonts w:hint="eastAsia" w:eastAsia="仿宋_GB2312"/>
                <w:color w:val="auto"/>
                <w:highlight w:val="none"/>
              </w:rPr>
              <w:t>钢混</w:t>
            </w:r>
          </w:p>
        </w:tc>
        <w:tc>
          <w:tcPr>
            <w:tcW w:w="579" w:type="dxa"/>
            <w:vAlign w:val="center"/>
          </w:tcPr>
          <w:p>
            <w:pPr>
              <w:autoSpaceDE w:val="0"/>
              <w:autoSpaceDN w:val="0"/>
              <w:adjustRightInd w:val="0"/>
              <w:snapToGrid w:val="0"/>
              <w:jc w:val="center"/>
              <w:rPr>
                <w:rFonts w:eastAsia="仿宋_GB2312"/>
                <w:color w:val="auto"/>
                <w:highlight w:val="none"/>
              </w:rPr>
            </w:pPr>
            <w:r>
              <w:rPr>
                <w:rFonts w:hint="eastAsia" w:eastAsia="仿宋_GB2312"/>
                <w:color w:val="auto"/>
                <w:highlight w:val="none"/>
              </w:rPr>
              <w:t>住宅</w:t>
            </w:r>
          </w:p>
        </w:tc>
        <w:tc>
          <w:tcPr>
            <w:tcW w:w="870" w:type="dxa"/>
            <w:vAlign w:val="center"/>
          </w:tcPr>
          <w:p>
            <w:pPr>
              <w:autoSpaceDE w:val="0"/>
              <w:autoSpaceDN w:val="0"/>
              <w:adjustRightInd w:val="0"/>
              <w:snapToGrid w:val="0"/>
              <w:jc w:val="center"/>
              <w:rPr>
                <w:rFonts w:eastAsia="仿宋_GB2312"/>
                <w:color w:val="auto"/>
                <w:highlight w:val="none"/>
              </w:rPr>
            </w:pPr>
            <w:r>
              <w:rPr>
                <w:rFonts w:hint="eastAsia" w:eastAsia="仿宋_GB2312"/>
                <w:color w:val="auto"/>
                <w:highlight w:val="none"/>
              </w:rPr>
              <w:t>4-6/7</w:t>
            </w:r>
          </w:p>
        </w:tc>
        <w:tc>
          <w:tcPr>
            <w:tcW w:w="926" w:type="dxa"/>
            <w:vAlign w:val="center"/>
          </w:tcPr>
          <w:p>
            <w:pPr>
              <w:spacing w:line="0" w:lineRule="atLeast"/>
              <w:jc w:val="center"/>
              <w:rPr>
                <w:rFonts w:eastAsia="仿宋_GB2312"/>
                <w:color w:val="auto"/>
                <w:highlight w:val="none"/>
              </w:rPr>
            </w:pPr>
            <w:r>
              <w:rPr>
                <w:rFonts w:hint="eastAsia" w:eastAsia="仿宋_GB2312"/>
                <w:color w:val="auto"/>
                <w:highlight w:val="none"/>
              </w:rPr>
              <w:t>227.61</w:t>
            </w:r>
          </w:p>
        </w:tc>
        <w:tc>
          <w:tcPr>
            <w:tcW w:w="1086" w:type="dxa"/>
            <w:vAlign w:val="center"/>
          </w:tcPr>
          <w:p>
            <w:pPr>
              <w:autoSpaceDE w:val="0"/>
              <w:autoSpaceDN w:val="0"/>
              <w:adjustRightInd w:val="0"/>
              <w:spacing w:line="0" w:lineRule="atLeast"/>
              <w:jc w:val="center"/>
              <w:rPr>
                <w:rFonts w:eastAsia="仿宋_GB2312"/>
                <w:color w:val="auto"/>
                <w:highlight w:val="none"/>
              </w:rPr>
            </w:pPr>
            <w:r>
              <w:rPr>
                <w:rFonts w:hint="eastAsia" w:eastAsia="仿宋_GB2312"/>
                <w:color w:val="auto"/>
                <w:highlight w:val="none"/>
              </w:rPr>
              <w:t>6070</w:t>
            </w:r>
          </w:p>
        </w:tc>
        <w:tc>
          <w:tcPr>
            <w:tcW w:w="1134" w:type="dxa"/>
            <w:vAlign w:val="center"/>
          </w:tcPr>
          <w:p>
            <w:pPr>
              <w:widowControl/>
              <w:jc w:val="center"/>
              <w:textAlignment w:val="bottom"/>
              <w:rPr>
                <w:rFonts w:eastAsia="仿宋_GB2312"/>
                <w:color w:val="auto"/>
                <w:highlight w:val="none"/>
              </w:rPr>
            </w:pPr>
            <w:r>
              <w:rPr>
                <w:rFonts w:eastAsia="仿宋_GB2312"/>
                <w:color w:val="auto"/>
                <w:kern w:val="0"/>
                <w:highlight w:val="none"/>
              </w:rPr>
              <w:t>138.16</w:t>
            </w:r>
          </w:p>
        </w:tc>
      </w:tr>
    </w:tbl>
    <w:p>
      <w:pPr>
        <w:tabs>
          <w:tab w:val="left" w:pos="993"/>
        </w:tabs>
        <w:adjustRightInd w:val="0"/>
        <w:snapToGrid w:val="0"/>
        <w:spacing w:line="320" w:lineRule="exact"/>
        <w:ind w:firstLine="420" w:firstLineChars="200"/>
        <w:rPr>
          <w:rFonts w:eastAsia="仿宋_GB2312"/>
          <w:color w:val="auto"/>
          <w:highlight w:val="none"/>
        </w:rPr>
      </w:pPr>
      <w:r>
        <w:rPr>
          <w:rFonts w:hint="eastAsia" w:eastAsia="仿宋_GB2312" w:cs="仿宋_GB2312"/>
          <w:color w:val="auto"/>
          <w:highlight w:val="none"/>
        </w:rPr>
        <w:t>特别提示：</w:t>
      </w:r>
    </w:p>
    <w:p>
      <w:pPr>
        <w:tabs>
          <w:tab w:val="left" w:pos="993"/>
        </w:tabs>
        <w:adjustRightInd w:val="0"/>
        <w:snapToGrid w:val="0"/>
        <w:spacing w:line="320" w:lineRule="exact"/>
        <w:ind w:firstLine="420" w:firstLineChars="200"/>
        <w:rPr>
          <w:rFonts w:eastAsia="仿宋_GB2312" w:cs="仿宋_GB2312"/>
          <w:color w:val="auto"/>
          <w:highlight w:val="none"/>
        </w:rPr>
      </w:pPr>
      <w:r>
        <w:rPr>
          <w:rFonts w:eastAsia="仿宋_GB2312" w:cs="仿宋_GB2312"/>
          <w:color w:val="auto"/>
          <w:highlight w:val="none"/>
        </w:rPr>
        <w:t>1</w:t>
      </w:r>
      <w:r>
        <w:rPr>
          <w:rFonts w:hint="eastAsia" w:eastAsia="仿宋_GB2312" w:cs="仿宋_GB2312"/>
          <w:color w:val="auto"/>
          <w:highlight w:val="none"/>
        </w:rPr>
        <w:t>、上述估价结果中不包含处置时的司法诉讼费用、拍卖佣金、过户税费及其他应付费用等。</w:t>
      </w:r>
    </w:p>
    <w:p>
      <w:pPr>
        <w:tabs>
          <w:tab w:val="left" w:pos="993"/>
        </w:tabs>
        <w:adjustRightInd w:val="0"/>
        <w:snapToGrid w:val="0"/>
        <w:spacing w:line="320" w:lineRule="exact"/>
        <w:ind w:firstLine="420" w:firstLineChars="200"/>
        <w:rPr>
          <w:rFonts w:eastAsia="仿宋_GB2312" w:cs="仿宋_GB2312"/>
          <w:color w:val="auto"/>
          <w:highlight w:val="none"/>
        </w:rPr>
      </w:pPr>
      <w:r>
        <w:rPr>
          <w:rFonts w:eastAsia="仿宋_GB2312" w:cs="仿宋_GB2312"/>
          <w:color w:val="auto"/>
          <w:highlight w:val="none"/>
        </w:rPr>
        <w:t>2</w:t>
      </w:r>
      <w:r>
        <w:rPr>
          <w:rFonts w:hint="eastAsia" w:eastAsia="仿宋_GB2312" w:cs="仿宋_GB2312"/>
          <w:color w:val="auto"/>
          <w:highlight w:val="none"/>
        </w:rPr>
        <w:t>、报告使用人在使用本报告之前须对报告全文，特别是“估价的假设和限制条件”认真阅读，以免使用不当，造成损失！估价的详细结果、过程及有关说明，请见《估价结果报告》。本估价报告自出报告之日起一年内有效。</w:t>
      </w:r>
    </w:p>
    <w:p>
      <w:pPr>
        <w:tabs>
          <w:tab w:val="left" w:pos="993"/>
        </w:tabs>
        <w:adjustRightInd w:val="0"/>
        <w:snapToGrid w:val="0"/>
        <w:spacing w:line="320" w:lineRule="exact"/>
        <w:ind w:firstLine="420" w:firstLineChars="200"/>
        <w:rPr>
          <w:rFonts w:eastAsia="仿宋_GB2312" w:cs="仿宋_GB2312"/>
          <w:color w:val="auto"/>
          <w:highlight w:val="none"/>
        </w:rPr>
      </w:pPr>
      <w:r>
        <w:rPr>
          <w:rFonts w:hint="eastAsia" w:eastAsia="仿宋_GB2312" w:cs="仿宋_GB2312"/>
          <w:color w:val="auto"/>
          <w:highlight w:val="none"/>
        </w:rPr>
        <w:t>3、因财产拍卖（或者变卖）日期与价值时点不一致，评估对象状况或者房地产市场状况的变化会对评估结果产生影响。</w:t>
      </w:r>
    </w:p>
    <w:p>
      <w:pPr>
        <w:tabs>
          <w:tab w:val="left" w:pos="993"/>
        </w:tabs>
        <w:adjustRightInd w:val="0"/>
        <w:snapToGrid w:val="0"/>
        <w:spacing w:line="320" w:lineRule="exact"/>
        <w:ind w:firstLine="420" w:firstLineChars="200"/>
        <w:rPr>
          <w:rFonts w:eastAsia="仿宋_GB2312" w:cs="仿宋_GB2312"/>
          <w:color w:val="auto"/>
          <w:highlight w:val="none"/>
        </w:rPr>
      </w:pPr>
      <w:r>
        <w:rPr>
          <w:rFonts w:hint="eastAsia" w:eastAsia="仿宋_GB2312" w:cs="仿宋_GB2312"/>
          <w:color w:val="auto"/>
          <w:highlight w:val="none"/>
        </w:rPr>
        <w:t>4、评估结果不等于评估对象处置可实现的成交价，不应被认为是对评估对象处置成交价的保证。</w:t>
      </w:r>
    </w:p>
    <w:p>
      <w:pPr>
        <w:widowControl/>
        <w:jc w:val="left"/>
        <w:rPr>
          <w:rFonts w:ascii="Arial" w:hAnsi="Arial" w:eastAsia="仿宋_GB2312" w:cs="仿宋_GB2312"/>
          <w:b/>
          <w:bCs/>
          <w:color w:val="auto"/>
          <w:sz w:val="28"/>
          <w:szCs w:val="28"/>
          <w:highlight w:val="none"/>
        </w:rPr>
      </w:pPr>
      <w:bookmarkStart w:id="177" w:name="_Toc106179023"/>
      <w:r>
        <w:rPr>
          <w:rFonts w:eastAsia="仿宋_GB2312" w:cs="仿宋_GB2312"/>
          <w:color w:val="auto"/>
          <w:sz w:val="28"/>
          <w:szCs w:val="28"/>
          <w:highlight w:val="none"/>
        </w:rPr>
        <w:br w:type="page"/>
      </w:r>
    </w:p>
    <w:p>
      <w:pPr>
        <w:pStyle w:val="3"/>
        <w:spacing w:before="0" w:after="0" w:line="500" w:lineRule="exact"/>
        <w:rPr>
          <w:rFonts w:eastAsia="仿宋_GB2312" w:cs="仿宋_GB2312"/>
          <w:color w:val="auto"/>
          <w:sz w:val="28"/>
          <w:szCs w:val="28"/>
          <w:highlight w:val="none"/>
        </w:rPr>
      </w:pPr>
      <w:r>
        <w:rPr>
          <w:rFonts w:hint="eastAsia" w:eastAsia="仿宋_GB2312" w:cs="仿宋_GB2312"/>
          <w:color w:val="auto"/>
          <w:sz w:val="28"/>
          <w:szCs w:val="28"/>
          <w:highlight w:val="none"/>
        </w:rPr>
        <w:t>（十一）</w:t>
      </w:r>
      <w:bookmarkEnd w:id="166"/>
      <w:bookmarkEnd w:id="167"/>
      <w:bookmarkEnd w:id="168"/>
      <w:bookmarkEnd w:id="169"/>
      <w:bookmarkEnd w:id="170"/>
      <w:bookmarkEnd w:id="171"/>
      <w:bookmarkEnd w:id="172"/>
      <w:bookmarkEnd w:id="173"/>
      <w:bookmarkEnd w:id="174"/>
      <w:bookmarkEnd w:id="175"/>
      <w:bookmarkStart w:id="178" w:name="_Toc387827702"/>
      <w:r>
        <w:rPr>
          <w:rFonts w:hint="eastAsia" w:eastAsia="仿宋_GB2312" w:cs="仿宋_GB2312"/>
          <w:color w:val="auto"/>
          <w:sz w:val="28"/>
          <w:szCs w:val="28"/>
          <w:highlight w:val="none"/>
        </w:rPr>
        <w:t>注册房地产估价师</w:t>
      </w:r>
      <w:bookmarkEnd w:id="176"/>
      <w:bookmarkEnd w:id="177"/>
      <w:bookmarkEnd w:id="178"/>
    </w:p>
    <w:p>
      <w:pPr>
        <w:adjustRightInd w:val="0"/>
        <w:snapToGrid w:val="0"/>
        <w:spacing w:line="500" w:lineRule="exact"/>
        <w:jc w:val="center"/>
        <w:rPr>
          <w:rFonts w:eastAsia="仿宋_GB2312"/>
          <w:b/>
          <w:color w:val="auto"/>
          <w:sz w:val="28"/>
          <w:szCs w:val="28"/>
          <w:highlight w:val="none"/>
        </w:rPr>
      </w:pPr>
      <w:r>
        <w:rPr>
          <w:rFonts w:eastAsia="仿宋_GB2312"/>
          <w:b/>
          <w:color w:val="auto"/>
          <w:sz w:val="28"/>
          <w:szCs w:val="28"/>
          <w:highlight w:val="none"/>
        </w:rPr>
        <w:t>参加估价的注册房地产估价师</w:t>
      </w:r>
    </w:p>
    <w:tbl>
      <w:tblPr>
        <w:tblStyle w:val="43"/>
        <w:tblW w:w="0" w:type="auto"/>
        <w:jc w:val="center"/>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042"/>
        <w:gridCol w:w="2494"/>
        <w:gridCol w:w="2835"/>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701" w:type="dxa"/>
            <w:vAlign w:val="center"/>
          </w:tcPr>
          <w:p>
            <w:pPr>
              <w:spacing w:line="520" w:lineRule="exact"/>
              <w:jc w:val="center"/>
              <w:rPr>
                <w:rFonts w:eastAsia="仿宋_GB2312"/>
                <w:color w:val="auto"/>
                <w:sz w:val="28"/>
                <w:szCs w:val="28"/>
                <w:highlight w:val="none"/>
              </w:rPr>
            </w:pPr>
            <w:r>
              <w:rPr>
                <w:rFonts w:eastAsia="仿宋_GB2312"/>
                <w:color w:val="auto"/>
                <w:sz w:val="28"/>
                <w:szCs w:val="28"/>
                <w:highlight w:val="none"/>
              </w:rPr>
              <w:t>姓名</w:t>
            </w:r>
          </w:p>
        </w:tc>
        <w:tc>
          <w:tcPr>
            <w:tcW w:w="2042" w:type="dxa"/>
            <w:vAlign w:val="center"/>
          </w:tcPr>
          <w:p>
            <w:pPr>
              <w:spacing w:line="520" w:lineRule="exact"/>
              <w:jc w:val="center"/>
              <w:rPr>
                <w:rFonts w:eastAsia="仿宋_GB2312"/>
                <w:color w:val="auto"/>
                <w:sz w:val="28"/>
                <w:szCs w:val="28"/>
                <w:highlight w:val="none"/>
              </w:rPr>
            </w:pPr>
            <w:r>
              <w:rPr>
                <w:rFonts w:eastAsia="仿宋_GB2312"/>
                <w:color w:val="auto"/>
                <w:sz w:val="28"/>
                <w:szCs w:val="28"/>
                <w:highlight w:val="none"/>
              </w:rPr>
              <w:t>注册号</w:t>
            </w:r>
          </w:p>
        </w:tc>
        <w:tc>
          <w:tcPr>
            <w:tcW w:w="2494" w:type="dxa"/>
            <w:vAlign w:val="center"/>
          </w:tcPr>
          <w:p>
            <w:pPr>
              <w:spacing w:line="520" w:lineRule="exact"/>
              <w:jc w:val="center"/>
              <w:rPr>
                <w:rFonts w:eastAsia="仿宋_GB2312"/>
                <w:color w:val="auto"/>
                <w:sz w:val="28"/>
                <w:szCs w:val="28"/>
                <w:highlight w:val="none"/>
              </w:rPr>
            </w:pPr>
            <w:r>
              <w:rPr>
                <w:rFonts w:eastAsia="仿宋_GB2312"/>
                <w:color w:val="auto"/>
                <w:sz w:val="28"/>
                <w:szCs w:val="28"/>
                <w:highlight w:val="none"/>
              </w:rPr>
              <w:t>签名</w:t>
            </w:r>
          </w:p>
        </w:tc>
        <w:tc>
          <w:tcPr>
            <w:tcW w:w="2835" w:type="dxa"/>
            <w:vAlign w:val="center"/>
          </w:tcPr>
          <w:p>
            <w:pPr>
              <w:spacing w:line="520" w:lineRule="exact"/>
              <w:jc w:val="center"/>
              <w:rPr>
                <w:rFonts w:eastAsia="仿宋_GB2312"/>
                <w:color w:val="auto"/>
                <w:sz w:val="28"/>
                <w:szCs w:val="28"/>
                <w:highlight w:val="none"/>
              </w:rPr>
            </w:pPr>
            <w:r>
              <w:rPr>
                <w:rFonts w:eastAsia="仿宋_GB2312"/>
                <w:color w:val="auto"/>
                <w:sz w:val="28"/>
                <w:szCs w:val="28"/>
                <w:highlight w:val="none"/>
              </w:rPr>
              <w:t>签名日期</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701" w:type="dxa"/>
            <w:vAlign w:val="center"/>
          </w:tcPr>
          <w:p>
            <w:pPr>
              <w:spacing w:line="520" w:lineRule="exact"/>
              <w:jc w:val="center"/>
              <w:rPr>
                <w:rFonts w:eastAsia="仿宋_GB2312"/>
                <w:color w:val="auto"/>
                <w:sz w:val="28"/>
                <w:szCs w:val="28"/>
                <w:highlight w:val="none"/>
              </w:rPr>
            </w:pPr>
            <w:r>
              <w:rPr>
                <w:rFonts w:hint="eastAsia" w:eastAsia="仿宋_GB2312"/>
                <w:color w:val="auto"/>
                <w:sz w:val="28"/>
                <w:szCs w:val="28"/>
                <w:highlight w:val="none"/>
              </w:rPr>
              <w:t>曾繁荣</w:t>
            </w:r>
          </w:p>
        </w:tc>
        <w:tc>
          <w:tcPr>
            <w:tcW w:w="2042" w:type="dxa"/>
            <w:vAlign w:val="center"/>
          </w:tcPr>
          <w:p>
            <w:pPr>
              <w:spacing w:line="0" w:lineRule="atLeast"/>
              <w:jc w:val="center"/>
              <w:rPr>
                <w:rFonts w:eastAsia="仿宋_GB2312"/>
                <w:color w:val="auto"/>
                <w:sz w:val="28"/>
                <w:szCs w:val="28"/>
                <w:highlight w:val="none"/>
              </w:rPr>
            </w:pPr>
            <w:r>
              <w:rPr>
                <w:rFonts w:eastAsia="仿宋_GB2312"/>
                <w:color w:val="auto"/>
                <w:sz w:val="28"/>
                <w:szCs w:val="28"/>
                <w:highlight w:val="none"/>
              </w:rPr>
              <w:t>3620120016</w:t>
            </w:r>
          </w:p>
        </w:tc>
        <w:tc>
          <w:tcPr>
            <w:tcW w:w="2494" w:type="dxa"/>
            <w:vAlign w:val="center"/>
          </w:tcPr>
          <w:p>
            <w:pPr>
              <w:spacing w:line="0" w:lineRule="atLeast"/>
              <w:jc w:val="center"/>
              <w:rPr>
                <w:rFonts w:eastAsia="仿宋_GB2312"/>
                <w:color w:val="auto"/>
                <w:sz w:val="28"/>
                <w:szCs w:val="28"/>
                <w:highlight w:val="none"/>
              </w:rPr>
            </w:pPr>
          </w:p>
        </w:tc>
        <w:tc>
          <w:tcPr>
            <w:tcW w:w="2835" w:type="dxa"/>
            <w:vAlign w:val="center"/>
          </w:tcPr>
          <w:p>
            <w:pPr>
              <w:spacing w:line="0" w:lineRule="atLeast"/>
              <w:jc w:val="center"/>
              <w:rPr>
                <w:rFonts w:eastAsia="仿宋_GB2312"/>
                <w:color w:val="auto"/>
                <w:sz w:val="28"/>
                <w:szCs w:val="28"/>
                <w:highlight w:val="none"/>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701" w:type="dxa"/>
            <w:vAlign w:val="center"/>
          </w:tcPr>
          <w:p>
            <w:pPr>
              <w:spacing w:line="520" w:lineRule="exact"/>
              <w:jc w:val="center"/>
              <w:rPr>
                <w:rFonts w:eastAsia="仿宋_GB2312"/>
                <w:color w:val="auto"/>
                <w:sz w:val="28"/>
                <w:szCs w:val="28"/>
                <w:highlight w:val="none"/>
              </w:rPr>
            </w:pPr>
            <w:r>
              <w:rPr>
                <w:rFonts w:eastAsia="仿宋_GB2312"/>
                <w:color w:val="auto"/>
                <w:sz w:val="28"/>
                <w:szCs w:val="28"/>
                <w:highlight w:val="none"/>
              </w:rPr>
              <w:t>彭永红</w:t>
            </w:r>
          </w:p>
        </w:tc>
        <w:tc>
          <w:tcPr>
            <w:tcW w:w="2042" w:type="dxa"/>
            <w:vAlign w:val="center"/>
          </w:tcPr>
          <w:p>
            <w:pPr>
              <w:spacing w:line="0" w:lineRule="atLeast"/>
              <w:jc w:val="center"/>
              <w:rPr>
                <w:rFonts w:eastAsia="仿宋_GB2312"/>
                <w:color w:val="auto"/>
                <w:sz w:val="28"/>
                <w:szCs w:val="28"/>
                <w:highlight w:val="none"/>
              </w:rPr>
            </w:pPr>
            <w:r>
              <w:rPr>
                <w:rFonts w:eastAsia="仿宋_GB2312"/>
                <w:color w:val="auto"/>
                <w:sz w:val="28"/>
                <w:szCs w:val="28"/>
                <w:highlight w:val="none"/>
              </w:rPr>
              <w:t>3620080029</w:t>
            </w:r>
          </w:p>
        </w:tc>
        <w:tc>
          <w:tcPr>
            <w:tcW w:w="2494" w:type="dxa"/>
            <w:vAlign w:val="center"/>
          </w:tcPr>
          <w:p>
            <w:pPr>
              <w:spacing w:line="0" w:lineRule="atLeast"/>
              <w:jc w:val="center"/>
              <w:rPr>
                <w:rFonts w:eastAsia="仿宋_GB2312"/>
                <w:color w:val="auto"/>
                <w:sz w:val="28"/>
                <w:szCs w:val="28"/>
                <w:highlight w:val="none"/>
              </w:rPr>
            </w:pPr>
          </w:p>
        </w:tc>
        <w:tc>
          <w:tcPr>
            <w:tcW w:w="2835" w:type="dxa"/>
            <w:vAlign w:val="center"/>
          </w:tcPr>
          <w:p>
            <w:pPr>
              <w:spacing w:line="0" w:lineRule="atLeast"/>
              <w:jc w:val="center"/>
              <w:rPr>
                <w:rFonts w:eastAsia="仿宋_GB2312"/>
                <w:color w:val="auto"/>
                <w:sz w:val="28"/>
                <w:szCs w:val="28"/>
                <w:highlight w:val="none"/>
              </w:rPr>
            </w:pPr>
          </w:p>
        </w:tc>
      </w:tr>
    </w:tbl>
    <w:p>
      <w:pPr>
        <w:pStyle w:val="3"/>
        <w:spacing w:before="0" w:after="0" w:line="500" w:lineRule="exact"/>
        <w:rPr>
          <w:rFonts w:eastAsia="仿宋_GB2312" w:cs="仿宋_GB2312"/>
          <w:color w:val="auto"/>
          <w:sz w:val="28"/>
          <w:szCs w:val="28"/>
          <w:highlight w:val="none"/>
        </w:rPr>
      </w:pPr>
      <w:bookmarkStart w:id="179" w:name="_Toc130033732"/>
      <w:bookmarkStart w:id="180" w:name="_Toc254875150"/>
      <w:bookmarkStart w:id="181" w:name="_Toc135016182"/>
      <w:bookmarkStart w:id="182" w:name="_Toc301369726"/>
      <w:bookmarkStart w:id="183" w:name="_Toc270691078"/>
      <w:bookmarkStart w:id="184" w:name="_Toc243111725"/>
      <w:bookmarkStart w:id="185" w:name="_Toc367869508"/>
      <w:bookmarkStart w:id="186" w:name="_Toc269132879"/>
      <w:bookmarkStart w:id="187" w:name="_Toc254860136"/>
      <w:bookmarkStart w:id="188" w:name="_Toc243111696"/>
      <w:bookmarkStart w:id="189" w:name="_Toc435110693"/>
      <w:bookmarkStart w:id="190" w:name="_Toc106179024"/>
      <w:r>
        <w:rPr>
          <w:rFonts w:hint="eastAsia" w:eastAsia="仿宋_GB2312" w:cs="仿宋_GB2312"/>
          <w:color w:val="auto"/>
          <w:sz w:val="28"/>
          <w:szCs w:val="28"/>
          <w:highlight w:val="none"/>
        </w:rPr>
        <w:t>（十二）</w:t>
      </w:r>
      <w:bookmarkEnd w:id="179"/>
      <w:bookmarkEnd w:id="180"/>
      <w:bookmarkEnd w:id="181"/>
      <w:bookmarkEnd w:id="182"/>
      <w:bookmarkEnd w:id="183"/>
      <w:bookmarkEnd w:id="184"/>
      <w:bookmarkEnd w:id="185"/>
      <w:bookmarkEnd w:id="186"/>
      <w:bookmarkEnd w:id="187"/>
      <w:bookmarkEnd w:id="188"/>
      <w:r>
        <w:rPr>
          <w:rFonts w:hint="eastAsia" w:eastAsia="仿宋_GB2312" w:cs="仿宋_GB2312"/>
          <w:color w:val="auto"/>
          <w:sz w:val="28"/>
          <w:szCs w:val="28"/>
          <w:highlight w:val="none"/>
        </w:rPr>
        <w:t>实地查勘期</w:t>
      </w:r>
      <w:bookmarkEnd w:id="189"/>
      <w:bookmarkEnd w:id="190"/>
    </w:p>
    <w:p>
      <w:pPr>
        <w:spacing w:line="500" w:lineRule="exact"/>
        <w:ind w:firstLine="560" w:firstLineChars="200"/>
        <w:rPr>
          <w:rFonts w:eastAsia="仿宋_GB2312"/>
          <w:color w:val="auto"/>
          <w:sz w:val="28"/>
          <w:szCs w:val="28"/>
          <w:highlight w:val="none"/>
        </w:rPr>
      </w:pPr>
      <w:bookmarkStart w:id="191" w:name="_Toc130033733"/>
      <w:bookmarkStart w:id="192" w:name="_Toc243111726"/>
      <w:bookmarkStart w:id="193" w:name="_Toc270691079"/>
      <w:bookmarkStart w:id="194" w:name="_Toc301369727"/>
      <w:bookmarkStart w:id="195" w:name="_Toc254875151"/>
      <w:bookmarkStart w:id="196" w:name="_Toc269132880"/>
      <w:bookmarkStart w:id="197" w:name="_Toc135016183"/>
      <w:bookmarkStart w:id="198" w:name="_Toc254860137"/>
      <w:bookmarkStart w:id="199" w:name="_Toc243111697"/>
      <w:bookmarkStart w:id="200" w:name="_Toc367869509"/>
      <w:bookmarkStart w:id="201" w:name="_Toc435110694"/>
      <w:r>
        <w:rPr>
          <w:rFonts w:hint="eastAsia" w:eastAsia="仿宋_GB2312"/>
          <w:color w:val="auto"/>
          <w:sz w:val="28"/>
          <w:szCs w:val="28"/>
          <w:highlight w:val="none"/>
        </w:rPr>
        <w:t>2022年11月14日</w:t>
      </w:r>
    </w:p>
    <w:p>
      <w:pPr>
        <w:pStyle w:val="3"/>
        <w:spacing w:before="0" w:after="0" w:line="500" w:lineRule="exact"/>
        <w:rPr>
          <w:rFonts w:eastAsia="仿宋_GB2312" w:cs="仿宋_GB2312"/>
          <w:color w:val="auto"/>
          <w:sz w:val="28"/>
          <w:szCs w:val="28"/>
          <w:highlight w:val="none"/>
        </w:rPr>
      </w:pPr>
      <w:bookmarkStart w:id="202" w:name="_Toc106179025"/>
      <w:r>
        <w:rPr>
          <w:rFonts w:hint="eastAsia" w:eastAsia="仿宋_GB2312" w:cs="仿宋_GB2312"/>
          <w:color w:val="auto"/>
          <w:sz w:val="28"/>
          <w:szCs w:val="28"/>
          <w:highlight w:val="none"/>
        </w:rPr>
        <w:t>（十三）</w:t>
      </w:r>
      <w:bookmarkEnd w:id="191"/>
      <w:bookmarkEnd w:id="192"/>
      <w:bookmarkEnd w:id="193"/>
      <w:bookmarkEnd w:id="194"/>
      <w:bookmarkEnd w:id="195"/>
      <w:bookmarkEnd w:id="196"/>
      <w:bookmarkEnd w:id="197"/>
      <w:bookmarkEnd w:id="198"/>
      <w:bookmarkEnd w:id="199"/>
      <w:bookmarkEnd w:id="200"/>
      <w:r>
        <w:rPr>
          <w:rFonts w:hint="eastAsia" w:eastAsia="仿宋_GB2312" w:cs="仿宋_GB2312"/>
          <w:color w:val="auto"/>
          <w:sz w:val="28"/>
          <w:szCs w:val="28"/>
          <w:highlight w:val="none"/>
        </w:rPr>
        <w:t>估价作业期</w:t>
      </w:r>
      <w:bookmarkEnd w:id="201"/>
      <w:bookmarkEnd w:id="202"/>
    </w:p>
    <w:p>
      <w:pPr>
        <w:spacing w:line="500" w:lineRule="exact"/>
        <w:ind w:firstLine="560" w:firstLineChars="200"/>
        <w:rPr>
          <w:rFonts w:eastAsia="仿宋_GB2312"/>
          <w:color w:val="auto"/>
          <w:sz w:val="28"/>
          <w:szCs w:val="28"/>
          <w:highlight w:val="none"/>
        </w:rPr>
      </w:pPr>
      <w:bookmarkStart w:id="203" w:name="_Toc243111727"/>
      <w:bookmarkStart w:id="204" w:name="_Toc270691080"/>
      <w:bookmarkStart w:id="205" w:name="_Toc130033734"/>
      <w:bookmarkStart w:id="206" w:name="_Toc269132881"/>
      <w:bookmarkStart w:id="207" w:name="_Toc299004801"/>
      <w:bookmarkStart w:id="208" w:name="_Toc299004832"/>
      <w:bookmarkStart w:id="209" w:name="_Toc254860138"/>
      <w:bookmarkStart w:id="210" w:name="_Toc135016184"/>
      <w:bookmarkStart w:id="211" w:name="_Toc243111698"/>
      <w:bookmarkStart w:id="212" w:name="_Toc254875152"/>
      <w:r>
        <w:rPr>
          <w:rFonts w:hint="eastAsia" w:eastAsia="仿宋_GB2312"/>
          <w:color w:val="auto"/>
          <w:sz w:val="28"/>
          <w:szCs w:val="28"/>
          <w:highlight w:val="none"/>
        </w:rPr>
        <w:t>2022年11月14日至</w:t>
      </w:r>
      <w:bookmarkEnd w:id="203"/>
      <w:bookmarkEnd w:id="204"/>
      <w:bookmarkEnd w:id="205"/>
      <w:bookmarkEnd w:id="206"/>
      <w:bookmarkEnd w:id="207"/>
      <w:bookmarkEnd w:id="208"/>
      <w:bookmarkEnd w:id="209"/>
      <w:bookmarkEnd w:id="210"/>
      <w:bookmarkEnd w:id="211"/>
      <w:bookmarkEnd w:id="212"/>
      <w:r>
        <w:rPr>
          <w:rFonts w:hint="eastAsia" w:eastAsia="仿宋_GB2312"/>
          <w:color w:val="auto"/>
          <w:sz w:val="28"/>
          <w:szCs w:val="28"/>
          <w:highlight w:val="none"/>
        </w:rPr>
        <w:t>2022年11月28日</w:t>
      </w:r>
    </w:p>
    <w:p>
      <w:pPr>
        <w:ind w:firstLine="560" w:firstLineChars="200"/>
        <w:rPr>
          <w:rFonts w:eastAsia="仿宋_GB2312"/>
          <w:color w:val="auto"/>
          <w:sz w:val="28"/>
          <w:szCs w:val="28"/>
          <w:highlight w:val="none"/>
        </w:rPr>
      </w:pPr>
    </w:p>
    <w:p>
      <w:pPr>
        <w:tabs>
          <w:tab w:val="left" w:pos="4998"/>
        </w:tabs>
        <w:spacing w:line="480" w:lineRule="exact"/>
        <w:jc w:val="center"/>
        <w:outlineLvl w:val="0"/>
        <w:rPr>
          <w:rFonts w:eastAsia="仿宋_GB2312" w:cs="仿宋_GB2312"/>
          <w:b/>
          <w:bCs/>
          <w:snapToGrid w:val="0"/>
          <w:color w:val="auto"/>
          <w:kern w:val="0"/>
          <w:sz w:val="32"/>
          <w:szCs w:val="32"/>
          <w:highlight w:val="none"/>
        </w:rPr>
      </w:pPr>
      <w:r>
        <w:rPr>
          <w:rFonts w:eastAsia="仿宋_GB2312"/>
          <w:snapToGrid w:val="0"/>
          <w:color w:val="auto"/>
          <w:kern w:val="0"/>
          <w:sz w:val="36"/>
          <w:szCs w:val="36"/>
          <w:highlight w:val="none"/>
        </w:rPr>
        <w:br w:type="page"/>
      </w:r>
      <w:bookmarkStart w:id="213" w:name="_Toc106179026"/>
      <w:bookmarkStart w:id="214" w:name="_Toc16641"/>
      <w:bookmarkStart w:id="215" w:name="_Toc435110698"/>
      <w:r>
        <w:rPr>
          <w:rFonts w:hint="eastAsia" w:eastAsia="仿宋_GB2312" w:cs="仿宋_GB2312"/>
          <w:b/>
          <w:bCs/>
          <w:snapToGrid w:val="0"/>
          <w:color w:val="auto"/>
          <w:kern w:val="0"/>
          <w:sz w:val="32"/>
          <w:szCs w:val="32"/>
          <w:highlight w:val="none"/>
        </w:rPr>
        <w:t>四、附件</w:t>
      </w:r>
      <w:bookmarkEnd w:id="213"/>
    </w:p>
    <w:p>
      <w:pPr>
        <w:pStyle w:val="102"/>
        <w:numPr>
          <w:ilvl w:val="2"/>
          <w:numId w:val="9"/>
        </w:numPr>
        <w:adjustRightInd w:val="0"/>
        <w:snapToGrid w:val="0"/>
        <w:spacing w:line="500" w:lineRule="exact"/>
        <w:ind w:left="765" w:hanging="482" w:firstLineChars="0"/>
        <w:rPr>
          <w:rFonts w:eastAsia="仿宋_GB2312"/>
          <w:color w:val="auto"/>
          <w:sz w:val="28"/>
          <w:szCs w:val="28"/>
          <w:highlight w:val="none"/>
        </w:rPr>
      </w:pPr>
      <w:r>
        <w:rPr>
          <w:rFonts w:hint="eastAsia" w:eastAsia="仿宋_GB2312" w:cs="仿宋_GB2312"/>
          <w:color w:val="auto"/>
          <w:sz w:val="28"/>
          <w:szCs w:val="28"/>
          <w:highlight w:val="none"/>
        </w:rPr>
        <w:t>估价对象实地查勘照片</w:t>
      </w:r>
    </w:p>
    <w:p>
      <w:pPr>
        <w:pStyle w:val="102"/>
        <w:numPr>
          <w:ilvl w:val="2"/>
          <w:numId w:val="9"/>
        </w:numPr>
        <w:adjustRightInd w:val="0"/>
        <w:snapToGrid w:val="0"/>
        <w:spacing w:line="500" w:lineRule="exact"/>
        <w:ind w:left="765" w:hanging="482" w:firstLineChars="0"/>
        <w:rPr>
          <w:rFonts w:eastAsia="仿宋_GB2312"/>
          <w:color w:val="auto"/>
          <w:sz w:val="28"/>
          <w:szCs w:val="28"/>
          <w:highlight w:val="none"/>
        </w:rPr>
      </w:pPr>
      <w:r>
        <w:rPr>
          <w:rFonts w:hint="eastAsia" w:eastAsia="仿宋_GB2312" w:cs="仿宋_GB2312"/>
          <w:color w:val="auto"/>
          <w:sz w:val="28"/>
          <w:szCs w:val="28"/>
          <w:highlight w:val="none"/>
        </w:rPr>
        <w:t>估价对象位置示意图</w:t>
      </w:r>
    </w:p>
    <w:p>
      <w:pPr>
        <w:pStyle w:val="102"/>
        <w:numPr>
          <w:ilvl w:val="2"/>
          <w:numId w:val="9"/>
        </w:numPr>
        <w:adjustRightInd w:val="0"/>
        <w:snapToGrid w:val="0"/>
        <w:spacing w:line="500" w:lineRule="exact"/>
        <w:ind w:left="765" w:hanging="482" w:firstLineChars="0"/>
        <w:rPr>
          <w:rFonts w:eastAsia="仿宋_GB2312"/>
          <w:color w:val="auto"/>
          <w:sz w:val="28"/>
          <w:szCs w:val="28"/>
          <w:highlight w:val="none"/>
        </w:rPr>
      </w:pPr>
      <w:r>
        <w:rPr>
          <w:rFonts w:hint="eastAsia" w:eastAsia="仿宋_GB2312" w:cs="仿宋_GB2312"/>
          <w:color w:val="auto"/>
          <w:sz w:val="28"/>
          <w:szCs w:val="28"/>
          <w:highlight w:val="none"/>
        </w:rPr>
        <w:t>《吉安市吉州区人民法院司法技术委托书》</w:t>
      </w:r>
    </w:p>
    <w:p>
      <w:pPr>
        <w:pStyle w:val="102"/>
        <w:numPr>
          <w:ilvl w:val="2"/>
          <w:numId w:val="9"/>
        </w:numPr>
        <w:adjustRightInd w:val="0"/>
        <w:snapToGrid w:val="0"/>
        <w:spacing w:line="500" w:lineRule="exact"/>
        <w:ind w:left="765" w:hanging="482" w:firstLineChars="0"/>
        <w:rPr>
          <w:rFonts w:eastAsia="仿宋_GB2312"/>
          <w:color w:val="auto"/>
          <w:sz w:val="28"/>
          <w:szCs w:val="28"/>
          <w:highlight w:val="none"/>
        </w:rPr>
      </w:pPr>
      <w:r>
        <w:rPr>
          <w:rFonts w:hint="eastAsia" w:eastAsia="仿宋_GB2312" w:cs="仿宋_GB2312"/>
          <w:color w:val="auto"/>
          <w:sz w:val="28"/>
          <w:szCs w:val="28"/>
          <w:highlight w:val="none"/>
        </w:rPr>
        <w:t>《合同备案库查询单》</w:t>
      </w:r>
    </w:p>
    <w:p>
      <w:pPr>
        <w:pStyle w:val="102"/>
        <w:numPr>
          <w:ilvl w:val="2"/>
          <w:numId w:val="9"/>
        </w:numPr>
        <w:adjustRightInd w:val="0"/>
        <w:snapToGrid w:val="0"/>
        <w:spacing w:line="500" w:lineRule="exact"/>
        <w:ind w:left="765" w:hanging="482" w:firstLineChars="0"/>
        <w:rPr>
          <w:rFonts w:eastAsia="仿宋_GB2312"/>
          <w:color w:val="auto"/>
          <w:sz w:val="28"/>
          <w:szCs w:val="28"/>
          <w:highlight w:val="none"/>
        </w:rPr>
      </w:pPr>
      <w:r>
        <w:rPr>
          <w:rFonts w:hint="eastAsia" w:eastAsia="仿宋_GB2312" w:cs="仿宋_GB2312"/>
          <w:color w:val="auto"/>
          <w:sz w:val="28"/>
          <w:szCs w:val="28"/>
          <w:highlight w:val="none"/>
        </w:rPr>
        <w:t>注册房地产估价师注册证书</w:t>
      </w:r>
    </w:p>
    <w:p>
      <w:pPr>
        <w:pStyle w:val="102"/>
        <w:numPr>
          <w:ilvl w:val="2"/>
          <w:numId w:val="9"/>
        </w:numPr>
        <w:adjustRightInd w:val="0"/>
        <w:snapToGrid w:val="0"/>
        <w:spacing w:line="500" w:lineRule="exact"/>
        <w:ind w:left="765" w:hanging="482" w:firstLineChars="0"/>
        <w:rPr>
          <w:rFonts w:eastAsia="仿宋_GB2312"/>
          <w:color w:val="auto"/>
          <w:sz w:val="28"/>
          <w:szCs w:val="28"/>
          <w:highlight w:val="none"/>
        </w:rPr>
      </w:pPr>
      <w:r>
        <w:rPr>
          <w:rFonts w:hint="eastAsia" w:eastAsia="仿宋_GB2312" w:cs="仿宋_GB2312"/>
          <w:color w:val="auto"/>
          <w:sz w:val="28"/>
          <w:szCs w:val="28"/>
          <w:highlight w:val="none"/>
        </w:rPr>
        <w:t>房地产估价机构备案证书</w:t>
      </w:r>
    </w:p>
    <w:p>
      <w:pPr>
        <w:pStyle w:val="102"/>
        <w:numPr>
          <w:ilvl w:val="2"/>
          <w:numId w:val="9"/>
        </w:numPr>
        <w:adjustRightInd w:val="0"/>
        <w:snapToGrid w:val="0"/>
        <w:spacing w:line="500" w:lineRule="exact"/>
        <w:ind w:left="765" w:hanging="482" w:firstLineChars="0"/>
        <w:rPr>
          <w:rFonts w:eastAsia="仿宋_GB2312"/>
          <w:color w:val="auto"/>
          <w:sz w:val="28"/>
          <w:szCs w:val="28"/>
          <w:highlight w:val="none"/>
        </w:rPr>
      </w:pPr>
      <w:r>
        <w:rPr>
          <w:rFonts w:hint="eastAsia" w:eastAsia="仿宋_GB2312" w:cs="仿宋_GB2312"/>
          <w:color w:val="auto"/>
          <w:sz w:val="28"/>
          <w:szCs w:val="28"/>
          <w:highlight w:val="none"/>
        </w:rPr>
        <w:t>房地产估价机构营业执照</w:t>
      </w:r>
    </w:p>
    <w:p>
      <w:pPr>
        <w:pStyle w:val="102"/>
        <w:adjustRightInd w:val="0"/>
        <w:snapToGrid w:val="0"/>
        <w:spacing w:line="500" w:lineRule="exact"/>
        <w:ind w:left="765" w:firstLine="0" w:firstLineChars="0"/>
        <w:rPr>
          <w:rFonts w:eastAsia="仿宋_GB2312"/>
          <w:color w:val="auto"/>
          <w:sz w:val="28"/>
          <w:szCs w:val="28"/>
          <w:highlight w:val="none"/>
        </w:rPr>
      </w:pPr>
      <w:r>
        <w:rPr>
          <w:rFonts w:hint="eastAsia" w:eastAsia="仿宋_GB2312" w:cs="仿宋_GB2312"/>
          <w:color w:val="auto"/>
          <w:sz w:val="28"/>
          <w:szCs w:val="28"/>
          <w:highlight w:val="none"/>
        </w:rPr>
        <w:t>（以上均为复印件）</w:t>
      </w:r>
    </w:p>
    <w:p>
      <w:pPr>
        <w:widowControl/>
        <w:jc w:val="left"/>
        <w:rPr>
          <w:rFonts w:eastAsia="仿宋_GB2312" w:cs="仿宋_GB2312"/>
          <w:b/>
          <w:bCs/>
          <w:color w:val="auto"/>
          <w:sz w:val="32"/>
          <w:szCs w:val="32"/>
          <w:highlight w:val="none"/>
        </w:rPr>
      </w:pPr>
      <w:r>
        <w:rPr>
          <w:rFonts w:eastAsia="仿宋_GB2312" w:cs="仿宋_GB2312"/>
          <w:b/>
          <w:bCs/>
          <w:color w:val="auto"/>
          <w:sz w:val="32"/>
          <w:szCs w:val="32"/>
          <w:highlight w:val="none"/>
        </w:rPr>
        <w:br w:type="page"/>
      </w:r>
    </w:p>
    <w:p>
      <w:pPr>
        <w:topLinePunct/>
        <w:adjustRightInd w:val="0"/>
        <w:snapToGrid w:val="0"/>
        <w:spacing w:beforeLines="50"/>
        <w:jc w:val="center"/>
        <w:rPr>
          <w:rFonts w:eastAsia="微软雅黑"/>
          <w:b/>
          <w:color w:val="auto"/>
          <w:spacing w:val="20"/>
          <w:sz w:val="32"/>
          <w:szCs w:val="32"/>
          <w:highlight w:val="none"/>
        </w:rPr>
      </w:pPr>
      <w:r>
        <w:rPr>
          <w:rFonts w:eastAsia="微软雅黑"/>
          <w:b/>
          <w:color w:val="auto"/>
          <w:spacing w:val="20"/>
          <w:sz w:val="32"/>
          <w:szCs w:val="32"/>
          <w:highlight w:val="none"/>
        </w:rPr>
        <w:t>估价对象实地查勘照片</w:t>
      </w:r>
    </w:p>
    <w:tbl>
      <w:tblPr>
        <w:tblStyle w:val="43"/>
        <w:tblW w:w="5051" w:type="pct"/>
        <w:jc w:val="center"/>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Layout w:type="fixed"/>
        <w:tblCellMar>
          <w:top w:w="0" w:type="dxa"/>
          <w:left w:w="108" w:type="dxa"/>
          <w:bottom w:w="0" w:type="dxa"/>
          <w:right w:w="108" w:type="dxa"/>
        </w:tblCellMar>
      </w:tblPr>
      <w:tblGrid>
        <w:gridCol w:w="4453"/>
        <w:gridCol w:w="244"/>
        <w:gridCol w:w="4399"/>
      </w:tblGrid>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cantSplit/>
          <w:trHeight w:val="3686" w:hRule="atLeast"/>
          <w:jc w:val="center"/>
        </w:trPr>
        <w:tc>
          <w:tcPr>
            <w:tcW w:w="2448" w:type="pct"/>
            <w:tcBorders>
              <w:bottom w:val="double" w:color="auto" w:sz="6" w:space="0"/>
            </w:tcBorders>
            <w:tcMar>
              <w:left w:w="0" w:type="dxa"/>
              <w:right w:w="0" w:type="dxa"/>
            </w:tcMar>
            <w:vAlign w:val="center"/>
          </w:tcPr>
          <w:p>
            <w:pPr>
              <w:topLinePunct/>
              <w:adjustRightInd w:val="0"/>
              <w:snapToGrid w:val="0"/>
              <w:spacing w:line="276" w:lineRule="auto"/>
              <w:jc w:val="center"/>
              <w:rPr>
                <w:rFonts w:eastAsia="微软雅黑"/>
                <w:color w:val="auto"/>
                <w:sz w:val="15"/>
                <w:szCs w:val="15"/>
                <w:highlight w:val="none"/>
              </w:rPr>
            </w:pPr>
            <w:r>
              <w:rPr>
                <w:rFonts w:eastAsia="微软雅黑"/>
                <w:color w:val="auto"/>
                <w:sz w:val="15"/>
                <w:szCs w:val="15"/>
                <w:highlight w:val="none"/>
              </w:rPr>
              <w:drawing>
                <wp:inline distT="0" distB="0" distL="0" distR="0">
                  <wp:extent cx="2799080" cy="2099310"/>
                  <wp:effectExtent l="0" t="0" r="7620" b="8890"/>
                  <wp:docPr id="6" name="图片 5" descr="IMG_5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5585.JPG"/>
                          <pic:cNvPicPr>
                            <a:picLocks noChangeAspect="1"/>
                          </pic:cNvPicPr>
                        </pic:nvPicPr>
                        <pic:blipFill>
                          <a:blip r:embed="rId19"/>
                          <a:stretch>
                            <a:fillRect/>
                          </a:stretch>
                        </pic:blipFill>
                        <pic:spPr>
                          <a:xfrm>
                            <a:off x="0" y="0"/>
                            <a:ext cx="2799080" cy="2099310"/>
                          </a:xfrm>
                          <a:prstGeom prst="rect">
                            <a:avLst/>
                          </a:prstGeom>
                        </pic:spPr>
                      </pic:pic>
                    </a:graphicData>
                  </a:graphic>
                </wp:inline>
              </w:drawing>
            </w:r>
          </w:p>
        </w:tc>
        <w:tc>
          <w:tcPr>
            <w:tcW w:w="134" w:type="pct"/>
            <w:tcBorders>
              <w:top w:val="nil"/>
              <w:bottom w:val="nil"/>
            </w:tcBorders>
            <w:tcMar>
              <w:left w:w="0" w:type="dxa"/>
              <w:right w:w="0" w:type="dxa"/>
            </w:tcMar>
            <w:vAlign w:val="center"/>
          </w:tcPr>
          <w:p>
            <w:pPr>
              <w:topLinePunct/>
              <w:adjustRightInd w:val="0"/>
              <w:snapToGrid w:val="0"/>
              <w:spacing w:line="276" w:lineRule="auto"/>
              <w:jc w:val="center"/>
              <w:rPr>
                <w:rFonts w:eastAsia="微软雅黑"/>
                <w:color w:val="auto"/>
                <w:sz w:val="15"/>
                <w:szCs w:val="15"/>
                <w:highlight w:val="none"/>
              </w:rPr>
            </w:pPr>
          </w:p>
        </w:tc>
        <w:tc>
          <w:tcPr>
            <w:tcW w:w="2418" w:type="pct"/>
            <w:tcBorders>
              <w:bottom w:val="double" w:color="auto" w:sz="6" w:space="0"/>
            </w:tcBorders>
            <w:tcMar>
              <w:left w:w="0" w:type="dxa"/>
              <w:right w:w="0" w:type="dxa"/>
            </w:tcMar>
            <w:vAlign w:val="center"/>
          </w:tcPr>
          <w:p>
            <w:pPr>
              <w:topLinePunct/>
              <w:adjustRightInd w:val="0"/>
              <w:snapToGrid w:val="0"/>
              <w:spacing w:line="276" w:lineRule="auto"/>
              <w:jc w:val="center"/>
              <w:rPr>
                <w:rFonts w:eastAsia="微软雅黑"/>
                <w:color w:val="auto"/>
                <w:sz w:val="15"/>
                <w:szCs w:val="15"/>
                <w:highlight w:val="none"/>
              </w:rPr>
            </w:pPr>
            <w:r>
              <w:rPr>
                <w:rFonts w:eastAsia="微软雅黑"/>
                <w:color w:val="auto"/>
                <w:sz w:val="15"/>
                <w:szCs w:val="15"/>
                <w:highlight w:val="none"/>
              </w:rPr>
              <w:drawing>
                <wp:inline distT="0" distB="0" distL="0" distR="0">
                  <wp:extent cx="2799080" cy="2099310"/>
                  <wp:effectExtent l="0" t="0" r="7620" b="8890"/>
                  <wp:docPr id="16" name="图片 6" descr="IMG_5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descr="IMG_5587.JPG"/>
                          <pic:cNvPicPr>
                            <a:picLocks noChangeAspect="1"/>
                          </pic:cNvPicPr>
                        </pic:nvPicPr>
                        <pic:blipFill>
                          <a:blip r:embed="rId20"/>
                          <a:stretch>
                            <a:fillRect/>
                          </a:stretch>
                        </pic:blipFill>
                        <pic:spPr>
                          <a:xfrm>
                            <a:off x="0" y="0"/>
                            <a:ext cx="2799080" cy="2099310"/>
                          </a:xfrm>
                          <a:prstGeom prst="rect">
                            <a:avLst/>
                          </a:prstGeom>
                        </pic:spPr>
                      </pic:pic>
                    </a:graphicData>
                  </a:graphic>
                </wp:inline>
              </w:drawing>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cantSplit/>
          <w:trHeight w:val="305" w:hRule="atLeast"/>
          <w:jc w:val="center"/>
        </w:trPr>
        <w:tc>
          <w:tcPr>
            <w:tcW w:w="2448" w:type="pct"/>
            <w:tcBorders>
              <w:left w:val="nil"/>
              <w:bottom w:val="double" w:color="auto" w:sz="6" w:space="0"/>
              <w:right w:val="nil"/>
            </w:tcBorders>
            <w:tcMar>
              <w:left w:w="0" w:type="dxa"/>
              <w:right w:w="0" w:type="dxa"/>
            </w:tcMar>
            <w:vAlign w:val="center"/>
          </w:tcPr>
          <w:p>
            <w:pPr>
              <w:topLinePunct/>
              <w:adjustRightInd w:val="0"/>
              <w:snapToGrid w:val="0"/>
              <w:spacing w:line="276" w:lineRule="auto"/>
              <w:jc w:val="center"/>
              <w:rPr>
                <w:rFonts w:eastAsia="微软雅黑"/>
                <w:color w:val="auto"/>
                <w:highlight w:val="none"/>
              </w:rPr>
            </w:pPr>
            <w:r>
              <w:rPr>
                <w:rFonts w:eastAsia="微软雅黑"/>
                <w:color w:val="auto"/>
                <w:highlight w:val="none"/>
              </w:rPr>
              <w:t>外观</w:t>
            </w:r>
          </w:p>
        </w:tc>
        <w:tc>
          <w:tcPr>
            <w:tcW w:w="134" w:type="pct"/>
            <w:tcBorders>
              <w:top w:val="nil"/>
              <w:left w:val="nil"/>
              <w:bottom w:val="nil"/>
              <w:right w:val="nil"/>
            </w:tcBorders>
            <w:tcMar>
              <w:left w:w="0" w:type="dxa"/>
              <w:right w:w="0" w:type="dxa"/>
            </w:tcMar>
            <w:vAlign w:val="center"/>
          </w:tcPr>
          <w:p>
            <w:pPr>
              <w:topLinePunct/>
              <w:adjustRightInd w:val="0"/>
              <w:snapToGrid w:val="0"/>
              <w:spacing w:line="276" w:lineRule="auto"/>
              <w:jc w:val="center"/>
              <w:rPr>
                <w:rFonts w:eastAsia="微软雅黑"/>
                <w:color w:val="auto"/>
                <w:highlight w:val="none"/>
              </w:rPr>
            </w:pPr>
          </w:p>
        </w:tc>
        <w:tc>
          <w:tcPr>
            <w:tcW w:w="2418" w:type="pct"/>
            <w:tcBorders>
              <w:left w:val="nil"/>
              <w:bottom w:val="double" w:color="auto" w:sz="6" w:space="0"/>
              <w:right w:val="nil"/>
            </w:tcBorders>
            <w:tcMar>
              <w:left w:w="0" w:type="dxa"/>
              <w:right w:w="0" w:type="dxa"/>
            </w:tcMar>
            <w:vAlign w:val="center"/>
          </w:tcPr>
          <w:p>
            <w:pPr>
              <w:topLinePunct/>
              <w:adjustRightInd w:val="0"/>
              <w:snapToGrid w:val="0"/>
              <w:spacing w:line="276" w:lineRule="auto"/>
              <w:jc w:val="center"/>
              <w:rPr>
                <w:rFonts w:eastAsia="微软雅黑"/>
                <w:color w:val="auto"/>
                <w:highlight w:val="none"/>
              </w:rPr>
            </w:pPr>
            <w:r>
              <w:rPr>
                <w:rFonts w:eastAsia="微软雅黑"/>
                <w:color w:val="auto"/>
                <w:highlight w:val="none"/>
              </w:rPr>
              <w:t>单元门</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cantSplit/>
          <w:trHeight w:val="3686" w:hRule="atLeast"/>
          <w:jc w:val="center"/>
        </w:trPr>
        <w:tc>
          <w:tcPr>
            <w:tcW w:w="2448" w:type="pct"/>
            <w:tcMar>
              <w:left w:w="0" w:type="dxa"/>
              <w:right w:w="0" w:type="dxa"/>
            </w:tcMar>
            <w:vAlign w:val="center"/>
          </w:tcPr>
          <w:p>
            <w:pPr>
              <w:topLinePunct/>
              <w:adjustRightInd w:val="0"/>
              <w:snapToGrid w:val="0"/>
              <w:spacing w:line="276" w:lineRule="auto"/>
              <w:jc w:val="center"/>
              <w:rPr>
                <w:rFonts w:eastAsia="微软雅黑"/>
                <w:color w:val="auto"/>
                <w:sz w:val="15"/>
                <w:szCs w:val="15"/>
                <w:highlight w:val="none"/>
              </w:rPr>
            </w:pPr>
            <w:r>
              <w:rPr>
                <w:rFonts w:eastAsia="微软雅黑"/>
                <w:color w:val="auto"/>
                <w:sz w:val="15"/>
                <w:szCs w:val="15"/>
                <w:highlight w:val="none"/>
              </w:rPr>
              <w:drawing>
                <wp:inline distT="0" distB="0" distL="0" distR="0">
                  <wp:extent cx="2799080" cy="2098040"/>
                  <wp:effectExtent l="0" t="0" r="7620" b="10160"/>
                  <wp:docPr id="18" name="图片 7" descr="IMG_5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7" descr="IMG_5588.JPG"/>
                          <pic:cNvPicPr>
                            <a:picLocks noChangeAspect="1"/>
                          </pic:cNvPicPr>
                        </pic:nvPicPr>
                        <pic:blipFill>
                          <a:blip r:embed="rId21"/>
                          <a:stretch>
                            <a:fillRect/>
                          </a:stretch>
                        </pic:blipFill>
                        <pic:spPr>
                          <a:xfrm>
                            <a:off x="0" y="0"/>
                            <a:ext cx="2799080" cy="2098040"/>
                          </a:xfrm>
                          <a:prstGeom prst="rect">
                            <a:avLst/>
                          </a:prstGeom>
                        </pic:spPr>
                      </pic:pic>
                    </a:graphicData>
                  </a:graphic>
                </wp:inline>
              </w:drawing>
            </w:r>
          </w:p>
        </w:tc>
        <w:tc>
          <w:tcPr>
            <w:tcW w:w="134" w:type="pct"/>
            <w:tcBorders>
              <w:top w:val="nil"/>
              <w:bottom w:val="nil"/>
            </w:tcBorders>
            <w:tcMar>
              <w:left w:w="0" w:type="dxa"/>
              <w:right w:w="0" w:type="dxa"/>
            </w:tcMar>
            <w:vAlign w:val="center"/>
          </w:tcPr>
          <w:p>
            <w:pPr>
              <w:topLinePunct/>
              <w:adjustRightInd w:val="0"/>
              <w:snapToGrid w:val="0"/>
              <w:spacing w:line="276" w:lineRule="auto"/>
              <w:jc w:val="center"/>
              <w:rPr>
                <w:rFonts w:eastAsia="微软雅黑"/>
                <w:color w:val="auto"/>
                <w:sz w:val="15"/>
                <w:szCs w:val="15"/>
                <w:highlight w:val="none"/>
              </w:rPr>
            </w:pPr>
          </w:p>
        </w:tc>
        <w:tc>
          <w:tcPr>
            <w:tcW w:w="2418" w:type="pct"/>
            <w:tcMar>
              <w:left w:w="0" w:type="dxa"/>
              <w:right w:w="0" w:type="dxa"/>
            </w:tcMar>
            <w:vAlign w:val="center"/>
          </w:tcPr>
          <w:p>
            <w:pPr>
              <w:topLinePunct/>
              <w:adjustRightInd w:val="0"/>
              <w:snapToGrid w:val="0"/>
              <w:spacing w:line="276" w:lineRule="auto"/>
              <w:jc w:val="center"/>
              <w:rPr>
                <w:rFonts w:eastAsia="微软雅黑"/>
                <w:color w:val="auto"/>
                <w:sz w:val="15"/>
                <w:szCs w:val="15"/>
                <w:highlight w:val="none"/>
              </w:rPr>
            </w:pPr>
            <w:r>
              <w:rPr>
                <w:rFonts w:eastAsia="微软雅黑"/>
                <w:color w:val="auto"/>
                <w:sz w:val="15"/>
                <w:szCs w:val="15"/>
                <w:highlight w:val="none"/>
              </w:rPr>
              <w:drawing>
                <wp:inline distT="0" distB="0" distL="0" distR="0">
                  <wp:extent cx="2799080" cy="2098040"/>
                  <wp:effectExtent l="0" t="0" r="7620" b="10160"/>
                  <wp:docPr id="24" name="图片 8" descr="IMG_5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8" descr="IMG_5595.JPG"/>
                          <pic:cNvPicPr>
                            <a:picLocks noChangeAspect="1"/>
                          </pic:cNvPicPr>
                        </pic:nvPicPr>
                        <pic:blipFill>
                          <a:blip r:embed="rId22"/>
                          <a:stretch>
                            <a:fillRect/>
                          </a:stretch>
                        </pic:blipFill>
                        <pic:spPr>
                          <a:xfrm>
                            <a:off x="0" y="0"/>
                            <a:ext cx="2799080" cy="2098040"/>
                          </a:xfrm>
                          <a:prstGeom prst="rect">
                            <a:avLst/>
                          </a:prstGeom>
                        </pic:spPr>
                      </pic:pic>
                    </a:graphicData>
                  </a:graphic>
                </wp:inline>
              </w:drawing>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cantSplit/>
          <w:trHeight w:val="305" w:hRule="atLeast"/>
          <w:jc w:val="center"/>
        </w:trPr>
        <w:tc>
          <w:tcPr>
            <w:tcW w:w="2448" w:type="pct"/>
            <w:tcBorders>
              <w:left w:val="nil"/>
              <w:bottom w:val="double" w:color="auto" w:sz="6" w:space="0"/>
              <w:right w:val="nil"/>
            </w:tcBorders>
            <w:tcMar>
              <w:left w:w="0" w:type="dxa"/>
              <w:right w:w="0" w:type="dxa"/>
            </w:tcMar>
            <w:vAlign w:val="center"/>
          </w:tcPr>
          <w:p>
            <w:pPr>
              <w:topLinePunct/>
              <w:adjustRightInd w:val="0"/>
              <w:snapToGrid w:val="0"/>
              <w:spacing w:line="276" w:lineRule="auto"/>
              <w:jc w:val="center"/>
              <w:rPr>
                <w:rFonts w:eastAsia="微软雅黑"/>
                <w:color w:val="auto"/>
                <w:highlight w:val="none"/>
              </w:rPr>
            </w:pPr>
            <w:r>
              <w:rPr>
                <w:rFonts w:eastAsia="微软雅黑"/>
                <w:color w:val="auto"/>
                <w:highlight w:val="none"/>
              </w:rPr>
              <w:t>入户门</w:t>
            </w:r>
          </w:p>
        </w:tc>
        <w:tc>
          <w:tcPr>
            <w:tcW w:w="134" w:type="pct"/>
            <w:tcBorders>
              <w:top w:val="nil"/>
              <w:left w:val="nil"/>
              <w:bottom w:val="nil"/>
              <w:right w:val="nil"/>
            </w:tcBorders>
            <w:tcMar>
              <w:left w:w="0" w:type="dxa"/>
              <w:right w:w="0" w:type="dxa"/>
            </w:tcMar>
            <w:vAlign w:val="center"/>
          </w:tcPr>
          <w:p>
            <w:pPr>
              <w:topLinePunct/>
              <w:adjustRightInd w:val="0"/>
              <w:snapToGrid w:val="0"/>
              <w:spacing w:line="276" w:lineRule="auto"/>
              <w:jc w:val="center"/>
              <w:rPr>
                <w:rFonts w:eastAsia="微软雅黑"/>
                <w:color w:val="auto"/>
                <w:highlight w:val="none"/>
              </w:rPr>
            </w:pPr>
          </w:p>
        </w:tc>
        <w:tc>
          <w:tcPr>
            <w:tcW w:w="2418" w:type="pct"/>
            <w:tcBorders>
              <w:left w:val="nil"/>
              <w:bottom w:val="double" w:color="auto" w:sz="6" w:space="0"/>
              <w:right w:val="nil"/>
            </w:tcBorders>
            <w:tcMar>
              <w:left w:w="0" w:type="dxa"/>
              <w:right w:w="0" w:type="dxa"/>
            </w:tcMar>
            <w:vAlign w:val="center"/>
          </w:tcPr>
          <w:p>
            <w:pPr>
              <w:topLinePunct/>
              <w:adjustRightInd w:val="0"/>
              <w:snapToGrid w:val="0"/>
              <w:spacing w:line="276" w:lineRule="auto"/>
              <w:jc w:val="center"/>
              <w:rPr>
                <w:rFonts w:eastAsia="微软雅黑"/>
                <w:color w:val="auto"/>
                <w:highlight w:val="none"/>
              </w:rPr>
            </w:pPr>
            <w:r>
              <w:rPr>
                <w:rFonts w:eastAsia="微软雅黑"/>
                <w:color w:val="auto"/>
                <w:highlight w:val="none"/>
              </w:rPr>
              <w:t>内景</w:t>
            </w:r>
            <w:r>
              <w:rPr>
                <w:rFonts w:hint="eastAsia" w:eastAsia="微软雅黑"/>
                <w:color w:val="auto"/>
                <w:highlight w:val="none"/>
              </w:rPr>
              <w:t>1</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cantSplit/>
          <w:trHeight w:val="3686" w:hRule="atLeast"/>
          <w:jc w:val="center"/>
        </w:trPr>
        <w:tc>
          <w:tcPr>
            <w:tcW w:w="2448" w:type="pct"/>
            <w:tcMar>
              <w:left w:w="0" w:type="dxa"/>
              <w:right w:w="0" w:type="dxa"/>
            </w:tcMar>
            <w:vAlign w:val="center"/>
          </w:tcPr>
          <w:p>
            <w:pPr>
              <w:topLinePunct/>
              <w:adjustRightInd w:val="0"/>
              <w:snapToGrid w:val="0"/>
              <w:spacing w:line="276" w:lineRule="auto"/>
              <w:jc w:val="center"/>
              <w:rPr>
                <w:rFonts w:eastAsia="微软雅黑"/>
                <w:color w:val="auto"/>
                <w:sz w:val="15"/>
                <w:szCs w:val="15"/>
                <w:highlight w:val="none"/>
              </w:rPr>
            </w:pPr>
            <w:r>
              <w:rPr>
                <w:rFonts w:eastAsia="微软雅黑"/>
                <w:color w:val="auto"/>
                <w:sz w:val="15"/>
                <w:szCs w:val="15"/>
                <w:highlight w:val="none"/>
              </w:rPr>
              <w:drawing>
                <wp:inline distT="0" distB="0" distL="0" distR="0">
                  <wp:extent cx="2799080" cy="2098040"/>
                  <wp:effectExtent l="0" t="0" r="7620" b="10160"/>
                  <wp:docPr id="25" name="图片 9" descr="IMG_5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9" descr="IMG_5596.JPG"/>
                          <pic:cNvPicPr>
                            <a:picLocks noChangeAspect="1"/>
                          </pic:cNvPicPr>
                        </pic:nvPicPr>
                        <pic:blipFill>
                          <a:blip r:embed="rId23"/>
                          <a:stretch>
                            <a:fillRect/>
                          </a:stretch>
                        </pic:blipFill>
                        <pic:spPr>
                          <a:xfrm>
                            <a:off x="0" y="0"/>
                            <a:ext cx="2799080" cy="2098040"/>
                          </a:xfrm>
                          <a:prstGeom prst="rect">
                            <a:avLst/>
                          </a:prstGeom>
                        </pic:spPr>
                      </pic:pic>
                    </a:graphicData>
                  </a:graphic>
                </wp:inline>
              </w:drawing>
            </w:r>
          </w:p>
        </w:tc>
        <w:tc>
          <w:tcPr>
            <w:tcW w:w="134" w:type="pct"/>
            <w:tcBorders>
              <w:top w:val="nil"/>
              <w:bottom w:val="nil"/>
            </w:tcBorders>
            <w:tcMar>
              <w:left w:w="0" w:type="dxa"/>
              <w:right w:w="0" w:type="dxa"/>
            </w:tcMar>
            <w:vAlign w:val="center"/>
          </w:tcPr>
          <w:p>
            <w:pPr>
              <w:topLinePunct/>
              <w:adjustRightInd w:val="0"/>
              <w:snapToGrid w:val="0"/>
              <w:spacing w:line="276" w:lineRule="auto"/>
              <w:jc w:val="center"/>
              <w:rPr>
                <w:rFonts w:eastAsia="微软雅黑"/>
                <w:color w:val="auto"/>
                <w:sz w:val="15"/>
                <w:szCs w:val="15"/>
                <w:highlight w:val="none"/>
              </w:rPr>
            </w:pPr>
          </w:p>
        </w:tc>
        <w:tc>
          <w:tcPr>
            <w:tcW w:w="2418" w:type="pct"/>
            <w:tcMar>
              <w:left w:w="0" w:type="dxa"/>
              <w:right w:w="0" w:type="dxa"/>
            </w:tcMar>
            <w:vAlign w:val="center"/>
          </w:tcPr>
          <w:p>
            <w:pPr>
              <w:topLinePunct/>
              <w:adjustRightInd w:val="0"/>
              <w:snapToGrid w:val="0"/>
              <w:spacing w:line="276" w:lineRule="auto"/>
              <w:jc w:val="center"/>
              <w:rPr>
                <w:rFonts w:eastAsia="微软雅黑"/>
                <w:color w:val="auto"/>
                <w:sz w:val="15"/>
                <w:szCs w:val="15"/>
                <w:highlight w:val="none"/>
              </w:rPr>
            </w:pPr>
            <w:r>
              <w:rPr>
                <w:rFonts w:eastAsia="微软雅黑"/>
                <w:color w:val="auto"/>
                <w:sz w:val="15"/>
                <w:szCs w:val="15"/>
                <w:highlight w:val="none"/>
              </w:rPr>
              <w:drawing>
                <wp:inline distT="0" distB="0" distL="0" distR="0">
                  <wp:extent cx="2799080" cy="2099310"/>
                  <wp:effectExtent l="0" t="0" r="7620" b="8890"/>
                  <wp:docPr id="26" name="图片 11" descr="IMG_5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1" descr="IMG_5601.JPG"/>
                          <pic:cNvPicPr>
                            <a:picLocks noChangeAspect="1"/>
                          </pic:cNvPicPr>
                        </pic:nvPicPr>
                        <pic:blipFill>
                          <a:blip r:embed="rId24"/>
                          <a:stretch>
                            <a:fillRect/>
                          </a:stretch>
                        </pic:blipFill>
                        <pic:spPr>
                          <a:xfrm>
                            <a:off x="0" y="0"/>
                            <a:ext cx="2799080" cy="2099310"/>
                          </a:xfrm>
                          <a:prstGeom prst="rect">
                            <a:avLst/>
                          </a:prstGeom>
                        </pic:spPr>
                      </pic:pic>
                    </a:graphicData>
                  </a:graphic>
                </wp:inline>
              </w:drawing>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cantSplit/>
          <w:trHeight w:val="305" w:hRule="atLeast"/>
          <w:jc w:val="center"/>
        </w:trPr>
        <w:tc>
          <w:tcPr>
            <w:tcW w:w="2448" w:type="pct"/>
            <w:tcBorders>
              <w:left w:val="nil"/>
              <w:bottom w:val="double" w:color="auto" w:sz="6" w:space="0"/>
              <w:right w:val="nil"/>
            </w:tcBorders>
            <w:tcMar>
              <w:left w:w="0" w:type="dxa"/>
              <w:right w:w="0" w:type="dxa"/>
            </w:tcMar>
            <w:vAlign w:val="center"/>
          </w:tcPr>
          <w:p>
            <w:pPr>
              <w:topLinePunct/>
              <w:adjustRightInd w:val="0"/>
              <w:snapToGrid w:val="0"/>
              <w:spacing w:line="276" w:lineRule="auto"/>
              <w:jc w:val="center"/>
              <w:rPr>
                <w:rFonts w:eastAsia="微软雅黑"/>
                <w:color w:val="auto"/>
                <w:highlight w:val="none"/>
              </w:rPr>
            </w:pPr>
            <w:r>
              <w:rPr>
                <w:rFonts w:eastAsia="微软雅黑"/>
                <w:color w:val="auto"/>
                <w:highlight w:val="none"/>
              </w:rPr>
              <w:t>内景</w:t>
            </w:r>
            <w:r>
              <w:rPr>
                <w:rFonts w:hint="eastAsia" w:eastAsia="微软雅黑"/>
                <w:color w:val="auto"/>
                <w:highlight w:val="none"/>
              </w:rPr>
              <w:t>2</w:t>
            </w:r>
          </w:p>
        </w:tc>
        <w:tc>
          <w:tcPr>
            <w:tcW w:w="134" w:type="pct"/>
            <w:tcBorders>
              <w:top w:val="nil"/>
              <w:left w:val="nil"/>
              <w:bottom w:val="nil"/>
              <w:right w:val="nil"/>
            </w:tcBorders>
            <w:tcMar>
              <w:left w:w="0" w:type="dxa"/>
              <w:right w:w="0" w:type="dxa"/>
            </w:tcMar>
            <w:vAlign w:val="center"/>
          </w:tcPr>
          <w:p>
            <w:pPr>
              <w:topLinePunct/>
              <w:adjustRightInd w:val="0"/>
              <w:snapToGrid w:val="0"/>
              <w:spacing w:line="276" w:lineRule="auto"/>
              <w:jc w:val="center"/>
              <w:rPr>
                <w:rFonts w:eastAsia="微软雅黑"/>
                <w:color w:val="auto"/>
                <w:highlight w:val="none"/>
              </w:rPr>
            </w:pPr>
          </w:p>
        </w:tc>
        <w:tc>
          <w:tcPr>
            <w:tcW w:w="2418" w:type="pct"/>
            <w:tcBorders>
              <w:left w:val="nil"/>
              <w:bottom w:val="double" w:color="auto" w:sz="6" w:space="0"/>
              <w:right w:val="nil"/>
            </w:tcBorders>
            <w:tcMar>
              <w:left w:w="0" w:type="dxa"/>
              <w:right w:w="0" w:type="dxa"/>
            </w:tcMar>
            <w:vAlign w:val="center"/>
          </w:tcPr>
          <w:p>
            <w:pPr>
              <w:topLinePunct/>
              <w:adjustRightInd w:val="0"/>
              <w:snapToGrid w:val="0"/>
              <w:spacing w:line="276" w:lineRule="auto"/>
              <w:jc w:val="center"/>
              <w:rPr>
                <w:rFonts w:eastAsia="微软雅黑"/>
                <w:color w:val="auto"/>
                <w:highlight w:val="none"/>
              </w:rPr>
            </w:pPr>
            <w:r>
              <w:rPr>
                <w:rFonts w:eastAsia="微软雅黑"/>
                <w:color w:val="auto"/>
                <w:highlight w:val="none"/>
              </w:rPr>
              <w:t>内景</w:t>
            </w:r>
            <w:r>
              <w:rPr>
                <w:rFonts w:hint="eastAsia" w:eastAsia="微软雅黑"/>
                <w:color w:val="auto"/>
                <w:highlight w:val="none"/>
              </w:rPr>
              <w:t>3</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cantSplit/>
          <w:trHeight w:val="3686" w:hRule="atLeast"/>
          <w:jc w:val="center"/>
        </w:trPr>
        <w:tc>
          <w:tcPr>
            <w:tcW w:w="2448" w:type="pct"/>
            <w:tcBorders>
              <w:bottom w:val="double" w:color="auto" w:sz="6" w:space="0"/>
            </w:tcBorders>
            <w:tcMar>
              <w:left w:w="0" w:type="dxa"/>
              <w:right w:w="0" w:type="dxa"/>
            </w:tcMar>
            <w:vAlign w:val="center"/>
          </w:tcPr>
          <w:p>
            <w:pPr>
              <w:topLinePunct/>
              <w:adjustRightInd w:val="0"/>
              <w:snapToGrid w:val="0"/>
              <w:spacing w:line="276" w:lineRule="auto"/>
              <w:jc w:val="center"/>
              <w:rPr>
                <w:rFonts w:eastAsia="微软雅黑"/>
                <w:color w:val="auto"/>
                <w:sz w:val="15"/>
                <w:szCs w:val="15"/>
                <w:highlight w:val="none"/>
              </w:rPr>
            </w:pPr>
            <w:r>
              <w:rPr>
                <w:rFonts w:eastAsia="微软雅黑"/>
                <w:color w:val="auto"/>
                <w:sz w:val="15"/>
                <w:szCs w:val="15"/>
                <w:highlight w:val="none"/>
              </w:rPr>
              <w:drawing>
                <wp:inline distT="0" distB="0" distL="0" distR="0">
                  <wp:extent cx="2799080" cy="2098040"/>
                  <wp:effectExtent l="0" t="0" r="7620" b="10160"/>
                  <wp:docPr id="27" name="图片 12" descr="IMG_5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2" descr="IMG_5608.JPG"/>
                          <pic:cNvPicPr>
                            <a:picLocks noChangeAspect="1"/>
                          </pic:cNvPicPr>
                        </pic:nvPicPr>
                        <pic:blipFill>
                          <a:blip r:embed="rId25"/>
                          <a:stretch>
                            <a:fillRect/>
                          </a:stretch>
                        </pic:blipFill>
                        <pic:spPr>
                          <a:xfrm>
                            <a:off x="0" y="0"/>
                            <a:ext cx="2799080" cy="2098040"/>
                          </a:xfrm>
                          <a:prstGeom prst="rect">
                            <a:avLst/>
                          </a:prstGeom>
                        </pic:spPr>
                      </pic:pic>
                    </a:graphicData>
                  </a:graphic>
                </wp:inline>
              </w:drawing>
            </w:r>
          </w:p>
        </w:tc>
        <w:tc>
          <w:tcPr>
            <w:tcW w:w="134" w:type="pct"/>
            <w:tcBorders>
              <w:top w:val="nil"/>
              <w:bottom w:val="nil"/>
            </w:tcBorders>
            <w:tcMar>
              <w:left w:w="0" w:type="dxa"/>
              <w:right w:w="0" w:type="dxa"/>
            </w:tcMar>
            <w:vAlign w:val="center"/>
          </w:tcPr>
          <w:p>
            <w:pPr>
              <w:topLinePunct/>
              <w:adjustRightInd w:val="0"/>
              <w:snapToGrid w:val="0"/>
              <w:spacing w:line="276" w:lineRule="auto"/>
              <w:jc w:val="center"/>
              <w:rPr>
                <w:rFonts w:eastAsia="微软雅黑"/>
                <w:color w:val="auto"/>
                <w:sz w:val="15"/>
                <w:szCs w:val="15"/>
                <w:highlight w:val="none"/>
              </w:rPr>
            </w:pPr>
          </w:p>
        </w:tc>
        <w:tc>
          <w:tcPr>
            <w:tcW w:w="2418" w:type="pct"/>
            <w:tcBorders>
              <w:bottom w:val="double" w:color="auto" w:sz="6" w:space="0"/>
            </w:tcBorders>
            <w:tcMar>
              <w:left w:w="0" w:type="dxa"/>
              <w:right w:w="0" w:type="dxa"/>
            </w:tcMar>
            <w:vAlign w:val="center"/>
          </w:tcPr>
          <w:p>
            <w:pPr>
              <w:topLinePunct/>
              <w:adjustRightInd w:val="0"/>
              <w:snapToGrid w:val="0"/>
              <w:spacing w:line="276" w:lineRule="auto"/>
              <w:jc w:val="center"/>
              <w:rPr>
                <w:rFonts w:eastAsia="微软雅黑"/>
                <w:color w:val="auto"/>
                <w:sz w:val="15"/>
                <w:szCs w:val="15"/>
                <w:highlight w:val="none"/>
              </w:rPr>
            </w:pPr>
            <w:r>
              <w:rPr>
                <w:rFonts w:eastAsia="微软雅黑"/>
                <w:color w:val="auto"/>
                <w:sz w:val="15"/>
                <w:szCs w:val="15"/>
                <w:highlight w:val="none"/>
              </w:rPr>
              <w:drawing>
                <wp:inline distT="0" distB="0" distL="0" distR="0">
                  <wp:extent cx="2799080" cy="2098040"/>
                  <wp:effectExtent l="0" t="0" r="7620" b="10160"/>
                  <wp:docPr id="28" name="图片 13" descr="IMG_5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3" descr="IMG_5610.JPG"/>
                          <pic:cNvPicPr>
                            <a:picLocks noChangeAspect="1"/>
                          </pic:cNvPicPr>
                        </pic:nvPicPr>
                        <pic:blipFill>
                          <a:blip r:embed="rId26"/>
                          <a:stretch>
                            <a:fillRect/>
                          </a:stretch>
                        </pic:blipFill>
                        <pic:spPr>
                          <a:xfrm>
                            <a:off x="0" y="0"/>
                            <a:ext cx="2799080" cy="2098040"/>
                          </a:xfrm>
                          <a:prstGeom prst="rect">
                            <a:avLst/>
                          </a:prstGeom>
                        </pic:spPr>
                      </pic:pic>
                    </a:graphicData>
                  </a:graphic>
                </wp:inline>
              </w:drawing>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cantSplit/>
          <w:trHeight w:val="305" w:hRule="atLeast"/>
          <w:jc w:val="center"/>
        </w:trPr>
        <w:tc>
          <w:tcPr>
            <w:tcW w:w="2448" w:type="pct"/>
            <w:tcBorders>
              <w:left w:val="nil"/>
              <w:bottom w:val="double" w:color="auto" w:sz="6" w:space="0"/>
              <w:right w:val="nil"/>
            </w:tcBorders>
            <w:tcMar>
              <w:left w:w="0" w:type="dxa"/>
              <w:right w:w="0" w:type="dxa"/>
            </w:tcMar>
            <w:vAlign w:val="center"/>
          </w:tcPr>
          <w:p>
            <w:pPr>
              <w:topLinePunct/>
              <w:adjustRightInd w:val="0"/>
              <w:snapToGrid w:val="0"/>
              <w:spacing w:line="276" w:lineRule="auto"/>
              <w:jc w:val="center"/>
              <w:rPr>
                <w:rFonts w:eastAsia="微软雅黑"/>
                <w:color w:val="auto"/>
                <w:highlight w:val="none"/>
              </w:rPr>
            </w:pPr>
            <w:r>
              <w:rPr>
                <w:rFonts w:eastAsia="微软雅黑"/>
                <w:color w:val="auto"/>
                <w:highlight w:val="none"/>
              </w:rPr>
              <w:t>内景</w:t>
            </w:r>
            <w:r>
              <w:rPr>
                <w:rFonts w:hint="eastAsia" w:eastAsia="微软雅黑"/>
                <w:color w:val="auto"/>
                <w:highlight w:val="none"/>
              </w:rPr>
              <w:t>4</w:t>
            </w:r>
          </w:p>
        </w:tc>
        <w:tc>
          <w:tcPr>
            <w:tcW w:w="134" w:type="pct"/>
            <w:tcBorders>
              <w:top w:val="nil"/>
              <w:left w:val="nil"/>
              <w:bottom w:val="nil"/>
              <w:right w:val="nil"/>
            </w:tcBorders>
            <w:tcMar>
              <w:left w:w="0" w:type="dxa"/>
              <w:right w:w="0" w:type="dxa"/>
            </w:tcMar>
            <w:vAlign w:val="center"/>
          </w:tcPr>
          <w:p>
            <w:pPr>
              <w:topLinePunct/>
              <w:adjustRightInd w:val="0"/>
              <w:snapToGrid w:val="0"/>
              <w:spacing w:line="276" w:lineRule="auto"/>
              <w:jc w:val="center"/>
              <w:rPr>
                <w:rFonts w:eastAsia="微软雅黑"/>
                <w:color w:val="auto"/>
                <w:highlight w:val="none"/>
              </w:rPr>
            </w:pPr>
          </w:p>
        </w:tc>
        <w:tc>
          <w:tcPr>
            <w:tcW w:w="2418" w:type="pct"/>
            <w:tcBorders>
              <w:left w:val="nil"/>
              <w:bottom w:val="double" w:color="auto" w:sz="6" w:space="0"/>
              <w:right w:val="nil"/>
            </w:tcBorders>
            <w:tcMar>
              <w:left w:w="0" w:type="dxa"/>
              <w:right w:w="0" w:type="dxa"/>
            </w:tcMar>
            <w:vAlign w:val="center"/>
          </w:tcPr>
          <w:p>
            <w:pPr>
              <w:topLinePunct/>
              <w:adjustRightInd w:val="0"/>
              <w:snapToGrid w:val="0"/>
              <w:spacing w:line="276" w:lineRule="auto"/>
              <w:jc w:val="center"/>
              <w:rPr>
                <w:rFonts w:eastAsia="微软雅黑"/>
                <w:color w:val="auto"/>
                <w:highlight w:val="none"/>
              </w:rPr>
            </w:pPr>
            <w:r>
              <w:rPr>
                <w:rFonts w:eastAsia="微软雅黑"/>
                <w:color w:val="auto"/>
                <w:highlight w:val="none"/>
              </w:rPr>
              <w:t>内景</w:t>
            </w:r>
            <w:r>
              <w:rPr>
                <w:rFonts w:hint="eastAsia" w:eastAsia="微软雅黑"/>
                <w:color w:val="auto"/>
                <w:highlight w:val="none"/>
              </w:rPr>
              <w:t>5</w:t>
            </w:r>
          </w:p>
        </w:tc>
      </w:tr>
    </w:tbl>
    <w:p>
      <w:pPr>
        <w:widowControl/>
        <w:jc w:val="center"/>
        <w:rPr>
          <w:rFonts w:eastAsia="仿宋_GB2312" w:cs="仿宋_GB2312"/>
          <w:b/>
          <w:bCs/>
          <w:color w:val="auto"/>
          <w:sz w:val="32"/>
          <w:szCs w:val="32"/>
          <w:highlight w:val="none"/>
        </w:rPr>
      </w:pPr>
      <w:r>
        <w:rPr>
          <w:rFonts w:hint="eastAsia" w:eastAsia="仿宋_GB2312" w:cs="仿宋_GB2312"/>
          <w:b/>
          <w:bCs/>
          <w:color w:val="auto"/>
          <w:sz w:val="32"/>
          <w:szCs w:val="32"/>
          <w:highlight w:val="none"/>
        </w:rPr>
        <w:t>估价对象位置示意图</w:t>
      </w:r>
    </w:p>
    <w:p>
      <w:pPr>
        <w:widowControl/>
        <w:jc w:val="left"/>
        <w:rPr>
          <w:rFonts w:eastAsia="仿宋_GB2312"/>
          <w:color w:val="auto"/>
          <w:sz w:val="26"/>
          <w:szCs w:val="26"/>
          <w:highlight w:val="none"/>
        </w:rPr>
      </w:pPr>
      <w:r>
        <w:rPr>
          <w:rFonts w:eastAsia="仿宋_GB2312" w:cs="仿宋_GB2312"/>
          <w:bCs/>
          <w:color w:val="auto"/>
          <w:highlight w:val="none"/>
        </w:rPr>
        <w:pict>
          <v:shape id="_x0000_s1038" o:spid="_x0000_s1038" o:spt="61" type="#_x0000_t61" style="position:absolute;left:0pt;margin-left:145.95pt;margin-top:164.5pt;height:26.15pt;width:60.5pt;z-index:251666432;mso-width-relative:page;mso-height-relative:page;" coordsize="21600,21600" adj="19833,34114">
            <v:path/>
            <v:fill focussize="0,0"/>
            <v:stroke joinstyle="miter"/>
            <v:imagedata o:title=""/>
            <o:lock v:ext="edit"/>
            <v:textbox>
              <w:txbxContent>
                <w:p>
                  <w:r>
                    <w:t>估价对象</w:t>
                  </w:r>
                </w:p>
              </w:txbxContent>
            </v:textbox>
          </v:shape>
        </w:pic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214"/>
      <w:bookmarkEnd w:id="215"/>
      <w:r>
        <w:rPr>
          <w:rFonts w:eastAsia="仿宋_GB2312"/>
          <w:b/>
          <w:color w:val="auto"/>
          <w:sz w:val="32"/>
          <w:szCs w:val="32"/>
          <w:highlight w:val="none"/>
        </w:rPr>
        <w:t xml:space="preserve"> </w:t>
      </w:r>
      <w:r>
        <w:rPr>
          <w:rFonts w:eastAsia="仿宋_GB2312"/>
          <w:b/>
          <w:color w:val="auto"/>
          <w:sz w:val="32"/>
          <w:szCs w:val="32"/>
          <w:highlight w:val="none"/>
        </w:rPr>
        <w:drawing>
          <wp:inline distT="0" distB="0" distL="0" distR="0">
            <wp:extent cx="5688330" cy="4887595"/>
            <wp:effectExtent l="0" t="0" r="1270" b="1905"/>
            <wp:docPr id="3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
                    <pic:cNvPicPr>
                      <a:picLocks noChangeAspect="1" noChangeArrowheads="1"/>
                    </pic:cNvPicPr>
                  </pic:nvPicPr>
                  <pic:blipFill>
                    <a:blip r:embed="rId27"/>
                    <a:srcRect/>
                    <a:stretch>
                      <a:fillRect/>
                    </a:stretch>
                  </pic:blipFill>
                  <pic:spPr>
                    <a:xfrm>
                      <a:off x="0" y="0"/>
                      <a:ext cx="5688330" cy="4888007"/>
                    </a:xfrm>
                    <a:prstGeom prst="rect">
                      <a:avLst/>
                    </a:prstGeom>
                    <a:noFill/>
                    <a:ln w="9525">
                      <a:noFill/>
                      <a:miter lim="800000"/>
                      <a:headEnd/>
                      <a:tailEnd/>
                    </a:ln>
                  </pic:spPr>
                </pic:pic>
              </a:graphicData>
            </a:graphic>
          </wp:inline>
        </w:drawing>
      </w:r>
      <w:r>
        <w:rPr>
          <w:rFonts w:eastAsia="仿宋_GB2312"/>
          <w:b/>
          <w:color w:val="auto"/>
          <w:sz w:val="32"/>
          <w:szCs w:val="32"/>
          <w:highlight w:val="none"/>
        </w:rPr>
        <w:t xml:space="preserve"> </w:t>
      </w:r>
    </w:p>
    <w:sectPr>
      <w:headerReference r:id="rId12" w:type="default"/>
      <w:footerReference r:id="rId13" w:type="default"/>
      <w:pgSz w:w="11906" w:h="16838"/>
      <w:pgMar w:top="1814" w:right="1247" w:bottom="1418" w:left="1701" w:header="1417" w:footer="737"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仿宋体">
    <w:altName w:val="宋体"/>
    <w:panose1 w:val="00000000000000000000"/>
    <w:charset w:val="86"/>
    <w:family w:val="roman"/>
    <w:pitch w:val="default"/>
    <w:sig w:usb0="00000000" w:usb1="00000000" w:usb2="00000010" w:usb3="00000000" w:csb0="00040001" w:csb1="00000000"/>
  </w:font>
  <w:font w:name="华文细黑">
    <w:panose1 w:val="02010600040101010101"/>
    <w:charset w:val="86"/>
    <w:family w:val="auto"/>
    <w:pitch w:val="default"/>
    <w:sig w:usb0="00000287" w:usb1="080F0000" w:usb2="00000000" w:usb3="00000000" w:csb0="0004009F" w:csb1="DFD70000"/>
  </w:font>
  <w:font w:name="??">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spacing w:beforeLines="50"/>
      <w:jc w:val="center"/>
      <w:rPr>
        <w:rStyle w:val="48"/>
        <w:rFonts w:ascii="黑体" w:hAnsi="黑体" w:eastAsia="黑体"/>
        <w:sz w:val="16"/>
        <w:szCs w:val="16"/>
      </w:rPr>
    </w:pPr>
    <w:r>
      <w:rPr>
        <w:rFonts w:hint="eastAsia" w:ascii="黑体" w:hAnsi="黑体" w:eastAsia="黑体" w:cs="微软雅黑"/>
        <w:bCs/>
        <w:sz w:val="16"/>
        <w:szCs w:val="16"/>
      </w:rPr>
      <w:t>地址：浙江</w:t>
    </w:r>
    <w:r>
      <w:rPr>
        <w:rFonts w:ascii="黑体" w:hAnsi="黑体" w:eastAsia="黑体" w:cs="微软雅黑"/>
        <w:bCs/>
        <w:sz w:val="16"/>
        <w:szCs w:val="16"/>
      </w:rPr>
      <w:t>省嘉兴市</w:t>
    </w:r>
    <w:r>
      <w:rPr>
        <w:rFonts w:hint="eastAsia" w:ascii="黑体" w:hAnsi="黑体" w:eastAsia="黑体" w:cs="微软雅黑"/>
        <w:bCs/>
        <w:sz w:val="16"/>
        <w:szCs w:val="16"/>
      </w:rPr>
      <w:t>中</w:t>
    </w:r>
    <w:r>
      <w:rPr>
        <w:rFonts w:ascii="黑体" w:hAnsi="黑体" w:eastAsia="黑体" w:cs="微软雅黑"/>
        <w:bCs/>
        <w:sz w:val="16"/>
        <w:szCs w:val="16"/>
      </w:rPr>
      <w:t>环南路</w:t>
    </w:r>
    <w:r>
      <w:rPr>
        <w:rFonts w:hint="eastAsia" w:ascii="黑体" w:hAnsi="黑体" w:eastAsia="黑体" w:cs="微软雅黑"/>
        <w:bCs/>
        <w:sz w:val="16"/>
        <w:szCs w:val="16"/>
      </w:rPr>
      <w:t>222号华东石油</w:t>
    </w:r>
    <w:r>
      <w:rPr>
        <w:rFonts w:ascii="黑体" w:hAnsi="黑体" w:eastAsia="黑体" w:cs="微软雅黑"/>
        <w:bCs/>
        <w:sz w:val="16"/>
        <w:szCs w:val="16"/>
      </w:rPr>
      <w:t>大厦</w:t>
    </w:r>
    <w:r>
      <w:rPr>
        <w:rFonts w:hint="eastAsia" w:ascii="黑体" w:hAnsi="黑体" w:eastAsia="黑体" w:cs="微软雅黑"/>
        <w:bCs/>
        <w:sz w:val="16"/>
        <w:szCs w:val="16"/>
      </w:rPr>
      <w:t xml:space="preserve">5F  </w:t>
    </w:r>
    <w:r>
      <w:rPr>
        <w:rFonts w:ascii="黑体" w:hAnsi="黑体" w:eastAsia="黑体" w:cs="微软雅黑"/>
        <w:bCs/>
        <w:sz w:val="16"/>
        <w:szCs w:val="16"/>
      </w:rPr>
      <w:t xml:space="preserve">        </w:t>
    </w:r>
    <w:r>
      <w:rPr>
        <w:rFonts w:ascii="黑体" w:hAnsi="黑体" w:eastAsia="黑体" w:cs="微软雅黑"/>
        <w:sz w:val="16"/>
        <w:szCs w:val="16"/>
      </w:rPr>
      <w:t xml:space="preserve"> </w:t>
    </w:r>
    <w:r>
      <w:rPr>
        <w:rFonts w:hint="eastAsia" w:ascii="黑体" w:hAnsi="黑体" w:eastAsia="黑体" w:cs="微软雅黑"/>
        <w:sz w:val="16"/>
        <w:szCs w:val="16"/>
      </w:rPr>
      <w:t xml:space="preserve">  </w:t>
    </w:r>
    <w:r>
      <w:rPr>
        <w:rFonts w:hint="eastAsia" w:ascii="黑体" w:hAnsi="黑体" w:eastAsia="黑体" w:cs="微软雅黑"/>
        <w:bCs/>
        <w:sz w:val="16"/>
        <w:szCs w:val="16"/>
      </w:rPr>
      <w:t>联系电话/客服电话：</w:t>
    </w:r>
    <w:r>
      <w:rPr>
        <w:rFonts w:ascii="黑体" w:hAnsi="黑体" w:eastAsia="黑体" w:cs="微软雅黑"/>
        <w:bCs/>
        <w:sz w:val="16"/>
        <w:szCs w:val="16"/>
      </w:rPr>
      <w:t>0573-82058612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page" w:x="1419" w:y="1"/>
      <w:ind w:left="3420" w:hanging="3420" w:hangingChars="1900"/>
      <w:rPr>
        <w:rFonts w:eastAsia="楷体_GB2312"/>
        <w:u w:val="single"/>
      </w:rPr>
    </w:pPr>
  </w:p>
  <w:p>
    <w:pPr>
      <w:pBdr>
        <w:top w:val="single" w:color="auto" w:sz="4" w:space="1"/>
      </w:pBdr>
      <w:tabs>
        <w:tab w:val="center" w:pos="4819"/>
        <w:tab w:val="right" w:pos="9638"/>
      </w:tabs>
      <w:rPr>
        <w:rStyle w:val="66"/>
      </w:rPr>
    </w:pPr>
    <w:r>
      <w:rPr>
        <w:rStyle w:val="66"/>
        <w:rFonts w:hint="eastAsia" w:cs="宋体"/>
      </w:rPr>
      <w:t>地址：</w:t>
    </w:r>
    <w:r>
      <w:rPr>
        <w:rFonts w:hint="eastAsia" w:eastAsia="仿宋_GB2312"/>
        <w:bCs/>
        <w:sz w:val="18"/>
        <w:szCs w:val="18"/>
      </w:rPr>
      <w:t xml:space="preserve">吉安市吉州区古南大道55号A座附1（1207室）（吉安分公司）  </w:t>
    </w:r>
    <w:r>
      <w:rPr>
        <w:rStyle w:val="66"/>
        <w:rFonts w:hint="eastAsia" w:cs="宋体"/>
      </w:rPr>
      <w:t>联系电话：</w:t>
    </w:r>
    <w:r>
      <w:rPr>
        <w:rFonts w:hint="eastAsia" w:eastAsia="仿宋_GB2312"/>
        <w:sz w:val="18"/>
        <w:szCs w:val="18"/>
      </w:rPr>
      <w:t>0796-8220770（吉安分公司）</w:t>
    </w:r>
  </w:p>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tabs>
        <w:tab w:val="center" w:pos="4819"/>
        <w:tab w:val="right" w:pos="9638"/>
      </w:tabs>
      <w:rPr>
        <w:rStyle w:val="66"/>
      </w:rPr>
    </w:pPr>
    <w:r>
      <w:rPr>
        <w:rStyle w:val="66"/>
        <w:rFonts w:hint="eastAsia" w:cs="宋体"/>
      </w:rPr>
      <w:t>地址：</w:t>
    </w:r>
    <w:r>
      <w:rPr>
        <w:rFonts w:hint="eastAsia" w:eastAsia="仿宋_GB2312"/>
        <w:bCs/>
        <w:sz w:val="18"/>
        <w:szCs w:val="18"/>
      </w:rPr>
      <w:t xml:space="preserve">吉安市吉州区古南大道55号A座附1（1207室）（吉安分公司）  </w:t>
    </w:r>
    <w:r>
      <w:rPr>
        <w:rStyle w:val="66"/>
        <w:rFonts w:hint="eastAsia" w:cs="宋体"/>
      </w:rPr>
      <w:t>联系电话：</w:t>
    </w:r>
    <w:r>
      <w:rPr>
        <w:rFonts w:hint="eastAsia" w:eastAsia="仿宋_GB2312"/>
        <w:sz w:val="18"/>
        <w:szCs w:val="18"/>
      </w:rPr>
      <w:t>0796-8220770（吉安分公司）</w:t>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tabs>
        <w:tab w:val="center" w:pos="4819"/>
        <w:tab w:val="right" w:pos="9638"/>
      </w:tabs>
      <w:rPr>
        <w:rStyle w:val="66"/>
      </w:rPr>
    </w:pPr>
    <w:r>
      <w:rPr>
        <w:sz w:val="18"/>
      </w:rPr>
      <w:pict>
        <v:shape id="_x0000_s2050" o:spid="_x0000_s2050" o:spt="202" type="#_x0000_t202" style="position:absolute;left:0pt;margin-left:414.9pt;margin-top:9pt;height:144pt;width:144p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7"/>
                  <w:rPr>
                    <w:rFonts w:eastAsia="仿宋_GB2312"/>
                  </w:rPr>
                </w:pPr>
                <w:r>
                  <w:rPr>
                    <w:rFonts w:eastAsia="仿宋_GB2312"/>
                  </w:rPr>
                  <w:t xml:space="preserve">第 </w:t>
                </w:r>
                <w:r>
                  <w:rPr>
                    <w:rFonts w:eastAsia="仿宋_GB2312"/>
                  </w:rPr>
                  <w:fldChar w:fldCharType="begin"/>
                </w:r>
                <w:r>
                  <w:rPr>
                    <w:rFonts w:eastAsia="仿宋_GB2312"/>
                  </w:rPr>
                  <w:instrText xml:space="preserve"> PAGE  \* MERGEFORMAT </w:instrText>
                </w:r>
                <w:r>
                  <w:rPr>
                    <w:rFonts w:eastAsia="仿宋_GB2312"/>
                  </w:rPr>
                  <w:fldChar w:fldCharType="separate"/>
                </w:r>
                <w:r>
                  <w:rPr>
                    <w:rFonts w:eastAsia="仿宋_GB2312"/>
                  </w:rPr>
                  <w:t>1</w:t>
                </w:r>
                <w:r>
                  <w:rPr>
                    <w:rFonts w:eastAsia="仿宋_GB2312"/>
                  </w:rPr>
                  <w:fldChar w:fldCharType="end"/>
                </w:r>
                <w:r>
                  <w:rPr>
                    <w:rFonts w:eastAsia="仿宋_GB2312"/>
                  </w:rPr>
                  <w:t xml:space="preserve"> 页</w:t>
                </w:r>
              </w:p>
            </w:txbxContent>
          </v:textbox>
        </v:shape>
      </w:pict>
    </w:r>
    <w:r>
      <w:rPr>
        <w:rStyle w:val="66"/>
        <w:rFonts w:hint="eastAsia" w:cs="宋体"/>
      </w:rPr>
      <w:t>地址：</w:t>
    </w:r>
    <w:r>
      <w:rPr>
        <w:rFonts w:hint="eastAsia" w:eastAsia="仿宋_GB2312"/>
        <w:bCs/>
        <w:sz w:val="18"/>
        <w:szCs w:val="18"/>
      </w:rPr>
      <w:t xml:space="preserve">吉安市吉州区古南大道55号A座附1（1207室）（吉安分公司）  </w:t>
    </w:r>
    <w:r>
      <w:rPr>
        <w:rStyle w:val="66"/>
        <w:rFonts w:hint="eastAsia" w:cs="宋体"/>
      </w:rPr>
      <w:t>联系电话：</w:t>
    </w:r>
    <w:r>
      <w:rPr>
        <w:rFonts w:hint="eastAsia" w:eastAsia="仿宋_GB2312"/>
        <w:sz w:val="18"/>
        <w:szCs w:val="18"/>
      </w:rPr>
      <w:t>0796-8220770（吉安分公司）</w:t>
    </w:r>
  </w:p>
  <w:p>
    <w:pPr>
      <w:pStyle w:val="2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tabs>
        <w:tab w:val="center" w:pos="4819"/>
        <w:tab w:val="right" w:pos="9638"/>
      </w:tabs>
      <w:rPr>
        <w:rStyle w:val="66"/>
      </w:rPr>
    </w:pPr>
    <w:r>
      <w:rPr>
        <w:rStyle w:val="66"/>
        <w:rFonts w:hint="eastAsia" w:cs="宋体"/>
      </w:rPr>
      <w:t>地址：</w:t>
    </w:r>
    <w:r>
      <w:rPr>
        <w:rFonts w:hint="eastAsia" w:eastAsia="仿宋_GB2312"/>
        <w:bCs/>
        <w:sz w:val="18"/>
        <w:szCs w:val="18"/>
      </w:rPr>
      <w:t xml:space="preserve">吉安市吉州区古南大道55号A座附1（1207室）（吉安分公司）  </w:t>
    </w:r>
    <w:r>
      <w:rPr>
        <w:rStyle w:val="66"/>
        <w:rFonts w:hint="eastAsia" w:cs="宋体"/>
      </w:rPr>
      <w:t>联系电话：</w:t>
    </w:r>
    <w:r>
      <w:rPr>
        <w:rFonts w:hint="eastAsia" w:eastAsia="仿宋_GB2312"/>
        <w:sz w:val="18"/>
        <w:szCs w:val="18"/>
      </w:rPr>
      <w:t>0796-8220770（吉安分公司）</w:t>
    </w:r>
  </w:p>
  <w:p>
    <w:pPr>
      <w:pBdr>
        <w:top w:val="single" w:color="auto" w:sz="4" w:space="1"/>
      </w:pBdr>
      <w:tabs>
        <w:tab w:val="center" w:pos="4819"/>
        <w:tab w:val="right" w:pos="9638"/>
      </w:tabs>
      <w:ind w:right="90"/>
      <w:jc w:val="right"/>
    </w:pPr>
    <w:r>
      <w:rPr>
        <w:sz w:val="18"/>
      </w:rPr>
      <w:pict>
        <v:shape id="_x0000_s2052" o:spid="_x0000_s2052" o:spt="202" type="#_x0000_t202" style="position:absolute;left:0pt;margin-left:407.4pt;margin-top:-0.4pt;height:144pt;width:144pt;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27"/>
                </w:pPr>
                <w:r>
                  <w:t xml:space="preserve">第 </w:t>
                </w:r>
                <w:r>
                  <w:fldChar w:fldCharType="begin"/>
                </w:r>
                <w:r>
                  <w:instrText xml:space="preserve"> PAGE  \* MERGEFORMAT </w:instrText>
                </w:r>
                <w:r>
                  <w:fldChar w:fldCharType="separate"/>
                </w:r>
                <w:r>
                  <w:t>29</w:t>
                </w:r>
                <w:r>
                  <w:fldChar w:fldCharType="end"/>
                </w:r>
                <w:r>
                  <w:t xml:space="preserve"> 页</w:t>
                </w:r>
              </w:p>
            </w:txbxContent>
          </v:textbox>
        </v:shape>
      </w:pict>
    </w:r>
  </w:p>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single" w:color="auto" w:sz="4" w:space="1"/>
      </w:pBdr>
      <w:jc w:val="both"/>
    </w:pPr>
    <w:r>
      <w:drawing>
        <wp:inline distT="0" distB="0" distL="0" distR="0">
          <wp:extent cx="1065530" cy="318135"/>
          <wp:effectExtent l="0" t="0" r="1270" b="5715"/>
          <wp:docPr id="36" name="图片 36" descr="C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CA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65530" cy="318135"/>
                  </a:xfrm>
                  <a:prstGeom prst="rect">
                    <a:avLst/>
                  </a:prstGeom>
                  <a:noFill/>
                  <a:ln>
                    <a:noFill/>
                  </a:ln>
                </pic:spPr>
              </pic:pic>
            </a:graphicData>
          </a:graphic>
        </wp:inline>
      </w:drawing>
    </w:r>
    <w:r>
      <w:rPr>
        <w:rFonts w:hint="eastAsia" w:cs="宋体"/>
      </w:rPr>
      <w:t xml:space="preserve"> </w:t>
    </w:r>
    <w:r>
      <w:rPr>
        <w:rFonts w:cs="宋体"/>
      </w:rPr>
      <w:t xml:space="preserve">  </w:t>
    </w:r>
    <w:r>
      <w:rPr>
        <w:rFonts w:hint="eastAsia" w:cs="宋体"/>
      </w:rPr>
      <w:t>房地产评估壹级资质</w:t>
    </w:r>
    <w:r>
      <w:rPr>
        <w:rFonts w:hint="eastAsia" w:ascii="华文细黑" w:hAnsi="华文细黑" w:cs="宋体"/>
      </w:rPr>
      <w:t>·</w:t>
    </w:r>
    <w:r>
      <w:rPr>
        <w:rFonts w:hint="eastAsia" w:cs="宋体"/>
      </w:rPr>
      <w:t>土地评估</w:t>
    </w:r>
    <w:r>
      <w:t>A</w:t>
    </w:r>
    <w:r>
      <w:rPr>
        <w:rFonts w:hint="eastAsia" w:cs="宋体"/>
      </w:rPr>
      <w:t>级资质</w:t>
    </w:r>
    <w:r>
      <w:rPr>
        <w:rFonts w:hint="eastAsia" w:ascii="华文细黑" w:hAnsi="华文细黑" w:cs="宋体"/>
      </w:rPr>
      <w:t>·</w:t>
    </w:r>
    <w:r>
      <w:rPr>
        <w:rFonts w:hint="eastAsia" w:cs="宋体"/>
      </w:rPr>
      <w:t>土地规划甲级资质</w:t>
    </w:r>
    <w:r>
      <w:t xml:space="preserve">    </w:t>
    </w:r>
    <w:r>
      <w:drawing>
        <wp:inline distT="0" distB="0" distL="0" distR="0">
          <wp:extent cx="1057275" cy="270510"/>
          <wp:effectExtent l="0" t="0" r="9525" b="15240"/>
          <wp:docPr id="37" name="图片 37" descr="同致横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同致横标志"/>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057275" cy="270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single" w:color="auto" w:sz="4" w:space="1"/>
      </w:pBdr>
      <w:jc w:val="both"/>
    </w:pPr>
    <w:r>
      <w:drawing>
        <wp:inline distT="0" distB="0" distL="0" distR="0">
          <wp:extent cx="1060450" cy="317500"/>
          <wp:effectExtent l="0" t="0" r="6350" b="6350"/>
          <wp:docPr id="1" name="图片 1" descr="C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A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60450" cy="317500"/>
                  </a:xfrm>
                  <a:prstGeom prst="rect">
                    <a:avLst/>
                  </a:prstGeom>
                  <a:noFill/>
                  <a:ln>
                    <a:noFill/>
                  </a:ln>
                </pic:spPr>
              </pic:pic>
            </a:graphicData>
          </a:graphic>
        </wp:inline>
      </w:drawing>
    </w:r>
    <w:r>
      <w:rPr>
        <w:rFonts w:hint="eastAsia" w:cs="宋体"/>
      </w:rPr>
      <w:t>房地产评估壹级资质</w:t>
    </w:r>
    <w:r>
      <w:rPr>
        <w:rFonts w:hint="eastAsia" w:ascii="华文细黑" w:hAnsi="华文细黑" w:cs="宋体"/>
      </w:rPr>
      <w:t>·</w:t>
    </w:r>
    <w:r>
      <w:rPr>
        <w:rFonts w:hint="eastAsia" w:cs="宋体"/>
      </w:rPr>
      <w:t>土地评估</w:t>
    </w:r>
    <w:r>
      <w:t>A</w:t>
    </w:r>
    <w:r>
      <w:rPr>
        <w:rFonts w:hint="eastAsia" w:cs="宋体"/>
      </w:rPr>
      <w:t>级资质</w:t>
    </w:r>
    <w:r>
      <w:rPr>
        <w:rFonts w:hint="eastAsia" w:ascii="华文细黑" w:hAnsi="华文细黑" w:cs="宋体"/>
      </w:rPr>
      <w:t>·</w:t>
    </w:r>
    <w:r>
      <w:rPr>
        <w:rFonts w:hint="eastAsia" w:cs="宋体"/>
      </w:rPr>
      <w:t>土地规划甲级资质</w:t>
    </w:r>
    <w:r>
      <w:drawing>
        <wp:inline distT="0" distB="0" distL="0" distR="0">
          <wp:extent cx="1066800" cy="260350"/>
          <wp:effectExtent l="0" t="0" r="0" b="6350"/>
          <wp:docPr id="2" name="图片 2" descr="同致横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同致横标志"/>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066800" cy="26035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single" w:color="auto" w:sz="4" w:space="1"/>
      </w:pBdr>
      <w:jc w:val="both"/>
    </w:pPr>
    <w:r>
      <w:drawing>
        <wp:inline distT="0" distB="0" distL="0" distR="0">
          <wp:extent cx="1060450" cy="317500"/>
          <wp:effectExtent l="0" t="0" r="6350" b="6350"/>
          <wp:docPr id="3" name="图片 3" descr="C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A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60450" cy="317500"/>
                  </a:xfrm>
                  <a:prstGeom prst="rect">
                    <a:avLst/>
                  </a:prstGeom>
                  <a:noFill/>
                  <a:ln>
                    <a:noFill/>
                  </a:ln>
                </pic:spPr>
              </pic:pic>
            </a:graphicData>
          </a:graphic>
        </wp:inline>
      </w:drawing>
    </w:r>
    <w:r>
      <w:rPr>
        <w:rFonts w:hint="eastAsia" w:cs="宋体"/>
      </w:rPr>
      <w:t>房地产评估壹级资质</w:t>
    </w:r>
    <w:r>
      <w:rPr>
        <w:rFonts w:hint="eastAsia" w:ascii="华文细黑" w:hAnsi="华文细黑" w:cs="宋体"/>
      </w:rPr>
      <w:t>·</w:t>
    </w:r>
    <w:r>
      <w:rPr>
        <w:rFonts w:hint="eastAsia" w:cs="宋体"/>
      </w:rPr>
      <w:t>土地评估</w:t>
    </w:r>
    <w:r>
      <w:t>A</w:t>
    </w:r>
    <w:r>
      <w:rPr>
        <w:rFonts w:hint="eastAsia" w:cs="宋体"/>
      </w:rPr>
      <w:t>级资质</w:t>
    </w:r>
    <w:r>
      <w:rPr>
        <w:rFonts w:hint="eastAsia" w:ascii="华文细黑" w:hAnsi="华文细黑" w:cs="宋体"/>
      </w:rPr>
      <w:t>·</w:t>
    </w:r>
    <w:r>
      <w:rPr>
        <w:rFonts w:hint="eastAsia" w:cs="宋体"/>
      </w:rPr>
      <w:t>土地规划甲级资质</w:t>
    </w:r>
    <w:r>
      <w:drawing>
        <wp:inline distT="0" distB="0" distL="0" distR="0">
          <wp:extent cx="1066800" cy="260350"/>
          <wp:effectExtent l="0" t="0" r="0" b="6350"/>
          <wp:docPr id="4" name="图片 4" descr="同致横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同致横标志"/>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066800" cy="26035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single" w:color="auto" w:sz="4" w:space="1"/>
      </w:pBdr>
      <w:jc w:val="both"/>
    </w:pPr>
    <w:r>
      <w:drawing>
        <wp:inline distT="0" distB="0" distL="0" distR="0">
          <wp:extent cx="1060450" cy="317500"/>
          <wp:effectExtent l="0" t="0" r="6350" b="6350"/>
          <wp:docPr id="17" name="图片 22" descr="C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2" descr="CA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60450" cy="317500"/>
                  </a:xfrm>
                  <a:prstGeom prst="rect">
                    <a:avLst/>
                  </a:prstGeom>
                  <a:noFill/>
                  <a:ln>
                    <a:noFill/>
                  </a:ln>
                </pic:spPr>
              </pic:pic>
            </a:graphicData>
          </a:graphic>
        </wp:inline>
      </w:drawing>
    </w:r>
    <w:r>
      <w:rPr>
        <w:rFonts w:hint="eastAsia" w:cs="宋体"/>
      </w:rPr>
      <w:t>房地产评估壹级资质</w:t>
    </w:r>
    <w:r>
      <w:rPr>
        <w:rFonts w:hint="eastAsia" w:ascii="华文细黑" w:hAnsi="华文细黑" w:cs="宋体"/>
      </w:rPr>
      <w:t>·</w:t>
    </w:r>
    <w:r>
      <w:rPr>
        <w:rFonts w:hint="eastAsia" w:cs="宋体"/>
      </w:rPr>
      <w:t>土地评估</w:t>
    </w:r>
    <w:r>
      <w:t>A</w:t>
    </w:r>
    <w:r>
      <w:rPr>
        <w:rFonts w:hint="eastAsia" w:cs="宋体"/>
      </w:rPr>
      <w:t>级资质</w:t>
    </w:r>
    <w:r>
      <w:rPr>
        <w:rFonts w:hint="eastAsia" w:ascii="华文细黑" w:hAnsi="华文细黑" w:cs="宋体"/>
      </w:rPr>
      <w:t>·</w:t>
    </w:r>
    <w:r>
      <w:rPr>
        <w:rFonts w:hint="eastAsia" w:cs="宋体"/>
      </w:rPr>
      <w:t>土地规划甲级资质</w:t>
    </w:r>
    <w:r>
      <w:drawing>
        <wp:inline distT="0" distB="0" distL="0" distR="0">
          <wp:extent cx="1066800" cy="260350"/>
          <wp:effectExtent l="0" t="0" r="0" b="6350"/>
          <wp:docPr id="19" name="图片 23" descr="同致横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3" descr="同致横标志"/>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066800" cy="26035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single" w:color="auto" w:sz="4" w:space="1"/>
      </w:pBdr>
      <w:jc w:val="both"/>
    </w:pPr>
    <w:r>
      <w:drawing>
        <wp:inline distT="0" distB="0" distL="0" distR="0">
          <wp:extent cx="1060450" cy="317500"/>
          <wp:effectExtent l="0" t="0" r="6350" b="6350"/>
          <wp:docPr id="22" name="图片 22" descr="C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CA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60450" cy="317500"/>
                  </a:xfrm>
                  <a:prstGeom prst="rect">
                    <a:avLst/>
                  </a:prstGeom>
                  <a:noFill/>
                  <a:ln>
                    <a:noFill/>
                  </a:ln>
                </pic:spPr>
              </pic:pic>
            </a:graphicData>
          </a:graphic>
        </wp:inline>
      </w:drawing>
    </w:r>
    <w:r>
      <w:rPr>
        <w:rFonts w:hint="eastAsia" w:cs="宋体"/>
      </w:rPr>
      <w:t>房地产评估壹级资质</w:t>
    </w:r>
    <w:r>
      <w:rPr>
        <w:rFonts w:hint="eastAsia" w:ascii="华文细黑" w:hAnsi="华文细黑" w:cs="宋体"/>
      </w:rPr>
      <w:t>·</w:t>
    </w:r>
    <w:r>
      <w:rPr>
        <w:rFonts w:hint="eastAsia" w:cs="宋体"/>
      </w:rPr>
      <w:t>土地评估</w:t>
    </w:r>
    <w:r>
      <w:t>A</w:t>
    </w:r>
    <w:r>
      <w:rPr>
        <w:rFonts w:hint="eastAsia" w:cs="宋体"/>
      </w:rPr>
      <w:t>级资质</w:t>
    </w:r>
    <w:r>
      <w:rPr>
        <w:rFonts w:hint="eastAsia" w:ascii="华文细黑" w:hAnsi="华文细黑" w:cs="宋体"/>
      </w:rPr>
      <w:t>·</w:t>
    </w:r>
    <w:r>
      <w:rPr>
        <w:rFonts w:hint="eastAsia" w:cs="宋体"/>
      </w:rPr>
      <w:t>土地规划甲级资质</w:t>
    </w:r>
    <w:r>
      <w:drawing>
        <wp:inline distT="0" distB="0" distL="0" distR="0">
          <wp:extent cx="1066800" cy="260350"/>
          <wp:effectExtent l="0" t="0" r="0" b="6350"/>
          <wp:docPr id="23" name="图片 23" descr="同致横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同致横标志"/>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066800" cy="260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F14290"/>
    <w:multiLevelType w:val="multilevel"/>
    <w:tmpl w:val="04F14290"/>
    <w:lvl w:ilvl="0" w:tentative="0">
      <w:start w:val="1"/>
      <w:numFmt w:val="decimal"/>
      <w:lvlText w:val="%1．"/>
      <w:lvlJc w:val="left"/>
      <w:pPr>
        <w:ind w:left="911" w:hanging="480"/>
      </w:pPr>
      <w:rPr>
        <w:rFonts w:hint="eastAsia"/>
        <w:b/>
        <w:bCs/>
        <w:i w:val="0"/>
        <w:iCs w:val="0"/>
      </w:rPr>
    </w:lvl>
    <w:lvl w:ilvl="1" w:tentative="0">
      <w:start w:val="1"/>
      <w:numFmt w:val="lowerLetter"/>
      <w:lvlText w:val="%2)"/>
      <w:lvlJc w:val="left"/>
      <w:pPr>
        <w:ind w:left="1391" w:hanging="480"/>
      </w:pPr>
    </w:lvl>
    <w:lvl w:ilvl="2" w:tentative="0">
      <w:start w:val="1"/>
      <w:numFmt w:val="decimal"/>
      <w:lvlText w:val="%3."/>
      <w:lvlJc w:val="left"/>
      <w:pPr>
        <w:ind w:left="1053" w:hanging="480"/>
      </w:pPr>
      <w:rPr>
        <w:rFonts w:hint="eastAsia"/>
      </w:rPr>
    </w:lvl>
    <w:lvl w:ilvl="3" w:tentative="0">
      <w:start w:val="1"/>
      <w:numFmt w:val="decimal"/>
      <w:lvlText w:val="%4."/>
      <w:lvlJc w:val="left"/>
      <w:pPr>
        <w:ind w:left="2351" w:hanging="480"/>
      </w:pPr>
    </w:lvl>
    <w:lvl w:ilvl="4" w:tentative="0">
      <w:start w:val="1"/>
      <w:numFmt w:val="lowerLetter"/>
      <w:lvlText w:val="%5)"/>
      <w:lvlJc w:val="left"/>
      <w:pPr>
        <w:ind w:left="2831" w:hanging="480"/>
      </w:pPr>
    </w:lvl>
    <w:lvl w:ilvl="5" w:tentative="0">
      <w:start w:val="1"/>
      <w:numFmt w:val="lowerRoman"/>
      <w:lvlText w:val="%6."/>
      <w:lvlJc w:val="right"/>
      <w:pPr>
        <w:ind w:left="3311" w:hanging="480"/>
      </w:pPr>
    </w:lvl>
    <w:lvl w:ilvl="6" w:tentative="0">
      <w:start w:val="1"/>
      <w:numFmt w:val="decimal"/>
      <w:lvlText w:val="%7."/>
      <w:lvlJc w:val="left"/>
      <w:pPr>
        <w:ind w:left="3791" w:hanging="480"/>
      </w:pPr>
    </w:lvl>
    <w:lvl w:ilvl="7" w:tentative="0">
      <w:start w:val="1"/>
      <w:numFmt w:val="lowerLetter"/>
      <w:lvlText w:val="%8)"/>
      <w:lvlJc w:val="left"/>
      <w:pPr>
        <w:ind w:left="4271" w:hanging="480"/>
      </w:pPr>
    </w:lvl>
    <w:lvl w:ilvl="8" w:tentative="0">
      <w:start w:val="1"/>
      <w:numFmt w:val="lowerRoman"/>
      <w:lvlText w:val="%9."/>
      <w:lvlJc w:val="right"/>
      <w:pPr>
        <w:ind w:left="4751" w:hanging="480"/>
      </w:pPr>
    </w:lvl>
  </w:abstractNum>
  <w:abstractNum w:abstractNumId="1">
    <w:nsid w:val="08AE1F26"/>
    <w:multiLevelType w:val="multilevel"/>
    <w:tmpl w:val="08AE1F26"/>
    <w:lvl w:ilvl="0" w:tentative="0">
      <w:start w:val="1"/>
      <w:numFmt w:val="decimal"/>
      <w:suff w:val="space"/>
      <w:lvlText w:val="(%1)"/>
      <w:lvlJc w:val="left"/>
      <w:pPr>
        <w:ind w:left="980" w:hanging="420"/>
      </w:pPr>
      <w:rPr>
        <w:rFonts w:hint="eastAsia"/>
      </w:rPr>
    </w:lvl>
    <w:lvl w:ilvl="1" w:tentative="0">
      <w:start w:val="1"/>
      <w:numFmt w:val="bullet"/>
      <w:lvlText w:val=""/>
      <w:lvlJc w:val="left"/>
      <w:pPr>
        <w:ind w:left="1400" w:hanging="420"/>
      </w:pPr>
      <w:rPr>
        <w:rFonts w:hint="default" w:ascii="Wingdings" w:hAnsi="Wingdings" w:cs="Wingdings"/>
      </w:rPr>
    </w:lvl>
    <w:lvl w:ilvl="2" w:tentative="0">
      <w:start w:val="1"/>
      <w:numFmt w:val="bullet"/>
      <w:lvlText w:val=""/>
      <w:lvlJc w:val="left"/>
      <w:pPr>
        <w:ind w:left="1820" w:hanging="420"/>
      </w:pPr>
      <w:rPr>
        <w:rFonts w:hint="default" w:ascii="Wingdings" w:hAnsi="Wingdings" w:cs="Wingdings"/>
      </w:rPr>
    </w:lvl>
    <w:lvl w:ilvl="3" w:tentative="0">
      <w:start w:val="1"/>
      <w:numFmt w:val="bullet"/>
      <w:lvlText w:val=""/>
      <w:lvlJc w:val="left"/>
      <w:pPr>
        <w:ind w:left="2240" w:hanging="420"/>
      </w:pPr>
      <w:rPr>
        <w:rFonts w:hint="default" w:ascii="Wingdings" w:hAnsi="Wingdings" w:cs="Wingdings"/>
      </w:rPr>
    </w:lvl>
    <w:lvl w:ilvl="4" w:tentative="0">
      <w:start w:val="1"/>
      <w:numFmt w:val="bullet"/>
      <w:lvlText w:val=""/>
      <w:lvlJc w:val="left"/>
      <w:pPr>
        <w:ind w:left="2660" w:hanging="420"/>
      </w:pPr>
      <w:rPr>
        <w:rFonts w:hint="default" w:ascii="Wingdings" w:hAnsi="Wingdings" w:cs="Wingdings"/>
      </w:rPr>
    </w:lvl>
    <w:lvl w:ilvl="5" w:tentative="0">
      <w:start w:val="1"/>
      <w:numFmt w:val="bullet"/>
      <w:lvlText w:val=""/>
      <w:lvlJc w:val="left"/>
      <w:pPr>
        <w:ind w:left="3080" w:hanging="420"/>
      </w:pPr>
      <w:rPr>
        <w:rFonts w:hint="default" w:ascii="Wingdings" w:hAnsi="Wingdings" w:cs="Wingdings"/>
      </w:rPr>
    </w:lvl>
    <w:lvl w:ilvl="6" w:tentative="0">
      <w:start w:val="1"/>
      <w:numFmt w:val="bullet"/>
      <w:lvlText w:val=""/>
      <w:lvlJc w:val="left"/>
      <w:pPr>
        <w:ind w:left="3500" w:hanging="420"/>
      </w:pPr>
      <w:rPr>
        <w:rFonts w:hint="default" w:ascii="Wingdings" w:hAnsi="Wingdings" w:cs="Wingdings"/>
      </w:rPr>
    </w:lvl>
    <w:lvl w:ilvl="7" w:tentative="0">
      <w:start w:val="1"/>
      <w:numFmt w:val="bullet"/>
      <w:lvlText w:val=""/>
      <w:lvlJc w:val="left"/>
      <w:pPr>
        <w:ind w:left="3920" w:hanging="420"/>
      </w:pPr>
      <w:rPr>
        <w:rFonts w:hint="default" w:ascii="Wingdings" w:hAnsi="Wingdings" w:cs="Wingdings"/>
      </w:rPr>
    </w:lvl>
    <w:lvl w:ilvl="8" w:tentative="0">
      <w:start w:val="1"/>
      <w:numFmt w:val="bullet"/>
      <w:lvlText w:val=""/>
      <w:lvlJc w:val="left"/>
      <w:pPr>
        <w:ind w:left="4340" w:hanging="420"/>
      </w:pPr>
      <w:rPr>
        <w:rFonts w:hint="default" w:ascii="Wingdings" w:hAnsi="Wingdings" w:cs="Wingdings"/>
      </w:rPr>
    </w:lvl>
  </w:abstractNum>
  <w:abstractNum w:abstractNumId="2">
    <w:nsid w:val="09DA21DD"/>
    <w:multiLevelType w:val="multilevel"/>
    <w:tmpl w:val="09DA21DD"/>
    <w:lvl w:ilvl="0" w:tentative="0">
      <w:start w:val="1"/>
      <w:numFmt w:val="decimal"/>
      <w:suff w:val="space"/>
      <w:lvlText w:val="(%1)"/>
      <w:lvlJc w:val="left"/>
      <w:pPr>
        <w:ind w:left="980" w:hanging="420"/>
      </w:pPr>
      <w:rPr>
        <w:rFonts w:hint="eastAsia"/>
      </w:rPr>
    </w:lvl>
    <w:lvl w:ilvl="1" w:tentative="0">
      <w:start w:val="1"/>
      <w:numFmt w:val="bullet"/>
      <w:lvlText w:val=""/>
      <w:lvlJc w:val="left"/>
      <w:pPr>
        <w:ind w:left="1400" w:hanging="420"/>
      </w:pPr>
      <w:rPr>
        <w:rFonts w:hint="default" w:ascii="Wingdings" w:hAnsi="Wingdings" w:cs="Wingdings"/>
      </w:rPr>
    </w:lvl>
    <w:lvl w:ilvl="2" w:tentative="0">
      <w:start w:val="1"/>
      <w:numFmt w:val="bullet"/>
      <w:lvlText w:val=""/>
      <w:lvlJc w:val="left"/>
      <w:pPr>
        <w:ind w:left="1820" w:hanging="420"/>
      </w:pPr>
      <w:rPr>
        <w:rFonts w:hint="default" w:ascii="Wingdings" w:hAnsi="Wingdings" w:cs="Wingdings"/>
      </w:rPr>
    </w:lvl>
    <w:lvl w:ilvl="3" w:tentative="0">
      <w:start w:val="1"/>
      <w:numFmt w:val="bullet"/>
      <w:lvlText w:val=""/>
      <w:lvlJc w:val="left"/>
      <w:pPr>
        <w:ind w:left="2240" w:hanging="420"/>
      </w:pPr>
      <w:rPr>
        <w:rFonts w:hint="default" w:ascii="Wingdings" w:hAnsi="Wingdings" w:cs="Wingdings"/>
      </w:rPr>
    </w:lvl>
    <w:lvl w:ilvl="4" w:tentative="0">
      <w:start w:val="1"/>
      <w:numFmt w:val="bullet"/>
      <w:lvlText w:val=""/>
      <w:lvlJc w:val="left"/>
      <w:pPr>
        <w:ind w:left="2660" w:hanging="420"/>
      </w:pPr>
      <w:rPr>
        <w:rFonts w:hint="default" w:ascii="Wingdings" w:hAnsi="Wingdings" w:cs="Wingdings"/>
      </w:rPr>
    </w:lvl>
    <w:lvl w:ilvl="5" w:tentative="0">
      <w:start w:val="1"/>
      <w:numFmt w:val="bullet"/>
      <w:lvlText w:val=""/>
      <w:lvlJc w:val="left"/>
      <w:pPr>
        <w:ind w:left="3080" w:hanging="420"/>
      </w:pPr>
      <w:rPr>
        <w:rFonts w:hint="default" w:ascii="Wingdings" w:hAnsi="Wingdings" w:cs="Wingdings"/>
      </w:rPr>
    </w:lvl>
    <w:lvl w:ilvl="6" w:tentative="0">
      <w:start w:val="1"/>
      <w:numFmt w:val="bullet"/>
      <w:lvlText w:val=""/>
      <w:lvlJc w:val="left"/>
      <w:pPr>
        <w:ind w:left="3500" w:hanging="420"/>
      </w:pPr>
      <w:rPr>
        <w:rFonts w:hint="default" w:ascii="Wingdings" w:hAnsi="Wingdings" w:cs="Wingdings"/>
      </w:rPr>
    </w:lvl>
    <w:lvl w:ilvl="7" w:tentative="0">
      <w:start w:val="1"/>
      <w:numFmt w:val="bullet"/>
      <w:lvlText w:val=""/>
      <w:lvlJc w:val="left"/>
      <w:pPr>
        <w:ind w:left="3920" w:hanging="420"/>
      </w:pPr>
      <w:rPr>
        <w:rFonts w:hint="default" w:ascii="Wingdings" w:hAnsi="Wingdings" w:cs="Wingdings"/>
      </w:rPr>
    </w:lvl>
    <w:lvl w:ilvl="8" w:tentative="0">
      <w:start w:val="1"/>
      <w:numFmt w:val="bullet"/>
      <w:lvlText w:val=""/>
      <w:lvlJc w:val="left"/>
      <w:pPr>
        <w:ind w:left="4340" w:hanging="420"/>
      </w:pPr>
      <w:rPr>
        <w:rFonts w:hint="default" w:ascii="Wingdings" w:hAnsi="Wingdings" w:cs="Wingdings"/>
      </w:rPr>
    </w:lvl>
  </w:abstractNum>
  <w:abstractNum w:abstractNumId="3">
    <w:nsid w:val="0B281D50"/>
    <w:multiLevelType w:val="multilevel"/>
    <w:tmpl w:val="0B281D50"/>
    <w:lvl w:ilvl="0" w:tentative="0">
      <w:start w:val="1"/>
      <w:numFmt w:val="decimal"/>
      <w:suff w:val="space"/>
      <w:lvlText w:val="(%1)"/>
      <w:lvlJc w:val="left"/>
      <w:pPr>
        <w:ind w:left="980" w:hanging="420"/>
      </w:pPr>
      <w:rPr>
        <w:rFonts w:hint="eastAsia"/>
      </w:rPr>
    </w:lvl>
    <w:lvl w:ilvl="1" w:tentative="0">
      <w:start w:val="1"/>
      <w:numFmt w:val="bullet"/>
      <w:lvlText w:val=""/>
      <w:lvlJc w:val="left"/>
      <w:pPr>
        <w:ind w:left="1400" w:hanging="420"/>
      </w:pPr>
      <w:rPr>
        <w:rFonts w:hint="default" w:ascii="Wingdings" w:hAnsi="Wingdings" w:cs="Wingdings"/>
      </w:rPr>
    </w:lvl>
    <w:lvl w:ilvl="2" w:tentative="0">
      <w:start w:val="1"/>
      <w:numFmt w:val="bullet"/>
      <w:lvlText w:val=""/>
      <w:lvlJc w:val="left"/>
      <w:pPr>
        <w:ind w:left="1820" w:hanging="420"/>
      </w:pPr>
      <w:rPr>
        <w:rFonts w:hint="default" w:ascii="Wingdings" w:hAnsi="Wingdings" w:cs="Wingdings"/>
      </w:rPr>
    </w:lvl>
    <w:lvl w:ilvl="3" w:tentative="0">
      <w:start w:val="1"/>
      <w:numFmt w:val="bullet"/>
      <w:lvlText w:val=""/>
      <w:lvlJc w:val="left"/>
      <w:pPr>
        <w:ind w:left="2240" w:hanging="420"/>
      </w:pPr>
      <w:rPr>
        <w:rFonts w:hint="default" w:ascii="Wingdings" w:hAnsi="Wingdings" w:cs="Wingdings"/>
      </w:rPr>
    </w:lvl>
    <w:lvl w:ilvl="4" w:tentative="0">
      <w:start w:val="1"/>
      <w:numFmt w:val="bullet"/>
      <w:lvlText w:val=""/>
      <w:lvlJc w:val="left"/>
      <w:pPr>
        <w:ind w:left="2660" w:hanging="420"/>
      </w:pPr>
      <w:rPr>
        <w:rFonts w:hint="default" w:ascii="Wingdings" w:hAnsi="Wingdings" w:cs="Wingdings"/>
      </w:rPr>
    </w:lvl>
    <w:lvl w:ilvl="5" w:tentative="0">
      <w:start w:val="1"/>
      <w:numFmt w:val="bullet"/>
      <w:lvlText w:val=""/>
      <w:lvlJc w:val="left"/>
      <w:pPr>
        <w:ind w:left="3080" w:hanging="420"/>
      </w:pPr>
      <w:rPr>
        <w:rFonts w:hint="default" w:ascii="Wingdings" w:hAnsi="Wingdings" w:cs="Wingdings"/>
      </w:rPr>
    </w:lvl>
    <w:lvl w:ilvl="6" w:tentative="0">
      <w:start w:val="1"/>
      <w:numFmt w:val="bullet"/>
      <w:lvlText w:val=""/>
      <w:lvlJc w:val="left"/>
      <w:pPr>
        <w:ind w:left="3500" w:hanging="420"/>
      </w:pPr>
      <w:rPr>
        <w:rFonts w:hint="default" w:ascii="Wingdings" w:hAnsi="Wingdings" w:cs="Wingdings"/>
      </w:rPr>
    </w:lvl>
    <w:lvl w:ilvl="7" w:tentative="0">
      <w:start w:val="1"/>
      <w:numFmt w:val="bullet"/>
      <w:lvlText w:val=""/>
      <w:lvlJc w:val="left"/>
      <w:pPr>
        <w:ind w:left="3920" w:hanging="420"/>
      </w:pPr>
      <w:rPr>
        <w:rFonts w:hint="default" w:ascii="Wingdings" w:hAnsi="Wingdings" w:cs="Wingdings"/>
      </w:rPr>
    </w:lvl>
    <w:lvl w:ilvl="8" w:tentative="0">
      <w:start w:val="1"/>
      <w:numFmt w:val="bullet"/>
      <w:lvlText w:val=""/>
      <w:lvlJc w:val="left"/>
      <w:pPr>
        <w:ind w:left="4340" w:hanging="420"/>
      </w:pPr>
      <w:rPr>
        <w:rFonts w:hint="default" w:ascii="Wingdings" w:hAnsi="Wingdings" w:cs="Wingdings"/>
      </w:rPr>
    </w:lvl>
  </w:abstractNum>
  <w:abstractNum w:abstractNumId="4">
    <w:nsid w:val="1C471586"/>
    <w:multiLevelType w:val="multilevel"/>
    <w:tmpl w:val="1C471586"/>
    <w:lvl w:ilvl="0" w:tentative="0">
      <w:start w:val="1"/>
      <w:numFmt w:val="decimal"/>
      <w:suff w:val="space"/>
      <w:lvlText w:val="(%1)"/>
      <w:lvlJc w:val="left"/>
      <w:pPr>
        <w:ind w:left="980" w:hanging="420"/>
      </w:pPr>
      <w:rPr>
        <w:rFonts w:hint="eastAsia"/>
      </w:rPr>
    </w:lvl>
    <w:lvl w:ilvl="1" w:tentative="0">
      <w:start w:val="1"/>
      <w:numFmt w:val="bullet"/>
      <w:lvlText w:val=""/>
      <w:lvlJc w:val="left"/>
      <w:pPr>
        <w:ind w:left="1400" w:hanging="420"/>
      </w:pPr>
      <w:rPr>
        <w:rFonts w:hint="default" w:ascii="Wingdings" w:hAnsi="Wingdings" w:cs="Wingdings"/>
      </w:rPr>
    </w:lvl>
    <w:lvl w:ilvl="2" w:tentative="0">
      <w:start w:val="1"/>
      <w:numFmt w:val="bullet"/>
      <w:lvlText w:val=""/>
      <w:lvlJc w:val="left"/>
      <w:pPr>
        <w:ind w:left="1820" w:hanging="420"/>
      </w:pPr>
      <w:rPr>
        <w:rFonts w:hint="default" w:ascii="Wingdings" w:hAnsi="Wingdings" w:cs="Wingdings"/>
      </w:rPr>
    </w:lvl>
    <w:lvl w:ilvl="3" w:tentative="0">
      <w:start w:val="1"/>
      <w:numFmt w:val="bullet"/>
      <w:lvlText w:val=""/>
      <w:lvlJc w:val="left"/>
      <w:pPr>
        <w:ind w:left="2240" w:hanging="420"/>
      </w:pPr>
      <w:rPr>
        <w:rFonts w:hint="default" w:ascii="Wingdings" w:hAnsi="Wingdings" w:cs="Wingdings"/>
      </w:rPr>
    </w:lvl>
    <w:lvl w:ilvl="4" w:tentative="0">
      <w:start w:val="1"/>
      <w:numFmt w:val="bullet"/>
      <w:lvlText w:val=""/>
      <w:lvlJc w:val="left"/>
      <w:pPr>
        <w:ind w:left="2660" w:hanging="420"/>
      </w:pPr>
      <w:rPr>
        <w:rFonts w:hint="default" w:ascii="Wingdings" w:hAnsi="Wingdings" w:cs="Wingdings"/>
      </w:rPr>
    </w:lvl>
    <w:lvl w:ilvl="5" w:tentative="0">
      <w:start w:val="1"/>
      <w:numFmt w:val="bullet"/>
      <w:lvlText w:val=""/>
      <w:lvlJc w:val="left"/>
      <w:pPr>
        <w:ind w:left="3080" w:hanging="420"/>
      </w:pPr>
      <w:rPr>
        <w:rFonts w:hint="default" w:ascii="Wingdings" w:hAnsi="Wingdings" w:cs="Wingdings"/>
      </w:rPr>
    </w:lvl>
    <w:lvl w:ilvl="6" w:tentative="0">
      <w:start w:val="1"/>
      <w:numFmt w:val="bullet"/>
      <w:lvlText w:val=""/>
      <w:lvlJc w:val="left"/>
      <w:pPr>
        <w:ind w:left="3500" w:hanging="420"/>
      </w:pPr>
      <w:rPr>
        <w:rFonts w:hint="default" w:ascii="Wingdings" w:hAnsi="Wingdings" w:cs="Wingdings"/>
      </w:rPr>
    </w:lvl>
    <w:lvl w:ilvl="7" w:tentative="0">
      <w:start w:val="1"/>
      <w:numFmt w:val="bullet"/>
      <w:lvlText w:val=""/>
      <w:lvlJc w:val="left"/>
      <w:pPr>
        <w:ind w:left="3920" w:hanging="420"/>
      </w:pPr>
      <w:rPr>
        <w:rFonts w:hint="default" w:ascii="Wingdings" w:hAnsi="Wingdings" w:cs="Wingdings"/>
      </w:rPr>
    </w:lvl>
    <w:lvl w:ilvl="8" w:tentative="0">
      <w:start w:val="1"/>
      <w:numFmt w:val="bullet"/>
      <w:lvlText w:val=""/>
      <w:lvlJc w:val="left"/>
      <w:pPr>
        <w:ind w:left="4340" w:hanging="420"/>
      </w:pPr>
      <w:rPr>
        <w:rFonts w:hint="default" w:ascii="Wingdings" w:hAnsi="Wingdings" w:cs="Wingdings"/>
      </w:rPr>
    </w:lvl>
  </w:abstractNum>
  <w:abstractNum w:abstractNumId="5">
    <w:nsid w:val="24256168"/>
    <w:multiLevelType w:val="multilevel"/>
    <w:tmpl w:val="24256168"/>
    <w:lvl w:ilvl="0" w:tentative="0">
      <w:start w:val="1"/>
      <w:numFmt w:val="decimal"/>
      <w:lvlText w:val="%1."/>
      <w:lvlJc w:val="left"/>
      <w:pPr>
        <w:ind w:left="920" w:hanging="360"/>
      </w:pPr>
      <w:rPr>
        <w:rFonts w:hint="eastAsia"/>
      </w:rPr>
    </w:lvl>
    <w:lvl w:ilvl="1" w:tentative="0">
      <w:start w:val="1"/>
      <w:numFmt w:val="lowerLetter"/>
      <w:lvlText w:val="%2)"/>
      <w:lvlJc w:val="left"/>
      <w:pPr>
        <w:ind w:left="1520" w:hanging="480"/>
      </w:pPr>
    </w:lvl>
    <w:lvl w:ilvl="2" w:tentative="0">
      <w:start w:val="1"/>
      <w:numFmt w:val="lowerRoman"/>
      <w:lvlText w:val="%3."/>
      <w:lvlJc w:val="right"/>
      <w:pPr>
        <w:ind w:left="2000" w:hanging="480"/>
      </w:pPr>
    </w:lvl>
    <w:lvl w:ilvl="3" w:tentative="0">
      <w:start w:val="1"/>
      <w:numFmt w:val="decimal"/>
      <w:lvlText w:val="%4."/>
      <w:lvlJc w:val="left"/>
      <w:pPr>
        <w:ind w:left="2480" w:hanging="480"/>
      </w:pPr>
    </w:lvl>
    <w:lvl w:ilvl="4" w:tentative="0">
      <w:start w:val="1"/>
      <w:numFmt w:val="lowerLetter"/>
      <w:lvlText w:val="%5)"/>
      <w:lvlJc w:val="left"/>
      <w:pPr>
        <w:ind w:left="2960" w:hanging="480"/>
      </w:pPr>
    </w:lvl>
    <w:lvl w:ilvl="5" w:tentative="0">
      <w:start w:val="1"/>
      <w:numFmt w:val="lowerRoman"/>
      <w:lvlText w:val="%6."/>
      <w:lvlJc w:val="right"/>
      <w:pPr>
        <w:ind w:left="3440" w:hanging="480"/>
      </w:pPr>
    </w:lvl>
    <w:lvl w:ilvl="6" w:tentative="0">
      <w:start w:val="1"/>
      <w:numFmt w:val="decimal"/>
      <w:lvlText w:val="%7."/>
      <w:lvlJc w:val="left"/>
      <w:pPr>
        <w:ind w:left="3920" w:hanging="480"/>
      </w:pPr>
    </w:lvl>
    <w:lvl w:ilvl="7" w:tentative="0">
      <w:start w:val="1"/>
      <w:numFmt w:val="lowerLetter"/>
      <w:lvlText w:val="%8)"/>
      <w:lvlJc w:val="left"/>
      <w:pPr>
        <w:ind w:left="4400" w:hanging="480"/>
      </w:pPr>
    </w:lvl>
    <w:lvl w:ilvl="8" w:tentative="0">
      <w:start w:val="1"/>
      <w:numFmt w:val="lowerRoman"/>
      <w:lvlText w:val="%9."/>
      <w:lvlJc w:val="right"/>
      <w:pPr>
        <w:ind w:left="4880" w:hanging="480"/>
      </w:pPr>
    </w:lvl>
  </w:abstractNum>
  <w:abstractNum w:abstractNumId="6">
    <w:nsid w:val="32367742"/>
    <w:multiLevelType w:val="multilevel"/>
    <w:tmpl w:val="32367742"/>
    <w:lvl w:ilvl="0" w:tentative="0">
      <w:start w:val="1"/>
      <w:numFmt w:val="decimal"/>
      <w:suff w:val="space"/>
      <w:lvlText w:val="(%1)"/>
      <w:lvlJc w:val="left"/>
      <w:pPr>
        <w:ind w:left="980" w:hanging="420"/>
      </w:pPr>
      <w:rPr>
        <w:rFonts w:hint="eastAsia"/>
      </w:rPr>
    </w:lvl>
    <w:lvl w:ilvl="1" w:tentative="0">
      <w:start w:val="1"/>
      <w:numFmt w:val="bullet"/>
      <w:lvlText w:val=""/>
      <w:lvlJc w:val="left"/>
      <w:pPr>
        <w:ind w:left="1400" w:hanging="420"/>
      </w:pPr>
      <w:rPr>
        <w:rFonts w:hint="default" w:ascii="Wingdings" w:hAnsi="Wingdings" w:cs="Wingdings"/>
      </w:rPr>
    </w:lvl>
    <w:lvl w:ilvl="2" w:tentative="0">
      <w:start w:val="1"/>
      <w:numFmt w:val="bullet"/>
      <w:lvlText w:val=""/>
      <w:lvlJc w:val="left"/>
      <w:pPr>
        <w:ind w:left="1820" w:hanging="420"/>
      </w:pPr>
      <w:rPr>
        <w:rFonts w:hint="default" w:ascii="Wingdings" w:hAnsi="Wingdings" w:cs="Wingdings"/>
      </w:rPr>
    </w:lvl>
    <w:lvl w:ilvl="3" w:tentative="0">
      <w:start w:val="1"/>
      <w:numFmt w:val="bullet"/>
      <w:lvlText w:val=""/>
      <w:lvlJc w:val="left"/>
      <w:pPr>
        <w:ind w:left="2240" w:hanging="420"/>
      </w:pPr>
      <w:rPr>
        <w:rFonts w:hint="default" w:ascii="Wingdings" w:hAnsi="Wingdings" w:cs="Wingdings"/>
      </w:rPr>
    </w:lvl>
    <w:lvl w:ilvl="4" w:tentative="0">
      <w:start w:val="1"/>
      <w:numFmt w:val="bullet"/>
      <w:lvlText w:val=""/>
      <w:lvlJc w:val="left"/>
      <w:pPr>
        <w:ind w:left="2660" w:hanging="420"/>
      </w:pPr>
      <w:rPr>
        <w:rFonts w:hint="default" w:ascii="Wingdings" w:hAnsi="Wingdings" w:cs="Wingdings"/>
      </w:rPr>
    </w:lvl>
    <w:lvl w:ilvl="5" w:tentative="0">
      <w:start w:val="1"/>
      <w:numFmt w:val="bullet"/>
      <w:lvlText w:val=""/>
      <w:lvlJc w:val="left"/>
      <w:pPr>
        <w:ind w:left="3080" w:hanging="420"/>
      </w:pPr>
      <w:rPr>
        <w:rFonts w:hint="default" w:ascii="Wingdings" w:hAnsi="Wingdings" w:cs="Wingdings"/>
      </w:rPr>
    </w:lvl>
    <w:lvl w:ilvl="6" w:tentative="0">
      <w:start w:val="1"/>
      <w:numFmt w:val="bullet"/>
      <w:lvlText w:val=""/>
      <w:lvlJc w:val="left"/>
      <w:pPr>
        <w:ind w:left="3500" w:hanging="420"/>
      </w:pPr>
      <w:rPr>
        <w:rFonts w:hint="default" w:ascii="Wingdings" w:hAnsi="Wingdings" w:cs="Wingdings"/>
      </w:rPr>
    </w:lvl>
    <w:lvl w:ilvl="7" w:tentative="0">
      <w:start w:val="1"/>
      <w:numFmt w:val="bullet"/>
      <w:lvlText w:val=""/>
      <w:lvlJc w:val="left"/>
      <w:pPr>
        <w:ind w:left="3920" w:hanging="420"/>
      </w:pPr>
      <w:rPr>
        <w:rFonts w:hint="default" w:ascii="Wingdings" w:hAnsi="Wingdings" w:cs="Wingdings"/>
      </w:rPr>
    </w:lvl>
    <w:lvl w:ilvl="8" w:tentative="0">
      <w:start w:val="1"/>
      <w:numFmt w:val="bullet"/>
      <w:lvlText w:val=""/>
      <w:lvlJc w:val="left"/>
      <w:pPr>
        <w:ind w:left="4340" w:hanging="420"/>
      </w:pPr>
      <w:rPr>
        <w:rFonts w:hint="default" w:ascii="Wingdings" w:hAnsi="Wingdings" w:cs="Wingdings"/>
      </w:rPr>
    </w:lvl>
  </w:abstractNum>
  <w:abstractNum w:abstractNumId="7">
    <w:nsid w:val="4EDD36DC"/>
    <w:multiLevelType w:val="multilevel"/>
    <w:tmpl w:val="4EDD36DC"/>
    <w:lvl w:ilvl="0" w:tentative="0">
      <w:start w:val="1"/>
      <w:numFmt w:val="decimal"/>
      <w:lvlText w:val="%1."/>
      <w:lvlJc w:val="left"/>
      <w:pPr>
        <w:ind w:left="480" w:hanging="48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8">
    <w:nsid w:val="599E07B7"/>
    <w:multiLevelType w:val="singleLevel"/>
    <w:tmpl w:val="599E07B7"/>
    <w:lvl w:ilvl="0" w:tentative="0">
      <w:start w:val="1"/>
      <w:numFmt w:val="bullet"/>
      <w:lvlText w:val=""/>
      <w:lvlJc w:val="left"/>
      <w:pPr>
        <w:ind w:left="420" w:hanging="420"/>
      </w:pPr>
      <w:rPr>
        <w:rFonts w:hint="default" w:ascii="Wingdings" w:hAnsi="Wingdings"/>
      </w:rPr>
    </w:lvl>
  </w:abstractNum>
  <w:num w:numId="1">
    <w:abstractNumId w:val="8"/>
  </w:num>
  <w:num w:numId="2">
    <w:abstractNumId w:val="7"/>
  </w:num>
  <w:num w:numId="3">
    <w:abstractNumId w:val="5"/>
  </w:num>
  <w:num w:numId="4">
    <w:abstractNumId w:val="1"/>
  </w:num>
  <w:num w:numId="5">
    <w:abstractNumId w:val="3"/>
  </w:num>
  <w:num w:numId="6">
    <w:abstractNumId w:val="4"/>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4"/>
  <w:doNotHyphenateCaps/>
  <w:drawingGridHorizontalSpacing w:val="105"/>
  <w:drawingGridVerticalSpacing w:val="143"/>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doNotExpandShiftReturn/>
    <w:doNotWrapTextWithPunct/>
    <w:doNotUseEastAsianBreakRules/>
    <w:useFELayout/>
    <w:doNotUseIndentAsNumberingTabStop/>
    <w:compatSetting w:name="compatibilityMode" w:uri="http://schemas.microsoft.com/office/word" w:val="12"/>
  </w:compat>
  <w:docVars>
    <w:docVar w:name="commondata" w:val="eyJoZGlkIjoiNDNkZjFlYTI3M2I1NTYzNWZkODNiNmU0YzAwMzEzYTMifQ=="/>
  </w:docVars>
  <w:rsids>
    <w:rsidRoot w:val="00844239"/>
    <w:rsid w:val="0000139C"/>
    <w:rsid w:val="00001541"/>
    <w:rsid w:val="0000218A"/>
    <w:rsid w:val="000023D0"/>
    <w:rsid w:val="00002A23"/>
    <w:rsid w:val="000039E0"/>
    <w:rsid w:val="00004727"/>
    <w:rsid w:val="00004874"/>
    <w:rsid w:val="00004EDE"/>
    <w:rsid w:val="000058E9"/>
    <w:rsid w:val="00005ABB"/>
    <w:rsid w:val="00005DC2"/>
    <w:rsid w:val="00005EB8"/>
    <w:rsid w:val="00005F14"/>
    <w:rsid w:val="000073E1"/>
    <w:rsid w:val="00007E88"/>
    <w:rsid w:val="00007EE8"/>
    <w:rsid w:val="000114E4"/>
    <w:rsid w:val="00011FC0"/>
    <w:rsid w:val="000121AD"/>
    <w:rsid w:val="000122C6"/>
    <w:rsid w:val="000125F2"/>
    <w:rsid w:val="00012E94"/>
    <w:rsid w:val="0001391E"/>
    <w:rsid w:val="00013934"/>
    <w:rsid w:val="00013937"/>
    <w:rsid w:val="00013D8E"/>
    <w:rsid w:val="00014ED6"/>
    <w:rsid w:val="00015759"/>
    <w:rsid w:val="00016558"/>
    <w:rsid w:val="00016613"/>
    <w:rsid w:val="00016938"/>
    <w:rsid w:val="00016E39"/>
    <w:rsid w:val="000174CD"/>
    <w:rsid w:val="00017614"/>
    <w:rsid w:val="000177E6"/>
    <w:rsid w:val="000177F3"/>
    <w:rsid w:val="00017F7A"/>
    <w:rsid w:val="00017FDB"/>
    <w:rsid w:val="0002006F"/>
    <w:rsid w:val="00021F35"/>
    <w:rsid w:val="00022278"/>
    <w:rsid w:val="00023BA8"/>
    <w:rsid w:val="00023DDD"/>
    <w:rsid w:val="000266BA"/>
    <w:rsid w:val="000273C6"/>
    <w:rsid w:val="00030B6C"/>
    <w:rsid w:val="00032961"/>
    <w:rsid w:val="00033165"/>
    <w:rsid w:val="0003335C"/>
    <w:rsid w:val="00035DF9"/>
    <w:rsid w:val="00035FA4"/>
    <w:rsid w:val="000367B5"/>
    <w:rsid w:val="00037045"/>
    <w:rsid w:val="000378AB"/>
    <w:rsid w:val="0004004C"/>
    <w:rsid w:val="0004075D"/>
    <w:rsid w:val="0004081C"/>
    <w:rsid w:val="00040F6F"/>
    <w:rsid w:val="000414E3"/>
    <w:rsid w:val="00041D60"/>
    <w:rsid w:val="0004214F"/>
    <w:rsid w:val="0004249A"/>
    <w:rsid w:val="00042A84"/>
    <w:rsid w:val="00042B87"/>
    <w:rsid w:val="00043EF3"/>
    <w:rsid w:val="000444C8"/>
    <w:rsid w:val="00044567"/>
    <w:rsid w:val="000476F2"/>
    <w:rsid w:val="00047B3B"/>
    <w:rsid w:val="00047BE6"/>
    <w:rsid w:val="00050A99"/>
    <w:rsid w:val="00050ED1"/>
    <w:rsid w:val="000522BC"/>
    <w:rsid w:val="00052FCD"/>
    <w:rsid w:val="00053952"/>
    <w:rsid w:val="000541D1"/>
    <w:rsid w:val="00054220"/>
    <w:rsid w:val="000547A5"/>
    <w:rsid w:val="00055226"/>
    <w:rsid w:val="00057D9A"/>
    <w:rsid w:val="00060512"/>
    <w:rsid w:val="00061170"/>
    <w:rsid w:val="00062C29"/>
    <w:rsid w:val="00062DCB"/>
    <w:rsid w:val="000632D2"/>
    <w:rsid w:val="00064485"/>
    <w:rsid w:val="0006478B"/>
    <w:rsid w:val="00064B37"/>
    <w:rsid w:val="00064CB6"/>
    <w:rsid w:val="000664CF"/>
    <w:rsid w:val="00067628"/>
    <w:rsid w:val="00070E57"/>
    <w:rsid w:val="000721EE"/>
    <w:rsid w:val="0007257B"/>
    <w:rsid w:val="0007269F"/>
    <w:rsid w:val="00073DF9"/>
    <w:rsid w:val="00073EFD"/>
    <w:rsid w:val="00074B56"/>
    <w:rsid w:val="000753F4"/>
    <w:rsid w:val="00075E56"/>
    <w:rsid w:val="00076718"/>
    <w:rsid w:val="00076A9B"/>
    <w:rsid w:val="00076E00"/>
    <w:rsid w:val="000807E4"/>
    <w:rsid w:val="0008143A"/>
    <w:rsid w:val="00082DBD"/>
    <w:rsid w:val="00083243"/>
    <w:rsid w:val="00083A42"/>
    <w:rsid w:val="00083DF7"/>
    <w:rsid w:val="0008439A"/>
    <w:rsid w:val="00084AE9"/>
    <w:rsid w:val="00085130"/>
    <w:rsid w:val="000852BE"/>
    <w:rsid w:val="00085443"/>
    <w:rsid w:val="00085EA4"/>
    <w:rsid w:val="000860BD"/>
    <w:rsid w:val="000869E4"/>
    <w:rsid w:val="000879A3"/>
    <w:rsid w:val="00091245"/>
    <w:rsid w:val="00091D73"/>
    <w:rsid w:val="0009359F"/>
    <w:rsid w:val="000944EA"/>
    <w:rsid w:val="00094679"/>
    <w:rsid w:val="00095128"/>
    <w:rsid w:val="00095473"/>
    <w:rsid w:val="00096014"/>
    <w:rsid w:val="00097594"/>
    <w:rsid w:val="000A00E4"/>
    <w:rsid w:val="000A021B"/>
    <w:rsid w:val="000A0903"/>
    <w:rsid w:val="000A0AC8"/>
    <w:rsid w:val="000A0D54"/>
    <w:rsid w:val="000A1200"/>
    <w:rsid w:val="000A1C9D"/>
    <w:rsid w:val="000A208B"/>
    <w:rsid w:val="000A2EBC"/>
    <w:rsid w:val="000A36C7"/>
    <w:rsid w:val="000A6201"/>
    <w:rsid w:val="000A72BC"/>
    <w:rsid w:val="000A766E"/>
    <w:rsid w:val="000A77A9"/>
    <w:rsid w:val="000B03A2"/>
    <w:rsid w:val="000B0AF7"/>
    <w:rsid w:val="000B2226"/>
    <w:rsid w:val="000B325E"/>
    <w:rsid w:val="000B4252"/>
    <w:rsid w:val="000B43D9"/>
    <w:rsid w:val="000B459A"/>
    <w:rsid w:val="000B4A6D"/>
    <w:rsid w:val="000B5B8B"/>
    <w:rsid w:val="000B5BD9"/>
    <w:rsid w:val="000B5E88"/>
    <w:rsid w:val="000B60BD"/>
    <w:rsid w:val="000B69E2"/>
    <w:rsid w:val="000B6DF8"/>
    <w:rsid w:val="000B6F6F"/>
    <w:rsid w:val="000B737A"/>
    <w:rsid w:val="000B7692"/>
    <w:rsid w:val="000B7862"/>
    <w:rsid w:val="000B7A36"/>
    <w:rsid w:val="000C30F1"/>
    <w:rsid w:val="000C3721"/>
    <w:rsid w:val="000C40BC"/>
    <w:rsid w:val="000C4669"/>
    <w:rsid w:val="000C47EF"/>
    <w:rsid w:val="000C53B0"/>
    <w:rsid w:val="000C57FB"/>
    <w:rsid w:val="000C5A4F"/>
    <w:rsid w:val="000C5DAA"/>
    <w:rsid w:val="000C5EA7"/>
    <w:rsid w:val="000C5F2E"/>
    <w:rsid w:val="000C6A54"/>
    <w:rsid w:val="000C6A7D"/>
    <w:rsid w:val="000C767C"/>
    <w:rsid w:val="000C77C2"/>
    <w:rsid w:val="000C7C28"/>
    <w:rsid w:val="000D044E"/>
    <w:rsid w:val="000D09DB"/>
    <w:rsid w:val="000D0A38"/>
    <w:rsid w:val="000D1A44"/>
    <w:rsid w:val="000D23ED"/>
    <w:rsid w:val="000D29D7"/>
    <w:rsid w:val="000D3683"/>
    <w:rsid w:val="000D4A99"/>
    <w:rsid w:val="000D4C91"/>
    <w:rsid w:val="000D52A8"/>
    <w:rsid w:val="000D52E1"/>
    <w:rsid w:val="000D5AF2"/>
    <w:rsid w:val="000D7712"/>
    <w:rsid w:val="000D77AD"/>
    <w:rsid w:val="000D7A45"/>
    <w:rsid w:val="000D7CC8"/>
    <w:rsid w:val="000E08F0"/>
    <w:rsid w:val="000E1855"/>
    <w:rsid w:val="000E28F8"/>
    <w:rsid w:val="000E292A"/>
    <w:rsid w:val="000E315B"/>
    <w:rsid w:val="000E3261"/>
    <w:rsid w:val="000E34A7"/>
    <w:rsid w:val="000E3A14"/>
    <w:rsid w:val="000E5AAD"/>
    <w:rsid w:val="000E5C9D"/>
    <w:rsid w:val="000E60F0"/>
    <w:rsid w:val="000E6D13"/>
    <w:rsid w:val="000E6EDB"/>
    <w:rsid w:val="000E74BF"/>
    <w:rsid w:val="000F1279"/>
    <w:rsid w:val="000F2565"/>
    <w:rsid w:val="000F4579"/>
    <w:rsid w:val="000F460F"/>
    <w:rsid w:val="000F6B6B"/>
    <w:rsid w:val="00100563"/>
    <w:rsid w:val="001016CA"/>
    <w:rsid w:val="001025D0"/>
    <w:rsid w:val="001027D6"/>
    <w:rsid w:val="0010282A"/>
    <w:rsid w:val="001033BF"/>
    <w:rsid w:val="001054B5"/>
    <w:rsid w:val="001055B1"/>
    <w:rsid w:val="00106E22"/>
    <w:rsid w:val="001074B1"/>
    <w:rsid w:val="001074FA"/>
    <w:rsid w:val="00107F04"/>
    <w:rsid w:val="00111762"/>
    <w:rsid w:val="00112610"/>
    <w:rsid w:val="00112949"/>
    <w:rsid w:val="0011480A"/>
    <w:rsid w:val="00114DA6"/>
    <w:rsid w:val="00114F8F"/>
    <w:rsid w:val="0011504E"/>
    <w:rsid w:val="0011524A"/>
    <w:rsid w:val="00115704"/>
    <w:rsid w:val="001174E7"/>
    <w:rsid w:val="00122D79"/>
    <w:rsid w:val="00123132"/>
    <w:rsid w:val="00125181"/>
    <w:rsid w:val="00125503"/>
    <w:rsid w:val="00125740"/>
    <w:rsid w:val="00130218"/>
    <w:rsid w:val="001302D2"/>
    <w:rsid w:val="001315C3"/>
    <w:rsid w:val="001327A1"/>
    <w:rsid w:val="00132824"/>
    <w:rsid w:val="00133232"/>
    <w:rsid w:val="00133EF6"/>
    <w:rsid w:val="001341E6"/>
    <w:rsid w:val="0013435F"/>
    <w:rsid w:val="001355CD"/>
    <w:rsid w:val="00136855"/>
    <w:rsid w:val="001371D5"/>
    <w:rsid w:val="001414C1"/>
    <w:rsid w:val="00141857"/>
    <w:rsid w:val="00141D35"/>
    <w:rsid w:val="00142346"/>
    <w:rsid w:val="001423D7"/>
    <w:rsid w:val="0014244D"/>
    <w:rsid w:val="001424E3"/>
    <w:rsid w:val="00142D50"/>
    <w:rsid w:val="00143CFF"/>
    <w:rsid w:val="00143F9F"/>
    <w:rsid w:val="001446AE"/>
    <w:rsid w:val="00144A57"/>
    <w:rsid w:val="0014501F"/>
    <w:rsid w:val="0014519B"/>
    <w:rsid w:val="001461CA"/>
    <w:rsid w:val="00147363"/>
    <w:rsid w:val="00147CA5"/>
    <w:rsid w:val="0015003A"/>
    <w:rsid w:val="00151FF6"/>
    <w:rsid w:val="00152992"/>
    <w:rsid w:val="001531E1"/>
    <w:rsid w:val="00153B9C"/>
    <w:rsid w:val="00153CFF"/>
    <w:rsid w:val="001545F8"/>
    <w:rsid w:val="00154688"/>
    <w:rsid w:val="00157BBF"/>
    <w:rsid w:val="00160814"/>
    <w:rsid w:val="00160A85"/>
    <w:rsid w:val="00161A04"/>
    <w:rsid w:val="00163066"/>
    <w:rsid w:val="00164348"/>
    <w:rsid w:val="00164E3C"/>
    <w:rsid w:val="00165120"/>
    <w:rsid w:val="00166B98"/>
    <w:rsid w:val="0016749A"/>
    <w:rsid w:val="00167DEA"/>
    <w:rsid w:val="00172000"/>
    <w:rsid w:val="0017214A"/>
    <w:rsid w:val="0017406E"/>
    <w:rsid w:val="00174207"/>
    <w:rsid w:val="001743A5"/>
    <w:rsid w:val="00174B02"/>
    <w:rsid w:val="001769A8"/>
    <w:rsid w:val="00176D6D"/>
    <w:rsid w:val="001770A5"/>
    <w:rsid w:val="0017715E"/>
    <w:rsid w:val="001801D8"/>
    <w:rsid w:val="00180BCD"/>
    <w:rsid w:val="00181E16"/>
    <w:rsid w:val="001823DA"/>
    <w:rsid w:val="00182A99"/>
    <w:rsid w:val="00182C5A"/>
    <w:rsid w:val="00185604"/>
    <w:rsid w:val="001864C6"/>
    <w:rsid w:val="00187276"/>
    <w:rsid w:val="00187B7C"/>
    <w:rsid w:val="00191275"/>
    <w:rsid w:val="00192F84"/>
    <w:rsid w:val="0019322D"/>
    <w:rsid w:val="001934D6"/>
    <w:rsid w:val="0019483E"/>
    <w:rsid w:val="00194959"/>
    <w:rsid w:val="00195075"/>
    <w:rsid w:val="001951EC"/>
    <w:rsid w:val="00195421"/>
    <w:rsid w:val="00195867"/>
    <w:rsid w:val="00195AC3"/>
    <w:rsid w:val="001968C8"/>
    <w:rsid w:val="00196B0C"/>
    <w:rsid w:val="00197779"/>
    <w:rsid w:val="001A0105"/>
    <w:rsid w:val="001A083D"/>
    <w:rsid w:val="001A10E0"/>
    <w:rsid w:val="001A19AA"/>
    <w:rsid w:val="001A25B4"/>
    <w:rsid w:val="001A2822"/>
    <w:rsid w:val="001A2D00"/>
    <w:rsid w:val="001A2E21"/>
    <w:rsid w:val="001A2EB8"/>
    <w:rsid w:val="001A33BF"/>
    <w:rsid w:val="001A6787"/>
    <w:rsid w:val="001A6BEA"/>
    <w:rsid w:val="001B5B01"/>
    <w:rsid w:val="001B761A"/>
    <w:rsid w:val="001B7DA8"/>
    <w:rsid w:val="001C031D"/>
    <w:rsid w:val="001C0B11"/>
    <w:rsid w:val="001C12B1"/>
    <w:rsid w:val="001C1C42"/>
    <w:rsid w:val="001C2BD8"/>
    <w:rsid w:val="001C2F6B"/>
    <w:rsid w:val="001C3229"/>
    <w:rsid w:val="001C5D05"/>
    <w:rsid w:val="001C6A7E"/>
    <w:rsid w:val="001C6B0E"/>
    <w:rsid w:val="001C6C8C"/>
    <w:rsid w:val="001D1802"/>
    <w:rsid w:val="001D2174"/>
    <w:rsid w:val="001D21A7"/>
    <w:rsid w:val="001D3D63"/>
    <w:rsid w:val="001D4825"/>
    <w:rsid w:val="001D4E1D"/>
    <w:rsid w:val="001D5342"/>
    <w:rsid w:val="001D5AC0"/>
    <w:rsid w:val="001D5EED"/>
    <w:rsid w:val="001D6379"/>
    <w:rsid w:val="001D6FCA"/>
    <w:rsid w:val="001D7A31"/>
    <w:rsid w:val="001D7CB8"/>
    <w:rsid w:val="001E0215"/>
    <w:rsid w:val="001E0B3C"/>
    <w:rsid w:val="001E1228"/>
    <w:rsid w:val="001E1790"/>
    <w:rsid w:val="001E2271"/>
    <w:rsid w:val="001E2482"/>
    <w:rsid w:val="001E42DE"/>
    <w:rsid w:val="001E4BC5"/>
    <w:rsid w:val="001E5817"/>
    <w:rsid w:val="001E6D75"/>
    <w:rsid w:val="001E766F"/>
    <w:rsid w:val="001E7F91"/>
    <w:rsid w:val="001F1A0A"/>
    <w:rsid w:val="001F1A1F"/>
    <w:rsid w:val="001F1DCF"/>
    <w:rsid w:val="001F25F6"/>
    <w:rsid w:val="001F27A4"/>
    <w:rsid w:val="001F3AA5"/>
    <w:rsid w:val="001F3B6E"/>
    <w:rsid w:val="001F422D"/>
    <w:rsid w:val="001F42BD"/>
    <w:rsid w:val="001F4A9D"/>
    <w:rsid w:val="001F51B0"/>
    <w:rsid w:val="001F5503"/>
    <w:rsid w:val="001F5570"/>
    <w:rsid w:val="001F5AF6"/>
    <w:rsid w:val="001F6F77"/>
    <w:rsid w:val="001F745B"/>
    <w:rsid w:val="002004C5"/>
    <w:rsid w:val="00200AEF"/>
    <w:rsid w:val="00200B27"/>
    <w:rsid w:val="00200F4F"/>
    <w:rsid w:val="0020133E"/>
    <w:rsid w:val="00203DF1"/>
    <w:rsid w:val="00203E7D"/>
    <w:rsid w:val="002046D3"/>
    <w:rsid w:val="00204823"/>
    <w:rsid w:val="0020507D"/>
    <w:rsid w:val="002055C5"/>
    <w:rsid w:val="00205A4F"/>
    <w:rsid w:val="00205FC4"/>
    <w:rsid w:val="00207035"/>
    <w:rsid w:val="00207158"/>
    <w:rsid w:val="00210DBD"/>
    <w:rsid w:val="00212445"/>
    <w:rsid w:val="002130F6"/>
    <w:rsid w:val="00214732"/>
    <w:rsid w:val="0021477B"/>
    <w:rsid w:val="00216036"/>
    <w:rsid w:val="0021773C"/>
    <w:rsid w:val="00220597"/>
    <w:rsid w:val="002211AA"/>
    <w:rsid w:val="00221347"/>
    <w:rsid w:val="002223F5"/>
    <w:rsid w:val="002230C7"/>
    <w:rsid w:val="00223C07"/>
    <w:rsid w:val="00223F79"/>
    <w:rsid w:val="002255C9"/>
    <w:rsid w:val="002265F5"/>
    <w:rsid w:val="00226AB6"/>
    <w:rsid w:val="0023168F"/>
    <w:rsid w:val="00231F19"/>
    <w:rsid w:val="0023253E"/>
    <w:rsid w:val="00232FB9"/>
    <w:rsid w:val="00232FE0"/>
    <w:rsid w:val="002340EC"/>
    <w:rsid w:val="002343B8"/>
    <w:rsid w:val="0023489F"/>
    <w:rsid w:val="00234FAB"/>
    <w:rsid w:val="0023661F"/>
    <w:rsid w:val="00236875"/>
    <w:rsid w:val="002374BA"/>
    <w:rsid w:val="00240DA9"/>
    <w:rsid w:val="002419F1"/>
    <w:rsid w:val="00242161"/>
    <w:rsid w:val="002424BE"/>
    <w:rsid w:val="00242635"/>
    <w:rsid w:val="00242E14"/>
    <w:rsid w:val="002433D4"/>
    <w:rsid w:val="002439BE"/>
    <w:rsid w:val="00243CB1"/>
    <w:rsid w:val="00244827"/>
    <w:rsid w:val="002448BD"/>
    <w:rsid w:val="002448E8"/>
    <w:rsid w:val="00245597"/>
    <w:rsid w:val="00245CEC"/>
    <w:rsid w:val="00247AF2"/>
    <w:rsid w:val="002501B0"/>
    <w:rsid w:val="0025079B"/>
    <w:rsid w:val="00250862"/>
    <w:rsid w:val="00250EA8"/>
    <w:rsid w:val="00250FB8"/>
    <w:rsid w:val="00251A38"/>
    <w:rsid w:val="0025314C"/>
    <w:rsid w:val="00253F3E"/>
    <w:rsid w:val="00254A9A"/>
    <w:rsid w:val="00254B13"/>
    <w:rsid w:val="00255218"/>
    <w:rsid w:val="00255B88"/>
    <w:rsid w:val="00256552"/>
    <w:rsid w:val="002566D0"/>
    <w:rsid w:val="00256993"/>
    <w:rsid w:val="00260406"/>
    <w:rsid w:val="00260CDD"/>
    <w:rsid w:val="00261573"/>
    <w:rsid w:val="00261CFF"/>
    <w:rsid w:val="00261F5E"/>
    <w:rsid w:val="002631DD"/>
    <w:rsid w:val="002645B3"/>
    <w:rsid w:val="00265626"/>
    <w:rsid w:val="00265D5D"/>
    <w:rsid w:val="00265EE5"/>
    <w:rsid w:val="002702C6"/>
    <w:rsid w:val="0027109E"/>
    <w:rsid w:val="002713B7"/>
    <w:rsid w:val="002717C6"/>
    <w:rsid w:val="002743E5"/>
    <w:rsid w:val="0027554F"/>
    <w:rsid w:val="00275737"/>
    <w:rsid w:val="002762AB"/>
    <w:rsid w:val="002766E4"/>
    <w:rsid w:val="002775BC"/>
    <w:rsid w:val="0028088E"/>
    <w:rsid w:val="00280A99"/>
    <w:rsid w:val="00282C0B"/>
    <w:rsid w:val="0028307B"/>
    <w:rsid w:val="00283646"/>
    <w:rsid w:val="0028430C"/>
    <w:rsid w:val="00285566"/>
    <w:rsid w:val="00286002"/>
    <w:rsid w:val="00286162"/>
    <w:rsid w:val="0028745B"/>
    <w:rsid w:val="00287A4E"/>
    <w:rsid w:val="00287D88"/>
    <w:rsid w:val="002906AB"/>
    <w:rsid w:val="00290A21"/>
    <w:rsid w:val="00290C82"/>
    <w:rsid w:val="002916C6"/>
    <w:rsid w:val="00292395"/>
    <w:rsid w:val="002940CF"/>
    <w:rsid w:val="0029412E"/>
    <w:rsid w:val="00294431"/>
    <w:rsid w:val="002946CA"/>
    <w:rsid w:val="00296129"/>
    <w:rsid w:val="002967B3"/>
    <w:rsid w:val="0029690F"/>
    <w:rsid w:val="00296C1B"/>
    <w:rsid w:val="002973B2"/>
    <w:rsid w:val="002A1A19"/>
    <w:rsid w:val="002A22D0"/>
    <w:rsid w:val="002A2D21"/>
    <w:rsid w:val="002A356B"/>
    <w:rsid w:val="002A3676"/>
    <w:rsid w:val="002A3C2E"/>
    <w:rsid w:val="002A4406"/>
    <w:rsid w:val="002A4477"/>
    <w:rsid w:val="002A51F5"/>
    <w:rsid w:val="002A7F6D"/>
    <w:rsid w:val="002B1063"/>
    <w:rsid w:val="002B1481"/>
    <w:rsid w:val="002B1EF6"/>
    <w:rsid w:val="002B1F94"/>
    <w:rsid w:val="002B2212"/>
    <w:rsid w:val="002B2B38"/>
    <w:rsid w:val="002B2BE5"/>
    <w:rsid w:val="002B3197"/>
    <w:rsid w:val="002B3833"/>
    <w:rsid w:val="002B3A22"/>
    <w:rsid w:val="002B55F7"/>
    <w:rsid w:val="002B58AE"/>
    <w:rsid w:val="002B61E7"/>
    <w:rsid w:val="002B6A0D"/>
    <w:rsid w:val="002C007E"/>
    <w:rsid w:val="002C09CF"/>
    <w:rsid w:val="002C2404"/>
    <w:rsid w:val="002C24EE"/>
    <w:rsid w:val="002C3535"/>
    <w:rsid w:val="002C383F"/>
    <w:rsid w:val="002C4957"/>
    <w:rsid w:val="002C5717"/>
    <w:rsid w:val="002C6CD6"/>
    <w:rsid w:val="002D1212"/>
    <w:rsid w:val="002D1AB1"/>
    <w:rsid w:val="002D1FC2"/>
    <w:rsid w:val="002D485C"/>
    <w:rsid w:val="002D58D6"/>
    <w:rsid w:val="002D706E"/>
    <w:rsid w:val="002D731B"/>
    <w:rsid w:val="002D7486"/>
    <w:rsid w:val="002D7E71"/>
    <w:rsid w:val="002E00B6"/>
    <w:rsid w:val="002E3101"/>
    <w:rsid w:val="002E3177"/>
    <w:rsid w:val="002E57F8"/>
    <w:rsid w:val="002E58A3"/>
    <w:rsid w:val="002E6E09"/>
    <w:rsid w:val="002E7EB6"/>
    <w:rsid w:val="002F00C8"/>
    <w:rsid w:val="002F00D2"/>
    <w:rsid w:val="002F0B98"/>
    <w:rsid w:val="002F0D4A"/>
    <w:rsid w:val="002F0D6D"/>
    <w:rsid w:val="002F0ECF"/>
    <w:rsid w:val="002F0EDC"/>
    <w:rsid w:val="002F32B8"/>
    <w:rsid w:val="002F347A"/>
    <w:rsid w:val="002F49F4"/>
    <w:rsid w:val="002F5AAE"/>
    <w:rsid w:val="002F5D99"/>
    <w:rsid w:val="002F6F2D"/>
    <w:rsid w:val="00300667"/>
    <w:rsid w:val="00300F3F"/>
    <w:rsid w:val="00301433"/>
    <w:rsid w:val="00302312"/>
    <w:rsid w:val="00302710"/>
    <w:rsid w:val="00302A21"/>
    <w:rsid w:val="00303EA8"/>
    <w:rsid w:val="00304E4B"/>
    <w:rsid w:val="00305A99"/>
    <w:rsid w:val="00306594"/>
    <w:rsid w:val="003068B6"/>
    <w:rsid w:val="0030697E"/>
    <w:rsid w:val="00306F8B"/>
    <w:rsid w:val="00307CB9"/>
    <w:rsid w:val="00311319"/>
    <w:rsid w:val="00311822"/>
    <w:rsid w:val="00311883"/>
    <w:rsid w:val="00311AC3"/>
    <w:rsid w:val="00311C35"/>
    <w:rsid w:val="003127C0"/>
    <w:rsid w:val="00312C88"/>
    <w:rsid w:val="0031373C"/>
    <w:rsid w:val="00313AAA"/>
    <w:rsid w:val="00314015"/>
    <w:rsid w:val="00314438"/>
    <w:rsid w:val="00316558"/>
    <w:rsid w:val="00316C2E"/>
    <w:rsid w:val="003173F7"/>
    <w:rsid w:val="00317EC5"/>
    <w:rsid w:val="0032016B"/>
    <w:rsid w:val="0032102F"/>
    <w:rsid w:val="00321FCE"/>
    <w:rsid w:val="00322C3C"/>
    <w:rsid w:val="00322EFE"/>
    <w:rsid w:val="003232B5"/>
    <w:rsid w:val="0032487D"/>
    <w:rsid w:val="003248EF"/>
    <w:rsid w:val="00324CA1"/>
    <w:rsid w:val="00326372"/>
    <w:rsid w:val="003265F9"/>
    <w:rsid w:val="003266B7"/>
    <w:rsid w:val="0032688A"/>
    <w:rsid w:val="00326A9D"/>
    <w:rsid w:val="00326DAF"/>
    <w:rsid w:val="00326EF6"/>
    <w:rsid w:val="00327305"/>
    <w:rsid w:val="003303DC"/>
    <w:rsid w:val="00330AB2"/>
    <w:rsid w:val="00330EF5"/>
    <w:rsid w:val="003312CC"/>
    <w:rsid w:val="00331562"/>
    <w:rsid w:val="0033173A"/>
    <w:rsid w:val="00332148"/>
    <w:rsid w:val="0033294B"/>
    <w:rsid w:val="00332A30"/>
    <w:rsid w:val="00332CDE"/>
    <w:rsid w:val="00332DB0"/>
    <w:rsid w:val="00334247"/>
    <w:rsid w:val="0033466C"/>
    <w:rsid w:val="003354B6"/>
    <w:rsid w:val="00335924"/>
    <w:rsid w:val="00335ADD"/>
    <w:rsid w:val="00335F27"/>
    <w:rsid w:val="003361AF"/>
    <w:rsid w:val="00336EC9"/>
    <w:rsid w:val="00340121"/>
    <w:rsid w:val="00340BA8"/>
    <w:rsid w:val="00342EAE"/>
    <w:rsid w:val="003434F2"/>
    <w:rsid w:val="0034351A"/>
    <w:rsid w:val="00343DA0"/>
    <w:rsid w:val="00344358"/>
    <w:rsid w:val="00344658"/>
    <w:rsid w:val="00345863"/>
    <w:rsid w:val="00345ED0"/>
    <w:rsid w:val="00346091"/>
    <w:rsid w:val="003468AD"/>
    <w:rsid w:val="00347AD4"/>
    <w:rsid w:val="00347B56"/>
    <w:rsid w:val="00350BA2"/>
    <w:rsid w:val="00351280"/>
    <w:rsid w:val="0035227F"/>
    <w:rsid w:val="00352CEA"/>
    <w:rsid w:val="00354234"/>
    <w:rsid w:val="0035426F"/>
    <w:rsid w:val="003542D0"/>
    <w:rsid w:val="00354474"/>
    <w:rsid w:val="0035490D"/>
    <w:rsid w:val="003549A0"/>
    <w:rsid w:val="00354B7A"/>
    <w:rsid w:val="00355DBE"/>
    <w:rsid w:val="003566D0"/>
    <w:rsid w:val="00356B63"/>
    <w:rsid w:val="003573B9"/>
    <w:rsid w:val="00357A27"/>
    <w:rsid w:val="00357C88"/>
    <w:rsid w:val="00362131"/>
    <w:rsid w:val="00362251"/>
    <w:rsid w:val="0036347A"/>
    <w:rsid w:val="00364206"/>
    <w:rsid w:val="0036525A"/>
    <w:rsid w:val="003652C9"/>
    <w:rsid w:val="00365D4A"/>
    <w:rsid w:val="003672BC"/>
    <w:rsid w:val="00370982"/>
    <w:rsid w:val="00370BEC"/>
    <w:rsid w:val="00370EF4"/>
    <w:rsid w:val="00372DBE"/>
    <w:rsid w:val="00372E34"/>
    <w:rsid w:val="00372E6A"/>
    <w:rsid w:val="00373961"/>
    <w:rsid w:val="003744B1"/>
    <w:rsid w:val="00374FB0"/>
    <w:rsid w:val="003765A6"/>
    <w:rsid w:val="00376A8B"/>
    <w:rsid w:val="003776E2"/>
    <w:rsid w:val="0038050F"/>
    <w:rsid w:val="00381938"/>
    <w:rsid w:val="00382768"/>
    <w:rsid w:val="00382AB8"/>
    <w:rsid w:val="00382D7E"/>
    <w:rsid w:val="00383939"/>
    <w:rsid w:val="00383FF2"/>
    <w:rsid w:val="0038524B"/>
    <w:rsid w:val="00386DDB"/>
    <w:rsid w:val="00387AB3"/>
    <w:rsid w:val="00387B48"/>
    <w:rsid w:val="003902DA"/>
    <w:rsid w:val="0039077D"/>
    <w:rsid w:val="003908B7"/>
    <w:rsid w:val="00391126"/>
    <w:rsid w:val="00391869"/>
    <w:rsid w:val="003927B5"/>
    <w:rsid w:val="00392BA8"/>
    <w:rsid w:val="00392C16"/>
    <w:rsid w:val="00393426"/>
    <w:rsid w:val="00394146"/>
    <w:rsid w:val="00394C60"/>
    <w:rsid w:val="00395C7B"/>
    <w:rsid w:val="00396B77"/>
    <w:rsid w:val="0039713A"/>
    <w:rsid w:val="00397245"/>
    <w:rsid w:val="00397498"/>
    <w:rsid w:val="003A02E2"/>
    <w:rsid w:val="003A0AB1"/>
    <w:rsid w:val="003A113B"/>
    <w:rsid w:val="003A1880"/>
    <w:rsid w:val="003A2C8E"/>
    <w:rsid w:val="003A2EB6"/>
    <w:rsid w:val="003A47BD"/>
    <w:rsid w:val="003A4936"/>
    <w:rsid w:val="003A4E84"/>
    <w:rsid w:val="003A5C58"/>
    <w:rsid w:val="003A63EE"/>
    <w:rsid w:val="003A6DDB"/>
    <w:rsid w:val="003A72B0"/>
    <w:rsid w:val="003B09A2"/>
    <w:rsid w:val="003B16FC"/>
    <w:rsid w:val="003B1C2D"/>
    <w:rsid w:val="003B1C70"/>
    <w:rsid w:val="003B4825"/>
    <w:rsid w:val="003B5B1B"/>
    <w:rsid w:val="003B756D"/>
    <w:rsid w:val="003C0B0C"/>
    <w:rsid w:val="003C0B5E"/>
    <w:rsid w:val="003C0E63"/>
    <w:rsid w:val="003C1016"/>
    <w:rsid w:val="003C1BD2"/>
    <w:rsid w:val="003C2CD1"/>
    <w:rsid w:val="003C30A3"/>
    <w:rsid w:val="003C3ABE"/>
    <w:rsid w:val="003C3CB9"/>
    <w:rsid w:val="003C525D"/>
    <w:rsid w:val="003C54AF"/>
    <w:rsid w:val="003C5D38"/>
    <w:rsid w:val="003C7E15"/>
    <w:rsid w:val="003C7F30"/>
    <w:rsid w:val="003D01FB"/>
    <w:rsid w:val="003D2576"/>
    <w:rsid w:val="003D2EBA"/>
    <w:rsid w:val="003D2FD1"/>
    <w:rsid w:val="003D318B"/>
    <w:rsid w:val="003D5746"/>
    <w:rsid w:val="003D5D7B"/>
    <w:rsid w:val="003D5DF4"/>
    <w:rsid w:val="003D6C2D"/>
    <w:rsid w:val="003D73F3"/>
    <w:rsid w:val="003D799D"/>
    <w:rsid w:val="003D7B48"/>
    <w:rsid w:val="003E0431"/>
    <w:rsid w:val="003E0A49"/>
    <w:rsid w:val="003E1205"/>
    <w:rsid w:val="003E2170"/>
    <w:rsid w:val="003E2E25"/>
    <w:rsid w:val="003E3886"/>
    <w:rsid w:val="003E55D1"/>
    <w:rsid w:val="003E561A"/>
    <w:rsid w:val="003E6B99"/>
    <w:rsid w:val="003E6D31"/>
    <w:rsid w:val="003E75A8"/>
    <w:rsid w:val="003F0AED"/>
    <w:rsid w:val="003F158B"/>
    <w:rsid w:val="003F3E20"/>
    <w:rsid w:val="003F3FED"/>
    <w:rsid w:val="003F50F3"/>
    <w:rsid w:val="003F5A47"/>
    <w:rsid w:val="003F5B66"/>
    <w:rsid w:val="003F5E03"/>
    <w:rsid w:val="003F614B"/>
    <w:rsid w:val="003F62E3"/>
    <w:rsid w:val="003F6971"/>
    <w:rsid w:val="003F7642"/>
    <w:rsid w:val="00400BEA"/>
    <w:rsid w:val="00400E4F"/>
    <w:rsid w:val="0040204B"/>
    <w:rsid w:val="00402FD9"/>
    <w:rsid w:val="004034BF"/>
    <w:rsid w:val="00403869"/>
    <w:rsid w:val="00404A0A"/>
    <w:rsid w:val="00405F8B"/>
    <w:rsid w:val="00405FDE"/>
    <w:rsid w:val="00407355"/>
    <w:rsid w:val="004076A5"/>
    <w:rsid w:val="004100D8"/>
    <w:rsid w:val="004102FC"/>
    <w:rsid w:val="00413827"/>
    <w:rsid w:val="00413FE2"/>
    <w:rsid w:val="00414015"/>
    <w:rsid w:val="00414816"/>
    <w:rsid w:val="00414E8E"/>
    <w:rsid w:val="00414EF7"/>
    <w:rsid w:val="00415342"/>
    <w:rsid w:val="004154B9"/>
    <w:rsid w:val="00415AE5"/>
    <w:rsid w:val="004163D0"/>
    <w:rsid w:val="00416A7A"/>
    <w:rsid w:val="00422048"/>
    <w:rsid w:val="00422842"/>
    <w:rsid w:val="00422C27"/>
    <w:rsid w:val="00422D2E"/>
    <w:rsid w:val="00422E7D"/>
    <w:rsid w:val="0042374C"/>
    <w:rsid w:val="00423CFD"/>
    <w:rsid w:val="00424360"/>
    <w:rsid w:val="00425B54"/>
    <w:rsid w:val="0042775B"/>
    <w:rsid w:val="00427962"/>
    <w:rsid w:val="00430F6F"/>
    <w:rsid w:val="00432DE2"/>
    <w:rsid w:val="0043312B"/>
    <w:rsid w:val="00433AC2"/>
    <w:rsid w:val="00433E5C"/>
    <w:rsid w:val="00434FB4"/>
    <w:rsid w:val="00435766"/>
    <w:rsid w:val="004357CF"/>
    <w:rsid w:val="00436924"/>
    <w:rsid w:val="00436BB3"/>
    <w:rsid w:val="00437413"/>
    <w:rsid w:val="00441CCC"/>
    <w:rsid w:val="004433C0"/>
    <w:rsid w:val="004434C9"/>
    <w:rsid w:val="0044389F"/>
    <w:rsid w:val="00443A61"/>
    <w:rsid w:val="00444689"/>
    <w:rsid w:val="00446053"/>
    <w:rsid w:val="00446530"/>
    <w:rsid w:val="004469EC"/>
    <w:rsid w:val="00447035"/>
    <w:rsid w:val="004474F3"/>
    <w:rsid w:val="0045074B"/>
    <w:rsid w:val="0045081F"/>
    <w:rsid w:val="00451246"/>
    <w:rsid w:val="004514EC"/>
    <w:rsid w:val="004519B8"/>
    <w:rsid w:val="004522DA"/>
    <w:rsid w:val="00452437"/>
    <w:rsid w:val="00452811"/>
    <w:rsid w:val="00452F0D"/>
    <w:rsid w:val="00453597"/>
    <w:rsid w:val="0045376F"/>
    <w:rsid w:val="00454740"/>
    <w:rsid w:val="00454E38"/>
    <w:rsid w:val="00455129"/>
    <w:rsid w:val="004555B0"/>
    <w:rsid w:val="0045712A"/>
    <w:rsid w:val="0045760F"/>
    <w:rsid w:val="004577B1"/>
    <w:rsid w:val="0046121A"/>
    <w:rsid w:val="004616E4"/>
    <w:rsid w:val="004618BF"/>
    <w:rsid w:val="00462757"/>
    <w:rsid w:val="00462B07"/>
    <w:rsid w:val="00463BAC"/>
    <w:rsid w:val="004643FF"/>
    <w:rsid w:val="00464E84"/>
    <w:rsid w:val="00466177"/>
    <w:rsid w:val="00467483"/>
    <w:rsid w:val="004674C9"/>
    <w:rsid w:val="00470ACA"/>
    <w:rsid w:val="00470E71"/>
    <w:rsid w:val="0047164F"/>
    <w:rsid w:val="00471C21"/>
    <w:rsid w:val="00471C74"/>
    <w:rsid w:val="004724E3"/>
    <w:rsid w:val="004724E8"/>
    <w:rsid w:val="00473667"/>
    <w:rsid w:val="00474ABB"/>
    <w:rsid w:val="00475008"/>
    <w:rsid w:val="00476110"/>
    <w:rsid w:val="0047613D"/>
    <w:rsid w:val="00477686"/>
    <w:rsid w:val="00477A64"/>
    <w:rsid w:val="00482746"/>
    <w:rsid w:val="00483257"/>
    <w:rsid w:val="004839D2"/>
    <w:rsid w:val="004842AC"/>
    <w:rsid w:val="00484927"/>
    <w:rsid w:val="004851C8"/>
    <w:rsid w:val="0048583E"/>
    <w:rsid w:val="00485DFF"/>
    <w:rsid w:val="00486315"/>
    <w:rsid w:val="0048660E"/>
    <w:rsid w:val="004900EB"/>
    <w:rsid w:val="00490542"/>
    <w:rsid w:val="0049110A"/>
    <w:rsid w:val="00491661"/>
    <w:rsid w:val="00492C75"/>
    <w:rsid w:val="00492E70"/>
    <w:rsid w:val="004955B0"/>
    <w:rsid w:val="00496867"/>
    <w:rsid w:val="00497648"/>
    <w:rsid w:val="004A023F"/>
    <w:rsid w:val="004A1C7A"/>
    <w:rsid w:val="004A3115"/>
    <w:rsid w:val="004A36DF"/>
    <w:rsid w:val="004A38A0"/>
    <w:rsid w:val="004A4201"/>
    <w:rsid w:val="004A44DC"/>
    <w:rsid w:val="004A4B13"/>
    <w:rsid w:val="004A5586"/>
    <w:rsid w:val="004A57F6"/>
    <w:rsid w:val="004A66C0"/>
    <w:rsid w:val="004B098F"/>
    <w:rsid w:val="004B09CE"/>
    <w:rsid w:val="004B14DA"/>
    <w:rsid w:val="004B1526"/>
    <w:rsid w:val="004B1804"/>
    <w:rsid w:val="004B3A20"/>
    <w:rsid w:val="004B3B0B"/>
    <w:rsid w:val="004B3BF1"/>
    <w:rsid w:val="004B48B8"/>
    <w:rsid w:val="004B4EDF"/>
    <w:rsid w:val="004B5016"/>
    <w:rsid w:val="004B5E87"/>
    <w:rsid w:val="004B5F30"/>
    <w:rsid w:val="004B7283"/>
    <w:rsid w:val="004B74EC"/>
    <w:rsid w:val="004C09C4"/>
    <w:rsid w:val="004C0B52"/>
    <w:rsid w:val="004C11F7"/>
    <w:rsid w:val="004C15D6"/>
    <w:rsid w:val="004C1A02"/>
    <w:rsid w:val="004C1CF7"/>
    <w:rsid w:val="004C1EE0"/>
    <w:rsid w:val="004C262A"/>
    <w:rsid w:val="004C2D87"/>
    <w:rsid w:val="004C3C99"/>
    <w:rsid w:val="004C413B"/>
    <w:rsid w:val="004C431B"/>
    <w:rsid w:val="004C452F"/>
    <w:rsid w:val="004C4723"/>
    <w:rsid w:val="004C50B5"/>
    <w:rsid w:val="004C5759"/>
    <w:rsid w:val="004C5898"/>
    <w:rsid w:val="004C6F1E"/>
    <w:rsid w:val="004C754E"/>
    <w:rsid w:val="004C76C4"/>
    <w:rsid w:val="004C77AC"/>
    <w:rsid w:val="004D03A3"/>
    <w:rsid w:val="004D1C64"/>
    <w:rsid w:val="004D2ABA"/>
    <w:rsid w:val="004D41E3"/>
    <w:rsid w:val="004D424E"/>
    <w:rsid w:val="004D4CD4"/>
    <w:rsid w:val="004D5BE1"/>
    <w:rsid w:val="004D61B9"/>
    <w:rsid w:val="004D626D"/>
    <w:rsid w:val="004D652C"/>
    <w:rsid w:val="004D66C3"/>
    <w:rsid w:val="004D77DE"/>
    <w:rsid w:val="004D7EAA"/>
    <w:rsid w:val="004E0468"/>
    <w:rsid w:val="004E2CA4"/>
    <w:rsid w:val="004E3900"/>
    <w:rsid w:val="004E39AE"/>
    <w:rsid w:val="004E4439"/>
    <w:rsid w:val="004E5400"/>
    <w:rsid w:val="004E654F"/>
    <w:rsid w:val="004E6F32"/>
    <w:rsid w:val="004F1859"/>
    <w:rsid w:val="004F1F83"/>
    <w:rsid w:val="004F31E9"/>
    <w:rsid w:val="004F4843"/>
    <w:rsid w:val="004F4AA2"/>
    <w:rsid w:val="004F55C2"/>
    <w:rsid w:val="004F5F0A"/>
    <w:rsid w:val="004F604E"/>
    <w:rsid w:val="004F6453"/>
    <w:rsid w:val="004F7057"/>
    <w:rsid w:val="004F7258"/>
    <w:rsid w:val="005001F8"/>
    <w:rsid w:val="0050175A"/>
    <w:rsid w:val="00501B6A"/>
    <w:rsid w:val="00502828"/>
    <w:rsid w:val="005030DA"/>
    <w:rsid w:val="00503777"/>
    <w:rsid w:val="00505AD5"/>
    <w:rsid w:val="00505C17"/>
    <w:rsid w:val="00506A39"/>
    <w:rsid w:val="00507579"/>
    <w:rsid w:val="00507742"/>
    <w:rsid w:val="005078E2"/>
    <w:rsid w:val="00507DEE"/>
    <w:rsid w:val="005111E4"/>
    <w:rsid w:val="00512885"/>
    <w:rsid w:val="00513B40"/>
    <w:rsid w:val="00517826"/>
    <w:rsid w:val="00520A51"/>
    <w:rsid w:val="0052112B"/>
    <w:rsid w:val="00521947"/>
    <w:rsid w:val="00521960"/>
    <w:rsid w:val="0052203D"/>
    <w:rsid w:val="00522F42"/>
    <w:rsid w:val="00523A4F"/>
    <w:rsid w:val="00524E6C"/>
    <w:rsid w:val="005250EA"/>
    <w:rsid w:val="00525D89"/>
    <w:rsid w:val="005273C5"/>
    <w:rsid w:val="00527F80"/>
    <w:rsid w:val="005313BC"/>
    <w:rsid w:val="00531D9F"/>
    <w:rsid w:val="0053286E"/>
    <w:rsid w:val="00532F43"/>
    <w:rsid w:val="00533813"/>
    <w:rsid w:val="00533D4B"/>
    <w:rsid w:val="00534B02"/>
    <w:rsid w:val="00534FF2"/>
    <w:rsid w:val="00535D98"/>
    <w:rsid w:val="005361CB"/>
    <w:rsid w:val="0053746F"/>
    <w:rsid w:val="00541275"/>
    <w:rsid w:val="005414F0"/>
    <w:rsid w:val="005426F6"/>
    <w:rsid w:val="00543CEE"/>
    <w:rsid w:val="00543F67"/>
    <w:rsid w:val="00544031"/>
    <w:rsid w:val="005442D8"/>
    <w:rsid w:val="00544E1A"/>
    <w:rsid w:val="00545B93"/>
    <w:rsid w:val="00545EE6"/>
    <w:rsid w:val="00545F7C"/>
    <w:rsid w:val="00546C31"/>
    <w:rsid w:val="00547674"/>
    <w:rsid w:val="0054775F"/>
    <w:rsid w:val="0055092D"/>
    <w:rsid w:val="005513AB"/>
    <w:rsid w:val="0055141C"/>
    <w:rsid w:val="00551F48"/>
    <w:rsid w:val="00552641"/>
    <w:rsid w:val="005547C6"/>
    <w:rsid w:val="00554D2B"/>
    <w:rsid w:val="005556C7"/>
    <w:rsid w:val="00555FD3"/>
    <w:rsid w:val="005571BD"/>
    <w:rsid w:val="0055785D"/>
    <w:rsid w:val="00557CB2"/>
    <w:rsid w:val="00560D6D"/>
    <w:rsid w:val="005610C5"/>
    <w:rsid w:val="005615EB"/>
    <w:rsid w:val="00561802"/>
    <w:rsid w:val="00561BE5"/>
    <w:rsid w:val="00561D19"/>
    <w:rsid w:val="00561D83"/>
    <w:rsid w:val="00561D91"/>
    <w:rsid w:val="00562156"/>
    <w:rsid w:val="00562E45"/>
    <w:rsid w:val="00562F5A"/>
    <w:rsid w:val="0056312B"/>
    <w:rsid w:val="005644C9"/>
    <w:rsid w:val="00564AF4"/>
    <w:rsid w:val="0056598E"/>
    <w:rsid w:val="00565E22"/>
    <w:rsid w:val="00566C75"/>
    <w:rsid w:val="00566E61"/>
    <w:rsid w:val="005705F7"/>
    <w:rsid w:val="00570CBB"/>
    <w:rsid w:val="00571400"/>
    <w:rsid w:val="00572252"/>
    <w:rsid w:val="00573274"/>
    <w:rsid w:val="005735DA"/>
    <w:rsid w:val="0057368A"/>
    <w:rsid w:val="00574C37"/>
    <w:rsid w:val="005755B2"/>
    <w:rsid w:val="005758B4"/>
    <w:rsid w:val="00576B5F"/>
    <w:rsid w:val="00577D13"/>
    <w:rsid w:val="005801DA"/>
    <w:rsid w:val="0058048B"/>
    <w:rsid w:val="00580C28"/>
    <w:rsid w:val="005817AB"/>
    <w:rsid w:val="00582033"/>
    <w:rsid w:val="0058224B"/>
    <w:rsid w:val="0058478B"/>
    <w:rsid w:val="005853DD"/>
    <w:rsid w:val="005860AE"/>
    <w:rsid w:val="00586413"/>
    <w:rsid w:val="00586584"/>
    <w:rsid w:val="00586891"/>
    <w:rsid w:val="0059028A"/>
    <w:rsid w:val="0059080F"/>
    <w:rsid w:val="00591FB2"/>
    <w:rsid w:val="00592F57"/>
    <w:rsid w:val="0059413F"/>
    <w:rsid w:val="00594B1B"/>
    <w:rsid w:val="00594DFC"/>
    <w:rsid w:val="00595146"/>
    <w:rsid w:val="00595554"/>
    <w:rsid w:val="00595E26"/>
    <w:rsid w:val="00596307"/>
    <w:rsid w:val="005A01F7"/>
    <w:rsid w:val="005A088B"/>
    <w:rsid w:val="005A3F4E"/>
    <w:rsid w:val="005A444E"/>
    <w:rsid w:val="005A4985"/>
    <w:rsid w:val="005A5E2E"/>
    <w:rsid w:val="005A5E91"/>
    <w:rsid w:val="005A65AE"/>
    <w:rsid w:val="005A66D6"/>
    <w:rsid w:val="005A6A32"/>
    <w:rsid w:val="005A6F3F"/>
    <w:rsid w:val="005A70B0"/>
    <w:rsid w:val="005B01F5"/>
    <w:rsid w:val="005B0384"/>
    <w:rsid w:val="005B07A5"/>
    <w:rsid w:val="005B1248"/>
    <w:rsid w:val="005B1766"/>
    <w:rsid w:val="005B211D"/>
    <w:rsid w:val="005B261C"/>
    <w:rsid w:val="005B2DCE"/>
    <w:rsid w:val="005B34CC"/>
    <w:rsid w:val="005B3FBA"/>
    <w:rsid w:val="005B4B1D"/>
    <w:rsid w:val="005B662A"/>
    <w:rsid w:val="005B6D2F"/>
    <w:rsid w:val="005B7C96"/>
    <w:rsid w:val="005C0045"/>
    <w:rsid w:val="005C0B7F"/>
    <w:rsid w:val="005C169E"/>
    <w:rsid w:val="005C1C7F"/>
    <w:rsid w:val="005C2021"/>
    <w:rsid w:val="005C32C2"/>
    <w:rsid w:val="005C384B"/>
    <w:rsid w:val="005C40FB"/>
    <w:rsid w:val="005C534E"/>
    <w:rsid w:val="005C56CC"/>
    <w:rsid w:val="005C65F5"/>
    <w:rsid w:val="005C6720"/>
    <w:rsid w:val="005C67AC"/>
    <w:rsid w:val="005C7377"/>
    <w:rsid w:val="005C76EF"/>
    <w:rsid w:val="005C7A90"/>
    <w:rsid w:val="005D041B"/>
    <w:rsid w:val="005D182B"/>
    <w:rsid w:val="005D1F41"/>
    <w:rsid w:val="005D200C"/>
    <w:rsid w:val="005D267A"/>
    <w:rsid w:val="005D31F7"/>
    <w:rsid w:val="005D3681"/>
    <w:rsid w:val="005D3BB0"/>
    <w:rsid w:val="005D4646"/>
    <w:rsid w:val="005D546B"/>
    <w:rsid w:val="005D5CB8"/>
    <w:rsid w:val="005D5CD0"/>
    <w:rsid w:val="005D5F30"/>
    <w:rsid w:val="005D6196"/>
    <w:rsid w:val="005D6FE0"/>
    <w:rsid w:val="005E1BD3"/>
    <w:rsid w:val="005E2170"/>
    <w:rsid w:val="005E25B4"/>
    <w:rsid w:val="005E2A6E"/>
    <w:rsid w:val="005E350D"/>
    <w:rsid w:val="005E369A"/>
    <w:rsid w:val="005E3E8B"/>
    <w:rsid w:val="005E439D"/>
    <w:rsid w:val="005E5E46"/>
    <w:rsid w:val="005E66DB"/>
    <w:rsid w:val="005F07F6"/>
    <w:rsid w:val="005F0903"/>
    <w:rsid w:val="005F18D4"/>
    <w:rsid w:val="005F1D5D"/>
    <w:rsid w:val="005F21CE"/>
    <w:rsid w:val="005F2F9D"/>
    <w:rsid w:val="005F3F13"/>
    <w:rsid w:val="005F4514"/>
    <w:rsid w:val="005F453B"/>
    <w:rsid w:val="005F4EFE"/>
    <w:rsid w:val="005F5E6A"/>
    <w:rsid w:val="005F6AB1"/>
    <w:rsid w:val="005F6B6E"/>
    <w:rsid w:val="005F7971"/>
    <w:rsid w:val="00600190"/>
    <w:rsid w:val="00600567"/>
    <w:rsid w:val="00600C65"/>
    <w:rsid w:val="00601F9E"/>
    <w:rsid w:val="0060283F"/>
    <w:rsid w:val="0060418D"/>
    <w:rsid w:val="00604797"/>
    <w:rsid w:val="00606442"/>
    <w:rsid w:val="00607564"/>
    <w:rsid w:val="00607947"/>
    <w:rsid w:val="006115D4"/>
    <w:rsid w:val="006115FC"/>
    <w:rsid w:val="00612202"/>
    <w:rsid w:val="00612250"/>
    <w:rsid w:val="006122FB"/>
    <w:rsid w:val="00612DCD"/>
    <w:rsid w:val="006145D4"/>
    <w:rsid w:val="00614AA5"/>
    <w:rsid w:val="00614DF5"/>
    <w:rsid w:val="00615568"/>
    <w:rsid w:val="006169B8"/>
    <w:rsid w:val="00616B9B"/>
    <w:rsid w:val="006170E6"/>
    <w:rsid w:val="006172AC"/>
    <w:rsid w:val="00617589"/>
    <w:rsid w:val="0062088E"/>
    <w:rsid w:val="00620FC5"/>
    <w:rsid w:val="0062171B"/>
    <w:rsid w:val="00621DB7"/>
    <w:rsid w:val="006224F3"/>
    <w:rsid w:val="00624207"/>
    <w:rsid w:val="006252D5"/>
    <w:rsid w:val="00625363"/>
    <w:rsid w:val="00625F28"/>
    <w:rsid w:val="00626E01"/>
    <w:rsid w:val="00626E27"/>
    <w:rsid w:val="00627389"/>
    <w:rsid w:val="00627BCA"/>
    <w:rsid w:val="00630167"/>
    <w:rsid w:val="00631236"/>
    <w:rsid w:val="00631C9C"/>
    <w:rsid w:val="006320D2"/>
    <w:rsid w:val="00632238"/>
    <w:rsid w:val="0063437F"/>
    <w:rsid w:val="00634708"/>
    <w:rsid w:val="006364BA"/>
    <w:rsid w:val="00636819"/>
    <w:rsid w:val="00637231"/>
    <w:rsid w:val="006375C4"/>
    <w:rsid w:val="00641DAE"/>
    <w:rsid w:val="00641F70"/>
    <w:rsid w:val="00642452"/>
    <w:rsid w:val="00643C05"/>
    <w:rsid w:val="00643E5E"/>
    <w:rsid w:val="006444ED"/>
    <w:rsid w:val="0064492D"/>
    <w:rsid w:val="00646C73"/>
    <w:rsid w:val="00647577"/>
    <w:rsid w:val="00647C15"/>
    <w:rsid w:val="00647C91"/>
    <w:rsid w:val="0065261B"/>
    <w:rsid w:val="006529B8"/>
    <w:rsid w:val="00652B81"/>
    <w:rsid w:val="00653081"/>
    <w:rsid w:val="00653570"/>
    <w:rsid w:val="006555D7"/>
    <w:rsid w:val="00655F11"/>
    <w:rsid w:val="006566FC"/>
    <w:rsid w:val="00657240"/>
    <w:rsid w:val="00657F2A"/>
    <w:rsid w:val="00660932"/>
    <w:rsid w:val="00660B7F"/>
    <w:rsid w:val="00661C16"/>
    <w:rsid w:val="00661C37"/>
    <w:rsid w:val="00661FBC"/>
    <w:rsid w:val="00662007"/>
    <w:rsid w:val="00662AC8"/>
    <w:rsid w:val="00663642"/>
    <w:rsid w:val="00664004"/>
    <w:rsid w:val="00664714"/>
    <w:rsid w:val="00665157"/>
    <w:rsid w:val="006651A7"/>
    <w:rsid w:val="0066549C"/>
    <w:rsid w:val="00665BAC"/>
    <w:rsid w:val="0066636E"/>
    <w:rsid w:val="00666956"/>
    <w:rsid w:val="00666AA1"/>
    <w:rsid w:val="00666D0D"/>
    <w:rsid w:val="00667A9E"/>
    <w:rsid w:val="00667B03"/>
    <w:rsid w:val="00671985"/>
    <w:rsid w:val="00671F4F"/>
    <w:rsid w:val="00671FBE"/>
    <w:rsid w:val="0067287B"/>
    <w:rsid w:val="00672B38"/>
    <w:rsid w:val="00672B48"/>
    <w:rsid w:val="00673A3B"/>
    <w:rsid w:val="00673AAF"/>
    <w:rsid w:val="00673C5C"/>
    <w:rsid w:val="00674951"/>
    <w:rsid w:val="006756F8"/>
    <w:rsid w:val="0067583F"/>
    <w:rsid w:val="0067622F"/>
    <w:rsid w:val="00677299"/>
    <w:rsid w:val="006772DE"/>
    <w:rsid w:val="00677CBD"/>
    <w:rsid w:val="0068007D"/>
    <w:rsid w:val="00680DC8"/>
    <w:rsid w:val="0068154B"/>
    <w:rsid w:val="00681630"/>
    <w:rsid w:val="0068211A"/>
    <w:rsid w:val="00682E4C"/>
    <w:rsid w:val="0068321C"/>
    <w:rsid w:val="00683319"/>
    <w:rsid w:val="006837AC"/>
    <w:rsid w:val="00684214"/>
    <w:rsid w:val="006846D4"/>
    <w:rsid w:val="0068618A"/>
    <w:rsid w:val="00687012"/>
    <w:rsid w:val="00687414"/>
    <w:rsid w:val="006874A2"/>
    <w:rsid w:val="006879A8"/>
    <w:rsid w:val="006909B1"/>
    <w:rsid w:val="00690CD2"/>
    <w:rsid w:val="0069115D"/>
    <w:rsid w:val="00692463"/>
    <w:rsid w:val="00694E65"/>
    <w:rsid w:val="00696103"/>
    <w:rsid w:val="006963E2"/>
    <w:rsid w:val="00697B80"/>
    <w:rsid w:val="006A001C"/>
    <w:rsid w:val="006A074D"/>
    <w:rsid w:val="006A078A"/>
    <w:rsid w:val="006A0B45"/>
    <w:rsid w:val="006A0B76"/>
    <w:rsid w:val="006A11C0"/>
    <w:rsid w:val="006A1775"/>
    <w:rsid w:val="006A177C"/>
    <w:rsid w:val="006A1ECE"/>
    <w:rsid w:val="006A3804"/>
    <w:rsid w:val="006A3AC4"/>
    <w:rsid w:val="006A3C5A"/>
    <w:rsid w:val="006A47A2"/>
    <w:rsid w:val="006A48C0"/>
    <w:rsid w:val="006A4BE9"/>
    <w:rsid w:val="006A4F4D"/>
    <w:rsid w:val="006A5D85"/>
    <w:rsid w:val="006A6405"/>
    <w:rsid w:val="006A70E9"/>
    <w:rsid w:val="006A72A1"/>
    <w:rsid w:val="006A7A9A"/>
    <w:rsid w:val="006B0E9F"/>
    <w:rsid w:val="006B0FA8"/>
    <w:rsid w:val="006B3C3B"/>
    <w:rsid w:val="006B3DF5"/>
    <w:rsid w:val="006B47D5"/>
    <w:rsid w:val="006B4FE9"/>
    <w:rsid w:val="006B4FEF"/>
    <w:rsid w:val="006B64DA"/>
    <w:rsid w:val="006B721D"/>
    <w:rsid w:val="006B76E6"/>
    <w:rsid w:val="006B7D26"/>
    <w:rsid w:val="006B7FB4"/>
    <w:rsid w:val="006C04FE"/>
    <w:rsid w:val="006C0A8C"/>
    <w:rsid w:val="006C177D"/>
    <w:rsid w:val="006C4790"/>
    <w:rsid w:val="006C4B99"/>
    <w:rsid w:val="006C4F33"/>
    <w:rsid w:val="006C7E73"/>
    <w:rsid w:val="006D03A7"/>
    <w:rsid w:val="006D134F"/>
    <w:rsid w:val="006D15C1"/>
    <w:rsid w:val="006D1A97"/>
    <w:rsid w:val="006D2BAF"/>
    <w:rsid w:val="006D2E9F"/>
    <w:rsid w:val="006D3434"/>
    <w:rsid w:val="006D38C7"/>
    <w:rsid w:val="006D3B78"/>
    <w:rsid w:val="006D4470"/>
    <w:rsid w:val="006D532E"/>
    <w:rsid w:val="006D553A"/>
    <w:rsid w:val="006D5DCB"/>
    <w:rsid w:val="006D6EF2"/>
    <w:rsid w:val="006E097D"/>
    <w:rsid w:val="006E140A"/>
    <w:rsid w:val="006E17D4"/>
    <w:rsid w:val="006E192E"/>
    <w:rsid w:val="006E273A"/>
    <w:rsid w:val="006E2FC8"/>
    <w:rsid w:val="006E328C"/>
    <w:rsid w:val="006E32EA"/>
    <w:rsid w:val="006E33A9"/>
    <w:rsid w:val="006E4F21"/>
    <w:rsid w:val="006E51D9"/>
    <w:rsid w:val="006E5B75"/>
    <w:rsid w:val="006E666A"/>
    <w:rsid w:val="006E68DD"/>
    <w:rsid w:val="006F00B6"/>
    <w:rsid w:val="006F15A5"/>
    <w:rsid w:val="006F1B1D"/>
    <w:rsid w:val="006F1EDF"/>
    <w:rsid w:val="006F2C1F"/>
    <w:rsid w:val="006F307B"/>
    <w:rsid w:val="006F37BC"/>
    <w:rsid w:val="006F40B8"/>
    <w:rsid w:val="006F43C4"/>
    <w:rsid w:val="006F49CC"/>
    <w:rsid w:val="006F5BAE"/>
    <w:rsid w:val="00700241"/>
    <w:rsid w:val="00700B41"/>
    <w:rsid w:val="007011BD"/>
    <w:rsid w:val="00701A59"/>
    <w:rsid w:val="00702FA5"/>
    <w:rsid w:val="007034FA"/>
    <w:rsid w:val="007038E1"/>
    <w:rsid w:val="00704C65"/>
    <w:rsid w:val="007062D5"/>
    <w:rsid w:val="00707116"/>
    <w:rsid w:val="007073AD"/>
    <w:rsid w:val="00707459"/>
    <w:rsid w:val="00710887"/>
    <w:rsid w:val="00710BFF"/>
    <w:rsid w:val="0071169E"/>
    <w:rsid w:val="00711DF3"/>
    <w:rsid w:val="00711FCA"/>
    <w:rsid w:val="0071266A"/>
    <w:rsid w:val="00712E6F"/>
    <w:rsid w:val="00713E74"/>
    <w:rsid w:val="00715855"/>
    <w:rsid w:val="007160E4"/>
    <w:rsid w:val="0071650C"/>
    <w:rsid w:val="00716556"/>
    <w:rsid w:val="0071661B"/>
    <w:rsid w:val="007175E3"/>
    <w:rsid w:val="00717C29"/>
    <w:rsid w:val="00717E91"/>
    <w:rsid w:val="00717EBD"/>
    <w:rsid w:val="00720188"/>
    <w:rsid w:val="0072186F"/>
    <w:rsid w:val="007218A5"/>
    <w:rsid w:val="00721DA3"/>
    <w:rsid w:val="00721DDC"/>
    <w:rsid w:val="007237AB"/>
    <w:rsid w:val="00724BC5"/>
    <w:rsid w:val="007259BF"/>
    <w:rsid w:val="00725DA7"/>
    <w:rsid w:val="00726DF0"/>
    <w:rsid w:val="00726E5B"/>
    <w:rsid w:val="0073016C"/>
    <w:rsid w:val="00731239"/>
    <w:rsid w:val="00732737"/>
    <w:rsid w:val="00732976"/>
    <w:rsid w:val="00733340"/>
    <w:rsid w:val="00733BD8"/>
    <w:rsid w:val="00733D86"/>
    <w:rsid w:val="00734231"/>
    <w:rsid w:val="00735D60"/>
    <w:rsid w:val="00736642"/>
    <w:rsid w:val="00736D3A"/>
    <w:rsid w:val="00736E1A"/>
    <w:rsid w:val="00737008"/>
    <w:rsid w:val="007421A8"/>
    <w:rsid w:val="0074510D"/>
    <w:rsid w:val="00746930"/>
    <w:rsid w:val="00746A3F"/>
    <w:rsid w:val="00750173"/>
    <w:rsid w:val="00750249"/>
    <w:rsid w:val="00750390"/>
    <w:rsid w:val="007503AC"/>
    <w:rsid w:val="007507BD"/>
    <w:rsid w:val="0075098D"/>
    <w:rsid w:val="007509DB"/>
    <w:rsid w:val="00750EFD"/>
    <w:rsid w:val="00751479"/>
    <w:rsid w:val="00751705"/>
    <w:rsid w:val="007518C2"/>
    <w:rsid w:val="00751BAE"/>
    <w:rsid w:val="007523C5"/>
    <w:rsid w:val="00753033"/>
    <w:rsid w:val="00753A35"/>
    <w:rsid w:val="007542DA"/>
    <w:rsid w:val="00754A25"/>
    <w:rsid w:val="007552B3"/>
    <w:rsid w:val="0075571E"/>
    <w:rsid w:val="0075645F"/>
    <w:rsid w:val="00757965"/>
    <w:rsid w:val="0076101E"/>
    <w:rsid w:val="00762220"/>
    <w:rsid w:val="00762623"/>
    <w:rsid w:val="00762870"/>
    <w:rsid w:val="0076453F"/>
    <w:rsid w:val="00765156"/>
    <w:rsid w:val="007657EC"/>
    <w:rsid w:val="00765F92"/>
    <w:rsid w:val="007667A7"/>
    <w:rsid w:val="007669D5"/>
    <w:rsid w:val="00767076"/>
    <w:rsid w:val="007673F3"/>
    <w:rsid w:val="00767556"/>
    <w:rsid w:val="00767609"/>
    <w:rsid w:val="00767F69"/>
    <w:rsid w:val="00770636"/>
    <w:rsid w:val="00771061"/>
    <w:rsid w:val="00771977"/>
    <w:rsid w:val="007733F4"/>
    <w:rsid w:val="00775DBB"/>
    <w:rsid w:val="0077634E"/>
    <w:rsid w:val="0077646D"/>
    <w:rsid w:val="00777567"/>
    <w:rsid w:val="00777FF6"/>
    <w:rsid w:val="00780B74"/>
    <w:rsid w:val="007812A9"/>
    <w:rsid w:val="007817FB"/>
    <w:rsid w:val="00782FFC"/>
    <w:rsid w:val="007832FE"/>
    <w:rsid w:val="0078387B"/>
    <w:rsid w:val="007838A9"/>
    <w:rsid w:val="00783BFC"/>
    <w:rsid w:val="007847F0"/>
    <w:rsid w:val="00785214"/>
    <w:rsid w:val="007852F5"/>
    <w:rsid w:val="00785304"/>
    <w:rsid w:val="007867C2"/>
    <w:rsid w:val="00787DDC"/>
    <w:rsid w:val="00790E55"/>
    <w:rsid w:val="00791A3F"/>
    <w:rsid w:val="00791E69"/>
    <w:rsid w:val="00792091"/>
    <w:rsid w:val="00792AE0"/>
    <w:rsid w:val="00793133"/>
    <w:rsid w:val="00793449"/>
    <w:rsid w:val="00794D9A"/>
    <w:rsid w:val="00795542"/>
    <w:rsid w:val="007959B6"/>
    <w:rsid w:val="00795CBB"/>
    <w:rsid w:val="00795F64"/>
    <w:rsid w:val="007961A4"/>
    <w:rsid w:val="00796253"/>
    <w:rsid w:val="00796B2B"/>
    <w:rsid w:val="007A0417"/>
    <w:rsid w:val="007A04DF"/>
    <w:rsid w:val="007A2011"/>
    <w:rsid w:val="007A26E7"/>
    <w:rsid w:val="007A2EF3"/>
    <w:rsid w:val="007A3EB5"/>
    <w:rsid w:val="007A4A17"/>
    <w:rsid w:val="007A4E67"/>
    <w:rsid w:val="007A6573"/>
    <w:rsid w:val="007A6AAD"/>
    <w:rsid w:val="007B13D9"/>
    <w:rsid w:val="007B1846"/>
    <w:rsid w:val="007B1FE8"/>
    <w:rsid w:val="007B23E1"/>
    <w:rsid w:val="007B27A5"/>
    <w:rsid w:val="007B2E4E"/>
    <w:rsid w:val="007B3E1F"/>
    <w:rsid w:val="007B4C3F"/>
    <w:rsid w:val="007B7FBB"/>
    <w:rsid w:val="007C01B0"/>
    <w:rsid w:val="007C042A"/>
    <w:rsid w:val="007C2376"/>
    <w:rsid w:val="007C2576"/>
    <w:rsid w:val="007C35A4"/>
    <w:rsid w:val="007C3A40"/>
    <w:rsid w:val="007C3F29"/>
    <w:rsid w:val="007C4079"/>
    <w:rsid w:val="007C4C97"/>
    <w:rsid w:val="007C7279"/>
    <w:rsid w:val="007C72E9"/>
    <w:rsid w:val="007C7653"/>
    <w:rsid w:val="007D154D"/>
    <w:rsid w:val="007D19ED"/>
    <w:rsid w:val="007D2055"/>
    <w:rsid w:val="007D2BAA"/>
    <w:rsid w:val="007D41F6"/>
    <w:rsid w:val="007D4FEF"/>
    <w:rsid w:val="007D5526"/>
    <w:rsid w:val="007D58BD"/>
    <w:rsid w:val="007D5B26"/>
    <w:rsid w:val="007D5ECD"/>
    <w:rsid w:val="007D5FCD"/>
    <w:rsid w:val="007D7145"/>
    <w:rsid w:val="007D78BF"/>
    <w:rsid w:val="007D7CC3"/>
    <w:rsid w:val="007E0DC6"/>
    <w:rsid w:val="007E1035"/>
    <w:rsid w:val="007E13A9"/>
    <w:rsid w:val="007E1692"/>
    <w:rsid w:val="007E1D3C"/>
    <w:rsid w:val="007E22DF"/>
    <w:rsid w:val="007E23F4"/>
    <w:rsid w:val="007E2C49"/>
    <w:rsid w:val="007E33EF"/>
    <w:rsid w:val="007E4A3E"/>
    <w:rsid w:val="007E555A"/>
    <w:rsid w:val="007E59D9"/>
    <w:rsid w:val="007E6CB2"/>
    <w:rsid w:val="007E72F6"/>
    <w:rsid w:val="007E7728"/>
    <w:rsid w:val="007E7B87"/>
    <w:rsid w:val="007E7EA3"/>
    <w:rsid w:val="007F1B34"/>
    <w:rsid w:val="007F2745"/>
    <w:rsid w:val="007F29F9"/>
    <w:rsid w:val="007F3211"/>
    <w:rsid w:val="007F407B"/>
    <w:rsid w:val="007F417E"/>
    <w:rsid w:val="007F4FCB"/>
    <w:rsid w:val="007F5421"/>
    <w:rsid w:val="007F5446"/>
    <w:rsid w:val="007F5571"/>
    <w:rsid w:val="007F68B2"/>
    <w:rsid w:val="00801CD8"/>
    <w:rsid w:val="008023B1"/>
    <w:rsid w:val="0080281D"/>
    <w:rsid w:val="00802E5A"/>
    <w:rsid w:val="00803A14"/>
    <w:rsid w:val="0080663D"/>
    <w:rsid w:val="0080690F"/>
    <w:rsid w:val="00806A0B"/>
    <w:rsid w:val="00806BD5"/>
    <w:rsid w:val="008071C4"/>
    <w:rsid w:val="00811A8B"/>
    <w:rsid w:val="00813DC9"/>
    <w:rsid w:val="00813F11"/>
    <w:rsid w:val="00813FD2"/>
    <w:rsid w:val="00814448"/>
    <w:rsid w:val="0081479A"/>
    <w:rsid w:val="00814ABE"/>
    <w:rsid w:val="008163C0"/>
    <w:rsid w:val="00816622"/>
    <w:rsid w:val="00816678"/>
    <w:rsid w:val="00817756"/>
    <w:rsid w:val="00817AD6"/>
    <w:rsid w:val="00817B8C"/>
    <w:rsid w:val="00820A9E"/>
    <w:rsid w:val="00820FE5"/>
    <w:rsid w:val="0082163C"/>
    <w:rsid w:val="00822416"/>
    <w:rsid w:val="008228EB"/>
    <w:rsid w:val="00823726"/>
    <w:rsid w:val="00823B9D"/>
    <w:rsid w:val="008248B6"/>
    <w:rsid w:val="00825553"/>
    <w:rsid w:val="00825DBD"/>
    <w:rsid w:val="00826CFA"/>
    <w:rsid w:val="008275C1"/>
    <w:rsid w:val="0082799D"/>
    <w:rsid w:val="00827A0A"/>
    <w:rsid w:val="00827B8A"/>
    <w:rsid w:val="00830CCA"/>
    <w:rsid w:val="00830FAA"/>
    <w:rsid w:val="00831CCF"/>
    <w:rsid w:val="00834EFD"/>
    <w:rsid w:val="00835F2E"/>
    <w:rsid w:val="00837D24"/>
    <w:rsid w:val="00841149"/>
    <w:rsid w:val="0084179F"/>
    <w:rsid w:val="00841C81"/>
    <w:rsid w:val="008425D3"/>
    <w:rsid w:val="0084276C"/>
    <w:rsid w:val="008427B1"/>
    <w:rsid w:val="008427CE"/>
    <w:rsid w:val="008431E6"/>
    <w:rsid w:val="0084344B"/>
    <w:rsid w:val="00844239"/>
    <w:rsid w:val="00844E48"/>
    <w:rsid w:val="0084517A"/>
    <w:rsid w:val="00845504"/>
    <w:rsid w:val="00846466"/>
    <w:rsid w:val="0084653E"/>
    <w:rsid w:val="008478CD"/>
    <w:rsid w:val="00850148"/>
    <w:rsid w:val="00851284"/>
    <w:rsid w:val="00851AA2"/>
    <w:rsid w:val="00852A13"/>
    <w:rsid w:val="00852CB7"/>
    <w:rsid w:val="00852FCE"/>
    <w:rsid w:val="008530DC"/>
    <w:rsid w:val="008535C8"/>
    <w:rsid w:val="00853604"/>
    <w:rsid w:val="00853F7C"/>
    <w:rsid w:val="008563CC"/>
    <w:rsid w:val="00856D01"/>
    <w:rsid w:val="00857CBB"/>
    <w:rsid w:val="00860AE6"/>
    <w:rsid w:val="00861432"/>
    <w:rsid w:val="00863782"/>
    <w:rsid w:val="00864955"/>
    <w:rsid w:val="00864999"/>
    <w:rsid w:val="00864ABC"/>
    <w:rsid w:val="00865225"/>
    <w:rsid w:val="008715F8"/>
    <w:rsid w:val="00871845"/>
    <w:rsid w:val="00871F03"/>
    <w:rsid w:val="00873946"/>
    <w:rsid w:val="00873ED5"/>
    <w:rsid w:val="00874F33"/>
    <w:rsid w:val="00875D47"/>
    <w:rsid w:val="00877078"/>
    <w:rsid w:val="0087770C"/>
    <w:rsid w:val="00877D3E"/>
    <w:rsid w:val="00880B70"/>
    <w:rsid w:val="00881B3B"/>
    <w:rsid w:val="0088275A"/>
    <w:rsid w:val="00882CF8"/>
    <w:rsid w:val="008837EA"/>
    <w:rsid w:val="0088416A"/>
    <w:rsid w:val="008852A3"/>
    <w:rsid w:val="00885BD4"/>
    <w:rsid w:val="00885EFC"/>
    <w:rsid w:val="008865DF"/>
    <w:rsid w:val="008872C0"/>
    <w:rsid w:val="008878D0"/>
    <w:rsid w:val="00887B20"/>
    <w:rsid w:val="00887CC3"/>
    <w:rsid w:val="0089174F"/>
    <w:rsid w:val="00891F94"/>
    <w:rsid w:val="00892BF0"/>
    <w:rsid w:val="00892F18"/>
    <w:rsid w:val="008931E0"/>
    <w:rsid w:val="008932FA"/>
    <w:rsid w:val="00893F74"/>
    <w:rsid w:val="00894A62"/>
    <w:rsid w:val="00895828"/>
    <w:rsid w:val="0089588D"/>
    <w:rsid w:val="008A0BCE"/>
    <w:rsid w:val="008A0E54"/>
    <w:rsid w:val="008A13C3"/>
    <w:rsid w:val="008A1809"/>
    <w:rsid w:val="008A2885"/>
    <w:rsid w:val="008A34D5"/>
    <w:rsid w:val="008A3942"/>
    <w:rsid w:val="008A667C"/>
    <w:rsid w:val="008A67E9"/>
    <w:rsid w:val="008A7E4C"/>
    <w:rsid w:val="008B1298"/>
    <w:rsid w:val="008B2FDB"/>
    <w:rsid w:val="008B37B9"/>
    <w:rsid w:val="008B4237"/>
    <w:rsid w:val="008B5437"/>
    <w:rsid w:val="008B7922"/>
    <w:rsid w:val="008C1EFC"/>
    <w:rsid w:val="008C1F22"/>
    <w:rsid w:val="008C2593"/>
    <w:rsid w:val="008C3C1D"/>
    <w:rsid w:val="008C4716"/>
    <w:rsid w:val="008C4882"/>
    <w:rsid w:val="008C4F79"/>
    <w:rsid w:val="008C5915"/>
    <w:rsid w:val="008C65AB"/>
    <w:rsid w:val="008C78C5"/>
    <w:rsid w:val="008C7A37"/>
    <w:rsid w:val="008C7C6C"/>
    <w:rsid w:val="008C7E73"/>
    <w:rsid w:val="008D0219"/>
    <w:rsid w:val="008D0385"/>
    <w:rsid w:val="008D10F9"/>
    <w:rsid w:val="008D1334"/>
    <w:rsid w:val="008D1BBF"/>
    <w:rsid w:val="008D220F"/>
    <w:rsid w:val="008D2BFE"/>
    <w:rsid w:val="008D31B3"/>
    <w:rsid w:val="008D3411"/>
    <w:rsid w:val="008D3D51"/>
    <w:rsid w:val="008D3F1B"/>
    <w:rsid w:val="008D4E33"/>
    <w:rsid w:val="008D53CD"/>
    <w:rsid w:val="008D6406"/>
    <w:rsid w:val="008E0DCE"/>
    <w:rsid w:val="008E1349"/>
    <w:rsid w:val="008E197F"/>
    <w:rsid w:val="008E421E"/>
    <w:rsid w:val="008E462E"/>
    <w:rsid w:val="008E53A2"/>
    <w:rsid w:val="008E54FB"/>
    <w:rsid w:val="008E57F8"/>
    <w:rsid w:val="008E5E52"/>
    <w:rsid w:val="008E6322"/>
    <w:rsid w:val="008E6A36"/>
    <w:rsid w:val="008E7DD0"/>
    <w:rsid w:val="008F034F"/>
    <w:rsid w:val="008F0A45"/>
    <w:rsid w:val="008F21D7"/>
    <w:rsid w:val="008F28C5"/>
    <w:rsid w:val="008F2F49"/>
    <w:rsid w:val="008F39B5"/>
    <w:rsid w:val="008F3CD8"/>
    <w:rsid w:val="008F4F2D"/>
    <w:rsid w:val="008F5459"/>
    <w:rsid w:val="008F59CF"/>
    <w:rsid w:val="008F7BBA"/>
    <w:rsid w:val="00900E91"/>
    <w:rsid w:val="00901823"/>
    <w:rsid w:val="00903C0F"/>
    <w:rsid w:val="009040B3"/>
    <w:rsid w:val="00904412"/>
    <w:rsid w:val="0090499C"/>
    <w:rsid w:val="00905D3D"/>
    <w:rsid w:val="00906056"/>
    <w:rsid w:val="00907168"/>
    <w:rsid w:val="009079AA"/>
    <w:rsid w:val="009110F6"/>
    <w:rsid w:val="009115C9"/>
    <w:rsid w:val="00911EE5"/>
    <w:rsid w:val="0091238A"/>
    <w:rsid w:val="00912596"/>
    <w:rsid w:val="00913064"/>
    <w:rsid w:val="0091399D"/>
    <w:rsid w:val="00914A13"/>
    <w:rsid w:val="0091505B"/>
    <w:rsid w:val="00915094"/>
    <w:rsid w:val="00915DB2"/>
    <w:rsid w:val="00915F83"/>
    <w:rsid w:val="00916D41"/>
    <w:rsid w:val="0091787F"/>
    <w:rsid w:val="009216FD"/>
    <w:rsid w:val="00921CDC"/>
    <w:rsid w:val="00921D17"/>
    <w:rsid w:val="00922937"/>
    <w:rsid w:val="00922A82"/>
    <w:rsid w:val="00923C23"/>
    <w:rsid w:val="0092522D"/>
    <w:rsid w:val="00925F42"/>
    <w:rsid w:val="009271DC"/>
    <w:rsid w:val="00927666"/>
    <w:rsid w:val="00931DFA"/>
    <w:rsid w:val="00933032"/>
    <w:rsid w:val="00933FCD"/>
    <w:rsid w:val="0093451A"/>
    <w:rsid w:val="0093558B"/>
    <w:rsid w:val="009362AA"/>
    <w:rsid w:val="009363FD"/>
    <w:rsid w:val="00936408"/>
    <w:rsid w:val="0093700F"/>
    <w:rsid w:val="009371FD"/>
    <w:rsid w:val="0093759B"/>
    <w:rsid w:val="00940A0B"/>
    <w:rsid w:val="00941347"/>
    <w:rsid w:val="00941805"/>
    <w:rsid w:val="009418BD"/>
    <w:rsid w:val="00942173"/>
    <w:rsid w:val="00942334"/>
    <w:rsid w:val="009449A8"/>
    <w:rsid w:val="00944A7F"/>
    <w:rsid w:val="009450AF"/>
    <w:rsid w:val="0094538B"/>
    <w:rsid w:val="009455DF"/>
    <w:rsid w:val="00945A16"/>
    <w:rsid w:val="00945C3F"/>
    <w:rsid w:val="0094600B"/>
    <w:rsid w:val="00946715"/>
    <w:rsid w:val="00946F88"/>
    <w:rsid w:val="009478CA"/>
    <w:rsid w:val="00947CCC"/>
    <w:rsid w:val="00947E72"/>
    <w:rsid w:val="00951ABA"/>
    <w:rsid w:val="009531BE"/>
    <w:rsid w:val="00953B78"/>
    <w:rsid w:val="009551E6"/>
    <w:rsid w:val="00955F89"/>
    <w:rsid w:val="009561C1"/>
    <w:rsid w:val="009568C1"/>
    <w:rsid w:val="00956D74"/>
    <w:rsid w:val="00956ED9"/>
    <w:rsid w:val="009572E5"/>
    <w:rsid w:val="00961666"/>
    <w:rsid w:val="009617DA"/>
    <w:rsid w:val="00963D7C"/>
    <w:rsid w:val="00963E28"/>
    <w:rsid w:val="00963E5A"/>
    <w:rsid w:val="00964423"/>
    <w:rsid w:val="00964A14"/>
    <w:rsid w:val="00965FA2"/>
    <w:rsid w:val="00966A53"/>
    <w:rsid w:val="00966C3D"/>
    <w:rsid w:val="0096763D"/>
    <w:rsid w:val="009700C1"/>
    <w:rsid w:val="0097142F"/>
    <w:rsid w:val="0097220F"/>
    <w:rsid w:val="009726B2"/>
    <w:rsid w:val="009732A0"/>
    <w:rsid w:val="00973F87"/>
    <w:rsid w:val="00974984"/>
    <w:rsid w:val="00974B49"/>
    <w:rsid w:val="009752F5"/>
    <w:rsid w:val="00975F8E"/>
    <w:rsid w:val="00975FCB"/>
    <w:rsid w:val="00976114"/>
    <w:rsid w:val="009761E3"/>
    <w:rsid w:val="00976539"/>
    <w:rsid w:val="00980CEB"/>
    <w:rsid w:val="00981AFF"/>
    <w:rsid w:val="009825B6"/>
    <w:rsid w:val="00983458"/>
    <w:rsid w:val="00984C51"/>
    <w:rsid w:val="00985368"/>
    <w:rsid w:val="0098605B"/>
    <w:rsid w:val="00987193"/>
    <w:rsid w:val="00987BD5"/>
    <w:rsid w:val="00987D4A"/>
    <w:rsid w:val="00990325"/>
    <w:rsid w:val="0099089B"/>
    <w:rsid w:val="00990B93"/>
    <w:rsid w:val="0099111E"/>
    <w:rsid w:val="00991225"/>
    <w:rsid w:val="00991DC6"/>
    <w:rsid w:val="009931BA"/>
    <w:rsid w:val="00993DE9"/>
    <w:rsid w:val="009943D7"/>
    <w:rsid w:val="009946E9"/>
    <w:rsid w:val="00994ECF"/>
    <w:rsid w:val="0099505D"/>
    <w:rsid w:val="00995D34"/>
    <w:rsid w:val="009963E0"/>
    <w:rsid w:val="009973C1"/>
    <w:rsid w:val="00997C5A"/>
    <w:rsid w:val="009A0604"/>
    <w:rsid w:val="009A1D03"/>
    <w:rsid w:val="009A248C"/>
    <w:rsid w:val="009A2794"/>
    <w:rsid w:val="009A2C11"/>
    <w:rsid w:val="009A3234"/>
    <w:rsid w:val="009A377F"/>
    <w:rsid w:val="009A3CA2"/>
    <w:rsid w:val="009A3E86"/>
    <w:rsid w:val="009A40ED"/>
    <w:rsid w:val="009A5DE7"/>
    <w:rsid w:val="009A6587"/>
    <w:rsid w:val="009A669F"/>
    <w:rsid w:val="009A6D0D"/>
    <w:rsid w:val="009A755C"/>
    <w:rsid w:val="009B1A4C"/>
    <w:rsid w:val="009B1C99"/>
    <w:rsid w:val="009B1EF0"/>
    <w:rsid w:val="009B2162"/>
    <w:rsid w:val="009B233E"/>
    <w:rsid w:val="009B3BFC"/>
    <w:rsid w:val="009B540E"/>
    <w:rsid w:val="009B545F"/>
    <w:rsid w:val="009B55D0"/>
    <w:rsid w:val="009B57D0"/>
    <w:rsid w:val="009B5DD8"/>
    <w:rsid w:val="009B6363"/>
    <w:rsid w:val="009B6728"/>
    <w:rsid w:val="009B6CCA"/>
    <w:rsid w:val="009B6DDE"/>
    <w:rsid w:val="009B6ECA"/>
    <w:rsid w:val="009B7028"/>
    <w:rsid w:val="009B714D"/>
    <w:rsid w:val="009B78EE"/>
    <w:rsid w:val="009C0A00"/>
    <w:rsid w:val="009C19AC"/>
    <w:rsid w:val="009C31F8"/>
    <w:rsid w:val="009C3AB5"/>
    <w:rsid w:val="009C4A11"/>
    <w:rsid w:val="009C5D43"/>
    <w:rsid w:val="009C5FB7"/>
    <w:rsid w:val="009C7126"/>
    <w:rsid w:val="009D07D1"/>
    <w:rsid w:val="009D082F"/>
    <w:rsid w:val="009D18D4"/>
    <w:rsid w:val="009D292F"/>
    <w:rsid w:val="009D2950"/>
    <w:rsid w:val="009D2CD5"/>
    <w:rsid w:val="009D37DD"/>
    <w:rsid w:val="009D37E2"/>
    <w:rsid w:val="009D3950"/>
    <w:rsid w:val="009D5A1D"/>
    <w:rsid w:val="009D5AF8"/>
    <w:rsid w:val="009D5E1C"/>
    <w:rsid w:val="009D6639"/>
    <w:rsid w:val="009D6F41"/>
    <w:rsid w:val="009E1486"/>
    <w:rsid w:val="009E2AC0"/>
    <w:rsid w:val="009E2F3D"/>
    <w:rsid w:val="009E351A"/>
    <w:rsid w:val="009E358D"/>
    <w:rsid w:val="009E362F"/>
    <w:rsid w:val="009E375D"/>
    <w:rsid w:val="009E603C"/>
    <w:rsid w:val="009E620A"/>
    <w:rsid w:val="009E694E"/>
    <w:rsid w:val="009E7532"/>
    <w:rsid w:val="009E7A27"/>
    <w:rsid w:val="009E7D40"/>
    <w:rsid w:val="009F0906"/>
    <w:rsid w:val="009F3F75"/>
    <w:rsid w:val="009F52B1"/>
    <w:rsid w:val="009F71D7"/>
    <w:rsid w:val="009F7364"/>
    <w:rsid w:val="009F7371"/>
    <w:rsid w:val="009F73E0"/>
    <w:rsid w:val="009F75E8"/>
    <w:rsid w:val="00A00763"/>
    <w:rsid w:val="00A014F2"/>
    <w:rsid w:val="00A01FB1"/>
    <w:rsid w:val="00A024DC"/>
    <w:rsid w:val="00A0273C"/>
    <w:rsid w:val="00A039C2"/>
    <w:rsid w:val="00A03C23"/>
    <w:rsid w:val="00A05721"/>
    <w:rsid w:val="00A05FDF"/>
    <w:rsid w:val="00A06F7E"/>
    <w:rsid w:val="00A07468"/>
    <w:rsid w:val="00A111AF"/>
    <w:rsid w:val="00A122C5"/>
    <w:rsid w:val="00A123A6"/>
    <w:rsid w:val="00A12964"/>
    <w:rsid w:val="00A140FD"/>
    <w:rsid w:val="00A14521"/>
    <w:rsid w:val="00A157B8"/>
    <w:rsid w:val="00A15E66"/>
    <w:rsid w:val="00A16968"/>
    <w:rsid w:val="00A16CFE"/>
    <w:rsid w:val="00A17DFC"/>
    <w:rsid w:val="00A20D16"/>
    <w:rsid w:val="00A2187D"/>
    <w:rsid w:val="00A219A9"/>
    <w:rsid w:val="00A22C18"/>
    <w:rsid w:val="00A23D43"/>
    <w:rsid w:val="00A23FC3"/>
    <w:rsid w:val="00A24608"/>
    <w:rsid w:val="00A26B6F"/>
    <w:rsid w:val="00A30580"/>
    <w:rsid w:val="00A30768"/>
    <w:rsid w:val="00A31124"/>
    <w:rsid w:val="00A31267"/>
    <w:rsid w:val="00A31990"/>
    <w:rsid w:val="00A32D38"/>
    <w:rsid w:val="00A330B8"/>
    <w:rsid w:val="00A3334E"/>
    <w:rsid w:val="00A33E8F"/>
    <w:rsid w:val="00A346FB"/>
    <w:rsid w:val="00A34B5C"/>
    <w:rsid w:val="00A35B96"/>
    <w:rsid w:val="00A35C53"/>
    <w:rsid w:val="00A3623B"/>
    <w:rsid w:val="00A36E4A"/>
    <w:rsid w:val="00A36F2C"/>
    <w:rsid w:val="00A37005"/>
    <w:rsid w:val="00A379C7"/>
    <w:rsid w:val="00A41DE9"/>
    <w:rsid w:val="00A426F8"/>
    <w:rsid w:val="00A4281E"/>
    <w:rsid w:val="00A43B83"/>
    <w:rsid w:val="00A46105"/>
    <w:rsid w:val="00A46878"/>
    <w:rsid w:val="00A47AC5"/>
    <w:rsid w:val="00A51D55"/>
    <w:rsid w:val="00A52C36"/>
    <w:rsid w:val="00A53114"/>
    <w:rsid w:val="00A538D2"/>
    <w:rsid w:val="00A54CBF"/>
    <w:rsid w:val="00A55347"/>
    <w:rsid w:val="00A57DCF"/>
    <w:rsid w:val="00A600BA"/>
    <w:rsid w:val="00A600D3"/>
    <w:rsid w:val="00A603BD"/>
    <w:rsid w:val="00A61D73"/>
    <w:rsid w:val="00A63166"/>
    <w:rsid w:val="00A64261"/>
    <w:rsid w:val="00A648C6"/>
    <w:rsid w:val="00A6567C"/>
    <w:rsid w:val="00A65914"/>
    <w:rsid w:val="00A66651"/>
    <w:rsid w:val="00A678E3"/>
    <w:rsid w:val="00A70B20"/>
    <w:rsid w:val="00A70E58"/>
    <w:rsid w:val="00A72C65"/>
    <w:rsid w:val="00A73E9E"/>
    <w:rsid w:val="00A74482"/>
    <w:rsid w:val="00A747AF"/>
    <w:rsid w:val="00A747C1"/>
    <w:rsid w:val="00A76D54"/>
    <w:rsid w:val="00A76FD4"/>
    <w:rsid w:val="00A80244"/>
    <w:rsid w:val="00A80C05"/>
    <w:rsid w:val="00A8177C"/>
    <w:rsid w:val="00A81BCE"/>
    <w:rsid w:val="00A820E0"/>
    <w:rsid w:val="00A8294E"/>
    <w:rsid w:val="00A845F5"/>
    <w:rsid w:val="00A847D7"/>
    <w:rsid w:val="00A84C19"/>
    <w:rsid w:val="00A84C71"/>
    <w:rsid w:val="00A857CE"/>
    <w:rsid w:val="00A864F3"/>
    <w:rsid w:val="00A91A53"/>
    <w:rsid w:val="00A91DA9"/>
    <w:rsid w:val="00A92224"/>
    <w:rsid w:val="00A92B92"/>
    <w:rsid w:val="00A92DEF"/>
    <w:rsid w:val="00A930A7"/>
    <w:rsid w:val="00A93536"/>
    <w:rsid w:val="00A93B89"/>
    <w:rsid w:val="00A94291"/>
    <w:rsid w:val="00A945B2"/>
    <w:rsid w:val="00A94B0E"/>
    <w:rsid w:val="00A96EE3"/>
    <w:rsid w:val="00A97FAE"/>
    <w:rsid w:val="00AA0362"/>
    <w:rsid w:val="00AA36A5"/>
    <w:rsid w:val="00AA3EA9"/>
    <w:rsid w:val="00AA46C3"/>
    <w:rsid w:val="00AA543D"/>
    <w:rsid w:val="00AA59EF"/>
    <w:rsid w:val="00AA6BBE"/>
    <w:rsid w:val="00AA76D7"/>
    <w:rsid w:val="00AB0296"/>
    <w:rsid w:val="00AB0EC0"/>
    <w:rsid w:val="00AB13DA"/>
    <w:rsid w:val="00AB25E5"/>
    <w:rsid w:val="00AB261A"/>
    <w:rsid w:val="00AB2BED"/>
    <w:rsid w:val="00AB4374"/>
    <w:rsid w:val="00AB566B"/>
    <w:rsid w:val="00AB7195"/>
    <w:rsid w:val="00AB71A2"/>
    <w:rsid w:val="00AC0182"/>
    <w:rsid w:val="00AC0218"/>
    <w:rsid w:val="00AC062F"/>
    <w:rsid w:val="00AC102F"/>
    <w:rsid w:val="00AC1C37"/>
    <w:rsid w:val="00AC1FC3"/>
    <w:rsid w:val="00AC4778"/>
    <w:rsid w:val="00AC4D92"/>
    <w:rsid w:val="00AC5089"/>
    <w:rsid w:val="00AC52D7"/>
    <w:rsid w:val="00AC6C66"/>
    <w:rsid w:val="00AC75C6"/>
    <w:rsid w:val="00AD01CA"/>
    <w:rsid w:val="00AD297B"/>
    <w:rsid w:val="00AD329F"/>
    <w:rsid w:val="00AD3C82"/>
    <w:rsid w:val="00AD4A38"/>
    <w:rsid w:val="00AD537E"/>
    <w:rsid w:val="00AD59FC"/>
    <w:rsid w:val="00AD5E50"/>
    <w:rsid w:val="00AD60B0"/>
    <w:rsid w:val="00AD62DD"/>
    <w:rsid w:val="00AD67EF"/>
    <w:rsid w:val="00AD70DB"/>
    <w:rsid w:val="00AD7585"/>
    <w:rsid w:val="00AD76FE"/>
    <w:rsid w:val="00AD7D0D"/>
    <w:rsid w:val="00AD7FEE"/>
    <w:rsid w:val="00AE086C"/>
    <w:rsid w:val="00AE18F7"/>
    <w:rsid w:val="00AE34EA"/>
    <w:rsid w:val="00AE4949"/>
    <w:rsid w:val="00AE53DA"/>
    <w:rsid w:val="00AE5CFC"/>
    <w:rsid w:val="00AE6312"/>
    <w:rsid w:val="00AE65F6"/>
    <w:rsid w:val="00AE72AE"/>
    <w:rsid w:val="00AF0F02"/>
    <w:rsid w:val="00AF1E15"/>
    <w:rsid w:val="00AF2ADB"/>
    <w:rsid w:val="00AF336A"/>
    <w:rsid w:val="00AF52FA"/>
    <w:rsid w:val="00AF7043"/>
    <w:rsid w:val="00B00430"/>
    <w:rsid w:val="00B00D07"/>
    <w:rsid w:val="00B0196D"/>
    <w:rsid w:val="00B025BA"/>
    <w:rsid w:val="00B03252"/>
    <w:rsid w:val="00B03592"/>
    <w:rsid w:val="00B03E94"/>
    <w:rsid w:val="00B04428"/>
    <w:rsid w:val="00B04A70"/>
    <w:rsid w:val="00B04D7F"/>
    <w:rsid w:val="00B04E04"/>
    <w:rsid w:val="00B066D3"/>
    <w:rsid w:val="00B100C2"/>
    <w:rsid w:val="00B104D5"/>
    <w:rsid w:val="00B10AC8"/>
    <w:rsid w:val="00B11E16"/>
    <w:rsid w:val="00B12403"/>
    <w:rsid w:val="00B13061"/>
    <w:rsid w:val="00B1631B"/>
    <w:rsid w:val="00B17FB0"/>
    <w:rsid w:val="00B21A13"/>
    <w:rsid w:val="00B22E3E"/>
    <w:rsid w:val="00B23949"/>
    <w:rsid w:val="00B24515"/>
    <w:rsid w:val="00B246D0"/>
    <w:rsid w:val="00B24E71"/>
    <w:rsid w:val="00B27283"/>
    <w:rsid w:val="00B30672"/>
    <w:rsid w:val="00B3070B"/>
    <w:rsid w:val="00B30A0A"/>
    <w:rsid w:val="00B3134B"/>
    <w:rsid w:val="00B32DB4"/>
    <w:rsid w:val="00B333CB"/>
    <w:rsid w:val="00B339DC"/>
    <w:rsid w:val="00B33EDA"/>
    <w:rsid w:val="00B33F09"/>
    <w:rsid w:val="00B348BD"/>
    <w:rsid w:val="00B348EC"/>
    <w:rsid w:val="00B34D32"/>
    <w:rsid w:val="00B35E0E"/>
    <w:rsid w:val="00B36E0F"/>
    <w:rsid w:val="00B36E8E"/>
    <w:rsid w:val="00B37BFA"/>
    <w:rsid w:val="00B41F73"/>
    <w:rsid w:val="00B4434E"/>
    <w:rsid w:val="00B44A30"/>
    <w:rsid w:val="00B45CD4"/>
    <w:rsid w:val="00B46EFE"/>
    <w:rsid w:val="00B476E6"/>
    <w:rsid w:val="00B506FA"/>
    <w:rsid w:val="00B50B45"/>
    <w:rsid w:val="00B53729"/>
    <w:rsid w:val="00B5375E"/>
    <w:rsid w:val="00B53F3C"/>
    <w:rsid w:val="00B54348"/>
    <w:rsid w:val="00B5453B"/>
    <w:rsid w:val="00B54C43"/>
    <w:rsid w:val="00B54CB3"/>
    <w:rsid w:val="00B55F4D"/>
    <w:rsid w:val="00B563CC"/>
    <w:rsid w:val="00B566A0"/>
    <w:rsid w:val="00B56FEE"/>
    <w:rsid w:val="00B57FB8"/>
    <w:rsid w:val="00B60FBD"/>
    <w:rsid w:val="00B63934"/>
    <w:rsid w:val="00B6521E"/>
    <w:rsid w:val="00B652DE"/>
    <w:rsid w:val="00B65775"/>
    <w:rsid w:val="00B671F7"/>
    <w:rsid w:val="00B67379"/>
    <w:rsid w:val="00B67556"/>
    <w:rsid w:val="00B71972"/>
    <w:rsid w:val="00B71BF9"/>
    <w:rsid w:val="00B722BE"/>
    <w:rsid w:val="00B72D65"/>
    <w:rsid w:val="00B7333E"/>
    <w:rsid w:val="00B7344D"/>
    <w:rsid w:val="00B73B2C"/>
    <w:rsid w:val="00B73BD2"/>
    <w:rsid w:val="00B73EC3"/>
    <w:rsid w:val="00B74A32"/>
    <w:rsid w:val="00B75CA8"/>
    <w:rsid w:val="00B75D2B"/>
    <w:rsid w:val="00B76114"/>
    <w:rsid w:val="00B764C9"/>
    <w:rsid w:val="00B772AE"/>
    <w:rsid w:val="00B80FAD"/>
    <w:rsid w:val="00B81529"/>
    <w:rsid w:val="00B83FF3"/>
    <w:rsid w:val="00B842DC"/>
    <w:rsid w:val="00B842FA"/>
    <w:rsid w:val="00B84464"/>
    <w:rsid w:val="00B85197"/>
    <w:rsid w:val="00B86228"/>
    <w:rsid w:val="00B8673F"/>
    <w:rsid w:val="00B869D0"/>
    <w:rsid w:val="00B87169"/>
    <w:rsid w:val="00B87AC2"/>
    <w:rsid w:val="00B91449"/>
    <w:rsid w:val="00B92039"/>
    <w:rsid w:val="00B92AD7"/>
    <w:rsid w:val="00B92CA2"/>
    <w:rsid w:val="00B955D3"/>
    <w:rsid w:val="00B96A69"/>
    <w:rsid w:val="00BA0A13"/>
    <w:rsid w:val="00BA15F5"/>
    <w:rsid w:val="00BA1991"/>
    <w:rsid w:val="00BA1DDC"/>
    <w:rsid w:val="00BA2E94"/>
    <w:rsid w:val="00BA38F7"/>
    <w:rsid w:val="00BA439F"/>
    <w:rsid w:val="00BA4672"/>
    <w:rsid w:val="00BA6D87"/>
    <w:rsid w:val="00BA7271"/>
    <w:rsid w:val="00BA7A4D"/>
    <w:rsid w:val="00BA7F9D"/>
    <w:rsid w:val="00BB04A2"/>
    <w:rsid w:val="00BB133C"/>
    <w:rsid w:val="00BB1DFB"/>
    <w:rsid w:val="00BB273C"/>
    <w:rsid w:val="00BB3785"/>
    <w:rsid w:val="00BB41DA"/>
    <w:rsid w:val="00BB4211"/>
    <w:rsid w:val="00BB460F"/>
    <w:rsid w:val="00BB5723"/>
    <w:rsid w:val="00BB675F"/>
    <w:rsid w:val="00BB6C55"/>
    <w:rsid w:val="00BB6FC2"/>
    <w:rsid w:val="00BB71BE"/>
    <w:rsid w:val="00BC037A"/>
    <w:rsid w:val="00BC1124"/>
    <w:rsid w:val="00BC1429"/>
    <w:rsid w:val="00BC15FB"/>
    <w:rsid w:val="00BC2101"/>
    <w:rsid w:val="00BC2995"/>
    <w:rsid w:val="00BC3B08"/>
    <w:rsid w:val="00BC407F"/>
    <w:rsid w:val="00BC4512"/>
    <w:rsid w:val="00BC50D0"/>
    <w:rsid w:val="00BC55B0"/>
    <w:rsid w:val="00BC657F"/>
    <w:rsid w:val="00BC6D6D"/>
    <w:rsid w:val="00BC74E9"/>
    <w:rsid w:val="00BC75B8"/>
    <w:rsid w:val="00BC7864"/>
    <w:rsid w:val="00BC7E87"/>
    <w:rsid w:val="00BD0130"/>
    <w:rsid w:val="00BD1373"/>
    <w:rsid w:val="00BD335E"/>
    <w:rsid w:val="00BD3A80"/>
    <w:rsid w:val="00BD3C9E"/>
    <w:rsid w:val="00BD4462"/>
    <w:rsid w:val="00BD46E4"/>
    <w:rsid w:val="00BD4811"/>
    <w:rsid w:val="00BD4DC3"/>
    <w:rsid w:val="00BD525A"/>
    <w:rsid w:val="00BD582D"/>
    <w:rsid w:val="00BD5ADA"/>
    <w:rsid w:val="00BD61AB"/>
    <w:rsid w:val="00BD6436"/>
    <w:rsid w:val="00BD66D3"/>
    <w:rsid w:val="00BD7A5F"/>
    <w:rsid w:val="00BD7E27"/>
    <w:rsid w:val="00BE15B9"/>
    <w:rsid w:val="00BE2FE1"/>
    <w:rsid w:val="00BE39FC"/>
    <w:rsid w:val="00BE3C36"/>
    <w:rsid w:val="00BE50B0"/>
    <w:rsid w:val="00BE640A"/>
    <w:rsid w:val="00BE682A"/>
    <w:rsid w:val="00BE7614"/>
    <w:rsid w:val="00BF05C8"/>
    <w:rsid w:val="00BF0C4F"/>
    <w:rsid w:val="00BF102D"/>
    <w:rsid w:val="00BF1451"/>
    <w:rsid w:val="00BF1B56"/>
    <w:rsid w:val="00BF22A4"/>
    <w:rsid w:val="00BF2446"/>
    <w:rsid w:val="00BF2766"/>
    <w:rsid w:val="00BF49E2"/>
    <w:rsid w:val="00BF6191"/>
    <w:rsid w:val="00BF6590"/>
    <w:rsid w:val="00BF6B2A"/>
    <w:rsid w:val="00BF70AE"/>
    <w:rsid w:val="00BF78AA"/>
    <w:rsid w:val="00BF790E"/>
    <w:rsid w:val="00C00923"/>
    <w:rsid w:val="00C0145A"/>
    <w:rsid w:val="00C01C0F"/>
    <w:rsid w:val="00C02854"/>
    <w:rsid w:val="00C034A9"/>
    <w:rsid w:val="00C062DD"/>
    <w:rsid w:val="00C065FF"/>
    <w:rsid w:val="00C06AAF"/>
    <w:rsid w:val="00C07386"/>
    <w:rsid w:val="00C07C56"/>
    <w:rsid w:val="00C11707"/>
    <w:rsid w:val="00C1170C"/>
    <w:rsid w:val="00C1240B"/>
    <w:rsid w:val="00C12BCE"/>
    <w:rsid w:val="00C12EBB"/>
    <w:rsid w:val="00C1339F"/>
    <w:rsid w:val="00C147B1"/>
    <w:rsid w:val="00C153B0"/>
    <w:rsid w:val="00C162ED"/>
    <w:rsid w:val="00C17285"/>
    <w:rsid w:val="00C20336"/>
    <w:rsid w:val="00C21D90"/>
    <w:rsid w:val="00C23020"/>
    <w:rsid w:val="00C2323D"/>
    <w:rsid w:val="00C232F8"/>
    <w:rsid w:val="00C23F04"/>
    <w:rsid w:val="00C26BDB"/>
    <w:rsid w:val="00C26C08"/>
    <w:rsid w:val="00C272E9"/>
    <w:rsid w:val="00C27E23"/>
    <w:rsid w:val="00C31926"/>
    <w:rsid w:val="00C32698"/>
    <w:rsid w:val="00C32E03"/>
    <w:rsid w:val="00C34179"/>
    <w:rsid w:val="00C346A7"/>
    <w:rsid w:val="00C350E6"/>
    <w:rsid w:val="00C3511A"/>
    <w:rsid w:val="00C3533D"/>
    <w:rsid w:val="00C35B87"/>
    <w:rsid w:val="00C37200"/>
    <w:rsid w:val="00C37AFC"/>
    <w:rsid w:val="00C40623"/>
    <w:rsid w:val="00C4107C"/>
    <w:rsid w:val="00C413B6"/>
    <w:rsid w:val="00C4262E"/>
    <w:rsid w:val="00C43B13"/>
    <w:rsid w:val="00C442DC"/>
    <w:rsid w:val="00C44A13"/>
    <w:rsid w:val="00C451EF"/>
    <w:rsid w:val="00C4562E"/>
    <w:rsid w:val="00C45679"/>
    <w:rsid w:val="00C457FD"/>
    <w:rsid w:val="00C45987"/>
    <w:rsid w:val="00C45B0F"/>
    <w:rsid w:val="00C47059"/>
    <w:rsid w:val="00C50F7F"/>
    <w:rsid w:val="00C51FCD"/>
    <w:rsid w:val="00C52F6F"/>
    <w:rsid w:val="00C52F87"/>
    <w:rsid w:val="00C53139"/>
    <w:rsid w:val="00C535C9"/>
    <w:rsid w:val="00C53874"/>
    <w:rsid w:val="00C54254"/>
    <w:rsid w:val="00C54DD2"/>
    <w:rsid w:val="00C55391"/>
    <w:rsid w:val="00C55588"/>
    <w:rsid w:val="00C56611"/>
    <w:rsid w:val="00C566B1"/>
    <w:rsid w:val="00C57624"/>
    <w:rsid w:val="00C57AF7"/>
    <w:rsid w:val="00C61DE3"/>
    <w:rsid w:val="00C632DF"/>
    <w:rsid w:val="00C63D0C"/>
    <w:rsid w:val="00C63F09"/>
    <w:rsid w:val="00C64239"/>
    <w:rsid w:val="00C647A3"/>
    <w:rsid w:val="00C65559"/>
    <w:rsid w:val="00C659F9"/>
    <w:rsid w:val="00C65FFE"/>
    <w:rsid w:val="00C66345"/>
    <w:rsid w:val="00C66C5E"/>
    <w:rsid w:val="00C707BA"/>
    <w:rsid w:val="00C70996"/>
    <w:rsid w:val="00C70E00"/>
    <w:rsid w:val="00C7201C"/>
    <w:rsid w:val="00C73229"/>
    <w:rsid w:val="00C73336"/>
    <w:rsid w:val="00C738DF"/>
    <w:rsid w:val="00C73A9B"/>
    <w:rsid w:val="00C73EAE"/>
    <w:rsid w:val="00C748CE"/>
    <w:rsid w:val="00C74C4B"/>
    <w:rsid w:val="00C74EFB"/>
    <w:rsid w:val="00C7536F"/>
    <w:rsid w:val="00C75425"/>
    <w:rsid w:val="00C75EAC"/>
    <w:rsid w:val="00C761AF"/>
    <w:rsid w:val="00C76278"/>
    <w:rsid w:val="00C76838"/>
    <w:rsid w:val="00C7786A"/>
    <w:rsid w:val="00C77C78"/>
    <w:rsid w:val="00C80FA2"/>
    <w:rsid w:val="00C819CF"/>
    <w:rsid w:val="00C82B1D"/>
    <w:rsid w:val="00C8438F"/>
    <w:rsid w:val="00C846E1"/>
    <w:rsid w:val="00C84B25"/>
    <w:rsid w:val="00C84E8A"/>
    <w:rsid w:val="00C85984"/>
    <w:rsid w:val="00C8692A"/>
    <w:rsid w:val="00C87F8D"/>
    <w:rsid w:val="00C91838"/>
    <w:rsid w:val="00C91A4F"/>
    <w:rsid w:val="00C91E8C"/>
    <w:rsid w:val="00C92555"/>
    <w:rsid w:val="00C9369B"/>
    <w:rsid w:val="00C93CC2"/>
    <w:rsid w:val="00C93FC7"/>
    <w:rsid w:val="00C9453A"/>
    <w:rsid w:val="00C94FB9"/>
    <w:rsid w:val="00C9628B"/>
    <w:rsid w:val="00C96301"/>
    <w:rsid w:val="00CA0297"/>
    <w:rsid w:val="00CA108E"/>
    <w:rsid w:val="00CA2291"/>
    <w:rsid w:val="00CA2745"/>
    <w:rsid w:val="00CA28C2"/>
    <w:rsid w:val="00CA2BA2"/>
    <w:rsid w:val="00CA46C1"/>
    <w:rsid w:val="00CA4A8D"/>
    <w:rsid w:val="00CA51F0"/>
    <w:rsid w:val="00CA56C3"/>
    <w:rsid w:val="00CA5B54"/>
    <w:rsid w:val="00CA6029"/>
    <w:rsid w:val="00CA6D9E"/>
    <w:rsid w:val="00CA7879"/>
    <w:rsid w:val="00CB05F9"/>
    <w:rsid w:val="00CB12AC"/>
    <w:rsid w:val="00CB1968"/>
    <w:rsid w:val="00CB337C"/>
    <w:rsid w:val="00CB33FC"/>
    <w:rsid w:val="00CB5264"/>
    <w:rsid w:val="00CB59B6"/>
    <w:rsid w:val="00CB6928"/>
    <w:rsid w:val="00CB7BBE"/>
    <w:rsid w:val="00CC06E1"/>
    <w:rsid w:val="00CC0C88"/>
    <w:rsid w:val="00CC30BD"/>
    <w:rsid w:val="00CC7B46"/>
    <w:rsid w:val="00CD184D"/>
    <w:rsid w:val="00CD184F"/>
    <w:rsid w:val="00CD341E"/>
    <w:rsid w:val="00CD3713"/>
    <w:rsid w:val="00CD67AE"/>
    <w:rsid w:val="00CD7653"/>
    <w:rsid w:val="00CE0370"/>
    <w:rsid w:val="00CE096B"/>
    <w:rsid w:val="00CE0B9E"/>
    <w:rsid w:val="00CE1079"/>
    <w:rsid w:val="00CE1F18"/>
    <w:rsid w:val="00CE1FA8"/>
    <w:rsid w:val="00CE35DE"/>
    <w:rsid w:val="00CE3A05"/>
    <w:rsid w:val="00CE45D4"/>
    <w:rsid w:val="00CE4D2B"/>
    <w:rsid w:val="00CE7065"/>
    <w:rsid w:val="00CE7311"/>
    <w:rsid w:val="00CE7AE4"/>
    <w:rsid w:val="00CE7F3C"/>
    <w:rsid w:val="00CF037B"/>
    <w:rsid w:val="00CF037C"/>
    <w:rsid w:val="00CF0AD3"/>
    <w:rsid w:val="00CF2162"/>
    <w:rsid w:val="00CF3B6E"/>
    <w:rsid w:val="00CF4C8C"/>
    <w:rsid w:val="00CF545B"/>
    <w:rsid w:val="00CF5878"/>
    <w:rsid w:val="00CF7CCC"/>
    <w:rsid w:val="00D0059A"/>
    <w:rsid w:val="00D01490"/>
    <w:rsid w:val="00D01586"/>
    <w:rsid w:val="00D0188F"/>
    <w:rsid w:val="00D02B3B"/>
    <w:rsid w:val="00D02EDC"/>
    <w:rsid w:val="00D04A78"/>
    <w:rsid w:val="00D04BBD"/>
    <w:rsid w:val="00D069D1"/>
    <w:rsid w:val="00D06E24"/>
    <w:rsid w:val="00D07062"/>
    <w:rsid w:val="00D10489"/>
    <w:rsid w:val="00D10BEE"/>
    <w:rsid w:val="00D12035"/>
    <w:rsid w:val="00D12592"/>
    <w:rsid w:val="00D127FD"/>
    <w:rsid w:val="00D12B71"/>
    <w:rsid w:val="00D13612"/>
    <w:rsid w:val="00D13CF1"/>
    <w:rsid w:val="00D14479"/>
    <w:rsid w:val="00D149D5"/>
    <w:rsid w:val="00D15C2E"/>
    <w:rsid w:val="00D16271"/>
    <w:rsid w:val="00D16D46"/>
    <w:rsid w:val="00D16D7F"/>
    <w:rsid w:val="00D20D3A"/>
    <w:rsid w:val="00D2139A"/>
    <w:rsid w:val="00D23089"/>
    <w:rsid w:val="00D23C95"/>
    <w:rsid w:val="00D24A7E"/>
    <w:rsid w:val="00D258F9"/>
    <w:rsid w:val="00D26783"/>
    <w:rsid w:val="00D272B6"/>
    <w:rsid w:val="00D277DA"/>
    <w:rsid w:val="00D27A09"/>
    <w:rsid w:val="00D3214F"/>
    <w:rsid w:val="00D3316E"/>
    <w:rsid w:val="00D3343F"/>
    <w:rsid w:val="00D3383B"/>
    <w:rsid w:val="00D349FF"/>
    <w:rsid w:val="00D34C4A"/>
    <w:rsid w:val="00D3501B"/>
    <w:rsid w:val="00D361FD"/>
    <w:rsid w:val="00D37154"/>
    <w:rsid w:val="00D3729A"/>
    <w:rsid w:val="00D400EA"/>
    <w:rsid w:val="00D40293"/>
    <w:rsid w:val="00D402A5"/>
    <w:rsid w:val="00D4045A"/>
    <w:rsid w:val="00D406D0"/>
    <w:rsid w:val="00D40A35"/>
    <w:rsid w:val="00D40FE9"/>
    <w:rsid w:val="00D41089"/>
    <w:rsid w:val="00D41304"/>
    <w:rsid w:val="00D41AE9"/>
    <w:rsid w:val="00D41F3E"/>
    <w:rsid w:val="00D4320C"/>
    <w:rsid w:val="00D439C8"/>
    <w:rsid w:val="00D439E9"/>
    <w:rsid w:val="00D45880"/>
    <w:rsid w:val="00D458B1"/>
    <w:rsid w:val="00D4623E"/>
    <w:rsid w:val="00D46C2B"/>
    <w:rsid w:val="00D478B9"/>
    <w:rsid w:val="00D5005F"/>
    <w:rsid w:val="00D50B85"/>
    <w:rsid w:val="00D50BBB"/>
    <w:rsid w:val="00D51938"/>
    <w:rsid w:val="00D51EE2"/>
    <w:rsid w:val="00D52014"/>
    <w:rsid w:val="00D52289"/>
    <w:rsid w:val="00D52D6C"/>
    <w:rsid w:val="00D540E7"/>
    <w:rsid w:val="00D54C61"/>
    <w:rsid w:val="00D55619"/>
    <w:rsid w:val="00D55737"/>
    <w:rsid w:val="00D5580D"/>
    <w:rsid w:val="00D5652D"/>
    <w:rsid w:val="00D56641"/>
    <w:rsid w:val="00D56A41"/>
    <w:rsid w:val="00D57ACB"/>
    <w:rsid w:val="00D57AFC"/>
    <w:rsid w:val="00D57B4B"/>
    <w:rsid w:val="00D603C6"/>
    <w:rsid w:val="00D60B83"/>
    <w:rsid w:val="00D62065"/>
    <w:rsid w:val="00D623B9"/>
    <w:rsid w:val="00D62665"/>
    <w:rsid w:val="00D62BFE"/>
    <w:rsid w:val="00D63E88"/>
    <w:rsid w:val="00D64D37"/>
    <w:rsid w:val="00D650C5"/>
    <w:rsid w:val="00D65D09"/>
    <w:rsid w:val="00D67A94"/>
    <w:rsid w:val="00D7018D"/>
    <w:rsid w:val="00D713AE"/>
    <w:rsid w:val="00D713CB"/>
    <w:rsid w:val="00D71943"/>
    <w:rsid w:val="00D72AD6"/>
    <w:rsid w:val="00D72BFB"/>
    <w:rsid w:val="00D72E7A"/>
    <w:rsid w:val="00D733EA"/>
    <w:rsid w:val="00D75A54"/>
    <w:rsid w:val="00D75ACD"/>
    <w:rsid w:val="00D76557"/>
    <w:rsid w:val="00D8066F"/>
    <w:rsid w:val="00D8254F"/>
    <w:rsid w:val="00D82B56"/>
    <w:rsid w:val="00D833A5"/>
    <w:rsid w:val="00D8420D"/>
    <w:rsid w:val="00D84A02"/>
    <w:rsid w:val="00D86175"/>
    <w:rsid w:val="00D8618F"/>
    <w:rsid w:val="00D862F3"/>
    <w:rsid w:val="00D866E7"/>
    <w:rsid w:val="00D874E1"/>
    <w:rsid w:val="00D87824"/>
    <w:rsid w:val="00D87B4B"/>
    <w:rsid w:val="00D87C35"/>
    <w:rsid w:val="00D90413"/>
    <w:rsid w:val="00D913B8"/>
    <w:rsid w:val="00D91556"/>
    <w:rsid w:val="00D919FA"/>
    <w:rsid w:val="00D93468"/>
    <w:rsid w:val="00D9463B"/>
    <w:rsid w:val="00D9538E"/>
    <w:rsid w:val="00D95501"/>
    <w:rsid w:val="00D975BF"/>
    <w:rsid w:val="00D97E4B"/>
    <w:rsid w:val="00DA1878"/>
    <w:rsid w:val="00DA2082"/>
    <w:rsid w:val="00DA2800"/>
    <w:rsid w:val="00DA3599"/>
    <w:rsid w:val="00DA360A"/>
    <w:rsid w:val="00DA456F"/>
    <w:rsid w:val="00DA7128"/>
    <w:rsid w:val="00DA76D7"/>
    <w:rsid w:val="00DB0791"/>
    <w:rsid w:val="00DB0856"/>
    <w:rsid w:val="00DB1A5E"/>
    <w:rsid w:val="00DB1B31"/>
    <w:rsid w:val="00DB2630"/>
    <w:rsid w:val="00DB4656"/>
    <w:rsid w:val="00DB666F"/>
    <w:rsid w:val="00DB6939"/>
    <w:rsid w:val="00DB727F"/>
    <w:rsid w:val="00DB74BB"/>
    <w:rsid w:val="00DB77E8"/>
    <w:rsid w:val="00DC034B"/>
    <w:rsid w:val="00DC0958"/>
    <w:rsid w:val="00DC0CD1"/>
    <w:rsid w:val="00DC1520"/>
    <w:rsid w:val="00DC17D5"/>
    <w:rsid w:val="00DC1814"/>
    <w:rsid w:val="00DC358C"/>
    <w:rsid w:val="00DC3DB6"/>
    <w:rsid w:val="00DC49CC"/>
    <w:rsid w:val="00DC6528"/>
    <w:rsid w:val="00DC7539"/>
    <w:rsid w:val="00DC7E7F"/>
    <w:rsid w:val="00DD0FBA"/>
    <w:rsid w:val="00DD192C"/>
    <w:rsid w:val="00DD1B03"/>
    <w:rsid w:val="00DD1F81"/>
    <w:rsid w:val="00DD228E"/>
    <w:rsid w:val="00DD3507"/>
    <w:rsid w:val="00DD53D4"/>
    <w:rsid w:val="00DD5CBE"/>
    <w:rsid w:val="00DD6295"/>
    <w:rsid w:val="00DD64F5"/>
    <w:rsid w:val="00DD665C"/>
    <w:rsid w:val="00DD7185"/>
    <w:rsid w:val="00DE0570"/>
    <w:rsid w:val="00DE1133"/>
    <w:rsid w:val="00DE15FD"/>
    <w:rsid w:val="00DE1FB9"/>
    <w:rsid w:val="00DE2B92"/>
    <w:rsid w:val="00DE2C0D"/>
    <w:rsid w:val="00DE3C15"/>
    <w:rsid w:val="00DE402B"/>
    <w:rsid w:val="00DE4561"/>
    <w:rsid w:val="00DE5B75"/>
    <w:rsid w:val="00DE6418"/>
    <w:rsid w:val="00DE769A"/>
    <w:rsid w:val="00DF26AB"/>
    <w:rsid w:val="00DF2721"/>
    <w:rsid w:val="00DF2D7C"/>
    <w:rsid w:val="00DF3B65"/>
    <w:rsid w:val="00DF4202"/>
    <w:rsid w:val="00DF443A"/>
    <w:rsid w:val="00DF50A6"/>
    <w:rsid w:val="00DF55F5"/>
    <w:rsid w:val="00DF58C6"/>
    <w:rsid w:val="00DF592E"/>
    <w:rsid w:val="00DF6201"/>
    <w:rsid w:val="00DF7731"/>
    <w:rsid w:val="00DF7C65"/>
    <w:rsid w:val="00E03854"/>
    <w:rsid w:val="00E03C8F"/>
    <w:rsid w:val="00E03FE2"/>
    <w:rsid w:val="00E04AFD"/>
    <w:rsid w:val="00E06341"/>
    <w:rsid w:val="00E06352"/>
    <w:rsid w:val="00E10090"/>
    <w:rsid w:val="00E10F8B"/>
    <w:rsid w:val="00E139C0"/>
    <w:rsid w:val="00E1506E"/>
    <w:rsid w:val="00E15BC0"/>
    <w:rsid w:val="00E16233"/>
    <w:rsid w:val="00E20C0A"/>
    <w:rsid w:val="00E213BB"/>
    <w:rsid w:val="00E223BA"/>
    <w:rsid w:val="00E229D5"/>
    <w:rsid w:val="00E2586E"/>
    <w:rsid w:val="00E2603B"/>
    <w:rsid w:val="00E26B35"/>
    <w:rsid w:val="00E26E6C"/>
    <w:rsid w:val="00E30FB5"/>
    <w:rsid w:val="00E31485"/>
    <w:rsid w:val="00E31A1F"/>
    <w:rsid w:val="00E31AB0"/>
    <w:rsid w:val="00E31D47"/>
    <w:rsid w:val="00E322D4"/>
    <w:rsid w:val="00E32FD8"/>
    <w:rsid w:val="00E3481A"/>
    <w:rsid w:val="00E36E2B"/>
    <w:rsid w:val="00E40CAD"/>
    <w:rsid w:val="00E413F2"/>
    <w:rsid w:val="00E41C33"/>
    <w:rsid w:val="00E4363D"/>
    <w:rsid w:val="00E436BA"/>
    <w:rsid w:val="00E441C5"/>
    <w:rsid w:val="00E44472"/>
    <w:rsid w:val="00E4514B"/>
    <w:rsid w:val="00E460E9"/>
    <w:rsid w:val="00E465EA"/>
    <w:rsid w:val="00E47C70"/>
    <w:rsid w:val="00E5048C"/>
    <w:rsid w:val="00E504E6"/>
    <w:rsid w:val="00E5054D"/>
    <w:rsid w:val="00E509CA"/>
    <w:rsid w:val="00E5170D"/>
    <w:rsid w:val="00E52042"/>
    <w:rsid w:val="00E523E3"/>
    <w:rsid w:val="00E52759"/>
    <w:rsid w:val="00E5294B"/>
    <w:rsid w:val="00E539A7"/>
    <w:rsid w:val="00E53D95"/>
    <w:rsid w:val="00E5410D"/>
    <w:rsid w:val="00E54364"/>
    <w:rsid w:val="00E55075"/>
    <w:rsid w:val="00E563BE"/>
    <w:rsid w:val="00E57B3D"/>
    <w:rsid w:val="00E57BD6"/>
    <w:rsid w:val="00E6023D"/>
    <w:rsid w:val="00E60554"/>
    <w:rsid w:val="00E606B5"/>
    <w:rsid w:val="00E61260"/>
    <w:rsid w:val="00E615F4"/>
    <w:rsid w:val="00E6165B"/>
    <w:rsid w:val="00E61D94"/>
    <w:rsid w:val="00E63F8F"/>
    <w:rsid w:val="00E6477B"/>
    <w:rsid w:val="00E64BAF"/>
    <w:rsid w:val="00E65199"/>
    <w:rsid w:val="00E65E2B"/>
    <w:rsid w:val="00E66313"/>
    <w:rsid w:val="00E6688D"/>
    <w:rsid w:val="00E66AB3"/>
    <w:rsid w:val="00E66FF2"/>
    <w:rsid w:val="00E70234"/>
    <w:rsid w:val="00E708CD"/>
    <w:rsid w:val="00E70AE2"/>
    <w:rsid w:val="00E7295C"/>
    <w:rsid w:val="00E72AFA"/>
    <w:rsid w:val="00E731A1"/>
    <w:rsid w:val="00E733BF"/>
    <w:rsid w:val="00E73CF5"/>
    <w:rsid w:val="00E759E5"/>
    <w:rsid w:val="00E76A30"/>
    <w:rsid w:val="00E77988"/>
    <w:rsid w:val="00E77A09"/>
    <w:rsid w:val="00E820E4"/>
    <w:rsid w:val="00E82633"/>
    <w:rsid w:val="00E8490C"/>
    <w:rsid w:val="00E85E3B"/>
    <w:rsid w:val="00E860C3"/>
    <w:rsid w:val="00E86738"/>
    <w:rsid w:val="00E872D8"/>
    <w:rsid w:val="00E873E2"/>
    <w:rsid w:val="00E87BDB"/>
    <w:rsid w:val="00E87D0F"/>
    <w:rsid w:val="00E912B8"/>
    <w:rsid w:val="00E914A3"/>
    <w:rsid w:val="00E9230E"/>
    <w:rsid w:val="00E933A8"/>
    <w:rsid w:val="00E94D4F"/>
    <w:rsid w:val="00E9517A"/>
    <w:rsid w:val="00E95802"/>
    <w:rsid w:val="00E95DBC"/>
    <w:rsid w:val="00E969B4"/>
    <w:rsid w:val="00E9780B"/>
    <w:rsid w:val="00E97B42"/>
    <w:rsid w:val="00EA0057"/>
    <w:rsid w:val="00EA01FA"/>
    <w:rsid w:val="00EA0DB6"/>
    <w:rsid w:val="00EA0F7F"/>
    <w:rsid w:val="00EA187D"/>
    <w:rsid w:val="00EA1C45"/>
    <w:rsid w:val="00EA1DC9"/>
    <w:rsid w:val="00EA2028"/>
    <w:rsid w:val="00EA275C"/>
    <w:rsid w:val="00EA306F"/>
    <w:rsid w:val="00EA486F"/>
    <w:rsid w:val="00EA52F2"/>
    <w:rsid w:val="00EA7FF8"/>
    <w:rsid w:val="00EB01F7"/>
    <w:rsid w:val="00EB0B7B"/>
    <w:rsid w:val="00EB0FA2"/>
    <w:rsid w:val="00EB122D"/>
    <w:rsid w:val="00EB15AA"/>
    <w:rsid w:val="00EB19DB"/>
    <w:rsid w:val="00EB1A9B"/>
    <w:rsid w:val="00EB2D44"/>
    <w:rsid w:val="00EB2E3A"/>
    <w:rsid w:val="00EB39D3"/>
    <w:rsid w:val="00EB3ACC"/>
    <w:rsid w:val="00EB3F7E"/>
    <w:rsid w:val="00EB46AE"/>
    <w:rsid w:val="00EB5573"/>
    <w:rsid w:val="00EB5D07"/>
    <w:rsid w:val="00EB7D9A"/>
    <w:rsid w:val="00EB7E6A"/>
    <w:rsid w:val="00EC0D80"/>
    <w:rsid w:val="00EC1380"/>
    <w:rsid w:val="00EC1B39"/>
    <w:rsid w:val="00EC28A2"/>
    <w:rsid w:val="00EC2CF1"/>
    <w:rsid w:val="00EC2F37"/>
    <w:rsid w:val="00EC31FB"/>
    <w:rsid w:val="00EC3636"/>
    <w:rsid w:val="00EC3A86"/>
    <w:rsid w:val="00EC42ED"/>
    <w:rsid w:val="00EC4504"/>
    <w:rsid w:val="00EC459C"/>
    <w:rsid w:val="00EC50AD"/>
    <w:rsid w:val="00EC50EC"/>
    <w:rsid w:val="00EC5E36"/>
    <w:rsid w:val="00EC6C00"/>
    <w:rsid w:val="00EC70B4"/>
    <w:rsid w:val="00ED350C"/>
    <w:rsid w:val="00ED3CA0"/>
    <w:rsid w:val="00ED4D9F"/>
    <w:rsid w:val="00ED65A5"/>
    <w:rsid w:val="00ED689F"/>
    <w:rsid w:val="00ED6933"/>
    <w:rsid w:val="00ED7157"/>
    <w:rsid w:val="00EE105A"/>
    <w:rsid w:val="00EE136A"/>
    <w:rsid w:val="00EE14BC"/>
    <w:rsid w:val="00EE1987"/>
    <w:rsid w:val="00EE37A5"/>
    <w:rsid w:val="00EE3906"/>
    <w:rsid w:val="00EE3C73"/>
    <w:rsid w:val="00EE483B"/>
    <w:rsid w:val="00EE58E6"/>
    <w:rsid w:val="00EE5A79"/>
    <w:rsid w:val="00EE5CF3"/>
    <w:rsid w:val="00EE65B4"/>
    <w:rsid w:val="00EE7087"/>
    <w:rsid w:val="00EE7772"/>
    <w:rsid w:val="00EE7DE4"/>
    <w:rsid w:val="00EF1DB4"/>
    <w:rsid w:val="00EF1FE5"/>
    <w:rsid w:val="00EF3672"/>
    <w:rsid w:val="00EF3E9C"/>
    <w:rsid w:val="00EF5F19"/>
    <w:rsid w:val="00EF6A0D"/>
    <w:rsid w:val="00EF7DE2"/>
    <w:rsid w:val="00F015FE"/>
    <w:rsid w:val="00F02279"/>
    <w:rsid w:val="00F02633"/>
    <w:rsid w:val="00F033CC"/>
    <w:rsid w:val="00F0480E"/>
    <w:rsid w:val="00F04B70"/>
    <w:rsid w:val="00F056FA"/>
    <w:rsid w:val="00F05A65"/>
    <w:rsid w:val="00F065C1"/>
    <w:rsid w:val="00F069FF"/>
    <w:rsid w:val="00F1086D"/>
    <w:rsid w:val="00F10CFF"/>
    <w:rsid w:val="00F11482"/>
    <w:rsid w:val="00F119FC"/>
    <w:rsid w:val="00F13827"/>
    <w:rsid w:val="00F14993"/>
    <w:rsid w:val="00F170D6"/>
    <w:rsid w:val="00F2052D"/>
    <w:rsid w:val="00F21C31"/>
    <w:rsid w:val="00F221D6"/>
    <w:rsid w:val="00F22ADD"/>
    <w:rsid w:val="00F22EBD"/>
    <w:rsid w:val="00F23B40"/>
    <w:rsid w:val="00F245DA"/>
    <w:rsid w:val="00F24CE3"/>
    <w:rsid w:val="00F24EFE"/>
    <w:rsid w:val="00F25321"/>
    <w:rsid w:val="00F25AAF"/>
    <w:rsid w:val="00F26F33"/>
    <w:rsid w:val="00F27D8C"/>
    <w:rsid w:val="00F31522"/>
    <w:rsid w:val="00F3223F"/>
    <w:rsid w:val="00F322CA"/>
    <w:rsid w:val="00F326D4"/>
    <w:rsid w:val="00F32CD6"/>
    <w:rsid w:val="00F32EB6"/>
    <w:rsid w:val="00F33C0C"/>
    <w:rsid w:val="00F35631"/>
    <w:rsid w:val="00F357A4"/>
    <w:rsid w:val="00F35827"/>
    <w:rsid w:val="00F36682"/>
    <w:rsid w:val="00F366F3"/>
    <w:rsid w:val="00F37C54"/>
    <w:rsid w:val="00F40056"/>
    <w:rsid w:val="00F4167D"/>
    <w:rsid w:val="00F42104"/>
    <w:rsid w:val="00F42CA9"/>
    <w:rsid w:val="00F44F3E"/>
    <w:rsid w:val="00F451BD"/>
    <w:rsid w:val="00F458DB"/>
    <w:rsid w:val="00F45BCD"/>
    <w:rsid w:val="00F45DD6"/>
    <w:rsid w:val="00F50E15"/>
    <w:rsid w:val="00F532C5"/>
    <w:rsid w:val="00F53669"/>
    <w:rsid w:val="00F562BF"/>
    <w:rsid w:val="00F570E4"/>
    <w:rsid w:val="00F600A7"/>
    <w:rsid w:val="00F60B29"/>
    <w:rsid w:val="00F61B12"/>
    <w:rsid w:val="00F61E2B"/>
    <w:rsid w:val="00F623E4"/>
    <w:rsid w:val="00F634BC"/>
    <w:rsid w:val="00F64E3B"/>
    <w:rsid w:val="00F652E0"/>
    <w:rsid w:val="00F67257"/>
    <w:rsid w:val="00F710DF"/>
    <w:rsid w:val="00F71156"/>
    <w:rsid w:val="00F717B5"/>
    <w:rsid w:val="00F71AF6"/>
    <w:rsid w:val="00F74CF6"/>
    <w:rsid w:val="00F751F2"/>
    <w:rsid w:val="00F752D3"/>
    <w:rsid w:val="00F76357"/>
    <w:rsid w:val="00F8107D"/>
    <w:rsid w:val="00F8152D"/>
    <w:rsid w:val="00F821C9"/>
    <w:rsid w:val="00F8296F"/>
    <w:rsid w:val="00F844D8"/>
    <w:rsid w:val="00F84911"/>
    <w:rsid w:val="00F84A0E"/>
    <w:rsid w:val="00F84E30"/>
    <w:rsid w:val="00F85133"/>
    <w:rsid w:val="00F85704"/>
    <w:rsid w:val="00F92763"/>
    <w:rsid w:val="00F93947"/>
    <w:rsid w:val="00F95266"/>
    <w:rsid w:val="00F958B1"/>
    <w:rsid w:val="00F969D7"/>
    <w:rsid w:val="00F970C1"/>
    <w:rsid w:val="00F974D7"/>
    <w:rsid w:val="00F97B3C"/>
    <w:rsid w:val="00FA0457"/>
    <w:rsid w:val="00FA1651"/>
    <w:rsid w:val="00FA21F8"/>
    <w:rsid w:val="00FA2BCE"/>
    <w:rsid w:val="00FA3C23"/>
    <w:rsid w:val="00FA537A"/>
    <w:rsid w:val="00FA6E7A"/>
    <w:rsid w:val="00FB18D5"/>
    <w:rsid w:val="00FB319C"/>
    <w:rsid w:val="00FB3A88"/>
    <w:rsid w:val="00FB3CC2"/>
    <w:rsid w:val="00FB40D7"/>
    <w:rsid w:val="00FB4332"/>
    <w:rsid w:val="00FB43D2"/>
    <w:rsid w:val="00FB57E5"/>
    <w:rsid w:val="00FB5D22"/>
    <w:rsid w:val="00FB6C1C"/>
    <w:rsid w:val="00FB7504"/>
    <w:rsid w:val="00FB7E40"/>
    <w:rsid w:val="00FC0E44"/>
    <w:rsid w:val="00FC3132"/>
    <w:rsid w:val="00FC3EF4"/>
    <w:rsid w:val="00FC534D"/>
    <w:rsid w:val="00FC59B9"/>
    <w:rsid w:val="00FC7CE8"/>
    <w:rsid w:val="00FD0141"/>
    <w:rsid w:val="00FD09E6"/>
    <w:rsid w:val="00FD0A60"/>
    <w:rsid w:val="00FD1477"/>
    <w:rsid w:val="00FD2088"/>
    <w:rsid w:val="00FD21AD"/>
    <w:rsid w:val="00FD3617"/>
    <w:rsid w:val="00FD3817"/>
    <w:rsid w:val="00FD4628"/>
    <w:rsid w:val="00FD60E1"/>
    <w:rsid w:val="00FD63E5"/>
    <w:rsid w:val="00FD776C"/>
    <w:rsid w:val="00FE0622"/>
    <w:rsid w:val="00FE0A9E"/>
    <w:rsid w:val="00FE1EE2"/>
    <w:rsid w:val="00FE2130"/>
    <w:rsid w:val="00FE475B"/>
    <w:rsid w:val="00FE5120"/>
    <w:rsid w:val="00FE616A"/>
    <w:rsid w:val="00FE76ED"/>
    <w:rsid w:val="00FE7807"/>
    <w:rsid w:val="00FE7B30"/>
    <w:rsid w:val="00FF0A96"/>
    <w:rsid w:val="00FF179C"/>
    <w:rsid w:val="00FF2E93"/>
    <w:rsid w:val="00FF48EA"/>
    <w:rsid w:val="00FF6114"/>
    <w:rsid w:val="00FF7D4C"/>
    <w:rsid w:val="0172383B"/>
    <w:rsid w:val="01E2520D"/>
    <w:rsid w:val="03142C59"/>
    <w:rsid w:val="031633FF"/>
    <w:rsid w:val="03217689"/>
    <w:rsid w:val="035411B5"/>
    <w:rsid w:val="03806638"/>
    <w:rsid w:val="04E12763"/>
    <w:rsid w:val="065D593D"/>
    <w:rsid w:val="06F81D18"/>
    <w:rsid w:val="073549D8"/>
    <w:rsid w:val="08A50314"/>
    <w:rsid w:val="0A0817E5"/>
    <w:rsid w:val="0A4521A5"/>
    <w:rsid w:val="0AB60EFB"/>
    <w:rsid w:val="0B4A1B68"/>
    <w:rsid w:val="0B97355C"/>
    <w:rsid w:val="0BA64506"/>
    <w:rsid w:val="0BA7143D"/>
    <w:rsid w:val="0BB26478"/>
    <w:rsid w:val="0C037608"/>
    <w:rsid w:val="0C455BCA"/>
    <w:rsid w:val="0D017343"/>
    <w:rsid w:val="0DE476D0"/>
    <w:rsid w:val="0DF416CC"/>
    <w:rsid w:val="0E4479D5"/>
    <w:rsid w:val="0EE8239A"/>
    <w:rsid w:val="0F4D52DF"/>
    <w:rsid w:val="0F6C615C"/>
    <w:rsid w:val="0FBB043D"/>
    <w:rsid w:val="0FD970D9"/>
    <w:rsid w:val="10252D2B"/>
    <w:rsid w:val="1116565A"/>
    <w:rsid w:val="11921A0F"/>
    <w:rsid w:val="124A1034"/>
    <w:rsid w:val="12AB05FE"/>
    <w:rsid w:val="12F9627E"/>
    <w:rsid w:val="14505DBB"/>
    <w:rsid w:val="15D12F04"/>
    <w:rsid w:val="177855C1"/>
    <w:rsid w:val="186F06E1"/>
    <w:rsid w:val="18D174CB"/>
    <w:rsid w:val="19A50A23"/>
    <w:rsid w:val="1A0A2FDB"/>
    <w:rsid w:val="1A4248EE"/>
    <w:rsid w:val="1A9B170A"/>
    <w:rsid w:val="1B5D097C"/>
    <w:rsid w:val="1CBD06D0"/>
    <w:rsid w:val="1D3E783E"/>
    <w:rsid w:val="1DA03299"/>
    <w:rsid w:val="1DA85A4F"/>
    <w:rsid w:val="1FA30EC2"/>
    <w:rsid w:val="20341ED0"/>
    <w:rsid w:val="20907D3B"/>
    <w:rsid w:val="211B157E"/>
    <w:rsid w:val="215B136C"/>
    <w:rsid w:val="217C40B0"/>
    <w:rsid w:val="21922AF8"/>
    <w:rsid w:val="219C3EC8"/>
    <w:rsid w:val="21FB0187"/>
    <w:rsid w:val="22004961"/>
    <w:rsid w:val="22CB00F4"/>
    <w:rsid w:val="23544947"/>
    <w:rsid w:val="236D25D4"/>
    <w:rsid w:val="23D26AA9"/>
    <w:rsid w:val="23D9018B"/>
    <w:rsid w:val="23EA3C55"/>
    <w:rsid w:val="25357DBD"/>
    <w:rsid w:val="25B43AB5"/>
    <w:rsid w:val="25CB59E7"/>
    <w:rsid w:val="26ED7E81"/>
    <w:rsid w:val="284044C7"/>
    <w:rsid w:val="29203247"/>
    <w:rsid w:val="295465C1"/>
    <w:rsid w:val="2AE54EC2"/>
    <w:rsid w:val="2AF81D42"/>
    <w:rsid w:val="2D795F24"/>
    <w:rsid w:val="2E382087"/>
    <w:rsid w:val="2E5F777D"/>
    <w:rsid w:val="2E850184"/>
    <w:rsid w:val="2F42318E"/>
    <w:rsid w:val="2F74502E"/>
    <w:rsid w:val="2F774B60"/>
    <w:rsid w:val="2FB10CC3"/>
    <w:rsid w:val="2FFB113C"/>
    <w:rsid w:val="30D7140D"/>
    <w:rsid w:val="31D47BC2"/>
    <w:rsid w:val="32677ABD"/>
    <w:rsid w:val="334A2FAF"/>
    <w:rsid w:val="335A2AA0"/>
    <w:rsid w:val="349C51BA"/>
    <w:rsid w:val="34ED3559"/>
    <w:rsid w:val="3582168A"/>
    <w:rsid w:val="36694E85"/>
    <w:rsid w:val="367479D5"/>
    <w:rsid w:val="37336FCD"/>
    <w:rsid w:val="374C588D"/>
    <w:rsid w:val="37C15A9D"/>
    <w:rsid w:val="37D4218D"/>
    <w:rsid w:val="39C460F3"/>
    <w:rsid w:val="3A293807"/>
    <w:rsid w:val="3A9B17F9"/>
    <w:rsid w:val="3BD16495"/>
    <w:rsid w:val="3C9055B3"/>
    <w:rsid w:val="3CE952DB"/>
    <w:rsid w:val="3D0D68CB"/>
    <w:rsid w:val="3D2A4697"/>
    <w:rsid w:val="3D357973"/>
    <w:rsid w:val="3FAB59A6"/>
    <w:rsid w:val="403106BB"/>
    <w:rsid w:val="41341F21"/>
    <w:rsid w:val="41596D32"/>
    <w:rsid w:val="44A016A3"/>
    <w:rsid w:val="458B2E52"/>
    <w:rsid w:val="458F0F01"/>
    <w:rsid w:val="473A4147"/>
    <w:rsid w:val="48A80334"/>
    <w:rsid w:val="48CB2E57"/>
    <w:rsid w:val="49F24EFF"/>
    <w:rsid w:val="4AC37A11"/>
    <w:rsid w:val="4B2D5F5F"/>
    <w:rsid w:val="4BBF78F7"/>
    <w:rsid w:val="4BDB14E2"/>
    <w:rsid w:val="4BF56CFD"/>
    <w:rsid w:val="4BFA602E"/>
    <w:rsid w:val="4C1E1106"/>
    <w:rsid w:val="4D7F55AE"/>
    <w:rsid w:val="4D9922C6"/>
    <w:rsid w:val="4D9F3B17"/>
    <w:rsid w:val="4DAE3FEE"/>
    <w:rsid w:val="4EAE480F"/>
    <w:rsid w:val="4F270370"/>
    <w:rsid w:val="513C4B1C"/>
    <w:rsid w:val="51CE3145"/>
    <w:rsid w:val="53CC40F5"/>
    <w:rsid w:val="53DF2391"/>
    <w:rsid w:val="54CB338A"/>
    <w:rsid w:val="55193A86"/>
    <w:rsid w:val="55CF657E"/>
    <w:rsid w:val="56011758"/>
    <w:rsid w:val="565631E4"/>
    <w:rsid w:val="567321B3"/>
    <w:rsid w:val="58297A04"/>
    <w:rsid w:val="58347312"/>
    <w:rsid w:val="58553A82"/>
    <w:rsid w:val="587A5CA4"/>
    <w:rsid w:val="5953467A"/>
    <w:rsid w:val="59CE3CC4"/>
    <w:rsid w:val="5A126D85"/>
    <w:rsid w:val="5A7002FB"/>
    <w:rsid w:val="5B0E6FBB"/>
    <w:rsid w:val="5B1D1A67"/>
    <w:rsid w:val="5B5D291E"/>
    <w:rsid w:val="5F756D0D"/>
    <w:rsid w:val="607B0FDF"/>
    <w:rsid w:val="6105763A"/>
    <w:rsid w:val="615212B7"/>
    <w:rsid w:val="61B92A7B"/>
    <w:rsid w:val="623F06F0"/>
    <w:rsid w:val="62F86313"/>
    <w:rsid w:val="63A53EED"/>
    <w:rsid w:val="63B67E1F"/>
    <w:rsid w:val="64DB1553"/>
    <w:rsid w:val="654B57BD"/>
    <w:rsid w:val="66B65F6E"/>
    <w:rsid w:val="69620A77"/>
    <w:rsid w:val="6A9069A9"/>
    <w:rsid w:val="6AA6797E"/>
    <w:rsid w:val="6B01180E"/>
    <w:rsid w:val="6B3B679A"/>
    <w:rsid w:val="6C42008A"/>
    <w:rsid w:val="6CAD5BE5"/>
    <w:rsid w:val="6DD164D5"/>
    <w:rsid w:val="6E6803A9"/>
    <w:rsid w:val="6F1260B1"/>
    <w:rsid w:val="6F6E1D99"/>
    <w:rsid w:val="6FDC6DF5"/>
    <w:rsid w:val="700432C1"/>
    <w:rsid w:val="726F6ECB"/>
    <w:rsid w:val="7298114E"/>
    <w:rsid w:val="731402DE"/>
    <w:rsid w:val="731831BC"/>
    <w:rsid w:val="75BF0594"/>
    <w:rsid w:val="774978CC"/>
    <w:rsid w:val="77602D92"/>
    <w:rsid w:val="77B178E7"/>
    <w:rsid w:val="78583339"/>
    <w:rsid w:val="790D01CB"/>
    <w:rsid w:val="797B0B5D"/>
    <w:rsid w:val="79A63757"/>
    <w:rsid w:val="7B74240A"/>
    <w:rsid w:val="7BB40482"/>
    <w:rsid w:val="7BDA2DBC"/>
    <w:rsid w:val="7C543B22"/>
    <w:rsid w:val="7CE51439"/>
    <w:rsid w:val="7E254129"/>
    <w:rsid w:val="7E8F6BF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0" w:name="heading 6"/>
    <w:lsdException w:qFormat="1" w:uiPriority="0" w:name="heading 7"/>
    <w:lsdException w:qFormat="1" w:uiPriority="0" w:name="heading 8"/>
    <w:lsdException w:qFormat="1" w:unhideWhenUsed="0" w:uiPriority="99" w:semiHidden="0" w:name="heading 9"/>
    <w:lsdException w:qFormat="1" w:unhideWhenUsed="0" w:uiPriority="99" w:name="index 1"/>
    <w:lsdException w:qFormat="1" w:unhideWhenUsed="0" w:uiPriority="99" w:name="index 2"/>
    <w:lsdException w:qFormat="1" w:unhideWhenUsed="0" w:uiPriority="99" w:name="index 3"/>
    <w:lsdException w:qFormat="1" w:unhideWhenUsed="0" w:uiPriority="99" w:name="index 4"/>
    <w:lsdException w:qFormat="1" w:unhideWhenUsed="0" w:uiPriority="99" w:name="index 5"/>
    <w:lsdException w:qFormat="1" w:unhideWhenUsed="0" w:uiPriority="99" w:name="index 6"/>
    <w:lsdException w:qFormat="1" w:unhideWhenUsed="0" w:uiPriority="99" w:name="index 7"/>
    <w:lsdException w:qFormat="1" w:unhideWhenUsed="0" w:uiPriority="99" w:name="index 8"/>
    <w:lsdException w:qFormat="1" w:unhideWhenUsed="0" w:uiPriority="99" w:name="index 9"/>
    <w:lsdException w:qFormat="1" w:unhideWhenUsed="0" w:uiPriority="39" w:semiHidden="0" w:name="toc 1"/>
    <w:lsdException w:qFormat="1" w:unhideWhenUsed="0" w:uiPriority="39" w:semiHidden="0"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0"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name="index heading"/>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nhideWhenUsed="0" w:uiPriority="0" w:semiHidden="0" w:name="List Number"/>
    <w:lsdException w:uiPriority="99" w:name="List 2" w:locked="1"/>
    <w:lsdException w:uiPriority="99" w:name="List 3" w:locked="1"/>
    <w:lsdException w:unhideWhenUsed="0" w:uiPriority="0" w:semiHidden="0" w:name="List 4"/>
    <w:lsdException w:unhideWhenUsed="0" w:uiPriority="0" w:semiHidden="0" w:name="List 5"/>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0" w:semiHidden="0" w:name="Body Text Indent 3"/>
    <w:lsdException w:qFormat="1" w:unhideWhenUsed="0" w:uiPriority="99" w:semiHidden="0"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qFormat="1" w:unhideWhenUsed="0" w:uiPriority="99" w:name="Document Map"/>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52"/>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53"/>
    <w:qFormat/>
    <w:uiPriority w:val="9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54"/>
    <w:qFormat/>
    <w:uiPriority w:val="99"/>
    <w:pPr>
      <w:keepNext/>
      <w:keepLines/>
      <w:spacing w:before="260" w:after="260" w:line="416" w:lineRule="auto"/>
      <w:outlineLvl w:val="2"/>
    </w:pPr>
    <w:rPr>
      <w:b/>
      <w:bCs/>
      <w:sz w:val="32"/>
      <w:szCs w:val="32"/>
    </w:rPr>
  </w:style>
  <w:style w:type="paragraph" w:styleId="5">
    <w:name w:val="heading 4"/>
    <w:basedOn w:val="1"/>
    <w:next w:val="1"/>
    <w:link w:val="55"/>
    <w:qFormat/>
    <w:uiPriority w:val="99"/>
    <w:pPr>
      <w:keepNext/>
      <w:keepLines/>
      <w:spacing w:before="280" w:after="290" w:line="376" w:lineRule="auto"/>
      <w:outlineLvl w:val="3"/>
    </w:pPr>
    <w:rPr>
      <w:rFonts w:ascii="Cambria" w:hAnsi="Cambria"/>
      <w:b/>
      <w:bCs/>
      <w:sz w:val="28"/>
      <w:szCs w:val="28"/>
    </w:rPr>
  </w:style>
  <w:style w:type="paragraph" w:styleId="6">
    <w:name w:val="heading 5"/>
    <w:basedOn w:val="1"/>
    <w:next w:val="1"/>
    <w:link w:val="56"/>
    <w:qFormat/>
    <w:uiPriority w:val="99"/>
    <w:pPr>
      <w:keepNext/>
      <w:keepLines/>
      <w:spacing w:before="280" w:after="290" w:line="376" w:lineRule="auto"/>
      <w:outlineLvl w:val="4"/>
    </w:pPr>
    <w:rPr>
      <w:rFonts w:ascii="Calibri" w:hAnsi="Calibri"/>
      <w:b/>
      <w:bCs/>
      <w:sz w:val="28"/>
      <w:szCs w:val="28"/>
    </w:rPr>
  </w:style>
  <w:style w:type="paragraph" w:styleId="7">
    <w:name w:val="heading 9"/>
    <w:basedOn w:val="1"/>
    <w:next w:val="1"/>
    <w:link w:val="157"/>
    <w:qFormat/>
    <w:uiPriority w:val="99"/>
    <w:pPr>
      <w:keepNext/>
      <w:keepLines/>
      <w:widowControl/>
      <w:spacing w:before="240" w:after="64" w:line="320" w:lineRule="auto"/>
      <w:jc w:val="left"/>
      <w:outlineLvl w:val="8"/>
    </w:pPr>
    <w:rPr>
      <w:rFonts w:ascii="Calibri" w:hAnsi="Calibri"/>
      <w:kern w:val="0"/>
    </w:rPr>
  </w:style>
  <w:style w:type="character" w:default="1" w:styleId="46">
    <w:name w:val="Default Paragraph Font"/>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8">
    <w:name w:val="toc 7"/>
    <w:basedOn w:val="1"/>
    <w:next w:val="1"/>
    <w:semiHidden/>
    <w:qFormat/>
    <w:uiPriority w:val="99"/>
    <w:pPr>
      <w:ind w:left="1260"/>
      <w:jc w:val="left"/>
    </w:pPr>
    <w:rPr>
      <w:sz w:val="20"/>
      <w:szCs w:val="20"/>
    </w:rPr>
  </w:style>
  <w:style w:type="paragraph" w:styleId="9">
    <w:name w:val="index 8"/>
    <w:basedOn w:val="1"/>
    <w:next w:val="1"/>
    <w:semiHidden/>
    <w:qFormat/>
    <w:uiPriority w:val="99"/>
    <w:pPr>
      <w:ind w:left="1400" w:leftChars="1400"/>
    </w:pPr>
  </w:style>
  <w:style w:type="paragraph" w:styleId="10">
    <w:name w:val="Normal Indent"/>
    <w:basedOn w:val="1"/>
    <w:link w:val="145"/>
    <w:qFormat/>
    <w:uiPriority w:val="0"/>
    <w:pPr>
      <w:ind w:firstLine="420"/>
    </w:pPr>
  </w:style>
  <w:style w:type="paragraph" w:styleId="11">
    <w:name w:val="index 5"/>
    <w:basedOn w:val="1"/>
    <w:next w:val="1"/>
    <w:semiHidden/>
    <w:qFormat/>
    <w:uiPriority w:val="99"/>
    <w:pPr>
      <w:ind w:left="800" w:leftChars="800"/>
    </w:pPr>
  </w:style>
  <w:style w:type="paragraph" w:styleId="12">
    <w:name w:val="Document Map"/>
    <w:basedOn w:val="1"/>
    <w:link w:val="59"/>
    <w:semiHidden/>
    <w:qFormat/>
    <w:uiPriority w:val="99"/>
    <w:rPr>
      <w:rFonts w:ascii="宋体"/>
      <w:sz w:val="18"/>
      <w:szCs w:val="18"/>
    </w:rPr>
  </w:style>
  <w:style w:type="paragraph" w:styleId="13">
    <w:name w:val="annotation text"/>
    <w:basedOn w:val="1"/>
    <w:link w:val="57"/>
    <w:qFormat/>
    <w:uiPriority w:val="99"/>
    <w:pPr>
      <w:jc w:val="left"/>
    </w:pPr>
  </w:style>
  <w:style w:type="paragraph" w:styleId="14">
    <w:name w:val="index 6"/>
    <w:basedOn w:val="1"/>
    <w:next w:val="1"/>
    <w:semiHidden/>
    <w:qFormat/>
    <w:uiPriority w:val="99"/>
    <w:pPr>
      <w:ind w:left="1000" w:leftChars="1000"/>
    </w:pPr>
  </w:style>
  <w:style w:type="paragraph" w:styleId="15">
    <w:name w:val="Body Text"/>
    <w:basedOn w:val="1"/>
    <w:link w:val="60"/>
    <w:qFormat/>
    <w:uiPriority w:val="99"/>
    <w:rPr>
      <w:spacing w:val="20"/>
      <w:sz w:val="24"/>
      <w:szCs w:val="24"/>
    </w:rPr>
  </w:style>
  <w:style w:type="paragraph" w:styleId="16">
    <w:name w:val="Body Text Indent"/>
    <w:basedOn w:val="1"/>
    <w:link w:val="61"/>
    <w:qFormat/>
    <w:uiPriority w:val="99"/>
    <w:pPr>
      <w:adjustRightInd w:val="0"/>
      <w:spacing w:line="360" w:lineRule="auto"/>
      <w:ind w:firstLine="660"/>
      <w:textAlignment w:val="baseline"/>
    </w:pPr>
    <w:rPr>
      <w:rFonts w:ascii="宋体"/>
      <w:spacing w:val="20"/>
      <w:kern w:val="0"/>
      <w:sz w:val="28"/>
      <w:szCs w:val="28"/>
    </w:rPr>
  </w:style>
  <w:style w:type="paragraph" w:styleId="17">
    <w:name w:val="Block Text"/>
    <w:basedOn w:val="1"/>
    <w:qFormat/>
    <w:locked/>
    <w:uiPriority w:val="99"/>
    <w:pPr>
      <w:ind w:left="540" w:right="-90" w:firstLine="570"/>
    </w:pPr>
    <w:rPr>
      <w:sz w:val="28"/>
      <w:szCs w:val="28"/>
    </w:rPr>
  </w:style>
  <w:style w:type="paragraph" w:styleId="18">
    <w:name w:val="index 4"/>
    <w:basedOn w:val="1"/>
    <w:next w:val="1"/>
    <w:semiHidden/>
    <w:qFormat/>
    <w:uiPriority w:val="99"/>
    <w:pPr>
      <w:ind w:left="600" w:leftChars="600"/>
    </w:pPr>
  </w:style>
  <w:style w:type="paragraph" w:styleId="19">
    <w:name w:val="toc 5"/>
    <w:basedOn w:val="1"/>
    <w:next w:val="1"/>
    <w:semiHidden/>
    <w:qFormat/>
    <w:uiPriority w:val="99"/>
    <w:pPr>
      <w:ind w:left="840"/>
      <w:jc w:val="left"/>
    </w:pPr>
    <w:rPr>
      <w:sz w:val="20"/>
      <w:szCs w:val="20"/>
    </w:rPr>
  </w:style>
  <w:style w:type="paragraph" w:styleId="20">
    <w:name w:val="toc 3"/>
    <w:basedOn w:val="1"/>
    <w:next w:val="1"/>
    <w:semiHidden/>
    <w:qFormat/>
    <w:uiPriority w:val="99"/>
    <w:pPr>
      <w:ind w:left="420"/>
      <w:jc w:val="left"/>
    </w:pPr>
    <w:rPr>
      <w:sz w:val="20"/>
      <w:szCs w:val="20"/>
    </w:rPr>
  </w:style>
  <w:style w:type="paragraph" w:styleId="21">
    <w:name w:val="Plain Text"/>
    <w:basedOn w:val="1"/>
    <w:link w:val="62"/>
    <w:qFormat/>
    <w:uiPriority w:val="0"/>
    <w:pPr>
      <w:spacing w:line="500" w:lineRule="exact"/>
    </w:pPr>
    <w:rPr>
      <w:rFonts w:ascii="宋体" w:hAnsi="Courier New"/>
    </w:rPr>
  </w:style>
  <w:style w:type="paragraph" w:styleId="22">
    <w:name w:val="toc 8"/>
    <w:basedOn w:val="1"/>
    <w:next w:val="1"/>
    <w:semiHidden/>
    <w:qFormat/>
    <w:uiPriority w:val="99"/>
    <w:pPr>
      <w:ind w:left="1470"/>
      <w:jc w:val="left"/>
    </w:pPr>
    <w:rPr>
      <w:sz w:val="20"/>
      <w:szCs w:val="20"/>
    </w:rPr>
  </w:style>
  <w:style w:type="paragraph" w:styleId="23">
    <w:name w:val="index 3"/>
    <w:basedOn w:val="1"/>
    <w:next w:val="1"/>
    <w:semiHidden/>
    <w:qFormat/>
    <w:uiPriority w:val="99"/>
    <w:pPr>
      <w:ind w:left="400" w:leftChars="400"/>
    </w:pPr>
  </w:style>
  <w:style w:type="paragraph" w:styleId="24">
    <w:name w:val="Date"/>
    <w:basedOn w:val="1"/>
    <w:next w:val="1"/>
    <w:link w:val="63"/>
    <w:qFormat/>
    <w:uiPriority w:val="99"/>
    <w:pPr>
      <w:adjustRightInd w:val="0"/>
      <w:spacing w:line="312" w:lineRule="atLeast"/>
      <w:jc w:val="right"/>
      <w:textAlignment w:val="baseline"/>
    </w:pPr>
    <w:rPr>
      <w:rFonts w:ascii="宋体"/>
      <w:spacing w:val="20"/>
      <w:kern w:val="0"/>
      <w:sz w:val="28"/>
      <w:szCs w:val="28"/>
    </w:rPr>
  </w:style>
  <w:style w:type="paragraph" w:styleId="25">
    <w:name w:val="Body Text Indent 2"/>
    <w:basedOn w:val="1"/>
    <w:link w:val="64"/>
    <w:qFormat/>
    <w:uiPriority w:val="99"/>
    <w:pPr>
      <w:spacing w:line="360" w:lineRule="auto"/>
      <w:ind w:firstLine="624"/>
    </w:pPr>
    <w:rPr>
      <w:spacing w:val="20"/>
      <w:sz w:val="28"/>
      <w:szCs w:val="28"/>
    </w:rPr>
  </w:style>
  <w:style w:type="paragraph" w:styleId="26">
    <w:name w:val="Balloon Text"/>
    <w:basedOn w:val="1"/>
    <w:link w:val="65"/>
    <w:semiHidden/>
    <w:qFormat/>
    <w:uiPriority w:val="99"/>
    <w:rPr>
      <w:sz w:val="18"/>
      <w:szCs w:val="18"/>
    </w:rPr>
  </w:style>
  <w:style w:type="paragraph" w:styleId="27">
    <w:name w:val="footer"/>
    <w:basedOn w:val="1"/>
    <w:link w:val="66"/>
    <w:qFormat/>
    <w:uiPriority w:val="99"/>
    <w:pPr>
      <w:tabs>
        <w:tab w:val="center" w:pos="4153"/>
        <w:tab w:val="right" w:pos="8306"/>
      </w:tabs>
      <w:adjustRightInd w:val="0"/>
      <w:spacing w:line="240" w:lineRule="atLeast"/>
      <w:jc w:val="left"/>
      <w:textAlignment w:val="baseline"/>
    </w:pPr>
    <w:rPr>
      <w:kern w:val="0"/>
      <w:sz w:val="18"/>
      <w:szCs w:val="18"/>
    </w:rPr>
  </w:style>
  <w:style w:type="paragraph" w:styleId="28">
    <w:name w:val="header"/>
    <w:basedOn w:val="1"/>
    <w:link w:val="67"/>
    <w:qFormat/>
    <w:uiPriority w:val="99"/>
    <w:pPr>
      <w:tabs>
        <w:tab w:val="center" w:pos="4153"/>
        <w:tab w:val="right" w:pos="8306"/>
      </w:tabs>
      <w:snapToGrid w:val="0"/>
      <w:jc w:val="center"/>
    </w:pPr>
    <w:rPr>
      <w:sz w:val="18"/>
      <w:szCs w:val="18"/>
    </w:rPr>
  </w:style>
  <w:style w:type="paragraph" w:styleId="29">
    <w:name w:val="toc 1"/>
    <w:basedOn w:val="1"/>
    <w:next w:val="1"/>
    <w:qFormat/>
    <w:uiPriority w:val="39"/>
    <w:pPr>
      <w:tabs>
        <w:tab w:val="right" w:leader="dot" w:pos="9457"/>
      </w:tabs>
      <w:spacing w:line="360" w:lineRule="auto"/>
      <w:jc w:val="center"/>
      <w:outlineLvl w:val="0"/>
    </w:pPr>
    <w:rPr>
      <w:rFonts w:eastAsia="仿宋_GB2312"/>
      <w:b/>
      <w:bCs/>
      <w:spacing w:val="40"/>
      <w:kern w:val="0"/>
      <w:sz w:val="32"/>
      <w:szCs w:val="32"/>
    </w:rPr>
  </w:style>
  <w:style w:type="paragraph" w:styleId="30">
    <w:name w:val="toc 4"/>
    <w:basedOn w:val="1"/>
    <w:next w:val="1"/>
    <w:semiHidden/>
    <w:qFormat/>
    <w:uiPriority w:val="99"/>
    <w:pPr>
      <w:ind w:left="630"/>
      <w:jc w:val="left"/>
    </w:pPr>
    <w:rPr>
      <w:sz w:val="20"/>
      <w:szCs w:val="20"/>
    </w:rPr>
  </w:style>
  <w:style w:type="paragraph" w:styleId="31">
    <w:name w:val="index heading"/>
    <w:basedOn w:val="1"/>
    <w:next w:val="32"/>
    <w:semiHidden/>
    <w:qFormat/>
    <w:uiPriority w:val="99"/>
  </w:style>
  <w:style w:type="paragraph" w:styleId="32">
    <w:name w:val="index 1"/>
    <w:basedOn w:val="1"/>
    <w:next w:val="1"/>
    <w:semiHidden/>
    <w:qFormat/>
    <w:uiPriority w:val="99"/>
    <w:pPr>
      <w:spacing w:line="360" w:lineRule="auto"/>
      <w:jc w:val="center"/>
    </w:pPr>
    <w:rPr>
      <w:b/>
      <w:bCs/>
      <w:kern w:val="0"/>
      <w:sz w:val="30"/>
      <w:szCs w:val="30"/>
    </w:rPr>
  </w:style>
  <w:style w:type="paragraph" w:styleId="33">
    <w:name w:val="Subtitle"/>
    <w:basedOn w:val="1"/>
    <w:next w:val="1"/>
    <w:link w:val="68"/>
    <w:qFormat/>
    <w:uiPriority w:val="99"/>
    <w:pPr>
      <w:spacing w:before="240" w:after="60" w:line="312" w:lineRule="auto"/>
      <w:jc w:val="center"/>
      <w:outlineLvl w:val="1"/>
    </w:pPr>
    <w:rPr>
      <w:rFonts w:ascii="Cambria" w:hAnsi="Cambria"/>
      <w:b/>
      <w:bCs/>
      <w:kern w:val="28"/>
      <w:sz w:val="32"/>
      <w:szCs w:val="32"/>
    </w:rPr>
  </w:style>
  <w:style w:type="paragraph" w:styleId="34">
    <w:name w:val="toc 6"/>
    <w:basedOn w:val="1"/>
    <w:next w:val="1"/>
    <w:semiHidden/>
    <w:qFormat/>
    <w:uiPriority w:val="99"/>
    <w:pPr>
      <w:ind w:left="1050"/>
      <w:jc w:val="left"/>
    </w:pPr>
    <w:rPr>
      <w:sz w:val="20"/>
      <w:szCs w:val="20"/>
    </w:rPr>
  </w:style>
  <w:style w:type="paragraph" w:styleId="35">
    <w:name w:val="Body Text Indent 3"/>
    <w:basedOn w:val="1"/>
    <w:link w:val="69"/>
    <w:qFormat/>
    <w:uiPriority w:val="0"/>
    <w:pPr>
      <w:adjustRightInd w:val="0"/>
      <w:spacing w:line="360" w:lineRule="auto"/>
      <w:ind w:firstLine="660"/>
      <w:jc w:val="left"/>
      <w:textAlignment w:val="baseline"/>
    </w:pPr>
    <w:rPr>
      <w:rFonts w:ascii="宋体"/>
      <w:spacing w:val="20"/>
      <w:kern w:val="0"/>
      <w:sz w:val="28"/>
      <w:szCs w:val="28"/>
    </w:rPr>
  </w:style>
  <w:style w:type="paragraph" w:styleId="36">
    <w:name w:val="index 7"/>
    <w:basedOn w:val="1"/>
    <w:next w:val="1"/>
    <w:semiHidden/>
    <w:qFormat/>
    <w:uiPriority w:val="99"/>
    <w:pPr>
      <w:ind w:left="1200" w:leftChars="1200"/>
    </w:pPr>
  </w:style>
  <w:style w:type="paragraph" w:styleId="37">
    <w:name w:val="index 9"/>
    <w:basedOn w:val="1"/>
    <w:next w:val="1"/>
    <w:semiHidden/>
    <w:qFormat/>
    <w:uiPriority w:val="99"/>
    <w:pPr>
      <w:ind w:left="1600" w:leftChars="1600"/>
    </w:pPr>
  </w:style>
  <w:style w:type="paragraph" w:styleId="38">
    <w:name w:val="toc 2"/>
    <w:basedOn w:val="1"/>
    <w:next w:val="1"/>
    <w:qFormat/>
    <w:uiPriority w:val="39"/>
    <w:pPr>
      <w:tabs>
        <w:tab w:val="right" w:leader="dot" w:pos="9457"/>
      </w:tabs>
      <w:adjustRightInd w:val="0"/>
      <w:snapToGrid w:val="0"/>
      <w:spacing w:line="500" w:lineRule="exact"/>
      <w:ind w:left="29" w:hanging="29" w:hangingChars="12"/>
    </w:pPr>
    <w:rPr>
      <w:rFonts w:ascii="宋体" w:hAnsi="宋体" w:cs="宋体"/>
      <w:sz w:val="24"/>
      <w:szCs w:val="24"/>
    </w:rPr>
  </w:style>
  <w:style w:type="paragraph" w:styleId="39">
    <w:name w:val="toc 9"/>
    <w:basedOn w:val="1"/>
    <w:next w:val="1"/>
    <w:semiHidden/>
    <w:qFormat/>
    <w:uiPriority w:val="99"/>
    <w:pPr>
      <w:ind w:left="1680"/>
      <w:jc w:val="left"/>
    </w:pPr>
    <w:rPr>
      <w:sz w:val="20"/>
      <w:szCs w:val="20"/>
    </w:rPr>
  </w:style>
  <w:style w:type="paragraph" w:styleId="40">
    <w:name w:val="Normal (Web)"/>
    <w:basedOn w:val="1"/>
    <w:qFormat/>
    <w:uiPriority w:val="99"/>
    <w:pPr>
      <w:widowControl/>
      <w:spacing w:before="100" w:beforeAutospacing="1" w:after="100" w:afterAutospacing="1"/>
      <w:jc w:val="left"/>
    </w:pPr>
    <w:rPr>
      <w:rFonts w:ascii="Arial Unicode MS" w:eastAsia="Arial Unicode MS" w:cs="Arial Unicode MS"/>
      <w:kern w:val="0"/>
      <w:sz w:val="24"/>
      <w:szCs w:val="24"/>
    </w:rPr>
  </w:style>
  <w:style w:type="paragraph" w:styleId="41">
    <w:name w:val="index 2"/>
    <w:basedOn w:val="1"/>
    <w:next w:val="1"/>
    <w:semiHidden/>
    <w:qFormat/>
    <w:uiPriority w:val="99"/>
    <w:pPr>
      <w:ind w:left="200" w:leftChars="200"/>
    </w:pPr>
  </w:style>
  <w:style w:type="paragraph" w:styleId="42">
    <w:name w:val="annotation subject"/>
    <w:basedOn w:val="13"/>
    <w:next w:val="13"/>
    <w:link w:val="58"/>
    <w:semiHidden/>
    <w:qFormat/>
    <w:uiPriority w:val="99"/>
    <w:rPr>
      <w:b/>
      <w:bCs/>
    </w:rPr>
  </w:style>
  <w:style w:type="table" w:styleId="44">
    <w:name w:val="Table Grid"/>
    <w:basedOn w:val="4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5">
    <w:name w:val="Table Theme"/>
    <w:basedOn w:val="4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7">
    <w:name w:val="Strong"/>
    <w:qFormat/>
    <w:uiPriority w:val="99"/>
    <w:rPr>
      <w:b/>
      <w:bCs/>
    </w:rPr>
  </w:style>
  <w:style w:type="character" w:styleId="48">
    <w:name w:val="page number"/>
    <w:basedOn w:val="46"/>
    <w:qFormat/>
    <w:uiPriority w:val="99"/>
  </w:style>
  <w:style w:type="character" w:styleId="49">
    <w:name w:val="FollowedHyperlink"/>
    <w:qFormat/>
    <w:uiPriority w:val="99"/>
    <w:rPr>
      <w:color w:val="800080"/>
      <w:u w:val="single"/>
    </w:rPr>
  </w:style>
  <w:style w:type="character" w:styleId="50">
    <w:name w:val="Hyperlink"/>
    <w:qFormat/>
    <w:uiPriority w:val="99"/>
    <w:rPr>
      <w:color w:val="0000FF"/>
      <w:u w:val="single"/>
    </w:rPr>
  </w:style>
  <w:style w:type="character" w:styleId="51">
    <w:name w:val="annotation reference"/>
    <w:qFormat/>
    <w:uiPriority w:val="99"/>
    <w:rPr>
      <w:sz w:val="21"/>
      <w:szCs w:val="21"/>
    </w:rPr>
  </w:style>
  <w:style w:type="character" w:customStyle="1" w:styleId="52">
    <w:name w:val="标题 1 Char"/>
    <w:link w:val="2"/>
    <w:qFormat/>
    <w:locked/>
    <w:uiPriority w:val="99"/>
    <w:rPr>
      <w:b/>
      <w:bCs/>
      <w:kern w:val="44"/>
      <w:sz w:val="44"/>
      <w:szCs w:val="44"/>
    </w:rPr>
  </w:style>
  <w:style w:type="character" w:customStyle="1" w:styleId="53">
    <w:name w:val="标题 2 Char"/>
    <w:link w:val="3"/>
    <w:qFormat/>
    <w:locked/>
    <w:uiPriority w:val="99"/>
    <w:rPr>
      <w:rFonts w:ascii="Arial" w:hAnsi="Arial" w:eastAsia="黑体" w:cs="Arial"/>
      <w:b/>
      <w:bCs/>
      <w:kern w:val="2"/>
      <w:sz w:val="32"/>
      <w:szCs w:val="32"/>
    </w:rPr>
  </w:style>
  <w:style w:type="character" w:customStyle="1" w:styleId="54">
    <w:name w:val="标题 3 Char"/>
    <w:link w:val="4"/>
    <w:qFormat/>
    <w:locked/>
    <w:uiPriority w:val="99"/>
    <w:rPr>
      <w:b/>
      <w:bCs/>
      <w:kern w:val="2"/>
      <w:sz w:val="32"/>
      <w:szCs w:val="32"/>
    </w:rPr>
  </w:style>
  <w:style w:type="character" w:customStyle="1" w:styleId="55">
    <w:name w:val="标题 4 Char"/>
    <w:link w:val="5"/>
    <w:qFormat/>
    <w:locked/>
    <w:uiPriority w:val="99"/>
    <w:rPr>
      <w:rFonts w:ascii="Cambria" w:hAnsi="Cambria" w:cs="Cambria"/>
      <w:b/>
      <w:bCs/>
      <w:kern w:val="2"/>
      <w:sz w:val="28"/>
      <w:szCs w:val="28"/>
    </w:rPr>
  </w:style>
  <w:style w:type="character" w:customStyle="1" w:styleId="56">
    <w:name w:val="标题 5 Char"/>
    <w:link w:val="6"/>
    <w:qFormat/>
    <w:locked/>
    <w:uiPriority w:val="99"/>
    <w:rPr>
      <w:rFonts w:ascii="Calibri" w:hAnsi="Calibri" w:cs="Calibri"/>
      <w:b/>
      <w:bCs/>
      <w:kern w:val="2"/>
      <w:sz w:val="28"/>
      <w:szCs w:val="28"/>
    </w:rPr>
  </w:style>
  <w:style w:type="character" w:customStyle="1" w:styleId="57">
    <w:name w:val="批注文字 Char"/>
    <w:link w:val="13"/>
    <w:qFormat/>
    <w:locked/>
    <w:uiPriority w:val="99"/>
    <w:rPr>
      <w:kern w:val="2"/>
      <w:sz w:val="21"/>
      <w:szCs w:val="21"/>
    </w:rPr>
  </w:style>
  <w:style w:type="character" w:customStyle="1" w:styleId="58">
    <w:name w:val="批注主题 Char"/>
    <w:link w:val="42"/>
    <w:qFormat/>
    <w:locked/>
    <w:uiPriority w:val="99"/>
    <w:rPr>
      <w:b/>
      <w:bCs/>
      <w:kern w:val="2"/>
      <w:sz w:val="21"/>
      <w:szCs w:val="21"/>
    </w:rPr>
  </w:style>
  <w:style w:type="character" w:customStyle="1" w:styleId="59">
    <w:name w:val="文档结构图 Char"/>
    <w:link w:val="12"/>
    <w:qFormat/>
    <w:locked/>
    <w:uiPriority w:val="99"/>
    <w:rPr>
      <w:rFonts w:ascii="宋体" w:cs="宋体"/>
      <w:kern w:val="2"/>
      <w:sz w:val="18"/>
      <w:szCs w:val="18"/>
    </w:rPr>
  </w:style>
  <w:style w:type="character" w:customStyle="1" w:styleId="60">
    <w:name w:val="正文文本 Char"/>
    <w:link w:val="15"/>
    <w:qFormat/>
    <w:locked/>
    <w:uiPriority w:val="99"/>
    <w:rPr>
      <w:spacing w:val="20"/>
      <w:kern w:val="2"/>
      <w:sz w:val="24"/>
      <w:szCs w:val="24"/>
    </w:rPr>
  </w:style>
  <w:style w:type="character" w:customStyle="1" w:styleId="61">
    <w:name w:val="正文文本缩进 Char"/>
    <w:link w:val="16"/>
    <w:qFormat/>
    <w:locked/>
    <w:uiPriority w:val="99"/>
    <w:rPr>
      <w:rFonts w:ascii="宋体" w:cs="宋体"/>
      <w:spacing w:val="20"/>
      <w:sz w:val="28"/>
      <w:szCs w:val="28"/>
    </w:rPr>
  </w:style>
  <w:style w:type="character" w:customStyle="1" w:styleId="62">
    <w:name w:val="纯文本 Char"/>
    <w:link w:val="21"/>
    <w:qFormat/>
    <w:locked/>
    <w:uiPriority w:val="0"/>
    <w:rPr>
      <w:rFonts w:ascii="宋体" w:hAnsi="Courier New" w:cs="宋体"/>
      <w:kern w:val="2"/>
      <w:sz w:val="21"/>
      <w:szCs w:val="21"/>
    </w:rPr>
  </w:style>
  <w:style w:type="character" w:customStyle="1" w:styleId="63">
    <w:name w:val="日期 Char"/>
    <w:link w:val="24"/>
    <w:qFormat/>
    <w:locked/>
    <w:uiPriority w:val="99"/>
    <w:rPr>
      <w:rFonts w:ascii="宋体" w:cs="宋体"/>
      <w:spacing w:val="20"/>
      <w:sz w:val="28"/>
      <w:szCs w:val="28"/>
    </w:rPr>
  </w:style>
  <w:style w:type="character" w:customStyle="1" w:styleId="64">
    <w:name w:val="正文文本缩进 2 Char"/>
    <w:link w:val="25"/>
    <w:qFormat/>
    <w:locked/>
    <w:uiPriority w:val="99"/>
    <w:rPr>
      <w:spacing w:val="20"/>
      <w:kern w:val="2"/>
      <w:sz w:val="28"/>
      <w:szCs w:val="28"/>
    </w:rPr>
  </w:style>
  <w:style w:type="character" w:customStyle="1" w:styleId="65">
    <w:name w:val="批注框文本 Char"/>
    <w:link w:val="26"/>
    <w:qFormat/>
    <w:locked/>
    <w:uiPriority w:val="99"/>
    <w:rPr>
      <w:kern w:val="2"/>
      <w:sz w:val="18"/>
      <w:szCs w:val="18"/>
    </w:rPr>
  </w:style>
  <w:style w:type="character" w:customStyle="1" w:styleId="66">
    <w:name w:val="页脚 Char"/>
    <w:link w:val="27"/>
    <w:qFormat/>
    <w:locked/>
    <w:uiPriority w:val="99"/>
    <w:rPr>
      <w:sz w:val="18"/>
      <w:szCs w:val="18"/>
    </w:rPr>
  </w:style>
  <w:style w:type="character" w:customStyle="1" w:styleId="67">
    <w:name w:val="页眉 Char"/>
    <w:link w:val="28"/>
    <w:qFormat/>
    <w:locked/>
    <w:uiPriority w:val="99"/>
    <w:rPr>
      <w:kern w:val="2"/>
      <w:sz w:val="18"/>
      <w:szCs w:val="18"/>
    </w:rPr>
  </w:style>
  <w:style w:type="character" w:customStyle="1" w:styleId="68">
    <w:name w:val="副标题 Char"/>
    <w:link w:val="33"/>
    <w:qFormat/>
    <w:locked/>
    <w:uiPriority w:val="99"/>
    <w:rPr>
      <w:rFonts w:ascii="Cambria" w:hAnsi="Cambria" w:cs="Cambria"/>
      <w:b/>
      <w:bCs/>
      <w:kern w:val="28"/>
      <w:sz w:val="32"/>
      <w:szCs w:val="32"/>
    </w:rPr>
  </w:style>
  <w:style w:type="character" w:customStyle="1" w:styleId="69">
    <w:name w:val="正文文本缩进 3 Char"/>
    <w:link w:val="35"/>
    <w:qFormat/>
    <w:locked/>
    <w:uiPriority w:val="0"/>
    <w:rPr>
      <w:rFonts w:ascii="宋体" w:cs="宋体"/>
      <w:spacing w:val="20"/>
      <w:sz w:val="28"/>
      <w:szCs w:val="28"/>
    </w:rPr>
  </w:style>
  <w:style w:type="paragraph" w:customStyle="1" w:styleId="70">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71">
    <w:name w:val="font6"/>
    <w:basedOn w:val="1"/>
    <w:qFormat/>
    <w:uiPriority w:val="0"/>
    <w:pPr>
      <w:widowControl/>
      <w:spacing w:before="100" w:beforeAutospacing="1" w:after="100" w:afterAutospacing="1"/>
      <w:jc w:val="left"/>
    </w:pPr>
    <w:rPr>
      <w:rFonts w:eastAsia="Arial Unicode MS"/>
      <w:kern w:val="0"/>
      <w:sz w:val="18"/>
      <w:szCs w:val="18"/>
    </w:rPr>
  </w:style>
  <w:style w:type="paragraph" w:customStyle="1" w:styleId="72">
    <w:name w:val="font7"/>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73">
    <w:name w:val="font8"/>
    <w:basedOn w:val="1"/>
    <w:qFormat/>
    <w:uiPriority w:val="0"/>
    <w:pPr>
      <w:widowControl/>
      <w:spacing w:before="100" w:beforeAutospacing="1" w:after="100" w:afterAutospacing="1"/>
      <w:jc w:val="left"/>
    </w:pPr>
    <w:rPr>
      <w:rFonts w:ascii="宋体" w:hAnsi="宋体" w:cs="宋体"/>
      <w:kern w:val="0"/>
      <w:sz w:val="16"/>
      <w:szCs w:val="16"/>
    </w:rPr>
  </w:style>
  <w:style w:type="paragraph" w:customStyle="1" w:styleId="74">
    <w:name w:val="font9"/>
    <w:basedOn w:val="1"/>
    <w:qFormat/>
    <w:uiPriority w:val="0"/>
    <w:pPr>
      <w:widowControl/>
      <w:spacing w:before="100" w:beforeAutospacing="1" w:after="100" w:afterAutospacing="1"/>
      <w:jc w:val="left"/>
    </w:pPr>
    <w:rPr>
      <w:rFonts w:ascii="宋体" w:hAnsi="宋体" w:cs="宋体"/>
      <w:kern w:val="0"/>
      <w:sz w:val="16"/>
      <w:szCs w:val="16"/>
    </w:rPr>
  </w:style>
  <w:style w:type="paragraph" w:customStyle="1" w:styleId="75">
    <w:name w:val="font10"/>
    <w:basedOn w:val="1"/>
    <w:qFormat/>
    <w:uiPriority w:val="0"/>
    <w:pPr>
      <w:widowControl/>
      <w:spacing w:before="100" w:beforeAutospacing="1" w:after="100" w:afterAutospacing="1"/>
      <w:jc w:val="left"/>
    </w:pPr>
    <w:rPr>
      <w:rFonts w:eastAsia="Arial Unicode MS"/>
      <w:color w:val="000000"/>
      <w:kern w:val="0"/>
      <w:sz w:val="18"/>
      <w:szCs w:val="18"/>
    </w:rPr>
  </w:style>
  <w:style w:type="paragraph" w:customStyle="1" w:styleId="76">
    <w:name w:val="font11"/>
    <w:basedOn w:val="1"/>
    <w:qFormat/>
    <w:uiPriority w:val="99"/>
    <w:pPr>
      <w:widowControl/>
      <w:spacing w:before="100" w:beforeAutospacing="1" w:after="100" w:afterAutospacing="1"/>
      <w:jc w:val="left"/>
    </w:pPr>
    <w:rPr>
      <w:rFonts w:eastAsia="Arial Unicode MS"/>
      <w:kern w:val="0"/>
      <w:sz w:val="16"/>
      <w:szCs w:val="16"/>
    </w:rPr>
  </w:style>
  <w:style w:type="paragraph" w:customStyle="1" w:styleId="77">
    <w:name w:val="xl2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8">
    <w:name w:val="xl2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9">
    <w:name w:val="xl26"/>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0">
    <w:name w:val="xl2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1">
    <w:name w:val="xl28"/>
    <w:basedOn w:val="1"/>
    <w:qFormat/>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2">
    <w:name w:val="xl29"/>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3">
    <w:name w:val="xl30"/>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4">
    <w:name w:val="xl31"/>
    <w:basedOn w:val="1"/>
    <w:qFormat/>
    <w:uiPriority w:val="99"/>
    <w:pPr>
      <w:widowControl/>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5">
    <w:name w:val="xl32"/>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6">
    <w:name w:val="xl33"/>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7">
    <w:name w:val="xl3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8">
    <w:name w:val="xl35"/>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9">
    <w:name w:val="xl36"/>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90">
    <w:name w:val="xl37"/>
    <w:basedOn w:val="1"/>
    <w:qFormat/>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91">
    <w:name w:val="xl3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92">
    <w:name w:val="xl39"/>
    <w:basedOn w:val="1"/>
    <w:qFormat/>
    <w:uiPriority w:val="99"/>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93">
    <w:name w:val="font1"/>
    <w:basedOn w:val="1"/>
    <w:qFormat/>
    <w:uiPriority w:val="99"/>
    <w:pPr>
      <w:widowControl/>
      <w:spacing w:before="100" w:beforeAutospacing="1" w:after="100" w:afterAutospacing="1"/>
      <w:jc w:val="left"/>
    </w:pPr>
    <w:rPr>
      <w:rFonts w:ascii="宋体" w:hAnsi="宋体" w:cs="宋体"/>
      <w:b/>
      <w:bCs/>
      <w:kern w:val="0"/>
      <w:sz w:val="24"/>
      <w:szCs w:val="24"/>
    </w:rPr>
  </w:style>
  <w:style w:type="paragraph" w:customStyle="1" w:styleId="94">
    <w:name w:val="xl40"/>
    <w:basedOn w:val="1"/>
    <w:qFormat/>
    <w:uiPriority w:val="99"/>
    <w:pPr>
      <w:widowControl/>
      <w:pBdr>
        <w:top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95">
    <w:name w:val="Char1 Char Char Char"/>
    <w:basedOn w:val="1"/>
    <w:qFormat/>
    <w:uiPriority w:val="99"/>
    <w:pPr>
      <w:widowControl/>
      <w:spacing w:after="160" w:line="240" w:lineRule="exact"/>
      <w:jc w:val="left"/>
    </w:pPr>
    <w:rPr>
      <w:rFonts w:ascii="Tahoma" w:hAnsi="Tahoma" w:cs="Tahoma"/>
      <w:kern w:val="0"/>
      <w:sz w:val="24"/>
      <w:szCs w:val="24"/>
      <w:lang w:eastAsia="en-US"/>
    </w:rPr>
  </w:style>
  <w:style w:type="paragraph" w:customStyle="1" w:styleId="96">
    <w:name w:val="Char1 Char Char Char1"/>
    <w:basedOn w:val="1"/>
    <w:qFormat/>
    <w:uiPriority w:val="99"/>
    <w:pPr>
      <w:widowControl/>
      <w:spacing w:after="160" w:line="240" w:lineRule="exact"/>
      <w:jc w:val="left"/>
    </w:pPr>
    <w:rPr>
      <w:rFonts w:ascii="Tahoma" w:hAnsi="Tahoma" w:cs="Tahoma"/>
      <w:kern w:val="0"/>
      <w:sz w:val="24"/>
      <w:szCs w:val="24"/>
      <w:lang w:eastAsia="en-US"/>
    </w:rPr>
  </w:style>
  <w:style w:type="character" w:customStyle="1" w:styleId="97">
    <w:name w:val="short_text1"/>
    <w:qFormat/>
    <w:uiPriority w:val="99"/>
    <w:rPr>
      <w:sz w:val="29"/>
      <w:szCs w:val="29"/>
    </w:rPr>
  </w:style>
  <w:style w:type="paragraph" w:customStyle="1" w:styleId="98">
    <w:name w:val="Default"/>
    <w:qFormat/>
    <w:uiPriority w:val="99"/>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character" w:customStyle="1" w:styleId="99">
    <w:name w:val="apple-style-span"/>
    <w:basedOn w:val="46"/>
    <w:qFormat/>
    <w:uiPriority w:val="99"/>
  </w:style>
  <w:style w:type="character" w:customStyle="1" w:styleId="100">
    <w:name w:val="apple-converted-space"/>
    <w:basedOn w:val="46"/>
    <w:qFormat/>
    <w:uiPriority w:val="99"/>
  </w:style>
  <w:style w:type="paragraph" w:customStyle="1" w:styleId="101">
    <w:name w:val="Char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102">
    <w:name w:val="列出段落1"/>
    <w:basedOn w:val="1"/>
    <w:qFormat/>
    <w:uiPriority w:val="99"/>
    <w:pPr>
      <w:ind w:firstLine="420" w:firstLineChars="200"/>
    </w:pPr>
  </w:style>
  <w:style w:type="paragraph" w:customStyle="1" w:styleId="103">
    <w:name w:val="Char"/>
    <w:basedOn w:val="1"/>
    <w:qFormat/>
    <w:uiPriority w:val="99"/>
  </w:style>
  <w:style w:type="paragraph" w:customStyle="1" w:styleId="104">
    <w:name w:val="Char Char Char 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105">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06">
    <w:name w:val="默认段落字体 Para Char Char Char Char Char Char Char"/>
    <w:basedOn w:val="1"/>
    <w:qFormat/>
    <w:uiPriority w:val="99"/>
    <w:rPr>
      <w:rFonts w:ascii="Tahoma" w:hAnsi="Tahoma" w:cs="Tahoma"/>
      <w:sz w:val="24"/>
      <w:szCs w:val="24"/>
    </w:rPr>
  </w:style>
  <w:style w:type="paragraph" w:customStyle="1" w:styleId="107">
    <w:name w:val="修订1"/>
    <w:hidden/>
    <w:semiHidden/>
    <w:qFormat/>
    <w:uiPriority w:val="99"/>
    <w:rPr>
      <w:rFonts w:ascii="Calibri" w:hAnsi="Calibri" w:eastAsia="宋体" w:cs="Calibri"/>
      <w:kern w:val="2"/>
      <w:sz w:val="21"/>
      <w:szCs w:val="21"/>
      <w:lang w:val="en-US" w:eastAsia="zh-CN" w:bidi="ar-SA"/>
    </w:rPr>
  </w:style>
  <w:style w:type="paragraph" w:customStyle="1" w:styleId="108">
    <w:name w:val="正文文本缩进 21"/>
    <w:basedOn w:val="1"/>
    <w:qFormat/>
    <w:uiPriority w:val="99"/>
    <w:pPr>
      <w:spacing w:after="120" w:line="480" w:lineRule="auto"/>
      <w:ind w:left="420" w:leftChars="200"/>
    </w:pPr>
  </w:style>
  <w:style w:type="paragraph" w:customStyle="1" w:styleId="109">
    <w:name w:val="样式1"/>
    <w:basedOn w:val="1"/>
    <w:qFormat/>
    <w:uiPriority w:val="99"/>
    <w:pPr>
      <w:spacing w:line="360" w:lineRule="auto"/>
      <w:ind w:firstLine="360" w:firstLineChars="150"/>
    </w:pPr>
    <w:rPr>
      <w:rFonts w:ascii="仿宋_GB2312" w:hAnsi="宋体" w:eastAsia="仿宋_GB2312" w:cs="仿宋_GB2312"/>
      <w:sz w:val="24"/>
      <w:szCs w:val="24"/>
    </w:rPr>
  </w:style>
  <w:style w:type="paragraph" w:customStyle="1" w:styleId="110">
    <w:name w:val="font12"/>
    <w:basedOn w:val="1"/>
    <w:qFormat/>
    <w:uiPriority w:val="99"/>
    <w:pPr>
      <w:widowControl/>
      <w:spacing w:before="100" w:beforeAutospacing="1" w:after="100" w:afterAutospacing="1"/>
      <w:jc w:val="left"/>
    </w:pPr>
    <w:rPr>
      <w:b/>
      <w:bCs/>
      <w:color w:val="000000"/>
      <w:kern w:val="0"/>
      <w:sz w:val="18"/>
      <w:szCs w:val="18"/>
    </w:rPr>
  </w:style>
  <w:style w:type="character" w:customStyle="1" w:styleId="111">
    <w:name w:val="unnamed11"/>
    <w:qFormat/>
    <w:uiPriority w:val="99"/>
    <w:rPr>
      <w:rFonts w:ascii="宋体" w:hAnsi="宋体" w:eastAsia="宋体" w:cs="宋体"/>
      <w:spacing w:val="240"/>
      <w:sz w:val="18"/>
      <w:szCs w:val="18"/>
    </w:rPr>
  </w:style>
  <w:style w:type="character" w:customStyle="1" w:styleId="112">
    <w:name w:val="duanl"/>
    <w:basedOn w:val="46"/>
    <w:qFormat/>
    <w:uiPriority w:val="99"/>
  </w:style>
  <w:style w:type="character" w:customStyle="1" w:styleId="113">
    <w:name w:val="divtxt1"/>
    <w:qFormat/>
    <w:uiPriority w:val="99"/>
    <w:rPr>
      <w:color w:val="000000"/>
      <w:spacing w:val="15"/>
    </w:rPr>
  </w:style>
  <w:style w:type="character" w:customStyle="1" w:styleId="114">
    <w:name w:val="bb1"/>
    <w:qFormat/>
    <w:uiPriority w:val="99"/>
    <w:rPr>
      <w:sz w:val="24"/>
      <w:szCs w:val="24"/>
    </w:rPr>
  </w:style>
  <w:style w:type="paragraph" w:customStyle="1" w:styleId="115">
    <w:name w:val="4"/>
    <w:basedOn w:val="1"/>
    <w:next w:val="35"/>
    <w:qFormat/>
    <w:uiPriority w:val="99"/>
    <w:pPr>
      <w:adjustRightInd w:val="0"/>
      <w:spacing w:line="360" w:lineRule="auto"/>
      <w:ind w:left="600" w:firstLine="555"/>
      <w:jc w:val="left"/>
      <w:textAlignment w:val="baseline"/>
      <w:outlineLvl w:val="0"/>
    </w:pPr>
    <w:rPr>
      <w:rFonts w:ascii="楷体_GB2312" w:eastAsia="楷体_GB2312" w:cs="楷体_GB2312"/>
      <w:sz w:val="28"/>
      <w:szCs w:val="28"/>
    </w:rPr>
  </w:style>
  <w:style w:type="paragraph" w:customStyle="1" w:styleId="116">
    <w:name w:val="3"/>
    <w:basedOn w:val="1"/>
    <w:next w:val="40"/>
    <w:qFormat/>
    <w:uiPriority w:val="99"/>
    <w:pPr>
      <w:widowControl/>
      <w:spacing w:before="100" w:after="100"/>
      <w:jc w:val="left"/>
    </w:pPr>
    <w:rPr>
      <w:rFonts w:ascii="宋体" w:hAnsi="宋体" w:cs="宋体"/>
      <w:kern w:val="0"/>
      <w:sz w:val="18"/>
      <w:szCs w:val="18"/>
    </w:rPr>
  </w:style>
  <w:style w:type="paragraph" w:customStyle="1" w:styleId="117">
    <w:name w:val="2"/>
    <w:basedOn w:val="1"/>
    <w:next w:val="35"/>
    <w:qFormat/>
    <w:uiPriority w:val="99"/>
    <w:pPr>
      <w:adjustRightInd w:val="0"/>
      <w:spacing w:line="360" w:lineRule="auto"/>
      <w:ind w:left="600" w:firstLine="555"/>
      <w:jc w:val="left"/>
      <w:textAlignment w:val="baseline"/>
      <w:outlineLvl w:val="0"/>
    </w:pPr>
    <w:rPr>
      <w:rFonts w:ascii="楷体_GB2312" w:eastAsia="楷体_GB2312" w:cs="楷体_GB2312"/>
      <w:sz w:val="28"/>
      <w:szCs w:val="28"/>
    </w:rPr>
  </w:style>
  <w:style w:type="paragraph" w:customStyle="1" w:styleId="118">
    <w:name w:val="1"/>
    <w:basedOn w:val="1"/>
    <w:next w:val="40"/>
    <w:qFormat/>
    <w:uiPriority w:val="99"/>
    <w:pPr>
      <w:widowControl/>
      <w:spacing w:before="100" w:after="100"/>
      <w:jc w:val="left"/>
    </w:pPr>
    <w:rPr>
      <w:rFonts w:ascii="宋体" w:hAnsi="宋体" w:cs="宋体"/>
      <w:kern w:val="0"/>
      <w:sz w:val="18"/>
      <w:szCs w:val="18"/>
    </w:rPr>
  </w:style>
  <w:style w:type="paragraph" w:customStyle="1" w:styleId="119">
    <w:name w:val="正文 + 宋体"/>
    <w:basedOn w:val="1"/>
    <w:link w:val="120"/>
    <w:qFormat/>
    <w:uiPriority w:val="99"/>
    <w:pPr>
      <w:adjustRightInd w:val="0"/>
      <w:snapToGrid w:val="0"/>
      <w:spacing w:line="360" w:lineRule="auto"/>
      <w:ind w:firstLine="527"/>
    </w:pPr>
    <w:rPr>
      <w:rFonts w:ascii="宋体"/>
      <w:sz w:val="26"/>
      <w:szCs w:val="26"/>
    </w:rPr>
  </w:style>
  <w:style w:type="character" w:customStyle="1" w:styleId="120">
    <w:name w:val="正文 + 宋体 Char"/>
    <w:link w:val="119"/>
    <w:qFormat/>
    <w:locked/>
    <w:uiPriority w:val="99"/>
    <w:rPr>
      <w:rFonts w:ascii="宋体" w:eastAsia="宋体" w:cs="宋体"/>
      <w:kern w:val="2"/>
      <w:sz w:val="26"/>
      <w:szCs w:val="26"/>
    </w:rPr>
  </w:style>
  <w:style w:type="character" w:customStyle="1" w:styleId="121">
    <w:name w:val="f101"/>
    <w:qFormat/>
    <w:uiPriority w:val="99"/>
    <w:rPr>
      <w:rFonts w:ascii="Arial" w:hAnsi="Arial" w:cs="Arial"/>
      <w:spacing w:val="480"/>
      <w:sz w:val="18"/>
      <w:szCs w:val="18"/>
    </w:rPr>
  </w:style>
  <w:style w:type="character" w:customStyle="1" w:styleId="122">
    <w:name w:val="f131"/>
    <w:basedOn w:val="46"/>
    <w:qFormat/>
    <w:uiPriority w:val="99"/>
  </w:style>
  <w:style w:type="character" w:customStyle="1" w:styleId="123">
    <w:name w:val="ts2"/>
    <w:qFormat/>
    <w:uiPriority w:val="99"/>
    <w:rPr>
      <w:rFonts w:ascii="楷体" w:eastAsia="楷体" w:cs="楷体"/>
      <w:sz w:val="24"/>
      <w:szCs w:val="24"/>
    </w:rPr>
  </w:style>
  <w:style w:type="paragraph" w:customStyle="1" w:styleId="124">
    <w:name w:val="font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25">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126">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127">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0"/>
      <w:szCs w:val="20"/>
    </w:rPr>
  </w:style>
  <w:style w:type="character" w:customStyle="1" w:styleId="128">
    <w:name w:val="正文 + 宋体 Char1"/>
    <w:qFormat/>
    <w:uiPriority w:val="99"/>
    <w:rPr>
      <w:rFonts w:eastAsia="宋体"/>
      <w:kern w:val="2"/>
      <w:sz w:val="21"/>
      <w:szCs w:val="21"/>
      <w:lang w:val="en-US" w:eastAsia="zh-CN"/>
    </w:rPr>
  </w:style>
  <w:style w:type="paragraph" w:customStyle="1" w:styleId="129">
    <w:name w:val="xl41"/>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cs="Arial Unicode MS"/>
      <w:kern w:val="0"/>
      <w:sz w:val="20"/>
      <w:szCs w:val="20"/>
    </w:rPr>
  </w:style>
  <w:style w:type="paragraph" w:customStyle="1" w:styleId="130">
    <w:name w:val="xl42"/>
    <w:basedOn w:val="1"/>
    <w:qFormat/>
    <w:uiPriority w:val="99"/>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cs="Arial Unicode MS"/>
      <w:kern w:val="0"/>
      <w:sz w:val="20"/>
      <w:szCs w:val="20"/>
    </w:rPr>
  </w:style>
  <w:style w:type="paragraph" w:customStyle="1" w:styleId="131">
    <w:name w:val="xl43"/>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kern w:val="0"/>
      <w:sz w:val="20"/>
      <w:szCs w:val="20"/>
    </w:rPr>
  </w:style>
  <w:style w:type="paragraph" w:customStyle="1" w:styleId="132">
    <w:name w:val="普通(网站)1"/>
    <w:basedOn w:val="1"/>
    <w:qFormat/>
    <w:uiPriority w:val="99"/>
    <w:pPr>
      <w:widowControl/>
      <w:spacing w:before="100" w:after="100"/>
      <w:jc w:val="left"/>
    </w:pPr>
    <w:rPr>
      <w:rFonts w:ascii="宋体" w:hAnsi="宋体" w:cs="宋体"/>
      <w:kern w:val="0"/>
      <w:sz w:val="18"/>
      <w:szCs w:val="18"/>
    </w:rPr>
  </w:style>
  <w:style w:type="paragraph" w:customStyle="1" w:styleId="133">
    <w:name w:val="样式3"/>
    <w:basedOn w:val="1"/>
    <w:qFormat/>
    <w:uiPriority w:val="99"/>
    <w:pPr>
      <w:adjustRightInd w:val="0"/>
      <w:spacing w:line="400" w:lineRule="exact"/>
      <w:ind w:firstLine="737"/>
      <w:jc w:val="left"/>
      <w:textAlignment w:val="baseline"/>
    </w:pPr>
    <w:rPr>
      <w:rFonts w:ascii="仿宋体" w:cs="仿宋体"/>
      <w:spacing w:val="24"/>
      <w:kern w:val="0"/>
      <w:sz w:val="30"/>
      <w:szCs w:val="30"/>
    </w:rPr>
  </w:style>
  <w:style w:type="paragraph" w:customStyle="1" w:styleId="134">
    <w:name w:val="列出段落11"/>
    <w:basedOn w:val="1"/>
    <w:qFormat/>
    <w:uiPriority w:val="99"/>
    <w:pPr>
      <w:ind w:firstLine="420" w:firstLineChars="200"/>
    </w:pPr>
    <w:rPr>
      <w:rFonts w:ascii="Calibri" w:hAnsi="Calibri" w:cs="Calibri"/>
    </w:rPr>
  </w:style>
  <w:style w:type="character" w:customStyle="1" w:styleId="135">
    <w:name w:val="批注引用1"/>
    <w:qFormat/>
    <w:uiPriority w:val="99"/>
    <w:rPr>
      <w:sz w:val="21"/>
      <w:szCs w:val="21"/>
    </w:rPr>
  </w:style>
  <w:style w:type="paragraph" w:customStyle="1" w:styleId="136">
    <w:name w:val="彩色列表 - 强调文字颜色 11"/>
    <w:basedOn w:val="1"/>
    <w:qFormat/>
    <w:uiPriority w:val="99"/>
    <w:pPr>
      <w:ind w:firstLine="420" w:firstLineChars="200"/>
    </w:pPr>
    <w:rPr>
      <w:rFonts w:ascii="Calibri" w:hAnsi="Calibri" w:cs="Calibri"/>
    </w:rPr>
  </w:style>
  <w:style w:type="paragraph" w:customStyle="1" w:styleId="137">
    <w:name w:val="Char1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138">
    <w:name w:val="正文文本缩进 211"/>
    <w:basedOn w:val="1"/>
    <w:qFormat/>
    <w:uiPriority w:val="99"/>
    <w:pPr>
      <w:spacing w:after="120" w:line="480" w:lineRule="auto"/>
      <w:ind w:left="420" w:leftChars="200"/>
    </w:pPr>
  </w:style>
  <w:style w:type="paragraph" w:customStyle="1" w:styleId="139">
    <w:name w:val="引用1"/>
    <w:basedOn w:val="1"/>
    <w:next w:val="1"/>
    <w:link w:val="140"/>
    <w:qFormat/>
    <w:uiPriority w:val="99"/>
    <w:rPr>
      <w:i/>
      <w:iCs/>
      <w:color w:val="000000"/>
    </w:rPr>
  </w:style>
  <w:style w:type="character" w:customStyle="1" w:styleId="140">
    <w:name w:val="引用 Char"/>
    <w:link w:val="139"/>
    <w:qFormat/>
    <w:locked/>
    <w:uiPriority w:val="99"/>
    <w:rPr>
      <w:i/>
      <w:iCs/>
      <w:color w:val="000000"/>
      <w:kern w:val="2"/>
      <w:sz w:val="21"/>
      <w:szCs w:val="21"/>
    </w:rPr>
  </w:style>
  <w:style w:type="paragraph" w:customStyle="1" w:styleId="141">
    <w:name w:val="TOC 标题1"/>
    <w:basedOn w:val="2"/>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142">
    <w:name w:val="报告正文"/>
    <w:basedOn w:val="1"/>
    <w:qFormat/>
    <w:uiPriority w:val="99"/>
    <w:pPr>
      <w:spacing w:line="500" w:lineRule="atLeast"/>
      <w:ind w:firstLine="567"/>
    </w:pPr>
    <w:rPr>
      <w:rFonts w:ascii="仿宋_GB2312" w:hAnsi="Courier New" w:eastAsia="仿宋_GB2312" w:cs="仿宋_GB2312"/>
      <w:sz w:val="28"/>
      <w:szCs w:val="28"/>
    </w:rPr>
  </w:style>
  <w:style w:type="paragraph" w:customStyle="1" w:styleId="143">
    <w:name w:val="模版-正文分散对齐"/>
    <w:basedOn w:val="1"/>
    <w:qFormat/>
    <w:uiPriority w:val="0"/>
    <w:pPr>
      <w:widowControl/>
      <w:adjustRightInd w:val="0"/>
      <w:snapToGrid w:val="0"/>
      <w:jc w:val="distribute"/>
    </w:pPr>
    <w:rPr>
      <w:rFonts w:eastAsia="华文细黑"/>
      <w:color w:val="000000"/>
      <w:sz w:val="18"/>
      <w:szCs w:val="22"/>
    </w:rPr>
  </w:style>
  <w:style w:type="paragraph" w:styleId="144">
    <w:name w:val="List Paragraph"/>
    <w:basedOn w:val="1"/>
    <w:unhideWhenUsed/>
    <w:qFormat/>
    <w:uiPriority w:val="34"/>
    <w:pPr>
      <w:ind w:firstLine="420" w:firstLineChars="200"/>
    </w:pPr>
  </w:style>
  <w:style w:type="character" w:customStyle="1" w:styleId="145">
    <w:name w:val="正文缩进 Char"/>
    <w:link w:val="10"/>
    <w:qFormat/>
    <w:uiPriority w:val="0"/>
    <w:rPr>
      <w:kern w:val="2"/>
      <w:sz w:val="21"/>
      <w:szCs w:val="21"/>
    </w:rPr>
  </w:style>
  <w:style w:type="character" w:customStyle="1" w:styleId="146">
    <w:name w:val="font31"/>
    <w:basedOn w:val="46"/>
    <w:qFormat/>
    <w:uiPriority w:val="0"/>
    <w:rPr>
      <w:rFonts w:hint="default" w:ascii="Times New Roman" w:hAnsi="Times New Roman" w:cs="Times New Roman"/>
      <w:color w:val="000000"/>
      <w:sz w:val="20"/>
      <w:szCs w:val="20"/>
      <w:u w:val="none"/>
    </w:rPr>
  </w:style>
  <w:style w:type="character" w:customStyle="1" w:styleId="147">
    <w:name w:val="font21"/>
    <w:basedOn w:val="46"/>
    <w:qFormat/>
    <w:uiPriority w:val="0"/>
    <w:rPr>
      <w:rFonts w:hint="eastAsia" w:ascii="仿宋_GB2312" w:eastAsia="仿宋_GB2312" w:cs="仿宋_GB2312"/>
      <w:color w:val="000000"/>
      <w:sz w:val="20"/>
      <w:szCs w:val="20"/>
      <w:u w:val="none"/>
    </w:rPr>
  </w:style>
  <w:style w:type="character" w:customStyle="1" w:styleId="148">
    <w:name w:val="font51"/>
    <w:basedOn w:val="46"/>
    <w:qFormat/>
    <w:uiPriority w:val="0"/>
    <w:rPr>
      <w:rFonts w:hint="default" w:ascii="Times New Roman" w:hAnsi="Times New Roman" w:cs="Times New Roman"/>
      <w:b/>
      <w:color w:val="000000"/>
      <w:sz w:val="22"/>
      <w:szCs w:val="22"/>
      <w:u w:val="none"/>
    </w:rPr>
  </w:style>
  <w:style w:type="character" w:customStyle="1" w:styleId="149">
    <w:name w:val="font41"/>
    <w:basedOn w:val="46"/>
    <w:qFormat/>
    <w:uiPriority w:val="0"/>
    <w:rPr>
      <w:rFonts w:hint="default" w:ascii="Times New Roman" w:hAnsi="Times New Roman" w:cs="Times New Roman"/>
      <w:color w:val="000000"/>
      <w:sz w:val="22"/>
      <w:szCs w:val="22"/>
      <w:u w:val="none"/>
    </w:rPr>
  </w:style>
  <w:style w:type="paragraph" w:customStyle="1" w:styleId="150">
    <w:name w:val="模版-表格居中"/>
    <w:basedOn w:val="1"/>
    <w:qFormat/>
    <w:uiPriority w:val="99"/>
    <w:pPr>
      <w:spacing w:line="240" w:lineRule="exact"/>
      <w:jc w:val="center"/>
    </w:pPr>
  </w:style>
  <w:style w:type="character" w:customStyle="1" w:styleId="151">
    <w:name w:val="font71"/>
    <w:basedOn w:val="46"/>
    <w:qFormat/>
    <w:uiPriority w:val="0"/>
    <w:rPr>
      <w:rFonts w:hint="eastAsia" w:ascii="仿宋_GB2312" w:eastAsia="仿宋_GB2312" w:cs="仿宋_GB2312"/>
      <w:color w:val="000000"/>
      <w:sz w:val="21"/>
      <w:szCs w:val="21"/>
      <w:u w:val="none"/>
    </w:rPr>
  </w:style>
  <w:style w:type="character" w:customStyle="1" w:styleId="152">
    <w:name w:val="font61"/>
    <w:basedOn w:val="46"/>
    <w:qFormat/>
    <w:uiPriority w:val="0"/>
    <w:rPr>
      <w:rFonts w:hint="eastAsia" w:ascii="仿宋_GB2312" w:eastAsia="仿宋_GB2312" w:cs="仿宋_GB2312"/>
      <w:color w:val="000000"/>
      <w:sz w:val="21"/>
      <w:szCs w:val="21"/>
      <w:u w:val="none"/>
    </w:rPr>
  </w:style>
  <w:style w:type="character" w:customStyle="1" w:styleId="153">
    <w:name w:val="font81"/>
    <w:basedOn w:val="46"/>
    <w:qFormat/>
    <w:uiPriority w:val="0"/>
    <w:rPr>
      <w:rFonts w:ascii="仿宋_GB2312" w:eastAsia="仿宋_GB2312" w:cs="仿宋_GB2312"/>
      <w:b/>
      <w:bCs/>
      <w:color w:val="000000"/>
      <w:sz w:val="21"/>
      <w:szCs w:val="21"/>
      <w:u w:val="none"/>
    </w:rPr>
  </w:style>
  <w:style w:type="character" w:customStyle="1" w:styleId="154">
    <w:name w:val="font91"/>
    <w:basedOn w:val="46"/>
    <w:qFormat/>
    <w:uiPriority w:val="0"/>
    <w:rPr>
      <w:rFonts w:hint="eastAsia" w:ascii="仿宋_GB2312" w:eastAsia="仿宋_GB2312" w:cs="仿宋_GB2312"/>
      <w:b/>
      <w:bCs/>
      <w:color w:val="000000"/>
      <w:sz w:val="21"/>
      <w:szCs w:val="21"/>
      <w:u w:val="none"/>
    </w:rPr>
  </w:style>
  <w:style w:type="character" w:customStyle="1" w:styleId="155">
    <w:name w:val="font101"/>
    <w:basedOn w:val="46"/>
    <w:qFormat/>
    <w:uiPriority w:val="0"/>
    <w:rPr>
      <w:rFonts w:hint="eastAsia" w:ascii="仿宋_GB2312" w:eastAsia="仿宋_GB2312" w:cs="仿宋_GB2312"/>
      <w:color w:val="000000"/>
      <w:sz w:val="21"/>
      <w:szCs w:val="21"/>
      <w:u w:val="none"/>
    </w:rPr>
  </w:style>
  <w:style w:type="character" w:customStyle="1" w:styleId="156">
    <w:name w:val="font01"/>
    <w:basedOn w:val="46"/>
    <w:qFormat/>
    <w:uiPriority w:val="0"/>
    <w:rPr>
      <w:rFonts w:hint="default" w:ascii="Times New Roman" w:hAnsi="Times New Roman" w:cs="Times New Roman"/>
      <w:color w:val="000000"/>
      <w:sz w:val="21"/>
      <w:szCs w:val="21"/>
      <w:u w:val="none"/>
    </w:rPr>
  </w:style>
  <w:style w:type="character" w:customStyle="1" w:styleId="157">
    <w:name w:val="标题 9 Char"/>
    <w:basedOn w:val="46"/>
    <w:link w:val="7"/>
    <w:qFormat/>
    <w:uiPriority w:val="99"/>
    <w:rPr>
      <w:rFonts w:ascii="Calibri" w:hAnsi="Calibri"/>
      <w:sz w:val="21"/>
      <w:szCs w:val="21"/>
    </w:rPr>
  </w:style>
  <w:style w:type="paragraph" w:styleId="158">
    <w:name w:val="Quote"/>
    <w:basedOn w:val="1"/>
    <w:next w:val="1"/>
    <w:link w:val="159"/>
    <w:qFormat/>
    <w:uiPriority w:val="99"/>
    <w:rPr>
      <w:i/>
      <w:iCs/>
      <w:color w:val="000000"/>
    </w:rPr>
  </w:style>
  <w:style w:type="character" w:customStyle="1" w:styleId="159">
    <w:name w:val="引用 Char1"/>
    <w:basedOn w:val="46"/>
    <w:link w:val="158"/>
    <w:semiHidden/>
    <w:qFormat/>
    <w:uiPriority w:val="99"/>
    <w:rPr>
      <w:i/>
      <w:iCs/>
      <w:color w:val="000000" w:themeColor="text1"/>
      <w:kern w:val="2"/>
      <w:sz w:val="21"/>
      <w:szCs w:val="21"/>
    </w:rPr>
  </w:style>
  <w:style w:type="character" w:customStyle="1" w:styleId="160">
    <w:name w:val="newstitle1"/>
    <w:qFormat/>
    <w:uiPriority w:val="99"/>
    <w:rPr>
      <w:rFonts w:ascii="??" w:hAnsi="??" w:cs="??"/>
      <w:b/>
      <w:bCs/>
      <w:sz w:val="21"/>
      <w:szCs w:val="21"/>
    </w:rPr>
  </w:style>
  <w:style w:type="character" w:customStyle="1" w:styleId="161">
    <w:name w:val="Subtitle Char1"/>
    <w:qFormat/>
    <w:uiPriority w:val="99"/>
    <w:rPr>
      <w:rFonts w:ascii="Cambria" w:hAnsi="Cambria" w:cs="Cambria"/>
      <w:b/>
      <w:bCs/>
      <w:kern w:val="28"/>
      <w:sz w:val="32"/>
      <w:szCs w:val="32"/>
    </w:rPr>
  </w:style>
  <w:style w:type="character" w:customStyle="1" w:styleId="162">
    <w:name w:val="f14b1"/>
    <w:qFormat/>
    <w:uiPriority w:val="99"/>
    <w:rPr>
      <w:b/>
      <w:bCs/>
      <w:sz w:val="21"/>
      <w:szCs w:val="21"/>
    </w:rPr>
  </w:style>
  <w:style w:type="character" w:customStyle="1" w:styleId="163">
    <w:name w:val="Quote Char1"/>
    <w:qFormat/>
    <w:uiPriority w:val="99"/>
    <w:rPr>
      <w:i/>
      <w:iCs/>
      <w:color w:val="000000"/>
      <w:sz w:val="21"/>
      <w:szCs w:val="21"/>
    </w:rPr>
  </w:style>
  <w:style w:type="character" w:customStyle="1" w:styleId="164">
    <w:name w:val="Subtitle Char"/>
    <w:qFormat/>
    <w:locked/>
    <w:uiPriority w:val="99"/>
    <w:rPr>
      <w:rFonts w:ascii="Cambria" w:hAnsi="Cambria" w:cs="Cambria"/>
      <w:b/>
      <w:bCs/>
      <w:kern w:val="28"/>
      <w:sz w:val="32"/>
      <w:szCs w:val="32"/>
    </w:rPr>
  </w:style>
  <w:style w:type="character" w:customStyle="1" w:styleId="165">
    <w:name w:val="No Spacing Char"/>
    <w:link w:val="166"/>
    <w:qFormat/>
    <w:locked/>
    <w:uiPriority w:val="99"/>
    <w:rPr>
      <w:rFonts w:ascii="Cambria" w:hAnsi="Cambria" w:cs="Cambria"/>
      <w:sz w:val="22"/>
      <w:szCs w:val="22"/>
    </w:rPr>
  </w:style>
  <w:style w:type="paragraph" w:customStyle="1" w:styleId="166">
    <w:name w:val="无间隔1"/>
    <w:link w:val="165"/>
    <w:qFormat/>
    <w:uiPriority w:val="99"/>
    <w:rPr>
      <w:rFonts w:ascii="Cambria" w:hAnsi="Cambria" w:eastAsia="宋体" w:cs="Cambria"/>
      <w:sz w:val="22"/>
      <w:szCs w:val="22"/>
      <w:lang w:val="en-US" w:eastAsia="zh-CN" w:bidi="ar-SA"/>
    </w:rPr>
  </w:style>
  <w:style w:type="character" w:customStyle="1" w:styleId="167">
    <w:name w:val="text_big1"/>
    <w:qFormat/>
    <w:uiPriority w:val="99"/>
    <w:rPr>
      <w:color w:val="000000"/>
      <w:sz w:val="21"/>
      <w:szCs w:val="21"/>
    </w:rPr>
  </w:style>
  <w:style w:type="character" w:customStyle="1" w:styleId="168">
    <w:name w:val="Quote Char"/>
    <w:qFormat/>
    <w:locked/>
    <w:uiPriority w:val="99"/>
    <w:rPr>
      <w:i/>
      <w:iCs/>
      <w:color w:val="000000"/>
      <w:kern w:val="2"/>
      <w:sz w:val="21"/>
      <w:szCs w:val="21"/>
    </w:rPr>
  </w:style>
  <w:style w:type="paragraph" w:customStyle="1" w:styleId="169">
    <w:name w:val="Char2"/>
    <w:basedOn w:val="1"/>
    <w:qFormat/>
    <w:uiPriority w:val="99"/>
  </w:style>
  <w:style w:type="paragraph" w:customStyle="1" w:styleId="170">
    <w:name w:val="模版-正文顶头"/>
    <w:qFormat/>
    <w:uiPriority w:val="99"/>
    <w:pPr>
      <w:adjustRightInd w:val="0"/>
      <w:snapToGrid w:val="0"/>
      <w:spacing w:line="300" w:lineRule="exact"/>
      <w:jc w:val="both"/>
    </w:pPr>
    <w:rPr>
      <w:rFonts w:ascii="Times New Roman" w:hAnsi="Times New Roman" w:eastAsia="华文细黑" w:cs="Times New Roman"/>
      <w:kern w:val="2"/>
      <w:sz w:val="18"/>
      <w:szCs w:val="18"/>
      <w:lang w:val="en-US" w:eastAsia="zh-CN" w:bidi="ar-SA"/>
    </w:rPr>
  </w:style>
  <w:style w:type="paragraph" w:customStyle="1" w:styleId="171">
    <w:name w:val="List Paragraph1"/>
    <w:basedOn w:val="1"/>
    <w:qFormat/>
    <w:uiPriority w:val="99"/>
    <w:pPr>
      <w:ind w:firstLine="420" w:firstLineChars="200"/>
    </w:pPr>
    <w:rPr>
      <w:rFonts w:ascii="Calibri" w:hAnsi="Calibri" w:cs="Calibri"/>
    </w:rPr>
  </w:style>
  <w:style w:type="paragraph" w:customStyle="1" w:styleId="172">
    <w:name w:val="模版-正文居中"/>
    <w:basedOn w:val="1"/>
    <w:qFormat/>
    <w:uiPriority w:val="99"/>
    <w:pPr>
      <w:widowControl/>
      <w:adjustRightInd w:val="0"/>
      <w:snapToGrid w:val="0"/>
      <w:spacing w:line="300" w:lineRule="exact"/>
      <w:jc w:val="center"/>
    </w:pPr>
    <w:rPr>
      <w:rFonts w:eastAsia="华文细黑"/>
      <w:sz w:val="18"/>
      <w:szCs w:val="18"/>
    </w:rPr>
  </w:style>
  <w:style w:type="paragraph" w:customStyle="1" w:styleId="173">
    <w:name w:val="模版-附件内容加粗"/>
    <w:basedOn w:val="1"/>
    <w:qFormat/>
    <w:uiPriority w:val="99"/>
    <w:pPr>
      <w:widowControl/>
      <w:adjustRightInd w:val="0"/>
      <w:snapToGrid w:val="0"/>
      <w:spacing w:line="300" w:lineRule="exact"/>
      <w:ind w:firstLine="642"/>
      <w:jc w:val="center"/>
    </w:pPr>
    <w:rPr>
      <w:rFonts w:ascii="仿宋_GB2312" w:eastAsia="仿宋_GB2312" w:cs="仿宋_GB2312"/>
      <w:b/>
      <w:bCs/>
      <w:sz w:val="28"/>
      <w:szCs w:val="28"/>
    </w:rPr>
  </w:style>
  <w:style w:type="paragraph" w:customStyle="1" w:styleId="174">
    <w:name w:val="c_memo"/>
    <w:basedOn w:val="1"/>
    <w:qFormat/>
    <w:uiPriority w:val="99"/>
    <w:pPr>
      <w:widowControl/>
      <w:spacing w:before="100" w:beforeAutospacing="1" w:after="100" w:afterAutospacing="1"/>
      <w:jc w:val="left"/>
    </w:pPr>
    <w:rPr>
      <w:rFonts w:ascii="宋体" w:hAnsi="宋体" w:cs="宋体"/>
      <w:color w:val="333333"/>
      <w:kern w:val="0"/>
      <w:sz w:val="24"/>
      <w:szCs w:val="24"/>
    </w:rPr>
  </w:style>
  <w:style w:type="paragraph" w:customStyle="1" w:styleId="175">
    <w:name w:val="模板-表格下段落"/>
    <w:qFormat/>
    <w:uiPriority w:val="99"/>
    <w:pPr>
      <w:spacing w:line="360" w:lineRule="auto"/>
      <w:jc w:val="center"/>
    </w:pPr>
    <w:rPr>
      <w:rFonts w:ascii="仿宋_GB2312" w:hAnsi="华文细黑" w:eastAsia="仿宋_GB2312" w:cs="仿宋_GB2312"/>
      <w:b/>
      <w:bCs/>
      <w:kern w:val="2"/>
      <w:sz w:val="28"/>
      <w:szCs w:val="28"/>
      <w:lang w:val="en-US" w:eastAsia="zh-CN" w:bidi="ar-SA"/>
    </w:rPr>
  </w:style>
  <w:style w:type="paragraph" w:customStyle="1" w:styleId="176">
    <w:name w:val="模版-正文空两格"/>
    <w:basedOn w:val="1"/>
    <w:qFormat/>
    <w:uiPriority w:val="99"/>
    <w:pPr>
      <w:widowControl/>
      <w:adjustRightInd w:val="0"/>
      <w:snapToGrid w:val="0"/>
      <w:spacing w:line="300" w:lineRule="exact"/>
      <w:ind w:firstLine="360"/>
    </w:pPr>
    <w:rPr>
      <w:rFonts w:eastAsia="华文细黑"/>
      <w:sz w:val="18"/>
      <w:szCs w:val="18"/>
    </w:rPr>
  </w:style>
  <w:style w:type="paragraph" w:customStyle="1" w:styleId="177">
    <w:name w:val="列出段落12"/>
    <w:basedOn w:val="1"/>
    <w:qFormat/>
    <w:uiPriority w:val="99"/>
    <w:pPr>
      <w:ind w:firstLine="420" w:firstLineChars="200"/>
    </w:pPr>
  </w:style>
  <w:style w:type="character" w:customStyle="1" w:styleId="178">
    <w:name w:val="font112"/>
    <w:basedOn w:val="46"/>
    <w:qFormat/>
    <w:uiPriority w:val="0"/>
    <w:rPr>
      <w:rFonts w:hint="default" w:ascii="Times New Roman" w:hAnsi="Times New Roman" w:cs="Times New Roman"/>
      <w:color w:val="000000"/>
      <w:sz w:val="21"/>
      <w:szCs w:val="21"/>
      <w:u w:val="none"/>
    </w:rPr>
  </w:style>
  <w:style w:type="character" w:customStyle="1" w:styleId="179">
    <w:name w:val="font121"/>
    <w:basedOn w:val="46"/>
    <w:qFormat/>
    <w:uiPriority w:val="0"/>
    <w:rPr>
      <w:rFonts w:hint="eastAsia" w:ascii="仿宋_GB2312" w:eastAsia="仿宋_GB2312" w:cs="仿宋_GB2312"/>
      <w:color w:val="000000"/>
      <w:sz w:val="21"/>
      <w:szCs w:val="21"/>
      <w:u w:val="none"/>
    </w:rPr>
  </w:style>
  <w:style w:type="paragraph" w:customStyle="1" w:styleId="180">
    <w:name w:val="修订2"/>
    <w:unhideWhenUsed/>
    <w:qFormat/>
    <w:uiPriority w:val="99"/>
    <w:rPr>
      <w:rFonts w:ascii="Times New Roman" w:hAnsi="Times New Roman" w:eastAsia="宋体" w:cs="Times New Roman"/>
      <w:kern w:val="2"/>
      <w:sz w:val="21"/>
      <w:szCs w:val="21"/>
      <w:lang w:val="en-US" w:eastAsia="zh-CN" w:bidi="ar-SA"/>
    </w:rPr>
  </w:style>
  <w:style w:type="paragraph" w:customStyle="1" w:styleId="181">
    <w:name w:val="修订3"/>
    <w:unhideWhenUsed/>
    <w:qFormat/>
    <w:uiPriority w:val="99"/>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17.jpeg"/><Relationship Id="rId26" Type="http://schemas.openxmlformats.org/officeDocument/2006/relationships/image" Target="media/image16.jpeg"/><Relationship Id="rId25" Type="http://schemas.openxmlformats.org/officeDocument/2006/relationships/image" Target="media/image15.jpeg"/><Relationship Id="rId24" Type="http://schemas.openxmlformats.org/officeDocument/2006/relationships/image" Target="media/image14.jpeg"/><Relationship Id="rId23" Type="http://schemas.openxmlformats.org/officeDocument/2006/relationships/image" Target="media/image13.jpeg"/><Relationship Id="rId22" Type="http://schemas.openxmlformats.org/officeDocument/2006/relationships/image" Target="media/image12.jpeg"/><Relationship Id="rId21" Type="http://schemas.openxmlformats.org/officeDocument/2006/relationships/image" Target="media/image11.jpeg"/><Relationship Id="rId20" Type="http://schemas.openxmlformats.org/officeDocument/2006/relationships/image" Target="media/image10.jpeg"/><Relationship Id="rId2" Type="http://schemas.openxmlformats.org/officeDocument/2006/relationships/settings" Target="settings.xml"/><Relationship Id="rId19" Type="http://schemas.openxmlformats.org/officeDocument/2006/relationships/image" Target="media/image9.jpeg"/><Relationship Id="rId18" Type="http://schemas.openxmlformats.org/officeDocument/2006/relationships/image" Target="media/image8.jpeg"/><Relationship Id="rId17" Type="http://schemas.openxmlformats.org/officeDocument/2006/relationships/image" Target="media/image7.png"/><Relationship Id="rId16" Type="http://schemas.openxmlformats.org/officeDocument/2006/relationships/image" Target="media/image6.png"/><Relationship Id="rId15" Type="http://schemas.openxmlformats.org/officeDocument/2006/relationships/image" Target="media/image4.jpeg"/><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0"/>
    <customShpInfo spid="_x0000_s2052"/>
    <customShpInfo spid="_x0000_s1026"/>
    <customShpInfo spid="_x0000_s1033"/>
    <customShpInfo spid="_x0000_s1032"/>
    <customShpInfo spid="_x0000_s1031"/>
    <customShpInfo spid="_x0000_s1030"/>
    <customShpInfo spid="_x0000_s1029"/>
    <customShpInfo spid="_x0000_s1028"/>
    <customShpInfo spid="_x0000_s1027"/>
    <customShpInfo spid="_x0000_s103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DA5974-D51D-4A2F-8402-88431F53DD14}">
  <ds:schemaRefs/>
</ds:datastoreItem>
</file>

<file path=docProps/app.xml><?xml version="1.0" encoding="utf-8"?>
<Properties xmlns="http://schemas.openxmlformats.org/officeDocument/2006/extended-properties" xmlns:vt="http://schemas.openxmlformats.org/officeDocument/2006/docPropsVTypes">
  <Template>Normal</Template>
  <Company>hengtong</Company>
  <Pages>19</Pages>
  <Words>7974</Words>
  <Characters>8452</Characters>
  <Lines>189</Lines>
  <Paragraphs>53</Paragraphs>
  <TotalTime>153</TotalTime>
  <ScaleCrop>false</ScaleCrop>
  <LinksUpToDate>false</LinksUpToDate>
  <CharactersWithSpaces>8518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2019-03-16T02:39:00Z</dcterms:created>
  <dc:creator>yu</dc:creator>
  <cp:lastModifiedBy>搬砖工刘13922864938</cp:lastModifiedBy>
  <cp:lastPrinted>2019-01-17T00:37:00Z</cp:lastPrinted>
  <dcterms:modified xsi:type="dcterms:W3CDTF">2022-12-20T07:28:09Z</dcterms:modified>
  <dc:title>致 委 托 方 函</dc:title>
  <cp:revision>554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5B64E032C49547398B2C1B7B12160AD1</vt:lpwstr>
  </property>
  <property fmtid="{D5CDD505-2E9C-101B-9397-08002B2CF9AE}" pid="4" name="commondata">
    <vt:lpwstr>eyJoZGlkIjoiZWVkMmU1NTdiOWE1NGIxMjQ2ZjYxMTY2Y2E1YjAwMjMifQ==</vt:lpwstr>
  </property>
</Properties>
</file>