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pacing w:val="76"/>
          <w:sz w:val="48"/>
        </w:rPr>
      </w:pPr>
    </w:p>
    <w:p>
      <w:pPr>
        <w:jc w:val="center"/>
        <w:rPr>
          <w:rFonts w:ascii="宋体" w:hAnsi="宋体" w:cs="宋体"/>
          <w:b/>
          <w:bCs/>
          <w:spacing w:val="76"/>
          <w:sz w:val="48"/>
        </w:rPr>
      </w:pPr>
    </w:p>
    <w:p>
      <w:pPr>
        <w:jc w:val="center"/>
        <w:rPr>
          <w:rFonts w:ascii="宋体" w:hAnsi="宋体" w:cs="宋体"/>
          <w:b/>
          <w:bCs/>
          <w:spacing w:val="76"/>
          <w:sz w:val="44"/>
          <w:szCs w:val="44"/>
        </w:rPr>
      </w:pPr>
      <w:r>
        <w:rPr>
          <w:rFonts w:hint="eastAsia" w:ascii="宋体" w:hAnsi="宋体" w:cs="宋体"/>
          <w:b/>
          <w:bCs/>
          <w:spacing w:val="56"/>
          <w:kern w:val="0"/>
          <w:sz w:val="44"/>
          <w:szCs w:val="44"/>
          <w:fitText w:val="7072" w:id="2070155779"/>
        </w:rPr>
        <w:t>涉执房地产处置司法评估报</w:t>
      </w:r>
      <w:r>
        <w:rPr>
          <w:rFonts w:hint="eastAsia" w:ascii="宋体" w:hAnsi="宋体" w:cs="宋体"/>
          <w:b/>
          <w:bCs/>
          <w:spacing w:val="4"/>
          <w:kern w:val="0"/>
          <w:sz w:val="44"/>
          <w:szCs w:val="44"/>
          <w:fitText w:val="7072" w:id="2070155779"/>
        </w:rPr>
        <w:t>告</w:t>
      </w:r>
    </w:p>
    <w:p>
      <w:pPr>
        <w:jc w:val="center"/>
        <w:rPr>
          <w:rFonts w:ascii="宋体" w:hAnsi="宋体" w:cs="宋体"/>
          <w:sz w:val="24"/>
        </w:rPr>
      </w:pPr>
      <w:r>
        <w:rPr>
          <w:rFonts w:hint="eastAsia" w:ascii="宋体" w:hAnsi="宋体" w:cs="宋体"/>
          <w:sz w:val="24"/>
        </w:rPr>
        <w:t>鲁卓越房评报字[2022]（估）字第90-</w:t>
      </w:r>
      <w:r>
        <w:rPr>
          <w:rFonts w:hint="eastAsia" w:ascii="宋体" w:hAnsi="宋体" w:cs="宋体"/>
          <w:sz w:val="24"/>
          <w:lang w:val="en-US" w:eastAsia="zh-CN"/>
        </w:rPr>
        <w:t>10</w:t>
      </w:r>
      <w:r>
        <w:rPr>
          <w:rFonts w:hint="eastAsia" w:ascii="宋体" w:hAnsi="宋体" w:cs="宋体"/>
          <w:sz w:val="24"/>
        </w:rPr>
        <w:t>-0</w:t>
      </w:r>
      <w:r>
        <w:rPr>
          <w:rFonts w:hint="eastAsia" w:ascii="宋体" w:hAnsi="宋体" w:cs="宋体"/>
          <w:sz w:val="24"/>
          <w:lang w:val="en-US" w:eastAsia="zh-CN"/>
        </w:rPr>
        <w:t>27</w:t>
      </w:r>
      <w:r>
        <w:rPr>
          <w:rFonts w:hint="eastAsia" w:ascii="宋体" w:hAnsi="宋体" w:cs="宋体"/>
          <w:sz w:val="24"/>
        </w:rPr>
        <w:t>号</w:t>
      </w:r>
    </w:p>
    <w:tbl>
      <w:tblPr>
        <w:tblStyle w:val="23"/>
        <w:tblW w:w="0" w:type="auto"/>
        <w:tblInd w:w="1101" w:type="dxa"/>
        <w:tblBorders>
          <w:top w:val="thinThickSmallGap"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1"/>
      </w:tblGrid>
      <w:tr>
        <w:tblPrEx>
          <w:tblBorders>
            <w:top w:val="thinThickSmallGap"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7371" w:type="dxa"/>
          </w:tcPr>
          <w:p>
            <w:pPr>
              <w:jc w:val="center"/>
              <w:rPr>
                <w:rFonts w:ascii="宋体" w:hAnsi="宋体" w:cs="宋体"/>
              </w:rPr>
            </w:pPr>
          </w:p>
        </w:tc>
      </w:tr>
    </w:tbl>
    <w:p>
      <w:pPr>
        <w:spacing w:line="400" w:lineRule="exact"/>
        <w:jc w:val="center"/>
        <w:rPr>
          <w:rFonts w:hint="eastAsia" w:ascii="宋体" w:hAnsi="宋体" w:cs="宋体"/>
          <w:b/>
          <w:bCs/>
          <w:kern w:val="0"/>
          <w:sz w:val="28"/>
          <w:szCs w:val="28"/>
          <w:lang w:val="en-US" w:eastAsia="zh-CN"/>
        </w:rPr>
      </w:pPr>
      <w:r>
        <w:rPr>
          <w:rFonts w:hint="eastAsia" w:ascii="宋体" w:hAnsi="宋体" w:cs="宋体"/>
          <w:b/>
          <w:bCs/>
          <w:kern w:val="0"/>
          <w:sz w:val="28"/>
          <w:szCs w:val="28"/>
          <w:lang w:val="en-US" w:eastAsia="zh-CN"/>
        </w:rPr>
        <w:t>潍坊市坊子区北海路以东天润凤凰城综合楼907室</w:t>
      </w:r>
    </w:p>
    <w:p>
      <w:pPr>
        <w:spacing w:line="400" w:lineRule="exact"/>
        <w:jc w:val="center"/>
        <w:rPr>
          <w:rFonts w:ascii="宋体" w:hAnsi="宋体" w:cs="宋体"/>
          <w:b/>
          <w:sz w:val="28"/>
        </w:rPr>
      </w:pPr>
      <w:r>
        <w:rPr>
          <w:rFonts w:hint="eastAsia" w:ascii="宋体" w:hAnsi="宋体" w:cs="宋体"/>
          <w:b/>
          <w:sz w:val="28"/>
        </w:rPr>
        <w:t>住宅市场价值评估报告</w:t>
      </w:r>
    </w:p>
    <w:p>
      <w:pPr>
        <w:jc w:val="center"/>
        <w:rPr>
          <w:rFonts w:ascii="宋体" w:hAnsi="宋体" w:cs="宋体"/>
        </w:rPr>
      </w:pPr>
    </w:p>
    <w:p>
      <w:pPr>
        <w:rPr>
          <w:rFonts w:ascii="宋体" w:hAnsi="宋体" w:cs="宋体"/>
        </w:rPr>
      </w:pPr>
    </w:p>
    <w:p>
      <w:pPr>
        <w:rPr>
          <w:rFonts w:ascii="宋体" w:hAnsi="宋体" w:cs="宋体"/>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jc w:val="left"/>
        <w:rPr>
          <w:rFonts w:ascii="宋体" w:hAnsi="宋体" w:cs="宋体"/>
        </w:rPr>
      </w:pPr>
    </w:p>
    <w:p>
      <w:pPr>
        <w:spacing w:line="400" w:lineRule="exact"/>
        <w:ind w:firstLine="562" w:firstLineChars="200"/>
        <w:jc w:val="left"/>
        <w:rPr>
          <w:rFonts w:ascii="宋体" w:hAnsi="宋体" w:cs="宋体"/>
          <w:b/>
          <w:sz w:val="28"/>
          <w:szCs w:val="28"/>
        </w:rPr>
      </w:pPr>
      <w:r>
        <w:rPr>
          <w:rFonts w:hint="eastAsia" w:ascii="宋体" w:hAnsi="宋体" w:cs="宋体"/>
          <w:b/>
          <w:bCs/>
          <w:spacing w:val="0"/>
          <w:kern w:val="0"/>
          <w:sz w:val="28"/>
          <w:szCs w:val="28"/>
          <w:fitText w:val="1686" w:id="2060100352"/>
        </w:rPr>
        <w:t>委   托   方</w:t>
      </w:r>
      <w:r>
        <w:rPr>
          <w:rFonts w:hint="eastAsia" w:ascii="宋体" w:hAnsi="宋体" w:cs="宋体"/>
          <w:b/>
          <w:bCs/>
          <w:sz w:val="28"/>
          <w:szCs w:val="28"/>
        </w:rPr>
        <w:t>：</w:t>
      </w:r>
      <w:r>
        <w:rPr>
          <w:rFonts w:hint="eastAsia" w:ascii="宋体" w:hAnsi="宋体" w:cs="宋体"/>
          <w:b/>
          <w:sz w:val="28"/>
          <w:szCs w:val="28"/>
          <w:lang w:val="en-US" w:eastAsia="zh-CN"/>
        </w:rPr>
        <w:t>潍坊市潍城区人民法院</w:t>
      </w:r>
    </w:p>
    <w:p>
      <w:pPr>
        <w:spacing w:line="400" w:lineRule="exact"/>
        <w:ind w:firstLine="562" w:firstLineChars="200"/>
        <w:rPr>
          <w:rFonts w:ascii="宋体" w:hAnsi="宋体" w:cs="宋体"/>
          <w:b/>
          <w:bCs/>
          <w:sz w:val="28"/>
          <w:szCs w:val="28"/>
        </w:rPr>
      </w:pPr>
      <w:r>
        <w:rPr>
          <w:rFonts w:hint="eastAsia" w:ascii="宋体" w:hAnsi="宋体" w:cs="宋体"/>
          <w:b/>
          <w:bCs/>
          <w:spacing w:val="0"/>
          <w:kern w:val="0"/>
          <w:sz w:val="28"/>
          <w:szCs w:val="28"/>
          <w:fitText w:val="1686" w:id="2060100353"/>
        </w:rPr>
        <w:t>估   价   方</w:t>
      </w:r>
      <w:r>
        <w:rPr>
          <w:rFonts w:hint="eastAsia" w:ascii="宋体" w:hAnsi="宋体" w:cs="宋体"/>
          <w:b/>
          <w:bCs/>
          <w:sz w:val="28"/>
          <w:szCs w:val="28"/>
        </w:rPr>
        <w:t>：山东卓越全程土地房地产评估有限公司</w:t>
      </w:r>
    </w:p>
    <w:p>
      <w:pPr>
        <w:spacing w:line="400" w:lineRule="exact"/>
        <w:ind w:firstLine="564" w:firstLineChars="185"/>
        <w:jc w:val="left"/>
        <w:rPr>
          <w:rFonts w:hint="eastAsia" w:ascii="宋体" w:hAnsi="宋体" w:cs="宋体"/>
          <w:b/>
          <w:bCs/>
          <w:sz w:val="28"/>
          <w:szCs w:val="28"/>
          <w:lang w:val="en-US" w:eastAsia="zh-CN"/>
        </w:rPr>
      </w:pPr>
      <w:r>
        <w:rPr>
          <w:rFonts w:hint="eastAsia" w:ascii="宋体" w:hAnsi="宋体" w:cs="宋体"/>
          <w:b/>
          <w:bCs/>
          <w:spacing w:val="12"/>
          <w:kern w:val="0"/>
          <w:sz w:val="28"/>
          <w:szCs w:val="28"/>
          <w:fitText w:val="1686" w:id="2060100354"/>
        </w:rPr>
        <w:t xml:space="preserve">估 价 人 </w:t>
      </w:r>
      <w:r>
        <w:rPr>
          <w:rFonts w:hint="eastAsia" w:ascii="宋体" w:hAnsi="宋体" w:cs="宋体"/>
          <w:b/>
          <w:bCs/>
          <w:spacing w:val="1"/>
          <w:kern w:val="0"/>
          <w:sz w:val="28"/>
          <w:szCs w:val="28"/>
          <w:fitText w:val="1686" w:id="2060100354"/>
        </w:rPr>
        <w:t>员</w:t>
      </w:r>
      <w:r>
        <w:rPr>
          <w:rFonts w:hint="eastAsia" w:ascii="宋体" w:hAnsi="宋体" w:cs="宋体"/>
          <w:b/>
          <w:bCs/>
          <w:sz w:val="28"/>
          <w:szCs w:val="28"/>
        </w:rPr>
        <w:t>：</w:t>
      </w:r>
      <w:r>
        <w:rPr>
          <w:rFonts w:hint="eastAsia" w:ascii="宋体" w:hAnsi="宋体" w:cs="宋体"/>
          <w:b/>
          <w:bCs/>
          <w:sz w:val="28"/>
          <w:szCs w:val="28"/>
          <w:lang w:val="en-US" w:eastAsia="zh-CN"/>
        </w:rPr>
        <w:t>王勇</w:t>
      </w:r>
      <w:r>
        <w:rPr>
          <w:rFonts w:hint="eastAsia" w:ascii="宋体" w:hAnsi="宋体" w:cs="宋体"/>
          <w:b/>
          <w:bCs/>
          <w:sz w:val="28"/>
          <w:szCs w:val="28"/>
        </w:rPr>
        <w:t xml:space="preserve">   党福芬</w:t>
      </w:r>
    </w:p>
    <w:p>
      <w:pPr>
        <w:tabs>
          <w:tab w:val="left" w:pos="7740"/>
          <w:tab w:val="left" w:pos="8100"/>
        </w:tabs>
        <w:spacing w:line="400" w:lineRule="exact"/>
        <w:ind w:firstLine="562" w:firstLineChars="200"/>
        <w:jc w:val="left"/>
        <w:rPr>
          <w:rFonts w:hint="eastAsia" w:ascii="宋体" w:hAnsi="宋体" w:eastAsia="宋体" w:cs="宋体"/>
          <w:b/>
          <w:bCs/>
          <w:sz w:val="32"/>
          <w:lang w:eastAsia="zh-CN"/>
        </w:rPr>
      </w:pPr>
      <w:r>
        <w:rPr>
          <w:rFonts w:hint="eastAsia" w:ascii="宋体" w:hAnsi="宋体" w:cs="宋体"/>
          <w:b/>
          <w:bCs/>
          <w:spacing w:val="0"/>
          <w:kern w:val="0"/>
          <w:sz w:val="28"/>
          <w:szCs w:val="28"/>
          <w:fitText w:val="1686" w:id="2060100355"/>
        </w:rPr>
        <w:t>估价作业日期</w:t>
      </w:r>
      <w:r>
        <w:rPr>
          <w:rFonts w:hint="eastAsia" w:ascii="宋体" w:hAnsi="宋体" w:cs="宋体"/>
          <w:b/>
          <w:bCs/>
          <w:sz w:val="28"/>
          <w:szCs w:val="28"/>
        </w:rPr>
        <w:t>：</w:t>
      </w:r>
      <w:r>
        <w:rPr>
          <w:rFonts w:hint="eastAsia" w:ascii="宋体" w:hAnsi="宋体" w:cs="宋体"/>
          <w:b/>
          <w:bCs/>
          <w:spacing w:val="2"/>
          <w:w w:val="100"/>
          <w:kern w:val="0"/>
          <w:sz w:val="28"/>
          <w:szCs w:val="28"/>
          <w:fitText w:val="5058" w:id="2066387200"/>
        </w:rPr>
        <w:t>2022年</w:t>
      </w:r>
      <w:r>
        <w:rPr>
          <w:rFonts w:hint="eastAsia" w:ascii="宋体" w:hAnsi="宋体" w:cs="宋体"/>
          <w:b/>
          <w:bCs/>
          <w:spacing w:val="2"/>
          <w:w w:val="100"/>
          <w:kern w:val="0"/>
          <w:sz w:val="28"/>
          <w:szCs w:val="28"/>
          <w:fitText w:val="5058" w:id="2066387200"/>
          <w:lang w:val="en-US" w:eastAsia="zh-CN"/>
        </w:rPr>
        <w:t>11</w:t>
      </w:r>
      <w:r>
        <w:rPr>
          <w:rFonts w:hint="eastAsia" w:ascii="宋体" w:hAnsi="宋体" w:cs="宋体"/>
          <w:b/>
          <w:bCs/>
          <w:spacing w:val="2"/>
          <w:w w:val="100"/>
          <w:kern w:val="0"/>
          <w:sz w:val="28"/>
          <w:szCs w:val="28"/>
          <w:fitText w:val="5058" w:id="2066387200"/>
        </w:rPr>
        <w:t>月</w:t>
      </w:r>
      <w:r>
        <w:rPr>
          <w:rFonts w:hint="eastAsia" w:ascii="宋体" w:hAnsi="宋体" w:cs="宋体"/>
          <w:b/>
          <w:bCs/>
          <w:spacing w:val="2"/>
          <w:w w:val="100"/>
          <w:kern w:val="0"/>
          <w:sz w:val="28"/>
          <w:szCs w:val="28"/>
          <w:fitText w:val="5058" w:id="2066387200"/>
          <w:lang w:val="en-US" w:eastAsia="zh-CN"/>
        </w:rPr>
        <w:t>09</w:t>
      </w:r>
      <w:r>
        <w:rPr>
          <w:rFonts w:hint="eastAsia" w:ascii="宋体" w:hAnsi="宋体" w:cs="宋体"/>
          <w:b/>
          <w:bCs/>
          <w:spacing w:val="2"/>
          <w:w w:val="100"/>
          <w:kern w:val="0"/>
          <w:sz w:val="28"/>
          <w:szCs w:val="28"/>
          <w:fitText w:val="5058" w:id="2066387200"/>
        </w:rPr>
        <w:t>日至</w:t>
      </w:r>
      <w:r>
        <w:rPr>
          <w:rFonts w:hint="eastAsia" w:ascii="宋体" w:hAnsi="宋体" w:cs="宋体"/>
          <w:b/>
          <w:bCs/>
          <w:spacing w:val="2"/>
          <w:w w:val="100"/>
          <w:kern w:val="0"/>
          <w:sz w:val="28"/>
          <w:szCs w:val="28"/>
          <w:fitText w:val="5058" w:id="2066387200"/>
          <w:lang w:eastAsia="zh-CN"/>
        </w:rPr>
        <w:t>2022年11月21</w:t>
      </w:r>
      <w:r>
        <w:rPr>
          <w:rFonts w:hint="eastAsia" w:ascii="宋体" w:hAnsi="宋体" w:cs="宋体"/>
          <w:b/>
          <w:bCs/>
          <w:spacing w:val="10"/>
          <w:w w:val="100"/>
          <w:kern w:val="0"/>
          <w:sz w:val="28"/>
          <w:szCs w:val="28"/>
          <w:fitText w:val="5058" w:id="2066387200"/>
          <w:lang w:eastAsia="zh-CN"/>
        </w:rPr>
        <w:t>日</w:t>
      </w:r>
    </w:p>
    <w:p>
      <w:pPr>
        <w:spacing w:line="480" w:lineRule="exact"/>
        <w:rPr>
          <w:rFonts w:ascii="宋体" w:hAnsi="宋体" w:cs="宋体"/>
          <w:b/>
          <w:bCs/>
          <w:sz w:val="44"/>
        </w:rPr>
      </w:pPr>
    </w:p>
    <w:p>
      <w:pPr>
        <w:spacing w:line="480" w:lineRule="exact"/>
        <w:rPr>
          <w:rFonts w:ascii="宋体" w:hAnsi="宋体" w:cs="宋体"/>
          <w:b/>
          <w:bCs/>
          <w:sz w:val="44"/>
        </w:rPr>
      </w:pPr>
    </w:p>
    <w:p>
      <w:pPr>
        <w:spacing w:line="460" w:lineRule="exact"/>
        <w:ind w:firstLine="3057" w:firstLineChars="692"/>
        <w:rPr>
          <w:rFonts w:ascii="宋体" w:hAnsi="宋体" w:cs="宋体"/>
          <w:b/>
          <w:bCs/>
          <w:sz w:val="44"/>
        </w:rPr>
      </w:pPr>
    </w:p>
    <w:p>
      <w:pPr>
        <w:spacing w:line="460" w:lineRule="exact"/>
        <w:ind w:firstLine="3057" w:firstLineChars="692"/>
        <w:rPr>
          <w:rFonts w:ascii="宋体" w:hAnsi="宋体" w:cs="宋体"/>
          <w:b/>
          <w:bCs/>
          <w:sz w:val="44"/>
        </w:rPr>
      </w:pPr>
      <w:r>
        <w:rPr>
          <w:rFonts w:hint="eastAsia" w:ascii="宋体" w:hAnsi="宋体" w:cs="宋体"/>
          <w:b/>
          <w:bCs/>
          <w:sz w:val="44"/>
        </w:rPr>
        <w:t>致估价委托人函</w:t>
      </w:r>
    </w:p>
    <w:p>
      <w:pPr>
        <w:pStyle w:val="15"/>
        <w:tabs>
          <w:tab w:val="left" w:pos="3285"/>
        </w:tabs>
        <w:spacing w:line="460" w:lineRule="exact"/>
        <w:ind w:left="99" w:leftChars="47"/>
        <w:rPr>
          <w:rFonts w:ascii="宋体" w:hAnsi="宋体" w:cs="宋体"/>
          <w:b/>
          <w:sz w:val="28"/>
          <w:szCs w:val="28"/>
        </w:rPr>
      </w:pPr>
    </w:p>
    <w:p>
      <w:pPr>
        <w:pStyle w:val="15"/>
        <w:tabs>
          <w:tab w:val="left" w:pos="3285"/>
        </w:tabs>
        <w:spacing w:line="460" w:lineRule="exact"/>
        <w:ind w:left="0" w:leftChars="0"/>
        <w:rPr>
          <w:rFonts w:ascii="宋体" w:hAnsi="宋体" w:cs="宋体"/>
          <w:b/>
          <w:sz w:val="28"/>
          <w:szCs w:val="28"/>
        </w:rPr>
      </w:pPr>
      <w:r>
        <w:rPr>
          <w:rFonts w:hint="eastAsia" w:ascii="宋体" w:hAnsi="宋体" w:cs="宋体"/>
          <w:b/>
          <w:sz w:val="28"/>
          <w:szCs w:val="28"/>
          <w:lang w:eastAsia="zh-CN"/>
        </w:rPr>
        <w:t>潍坊市潍城区人民法院</w:t>
      </w:r>
      <w:r>
        <w:rPr>
          <w:rFonts w:hint="eastAsia" w:ascii="宋体" w:hAnsi="宋体" w:cs="宋体"/>
          <w:b/>
          <w:sz w:val="28"/>
          <w:szCs w:val="28"/>
        </w:rPr>
        <w:t>：</w:t>
      </w:r>
    </w:p>
    <w:p>
      <w:pPr>
        <w:spacing w:line="40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受贵方委托，我们秉承客观、公正、科学、独立的原则，对位于</w:t>
      </w:r>
      <w:r>
        <w:rPr>
          <w:rFonts w:hint="eastAsia" w:ascii="宋体" w:hAnsi="宋体" w:cs="宋体"/>
          <w:bCs/>
          <w:kern w:val="0"/>
          <w:sz w:val="28"/>
          <w:szCs w:val="28"/>
          <w:lang w:eastAsia="zh-CN"/>
        </w:rPr>
        <w:t>潍坊市坊子区北海路以东天润凤凰城综合楼907室</w:t>
      </w:r>
      <w:r>
        <w:rPr>
          <w:rFonts w:hint="eastAsia" w:ascii="宋体" w:hAnsi="宋体" w:cs="宋体"/>
          <w:bCs/>
          <w:kern w:val="0"/>
          <w:sz w:val="28"/>
          <w:szCs w:val="28"/>
        </w:rPr>
        <w:t>住宅用房在价值时点的市场价值进行了评估。</w:t>
      </w:r>
    </w:p>
    <w:p>
      <w:pPr>
        <w:spacing w:line="440" w:lineRule="exact"/>
        <w:ind w:firstLine="562" w:firstLineChars="200"/>
        <w:rPr>
          <w:rFonts w:ascii="宋体" w:hAnsi="宋体" w:cs="宋体"/>
          <w:b/>
          <w:kern w:val="0"/>
          <w:sz w:val="28"/>
          <w:szCs w:val="28"/>
        </w:rPr>
      </w:pPr>
      <w:r>
        <w:rPr>
          <w:rFonts w:hint="eastAsia" w:ascii="宋体" w:hAnsi="宋体" w:cs="宋体"/>
          <w:b/>
          <w:kern w:val="0"/>
          <w:sz w:val="28"/>
          <w:szCs w:val="28"/>
        </w:rPr>
        <w:t>估价对象：</w:t>
      </w:r>
    </w:p>
    <w:p>
      <w:pPr>
        <w:spacing w:line="440" w:lineRule="exact"/>
        <w:ind w:firstLine="560" w:firstLineChars="200"/>
        <w:rPr>
          <w:rFonts w:ascii="宋体" w:hAnsi="宋体" w:cs="宋体"/>
          <w:bCs/>
          <w:kern w:val="0"/>
          <w:sz w:val="28"/>
          <w:szCs w:val="28"/>
        </w:rPr>
      </w:pPr>
      <w:r>
        <w:rPr>
          <w:rFonts w:hint="eastAsia" w:ascii="宋体" w:hAnsi="宋体" w:cs="宋体"/>
          <w:bCs/>
          <w:kern w:val="0"/>
          <w:sz w:val="28"/>
          <w:szCs w:val="28"/>
          <w:lang w:eastAsia="zh-CN"/>
        </w:rPr>
        <w:t>潍坊市坊子区北海路以东天润凤凰城综合楼907室</w:t>
      </w:r>
      <w:r>
        <w:rPr>
          <w:rFonts w:hint="eastAsia" w:ascii="宋体" w:hAnsi="宋体" w:cs="宋体"/>
          <w:bCs/>
          <w:kern w:val="0"/>
          <w:sz w:val="28"/>
          <w:szCs w:val="28"/>
        </w:rPr>
        <w:t>（该住宅用房建筑面积为</w:t>
      </w:r>
      <w:r>
        <w:rPr>
          <w:rFonts w:hint="eastAsia" w:ascii="宋体" w:hAnsi="宋体" w:cs="宋体"/>
          <w:bCs/>
          <w:kern w:val="0"/>
          <w:sz w:val="28"/>
          <w:szCs w:val="28"/>
          <w:lang w:val="en-US" w:eastAsia="zh-CN"/>
        </w:rPr>
        <w:t>104.45</w:t>
      </w:r>
      <w:r>
        <w:rPr>
          <w:rFonts w:hint="eastAsia" w:ascii="宋体" w:hAnsi="宋体" w:cs="宋体"/>
          <w:bCs/>
          <w:kern w:val="0"/>
          <w:sz w:val="28"/>
          <w:szCs w:val="28"/>
        </w:rPr>
        <w:t>平方米）。</w:t>
      </w:r>
      <w:r>
        <w:rPr>
          <w:rFonts w:hint="eastAsia" w:ascii="宋体" w:hAnsi="宋体" w:cs="宋体"/>
          <w:bCs/>
          <w:kern w:val="0"/>
          <w:sz w:val="28"/>
          <w:szCs w:val="28"/>
          <w:lang w:eastAsia="zh-CN"/>
        </w:rPr>
        <w:t>所有权证号</w:t>
      </w:r>
      <w:r>
        <w:rPr>
          <w:rFonts w:hint="eastAsia" w:ascii="宋体" w:hAnsi="宋体" w:cs="宋体"/>
          <w:bCs/>
          <w:kern w:val="0"/>
          <w:sz w:val="28"/>
          <w:szCs w:val="28"/>
        </w:rPr>
        <w:t>：</w:t>
      </w:r>
      <w:r>
        <w:rPr>
          <w:rFonts w:hint="eastAsia" w:ascii="宋体" w:hAnsi="宋体" w:cs="宋体"/>
          <w:bCs/>
          <w:kern w:val="0"/>
          <w:sz w:val="28"/>
          <w:szCs w:val="28"/>
          <w:lang w:eastAsia="zh-CN"/>
        </w:rPr>
        <w:t>鲁（2020）潍坊市坊子区不动产权第0042933号</w:t>
      </w:r>
      <w:r>
        <w:rPr>
          <w:rFonts w:hint="eastAsia" w:ascii="宋体" w:hAnsi="宋体" w:cs="宋体"/>
          <w:bCs/>
          <w:kern w:val="0"/>
          <w:sz w:val="28"/>
          <w:szCs w:val="28"/>
        </w:rPr>
        <w:t>。</w:t>
      </w:r>
    </w:p>
    <w:p>
      <w:pPr>
        <w:spacing w:line="440" w:lineRule="exact"/>
        <w:ind w:firstLine="562" w:firstLineChars="200"/>
        <w:rPr>
          <w:rFonts w:ascii="宋体" w:hAnsi="宋体" w:cs="宋体"/>
          <w:kern w:val="0"/>
          <w:sz w:val="28"/>
        </w:rPr>
      </w:pPr>
      <w:r>
        <w:rPr>
          <w:rFonts w:hint="eastAsia" w:ascii="宋体" w:hAnsi="宋体" w:cs="宋体"/>
          <w:b/>
          <w:kern w:val="0"/>
          <w:sz w:val="28"/>
          <w:szCs w:val="28"/>
        </w:rPr>
        <w:t>估价目的：</w:t>
      </w:r>
      <w:r>
        <w:rPr>
          <w:rFonts w:hint="eastAsia" w:ascii="宋体" w:hAnsi="宋体" w:cs="宋体"/>
          <w:kern w:val="0"/>
          <w:sz w:val="28"/>
          <w:szCs w:val="28"/>
        </w:rPr>
        <w:t>为</w:t>
      </w:r>
      <w:r>
        <w:rPr>
          <w:rFonts w:hint="eastAsia" w:ascii="宋体" w:hAnsi="宋体"/>
          <w:kern w:val="0"/>
          <w:sz w:val="28"/>
          <w:szCs w:val="28"/>
        </w:rPr>
        <w:t>人民法院确定财产处置参考价提供参考依据</w:t>
      </w:r>
      <w:r>
        <w:rPr>
          <w:rFonts w:hint="eastAsia" w:ascii="宋体" w:hAnsi="宋体" w:cs="宋体"/>
          <w:kern w:val="0"/>
          <w:sz w:val="28"/>
        </w:rPr>
        <w:t>。</w:t>
      </w:r>
    </w:p>
    <w:p>
      <w:pPr>
        <w:spacing w:line="440" w:lineRule="exact"/>
        <w:ind w:firstLine="562" w:firstLineChars="200"/>
        <w:rPr>
          <w:rFonts w:ascii="宋体" w:hAnsi="宋体" w:cs="宋体"/>
          <w:kern w:val="0"/>
          <w:sz w:val="28"/>
          <w:szCs w:val="28"/>
        </w:rPr>
      </w:pPr>
      <w:r>
        <w:rPr>
          <w:rFonts w:hint="eastAsia" w:ascii="宋体" w:hAnsi="宋体" w:cs="宋体"/>
          <w:b/>
          <w:kern w:val="0"/>
          <w:sz w:val="28"/>
          <w:szCs w:val="28"/>
        </w:rPr>
        <w:t>估价方法：</w:t>
      </w:r>
      <w:r>
        <w:rPr>
          <w:rFonts w:hint="eastAsia" w:ascii="宋体" w:hAnsi="宋体" w:cs="宋体"/>
          <w:kern w:val="0"/>
          <w:sz w:val="28"/>
          <w:szCs w:val="28"/>
        </w:rPr>
        <w:t>本次评估选用比较法</w:t>
      </w:r>
      <w:r>
        <w:rPr>
          <w:rFonts w:hint="eastAsia" w:ascii="宋体" w:hAnsi="宋体" w:cs="宋体"/>
          <w:bCs/>
          <w:kern w:val="0"/>
          <w:sz w:val="28"/>
          <w:szCs w:val="28"/>
        </w:rPr>
        <w:t>确定价值</w:t>
      </w:r>
      <w:r>
        <w:rPr>
          <w:rFonts w:hint="eastAsia" w:ascii="宋体" w:hAnsi="宋体" w:cs="宋体"/>
          <w:kern w:val="0"/>
          <w:sz w:val="28"/>
          <w:szCs w:val="28"/>
        </w:rPr>
        <w:t>。</w:t>
      </w:r>
    </w:p>
    <w:p>
      <w:pPr>
        <w:spacing w:line="440" w:lineRule="exact"/>
        <w:ind w:firstLine="562" w:firstLineChars="200"/>
        <w:rPr>
          <w:rFonts w:ascii="宋体" w:hAnsi="宋体" w:cs="宋体"/>
          <w:kern w:val="0"/>
          <w:sz w:val="28"/>
        </w:rPr>
      </w:pPr>
      <w:r>
        <w:rPr>
          <w:rFonts w:hint="eastAsia" w:ascii="宋体" w:hAnsi="宋体" w:cs="宋体"/>
          <w:b/>
          <w:kern w:val="0"/>
          <w:sz w:val="28"/>
          <w:szCs w:val="28"/>
        </w:rPr>
        <w:t>价值时点：</w:t>
      </w:r>
      <w:r>
        <w:rPr>
          <w:rFonts w:hint="eastAsia" w:ascii="宋体" w:hAnsi="宋体" w:cs="宋体"/>
          <w:kern w:val="0"/>
          <w:sz w:val="28"/>
          <w:szCs w:val="28"/>
          <w:lang w:eastAsia="zh-CN"/>
        </w:rPr>
        <w:t>2022年11月09日</w:t>
      </w:r>
      <w:r>
        <w:rPr>
          <w:rFonts w:hint="eastAsia" w:ascii="宋体" w:hAnsi="宋体" w:cs="宋体"/>
          <w:kern w:val="0"/>
          <w:sz w:val="28"/>
          <w:szCs w:val="28"/>
        </w:rPr>
        <w:t>，</w:t>
      </w:r>
      <w:r>
        <w:rPr>
          <w:rFonts w:hint="eastAsia" w:ascii="宋体" w:hAnsi="宋体" w:cs="宋体"/>
          <w:kern w:val="0"/>
          <w:sz w:val="28"/>
        </w:rPr>
        <w:t>价值时点是估价对象实地查勘之日。</w:t>
      </w:r>
    </w:p>
    <w:p>
      <w:pPr>
        <w:spacing w:line="440" w:lineRule="exact"/>
        <w:ind w:firstLine="562" w:firstLineChars="200"/>
        <w:rPr>
          <w:rFonts w:ascii="宋体" w:hAnsi="宋体" w:cs="宋体"/>
          <w:kern w:val="0"/>
          <w:sz w:val="28"/>
        </w:rPr>
      </w:pPr>
      <w:r>
        <w:rPr>
          <w:rFonts w:hint="eastAsia" w:ascii="宋体" w:hAnsi="宋体" w:cs="宋体"/>
          <w:b/>
          <w:kern w:val="0"/>
          <w:sz w:val="28"/>
          <w:szCs w:val="28"/>
        </w:rPr>
        <w:t>价值类型：</w:t>
      </w:r>
      <w:r>
        <w:rPr>
          <w:rFonts w:hint="eastAsia" w:ascii="宋体" w:hAnsi="宋体" w:cs="宋体"/>
          <w:kern w:val="0"/>
          <w:sz w:val="28"/>
        </w:rPr>
        <w:t>估价采用公开市场价值标准，即所评估出的客观合理价格应是在公开市场上最可能形成或成立的价格。</w:t>
      </w:r>
    </w:p>
    <w:p>
      <w:pPr>
        <w:spacing w:line="440" w:lineRule="exact"/>
        <w:ind w:firstLine="562" w:firstLineChars="200"/>
        <w:rPr>
          <w:rFonts w:ascii="宋体" w:hAnsi="宋体" w:cs="宋体"/>
          <w:kern w:val="0"/>
          <w:sz w:val="28"/>
        </w:rPr>
      </w:pPr>
      <w:r>
        <w:rPr>
          <w:rFonts w:hint="eastAsia" w:ascii="宋体" w:hAnsi="宋体" w:cs="宋体"/>
          <w:b/>
          <w:kern w:val="0"/>
          <w:sz w:val="28"/>
          <w:szCs w:val="28"/>
        </w:rPr>
        <w:t>估价结果：</w:t>
      </w:r>
      <w:r>
        <w:rPr>
          <w:rFonts w:hint="eastAsia" w:ascii="宋体" w:hAnsi="宋体" w:cs="宋体"/>
          <w:kern w:val="0"/>
          <w:sz w:val="28"/>
        </w:rPr>
        <w:t>本估价机构根据估价目的，遵循估价原则，按照估价程序，采用科学合理的估价方法，在认真分析现有资料的基础上，经过测算，结合估价经验及对影响估价对象市场价格因素的分析，价值时点估价对象现时客观市场价值</w:t>
      </w:r>
      <w:r>
        <w:rPr>
          <w:rFonts w:hint="eastAsia" w:ascii="宋体" w:hAnsi="宋体" w:cs="宋体"/>
          <w:kern w:val="0"/>
          <w:sz w:val="28"/>
          <w:szCs w:val="28"/>
        </w:rPr>
        <w:t>为人民币小写</w:t>
      </w:r>
      <w:r>
        <w:rPr>
          <w:rFonts w:hint="eastAsia" w:ascii="宋体" w:hAnsi="宋体" w:cs="宋体"/>
          <w:sz w:val="28"/>
          <w:szCs w:val="28"/>
          <w:lang w:val="en-US" w:eastAsia="zh-CN"/>
        </w:rPr>
        <w:t>40.36</w:t>
      </w:r>
      <w:r>
        <w:rPr>
          <w:rFonts w:hint="eastAsia" w:ascii="宋体" w:hAnsi="宋体" w:cs="宋体"/>
          <w:sz w:val="28"/>
          <w:szCs w:val="28"/>
        </w:rPr>
        <w:t>万元（此价值包含占用范围内土地使用权价值），大</w:t>
      </w:r>
      <w:r>
        <w:rPr>
          <w:rFonts w:hint="eastAsia" w:ascii="宋体" w:hAnsi="宋体" w:cs="宋体"/>
          <w:sz w:val="28"/>
        </w:rPr>
        <w:t>写：</w:t>
      </w:r>
      <w:r>
        <w:rPr>
          <w:rFonts w:hint="eastAsia" w:ascii="宋体" w:hAnsi="宋体" w:cs="宋体"/>
          <w:sz w:val="28"/>
          <w:lang w:val="en-US" w:eastAsia="zh-CN"/>
        </w:rPr>
        <w:t>肆拾万零叁仟陆佰</w:t>
      </w:r>
      <w:r>
        <w:rPr>
          <w:rFonts w:hint="eastAsia" w:ascii="宋体" w:hAnsi="宋体" w:cs="宋体"/>
          <w:sz w:val="28"/>
        </w:rPr>
        <w:t>元整。</w:t>
      </w:r>
    </w:p>
    <w:p>
      <w:pPr>
        <w:spacing w:beforeLines="50" w:line="440" w:lineRule="exact"/>
        <w:rPr>
          <w:rFonts w:ascii="宋体" w:hAnsi="宋体"/>
          <w:sz w:val="28"/>
          <w:szCs w:val="28"/>
          <w:highlight w:val="yellow"/>
        </w:rPr>
      </w:pPr>
      <w:r>
        <w:rPr>
          <w:rFonts w:hint="eastAsia" w:ascii="宋体" w:hAnsi="宋体"/>
          <w:sz w:val="28"/>
          <w:szCs w:val="28"/>
        </w:rPr>
        <w:t>特别提</w:t>
      </w:r>
      <w:r>
        <w:rPr>
          <w:rFonts w:ascii="宋体" w:hAnsi="宋体"/>
          <w:sz w:val="28"/>
          <w:szCs w:val="28"/>
        </w:rPr>
        <w:t>示：</w:t>
      </w:r>
    </w:p>
    <w:p>
      <w:pPr>
        <w:spacing w:line="440" w:lineRule="exact"/>
        <w:rPr>
          <w:rFonts w:ascii="宋体" w:hAnsi="宋体" w:cs="宋体"/>
          <w:kern w:val="0"/>
          <w:sz w:val="28"/>
        </w:rPr>
      </w:pPr>
      <w:r>
        <w:rPr>
          <w:rFonts w:hint="eastAsia" w:ascii="宋体" w:hAnsi="宋体"/>
          <w:sz w:val="28"/>
        </w:rPr>
        <w:t>以上内容摘自评估报告，详细内容见《房地产估价结果报告》，同时请关注其中的</w:t>
      </w:r>
      <w:r>
        <w:rPr>
          <w:rFonts w:hint="eastAsia" w:ascii="宋体" w:hAnsi="宋体"/>
          <w:bCs/>
          <w:sz w:val="28"/>
        </w:rPr>
        <w:t>注册房地产估价师声明和</w:t>
      </w:r>
      <w:r>
        <w:rPr>
          <w:rFonts w:hint="eastAsia" w:ascii="宋体" w:hAnsi="宋体"/>
          <w:sz w:val="28"/>
        </w:rPr>
        <w:t>估价的假设和限制条件说明。</w:t>
      </w:r>
    </w:p>
    <w:p>
      <w:pPr>
        <w:spacing w:line="400" w:lineRule="exact"/>
        <w:rPr>
          <w:rFonts w:ascii="宋体" w:hAnsi="宋体" w:cs="宋体"/>
          <w:kern w:val="0"/>
          <w:sz w:val="28"/>
        </w:rPr>
      </w:pPr>
      <w:r>
        <w:rPr>
          <w:rFonts w:hint="eastAsia" w:ascii="宋体" w:hAnsi="宋体" w:cs="宋体"/>
          <w:kern w:val="0"/>
          <w:sz w:val="24"/>
        </w:rPr>
        <w:t>注：本估价报告使用有效期为壹年，即自</w:t>
      </w:r>
      <w:r>
        <w:rPr>
          <w:rFonts w:hint="eastAsia" w:ascii="宋体" w:hAnsi="宋体" w:cs="宋体"/>
          <w:kern w:val="0"/>
          <w:sz w:val="24"/>
          <w:lang w:eastAsia="zh-CN"/>
        </w:rPr>
        <w:t>2022年11月21日</w:t>
      </w:r>
      <w:r>
        <w:rPr>
          <w:rFonts w:hint="eastAsia" w:ascii="宋体" w:hAnsi="宋体" w:cs="宋体"/>
          <w:kern w:val="0"/>
          <w:sz w:val="24"/>
        </w:rPr>
        <w:t>至</w:t>
      </w:r>
      <w:r>
        <w:rPr>
          <w:rFonts w:hint="eastAsia" w:ascii="宋体" w:hAnsi="宋体" w:cs="宋体"/>
          <w:kern w:val="0"/>
          <w:sz w:val="24"/>
          <w:lang w:eastAsia="zh-CN"/>
        </w:rPr>
        <w:t>2023年11月</w:t>
      </w:r>
      <w:r>
        <w:rPr>
          <w:rFonts w:hint="eastAsia" w:ascii="宋体" w:hAnsi="宋体" w:cs="宋体"/>
          <w:kern w:val="0"/>
          <w:sz w:val="24"/>
          <w:lang w:val="en-US" w:eastAsia="zh-CN"/>
        </w:rPr>
        <w:t>20</w:t>
      </w:r>
      <w:r>
        <w:rPr>
          <w:rFonts w:hint="eastAsia" w:ascii="宋体" w:hAnsi="宋体" w:cs="宋体"/>
          <w:kern w:val="0"/>
          <w:sz w:val="24"/>
          <w:lang w:eastAsia="zh-CN"/>
        </w:rPr>
        <w:t>日</w:t>
      </w:r>
      <w:r>
        <w:rPr>
          <w:rFonts w:hint="eastAsia" w:ascii="宋体" w:hAnsi="宋体" w:cs="宋体"/>
          <w:kern w:val="0"/>
          <w:sz w:val="28"/>
        </w:rPr>
        <w:t>。</w:t>
      </w:r>
    </w:p>
    <w:p>
      <w:pPr>
        <w:spacing w:line="400" w:lineRule="exact"/>
        <w:ind w:firstLine="4340" w:firstLineChars="1550"/>
        <w:rPr>
          <w:rFonts w:ascii="宋体" w:hAnsi="宋体" w:cs="宋体"/>
          <w:kern w:val="0"/>
          <w:sz w:val="28"/>
        </w:rPr>
      </w:pPr>
    </w:p>
    <w:p>
      <w:pPr>
        <w:spacing w:line="400" w:lineRule="exact"/>
        <w:ind w:firstLine="4340" w:firstLineChars="1550"/>
        <w:rPr>
          <w:rFonts w:ascii="宋体" w:hAnsi="宋体" w:cs="宋体"/>
          <w:kern w:val="0"/>
          <w:sz w:val="28"/>
        </w:rPr>
      </w:pPr>
    </w:p>
    <w:p>
      <w:pPr>
        <w:spacing w:line="400" w:lineRule="exact"/>
        <w:ind w:firstLine="4340" w:firstLineChars="1550"/>
        <w:rPr>
          <w:rFonts w:ascii="宋体" w:hAnsi="宋体" w:cs="宋体"/>
          <w:kern w:val="0"/>
          <w:sz w:val="28"/>
        </w:rPr>
      </w:pPr>
      <w:r>
        <w:rPr>
          <w:rFonts w:hint="eastAsia" w:ascii="宋体" w:hAnsi="宋体" w:cs="宋体"/>
          <w:kern w:val="0"/>
          <w:sz w:val="28"/>
        </w:rPr>
        <w:t>山东卓越全程土地房地产评估有限公司</w:t>
      </w:r>
    </w:p>
    <w:p>
      <w:pPr>
        <w:spacing w:line="400" w:lineRule="exact"/>
        <w:rPr>
          <w:rFonts w:ascii="宋体" w:hAnsi="宋体" w:cs="宋体"/>
          <w:kern w:val="0"/>
          <w:sz w:val="28"/>
        </w:rPr>
      </w:pPr>
      <w:r>
        <w:rPr>
          <w:rFonts w:hint="eastAsia" w:ascii="宋体" w:hAnsi="宋体" w:cs="宋体"/>
          <w:kern w:val="0"/>
          <w:sz w:val="28"/>
        </w:rPr>
        <w:t xml:space="preserve">                 </w:t>
      </w:r>
      <w:r>
        <w:rPr>
          <w:rFonts w:hint="eastAsia" w:ascii="宋体" w:hAnsi="宋体" w:cs="宋体"/>
          <w:color w:val="FF0000"/>
          <w:kern w:val="0"/>
          <w:sz w:val="28"/>
        </w:rPr>
        <w:t xml:space="preserve">     </w:t>
      </w:r>
      <w:r>
        <w:rPr>
          <w:rFonts w:hint="eastAsia" w:ascii="宋体" w:hAnsi="宋体" w:cs="宋体"/>
          <w:kern w:val="0"/>
          <w:sz w:val="28"/>
        </w:rPr>
        <w:t xml:space="preserve">                 法定代表人:（签章）</w:t>
      </w:r>
    </w:p>
    <w:p>
      <w:pPr>
        <w:spacing w:line="400" w:lineRule="exact"/>
        <w:ind w:firstLine="560" w:firstLineChars="200"/>
        <w:rPr>
          <w:rFonts w:ascii="宋体" w:hAnsi="宋体" w:cs="宋体"/>
          <w:kern w:val="0"/>
          <w:sz w:val="28"/>
        </w:rPr>
      </w:pPr>
      <w:r>
        <w:rPr>
          <w:rFonts w:hint="eastAsia" w:ascii="宋体" w:hAnsi="宋体" w:cs="宋体"/>
          <w:kern w:val="0"/>
          <w:sz w:val="28"/>
        </w:rPr>
        <w:t xml:space="preserve">                                  二○二二年</w:t>
      </w:r>
      <w:r>
        <w:rPr>
          <w:rFonts w:hint="eastAsia" w:ascii="宋体" w:hAnsi="宋体" w:cs="宋体"/>
          <w:kern w:val="0"/>
          <w:sz w:val="28"/>
          <w:lang w:val="en-US" w:eastAsia="zh-CN"/>
        </w:rPr>
        <w:t>十一</w:t>
      </w:r>
      <w:r>
        <w:rPr>
          <w:rFonts w:hint="eastAsia" w:ascii="宋体" w:hAnsi="宋体" w:cs="宋体"/>
          <w:kern w:val="0"/>
          <w:sz w:val="28"/>
        </w:rPr>
        <w:t>月</w:t>
      </w:r>
      <w:r>
        <w:rPr>
          <w:rFonts w:hint="eastAsia" w:ascii="宋体" w:hAnsi="宋体" w:cs="宋体"/>
          <w:kern w:val="0"/>
          <w:sz w:val="28"/>
          <w:lang w:val="en-US" w:eastAsia="zh-CN"/>
        </w:rPr>
        <w:t>二十一</w:t>
      </w:r>
      <w:r>
        <w:rPr>
          <w:rFonts w:hint="eastAsia" w:ascii="宋体" w:hAnsi="宋体" w:cs="宋体"/>
          <w:kern w:val="0"/>
          <w:sz w:val="28"/>
        </w:rPr>
        <w:t>日</w:t>
      </w:r>
    </w:p>
    <w:p>
      <w:pPr>
        <w:jc w:val="center"/>
        <w:rPr>
          <w:rFonts w:ascii="宋体" w:hAnsi="宋体"/>
          <w:b/>
          <w:kern w:val="0"/>
          <w:sz w:val="44"/>
        </w:rPr>
      </w:pPr>
      <w:r>
        <w:rPr>
          <w:rFonts w:ascii="宋体" w:hAnsi="宋体" w:cs="宋体"/>
          <w:kern w:val="0"/>
          <w:sz w:val="28"/>
        </w:rPr>
        <w:br w:type="page"/>
      </w:r>
      <w:r>
        <w:rPr>
          <w:rFonts w:hint="eastAsia" w:ascii="宋体" w:hAnsi="宋体"/>
          <w:b/>
          <w:kern w:val="0"/>
          <w:sz w:val="44"/>
        </w:rPr>
        <w:t>目  录</w:t>
      </w:r>
    </w:p>
    <w:p>
      <w:pPr>
        <w:spacing w:line="480" w:lineRule="exact"/>
        <w:rPr>
          <w:rFonts w:ascii="宋体" w:hAnsi="宋体"/>
          <w:kern w:val="0"/>
          <w:sz w:val="28"/>
          <w:szCs w:val="28"/>
        </w:rPr>
      </w:pPr>
      <w:r>
        <w:rPr>
          <w:rFonts w:hint="eastAsia" w:ascii="宋体" w:hAnsi="宋体"/>
          <w:kern w:val="0"/>
          <w:sz w:val="28"/>
          <w:szCs w:val="28"/>
        </w:rPr>
        <w:t>一、致估价委托人函……………………………………………………………(2)</w:t>
      </w:r>
    </w:p>
    <w:p>
      <w:pPr>
        <w:spacing w:line="480" w:lineRule="exact"/>
        <w:rPr>
          <w:rFonts w:ascii="宋体" w:hAnsi="宋体"/>
          <w:kern w:val="0"/>
          <w:sz w:val="28"/>
          <w:szCs w:val="28"/>
        </w:rPr>
      </w:pPr>
      <w:r>
        <w:rPr>
          <w:rFonts w:hint="eastAsia" w:ascii="宋体" w:hAnsi="宋体"/>
          <w:kern w:val="0"/>
          <w:sz w:val="28"/>
          <w:szCs w:val="28"/>
        </w:rPr>
        <w:t>二、注册房地产估价师声明……………………………………………………(4)</w:t>
      </w:r>
    </w:p>
    <w:p>
      <w:pPr>
        <w:spacing w:line="480" w:lineRule="exact"/>
        <w:rPr>
          <w:rFonts w:ascii="宋体" w:hAnsi="宋体"/>
          <w:kern w:val="0"/>
          <w:sz w:val="28"/>
          <w:szCs w:val="28"/>
        </w:rPr>
      </w:pPr>
      <w:r>
        <w:rPr>
          <w:rFonts w:hint="eastAsia" w:ascii="宋体" w:hAnsi="宋体"/>
          <w:kern w:val="0"/>
          <w:sz w:val="28"/>
          <w:szCs w:val="28"/>
        </w:rPr>
        <w:t>三、估价的假设和限制条件……………………………………………………(6)</w:t>
      </w:r>
    </w:p>
    <w:p>
      <w:pPr>
        <w:spacing w:line="480" w:lineRule="exact"/>
        <w:rPr>
          <w:rFonts w:ascii="宋体" w:hAnsi="宋体"/>
          <w:kern w:val="0"/>
          <w:sz w:val="28"/>
          <w:szCs w:val="28"/>
        </w:rPr>
      </w:pPr>
      <w:r>
        <w:rPr>
          <w:rFonts w:hint="eastAsia" w:ascii="宋体" w:hAnsi="宋体"/>
          <w:kern w:val="0"/>
          <w:sz w:val="28"/>
          <w:szCs w:val="28"/>
        </w:rPr>
        <w:t>四、估价结果报告 ……………………………………………………………(10)</w:t>
      </w:r>
    </w:p>
    <w:p>
      <w:pPr>
        <w:spacing w:line="480" w:lineRule="exact"/>
        <w:ind w:firstLine="560" w:firstLineChars="200"/>
        <w:rPr>
          <w:rFonts w:ascii="宋体" w:hAnsi="宋体"/>
          <w:kern w:val="0"/>
          <w:sz w:val="28"/>
          <w:szCs w:val="28"/>
        </w:rPr>
      </w:pPr>
      <w:r>
        <w:rPr>
          <w:rFonts w:hint="eastAsia" w:ascii="宋体" w:hAnsi="宋体"/>
          <w:kern w:val="0"/>
          <w:sz w:val="28"/>
          <w:szCs w:val="28"/>
        </w:rPr>
        <w:t>（一）估价委托人</w:t>
      </w:r>
    </w:p>
    <w:p>
      <w:pPr>
        <w:spacing w:line="480" w:lineRule="exact"/>
        <w:ind w:firstLine="560" w:firstLineChars="200"/>
        <w:rPr>
          <w:rFonts w:ascii="宋体" w:hAnsi="宋体"/>
          <w:kern w:val="0"/>
          <w:sz w:val="28"/>
          <w:szCs w:val="28"/>
        </w:rPr>
      </w:pPr>
      <w:r>
        <w:rPr>
          <w:rFonts w:hint="eastAsia" w:ascii="宋体" w:hAnsi="宋体"/>
          <w:kern w:val="0"/>
          <w:sz w:val="28"/>
          <w:szCs w:val="28"/>
        </w:rPr>
        <w:t>（二）估价机构</w:t>
      </w:r>
    </w:p>
    <w:p>
      <w:pPr>
        <w:spacing w:line="480" w:lineRule="exact"/>
        <w:ind w:firstLine="560" w:firstLineChars="200"/>
        <w:rPr>
          <w:rFonts w:ascii="宋体" w:hAnsi="宋体"/>
          <w:kern w:val="0"/>
          <w:sz w:val="28"/>
          <w:szCs w:val="28"/>
        </w:rPr>
      </w:pPr>
      <w:r>
        <w:rPr>
          <w:rFonts w:hint="eastAsia" w:ascii="宋体" w:hAnsi="宋体"/>
          <w:kern w:val="0"/>
          <w:sz w:val="28"/>
          <w:szCs w:val="28"/>
        </w:rPr>
        <w:t>（三）估价对象</w:t>
      </w:r>
    </w:p>
    <w:p>
      <w:pPr>
        <w:spacing w:line="480" w:lineRule="exact"/>
        <w:ind w:firstLine="560" w:firstLineChars="200"/>
        <w:rPr>
          <w:rFonts w:ascii="宋体" w:hAnsi="宋体"/>
          <w:kern w:val="0"/>
          <w:sz w:val="28"/>
          <w:szCs w:val="28"/>
        </w:rPr>
      </w:pPr>
      <w:r>
        <w:rPr>
          <w:rFonts w:hint="eastAsia" w:ascii="宋体" w:hAnsi="宋体"/>
          <w:kern w:val="0"/>
          <w:sz w:val="28"/>
          <w:szCs w:val="28"/>
        </w:rPr>
        <w:t>（四）估价目的</w:t>
      </w:r>
    </w:p>
    <w:p>
      <w:pPr>
        <w:spacing w:line="480" w:lineRule="exact"/>
        <w:ind w:firstLine="560" w:firstLineChars="200"/>
        <w:rPr>
          <w:rFonts w:ascii="宋体" w:hAnsi="宋体"/>
          <w:kern w:val="0"/>
          <w:sz w:val="28"/>
          <w:szCs w:val="28"/>
        </w:rPr>
      </w:pPr>
      <w:r>
        <w:rPr>
          <w:rFonts w:hint="eastAsia" w:ascii="宋体" w:hAnsi="宋体"/>
          <w:kern w:val="0"/>
          <w:sz w:val="28"/>
          <w:szCs w:val="28"/>
        </w:rPr>
        <w:t>（五）价值时点</w:t>
      </w:r>
    </w:p>
    <w:p>
      <w:pPr>
        <w:spacing w:line="480" w:lineRule="exact"/>
        <w:ind w:firstLine="560" w:firstLineChars="200"/>
        <w:rPr>
          <w:rFonts w:ascii="宋体" w:hAnsi="宋体"/>
          <w:kern w:val="0"/>
          <w:sz w:val="28"/>
          <w:szCs w:val="28"/>
        </w:rPr>
      </w:pPr>
      <w:r>
        <w:rPr>
          <w:rFonts w:hint="eastAsia" w:ascii="宋体" w:hAnsi="宋体"/>
          <w:kern w:val="0"/>
          <w:sz w:val="28"/>
          <w:szCs w:val="28"/>
        </w:rPr>
        <w:t>（六）价值定义</w:t>
      </w:r>
    </w:p>
    <w:p>
      <w:pPr>
        <w:spacing w:line="480" w:lineRule="exact"/>
        <w:ind w:firstLine="560" w:firstLineChars="200"/>
        <w:rPr>
          <w:rFonts w:ascii="宋体" w:hAnsi="宋体"/>
          <w:kern w:val="0"/>
          <w:sz w:val="28"/>
          <w:szCs w:val="28"/>
        </w:rPr>
      </w:pPr>
      <w:r>
        <w:rPr>
          <w:rFonts w:hint="eastAsia" w:ascii="宋体" w:hAnsi="宋体"/>
          <w:kern w:val="0"/>
          <w:sz w:val="28"/>
          <w:szCs w:val="28"/>
        </w:rPr>
        <w:t>（七）估价依据</w:t>
      </w:r>
    </w:p>
    <w:p>
      <w:pPr>
        <w:tabs>
          <w:tab w:val="left" w:pos="6060"/>
        </w:tabs>
        <w:spacing w:line="480" w:lineRule="exact"/>
        <w:ind w:firstLine="560" w:firstLineChars="200"/>
        <w:rPr>
          <w:rFonts w:ascii="宋体" w:hAnsi="宋体"/>
          <w:kern w:val="0"/>
          <w:sz w:val="28"/>
          <w:szCs w:val="28"/>
        </w:rPr>
      </w:pPr>
      <w:r>
        <w:rPr>
          <w:rFonts w:hint="eastAsia" w:ascii="宋体" w:hAnsi="宋体"/>
          <w:kern w:val="0"/>
          <w:sz w:val="28"/>
          <w:szCs w:val="28"/>
        </w:rPr>
        <w:t>（八）估价原则</w:t>
      </w:r>
    </w:p>
    <w:p>
      <w:pPr>
        <w:spacing w:line="480" w:lineRule="exact"/>
        <w:ind w:firstLine="560" w:firstLineChars="200"/>
        <w:rPr>
          <w:rFonts w:ascii="宋体" w:hAnsi="宋体"/>
          <w:kern w:val="0"/>
          <w:sz w:val="28"/>
          <w:szCs w:val="28"/>
        </w:rPr>
      </w:pPr>
      <w:r>
        <w:rPr>
          <w:rFonts w:hint="eastAsia" w:ascii="宋体" w:hAnsi="宋体"/>
          <w:kern w:val="0"/>
          <w:sz w:val="28"/>
          <w:szCs w:val="28"/>
        </w:rPr>
        <w:t>（九）估价方法及技术思路</w:t>
      </w:r>
    </w:p>
    <w:p>
      <w:pPr>
        <w:spacing w:line="480" w:lineRule="exact"/>
        <w:ind w:firstLine="560" w:firstLineChars="200"/>
        <w:rPr>
          <w:rFonts w:ascii="宋体" w:hAnsi="宋体"/>
          <w:kern w:val="0"/>
          <w:sz w:val="28"/>
          <w:szCs w:val="28"/>
        </w:rPr>
      </w:pPr>
      <w:r>
        <w:rPr>
          <w:rFonts w:hint="eastAsia" w:ascii="宋体" w:hAnsi="宋体"/>
          <w:kern w:val="0"/>
          <w:sz w:val="28"/>
          <w:szCs w:val="28"/>
        </w:rPr>
        <w:t>（十）估价结果</w:t>
      </w:r>
    </w:p>
    <w:p>
      <w:pPr>
        <w:spacing w:line="480" w:lineRule="exact"/>
        <w:ind w:firstLine="560" w:firstLineChars="200"/>
        <w:rPr>
          <w:rFonts w:ascii="宋体" w:hAnsi="宋体"/>
          <w:kern w:val="0"/>
          <w:sz w:val="28"/>
          <w:szCs w:val="28"/>
        </w:rPr>
      </w:pPr>
      <w:r>
        <w:rPr>
          <w:rFonts w:hint="eastAsia" w:ascii="宋体" w:hAnsi="宋体"/>
          <w:kern w:val="0"/>
          <w:sz w:val="28"/>
          <w:szCs w:val="28"/>
        </w:rPr>
        <w:t>（十一）估价人员</w:t>
      </w:r>
    </w:p>
    <w:p>
      <w:pPr>
        <w:spacing w:line="480" w:lineRule="exact"/>
        <w:ind w:firstLine="560" w:firstLineChars="200"/>
        <w:rPr>
          <w:rFonts w:ascii="宋体" w:hAnsi="宋体"/>
          <w:kern w:val="0"/>
          <w:sz w:val="28"/>
          <w:szCs w:val="28"/>
        </w:rPr>
      </w:pPr>
      <w:r>
        <w:rPr>
          <w:rFonts w:hint="eastAsia" w:ascii="宋体" w:hAnsi="宋体"/>
          <w:kern w:val="0"/>
          <w:sz w:val="28"/>
          <w:szCs w:val="28"/>
        </w:rPr>
        <w:t>（十二）估价作业期</w:t>
      </w:r>
    </w:p>
    <w:p>
      <w:pPr>
        <w:spacing w:line="480" w:lineRule="exact"/>
        <w:ind w:firstLine="560" w:firstLineChars="200"/>
        <w:rPr>
          <w:rFonts w:ascii="宋体" w:hAnsi="宋体"/>
          <w:kern w:val="0"/>
          <w:sz w:val="28"/>
          <w:szCs w:val="28"/>
        </w:rPr>
      </w:pPr>
      <w:r>
        <w:rPr>
          <w:rFonts w:hint="eastAsia" w:ascii="宋体" w:hAnsi="宋体"/>
          <w:kern w:val="0"/>
          <w:sz w:val="28"/>
          <w:szCs w:val="28"/>
        </w:rPr>
        <w:t>（十三）估价报告有效日期</w:t>
      </w:r>
    </w:p>
    <w:p>
      <w:pPr>
        <w:spacing w:line="480" w:lineRule="exact"/>
        <w:rPr>
          <w:rFonts w:ascii="宋体" w:hAnsi="宋体"/>
          <w:kern w:val="0"/>
          <w:sz w:val="28"/>
          <w:szCs w:val="28"/>
        </w:rPr>
      </w:pPr>
      <w:r>
        <w:rPr>
          <w:rFonts w:hint="eastAsia" w:ascii="宋体" w:hAnsi="宋体"/>
          <w:kern w:val="0"/>
          <w:sz w:val="28"/>
          <w:szCs w:val="28"/>
        </w:rPr>
        <w:t>五、附件 ………………………………………………………………………(17)</w:t>
      </w:r>
    </w:p>
    <w:p>
      <w:pPr>
        <w:spacing w:line="480" w:lineRule="exact"/>
        <w:ind w:firstLine="560" w:firstLineChars="200"/>
        <w:rPr>
          <w:rFonts w:ascii="宋体" w:hAnsi="宋体"/>
          <w:kern w:val="0"/>
          <w:sz w:val="28"/>
          <w:szCs w:val="28"/>
        </w:rPr>
      </w:pPr>
      <w:r>
        <w:rPr>
          <w:rFonts w:hint="eastAsia" w:ascii="宋体" w:hAnsi="宋体"/>
          <w:kern w:val="0"/>
          <w:sz w:val="28"/>
          <w:szCs w:val="28"/>
        </w:rPr>
        <w:t>（一）</w:t>
      </w:r>
      <w:r>
        <w:rPr>
          <w:rFonts w:hint="eastAsia" w:ascii="宋体" w:hAnsi="宋体"/>
          <w:kern w:val="0"/>
          <w:sz w:val="28"/>
          <w:szCs w:val="28"/>
          <w:lang w:eastAsia="zh-CN"/>
        </w:rPr>
        <w:t>潍坊市潍城区人民法院委托书（2022）鲁0702执663号</w:t>
      </w:r>
      <w:r>
        <w:rPr>
          <w:rFonts w:hint="eastAsia" w:ascii="宋体" w:hAnsi="宋体"/>
          <w:kern w:val="0"/>
          <w:sz w:val="28"/>
          <w:szCs w:val="28"/>
        </w:rPr>
        <w:t>复印件</w:t>
      </w:r>
    </w:p>
    <w:p>
      <w:pPr>
        <w:spacing w:line="480" w:lineRule="exact"/>
        <w:ind w:firstLine="560" w:firstLineChars="200"/>
        <w:rPr>
          <w:rFonts w:ascii="宋体" w:hAnsi="宋体"/>
          <w:kern w:val="0"/>
          <w:sz w:val="28"/>
          <w:szCs w:val="28"/>
        </w:rPr>
      </w:pPr>
      <w:r>
        <w:rPr>
          <w:rFonts w:hint="eastAsia" w:ascii="宋体" w:hAnsi="宋体"/>
          <w:kern w:val="0"/>
          <w:sz w:val="28"/>
          <w:szCs w:val="28"/>
        </w:rPr>
        <w:t>（二）</w:t>
      </w:r>
      <w:r>
        <w:rPr>
          <w:rFonts w:hint="eastAsia" w:ascii="宋体" w:hAnsi="宋体"/>
          <w:kern w:val="0"/>
          <w:sz w:val="28"/>
          <w:szCs w:val="28"/>
          <w:lang w:val="en-US" w:eastAsia="zh-CN"/>
        </w:rPr>
        <w:t>查档证明复印件</w:t>
      </w:r>
    </w:p>
    <w:p>
      <w:pPr>
        <w:spacing w:line="480" w:lineRule="exact"/>
        <w:ind w:firstLine="560" w:firstLineChars="200"/>
        <w:rPr>
          <w:rFonts w:ascii="宋体" w:hAnsi="宋体"/>
          <w:kern w:val="0"/>
          <w:sz w:val="28"/>
          <w:szCs w:val="28"/>
        </w:rPr>
      </w:pPr>
      <w:r>
        <w:rPr>
          <w:rFonts w:hint="eastAsia" w:ascii="宋体" w:hAnsi="宋体"/>
          <w:kern w:val="0"/>
          <w:sz w:val="28"/>
          <w:szCs w:val="28"/>
        </w:rPr>
        <w:t>（三）位置示意图及现场勘查影像资料</w:t>
      </w:r>
    </w:p>
    <w:p>
      <w:pPr>
        <w:spacing w:line="480" w:lineRule="exact"/>
        <w:ind w:firstLine="560" w:firstLineChars="200"/>
        <w:rPr>
          <w:rFonts w:ascii="宋体" w:hAnsi="宋体"/>
          <w:kern w:val="0"/>
          <w:sz w:val="28"/>
          <w:szCs w:val="28"/>
        </w:rPr>
      </w:pPr>
      <w:r>
        <w:rPr>
          <w:rFonts w:hint="eastAsia" w:ascii="宋体" w:hAnsi="宋体"/>
          <w:kern w:val="0"/>
          <w:sz w:val="28"/>
          <w:szCs w:val="28"/>
        </w:rPr>
        <w:t>（四）估价机构营业执照复印件</w:t>
      </w:r>
    </w:p>
    <w:p>
      <w:pPr>
        <w:spacing w:line="480" w:lineRule="exact"/>
        <w:ind w:firstLine="560" w:firstLineChars="200"/>
        <w:rPr>
          <w:rFonts w:ascii="宋体" w:hAnsi="宋体"/>
          <w:kern w:val="0"/>
          <w:sz w:val="28"/>
          <w:szCs w:val="28"/>
        </w:rPr>
      </w:pPr>
      <w:r>
        <w:rPr>
          <w:rFonts w:hint="eastAsia" w:ascii="宋体" w:hAnsi="宋体"/>
          <w:kern w:val="0"/>
          <w:sz w:val="28"/>
          <w:szCs w:val="28"/>
        </w:rPr>
        <w:t>（五）估价机构资质证书复印件</w:t>
      </w:r>
    </w:p>
    <w:p>
      <w:pPr>
        <w:spacing w:line="480" w:lineRule="exact"/>
        <w:ind w:firstLine="560" w:firstLineChars="200"/>
        <w:rPr>
          <w:rFonts w:ascii="宋体" w:hAnsi="宋体"/>
          <w:kern w:val="0"/>
          <w:sz w:val="28"/>
          <w:szCs w:val="28"/>
        </w:rPr>
      </w:pPr>
      <w:r>
        <w:rPr>
          <w:rFonts w:hint="eastAsia" w:ascii="宋体" w:hAnsi="宋体"/>
          <w:kern w:val="0"/>
          <w:sz w:val="28"/>
          <w:szCs w:val="28"/>
        </w:rPr>
        <w:t>（六）房地产估价师注册证书复印件</w:t>
      </w:r>
    </w:p>
    <w:p>
      <w:pPr>
        <w:spacing w:line="480" w:lineRule="exact"/>
        <w:ind w:firstLine="560" w:firstLineChars="200"/>
        <w:rPr>
          <w:rFonts w:ascii="宋体" w:hAnsi="宋体"/>
          <w:kern w:val="0"/>
          <w:sz w:val="28"/>
          <w:szCs w:val="28"/>
        </w:rPr>
      </w:pPr>
    </w:p>
    <w:p>
      <w:pPr>
        <w:spacing w:line="360" w:lineRule="exact"/>
        <w:ind w:firstLine="560" w:firstLineChars="200"/>
        <w:rPr>
          <w:rFonts w:ascii="宋体" w:hAnsi="宋体"/>
          <w:kern w:val="0"/>
          <w:sz w:val="28"/>
          <w:szCs w:val="28"/>
        </w:rPr>
      </w:pPr>
    </w:p>
    <w:p>
      <w:pPr>
        <w:spacing w:line="540" w:lineRule="exact"/>
        <w:ind w:firstLine="2429" w:firstLineChars="550"/>
        <w:rPr>
          <w:rFonts w:ascii="宋体" w:hAnsi="宋体" w:cs="宋体"/>
          <w:b/>
          <w:bCs/>
          <w:sz w:val="44"/>
        </w:rPr>
      </w:pPr>
      <w:r>
        <w:rPr>
          <w:rFonts w:ascii="宋体" w:hAnsi="宋体" w:cs="宋体"/>
          <w:b/>
          <w:bCs/>
          <w:sz w:val="44"/>
        </w:rPr>
        <w:br w:type="page"/>
      </w:r>
      <w:r>
        <w:rPr>
          <w:rFonts w:hint="eastAsia" w:ascii="宋体" w:hAnsi="宋体" w:cs="宋体"/>
          <w:b/>
          <w:bCs/>
          <w:sz w:val="44"/>
        </w:rPr>
        <w:t>注册房地产估价师声明</w:t>
      </w:r>
    </w:p>
    <w:p>
      <w:pPr>
        <w:spacing w:line="540" w:lineRule="exact"/>
        <w:ind w:firstLine="883" w:firstLineChars="200"/>
        <w:jc w:val="center"/>
        <w:rPr>
          <w:rFonts w:ascii="宋体" w:hAnsi="宋体" w:cs="宋体"/>
          <w:b/>
          <w:bCs/>
          <w:sz w:val="44"/>
        </w:rPr>
      </w:pPr>
    </w:p>
    <w:p>
      <w:pPr>
        <w:spacing w:line="500" w:lineRule="exact"/>
        <w:ind w:firstLine="560" w:firstLineChars="200"/>
        <w:rPr>
          <w:rFonts w:ascii="宋体" w:hAnsi="宋体" w:cs="宋体"/>
          <w:sz w:val="28"/>
        </w:rPr>
      </w:pPr>
      <w:r>
        <w:rPr>
          <w:rFonts w:hint="eastAsia" w:ascii="宋体" w:hAnsi="宋体" w:cs="宋体"/>
          <w:sz w:val="28"/>
        </w:rPr>
        <w:t>对本报告我们特作如下郑重声明：</w:t>
      </w:r>
    </w:p>
    <w:p>
      <w:pPr>
        <w:spacing w:line="500" w:lineRule="exact"/>
        <w:ind w:firstLine="560" w:firstLineChars="200"/>
        <w:rPr>
          <w:rFonts w:ascii="宋体" w:hAnsi="宋体" w:cs="宋体"/>
          <w:kern w:val="0"/>
          <w:sz w:val="28"/>
        </w:rPr>
      </w:pPr>
      <w:r>
        <w:rPr>
          <w:rFonts w:hint="eastAsia" w:ascii="宋体" w:hAnsi="宋体" w:cs="宋体"/>
          <w:kern w:val="0"/>
          <w:sz w:val="28"/>
        </w:rPr>
        <w:t>1、我们在本估价报告中对事实的说明是真实的和准确的，没有虚假记载、误导性陈述和重大遗漏。</w:t>
      </w:r>
    </w:p>
    <w:p>
      <w:pPr>
        <w:spacing w:line="500" w:lineRule="exact"/>
        <w:ind w:firstLine="560" w:firstLineChars="200"/>
        <w:rPr>
          <w:rFonts w:ascii="宋体" w:hAnsi="宋体" w:cs="宋体"/>
          <w:kern w:val="0"/>
          <w:sz w:val="28"/>
        </w:rPr>
      </w:pPr>
      <w:r>
        <w:rPr>
          <w:rFonts w:hint="eastAsia" w:ascii="宋体" w:hAnsi="宋体" w:cs="宋体"/>
          <w:kern w:val="0"/>
          <w:sz w:val="28"/>
        </w:rPr>
        <w:t>2、本估价报告中的分析、意见和结论是注册房地产估价师独立、客观、公正的专业分析、意见和结论，但受到本估价报告中已说明的假设和限制条件的限制。</w:t>
      </w:r>
    </w:p>
    <w:p>
      <w:pPr>
        <w:spacing w:line="500" w:lineRule="exact"/>
        <w:ind w:firstLine="560" w:firstLineChars="200"/>
        <w:rPr>
          <w:rFonts w:ascii="宋体" w:hAnsi="宋体" w:cs="宋体"/>
          <w:kern w:val="0"/>
          <w:sz w:val="28"/>
        </w:rPr>
      </w:pPr>
      <w:r>
        <w:rPr>
          <w:rFonts w:hint="eastAsia" w:ascii="宋体" w:hAnsi="宋体" w:cs="宋体"/>
          <w:kern w:val="0"/>
          <w:sz w:val="28"/>
        </w:rPr>
        <w:t>3、我们与本估价报告中的估价对象没有利害关系，也与有关当事人没有个人利害关系或偏见。</w:t>
      </w:r>
    </w:p>
    <w:p>
      <w:pPr>
        <w:spacing w:line="500" w:lineRule="exact"/>
        <w:ind w:firstLine="560" w:firstLineChars="200"/>
        <w:rPr>
          <w:rFonts w:ascii="宋体" w:hAnsi="宋体" w:cs="宋体"/>
          <w:kern w:val="0"/>
          <w:sz w:val="28"/>
        </w:rPr>
      </w:pPr>
      <w:r>
        <w:rPr>
          <w:rFonts w:hint="eastAsia" w:ascii="宋体" w:hAnsi="宋体" w:cs="宋体"/>
          <w:kern w:val="0"/>
          <w:sz w:val="28"/>
        </w:rPr>
        <w:t>4、我们依照《中华人民共和国城市房地产管理法》、国家标准《房地产估价规范》等进行分析，形成意见和结论，撰写本估价报告。</w:t>
      </w:r>
    </w:p>
    <w:p>
      <w:pPr>
        <w:spacing w:line="500" w:lineRule="exact"/>
        <w:ind w:firstLine="560" w:firstLineChars="200"/>
        <w:rPr>
          <w:rFonts w:ascii="宋体" w:hAnsi="宋体" w:cs="宋体"/>
          <w:kern w:val="0"/>
          <w:sz w:val="28"/>
        </w:rPr>
      </w:pPr>
      <w:r>
        <w:rPr>
          <w:rFonts w:hint="eastAsia" w:ascii="宋体" w:hAnsi="宋体" w:cs="宋体"/>
          <w:kern w:val="0"/>
          <w:sz w:val="28"/>
        </w:rPr>
        <w:t>5、我公司注册房地产估价师</w:t>
      </w:r>
      <w:r>
        <w:rPr>
          <w:rFonts w:hint="eastAsia" w:ascii="宋体" w:hAnsi="宋体" w:cs="宋体"/>
          <w:kern w:val="0"/>
          <w:sz w:val="28"/>
          <w:lang w:val="en-US" w:eastAsia="zh-CN"/>
        </w:rPr>
        <w:t>王勇</w:t>
      </w:r>
      <w:r>
        <w:rPr>
          <w:rFonts w:hint="eastAsia" w:ascii="宋体" w:hAnsi="宋体" w:cs="宋体"/>
          <w:kern w:val="0"/>
          <w:sz w:val="28"/>
        </w:rPr>
        <w:t>，估价人员</w:t>
      </w:r>
      <w:r>
        <w:rPr>
          <w:rFonts w:hint="eastAsia" w:ascii="宋体" w:hAnsi="宋体" w:cs="宋体"/>
          <w:kern w:val="0"/>
          <w:sz w:val="28"/>
          <w:lang w:val="en-US" w:eastAsia="zh-CN"/>
        </w:rPr>
        <w:t>鲍晓梅、丁丽娟</w:t>
      </w:r>
      <w:r>
        <w:rPr>
          <w:rFonts w:hint="eastAsia" w:ascii="宋体" w:hAnsi="宋体" w:cs="宋体"/>
          <w:kern w:val="0"/>
          <w:sz w:val="28"/>
        </w:rPr>
        <w:t>已于</w:t>
      </w:r>
      <w:r>
        <w:rPr>
          <w:rFonts w:hint="eastAsia" w:ascii="宋体" w:hAnsi="宋体" w:cs="宋体"/>
          <w:kern w:val="0"/>
          <w:sz w:val="28"/>
          <w:lang w:eastAsia="zh-CN"/>
        </w:rPr>
        <w:t>2022年11月09日</w:t>
      </w:r>
      <w:r>
        <w:rPr>
          <w:rFonts w:hint="eastAsia" w:ascii="宋体" w:hAnsi="宋体" w:cs="宋体"/>
          <w:kern w:val="0"/>
          <w:sz w:val="28"/>
        </w:rPr>
        <w:t>对本估价报告中的估价对象进行了实地查勘并进行了记录，但未对被遮盖未暴露及难于接触的部分进行勘察。</w:t>
      </w:r>
    </w:p>
    <w:p>
      <w:pPr>
        <w:spacing w:line="500" w:lineRule="exact"/>
        <w:ind w:firstLine="560" w:firstLineChars="200"/>
        <w:rPr>
          <w:rFonts w:ascii="宋体" w:hAnsi="宋体" w:cs="宋体"/>
          <w:kern w:val="0"/>
          <w:sz w:val="28"/>
        </w:rPr>
      </w:pPr>
      <w:r>
        <w:rPr>
          <w:rFonts w:hint="eastAsia" w:ascii="宋体" w:hAnsi="宋体" w:cs="宋体"/>
          <w:kern w:val="0"/>
          <w:sz w:val="28"/>
        </w:rPr>
        <w:t>6、没有人对本估价报告提供重要专业帮助。</w:t>
      </w:r>
    </w:p>
    <w:p>
      <w:pPr>
        <w:spacing w:line="500" w:lineRule="exact"/>
        <w:ind w:firstLine="560" w:firstLineChars="200"/>
        <w:rPr>
          <w:rFonts w:ascii="宋体" w:hAnsi="宋体" w:cs="宋体"/>
          <w:kern w:val="0"/>
          <w:sz w:val="28"/>
        </w:rPr>
      </w:pPr>
      <w:r>
        <w:rPr>
          <w:rFonts w:hint="eastAsia" w:ascii="宋体" w:hAnsi="宋体" w:cs="宋体"/>
          <w:kern w:val="0"/>
          <w:sz w:val="28"/>
        </w:rPr>
        <w:t>7、参加本次评估工作的注册房地产估价师对其估价职业道德、专业胜任能力和勤勉尽责进行承诺和保证。</w:t>
      </w:r>
    </w:p>
    <w:p>
      <w:pPr>
        <w:spacing w:line="500" w:lineRule="exact"/>
        <w:ind w:firstLine="560" w:firstLineChars="200"/>
        <w:rPr>
          <w:rFonts w:ascii="宋体" w:hAnsi="宋体" w:cs="宋体"/>
          <w:kern w:val="0"/>
          <w:sz w:val="28"/>
        </w:rPr>
      </w:pPr>
      <w:r>
        <w:rPr>
          <w:rFonts w:hint="eastAsia" w:ascii="宋体" w:hAnsi="宋体" w:cs="宋体"/>
          <w:kern w:val="0"/>
          <w:sz w:val="28"/>
        </w:rPr>
        <w:t>8、本报告估价结果仅作为委托方在本次估价目的下使用，不得作其他用途。未经本估价机构和估价人员同意，估价报告不得向委托方及报告审查部门以外的单位及个人提供，凡因委托人使用报告不当而引起的后果，估价机构和估价人员不承担相应的责任。</w:t>
      </w:r>
    </w:p>
    <w:p>
      <w:pPr>
        <w:spacing w:line="500" w:lineRule="exact"/>
        <w:ind w:firstLine="560" w:firstLineChars="200"/>
        <w:rPr>
          <w:rFonts w:ascii="宋体" w:hAnsi="宋体" w:cs="宋体"/>
          <w:kern w:val="0"/>
          <w:sz w:val="28"/>
          <w:szCs w:val="28"/>
        </w:rPr>
      </w:pPr>
      <w:r>
        <w:rPr>
          <w:rFonts w:hint="eastAsia" w:ascii="宋体" w:hAnsi="宋体"/>
          <w:kern w:val="0"/>
          <w:sz w:val="28"/>
          <w:szCs w:val="28"/>
        </w:rPr>
        <w:t>9、</w:t>
      </w:r>
      <w:r>
        <w:rPr>
          <w:rFonts w:ascii="宋体" w:hAnsi="宋体"/>
          <w:kern w:val="0"/>
          <w:sz w:val="28"/>
          <w:szCs w:val="28"/>
        </w:rPr>
        <w:t>估价委托人应当向估价机构如实提供有关情况和资料，不得隐瞒或者提供虚假情况和资料。估价人员对估价委托人提供的有关估价对象的权属、面积、用途等资料进行了检查，无理由怀疑估价委托人所提供的情况和资料的真实性、合法性、准确性及完整性。受</w:t>
      </w:r>
      <w:r>
        <w:rPr>
          <w:rFonts w:hint="eastAsia" w:ascii="宋体" w:hAnsi="宋体"/>
          <w:kern w:val="0"/>
          <w:sz w:val="28"/>
          <w:szCs w:val="28"/>
        </w:rPr>
        <w:t>不动产登记</w:t>
      </w:r>
      <w:r>
        <w:rPr>
          <w:rFonts w:ascii="宋体" w:hAnsi="宋体"/>
          <w:kern w:val="0"/>
          <w:sz w:val="28"/>
          <w:szCs w:val="28"/>
        </w:rPr>
        <w:t>管理部门对档案查询资格的限制，房地产估价师无权到上述主管部门对权属证明材料及其记载的内容进行核实。如因估价委托人提供资料有误而造成评估值失实，估价机构和估价人员不承担相应责任</w:t>
      </w:r>
      <w:r>
        <w:rPr>
          <w:rFonts w:hint="eastAsia" w:ascii="宋体" w:hAnsi="宋体"/>
          <w:kern w:val="0"/>
          <w:sz w:val="28"/>
          <w:szCs w:val="28"/>
        </w:rPr>
        <w:t>。</w:t>
      </w:r>
    </w:p>
    <w:p>
      <w:pPr>
        <w:spacing w:line="500" w:lineRule="exact"/>
        <w:ind w:firstLine="560" w:firstLineChars="200"/>
        <w:rPr>
          <w:rFonts w:ascii="宋体" w:hAnsi="宋体" w:cs="宋体"/>
          <w:kern w:val="0"/>
          <w:sz w:val="28"/>
        </w:rPr>
      </w:pPr>
      <w:r>
        <w:rPr>
          <w:rFonts w:hint="eastAsia" w:ascii="宋体" w:hAnsi="宋体" w:cs="宋体"/>
          <w:kern w:val="0"/>
          <w:sz w:val="28"/>
        </w:rPr>
        <w:t>10、本估价报告的全部或部分内容不得发表于任何公开媒体上，报告解释权为本评估机构所有。</w:t>
      </w:r>
    </w:p>
    <w:p>
      <w:pPr>
        <w:spacing w:line="500" w:lineRule="exact"/>
        <w:rPr>
          <w:rFonts w:ascii="宋体" w:hAnsi="宋体" w:cs="宋体"/>
          <w:color w:val="000000"/>
          <w:kern w:val="0"/>
          <w:sz w:val="28"/>
          <w:szCs w:val="28"/>
        </w:rPr>
      </w:pPr>
      <w:r>
        <w:rPr>
          <w:rFonts w:hint="eastAsia" w:ascii="宋体" w:hAnsi="宋体" w:cs="宋体"/>
          <w:color w:val="000000"/>
          <w:kern w:val="0"/>
          <w:sz w:val="28"/>
          <w:szCs w:val="28"/>
        </w:rPr>
        <w:t>参与本次估价的注册房地产估价师签名：</w:t>
      </w:r>
    </w:p>
    <w:p>
      <w:pPr>
        <w:spacing w:line="500" w:lineRule="exact"/>
        <w:rPr>
          <w:rFonts w:ascii="宋体" w:hAnsi="宋体" w:cs="宋体"/>
          <w:color w:val="000000"/>
          <w:kern w:val="0"/>
          <w:sz w:val="28"/>
          <w:szCs w:val="28"/>
        </w:rPr>
      </w:pP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2339"/>
        <w:gridCol w:w="2228"/>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注册号</w:t>
            </w:r>
          </w:p>
        </w:tc>
        <w:tc>
          <w:tcPr>
            <w:tcW w:w="22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签名</w:t>
            </w:r>
          </w:p>
        </w:tc>
        <w:tc>
          <w:tcPr>
            <w:tcW w:w="24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王勇</w:t>
            </w:r>
          </w:p>
        </w:tc>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rPr>
            </w:pPr>
            <w:r>
              <w:rPr>
                <w:rFonts w:hint="eastAsia" w:ascii="宋体" w:hAnsi="宋体" w:cs="宋体"/>
                <w:kern w:val="0"/>
                <w:sz w:val="28"/>
                <w:szCs w:val="28"/>
              </w:rPr>
              <w:t>3720</w:t>
            </w:r>
            <w:r>
              <w:rPr>
                <w:rFonts w:hint="eastAsia" w:ascii="宋体" w:hAnsi="宋体" w:cs="宋体"/>
                <w:kern w:val="0"/>
                <w:sz w:val="28"/>
                <w:szCs w:val="28"/>
                <w:lang w:val="en-US" w:eastAsia="zh-CN"/>
              </w:rPr>
              <w:t>200175</w:t>
            </w:r>
          </w:p>
        </w:tc>
        <w:tc>
          <w:tcPr>
            <w:tcW w:w="22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p>
        </w:tc>
        <w:tc>
          <w:tcPr>
            <w:tcW w:w="24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2022年11月21日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6" w:hRule="atLeast"/>
        </w:trPr>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党福芬</w:t>
            </w:r>
          </w:p>
        </w:tc>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kern w:val="0"/>
                <w:sz w:val="28"/>
                <w:szCs w:val="28"/>
              </w:rPr>
            </w:pPr>
            <w:r>
              <w:rPr>
                <w:rFonts w:hint="eastAsia" w:ascii="宋体" w:hAnsi="宋体" w:cs="宋体"/>
                <w:kern w:val="0"/>
                <w:sz w:val="28"/>
                <w:szCs w:val="28"/>
              </w:rPr>
              <w:t>3720130041</w:t>
            </w:r>
          </w:p>
        </w:tc>
        <w:tc>
          <w:tcPr>
            <w:tcW w:w="22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p>
        </w:tc>
        <w:tc>
          <w:tcPr>
            <w:tcW w:w="24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2022年11月21日</w:t>
            </w:r>
          </w:p>
        </w:tc>
      </w:tr>
    </w:tbl>
    <w:p>
      <w:pPr>
        <w:spacing w:line="400" w:lineRule="exact"/>
        <w:rPr>
          <w:rFonts w:ascii="宋体" w:hAnsi="宋体"/>
          <w:kern w:val="0"/>
          <w:sz w:val="28"/>
        </w:rPr>
      </w:pPr>
    </w:p>
    <w:p>
      <w:pPr>
        <w:spacing w:line="400" w:lineRule="exact"/>
        <w:rPr>
          <w:rFonts w:ascii="宋体" w:hAnsi="宋体"/>
          <w:kern w:val="0"/>
          <w:sz w:val="28"/>
        </w:rPr>
      </w:pPr>
    </w:p>
    <w:p>
      <w:pPr>
        <w:spacing w:line="480" w:lineRule="exact"/>
        <w:jc w:val="center"/>
        <w:rPr>
          <w:rFonts w:ascii="宋体" w:hAnsi="宋体"/>
          <w:b/>
          <w:bCs/>
          <w:kern w:val="0"/>
          <w:sz w:val="44"/>
        </w:rPr>
      </w:pPr>
    </w:p>
    <w:p>
      <w:pPr>
        <w:spacing w:line="480" w:lineRule="exact"/>
        <w:jc w:val="center"/>
        <w:rPr>
          <w:rFonts w:ascii="宋体" w:hAnsi="宋体"/>
          <w:b/>
          <w:bCs/>
          <w:kern w:val="0"/>
          <w:sz w:val="44"/>
        </w:rPr>
      </w:pPr>
      <w:r>
        <w:rPr>
          <w:rFonts w:ascii="宋体" w:hAnsi="宋体"/>
          <w:b/>
          <w:bCs/>
          <w:kern w:val="0"/>
          <w:sz w:val="44"/>
        </w:rPr>
        <w:br w:type="page"/>
      </w:r>
      <w:r>
        <w:rPr>
          <w:rFonts w:hint="eastAsia" w:ascii="宋体" w:hAnsi="宋体"/>
          <w:b/>
          <w:bCs/>
          <w:kern w:val="0"/>
          <w:sz w:val="44"/>
        </w:rPr>
        <w:t>估价的假设和限制条件</w:t>
      </w:r>
    </w:p>
    <w:p>
      <w:pPr>
        <w:spacing w:line="480" w:lineRule="exact"/>
        <w:jc w:val="center"/>
        <w:rPr>
          <w:rFonts w:ascii="宋体" w:hAnsi="宋体"/>
          <w:b/>
          <w:bCs/>
          <w:kern w:val="0"/>
          <w:sz w:val="44"/>
        </w:rPr>
      </w:pPr>
    </w:p>
    <w:p>
      <w:pPr>
        <w:tabs>
          <w:tab w:val="right" w:leader="dot" w:pos="8640"/>
        </w:tabs>
        <w:snapToGrid w:val="0"/>
        <w:spacing w:beforeLines="25" w:afterLines="25" w:line="500" w:lineRule="exact"/>
        <w:rPr>
          <w:rFonts w:ascii="宋体" w:hAnsi="宋体" w:cs="宋体"/>
          <w:b/>
          <w:kern w:val="0"/>
          <w:sz w:val="28"/>
          <w:szCs w:val="28"/>
        </w:rPr>
      </w:pPr>
      <w:r>
        <w:rPr>
          <w:rFonts w:hint="eastAsia" w:ascii="宋体" w:hAnsi="宋体" w:cs="宋体"/>
          <w:b/>
          <w:kern w:val="0"/>
          <w:sz w:val="28"/>
          <w:szCs w:val="28"/>
        </w:rPr>
        <w:t>一、一般假设</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1、本估价意见设定估价委托人提供的资料合法、真实、准确、完整，并且提供了与本次估价有关的所有资料，没有保留及隐瞒。</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2、在价值时点的房地产市场为公开、平等、自愿的交易市场。</w:t>
      </w:r>
      <w:r>
        <w:rPr>
          <w:rFonts w:ascii="宋体" w:hAnsi="宋体"/>
          <w:kern w:val="0"/>
          <w:sz w:val="28"/>
          <w:szCs w:val="28"/>
        </w:rPr>
        <w:t>估价对象产权清晰，手续齐全，可在公开市场上自由转让。交易双方都具有完全市场信息，对交易对象具有必要的专业知识，不考虑特殊买家的附加出价。</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3、任何有关估价对象的运作方式、程序符合国家、地方的有关法律、法规。</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4、</w:t>
      </w:r>
      <w:r>
        <w:rPr>
          <w:rFonts w:ascii="宋体" w:hAnsi="宋体"/>
          <w:kern w:val="0"/>
          <w:sz w:val="28"/>
          <w:szCs w:val="28"/>
        </w:rPr>
        <w:t>注册房地产估价师</w:t>
      </w:r>
      <w:r>
        <w:rPr>
          <w:rFonts w:hint="eastAsia" w:ascii="宋体" w:hAnsi="宋体"/>
          <w:kern w:val="0"/>
          <w:sz w:val="28"/>
          <w:szCs w:val="28"/>
          <w:highlight w:val="none"/>
          <w:lang w:val="en-US" w:eastAsia="zh-CN"/>
        </w:rPr>
        <w:t>王勇</w:t>
      </w:r>
      <w:r>
        <w:rPr>
          <w:rFonts w:ascii="宋体" w:hAnsi="宋体"/>
          <w:kern w:val="0"/>
          <w:sz w:val="28"/>
          <w:szCs w:val="28"/>
        </w:rPr>
        <w:t>已于</w:t>
      </w:r>
      <w:r>
        <w:rPr>
          <w:rFonts w:hint="eastAsia" w:ascii="宋体" w:hAnsi="宋体"/>
          <w:kern w:val="0"/>
          <w:sz w:val="28"/>
          <w:szCs w:val="28"/>
          <w:lang w:eastAsia="zh-CN"/>
        </w:rPr>
        <w:t>2022年11月09日</w:t>
      </w:r>
      <w:r>
        <w:rPr>
          <w:rFonts w:ascii="宋体" w:hAnsi="宋体"/>
          <w:kern w:val="0"/>
          <w:sz w:val="28"/>
          <w:szCs w:val="28"/>
        </w:rPr>
        <w:t>对本估价报告中的估价对象进行了实地查勘。估价人员对估价对象房屋安全、环境污染等影响估价对象价值或价格的重大因素给予了关注，无理由怀疑估价对象存在安全隐患</w:t>
      </w:r>
      <w:r>
        <w:rPr>
          <w:rFonts w:hint="eastAsia" w:ascii="宋体" w:hAnsi="宋体"/>
          <w:kern w:val="0"/>
          <w:sz w:val="28"/>
          <w:szCs w:val="28"/>
        </w:rPr>
        <w:t>，因</w:t>
      </w:r>
      <w:r>
        <w:rPr>
          <w:rFonts w:hint="eastAsia" w:ascii="宋体" w:hAnsi="宋体" w:cs="宋体"/>
          <w:kern w:val="0"/>
          <w:sz w:val="28"/>
          <w:szCs w:val="28"/>
        </w:rPr>
        <w:t>本次估价对房屋安全无相应的专业机构进行鉴定、检测，本次估价假定其无基础、结构等方面的重大质量问题。</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5、本报告的估价结果为正常条件下的市场价值，房地产交易需要买卖双方在了解足够的市场信息，拥有足够的谈判时间，经过谨慎的考虑和对房地产市场进行合理预期等条件下方能实现。对于房地产市场的波动及快速变现等特殊交易因素可能导致房地产价格有较大幅度的变化，本报告未考虑这种变化对估价对象价值产生的影响。</w:t>
      </w:r>
    </w:p>
    <w:p>
      <w:pPr>
        <w:spacing w:line="500" w:lineRule="exact"/>
        <w:ind w:firstLine="560" w:firstLineChars="200"/>
        <w:rPr>
          <w:rFonts w:ascii="宋体" w:hAnsi="宋体" w:cs="宋体"/>
          <w:kern w:val="0"/>
          <w:sz w:val="28"/>
          <w:szCs w:val="28"/>
        </w:rPr>
      </w:pPr>
      <w:r>
        <w:rPr>
          <w:rFonts w:hint="eastAsia" w:ascii="宋体" w:hAnsi="宋体"/>
          <w:kern w:val="0"/>
          <w:sz w:val="28"/>
          <w:szCs w:val="28"/>
        </w:rPr>
        <w:t>6、根据评估委托书及人民法院的要求，本次涉执房地产处置司法评估的价值类型为市场价值。</w:t>
      </w:r>
    </w:p>
    <w:p>
      <w:pPr>
        <w:tabs>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二、未定事项假设</w:t>
      </w:r>
    </w:p>
    <w:p>
      <w:pPr>
        <w:tabs>
          <w:tab w:val="right" w:leader="dot" w:pos="8640"/>
        </w:tabs>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估价结果是为反映估价对象在本次估价目的下的价格提供参考，未考虑价值时点后国家宏观经济政策发生变化、市场供应关系发生变化、市场结构转变、遇有自然力和其他不可抗力等因素对房地产价值的影响，也没有考虑估价对象将来特殊交易方式下的特殊交易价格等对评估价值的影响。当上述条件发生变化时，评估结果会发生变化。</w:t>
      </w:r>
    </w:p>
    <w:p>
      <w:pPr>
        <w:tabs>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三、背离实际情况假设</w:t>
      </w:r>
    </w:p>
    <w:p>
      <w:pPr>
        <w:snapToGrid w:val="0"/>
        <w:spacing w:line="500" w:lineRule="exact"/>
        <w:ind w:firstLine="560" w:firstLineChars="200"/>
        <w:rPr>
          <w:rFonts w:ascii="宋体" w:hAnsi="宋体" w:cs="宋体"/>
          <w:sz w:val="28"/>
          <w:szCs w:val="28"/>
          <w:highlight w:val="none"/>
        </w:rPr>
      </w:pPr>
      <w:r>
        <w:rPr>
          <w:rFonts w:hint="eastAsia" w:ascii="宋体" w:hAnsi="宋体" w:cs="宋体"/>
          <w:sz w:val="28"/>
          <w:szCs w:val="28"/>
          <w:highlight w:val="none"/>
        </w:rPr>
        <w:t>根据委托方提供的相关资料</w:t>
      </w:r>
      <w:r>
        <w:rPr>
          <w:rFonts w:hint="eastAsia" w:ascii="宋体" w:hAnsi="宋体"/>
          <w:color w:val="000000"/>
          <w:sz w:val="28"/>
          <w:szCs w:val="28"/>
          <w:highlight w:val="none"/>
        </w:rPr>
        <w:t>，</w:t>
      </w:r>
      <w:r>
        <w:rPr>
          <w:rFonts w:ascii="宋体" w:hAnsi="宋体" w:cs="宋体"/>
          <w:sz w:val="28"/>
          <w:szCs w:val="28"/>
          <w:highlight w:val="none"/>
        </w:rPr>
        <w:t>估价对象</w:t>
      </w:r>
      <w:r>
        <w:rPr>
          <w:rFonts w:hint="eastAsia" w:ascii="宋体" w:hAnsi="宋体" w:cs="宋体"/>
          <w:sz w:val="28"/>
          <w:szCs w:val="28"/>
          <w:highlight w:val="none"/>
        </w:rPr>
        <w:t>状态为：</w:t>
      </w:r>
      <w:r>
        <w:rPr>
          <w:rFonts w:hint="eastAsia" w:ascii="宋体" w:hAnsi="宋体" w:cs="宋体"/>
          <w:sz w:val="28"/>
          <w:szCs w:val="28"/>
          <w:highlight w:val="none"/>
          <w:lang w:val="en-US" w:eastAsia="zh-CN"/>
        </w:rPr>
        <w:t>有</w:t>
      </w:r>
      <w:r>
        <w:rPr>
          <w:rFonts w:ascii="宋体" w:hAnsi="宋体" w:cs="宋体"/>
          <w:sz w:val="28"/>
          <w:szCs w:val="28"/>
          <w:highlight w:val="none"/>
        </w:rPr>
        <w:t>查封</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有抵押</w:t>
      </w:r>
      <w:r>
        <w:rPr>
          <w:rFonts w:ascii="宋体" w:hAnsi="宋体" w:cs="宋体"/>
          <w:sz w:val="28"/>
          <w:szCs w:val="28"/>
          <w:highlight w:val="none"/>
        </w:rPr>
        <w:t>。</w:t>
      </w:r>
      <w:r>
        <w:rPr>
          <w:rFonts w:hint="eastAsia" w:ascii="宋体" w:hAnsi="宋体" w:cs="宋体"/>
          <w:sz w:val="28"/>
          <w:szCs w:val="28"/>
          <w:highlight w:val="none"/>
        </w:rPr>
        <w:t>根据本次估价目的：为</w:t>
      </w:r>
      <w:r>
        <w:rPr>
          <w:rFonts w:hint="eastAsia"/>
          <w:sz w:val="28"/>
          <w:szCs w:val="28"/>
          <w:highlight w:val="none"/>
        </w:rPr>
        <w:t>人民法院确定财产处置参考价提供参考依据</w:t>
      </w:r>
      <w:r>
        <w:rPr>
          <w:rFonts w:hint="eastAsia" w:ascii="宋体" w:hAnsi="宋体" w:cs="宋体"/>
          <w:sz w:val="28"/>
          <w:szCs w:val="28"/>
          <w:highlight w:val="none"/>
        </w:rPr>
        <w:t>。本次评估未考虑评估对象被查封以及原有的担保物权和其他优先受偿权情况，视为没有被查封、未设立担保物权及其他优先受偿权的情况，提请报告使用者注意</w:t>
      </w:r>
      <w:r>
        <w:rPr>
          <w:rFonts w:ascii="宋体" w:hAnsi="宋体" w:cs="宋体"/>
          <w:sz w:val="28"/>
          <w:szCs w:val="28"/>
          <w:highlight w:val="none"/>
        </w:rPr>
        <w:t>。</w:t>
      </w:r>
    </w:p>
    <w:p>
      <w:pPr>
        <w:tabs>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四、不相一致假设</w:t>
      </w:r>
    </w:p>
    <w:p>
      <w:pPr>
        <w:tabs>
          <w:tab w:val="right" w:leader="dot" w:pos="8640"/>
        </w:tabs>
        <w:snapToGrid w:val="0"/>
        <w:spacing w:line="500" w:lineRule="exact"/>
        <w:ind w:firstLine="560" w:firstLineChars="200"/>
        <w:rPr>
          <w:rFonts w:ascii="宋体" w:hAnsi="宋体"/>
          <w:kern w:val="0"/>
          <w:sz w:val="28"/>
          <w:szCs w:val="28"/>
        </w:rPr>
      </w:pPr>
      <w:r>
        <w:rPr>
          <w:rFonts w:hint="eastAsia" w:ascii="宋体" w:hAnsi="宋体"/>
          <w:kern w:val="0"/>
          <w:sz w:val="28"/>
          <w:szCs w:val="28"/>
        </w:rPr>
        <w:t>根据委托方提供的委托书及</w:t>
      </w:r>
      <w:r>
        <w:rPr>
          <w:rFonts w:hint="eastAsia" w:ascii="宋体" w:hAnsi="宋体"/>
          <w:kern w:val="0"/>
          <w:sz w:val="28"/>
          <w:szCs w:val="28"/>
          <w:lang w:val="en-US" w:eastAsia="zh-CN"/>
        </w:rPr>
        <w:t>查档证明</w:t>
      </w:r>
      <w:r>
        <w:rPr>
          <w:rFonts w:hint="eastAsia" w:ascii="宋体" w:hAnsi="宋体"/>
          <w:kern w:val="0"/>
          <w:sz w:val="28"/>
          <w:szCs w:val="28"/>
        </w:rPr>
        <w:t>复印件，估价对象坐落于潍坊市坊子区北海路以东天润凤凰城综合楼907室。估价人员在进行现场查勘时，</w:t>
      </w:r>
      <w:r>
        <w:rPr>
          <w:rFonts w:hint="eastAsia" w:ascii="宋体" w:hAnsi="宋体"/>
          <w:kern w:val="0"/>
          <w:sz w:val="28"/>
          <w:szCs w:val="28"/>
          <w:lang w:val="en-US" w:eastAsia="zh-CN"/>
        </w:rPr>
        <w:t>询问物业人员得知，</w:t>
      </w:r>
      <w:r>
        <w:rPr>
          <w:rFonts w:hint="eastAsia" w:ascii="宋体" w:hAnsi="宋体"/>
          <w:kern w:val="0"/>
          <w:sz w:val="28"/>
          <w:szCs w:val="28"/>
        </w:rPr>
        <w:t>估价对象实际房号为天润凤凰城</w:t>
      </w:r>
      <w:r>
        <w:rPr>
          <w:rFonts w:hint="eastAsia" w:ascii="宋体" w:hAnsi="宋体"/>
          <w:kern w:val="0"/>
          <w:sz w:val="28"/>
          <w:szCs w:val="28"/>
          <w:lang w:val="en-US" w:eastAsia="zh-CN"/>
        </w:rPr>
        <w:t>8号</w:t>
      </w:r>
      <w:r>
        <w:rPr>
          <w:rFonts w:hint="eastAsia" w:ascii="宋体" w:hAnsi="宋体"/>
          <w:kern w:val="0"/>
          <w:sz w:val="28"/>
          <w:szCs w:val="28"/>
        </w:rPr>
        <w:t>楼907室。本次评估以委托方提供的委托书及</w:t>
      </w:r>
      <w:r>
        <w:rPr>
          <w:rFonts w:hint="eastAsia" w:ascii="宋体" w:hAnsi="宋体"/>
          <w:kern w:val="0"/>
          <w:sz w:val="28"/>
          <w:szCs w:val="28"/>
          <w:lang w:val="en-US" w:eastAsia="zh-CN"/>
        </w:rPr>
        <w:t>查档证明</w:t>
      </w:r>
      <w:r>
        <w:rPr>
          <w:rFonts w:hint="eastAsia" w:ascii="宋体" w:hAnsi="宋体"/>
          <w:kern w:val="0"/>
          <w:sz w:val="28"/>
          <w:szCs w:val="28"/>
        </w:rPr>
        <w:t>为准。</w:t>
      </w:r>
    </w:p>
    <w:p>
      <w:pPr>
        <w:tabs>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五、依据不足假设</w:t>
      </w:r>
    </w:p>
    <w:p>
      <w:pPr>
        <w:snapToGrid w:val="0"/>
        <w:spacing w:line="500" w:lineRule="exact"/>
        <w:ind w:firstLine="560" w:firstLineChars="200"/>
        <w:rPr>
          <w:rFonts w:ascii="宋体" w:hAnsi="宋体"/>
          <w:sz w:val="28"/>
          <w:szCs w:val="28"/>
        </w:rPr>
      </w:pPr>
      <w:r>
        <w:rPr>
          <w:rFonts w:hint="eastAsia" w:ascii="宋体" w:hAnsi="宋体"/>
          <w:sz w:val="28"/>
          <w:szCs w:val="28"/>
        </w:rPr>
        <w:t>1、本次评估估价人员对估价对象相关情况已进行了尽职调查，估价对象可能存在欠缴税费、拖欠的物业费、水电气费等情况，经与委托方沟通，本次评估假定不存在上述情况。</w:t>
      </w:r>
    </w:p>
    <w:p>
      <w:pPr>
        <w:snapToGrid w:val="0"/>
        <w:spacing w:line="500" w:lineRule="exact"/>
        <w:ind w:firstLine="560" w:firstLineChars="200"/>
        <w:rPr>
          <w:rFonts w:ascii="宋体" w:hAnsi="宋体"/>
          <w:color w:val="000000"/>
          <w:sz w:val="28"/>
          <w:szCs w:val="28"/>
        </w:rPr>
      </w:pPr>
      <w:r>
        <w:rPr>
          <w:rFonts w:hint="eastAsia" w:ascii="宋体" w:hAnsi="宋体"/>
          <w:sz w:val="28"/>
          <w:szCs w:val="28"/>
        </w:rPr>
        <w:t>2、</w:t>
      </w:r>
      <w:r>
        <w:rPr>
          <w:rFonts w:hint="eastAsia" w:ascii="宋体" w:hAnsi="宋体"/>
          <w:color w:val="000000"/>
          <w:sz w:val="28"/>
          <w:szCs w:val="28"/>
        </w:rPr>
        <w:t>因委托方未明确财产处置费用（评估费、律师费、拍卖费、诉讼费等）从财产处置价款中扣除或者由申请执行人或被执行人另行负担，本次评估结果未考虑该项费用，提请报告使用人注意。</w:t>
      </w:r>
    </w:p>
    <w:p>
      <w:pPr>
        <w:snapToGrid w:val="0"/>
        <w:spacing w:line="500" w:lineRule="exact"/>
        <w:ind w:firstLine="560" w:firstLineChars="200"/>
        <w:rPr>
          <w:rFonts w:ascii="宋体" w:hAnsi="宋体"/>
          <w:color w:val="000000"/>
          <w:sz w:val="28"/>
          <w:szCs w:val="28"/>
        </w:rPr>
      </w:pPr>
      <w:r>
        <w:rPr>
          <w:rFonts w:hint="eastAsia" w:ascii="宋体" w:hAnsi="宋体"/>
          <w:sz w:val="28"/>
          <w:szCs w:val="28"/>
        </w:rPr>
        <w:t>3、</w:t>
      </w:r>
      <w:r>
        <w:rPr>
          <w:rFonts w:hint="eastAsia" w:ascii="宋体" w:hAnsi="宋体"/>
          <w:color w:val="000000"/>
          <w:sz w:val="28"/>
          <w:szCs w:val="28"/>
        </w:rPr>
        <w:t>因委托方对该估价对象处置的交易税费负担方式没有明确意见，本次评估结果未考虑该项费用，提请报告使用人注意。</w:t>
      </w:r>
    </w:p>
    <w:p>
      <w:pPr>
        <w:snapToGrid w:val="0"/>
        <w:spacing w:beforeLines="25" w:afterLines="25" w:line="500" w:lineRule="exact"/>
        <w:ind w:firstLine="560" w:firstLineChars="200"/>
        <w:rPr>
          <w:rFonts w:ascii="宋体" w:hAnsi="宋体" w:cs="宋体"/>
          <w:sz w:val="28"/>
          <w:szCs w:val="28"/>
        </w:rPr>
      </w:pPr>
      <w:r>
        <w:rPr>
          <w:rFonts w:hint="eastAsia" w:ascii="宋体" w:hAnsi="宋体"/>
          <w:sz w:val="28"/>
          <w:szCs w:val="28"/>
        </w:rPr>
        <w:t>4、本次评估委托资料中不包括</w:t>
      </w:r>
      <w:r>
        <w:rPr>
          <w:rFonts w:hint="eastAsia" w:ascii="宋体" w:hAnsi="宋体"/>
          <w:color w:val="000000"/>
          <w:sz w:val="28"/>
          <w:szCs w:val="28"/>
        </w:rPr>
        <w:t>《</w:t>
      </w:r>
      <w:r>
        <w:rPr>
          <w:rFonts w:hint="eastAsia" w:ascii="宋体" w:hAnsi="宋体"/>
          <w:sz w:val="28"/>
          <w:szCs w:val="28"/>
        </w:rPr>
        <w:t>房屋所有权证</w:t>
      </w:r>
      <w:r>
        <w:rPr>
          <w:rFonts w:hint="eastAsia" w:ascii="宋体" w:hAnsi="宋体"/>
          <w:color w:val="000000"/>
          <w:sz w:val="28"/>
          <w:szCs w:val="28"/>
        </w:rPr>
        <w:t>》</w:t>
      </w:r>
      <w:r>
        <w:rPr>
          <w:rFonts w:hint="eastAsia" w:ascii="宋体" w:hAnsi="宋体"/>
          <w:sz w:val="28"/>
          <w:szCs w:val="28"/>
        </w:rPr>
        <w:t>或</w:t>
      </w:r>
      <w:r>
        <w:rPr>
          <w:rFonts w:hint="eastAsia" w:ascii="宋体" w:hAnsi="宋体"/>
          <w:color w:val="000000"/>
          <w:sz w:val="28"/>
          <w:szCs w:val="28"/>
        </w:rPr>
        <w:t>《</w:t>
      </w:r>
      <w:r>
        <w:rPr>
          <w:rFonts w:hint="eastAsia" w:ascii="宋体" w:hAnsi="宋体"/>
          <w:sz w:val="28"/>
          <w:szCs w:val="28"/>
        </w:rPr>
        <w:t>不动产权证</w:t>
      </w:r>
      <w:r>
        <w:rPr>
          <w:rFonts w:hint="eastAsia" w:ascii="宋体" w:hAnsi="宋体"/>
          <w:color w:val="000000"/>
          <w:sz w:val="28"/>
          <w:szCs w:val="28"/>
        </w:rPr>
        <w:t>》</w:t>
      </w:r>
      <w:r>
        <w:rPr>
          <w:rFonts w:hint="eastAsia" w:ascii="宋体" w:hAnsi="宋体"/>
          <w:sz w:val="28"/>
          <w:szCs w:val="28"/>
        </w:rPr>
        <w:t>,</w:t>
      </w:r>
      <w:r>
        <w:rPr>
          <w:rFonts w:hint="eastAsia" w:ascii="宋体" w:hAnsi="宋体" w:cs="宋体"/>
          <w:sz w:val="28"/>
          <w:szCs w:val="28"/>
        </w:rPr>
        <w:t>本次估价设定估价对象的房屋所有权为合法方式取得，并支付相关税费，估价对象能够在公开市场上正常交易。</w:t>
      </w:r>
    </w:p>
    <w:p>
      <w:pPr>
        <w:snapToGrid w:val="0"/>
        <w:spacing w:line="500" w:lineRule="exact"/>
        <w:ind w:firstLine="560" w:firstLineChars="200"/>
        <w:rPr>
          <w:rFonts w:hint="eastAsia" w:ascii="宋体" w:hAnsi="宋体" w:cs="宋体"/>
          <w:sz w:val="28"/>
          <w:szCs w:val="28"/>
        </w:rPr>
      </w:pPr>
      <w:r>
        <w:rPr>
          <w:rFonts w:hint="eastAsia" w:ascii="宋体" w:hAnsi="宋体"/>
          <w:sz w:val="28"/>
          <w:szCs w:val="28"/>
        </w:rPr>
        <w:t>5、</w:t>
      </w:r>
      <w:r>
        <w:rPr>
          <w:rFonts w:hint="eastAsia" w:ascii="宋体" w:hAnsi="宋体" w:cs="宋体"/>
          <w:sz w:val="28"/>
          <w:szCs w:val="28"/>
        </w:rPr>
        <w:t>根据委托方提供的</w:t>
      </w:r>
      <w:r>
        <w:rPr>
          <w:rFonts w:hint="eastAsia" w:ascii="宋体" w:hAnsi="宋体" w:cs="宋体"/>
          <w:sz w:val="28"/>
          <w:szCs w:val="28"/>
          <w:highlight w:val="none"/>
          <w:lang w:val="en-US" w:eastAsia="zh-CN"/>
        </w:rPr>
        <w:t>查档证明</w:t>
      </w:r>
      <w:r>
        <w:rPr>
          <w:rFonts w:hint="eastAsia" w:ascii="宋体" w:hAnsi="宋体" w:cs="宋体"/>
          <w:sz w:val="28"/>
          <w:szCs w:val="28"/>
        </w:rPr>
        <w:t>，该房屋无附属房屋（地下室、车库）等，本次评估人员在进行现场勘察时进行尽职调查及与委托方沟通，该估价对象无附属房屋（地下室、车库）,本次评估设定为该估价对象无附属房屋（地下室、车库）情况，若与实际不符,需对本次评估结果进行补充评估或重新评估,提请报告使用人注意。</w:t>
      </w:r>
    </w:p>
    <w:p>
      <w:pPr>
        <w:snapToGrid w:val="0"/>
        <w:spacing w:line="500" w:lineRule="exact"/>
        <w:ind w:firstLine="560" w:firstLineChars="200"/>
        <w:rPr>
          <w:rFonts w:ascii="宋体" w:hAnsi="宋体"/>
          <w:sz w:val="28"/>
          <w:szCs w:val="28"/>
        </w:rPr>
      </w:pPr>
      <w:r>
        <w:rPr>
          <w:rFonts w:hint="eastAsia" w:ascii="宋体" w:hAnsi="宋体"/>
          <w:sz w:val="28"/>
          <w:szCs w:val="28"/>
        </w:rPr>
        <w:t>6、财产拍卖（或者变卖）日期与评估报告载明的价值时点可能存在不一致状况，本次评估假定估价对象状况与财产拍卖（或者变卖）日期状况一致。</w:t>
      </w:r>
    </w:p>
    <w:p>
      <w:pPr>
        <w:tabs>
          <w:tab w:val="right" w:leader="dot" w:pos="8640"/>
        </w:tabs>
        <w:snapToGrid w:val="0"/>
        <w:spacing w:line="500" w:lineRule="exact"/>
        <w:rPr>
          <w:rFonts w:ascii="宋体" w:hAnsi="宋体" w:cs="宋体"/>
          <w:b/>
          <w:sz w:val="28"/>
          <w:szCs w:val="28"/>
        </w:rPr>
      </w:pPr>
      <w:r>
        <w:rPr>
          <w:rFonts w:hint="eastAsia" w:ascii="宋体" w:hAnsi="宋体" w:cs="宋体"/>
          <w:b/>
          <w:sz w:val="28"/>
          <w:szCs w:val="28"/>
        </w:rPr>
        <w:t>六、需要特殊说明的事项</w:t>
      </w:r>
    </w:p>
    <w:p>
      <w:pPr>
        <w:tabs>
          <w:tab w:val="left" w:pos="0"/>
        </w:tabs>
        <w:spacing w:line="500" w:lineRule="exact"/>
        <w:ind w:firstLine="560" w:firstLineChars="200"/>
        <w:outlineLvl w:val="0"/>
        <w:rPr>
          <w:rFonts w:ascii="宋体" w:hAnsi="宋体"/>
          <w:color w:val="000000"/>
          <w:sz w:val="28"/>
          <w:szCs w:val="28"/>
        </w:rPr>
      </w:pPr>
      <w:r>
        <w:rPr>
          <w:rFonts w:hint="eastAsia" w:ascii="宋体" w:hAnsi="宋体"/>
          <w:color w:val="000000"/>
          <w:sz w:val="28"/>
          <w:szCs w:val="28"/>
        </w:rPr>
        <w:t>1、根据房地产估价相关理论和定义，评估所得到的市场价格是指该房地产于价值时点市场上的平均交易价格，不是对市场上的成交价格直接平均，亦并非真实买卖行为的成交价格。一般地说，成交价格围绕着市场价格上下波动，可能大于、小于或恰巧等于市场价格，特此说明。</w:t>
      </w:r>
    </w:p>
    <w:p>
      <w:pPr>
        <w:spacing w:line="500" w:lineRule="exact"/>
        <w:ind w:firstLine="560" w:firstLineChars="200"/>
        <w:rPr>
          <w:rFonts w:ascii="宋体" w:hAnsi="宋体"/>
          <w:color w:val="000000"/>
          <w:sz w:val="28"/>
          <w:szCs w:val="28"/>
        </w:rPr>
      </w:pPr>
      <w:r>
        <w:rPr>
          <w:rFonts w:hint="eastAsia" w:ascii="宋体" w:hAnsi="宋体" w:cs="宋体"/>
          <w:sz w:val="28"/>
          <w:szCs w:val="28"/>
        </w:rPr>
        <w:t>2、</w:t>
      </w:r>
      <w:r>
        <w:rPr>
          <w:rFonts w:hint="eastAsia" w:ascii="宋体" w:hAnsi="宋体"/>
          <w:color w:val="000000"/>
          <w:sz w:val="28"/>
          <w:szCs w:val="28"/>
        </w:rPr>
        <w:t>本估价报告分为“估价结果报告”和“估价技术报告”两部分，本估价项目的“估价技术报告”部分，仅为估价机构存档和有关部门查阅备案之用。</w:t>
      </w:r>
    </w:p>
    <w:p>
      <w:pPr>
        <w:spacing w:line="500" w:lineRule="exact"/>
        <w:ind w:firstLine="560" w:firstLineChars="200"/>
        <w:rPr>
          <w:rFonts w:ascii="宋体" w:hAnsi="宋体" w:cs="宋体"/>
          <w:sz w:val="28"/>
          <w:szCs w:val="28"/>
        </w:rPr>
      </w:pPr>
      <w:r>
        <w:rPr>
          <w:rFonts w:hint="eastAsia" w:ascii="宋体" w:hAnsi="宋体" w:cs="宋体"/>
          <w:sz w:val="28"/>
          <w:szCs w:val="28"/>
        </w:rPr>
        <w:t>3、本次评估价值时点（</w:t>
      </w:r>
      <w:r>
        <w:rPr>
          <w:rFonts w:hint="eastAsia" w:ascii="宋体" w:hAnsi="宋体" w:cs="宋体"/>
          <w:sz w:val="28"/>
          <w:szCs w:val="28"/>
          <w:lang w:eastAsia="zh-CN"/>
        </w:rPr>
        <w:t>2022年11月09日</w:t>
      </w:r>
      <w:r>
        <w:rPr>
          <w:rFonts w:hint="eastAsia" w:ascii="宋体" w:hAnsi="宋体" w:cs="宋体"/>
          <w:sz w:val="28"/>
          <w:szCs w:val="28"/>
        </w:rPr>
        <w:t>），为估价对象实地查勘之日。</w:t>
      </w:r>
    </w:p>
    <w:p>
      <w:pPr>
        <w:spacing w:line="500" w:lineRule="exact"/>
        <w:ind w:firstLine="560" w:firstLineChars="200"/>
        <w:rPr>
          <w:rFonts w:ascii="宋体" w:hAnsi="宋体" w:cs="宋体"/>
          <w:sz w:val="28"/>
          <w:szCs w:val="28"/>
        </w:rPr>
      </w:pPr>
      <w:r>
        <w:rPr>
          <w:rFonts w:hint="eastAsia" w:ascii="宋体" w:hAnsi="宋体" w:cs="宋体"/>
          <w:sz w:val="28"/>
          <w:szCs w:val="28"/>
        </w:rPr>
        <w:t>4、本次评估估价对象面积来源</w:t>
      </w:r>
      <w:r>
        <w:rPr>
          <w:rFonts w:hint="eastAsia" w:ascii="宋体" w:hAnsi="宋体" w:cs="宋体"/>
          <w:sz w:val="28"/>
          <w:szCs w:val="28"/>
          <w:lang w:val="en-US" w:eastAsia="zh-CN"/>
        </w:rPr>
        <w:t>于</w:t>
      </w:r>
      <w:r>
        <w:rPr>
          <w:rFonts w:hint="eastAsia" w:ascii="宋体" w:hAnsi="宋体" w:cs="宋体"/>
          <w:sz w:val="28"/>
          <w:szCs w:val="28"/>
        </w:rPr>
        <w:t>委托方提供的</w:t>
      </w:r>
      <w:r>
        <w:rPr>
          <w:rFonts w:hint="eastAsia" w:ascii="宋体" w:hAnsi="宋体" w:cs="宋体"/>
          <w:sz w:val="28"/>
          <w:szCs w:val="28"/>
          <w:highlight w:val="none"/>
          <w:lang w:val="en-US" w:eastAsia="zh-CN"/>
        </w:rPr>
        <w:t>查档证明</w:t>
      </w:r>
      <w:r>
        <w:rPr>
          <w:rFonts w:hint="eastAsia" w:ascii="宋体" w:hAnsi="宋体" w:cs="宋体"/>
          <w:sz w:val="28"/>
          <w:szCs w:val="28"/>
        </w:rPr>
        <w:t>复印件。</w:t>
      </w:r>
    </w:p>
    <w:p>
      <w:pPr>
        <w:spacing w:line="50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5、本次估价对象在现场勘查时</w:t>
      </w:r>
      <w:r>
        <w:rPr>
          <w:rFonts w:hint="eastAsia" w:ascii="宋体" w:hAnsi="宋体" w:cs="宋体"/>
          <w:bCs/>
          <w:sz w:val="28"/>
          <w:szCs w:val="28"/>
          <w:highlight w:val="none"/>
        </w:rPr>
        <w:t>，</w:t>
      </w:r>
      <w:r>
        <w:rPr>
          <w:rFonts w:hint="eastAsia" w:ascii="宋体" w:hAnsi="宋体" w:cs="宋体"/>
          <w:sz w:val="28"/>
          <w:szCs w:val="28"/>
          <w:highlight w:val="none"/>
        </w:rPr>
        <w:t>因被申请执行人原因，</w:t>
      </w:r>
      <w:r>
        <w:rPr>
          <w:rFonts w:hint="eastAsia" w:ascii="宋体" w:hAnsi="宋体" w:cs="宋体"/>
          <w:bCs/>
          <w:sz w:val="28"/>
          <w:szCs w:val="28"/>
          <w:highlight w:val="none"/>
        </w:rPr>
        <w:t>在现场查勘时，</w:t>
      </w:r>
      <w:r>
        <w:rPr>
          <w:rFonts w:hint="eastAsia" w:ascii="宋体" w:hAnsi="宋体" w:cs="宋体"/>
          <w:sz w:val="28"/>
          <w:szCs w:val="28"/>
          <w:highlight w:val="none"/>
        </w:rPr>
        <w:t>我公司注册房地产估价师未能进入估价对象内部进行实地查勘，无法详细掌握估价对象内部状况，本次评估设定该房屋已进行装饰装修，若与实际不符，需对评估报告进行调整或重新进行评估，提请报告使用人注意。</w:t>
      </w:r>
    </w:p>
    <w:p>
      <w:pPr>
        <w:spacing w:line="500" w:lineRule="exact"/>
        <w:ind w:firstLine="560" w:firstLineChars="200"/>
        <w:rPr>
          <w:rFonts w:ascii="宋体" w:hAnsi="宋体" w:cs="宋体"/>
          <w:sz w:val="28"/>
          <w:szCs w:val="28"/>
        </w:rPr>
      </w:pPr>
      <w:r>
        <w:rPr>
          <w:rFonts w:hint="eastAsia" w:ascii="宋体" w:hAnsi="宋体" w:cs="宋体"/>
          <w:sz w:val="28"/>
          <w:szCs w:val="28"/>
        </w:rPr>
        <w:t>6、当事人或其他利害关系人对评估结果有异议的，可以在收到评估报告之日起五日内通过</w:t>
      </w:r>
      <w:r>
        <w:rPr>
          <w:rFonts w:hint="eastAsia" w:ascii="宋体" w:hAnsi="宋体" w:cs="宋体"/>
          <w:sz w:val="28"/>
          <w:szCs w:val="28"/>
          <w:lang w:eastAsia="zh-CN"/>
        </w:rPr>
        <w:t>潍坊市潍城区人民法院</w:t>
      </w:r>
      <w:r>
        <w:rPr>
          <w:rFonts w:hint="eastAsia" w:ascii="宋体" w:hAnsi="宋体" w:cs="宋体"/>
          <w:sz w:val="28"/>
          <w:szCs w:val="28"/>
        </w:rPr>
        <w:t>向我公司书面提出。</w:t>
      </w:r>
    </w:p>
    <w:p>
      <w:pPr>
        <w:tabs>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七、估价报告使用限制</w:t>
      </w:r>
    </w:p>
    <w:p>
      <w:pPr>
        <w:tabs>
          <w:tab w:val="left" w:pos="180"/>
          <w:tab w:val="right" w:leader="dot" w:pos="8640"/>
        </w:tabs>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1.本估价报告仅用于为</w:t>
      </w:r>
      <w:r>
        <w:rPr>
          <w:rFonts w:hint="eastAsia"/>
          <w:kern w:val="0"/>
          <w:sz w:val="28"/>
          <w:szCs w:val="28"/>
        </w:rPr>
        <w:t>人民法院确定财产处置参考价提供参考依据</w:t>
      </w:r>
      <w:r>
        <w:rPr>
          <w:rFonts w:hint="eastAsia" w:ascii="宋体" w:hAnsi="宋体" w:cs="宋体"/>
          <w:kern w:val="0"/>
          <w:sz w:val="28"/>
          <w:szCs w:val="28"/>
        </w:rPr>
        <w:t>，不得用于其他用途。如果估价目的发生变化，估价报告需重新评估。</w:t>
      </w:r>
    </w:p>
    <w:p>
      <w:pPr>
        <w:tabs>
          <w:tab w:val="left" w:pos="180"/>
          <w:tab w:val="right" w:leader="dot" w:pos="8640"/>
        </w:tabs>
        <w:snapToGrid w:val="0"/>
        <w:spacing w:line="500" w:lineRule="exact"/>
        <w:ind w:firstLine="560" w:firstLineChars="200"/>
        <w:rPr>
          <w:rFonts w:ascii="宋体" w:hAnsi="宋体" w:cs="宋体"/>
          <w:kern w:val="0"/>
          <w:sz w:val="28"/>
          <w:szCs w:val="28"/>
          <w:highlight w:val="yellow"/>
        </w:rPr>
      </w:pPr>
      <w:r>
        <w:rPr>
          <w:rFonts w:hint="eastAsia" w:ascii="宋体" w:hAnsi="宋体" w:cs="宋体"/>
          <w:kern w:val="0"/>
          <w:sz w:val="28"/>
          <w:szCs w:val="28"/>
        </w:rPr>
        <w:t>2.本估价报告自出具之日起一年内有效。但价值时点后，在报告有限期内估价对象的质量及价格标准发生变化，并对估价对象价值产生明显影响时，不能直接使用本估价结果；</w:t>
      </w:r>
      <w:r>
        <w:rPr>
          <w:rFonts w:ascii="宋体" w:hAnsi="宋体" w:cs="宋体"/>
          <w:kern w:val="0"/>
          <w:sz w:val="28"/>
          <w:szCs w:val="28"/>
        </w:rPr>
        <w:t>如超过有效期或者有效期之内估价对象或国家经济形势、城市规划、房地产税费政策</w:t>
      </w:r>
      <w:r>
        <w:rPr>
          <w:rFonts w:hint="eastAsia" w:ascii="宋体" w:hAnsi="宋体" w:cs="宋体"/>
          <w:kern w:val="0"/>
          <w:sz w:val="28"/>
          <w:szCs w:val="28"/>
        </w:rPr>
        <w:t>、房地产市场</w:t>
      </w:r>
      <w:r>
        <w:rPr>
          <w:rFonts w:ascii="宋体" w:hAnsi="宋体" w:cs="宋体"/>
          <w:kern w:val="0"/>
          <w:sz w:val="28"/>
          <w:szCs w:val="28"/>
        </w:rPr>
        <w:t>等发生变化，对估价结果产生明显影响时，估价委托人应及时</w:t>
      </w:r>
      <w:r>
        <w:rPr>
          <w:rFonts w:hint="eastAsia" w:ascii="宋体" w:hAnsi="宋体" w:cs="宋体"/>
          <w:kern w:val="0"/>
          <w:sz w:val="28"/>
          <w:szCs w:val="28"/>
        </w:rPr>
        <w:t>委托</w:t>
      </w:r>
      <w:r>
        <w:rPr>
          <w:rFonts w:ascii="宋体" w:hAnsi="宋体" w:cs="宋体"/>
          <w:kern w:val="0"/>
          <w:sz w:val="28"/>
          <w:szCs w:val="28"/>
        </w:rPr>
        <w:t>房地产评估机构对估价结果作相应调整或重新估价。</w:t>
      </w:r>
    </w:p>
    <w:p>
      <w:pPr>
        <w:tabs>
          <w:tab w:val="left" w:pos="180"/>
          <w:tab w:val="right" w:leader="dot" w:pos="8640"/>
        </w:tabs>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tabs>
          <w:tab w:val="left" w:pos="180"/>
          <w:tab w:val="right" w:leader="dot" w:pos="8640"/>
        </w:tabs>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4.本报告由山东卓越全程土地房地产评估有限公司负责解释。</w:t>
      </w:r>
    </w:p>
    <w:p>
      <w:pPr>
        <w:tabs>
          <w:tab w:val="left" w:pos="180"/>
          <w:tab w:val="right" w:leader="dot" w:pos="8640"/>
        </w:tabs>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5.本报告必须经估价机构加盖公章、注册房地产估价师签字后方可使用，估价机构仅对本报告的原件承担责任，对任何形式的复制件概不认可且不承担责任。</w:t>
      </w:r>
    </w:p>
    <w:p>
      <w:pPr>
        <w:tabs>
          <w:tab w:val="left" w:pos="180"/>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八、评估结果使用特别提示</w:t>
      </w:r>
    </w:p>
    <w:p>
      <w:pPr>
        <w:spacing w:line="500" w:lineRule="exact"/>
        <w:ind w:firstLine="560" w:firstLineChars="200"/>
        <w:rPr>
          <w:rFonts w:ascii="宋体" w:hAnsi="宋体" w:cs="宋体"/>
          <w:bCs/>
          <w:kern w:val="0"/>
          <w:sz w:val="28"/>
          <w:szCs w:val="28"/>
        </w:rPr>
      </w:pPr>
      <w:r>
        <w:rPr>
          <w:rFonts w:hint="eastAsia" w:ascii="宋体" w:hAnsi="宋体" w:cs="宋体"/>
          <w:bCs/>
          <w:kern w:val="0"/>
          <w:sz w:val="28"/>
          <w:szCs w:val="28"/>
        </w:rPr>
        <w:t>1、财产拍卖（或者变卖）日期与评估报告载明的价值时点不一致的，评估对象状况或者房地产市场状况的变化会对评估结果产生影响；</w:t>
      </w:r>
    </w:p>
    <w:p>
      <w:pPr>
        <w:spacing w:line="500" w:lineRule="exact"/>
        <w:ind w:firstLine="560" w:firstLineChars="200"/>
        <w:rPr>
          <w:rFonts w:ascii="宋体" w:hAnsi="宋体" w:cs="宋体"/>
          <w:bCs/>
          <w:kern w:val="0"/>
          <w:sz w:val="28"/>
          <w:szCs w:val="28"/>
        </w:rPr>
      </w:pPr>
      <w:r>
        <w:rPr>
          <w:rFonts w:hint="eastAsia" w:ascii="宋体" w:hAnsi="宋体" w:cs="宋体"/>
          <w:bCs/>
          <w:kern w:val="0"/>
          <w:sz w:val="28"/>
          <w:szCs w:val="28"/>
        </w:rPr>
        <w:t>2、在评估结果有效期内，评估对象状况或者房地产市场发生明显变化的，评估结果应当进行相应调整；</w:t>
      </w:r>
    </w:p>
    <w:p>
      <w:pPr>
        <w:spacing w:line="500" w:lineRule="exact"/>
        <w:ind w:firstLine="560" w:firstLineChars="200"/>
        <w:rPr>
          <w:rFonts w:ascii="宋体" w:hAnsi="宋体" w:cs="宋体"/>
          <w:bCs/>
          <w:kern w:val="0"/>
          <w:sz w:val="28"/>
          <w:szCs w:val="28"/>
        </w:rPr>
      </w:pPr>
      <w:r>
        <w:rPr>
          <w:rFonts w:hint="eastAsia" w:ascii="宋体" w:hAnsi="宋体" w:cs="宋体"/>
          <w:bCs/>
          <w:kern w:val="0"/>
          <w:sz w:val="28"/>
          <w:szCs w:val="28"/>
        </w:rPr>
        <w:t>3、委托人或者报告使用人应当按照法律规定和评估报告载明的使用范围使用评估报告，违反该规定使用评估报告的，我公司和注册房地产估价师依法不承担责任；</w:t>
      </w:r>
    </w:p>
    <w:p>
      <w:pPr>
        <w:spacing w:line="500" w:lineRule="exact"/>
        <w:ind w:firstLine="560" w:firstLineChars="200"/>
        <w:rPr>
          <w:rFonts w:ascii="宋体" w:hAnsi="宋体" w:cs="宋体"/>
          <w:bCs/>
          <w:kern w:val="0"/>
          <w:sz w:val="28"/>
          <w:szCs w:val="28"/>
        </w:rPr>
      </w:pPr>
      <w:r>
        <w:rPr>
          <w:rFonts w:hint="eastAsia" w:ascii="宋体" w:hAnsi="宋体" w:cs="宋体"/>
          <w:bCs/>
          <w:kern w:val="0"/>
          <w:sz w:val="28"/>
          <w:szCs w:val="28"/>
        </w:rPr>
        <w:t>4、本次评估结果不等于评估对象处置可实现的成交价，不应被认为是对评估对象处置成交价的保证。</w:t>
      </w:r>
    </w:p>
    <w:p>
      <w:pPr>
        <w:spacing w:line="480" w:lineRule="exact"/>
        <w:rPr>
          <w:rFonts w:ascii="宋体" w:hAnsi="宋体" w:cs="宋体"/>
          <w:b/>
          <w:bCs/>
          <w:kern w:val="0"/>
          <w:sz w:val="44"/>
        </w:rPr>
      </w:pPr>
    </w:p>
    <w:p>
      <w:pPr>
        <w:spacing w:line="500" w:lineRule="exact"/>
        <w:jc w:val="center"/>
        <w:rPr>
          <w:rFonts w:ascii="宋体" w:hAnsi="宋体"/>
          <w:b/>
          <w:bCs/>
          <w:kern w:val="0"/>
          <w:sz w:val="44"/>
        </w:rPr>
      </w:pPr>
      <w:r>
        <w:rPr>
          <w:rFonts w:ascii="宋体" w:hAnsi="宋体"/>
          <w:b/>
          <w:bCs/>
          <w:kern w:val="0"/>
          <w:sz w:val="44"/>
        </w:rPr>
        <w:br w:type="page"/>
      </w:r>
    </w:p>
    <w:p>
      <w:pPr>
        <w:spacing w:line="500" w:lineRule="exact"/>
        <w:jc w:val="center"/>
        <w:rPr>
          <w:rFonts w:ascii="宋体" w:hAnsi="宋体"/>
          <w:b/>
          <w:bCs/>
          <w:kern w:val="0"/>
          <w:sz w:val="44"/>
        </w:rPr>
      </w:pPr>
      <w:r>
        <w:rPr>
          <w:rFonts w:hint="eastAsia" w:ascii="宋体" w:hAnsi="宋体"/>
          <w:b/>
          <w:bCs/>
          <w:kern w:val="0"/>
          <w:sz w:val="44"/>
        </w:rPr>
        <w:t>估价结果报告</w:t>
      </w:r>
    </w:p>
    <w:p>
      <w:pPr>
        <w:spacing w:line="500" w:lineRule="exact"/>
        <w:jc w:val="center"/>
        <w:rPr>
          <w:rFonts w:ascii="宋体" w:hAnsi="宋体"/>
          <w:b/>
          <w:bCs/>
          <w:kern w:val="0"/>
          <w:sz w:val="44"/>
        </w:rPr>
      </w:pPr>
    </w:p>
    <w:p>
      <w:pPr>
        <w:spacing w:line="490" w:lineRule="exact"/>
        <w:rPr>
          <w:rFonts w:hint="eastAsia" w:ascii="宋体" w:hAnsi="宋体" w:eastAsia="宋体" w:cs="宋体"/>
          <w:b/>
          <w:kern w:val="0"/>
          <w:sz w:val="28"/>
          <w:szCs w:val="28"/>
          <w:lang w:eastAsia="zh-CN"/>
        </w:rPr>
      </w:pPr>
      <w:r>
        <w:rPr>
          <w:rFonts w:hint="eastAsia" w:ascii="宋体" w:hAnsi="宋体" w:cs="宋体"/>
          <w:b/>
          <w:kern w:val="0"/>
          <w:sz w:val="28"/>
          <w:szCs w:val="28"/>
        </w:rPr>
        <w:t>一、</w:t>
      </w:r>
      <w:r>
        <w:rPr>
          <w:rFonts w:hint="eastAsia" w:ascii="宋体" w:hAnsi="宋体" w:cs="宋体"/>
          <w:b/>
          <w:spacing w:val="71"/>
          <w:kern w:val="0"/>
          <w:sz w:val="28"/>
          <w:szCs w:val="28"/>
          <w:fitText w:val="1124" w:id="2062798080"/>
        </w:rPr>
        <w:t>委托</w:t>
      </w:r>
      <w:r>
        <w:rPr>
          <w:rFonts w:hint="eastAsia" w:ascii="宋体" w:hAnsi="宋体" w:cs="宋体"/>
          <w:b/>
          <w:spacing w:val="0"/>
          <w:kern w:val="0"/>
          <w:sz w:val="28"/>
          <w:szCs w:val="28"/>
          <w:fitText w:val="1124" w:id="2062798080"/>
        </w:rPr>
        <w:t>方</w:t>
      </w:r>
      <w:r>
        <w:rPr>
          <w:rFonts w:hint="eastAsia" w:ascii="宋体" w:hAnsi="宋体" w:cs="宋体"/>
          <w:b/>
          <w:kern w:val="0"/>
          <w:sz w:val="28"/>
          <w:szCs w:val="28"/>
        </w:rPr>
        <w:t>：</w:t>
      </w:r>
      <w:r>
        <w:rPr>
          <w:rFonts w:hint="eastAsia" w:ascii="宋体" w:hAnsi="宋体" w:cs="宋体"/>
          <w:kern w:val="0"/>
          <w:sz w:val="28"/>
          <w:szCs w:val="28"/>
          <w:lang w:eastAsia="zh-CN"/>
        </w:rPr>
        <w:t>潍坊市潍城区人民法院</w:t>
      </w:r>
    </w:p>
    <w:p>
      <w:pPr>
        <w:spacing w:line="490" w:lineRule="exact"/>
        <w:rPr>
          <w:rFonts w:ascii="宋体" w:hAnsi="宋体" w:cs="宋体"/>
          <w:kern w:val="0"/>
          <w:sz w:val="28"/>
          <w:szCs w:val="28"/>
        </w:rPr>
      </w:pPr>
      <w:r>
        <w:rPr>
          <w:rFonts w:hint="eastAsia" w:ascii="宋体" w:hAnsi="宋体" w:cs="宋体"/>
          <w:b/>
          <w:kern w:val="0"/>
          <w:sz w:val="28"/>
          <w:szCs w:val="28"/>
        </w:rPr>
        <w:t>二、</w:t>
      </w:r>
      <w:r>
        <w:rPr>
          <w:rFonts w:hint="eastAsia" w:ascii="宋体" w:hAnsi="宋体" w:cs="宋体"/>
          <w:b/>
          <w:spacing w:val="71"/>
          <w:kern w:val="0"/>
          <w:sz w:val="28"/>
          <w:szCs w:val="28"/>
          <w:fitText w:val="1124" w:id="2062798081"/>
        </w:rPr>
        <w:t>估价</w:t>
      </w:r>
      <w:r>
        <w:rPr>
          <w:rFonts w:hint="eastAsia" w:ascii="宋体" w:hAnsi="宋体" w:cs="宋体"/>
          <w:b/>
          <w:spacing w:val="0"/>
          <w:kern w:val="0"/>
          <w:sz w:val="28"/>
          <w:szCs w:val="28"/>
          <w:fitText w:val="1124" w:id="2062798081"/>
        </w:rPr>
        <w:t>方</w:t>
      </w:r>
      <w:r>
        <w:rPr>
          <w:rFonts w:hint="eastAsia" w:ascii="宋体" w:hAnsi="宋体" w:cs="宋体"/>
          <w:b/>
          <w:kern w:val="0"/>
          <w:sz w:val="28"/>
          <w:szCs w:val="28"/>
        </w:rPr>
        <w:t>：</w:t>
      </w:r>
      <w:r>
        <w:rPr>
          <w:rFonts w:hint="eastAsia" w:ascii="宋体" w:hAnsi="宋体" w:cs="宋体"/>
          <w:kern w:val="0"/>
          <w:sz w:val="28"/>
          <w:szCs w:val="28"/>
        </w:rPr>
        <w:t>山东卓越全程土地房地产评估有限公司</w:t>
      </w:r>
    </w:p>
    <w:p>
      <w:pPr>
        <w:spacing w:line="490" w:lineRule="exact"/>
        <w:ind w:firstLine="562" w:firstLineChars="200"/>
        <w:rPr>
          <w:rFonts w:ascii="宋体" w:hAnsi="宋体" w:cs="宋体"/>
          <w:kern w:val="0"/>
          <w:sz w:val="28"/>
          <w:szCs w:val="28"/>
        </w:rPr>
      </w:pPr>
      <w:r>
        <w:rPr>
          <w:rFonts w:hint="eastAsia" w:ascii="宋体" w:hAnsi="宋体" w:cs="宋体"/>
          <w:b/>
          <w:kern w:val="0"/>
          <w:sz w:val="28"/>
          <w:szCs w:val="28"/>
        </w:rPr>
        <w:t>机构地址：</w:t>
      </w:r>
      <w:r>
        <w:rPr>
          <w:rFonts w:hint="eastAsia" w:ascii="宋体" w:hAnsi="宋体" w:cs="宋体"/>
          <w:kern w:val="0"/>
          <w:sz w:val="28"/>
          <w:szCs w:val="28"/>
        </w:rPr>
        <w:t>潍坊高新区福寿东街以南东方路以西华润大厦22楼</w:t>
      </w:r>
    </w:p>
    <w:p>
      <w:pPr>
        <w:spacing w:line="490" w:lineRule="exact"/>
        <w:ind w:firstLine="562" w:firstLineChars="200"/>
        <w:rPr>
          <w:rFonts w:hint="eastAsia" w:ascii="宋体" w:hAnsi="宋体" w:cs="宋体"/>
          <w:kern w:val="0"/>
          <w:sz w:val="28"/>
          <w:szCs w:val="28"/>
          <w:lang w:val="en-US" w:eastAsia="zh-CN"/>
        </w:rPr>
      </w:pPr>
      <w:r>
        <w:rPr>
          <w:rFonts w:hint="eastAsia" w:ascii="宋体" w:hAnsi="宋体" w:cs="宋体"/>
          <w:b/>
          <w:kern w:val="0"/>
          <w:sz w:val="28"/>
          <w:szCs w:val="28"/>
        </w:rPr>
        <w:t>法定代表人：</w:t>
      </w:r>
      <w:r>
        <w:rPr>
          <w:rFonts w:hint="eastAsia" w:ascii="宋体" w:hAnsi="宋体" w:cs="宋体"/>
          <w:kern w:val="0"/>
          <w:sz w:val="28"/>
          <w:szCs w:val="28"/>
          <w:lang w:val="en-US" w:eastAsia="zh-CN"/>
        </w:rPr>
        <w:t>魏庆华</w:t>
      </w:r>
    </w:p>
    <w:p>
      <w:pPr>
        <w:spacing w:line="490" w:lineRule="exact"/>
        <w:ind w:firstLine="562" w:firstLineChars="200"/>
        <w:rPr>
          <w:rFonts w:ascii="宋体" w:hAnsi="宋体" w:cs="宋体"/>
          <w:b/>
          <w:kern w:val="0"/>
          <w:sz w:val="28"/>
          <w:szCs w:val="28"/>
        </w:rPr>
      </w:pPr>
      <w:r>
        <w:rPr>
          <w:rFonts w:hint="eastAsia" w:ascii="宋体" w:hAnsi="宋体" w:cs="宋体"/>
          <w:b/>
          <w:kern w:val="0"/>
          <w:sz w:val="28"/>
          <w:szCs w:val="28"/>
        </w:rPr>
        <w:t>资格等级：全国壹级</w:t>
      </w:r>
    </w:p>
    <w:p>
      <w:pPr>
        <w:spacing w:line="490" w:lineRule="exact"/>
        <w:ind w:firstLine="562" w:firstLineChars="200"/>
        <w:rPr>
          <w:rFonts w:ascii="宋体" w:hAnsi="宋体" w:cs="宋体"/>
          <w:kern w:val="0"/>
          <w:sz w:val="28"/>
          <w:szCs w:val="28"/>
        </w:rPr>
      </w:pPr>
      <w:r>
        <w:rPr>
          <w:rFonts w:hint="eastAsia" w:ascii="宋体" w:hAnsi="宋体" w:cs="宋体"/>
          <w:b/>
          <w:kern w:val="0"/>
          <w:sz w:val="28"/>
          <w:szCs w:val="28"/>
        </w:rPr>
        <w:t>证书编号：</w:t>
      </w:r>
      <w:r>
        <w:rPr>
          <w:rFonts w:hint="eastAsia" w:ascii="宋体" w:hAnsi="宋体" w:cs="宋体"/>
          <w:kern w:val="0"/>
          <w:sz w:val="28"/>
          <w:szCs w:val="28"/>
        </w:rPr>
        <w:t>鲁评071016</w:t>
      </w:r>
    </w:p>
    <w:p>
      <w:pPr>
        <w:spacing w:line="490" w:lineRule="exact"/>
        <w:ind w:firstLine="562" w:firstLineChars="200"/>
        <w:rPr>
          <w:rFonts w:ascii="宋体" w:hAnsi="宋体" w:cs="宋体"/>
          <w:kern w:val="0"/>
          <w:sz w:val="28"/>
          <w:szCs w:val="28"/>
        </w:rPr>
      </w:pPr>
      <w:r>
        <w:rPr>
          <w:rFonts w:hint="eastAsia" w:ascii="宋体" w:hAnsi="宋体" w:cs="宋体"/>
          <w:b/>
          <w:kern w:val="0"/>
          <w:sz w:val="28"/>
          <w:szCs w:val="28"/>
        </w:rPr>
        <w:t>资质有效期限：</w:t>
      </w:r>
      <w:r>
        <w:rPr>
          <w:rFonts w:hint="eastAsia" w:ascii="宋体" w:hAnsi="宋体" w:cs="宋体"/>
          <w:kern w:val="0"/>
          <w:sz w:val="28"/>
          <w:szCs w:val="28"/>
        </w:rPr>
        <w:t>2021年5月31日至2024年5月30日</w:t>
      </w:r>
    </w:p>
    <w:p>
      <w:pPr>
        <w:spacing w:line="490" w:lineRule="exact"/>
        <w:ind w:firstLine="562" w:firstLineChars="200"/>
        <w:rPr>
          <w:rFonts w:ascii="宋体" w:hAnsi="宋体" w:cs="宋体"/>
          <w:kern w:val="0"/>
          <w:sz w:val="28"/>
          <w:szCs w:val="28"/>
        </w:rPr>
      </w:pPr>
      <w:r>
        <w:rPr>
          <w:rFonts w:hint="eastAsia" w:ascii="宋体" w:hAnsi="宋体" w:cs="宋体"/>
          <w:b/>
          <w:kern w:val="0"/>
          <w:sz w:val="28"/>
          <w:szCs w:val="28"/>
        </w:rPr>
        <w:t>联系电话：</w:t>
      </w:r>
      <w:r>
        <w:rPr>
          <w:rFonts w:hint="eastAsia" w:ascii="宋体" w:hAnsi="宋体" w:cs="宋体"/>
          <w:kern w:val="0"/>
          <w:sz w:val="28"/>
          <w:szCs w:val="28"/>
        </w:rPr>
        <w:t>（0536）8793568</w:t>
      </w:r>
    </w:p>
    <w:p>
      <w:pPr>
        <w:spacing w:line="490" w:lineRule="exact"/>
        <w:rPr>
          <w:rFonts w:ascii="宋体" w:hAnsi="宋体" w:cs="宋体"/>
          <w:b/>
          <w:kern w:val="0"/>
          <w:sz w:val="28"/>
          <w:szCs w:val="28"/>
        </w:rPr>
      </w:pPr>
      <w:r>
        <w:rPr>
          <w:rFonts w:hint="eastAsia" w:ascii="宋体" w:hAnsi="宋体" w:cs="宋体"/>
          <w:b/>
          <w:kern w:val="0"/>
          <w:sz w:val="28"/>
          <w:szCs w:val="28"/>
        </w:rPr>
        <w:t>三、估价对象</w:t>
      </w:r>
      <w:r>
        <w:rPr>
          <w:rFonts w:hint="eastAsia" w:ascii="宋体" w:hAnsi="宋体" w:cs="宋体"/>
          <w:b/>
          <w:bCs/>
          <w:kern w:val="0"/>
          <w:sz w:val="28"/>
          <w:szCs w:val="28"/>
        </w:rPr>
        <w:t>：</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1、评估对象范围</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根据</w:t>
      </w:r>
      <w:r>
        <w:rPr>
          <w:rFonts w:hint="eastAsia" w:ascii="宋体" w:hAnsi="宋体"/>
          <w:kern w:val="0"/>
          <w:sz w:val="28"/>
          <w:szCs w:val="28"/>
          <w:lang w:eastAsia="zh-CN"/>
        </w:rPr>
        <w:t>潍坊市潍城区人民法院委托书（2022）鲁0702执663号</w:t>
      </w:r>
      <w:r>
        <w:rPr>
          <w:rFonts w:hint="eastAsia" w:ascii="宋体" w:hAnsi="宋体" w:cs="宋体"/>
          <w:kern w:val="0"/>
          <w:sz w:val="28"/>
          <w:szCs w:val="28"/>
        </w:rPr>
        <w:t>，</w:t>
      </w:r>
      <w:r>
        <w:rPr>
          <w:rFonts w:hint="eastAsia" w:ascii="宋体" w:hAnsi="宋体" w:cs="宋体"/>
          <w:sz w:val="28"/>
          <w:szCs w:val="28"/>
        </w:rPr>
        <w:t>需评估的财产为</w:t>
      </w:r>
      <w:r>
        <w:rPr>
          <w:rFonts w:hint="eastAsia" w:ascii="宋体" w:hAnsi="宋体" w:cs="宋体"/>
          <w:kern w:val="0"/>
          <w:sz w:val="28"/>
          <w:szCs w:val="28"/>
        </w:rPr>
        <w:t>：</w:t>
      </w:r>
      <w:r>
        <w:rPr>
          <w:rFonts w:hint="eastAsia" w:ascii="宋体" w:hAnsi="宋体" w:cs="宋体"/>
          <w:bCs/>
          <w:kern w:val="0"/>
          <w:sz w:val="28"/>
          <w:szCs w:val="28"/>
          <w:lang w:eastAsia="zh-CN"/>
        </w:rPr>
        <w:t>潍坊市坊子区北海路以东天润凤凰城综合楼907室</w:t>
      </w:r>
      <w:r>
        <w:rPr>
          <w:rFonts w:hint="eastAsia" w:ascii="宋体" w:hAnsi="宋体" w:cs="宋体"/>
          <w:kern w:val="0"/>
          <w:sz w:val="28"/>
          <w:szCs w:val="28"/>
        </w:rPr>
        <w:t>。</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2、估价对象基本状况：</w:t>
      </w:r>
    </w:p>
    <w:p>
      <w:pPr>
        <w:adjustRightInd w:val="0"/>
        <w:snapToGrid w:val="0"/>
        <w:spacing w:line="490" w:lineRule="exact"/>
        <w:ind w:firstLine="562" w:firstLineChars="200"/>
        <w:rPr>
          <w:rFonts w:ascii="宋体" w:hAnsi="宋体" w:cs="宋体"/>
          <w:kern w:val="0"/>
          <w:sz w:val="28"/>
          <w:szCs w:val="28"/>
        </w:rPr>
      </w:pPr>
      <w:r>
        <w:rPr>
          <w:rFonts w:hint="eastAsia" w:ascii="宋体" w:hAnsi="宋体" w:cs="宋体"/>
          <w:b/>
          <w:kern w:val="0"/>
          <w:sz w:val="28"/>
          <w:szCs w:val="28"/>
        </w:rPr>
        <w:t>（1</w:t>
      </w:r>
      <w:r>
        <w:rPr>
          <w:rFonts w:ascii="宋体" w:hAnsi="宋体" w:cs="宋体"/>
          <w:b/>
          <w:kern w:val="0"/>
          <w:sz w:val="28"/>
          <w:szCs w:val="28"/>
        </w:rPr>
        <w:t>）</w:t>
      </w:r>
      <w:r>
        <w:rPr>
          <w:rFonts w:hint="eastAsia" w:ascii="宋体" w:hAnsi="宋体" w:cs="宋体"/>
          <w:b/>
          <w:kern w:val="0"/>
          <w:sz w:val="28"/>
          <w:szCs w:val="28"/>
        </w:rPr>
        <w:t>建筑物基本情况</w:t>
      </w:r>
      <w:r>
        <w:rPr>
          <w:rFonts w:hint="eastAsia" w:ascii="宋体" w:hAnsi="宋体" w:cs="宋体"/>
          <w:kern w:val="0"/>
          <w:sz w:val="28"/>
          <w:szCs w:val="28"/>
        </w:rPr>
        <w:t>：</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名称：</w:t>
      </w:r>
      <w:r>
        <w:rPr>
          <w:rFonts w:hint="eastAsia" w:ascii="宋体" w:cs="宋体"/>
          <w:kern w:val="0"/>
          <w:sz w:val="28"/>
          <w:szCs w:val="28"/>
          <w:lang w:val="zh-CN"/>
        </w:rPr>
        <w:t>潍坊市坊子区北海路以东天润凤凰城综合楼907室</w:t>
      </w:r>
      <w:r>
        <w:rPr>
          <w:rFonts w:hint="eastAsia" w:ascii="宋体" w:hAnsi="宋体" w:cs="宋体"/>
          <w:kern w:val="0"/>
          <w:sz w:val="28"/>
          <w:szCs w:val="28"/>
        </w:rPr>
        <w:t>；</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坐落：</w:t>
      </w:r>
      <w:r>
        <w:rPr>
          <w:rFonts w:hint="eastAsia" w:ascii="宋体" w:cs="宋体"/>
          <w:kern w:val="0"/>
          <w:sz w:val="28"/>
          <w:szCs w:val="28"/>
          <w:lang w:val="zh-CN"/>
        </w:rPr>
        <w:t>潍坊市坊子区北海路以东天润凤凰城</w:t>
      </w:r>
      <w:r>
        <w:rPr>
          <w:rFonts w:hint="eastAsia" w:ascii="宋体" w:hAnsi="宋体" w:cs="宋体"/>
          <w:kern w:val="0"/>
          <w:sz w:val="28"/>
          <w:szCs w:val="28"/>
        </w:rPr>
        <w:t>；</w:t>
      </w:r>
    </w:p>
    <w:p>
      <w:pPr>
        <w:adjustRightInd w:val="0"/>
        <w:snapToGrid w:val="0"/>
        <w:spacing w:line="49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rPr>
        <w:t>规模：建筑面积为</w:t>
      </w:r>
      <w:r>
        <w:rPr>
          <w:rFonts w:hint="eastAsia" w:ascii="宋体" w:hAnsi="宋体" w:cs="宋体"/>
          <w:kern w:val="0"/>
          <w:sz w:val="28"/>
          <w:szCs w:val="28"/>
          <w:lang w:val="en-US" w:eastAsia="zh-CN"/>
        </w:rPr>
        <w:t>104.45</w:t>
      </w:r>
      <w:r>
        <w:rPr>
          <w:rFonts w:hint="eastAsia" w:ascii="宋体" w:hAnsi="宋体" w:cs="宋体"/>
          <w:kern w:val="0"/>
          <w:sz w:val="28"/>
          <w:szCs w:val="28"/>
        </w:rPr>
        <w:t>平方米；</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用途：住宅；</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房屋朝向：南向；</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装饰装修：外墙</w:t>
      </w:r>
      <w:r>
        <w:rPr>
          <w:rFonts w:hint="eastAsia" w:ascii="宋体" w:hAnsi="宋体" w:cs="宋体"/>
          <w:kern w:val="0"/>
          <w:sz w:val="28"/>
          <w:szCs w:val="28"/>
          <w:highlight w:val="none"/>
          <w:lang w:val="en-US" w:eastAsia="zh-CN"/>
        </w:rPr>
        <w:t>瓷砖</w:t>
      </w:r>
      <w:r>
        <w:rPr>
          <w:rFonts w:hint="eastAsia" w:ascii="宋体" w:hAnsi="宋体" w:cs="宋体"/>
          <w:kern w:val="0"/>
          <w:sz w:val="28"/>
          <w:szCs w:val="28"/>
          <w:highlight w:val="none"/>
        </w:rPr>
        <w:t>，</w:t>
      </w:r>
      <w:r>
        <w:rPr>
          <w:rFonts w:hint="eastAsia" w:ascii="宋体" w:hAnsi="宋体" w:cs="宋体"/>
          <w:kern w:val="0"/>
          <w:sz w:val="28"/>
          <w:szCs w:val="28"/>
        </w:rPr>
        <w:t>楼梯踏步</w:t>
      </w:r>
      <w:r>
        <w:rPr>
          <w:rFonts w:hint="eastAsia" w:ascii="宋体" w:hAnsi="宋体" w:cs="宋体"/>
          <w:kern w:val="0"/>
          <w:sz w:val="28"/>
          <w:szCs w:val="28"/>
          <w:lang w:val="en-US" w:eastAsia="zh-CN"/>
        </w:rPr>
        <w:t>水泥，</w:t>
      </w:r>
      <w:r>
        <w:rPr>
          <w:rFonts w:hint="eastAsia" w:ascii="宋体" w:hAnsi="宋体" w:cs="宋体"/>
          <w:kern w:val="0"/>
          <w:sz w:val="28"/>
          <w:szCs w:val="28"/>
        </w:rPr>
        <w:t>入户防盗门，</w:t>
      </w:r>
      <w:r>
        <w:rPr>
          <w:rFonts w:hint="eastAsia" w:ascii="宋体" w:hAnsi="宋体" w:cs="宋体"/>
          <w:kern w:val="0"/>
          <w:sz w:val="28"/>
          <w:szCs w:val="28"/>
          <w:lang w:val="en-US" w:eastAsia="zh-CN"/>
        </w:rPr>
        <w:t>铝合金窗，</w:t>
      </w:r>
      <w:r>
        <w:rPr>
          <w:rFonts w:hint="eastAsia" w:ascii="宋体" w:hAnsi="宋体" w:cs="宋体"/>
          <w:kern w:val="0"/>
          <w:sz w:val="28"/>
          <w:szCs w:val="28"/>
        </w:rPr>
        <w:t>估价师未能进入估价对象内部进行实地查勘；</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维护状况：维护状况较好；</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成新度：</w:t>
      </w:r>
      <w:r>
        <w:rPr>
          <w:rFonts w:hint="eastAsia" w:ascii="宋体" w:hAnsi="宋体" w:cs="宋体"/>
          <w:kern w:val="0"/>
          <w:sz w:val="28"/>
          <w:szCs w:val="28"/>
          <w:lang w:val="en-US" w:eastAsia="zh-CN"/>
        </w:rPr>
        <w:t>八</w:t>
      </w:r>
      <w:r>
        <w:rPr>
          <w:rFonts w:hint="eastAsia" w:ascii="宋体" w:hAnsi="宋体" w:cs="宋体"/>
          <w:kern w:val="0"/>
          <w:sz w:val="28"/>
          <w:szCs w:val="28"/>
        </w:rPr>
        <w:t>成新左右；</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配套设施：水、电、通讯、天然气</w:t>
      </w:r>
      <w:r>
        <w:rPr>
          <w:rFonts w:hint="eastAsia" w:ascii="宋体" w:hAnsi="宋体" w:cs="宋体"/>
          <w:kern w:val="0"/>
          <w:sz w:val="28"/>
          <w:szCs w:val="28"/>
          <w:lang w:eastAsia="zh-CN"/>
        </w:rPr>
        <w:t>、</w:t>
      </w:r>
      <w:r>
        <w:rPr>
          <w:rFonts w:hint="eastAsia" w:ascii="宋体" w:hAnsi="宋体" w:cs="宋体"/>
          <w:kern w:val="0"/>
          <w:sz w:val="28"/>
          <w:szCs w:val="28"/>
          <w:lang w:val="en-US" w:eastAsia="zh-CN"/>
        </w:rPr>
        <w:t>电梯</w:t>
      </w:r>
      <w:r>
        <w:rPr>
          <w:rFonts w:hint="eastAsia" w:ascii="宋体" w:hAnsi="宋体" w:cs="宋体"/>
          <w:kern w:val="0"/>
          <w:sz w:val="28"/>
          <w:szCs w:val="28"/>
        </w:rPr>
        <w:t>等齐全。</w:t>
      </w:r>
    </w:p>
    <w:p>
      <w:pPr>
        <w:adjustRightInd w:val="0"/>
        <w:snapToGrid w:val="0"/>
        <w:spacing w:line="490" w:lineRule="exact"/>
        <w:ind w:firstLine="562" w:firstLineChars="200"/>
        <w:rPr>
          <w:rFonts w:ascii="宋体" w:hAnsi="宋体" w:cs="宋体"/>
          <w:kern w:val="0"/>
          <w:sz w:val="28"/>
          <w:szCs w:val="28"/>
        </w:rPr>
      </w:pPr>
      <w:r>
        <w:rPr>
          <w:rFonts w:hint="eastAsia" w:ascii="宋体" w:hAnsi="宋体" w:cs="宋体"/>
          <w:b/>
          <w:kern w:val="0"/>
          <w:sz w:val="28"/>
          <w:szCs w:val="28"/>
        </w:rPr>
        <w:t>（2）土地基本状况</w:t>
      </w:r>
      <w:r>
        <w:rPr>
          <w:rFonts w:hint="eastAsia" w:ascii="宋体" w:hAnsi="宋体" w:cs="宋体"/>
          <w:kern w:val="0"/>
          <w:sz w:val="28"/>
          <w:szCs w:val="28"/>
        </w:rPr>
        <w:t>：</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sz w:val="28"/>
          <w:szCs w:val="28"/>
        </w:rPr>
        <w:t>周边道路</w:t>
      </w:r>
      <w:r>
        <w:rPr>
          <w:rFonts w:hint="eastAsia" w:ascii="宋体" w:hAnsi="宋体" w:cs="宋体"/>
          <w:kern w:val="0"/>
          <w:sz w:val="28"/>
          <w:szCs w:val="28"/>
        </w:rPr>
        <w:t>：</w:t>
      </w:r>
      <w:r>
        <w:rPr>
          <w:rFonts w:hint="eastAsia" w:ascii="宋体" w:hAnsi="宋体" w:cs="宋体"/>
          <w:kern w:val="0"/>
          <w:sz w:val="28"/>
          <w:szCs w:val="28"/>
          <w:lang w:val="en-US" w:eastAsia="zh-CN"/>
        </w:rPr>
        <w:t>西临北海路，北临凤中街</w:t>
      </w:r>
      <w:r>
        <w:rPr>
          <w:rFonts w:hint="eastAsia" w:ascii="宋体" w:hAnsi="宋体" w:cs="宋体"/>
          <w:kern w:val="0"/>
          <w:sz w:val="28"/>
          <w:szCs w:val="28"/>
        </w:rPr>
        <w:t>；</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形状：规则；</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地势：平坦；</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地质条件：良好；</w:t>
      </w:r>
    </w:p>
    <w:p>
      <w:pPr>
        <w:adjustRightInd w:val="0"/>
        <w:snapToGrid w:val="0"/>
        <w:spacing w:line="490" w:lineRule="exact"/>
        <w:ind w:firstLine="562" w:firstLineChars="200"/>
        <w:rPr>
          <w:rFonts w:ascii="宋体" w:hAnsi="宋体" w:cs="宋体"/>
          <w:kern w:val="0"/>
          <w:sz w:val="28"/>
          <w:szCs w:val="28"/>
        </w:rPr>
      </w:pPr>
      <w:r>
        <w:rPr>
          <w:rFonts w:hint="eastAsia" w:ascii="宋体" w:hAnsi="宋体" w:cs="宋体"/>
          <w:b/>
          <w:kern w:val="0"/>
          <w:sz w:val="28"/>
          <w:szCs w:val="28"/>
        </w:rPr>
        <w:t>（3</w:t>
      </w:r>
      <w:r>
        <w:rPr>
          <w:rFonts w:ascii="宋体" w:hAnsi="宋体" w:cs="宋体"/>
          <w:b/>
          <w:kern w:val="0"/>
          <w:sz w:val="28"/>
          <w:szCs w:val="28"/>
        </w:rPr>
        <w:t>）</w:t>
      </w:r>
      <w:r>
        <w:rPr>
          <w:rFonts w:hint="eastAsia" w:ascii="宋体" w:hAnsi="宋体" w:cs="宋体"/>
          <w:b/>
          <w:kern w:val="0"/>
          <w:sz w:val="28"/>
          <w:szCs w:val="28"/>
        </w:rPr>
        <w:t>权益状况</w:t>
      </w:r>
      <w:r>
        <w:rPr>
          <w:rFonts w:hint="eastAsia" w:ascii="宋体" w:hAnsi="宋体" w:cs="宋体"/>
          <w:kern w:val="0"/>
          <w:sz w:val="28"/>
          <w:szCs w:val="28"/>
        </w:rPr>
        <w:t>：</w:t>
      </w:r>
    </w:p>
    <w:p>
      <w:pPr>
        <w:adjustRightInd w:val="0"/>
        <w:snapToGrid w:val="0"/>
        <w:spacing w:line="490" w:lineRule="exact"/>
        <w:ind w:firstLine="560" w:firstLineChars="200"/>
        <w:rPr>
          <w:rFonts w:ascii="宋体" w:hAnsi="宋体" w:cs="宋体"/>
          <w:bCs/>
          <w:kern w:val="0"/>
          <w:sz w:val="28"/>
          <w:szCs w:val="28"/>
        </w:rPr>
      </w:pPr>
      <w:r>
        <w:rPr>
          <w:rFonts w:hint="eastAsia" w:ascii="宋体" w:hAnsi="宋体" w:cs="宋体"/>
          <w:kern w:val="0"/>
          <w:sz w:val="28"/>
          <w:szCs w:val="28"/>
        </w:rPr>
        <w:t>根据委托方提供资料，</w:t>
      </w:r>
      <w:r>
        <w:rPr>
          <w:rFonts w:hint="eastAsia" w:ascii="宋体" w:hAnsi="宋体" w:cs="宋体"/>
          <w:bCs/>
          <w:kern w:val="0"/>
          <w:sz w:val="28"/>
          <w:szCs w:val="28"/>
        </w:rPr>
        <w:t>房屋所有权人为</w:t>
      </w:r>
      <w:r>
        <w:rPr>
          <w:rFonts w:hint="eastAsia" w:ascii="宋体" w:hAnsi="宋体" w:cs="宋体"/>
          <w:bCs/>
          <w:kern w:val="0"/>
          <w:sz w:val="28"/>
          <w:szCs w:val="28"/>
          <w:highlight w:val="none"/>
          <w:lang w:val="en-US" w:eastAsia="zh-CN"/>
        </w:rPr>
        <w:t>位立光</w:t>
      </w:r>
      <w:r>
        <w:rPr>
          <w:rFonts w:hint="eastAsia" w:ascii="宋体" w:hAnsi="宋体" w:cs="宋体"/>
          <w:bCs/>
          <w:kern w:val="0"/>
          <w:sz w:val="28"/>
          <w:szCs w:val="28"/>
          <w:highlight w:val="none"/>
        </w:rPr>
        <w:t>，</w:t>
      </w:r>
      <w:r>
        <w:rPr>
          <w:rFonts w:hint="eastAsia" w:ascii="宋体" w:hAnsi="宋体" w:cs="宋体"/>
          <w:bCs/>
          <w:kern w:val="0"/>
          <w:sz w:val="28"/>
          <w:szCs w:val="28"/>
          <w:lang w:eastAsia="zh-CN"/>
        </w:rPr>
        <w:t>房屋所有权证号</w:t>
      </w:r>
      <w:r>
        <w:rPr>
          <w:rFonts w:hint="eastAsia" w:ascii="宋体" w:hAnsi="宋体" w:cs="宋体"/>
          <w:bCs/>
          <w:kern w:val="0"/>
          <w:sz w:val="28"/>
          <w:szCs w:val="28"/>
        </w:rPr>
        <w:t>：</w:t>
      </w:r>
      <w:r>
        <w:rPr>
          <w:rFonts w:hint="eastAsia" w:ascii="宋体" w:hAnsi="宋体" w:cs="宋体"/>
          <w:bCs/>
          <w:kern w:val="0"/>
          <w:sz w:val="28"/>
          <w:szCs w:val="28"/>
          <w:lang w:eastAsia="zh-CN"/>
        </w:rPr>
        <w:t>鲁（2020）潍坊市坊子区不动产权第0042933号</w:t>
      </w:r>
      <w:r>
        <w:rPr>
          <w:rFonts w:hint="eastAsia" w:ascii="宋体" w:hAnsi="宋体" w:cs="宋体"/>
          <w:bCs/>
          <w:kern w:val="0"/>
          <w:sz w:val="28"/>
          <w:szCs w:val="28"/>
        </w:rPr>
        <w:t>。</w:t>
      </w:r>
    </w:p>
    <w:p>
      <w:pPr>
        <w:adjustRightInd w:val="0"/>
        <w:snapToGrid w:val="0"/>
        <w:spacing w:line="490" w:lineRule="exact"/>
        <w:ind w:left="701" w:leftChars="267" w:hanging="140" w:hangingChars="50"/>
        <w:rPr>
          <w:rFonts w:ascii="宋体" w:hAnsi="宋体" w:cs="宋体"/>
          <w:bCs/>
          <w:kern w:val="0"/>
          <w:sz w:val="28"/>
          <w:szCs w:val="28"/>
        </w:rPr>
      </w:pPr>
      <w:r>
        <w:rPr>
          <w:rFonts w:hint="eastAsia" w:ascii="宋体" w:hAnsi="宋体" w:cs="宋体"/>
          <w:bCs/>
          <w:kern w:val="0"/>
          <w:sz w:val="28"/>
          <w:szCs w:val="28"/>
        </w:rPr>
        <w:t>3、区位状况</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（1）位置状况</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坐落：</w:t>
      </w:r>
      <w:r>
        <w:rPr>
          <w:rFonts w:hint="eastAsia" w:ascii="宋体" w:cs="宋体"/>
          <w:kern w:val="0"/>
          <w:sz w:val="28"/>
          <w:szCs w:val="28"/>
          <w:lang w:val="zh-CN"/>
        </w:rPr>
        <w:t>潍坊市坊子区北海路以东天润凤凰城</w:t>
      </w:r>
      <w:r>
        <w:rPr>
          <w:rFonts w:hint="eastAsia" w:ascii="宋体" w:hAnsi="宋体" w:cs="宋体"/>
          <w:kern w:val="0"/>
          <w:sz w:val="28"/>
          <w:szCs w:val="28"/>
        </w:rPr>
        <w:t>；</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与重要场所距离：距坊子区实验学校约900米，距潍坊坊子凤和医院约650米，距坊子泰华城约500米；</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3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③</w:t>
      </w:r>
      <w:r>
        <w:rPr>
          <w:rFonts w:ascii="宋体" w:hAnsi="宋体" w:cs="宋体"/>
          <w:kern w:val="0"/>
          <w:sz w:val="28"/>
          <w:szCs w:val="28"/>
        </w:rPr>
        <w:fldChar w:fldCharType="end"/>
      </w:r>
      <w:r>
        <w:rPr>
          <w:rFonts w:hint="eastAsia" w:ascii="宋体" w:hAnsi="宋体" w:cs="宋体"/>
          <w:kern w:val="0"/>
          <w:sz w:val="28"/>
          <w:szCs w:val="28"/>
        </w:rPr>
        <w:t>临街状况：</w:t>
      </w:r>
      <w:r>
        <w:rPr>
          <w:rFonts w:hint="eastAsia" w:ascii="宋体" w:hAnsi="宋体" w:cs="宋体"/>
          <w:kern w:val="0"/>
          <w:sz w:val="28"/>
          <w:szCs w:val="28"/>
          <w:lang w:eastAsia="zh-CN"/>
        </w:rPr>
        <w:t>西临北海路，北临凤中街</w:t>
      </w:r>
      <w:r>
        <w:rPr>
          <w:rFonts w:hint="eastAsia" w:ascii="宋体" w:hAnsi="宋体" w:cs="宋体"/>
          <w:kern w:val="0"/>
          <w:sz w:val="28"/>
          <w:szCs w:val="28"/>
        </w:rPr>
        <w:t>；</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（2）交通状况</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道路状况：估价对象</w:t>
      </w:r>
      <w:r>
        <w:rPr>
          <w:rFonts w:hint="eastAsia" w:ascii="宋体" w:hAnsi="宋体" w:cs="宋体"/>
          <w:kern w:val="0"/>
          <w:sz w:val="28"/>
          <w:szCs w:val="28"/>
          <w:lang w:eastAsia="zh-CN"/>
        </w:rPr>
        <w:t>西临北海路，北临凤中街</w:t>
      </w:r>
      <w:r>
        <w:rPr>
          <w:rFonts w:hint="eastAsia" w:ascii="宋体" w:hAnsi="宋体" w:cs="宋体"/>
          <w:kern w:val="0"/>
          <w:sz w:val="28"/>
          <w:szCs w:val="28"/>
        </w:rPr>
        <w:t>，出行较方便。</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出入可利用交通工具：周边有公交车站点，交通较便捷。</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3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③</w:t>
      </w:r>
      <w:r>
        <w:rPr>
          <w:rFonts w:ascii="宋体" w:hAnsi="宋体" w:cs="宋体"/>
          <w:kern w:val="0"/>
          <w:sz w:val="28"/>
          <w:szCs w:val="28"/>
        </w:rPr>
        <w:fldChar w:fldCharType="end"/>
      </w:r>
      <w:r>
        <w:rPr>
          <w:rFonts w:hint="eastAsia" w:ascii="宋体" w:hAnsi="宋体" w:cs="宋体"/>
          <w:kern w:val="0"/>
          <w:sz w:val="28"/>
          <w:szCs w:val="28"/>
        </w:rPr>
        <w:t>交通管制情况：无交通管制。</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4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④</w:t>
      </w:r>
      <w:r>
        <w:rPr>
          <w:rFonts w:ascii="宋体" w:hAnsi="宋体" w:cs="宋体"/>
          <w:kern w:val="0"/>
          <w:sz w:val="28"/>
          <w:szCs w:val="28"/>
        </w:rPr>
        <w:fldChar w:fldCharType="end"/>
      </w:r>
      <w:r>
        <w:rPr>
          <w:rFonts w:hint="eastAsia" w:ascii="宋体" w:hAnsi="宋体" w:cs="宋体"/>
          <w:kern w:val="0"/>
          <w:sz w:val="28"/>
          <w:szCs w:val="28"/>
        </w:rPr>
        <w:t>停车方便程度：能基本满足使用需要。</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（3）环境状况</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自然环境：周边自然环境一般。</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人文环境：人文环境一般。</w:t>
      </w:r>
    </w:p>
    <w:p>
      <w:pPr>
        <w:adjustRightInd w:val="0"/>
        <w:snapToGrid w:val="0"/>
        <w:spacing w:line="490" w:lineRule="exact"/>
        <w:ind w:firstLine="560" w:firstLineChars="200"/>
        <w:rPr>
          <w:rFonts w:ascii="宋体" w:hAnsi="宋体" w:cs="宋体"/>
          <w:kern w:val="0"/>
          <w:sz w:val="28"/>
          <w:szCs w:val="28"/>
        </w:rPr>
      </w:pPr>
      <w:r>
        <w:rPr>
          <w:rFonts w:hint="eastAsia" w:ascii="宋体" w:hAnsi="宋体" w:cs="宋体"/>
          <w:kern w:val="0"/>
          <w:sz w:val="28"/>
          <w:szCs w:val="28"/>
        </w:rPr>
        <w:t>（4）外部配套设施状况</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基础设施：估价对象宗地红线外“七通一平”（即通路、供电、通讯、供水、排水、供气、供热及场地平整），基础设施完善。</w:t>
      </w:r>
    </w:p>
    <w:p>
      <w:pPr>
        <w:adjustRightInd w:val="0"/>
        <w:snapToGrid w:val="0"/>
        <w:spacing w:line="490" w:lineRule="exact"/>
        <w:ind w:firstLine="560" w:firstLineChars="200"/>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公共服务设施：附近学校、医院、超市等各种配套设施完善。</w:t>
      </w:r>
    </w:p>
    <w:p>
      <w:pPr>
        <w:spacing w:line="490" w:lineRule="exact"/>
        <w:rPr>
          <w:rFonts w:ascii="宋体" w:hAnsi="宋体" w:cs="宋体"/>
          <w:kern w:val="0"/>
          <w:sz w:val="28"/>
          <w:szCs w:val="28"/>
        </w:rPr>
      </w:pPr>
      <w:r>
        <w:rPr>
          <w:rFonts w:hint="eastAsia" w:ascii="宋体" w:hAnsi="宋体" w:cs="宋体"/>
          <w:b/>
          <w:kern w:val="0"/>
          <w:sz w:val="28"/>
          <w:szCs w:val="28"/>
        </w:rPr>
        <w:t>四、估价目的：</w:t>
      </w:r>
      <w:r>
        <w:rPr>
          <w:rFonts w:hint="eastAsia" w:ascii="宋体" w:hAnsi="宋体" w:cs="宋体"/>
          <w:kern w:val="0"/>
          <w:sz w:val="28"/>
          <w:szCs w:val="28"/>
        </w:rPr>
        <w:t>为</w:t>
      </w:r>
      <w:r>
        <w:rPr>
          <w:rFonts w:hint="eastAsia"/>
          <w:kern w:val="0"/>
          <w:sz w:val="28"/>
          <w:szCs w:val="28"/>
        </w:rPr>
        <w:t>人民法院确定财产处置参考价提供参考依据</w:t>
      </w:r>
      <w:r>
        <w:rPr>
          <w:rFonts w:hint="eastAsia" w:ascii="宋体" w:hAnsi="宋体" w:cs="宋体"/>
          <w:kern w:val="0"/>
          <w:sz w:val="28"/>
          <w:szCs w:val="28"/>
        </w:rPr>
        <w:t>。</w:t>
      </w:r>
    </w:p>
    <w:p>
      <w:pPr>
        <w:pStyle w:val="12"/>
        <w:spacing w:after="0" w:line="490" w:lineRule="exact"/>
        <w:rPr>
          <w:rFonts w:ascii="宋体" w:hAnsi="宋体" w:cs="宋体"/>
          <w:kern w:val="0"/>
          <w:sz w:val="28"/>
          <w:szCs w:val="28"/>
        </w:rPr>
      </w:pPr>
      <w:r>
        <w:rPr>
          <w:rFonts w:hint="eastAsia" w:ascii="宋体" w:hAnsi="宋体" w:cs="宋体"/>
          <w:b/>
          <w:kern w:val="0"/>
          <w:sz w:val="28"/>
          <w:szCs w:val="28"/>
        </w:rPr>
        <w:t>五、价值时点：</w:t>
      </w:r>
      <w:r>
        <w:rPr>
          <w:rFonts w:hint="eastAsia" w:ascii="宋体" w:hAnsi="宋体" w:cs="宋体"/>
          <w:kern w:val="0"/>
          <w:sz w:val="28"/>
          <w:szCs w:val="28"/>
          <w:lang w:eastAsia="zh-CN"/>
        </w:rPr>
        <w:t>2022年11月09日</w:t>
      </w:r>
      <w:r>
        <w:rPr>
          <w:rFonts w:hint="eastAsia" w:ascii="宋体" w:hAnsi="宋体" w:cs="宋体"/>
          <w:kern w:val="0"/>
          <w:sz w:val="28"/>
          <w:szCs w:val="28"/>
        </w:rPr>
        <w:t>，价值时点是估价对象实地查勘之日。</w:t>
      </w:r>
    </w:p>
    <w:p>
      <w:pPr>
        <w:spacing w:line="490" w:lineRule="exact"/>
        <w:rPr>
          <w:rFonts w:ascii="宋体" w:hAnsi="宋体" w:cs="宋体"/>
          <w:b/>
          <w:kern w:val="0"/>
          <w:sz w:val="28"/>
          <w:szCs w:val="28"/>
        </w:rPr>
      </w:pPr>
      <w:r>
        <w:rPr>
          <w:rFonts w:hint="eastAsia" w:ascii="宋体" w:hAnsi="宋体" w:cs="宋体"/>
          <w:b/>
          <w:kern w:val="0"/>
          <w:sz w:val="28"/>
          <w:szCs w:val="28"/>
        </w:rPr>
        <w:t>六、价值类型</w:t>
      </w:r>
    </w:p>
    <w:p>
      <w:pPr>
        <w:spacing w:line="490" w:lineRule="exact"/>
        <w:ind w:firstLine="555"/>
        <w:rPr>
          <w:rFonts w:ascii="宋体" w:hAnsi="宋体"/>
          <w:kern w:val="0"/>
          <w:sz w:val="28"/>
        </w:rPr>
      </w:pPr>
      <w:r>
        <w:rPr>
          <w:rFonts w:hint="eastAsia" w:ascii="宋体" w:hAnsi="宋体"/>
          <w:kern w:val="0"/>
          <w:sz w:val="28"/>
        </w:rPr>
        <w:t>1、价值类型</w:t>
      </w:r>
    </w:p>
    <w:p>
      <w:pPr>
        <w:spacing w:line="490" w:lineRule="exact"/>
        <w:ind w:firstLine="560" w:firstLineChars="200"/>
        <w:rPr>
          <w:rFonts w:ascii="宋体" w:hAnsi="宋体"/>
          <w:kern w:val="0"/>
          <w:sz w:val="28"/>
        </w:rPr>
      </w:pPr>
      <w:r>
        <w:rPr>
          <w:rFonts w:hint="eastAsia" w:ascii="宋体" w:hAnsi="宋体"/>
          <w:kern w:val="0"/>
          <w:sz w:val="28"/>
        </w:rPr>
        <w:t>根据估价目的，本报告所采用的价值标准为房地产市场价值。</w:t>
      </w:r>
    </w:p>
    <w:p>
      <w:pPr>
        <w:spacing w:line="490" w:lineRule="exact"/>
        <w:ind w:firstLine="555"/>
        <w:rPr>
          <w:rFonts w:ascii="宋体" w:hAnsi="宋体"/>
          <w:kern w:val="0"/>
          <w:sz w:val="28"/>
        </w:rPr>
      </w:pPr>
      <w:r>
        <w:rPr>
          <w:rFonts w:hint="eastAsia" w:ascii="宋体" w:hAnsi="宋体"/>
          <w:kern w:val="0"/>
          <w:sz w:val="28"/>
        </w:rPr>
        <w:t>2、价值类型定义</w:t>
      </w:r>
    </w:p>
    <w:p>
      <w:pPr>
        <w:spacing w:line="490" w:lineRule="exact"/>
        <w:ind w:firstLine="555"/>
        <w:rPr>
          <w:rFonts w:ascii="宋体" w:hAnsi="宋体"/>
          <w:kern w:val="0"/>
          <w:sz w:val="28"/>
        </w:rPr>
      </w:pPr>
      <w:r>
        <w:rPr>
          <w:rFonts w:hint="eastAsia" w:ascii="宋体" w:hAnsi="宋体"/>
          <w:kern w:val="0"/>
          <w:sz w:val="28"/>
          <w:szCs w:val="28"/>
        </w:rPr>
        <w:t>市场价值，是估价对象经适当营销后，由熟悉情况、谨慎行事且不受强迫的交易双方，以公平交易方式在价值时点自愿进行交易的金额</w:t>
      </w:r>
      <w:r>
        <w:rPr>
          <w:rFonts w:ascii="宋体" w:hAnsi="宋体"/>
          <w:kern w:val="0"/>
          <w:sz w:val="28"/>
        </w:rPr>
        <w:t>。</w:t>
      </w:r>
    </w:p>
    <w:p>
      <w:pPr>
        <w:spacing w:line="490" w:lineRule="exact"/>
        <w:ind w:firstLine="555"/>
        <w:rPr>
          <w:rFonts w:ascii="宋体" w:hAnsi="宋体"/>
          <w:kern w:val="0"/>
          <w:sz w:val="28"/>
        </w:rPr>
      </w:pPr>
      <w:r>
        <w:rPr>
          <w:rFonts w:hint="eastAsia" w:ascii="宋体" w:hAnsi="宋体"/>
          <w:kern w:val="0"/>
          <w:sz w:val="28"/>
        </w:rPr>
        <w:t>3、价值内涵</w:t>
      </w:r>
    </w:p>
    <w:p>
      <w:pPr>
        <w:spacing w:line="490" w:lineRule="exact"/>
        <w:ind w:firstLine="555"/>
        <w:rPr>
          <w:rFonts w:ascii="宋体" w:hAnsi="宋体"/>
          <w:kern w:val="0"/>
          <w:sz w:val="28"/>
        </w:rPr>
      </w:pPr>
      <w:r>
        <w:rPr>
          <w:rFonts w:hint="eastAsia" w:ascii="宋体" w:hAnsi="宋体"/>
          <w:kern w:val="0"/>
          <w:sz w:val="28"/>
        </w:rPr>
        <w:t>估价采用公开市场价值标准，即所评估出的客观合理价格应是在公开市场上最可能形成或成立的价格</w:t>
      </w:r>
      <w:r>
        <w:rPr>
          <w:rFonts w:ascii="宋体" w:hAnsi="宋体"/>
          <w:kern w:val="0"/>
          <w:sz w:val="28"/>
        </w:rPr>
        <w:t>。</w:t>
      </w:r>
    </w:p>
    <w:p>
      <w:pPr>
        <w:spacing w:line="490" w:lineRule="exact"/>
        <w:ind w:firstLine="555"/>
        <w:rPr>
          <w:rFonts w:ascii="宋体" w:hAnsi="宋体"/>
          <w:kern w:val="0"/>
          <w:sz w:val="28"/>
        </w:rPr>
      </w:pPr>
      <w:r>
        <w:rPr>
          <w:rFonts w:hint="eastAsia" w:ascii="宋体" w:hAnsi="宋体"/>
          <w:kern w:val="0"/>
          <w:sz w:val="28"/>
        </w:rPr>
        <w:t>本报告中估价对象价格对应的是于价值时点</w:t>
      </w:r>
      <w:r>
        <w:rPr>
          <w:rFonts w:hint="eastAsia" w:ascii="宋体" w:hAnsi="宋体"/>
          <w:kern w:val="0"/>
          <w:sz w:val="28"/>
          <w:lang w:eastAsia="zh-CN"/>
        </w:rPr>
        <w:t>2022年11月09日</w:t>
      </w:r>
      <w:r>
        <w:rPr>
          <w:rFonts w:hint="eastAsia" w:ascii="宋体" w:hAnsi="宋体"/>
          <w:kern w:val="0"/>
          <w:sz w:val="28"/>
        </w:rPr>
        <w:t>，</w:t>
      </w:r>
      <w:r>
        <w:rPr>
          <w:rFonts w:hint="eastAsia" w:ascii="宋体" w:cs="宋体"/>
          <w:kern w:val="0"/>
          <w:sz w:val="28"/>
          <w:szCs w:val="28"/>
          <w:lang w:val="zh-CN"/>
        </w:rPr>
        <w:t>潍坊市坊子区北海路以东天润凤凰城综合楼907室</w:t>
      </w:r>
      <w:r>
        <w:rPr>
          <w:rFonts w:hint="eastAsia" w:ascii="宋体" w:hAnsi="宋体"/>
          <w:kern w:val="0"/>
          <w:sz w:val="28"/>
        </w:rPr>
        <w:t>的房屋所有权及相应分摊在一定使用年期内的土地使用权（不包含室内动产、债权债务、特许经营权等其他财产或权益，含室内装修）的价值。</w:t>
      </w:r>
    </w:p>
    <w:p>
      <w:pPr>
        <w:spacing w:line="490" w:lineRule="exact"/>
        <w:rPr>
          <w:rFonts w:ascii="宋体" w:hAnsi="宋体" w:cs="宋体"/>
          <w:b/>
          <w:kern w:val="0"/>
          <w:sz w:val="28"/>
          <w:szCs w:val="28"/>
        </w:rPr>
      </w:pPr>
      <w:r>
        <w:rPr>
          <w:rFonts w:hint="eastAsia" w:ascii="宋体" w:hAnsi="宋体" w:cs="宋体"/>
          <w:b/>
          <w:kern w:val="0"/>
          <w:sz w:val="28"/>
          <w:szCs w:val="28"/>
        </w:rPr>
        <w:t>七、估价依据：</w:t>
      </w:r>
    </w:p>
    <w:p>
      <w:pPr>
        <w:pStyle w:val="16"/>
        <w:spacing w:after="0" w:line="490" w:lineRule="exact"/>
        <w:ind w:left="0" w:leftChars="0" w:firstLine="560" w:firstLineChars="200"/>
        <w:rPr>
          <w:rFonts w:ascii="宋体" w:hAnsi="宋体" w:cs="宋体"/>
          <w:kern w:val="0"/>
          <w:sz w:val="28"/>
          <w:szCs w:val="28"/>
        </w:rPr>
      </w:pPr>
      <w:r>
        <w:rPr>
          <w:rFonts w:hint="eastAsia" w:ascii="宋体" w:hAnsi="宋体" w:cs="宋体"/>
          <w:kern w:val="0"/>
          <w:sz w:val="28"/>
          <w:szCs w:val="28"/>
        </w:rPr>
        <w:t>本次评估根据国务院、住建部、自然资源和规划局、山东省人民政府及地方有关部门颁布的法律规章和有关政策性文件以及评估房地产的具体资料，主要有：</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1、国家有关法律法规、政策文件：</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（1）《中华人民共和国土地管理法》（第十三届全国人大常委会第十二次会议通过，2020年1月1日起施行）；</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（2）《中华人民共和国城市房地产管理法》（第十三届全国人大常委会第十二次会议通过，2020年1月1日起施行）；</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（3）《中华人民共和国民法典》（2020年5月28日十三届全国人大三次会议表决通过，自2021年1月1日起施行）；</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4）《中华人民共和国城乡规划法》（中华人民共和国主席令第二十九号，根据2019年4月23日第十三届全国人民代表大会常务委员会第十次会议《关于修改〈中华人民共和国建筑法〉等八部法律的决定》第二次修正）。</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（5）《中华人民共和国土地管理法实施条例》（国务院令第743号国务院第132次常务会议修订通过，自2021年9月1日起施行）</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（6）《城市房地产开发经营管理条例》（国务院令726号  2020年3月27日修正版）；</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（7）《拍卖管理办法》（2019年第二次修改）；</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（8）《中华人民共和国资产评估法》（中华人民共和国主席令第四十六号2016年12月1日起实施）；</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（9）最高人民法院关于人民法院民事执行中拍卖、变卖财产的规定 2004年10月26日，法释（2004）16号；</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（10）最高人民法院关于人民法院委托评估、拍卖和变卖工作的若干规定 2009年8月24日，法释（2009）16号；</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（11）最高人民法院关于人民法院网络司法拍卖若干问题的规定 法释（2016）18号，自2017年1月1日起执行；</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（12）最高人民法院关于人民法院确定财产处置参考价若干问题的规定 法释（2018）15号，自2018年9月1日起执行；</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（13）人民法院委托评估工作规范 法办〔2018〕273号；</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（14）《涉执房地产处置司法评估指导意见（试行）》（2021年9月1日起施行）；</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（15）最高人民法院关于人民法院民事执行中查封、扣押、冻结财产的规定（2004年10月26日通过，2005年1月1日起执行）；</w:t>
      </w:r>
    </w:p>
    <w:p>
      <w:pPr>
        <w:spacing w:line="49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（16）其他法律规定、政策性文件等。</w:t>
      </w:r>
    </w:p>
    <w:p>
      <w:pPr>
        <w:spacing w:line="490" w:lineRule="exact"/>
        <w:ind w:firstLine="560" w:firstLineChars="200"/>
        <w:rPr>
          <w:rFonts w:ascii="宋体" w:hAnsi="宋体"/>
          <w:kern w:val="0"/>
          <w:sz w:val="28"/>
          <w:szCs w:val="28"/>
        </w:rPr>
      </w:pPr>
      <w:r>
        <w:rPr>
          <w:rFonts w:hint="eastAsia" w:ascii="宋体" w:hAnsi="宋体"/>
          <w:kern w:val="0"/>
          <w:sz w:val="28"/>
          <w:szCs w:val="28"/>
        </w:rPr>
        <w:t>2、技术规程及有关技术文件</w:t>
      </w:r>
    </w:p>
    <w:p>
      <w:pPr>
        <w:spacing w:line="490" w:lineRule="exact"/>
        <w:ind w:firstLine="560" w:firstLineChars="200"/>
        <w:rPr>
          <w:rFonts w:hint="eastAsia" w:ascii="宋体" w:hAnsi="宋体"/>
          <w:kern w:val="0"/>
          <w:sz w:val="28"/>
          <w:szCs w:val="28"/>
        </w:rPr>
      </w:pPr>
      <w:r>
        <w:rPr>
          <w:rFonts w:hint="eastAsia" w:ascii="宋体" w:hAnsi="宋体"/>
          <w:kern w:val="0"/>
          <w:sz w:val="28"/>
          <w:szCs w:val="28"/>
        </w:rPr>
        <w:t>（1）《房地产估价规范》（GB/T 50291-2015）（2015年12月1日实施）</w:t>
      </w:r>
    </w:p>
    <w:p>
      <w:pPr>
        <w:spacing w:line="490" w:lineRule="exact"/>
        <w:ind w:firstLine="560" w:firstLineChars="200"/>
        <w:rPr>
          <w:rFonts w:hint="eastAsia" w:ascii="宋体" w:hAnsi="宋体"/>
          <w:kern w:val="0"/>
          <w:sz w:val="28"/>
          <w:szCs w:val="28"/>
        </w:rPr>
      </w:pPr>
      <w:r>
        <w:rPr>
          <w:rFonts w:hint="eastAsia" w:ascii="宋体" w:hAnsi="宋体"/>
          <w:kern w:val="0"/>
          <w:sz w:val="28"/>
          <w:szCs w:val="28"/>
        </w:rPr>
        <w:t>（2）《房地产估价基本术语标准》（GB/T 50899-2013）（2014年2月1日实施）</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3、委托方提供的资料：</w:t>
      </w:r>
    </w:p>
    <w:p>
      <w:pPr>
        <w:spacing w:line="490" w:lineRule="exact"/>
        <w:ind w:left="566" w:leftChars="267" w:hanging="5" w:hangingChars="2"/>
        <w:rPr>
          <w:rFonts w:hint="eastAsia" w:ascii="宋体" w:hAnsi="宋体" w:cs="宋体"/>
          <w:kern w:val="0"/>
          <w:sz w:val="28"/>
          <w:szCs w:val="28"/>
          <w:highlight w:val="yellow"/>
          <w:lang w:val="en-US" w:eastAsia="zh-CN"/>
        </w:rPr>
      </w:pPr>
      <w:r>
        <w:rPr>
          <w:rFonts w:hint="eastAsia" w:ascii="宋体" w:hAnsi="宋体"/>
          <w:kern w:val="0"/>
          <w:sz w:val="28"/>
          <w:szCs w:val="28"/>
        </w:rPr>
        <w:t>（1）</w:t>
      </w:r>
      <w:r>
        <w:rPr>
          <w:rFonts w:hint="eastAsia" w:ascii="宋体" w:hAnsi="宋体"/>
          <w:kern w:val="0"/>
          <w:sz w:val="28"/>
          <w:szCs w:val="28"/>
          <w:highlight w:val="none"/>
          <w:lang w:val="en-US" w:eastAsia="zh-CN"/>
        </w:rPr>
        <w:t>查档证明</w:t>
      </w:r>
    </w:p>
    <w:p>
      <w:pPr>
        <w:spacing w:line="490" w:lineRule="exact"/>
        <w:ind w:left="566" w:leftChars="267" w:hanging="5" w:hangingChars="2"/>
        <w:rPr>
          <w:rFonts w:hint="eastAsia" w:ascii="宋体" w:hAnsi="宋体" w:eastAsia="宋体"/>
          <w:kern w:val="0"/>
          <w:sz w:val="28"/>
          <w:szCs w:val="28"/>
          <w:lang w:eastAsia="zh-CN"/>
        </w:rPr>
      </w:pPr>
      <w:r>
        <w:rPr>
          <w:rFonts w:hint="eastAsia" w:ascii="宋体" w:hAnsi="宋体"/>
          <w:kern w:val="0"/>
          <w:sz w:val="28"/>
          <w:szCs w:val="28"/>
        </w:rPr>
        <w:t>（2）</w:t>
      </w:r>
      <w:r>
        <w:rPr>
          <w:rFonts w:hint="eastAsia" w:ascii="宋体" w:hAnsi="宋体"/>
          <w:kern w:val="0"/>
          <w:sz w:val="28"/>
          <w:szCs w:val="28"/>
          <w:lang w:eastAsia="zh-CN"/>
        </w:rPr>
        <w:t>潍坊市潍城区人民法院委托书（2022）鲁0702执663号</w:t>
      </w:r>
    </w:p>
    <w:p>
      <w:pPr>
        <w:spacing w:line="490" w:lineRule="exact"/>
        <w:ind w:left="566" w:leftChars="267" w:hanging="5" w:hangingChars="2"/>
        <w:rPr>
          <w:rFonts w:ascii="宋体" w:hAnsi="宋体" w:cs="宋体"/>
          <w:kern w:val="0"/>
          <w:sz w:val="28"/>
          <w:szCs w:val="28"/>
        </w:rPr>
      </w:pPr>
      <w:r>
        <w:rPr>
          <w:rFonts w:hint="eastAsia" w:ascii="宋体" w:hAnsi="宋体" w:cs="宋体"/>
          <w:kern w:val="0"/>
          <w:sz w:val="28"/>
          <w:szCs w:val="28"/>
        </w:rPr>
        <w:t>4、估价人员实地查勘、调查收集的资料</w:t>
      </w:r>
    </w:p>
    <w:p>
      <w:pPr>
        <w:spacing w:line="490" w:lineRule="exact"/>
        <w:ind w:left="566" w:leftChars="267" w:hanging="5" w:hangingChars="2"/>
        <w:rPr>
          <w:rFonts w:ascii="宋体" w:hAnsi="宋体" w:cs="宋体"/>
          <w:kern w:val="0"/>
          <w:sz w:val="28"/>
          <w:szCs w:val="28"/>
        </w:rPr>
      </w:pPr>
      <w:r>
        <w:rPr>
          <w:rFonts w:hint="eastAsia" w:ascii="宋体" w:hAnsi="宋体" w:cs="宋体"/>
          <w:kern w:val="0"/>
          <w:sz w:val="28"/>
          <w:szCs w:val="28"/>
        </w:rPr>
        <w:t>5、估价机构和估价人员市场调查、收集掌握的资料</w:t>
      </w:r>
    </w:p>
    <w:p>
      <w:pPr>
        <w:spacing w:line="490" w:lineRule="exact"/>
        <w:rPr>
          <w:rFonts w:ascii="宋体" w:hAnsi="宋体" w:cs="宋体"/>
          <w:b/>
          <w:kern w:val="0"/>
          <w:sz w:val="28"/>
          <w:szCs w:val="28"/>
        </w:rPr>
      </w:pPr>
      <w:r>
        <w:rPr>
          <w:rFonts w:hint="eastAsia" w:ascii="宋体" w:hAnsi="宋体" w:cs="宋体"/>
          <w:b/>
          <w:kern w:val="0"/>
          <w:sz w:val="28"/>
          <w:szCs w:val="28"/>
        </w:rPr>
        <w:t>八、估价原则：</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此次估价在独立性、客观性、科学性的工作原则及房地产估价合法原则、价值时点等经济性原则指导下进行，主要遵循如下操作性原则进行评估：</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1、合法原则：</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2、最高最佳利用原则：</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所谓最高最佳利用是估价对象一种最可能的使用，这种最可能的使用是法律上允许，技术上可能，财务上可行，经过充分合理的论证，并能给予估价对象带来最高价值的使用。</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3、替代性原则：</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样遵循替代规律，受其它具有相同使用价值的房地产价格所牵制，即同一供需圈中某宗房地产的价格，必然会受到同类型具有替代关系的其他房地产价格的影响和竞争，使价格相互牵制而趋于一致；</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4、价值时点原则：</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5、独立、客观、公正原则：</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要求房地产估价师必须站在中立的立场上，遵循房地产价格形成理论及运动规律，并运用科学方法，实事求是地评估出对各方当事人来说均是公平合理的价格。</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6、供求原则：</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供求竞争原则是指进行房地产估价，必须充分考虑当地同类房地产的市场供求实际情况和可能导致供求关系变化的诸因素而推断其价格。</w:t>
      </w:r>
    </w:p>
    <w:p>
      <w:pPr>
        <w:pStyle w:val="13"/>
        <w:spacing w:after="0" w:line="490" w:lineRule="exact"/>
        <w:ind w:left="0" w:leftChars="0"/>
        <w:rPr>
          <w:rFonts w:ascii="宋体" w:hAnsi="宋体" w:cs="宋体"/>
          <w:b/>
          <w:kern w:val="0"/>
          <w:sz w:val="28"/>
          <w:szCs w:val="28"/>
        </w:rPr>
      </w:pPr>
      <w:r>
        <w:rPr>
          <w:rFonts w:hint="eastAsia" w:ascii="宋体" w:hAnsi="宋体" w:cs="宋体"/>
          <w:b/>
          <w:kern w:val="0"/>
          <w:sz w:val="28"/>
          <w:szCs w:val="28"/>
        </w:rPr>
        <w:t>九、估价方法及技术思路：</w:t>
      </w:r>
    </w:p>
    <w:p>
      <w:pPr>
        <w:pStyle w:val="34"/>
        <w:spacing w:line="490" w:lineRule="exact"/>
        <w:ind w:left="0" w:firstLine="560" w:firstLineChars="200"/>
        <w:rPr>
          <w:rFonts w:ascii="宋体" w:hAnsi="宋体" w:eastAsia="宋体"/>
          <w:kern w:val="0"/>
          <w:sz w:val="28"/>
          <w:szCs w:val="28"/>
        </w:rPr>
      </w:pPr>
      <w:r>
        <w:rPr>
          <w:rFonts w:hint="eastAsia" w:ascii="宋体" w:hAnsi="宋体" w:eastAsia="宋体"/>
          <w:kern w:val="0"/>
          <w:sz w:val="28"/>
          <w:szCs w:val="28"/>
        </w:rPr>
        <w:t>根据《房地产估价规范》（BG/T 50291-2015），房地产评估常用方法有比较法、收益法、成本法及假设开发法，每种估价方法都有其适用的估价对象和估价需要具备的条件。</w:t>
      </w:r>
    </w:p>
    <w:p>
      <w:pPr>
        <w:pStyle w:val="34"/>
        <w:spacing w:line="490" w:lineRule="exact"/>
        <w:ind w:left="0" w:firstLine="560" w:firstLineChars="200"/>
        <w:rPr>
          <w:rFonts w:ascii="宋体" w:hAnsi="宋体" w:eastAsia="宋体"/>
          <w:kern w:val="0"/>
          <w:sz w:val="28"/>
          <w:szCs w:val="28"/>
        </w:rPr>
      </w:pPr>
      <w:r>
        <w:rPr>
          <w:rFonts w:hint="eastAsia" w:ascii="宋体" w:hAnsi="宋体" w:eastAsia="宋体"/>
          <w:kern w:val="0"/>
          <w:sz w:val="28"/>
          <w:szCs w:val="28"/>
        </w:rPr>
        <w:t>比较法适用于市场发达、交易活跃、有充足的具有替代性房地产的评估；</w:t>
      </w:r>
    </w:p>
    <w:p>
      <w:pPr>
        <w:pStyle w:val="34"/>
        <w:spacing w:line="490" w:lineRule="exact"/>
        <w:ind w:left="0" w:firstLine="560" w:firstLineChars="200"/>
        <w:rPr>
          <w:rFonts w:ascii="宋体" w:hAnsi="宋体" w:eastAsia="宋体"/>
          <w:kern w:val="0"/>
          <w:sz w:val="28"/>
          <w:szCs w:val="28"/>
        </w:rPr>
      </w:pPr>
      <w:r>
        <w:rPr>
          <w:rFonts w:hint="eastAsia" w:ascii="宋体" w:hAnsi="宋体" w:eastAsia="宋体"/>
          <w:kern w:val="0"/>
          <w:sz w:val="28"/>
          <w:szCs w:val="28"/>
        </w:rPr>
        <w:t>收益法适用于有现实收益或潜在收益的房地产评估；</w:t>
      </w:r>
    </w:p>
    <w:p>
      <w:pPr>
        <w:pStyle w:val="34"/>
        <w:spacing w:line="490" w:lineRule="exact"/>
        <w:ind w:left="0" w:firstLine="560" w:firstLineChars="200"/>
        <w:rPr>
          <w:rFonts w:ascii="宋体" w:hAnsi="宋体" w:eastAsia="宋体"/>
          <w:kern w:val="0"/>
          <w:sz w:val="28"/>
          <w:szCs w:val="28"/>
        </w:rPr>
      </w:pPr>
      <w:r>
        <w:rPr>
          <w:rFonts w:hint="eastAsia" w:ascii="宋体" w:hAnsi="宋体" w:eastAsia="宋体"/>
          <w:kern w:val="0"/>
          <w:sz w:val="28"/>
          <w:szCs w:val="28"/>
        </w:rPr>
        <w:t>假设开发法适用于具有投资开发或有开发潜力的房地产评估；</w:t>
      </w:r>
    </w:p>
    <w:p>
      <w:pPr>
        <w:pStyle w:val="34"/>
        <w:spacing w:line="490" w:lineRule="exact"/>
        <w:ind w:left="0" w:firstLine="560" w:firstLineChars="200"/>
        <w:rPr>
          <w:rFonts w:ascii="宋体" w:hAnsi="宋体" w:eastAsia="宋体"/>
          <w:kern w:val="0"/>
          <w:sz w:val="28"/>
          <w:szCs w:val="28"/>
        </w:rPr>
      </w:pPr>
      <w:r>
        <w:rPr>
          <w:rFonts w:hint="eastAsia" w:ascii="宋体" w:hAnsi="宋体" w:eastAsia="宋体"/>
          <w:kern w:val="0"/>
          <w:sz w:val="28"/>
          <w:szCs w:val="28"/>
        </w:rPr>
        <w:t>成本法适用于市场依据或市场依据不充分而不易采用比较法、收益法、假设开发法进行评估情况下的房地产评估。</w:t>
      </w:r>
    </w:p>
    <w:p>
      <w:pPr>
        <w:spacing w:line="490" w:lineRule="exact"/>
        <w:ind w:firstLine="560" w:firstLineChars="200"/>
        <w:rPr>
          <w:rFonts w:ascii="宋体" w:hAnsi="宋体"/>
          <w:kern w:val="0"/>
          <w:sz w:val="28"/>
        </w:rPr>
      </w:pPr>
      <w:r>
        <w:rPr>
          <w:rFonts w:hint="eastAsia" w:ascii="宋体" w:hAnsi="宋体"/>
          <w:kern w:val="0"/>
          <w:sz w:val="28"/>
        </w:rPr>
        <w:t>（一）本次评估方法确定理由：</w:t>
      </w:r>
    </w:p>
    <w:p>
      <w:pPr>
        <w:spacing w:line="490" w:lineRule="exact"/>
        <w:ind w:firstLine="560" w:firstLineChars="200"/>
        <w:rPr>
          <w:rFonts w:ascii="宋体" w:hAnsi="宋体"/>
          <w:kern w:val="0"/>
          <w:sz w:val="28"/>
        </w:rPr>
      </w:pPr>
      <w:r>
        <w:rPr>
          <w:rFonts w:hint="eastAsia" w:ascii="宋体" w:hAnsi="宋体"/>
          <w:kern w:val="0"/>
          <w:sz w:val="28"/>
        </w:rPr>
        <w:t>估价对象为住宅用房，建安造价等成本较易取得，但成本法不能准确反映该类用房的市场价值，故不采用；</w:t>
      </w:r>
    </w:p>
    <w:p>
      <w:pPr>
        <w:spacing w:line="490" w:lineRule="exact"/>
        <w:ind w:firstLine="560" w:firstLineChars="200"/>
        <w:rPr>
          <w:rFonts w:ascii="宋体" w:hAnsi="宋体"/>
          <w:kern w:val="0"/>
          <w:sz w:val="28"/>
        </w:rPr>
      </w:pPr>
      <w:r>
        <w:rPr>
          <w:rFonts w:hint="eastAsia" w:ascii="宋体" w:hAnsi="宋体"/>
          <w:kern w:val="0"/>
          <w:sz w:val="28"/>
        </w:rPr>
        <w:t>估价对象为住宅用房，虽可出租经营，具有潜在收益性，原则上适合收益法评估，但其稳定收益及该类房屋报酬率等不易量化，且租金水平无法客观反应该房屋的市场价值，故不采用收益法；</w:t>
      </w:r>
    </w:p>
    <w:p>
      <w:pPr>
        <w:spacing w:line="490" w:lineRule="exact"/>
        <w:ind w:firstLine="560" w:firstLineChars="200"/>
        <w:rPr>
          <w:rFonts w:ascii="宋体" w:hAnsi="宋体"/>
          <w:kern w:val="0"/>
          <w:sz w:val="28"/>
        </w:rPr>
      </w:pPr>
      <w:r>
        <w:rPr>
          <w:rFonts w:hint="eastAsia" w:ascii="宋体" w:hAnsi="宋体"/>
          <w:kern w:val="0"/>
          <w:sz w:val="28"/>
        </w:rPr>
        <w:t>该估价对象为已建成物业，现可以正常使用，无重新开发的必要，亦无重新开发的规划，故本次评估不采用假设开发法；</w:t>
      </w:r>
    </w:p>
    <w:p>
      <w:pPr>
        <w:spacing w:line="490" w:lineRule="exact"/>
        <w:ind w:firstLine="560" w:firstLineChars="200"/>
        <w:rPr>
          <w:rFonts w:ascii="宋体" w:hAnsi="宋体"/>
          <w:kern w:val="0"/>
          <w:sz w:val="28"/>
        </w:rPr>
      </w:pPr>
      <w:r>
        <w:rPr>
          <w:rFonts w:ascii="宋体" w:hAnsi="宋体"/>
          <w:kern w:val="0"/>
          <w:sz w:val="28"/>
        </w:rPr>
        <w:t>估价对象</w:t>
      </w:r>
      <w:r>
        <w:rPr>
          <w:rFonts w:hint="eastAsia" w:ascii="宋体" w:hAnsi="宋体"/>
          <w:kern w:val="0"/>
          <w:sz w:val="28"/>
        </w:rPr>
        <w:t>在</w:t>
      </w:r>
      <w:r>
        <w:rPr>
          <w:rFonts w:ascii="宋体" w:hAnsi="宋体"/>
          <w:kern w:val="0"/>
          <w:sz w:val="28"/>
        </w:rPr>
        <w:t>同一供求范围内有较多的</w:t>
      </w:r>
      <w:r>
        <w:rPr>
          <w:rFonts w:hint="eastAsia" w:ascii="宋体" w:hAnsi="宋体"/>
          <w:kern w:val="0"/>
          <w:sz w:val="28"/>
        </w:rPr>
        <w:t>相似</w:t>
      </w:r>
      <w:r>
        <w:rPr>
          <w:rFonts w:ascii="宋体" w:hAnsi="宋体"/>
          <w:kern w:val="0"/>
          <w:sz w:val="28"/>
        </w:rPr>
        <w:t>可比实例，因此选取</w:t>
      </w:r>
      <w:r>
        <w:rPr>
          <w:rFonts w:hint="eastAsia" w:ascii="宋体" w:hAnsi="宋体"/>
          <w:kern w:val="0"/>
          <w:sz w:val="28"/>
        </w:rPr>
        <w:t>比较</w:t>
      </w:r>
      <w:r>
        <w:rPr>
          <w:rFonts w:ascii="宋体" w:hAnsi="宋体"/>
          <w:kern w:val="0"/>
          <w:sz w:val="28"/>
        </w:rPr>
        <w:t>法作为本次评估的基本方法</w:t>
      </w:r>
      <w:r>
        <w:rPr>
          <w:rFonts w:hint="eastAsia" w:ascii="宋体" w:hAnsi="宋体"/>
          <w:kern w:val="0"/>
          <w:sz w:val="28"/>
        </w:rPr>
        <w:t>。</w:t>
      </w:r>
    </w:p>
    <w:p>
      <w:pPr>
        <w:spacing w:line="490" w:lineRule="exact"/>
        <w:ind w:firstLine="560" w:firstLineChars="200"/>
        <w:rPr>
          <w:rFonts w:ascii="宋体" w:hAnsi="宋体"/>
          <w:kern w:val="0"/>
          <w:sz w:val="28"/>
        </w:rPr>
      </w:pPr>
      <w:r>
        <w:rPr>
          <w:rFonts w:hint="eastAsia" w:ascii="宋体" w:hAnsi="宋体"/>
          <w:kern w:val="0"/>
          <w:sz w:val="28"/>
        </w:rPr>
        <w:t>因此</w:t>
      </w:r>
      <w:r>
        <w:rPr>
          <w:rFonts w:hint="eastAsia" w:ascii="宋体" w:hAnsi="宋体" w:cs="宋体"/>
          <w:kern w:val="0"/>
          <w:sz w:val="28"/>
          <w:szCs w:val="28"/>
        </w:rPr>
        <w:t>估价人员通过实地查勘，认真分析调查收集的资料，在确定估价原则的基础上，根据估价对象的实际情况，结合本报告的评估目的，选取比较法作为本次估价的基本方法。</w:t>
      </w:r>
    </w:p>
    <w:p>
      <w:pPr>
        <w:spacing w:line="490" w:lineRule="exact"/>
        <w:ind w:firstLine="560" w:firstLineChars="200"/>
        <w:rPr>
          <w:rFonts w:ascii="宋体" w:hAnsi="宋体"/>
          <w:kern w:val="0"/>
          <w:sz w:val="28"/>
        </w:rPr>
      </w:pPr>
      <w:r>
        <w:rPr>
          <w:rFonts w:hint="eastAsia" w:ascii="宋体" w:hAnsi="宋体"/>
          <w:kern w:val="0"/>
          <w:sz w:val="28"/>
        </w:rPr>
        <w:t>（二）估价方法定义：</w:t>
      </w:r>
    </w:p>
    <w:p>
      <w:pPr>
        <w:spacing w:line="490" w:lineRule="exact"/>
        <w:ind w:firstLine="560" w:firstLineChars="200"/>
        <w:rPr>
          <w:rFonts w:ascii="宋体" w:hAnsi="宋体"/>
          <w:kern w:val="0"/>
          <w:sz w:val="28"/>
        </w:rPr>
      </w:pPr>
      <w:r>
        <w:rPr>
          <w:rFonts w:hint="eastAsia" w:ascii="宋体" w:hAnsi="宋体"/>
          <w:kern w:val="0"/>
          <w:sz w:val="28"/>
        </w:rPr>
        <w:t>比较法</w:t>
      </w:r>
      <w:r>
        <w:rPr>
          <w:rFonts w:ascii="宋体" w:hAnsi="宋体"/>
          <w:kern w:val="0"/>
          <w:sz w:val="28"/>
        </w:rPr>
        <w:t>是在同一供求圈内选取三个以上与估价对象规模相当、用途相似、档次相近的成交实例与之比较，对实例成交价格进行交易情况、交易日期、</w:t>
      </w:r>
      <w:r>
        <w:rPr>
          <w:rFonts w:hint="eastAsia" w:ascii="宋体" w:hAnsi="宋体"/>
          <w:kern w:val="0"/>
          <w:sz w:val="28"/>
        </w:rPr>
        <w:t>实物状况</w:t>
      </w:r>
      <w:r>
        <w:rPr>
          <w:rFonts w:ascii="宋体" w:hAnsi="宋体"/>
          <w:kern w:val="0"/>
          <w:sz w:val="28"/>
        </w:rPr>
        <w:t>、</w:t>
      </w:r>
      <w:r>
        <w:rPr>
          <w:rFonts w:hint="eastAsia" w:ascii="宋体" w:hAnsi="宋体"/>
          <w:kern w:val="0"/>
          <w:sz w:val="28"/>
        </w:rPr>
        <w:t>区位状况等</w:t>
      </w:r>
      <w:r>
        <w:rPr>
          <w:rFonts w:ascii="宋体" w:hAnsi="宋体"/>
          <w:kern w:val="0"/>
          <w:sz w:val="28"/>
        </w:rPr>
        <w:t>修正，以此估算估价对象的客观合理市场价值。</w:t>
      </w:r>
    </w:p>
    <w:p>
      <w:pPr>
        <w:spacing w:line="490" w:lineRule="exact"/>
        <w:rPr>
          <w:rFonts w:ascii="宋体" w:hAnsi="宋体" w:cs="宋体"/>
          <w:b/>
          <w:kern w:val="0"/>
          <w:sz w:val="28"/>
          <w:szCs w:val="28"/>
        </w:rPr>
      </w:pPr>
      <w:r>
        <w:rPr>
          <w:rFonts w:hint="eastAsia" w:ascii="宋体" w:hAnsi="宋体" w:cs="宋体"/>
          <w:b/>
          <w:kern w:val="0"/>
          <w:sz w:val="28"/>
          <w:szCs w:val="28"/>
        </w:rPr>
        <w:t>十、估价结果：</w:t>
      </w:r>
    </w:p>
    <w:p>
      <w:pPr>
        <w:spacing w:line="490" w:lineRule="exact"/>
        <w:ind w:firstLine="560" w:firstLineChars="200"/>
        <w:rPr>
          <w:rFonts w:ascii="宋体" w:hAnsi="宋体"/>
          <w:kern w:val="0"/>
          <w:sz w:val="28"/>
        </w:rPr>
      </w:pPr>
      <w:r>
        <w:rPr>
          <w:rFonts w:hint="eastAsia" w:ascii="宋体" w:hAnsi="宋体"/>
          <w:kern w:val="0"/>
          <w:sz w:val="28"/>
        </w:rPr>
        <w:t>本估价机构根据估价目的，遵循估价原则，按照估价程序，采用科学合理的估价方法，在认真分析现有资料的基础上，经过测算，结合估价经验及对影响房地产市场价格因素的分析，价值时点估价对象市场价值为人民币小写</w:t>
      </w:r>
      <w:r>
        <w:rPr>
          <w:rFonts w:hint="eastAsia" w:ascii="宋体" w:hAnsi="宋体"/>
          <w:kern w:val="0"/>
          <w:sz w:val="28"/>
          <w:lang w:val="en-US" w:eastAsia="zh-CN"/>
        </w:rPr>
        <w:t>40.36</w:t>
      </w:r>
      <w:r>
        <w:rPr>
          <w:rFonts w:hint="eastAsia" w:ascii="宋体" w:hAnsi="宋体"/>
          <w:kern w:val="0"/>
          <w:sz w:val="28"/>
        </w:rPr>
        <w:t>万元（此价值包含占用范围内土地使用权价值），大写：</w:t>
      </w:r>
      <w:r>
        <w:rPr>
          <w:rFonts w:hint="eastAsia" w:ascii="宋体" w:hAnsi="宋体"/>
          <w:kern w:val="0"/>
          <w:sz w:val="28"/>
          <w:lang w:val="en-US" w:eastAsia="zh-CN"/>
        </w:rPr>
        <w:t>肆拾万零叁仟陆佰</w:t>
      </w:r>
      <w:bookmarkStart w:id="0" w:name="_GoBack"/>
      <w:bookmarkEnd w:id="0"/>
      <w:r>
        <w:rPr>
          <w:rFonts w:hint="eastAsia" w:ascii="宋体" w:hAnsi="宋体"/>
          <w:kern w:val="0"/>
          <w:sz w:val="28"/>
        </w:rPr>
        <w:t>元整。</w:t>
      </w:r>
    </w:p>
    <w:p>
      <w:pPr>
        <w:spacing w:line="490" w:lineRule="exact"/>
        <w:rPr>
          <w:rFonts w:ascii="宋体" w:hAnsi="宋体" w:cs="宋体"/>
          <w:b/>
          <w:kern w:val="0"/>
          <w:sz w:val="28"/>
          <w:szCs w:val="28"/>
        </w:rPr>
      </w:pPr>
      <w:r>
        <w:rPr>
          <w:rFonts w:hint="eastAsia" w:ascii="宋体" w:hAnsi="宋体" w:cs="宋体"/>
          <w:b/>
          <w:kern w:val="0"/>
          <w:sz w:val="28"/>
          <w:szCs w:val="28"/>
        </w:rPr>
        <w:t>十一、估价人员：</w:t>
      </w:r>
    </w:p>
    <w:p>
      <w:pPr>
        <w:spacing w:line="490" w:lineRule="exact"/>
        <w:ind w:firstLine="560" w:firstLineChars="200"/>
        <w:rPr>
          <w:rFonts w:ascii="宋体" w:hAnsi="宋体" w:cs="宋体"/>
          <w:kern w:val="0"/>
          <w:sz w:val="28"/>
          <w:szCs w:val="28"/>
        </w:rPr>
      </w:pPr>
      <w:r>
        <w:rPr>
          <w:rFonts w:hint="eastAsia" w:ascii="宋体" w:hAnsi="宋体" w:cs="宋体"/>
          <w:kern w:val="0"/>
          <w:sz w:val="28"/>
          <w:szCs w:val="28"/>
        </w:rPr>
        <w:t>注册房地产估价师</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2339"/>
        <w:gridCol w:w="2168"/>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注册号</w:t>
            </w:r>
          </w:p>
        </w:tc>
        <w:tc>
          <w:tcPr>
            <w:tcW w:w="21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签名</w:t>
            </w:r>
          </w:p>
        </w:tc>
        <w:tc>
          <w:tcPr>
            <w:tcW w:w="25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王勇</w:t>
            </w:r>
          </w:p>
        </w:tc>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000000"/>
                <w:kern w:val="0"/>
                <w:sz w:val="28"/>
                <w:szCs w:val="28"/>
                <w:lang w:val="en-US" w:eastAsia="zh-CN" w:bidi="ar-SA"/>
              </w:rPr>
            </w:pPr>
            <w:r>
              <w:rPr>
                <w:rFonts w:hint="eastAsia" w:ascii="宋体" w:hAnsi="宋体" w:cs="宋体"/>
                <w:kern w:val="0"/>
                <w:sz w:val="28"/>
                <w:szCs w:val="28"/>
              </w:rPr>
              <w:t>3720</w:t>
            </w:r>
            <w:r>
              <w:rPr>
                <w:rFonts w:hint="eastAsia" w:ascii="宋体" w:hAnsi="宋体" w:cs="宋体"/>
                <w:kern w:val="0"/>
                <w:sz w:val="28"/>
                <w:szCs w:val="28"/>
                <w:lang w:val="en-US" w:eastAsia="zh-CN"/>
              </w:rPr>
              <w:t>200175</w:t>
            </w:r>
          </w:p>
        </w:tc>
        <w:tc>
          <w:tcPr>
            <w:tcW w:w="21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kern w:val="0"/>
                <w:sz w:val="28"/>
                <w:szCs w:val="28"/>
                <w:lang w:val="en-US" w:eastAsia="zh-CN" w:bidi="ar-SA"/>
              </w:rPr>
            </w:pPr>
          </w:p>
        </w:tc>
        <w:tc>
          <w:tcPr>
            <w:tcW w:w="25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2022年11月21日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党福芬</w:t>
            </w:r>
          </w:p>
        </w:tc>
        <w:tc>
          <w:tcPr>
            <w:tcW w:w="23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cs="宋体"/>
                <w:kern w:val="0"/>
                <w:sz w:val="28"/>
                <w:szCs w:val="28"/>
                <w:lang w:val="en-US"/>
              </w:rPr>
            </w:pPr>
            <w:r>
              <w:rPr>
                <w:rFonts w:hint="eastAsia" w:ascii="宋体" w:hAnsi="宋体" w:cs="宋体"/>
                <w:kern w:val="0"/>
                <w:sz w:val="28"/>
                <w:szCs w:val="28"/>
              </w:rPr>
              <w:t>3720130041</w:t>
            </w:r>
          </w:p>
        </w:tc>
        <w:tc>
          <w:tcPr>
            <w:tcW w:w="21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kern w:val="0"/>
                <w:sz w:val="28"/>
                <w:szCs w:val="28"/>
              </w:rPr>
            </w:pPr>
          </w:p>
        </w:tc>
        <w:tc>
          <w:tcPr>
            <w:tcW w:w="25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2022年11月21日</w:t>
            </w:r>
          </w:p>
        </w:tc>
      </w:tr>
    </w:tbl>
    <w:p>
      <w:pPr>
        <w:spacing w:line="490" w:lineRule="exact"/>
        <w:rPr>
          <w:rFonts w:hint="eastAsia" w:ascii="宋体" w:hAnsi="宋体" w:eastAsia="宋体" w:cs="宋体"/>
          <w:kern w:val="0"/>
          <w:sz w:val="28"/>
          <w:lang w:eastAsia="zh-CN"/>
        </w:rPr>
      </w:pPr>
      <w:r>
        <w:rPr>
          <w:rFonts w:hint="eastAsia" w:ascii="宋体" w:hAnsi="宋体" w:cs="宋体"/>
          <w:b/>
          <w:bCs/>
          <w:kern w:val="0"/>
          <w:sz w:val="28"/>
          <w:szCs w:val="28"/>
        </w:rPr>
        <w:t>十二、估价作业期：</w:t>
      </w:r>
      <w:r>
        <w:rPr>
          <w:rFonts w:hint="eastAsia" w:ascii="宋体" w:hAnsi="宋体" w:cs="宋体"/>
          <w:kern w:val="0"/>
          <w:sz w:val="28"/>
          <w:lang w:eastAsia="zh-CN"/>
        </w:rPr>
        <w:t>2022年11月09日</w:t>
      </w:r>
      <w:r>
        <w:rPr>
          <w:rFonts w:hint="eastAsia" w:ascii="宋体" w:hAnsi="宋体" w:cs="宋体"/>
          <w:kern w:val="0"/>
          <w:sz w:val="28"/>
        </w:rPr>
        <w:t>至</w:t>
      </w:r>
      <w:r>
        <w:rPr>
          <w:rFonts w:hint="eastAsia" w:ascii="宋体" w:hAnsi="宋体" w:cs="宋体"/>
          <w:kern w:val="0"/>
          <w:sz w:val="28"/>
          <w:lang w:eastAsia="zh-CN"/>
        </w:rPr>
        <w:t>2022年11月21日</w:t>
      </w:r>
    </w:p>
    <w:p>
      <w:pPr>
        <w:spacing w:line="490" w:lineRule="exact"/>
        <w:rPr>
          <w:rFonts w:hint="eastAsia" w:ascii="宋体" w:hAnsi="宋体" w:eastAsia="宋体" w:cs="宋体"/>
          <w:kern w:val="0"/>
          <w:sz w:val="28"/>
          <w:lang w:eastAsia="zh-CN"/>
        </w:rPr>
      </w:pPr>
      <w:r>
        <w:rPr>
          <w:rFonts w:hint="eastAsia" w:ascii="宋体" w:hAnsi="宋体" w:cs="宋体"/>
          <w:b/>
          <w:bCs/>
          <w:kern w:val="0"/>
          <w:sz w:val="28"/>
          <w:szCs w:val="28"/>
        </w:rPr>
        <w:t>十三、估价报告有效日期：</w:t>
      </w:r>
      <w:r>
        <w:rPr>
          <w:rFonts w:hint="eastAsia" w:ascii="宋体" w:hAnsi="宋体" w:cs="宋体"/>
          <w:kern w:val="0"/>
          <w:sz w:val="28"/>
          <w:lang w:eastAsia="zh-CN"/>
        </w:rPr>
        <w:t>2022年11月21日</w:t>
      </w:r>
      <w:r>
        <w:rPr>
          <w:rFonts w:hint="eastAsia" w:ascii="宋体" w:hAnsi="宋体" w:cs="宋体"/>
          <w:kern w:val="0"/>
          <w:sz w:val="28"/>
        </w:rPr>
        <w:t>至</w:t>
      </w:r>
      <w:r>
        <w:rPr>
          <w:rFonts w:hint="eastAsia" w:ascii="宋体" w:hAnsi="宋体" w:cs="宋体"/>
          <w:kern w:val="0"/>
          <w:sz w:val="28"/>
          <w:lang w:eastAsia="zh-CN"/>
        </w:rPr>
        <w:t>2023年11月</w:t>
      </w:r>
      <w:r>
        <w:rPr>
          <w:rFonts w:hint="eastAsia" w:ascii="宋体" w:hAnsi="宋体" w:cs="宋体"/>
          <w:kern w:val="0"/>
          <w:sz w:val="28"/>
          <w:lang w:val="en-US" w:eastAsia="zh-CN"/>
        </w:rPr>
        <w:t>20</w:t>
      </w:r>
      <w:r>
        <w:rPr>
          <w:rFonts w:hint="eastAsia" w:ascii="宋体" w:hAnsi="宋体" w:cs="宋体"/>
          <w:kern w:val="0"/>
          <w:sz w:val="28"/>
          <w:lang w:eastAsia="zh-CN"/>
        </w:rPr>
        <w:t>日</w:t>
      </w:r>
    </w:p>
    <w:p>
      <w:pPr>
        <w:spacing w:line="490" w:lineRule="exact"/>
        <w:ind w:firstLine="4191" w:firstLineChars="1497"/>
        <w:rPr>
          <w:rFonts w:ascii="宋体" w:hAnsi="宋体" w:cs="宋体"/>
          <w:kern w:val="0"/>
          <w:sz w:val="28"/>
          <w:szCs w:val="28"/>
        </w:rPr>
      </w:pPr>
    </w:p>
    <w:p>
      <w:pPr>
        <w:spacing w:line="490" w:lineRule="exact"/>
        <w:ind w:firstLine="4191" w:firstLineChars="1497"/>
        <w:rPr>
          <w:rFonts w:ascii="宋体" w:hAnsi="宋体" w:cs="宋体"/>
          <w:kern w:val="0"/>
          <w:sz w:val="28"/>
          <w:szCs w:val="28"/>
        </w:rPr>
      </w:pPr>
      <w:r>
        <w:rPr>
          <w:rFonts w:hint="eastAsia" w:ascii="宋体" w:hAnsi="宋体" w:cs="宋体"/>
          <w:kern w:val="0"/>
          <w:sz w:val="28"/>
          <w:szCs w:val="28"/>
        </w:rPr>
        <w:t>山东卓越全程土地房地产评估有限公司</w:t>
      </w:r>
    </w:p>
    <w:p>
      <w:pPr>
        <w:spacing w:line="490" w:lineRule="exact"/>
        <w:ind w:firstLine="560" w:firstLineChars="200"/>
        <w:rPr>
          <w:rFonts w:hint="eastAsia" w:ascii="宋体" w:hAnsi="宋体" w:eastAsia="宋体" w:cs="宋体"/>
          <w:b/>
          <w:bCs/>
          <w:sz w:val="40"/>
          <w:szCs w:val="32"/>
          <w:lang w:eastAsia="zh-CN"/>
        </w:rPr>
      </w:pPr>
      <w:r>
        <w:rPr>
          <w:rFonts w:hint="eastAsia" w:ascii="宋体" w:hAnsi="宋体" w:cs="宋体"/>
          <w:kern w:val="0"/>
          <w:sz w:val="28"/>
          <w:szCs w:val="28"/>
        </w:rPr>
        <w:t xml:space="preserve">                                  </w:t>
      </w:r>
      <w:r>
        <w:rPr>
          <w:rFonts w:hint="eastAsia" w:ascii="宋体" w:hAnsi="宋体" w:cs="宋体"/>
          <w:color w:val="FF0000"/>
          <w:kern w:val="0"/>
          <w:sz w:val="28"/>
          <w:szCs w:val="28"/>
        </w:rPr>
        <w:t xml:space="preserve"> </w:t>
      </w:r>
      <w:r>
        <w:rPr>
          <w:rFonts w:hint="eastAsia" w:ascii="宋体" w:hAnsi="宋体" w:cs="宋体"/>
          <w:kern w:val="0"/>
          <w:sz w:val="28"/>
          <w:szCs w:val="28"/>
          <w:lang w:eastAsia="zh-CN"/>
        </w:rPr>
        <w:t>2022年11月21日</w:t>
      </w:r>
    </w:p>
    <w:p>
      <w:pPr>
        <w:rPr>
          <w:rFonts w:hint="eastAsia" w:ascii="宋体" w:hAnsi="宋体" w:cs="宋体"/>
          <w:b/>
          <w:bCs/>
          <w:sz w:val="40"/>
          <w:szCs w:val="32"/>
        </w:rPr>
      </w:pPr>
      <w:r>
        <w:rPr>
          <w:rFonts w:hint="eastAsia" w:ascii="宋体" w:hAnsi="宋体" w:cs="宋体"/>
          <w:b/>
          <w:bCs/>
          <w:sz w:val="40"/>
          <w:szCs w:val="32"/>
        </w:rPr>
        <w:br w:type="page"/>
      </w:r>
    </w:p>
    <w:p>
      <w:pPr>
        <w:spacing w:line="500" w:lineRule="exact"/>
        <w:ind w:firstLine="602" w:firstLineChars="150"/>
        <w:jc w:val="center"/>
        <w:rPr>
          <w:rFonts w:ascii="宋体" w:hAnsi="宋体"/>
          <w:b/>
          <w:bCs/>
          <w:kern w:val="0"/>
          <w:sz w:val="44"/>
          <w:szCs w:val="44"/>
        </w:rPr>
      </w:pPr>
      <w:r>
        <w:rPr>
          <w:rFonts w:hint="eastAsia" w:ascii="宋体" w:hAnsi="宋体" w:cs="宋体"/>
          <w:b/>
          <w:bCs/>
          <w:sz w:val="40"/>
          <w:szCs w:val="32"/>
        </w:rPr>
        <w:t>附件</w:t>
      </w:r>
    </w:p>
    <w:p>
      <w:pPr>
        <w:spacing w:line="540" w:lineRule="exact"/>
        <w:jc w:val="left"/>
        <w:rPr>
          <w:rFonts w:ascii="宋体" w:hAnsi="宋体" w:cs="宋体"/>
          <w:sz w:val="28"/>
          <w:szCs w:val="28"/>
        </w:rPr>
      </w:pPr>
    </w:p>
    <w:p>
      <w:pPr>
        <w:pStyle w:val="22"/>
        <w:tabs>
          <w:tab w:val="right" w:leader="dot" w:pos="8296"/>
        </w:tabs>
        <w:spacing w:line="540" w:lineRule="exact"/>
        <w:ind w:left="0" w:leftChars="0" w:firstLine="560" w:firstLineChars="200"/>
        <w:rPr>
          <w:rFonts w:ascii="宋体" w:hAnsi="宋体" w:cs="宋体"/>
          <w:sz w:val="28"/>
          <w:szCs w:val="28"/>
        </w:rPr>
      </w:pPr>
      <w:r>
        <w:rPr>
          <w:rFonts w:hint="eastAsia" w:ascii="宋体" w:hAnsi="宋体" w:cs="宋体"/>
          <w:sz w:val="28"/>
          <w:szCs w:val="28"/>
        </w:rPr>
        <w:t>（一）</w:t>
      </w:r>
      <w:r>
        <w:rPr>
          <w:rFonts w:hint="eastAsia" w:ascii="宋体" w:hAnsi="宋体"/>
          <w:kern w:val="0"/>
          <w:sz w:val="28"/>
          <w:szCs w:val="28"/>
          <w:lang w:eastAsia="zh-CN"/>
        </w:rPr>
        <w:t>潍坊市潍城区人民法院委托书（2022）鲁0702执663号</w:t>
      </w:r>
      <w:r>
        <w:rPr>
          <w:rFonts w:hint="eastAsia" w:ascii="宋体" w:hAnsi="宋体"/>
          <w:kern w:val="0"/>
          <w:sz w:val="28"/>
          <w:szCs w:val="28"/>
        </w:rPr>
        <w:t>复印件</w:t>
      </w:r>
    </w:p>
    <w:p>
      <w:pPr>
        <w:pStyle w:val="22"/>
        <w:tabs>
          <w:tab w:val="right" w:leader="dot" w:pos="8296"/>
        </w:tabs>
        <w:spacing w:line="540" w:lineRule="exact"/>
        <w:ind w:left="0" w:leftChars="0" w:firstLine="560" w:firstLineChars="200"/>
        <w:rPr>
          <w:rFonts w:ascii="宋体" w:hAnsi="宋体"/>
          <w:kern w:val="0"/>
          <w:sz w:val="28"/>
          <w:szCs w:val="28"/>
        </w:rPr>
      </w:pPr>
      <w:r>
        <w:rPr>
          <w:rFonts w:hint="eastAsia" w:ascii="宋体" w:hAnsi="宋体" w:cs="宋体"/>
          <w:sz w:val="28"/>
          <w:szCs w:val="28"/>
        </w:rPr>
        <w:t>（二）</w:t>
      </w:r>
      <w:r>
        <w:rPr>
          <w:rFonts w:hint="eastAsia" w:ascii="宋体" w:hAnsi="宋体" w:cs="宋体"/>
          <w:sz w:val="28"/>
          <w:szCs w:val="28"/>
          <w:highlight w:val="none"/>
          <w:lang w:val="en-US" w:eastAsia="zh-CN"/>
        </w:rPr>
        <w:t>查档证明复印件</w:t>
      </w:r>
    </w:p>
    <w:p>
      <w:pPr>
        <w:spacing w:line="540" w:lineRule="exact"/>
        <w:ind w:firstLine="560" w:firstLineChars="200"/>
        <w:rPr>
          <w:rFonts w:ascii="宋体" w:hAnsi="宋体" w:cs="宋体"/>
          <w:sz w:val="28"/>
          <w:szCs w:val="28"/>
        </w:rPr>
      </w:pPr>
      <w:r>
        <w:rPr>
          <w:rFonts w:hint="eastAsia" w:ascii="宋体" w:hAnsi="宋体" w:cs="宋体"/>
          <w:sz w:val="28"/>
          <w:szCs w:val="28"/>
        </w:rPr>
        <w:t>（三）位置示意图及现场查勘影像资料</w:t>
      </w:r>
    </w:p>
    <w:p>
      <w:pPr>
        <w:spacing w:line="540" w:lineRule="exact"/>
        <w:ind w:firstLine="560" w:firstLineChars="200"/>
        <w:rPr>
          <w:rFonts w:ascii="宋体" w:hAnsi="宋体" w:cs="宋体"/>
          <w:sz w:val="28"/>
          <w:szCs w:val="28"/>
        </w:rPr>
      </w:pPr>
      <w:r>
        <w:rPr>
          <w:rFonts w:hint="eastAsia" w:ascii="宋体" w:hAnsi="宋体" w:cs="宋体"/>
          <w:sz w:val="28"/>
          <w:szCs w:val="28"/>
        </w:rPr>
        <w:t>（四）估价机构营业执照复印件</w:t>
      </w:r>
    </w:p>
    <w:p>
      <w:pPr>
        <w:spacing w:line="540" w:lineRule="exact"/>
        <w:ind w:firstLine="560" w:firstLineChars="200"/>
        <w:jc w:val="left"/>
        <w:rPr>
          <w:rFonts w:ascii="宋体" w:hAnsi="宋体" w:cs="宋体"/>
          <w:sz w:val="28"/>
          <w:szCs w:val="28"/>
        </w:rPr>
      </w:pPr>
      <w:r>
        <w:rPr>
          <w:rFonts w:hint="eastAsia" w:ascii="宋体" w:hAnsi="宋体" w:cs="宋体"/>
          <w:sz w:val="28"/>
          <w:szCs w:val="28"/>
        </w:rPr>
        <w:t>（五）估价机构资质证书复印件</w:t>
      </w:r>
    </w:p>
    <w:p>
      <w:pPr>
        <w:spacing w:line="540" w:lineRule="exact"/>
        <w:ind w:firstLine="560" w:firstLineChars="200"/>
        <w:rPr>
          <w:rFonts w:ascii="宋体" w:hAnsi="宋体" w:cs="宋体"/>
          <w:sz w:val="28"/>
          <w:szCs w:val="28"/>
        </w:rPr>
      </w:pPr>
      <w:r>
        <w:rPr>
          <w:rFonts w:hint="eastAsia" w:ascii="宋体" w:hAnsi="宋体" w:cs="宋体"/>
          <w:sz w:val="28"/>
          <w:szCs w:val="28"/>
        </w:rPr>
        <w:t>（六）房地产估价师注册证书复印件</w:t>
      </w:r>
    </w:p>
    <w:p>
      <w:pPr>
        <w:spacing w:line="540" w:lineRule="exact"/>
        <w:ind w:firstLine="560" w:firstLineChars="200"/>
        <w:rPr>
          <w:rFonts w:ascii="宋体" w:hAnsi="宋体" w:cs="宋体"/>
          <w:sz w:val="28"/>
          <w:szCs w:val="28"/>
        </w:rPr>
      </w:pPr>
    </w:p>
    <w:p>
      <w:pPr>
        <w:spacing w:line="540" w:lineRule="exact"/>
        <w:ind w:firstLine="560" w:firstLineChars="200"/>
        <w:rPr>
          <w:rFonts w:ascii="宋体" w:hAnsi="宋体" w:cs="宋体"/>
          <w:sz w:val="28"/>
          <w:szCs w:val="28"/>
        </w:rPr>
      </w:pPr>
    </w:p>
    <w:sectPr>
      <w:headerReference r:id="rId3" w:type="default"/>
      <w:footerReference r:id="rId4" w:type="default"/>
      <w:footerReference r:id="rId5" w:type="even"/>
      <w:pgSz w:w="11906" w:h="16838"/>
      <w:pgMar w:top="1440" w:right="110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bottom w:val="single" w:color="auto" w:sz="4" w:space="1"/>
      </w:pBdr>
      <w:rPr>
        <w:rStyle w:val="25"/>
      </w:rPr>
    </w:pPr>
    <w:r>
      <w:fldChar w:fldCharType="begin"/>
    </w:r>
    <w:r>
      <w:rPr>
        <w:rStyle w:val="25"/>
      </w:rPr>
      <w:instrText xml:space="preserve">PAGE  </w:instrText>
    </w:r>
    <w:r>
      <w:fldChar w:fldCharType="separate"/>
    </w:r>
    <w:r>
      <w:rPr>
        <w:rStyle w:val="25"/>
      </w:rPr>
      <w:t>17</w:t>
    </w:r>
    <w:r>
      <w:fldChar w:fldCharType="end"/>
    </w:r>
  </w:p>
  <w:p>
    <w:pPr>
      <w:pStyle w:val="18"/>
      <w:pBdr>
        <w:bottom w:val="single" w:color="auto" w:sz="4" w:space="1"/>
      </w:pBdr>
    </w:pPr>
    <w:r>
      <w:rPr>
        <w:rFonts w:hint="eastAsia"/>
      </w:rPr>
      <w:t>山东卓越全程土地房地产评估有限公司                                             联系电话：0536-8793568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5"/>
      </w:rPr>
    </w:pPr>
    <w:r>
      <w:fldChar w:fldCharType="begin"/>
    </w:r>
    <w:r>
      <w:rPr>
        <w:rStyle w:val="25"/>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rPr>
      <w:t>涉执房地产司法处置评估报告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5MGY0M2UzMDA5YTBjZjU2YjZlMGM4NTMxMDJhNzkifQ=="/>
  </w:docVars>
  <w:rsids>
    <w:rsidRoot w:val="008659BC"/>
    <w:rsid w:val="00002949"/>
    <w:rsid w:val="000039FE"/>
    <w:rsid w:val="00004A77"/>
    <w:rsid w:val="00005DCF"/>
    <w:rsid w:val="00006F4F"/>
    <w:rsid w:val="00007D88"/>
    <w:rsid w:val="00010895"/>
    <w:rsid w:val="00010F13"/>
    <w:rsid w:val="00013075"/>
    <w:rsid w:val="00015AD4"/>
    <w:rsid w:val="00016339"/>
    <w:rsid w:val="000179FE"/>
    <w:rsid w:val="00017F9B"/>
    <w:rsid w:val="00020DDE"/>
    <w:rsid w:val="00021A7F"/>
    <w:rsid w:val="00022889"/>
    <w:rsid w:val="00023B7C"/>
    <w:rsid w:val="0002492E"/>
    <w:rsid w:val="00025149"/>
    <w:rsid w:val="00025183"/>
    <w:rsid w:val="000254F2"/>
    <w:rsid w:val="00025E11"/>
    <w:rsid w:val="00027919"/>
    <w:rsid w:val="00030CF1"/>
    <w:rsid w:val="00033B85"/>
    <w:rsid w:val="000361F0"/>
    <w:rsid w:val="00037539"/>
    <w:rsid w:val="000402AD"/>
    <w:rsid w:val="00040F00"/>
    <w:rsid w:val="00041EA1"/>
    <w:rsid w:val="00042995"/>
    <w:rsid w:val="00042CF1"/>
    <w:rsid w:val="00047D70"/>
    <w:rsid w:val="000508B2"/>
    <w:rsid w:val="00051071"/>
    <w:rsid w:val="00051339"/>
    <w:rsid w:val="00052B34"/>
    <w:rsid w:val="000544EC"/>
    <w:rsid w:val="0005477E"/>
    <w:rsid w:val="000556A2"/>
    <w:rsid w:val="00055911"/>
    <w:rsid w:val="00056950"/>
    <w:rsid w:val="0005696F"/>
    <w:rsid w:val="00061C47"/>
    <w:rsid w:val="00062D4C"/>
    <w:rsid w:val="0006304B"/>
    <w:rsid w:val="000645AC"/>
    <w:rsid w:val="00067296"/>
    <w:rsid w:val="0007077C"/>
    <w:rsid w:val="00071744"/>
    <w:rsid w:val="000726CC"/>
    <w:rsid w:val="000753A9"/>
    <w:rsid w:val="0007745F"/>
    <w:rsid w:val="0008325B"/>
    <w:rsid w:val="000850EC"/>
    <w:rsid w:val="00090280"/>
    <w:rsid w:val="00091B4D"/>
    <w:rsid w:val="0009362F"/>
    <w:rsid w:val="000939FF"/>
    <w:rsid w:val="00095A38"/>
    <w:rsid w:val="000A03B9"/>
    <w:rsid w:val="000A1E8B"/>
    <w:rsid w:val="000A20B5"/>
    <w:rsid w:val="000A3ABF"/>
    <w:rsid w:val="000A5653"/>
    <w:rsid w:val="000A5AA6"/>
    <w:rsid w:val="000A6032"/>
    <w:rsid w:val="000A765F"/>
    <w:rsid w:val="000B19F2"/>
    <w:rsid w:val="000B1DC1"/>
    <w:rsid w:val="000B3D56"/>
    <w:rsid w:val="000B5525"/>
    <w:rsid w:val="000B63E5"/>
    <w:rsid w:val="000B6B6E"/>
    <w:rsid w:val="000B79B4"/>
    <w:rsid w:val="000C1CF2"/>
    <w:rsid w:val="000C3B17"/>
    <w:rsid w:val="000C48C6"/>
    <w:rsid w:val="000C4D1A"/>
    <w:rsid w:val="000C552E"/>
    <w:rsid w:val="000C6CED"/>
    <w:rsid w:val="000C7191"/>
    <w:rsid w:val="000C73E0"/>
    <w:rsid w:val="000D0939"/>
    <w:rsid w:val="000D0B00"/>
    <w:rsid w:val="000D0ED0"/>
    <w:rsid w:val="000D2A84"/>
    <w:rsid w:val="000D2CD4"/>
    <w:rsid w:val="000D36F6"/>
    <w:rsid w:val="000D6CB9"/>
    <w:rsid w:val="000D6DBF"/>
    <w:rsid w:val="000D7282"/>
    <w:rsid w:val="000D7E91"/>
    <w:rsid w:val="000E0EC7"/>
    <w:rsid w:val="000E28D6"/>
    <w:rsid w:val="000E46AC"/>
    <w:rsid w:val="000E4703"/>
    <w:rsid w:val="000E4E14"/>
    <w:rsid w:val="000E542C"/>
    <w:rsid w:val="000E6E14"/>
    <w:rsid w:val="000F158B"/>
    <w:rsid w:val="000F1D2D"/>
    <w:rsid w:val="000F282C"/>
    <w:rsid w:val="000F4324"/>
    <w:rsid w:val="000F4C0C"/>
    <w:rsid w:val="0010030E"/>
    <w:rsid w:val="00101FA1"/>
    <w:rsid w:val="00103495"/>
    <w:rsid w:val="001044A9"/>
    <w:rsid w:val="00106A36"/>
    <w:rsid w:val="00107567"/>
    <w:rsid w:val="0010761B"/>
    <w:rsid w:val="00107832"/>
    <w:rsid w:val="00113B2C"/>
    <w:rsid w:val="001158D2"/>
    <w:rsid w:val="0011632B"/>
    <w:rsid w:val="0012158B"/>
    <w:rsid w:val="0012170C"/>
    <w:rsid w:val="00121D8B"/>
    <w:rsid w:val="001221EF"/>
    <w:rsid w:val="001250D6"/>
    <w:rsid w:val="001257EE"/>
    <w:rsid w:val="0012630A"/>
    <w:rsid w:val="00130B8D"/>
    <w:rsid w:val="00136209"/>
    <w:rsid w:val="00136AED"/>
    <w:rsid w:val="00136DA4"/>
    <w:rsid w:val="00136FE5"/>
    <w:rsid w:val="001379E5"/>
    <w:rsid w:val="001416D6"/>
    <w:rsid w:val="0014248E"/>
    <w:rsid w:val="001458E4"/>
    <w:rsid w:val="001470BF"/>
    <w:rsid w:val="001474B7"/>
    <w:rsid w:val="001475FD"/>
    <w:rsid w:val="00150E8F"/>
    <w:rsid w:val="00152C8C"/>
    <w:rsid w:val="0015314E"/>
    <w:rsid w:val="001534F1"/>
    <w:rsid w:val="001604C9"/>
    <w:rsid w:val="001614A8"/>
    <w:rsid w:val="00162BB6"/>
    <w:rsid w:val="001631DF"/>
    <w:rsid w:val="0016512F"/>
    <w:rsid w:val="0016596B"/>
    <w:rsid w:val="00166111"/>
    <w:rsid w:val="0017050E"/>
    <w:rsid w:val="001725F2"/>
    <w:rsid w:val="00175056"/>
    <w:rsid w:val="001773F3"/>
    <w:rsid w:val="0017741E"/>
    <w:rsid w:val="00177CDB"/>
    <w:rsid w:val="00180923"/>
    <w:rsid w:val="00180AE6"/>
    <w:rsid w:val="001811AC"/>
    <w:rsid w:val="00183BB4"/>
    <w:rsid w:val="001853C9"/>
    <w:rsid w:val="0018579B"/>
    <w:rsid w:val="00185DA6"/>
    <w:rsid w:val="0019062B"/>
    <w:rsid w:val="00193D0F"/>
    <w:rsid w:val="00195B29"/>
    <w:rsid w:val="00196A55"/>
    <w:rsid w:val="00196F5E"/>
    <w:rsid w:val="001A1C19"/>
    <w:rsid w:val="001A2049"/>
    <w:rsid w:val="001A27CA"/>
    <w:rsid w:val="001A2A39"/>
    <w:rsid w:val="001A480E"/>
    <w:rsid w:val="001A5A57"/>
    <w:rsid w:val="001A7777"/>
    <w:rsid w:val="001B05F7"/>
    <w:rsid w:val="001B086C"/>
    <w:rsid w:val="001B0AA2"/>
    <w:rsid w:val="001B1910"/>
    <w:rsid w:val="001B3BCC"/>
    <w:rsid w:val="001B4869"/>
    <w:rsid w:val="001B4B1D"/>
    <w:rsid w:val="001B6380"/>
    <w:rsid w:val="001B79A5"/>
    <w:rsid w:val="001C0306"/>
    <w:rsid w:val="001C4715"/>
    <w:rsid w:val="001C47AC"/>
    <w:rsid w:val="001D3252"/>
    <w:rsid w:val="001D61DB"/>
    <w:rsid w:val="001E144F"/>
    <w:rsid w:val="001E2BCE"/>
    <w:rsid w:val="001E4B8A"/>
    <w:rsid w:val="001E54AD"/>
    <w:rsid w:val="001F1566"/>
    <w:rsid w:val="001F1F0B"/>
    <w:rsid w:val="001F2C80"/>
    <w:rsid w:val="001F4E2D"/>
    <w:rsid w:val="001F5C27"/>
    <w:rsid w:val="001F7D15"/>
    <w:rsid w:val="002018E7"/>
    <w:rsid w:val="002020D1"/>
    <w:rsid w:val="002026C0"/>
    <w:rsid w:val="00203F13"/>
    <w:rsid w:val="00203F1A"/>
    <w:rsid w:val="0020460E"/>
    <w:rsid w:val="002128DC"/>
    <w:rsid w:val="00213CC7"/>
    <w:rsid w:val="00213D1C"/>
    <w:rsid w:val="00215422"/>
    <w:rsid w:val="00217AD7"/>
    <w:rsid w:val="00220356"/>
    <w:rsid w:val="00220F3B"/>
    <w:rsid w:val="002215EB"/>
    <w:rsid w:val="002256A5"/>
    <w:rsid w:val="00226019"/>
    <w:rsid w:val="00230281"/>
    <w:rsid w:val="002315C1"/>
    <w:rsid w:val="00231A09"/>
    <w:rsid w:val="00233270"/>
    <w:rsid w:val="002341C0"/>
    <w:rsid w:val="002350CE"/>
    <w:rsid w:val="00236743"/>
    <w:rsid w:val="002403DA"/>
    <w:rsid w:val="00242DC2"/>
    <w:rsid w:val="00243A21"/>
    <w:rsid w:val="0024737F"/>
    <w:rsid w:val="0025248A"/>
    <w:rsid w:val="00252A3C"/>
    <w:rsid w:val="002534E4"/>
    <w:rsid w:val="00255D9E"/>
    <w:rsid w:val="00261CEC"/>
    <w:rsid w:val="00261ECA"/>
    <w:rsid w:val="00264010"/>
    <w:rsid w:val="00265A95"/>
    <w:rsid w:val="0026677C"/>
    <w:rsid w:val="00266E15"/>
    <w:rsid w:val="002712AA"/>
    <w:rsid w:val="00271A03"/>
    <w:rsid w:val="00271D55"/>
    <w:rsid w:val="00272833"/>
    <w:rsid w:val="002729B9"/>
    <w:rsid w:val="00272F04"/>
    <w:rsid w:val="00275445"/>
    <w:rsid w:val="00282811"/>
    <w:rsid w:val="00283FBD"/>
    <w:rsid w:val="0028427F"/>
    <w:rsid w:val="00285DC7"/>
    <w:rsid w:val="002860BE"/>
    <w:rsid w:val="00286B3E"/>
    <w:rsid w:val="00286F46"/>
    <w:rsid w:val="00291069"/>
    <w:rsid w:val="002920C8"/>
    <w:rsid w:val="00293840"/>
    <w:rsid w:val="00293BFD"/>
    <w:rsid w:val="002942E8"/>
    <w:rsid w:val="00294378"/>
    <w:rsid w:val="00294C28"/>
    <w:rsid w:val="0029542F"/>
    <w:rsid w:val="00296689"/>
    <w:rsid w:val="00296E60"/>
    <w:rsid w:val="002972F2"/>
    <w:rsid w:val="002A094E"/>
    <w:rsid w:val="002A2890"/>
    <w:rsid w:val="002A3015"/>
    <w:rsid w:val="002A3BC2"/>
    <w:rsid w:val="002A4420"/>
    <w:rsid w:val="002A4BBD"/>
    <w:rsid w:val="002A52A2"/>
    <w:rsid w:val="002A696B"/>
    <w:rsid w:val="002B11C6"/>
    <w:rsid w:val="002B24A2"/>
    <w:rsid w:val="002B4B4D"/>
    <w:rsid w:val="002B4F6A"/>
    <w:rsid w:val="002B6C7B"/>
    <w:rsid w:val="002C0C60"/>
    <w:rsid w:val="002C1C0B"/>
    <w:rsid w:val="002C2795"/>
    <w:rsid w:val="002C3A48"/>
    <w:rsid w:val="002C3E3E"/>
    <w:rsid w:val="002C5217"/>
    <w:rsid w:val="002C587E"/>
    <w:rsid w:val="002C5FC3"/>
    <w:rsid w:val="002C6BDF"/>
    <w:rsid w:val="002D05E0"/>
    <w:rsid w:val="002D19C1"/>
    <w:rsid w:val="002D3C07"/>
    <w:rsid w:val="002D613A"/>
    <w:rsid w:val="002E232A"/>
    <w:rsid w:val="002E516D"/>
    <w:rsid w:val="002F0446"/>
    <w:rsid w:val="002F0D35"/>
    <w:rsid w:val="002F100A"/>
    <w:rsid w:val="002F1698"/>
    <w:rsid w:val="002F32F9"/>
    <w:rsid w:val="002F3E70"/>
    <w:rsid w:val="002F6AE2"/>
    <w:rsid w:val="003022A8"/>
    <w:rsid w:val="00303ED1"/>
    <w:rsid w:val="00310CCE"/>
    <w:rsid w:val="00313BA0"/>
    <w:rsid w:val="00315716"/>
    <w:rsid w:val="00317C38"/>
    <w:rsid w:val="00320A6F"/>
    <w:rsid w:val="003211D3"/>
    <w:rsid w:val="00321425"/>
    <w:rsid w:val="00323ACA"/>
    <w:rsid w:val="0032417D"/>
    <w:rsid w:val="00324315"/>
    <w:rsid w:val="0032618B"/>
    <w:rsid w:val="003277FE"/>
    <w:rsid w:val="003310EC"/>
    <w:rsid w:val="00333191"/>
    <w:rsid w:val="00334A7C"/>
    <w:rsid w:val="003365BA"/>
    <w:rsid w:val="0033740E"/>
    <w:rsid w:val="003430C9"/>
    <w:rsid w:val="0034349F"/>
    <w:rsid w:val="0034514B"/>
    <w:rsid w:val="00346E06"/>
    <w:rsid w:val="0034792E"/>
    <w:rsid w:val="00351D45"/>
    <w:rsid w:val="0035308E"/>
    <w:rsid w:val="00354521"/>
    <w:rsid w:val="00354AAA"/>
    <w:rsid w:val="00354F00"/>
    <w:rsid w:val="00355101"/>
    <w:rsid w:val="00355AFE"/>
    <w:rsid w:val="00355F6F"/>
    <w:rsid w:val="0036049C"/>
    <w:rsid w:val="0036088A"/>
    <w:rsid w:val="00361232"/>
    <w:rsid w:val="003612D0"/>
    <w:rsid w:val="00362E83"/>
    <w:rsid w:val="00363342"/>
    <w:rsid w:val="00365953"/>
    <w:rsid w:val="00365F2F"/>
    <w:rsid w:val="00366FC4"/>
    <w:rsid w:val="00367D38"/>
    <w:rsid w:val="00367EEA"/>
    <w:rsid w:val="00370181"/>
    <w:rsid w:val="00370A7E"/>
    <w:rsid w:val="00372314"/>
    <w:rsid w:val="00372DBB"/>
    <w:rsid w:val="003740C2"/>
    <w:rsid w:val="00374647"/>
    <w:rsid w:val="00374DF3"/>
    <w:rsid w:val="0037711F"/>
    <w:rsid w:val="00381882"/>
    <w:rsid w:val="00382663"/>
    <w:rsid w:val="00384BD1"/>
    <w:rsid w:val="00394AB1"/>
    <w:rsid w:val="00395BBC"/>
    <w:rsid w:val="00395D66"/>
    <w:rsid w:val="003964CF"/>
    <w:rsid w:val="00396DB7"/>
    <w:rsid w:val="003A054D"/>
    <w:rsid w:val="003A1ED9"/>
    <w:rsid w:val="003A39DB"/>
    <w:rsid w:val="003A3FAB"/>
    <w:rsid w:val="003A433F"/>
    <w:rsid w:val="003A43CB"/>
    <w:rsid w:val="003A6F16"/>
    <w:rsid w:val="003A712D"/>
    <w:rsid w:val="003A7926"/>
    <w:rsid w:val="003B26FD"/>
    <w:rsid w:val="003B2B5A"/>
    <w:rsid w:val="003B2F30"/>
    <w:rsid w:val="003B4C0A"/>
    <w:rsid w:val="003B5775"/>
    <w:rsid w:val="003B5FEF"/>
    <w:rsid w:val="003B6B1D"/>
    <w:rsid w:val="003B6D4F"/>
    <w:rsid w:val="003C1BE2"/>
    <w:rsid w:val="003C4876"/>
    <w:rsid w:val="003C4B90"/>
    <w:rsid w:val="003C72BB"/>
    <w:rsid w:val="003D13AE"/>
    <w:rsid w:val="003D4367"/>
    <w:rsid w:val="003D53DA"/>
    <w:rsid w:val="003D571E"/>
    <w:rsid w:val="003D6131"/>
    <w:rsid w:val="003D6F83"/>
    <w:rsid w:val="003D72E7"/>
    <w:rsid w:val="003D7981"/>
    <w:rsid w:val="003E0004"/>
    <w:rsid w:val="003E02E0"/>
    <w:rsid w:val="003E11DB"/>
    <w:rsid w:val="003E1668"/>
    <w:rsid w:val="003E2199"/>
    <w:rsid w:val="003E466C"/>
    <w:rsid w:val="003E5518"/>
    <w:rsid w:val="003E6B7D"/>
    <w:rsid w:val="003E719E"/>
    <w:rsid w:val="003E7C6A"/>
    <w:rsid w:val="003E7DFA"/>
    <w:rsid w:val="003F1B83"/>
    <w:rsid w:val="003F46E3"/>
    <w:rsid w:val="003F7C42"/>
    <w:rsid w:val="004009D1"/>
    <w:rsid w:val="00402221"/>
    <w:rsid w:val="00402782"/>
    <w:rsid w:val="004038BE"/>
    <w:rsid w:val="004038CD"/>
    <w:rsid w:val="00403D82"/>
    <w:rsid w:val="00407C98"/>
    <w:rsid w:val="004111D2"/>
    <w:rsid w:val="0041167F"/>
    <w:rsid w:val="004125DC"/>
    <w:rsid w:val="0041630D"/>
    <w:rsid w:val="00417C9C"/>
    <w:rsid w:val="004211A9"/>
    <w:rsid w:val="00422FA2"/>
    <w:rsid w:val="00425074"/>
    <w:rsid w:val="00426D4F"/>
    <w:rsid w:val="00427BC4"/>
    <w:rsid w:val="004307A1"/>
    <w:rsid w:val="00433493"/>
    <w:rsid w:val="0043362E"/>
    <w:rsid w:val="00434521"/>
    <w:rsid w:val="004346A2"/>
    <w:rsid w:val="004355C5"/>
    <w:rsid w:val="00436BD7"/>
    <w:rsid w:val="004372DC"/>
    <w:rsid w:val="004374A2"/>
    <w:rsid w:val="0044036D"/>
    <w:rsid w:val="004445E4"/>
    <w:rsid w:val="00444CA2"/>
    <w:rsid w:val="00444D99"/>
    <w:rsid w:val="004458FA"/>
    <w:rsid w:val="00446C61"/>
    <w:rsid w:val="00451961"/>
    <w:rsid w:val="00451ED6"/>
    <w:rsid w:val="00454739"/>
    <w:rsid w:val="004553A2"/>
    <w:rsid w:val="0045632F"/>
    <w:rsid w:val="00457745"/>
    <w:rsid w:val="00460A1A"/>
    <w:rsid w:val="00460BE3"/>
    <w:rsid w:val="0046376C"/>
    <w:rsid w:val="00466196"/>
    <w:rsid w:val="004673D1"/>
    <w:rsid w:val="00467768"/>
    <w:rsid w:val="00467FF6"/>
    <w:rsid w:val="004879BB"/>
    <w:rsid w:val="004900EE"/>
    <w:rsid w:val="00490477"/>
    <w:rsid w:val="00490C50"/>
    <w:rsid w:val="00492088"/>
    <w:rsid w:val="004936D8"/>
    <w:rsid w:val="00496C56"/>
    <w:rsid w:val="00497B30"/>
    <w:rsid w:val="00497BDC"/>
    <w:rsid w:val="004A256F"/>
    <w:rsid w:val="004A4D27"/>
    <w:rsid w:val="004A55F0"/>
    <w:rsid w:val="004A70E3"/>
    <w:rsid w:val="004B20E3"/>
    <w:rsid w:val="004B722B"/>
    <w:rsid w:val="004C067F"/>
    <w:rsid w:val="004C1A35"/>
    <w:rsid w:val="004C2570"/>
    <w:rsid w:val="004C39CD"/>
    <w:rsid w:val="004C4529"/>
    <w:rsid w:val="004C63DB"/>
    <w:rsid w:val="004D11A4"/>
    <w:rsid w:val="004D1B11"/>
    <w:rsid w:val="004D24E9"/>
    <w:rsid w:val="004D5C3E"/>
    <w:rsid w:val="004D5FB7"/>
    <w:rsid w:val="004D60C1"/>
    <w:rsid w:val="004D68B5"/>
    <w:rsid w:val="004E020D"/>
    <w:rsid w:val="004E0890"/>
    <w:rsid w:val="004E365B"/>
    <w:rsid w:val="004E51AE"/>
    <w:rsid w:val="004E77A8"/>
    <w:rsid w:val="004F03F2"/>
    <w:rsid w:val="004F10A5"/>
    <w:rsid w:val="004F5CAB"/>
    <w:rsid w:val="004F6D12"/>
    <w:rsid w:val="004F7850"/>
    <w:rsid w:val="004F7EF4"/>
    <w:rsid w:val="004F7F7E"/>
    <w:rsid w:val="0050022E"/>
    <w:rsid w:val="005014CD"/>
    <w:rsid w:val="005040A9"/>
    <w:rsid w:val="00504419"/>
    <w:rsid w:val="005106AA"/>
    <w:rsid w:val="00510F55"/>
    <w:rsid w:val="00512900"/>
    <w:rsid w:val="00512D24"/>
    <w:rsid w:val="00513CC0"/>
    <w:rsid w:val="00514191"/>
    <w:rsid w:val="00514EB9"/>
    <w:rsid w:val="0051778C"/>
    <w:rsid w:val="00520C76"/>
    <w:rsid w:val="0052174E"/>
    <w:rsid w:val="00521D44"/>
    <w:rsid w:val="0052477E"/>
    <w:rsid w:val="00531980"/>
    <w:rsid w:val="00531AB3"/>
    <w:rsid w:val="0053201C"/>
    <w:rsid w:val="00532077"/>
    <w:rsid w:val="005328AC"/>
    <w:rsid w:val="00537249"/>
    <w:rsid w:val="00537423"/>
    <w:rsid w:val="00537717"/>
    <w:rsid w:val="00540A2F"/>
    <w:rsid w:val="005423DC"/>
    <w:rsid w:val="00542422"/>
    <w:rsid w:val="00542B32"/>
    <w:rsid w:val="005442DC"/>
    <w:rsid w:val="00546A07"/>
    <w:rsid w:val="00550D68"/>
    <w:rsid w:val="00551DF7"/>
    <w:rsid w:val="00552C2E"/>
    <w:rsid w:val="00552D6C"/>
    <w:rsid w:val="00553106"/>
    <w:rsid w:val="0055314E"/>
    <w:rsid w:val="005532E3"/>
    <w:rsid w:val="00560036"/>
    <w:rsid w:val="0056127E"/>
    <w:rsid w:val="00562705"/>
    <w:rsid w:val="0056431B"/>
    <w:rsid w:val="0056691A"/>
    <w:rsid w:val="005670F1"/>
    <w:rsid w:val="0057107C"/>
    <w:rsid w:val="00572311"/>
    <w:rsid w:val="00573847"/>
    <w:rsid w:val="00573E1B"/>
    <w:rsid w:val="00575849"/>
    <w:rsid w:val="00577EE6"/>
    <w:rsid w:val="005817E9"/>
    <w:rsid w:val="005825AA"/>
    <w:rsid w:val="00583460"/>
    <w:rsid w:val="005842F8"/>
    <w:rsid w:val="00584711"/>
    <w:rsid w:val="00585328"/>
    <w:rsid w:val="00585AB2"/>
    <w:rsid w:val="00585C22"/>
    <w:rsid w:val="00592080"/>
    <w:rsid w:val="00593E30"/>
    <w:rsid w:val="005949AC"/>
    <w:rsid w:val="00594DD3"/>
    <w:rsid w:val="005951D2"/>
    <w:rsid w:val="0059549D"/>
    <w:rsid w:val="005968E4"/>
    <w:rsid w:val="00597533"/>
    <w:rsid w:val="005A1AB4"/>
    <w:rsid w:val="005A2FA0"/>
    <w:rsid w:val="005A4744"/>
    <w:rsid w:val="005A4C41"/>
    <w:rsid w:val="005A578F"/>
    <w:rsid w:val="005A5A8C"/>
    <w:rsid w:val="005A773F"/>
    <w:rsid w:val="005A7A4D"/>
    <w:rsid w:val="005B1AF2"/>
    <w:rsid w:val="005B2332"/>
    <w:rsid w:val="005B4442"/>
    <w:rsid w:val="005B4774"/>
    <w:rsid w:val="005B5527"/>
    <w:rsid w:val="005C1354"/>
    <w:rsid w:val="005C5AEC"/>
    <w:rsid w:val="005C5FF5"/>
    <w:rsid w:val="005C6162"/>
    <w:rsid w:val="005D1E20"/>
    <w:rsid w:val="005D21CA"/>
    <w:rsid w:val="005D35B9"/>
    <w:rsid w:val="005D3B06"/>
    <w:rsid w:val="005D60B0"/>
    <w:rsid w:val="005D654B"/>
    <w:rsid w:val="005E0067"/>
    <w:rsid w:val="005E0FA0"/>
    <w:rsid w:val="005E2192"/>
    <w:rsid w:val="005E244C"/>
    <w:rsid w:val="005E2DBB"/>
    <w:rsid w:val="005E3836"/>
    <w:rsid w:val="005E3AE6"/>
    <w:rsid w:val="005E3B33"/>
    <w:rsid w:val="005E4423"/>
    <w:rsid w:val="005F036E"/>
    <w:rsid w:val="005F067F"/>
    <w:rsid w:val="005F0C1D"/>
    <w:rsid w:val="005F1D3A"/>
    <w:rsid w:val="005F46FC"/>
    <w:rsid w:val="005F5700"/>
    <w:rsid w:val="005F607A"/>
    <w:rsid w:val="005F61E6"/>
    <w:rsid w:val="005F7293"/>
    <w:rsid w:val="005F75D1"/>
    <w:rsid w:val="0060339C"/>
    <w:rsid w:val="006045C8"/>
    <w:rsid w:val="0060591A"/>
    <w:rsid w:val="00606063"/>
    <w:rsid w:val="00610140"/>
    <w:rsid w:val="00610C16"/>
    <w:rsid w:val="00613DA9"/>
    <w:rsid w:val="006144CB"/>
    <w:rsid w:val="00614F50"/>
    <w:rsid w:val="00616670"/>
    <w:rsid w:val="006170FB"/>
    <w:rsid w:val="00617875"/>
    <w:rsid w:val="00621558"/>
    <w:rsid w:val="00622C3B"/>
    <w:rsid w:val="0062721D"/>
    <w:rsid w:val="00630DD0"/>
    <w:rsid w:val="006348B9"/>
    <w:rsid w:val="00634A7A"/>
    <w:rsid w:val="00636FF0"/>
    <w:rsid w:val="0063737F"/>
    <w:rsid w:val="0064218B"/>
    <w:rsid w:val="0064219C"/>
    <w:rsid w:val="00644899"/>
    <w:rsid w:val="00645635"/>
    <w:rsid w:val="00646218"/>
    <w:rsid w:val="00650E04"/>
    <w:rsid w:val="00651EF0"/>
    <w:rsid w:val="0065298D"/>
    <w:rsid w:val="00652B02"/>
    <w:rsid w:val="006544BF"/>
    <w:rsid w:val="006558F1"/>
    <w:rsid w:val="0065615F"/>
    <w:rsid w:val="00657797"/>
    <w:rsid w:val="006606BA"/>
    <w:rsid w:val="00665A2C"/>
    <w:rsid w:val="00667B46"/>
    <w:rsid w:val="00667FB4"/>
    <w:rsid w:val="0067069F"/>
    <w:rsid w:val="00672079"/>
    <w:rsid w:val="00674982"/>
    <w:rsid w:val="006803C1"/>
    <w:rsid w:val="00680D7A"/>
    <w:rsid w:val="006813BB"/>
    <w:rsid w:val="0068153E"/>
    <w:rsid w:val="00683CFB"/>
    <w:rsid w:val="00685D5B"/>
    <w:rsid w:val="006861B6"/>
    <w:rsid w:val="0068635C"/>
    <w:rsid w:val="00692B7C"/>
    <w:rsid w:val="0069364C"/>
    <w:rsid w:val="00695089"/>
    <w:rsid w:val="006A0AE8"/>
    <w:rsid w:val="006A2350"/>
    <w:rsid w:val="006A3534"/>
    <w:rsid w:val="006A3D6C"/>
    <w:rsid w:val="006A55B9"/>
    <w:rsid w:val="006A5E33"/>
    <w:rsid w:val="006A66F5"/>
    <w:rsid w:val="006B16A9"/>
    <w:rsid w:val="006B379D"/>
    <w:rsid w:val="006B37BE"/>
    <w:rsid w:val="006B3BD5"/>
    <w:rsid w:val="006B4062"/>
    <w:rsid w:val="006B6B6A"/>
    <w:rsid w:val="006B747E"/>
    <w:rsid w:val="006C165A"/>
    <w:rsid w:val="006C16B4"/>
    <w:rsid w:val="006C1714"/>
    <w:rsid w:val="006C177A"/>
    <w:rsid w:val="006C32E8"/>
    <w:rsid w:val="006C3307"/>
    <w:rsid w:val="006C48F4"/>
    <w:rsid w:val="006C50D9"/>
    <w:rsid w:val="006D1042"/>
    <w:rsid w:val="006D1EB8"/>
    <w:rsid w:val="006D2BE3"/>
    <w:rsid w:val="006D4963"/>
    <w:rsid w:val="006D6EB4"/>
    <w:rsid w:val="006E0244"/>
    <w:rsid w:val="006E2468"/>
    <w:rsid w:val="006E27F8"/>
    <w:rsid w:val="006E3F75"/>
    <w:rsid w:val="006E413F"/>
    <w:rsid w:val="006E4904"/>
    <w:rsid w:val="006F22AD"/>
    <w:rsid w:val="006F2F14"/>
    <w:rsid w:val="006F42F3"/>
    <w:rsid w:val="006F4CA7"/>
    <w:rsid w:val="006F5C8E"/>
    <w:rsid w:val="006F7A03"/>
    <w:rsid w:val="007002A5"/>
    <w:rsid w:val="00701134"/>
    <w:rsid w:val="00701839"/>
    <w:rsid w:val="007039C7"/>
    <w:rsid w:val="00703AE4"/>
    <w:rsid w:val="00703D97"/>
    <w:rsid w:val="00704042"/>
    <w:rsid w:val="007063BD"/>
    <w:rsid w:val="00707259"/>
    <w:rsid w:val="0070775D"/>
    <w:rsid w:val="007077DF"/>
    <w:rsid w:val="0071071D"/>
    <w:rsid w:val="0071336D"/>
    <w:rsid w:val="007135DB"/>
    <w:rsid w:val="00713C8B"/>
    <w:rsid w:val="00713F22"/>
    <w:rsid w:val="007146E8"/>
    <w:rsid w:val="007147C1"/>
    <w:rsid w:val="00715FD4"/>
    <w:rsid w:val="00716900"/>
    <w:rsid w:val="00716F43"/>
    <w:rsid w:val="007172F3"/>
    <w:rsid w:val="007179C8"/>
    <w:rsid w:val="00722AE5"/>
    <w:rsid w:val="00723289"/>
    <w:rsid w:val="00723FB5"/>
    <w:rsid w:val="007242B3"/>
    <w:rsid w:val="00726109"/>
    <w:rsid w:val="00733859"/>
    <w:rsid w:val="00734333"/>
    <w:rsid w:val="0073505D"/>
    <w:rsid w:val="007372BC"/>
    <w:rsid w:val="00740433"/>
    <w:rsid w:val="00741FA1"/>
    <w:rsid w:val="00742908"/>
    <w:rsid w:val="00742981"/>
    <w:rsid w:val="007429B7"/>
    <w:rsid w:val="0074372C"/>
    <w:rsid w:val="007443C3"/>
    <w:rsid w:val="00744606"/>
    <w:rsid w:val="00744D14"/>
    <w:rsid w:val="00745820"/>
    <w:rsid w:val="00750CDA"/>
    <w:rsid w:val="00753D35"/>
    <w:rsid w:val="00757972"/>
    <w:rsid w:val="00757EE9"/>
    <w:rsid w:val="00757F22"/>
    <w:rsid w:val="00761EB2"/>
    <w:rsid w:val="007625A8"/>
    <w:rsid w:val="00764506"/>
    <w:rsid w:val="00764DC2"/>
    <w:rsid w:val="0077091F"/>
    <w:rsid w:val="00770D5C"/>
    <w:rsid w:val="007720DA"/>
    <w:rsid w:val="00773185"/>
    <w:rsid w:val="00773D41"/>
    <w:rsid w:val="00780799"/>
    <w:rsid w:val="00780BF6"/>
    <w:rsid w:val="007812DE"/>
    <w:rsid w:val="007820A6"/>
    <w:rsid w:val="007829D3"/>
    <w:rsid w:val="00786F37"/>
    <w:rsid w:val="0079171F"/>
    <w:rsid w:val="00791CE8"/>
    <w:rsid w:val="0079271F"/>
    <w:rsid w:val="00793AD4"/>
    <w:rsid w:val="007A079C"/>
    <w:rsid w:val="007A2F17"/>
    <w:rsid w:val="007A33A6"/>
    <w:rsid w:val="007A41B5"/>
    <w:rsid w:val="007A5C39"/>
    <w:rsid w:val="007A7ED5"/>
    <w:rsid w:val="007B08AD"/>
    <w:rsid w:val="007B0B01"/>
    <w:rsid w:val="007B1AEE"/>
    <w:rsid w:val="007B22A3"/>
    <w:rsid w:val="007B5479"/>
    <w:rsid w:val="007B721E"/>
    <w:rsid w:val="007B7C30"/>
    <w:rsid w:val="007C2F2D"/>
    <w:rsid w:val="007C371B"/>
    <w:rsid w:val="007C44F8"/>
    <w:rsid w:val="007C480E"/>
    <w:rsid w:val="007C5646"/>
    <w:rsid w:val="007C6A81"/>
    <w:rsid w:val="007C70EC"/>
    <w:rsid w:val="007D1504"/>
    <w:rsid w:val="007D1F37"/>
    <w:rsid w:val="007D29F8"/>
    <w:rsid w:val="007D6BF7"/>
    <w:rsid w:val="007E0DB8"/>
    <w:rsid w:val="007E3A91"/>
    <w:rsid w:val="007E3C64"/>
    <w:rsid w:val="007E42E1"/>
    <w:rsid w:val="007E440D"/>
    <w:rsid w:val="007E549D"/>
    <w:rsid w:val="007E5766"/>
    <w:rsid w:val="007E7ABA"/>
    <w:rsid w:val="007E7BAA"/>
    <w:rsid w:val="007F1A87"/>
    <w:rsid w:val="007F1C24"/>
    <w:rsid w:val="007F35E7"/>
    <w:rsid w:val="007F44DC"/>
    <w:rsid w:val="007F4A15"/>
    <w:rsid w:val="007F52FD"/>
    <w:rsid w:val="007F61A8"/>
    <w:rsid w:val="00800484"/>
    <w:rsid w:val="008025D7"/>
    <w:rsid w:val="00803F4C"/>
    <w:rsid w:val="00804877"/>
    <w:rsid w:val="0080529D"/>
    <w:rsid w:val="00811073"/>
    <w:rsid w:val="0081142C"/>
    <w:rsid w:val="008120DC"/>
    <w:rsid w:val="00812255"/>
    <w:rsid w:val="00813936"/>
    <w:rsid w:val="008163B6"/>
    <w:rsid w:val="008200C7"/>
    <w:rsid w:val="008205B0"/>
    <w:rsid w:val="008213C9"/>
    <w:rsid w:val="00824118"/>
    <w:rsid w:val="00824B1A"/>
    <w:rsid w:val="0083050E"/>
    <w:rsid w:val="008306CC"/>
    <w:rsid w:val="00830793"/>
    <w:rsid w:val="008314AD"/>
    <w:rsid w:val="0083169F"/>
    <w:rsid w:val="008332AA"/>
    <w:rsid w:val="008335FD"/>
    <w:rsid w:val="008348E5"/>
    <w:rsid w:val="00834EFF"/>
    <w:rsid w:val="00835DC6"/>
    <w:rsid w:val="00836DF2"/>
    <w:rsid w:val="00837C65"/>
    <w:rsid w:val="00841470"/>
    <w:rsid w:val="0084199E"/>
    <w:rsid w:val="008420BE"/>
    <w:rsid w:val="008425C1"/>
    <w:rsid w:val="008432BC"/>
    <w:rsid w:val="00843D3D"/>
    <w:rsid w:val="00846322"/>
    <w:rsid w:val="00850566"/>
    <w:rsid w:val="00850AC8"/>
    <w:rsid w:val="0085298E"/>
    <w:rsid w:val="00853971"/>
    <w:rsid w:val="0085492C"/>
    <w:rsid w:val="00854DE9"/>
    <w:rsid w:val="0085617C"/>
    <w:rsid w:val="00856385"/>
    <w:rsid w:val="0085707B"/>
    <w:rsid w:val="00860C27"/>
    <w:rsid w:val="0086131C"/>
    <w:rsid w:val="00862513"/>
    <w:rsid w:val="00863452"/>
    <w:rsid w:val="0086514D"/>
    <w:rsid w:val="008659BC"/>
    <w:rsid w:val="0086777E"/>
    <w:rsid w:val="00867F49"/>
    <w:rsid w:val="00871321"/>
    <w:rsid w:val="0087603A"/>
    <w:rsid w:val="008767F6"/>
    <w:rsid w:val="00877064"/>
    <w:rsid w:val="0088066E"/>
    <w:rsid w:val="00881539"/>
    <w:rsid w:val="00882FEA"/>
    <w:rsid w:val="00883EF4"/>
    <w:rsid w:val="00886256"/>
    <w:rsid w:val="008863E7"/>
    <w:rsid w:val="00886544"/>
    <w:rsid w:val="008904F2"/>
    <w:rsid w:val="0089517C"/>
    <w:rsid w:val="008A0A94"/>
    <w:rsid w:val="008A1D12"/>
    <w:rsid w:val="008A1EFE"/>
    <w:rsid w:val="008A38EF"/>
    <w:rsid w:val="008A4B83"/>
    <w:rsid w:val="008B157A"/>
    <w:rsid w:val="008B3C1C"/>
    <w:rsid w:val="008B3F44"/>
    <w:rsid w:val="008B4D4C"/>
    <w:rsid w:val="008B6A02"/>
    <w:rsid w:val="008B6D47"/>
    <w:rsid w:val="008B6F58"/>
    <w:rsid w:val="008B71F1"/>
    <w:rsid w:val="008B74BC"/>
    <w:rsid w:val="008B74F7"/>
    <w:rsid w:val="008C06AF"/>
    <w:rsid w:val="008C26F3"/>
    <w:rsid w:val="008C41DB"/>
    <w:rsid w:val="008C46BF"/>
    <w:rsid w:val="008C4E96"/>
    <w:rsid w:val="008C614D"/>
    <w:rsid w:val="008C6639"/>
    <w:rsid w:val="008C6C73"/>
    <w:rsid w:val="008D01D5"/>
    <w:rsid w:val="008D0B32"/>
    <w:rsid w:val="008D0DCB"/>
    <w:rsid w:val="008D19AF"/>
    <w:rsid w:val="008D4196"/>
    <w:rsid w:val="008D57C5"/>
    <w:rsid w:val="008D6FF4"/>
    <w:rsid w:val="008D7B5D"/>
    <w:rsid w:val="008E115D"/>
    <w:rsid w:val="008E390E"/>
    <w:rsid w:val="008E6524"/>
    <w:rsid w:val="008E6808"/>
    <w:rsid w:val="008E70AF"/>
    <w:rsid w:val="008F06C2"/>
    <w:rsid w:val="008F08CA"/>
    <w:rsid w:val="008F1F5A"/>
    <w:rsid w:val="008F2F70"/>
    <w:rsid w:val="008F347E"/>
    <w:rsid w:val="008F3CEB"/>
    <w:rsid w:val="008F4951"/>
    <w:rsid w:val="008F69C4"/>
    <w:rsid w:val="00900510"/>
    <w:rsid w:val="00902A28"/>
    <w:rsid w:val="009061EB"/>
    <w:rsid w:val="0090733E"/>
    <w:rsid w:val="00907CB1"/>
    <w:rsid w:val="00911CFC"/>
    <w:rsid w:val="00911D13"/>
    <w:rsid w:val="00912DC5"/>
    <w:rsid w:val="009131C1"/>
    <w:rsid w:val="00913B53"/>
    <w:rsid w:val="00913EE6"/>
    <w:rsid w:val="00914A67"/>
    <w:rsid w:val="00916400"/>
    <w:rsid w:val="00916EE7"/>
    <w:rsid w:val="009174D0"/>
    <w:rsid w:val="00921CAC"/>
    <w:rsid w:val="009233FA"/>
    <w:rsid w:val="009275C1"/>
    <w:rsid w:val="009278A6"/>
    <w:rsid w:val="0093172F"/>
    <w:rsid w:val="00933ABC"/>
    <w:rsid w:val="00936D59"/>
    <w:rsid w:val="00936D5C"/>
    <w:rsid w:val="0094134E"/>
    <w:rsid w:val="00943425"/>
    <w:rsid w:val="00944F63"/>
    <w:rsid w:val="009549C8"/>
    <w:rsid w:val="00955847"/>
    <w:rsid w:val="00957141"/>
    <w:rsid w:val="00960B96"/>
    <w:rsid w:val="009614A2"/>
    <w:rsid w:val="009620AF"/>
    <w:rsid w:val="00964B50"/>
    <w:rsid w:val="00964C41"/>
    <w:rsid w:val="00965A19"/>
    <w:rsid w:val="009661C9"/>
    <w:rsid w:val="00966B5C"/>
    <w:rsid w:val="00970C4A"/>
    <w:rsid w:val="00971667"/>
    <w:rsid w:val="00972D7D"/>
    <w:rsid w:val="0097394D"/>
    <w:rsid w:val="009759F6"/>
    <w:rsid w:val="00976C59"/>
    <w:rsid w:val="0097797B"/>
    <w:rsid w:val="00980B20"/>
    <w:rsid w:val="0098159A"/>
    <w:rsid w:val="00981BA0"/>
    <w:rsid w:val="0098245D"/>
    <w:rsid w:val="0098292F"/>
    <w:rsid w:val="00982BE7"/>
    <w:rsid w:val="00983267"/>
    <w:rsid w:val="00983ECE"/>
    <w:rsid w:val="00984B5E"/>
    <w:rsid w:val="00986CBC"/>
    <w:rsid w:val="00986F32"/>
    <w:rsid w:val="009916ED"/>
    <w:rsid w:val="00991E94"/>
    <w:rsid w:val="00991F9A"/>
    <w:rsid w:val="009926E2"/>
    <w:rsid w:val="009930DB"/>
    <w:rsid w:val="00993C97"/>
    <w:rsid w:val="00995543"/>
    <w:rsid w:val="00996203"/>
    <w:rsid w:val="009A1F74"/>
    <w:rsid w:val="009A3C04"/>
    <w:rsid w:val="009A43EC"/>
    <w:rsid w:val="009A6280"/>
    <w:rsid w:val="009A790B"/>
    <w:rsid w:val="009B0D54"/>
    <w:rsid w:val="009B44DE"/>
    <w:rsid w:val="009B4964"/>
    <w:rsid w:val="009B5C4C"/>
    <w:rsid w:val="009B7564"/>
    <w:rsid w:val="009B7E94"/>
    <w:rsid w:val="009C1C4E"/>
    <w:rsid w:val="009C2AA9"/>
    <w:rsid w:val="009C44DA"/>
    <w:rsid w:val="009C462F"/>
    <w:rsid w:val="009C5AF8"/>
    <w:rsid w:val="009C6C5D"/>
    <w:rsid w:val="009D0F65"/>
    <w:rsid w:val="009D19CA"/>
    <w:rsid w:val="009D294D"/>
    <w:rsid w:val="009D4295"/>
    <w:rsid w:val="009D4C0B"/>
    <w:rsid w:val="009D4EA5"/>
    <w:rsid w:val="009D63C2"/>
    <w:rsid w:val="009D726A"/>
    <w:rsid w:val="009E0377"/>
    <w:rsid w:val="009E077E"/>
    <w:rsid w:val="009E17C0"/>
    <w:rsid w:val="009E1B91"/>
    <w:rsid w:val="009E1C61"/>
    <w:rsid w:val="009E1D57"/>
    <w:rsid w:val="009E256E"/>
    <w:rsid w:val="009E7003"/>
    <w:rsid w:val="009F0640"/>
    <w:rsid w:val="009F1172"/>
    <w:rsid w:val="009F21B5"/>
    <w:rsid w:val="009F38BE"/>
    <w:rsid w:val="009F48F5"/>
    <w:rsid w:val="009F5D82"/>
    <w:rsid w:val="009F6B9E"/>
    <w:rsid w:val="00A002C5"/>
    <w:rsid w:val="00A00AD4"/>
    <w:rsid w:val="00A00BCF"/>
    <w:rsid w:val="00A00DF0"/>
    <w:rsid w:val="00A03879"/>
    <w:rsid w:val="00A060B9"/>
    <w:rsid w:val="00A062BC"/>
    <w:rsid w:val="00A072EB"/>
    <w:rsid w:val="00A10AC0"/>
    <w:rsid w:val="00A12AFE"/>
    <w:rsid w:val="00A1565E"/>
    <w:rsid w:val="00A15EB5"/>
    <w:rsid w:val="00A173D6"/>
    <w:rsid w:val="00A20B96"/>
    <w:rsid w:val="00A218F7"/>
    <w:rsid w:val="00A232B4"/>
    <w:rsid w:val="00A250C9"/>
    <w:rsid w:val="00A25BA4"/>
    <w:rsid w:val="00A26485"/>
    <w:rsid w:val="00A27926"/>
    <w:rsid w:val="00A32228"/>
    <w:rsid w:val="00A32392"/>
    <w:rsid w:val="00A330B9"/>
    <w:rsid w:val="00A336BE"/>
    <w:rsid w:val="00A336DA"/>
    <w:rsid w:val="00A3461D"/>
    <w:rsid w:val="00A34FFE"/>
    <w:rsid w:val="00A36F9A"/>
    <w:rsid w:val="00A37218"/>
    <w:rsid w:val="00A37544"/>
    <w:rsid w:val="00A37769"/>
    <w:rsid w:val="00A37857"/>
    <w:rsid w:val="00A41E98"/>
    <w:rsid w:val="00A42370"/>
    <w:rsid w:val="00A4382C"/>
    <w:rsid w:val="00A4420D"/>
    <w:rsid w:val="00A44ECC"/>
    <w:rsid w:val="00A46282"/>
    <w:rsid w:val="00A51773"/>
    <w:rsid w:val="00A5499E"/>
    <w:rsid w:val="00A54D7A"/>
    <w:rsid w:val="00A601C7"/>
    <w:rsid w:val="00A608E9"/>
    <w:rsid w:val="00A60F36"/>
    <w:rsid w:val="00A61B71"/>
    <w:rsid w:val="00A62331"/>
    <w:rsid w:val="00A62D3A"/>
    <w:rsid w:val="00A635AE"/>
    <w:rsid w:val="00A63AA2"/>
    <w:rsid w:val="00A65720"/>
    <w:rsid w:val="00A65E07"/>
    <w:rsid w:val="00A66101"/>
    <w:rsid w:val="00A70FAC"/>
    <w:rsid w:val="00A7229E"/>
    <w:rsid w:val="00A72D13"/>
    <w:rsid w:val="00A7469A"/>
    <w:rsid w:val="00A7613F"/>
    <w:rsid w:val="00A77B9E"/>
    <w:rsid w:val="00A806A6"/>
    <w:rsid w:val="00A83F02"/>
    <w:rsid w:val="00A83F0B"/>
    <w:rsid w:val="00A8437C"/>
    <w:rsid w:val="00A84C3C"/>
    <w:rsid w:val="00A85D22"/>
    <w:rsid w:val="00A861A8"/>
    <w:rsid w:val="00A90A0E"/>
    <w:rsid w:val="00A91EA9"/>
    <w:rsid w:val="00A92B22"/>
    <w:rsid w:val="00A93C11"/>
    <w:rsid w:val="00A93E34"/>
    <w:rsid w:val="00A95EA4"/>
    <w:rsid w:val="00A965DF"/>
    <w:rsid w:val="00A977DE"/>
    <w:rsid w:val="00AA0B93"/>
    <w:rsid w:val="00AA2839"/>
    <w:rsid w:val="00AA3379"/>
    <w:rsid w:val="00AA3D94"/>
    <w:rsid w:val="00AA440B"/>
    <w:rsid w:val="00AA50EC"/>
    <w:rsid w:val="00AB218C"/>
    <w:rsid w:val="00AB2D3A"/>
    <w:rsid w:val="00AB2E30"/>
    <w:rsid w:val="00AB36E6"/>
    <w:rsid w:val="00AB38EC"/>
    <w:rsid w:val="00AB5C39"/>
    <w:rsid w:val="00AB5D7A"/>
    <w:rsid w:val="00AB7B50"/>
    <w:rsid w:val="00AB7CC2"/>
    <w:rsid w:val="00AC012D"/>
    <w:rsid w:val="00AC64BD"/>
    <w:rsid w:val="00AC66B9"/>
    <w:rsid w:val="00AC725E"/>
    <w:rsid w:val="00AC78C8"/>
    <w:rsid w:val="00AD0435"/>
    <w:rsid w:val="00AD2AFC"/>
    <w:rsid w:val="00AD3F38"/>
    <w:rsid w:val="00AD5A3D"/>
    <w:rsid w:val="00AD782A"/>
    <w:rsid w:val="00AE1463"/>
    <w:rsid w:val="00AE3CBB"/>
    <w:rsid w:val="00AE4552"/>
    <w:rsid w:val="00AE6FDC"/>
    <w:rsid w:val="00AF1D2B"/>
    <w:rsid w:val="00AF5548"/>
    <w:rsid w:val="00B031EC"/>
    <w:rsid w:val="00B04DC9"/>
    <w:rsid w:val="00B05668"/>
    <w:rsid w:val="00B0634C"/>
    <w:rsid w:val="00B06DC6"/>
    <w:rsid w:val="00B129DF"/>
    <w:rsid w:val="00B15AA8"/>
    <w:rsid w:val="00B16042"/>
    <w:rsid w:val="00B16695"/>
    <w:rsid w:val="00B17D90"/>
    <w:rsid w:val="00B20669"/>
    <w:rsid w:val="00B20BFE"/>
    <w:rsid w:val="00B20CAC"/>
    <w:rsid w:val="00B22180"/>
    <w:rsid w:val="00B22277"/>
    <w:rsid w:val="00B23DD9"/>
    <w:rsid w:val="00B24AA4"/>
    <w:rsid w:val="00B25BC9"/>
    <w:rsid w:val="00B268D2"/>
    <w:rsid w:val="00B269CA"/>
    <w:rsid w:val="00B3120C"/>
    <w:rsid w:val="00B31E8E"/>
    <w:rsid w:val="00B320E2"/>
    <w:rsid w:val="00B35E0B"/>
    <w:rsid w:val="00B36200"/>
    <w:rsid w:val="00B36572"/>
    <w:rsid w:val="00B4063A"/>
    <w:rsid w:val="00B4129C"/>
    <w:rsid w:val="00B41A9B"/>
    <w:rsid w:val="00B43DFE"/>
    <w:rsid w:val="00B44293"/>
    <w:rsid w:val="00B44677"/>
    <w:rsid w:val="00B47B61"/>
    <w:rsid w:val="00B505A8"/>
    <w:rsid w:val="00B515E9"/>
    <w:rsid w:val="00B51C48"/>
    <w:rsid w:val="00B52B5B"/>
    <w:rsid w:val="00B56442"/>
    <w:rsid w:val="00B607DD"/>
    <w:rsid w:val="00B6367A"/>
    <w:rsid w:val="00B64093"/>
    <w:rsid w:val="00B64A9C"/>
    <w:rsid w:val="00B654E6"/>
    <w:rsid w:val="00B658FF"/>
    <w:rsid w:val="00B66060"/>
    <w:rsid w:val="00B66FAE"/>
    <w:rsid w:val="00B6733F"/>
    <w:rsid w:val="00B67F6B"/>
    <w:rsid w:val="00B70080"/>
    <w:rsid w:val="00B701E7"/>
    <w:rsid w:val="00B705BE"/>
    <w:rsid w:val="00B75172"/>
    <w:rsid w:val="00B7650D"/>
    <w:rsid w:val="00B77098"/>
    <w:rsid w:val="00B81187"/>
    <w:rsid w:val="00B81FE5"/>
    <w:rsid w:val="00B83FD7"/>
    <w:rsid w:val="00B85000"/>
    <w:rsid w:val="00B85C50"/>
    <w:rsid w:val="00B85EB8"/>
    <w:rsid w:val="00B91481"/>
    <w:rsid w:val="00B917C5"/>
    <w:rsid w:val="00B92CE1"/>
    <w:rsid w:val="00B94219"/>
    <w:rsid w:val="00B944C0"/>
    <w:rsid w:val="00B96076"/>
    <w:rsid w:val="00B974FB"/>
    <w:rsid w:val="00BA06EC"/>
    <w:rsid w:val="00BA0752"/>
    <w:rsid w:val="00BA0BFB"/>
    <w:rsid w:val="00BA0D5A"/>
    <w:rsid w:val="00BA1D5A"/>
    <w:rsid w:val="00BA1DC8"/>
    <w:rsid w:val="00BA204C"/>
    <w:rsid w:val="00BA2114"/>
    <w:rsid w:val="00BA5744"/>
    <w:rsid w:val="00BA5D65"/>
    <w:rsid w:val="00BB038C"/>
    <w:rsid w:val="00BB24E8"/>
    <w:rsid w:val="00BB29A8"/>
    <w:rsid w:val="00BB3830"/>
    <w:rsid w:val="00BB4785"/>
    <w:rsid w:val="00BB5393"/>
    <w:rsid w:val="00BB75C6"/>
    <w:rsid w:val="00BB7B5E"/>
    <w:rsid w:val="00BC050B"/>
    <w:rsid w:val="00BC0E18"/>
    <w:rsid w:val="00BC18EA"/>
    <w:rsid w:val="00BC1A81"/>
    <w:rsid w:val="00BC2A47"/>
    <w:rsid w:val="00BC36BE"/>
    <w:rsid w:val="00BC7037"/>
    <w:rsid w:val="00BC7E3B"/>
    <w:rsid w:val="00BD0661"/>
    <w:rsid w:val="00BD4710"/>
    <w:rsid w:val="00BD55F3"/>
    <w:rsid w:val="00BD66B4"/>
    <w:rsid w:val="00BD670C"/>
    <w:rsid w:val="00BD776F"/>
    <w:rsid w:val="00BD7ABE"/>
    <w:rsid w:val="00BE0F17"/>
    <w:rsid w:val="00BE1114"/>
    <w:rsid w:val="00BE2198"/>
    <w:rsid w:val="00BE334C"/>
    <w:rsid w:val="00BE3CD5"/>
    <w:rsid w:val="00BE4EC2"/>
    <w:rsid w:val="00BE5002"/>
    <w:rsid w:val="00BE7C3F"/>
    <w:rsid w:val="00BF2DA9"/>
    <w:rsid w:val="00BF46ED"/>
    <w:rsid w:val="00C00B20"/>
    <w:rsid w:val="00C018AD"/>
    <w:rsid w:val="00C02B2C"/>
    <w:rsid w:val="00C048CD"/>
    <w:rsid w:val="00C06BBB"/>
    <w:rsid w:val="00C10812"/>
    <w:rsid w:val="00C10A10"/>
    <w:rsid w:val="00C11481"/>
    <w:rsid w:val="00C117A2"/>
    <w:rsid w:val="00C13765"/>
    <w:rsid w:val="00C13E6A"/>
    <w:rsid w:val="00C14324"/>
    <w:rsid w:val="00C152F4"/>
    <w:rsid w:val="00C15746"/>
    <w:rsid w:val="00C174CB"/>
    <w:rsid w:val="00C21491"/>
    <w:rsid w:val="00C22D1C"/>
    <w:rsid w:val="00C239A1"/>
    <w:rsid w:val="00C2563B"/>
    <w:rsid w:val="00C27614"/>
    <w:rsid w:val="00C276B9"/>
    <w:rsid w:val="00C30C4A"/>
    <w:rsid w:val="00C30D2B"/>
    <w:rsid w:val="00C34147"/>
    <w:rsid w:val="00C3448D"/>
    <w:rsid w:val="00C362DD"/>
    <w:rsid w:val="00C41FCC"/>
    <w:rsid w:val="00C4335D"/>
    <w:rsid w:val="00C45CA3"/>
    <w:rsid w:val="00C46D85"/>
    <w:rsid w:val="00C47CE0"/>
    <w:rsid w:val="00C52661"/>
    <w:rsid w:val="00C52F8D"/>
    <w:rsid w:val="00C53DCF"/>
    <w:rsid w:val="00C55113"/>
    <w:rsid w:val="00C60183"/>
    <w:rsid w:val="00C60924"/>
    <w:rsid w:val="00C61774"/>
    <w:rsid w:val="00C6177F"/>
    <w:rsid w:val="00C63BF9"/>
    <w:rsid w:val="00C65342"/>
    <w:rsid w:val="00C6586D"/>
    <w:rsid w:val="00C65DA4"/>
    <w:rsid w:val="00C67022"/>
    <w:rsid w:val="00C67ED2"/>
    <w:rsid w:val="00C720FA"/>
    <w:rsid w:val="00C72A0E"/>
    <w:rsid w:val="00C73EA0"/>
    <w:rsid w:val="00C772A4"/>
    <w:rsid w:val="00C80A8D"/>
    <w:rsid w:val="00C813C7"/>
    <w:rsid w:val="00C84582"/>
    <w:rsid w:val="00C85DE8"/>
    <w:rsid w:val="00C90AF1"/>
    <w:rsid w:val="00C94479"/>
    <w:rsid w:val="00C9499C"/>
    <w:rsid w:val="00C96207"/>
    <w:rsid w:val="00C97591"/>
    <w:rsid w:val="00CA358B"/>
    <w:rsid w:val="00CA432C"/>
    <w:rsid w:val="00CA55BD"/>
    <w:rsid w:val="00CA5A84"/>
    <w:rsid w:val="00CA63F4"/>
    <w:rsid w:val="00CB02EF"/>
    <w:rsid w:val="00CB0B7C"/>
    <w:rsid w:val="00CB35C8"/>
    <w:rsid w:val="00CB503E"/>
    <w:rsid w:val="00CB7B14"/>
    <w:rsid w:val="00CC014A"/>
    <w:rsid w:val="00CC4112"/>
    <w:rsid w:val="00CD07C9"/>
    <w:rsid w:val="00CD4D14"/>
    <w:rsid w:val="00CD54A0"/>
    <w:rsid w:val="00CD6A42"/>
    <w:rsid w:val="00CD6FCD"/>
    <w:rsid w:val="00CD772E"/>
    <w:rsid w:val="00CE0CB6"/>
    <w:rsid w:val="00CE117D"/>
    <w:rsid w:val="00CE121F"/>
    <w:rsid w:val="00CE21E2"/>
    <w:rsid w:val="00CE2216"/>
    <w:rsid w:val="00CE23C0"/>
    <w:rsid w:val="00CE5E98"/>
    <w:rsid w:val="00CE6AFD"/>
    <w:rsid w:val="00CE7422"/>
    <w:rsid w:val="00CF27E7"/>
    <w:rsid w:val="00CF2CA2"/>
    <w:rsid w:val="00CF3400"/>
    <w:rsid w:val="00CF5159"/>
    <w:rsid w:val="00CF5F20"/>
    <w:rsid w:val="00D00257"/>
    <w:rsid w:val="00D00391"/>
    <w:rsid w:val="00D012C7"/>
    <w:rsid w:val="00D02620"/>
    <w:rsid w:val="00D02897"/>
    <w:rsid w:val="00D02F7E"/>
    <w:rsid w:val="00D04B45"/>
    <w:rsid w:val="00D0563B"/>
    <w:rsid w:val="00D06AC6"/>
    <w:rsid w:val="00D06DBD"/>
    <w:rsid w:val="00D104D8"/>
    <w:rsid w:val="00D116AA"/>
    <w:rsid w:val="00D13517"/>
    <w:rsid w:val="00D147AF"/>
    <w:rsid w:val="00D15D42"/>
    <w:rsid w:val="00D15E06"/>
    <w:rsid w:val="00D16B12"/>
    <w:rsid w:val="00D172FD"/>
    <w:rsid w:val="00D206FD"/>
    <w:rsid w:val="00D20F36"/>
    <w:rsid w:val="00D21AB5"/>
    <w:rsid w:val="00D22C45"/>
    <w:rsid w:val="00D23A56"/>
    <w:rsid w:val="00D24159"/>
    <w:rsid w:val="00D275CC"/>
    <w:rsid w:val="00D27D46"/>
    <w:rsid w:val="00D305EE"/>
    <w:rsid w:val="00D32614"/>
    <w:rsid w:val="00D344F5"/>
    <w:rsid w:val="00D36455"/>
    <w:rsid w:val="00D40A73"/>
    <w:rsid w:val="00D41C48"/>
    <w:rsid w:val="00D43ED3"/>
    <w:rsid w:val="00D43F9A"/>
    <w:rsid w:val="00D44506"/>
    <w:rsid w:val="00D4450F"/>
    <w:rsid w:val="00D470A8"/>
    <w:rsid w:val="00D5015A"/>
    <w:rsid w:val="00D53293"/>
    <w:rsid w:val="00D53FE8"/>
    <w:rsid w:val="00D54F4C"/>
    <w:rsid w:val="00D55DF5"/>
    <w:rsid w:val="00D5749B"/>
    <w:rsid w:val="00D61E12"/>
    <w:rsid w:val="00D634FB"/>
    <w:rsid w:val="00D63C1D"/>
    <w:rsid w:val="00D6461D"/>
    <w:rsid w:val="00D66747"/>
    <w:rsid w:val="00D73CE2"/>
    <w:rsid w:val="00D7468C"/>
    <w:rsid w:val="00D74A3E"/>
    <w:rsid w:val="00D753A8"/>
    <w:rsid w:val="00D76361"/>
    <w:rsid w:val="00D768AC"/>
    <w:rsid w:val="00D80194"/>
    <w:rsid w:val="00D80331"/>
    <w:rsid w:val="00D80835"/>
    <w:rsid w:val="00D80D9B"/>
    <w:rsid w:val="00D82CFC"/>
    <w:rsid w:val="00D835C6"/>
    <w:rsid w:val="00D84F2B"/>
    <w:rsid w:val="00D8649F"/>
    <w:rsid w:val="00D90371"/>
    <w:rsid w:val="00D90B00"/>
    <w:rsid w:val="00D929FA"/>
    <w:rsid w:val="00D92DA8"/>
    <w:rsid w:val="00D931C2"/>
    <w:rsid w:val="00D935DE"/>
    <w:rsid w:val="00D93B27"/>
    <w:rsid w:val="00D93E30"/>
    <w:rsid w:val="00D957E1"/>
    <w:rsid w:val="00D95E61"/>
    <w:rsid w:val="00D9783C"/>
    <w:rsid w:val="00D978E2"/>
    <w:rsid w:val="00D97D9F"/>
    <w:rsid w:val="00DA0DD1"/>
    <w:rsid w:val="00DA3C62"/>
    <w:rsid w:val="00DA4526"/>
    <w:rsid w:val="00DA48F0"/>
    <w:rsid w:val="00DA4E70"/>
    <w:rsid w:val="00DA5153"/>
    <w:rsid w:val="00DA7487"/>
    <w:rsid w:val="00DA7F46"/>
    <w:rsid w:val="00DB28A2"/>
    <w:rsid w:val="00DB3405"/>
    <w:rsid w:val="00DB3A7E"/>
    <w:rsid w:val="00DB6F0B"/>
    <w:rsid w:val="00DC1C1C"/>
    <w:rsid w:val="00DC27E7"/>
    <w:rsid w:val="00DC32C0"/>
    <w:rsid w:val="00DC4E29"/>
    <w:rsid w:val="00DC6633"/>
    <w:rsid w:val="00DC734A"/>
    <w:rsid w:val="00DC7478"/>
    <w:rsid w:val="00DC768B"/>
    <w:rsid w:val="00DC7871"/>
    <w:rsid w:val="00DD30A9"/>
    <w:rsid w:val="00DD3ECF"/>
    <w:rsid w:val="00DD4E94"/>
    <w:rsid w:val="00DD7373"/>
    <w:rsid w:val="00DD7574"/>
    <w:rsid w:val="00DE0B86"/>
    <w:rsid w:val="00DE3E47"/>
    <w:rsid w:val="00DE5784"/>
    <w:rsid w:val="00DE5FBF"/>
    <w:rsid w:val="00DE6A0D"/>
    <w:rsid w:val="00DF09E4"/>
    <w:rsid w:val="00DF1055"/>
    <w:rsid w:val="00DF2347"/>
    <w:rsid w:val="00DF42A0"/>
    <w:rsid w:val="00DF5C70"/>
    <w:rsid w:val="00E00853"/>
    <w:rsid w:val="00E00DBC"/>
    <w:rsid w:val="00E01414"/>
    <w:rsid w:val="00E01445"/>
    <w:rsid w:val="00E0156E"/>
    <w:rsid w:val="00E0232C"/>
    <w:rsid w:val="00E0551B"/>
    <w:rsid w:val="00E07792"/>
    <w:rsid w:val="00E10A8B"/>
    <w:rsid w:val="00E114F8"/>
    <w:rsid w:val="00E12A14"/>
    <w:rsid w:val="00E14B22"/>
    <w:rsid w:val="00E15233"/>
    <w:rsid w:val="00E15CCC"/>
    <w:rsid w:val="00E20648"/>
    <w:rsid w:val="00E24D71"/>
    <w:rsid w:val="00E32E7E"/>
    <w:rsid w:val="00E33898"/>
    <w:rsid w:val="00E343F2"/>
    <w:rsid w:val="00E371E1"/>
    <w:rsid w:val="00E44F47"/>
    <w:rsid w:val="00E46249"/>
    <w:rsid w:val="00E4651C"/>
    <w:rsid w:val="00E467EC"/>
    <w:rsid w:val="00E46E9D"/>
    <w:rsid w:val="00E47BD9"/>
    <w:rsid w:val="00E53ADD"/>
    <w:rsid w:val="00E55B79"/>
    <w:rsid w:val="00E578EC"/>
    <w:rsid w:val="00E60E11"/>
    <w:rsid w:val="00E62F7A"/>
    <w:rsid w:val="00E633E0"/>
    <w:rsid w:val="00E71132"/>
    <w:rsid w:val="00E75024"/>
    <w:rsid w:val="00E77ECE"/>
    <w:rsid w:val="00E81D66"/>
    <w:rsid w:val="00E8491F"/>
    <w:rsid w:val="00E86BDB"/>
    <w:rsid w:val="00E90288"/>
    <w:rsid w:val="00E90662"/>
    <w:rsid w:val="00E906A1"/>
    <w:rsid w:val="00E91587"/>
    <w:rsid w:val="00E92336"/>
    <w:rsid w:val="00E923A1"/>
    <w:rsid w:val="00E93E23"/>
    <w:rsid w:val="00E96101"/>
    <w:rsid w:val="00E97635"/>
    <w:rsid w:val="00EA00B3"/>
    <w:rsid w:val="00EA0A72"/>
    <w:rsid w:val="00EA0C0A"/>
    <w:rsid w:val="00EA364D"/>
    <w:rsid w:val="00EA4ACD"/>
    <w:rsid w:val="00EB12C8"/>
    <w:rsid w:val="00EB1BE8"/>
    <w:rsid w:val="00EB1E9C"/>
    <w:rsid w:val="00EB29F3"/>
    <w:rsid w:val="00EB2D97"/>
    <w:rsid w:val="00EB7332"/>
    <w:rsid w:val="00EC0124"/>
    <w:rsid w:val="00EC29BA"/>
    <w:rsid w:val="00EC3659"/>
    <w:rsid w:val="00EC586C"/>
    <w:rsid w:val="00EC6FC8"/>
    <w:rsid w:val="00EC700F"/>
    <w:rsid w:val="00EC716B"/>
    <w:rsid w:val="00EC75F5"/>
    <w:rsid w:val="00EC7A23"/>
    <w:rsid w:val="00ED0ED6"/>
    <w:rsid w:val="00ED0F4E"/>
    <w:rsid w:val="00ED2D00"/>
    <w:rsid w:val="00ED490F"/>
    <w:rsid w:val="00ED668A"/>
    <w:rsid w:val="00ED7038"/>
    <w:rsid w:val="00EE01B3"/>
    <w:rsid w:val="00EE1A60"/>
    <w:rsid w:val="00EE47F5"/>
    <w:rsid w:val="00EE72FA"/>
    <w:rsid w:val="00EF03E0"/>
    <w:rsid w:val="00EF2192"/>
    <w:rsid w:val="00EF252A"/>
    <w:rsid w:val="00EF2DD3"/>
    <w:rsid w:val="00EF44C1"/>
    <w:rsid w:val="00EF5B25"/>
    <w:rsid w:val="00F026D3"/>
    <w:rsid w:val="00F038C6"/>
    <w:rsid w:val="00F05609"/>
    <w:rsid w:val="00F109DF"/>
    <w:rsid w:val="00F12E46"/>
    <w:rsid w:val="00F13983"/>
    <w:rsid w:val="00F13BB3"/>
    <w:rsid w:val="00F14503"/>
    <w:rsid w:val="00F14BB4"/>
    <w:rsid w:val="00F15AFB"/>
    <w:rsid w:val="00F1747D"/>
    <w:rsid w:val="00F17615"/>
    <w:rsid w:val="00F1789C"/>
    <w:rsid w:val="00F22DC0"/>
    <w:rsid w:val="00F247E4"/>
    <w:rsid w:val="00F25184"/>
    <w:rsid w:val="00F25B66"/>
    <w:rsid w:val="00F27063"/>
    <w:rsid w:val="00F3222F"/>
    <w:rsid w:val="00F3236D"/>
    <w:rsid w:val="00F354F5"/>
    <w:rsid w:val="00F364A1"/>
    <w:rsid w:val="00F4023E"/>
    <w:rsid w:val="00F432A3"/>
    <w:rsid w:val="00F43EA3"/>
    <w:rsid w:val="00F4408E"/>
    <w:rsid w:val="00F45B2D"/>
    <w:rsid w:val="00F45CD8"/>
    <w:rsid w:val="00F463EF"/>
    <w:rsid w:val="00F46415"/>
    <w:rsid w:val="00F471AD"/>
    <w:rsid w:val="00F50C6B"/>
    <w:rsid w:val="00F5107A"/>
    <w:rsid w:val="00F52641"/>
    <w:rsid w:val="00F5318E"/>
    <w:rsid w:val="00F54A47"/>
    <w:rsid w:val="00F568CA"/>
    <w:rsid w:val="00F603DC"/>
    <w:rsid w:val="00F668CD"/>
    <w:rsid w:val="00F676B9"/>
    <w:rsid w:val="00F67719"/>
    <w:rsid w:val="00F67E9D"/>
    <w:rsid w:val="00F703A7"/>
    <w:rsid w:val="00F70B50"/>
    <w:rsid w:val="00F70F54"/>
    <w:rsid w:val="00F7337C"/>
    <w:rsid w:val="00F740FE"/>
    <w:rsid w:val="00F776C7"/>
    <w:rsid w:val="00F77888"/>
    <w:rsid w:val="00F8019F"/>
    <w:rsid w:val="00F80AD5"/>
    <w:rsid w:val="00F812D4"/>
    <w:rsid w:val="00F85B10"/>
    <w:rsid w:val="00F90030"/>
    <w:rsid w:val="00F909EA"/>
    <w:rsid w:val="00F9224A"/>
    <w:rsid w:val="00F928C3"/>
    <w:rsid w:val="00F92A9A"/>
    <w:rsid w:val="00F9340A"/>
    <w:rsid w:val="00F93876"/>
    <w:rsid w:val="00F93C1C"/>
    <w:rsid w:val="00F952D5"/>
    <w:rsid w:val="00F9575B"/>
    <w:rsid w:val="00FA15FE"/>
    <w:rsid w:val="00FA2E99"/>
    <w:rsid w:val="00FA306D"/>
    <w:rsid w:val="00FA3223"/>
    <w:rsid w:val="00FA4D53"/>
    <w:rsid w:val="00FA4DF0"/>
    <w:rsid w:val="00FA5E7F"/>
    <w:rsid w:val="00FA69BA"/>
    <w:rsid w:val="00FA708B"/>
    <w:rsid w:val="00FA7ADB"/>
    <w:rsid w:val="00FB00B0"/>
    <w:rsid w:val="00FB405E"/>
    <w:rsid w:val="00FB719A"/>
    <w:rsid w:val="00FB73C8"/>
    <w:rsid w:val="00FB7C2E"/>
    <w:rsid w:val="00FC1793"/>
    <w:rsid w:val="00FC23B5"/>
    <w:rsid w:val="00FC48E8"/>
    <w:rsid w:val="00FC49A1"/>
    <w:rsid w:val="00FC5856"/>
    <w:rsid w:val="00FC6A54"/>
    <w:rsid w:val="00FD0611"/>
    <w:rsid w:val="00FD0AD3"/>
    <w:rsid w:val="00FD386F"/>
    <w:rsid w:val="00FD3E31"/>
    <w:rsid w:val="00FE1838"/>
    <w:rsid w:val="00FE1957"/>
    <w:rsid w:val="00FE3155"/>
    <w:rsid w:val="00FE407B"/>
    <w:rsid w:val="00FE40CF"/>
    <w:rsid w:val="00FF01B9"/>
    <w:rsid w:val="00FF080D"/>
    <w:rsid w:val="00FF4597"/>
    <w:rsid w:val="00FF565C"/>
    <w:rsid w:val="00FF5672"/>
    <w:rsid w:val="01194CB8"/>
    <w:rsid w:val="011A0D2E"/>
    <w:rsid w:val="01315D58"/>
    <w:rsid w:val="023C1973"/>
    <w:rsid w:val="026531D6"/>
    <w:rsid w:val="03046338"/>
    <w:rsid w:val="03C26C3E"/>
    <w:rsid w:val="043900E5"/>
    <w:rsid w:val="044B6A00"/>
    <w:rsid w:val="04897F99"/>
    <w:rsid w:val="0494661D"/>
    <w:rsid w:val="05BD7AF8"/>
    <w:rsid w:val="05E754E0"/>
    <w:rsid w:val="063B53E6"/>
    <w:rsid w:val="0672207D"/>
    <w:rsid w:val="07491C19"/>
    <w:rsid w:val="07BD1BA1"/>
    <w:rsid w:val="07D46BC5"/>
    <w:rsid w:val="07F7308F"/>
    <w:rsid w:val="08874EC8"/>
    <w:rsid w:val="088E5B7A"/>
    <w:rsid w:val="09C057F8"/>
    <w:rsid w:val="09F815D8"/>
    <w:rsid w:val="0A1C44EF"/>
    <w:rsid w:val="0A5421F1"/>
    <w:rsid w:val="0B217CC9"/>
    <w:rsid w:val="0BA674A8"/>
    <w:rsid w:val="0BB97BC1"/>
    <w:rsid w:val="0C476F4A"/>
    <w:rsid w:val="0C6E54AF"/>
    <w:rsid w:val="0CF63977"/>
    <w:rsid w:val="0D73183E"/>
    <w:rsid w:val="0DC80997"/>
    <w:rsid w:val="0E163477"/>
    <w:rsid w:val="0E4F375A"/>
    <w:rsid w:val="0E6537E1"/>
    <w:rsid w:val="0ECB6200"/>
    <w:rsid w:val="0EDF6C9B"/>
    <w:rsid w:val="0EFC1EBC"/>
    <w:rsid w:val="0F091B63"/>
    <w:rsid w:val="0FC13450"/>
    <w:rsid w:val="0FF44EAC"/>
    <w:rsid w:val="10AF12AA"/>
    <w:rsid w:val="11432FF5"/>
    <w:rsid w:val="12BD5333"/>
    <w:rsid w:val="13FE0AAD"/>
    <w:rsid w:val="15297F22"/>
    <w:rsid w:val="15516EB9"/>
    <w:rsid w:val="16D96B65"/>
    <w:rsid w:val="16F10CE5"/>
    <w:rsid w:val="17135756"/>
    <w:rsid w:val="17314DAF"/>
    <w:rsid w:val="18920086"/>
    <w:rsid w:val="1B5E5EB3"/>
    <w:rsid w:val="1C202696"/>
    <w:rsid w:val="1C8372F9"/>
    <w:rsid w:val="1C8B283B"/>
    <w:rsid w:val="1D481614"/>
    <w:rsid w:val="1D666D95"/>
    <w:rsid w:val="1E012101"/>
    <w:rsid w:val="1ED85A70"/>
    <w:rsid w:val="1F4629DA"/>
    <w:rsid w:val="1F806230"/>
    <w:rsid w:val="1F9C33A4"/>
    <w:rsid w:val="2051302E"/>
    <w:rsid w:val="20824BEA"/>
    <w:rsid w:val="213C0E57"/>
    <w:rsid w:val="21BB3FBA"/>
    <w:rsid w:val="22F539BB"/>
    <w:rsid w:val="249C26D6"/>
    <w:rsid w:val="24E04C7F"/>
    <w:rsid w:val="24EF5889"/>
    <w:rsid w:val="258C11DC"/>
    <w:rsid w:val="258C77F4"/>
    <w:rsid w:val="25AD328B"/>
    <w:rsid w:val="263C1F44"/>
    <w:rsid w:val="26482758"/>
    <w:rsid w:val="27E72D16"/>
    <w:rsid w:val="28346135"/>
    <w:rsid w:val="285900A9"/>
    <w:rsid w:val="28662048"/>
    <w:rsid w:val="29A764C5"/>
    <w:rsid w:val="2ACB2A96"/>
    <w:rsid w:val="2ADF091A"/>
    <w:rsid w:val="2B5244B4"/>
    <w:rsid w:val="2BEA0FC4"/>
    <w:rsid w:val="2C5C7C0A"/>
    <w:rsid w:val="2CD55C40"/>
    <w:rsid w:val="2D00661F"/>
    <w:rsid w:val="2E5A0250"/>
    <w:rsid w:val="2EDB26F2"/>
    <w:rsid w:val="2FB21AB2"/>
    <w:rsid w:val="2FF41FDE"/>
    <w:rsid w:val="30925561"/>
    <w:rsid w:val="31A36EAD"/>
    <w:rsid w:val="32360479"/>
    <w:rsid w:val="327E582C"/>
    <w:rsid w:val="32AA3CA1"/>
    <w:rsid w:val="34446565"/>
    <w:rsid w:val="34D542E5"/>
    <w:rsid w:val="3564067A"/>
    <w:rsid w:val="35942F36"/>
    <w:rsid w:val="36176A26"/>
    <w:rsid w:val="36F829F4"/>
    <w:rsid w:val="371B4221"/>
    <w:rsid w:val="3732492B"/>
    <w:rsid w:val="38657F1D"/>
    <w:rsid w:val="3995038E"/>
    <w:rsid w:val="39FE2BE0"/>
    <w:rsid w:val="3A634EE2"/>
    <w:rsid w:val="3A65643C"/>
    <w:rsid w:val="3A9B0AAD"/>
    <w:rsid w:val="3B3911ED"/>
    <w:rsid w:val="3D6A7D83"/>
    <w:rsid w:val="3DEA56F0"/>
    <w:rsid w:val="3DFE4508"/>
    <w:rsid w:val="3E983053"/>
    <w:rsid w:val="3FA85602"/>
    <w:rsid w:val="40086137"/>
    <w:rsid w:val="40457147"/>
    <w:rsid w:val="406E7B8B"/>
    <w:rsid w:val="414B510C"/>
    <w:rsid w:val="414D7DE7"/>
    <w:rsid w:val="41755EEC"/>
    <w:rsid w:val="41C061C4"/>
    <w:rsid w:val="43975CD6"/>
    <w:rsid w:val="44631B6B"/>
    <w:rsid w:val="448E467E"/>
    <w:rsid w:val="44E73E5D"/>
    <w:rsid w:val="45122497"/>
    <w:rsid w:val="45B52634"/>
    <w:rsid w:val="45E2495B"/>
    <w:rsid w:val="460E4AC7"/>
    <w:rsid w:val="461E0145"/>
    <w:rsid w:val="46A47E62"/>
    <w:rsid w:val="46B47BDB"/>
    <w:rsid w:val="46BB51AC"/>
    <w:rsid w:val="47241BE7"/>
    <w:rsid w:val="4736033D"/>
    <w:rsid w:val="47395217"/>
    <w:rsid w:val="478109BE"/>
    <w:rsid w:val="47D429C9"/>
    <w:rsid w:val="47F7364E"/>
    <w:rsid w:val="48922E98"/>
    <w:rsid w:val="48B553D5"/>
    <w:rsid w:val="494616A5"/>
    <w:rsid w:val="49606DA2"/>
    <w:rsid w:val="49963EC9"/>
    <w:rsid w:val="4C2C22AF"/>
    <w:rsid w:val="4C6D04A1"/>
    <w:rsid w:val="4C765B27"/>
    <w:rsid w:val="4C8F0CDB"/>
    <w:rsid w:val="4CDA2830"/>
    <w:rsid w:val="4E9E163B"/>
    <w:rsid w:val="4F854820"/>
    <w:rsid w:val="4FB74158"/>
    <w:rsid w:val="501F4D1B"/>
    <w:rsid w:val="50C17863"/>
    <w:rsid w:val="50EA5391"/>
    <w:rsid w:val="51992282"/>
    <w:rsid w:val="520461B2"/>
    <w:rsid w:val="523B5BB9"/>
    <w:rsid w:val="525A2F45"/>
    <w:rsid w:val="52C6309C"/>
    <w:rsid w:val="54556423"/>
    <w:rsid w:val="54804231"/>
    <w:rsid w:val="55FA74BB"/>
    <w:rsid w:val="56694B6B"/>
    <w:rsid w:val="568A4D17"/>
    <w:rsid w:val="56FB228A"/>
    <w:rsid w:val="57825210"/>
    <w:rsid w:val="588B2DD8"/>
    <w:rsid w:val="58E93D42"/>
    <w:rsid w:val="59EB2884"/>
    <w:rsid w:val="5A6D197F"/>
    <w:rsid w:val="5A792057"/>
    <w:rsid w:val="5C3F2A03"/>
    <w:rsid w:val="5CD30B22"/>
    <w:rsid w:val="5CF27722"/>
    <w:rsid w:val="5D500C7A"/>
    <w:rsid w:val="5D660A6F"/>
    <w:rsid w:val="5DC323D6"/>
    <w:rsid w:val="5DD8337A"/>
    <w:rsid w:val="5E1611EE"/>
    <w:rsid w:val="5F004C6A"/>
    <w:rsid w:val="5F0F28D7"/>
    <w:rsid w:val="5F4F5687"/>
    <w:rsid w:val="5FEF619A"/>
    <w:rsid w:val="60417231"/>
    <w:rsid w:val="60BC2C5B"/>
    <w:rsid w:val="60DF0141"/>
    <w:rsid w:val="61113B3C"/>
    <w:rsid w:val="61465843"/>
    <w:rsid w:val="61D90EB0"/>
    <w:rsid w:val="61DB5148"/>
    <w:rsid w:val="62AB2CF2"/>
    <w:rsid w:val="62F27ED7"/>
    <w:rsid w:val="6306058B"/>
    <w:rsid w:val="6382325B"/>
    <w:rsid w:val="643C311D"/>
    <w:rsid w:val="64BC23C3"/>
    <w:rsid w:val="65486C3E"/>
    <w:rsid w:val="656942F9"/>
    <w:rsid w:val="6591589F"/>
    <w:rsid w:val="65F37004"/>
    <w:rsid w:val="663608BB"/>
    <w:rsid w:val="668B1784"/>
    <w:rsid w:val="66EE5F9A"/>
    <w:rsid w:val="67480AF2"/>
    <w:rsid w:val="68B41D2F"/>
    <w:rsid w:val="6A5D4479"/>
    <w:rsid w:val="6B6E428D"/>
    <w:rsid w:val="6BB048A9"/>
    <w:rsid w:val="6BD5685F"/>
    <w:rsid w:val="6C032693"/>
    <w:rsid w:val="6C7E1087"/>
    <w:rsid w:val="6CB95B66"/>
    <w:rsid w:val="6CD62606"/>
    <w:rsid w:val="6E6708A7"/>
    <w:rsid w:val="6E6E542A"/>
    <w:rsid w:val="715A20EC"/>
    <w:rsid w:val="73512E17"/>
    <w:rsid w:val="73886292"/>
    <w:rsid w:val="73A272CA"/>
    <w:rsid w:val="73DE6439"/>
    <w:rsid w:val="74F3679A"/>
    <w:rsid w:val="75CF60A2"/>
    <w:rsid w:val="762027B2"/>
    <w:rsid w:val="76832384"/>
    <w:rsid w:val="768D6191"/>
    <w:rsid w:val="7721690D"/>
    <w:rsid w:val="788865A4"/>
    <w:rsid w:val="79362800"/>
    <w:rsid w:val="7AA85D58"/>
    <w:rsid w:val="7AF86DF2"/>
    <w:rsid w:val="7B812C58"/>
    <w:rsid w:val="7BB156DC"/>
    <w:rsid w:val="7C995E7E"/>
    <w:rsid w:val="7CC145C3"/>
    <w:rsid w:val="7CD86373"/>
    <w:rsid w:val="7CDE20C8"/>
    <w:rsid w:val="7E556073"/>
    <w:rsid w:val="7EB458F8"/>
    <w:rsid w:val="7EDF5D3E"/>
    <w:rsid w:val="7F3507A9"/>
    <w:rsid w:val="7FCE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3"/>
    <w:qFormat/>
    <w:uiPriority w:val="0"/>
    <w:pPr>
      <w:keepNext/>
      <w:keepLines/>
      <w:tabs>
        <w:tab w:val="left" w:pos="2984"/>
      </w:tabs>
      <w:spacing w:afterLines="30"/>
      <w:ind w:left="2552"/>
      <w:outlineLvl w:val="0"/>
    </w:pPr>
    <w:rPr>
      <w:rFonts w:ascii="Arial" w:hAnsi="Arial"/>
      <w:b/>
      <w:bCs/>
      <w:color w:val="993366"/>
      <w:kern w:val="44"/>
      <w:sz w:val="28"/>
      <w:szCs w:val="24"/>
    </w:rPr>
  </w:style>
  <w:style w:type="paragraph" w:styleId="4">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3"/>
    <w:next w:val="3"/>
    <w:qFormat/>
    <w:uiPriority w:val="0"/>
    <w:pPr>
      <w:tabs>
        <w:tab w:val="center" w:pos="3060"/>
        <w:tab w:val="left" w:pos="3320"/>
      </w:tabs>
      <w:spacing w:line="288" w:lineRule="auto"/>
      <w:ind w:left="2600"/>
      <w:outlineLvl w:val="2"/>
    </w:pPr>
    <w:rPr>
      <w:rFonts w:ascii="Arial" w:hAnsi="Arial" w:eastAsia="黑体" w:cs="Times New Roman"/>
      <w:b/>
      <w:bCs/>
      <w:sz w:val="24"/>
      <w:szCs w:val="22"/>
    </w:rPr>
  </w:style>
  <w:style w:type="paragraph" w:styleId="6">
    <w:name w:val="heading 4"/>
    <w:basedOn w:val="1"/>
    <w:next w:val="1"/>
    <w:qFormat/>
    <w:uiPriority w:val="0"/>
    <w:pPr>
      <w:keepNext/>
      <w:keepLines/>
      <w:tabs>
        <w:tab w:val="left" w:pos="3841"/>
      </w:tabs>
      <w:adjustRightInd w:val="0"/>
      <w:snapToGrid w:val="0"/>
      <w:spacing w:line="312" w:lineRule="auto"/>
      <w:ind w:left="2977"/>
      <w:outlineLvl w:val="3"/>
    </w:pPr>
    <w:rPr>
      <w:rFonts w:ascii="华文细黑" w:hAnsi="Arial" w:eastAsia="华文细黑"/>
      <w:b/>
      <w:bCs/>
      <w:sz w:val="22"/>
      <w:szCs w:val="22"/>
      <w:u w:val="single"/>
    </w:rPr>
  </w:style>
  <w:style w:type="paragraph" w:styleId="7">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8">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rPr>
  </w:style>
  <w:style w:type="paragraph" w:styleId="9">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rPr>
  </w:style>
  <w:style w:type="paragraph" w:styleId="10">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rPr>
  </w:style>
  <w:style w:type="paragraph" w:styleId="11">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3">
    <w:name w:val="报告正文 Char Char"/>
    <w:basedOn w:val="1"/>
    <w:link w:val="31"/>
    <w:qFormat/>
    <w:uiPriority w:val="0"/>
    <w:pPr>
      <w:adjustRightInd w:val="0"/>
      <w:snapToGrid w:val="0"/>
      <w:spacing w:line="336" w:lineRule="auto"/>
      <w:ind w:left="2603"/>
    </w:pPr>
    <w:rPr>
      <w:rFonts w:ascii="华文细黑" w:eastAsia="华文细黑" w:cs="宋体"/>
      <w:sz w:val="22"/>
      <w:szCs w:val="20"/>
    </w:rPr>
  </w:style>
  <w:style w:type="paragraph" w:styleId="12">
    <w:name w:val="Body Text"/>
    <w:basedOn w:val="1"/>
    <w:qFormat/>
    <w:uiPriority w:val="0"/>
    <w:pPr>
      <w:spacing w:after="120"/>
    </w:pPr>
  </w:style>
  <w:style w:type="paragraph" w:styleId="13">
    <w:name w:val="Body Text Indent"/>
    <w:basedOn w:val="1"/>
    <w:qFormat/>
    <w:uiPriority w:val="0"/>
    <w:pPr>
      <w:spacing w:after="120"/>
      <w:ind w:left="420" w:leftChars="200"/>
    </w:pPr>
  </w:style>
  <w:style w:type="paragraph" w:styleId="14">
    <w:name w:val="Plain Text"/>
    <w:basedOn w:val="1"/>
    <w:link w:val="30"/>
    <w:qFormat/>
    <w:uiPriority w:val="0"/>
    <w:pPr>
      <w:spacing w:line="440" w:lineRule="exact"/>
    </w:pPr>
    <w:rPr>
      <w:rFonts w:ascii="宋体" w:hAnsi="Courier New"/>
      <w:szCs w:val="20"/>
    </w:rPr>
  </w:style>
  <w:style w:type="paragraph" w:styleId="15">
    <w:name w:val="Date"/>
    <w:basedOn w:val="1"/>
    <w:next w:val="1"/>
    <w:qFormat/>
    <w:uiPriority w:val="0"/>
    <w:pPr>
      <w:ind w:left="100" w:leftChars="2500"/>
    </w:p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41"/>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qFormat/>
    <w:uiPriority w:val="0"/>
    <w:pPr>
      <w:ind w:left="420" w:leftChars="200"/>
    </w:pPr>
  </w:style>
  <w:style w:type="character" w:styleId="25">
    <w:name w:val="page number"/>
    <w:basedOn w:val="24"/>
    <w:qFormat/>
    <w:uiPriority w:val="0"/>
  </w:style>
  <w:style w:type="character" w:styleId="26">
    <w:name w:val="FollowedHyperlink"/>
    <w:basedOn w:val="24"/>
    <w:qFormat/>
    <w:uiPriority w:val="0"/>
    <w:rPr>
      <w:color w:val="800080"/>
      <w:u w:val="single"/>
    </w:rPr>
  </w:style>
  <w:style w:type="character" w:styleId="27">
    <w:name w:val="Hyperlink"/>
    <w:basedOn w:val="24"/>
    <w:qFormat/>
    <w:uiPriority w:val="0"/>
    <w:rPr>
      <w:color w:val="0000FF"/>
      <w:u w:val="single"/>
    </w:rPr>
  </w:style>
  <w:style w:type="character" w:customStyle="1" w:styleId="28">
    <w:name w:val="标题 2 Char"/>
    <w:basedOn w:val="24"/>
    <w:link w:val="4"/>
    <w:qFormat/>
    <w:uiPriority w:val="0"/>
    <w:rPr>
      <w:rFonts w:ascii="Arial" w:hAnsi="Arial" w:eastAsia="黑体"/>
      <w:b/>
      <w:bCs/>
      <w:kern w:val="2"/>
      <w:sz w:val="32"/>
      <w:szCs w:val="32"/>
      <w:lang w:val="en-US" w:eastAsia="zh-CN" w:bidi="ar-SA"/>
    </w:rPr>
  </w:style>
  <w:style w:type="character" w:customStyle="1" w:styleId="29">
    <w:name w:val="apple-converted-space"/>
    <w:basedOn w:val="24"/>
    <w:qFormat/>
    <w:uiPriority w:val="0"/>
  </w:style>
  <w:style w:type="character" w:customStyle="1" w:styleId="30">
    <w:name w:val="纯文本 Char"/>
    <w:basedOn w:val="24"/>
    <w:link w:val="14"/>
    <w:qFormat/>
    <w:locked/>
    <w:uiPriority w:val="0"/>
    <w:rPr>
      <w:rFonts w:ascii="宋体" w:hAnsi="Courier New" w:eastAsia="宋体"/>
      <w:kern w:val="2"/>
      <w:sz w:val="21"/>
      <w:lang w:val="en-US" w:eastAsia="zh-CN" w:bidi="ar-SA"/>
    </w:rPr>
  </w:style>
  <w:style w:type="character" w:customStyle="1" w:styleId="31">
    <w:name w:val="报告正文 Char Char Char"/>
    <w:basedOn w:val="24"/>
    <w:link w:val="3"/>
    <w:qFormat/>
    <w:uiPriority w:val="0"/>
    <w:rPr>
      <w:rFonts w:ascii="华文细黑" w:eastAsia="华文细黑" w:cs="宋体"/>
      <w:kern w:val="2"/>
      <w:sz w:val="22"/>
      <w:lang w:val="en-US" w:eastAsia="zh-CN" w:bidi="ar-SA"/>
    </w:rPr>
  </w:style>
  <w:style w:type="character" w:customStyle="1" w:styleId="32">
    <w:name w:val="Char Char3"/>
    <w:basedOn w:val="24"/>
    <w:qFormat/>
    <w:uiPriority w:val="0"/>
    <w:rPr>
      <w:rFonts w:ascii="Arial" w:hAnsi="Arial" w:eastAsia="黑体"/>
      <w:b/>
      <w:bCs/>
      <w:kern w:val="2"/>
      <w:sz w:val="32"/>
      <w:szCs w:val="32"/>
      <w:lang w:val="en-US" w:eastAsia="zh-CN" w:bidi="ar-SA"/>
    </w:rPr>
  </w:style>
  <w:style w:type="character" w:customStyle="1" w:styleId="33">
    <w:name w:val="报告正文 Char1"/>
    <w:basedOn w:val="24"/>
    <w:link w:val="34"/>
    <w:qFormat/>
    <w:uiPriority w:val="0"/>
    <w:rPr>
      <w:rFonts w:ascii="华文细黑" w:eastAsia="华文细黑" w:cs="宋体"/>
      <w:kern w:val="2"/>
      <w:sz w:val="22"/>
      <w:lang w:val="en-US" w:eastAsia="zh-CN" w:bidi="ar-SA"/>
    </w:rPr>
  </w:style>
  <w:style w:type="paragraph" w:customStyle="1" w:styleId="34">
    <w:name w:val="报告正文"/>
    <w:basedOn w:val="1"/>
    <w:link w:val="33"/>
    <w:qFormat/>
    <w:uiPriority w:val="0"/>
    <w:pPr>
      <w:adjustRightInd w:val="0"/>
      <w:snapToGrid w:val="0"/>
      <w:spacing w:line="336" w:lineRule="auto"/>
      <w:ind w:left="2603"/>
    </w:pPr>
    <w:rPr>
      <w:rFonts w:ascii="华文细黑" w:eastAsia="华文细黑" w:cs="宋体"/>
      <w:sz w:val="22"/>
      <w:szCs w:val="20"/>
    </w:rPr>
  </w:style>
  <w:style w:type="character" w:customStyle="1" w:styleId="35">
    <w:name w:val="标题 2 Char Char"/>
    <w:basedOn w:val="31"/>
    <w:qFormat/>
    <w:uiPriority w:val="0"/>
    <w:rPr>
      <w:rFonts w:ascii="Arial" w:hAnsi="Arial" w:eastAsia="黑体"/>
      <w:b/>
      <w:bCs/>
      <w:kern w:val="44"/>
      <w:sz w:val="26"/>
      <w:szCs w:val="26"/>
    </w:rPr>
  </w:style>
  <w:style w:type="paragraph" w:customStyle="1" w:styleId="36">
    <w:name w:val="项目符号"/>
    <w:basedOn w:val="3"/>
    <w:next w:val="3"/>
    <w:qFormat/>
    <w:uiPriority w:val="0"/>
    <w:pPr>
      <w:tabs>
        <w:tab w:val="left" w:pos="1531"/>
      </w:tabs>
      <w:ind w:left="1418" w:hanging="118"/>
    </w:pPr>
  </w:style>
  <w:style w:type="paragraph" w:customStyle="1" w:styleId="37">
    <w:name w:val="p0"/>
    <w:basedOn w:val="1"/>
    <w:qFormat/>
    <w:uiPriority w:val="0"/>
    <w:pPr>
      <w:widowControl/>
      <w:spacing w:line="365" w:lineRule="atLeast"/>
      <w:ind w:left="1"/>
      <w:textAlignment w:val="bottom"/>
    </w:pPr>
    <w:rPr>
      <w:kern w:val="0"/>
      <w:sz w:val="20"/>
      <w:szCs w:val="20"/>
    </w:rPr>
  </w:style>
  <w:style w:type="paragraph" w:customStyle="1" w:styleId="38">
    <w:name w:val="2"/>
    <w:basedOn w:val="1"/>
    <w:qFormat/>
    <w:uiPriority w:val="0"/>
    <w:pPr>
      <w:spacing w:line="360" w:lineRule="auto"/>
      <w:ind w:firstLine="200" w:firstLineChars="200"/>
    </w:pPr>
    <w:rPr>
      <w:rFonts w:ascii="楷体_GB2312" w:eastAsia="楷体_GB2312" w:cs="楷体_GB2312"/>
      <w:sz w:val="28"/>
      <w:szCs w:val="28"/>
    </w:rPr>
  </w:style>
  <w:style w:type="paragraph" w:customStyle="1" w:styleId="39">
    <w:name w:val="Char Char Char Char"/>
    <w:basedOn w:val="1"/>
    <w:qFormat/>
    <w:uiPriority w:val="0"/>
    <w:pPr>
      <w:spacing w:line="440" w:lineRule="exact"/>
    </w:pPr>
    <w:rPr>
      <w:rFonts w:ascii="宋体" w:hAnsi="宋体" w:cs="Courier New"/>
      <w:sz w:val="32"/>
      <w:szCs w:val="32"/>
    </w:rPr>
  </w:style>
  <w:style w:type="paragraph" w:styleId="40">
    <w:name w:val="List Paragraph"/>
    <w:basedOn w:val="1"/>
    <w:qFormat/>
    <w:uiPriority w:val="34"/>
    <w:pPr>
      <w:ind w:firstLine="420" w:firstLineChars="200"/>
    </w:pPr>
    <w:rPr>
      <w:szCs w:val="20"/>
    </w:rPr>
  </w:style>
  <w:style w:type="character" w:customStyle="1" w:styleId="41">
    <w:name w:val="批注框文本 Char"/>
    <w:basedOn w:val="24"/>
    <w:link w:val="1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FC07-6BF7-44A6-9C99-2B6B1F34452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8371</Words>
  <Characters>8780</Characters>
  <Lines>66</Lines>
  <Paragraphs>18</Paragraphs>
  <TotalTime>9</TotalTime>
  <ScaleCrop>false</ScaleCrop>
  <LinksUpToDate>false</LinksUpToDate>
  <CharactersWithSpaces>8920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2020-04-14T06:47:00Z</dcterms:created>
  <dc:creator>admin</dc:creator>
  <cp:lastModifiedBy>Admin</cp:lastModifiedBy>
  <cp:lastPrinted>2022-11-21T07:37:00Z</cp:lastPrinted>
  <dcterms:modified xsi:type="dcterms:W3CDTF">2022-12-03T00:46:14Z</dcterms:modified>
  <dc:title>致估价委托人函</dc:title>
  <cp:revision>399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2CAF3D76BD37480386AF662E1A5B70AC</vt:lpwstr>
  </property>
</Properties>
</file>