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11" w:hanging="2811" w:hangingChars="700"/>
        <w:jc w:val="center"/>
        <w:rPr>
          <w:rFonts w:hint="eastAsia" w:ascii="宋体" w:hAnsi="宋体" w:eastAsia="宋体" w:cs="宋体"/>
          <w:b/>
          <w:bCs/>
          <w:color w:val="auto"/>
          <w:sz w:val="40"/>
          <w:szCs w:val="40"/>
          <w:lang w:eastAsia="zh-CN"/>
        </w:rPr>
      </w:pPr>
    </w:p>
    <w:p>
      <w:pPr>
        <w:ind w:left="2811" w:hanging="2811" w:hangingChars="700"/>
        <w:jc w:val="center"/>
        <w:rPr>
          <w:rFonts w:ascii="宋体" w:hAnsi="宋体" w:eastAsia="宋体" w:cs="宋体"/>
          <w:b/>
          <w:bCs/>
          <w:color w:val="auto"/>
          <w:sz w:val="40"/>
          <w:szCs w:val="40"/>
        </w:rPr>
      </w:pPr>
    </w:p>
    <w:p>
      <w:pPr>
        <w:ind w:left="2811" w:hanging="2811" w:hangingChars="700"/>
        <w:jc w:val="center"/>
        <w:rPr>
          <w:rFonts w:ascii="宋体" w:hAnsi="宋体" w:eastAsia="宋体" w:cs="宋体"/>
          <w:b/>
          <w:bCs/>
          <w:color w:val="auto"/>
          <w:sz w:val="40"/>
          <w:szCs w:val="40"/>
        </w:rPr>
      </w:pPr>
      <w:r>
        <w:rPr>
          <w:rFonts w:hint="eastAsia" w:ascii="宋体" w:hAnsi="宋体" w:eastAsia="宋体" w:cs="宋体"/>
          <w:b/>
          <w:bCs/>
          <w:color w:val="auto"/>
          <w:sz w:val="40"/>
          <w:szCs w:val="40"/>
        </w:rPr>
        <w:t xml:space="preserve">                                                                                                                                                                                                                                                                                                                                                                                                                                                                                                                                                                                                                                                                                                                                                                                                                                     </w:t>
      </w:r>
    </w:p>
    <w:p>
      <w:pPr>
        <w:jc w:val="center"/>
        <w:rPr>
          <w:rFonts w:ascii="宋体" w:hAnsi="宋体" w:eastAsia="宋体" w:cs="宋体"/>
          <w:color w:val="auto"/>
          <w:sz w:val="36"/>
          <w:szCs w:val="36"/>
        </w:rPr>
      </w:pPr>
      <w:r>
        <w:rPr>
          <w:rFonts w:hint="eastAsia" w:ascii="宋体" w:hAnsi="宋体" w:eastAsia="宋体" w:cs="宋体"/>
          <w:b/>
          <w:bCs/>
          <w:color w:val="auto"/>
          <w:sz w:val="36"/>
          <w:szCs w:val="36"/>
        </w:rPr>
        <w:t>关于位于</w:t>
      </w:r>
      <w:r>
        <w:rPr>
          <w:rFonts w:hint="eastAsia" w:ascii="宋体" w:hAnsi="宋体" w:eastAsia="宋体" w:cs="宋体"/>
          <w:b/>
          <w:bCs/>
          <w:color w:val="auto"/>
          <w:sz w:val="36"/>
          <w:szCs w:val="36"/>
          <w:lang w:val="en-US" w:eastAsia="zh-CN"/>
        </w:rPr>
        <w:t>陆良县中枢镇南门三社1-1-1A、1-1-1B号</w:t>
      </w:r>
      <w:r>
        <w:rPr>
          <w:rFonts w:hint="eastAsia" w:ascii="宋体" w:hAnsi="宋体" w:eastAsia="宋体" w:cs="宋体"/>
          <w:b/>
          <w:bCs/>
          <w:color w:val="auto"/>
          <w:sz w:val="36"/>
          <w:szCs w:val="36"/>
        </w:rPr>
        <w:t>房地产市场价值的价格评估报告</w:t>
      </w:r>
    </w:p>
    <w:p>
      <w:pPr>
        <w:spacing w:after="240"/>
        <w:jc w:val="center"/>
        <w:rPr>
          <w:rFonts w:ascii="宋体" w:hAnsi="宋体" w:eastAsia="宋体" w:cs="宋体"/>
          <w:color w:val="auto"/>
          <w:sz w:val="32"/>
          <w:szCs w:val="32"/>
        </w:rPr>
      </w:pPr>
    </w:p>
    <w:p>
      <w:pPr>
        <w:spacing w:after="240"/>
        <w:jc w:val="center"/>
        <w:rPr>
          <w:rFonts w:ascii="宋体" w:hAnsi="宋体" w:eastAsia="宋体" w:cs="宋体"/>
          <w:b/>
          <w:bCs/>
          <w:color w:val="auto"/>
          <w:sz w:val="32"/>
          <w:szCs w:val="32"/>
          <w:highlight w:val="none"/>
        </w:rPr>
      </w:pPr>
      <w:r>
        <w:rPr>
          <w:rFonts w:hint="eastAsia" w:ascii="宋体" w:hAnsi="宋体" w:eastAsia="宋体" w:cs="宋体"/>
          <w:b/>
          <w:bCs/>
          <w:color w:val="auto"/>
          <w:sz w:val="28"/>
          <w:szCs w:val="28"/>
          <w:highlight w:val="none"/>
        </w:rPr>
        <w:t xml:space="preserve"> </w:t>
      </w:r>
      <w:r>
        <w:rPr>
          <w:rFonts w:hint="eastAsia" w:ascii="宋体" w:hAnsi="宋体" w:eastAsia="宋体" w:cs="宋体"/>
          <w:b/>
          <w:bCs/>
          <w:color w:val="auto"/>
          <w:sz w:val="32"/>
          <w:szCs w:val="32"/>
          <w:highlight w:val="none"/>
        </w:rPr>
        <w:t xml:space="preserve"> 皓评报（滇）字［2022］第016号-2</w:t>
      </w:r>
    </w:p>
    <w:p>
      <w:pPr>
        <w:spacing w:after="240"/>
        <w:rPr>
          <w:rFonts w:ascii="宋体" w:hAnsi="宋体" w:eastAsia="宋体" w:cs="宋体"/>
          <w:color w:val="auto"/>
          <w:sz w:val="32"/>
          <w:szCs w:val="32"/>
        </w:rPr>
      </w:pPr>
    </w:p>
    <w:p>
      <w:pPr>
        <w:spacing w:after="240"/>
        <w:rPr>
          <w:rFonts w:ascii="宋体" w:hAnsi="宋体" w:eastAsia="宋体" w:cs="宋体"/>
          <w:color w:val="auto"/>
          <w:sz w:val="32"/>
          <w:szCs w:val="32"/>
        </w:rPr>
      </w:pPr>
    </w:p>
    <w:p>
      <w:pPr>
        <w:spacing w:after="240"/>
        <w:rPr>
          <w:rFonts w:ascii="宋体" w:hAnsi="宋体" w:eastAsia="宋体" w:cs="宋体"/>
          <w:color w:val="auto"/>
          <w:sz w:val="32"/>
          <w:szCs w:val="32"/>
        </w:rPr>
      </w:pPr>
    </w:p>
    <w:p>
      <w:pPr>
        <w:spacing w:after="240"/>
        <w:rPr>
          <w:rFonts w:ascii="宋体" w:hAnsi="宋体" w:eastAsia="宋体" w:cs="宋体"/>
          <w:color w:val="auto"/>
          <w:sz w:val="32"/>
          <w:szCs w:val="32"/>
        </w:rPr>
      </w:pPr>
    </w:p>
    <w:p>
      <w:pPr>
        <w:spacing w:after="240"/>
        <w:rPr>
          <w:rFonts w:ascii="宋体" w:hAnsi="宋体" w:eastAsia="宋体" w:cs="宋体"/>
          <w:color w:val="auto"/>
          <w:sz w:val="32"/>
          <w:szCs w:val="32"/>
        </w:rPr>
      </w:pPr>
    </w:p>
    <w:p>
      <w:pPr>
        <w:spacing w:after="240"/>
        <w:rPr>
          <w:rFonts w:ascii="宋体" w:hAnsi="宋体" w:eastAsia="宋体" w:cs="宋体"/>
          <w:color w:val="auto"/>
          <w:sz w:val="32"/>
          <w:szCs w:val="32"/>
        </w:rPr>
      </w:pPr>
    </w:p>
    <w:p>
      <w:pPr>
        <w:spacing w:after="240"/>
        <w:rPr>
          <w:rFonts w:ascii="宋体" w:hAnsi="宋体" w:eastAsia="宋体" w:cs="宋体"/>
          <w:color w:val="auto"/>
          <w:sz w:val="32"/>
          <w:szCs w:val="32"/>
        </w:rPr>
      </w:pPr>
      <w:r>
        <w:rPr>
          <w:rFonts w:hint="eastAsia" w:ascii="宋体" w:hAnsi="宋体" w:eastAsia="宋体" w:cs="宋体"/>
          <w:color w:val="auto"/>
          <w:sz w:val="32"/>
          <w:szCs w:val="32"/>
        </w:rPr>
        <w:t xml:space="preserve"> </w:t>
      </w:r>
    </w:p>
    <w:p>
      <w:pPr>
        <w:spacing w:after="240"/>
        <w:jc w:val="center"/>
        <w:rPr>
          <w:rFonts w:ascii="宋体" w:hAnsi="宋体" w:eastAsia="宋体" w:cs="宋体"/>
          <w:color w:val="auto"/>
          <w:sz w:val="32"/>
          <w:szCs w:val="32"/>
        </w:rPr>
      </w:pPr>
      <w:r>
        <w:rPr>
          <w:rFonts w:hint="eastAsia" w:ascii="宋体" w:hAnsi="宋体" w:eastAsia="宋体" w:cs="宋体"/>
          <w:color w:val="auto"/>
          <w:sz w:val="32"/>
          <w:szCs w:val="32"/>
        </w:rPr>
        <w:t>皓天评估集团有限责任公司</w:t>
      </w:r>
    </w:p>
    <w:p>
      <w:pPr>
        <w:spacing w:after="240"/>
        <w:jc w:val="center"/>
        <w:rPr>
          <w:rFonts w:ascii="宋体" w:hAnsi="宋体" w:eastAsia="宋体" w:cs="宋体"/>
          <w:b/>
          <w:bCs/>
          <w:color w:val="auto"/>
          <w:sz w:val="32"/>
          <w:szCs w:val="32"/>
        </w:rPr>
      </w:pPr>
      <w:r>
        <w:rPr>
          <w:rFonts w:hint="eastAsia" w:ascii="宋体" w:hAnsi="宋体" w:eastAsia="宋体" w:cs="宋体"/>
          <w:color w:val="auto"/>
          <w:sz w:val="32"/>
          <w:szCs w:val="32"/>
        </w:rPr>
        <w:t>二〇二二年</w:t>
      </w:r>
      <w:r>
        <w:rPr>
          <w:rFonts w:hint="eastAsia" w:ascii="宋体" w:hAnsi="宋体" w:eastAsia="宋体" w:cs="宋体"/>
          <w:color w:val="auto"/>
          <w:sz w:val="32"/>
          <w:szCs w:val="32"/>
          <w:lang w:eastAsia="zh-CN"/>
        </w:rPr>
        <w:t>七月三十</w:t>
      </w:r>
      <w:r>
        <w:rPr>
          <w:rFonts w:hint="eastAsia" w:ascii="宋体" w:hAnsi="宋体" w:eastAsia="宋体" w:cs="宋体"/>
          <w:color w:val="auto"/>
          <w:sz w:val="32"/>
          <w:szCs w:val="32"/>
        </w:rPr>
        <w:t>日</w:t>
      </w:r>
    </w:p>
    <w:p>
      <w:pPr>
        <w:spacing w:after="240"/>
        <w:ind w:firstLine="3614" w:firstLineChars="1000"/>
        <w:rPr>
          <w:rFonts w:ascii="宋体" w:hAnsi="宋体" w:eastAsia="宋体" w:cs="宋体"/>
          <w:b/>
          <w:bCs/>
          <w:color w:val="auto"/>
          <w:sz w:val="36"/>
          <w:szCs w:val="36"/>
        </w:rPr>
      </w:pPr>
    </w:p>
    <w:p>
      <w:pPr>
        <w:spacing w:line="480" w:lineRule="auto"/>
        <w:jc w:val="center"/>
        <w:rPr>
          <w:rFonts w:ascii="宋体" w:hAnsi="宋体"/>
          <w:b/>
          <w:color w:val="auto"/>
          <w:sz w:val="36"/>
          <w:szCs w:val="36"/>
        </w:rPr>
      </w:pPr>
      <w:r>
        <w:rPr>
          <w:rFonts w:hint="eastAsia" w:ascii="宋体" w:hAnsi="宋体"/>
          <w:b/>
          <w:color w:val="auto"/>
          <w:sz w:val="36"/>
          <w:szCs w:val="36"/>
        </w:rPr>
        <w:t>目    录</w:t>
      </w:r>
    </w:p>
    <w:p>
      <w:pPr>
        <w:pStyle w:val="17"/>
        <w:ind w:firstLine="680"/>
        <w:rPr>
          <w:color w:val="auto"/>
        </w:rPr>
      </w:pPr>
    </w:p>
    <w:p>
      <w:pPr>
        <w:pStyle w:val="12"/>
        <w:tabs>
          <w:tab w:val="right" w:leader="dot" w:pos="8306"/>
        </w:tabs>
        <w:spacing w:line="360" w:lineRule="auto"/>
        <w:rPr>
          <w:rFonts w:ascii="宋体" w:hAnsi="宋体" w:eastAsia="宋体" w:cs="宋体"/>
          <w:b/>
          <w:bCs/>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TOC \o "1-3" \h \z \u </w:instrText>
      </w:r>
      <w:r>
        <w:rPr>
          <w:rFonts w:hint="eastAsia" w:ascii="宋体" w:hAnsi="宋体" w:eastAsia="宋体" w:cs="宋体"/>
          <w:color w:val="auto"/>
          <w:sz w:val="28"/>
          <w:szCs w:val="28"/>
        </w:rPr>
        <w:fldChar w:fldCharType="separate"/>
      </w:r>
      <w:r>
        <w:rPr>
          <w:color w:val="auto"/>
        </w:rPr>
        <w:fldChar w:fldCharType="begin"/>
      </w:r>
      <w:r>
        <w:rPr>
          <w:color w:val="auto"/>
        </w:rPr>
        <w:instrText xml:space="preserve"> HYPERLINK \l "_Toc16346" </w:instrText>
      </w:r>
      <w:r>
        <w:rPr>
          <w:color w:val="auto"/>
        </w:rPr>
        <w:fldChar w:fldCharType="separate"/>
      </w:r>
      <w:r>
        <w:rPr>
          <w:rFonts w:hint="eastAsia" w:ascii="宋体" w:hAnsi="宋体" w:eastAsia="宋体" w:cs="宋体"/>
          <w:b/>
          <w:bCs/>
          <w:color w:val="auto"/>
          <w:sz w:val="28"/>
          <w:szCs w:val="28"/>
        </w:rPr>
        <w:t>声    明</w:t>
      </w:r>
      <w:r>
        <w:rPr>
          <w:rFonts w:hint="eastAsia" w:ascii="宋体" w:hAnsi="宋体" w:eastAsia="宋体" w:cs="宋体"/>
          <w:b/>
          <w:bCs/>
          <w:color w:val="auto"/>
          <w:sz w:val="28"/>
          <w:szCs w:val="28"/>
        </w:rPr>
        <w:tab/>
      </w: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 PAGEREF _Toc16346 </w:instrText>
      </w:r>
      <w:r>
        <w:rPr>
          <w:rFonts w:hint="eastAsia" w:ascii="宋体" w:hAnsi="宋体" w:eastAsia="宋体" w:cs="宋体"/>
          <w:b/>
          <w:bCs/>
          <w:color w:val="auto"/>
          <w:sz w:val="28"/>
          <w:szCs w:val="28"/>
        </w:rPr>
        <w:fldChar w:fldCharType="separate"/>
      </w:r>
      <w:r>
        <w:rPr>
          <w:rFonts w:hint="eastAsia" w:ascii="宋体" w:hAnsi="宋体" w:eastAsia="宋体" w:cs="宋体"/>
          <w:b/>
          <w:bCs/>
          <w:color w:val="auto"/>
          <w:sz w:val="28"/>
          <w:szCs w:val="28"/>
        </w:rPr>
        <w:t>1</w:t>
      </w:r>
      <w:r>
        <w:rPr>
          <w:rFonts w:hint="eastAsia" w:ascii="宋体" w:hAnsi="宋体" w:eastAsia="宋体" w:cs="宋体"/>
          <w:b/>
          <w:bCs/>
          <w:color w:val="auto"/>
          <w:sz w:val="28"/>
          <w:szCs w:val="28"/>
        </w:rPr>
        <w:fldChar w:fldCharType="end"/>
      </w:r>
      <w:r>
        <w:rPr>
          <w:rFonts w:hint="eastAsia" w:ascii="宋体" w:hAnsi="宋体" w:eastAsia="宋体" w:cs="宋体"/>
          <w:b/>
          <w:bCs/>
          <w:color w:val="auto"/>
          <w:sz w:val="28"/>
          <w:szCs w:val="28"/>
        </w:rPr>
        <w:fldChar w:fldCharType="end"/>
      </w:r>
    </w:p>
    <w:p>
      <w:pPr>
        <w:pStyle w:val="12"/>
        <w:tabs>
          <w:tab w:val="right" w:leader="dot" w:pos="8306"/>
        </w:tabs>
        <w:spacing w:line="360" w:lineRule="auto"/>
        <w:rPr>
          <w:rFonts w:ascii="宋体" w:hAnsi="宋体" w:eastAsia="宋体" w:cs="宋体"/>
          <w:b/>
          <w:bCs/>
          <w:color w:val="auto"/>
          <w:sz w:val="28"/>
          <w:szCs w:val="28"/>
        </w:rPr>
      </w:pPr>
      <w:r>
        <w:rPr>
          <w:color w:val="auto"/>
        </w:rPr>
        <w:fldChar w:fldCharType="begin"/>
      </w:r>
      <w:r>
        <w:rPr>
          <w:color w:val="auto"/>
        </w:rPr>
        <w:instrText xml:space="preserve"> HYPERLINK \l "_Toc15729" </w:instrText>
      </w:r>
      <w:r>
        <w:rPr>
          <w:color w:val="auto"/>
        </w:rPr>
        <w:fldChar w:fldCharType="separate"/>
      </w:r>
      <w:r>
        <w:rPr>
          <w:rFonts w:hint="eastAsia" w:ascii="宋体" w:hAnsi="宋体" w:eastAsia="宋体" w:cs="宋体"/>
          <w:b/>
          <w:bCs/>
          <w:color w:val="auto"/>
          <w:sz w:val="28"/>
          <w:szCs w:val="28"/>
        </w:rPr>
        <w:t>价格评估报告摘要</w:t>
      </w:r>
      <w:r>
        <w:rPr>
          <w:rFonts w:hint="eastAsia" w:ascii="宋体" w:hAnsi="宋体" w:eastAsia="宋体" w:cs="宋体"/>
          <w:b/>
          <w:bCs/>
          <w:color w:val="auto"/>
          <w:sz w:val="28"/>
          <w:szCs w:val="28"/>
        </w:rPr>
        <w:tab/>
      </w: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 PAGEREF _Toc15729 </w:instrText>
      </w:r>
      <w:r>
        <w:rPr>
          <w:rFonts w:hint="eastAsia" w:ascii="宋体" w:hAnsi="宋体" w:eastAsia="宋体" w:cs="宋体"/>
          <w:b/>
          <w:bCs/>
          <w:color w:val="auto"/>
          <w:sz w:val="28"/>
          <w:szCs w:val="28"/>
        </w:rPr>
        <w:fldChar w:fldCharType="separate"/>
      </w:r>
      <w:r>
        <w:rPr>
          <w:rFonts w:hint="eastAsia" w:ascii="宋体" w:hAnsi="宋体" w:eastAsia="宋体" w:cs="宋体"/>
          <w:b/>
          <w:bCs/>
          <w:color w:val="auto"/>
          <w:sz w:val="28"/>
          <w:szCs w:val="28"/>
        </w:rPr>
        <w:t>3</w:t>
      </w:r>
      <w:r>
        <w:rPr>
          <w:rFonts w:hint="eastAsia" w:ascii="宋体" w:hAnsi="宋体" w:eastAsia="宋体" w:cs="宋体"/>
          <w:b/>
          <w:bCs/>
          <w:color w:val="auto"/>
          <w:sz w:val="28"/>
          <w:szCs w:val="28"/>
        </w:rPr>
        <w:fldChar w:fldCharType="end"/>
      </w:r>
      <w:r>
        <w:rPr>
          <w:rFonts w:hint="eastAsia" w:ascii="宋体" w:hAnsi="宋体" w:eastAsia="宋体" w:cs="宋体"/>
          <w:b/>
          <w:bCs/>
          <w:color w:val="auto"/>
          <w:sz w:val="28"/>
          <w:szCs w:val="28"/>
        </w:rPr>
        <w:fldChar w:fldCharType="end"/>
      </w:r>
    </w:p>
    <w:p>
      <w:pPr>
        <w:pStyle w:val="12"/>
        <w:tabs>
          <w:tab w:val="right" w:leader="dot" w:pos="8306"/>
        </w:tabs>
        <w:spacing w:line="360" w:lineRule="auto"/>
        <w:rPr>
          <w:rFonts w:ascii="宋体" w:hAnsi="宋体" w:eastAsia="宋体" w:cs="宋体"/>
          <w:color w:val="auto"/>
          <w:sz w:val="28"/>
          <w:szCs w:val="28"/>
        </w:rPr>
      </w:pPr>
      <w:r>
        <w:rPr>
          <w:color w:val="auto"/>
        </w:rPr>
        <w:fldChar w:fldCharType="begin"/>
      </w:r>
      <w:r>
        <w:rPr>
          <w:color w:val="auto"/>
        </w:rPr>
        <w:instrText xml:space="preserve"> HYPERLINK \l "_Toc25129" </w:instrText>
      </w:r>
      <w:r>
        <w:rPr>
          <w:color w:val="auto"/>
        </w:rPr>
        <w:fldChar w:fldCharType="separate"/>
      </w:r>
      <w:r>
        <w:rPr>
          <w:rFonts w:hint="eastAsia" w:ascii="宋体" w:hAnsi="宋体" w:eastAsia="宋体" w:cs="宋体"/>
          <w:b/>
          <w:bCs/>
          <w:color w:val="auto"/>
          <w:sz w:val="28"/>
          <w:szCs w:val="28"/>
        </w:rPr>
        <w:t>价 格 评 估 报 告</w:t>
      </w:r>
      <w:r>
        <w:rPr>
          <w:rFonts w:hint="eastAsia" w:ascii="宋体" w:hAnsi="宋体" w:eastAsia="宋体" w:cs="宋体"/>
          <w:b/>
          <w:bCs/>
          <w:color w:val="auto"/>
          <w:sz w:val="28"/>
          <w:szCs w:val="28"/>
        </w:rPr>
        <w:tab/>
      </w: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 PAGEREF _Toc25129 </w:instrText>
      </w:r>
      <w:r>
        <w:rPr>
          <w:rFonts w:hint="eastAsia" w:ascii="宋体" w:hAnsi="宋体" w:eastAsia="宋体" w:cs="宋体"/>
          <w:b/>
          <w:bCs/>
          <w:color w:val="auto"/>
          <w:sz w:val="28"/>
          <w:szCs w:val="28"/>
        </w:rPr>
        <w:fldChar w:fldCharType="separate"/>
      </w:r>
      <w:r>
        <w:rPr>
          <w:rFonts w:hint="eastAsia" w:ascii="宋体" w:hAnsi="宋体" w:eastAsia="宋体" w:cs="宋体"/>
          <w:b/>
          <w:bCs/>
          <w:color w:val="auto"/>
          <w:sz w:val="28"/>
          <w:szCs w:val="28"/>
        </w:rPr>
        <w:t>5</w:t>
      </w:r>
      <w:r>
        <w:rPr>
          <w:rFonts w:hint="eastAsia" w:ascii="宋体" w:hAnsi="宋体" w:eastAsia="宋体" w:cs="宋体"/>
          <w:b/>
          <w:bCs/>
          <w:color w:val="auto"/>
          <w:sz w:val="28"/>
          <w:szCs w:val="28"/>
        </w:rPr>
        <w:fldChar w:fldCharType="end"/>
      </w:r>
      <w:r>
        <w:rPr>
          <w:rFonts w:hint="eastAsia" w:ascii="宋体" w:hAnsi="宋体" w:eastAsia="宋体" w:cs="宋体"/>
          <w:b/>
          <w:bCs/>
          <w:color w:val="auto"/>
          <w:sz w:val="28"/>
          <w:szCs w:val="28"/>
        </w:rPr>
        <w:fldChar w:fldCharType="end"/>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"_Toc31737" </w:instrText>
      </w:r>
      <w:r>
        <w:rPr>
          <w:color w:val="auto"/>
        </w:rPr>
        <w:fldChar w:fldCharType="separate"/>
      </w:r>
      <w:r>
        <w:rPr>
          <w:rFonts w:hint="eastAsia" w:ascii="宋体" w:hAnsi="宋体" w:eastAsia="宋体" w:cs="宋体"/>
          <w:bCs/>
          <w:color w:val="auto"/>
          <w:sz w:val="28"/>
          <w:szCs w:val="28"/>
        </w:rPr>
        <w:t>一、委托人、被评估单位和其他评估报告使用人的概况</w:t>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_Toc31737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5</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"_Toc13649" </w:instrText>
      </w:r>
      <w:r>
        <w:rPr>
          <w:color w:val="auto"/>
        </w:rPr>
        <w:fldChar w:fldCharType="separate"/>
      </w:r>
      <w:r>
        <w:rPr>
          <w:rFonts w:hint="eastAsia" w:ascii="宋体" w:hAnsi="宋体" w:eastAsia="宋体" w:cs="宋体"/>
          <w:bCs/>
          <w:color w:val="auto"/>
          <w:sz w:val="28"/>
          <w:szCs w:val="28"/>
        </w:rPr>
        <w:t>二、价格评估目的</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_Toc13649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6</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"_Toc22753" </w:instrText>
      </w:r>
      <w:r>
        <w:rPr>
          <w:color w:val="auto"/>
        </w:rPr>
        <w:fldChar w:fldCharType="separate"/>
      </w:r>
      <w:r>
        <w:rPr>
          <w:rFonts w:hint="eastAsia" w:ascii="宋体" w:hAnsi="宋体" w:eastAsia="宋体" w:cs="宋体"/>
          <w:bCs/>
          <w:color w:val="auto"/>
          <w:sz w:val="28"/>
          <w:szCs w:val="28"/>
        </w:rPr>
        <w:t>三、价格评估对象和评估范围</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fldChar w:fldCharType="end"/>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"_Toc5017" </w:instrText>
      </w:r>
      <w:r>
        <w:rPr>
          <w:color w:val="auto"/>
        </w:rPr>
        <w:fldChar w:fldCharType="separate"/>
      </w:r>
      <w:r>
        <w:rPr>
          <w:rFonts w:hint="eastAsia" w:ascii="宋体" w:hAnsi="宋体" w:eastAsia="宋体" w:cs="宋体"/>
          <w:bCs/>
          <w:color w:val="auto"/>
          <w:sz w:val="28"/>
          <w:szCs w:val="28"/>
        </w:rPr>
        <w:t>四、价格类型及定义</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fldChar w:fldCharType="end"/>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"_Toc30371" </w:instrText>
      </w:r>
      <w:r>
        <w:rPr>
          <w:color w:val="auto"/>
        </w:rPr>
        <w:fldChar w:fldCharType="separate"/>
      </w:r>
      <w:r>
        <w:rPr>
          <w:rFonts w:hint="eastAsia" w:ascii="宋体" w:hAnsi="宋体" w:eastAsia="宋体" w:cs="宋体"/>
          <w:bCs/>
          <w:color w:val="auto"/>
          <w:sz w:val="28"/>
          <w:szCs w:val="28"/>
        </w:rPr>
        <w:t>五、价格评估基准日</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en-US" w:eastAsia="zh-CN"/>
        </w:rPr>
        <w:t>7</w:t>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"_Toc18848" </w:instrText>
      </w:r>
      <w:r>
        <w:rPr>
          <w:color w:val="auto"/>
        </w:rPr>
        <w:fldChar w:fldCharType="separate"/>
      </w:r>
      <w:r>
        <w:rPr>
          <w:rFonts w:hint="eastAsia" w:ascii="宋体" w:hAnsi="宋体" w:eastAsia="宋体" w:cs="宋体"/>
          <w:bCs/>
          <w:color w:val="auto"/>
          <w:sz w:val="28"/>
          <w:szCs w:val="28"/>
        </w:rPr>
        <w:t>六、价格评估依据</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_Toc18848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7</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"_Toc31560" </w:instrText>
      </w:r>
      <w:r>
        <w:rPr>
          <w:color w:val="auto"/>
        </w:rPr>
        <w:fldChar w:fldCharType="separate"/>
      </w:r>
      <w:r>
        <w:rPr>
          <w:rFonts w:hint="eastAsia" w:ascii="宋体" w:hAnsi="宋体" w:eastAsia="宋体" w:cs="宋体"/>
          <w:bCs/>
          <w:color w:val="auto"/>
          <w:sz w:val="28"/>
          <w:szCs w:val="28"/>
        </w:rPr>
        <w:t>七、价格评估方法</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8</w:t>
      </w:r>
      <w:r>
        <w:rPr>
          <w:rFonts w:hint="eastAsia" w:ascii="宋体" w:hAnsi="宋体" w:eastAsia="宋体" w:cs="宋体"/>
          <w:color w:val="auto"/>
          <w:sz w:val="28"/>
          <w:szCs w:val="28"/>
        </w:rPr>
        <w:fldChar w:fldCharType="end"/>
      </w:r>
    </w:p>
    <w:p>
      <w:pPr>
        <w:pStyle w:val="14"/>
        <w:tabs>
          <w:tab w:val="right" w:leader="dot" w:pos="8306"/>
        </w:tabs>
        <w:spacing w:line="360" w:lineRule="auto"/>
        <w:ind w:left="420"/>
        <w:rPr>
          <w:rFonts w:hint="default" w:ascii="宋体" w:hAnsi="宋体" w:eastAsia="宋体" w:cs="宋体"/>
          <w:color w:val="auto"/>
          <w:sz w:val="28"/>
          <w:szCs w:val="28"/>
          <w:lang w:val="en-US"/>
        </w:rPr>
      </w:pPr>
      <w:r>
        <w:rPr>
          <w:color w:val="auto"/>
        </w:rPr>
        <w:fldChar w:fldCharType="begin"/>
      </w:r>
      <w:r>
        <w:rPr>
          <w:color w:val="auto"/>
        </w:rPr>
        <w:instrText xml:space="preserve"> HYPERLINK \l "_Toc18852" </w:instrText>
      </w:r>
      <w:r>
        <w:rPr>
          <w:color w:val="auto"/>
        </w:rPr>
        <w:fldChar w:fldCharType="separate"/>
      </w:r>
      <w:r>
        <w:rPr>
          <w:rFonts w:hint="eastAsia" w:ascii="宋体" w:hAnsi="宋体" w:eastAsia="宋体" w:cs="宋体"/>
          <w:bCs/>
          <w:color w:val="auto"/>
          <w:sz w:val="28"/>
          <w:szCs w:val="28"/>
        </w:rPr>
        <w:t>八、评估程序实施过程和情况</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en-US" w:eastAsia="zh-CN"/>
        </w:rPr>
        <w:t>10</w:t>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"_Toc19207" </w:instrText>
      </w:r>
      <w:r>
        <w:rPr>
          <w:color w:val="auto"/>
        </w:rPr>
        <w:fldChar w:fldCharType="separate"/>
      </w:r>
      <w:r>
        <w:rPr>
          <w:rFonts w:hint="eastAsia" w:ascii="宋体" w:hAnsi="宋体" w:eastAsia="宋体" w:cs="宋体"/>
          <w:bCs/>
          <w:color w:val="auto"/>
          <w:sz w:val="28"/>
          <w:szCs w:val="28"/>
        </w:rPr>
        <w:t>九、价格评估假设</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_Toc19207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en-US" w:eastAsia="zh-CN"/>
        </w:rPr>
        <w:t>4</w:t>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"_Toc32295" </w:instrText>
      </w:r>
      <w:r>
        <w:rPr>
          <w:color w:val="auto"/>
        </w:rPr>
        <w:fldChar w:fldCharType="separate"/>
      </w:r>
      <w:r>
        <w:rPr>
          <w:rFonts w:hint="eastAsia" w:ascii="宋体" w:hAnsi="宋体" w:eastAsia="宋体" w:cs="宋体"/>
          <w:bCs/>
          <w:color w:val="auto"/>
          <w:sz w:val="28"/>
          <w:szCs w:val="28"/>
        </w:rPr>
        <w:t>十、价格评估结论</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_Toc32295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en-US" w:eastAsia="zh-CN"/>
        </w:rPr>
        <w:t>6</w:t>
      </w:r>
    </w:p>
    <w:p>
      <w:pPr>
        <w:pStyle w:val="14"/>
        <w:tabs>
          <w:tab w:val="right" w:leader="dot" w:pos="8306"/>
        </w:tabs>
        <w:spacing w:line="360" w:lineRule="auto"/>
        <w:ind w:left="420"/>
        <w:rPr>
          <w:rFonts w:hint="eastAsia" w:ascii="宋体" w:hAnsi="宋体" w:eastAsia="宋体" w:cs="宋体"/>
          <w:color w:val="auto"/>
          <w:sz w:val="28"/>
          <w:szCs w:val="28"/>
          <w:lang w:val="en-US" w:eastAsia="zh-CN"/>
        </w:rPr>
      </w:pPr>
      <w:r>
        <w:rPr>
          <w:color w:val="auto"/>
        </w:rPr>
        <w:fldChar w:fldCharType="begin"/>
      </w:r>
      <w:r>
        <w:rPr>
          <w:color w:val="auto"/>
        </w:rPr>
        <w:instrText xml:space="preserve"> HYPERLINK \l "_Toc2267" </w:instrText>
      </w:r>
      <w:r>
        <w:rPr>
          <w:color w:val="auto"/>
        </w:rPr>
        <w:fldChar w:fldCharType="separate"/>
      </w:r>
      <w:r>
        <w:rPr>
          <w:rFonts w:hint="eastAsia" w:ascii="宋体" w:hAnsi="宋体" w:eastAsia="宋体" w:cs="宋体"/>
          <w:bCs/>
          <w:color w:val="auto"/>
          <w:sz w:val="28"/>
          <w:szCs w:val="28"/>
        </w:rPr>
        <w:t>十一特别事项说明</w:t>
      </w:r>
      <w:r>
        <w:rPr>
          <w:rFonts w:hint="eastAsia" w:ascii="宋体" w:hAnsi="宋体" w:eastAsia="宋体" w:cs="宋体"/>
          <w:color w:val="auto"/>
          <w:sz w:val="28"/>
          <w:szCs w:val="28"/>
        </w:rPr>
        <w:tab/>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en-US" w:eastAsia="zh-CN"/>
        </w:rPr>
        <w:t>6</w:t>
      </w:r>
    </w:p>
    <w:p>
      <w:pPr>
        <w:pStyle w:val="14"/>
        <w:tabs>
          <w:tab w:val="right" w:leader="dot" w:pos="8306"/>
        </w:tabs>
        <w:spacing w:line="360" w:lineRule="auto"/>
        <w:ind w:left="420"/>
        <w:rPr>
          <w:rFonts w:hint="eastAsia" w:ascii="宋体" w:hAnsi="宋体" w:eastAsia="宋体" w:cs="宋体"/>
          <w:color w:val="auto"/>
          <w:sz w:val="28"/>
          <w:szCs w:val="28"/>
          <w:lang w:eastAsia="zh-CN"/>
        </w:rPr>
      </w:pPr>
      <w:r>
        <w:rPr>
          <w:color w:val="auto"/>
        </w:rPr>
        <w:fldChar w:fldCharType="begin"/>
      </w:r>
      <w:r>
        <w:rPr>
          <w:color w:val="auto"/>
        </w:rPr>
        <w:instrText xml:space="preserve"> HYPERLINK \l "_Toc24245" </w:instrText>
      </w:r>
      <w:r>
        <w:rPr>
          <w:color w:val="auto"/>
        </w:rPr>
        <w:fldChar w:fldCharType="separate"/>
      </w:r>
      <w:r>
        <w:rPr>
          <w:rFonts w:hint="eastAsia" w:ascii="宋体" w:hAnsi="宋体" w:eastAsia="宋体" w:cs="宋体"/>
          <w:bCs/>
          <w:color w:val="auto"/>
          <w:sz w:val="28"/>
          <w:szCs w:val="28"/>
        </w:rPr>
        <w:t>十二、价格评估报告使用限制说明</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_Toc24245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en-US" w:eastAsia="zh-CN"/>
        </w:rPr>
        <w:t>6</w:t>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"_Toc5296" </w:instrText>
      </w:r>
      <w:r>
        <w:rPr>
          <w:color w:val="auto"/>
        </w:rPr>
        <w:fldChar w:fldCharType="separate"/>
      </w:r>
      <w:r>
        <w:rPr>
          <w:rFonts w:hint="eastAsia" w:ascii="宋体" w:hAnsi="宋体" w:eastAsia="宋体" w:cs="宋体"/>
          <w:bCs/>
          <w:color w:val="auto"/>
          <w:sz w:val="28"/>
          <w:szCs w:val="28"/>
        </w:rPr>
        <w:t>十三、评估报告日</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_Toc5296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en-US" w:eastAsia="zh-CN"/>
        </w:rPr>
        <w:t>7</w:t>
      </w:r>
    </w:p>
    <w:p>
      <w:pPr>
        <w:pStyle w:val="14"/>
        <w:tabs>
          <w:tab w:val="right" w:leader="dot" w:pos="8306"/>
        </w:tabs>
        <w:spacing w:line="360" w:lineRule="auto"/>
        <w:ind w:left="420"/>
        <w:rPr>
          <w:rFonts w:ascii="宋体" w:hAnsi="宋体" w:eastAsia="宋体" w:cs="宋体"/>
          <w:color w:val="auto"/>
          <w:sz w:val="28"/>
          <w:szCs w:val="28"/>
        </w:rPr>
      </w:pPr>
      <w:r>
        <w:rPr>
          <w:color w:val="auto"/>
        </w:rPr>
        <w:fldChar w:fldCharType="begin"/>
      </w:r>
      <w:r>
        <w:rPr>
          <w:color w:val="auto"/>
        </w:rPr>
        <w:instrText xml:space="preserve"> HYPERLINK \l "_Toc16340" </w:instrText>
      </w:r>
      <w:r>
        <w:rPr>
          <w:color w:val="auto"/>
        </w:rPr>
        <w:fldChar w:fldCharType="separate"/>
      </w:r>
      <w:r>
        <w:rPr>
          <w:rFonts w:hint="eastAsia" w:ascii="宋体" w:hAnsi="宋体" w:eastAsia="宋体" w:cs="宋体"/>
          <w:bCs/>
          <w:color w:val="auto"/>
          <w:sz w:val="28"/>
          <w:szCs w:val="28"/>
        </w:rPr>
        <w:t>十四、价格鉴证师签字、评估机构签章</w:t>
      </w:r>
      <w:r>
        <w:rPr>
          <w:rFonts w:hint="eastAsia" w:ascii="宋体" w:hAnsi="宋体" w:eastAsia="宋体" w:cs="宋体"/>
          <w:color w:val="auto"/>
          <w:sz w:val="28"/>
          <w:szCs w:val="28"/>
        </w:rPr>
        <w:tab/>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PAGEREF _Toc16340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lang w:val="en-US" w:eastAsia="zh-CN"/>
        </w:rPr>
        <w:t>7</w:t>
      </w:r>
    </w:p>
    <w:p>
      <w:pPr>
        <w:pStyle w:val="12"/>
        <w:tabs>
          <w:tab w:val="right" w:leader="dot" w:pos="8306"/>
        </w:tabs>
        <w:spacing w:line="360" w:lineRule="auto"/>
        <w:rPr>
          <w:rFonts w:ascii="宋体" w:hAnsi="宋体" w:eastAsia="宋体" w:cs="宋体"/>
          <w:b/>
          <w:bCs/>
          <w:color w:val="auto"/>
          <w:sz w:val="28"/>
          <w:szCs w:val="28"/>
        </w:rPr>
      </w:pPr>
      <w:r>
        <w:rPr>
          <w:color w:val="auto"/>
        </w:rPr>
        <w:fldChar w:fldCharType="begin"/>
      </w:r>
      <w:r>
        <w:rPr>
          <w:color w:val="auto"/>
        </w:rPr>
        <w:instrText xml:space="preserve"> HYPERLINK \l "_Toc15387" </w:instrText>
      </w:r>
      <w:r>
        <w:rPr>
          <w:color w:val="auto"/>
        </w:rPr>
        <w:fldChar w:fldCharType="separate"/>
      </w:r>
      <w:r>
        <w:rPr>
          <w:rFonts w:hint="eastAsia" w:ascii="宋体" w:hAnsi="宋体" w:eastAsia="宋体" w:cs="宋体"/>
          <w:b/>
          <w:bCs/>
          <w:color w:val="auto"/>
          <w:sz w:val="28"/>
          <w:szCs w:val="28"/>
        </w:rPr>
        <w:t>价格评估报告附件：</w:t>
      </w:r>
      <w:r>
        <w:rPr>
          <w:rFonts w:hint="eastAsia" w:ascii="宋体" w:hAnsi="宋体" w:eastAsia="宋体" w:cs="宋体"/>
          <w:b/>
          <w:bCs/>
          <w:color w:val="auto"/>
          <w:sz w:val="28"/>
          <w:szCs w:val="28"/>
        </w:rPr>
        <w:tab/>
      </w:r>
      <w:r>
        <w:rPr>
          <w:rFonts w:hint="eastAsia" w:ascii="宋体" w:hAnsi="宋体" w:eastAsia="宋体" w:cs="宋体"/>
          <w:b/>
          <w:bCs/>
          <w:color w:val="auto"/>
          <w:sz w:val="28"/>
          <w:szCs w:val="28"/>
        </w:rPr>
        <w:fldChar w:fldCharType="begin"/>
      </w:r>
      <w:r>
        <w:rPr>
          <w:rFonts w:hint="eastAsia" w:ascii="宋体" w:hAnsi="宋体" w:eastAsia="宋体" w:cs="宋体"/>
          <w:b/>
          <w:bCs/>
          <w:color w:val="auto"/>
          <w:sz w:val="28"/>
          <w:szCs w:val="28"/>
        </w:rPr>
        <w:instrText xml:space="preserve"> PAGEREF _Toc15387 </w:instrText>
      </w:r>
      <w:r>
        <w:rPr>
          <w:rFonts w:hint="eastAsia" w:ascii="宋体" w:hAnsi="宋体" w:eastAsia="宋体" w:cs="宋体"/>
          <w:b/>
          <w:bCs/>
          <w:color w:val="auto"/>
          <w:sz w:val="28"/>
          <w:szCs w:val="28"/>
        </w:rPr>
        <w:fldChar w:fldCharType="separate"/>
      </w:r>
      <w:r>
        <w:rPr>
          <w:rFonts w:hint="eastAsia" w:ascii="宋体" w:hAnsi="宋体" w:eastAsia="宋体" w:cs="宋体"/>
          <w:b/>
          <w:bCs/>
          <w:color w:val="auto"/>
          <w:sz w:val="28"/>
          <w:szCs w:val="28"/>
        </w:rPr>
        <w:t>1</w:t>
      </w:r>
      <w:r>
        <w:rPr>
          <w:rFonts w:hint="eastAsia" w:ascii="宋体" w:hAnsi="宋体" w:eastAsia="宋体" w:cs="宋体"/>
          <w:b/>
          <w:bCs/>
          <w:color w:val="auto"/>
          <w:sz w:val="28"/>
          <w:szCs w:val="28"/>
        </w:rPr>
        <w:fldChar w:fldCharType="end"/>
      </w:r>
      <w:r>
        <w:rPr>
          <w:rFonts w:hint="eastAsia" w:ascii="宋体" w:hAnsi="宋体" w:eastAsia="宋体" w:cs="宋体"/>
          <w:b/>
          <w:bCs/>
          <w:color w:val="auto"/>
          <w:sz w:val="28"/>
          <w:szCs w:val="28"/>
        </w:rPr>
        <w:fldChar w:fldCharType="end"/>
      </w:r>
      <w:r>
        <w:rPr>
          <w:rFonts w:hint="eastAsia" w:ascii="宋体" w:hAnsi="宋体" w:eastAsia="宋体" w:cs="宋体"/>
          <w:b/>
          <w:bCs/>
          <w:color w:val="auto"/>
          <w:sz w:val="28"/>
          <w:szCs w:val="28"/>
          <w:lang w:val="en-US" w:eastAsia="zh-CN"/>
        </w:rPr>
        <w:t>8</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fldChar w:fldCharType="end"/>
      </w:r>
    </w:p>
    <w:p>
      <w:pPr>
        <w:spacing w:line="360" w:lineRule="auto"/>
        <w:ind w:firstLine="560" w:firstLineChars="200"/>
        <w:rPr>
          <w:rFonts w:hint="eastAsia" w:ascii="宋体" w:hAnsi="宋体" w:eastAsia="宋体" w:cs="宋体"/>
          <w:color w:val="auto"/>
          <w:sz w:val="28"/>
          <w:szCs w:val="28"/>
        </w:rPr>
      </w:pPr>
    </w:p>
    <w:p>
      <w:pPr>
        <w:spacing w:line="360" w:lineRule="auto"/>
        <w:ind w:firstLine="560" w:firstLineChars="200"/>
        <w:rPr>
          <w:rFonts w:ascii="宋体" w:hAnsi="宋体" w:eastAsia="宋体" w:cs="宋体"/>
          <w:color w:val="auto"/>
          <w:sz w:val="28"/>
          <w:szCs w:val="28"/>
          <w:highlight w:val="yellow"/>
        </w:rPr>
      </w:pPr>
      <w:r>
        <w:rPr>
          <w:rFonts w:hint="eastAsia" w:ascii="宋体" w:hAnsi="宋体" w:eastAsia="宋体" w:cs="宋体"/>
          <w:color w:val="auto"/>
          <w:sz w:val="28"/>
          <w:szCs w:val="28"/>
        </w:rPr>
        <w:t>附件一、现场照片</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附件二、价格鉴证委托</w:t>
      </w:r>
      <w:r>
        <w:rPr>
          <w:rFonts w:hint="eastAsia" w:ascii="宋体" w:hAnsi="宋体" w:eastAsia="宋体" w:cs="宋体"/>
          <w:color w:val="auto"/>
          <w:sz w:val="28"/>
          <w:szCs w:val="28"/>
          <w:lang w:eastAsia="zh-CN"/>
        </w:rPr>
        <w:t>评估函</w:t>
      </w:r>
      <w:r>
        <w:rPr>
          <w:rFonts w:hint="eastAsia" w:ascii="宋体" w:hAnsi="宋体" w:eastAsia="宋体" w:cs="宋体"/>
          <w:color w:val="auto"/>
          <w:sz w:val="28"/>
          <w:szCs w:val="28"/>
        </w:rPr>
        <w:t>复印件</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附件三、</w:t>
      </w:r>
      <w:r>
        <w:rPr>
          <w:rFonts w:hint="eastAsia" w:ascii="宋体" w:hAnsi="宋体" w:eastAsia="宋体" w:cs="宋体"/>
          <w:color w:val="auto"/>
          <w:sz w:val="28"/>
          <w:szCs w:val="28"/>
          <w:lang w:eastAsia="zh-CN"/>
        </w:rPr>
        <w:t>产权证明资料复印件</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附件四、价格鉴证评估机构资质复印件</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附件五、法人营业执照副本复印件</w:t>
      </w:r>
    </w:p>
    <w:p>
      <w:pPr>
        <w:spacing w:line="360" w:lineRule="auto"/>
        <w:ind w:firstLine="560" w:firstLineChars="200"/>
        <w:rPr>
          <w:rFonts w:ascii="宋体" w:hAnsi="宋体" w:eastAsia="宋体" w:cs="宋体"/>
          <w:color w:val="auto"/>
          <w:sz w:val="24"/>
        </w:rPr>
      </w:pPr>
      <w:r>
        <w:rPr>
          <w:rFonts w:hint="eastAsia" w:ascii="宋体" w:hAnsi="宋体" w:eastAsia="宋体" w:cs="宋体"/>
          <w:color w:val="auto"/>
          <w:sz w:val="28"/>
          <w:szCs w:val="28"/>
        </w:rPr>
        <w:t>附件六、价格鉴证师职业资格证影印件</w:t>
      </w:r>
    </w:p>
    <w:p>
      <w:pPr>
        <w:spacing w:after="240"/>
        <w:rPr>
          <w:rFonts w:ascii="宋体" w:hAnsi="宋体" w:eastAsia="宋体" w:cs="宋体"/>
          <w:color w:val="auto"/>
          <w:sz w:val="24"/>
        </w:rPr>
      </w:pPr>
    </w:p>
    <w:p>
      <w:pPr>
        <w:spacing w:after="240"/>
        <w:rPr>
          <w:rFonts w:ascii="宋体" w:hAnsi="宋体" w:eastAsia="宋体" w:cs="宋体"/>
          <w:color w:val="auto"/>
          <w:sz w:val="24"/>
        </w:rPr>
      </w:pPr>
    </w:p>
    <w:p>
      <w:pPr>
        <w:spacing w:after="240"/>
        <w:rPr>
          <w:rFonts w:ascii="宋体" w:hAnsi="宋体" w:eastAsia="宋体" w:cs="宋体"/>
          <w:color w:val="auto"/>
          <w:sz w:val="24"/>
        </w:rPr>
      </w:pPr>
    </w:p>
    <w:p>
      <w:pPr>
        <w:spacing w:after="240"/>
        <w:rPr>
          <w:rFonts w:ascii="宋体" w:hAnsi="宋体" w:eastAsia="宋体" w:cs="宋体"/>
          <w:color w:val="auto"/>
          <w:sz w:val="24"/>
        </w:rPr>
      </w:pPr>
    </w:p>
    <w:p>
      <w:pPr>
        <w:spacing w:after="240"/>
        <w:rPr>
          <w:rFonts w:ascii="宋体" w:hAnsi="宋体" w:eastAsia="宋体" w:cs="宋体"/>
          <w:color w:val="auto"/>
          <w:sz w:val="24"/>
        </w:rPr>
      </w:pPr>
    </w:p>
    <w:p>
      <w:pPr>
        <w:spacing w:after="240"/>
        <w:jc w:val="center"/>
        <w:rPr>
          <w:rFonts w:ascii="宋体" w:hAnsi="宋体" w:eastAsia="宋体" w:cs="宋体"/>
          <w:b/>
          <w:bCs/>
          <w:color w:val="auto"/>
          <w:sz w:val="36"/>
          <w:szCs w:val="36"/>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after="240"/>
        <w:jc w:val="center"/>
        <w:outlineLvl w:val="0"/>
        <w:rPr>
          <w:rFonts w:ascii="宋体" w:hAnsi="宋体" w:eastAsia="宋体" w:cs="宋体"/>
          <w:b/>
          <w:bCs/>
          <w:color w:val="auto"/>
          <w:sz w:val="36"/>
          <w:szCs w:val="36"/>
        </w:rPr>
      </w:pPr>
      <w:bookmarkStart w:id="0" w:name="_Toc16346"/>
      <w:r>
        <w:rPr>
          <w:rFonts w:hint="eastAsia" w:ascii="宋体" w:hAnsi="宋体" w:eastAsia="宋体" w:cs="宋体"/>
          <w:b/>
          <w:bCs/>
          <w:color w:val="auto"/>
          <w:sz w:val="36"/>
          <w:szCs w:val="36"/>
        </w:rPr>
        <w:t>声    明</w:t>
      </w:r>
      <w:bookmarkEnd w:id="0"/>
    </w:p>
    <w:p>
      <w:pPr>
        <w:pStyle w:val="2"/>
        <w:ind w:firstLine="210"/>
        <w:rPr>
          <w:color w:val="auto"/>
        </w:rPr>
      </w:pP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一、本价格评估报告依据中国价格协会发布的价格鉴证评估执业规范和职业道德准则编制。</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二、委托人或者其他价格评估报告使用人应当按照法律、行政法规规定及本价格评估报告载明的使用范围使用价格评估报告；委托人或者其他价格评估报告使用人违反前述规定使用价格评估报告的，本价格鉴证评估机构及价格鉴证师不承担责任。</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三、本价格评估报告仅供委托人、价格房产委托</w:t>
      </w:r>
      <w:r>
        <w:rPr>
          <w:rFonts w:hint="eastAsia" w:ascii="宋体" w:hAnsi="宋体" w:eastAsia="宋体" w:cs="宋体"/>
          <w:color w:val="auto"/>
          <w:sz w:val="28"/>
          <w:szCs w:val="28"/>
          <w:lang w:eastAsia="zh-CN"/>
        </w:rPr>
        <w:t>评估函</w:t>
      </w:r>
      <w:r>
        <w:rPr>
          <w:rFonts w:hint="eastAsia" w:ascii="宋体" w:hAnsi="宋体" w:eastAsia="宋体" w:cs="宋体"/>
          <w:color w:val="auto"/>
          <w:sz w:val="28"/>
          <w:szCs w:val="28"/>
        </w:rPr>
        <w:t>中约定的其他评估报告使用人和法律、行政法规规定的价格评估报告使用人使用；除此之外，其他任何机构和个人不能成为价格评估报告的使用人。</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四、本价格鉴证评估机构及价格鉴证师提示价格评估报告使用人应当正确理解和使用价格评估结论，评估结论不等同于评估对象可实现价格，评估结论不应当被认为是对评估对象可实现价格的保证。</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五、价格评估报告使用人应当关注价格评估报告结论成立的假设前提、价格评估报告特别事项说明和使用限制。</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六、委托人和其他相关当事人依法对其提供资料的真实性、完整性、合法性负责。</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七、本价格鉴证评估机构及价格鉴证师遵守法律、行政法规和价格鉴证评估执业规范，坚持独立、客观和公正的原则，并对所出具的价格评估报告依法承担责任。</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八、本价格鉴证评估机构及价格鉴证师与价格评估报告中的评估对象没有现存或者预期的利益关系；与相关当事人没有现存或者预期的利益关系，对相关当事人不存在偏见。</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九、价格评估结论仅对本次委托有效，不作他用。未经价格鉴证评估机构同意，不得向委托人、价格房产委托</w:t>
      </w:r>
      <w:r>
        <w:rPr>
          <w:rFonts w:hint="eastAsia" w:ascii="宋体" w:hAnsi="宋体" w:eastAsia="宋体" w:cs="宋体"/>
          <w:color w:val="auto"/>
          <w:sz w:val="28"/>
          <w:szCs w:val="28"/>
          <w:lang w:eastAsia="zh-CN"/>
        </w:rPr>
        <w:t>评估函</w:t>
      </w:r>
      <w:r>
        <w:rPr>
          <w:rFonts w:hint="eastAsia" w:ascii="宋体" w:hAnsi="宋体" w:eastAsia="宋体" w:cs="宋体"/>
          <w:color w:val="auto"/>
          <w:sz w:val="28"/>
          <w:szCs w:val="28"/>
        </w:rPr>
        <w:t>中约定的其他价格评估报告使用人和法律、行政法规规定的价格评估报告使用人之外的任何单位和个人提供，评估报告的全部或部分内容，不得发表于任何公开媒体上。</w:t>
      </w:r>
    </w:p>
    <w:p>
      <w:pPr>
        <w:ind w:left="420" w:leftChars="200"/>
        <w:rPr>
          <w:rFonts w:ascii="宋体" w:hAnsi="宋体" w:eastAsia="宋体" w:cs="宋体"/>
          <w:color w:val="auto"/>
          <w:sz w:val="32"/>
          <w:szCs w:val="32"/>
        </w:rPr>
      </w:pPr>
    </w:p>
    <w:p>
      <w:pPr>
        <w:ind w:left="420" w:leftChars="200"/>
        <w:rPr>
          <w:rFonts w:ascii="宋体" w:hAnsi="宋体" w:eastAsia="宋体" w:cs="宋体"/>
          <w:color w:val="auto"/>
          <w:sz w:val="28"/>
          <w:szCs w:val="28"/>
        </w:rPr>
      </w:pPr>
    </w:p>
    <w:p>
      <w:pPr>
        <w:ind w:left="420" w:leftChars="200"/>
        <w:rPr>
          <w:rFonts w:ascii="宋体" w:hAnsi="宋体" w:eastAsia="宋体" w:cs="宋体"/>
          <w:color w:val="auto"/>
          <w:sz w:val="28"/>
          <w:szCs w:val="28"/>
        </w:rPr>
      </w:pPr>
    </w:p>
    <w:p>
      <w:pPr>
        <w:pStyle w:val="2"/>
        <w:ind w:firstLine="210"/>
        <w:rPr>
          <w:color w:val="auto"/>
        </w:rPr>
      </w:pPr>
    </w:p>
    <w:p>
      <w:pPr>
        <w:ind w:left="420" w:leftChars="200"/>
        <w:rPr>
          <w:rFonts w:ascii="宋体" w:hAnsi="宋体" w:eastAsia="宋体" w:cs="宋体"/>
          <w:color w:val="auto"/>
          <w:sz w:val="28"/>
          <w:szCs w:val="28"/>
        </w:rPr>
      </w:pPr>
    </w:p>
    <w:p>
      <w:pPr>
        <w:ind w:left="420" w:leftChars="200"/>
        <w:rPr>
          <w:rFonts w:ascii="宋体" w:hAnsi="宋体" w:eastAsia="宋体" w:cs="宋体"/>
          <w:color w:val="auto"/>
          <w:sz w:val="28"/>
          <w:szCs w:val="28"/>
        </w:rPr>
      </w:pPr>
    </w:p>
    <w:p>
      <w:pPr>
        <w:ind w:left="420" w:leftChars="200"/>
        <w:rPr>
          <w:rFonts w:ascii="宋体" w:hAnsi="宋体" w:eastAsia="宋体" w:cs="宋体"/>
          <w:color w:val="auto"/>
          <w:sz w:val="28"/>
          <w:szCs w:val="28"/>
        </w:rPr>
      </w:pPr>
    </w:p>
    <w:p>
      <w:pPr>
        <w:ind w:left="420" w:leftChars="200"/>
        <w:rPr>
          <w:rFonts w:ascii="宋体" w:hAnsi="宋体" w:eastAsia="宋体" w:cs="宋体"/>
          <w:color w:val="auto"/>
          <w:sz w:val="28"/>
          <w:szCs w:val="28"/>
        </w:rPr>
      </w:pPr>
    </w:p>
    <w:p>
      <w:pPr>
        <w:ind w:left="420" w:leftChars="200"/>
        <w:rPr>
          <w:rFonts w:ascii="宋体" w:hAnsi="宋体" w:eastAsia="宋体" w:cs="宋体"/>
          <w:color w:val="auto"/>
          <w:sz w:val="28"/>
          <w:szCs w:val="28"/>
        </w:rPr>
      </w:pPr>
    </w:p>
    <w:p>
      <w:pPr>
        <w:ind w:left="420" w:leftChars="200"/>
        <w:rPr>
          <w:rFonts w:ascii="宋体" w:hAnsi="宋体" w:eastAsia="宋体" w:cs="宋体"/>
          <w:color w:val="auto"/>
          <w:sz w:val="28"/>
          <w:szCs w:val="28"/>
        </w:rPr>
      </w:pPr>
    </w:p>
    <w:p>
      <w:pPr>
        <w:ind w:left="420" w:leftChars="200"/>
        <w:rPr>
          <w:rFonts w:ascii="宋体" w:hAnsi="宋体" w:eastAsia="宋体" w:cs="宋体"/>
          <w:color w:val="auto"/>
          <w:sz w:val="28"/>
          <w:szCs w:val="28"/>
        </w:rPr>
      </w:pPr>
    </w:p>
    <w:p>
      <w:pPr>
        <w:pStyle w:val="2"/>
        <w:ind w:firstLine="280"/>
        <w:rPr>
          <w:rFonts w:ascii="宋体" w:hAnsi="宋体" w:eastAsia="宋体" w:cs="宋体"/>
          <w:color w:val="auto"/>
          <w:sz w:val="28"/>
          <w:szCs w:val="28"/>
        </w:rPr>
      </w:pPr>
    </w:p>
    <w:p>
      <w:pPr>
        <w:pStyle w:val="2"/>
        <w:ind w:firstLine="280"/>
        <w:rPr>
          <w:rFonts w:ascii="宋体" w:hAnsi="宋体" w:eastAsia="宋体" w:cs="宋体"/>
          <w:color w:val="auto"/>
          <w:sz w:val="28"/>
          <w:szCs w:val="28"/>
        </w:rPr>
      </w:pPr>
    </w:p>
    <w:p>
      <w:pPr>
        <w:pStyle w:val="2"/>
        <w:ind w:firstLine="210"/>
        <w:rPr>
          <w:color w:val="auto"/>
        </w:rPr>
      </w:pPr>
    </w:p>
    <w:p>
      <w:pPr>
        <w:jc w:val="center"/>
        <w:outlineLvl w:val="0"/>
        <w:rPr>
          <w:rFonts w:ascii="宋体" w:hAnsi="宋体" w:eastAsia="宋体" w:cs="宋体"/>
          <w:b/>
          <w:bCs/>
          <w:color w:val="auto"/>
          <w:sz w:val="36"/>
          <w:szCs w:val="36"/>
        </w:rPr>
      </w:pPr>
      <w:bookmarkStart w:id="1" w:name="_Toc15729"/>
    </w:p>
    <w:p>
      <w:pPr>
        <w:rPr>
          <w:rFonts w:ascii="宋体" w:hAnsi="宋体" w:eastAsia="宋体" w:cs="宋体"/>
          <w:b/>
          <w:bCs/>
          <w:color w:val="auto"/>
          <w:sz w:val="36"/>
          <w:szCs w:val="36"/>
        </w:rPr>
      </w:pPr>
      <w:r>
        <w:rPr>
          <w:rFonts w:hint="eastAsia" w:ascii="宋体" w:hAnsi="宋体" w:eastAsia="宋体" w:cs="宋体"/>
          <w:b/>
          <w:bCs/>
          <w:color w:val="auto"/>
          <w:sz w:val="36"/>
          <w:szCs w:val="36"/>
        </w:rPr>
        <w:br w:type="page"/>
      </w:r>
    </w:p>
    <w:p>
      <w:pPr>
        <w:jc w:val="center"/>
        <w:outlineLvl w:val="0"/>
        <w:rPr>
          <w:rFonts w:ascii="宋体" w:hAnsi="宋体" w:eastAsia="宋体" w:cs="宋体"/>
          <w:b/>
          <w:bCs/>
          <w:color w:val="auto"/>
          <w:sz w:val="36"/>
          <w:szCs w:val="36"/>
        </w:rPr>
      </w:pPr>
      <w:r>
        <w:rPr>
          <w:rFonts w:hint="eastAsia" w:ascii="宋体" w:hAnsi="宋体" w:eastAsia="宋体" w:cs="宋体"/>
          <w:b/>
          <w:bCs/>
          <w:color w:val="auto"/>
          <w:sz w:val="36"/>
          <w:szCs w:val="36"/>
        </w:rPr>
        <w:t>价格评估报告摘要</w:t>
      </w:r>
      <w:bookmarkEnd w:id="1"/>
    </w:p>
    <w:p>
      <w:pPr>
        <w:pStyle w:val="2"/>
        <w:ind w:firstLine="210"/>
        <w:rPr>
          <w:color w:val="auto"/>
        </w:rPr>
      </w:pP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皓天评估集团有限责任公司</w:t>
      </w:r>
      <w:r>
        <w:rPr>
          <w:rFonts w:hint="eastAsia" w:asciiTheme="majorEastAsia" w:hAnsiTheme="majorEastAsia" w:eastAsiaTheme="majorEastAsia" w:cstheme="majorEastAsia"/>
          <w:color w:val="auto"/>
          <w:sz w:val="28"/>
          <w:szCs w:val="28"/>
          <w:lang w:eastAsia="zh-CN"/>
        </w:rPr>
        <w:t>云南分公司</w:t>
      </w:r>
      <w:r>
        <w:rPr>
          <w:rFonts w:hint="eastAsia" w:asciiTheme="majorEastAsia" w:hAnsiTheme="majorEastAsia" w:eastAsiaTheme="majorEastAsia" w:cstheme="majorEastAsia"/>
          <w:color w:val="auto"/>
          <w:sz w:val="28"/>
          <w:szCs w:val="28"/>
        </w:rPr>
        <w:t>(以下简称:本公司)接受</w:t>
      </w:r>
      <w:r>
        <w:rPr>
          <w:rFonts w:hint="eastAsia" w:asciiTheme="majorEastAsia" w:hAnsiTheme="majorEastAsia" w:eastAsiaTheme="majorEastAsia" w:cstheme="majorEastAsia"/>
          <w:color w:val="auto"/>
          <w:sz w:val="28"/>
          <w:szCs w:val="28"/>
          <w:lang w:eastAsia="zh-CN"/>
        </w:rPr>
        <w:t>陆良县人民法院</w:t>
      </w:r>
      <w:r>
        <w:rPr>
          <w:rFonts w:hint="eastAsia" w:asciiTheme="majorEastAsia" w:hAnsiTheme="majorEastAsia" w:eastAsiaTheme="majorEastAsia" w:cstheme="majorEastAsia"/>
          <w:color w:val="auto"/>
          <w:sz w:val="28"/>
          <w:szCs w:val="28"/>
        </w:rPr>
        <w:t>的委托，对贵院正在执行的</w:t>
      </w:r>
      <w:r>
        <w:rPr>
          <w:rFonts w:hint="eastAsia" w:asciiTheme="majorEastAsia" w:hAnsiTheme="majorEastAsia" w:eastAsiaTheme="majorEastAsia" w:cstheme="majorEastAsia"/>
          <w:color w:val="auto"/>
          <w:sz w:val="28"/>
          <w:szCs w:val="28"/>
          <w:lang w:eastAsia="zh-CN"/>
        </w:rPr>
        <w:t>（2022）云0322执恢255</w:t>
      </w:r>
      <w:r>
        <w:rPr>
          <w:rFonts w:hint="eastAsia" w:asciiTheme="majorEastAsia" w:hAnsiTheme="majorEastAsia" w:eastAsiaTheme="majorEastAsia" w:cstheme="majorEastAsia"/>
          <w:color w:val="auto"/>
          <w:sz w:val="28"/>
          <w:szCs w:val="28"/>
        </w:rPr>
        <w:t>号申请</w:t>
      </w:r>
      <w:r>
        <w:rPr>
          <w:rFonts w:hint="eastAsia" w:asciiTheme="majorEastAsia" w:hAnsiTheme="majorEastAsia" w:eastAsiaTheme="majorEastAsia" w:cstheme="majorEastAsia"/>
          <w:color w:val="auto"/>
          <w:sz w:val="28"/>
          <w:szCs w:val="28"/>
          <w:lang w:val="en-US" w:eastAsia="zh-CN"/>
        </w:rPr>
        <w:t>方曲靖市商业银行股份有限公司陆良支行</w:t>
      </w:r>
      <w:r>
        <w:rPr>
          <w:rFonts w:hint="eastAsia" w:asciiTheme="majorEastAsia" w:hAnsiTheme="majorEastAsia" w:eastAsiaTheme="majorEastAsia" w:cstheme="majorEastAsia"/>
          <w:color w:val="auto"/>
          <w:sz w:val="28"/>
          <w:szCs w:val="28"/>
        </w:rPr>
        <w:t>与被</w:t>
      </w:r>
      <w:r>
        <w:rPr>
          <w:rFonts w:hint="eastAsia" w:asciiTheme="majorEastAsia" w:hAnsiTheme="majorEastAsia" w:eastAsiaTheme="majorEastAsia" w:cstheme="majorEastAsia"/>
          <w:color w:val="auto"/>
          <w:sz w:val="28"/>
          <w:szCs w:val="28"/>
          <w:lang w:val="en-US" w:eastAsia="zh-CN"/>
        </w:rPr>
        <w:t>申请方李文华、陈丽借款合同</w:t>
      </w:r>
      <w:r>
        <w:rPr>
          <w:rFonts w:hint="eastAsia" w:asciiTheme="majorEastAsia" w:hAnsiTheme="majorEastAsia" w:eastAsiaTheme="majorEastAsia" w:cstheme="majorEastAsia"/>
          <w:color w:val="auto"/>
          <w:sz w:val="28"/>
          <w:szCs w:val="28"/>
        </w:rPr>
        <w:t>纠纷一案评估项目完成了必要的评估程序，按《</w:t>
      </w:r>
      <w:r>
        <w:rPr>
          <w:rFonts w:hint="eastAsia" w:asciiTheme="majorEastAsia" w:hAnsiTheme="majorEastAsia" w:eastAsiaTheme="majorEastAsia" w:cstheme="majorEastAsia"/>
          <w:color w:val="auto"/>
          <w:sz w:val="28"/>
          <w:szCs w:val="28"/>
          <w:lang w:eastAsia="zh-CN"/>
        </w:rPr>
        <w:t>陆良县人民法院</w:t>
      </w:r>
      <w:r>
        <w:rPr>
          <w:rFonts w:hint="eastAsia" w:asciiTheme="majorEastAsia" w:hAnsiTheme="majorEastAsia" w:eastAsiaTheme="majorEastAsia" w:cstheme="majorEastAsia"/>
          <w:color w:val="auto"/>
          <w:sz w:val="28"/>
          <w:szCs w:val="28"/>
        </w:rPr>
        <w:t>委托</w:t>
      </w:r>
      <w:r>
        <w:rPr>
          <w:rFonts w:hint="eastAsia" w:asciiTheme="majorEastAsia" w:hAnsiTheme="majorEastAsia" w:eastAsiaTheme="majorEastAsia" w:cstheme="majorEastAsia"/>
          <w:color w:val="auto"/>
          <w:sz w:val="28"/>
          <w:szCs w:val="28"/>
          <w:lang w:eastAsia="zh-CN"/>
        </w:rPr>
        <w:t>评估函</w:t>
      </w:r>
      <w:r>
        <w:rPr>
          <w:rFonts w:hint="eastAsia" w:asciiTheme="majorEastAsia" w:hAnsiTheme="majorEastAsia" w:eastAsiaTheme="majorEastAsia" w:cstheme="majorEastAsia"/>
          <w:color w:val="auto"/>
          <w:sz w:val="28"/>
          <w:szCs w:val="28"/>
        </w:rPr>
        <w:t>》的要求，出具价格评估报告。现将价格评估情况及评估结果摘要报告如下：</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一、委托人和其他评估报告使用人：委托人为</w:t>
      </w:r>
      <w:r>
        <w:rPr>
          <w:rFonts w:hint="eastAsia" w:asciiTheme="majorEastAsia" w:hAnsiTheme="majorEastAsia" w:eastAsiaTheme="majorEastAsia" w:cstheme="majorEastAsia"/>
          <w:color w:val="auto"/>
          <w:sz w:val="28"/>
          <w:szCs w:val="28"/>
          <w:lang w:eastAsia="zh-CN"/>
        </w:rPr>
        <w:t>陆良县人民法院</w:t>
      </w:r>
      <w:r>
        <w:rPr>
          <w:rFonts w:hint="eastAsia" w:asciiTheme="majorEastAsia" w:hAnsiTheme="majorEastAsia" w:eastAsiaTheme="majorEastAsia" w:cstheme="majorEastAsia"/>
          <w:color w:val="auto"/>
          <w:sz w:val="28"/>
          <w:szCs w:val="28"/>
        </w:rPr>
        <w:t>。其他评估报告使用人为除委托人外依国家法律、法规规定为实现本次评估目的相关经济行为而需要使用本报告的其他评估报告使用人。</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二、被评估单位：位于</w:t>
      </w:r>
      <w:r>
        <w:rPr>
          <w:rFonts w:hint="eastAsia" w:asciiTheme="majorEastAsia" w:hAnsiTheme="majorEastAsia" w:eastAsiaTheme="majorEastAsia" w:cstheme="majorEastAsia"/>
          <w:color w:val="auto"/>
          <w:sz w:val="28"/>
          <w:szCs w:val="28"/>
          <w:lang w:val="en-US" w:eastAsia="zh-CN"/>
        </w:rPr>
        <w:t>陆良县中枢镇南门三社1-1-1A、1-1-1B号</w:t>
      </w:r>
      <w:r>
        <w:rPr>
          <w:rFonts w:hint="eastAsia" w:asciiTheme="majorEastAsia" w:hAnsiTheme="majorEastAsia" w:eastAsiaTheme="majorEastAsia" w:cstheme="majorEastAsia"/>
          <w:color w:val="auto"/>
          <w:sz w:val="28"/>
          <w:szCs w:val="28"/>
        </w:rPr>
        <w:t>房地产。</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三、价格评估目的：为</w:t>
      </w:r>
      <w:r>
        <w:rPr>
          <w:rFonts w:hint="eastAsia" w:asciiTheme="majorEastAsia" w:hAnsiTheme="majorEastAsia" w:eastAsiaTheme="majorEastAsia" w:cstheme="majorEastAsia"/>
          <w:color w:val="auto"/>
          <w:sz w:val="28"/>
          <w:szCs w:val="28"/>
          <w:lang w:eastAsia="zh-CN"/>
        </w:rPr>
        <w:t>陆良县人民法院</w:t>
      </w:r>
      <w:r>
        <w:rPr>
          <w:rFonts w:hint="eastAsia" w:asciiTheme="majorEastAsia" w:hAnsiTheme="majorEastAsia" w:eastAsiaTheme="majorEastAsia" w:cstheme="majorEastAsia"/>
          <w:color w:val="auto"/>
          <w:sz w:val="28"/>
          <w:szCs w:val="28"/>
        </w:rPr>
        <w:t>办理案件提供价格参考依据。</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四、价格评估对象和范围：根据《</w:t>
      </w:r>
      <w:r>
        <w:rPr>
          <w:rFonts w:hint="eastAsia" w:asciiTheme="majorEastAsia" w:hAnsiTheme="majorEastAsia" w:eastAsiaTheme="majorEastAsia" w:cstheme="majorEastAsia"/>
          <w:color w:val="auto"/>
          <w:sz w:val="28"/>
          <w:szCs w:val="28"/>
          <w:lang w:eastAsia="zh-CN"/>
        </w:rPr>
        <w:t>陆良县人民法院</w:t>
      </w:r>
      <w:r>
        <w:rPr>
          <w:rFonts w:hint="eastAsia" w:asciiTheme="majorEastAsia" w:hAnsiTheme="majorEastAsia" w:eastAsiaTheme="majorEastAsia" w:cstheme="majorEastAsia"/>
          <w:color w:val="auto"/>
          <w:sz w:val="28"/>
          <w:szCs w:val="28"/>
        </w:rPr>
        <w:t>委托</w:t>
      </w:r>
      <w:r>
        <w:rPr>
          <w:rFonts w:hint="eastAsia" w:asciiTheme="majorEastAsia" w:hAnsiTheme="majorEastAsia" w:eastAsiaTheme="majorEastAsia" w:cstheme="majorEastAsia"/>
          <w:color w:val="auto"/>
          <w:sz w:val="28"/>
          <w:szCs w:val="28"/>
          <w:lang w:eastAsia="zh-CN"/>
        </w:rPr>
        <w:t>评估函</w:t>
      </w:r>
      <w:r>
        <w:rPr>
          <w:rFonts w:hint="eastAsia" w:asciiTheme="majorEastAsia" w:hAnsiTheme="majorEastAsia" w:eastAsiaTheme="majorEastAsia" w:cstheme="majorEastAsia"/>
          <w:color w:val="auto"/>
          <w:sz w:val="28"/>
          <w:szCs w:val="28"/>
        </w:rPr>
        <w:t>》委托，价格评估对象和评估范围为位于</w:t>
      </w:r>
      <w:r>
        <w:rPr>
          <w:rFonts w:hint="eastAsia" w:asciiTheme="majorEastAsia" w:hAnsiTheme="majorEastAsia" w:eastAsiaTheme="majorEastAsia" w:cstheme="majorEastAsia"/>
          <w:color w:val="auto"/>
          <w:sz w:val="28"/>
          <w:szCs w:val="28"/>
          <w:lang w:eastAsia="zh-CN"/>
        </w:rPr>
        <w:t>陆良县中枢镇南门三社1-1-1A、</w:t>
      </w:r>
      <w:r>
        <w:rPr>
          <w:rFonts w:hint="eastAsia" w:asciiTheme="majorEastAsia" w:hAnsiTheme="majorEastAsia" w:eastAsiaTheme="majorEastAsia" w:cstheme="majorEastAsia"/>
          <w:color w:val="auto"/>
          <w:sz w:val="28"/>
          <w:szCs w:val="28"/>
          <w:lang w:val="en-US" w:eastAsia="zh-CN"/>
        </w:rPr>
        <w:t>1-1-1B</w:t>
      </w:r>
      <w:r>
        <w:rPr>
          <w:rFonts w:hint="eastAsia" w:asciiTheme="majorEastAsia" w:hAnsiTheme="majorEastAsia" w:eastAsiaTheme="majorEastAsia" w:cstheme="majorEastAsia"/>
          <w:color w:val="auto"/>
          <w:sz w:val="28"/>
          <w:szCs w:val="28"/>
          <w:lang w:eastAsia="zh-CN"/>
        </w:rPr>
        <w:t>号</w:t>
      </w:r>
      <w:r>
        <w:rPr>
          <w:rFonts w:hint="eastAsia" w:asciiTheme="majorEastAsia" w:hAnsiTheme="majorEastAsia" w:eastAsiaTheme="majorEastAsia" w:cstheme="majorEastAsia"/>
          <w:color w:val="auto"/>
          <w:sz w:val="28"/>
          <w:szCs w:val="28"/>
        </w:rPr>
        <w:t>房地产的价值。</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五、价格类型：市场价格。</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六、价格评估基准日及评估结论使用有效期：评估基准日为2022年</w:t>
      </w:r>
      <w:r>
        <w:rPr>
          <w:rFonts w:hint="eastAsia" w:asciiTheme="majorEastAsia" w:hAnsiTheme="majorEastAsia" w:eastAsiaTheme="majorEastAsia" w:cstheme="majorEastAsia"/>
          <w:color w:val="auto"/>
          <w:sz w:val="28"/>
          <w:szCs w:val="28"/>
          <w:lang w:eastAsia="zh-CN"/>
        </w:rPr>
        <w:t>07月20</w:t>
      </w:r>
      <w:r>
        <w:rPr>
          <w:rFonts w:hint="eastAsia" w:asciiTheme="majorEastAsia" w:hAnsiTheme="majorEastAsia" w:eastAsiaTheme="majorEastAsia" w:cstheme="majorEastAsia"/>
          <w:color w:val="auto"/>
          <w:sz w:val="28"/>
          <w:szCs w:val="28"/>
        </w:rPr>
        <w:t>日（现场勘查日），出具报告日期为2022年</w:t>
      </w:r>
      <w:r>
        <w:rPr>
          <w:rFonts w:hint="eastAsia" w:asciiTheme="majorEastAsia" w:hAnsiTheme="majorEastAsia" w:eastAsiaTheme="majorEastAsia" w:cstheme="majorEastAsia"/>
          <w:color w:val="auto"/>
          <w:sz w:val="28"/>
          <w:szCs w:val="28"/>
          <w:lang w:eastAsia="zh-CN"/>
        </w:rPr>
        <w:t>07月30</w:t>
      </w:r>
      <w:r>
        <w:rPr>
          <w:rFonts w:hint="eastAsia" w:asciiTheme="majorEastAsia" w:hAnsiTheme="majorEastAsia" w:eastAsiaTheme="majorEastAsia" w:cstheme="majorEastAsia"/>
          <w:color w:val="auto"/>
          <w:sz w:val="28"/>
          <w:szCs w:val="28"/>
        </w:rPr>
        <w:t>日，评估结论的有效使用期为评估报告出具后一年，即自2022年</w:t>
      </w:r>
      <w:r>
        <w:rPr>
          <w:rFonts w:hint="eastAsia" w:asciiTheme="majorEastAsia" w:hAnsiTheme="majorEastAsia" w:eastAsiaTheme="majorEastAsia" w:cstheme="majorEastAsia"/>
          <w:color w:val="auto"/>
          <w:sz w:val="28"/>
          <w:szCs w:val="28"/>
          <w:lang w:eastAsia="zh-CN"/>
        </w:rPr>
        <w:t>07月30</w:t>
      </w:r>
      <w:r>
        <w:rPr>
          <w:rFonts w:hint="eastAsia" w:asciiTheme="majorEastAsia" w:hAnsiTheme="majorEastAsia" w:eastAsiaTheme="majorEastAsia" w:cstheme="majorEastAsia"/>
          <w:color w:val="auto"/>
          <w:sz w:val="28"/>
          <w:szCs w:val="28"/>
        </w:rPr>
        <w:t>日至2023年</w:t>
      </w:r>
      <w:r>
        <w:rPr>
          <w:rFonts w:hint="eastAsia" w:asciiTheme="majorEastAsia" w:hAnsiTheme="majorEastAsia" w:eastAsiaTheme="majorEastAsia" w:cstheme="majorEastAsia"/>
          <w:color w:val="auto"/>
          <w:sz w:val="28"/>
          <w:szCs w:val="28"/>
          <w:lang w:eastAsia="zh-CN"/>
        </w:rPr>
        <w:t>07月29</w:t>
      </w:r>
      <w:r>
        <w:rPr>
          <w:rFonts w:hint="eastAsia" w:asciiTheme="majorEastAsia" w:hAnsiTheme="majorEastAsia" w:eastAsiaTheme="majorEastAsia" w:cstheme="majorEastAsia"/>
          <w:color w:val="auto"/>
          <w:sz w:val="28"/>
          <w:szCs w:val="28"/>
        </w:rPr>
        <w:t>日。</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七、价格评估方法：</w:t>
      </w:r>
      <w:r>
        <w:rPr>
          <w:rFonts w:hint="eastAsia" w:asciiTheme="majorEastAsia" w:hAnsiTheme="majorEastAsia" w:eastAsiaTheme="majorEastAsia" w:cstheme="majorEastAsia"/>
          <w:color w:val="auto"/>
          <w:sz w:val="28"/>
          <w:szCs w:val="28"/>
          <w:lang w:val="en-US" w:eastAsia="zh-CN"/>
        </w:rPr>
        <w:t>市场法、</w:t>
      </w:r>
      <w:r>
        <w:rPr>
          <w:rFonts w:hint="eastAsia" w:asciiTheme="majorEastAsia" w:hAnsiTheme="majorEastAsia" w:eastAsiaTheme="majorEastAsia" w:cstheme="majorEastAsia"/>
          <w:color w:val="auto"/>
          <w:sz w:val="28"/>
          <w:szCs w:val="28"/>
        </w:rPr>
        <w:t>收益法。</w:t>
      </w:r>
    </w:p>
    <w:p>
      <w:pPr>
        <w:spacing w:line="580" w:lineRule="exact"/>
        <w:ind w:firstLine="560" w:firstLineChars="200"/>
        <w:rPr>
          <w:rFonts w:hint="eastAsia" w:asciiTheme="majorEastAsia" w:hAnsiTheme="majorEastAsia" w:eastAsiaTheme="majorEastAsia" w:cstheme="majorEastAsia"/>
          <w:b w:val="0"/>
          <w:bCs/>
          <w:color w:val="auto"/>
          <w:sz w:val="28"/>
          <w:szCs w:val="22"/>
          <w:highlight w:val="none"/>
          <w:vertAlign w:val="baseline"/>
          <w:lang w:val="en-US" w:eastAsia="zh-CN"/>
        </w:rPr>
      </w:pPr>
      <w:r>
        <w:rPr>
          <w:rFonts w:hint="eastAsia" w:asciiTheme="majorEastAsia" w:hAnsiTheme="majorEastAsia" w:eastAsiaTheme="majorEastAsia" w:cstheme="majorEastAsia"/>
          <w:color w:val="auto"/>
          <w:sz w:val="28"/>
          <w:szCs w:val="28"/>
        </w:rPr>
        <w:t>八、价格评估结论：</w:t>
      </w:r>
      <w:r>
        <w:rPr>
          <w:rFonts w:hint="eastAsia" w:asciiTheme="majorEastAsia" w:hAnsiTheme="majorEastAsia" w:eastAsiaTheme="majorEastAsia" w:cstheme="majorEastAsia"/>
          <w:color w:val="auto"/>
          <w:sz w:val="28"/>
          <w:szCs w:val="22"/>
          <w:highlight w:val="none"/>
        </w:rPr>
        <w:t>经过测算，取整确定评估对象在价格评估基准日的评估价格为</w:t>
      </w:r>
      <w:r>
        <w:rPr>
          <w:rFonts w:hint="eastAsia" w:asciiTheme="majorEastAsia" w:hAnsiTheme="majorEastAsia" w:eastAsiaTheme="majorEastAsia" w:cstheme="majorEastAsia"/>
          <w:b/>
          <w:color w:val="auto"/>
          <w:sz w:val="28"/>
          <w:szCs w:val="22"/>
          <w:highlight w:val="none"/>
        </w:rPr>
        <w:t>¥</w:t>
      </w:r>
      <w:r>
        <w:rPr>
          <w:rFonts w:hint="eastAsia" w:asciiTheme="majorEastAsia" w:hAnsiTheme="majorEastAsia" w:eastAsiaTheme="majorEastAsia" w:cstheme="majorEastAsia"/>
          <w:b/>
          <w:color w:val="auto"/>
          <w:sz w:val="28"/>
          <w:szCs w:val="22"/>
          <w:highlight w:val="none"/>
          <w:lang w:val="en-US" w:eastAsia="zh-CN"/>
        </w:rPr>
        <w:t>20.82</w:t>
      </w:r>
      <w:r>
        <w:rPr>
          <w:rFonts w:hint="eastAsia" w:asciiTheme="majorEastAsia" w:hAnsiTheme="majorEastAsia" w:eastAsiaTheme="majorEastAsia" w:cstheme="majorEastAsia"/>
          <w:b/>
          <w:color w:val="auto"/>
          <w:sz w:val="28"/>
          <w:szCs w:val="22"/>
          <w:highlight w:val="none"/>
        </w:rPr>
        <w:t>万元（人民币</w:t>
      </w:r>
      <w:r>
        <w:rPr>
          <w:rFonts w:hint="eastAsia" w:asciiTheme="majorEastAsia" w:hAnsiTheme="majorEastAsia" w:eastAsiaTheme="majorEastAsia" w:cstheme="majorEastAsia"/>
          <w:b/>
          <w:color w:val="auto"/>
          <w:sz w:val="28"/>
          <w:szCs w:val="22"/>
          <w:highlight w:val="none"/>
          <w:lang w:val="en-US" w:eastAsia="zh-CN"/>
        </w:rPr>
        <w:t>贰拾万零捌仟贰佰</w:t>
      </w:r>
      <w:r>
        <w:rPr>
          <w:rFonts w:hint="eastAsia" w:asciiTheme="majorEastAsia" w:hAnsiTheme="majorEastAsia" w:eastAsiaTheme="majorEastAsia" w:cstheme="majorEastAsia"/>
          <w:b/>
          <w:color w:val="auto"/>
          <w:sz w:val="28"/>
          <w:szCs w:val="22"/>
          <w:highlight w:val="none"/>
        </w:rPr>
        <w:t>元整）</w:t>
      </w:r>
      <w:r>
        <w:rPr>
          <w:rFonts w:hint="eastAsia" w:asciiTheme="majorEastAsia" w:hAnsiTheme="majorEastAsia" w:eastAsiaTheme="majorEastAsia" w:cstheme="majorEastAsia"/>
          <w:b/>
          <w:color w:val="auto"/>
          <w:sz w:val="28"/>
          <w:szCs w:val="22"/>
          <w:highlight w:val="none"/>
          <w:lang w:val="en-US" w:eastAsia="zh-CN"/>
        </w:rPr>
        <w:t>,</w:t>
      </w:r>
      <w:r>
        <w:rPr>
          <w:rFonts w:hint="eastAsia" w:asciiTheme="majorEastAsia" w:hAnsiTheme="majorEastAsia" w:eastAsiaTheme="majorEastAsia" w:cstheme="majorEastAsia"/>
          <w:b w:val="0"/>
          <w:bCs/>
          <w:color w:val="auto"/>
          <w:sz w:val="28"/>
          <w:szCs w:val="22"/>
          <w:highlight w:val="none"/>
          <w:lang w:val="en-US" w:eastAsia="zh-CN"/>
        </w:rPr>
        <w:t>详见下表：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7"/>
        <w:gridCol w:w="1497"/>
        <w:gridCol w:w="1438"/>
        <w:gridCol w:w="2043"/>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7" w:type="dxa"/>
            <w:vAlign w:val="center"/>
          </w:tcPr>
          <w:p>
            <w:pPr>
              <w:spacing w:line="580" w:lineRule="exact"/>
              <w:jc w:val="center"/>
              <w:rPr>
                <w:rFonts w:hint="eastAsia" w:ascii="宋体" w:hAnsi="宋体" w:eastAsia="宋体" w:cs="宋体"/>
                <w:b/>
                <w:bCs w:val="0"/>
                <w:color w:val="auto"/>
                <w:sz w:val="21"/>
                <w:szCs w:val="21"/>
                <w:highlight w:val="none"/>
                <w:vertAlign w:val="baseline"/>
                <w:lang w:val="en-US" w:eastAsia="zh-CN"/>
              </w:rPr>
            </w:pPr>
            <w:r>
              <w:rPr>
                <w:rFonts w:hint="eastAsia" w:ascii="宋体" w:hAnsi="宋体" w:eastAsia="宋体" w:cs="宋体"/>
                <w:b/>
                <w:bCs w:val="0"/>
                <w:color w:val="auto"/>
                <w:sz w:val="21"/>
                <w:szCs w:val="21"/>
                <w:highlight w:val="none"/>
                <w:vertAlign w:val="baseline"/>
                <w:lang w:val="en-US" w:eastAsia="zh-CN"/>
              </w:rPr>
              <w:t>项目</w:t>
            </w:r>
          </w:p>
        </w:tc>
        <w:tc>
          <w:tcPr>
            <w:tcW w:w="1497" w:type="dxa"/>
            <w:vAlign w:val="center"/>
          </w:tcPr>
          <w:p>
            <w:pPr>
              <w:spacing w:line="580" w:lineRule="exact"/>
              <w:jc w:val="center"/>
              <w:rPr>
                <w:rFonts w:hint="eastAsia" w:ascii="宋体" w:hAnsi="宋体" w:eastAsia="宋体" w:cs="宋体"/>
                <w:b/>
                <w:bCs w:val="0"/>
                <w:color w:val="auto"/>
                <w:sz w:val="21"/>
                <w:szCs w:val="21"/>
                <w:highlight w:val="none"/>
                <w:vertAlign w:val="baseline"/>
                <w:lang w:val="en-US" w:eastAsia="zh-CN"/>
              </w:rPr>
            </w:pPr>
            <w:r>
              <w:rPr>
                <w:rFonts w:hint="eastAsia" w:ascii="宋体" w:hAnsi="宋体" w:eastAsia="宋体" w:cs="宋体"/>
                <w:b/>
                <w:bCs w:val="0"/>
                <w:color w:val="auto"/>
                <w:sz w:val="21"/>
                <w:szCs w:val="21"/>
                <w:highlight w:val="none"/>
                <w:vertAlign w:val="baseline"/>
                <w:lang w:val="en-US" w:eastAsia="zh-CN"/>
              </w:rPr>
              <w:t>用途</w:t>
            </w:r>
          </w:p>
        </w:tc>
        <w:tc>
          <w:tcPr>
            <w:tcW w:w="1438" w:type="dxa"/>
            <w:vAlign w:val="center"/>
          </w:tcPr>
          <w:p>
            <w:pPr>
              <w:spacing w:line="580" w:lineRule="exact"/>
              <w:jc w:val="center"/>
              <w:rPr>
                <w:rFonts w:hint="eastAsia" w:ascii="宋体" w:hAnsi="宋体" w:eastAsia="宋体" w:cs="宋体"/>
                <w:b/>
                <w:bCs w:val="0"/>
                <w:color w:val="auto"/>
                <w:kern w:val="2"/>
                <w:sz w:val="21"/>
                <w:szCs w:val="21"/>
                <w:highlight w:val="none"/>
                <w:vertAlign w:val="baseline"/>
                <w:lang w:val="en-US" w:eastAsia="zh-CN" w:bidi="ar-SA"/>
              </w:rPr>
            </w:pPr>
            <w:r>
              <w:rPr>
                <w:rFonts w:hint="eastAsia" w:ascii="宋体" w:hAnsi="宋体" w:eastAsia="宋体" w:cs="宋体"/>
                <w:b/>
                <w:bCs w:val="0"/>
                <w:color w:val="auto"/>
                <w:sz w:val="21"/>
                <w:szCs w:val="21"/>
                <w:highlight w:val="none"/>
                <w:vertAlign w:val="baseline"/>
                <w:lang w:val="en-US" w:eastAsia="zh-CN"/>
              </w:rPr>
              <w:t>建筑面积（m</w:t>
            </w:r>
            <w:r>
              <w:rPr>
                <w:rFonts w:hint="eastAsia" w:ascii="宋体" w:hAnsi="宋体" w:eastAsia="宋体" w:cs="宋体"/>
                <w:b/>
                <w:bCs w:val="0"/>
                <w:color w:val="auto"/>
                <w:sz w:val="21"/>
                <w:szCs w:val="21"/>
                <w:highlight w:val="none"/>
                <w:vertAlign w:val="superscript"/>
                <w:lang w:val="en-US" w:eastAsia="zh-CN"/>
              </w:rPr>
              <w:t>2</w:t>
            </w:r>
            <w:r>
              <w:rPr>
                <w:rFonts w:hint="eastAsia" w:ascii="宋体" w:hAnsi="宋体" w:eastAsia="宋体" w:cs="宋体"/>
                <w:b/>
                <w:bCs w:val="0"/>
                <w:color w:val="auto"/>
                <w:sz w:val="21"/>
                <w:szCs w:val="21"/>
                <w:highlight w:val="none"/>
                <w:vertAlign w:val="baseline"/>
                <w:lang w:val="en-US" w:eastAsia="zh-CN"/>
              </w:rPr>
              <w:t>）</w:t>
            </w:r>
          </w:p>
        </w:tc>
        <w:tc>
          <w:tcPr>
            <w:tcW w:w="2043" w:type="dxa"/>
            <w:vAlign w:val="center"/>
          </w:tcPr>
          <w:p>
            <w:pPr>
              <w:spacing w:line="580" w:lineRule="exact"/>
              <w:jc w:val="center"/>
              <w:rPr>
                <w:rFonts w:hint="eastAsia" w:ascii="宋体" w:hAnsi="宋体" w:eastAsia="宋体" w:cs="宋体"/>
                <w:b/>
                <w:bCs w:val="0"/>
                <w:color w:val="auto"/>
                <w:kern w:val="2"/>
                <w:sz w:val="21"/>
                <w:szCs w:val="21"/>
                <w:highlight w:val="none"/>
                <w:vertAlign w:val="baseline"/>
                <w:lang w:val="en-US" w:eastAsia="zh-CN" w:bidi="ar-SA"/>
              </w:rPr>
            </w:pPr>
            <w:r>
              <w:rPr>
                <w:rFonts w:hint="eastAsia" w:ascii="宋体" w:hAnsi="宋体" w:eastAsia="宋体" w:cs="宋体"/>
                <w:b/>
                <w:bCs w:val="0"/>
                <w:color w:val="auto"/>
                <w:sz w:val="21"/>
                <w:szCs w:val="21"/>
                <w:highlight w:val="none"/>
                <w:vertAlign w:val="baseline"/>
                <w:lang w:val="en-US" w:eastAsia="zh-CN"/>
              </w:rPr>
              <w:t>评估单价（元/m</w:t>
            </w:r>
            <w:r>
              <w:rPr>
                <w:rFonts w:hint="eastAsia" w:ascii="宋体" w:hAnsi="宋体" w:eastAsia="宋体" w:cs="宋体"/>
                <w:b/>
                <w:bCs w:val="0"/>
                <w:color w:val="auto"/>
                <w:sz w:val="21"/>
                <w:szCs w:val="21"/>
                <w:highlight w:val="none"/>
                <w:vertAlign w:val="superscript"/>
                <w:lang w:val="en-US" w:eastAsia="zh-CN"/>
              </w:rPr>
              <w:t>2</w:t>
            </w:r>
            <w:r>
              <w:rPr>
                <w:rFonts w:hint="eastAsia" w:ascii="宋体" w:hAnsi="宋体" w:eastAsia="宋体" w:cs="宋体"/>
                <w:b/>
                <w:bCs w:val="0"/>
                <w:color w:val="auto"/>
                <w:sz w:val="21"/>
                <w:szCs w:val="21"/>
                <w:highlight w:val="none"/>
                <w:vertAlign w:val="baseline"/>
                <w:lang w:val="en-US" w:eastAsia="zh-CN"/>
              </w:rPr>
              <w:t>）</w:t>
            </w:r>
          </w:p>
        </w:tc>
        <w:tc>
          <w:tcPr>
            <w:tcW w:w="2043" w:type="dxa"/>
            <w:vAlign w:val="center"/>
          </w:tcPr>
          <w:p>
            <w:pPr>
              <w:spacing w:line="580" w:lineRule="exact"/>
              <w:jc w:val="center"/>
              <w:rPr>
                <w:rFonts w:hint="eastAsia" w:ascii="宋体" w:hAnsi="宋体" w:eastAsia="宋体" w:cs="宋体"/>
                <w:b/>
                <w:bCs w:val="0"/>
                <w:color w:val="auto"/>
                <w:kern w:val="2"/>
                <w:sz w:val="21"/>
                <w:szCs w:val="21"/>
                <w:highlight w:val="none"/>
                <w:vertAlign w:val="baseline"/>
                <w:lang w:val="en-US" w:eastAsia="zh-CN" w:bidi="ar-SA"/>
              </w:rPr>
            </w:pPr>
            <w:r>
              <w:rPr>
                <w:rFonts w:hint="eastAsia" w:ascii="宋体" w:hAnsi="宋体" w:eastAsia="宋体" w:cs="宋体"/>
                <w:b/>
                <w:bCs w:val="0"/>
                <w:color w:val="auto"/>
                <w:sz w:val="21"/>
                <w:szCs w:val="21"/>
                <w:highlight w:val="none"/>
                <w:vertAlign w:val="baseline"/>
                <w:lang w:val="en-US" w:eastAsia="zh-CN"/>
              </w:rPr>
              <w:t>评估价值（万元）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7"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1-1-1A号</w:t>
            </w:r>
          </w:p>
        </w:tc>
        <w:tc>
          <w:tcPr>
            <w:tcW w:w="1497"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住宅</w:t>
            </w:r>
          </w:p>
        </w:tc>
        <w:tc>
          <w:tcPr>
            <w:tcW w:w="1438"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61.92</w:t>
            </w:r>
          </w:p>
        </w:tc>
        <w:tc>
          <w:tcPr>
            <w:tcW w:w="2043" w:type="dxa"/>
            <w:vAlign w:val="center"/>
          </w:tcPr>
          <w:p>
            <w:pPr>
              <w:spacing w:line="580" w:lineRule="exact"/>
              <w:ind w:firstLine="0" w:firstLineChars="0"/>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2607</w:t>
            </w:r>
          </w:p>
        </w:tc>
        <w:tc>
          <w:tcPr>
            <w:tcW w:w="2043"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16.14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7"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1-1-1B号</w:t>
            </w:r>
          </w:p>
        </w:tc>
        <w:tc>
          <w:tcPr>
            <w:tcW w:w="1497"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车库</w:t>
            </w:r>
          </w:p>
        </w:tc>
        <w:tc>
          <w:tcPr>
            <w:tcW w:w="1438"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20.40</w:t>
            </w:r>
          </w:p>
        </w:tc>
        <w:tc>
          <w:tcPr>
            <w:tcW w:w="2043"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2259</w:t>
            </w:r>
          </w:p>
        </w:tc>
        <w:tc>
          <w:tcPr>
            <w:tcW w:w="2043"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7" w:type="dxa"/>
            <w:vAlign w:val="center"/>
          </w:tcPr>
          <w:p>
            <w:pPr>
              <w:spacing w:line="580" w:lineRule="exact"/>
              <w:jc w:val="center"/>
              <w:rPr>
                <w:rFonts w:hint="eastAsia" w:ascii="宋体" w:hAnsi="宋体" w:eastAsia="宋体" w:cs="宋体"/>
                <w:b/>
                <w:bCs w:val="0"/>
                <w:color w:val="auto"/>
                <w:sz w:val="21"/>
                <w:szCs w:val="21"/>
                <w:highlight w:val="none"/>
                <w:vertAlign w:val="baseline"/>
                <w:lang w:val="en-US" w:eastAsia="zh-CN"/>
              </w:rPr>
            </w:pPr>
            <w:r>
              <w:rPr>
                <w:rFonts w:hint="eastAsia" w:ascii="宋体" w:hAnsi="宋体" w:eastAsia="宋体" w:cs="宋体"/>
                <w:b/>
                <w:bCs w:val="0"/>
                <w:color w:val="auto"/>
                <w:sz w:val="21"/>
                <w:szCs w:val="21"/>
                <w:highlight w:val="none"/>
                <w:vertAlign w:val="baseline"/>
                <w:lang w:val="en-US" w:eastAsia="zh-CN"/>
              </w:rPr>
              <w:t>合计</w:t>
            </w:r>
          </w:p>
        </w:tc>
        <w:tc>
          <w:tcPr>
            <w:tcW w:w="1497" w:type="dxa"/>
            <w:vAlign w:val="center"/>
          </w:tcPr>
          <w:p>
            <w:pPr>
              <w:spacing w:line="580" w:lineRule="exact"/>
              <w:jc w:val="center"/>
              <w:rPr>
                <w:rFonts w:hint="eastAsia" w:ascii="宋体" w:hAnsi="宋体" w:eastAsia="宋体" w:cs="宋体"/>
                <w:b/>
                <w:bCs w:val="0"/>
                <w:color w:val="auto"/>
                <w:sz w:val="21"/>
                <w:szCs w:val="21"/>
                <w:highlight w:val="none"/>
                <w:vertAlign w:val="baseline"/>
                <w:lang w:val="en-US" w:eastAsia="zh-CN"/>
              </w:rPr>
            </w:pPr>
          </w:p>
        </w:tc>
        <w:tc>
          <w:tcPr>
            <w:tcW w:w="1438" w:type="dxa"/>
            <w:vAlign w:val="center"/>
          </w:tcPr>
          <w:p>
            <w:pPr>
              <w:spacing w:line="580" w:lineRule="exact"/>
              <w:ind w:firstLine="0" w:firstLineChars="0"/>
              <w:jc w:val="center"/>
              <w:rPr>
                <w:rFonts w:hint="eastAsia" w:ascii="宋体" w:hAnsi="宋体" w:eastAsia="宋体" w:cs="宋体"/>
                <w:b/>
                <w:bCs w:val="0"/>
                <w:color w:val="auto"/>
                <w:sz w:val="21"/>
                <w:szCs w:val="21"/>
                <w:highlight w:val="none"/>
                <w:vertAlign w:val="baseline"/>
                <w:lang w:val="en-US" w:eastAsia="zh-CN"/>
              </w:rPr>
            </w:pPr>
            <w:r>
              <w:rPr>
                <w:rFonts w:hint="eastAsia" w:ascii="宋体" w:hAnsi="宋体" w:eastAsia="宋体" w:cs="宋体"/>
                <w:b/>
                <w:bCs w:val="0"/>
                <w:color w:val="auto"/>
                <w:sz w:val="21"/>
                <w:szCs w:val="21"/>
                <w:highlight w:val="none"/>
                <w:vertAlign w:val="baseline"/>
                <w:lang w:val="en-US" w:eastAsia="zh-CN"/>
              </w:rPr>
              <w:t>82.32</w:t>
            </w:r>
          </w:p>
        </w:tc>
        <w:tc>
          <w:tcPr>
            <w:tcW w:w="2043" w:type="dxa"/>
            <w:vAlign w:val="center"/>
          </w:tcPr>
          <w:p>
            <w:pPr>
              <w:spacing w:line="580" w:lineRule="exact"/>
              <w:jc w:val="center"/>
              <w:rPr>
                <w:rFonts w:hint="eastAsia" w:ascii="宋体" w:hAnsi="宋体" w:eastAsia="宋体" w:cs="宋体"/>
                <w:b/>
                <w:bCs w:val="0"/>
                <w:color w:val="auto"/>
                <w:sz w:val="21"/>
                <w:szCs w:val="21"/>
                <w:highlight w:val="none"/>
                <w:vertAlign w:val="baseline"/>
                <w:lang w:val="en-US" w:eastAsia="zh-CN"/>
              </w:rPr>
            </w:pPr>
          </w:p>
        </w:tc>
        <w:tc>
          <w:tcPr>
            <w:tcW w:w="2043" w:type="dxa"/>
            <w:vAlign w:val="center"/>
          </w:tcPr>
          <w:p>
            <w:pPr>
              <w:spacing w:line="580" w:lineRule="exact"/>
              <w:jc w:val="center"/>
              <w:rPr>
                <w:rFonts w:hint="eastAsia" w:ascii="宋体" w:hAnsi="宋体" w:eastAsia="宋体" w:cs="宋体"/>
                <w:b/>
                <w:bCs w:val="0"/>
                <w:color w:val="auto"/>
                <w:sz w:val="21"/>
                <w:szCs w:val="21"/>
                <w:highlight w:val="none"/>
                <w:vertAlign w:val="baseline"/>
                <w:lang w:val="en-US" w:eastAsia="zh-CN"/>
              </w:rPr>
            </w:pPr>
            <w:r>
              <w:rPr>
                <w:rFonts w:hint="eastAsia" w:ascii="宋体" w:hAnsi="宋体" w:eastAsia="宋体" w:cs="宋体"/>
                <w:b/>
                <w:bCs w:val="0"/>
                <w:color w:val="auto"/>
                <w:sz w:val="21"/>
                <w:szCs w:val="21"/>
                <w:highlight w:val="none"/>
                <w:vertAlign w:val="baseline"/>
                <w:lang w:val="en-US" w:eastAsia="zh-CN"/>
              </w:rPr>
              <w:t>20.82</w:t>
            </w:r>
          </w:p>
        </w:tc>
      </w:tr>
    </w:tbl>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具体评估过程详见《价格评估技术报告书》。</w:t>
      </w:r>
    </w:p>
    <w:p>
      <w:pPr>
        <w:pStyle w:val="2"/>
        <w:spacing w:line="580" w:lineRule="exact"/>
        <w:ind w:firstLine="320"/>
        <w:rPr>
          <w:rFonts w:hint="eastAsia" w:ascii="仿宋" w:hAnsi="仿宋" w:eastAsia="仿宋" w:cs="仿宋"/>
          <w:color w:val="auto"/>
          <w:sz w:val="32"/>
          <w:szCs w:val="32"/>
        </w:rPr>
      </w:pPr>
    </w:p>
    <w:p>
      <w:pPr>
        <w:pStyle w:val="2"/>
        <w:spacing w:line="580" w:lineRule="exact"/>
        <w:ind w:firstLine="320"/>
        <w:rPr>
          <w:rFonts w:hint="eastAsia" w:ascii="仿宋" w:hAnsi="仿宋" w:eastAsia="仿宋" w:cs="仿宋"/>
          <w:color w:val="auto"/>
          <w:sz w:val="32"/>
          <w:szCs w:val="32"/>
        </w:rPr>
      </w:pPr>
    </w:p>
    <w:p>
      <w:pPr>
        <w:spacing w:line="580" w:lineRule="exact"/>
        <w:ind w:firstLine="640" w:firstLineChars="200"/>
        <w:rPr>
          <w:rFonts w:hint="eastAsia" w:ascii="仿宋" w:hAnsi="仿宋" w:eastAsia="仿宋" w:cs="仿宋"/>
          <w:color w:val="auto"/>
          <w:sz w:val="32"/>
          <w:szCs w:val="32"/>
        </w:rPr>
      </w:pPr>
    </w:p>
    <w:p>
      <w:pPr>
        <w:spacing w:line="580" w:lineRule="exact"/>
        <w:ind w:firstLine="562" w:firstLineChars="200"/>
        <w:rPr>
          <w:rFonts w:hint="eastAsia" w:ascii="仿宋" w:hAnsi="仿宋" w:eastAsia="仿宋" w:cs="仿宋"/>
          <w:b/>
          <w:bCs/>
          <w:color w:val="auto"/>
          <w:sz w:val="32"/>
          <w:szCs w:val="32"/>
        </w:rPr>
      </w:pPr>
      <w:r>
        <w:rPr>
          <w:rFonts w:hint="eastAsia" w:asciiTheme="majorEastAsia" w:hAnsiTheme="majorEastAsia" w:eastAsiaTheme="majorEastAsia" w:cstheme="majorEastAsia"/>
          <w:b/>
          <w:bCs/>
          <w:color w:val="auto"/>
          <w:sz w:val="28"/>
          <w:szCs w:val="28"/>
        </w:rPr>
        <w:t>以上内容摘自评估报告正文，欲了解本评估项目的详细情况合理理解评估结论，应当阅读评估报告正文。</w:t>
      </w:r>
    </w:p>
    <w:p>
      <w:pPr>
        <w:pStyle w:val="2"/>
        <w:ind w:firstLine="281"/>
        <w:rPr>
          <w:rFonts w:ascii="宋体" w:hAnsi="宋体" w:eastAsia="宋体" w:cs="宋体"/>
          <w:b/>
          <w:bCs/>
          <w:color w:val="auto"/>
          <w:sz w:val="28"/>
          <w:szCs w:val="28"/>
        </w:rPr>
      </w:pPr>
    </w:p>
    <w:p>
      <w:pPr>
        <w:pStyle w:val="2"/>
        <w:ind w:firstLine="281"/>
        <w:rPr>
          <w:rFonts w:ascii="宋体" w:hAnsi="宋体" w:eastAsia="宋体" w:cs="宋体"/>
          <w:b/>
          <w:bCs/>
          <w:color w:val="auto"/>
          <w:sz w:val="28"/>
          <w:szCs w:val="28"/>
        </w:rPr>
      </w:pPr>
    </w:p>
    <w:p>
      <w:pPr>
        <w:pStyle w:val="2"/>
        <w:ind w:firstLine="281"/>
        <w:rPr>
          <w:rFonts w:ascii="宋体" w:hAnsi="宋体" w:eastAsia="宋体" w:cs="宋体"/>
          <w:b/>
          <w:bCs/>
          <w:color w:val="auto"/>
          <w:sz w:val="28"/>
          <w:szCs w:val="28"/>
        </w:rPr>
      </w:pPr>
    </w:p>
    <w:p>
      <w:pPr>
        <w:pStyle w:val="2"/>
        <w:ind w:firstLine="281"/>
        <w:rPr>
          <w:rFonts w:ascii="宋体" w:hAnsi="宋体" w:eastAsia="宋体" w:cs="宋体"/>
          <w:b/>
          <w:bCs/>
          <w:color w:val="auto"/>
          <w:sz w:val="28"/>
          <w:szCs w:val="28"/>
        </w:rPr>
      </w:pPr>
    </w:p>
    <w:p>
      <w:pPr>
        <w:pStyle w:val="2"/>
        <w:ind w:firstLine="281"/>
        <w:rPr>
          <w:rFonts w:ascii="宋体" w:hAnsi="宋体" w:eastAsia="宋体" w:cs="宋体"/>
          <w:b/>
          <w:bCs/>
          <w:color w:val="auto"/>
          <w:sz w:val="28"/>
          <w:szCs w:val="28"/>
        </w:rPr>
      </w:pPr>
    </w:p>
    <w:p>
      <w:pPr>
        <w:pStyle w:val="2"/>
        <w:ind w:firstLine="281"/>
        <w:rPr>
          <w:rFonts w:ascii="宋体" w:hAnsi="宋体" w:eastAsia="宋体" w:cs="宋体"/>
          <w:b/>
          <w:bCs/>
          <w:color w:val="auto"/>
          <w:sz w:val="28"/>
          <w:szCs w:val="28"/>
        </w:rPr>
      </w:pPr>
    </w:p>
    <w:p>
      <w:pPr>
        <w:pStyle w:val="2"/>
        <w:ind w:firstLine="281"/>
        <w:rPr>
          <w:rFonts w:ascii="宋体" w:hAnsi="宋体" w:eastAsia="宋体" w:cs="宋体"/>
          <w:b/>
          <w:bCs/>
          <w:color w:val="auto"/>
          <w:sz w:val="28"/>
          <w:szCs w:val="28"/>
        </w:rPr>
      </w:pPr>
    </w:p>
    <w:p>
      <w:pPr>
        <w:pStyle w:val="2"/>
        <w:ind w:firstLine="281"/>
        <w:rPr>
          <w:rFonts w:ascii="宋体" w:hAnsi="宋体" w:eastAsia="宋体" w:cs="宋体"/>
          <w:b/>
          <w:bCs/>
          <w:color w:val="auto"/>
          <w:sz w:val="28"/>
          <w:szCs w:val="28"/>
        </w:rPr>
      </w:pPr>
    </w:p>
    <w:p>
      <w:pPr>
        <w:rPr>
          <w:rFonts w:asciiTheme="majorEastAsia" w:hAnsiTheme="majorEastAsia" w:eastAsiaTheme="majorEastAsia" w:cstheme="majorEastAsia"/>
          <w:b/>
          <w:bCs/>
          <w:color w:val="auto"/>
          <w:sz w:val="40"/>
          <w:szCs w:val="40"/>
        </w:rPr>
      </w:pPr>
      <w:r>
        <w:rPr>
          <w:rFonts w:hint="eastAsia" w:asciiTheme="majorEastAsia" w:hAnsiTheme="majorEastAsia" w:eastAsiaTheme="majorEastAsia" w:cstheme="majorEastAsia"/>
          <w:b/>
          <w:bCs/>
          <w:color w:val="auto"/>
          <w:sz w:val="40"/>
          <w:szCs w:val="40"/>
        </w:rPr>
        <w:br w:type="page"/>
      </w:r>
    </w:p>
    <w:p>
      <w:pPr>
        <w:ind w:firstLine="2891" w:firstLineChars="800"/>
        <w:jc w:val="both"/>
        <w:rPr>
          <w:rFonts w:hint="eastAsia" w:asciiTheme="majorEastAsia" w:hAnsiTheme="majorEastAsia" w:eastAsiaTheme="majorEastAsia" w:cstheme="majorEastAsia"/>
          <w:b/>
          <w:bCs/>
          <w:color w:val="auto"/>
          <w:sz w:val="36"/>
          <w:szCs w:val="36"/>
        </w:rPr>
      </w:pPr>
      <w:bookmarkStart w:id="2" w:name="_Toc25129"/>
      <w:r>
        <w:rPr>
          <w:rFonts w:hint="eastAsia" w:asciiTheme="majorEastAsia" w:hAnsiTheme="majorEastAsia" w:eastAsiaTheme="majorEastAsia" w:cstheme="majorEastAsia"/>
          <w:b/>
          <w:bCs/>
          <w:color w:val="auto"/>
          <w:sz w:val="36"/>
          <w:szCs w:val="36"/>
        </w:rPr>
        <w:t>价 格 评 估 报 告</w:t>
      </w:r>
      <w:bookmarkEnd w:id="2"/>
    </w:p>
    <w:p>
      <w:pPr>
        <w:ind w:firstLine="3855" w:firstLineChars="1200"/>
        <w:rPr>
          <w:rFonts w:asciiTheme="majorEastAsia" w:hAnsiTheme="majorEastAsia" w:eastAsiaTheme="majorEastAsia" w:cstheme="majorEastAsia"/>
          <w:b/>
          <w:bCs/>
          <w:color w:val="auto"/>
          <w:sz w:val="32"/>
          <w:szCs w:val="32"/>
        </w:rPr>
      </w:pPr>
      <w:r>
        <w:rPr>
          <w:rFonts w:hint="eastAsia" w:asciiTheme="majorEastAsia" w:hAnsiTheme="majorEastAsia" w:eastAsiaTheme="majorEastAsia" w:cstheme="majorEastAsia"/>
          <w:b/>
          <w:bCs/>
          <w:color w:val="auto"/>
          <w:sz w:val="32"/>
          <w:szCs w:val="32"/>
        </w:rPr>
        <w:t>(正 文)</w:t>
      </w:r>
    </w:p>
    <w:p>
      <w:pPr>
        <w:pStyle w:val="2"/>
        <w:ind w:firstLine="210"/>
        <w:rPr>
          <w:color w:val="auto"/>
        </w:rPr>
      </w:pPr>
    </w:p>
    <w:p>
      <w:pPr>
        <w:spacing w:line="580" w:lineRule="exact"/>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b/>
          <w:bCs/>
          <w:color w:val="auto"/>
          <w:sz w:val="28"/>
          <w:szCs w:val="28"/>
          <w:lang w:eastAsia="zh-CN"/>
        </w:rPr>
        <w:t>陆良县人民法院</w:t>
      </w:r>
      <w:r>
        <w:rPr>
          <w:rFonts w:hint="eastAsia" w:asciiTheme="majorEastAsia" w:hAnsiTheme="majorEastAsia" w:eastAsiaTheme="majorEastAsia" w:cstheme="majorEastAsia"/>
          <w:color w:val="auto"/>
          <w:sz w:val="28"/>
          <w:szCs w:val="28"/>
        </w:rPr>
        <w:t>：</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在贵院正在执行的</w:t>
      </w:r>
      <w:r>
        <w:rPr>
          <w:rFonts w:hint="eastAsia" w:asciiTheme="majorEastAsia" w:hAnsiTheme="majorEastAsia" w:eastAsiaTheme="majorEastAsia" w:cstheme="majorEastAsia"/>
          <w:color w:val="auto"/>
          <w:sz w:val="28"/>
          <w:szCs w:val="28"/>
          <w:lang w:eastAsia="zh-CN"/>
        </w:rPr>
        <w:t>（2022）云0322执恢255</w:t>
      </w:r>
      <w:r>
        <w:rPr>
          <w:rFonts w:hint="eastAsia" w:asciiTheme="majorEastAsia" w:hAnsiTheme="majorEastAsia" w:eastAsiaTheme="majorEastAsia" w:cstheme="majorEastAsia"/>
          <w:color w:val="auto"/>
          <w:sz w:val="28"/>
          <w:szCs w:val="28"/>
        </w:rPr>
        <w:t>号</w:t>
      </w:r>
      <w:r>
        <w:rPr>
          <w:rFonts w:hint="eastAsia" w:asciiTheme="majorEastAsia" w:hAnsiTheme="majorEastAsia" w:eastAsiaTheme="majorEastAsia" w:cstheme="majorEastAsia"/>
          <w:color w:val="auto"/>
          <w:sz w:val="28"/>
          <w:szCs w:val="28"/>
          <w:lang w:eastAsia="zh-CN"/>
        </w:rPr>
        <w:t>申请方曲靖市商业银行股份有限公司陆良支行与被申请方李文华、陈丽借款合同纠纷</w:t>
      </w:r>
      <w:r>
        <w:rPr>
          <w:rFonts w:hint="eastAsia" w:asciiTheme="majorEastAsia" w:hAnsiTheme="majorEastAsia" w:eastAsiaTheme="majorEastAsia" w:cstheme="majorEastAsia"/>
          <w:color w:val="auto"/>
          <w:sz w:val="28"/>
          <w:szCs w:val="28"/>
        </w:rPr>
        <w:t>一案中，皓天评估集团有限责任公司</w:t>
      </w:r>
      <w:r>
        <w:rPr>
          <w:rFonts w:hint="eastAsia" w:asciiTheme="majorEastAsia" w:hAnsiTheme="majorEastAsia" w:eastAsiaTheme="majorEastAsia" w:cstheme="majorEastAsia"/>
          <w:color w:val="auto"/>
          <w:sz w:val="28"/>
          <w:szCs w:val="28"/>
          <w:lang w:eastAsia="zh-CN"/>
        </w:rPr>
        <w:t>云南分公司</w:t>
      </w:r>
      <w:r>
        <w:rPr>
          <w:rFonts w:hint="eastAsia" w:asciiTheme="majorEastAsia" w:hAnsiTheme="majorEastAsia" w:eastAsiaTheme="majorEastAsia" w:cstheme="majorEastAsia"/>
          <w:color w:val="auto"/>
          <w:sz w:val="28"/>
          <w:szCs w:val="28"/>
        </w:rPr>
        <w:t>(以下简称“本公司”)接受贵院《委托</w:t>
      </w:r>
      <w:r>
        <w:rPr>
          <w:rFonts w:hint="eastAsia" w:asciiTheme="majorEastAsia" w:hAnsiTheme="majorEastAsia" w:eastAsiaTheme="majorEastAsia" w:cstheme="majorEastAsia"/>
          <w:color w:val="auto"/>
          <w:sz w:val="28"/>
          <w:szCs w:val="28"/>
          <w:lang w:eastAsia="zh-CN"/>
        </w:rPr>
        <w:t>评估函</w:t>
      </w:r>
      <w:r>
        <w:rPr>
          <w:rFonts w:hint="eastAsia" w:asciiTheme="majorEastAsia" w:hAnsiTheme="majorEastAsia" w:eastAsiaTheme="majorEastAsia" w:cstheme="majorEastAsia"/>
          <w:color w:val="auto"/>
          <w:sz w:val="28"/>
          <w:szCs w:val="28"/>
        </w:rPr>
        <w:t>》的委托，按照法律、行政法规和价格鉴证评估准则的规定，坚持独立、客观和公正的原则，</w:t>
      </w:r>
      <w:r>
        <w:rPr>
          <w:rFonts w:hint="eastAsia" w:asciiTheme="majorEastAsia" w:hAnsiTheme="majorEastAsia" w:eastAsiaTheme="majorEastAsia" w:cstheme="majorEastAsia"/>
          <w:color w:val="auto"/>
          <w:sz w:val="28"/>
          <w:szCs w:val="28"/>
          <w:lang w:eastAsia="zh-CN"/>
        </w:rPr>
        <w:t>采用市场法、收益法</w:t>
      </w:r>
      <w:r>
        <w:rPr>
          <w:rFonts w:hint="eastAsia" w:asciiTheme="majorEastAsia" w:hAnsiTheme="majorEastAsia" w:eastAsiaTheme="majorEastAsia" w:cstheme="majorEastAsia"/>
          <w:color w:val="auto"/>
          <w:sz w:val="28"/>
          <w:szCs w:val="28"/>
        </w:rPr>
        <w:t>，按照必要的评估程序，对位于</w:t>
      </w:r>
      <w:r>
        <w:rPr>
          <w:rFonts w:hint="eastAsia" w:asciiTheme="majorEastAsia" w:hAnsiTheme="majorEastAsia" w:eastAsiaTheme="majorEastAsia" w:cstheme="majorEastAsia"/>
          <w:color w:val="auto"/>
          <w:sz w:val="28"/>
          <w:szCs w:val="28"/>
          <w:lang w:eastAsia="zh-CN"/>
        </w:rPr>
        <w:t>陆良县中枢镇南门三社1-1-1A、</w:t>
      </w:r>
      <w:r>
        <w:rPr>
          <w:rFonts w:hint="eastAsia" w:asciiTheme="majorEastAsia" w:hAnsiTheme="majorEastAsia" w:eastAsiaTheme="majorEastAsia" w:cstheme="majorEastAsia"/>
          <w:color w:val="auto"/>
          <w:sz w:val="28"/>
          <w:szCs w:val="28"/>
          <w:lang w:val="en-US" w:eastAsia="zh-CN"/>
        </w:rPr>
        <w:t>1-1-1B</w:t>
      </w:r>
      <w:r>
        <w:rPr>
          <w:rFonts w:hint="eastAsia" w:asciiTheme="majorEastAsia" w:hAnsiTheme="majorEastAsia" w:eastAsiaTheme="majorEastAsia" w:cstheme="majorEastAsia"/>
          <w:color w:val="auto"/>
          <w:sz w:val="28"/>
          <w:szCs w:val="28"/>
          <w:lang w:eastAsia="zh-CN"/>
        </w:rPr>
        <w:t>号</w:t>
      </w:r>
      <w:r>
        <w:rPr>
          <w:rFonts w:hint="eastAsia" w:asciiTheme="majorEastAsia" w:hAnsiTheme="majorEastAsia" w:eastAsiaTheme="majorEastAsia" w:cstheme="majorEastAsia"/>
          <w:color w:val="auto"/>
          <w:sz w:val="28"/>
          <w:szCs w:val="28"/>
        </w:rPr>
        <w:t>房地产的价值进行了评估。现将价格评估情况报告如下：</w:t>
      </w:r>
    </w:p>
    <w:p>
      <w:pPr>
        <w:spacing w:line="580" w:lineRule="exact"/>
        <w:ind w:firstLine="562" w:firstLineChars="200"/>
        <w:outlineLvl w:val="1"/>
        <w:rPr>
          <w:rFonts w:hint="eastAsia" w:asciiTheme="majorEastAsia" w:hAnsiTheme="majorEastAsia" w:eastAsiaTheme="majorEastAsia" w:cstheme="majorEastAsia"/>
          <w:b/>
          <w:bCs/>
          <w:color w:val="auto"/>
          <w:sz w:val="28"/>
          <w:szCs w:val="28"/>
          <w:lang w:eastAsia="zh-CN"/>
        </w:rPr>
      </w:pPr>
      <w:bookmarkStart w:id="3" w:name="_Toc31737"/>
      <w:r>
        <w:rPr>
          <w:rFonts w:hint="eastAsia" w:asciiTheme="majorEastAsia" w:hAnsiTheme="majorEastAsia" w:eastAsiaTheme="majorEastAsia" w:cstheme="majorEastAsia"/>
          <w:b/>
          <w:bCs/>
          <w:color w:val="auto"/>
          <w:sz w:val="28"/>
          <w:szCs w:val="28"/>
        </w:rPr>
        <w:t>一、委托人、被评估单位和其他评估报告使用人的概况</w:t>
      </w:r>
      <w:bookmarkEnd w:id="3"/>
    </w:p>
    <w:p>
      <w:pPr>
        <w:spacing w:line="580" w:lineRule="exact"/>
        <w:ind w:firstLine="560" w:firstLineChars="200"/>
        <w:outlineLvl w:val="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（一）委托人概况</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委托人为</w:t>
      </w:r>
      <w:r>
        <w:rPr>
          <w:rFonts w:hint="eastAsia" w:asciiTheme="majorEastAsia" w:hAnsiTheme="majorEastAsia" w:eastAsiaTheme="majorEastAsia" w:cstheme="majorEastAsia"/>
          <w:color w:val="auto"/>
          <w:sz w:val="28"/>
          <w:szCs w:val="28"/>
          <w:lang w:eastAsia="zh-CN"/>
        </w:rPr>
        <w:t>陆良县人民法院</w:t>
      </w:r>
      <w:r>
        <w:rPr>
          <w:rFonts w:hint="eastAsia" w:asciiTheme="majorEastAsia" w:hAnsiTheme="majorEastAsia" w:eastAsiaTheme="majorEastAsia" w:cstheme="majorEastAsia"/>
          <w:color w:val="auto"/>
          <w:sz w:val="28"/>
          <w:szCs w:val="28"/>
        </w:rPr>
        <w:t>。</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（二）被评估单位及被评估对象概况：</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被评估单位为</w:t>
      </w:r>
      <w:r>
        <w:rPr>
          <w:rFonts w:hint="eastAsia" w:asciiTheme="majorEastAsia" w:hAnsiTheme="majorEastAsia" w:eastAsiaTheme="majorEastAsia" w:cstheme="majorEastAsia"/>
          <w:color w:val="auto"/>
          <w:sz w:val="28"/>
          <w:szCs w:val="28"/>
          <w:lang w:val="en-US" w:eastAsia="zh-CN"/>
        </w:rPr>
        <w:t>李文华、陈丽</w:t>
      </w:r>
      <w:r>
        <w:rPr>
          <w:rFonts w:hint="eastAsia" w:asciiTheme="majorEastAsia" w:hAnsiTheme="majorEastAsia" w:eastAsiaTheme="majorEastAsia" w:cstheme="majorEastAsia"/>
          <w:color w:val="auto"/>
          <w:sz w:val="28"/>
          <w:szCs w:val="28"/>
        </w:rPr>
        <w:t>。</w:t>
      </w:r>
    </w:p>
    <w:p>
      <w:pPr>
        <w:tabs>
          <w:tab w:val="left" w:pos="720"/>
        </w:tabs>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被评估对象位于</w:t>
      </w:r>
      <w:r>
        <w:rPr>
          <w:rFonts w:hint="eastAsia" w:asciiTheme="majorEastAsia" w:hAnsiTheme="majorEastAsia" w:eastAsiaTheme="majorEastAsia" w:cstheme="majorEastAsia"/>
          <w:color w:val="auto"/>
          <w:sz w:val="28"/>
          <w:szCs w:val="28"/>
          <w:lang w:eastAsia="zh-CN"/>
        </w:rPr>
        <w:t>陆良县中枢镇南门三社1-1-1A号</w:t>
      </w:r>
      <w:r>
        <w:rPr>
          <w:rFonts w:hint="eastAsia" w:asciiTheme="majorEastAsia" w:hAnsiTheme="majorEastAsia" w:eastAsiaTheme="majorEastAsia" w:cstheme="majorEastAsia"/>
          <w:color w:val="auto"/>
          <w:sz w:val="28"/>
          <w:szCs w:val="28"/>
          <w:lang w:val="en-US" w:eastAsia="zh-CN"/>
        </w:rPr>
        <w:t>和1-1-1B号</w:t>
      </w:r>
      <w:r>
        <w:rPr>
          <w:rFonts w:hint="eastAsia" w:asciiTheme="majorEastAsia" w:hAnsiTheme="majorEastAsia" w:eastAsiaTheme="majorEastAsia" w:cstheme="majorEastAsia"/>
          <w:color w:val="auto"/>
          <w:sz w:val="28"/>
          <w:szCs w:val="28"/>
          <w:lang w:eastAsia="zh-CN"/>
        </w:rPr>
        <w:t>。1-1-1A号</w:t>
      </w:r>
      <w:r>
        <w:rPr>
          <w:rFonts w:hint="eastAsia" w:asciiTheme="majorEastAsia" w:hAnsiTheme="majorEastAsia" w:eastAsiaTheme="majorEastAsia" w:cstheme="majorEastAsia"/>
          <w:color w:val="auto"/>
          <w:sz w:val="28"/>
          <w:szCs w:val="28"/>
        </w:rPr>
        <w:t>为</w:t>
      </w:r>
      <w:r>
        <w:rPr>
          <w:rFonts w:hint="eastAsia" w:asciiTheme="majorEastAsia" w:hAnsiTheme="majorEastAsia" w:eastAsiaTheme="majorEastAsia" w:cstheme="majorEastAsia"/>
          <w:color w:val="auto"/>
          <w:sz w:val="28"/>
          <w:szCs w:val="28"/>
          <w:lang w:eastAsia="zh-CN"/>
        </w:rPr>
        <w:t>李文华</w:t>
      </w:r>
      <w:r>
        <w:rPr>
          <w:rFonts w:hint="eastAsia" w:asciiTheme="majorEastAsia" w:hAnsiTheme="majorEastAsia" w:eastAsiaTheme="majorEastAsia" w:cstheme="majorEastAsia"/>
          <w:color w:val="auto"/>
          <w:sz w:val="28"/>
          <w:szCs w:val="28"/>
        </w:rPr>
        <w:t>单独所有住宅用房，</w:t>
      </w:r>
      <w:r>
        <w:rPr>
          <w:rFonts w:hint="eastAsia" w:asciiTheme="majorEastAsia" w:hAnsiTheme="majorEastAsia" w:eastAsiaTheme="majorEastAsia" w:cstheme="majorEastAsia"/>
          <w:color w:val="auto"/>
          <w:sz w:val="28"/>
          <w:szCs w:val="28"/>
          <w:lang w:val="en-US" w:eastAsia="zh-CN"/>
        </w:rPr>
        <w:t>1-1-1B号</w:t>
      </w:r>
      <w:r>
        <w:rPr>
          <w:rFonts w:hint="eastAsia" w:asciiTheme="majorEastAsia" w:hAnsiTheme="majorEastAsia" w:eastAsiaTheme="majorEastAsia" w:cstheme="majorEastAsia"/>
          <w:color w:val="auto"/>
          <w:sz w:val="28"/>
          <w:szCs w:val="28"/>
        </w:rPr>
        <w:t>为</w:t>
      </w:r>
      <w:r>
        <w:rPr>
          <w:rFonts w:hint="eastAsia" w:asciiTheme="majorEastAsia" w:hAnsiTheme="majorEastAsia" w:eastAsiaTheme="majorEastAsia" w:cstheme="majorEastAsia"/>
          <w:color w:val="auto"/>
          <w:sz w:val="28"/>
          <w:szCs w:val="28"/>
          <w:lang w:eastAsia="zh-CN"/>
        </w:rPr>
        <w:t>李文华</w:t>
      </w:r>
      <w:r>
        <w:rPr>
          <w:rFonts w:hint="eastAsia" w:asciiTheme="majorEastAsia" w:hAnsiTheme="majorEastAsia" w:eastAsiaTheme="majorEastAsia" w:cstheme="majorEastAsia"/>
          <w:color w:val="auto"/>
          <w:sz w:val="28"/>
          <w:szCs w:val="28"/>
        </w:rPr>
        <w:t>单独所有</w:t>
      </w:r>
      <w:r>
        <w:rPr>
          <w:rFonts w:hint="eastAsia" w:asciiTheme="majorEastAsia" w:hAnsiTheme="majorEastAsia" w:eastAsiaTheme="majorEastAsia" w:cstheme="majorEastAsia"/>
          <w:color w:val="auto"/>
          <w:sz w:val="28"/>
          <w:szCs w:val="28"/>
          <w:lang w:val="en-US" w:eastAsia="zh-CN"/>
        </w:rPr>
        <w:t>车库用房。</w:t>
      </w:r>
      <w:r>
        <w:rPr>
          <w:rFonts w:hint="eastAsia" w:asciiTheme="majorEastAsia" w:hAnsiTheme="majorEastAsia" w:eastAsiaTheme="majorEastAsia" w:cstheme="majorEastAsia"/>
          <w:color w:val="auto"/>
          <w:sz w:val="28"/>
          <w:szCs w:val="28"/>
        </w:rPr>
        <w:t>根据现场勘查了解，现场勘查日该房屋为被</w:t>
      </w:r>
      <w:r>
        <w:rPr>
          <w:rFonts w:hint="eastAsia" w:asciiTheme="majorEastAsia" w:hAnsiTheme="majorEastAsia" w:eastAsiaTheme="majorEastAsia" w:cstheme="majorEastAsia"/>
          <w:color w:val="auto"/>
          <w:sz w:val="28"/>
          <w:szCs w:val="28"/>
          <w:lang w:val="en-US" w:eastAsia="zh-CN"/>
        </w:rPr>
        <w:t>申请方</w:t>
      </w:r>
      <w:r>
        <w:rPr>
          <w:rFonts w:hint="eastAsia" w:asciiTheme="majorEastAsia" w:hAnsiTheme="majorEastAsia" w:eastAsiaTheme="majorEastAsia" w:cstheme="majorEastAsia"/>
          <w:color w:val="auto"/>
          <w:sz w:val="28"/>
          <w:szCs w:val="28"/>
        </w:rPr>
        <w:t>自用，房屋结构为</w:t>
      </w:r>
      <w:r>
        <w:rPr>
          <w:rFonts w:hint="eastAsia" w:asciiTheme="majorEastAsia" w:hAnsiTheme="majorEastAsia" w:eastAsiaTheme="majorEastAsia" w:cstheme="majorEastAsia"/>
          <w:color w:val="auto"/>
          <w:sz w:val="28"/>
          <w:szCs w:val="28"/>
          <w:lang w:eastAsia="zh-CN"/>
        </w:rPr>
        <w:t>钢混结构</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1-1-1A号</w:t>
      </w:r>
      <w:r>
        <w:rPr>
          <w:rFonts w:hint="eastAsia" w:asciiTheme="majorEastAsia" w:hAnsiTheme="majorEastAsia" w:eastAsiaTheme="majorEastAsia" w:cstheme="majorEastAsia"/>
          <w:color w:val="auto"/>
          <w:sz w:val="28"/>
          <w:szCs w:val="28"/>
          <w:lang w:val="en-US" w:eastAsia="zh-CN"/>
        </w:rPr>
        <w:t>房屋</w:t>
      </w:r>
      <w:r>
        <w:rPr>
          <w:rFonts w:hint="eastAsia" w:asciiTheme="majorEastAsia" w:hAnsiTheme="majorEastAsia" w:eastAsiaTheme="majorEastAsia" w:cstheme="majorEastAsia"/>
          <w:color w:val="auto"/>
          <w:sz w:val="28"/>
          <w:szCs w:val="28"/>
        </w:rPr>
        <w:t>建筑面积为</w:t>
      </w:r>
      <w:r>
        <w:rPr>
          <w:rFonts w:hint="eastAsia" w:asciiTheme="majorEastAsia" w:hAnsiTheme="majorEastAsia" w:eastAsiaTheme="majorEastAsia" w:cstheme="majorEastAsia"/>
          <w:color w:val="auto"/>
          <w:sz w:val="28"/>
          <w:szCs w:val="28"/>
          <w:lang w:eastAsia="zh-CN"/>
        </w:rPr>
        <w:t>61.92</w:t>
      </w:r>
      <w:r>
        <w:rPr>
          <w:rFonts w:hint="eastAsia" w:asciiTheme="majorEastAsia" w:hAnsiTheme="majorEastAsia" w:eastAsiaTheme="majorEastAsia" w:cstheme="majorEastAsia"/>
          <w:color w:val="auto"/>
          <w:sz w:val="28"/>
          <w:szCs w:val="28"/>
        </w:rPr>
        <w:t>平方米，</w:t>
      </w:r>
      <w:r>
        <w:rPr>
          <w:rFonts w:hint="eastAsia" w:asciiTheme="majorEastAsia" w:hAnsiTheme="majorEastAsia" w:eastAsiaTheme="majorEastAsia" w:cstheme="majorEastAsia"/>
          <w:color w:val="auto"/>
          <w:sz w:val="28"/>
          <w:szCs w:val="28"/>
          <w:lang w:eastAsia="zh-CN"/>
        </w:rPr>
        <w:t>1-1-1</w:t>
      </w:r>
      <w:r>
        <w:rPr>
          <w:rFonts w:hint="eastAsia" w:asciiTheme="majorEastAsia" w:hAnsiTheme="majorEastAsia" w:eastAsiaTheme="majorEastAsia" w:cstheme="majorEastAsia"/>
          <w:color w:val="auto"/>
          <w:sz w:val="28"/>
          <w:szCs w:val="28"/>
          <w:lang w:val="en-US" w:eastAsia="zh-CN"/>
        </w:rPr>
        <w:t>B</w:t>
      </w:r>
      <w:r>
        <w:rPr>
          <w:rFonts w:hint="eastAsia" w:asciiTheme="majorEastAsia" w:hAnsiTheme="majorEastAsia" w:eastAsiaTheme="majorEastAsia" w:cstheme="majorEastAsia"/>
          <w:color w:val="auto"/>
          <w:sz w:val="28"/>
          <w:szCs w:val="28"/>
          <w:lang w:eastAsia="zh-CN"/>
        </w:rPr>
        <w:t>号</w:t>
      </w:r>
      <w:r>
        <w:rPr>
          <w:rFonts w:hint="eastAsia" w:asciiTheme="majorEastAsia" w:hAnsiTheme="majorEastAsia" w:eastAsiaTheme="majorEastAsia" w:cstheme="majorEastAsia"/>
          <w:color w:val="auto"/>
          <w:sz w:val="28"/>
          <w:szCs w:val="28"/>
          <w:lang w:val="en-US" w:eastAsia="zh-CN"/>
        </w:rPr>
        <w:t>房屋</w:t>
      </w:r>
      <w:r>
        <w:rPr>
          <w:rFonts w:hint="eastAsia" w:asciiTheme="majorEastAsia" w:hAnsiTheme="majorEastAsia" w:eastAsiaTheme="majorEastAsia" w:cstheme="majorEastAsia"/>
          <w:color w:val="auto"/>
          <w:sz w:val="28"/>
          <w:szCs w:val="28"/>
        </w:rPr>
        <w:t>建筑面积为</w:t>
      </w:r>
      <w:r>
        <w:rPr>
          <w:rFonts w:hint="eastAsia" w:asciiTheme="majorEastAsia" w:hAnsiTheme="majorEastAsia" w:eastAsiaTheme="majorEastAsia" w:cstheme="majorEastAsia"/>
          <w:color w:val="auto"/>
          <w:sz w:val="28"/>
          <w:szCs w:val="28"/>
          <w:lang w:val="en-US" w:eastAsia="zh-CN"/>
        </w:rPr>
        <w:t>20.40</w:t>
      </w:r>
      <w:r>
        <w:rPr>
          <w:rFonts w:hint="eastAsia" w:asciiTheme="majorEastAsia" w:hAnsiTheme="majorEastAsia" w:eastAsiaTheme="majorEastAsia" w:cstheme="majorEastAsia"/>
          <w:color w:val="auto"/>
          <w:sz w:val="28"/>
          <w:szCs w:val="28"/>
        </w:rPr>
        <w:t>平方米</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总层数为</w:t>
      </w:r>
      <w:r>
        <w:rPr>
          <w:rFonts w:hint="eastAsia" w:asciiTheme="majorEastAsia" w:hAnsiTheme="majorEastAsia" w:eastAsiaTheme="majorEastAsia" w:cstheme="majorEastAsia"/>
          <w:color w:val="auto"/>
          <w:sz w:val="28"/>
          <w:szCs w:val="28"/>
          <w:lang w:val="en-US" w:eastAsia="zh-CN"/>
        </w:rPr>
        <w:t>7</w:t>
      </w:r>
      <w:r>
        <w:rPr>
          <w:rFonts w:hint="eastAsia" w:asciiTheme="majorEastAsia" w:hAnsiTheme="majorEastAsia" w:eastAsiaTheme="majorEastAsia" w:cstheme="majorEastAsia"/>
          <w:color w:val="auto"/>
          <w:sz w:val="28"/>
          <w:szCs w:val="28"/>
        </w:rPr>
        <w:t>层</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lang w:val="en-US" w:eastAsia="zh-CN"/>
        </w:rPr>
        <w:t>均为地上层</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评估对象均位于1层。</w:t>
      </w:r>
      <w:r>
        <w:rPr>
          <w:rFonts w:hint="eastAsia" w:asciiTheme="majorEastAsia" w:hAnsiTheme="majorEastAsia" w:eastAsiaTheme="majorEastAsia" w:cstheme="majorEastAsia"/>
          <w:color w:val="auto"/>
          <w:sz w:val="28"/>
          <w:szCs w:val="28"/>
          <w:lang w:eastAsia="zh-CN"/>
        </w:rPr>
        <w:t>1-1-1A号</w:t>
      </w:r>
      <w:r>
        <w:rPr>
          <w:rFonts w:hint="eastAsia" w:asciiTheme="majorEastAsia" w:hAnsiTheme="majorEastAsia" w:eastAsiaTheme="majorEastAsia" w:cstheme="majorEastAsia"/>
          <w:color w:val="auto"/>
          <w:sz w:val="28"/>
          <w:szCs w:val="28"/>
          <w:lang w:val="en-US" w:eastAsia="zh-CN"/>
        </w:rPr>
        <w:t>房屋</w:t>
      </w:r>
      <w:r>
        <w:rPr>
          <w:rFonts w:hint="eastAsia" w:asciiTheme="majorEastAsia" w:hAnsiTheme="majorEastAsia" w:eastAsiaTheme="majorEastAsia" w:cstheme="majorEastAsia"/>
          <w:color w:val="auto"/>
          <w:sz w:val="28"/>
          <w:szCs w:val="28"/>
        </w:rPr>
        <w:t>用途为住宅</w:t>
      </w:r>
      <w:r>
        <w:rPr>
          <w:rFonts w:hint="eastAsia" w:asciiTheme="majorEastAsia" w:hAnsiTheme="majorEastAsia" w:eastAsiaTheme="majorEastAsia" w:cstheme="majorEastAsia"/>
          <w:color w:val="auto"/>
          <w:sz w:val="28"/>
          <w:szCs w:val="28"/>
          <w:lang w:eastAsia="zh-CN"/>
        </w:rPr>
        <w:t>、1-1-1</w:t>
      </w:r>
      <w:r>
        <w:rPr>
          <w:rFonts w:hint="eastAsia" w:asciiTheme="majorEastAsia" w:hAnsiTheme="majorEastAsia" w:eastAsiaTheme="majorEastAsia" w:cstheme="majorEastAsia"/>
          <w:color w:val="auto"/>
          <w:sz w:val="28"/>
          <w:szCs w:val="28"/>
          <w:lang w:val="en-US" w:eastAsia="zh-CN"/>
        </w:rPr>
        <w:t>B</w:t>
      </w:r>
      <w:r>
        <w:rPr>
          <w:rFonts w:hint="eastAsia" w:asciiTheme="majorEastAsia" w:hAnsiTheme="majorEastAsia" w:eastAsiaTheme="majorEastAsia" w:cstheme="majorEastAsia"/>
          <w:color w:val="auto"/>
          <w:sz w:val="28"/>
          <w:szCs w:val="28"/>
          <w:lang w:eastAsia="zh-CN"/>
        </w:rPr>
        <w:t>号</w:t>
      </w:r>
      <w:r>
        <w:rPr>
          <w:rFonts w:hint="eastAsia" w:asciiTheme="majorEastAsia" w:hAnsiTheme="majorEastAsia" w:eastAsiaTheme="majorEastAsia" w:cstheme="majorEastAsia"/>
          <w:color w:val="auto"/>
          <w:sz w:val="28"/>
          <w:szCs w:val="28"/>
          <w:lang w:val="en-US" w:eastAsia="zh-CN"/>
        </w:rPr>
        <w:t>房屋用途为车库。</w:t>
      </w:r>
      <w:r>
        <w:rPr>
          <w:rFonts w:hint="eastAsia" w:asciiTheme="majorEastAsia" w:hAnsiTheme="majorEastAsia" w:eastAsiaTheme="majorEastAsia" w:cstheme="majorEastAsia"/>
          <w:color w:val="auto"/>
          <w:sz w:val="28"/>
          <w:szCs w:val="28"/>
        </w:rPr>
        <w:t>房屋外墙为瓷砖，</w:t>
      </w:r>
      <w:r>
        <w:rPr>
          <w:rFonts w:hint="eastAsia" w:asciiTheme="majorEastAsia" w:hAnsiTheme="majorEastAsia" w:eastAsiaTheme="majorEastAsia" w:cstheme="majorEastAsia"/>
          <w:color w:val="auto"/>
          <w:sz w:val="28"/>
          <w:szCs w:val="28"/>
          <w:lang w:val="en-US" w:eastAsia="zh-CN"/>
        </w:rPr>
        <w:t>住宅</w:t>
      </w:r>
      <w:r>
        <w:rPr>
          <w:rFonts w:hint="eastAsia" w:asciiTheme="majorEastAsia" w:hAnsiTheme="majorEastAsia" w:eastAsiaTheme="majorEastAsia" w:cstheme="majorEastAsia"/>
          <w:color w:val="auto"/>
          <w:sz w:val="28"/>
          <w:szCs w:val="28"/>
        </w:rPr>
        <w:t>入户门为</w:t>
      </w:r>
      <w:r>
        <w:rPr>
          <w:rFonts w:hint="eastAsia" w:asciiTheme="majorEastAsia" w:hAnsiTheme="majorEastAsia" w:eastAsiaTheme="majorEastAsia" w:cstheme="majorEastAsia"/>
          <w:color w:val="auto"/>
          <w:sz w:val="28"/>
          <w:szCs w:val="28"/>
          <w:lang w:val="en-US" w:eastAsia="zh-CN"/>
        </w:rPr>
        <w:t>防盗门</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车库入户门为铁门，</w:t>
      </w:r>
      <w:r>
        <w:rPr>
          <w:rFonts w:hint="eastAsia" w:asciiTheme="majorEastAsia" w:hAnsiTheme="majorEastAsia" w:eastAsiaTheme="majorEastAsia" w:cstheme="majorEastAsia"/>
          <w:color w:val="auto"/>
          <w:sz w:val="28"/>
          <w:szCs w:val="28"/>
        </w:rPr>
        <w:t>室内楼梯为步梯（瓷砖踏步，</w:t>
      </w:r>
      <w:r>
        <w:rPr>
          <w:rFonts w:hint="eastAsia" w:asciiTheme="majorEastAsia" w:hAnsiTheme="majorEastAsia" w:eastAsiaTheme="majorEastAsia" w:cstheme="majorEastAsia"/>
          <w:color w:val="auto"/>
          <w:sz w:val="28"/>
          <w:szCs w:val="28"/>
          <w:lang w:val="en-US" w:eastAsia="zh-CN"/>
        </w:rPr>
        <w:t>楼道墙面部分贴墙砖，部分刮瓷粉，天棚面刮瓷粉</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1-1-1A号</w:t>
      </w:r>
      <w:r>
        <w:rPr>
          <w:rFonts w:hint="eastAsia" w:asciiTheme="majorEastAsia" w:hAnsiTheme="majorEastAsia" w:eastAsiaTheme="majorEastAsia" w:cstheme="majorEastAsia"/>
          <w:color w:val="auto"/>
          <w:sz w:val="28"/>
          <w:szCs w:val="28"/>
          <w:lang w:val="en-US" w:eastAsia="zh-CN"/>
        </w:rPr>
        <w:t>房屋空间</w:t>
      </w:r>
      <w:r>
        <w:rPr>
          <w:rFonts w:hint="eastAsia" w:asciiTheme="majorEastAsia" w:hAnsiTheme="majorEastAsia" w:eastAsiaTheme="majorEastAsia" w:cstheme="majorEastAsia"/>
          <w:color w:val="auto"/>
          <w:sz w:val="28"/>
          <w:szCs w:val="28"/>
        </w:rPr>
        <w:t>布局为</w:t>
      </w:r>
      <w:r>
        <w:rPr>
          <w:rFonts w:hint="eastAsia" w:asciiTheme="majorEastAsia" w:hAnsiTheme="majorEastAsia" w:eastAsiaTheme="majorEastAsia" w:cstheme="majorEastAsia"/>
          <w:color w:val="auto"/>
          <w:sz w:val="28"/>
          <w:szCs w:val="28"/>
          <w:lang w:val="en-US" w:eastAsia="zh-CN"/>
        </w:rPr>
        <w:t>二室</w:t>
      </w:r>
      <w:r>
        <w:rPr>
          <w:rFonts w:hint="eastAsia" w:asciiTheme="majorEastAsia" w:hAnsiTheme="majorEastAsia" w:eastAsiaTheme="majorEastAsia" w:cstheme="majorEastAsia"/>
          <w:color w:val="auto"/>
          <w:sz w:val="28"/>
          <w:szCs w:val="28"/>
        </w:rPr>
        <w:t>一厅一厨一卫</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lang w:val="en-US" w:eastAsia="zh-CN"/>
        </w:rPr>
        <w:t>室内装修为简单装修，层高为3.24米（净层高）；</w:t>
      </w:r>
      <w:r>
        <w:rPr>
          <w:rFonts w:hint="eastAsia" w:asciiTheme="majorEastAsia" w:hAnsiTheme="majorEastAsia" w:eastAsiaTheme="majorEastAsia" w:cstheme="majorEastAsia"/>
          <w:color w:val="auto"/>
          <w:sz w:val="28"/>
          <w:szCs w:val="28"/>
          <w:lang w:eastAsia="zh-CN"/>
        </w:rPr>
        <w:t>1-1-1</w:t>
      </w:r>
      <w:r>
        <w:rPr>
          <w:rFonts w:hint="eastAsia" w:asciiTheme="majorEastAsia" w:hAnsiTheme="majorEastAsia" w:eastAsiaTheme="majorEastAsia" w:cstheme="majorEastAsia"/>
          <w:color w:val="auto"/>
          <w:sz w:val="28"/>
          <w:szCs w:val="28"/>
          <w:lang w:val="en-US" w:eastAsia="zh-CN"/>
        </w:rPr>
        <w:t>B</w:t>
      </w:r>
      <w:r>
        <w:rPr>
          <w:rFonts w:hint="eastAsia" w:asciiTheme="majorEastAsia" w:hAnsiTheme="majorEastAsia" w:eastAsiaTheme="majorEastAsia" w:cstheme="majorEastAsia"/>
          <w:color w:val="auto"/>
          <w:sz w:val="28"/>
          <w:szCs w:val="28"/>
          <w:lang w:eastAsia="zh-CN"/>
        </w:rPr>
        <w:t>号</w:t>
      </w:r>
      <w:r>
        <w:rPr>
          <w:rFonts w:hint="eastAsia" w:asciiTheme="majorEastAsia" w:hAnsiTheme="majorEastAsia" w:eastAsiaTheme="majorEastAsia" w:cstheme="majorEastAsia"/>
          <w:color w:val="auto"/>
          <w:sz w:val="28"/>
          <w:szCs w:val="28"/>
          <w:lang w:val="en-US" w:eastAsia="zh-CN"/>
        </w:rPr>
        <w:t>房屋空间</w:t>
      </w:r>
      <w:r>
        <w:rPr>
          <w:rFonts w:hint="eastAsia" w:asciiTheme="majorEastAsia" w:hAnsiTheme="majorEastAsia" w:eastAsiaTheme="majorEastAsia" w:cstheme="majorEastAsia"/>
          <w:color w:val="auto"/>
          <w:sz w:val="28"/>
          <w:szCs w:val="28"/>
        </w:rPr>
        <w:t>布局为</w:t>
      </w:r>
      <w:r>
        <w:rPr>
          <w:rFonts w:hint="eastAsia" w:asciiTheme="majorEastAsia" w:hAnsiTheme="majorEastAsia" w:eastAsiaTheme="majorEastAsia" w:cstheme="majorEastAsia"/>
          <w:color w:val="auto"/>
          <w:sz w:val="28"/>
          <w:szCs w:val="28"/>
          <w:lang w:val="en-US" w:eastAsia="zh-CN"/>
        </w:rPr>
        <w:t>矩形</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lang w:val="en-US" w:eastAsia="zh-CN"/>
        </w:rPr>
        <w:t>室内装修为简单装修，层高为3.24米（净层高）</w:t>
      </w:r>
      <w:r>
        <w:rPr>
          <w:rFonts w:hint="eastAsia" w:asciiTheme="majorEastAsia" w:hAnsiTheme="majorEastAsia" w:eastAsiaTheme="majorEastAsia" w:cstheme="majorEastAsia"/>
          <w:color w:val="auto"/>
          <w:sz w:val="28"/>
          <w:szCs w:val="28"/>
        </w:rPr>
        <w:t>。评估对象位于</w:t>
      </w:r>
      <w:r>
        <w:rPr>
          <w:rFonts w:hint="eastAsia" w:asciiTheme="majorEastAsia" w:hAnsiTheme="majorEastAsia" w:eastAsiaTheme="majorEastAsia" w:cstheme="majorEastAsia"/>
          <w:color w:val="auto"/>
          <w:sz w:val="28"/>
          <w:szCs w:val="28"/>
          <w:lang w:val="en-US" w:eastAsia="zh-CN"/>
        </w:rPr>
        <w:t>陆良县中枢镇南门三社</w:t>
      </w:r>
      <w:r>
        <w:rPr>
          <w:rFonts w:hint="eastAsia" w:asciiTheme="majorEastAsia" w:hAnsiTheme="majorEastAsia" w:eastAsiaTheme="majorEastAsia" w:cstheme="majorEastAsia"/>
          <w:color w:val="auto"/>
          <w:sz w:val="28"/>
          <w:szCs w:val="28"/>
        </w:rPr>
        <w:t>，一面临街巷，所在街巷商业氛围</w:t>
      </w:r>
      <w:r>
        <w:rPr>
          <w:rFonts w:hint="eastAsia" w:asciiTheme="majorEastAsia" w:hAnsiTheme="majorEastAsia" w:eastAsiaTheme="majorEastAsia" w:cstheme="majorEastAsia"/>
          <w:color w:val="auto"/>
          <w:sz w:val="28"/>
          <w:szCs w:val="28"/>
          <w:lang w:val="en-US" w:eastAsia="zh-CN"/>
        </w:rPr>
        <w:t>一般</w:t>
      </w:r>
      <w:r>
        <w:rPr>
          <w:rFonts w:hint="eastAsia" w:asciiTheme="majorEastAsia" w:hAnsiTheme="majorEastAsia" w:eastAsiaTheme="majorEastAsia" w:cstheme="majorEastAsia"/>
          <w:color w:val="auto"/>
          <w:sz w:val="28"/>
          <w:szCs w:val="28"/>
        </w:rPr>
        <w:t>，一层基本为居住自用，距离</w:t>
      </w:r>
      <w:r>
        <w:rPr>
          <w:rFonts w:hint="eastAsia" w:asciiTheme="majorEastAsia" w:hAnsiTheme="majorEastAsia" w:eastAsiaTheme="majorEastAsia" w:cstheme="majorEastAsia"/>
          <w:color w:val="auto"/>
          <w:sz w:val="28"/>
          <w:szCs w:val="28"/>
          <w:lang w:val="en-US" w:eastAsia="zh-CN"/>
        </w:rPr>
        <w:t>中枢大厦购物广场</w:t>
      </w:r>
      <w:r>
        <w:rPr>
          <w:rFonts w:hint="eastAsia" w:asciiTheme="majorEastAsia" w:hAnsiTheme="majorEastAsia" w:eastAsiaTheme="majorEastAsia" w:cstheme="majorEastAsia"/>
          <w:color w:val="auto"/>
          <w:sz w:val="28"/>
          <w:szCs w:val="28"/>
        </w:rPr>
        <w:t>约</w:t>
      </w:r>
      <w:r>
        <w:rPr>
          <w:rFonts w:hint="eastAsia" w:asciiTheme="majorEastAsia" w:hAnsiTheme="majorEastAsia" w:eastAsiaTheme="majorEastAsia" w:cstheme="majorEastAsia"/>
          <w:color w:val="auto"/>
          <w:sz w:val="28"/>
          <w:szCs w:val="28"/>
          <w:lang w:val="en-US" w:eastAsia="zh-CN"/>
        </w:rPr>
        <w:t>40</w:t>
      </w:r>
      <w:r>
        <w:rPr>
          <w:rFonts w:hint="eastAsia" w:asciiTheme="majorEastAsia" w:hAnsiTheme="majorEastAsia" w:eastAsiaTheme="majorEastAsia" w:cstheme="majorEastAsia"/>
          <w:color w:val="auto"/>
          <w:sz w:val="28"/>
          <w:szCs w:val="28"/>
        </w:rPr>
        <w:t>0米，距离</w:t>
      </w:r>
      <w:r>
        <w:rPr>
          <w:rFonts w:hint="eastAsia" w:asciiTheme="majorEastAsia" w:hAnsiTheme="majorEastAsia" w:eastAsiaTheme="majorEastAsia" w:cstheme="majorEastAsia"/>
          <w:color w:val="auto"/>
          <w:sz w:val="28"/>
          <w:szCs w:val="28"/>
          <w:lang w:val="en-US" w:eastAsia="zh-CN"/>
        </w:rPr>
        <w:t>陆良县汽车客运站约3</w:t>
      </w:r>
      <w:r>
        <w:rPr>
          <w:rFonts w:hint="eastAsia" w:asciiTheme="majorEastAsia" w:hAnsiTheme="majorEastAsia" w:eastAsiaTheme="majorEastAsia" w:cstheme="majorEastAsia"/>
          <w:color w:val="auto"/>
          <w:sz w:val="28"/>
          <w:szCs w:val="28"/>
        </w:rPr>
        <w:t>00米，所在区域交通条件较好，基础配套设施</w:t>
      </w:r>
      <w:r>
        <w:rPr>
          <w:rFonts w:hint="eastAsia" w:asciiTheme="majorEastAsia" w:hAnsiTheme="majorEastAsia" w:eastAsiaTheme="majorEastAsia" w:cstheme="majorEastAsia"/>
          <w:color w:val="auto"/>
          <w:sz w:val="28"/>
          <w:szCs w:val="28"/>
          <w:lang w:val="en-US" w:eastAsia="zh-CN"/>
        </w:rPr>
        <w:t>一般</w:t>
      </w:r>
      <w:r>
        <w:rPr>
          <w:rFonts w:hint="eastAsia" w:asciiTheme="majorEastAsia" w:hAnsiTheme="majorEastAsia" w:eastAsiaTheme="majorEastAsia" w:cstheme="majorEastAsia"/>
          <w:color w:val="auto"/>
          <w:sz w:val="28"/>
          <w:szCs w:val="28"/>
        </w:rPr>
        <w:t>,商业繁华程度</w:t>
      </w:r>
      <w:r>
        <w:rPr>
          <w:rFonts w:hint="eastAsia" w:asciiTheme="majorEastAsia" w:hAnsiTheme="majorEastAsia" w:eastAsiaTheme="majorEastAsia" w:cstheme="majorEastAsia"/>
          <w:color w:val="auto"/>
          <w:sz w:val="28"/>
          <w:szCs w:val="28"/>
          <w:lang w:val="en-US" w:eastAsia="zh-CN"/>
        </w:rPr>
        <w:t>一般</w:t>
      </w:r>
      <w:r>
        <w:rPr>
          <w:rFonts w:hint="eastAsia" w:asciiTheme="majorEastAsia" w:hAnsiTheme="majorEastAsia" w:eastAsiaTheme="majorEastAsia" w:cstheme="majorEastAsia"/>
          <w:color w:val="auto"/>
          <w:sz w:val="28"/>
          <w:szCs w:val="28"/>
        </w:rPr>
        <w:t>，市政基础设施、生活服务设施</w:t>
      </w:r>
      <w:r>
        <w:rPr>
          <w:rFonts w:hint="eastAsia" w:asciiTheme="majorEastAsia" w:hAnsiTheme="majorEastAsia" w:eastAsiaTheme="majorEastAsia" w:cstheme="majorEastAsia"/>
          <w:color w:val="auto"/>
          <w:sz w:val="28"/>
          <w:szCs w:val="28"/>
          <w:lang w:val="en-US" w:eastAsia="zh-CN"/>
        </w:rPr>
        <w:t>一般</w:t>
      </w:r>
      <w:r>
        <w:rPr>
          <w:rFonts w:hint="eastAsia" w:asciiTheme="majorEastAsia" w:hAnsiTheme="majorEastAsia" w:eastAsiaTheme="majorEastAsia" w:cstheme="majorEastAsia"/>
          <w:color w:val="auto"/>
          <w:sz w:val="28"/>
          <w:szCs w:val="28"/>
        </w:rPr>
        <w:t>。</w:t>
      </w:r>
    </w:p>
    <w:p>
      <w:pPr>
        <w:tabs>
          <w:tab w:val="left" w:pos="720"/>
        </w:tabs>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（三）委托人与被评估单位关系</w:t>
      </w:r>
    </w:p>
    <w:p>
      <w:pPr>
        <w:tabs>
          <w:tab w:val="left" w:pos="720"/>
        </w:tabs>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本次评估的委托人为</w:t>
      </w:r>
      <w:r>
        <w:rPr>
          <w:rFonts w:hint="eastAsia" w:ascii="宋体" w:hAnsi="宋体" w:eastAsia="宋体" w:cs="宋体"/>
          <w:color w:val="auto"/>
          <w:sz w:val="28"/>
          <w:szCs w:val="28"/>
          <w:lang w:eastAsia="zh-CN"/>
        </w:rPr>
        <w:t>陆良县人民法院</w:t>
      </w:r>
      <w:r>
        <w:rPr>
          <w:rFonts w:hint="eastAsia" w:ascii="宋体" w:hAnsi="宋体" w:eastAsia="宋体" w:cs="宋体"/>
          <w:color w:val="auto"/>
          <w:sz w:val="28"/>
          <w:szCs w:val="28"/>
        </w:rPr>
        <w:t>，被评估单位为</w:t>
      </w:r>
      <w:r>
        <w:rPr>
          <w:rFonts w:hint="eastAsia" w:ascii="宋体" w:hAnsi="宋体" w:eastAsia="宋体" w:cs="宋体"/>
          <w:color w:val="auto"/>
          <w:sz w:val="28"/>
          <w:szCs w:val="28"/>
          <w:lang w:eastAsia="zh-CN"/>
        </w:rPr>
        <w:t>李文华、</w:t>
      </w:r>
      <w:r>
        <w:rPr>
          <w:rFonts w:hint="eastAsia" w:ascii="宋体" w:hAnsi="宋体" w:eastAsia="宋体" w:cs="宋体"/>
          <w:color w:val="auto"/>
          <w:sz w:val="28"/>
          <w:szCs w:val="28"/>
          <w:lang w:val="en-US" w:eastAsia="zh-CN"/>
        </w:rPr>
        <w:t>陈丽</w:t>
      </w:r>
      <w:r>
        <w:rPr>
          <w:rFonts w:hint="eastAsia" w:ascii="宋体" w:hAnsi="宋体" w:eastAsia="宋体" w:cs="宋体"/>
          <w:color w:val="auto"/>
          <w:sz w:val="28"/>
          <w:szCs w:val="28"/>
        </w:rPr>
        <w:t>。</w:t>
      </w:r>
    </w:p>
    <w:p>
      <w:pPr>
        <w:tabs>
          <w:tab w:val="left" w:pos="720"/>
        </w:tabs>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委托方为人民法院，被评估单位为案件当事人。</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（四）司法评估鉴定委托书约定的其他评估报告使用人概况：</w:t>
      </w:r>
    </w:p>
    <w:p>
      <w:pPr>
        <w:spacing w:line="580" w:lineRule="exact"/>
        <w:ind w:firstLine="640"/>
        <w:rPr>
          <w:rFonts w:hint="eastAsia" w:ascii="宋体" w:hAnsi="宋体" w:eastAsia="宋体" w:cs="宋体"/>
          <w:b/>
          <w:bCs/>
          <w:color w:val="auto"/>
          <w:sz w:val="28"/>
          <w:szCs w:val="28"/>
        </w:rPr>
      </w:pPr>
      <w:r>
        <w:rPr>
          <w:rFonts w:hint="eastAsia" w:ascii="宋体" w:hAnsi="宋体" w:eastAsia="宋体" w:cs="宋体"/>
          <w:color w:val="auto"/>
          <w:sz w:val="28"/>
          <w:szCs w:val="28"/>
        </w:rPr>
        <w:t>本次评估报告</w:t>
      </w:r>
      <w:r>
        <w:rPr>
          <w:rFonts w:hint="eastAsia" w:ascii="宋体" w:hAnsi="宋体" w:eastAsia="宋体" w:cs="宋体"/>
          <w:color w:val="auto"/>
          <w:sz w:val="28"/>
          <w:szCs w:val="28"/>
          <w:lang w:eastAsia="zh-CN"/>
        </w:rPr>
        <w:t>其他报告</w:t>
      </w:r>
      <w:r>
        <w:rPr>
          <w:rFonts w:hint="eastAsia" w:ascii="宋体" w:hAnsi="宋体" w:eastAsia="宋体" w:cs="宋体"/>
          <w:color w:val="auto"/>
          <w:sz w:val="28"/>
          <w:szCs w:val="28"/>
        </w:rPr>
        <w:t>使用人为本案当事人</w:t>
      </w:r>
      <w:r>
        <w:rPr>
          <w:rFonts w:hint="eastAsia" w:ascii="宋体" w:hAnsi="宋体" w:eastAsia="宋体" w:cs="宋体"/>
          <w:color w:val="auto"/>
          <w:sz w:val="28"/>
          <w:szCs w:val="28"/>
          <w:lang w:eastAsia="zh-CN"/>
        </w:rPr>
        <w:t>。</w:t>
      </w:r>
      <w:bookmarkStart w:id="4" w:name="_Toc13649"/>
    </w:p>
    <w:p>
      <w:pPr>
        <w:spacing w:line="580" w:lineRule="exact"/>
        <w:ind w:firstLine="562" w:firstLineChars="200"/>
        <w:outlineLvl w:val="1"/>
        <w:rPr>
          <w:rFonts w:hint="eastAsia" w:ascii="宋体" w:hAnsi="宋体" w:eastAsia="宋体" w:cs="宋体"/>
          <w:color w:val="auto"/>
          <w:sz w:val="28"/>
          <w:szCs w:val="28"/>
        </w:rPr>
      </w:pPr>
      <w:r>
        <w:rPr>
          <w:rFonts w:hint="eastAsia" w:ascii="宋体" w:hAnsi="宋体" w:eastAsia="宋体" w:cs="宋体"/>
          <w:b/>
          <w:bCs/>
          <w:color w:val="auto"/>
          <w:sz w:val="28"/>
          <w:szCs w:val="28"/>
        </w:rPr>
        <w:t>二、价格评估目的</w:t>
      </w:r>
      <w:bookmarkEnd w:id="4"/>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为</w:t>
      </w:r>
      <w:r>
        <w:rPr>
          <w:rFonts w:hint="eastAsia" w:ascii="宋体" w:hAnsi="宋体" w:eastAsia="宋体" w:cs="宋体"/>
          <w:color w:val="auto"/>
          <w:sz w:val="28"/>
          <w:szCs w:val="28"/>
          <w:lang w:eastAsia="zh-CN"/>
        </w:rPr>
        <w:t>陆良县人民法院</w:t>
      </w:r>
      <w:r>
        <w:rPr>
          <w:rFonts w:hint="eastAsia" w:ascii="宋体" w:hAnsi="宋体" w:eastAsia="宋体" w:cs="宋体"/>
          <w:color w:val="auto"/>
          <w:sz w:val="28"/>
          <w:szCs w:val="28"/>
        </w:rPr>
        <w:t>办理案件提供价格参考依据。</w:t>
      </w:r>
    </w:p>
    <w:p>
      <w:pPr>
        <w:spacing w:line="580" w:lineRule="exact"/>
        <w:ind w:firstLine="562" w:firstLineChars="200"/>
        <w:outlineLvl w:val="1"/>
        <w:rPr>
          <w:rFonts w:hint="eastAsia" w:ascii="宋体" w:hAnsi="宋体" w:eastAsia="宋体" w:cs="宋体"/>
          <w:color w:val="auto"/>
          <w:sz w:val="28"/>
          <w:szCs w:val="28"/>
        </w:rPr>
      </w:pPr>
      <w:bookmarkStart w:id="5" w:name="_Toc22753"/>
      <w:r>
        <w:rPr>
          <w:rFonts w:hint="eastAsia" w:ascii="宋体" w:hAnsi="宋体" w:eastAsia="宋体" w:cs="宋体"/>
          <w:b/>
          <w:bCs/>
          <w:color w:val="auto"/>
          <w:sz w:val="28"/>
          <w:szCs w:val="28"/>
        </w:rPr>
        <w:t>三、价格评估对象和评估范围</w:t>
      </w:r>
      <w:bookmarkEnd w:id="5"/>
    </w:p>
    <w:p>
      <w:pPr>
        <w:spacing w:line="58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评估对象</w:t>
      </w:r>
      <w:r>
        <w:rPr>
          <w:rFonts w:hint="eastAsia" w:ascii="宋体" w:hAnsi="宋体" w:eastAsia="宋体" w:cs="宋体"/>
          <w:color w:val="auto"/>
          <w:sz w:val="28"/>
          <w:szCs w:val="28"/>
          <w:lang w:eastAsia="zh-CN"/>
        </w:rPr>
        <w:t>为</w:t>
      </w:r>
      <w:r>
        <w:rPr>
          <w:rFonts w:hint="eastAsia" w:ascii="宋体" w:hAnsi="宋体" w:eastAsia="宋体" w:cs="宋体"/>
          <w:color w:val="auto"/>
          <w:sz w:val="28"/>
          <w:szCs w:val="28"/>
        </w:rPr>
        <w:t>位于</w:t>
      </w:r>
      <w:r>
        <w:rPr>
          <w:rFonts w:hint="eastAsia" w:ascii="宋体" w:hAnsi="宋体" w:eastAsia="宋体" w:cs="宋体"/>
          <w:color w:val="auto"/>
          <w:sz w:val="28"/>
          <w:szCs w:val="28"/>
          <w:lang w:eastAsia="zh-CN"/>
        </w:rPr>
        <w:t>陆良县中枢镇南门三社1-1-1A号、</w:t>
      </w:r>
      <w:r>
        <w:rPr>
          <w:rFonts w:hint="eastAsia" w:ascii="宋体" w:hAnsi="宋体" w:eastAsia="宋体" w:cs="宋体"/>
          <w:color w:val="auto"/>
          <w:sz w:val="28"/>
          <w:szCs w:val="28"/>
          <w:lang w:val="en-US" w:eastAsia="zh-CN"/>
        </w:rPr>
        <w:t>1-1-1B号</w:t>
      </w:r>
      <w:r>
        <w:rPr>
          <w:rFonts w:hint="eastAsia" w:ascii="宋体" w:hAnsi="宋体" w:eastAsia="宋体" w:cs="宋体"/>
          <w:color w:val="auto"/>
          <w:sz w:val="28"/>
          <w:szCs w:val="28"/>
        </w:rPr>
        <w:t>房地产</w:t>
      </w:r>
      <w:r>
        <w:rPr>
          <w:rFonts w:hint="eastAsia" w:ascii="宋体" w:hAnsi="宋体" w:eastAsia="宋体" w:cs="宋体"/>
          <w:color w:val="auto"/>
          <w:sz w:val="28"/>
          <w:szCs w:val="28"/>
          <w:lang w:eastAsia="zh-CN"/>
        </w:rPr>
        <w:t>。</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评估范围为位于</w:t>
      </w:r>
      <w:r>
        <w:rPr>
          <w:rFonts w:hint="eastAsia" w:ascii="宋体" w:hAnsi="宋体" w:eastAsia="宋体" w:cs="宋体"/>
          <w:color w:val="auto"/>
          <w:sz w:val="28"/>
          <w:szCs w:val="28"/>
          <w:lang w:eastAsia="zh-CN"/>
        </w:rPr>
        <w:t>陆良县中枢镇南门三社1-1-1A号、</w:t>
      </w:r>
      <w:r>
        <w:rPr>
          <w:rFonts w:hint="eastAsia" w:ascii="宋体" w:hAnsi="宋体" w:eastAsia="宋体" w:cs="宋体"/>
          <w:color w:val="auto"/>
          <w:sz w:val="28"/>
          <w:szCs w:val="28"/>
          <w:lang w:val="en-US" w:eastAsia="zh-CN"/>
        </w:rPr>
        <w:t>1-1-1B号</w:t>
      </w:r>
      <w:r>
        <w:rPr>
          <w:rFonts w:hint="eastAsia" w:ascii="宋体" w:hAnsi="宋体" w:eastAsia="宋体" w:cs="宋体"/>
          <w:color w:val="auto"/>
          <w:sz w:val="28"/>
          <w:szCs w:val="28"/>
        </w:rPr>
        <w:t>房地产的价值。</w:t>
      </w:r>
    </w:p>
    <w:p>
      <w:pPr>
        <w:spacing w:line="580" w:lineRule="exact"/>
        <w:ind w:firstLine="641"/>
        <w:outlineLvl w:val="1"/>
        <w:rPr>
          <w:rFonts w:hint="eastAsia" w:ascii="宋体" w:hAnsi="宋体" w:eastAsia="宋体" w:cs="宋体"/>
          <w:b/>
          <w:bCs/>
          <w:color w:val="auto"/>
          <w:sz w:val="28"/>
          <w:szCs w:val="28"/>
        </w:rPr>
      </w:pPr>
      <w:bookmarkStart w:id="6" w:name="_Toc5017"/>
      <w:r>
        <w:rPr>
          <w:rFonts w:hint="eastAsia" w:ascii="宋体" w:hAnsi="宋体" w:eastAsia="宋体" w:cs="宋体"/>
          <w:b/>
          <w:bCs/>
          <w:color w:val="auto"/>
          <w:sz w:val="28"/>
          <w:szCs w:val="28"/>
        </w:rPr>
        <w:t>四、价格类型及定义</w:t>
      </w:r>
      <w:bookmarkEnd w:id="6"/>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（一）本企业价格评估所选取的价格类型为：市场价格。</w:t>
      </w:r>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（二）价格类型定义：市场价格是指自愿买方和自愿卖方在各自理性行事且未受任何强迫的情况下，评估对象在评估基准日进行正常公平交易的价格估计数额。</w:t>
      </w:r>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（三）价格类型选取的理由及依据：本次评估对象为位于</w:t>
      </w:r>
      <w:r>
        <w:rPr>
          <w:rFonts w:hint="eastAsia" w:ascii="宋体" w:hAnsi="宋体" w:eastAsia="宋体" w:cs="宋体"/>
          <w:color w:val="auto"/>
          <w:sz w:val="28"/>
          <w:szCs w:val="28"/>
          <w:lang w:eastAsia="zh-CN"/>
        </w:rPr>
        <w:t>陆良县中枢镇南门三社1-1-1A号、</w:t>
      </w:r>
      <w:r>
        <w:rPr>
          <w:rFonts w:hint="eastAsia" w:ascii="宋体" w:hAnsi="宋体" w:eastAsia="宋体" w:cs="宋体"/>
          <w:color w:val="auto"/>
          <w:sz w:val="28"/>
          <w:szCs w:val="28"/>
          <w:lang w:val="en-US" w:eastAsia="zh-CN"/>
        </w:rPr>
        <w:t>1-1-1B号</w:t>
      </w:r>
      <w:r>
        <w:rPr>
          <w:rFonts w:hint="eastAsia" w:ascii="宋体" w:hAnsi="宋体" w:eastAsia="宋体" w:cs="宋体"/>
          <w:color w:val="auto"/>
          <w:sz w:val="28"/>
          <w:szCs w:val="28"/>
        </w:rPr>
        <w:t>房地产的价值。相关评估参数可通过市场调查及相关定额规范调查获取，故选取市场价格类型。</w:t>
      </w:r>
    </w:p>
    <w:p>
      <w:pPr>
        <w:spacing w:line="580" w:lineRule="exact"/>
        <w:ind w:firstLine="562" w:firstLineChars="200"/>
        <w:jc w:val="left"/>
        <w:outlineLvl w:val="1"/>
        <w:rPr>
          <w:rFonts w:hint="eastAsia" w:ascii="宋体" w:hAnsi="宋体" w:eastAsia="宋体" w:cs="宋体"/>
          <w:b/>
          <w:bCs/>
          <w:color w:val="auto"/>
          <w:sz w:val="28"/>
          <w:szCs w:val="28"/>
        </w:rPr>
      </w:pPr>
      <w:bookmarkStart w:id="7" w:name="_Toc30371"/>
      <w:r>
        <w:rPr>
          <w:rFonts w:hint="eastAsia" w:ascii="宋体" w:hAnsi="宋体" w:eastAsia="宋体" w:cs="宋体"/>
          <w:b/>
          <w:bCs/>
          <w:color w:val="auto"/>
          <w:sz w:val="28"/>
          <w:szCs w:val="28"/>
        </w:rPr>
        <w:t>五、价格评估基准日</w:t>
      </w:r>
      <w:bookmarkEnd w:id="7"/>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本项目价格评估基准日为2022年</w:t>
      </w:r>
      <w:r>
        <w:rPr>
          <w:rFonts w:hint="eastAsia" w:ascii="宋体" w:hAnsi="宋体" w:eastAsia="宋体" w:cs="宋体"/>
          <w:color w:val="auto"/>
          <w:sz w:val="28"/>
          <w:szCs w:val="28"/>
          <w:lang w:eastAsia="zh-CN"/>
        </w:rPr>
        <w:t>07月20</w:t>
      </w:r>
      <w:r>
        <w:rPr>
          <w:rFonts w:hint="eastAsia" w:ascii="宋体" w:hAnsi="宋体" w:eastAsia="宋体" w:cs="宋体"/>
          <w:color w:val="auto"/>
          <w:sz w:val="28"/>
          <w:szCs w:val="28"/>
        </w:rPr>
        <w:t>日（现场勘查日）。</w:t>
      </w:r>
    </w:p>
    <w:p>
      <w:pPr>
        <w:spacing w:line="580" w:lineRule="exact"/>
        <w:ind w:firstLine="562" w:firstLineChars="200"/>
        <w:jc w:val="left"/>
        <w:outlineLvl w:val="1"/>
        <w:rPr>
          <w:rFonts w:hint="eastAsia" w:ascii="宋体" w:hAnsi="宋体" w:eastAsia="宋体" w:cs="宋体"/>
          <w:b/>
          <w:bCs/>
          <w:color w:val="auto"/>
          <w:sz w:val="28"/>
          <w:szCs w:val="28"/>
        </w:rPr>
      </w:pPr>
      <w:bookmarkStart w:id="8" w:name="_Toc18848"/>
      <w:r>
        <w:rPr>
          <w:rFonts w:hint="eastAsia" w:ascii="宋体" w:hAnsi="宋体" w:eastAsia="宋体" w:cs="宋体"/>
          <w:b/>
          <w:bCs/>
          <w:color w:val="auto"/>
          <w:sz w:val="28"/>
          <w:szCs w:val="28"/>
        </w:rPr>
        <w:t>六、价格评估依据</w:t>
      </w:r>
      <w:bookmarkEnd w:id="8"/>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（一）经济行为依据</w:t>
      </w:r>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eastAsia="zh-CN"/>
        </w:rPr>
        <w:t>陆良县人民法院</w:t>
      </w:r>
      <w:r>
        <w:rPr>
          <w:rFonts w:hint="eastAsia" w:ascii="宋体" w:hAnsi="宋体" w:eastAsia="宋体" w:cs="宋体"/>
          <w:color w:val="auto"/>
          <w:sz w:val="28"/>
          <w:szCs w:val="28"/>
        </w:rPr>
        <w:t>委托</w:t>
      </w:r>
      <w:r>
        <w:rPr>
          <w:rFonts w:hint="eastAsia" w:ascii="宋体" w:hAnsi="宋体" w:eastAsia="宋体" w:cs="宋体"/>
          <w:color w:val="auto"/>
          <w:sz w:val="28"/>
          <w:szCs w:val="28"/>
          <w:lang w:eastAsia="zh-CN"/>
        </w:rPr>
        <w:t>评估函</w:t>
      </w:r>
      <w:r>
        <w:rPr>
          <w:rFonts w:hint="eastAsia" w:ascii="宋体" w:hAnsi="宋体" w:eastAsia="宋体" w:cs="宋体"/>
          <w:color w:val="auto"/>
          <w:sz w:val="28"/>
          <w:szCs w:val="28"/>
        </w:rPr>
        <w:t>》原件</w:t>
      </w:r>
      <w:r>
        <w:rPr>
          <w:rFonts w:hint="eastAsia" w:ascii="宋体" w:hAnsi="宋体" w:eastAsia="宋体" w:cs="宋体"/>
          <w:color w:val="auto"/>
          <w:sz w:val="28"/>
          <w:szCs w:val="28"/>
          <w:lang w:eastAsia="zh-CN"/>
        </w:rPr>
        <w:t>。</w:t>
      </w:r>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（二）法律依据</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1、《中华人民共和国资产评估法》【主席令第46号】（2016年7月2日第十二届全国人民代表大会第二十一次会议通过，自2016年12月1日起实施）；</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2、《中华人民共和国价格法》（1997年12月29日第八届全国人民代表大会常务委员会第二十九次会议通过，自1998年5月1日起施行）；</w:t>
      </w:r>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3、《中华人民共和国民法典》（2020年5月28日第十三届全国人大三次会议表决通过，自2021年1月1日起施行）；</w:t>
      </w:r>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4、《中华人民共和国民事诉讼法》（2017年6月27日第十二届全国人民代表大会常务委员会第二十八次会议第三次修正）；</w:t>
      </w:r>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5、《中华人民共和国土地管理法》、《中华人民共和国城市房地产管理法》（根据2019年8月26日第十三届全国人民代表大会常务委员会第十二次会议《关于修改〈中华人民共和国土地管理法〉、〈中华人民共和国城市房地产管理法〉的决定》第三次修正）；</w:t>
      </w:r>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6、最高人民法院《关于人民法院确定财产处置参考价若干问题的规定 》【法释〔2018〕15号】。</w:t>
      </w:r>
    </w:p>
    <w:p>
      <w:pPr>
        <w:spacing w:line="580" w:lineRule="exact"/>
        <w:ind w:left="638" w:leftChars="304"/>
        <w:jc w:val="left"/>
        <w:rPr>
          <w:rFonts w:hint="eastAsia" w:ascii="宋体" w:hAnsi="宋体" w:eastAsia="宋体" w:cs="宋体"/>
          <w:color w:val="auto"/>
          <w:sz w:val="28"/>
          <w:szCs w:val="28"/>
        </w:rPr>
      </w:pPr>
      <w:r>
        <w:rPr>
          <w:rFonts w:hint="eastAsia" w:ascii="宋体" w:hAnsi="宋体" w:eastAsia="宋体" w:cs="宋体"/>
          <w:color w:val="auto"/>
          <w:sz w:val="28"/>
          <w:szCs w:val="28"/>
        </w:rPr>
        <w:t>（三）行业标准、准则及部门规章依据</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1、《价格鉴证评估行为指南》（国家市场监督管理总局价格监督检查和反不正当竞争局2021年5月24日）；</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2、《价格鉴证评估执业规范》中价协（2020）31号；</w:t>
      </w:r>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3、《价格鉴证评估文书指引》中价协（2021）3号；</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4、《价格鉴证评估机构自律管理办法》中价协（2021）11号；</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5、《价格评估专业人员自律守则》中价协事字（2017）26号；</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6、《价格评估行业职业操守》中价协估字（2017）4号；</w:t>
      </w:r>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7、《不动产价格鉴证评估技术规范》中价协（2020）</w:t>
      </w:r>
      <w:r>
        <w:rPr>
          <w:rFonts w:hint="eastAsia" w:ascii="宋体" w:hAnsi="宋体" w:eastAsia="宋体" w:cs="宋体"/>
          <w:color w:val="auto"/>
          <w:sz w:val="28"/>
          <w:szCs w:val="28"/>
          <w:lang w:val="en-US" w:eastAsia="zh-CN"/>
        </w:rPr>
        <w:t>39</w:t>
      </w:r>
      <w:r>
        <w:rPr>
          <w:rFonts w:hint="eastAsia" w:ascii="宋体" w:hAnsi="宋体" w:eastAsia="宋体" w:cs="宋体"/>
          <w:color w:val="auto"/>
          <w:sz w:val="28"/>
          <w:szCs w:val="28"/>
        </w:rPr>
        <w:t>号</w:t>
      </w:r>
      <w:r>
        <w:rPr>
          <w:rFonts w:hint="eastAsia" w:ascii="宋体" w:hAnsi="宋体" w:eastAsia="宋体" w:cs="宋体"/>
          <w:color w:val="auto"/>
          <w:sz w:val="28"/>
          <w:szCs w:val="28"/>
          <w:lang w:eastAsia="zh-CN"/>
        </w:rPr>
        <w:t>。</w:t>
      </w:r>
    </w:p>
    <w:p>
      <w:pPr>
        <w:spacing w:line="5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（四）产权证明依据</w:t>
      </w:r>
    </w:p>
    <w:p>
      <w:pPr>
        <w:pStyle w:val="2"/>
        <w:spacing w:line="580" w:lineRule="exact"/>
        <w:ind w:firstLine="560" w:firstLineChars="200"/>
        <w:jc w:val="both"/>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eastAsia="zh-CN"/>
        </w:rPr>
        <w:t>房屋所有权证</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陆房权证中枢镇字第00027339号</w:t>
      </w:r>
      <w:r>
        <w:rPr>
          <w:rFonts w:hint="eastAsia" w:ascii="宋体" w:hAnsi="宋体" w:eastAsia="宋体" w:cs="宋体"/>
          <w:color w:val="auto"/>
          <w:sz w:val="28"/>
          <w:szCs w:val="28"/>
        </w:rPr>
        <w:t>）复印件；</w:t>
      </w:r>
    </w:p>
    <w:p>
      <w:pPr>
        <w:pStyle w:val="2"/>
        <w:spacing w:line="580" w:lineRule="exact"/>
        <w:ind w:firstLine="560" w:firstLineChars="200"/>
        <w:jc w:val="both"/>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auto"/>
          <w:sz w:val="28"/>
          <w:szCs w:val="28"/>
          <w:lang w:eastAsia="zh-CN"/>
        </w:rPr>
        <w:t>国有土地使用证</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陆国用（2010）第1456号</w:t>
      </w:r>
      <w:r>
        <w:rPr>
          <w:rFonts w:hint="eastAsia" w:ascii="宋体" w:hAnsi="宋体" w:eastAsia="宋体" w:cs="宋体"/>
          <w:color w:val="auto"/>
          <w:sz w:val="28"/>
          <w:szCs w:val="28"/>
        </w:rPr>
        <w:t>）复印件；</w:t>
      </w:r>
    </w:p>
    <w:p>
      <w:pPr>
        <w:pStyle w:val="2"/>
        <w:spacing w:line="580" w:lineRule="exact"/>
        <w:ind w:firstLine="560" w:firstLineChars="200"/>
        <w:jc w:val="both"/>
        <w:rPr>
          <w:rFonts w:hint="eastAsia" w:ascii="宋体" w:hAnsi="宋体" w:eastAsia="宋体" w:cs="宋体"/>
          <w:color w:val="auto"/>
          <w:sz w:val="28"/>
          <w:szCs w:val="28"/>
        </w:rPr>
      </w:pPr>
      <w:r>
        <w:rPr>
          <w:rFonts w:hint="eastAsia" w:ascii="宋体" w:hAnsi="宋体" w:eastAsia="宋体" w:cs="宋体"/>
          <w:color w:val="auto"/>
          <w:sz w:val="28"/>
          <w:szCs w:val="28"/>
        </w:rPr>
        <w:t>3、相关照片。</w:t>
      </w:r>
    </w:p>
    <w:p>
      <w:pPr>
        <w:spacing w:line="580" w:lineRule="exact"/>
        <w:ind w:firstLine="560"/>
        <w:jc w:val="left"/>
        <w:rPr>
          <w:rFonts w:hint="eastAsia" w:ascii="宋体" w:hAnsi="宋体" w:eastAsia="宋体" w:cs="宋体"/>
          <w:color w:val="auto"/>
          <w:sz w:val="28"/>
          <w:szCs w:val="28"/>
        </w:rPr>
      </w:pPr>
      <w:r>
        <w:rPr>
          <w:rFonts w:hint="eastAsia" w:ascii="宋体" w:hAnsi="宋体" w:eastAsia="宋体" w:cs="宋体"/>
          <w:color w:val="auto"/>
          <w:sz w:val="28"/>
          <w:szCs w:val="28"/>
        </w:rPr>
        <w:t>（五）取价依据：</w:t>
      </w:r>
      <w:r>
        <w:rPr>
          <w:rFonts w:hint="eastAsia" w:ascii="宋体" w:hAnsi="宋体" w:eastAsia="宋体" w:cs="宋体"/>
          <w:color w:val="auto"/>
          <w:sz w:val="28"/>
          <w:szCs w:val="28"/>
          <w:lang w:val="en-US" w:eastAsia="zh-CN"/>
        </w:rPr>
        <w:t>现场勘查资料、</w:t>
      </w:r>
      <w:r>
        <w:rPr>
          <w:rFonts w:hint="eastAsia" w:ascii="宋体" w:hAnsi="宋体" w:eastAsia="宋体" w:cs="宋体"/>
          <w:color w:val="auto"/>
          <w:sz w:val="28"/>
          <w:szCs w:val="28"/>
        </w:rPr>
        <w:t>市场调查资料。</w:t>
      </w:r>
    </w:p>
    <w:p>
      <w:pPr>
        <w:numPr>
          <w:ilvl w:val="0"/>
          <w:numId w:val="1"/>
        </w:num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其他参考资料</w:t>
      </w:r>
    </w:p>
    <w:p>
      <w:pPr>
        <w:pStyle w:val="2"/>
        <w:spacing w:line="580" w:lineRule="exact"/>
        <w:ind w:firstLine="560" w:firstLineChars="200"/>
        <w:jc w:val="both"/>
        <w:rPr>
          <w:rFonts w:hint="eastAsia" w:ascii="宋体" w:hAnsi="宋体" w:eastAsia="宋体" w:cs="宋体"/>
          <w:color w:val="auto"/>
          <w:sz w:val="28"/>
          <w:szCs w:val="28"/>
        </w:rPr>
      </w:pPr>
      <w:r>
        <w:rPr>
          <w:rFonts w:hint="eastAsia" w:ascii="宋体" w:hAnsi="宋体" w:eastAsia="宋体" w:cs="宋体"/>
          <w:color w:val="auto"/>
          <w:sz w:val="28"/>
          <w:szCs w:val="28"/>
        </w:rPr>
        <w:t>1、当事人提供的相关资料等。</w:t>
      </w:r>
    </w:p>
    <w:p>
      <w:pPr>
        <w:spacing w:line="580" w:lineRule="exact"/>
        <w:ind w:left="559" w:leftChars="266"/>
        <w:outlineLvl w:val="1"/>
        <w:rPr>
          <w:rFonts w:hint="eastAsia" w:ascii="宋体" w:hAnsi="宋体" w:eastAsia="宋体" w:cs="宋体"/>
          <w:b/>
          <w:bCs/>
          <w:color w:val="auto"/>
          <w:sz w:val="28"/>
          <w:szCs w:val="28"/>
        </w:rPr>
      </w:pPr>
      <w:bookmarkStart w:id="9" w:name="_Toc31560"/>
      <w:r>
        <w:rPr>
          <w:rFonts w:hint="eastAsia" w:ascii="宋体" w:hAnsi="宋体" w:eastAsia="宋体" w:cs="宋体"/>
          <w:b/>
          <w:bCs/>
          <w:color w:val="auto"/>
          <w:sz w:val="28"/>
          <w:szCs w:val="28"/>
        </w:rPr>
        <w:t>七、价格评估方法</w:t>
      </w:r>
      <w:bookmarkEnd w:id="9"/>
    </w:p>
    <w:p>
      <w:pPr>
        <w:spacing w:line="580" w:lineRule="exact"/>
        <w:ind w:left="0" w:leftChars="0"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价格鉴证评估基本方法包括成本法、市场法和收益法</w:t>
      </w:r>
      <w:r>
        <w:rPr>
          <w:rFonts w:hint="eastAsia" w:ascii="宋体" w:hAnsi="宋体" w:eastAsia="宋体" w:cs="宋体"/>
          <w:color w:val="auto"/>
          <w:sz w:val="28"/>
          <w:szCs w:val="28"/>
          <w:lang w:val="en-US" w:eastAsia="zh-CN"/>
        </w:rPr>
        <w:t>及其衍生评估方法</w:t>
      </w:r>
      <w:r>
        <w:rPr>
          <w:rFonts w:hint="eastAsia" w:ascii="宋体" w:hAnsi="宋体" w:eastAsia="宋体" w:cs="宋体"/>
          <w:color w:val="auto"/>
          <w:sz w:val="28"/>
          <w:szCs w:val="28"/>
        </w:rPr>
        <w:t>。</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经研究委托方提供的资料，评估人员确定</w:t>
      </w:r>
      <w:r>
        <w:rPr>
          <w:rFonts w:hint="eastAsia" w:ascii="宋体" w:hAnsi="宋体" w:eastAsia="宋体" w:cs="宋体"/>
          <w:color w:val="auto"/>
          <w:sz w:val="28"/>
          <w:szCs w:val="28"/>
          <w:lang w:val="en-US" w:eastAsia="zh-CN"/>
        </w:rPr>
        <w:t>1-1-1A号房屋</w:t>
      </w:r>
      <w:r>
        <w:rPr>
          <w:rFonts w:hint="eastAsia" w:ascii="宋体" w:hAnsi="宋体" w:eastAsia="宋体" w:cs="宋体"/>
          <w:color w:val="auto"/>
          <w:sz w:val="28"/>
          <w:szCs w:val="28"/>
        </w:rPr>
        <w:t>采用</w:t>
      </w:r>
      <w:r>
        <w:rPr>
          <w:rFonts w:hint="eastAsia" w:ascii="宋体" w:hAnsi="宋体" w:eastAsia="宋体" w:cs="宋体"/>
          <w:color w:val="auto"/>
          <w:sz w:val="28"/>
          <w:szCs w:val="28"/>
          <w:lang w:val="en-US" w:eastAsia="zh-CN"/>
        </w:rPr>
        <w:t>市场法、</w:t>
      </w:r>
      <w:r>
        <w:rPr>
          <w:rFonts w:hint="eastAsia" w:ascii="宋体" w:hAnsi="宋体" w:eastAsia="宋体" w:cs="宋体"/>
          <w:color w:val="auto"/>
          <w:sz w:val="28"/>
          <w:szCs w:val="28"/>
        </w:rPr>
        <w:t>收益法进行评估</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1-1-1B号房屋采用收益法进行评估</w:t>
      </w:r>
      <w:r>
        <w:rPr>
          <w:rFonts w:hint="eastAsia" w:ascii="宋体" w:hAnsi="宋体" w:eastAsia="宋体" w:cs="宋体"/>
          <w:color w:val="auto"/>
          <w:sz w:val="28"/>
          <w:szCs w:val="28"/>
        </w:rPr>
        <w:t>。</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住宅用房</w:t>
      </w:r>
      <w:r>
        <w:rPr>
          <w:rFonts w:hint="eastAsia" w:ascii="宋体" w:hAnsi="宋体" w:eastAsia="宋体" w:cs="宋体"/>
          <w:color w:val="auto"/>
          <w:sz w:val="28"/>
          <w:szCs w:val="28"/>
        </w:rPr>
        <w:t>采用收益法的理由：收益法就是预测评估对象未来收益，利用报酬率或资本化率、收益乘数将未来收益转换为价值得到评估对象价值或价格的方法。本次评估对象位于新圩镇文武阁开发区，所在区域类似物业出租情况较多，其客观租金和租赁成本费用可预测，因此采用收益法进行评估。</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住宅用房</w:t>
      </w:r>
      <w:r>
        <w:rPr>
          <w:rFonts w:hint="eastAsia" w:ascii="宋体" w:hAnsi="宋体" w:eastAsia="宋体" w:cs="宋体"/>
          <w:color w:val="auto"/>
          <w:sz w:val="28"/>
          <w:szCs w:val="28"/>
        </w:rPr>
        <w:t>采用市场法的理由：市场法是以现实市场上的参照物来评价评估对象的现行公平市场价值，它具有评估角度和评估途径直接、评估过程直观、评估数据直接取材于市场、评估结果说服力强的特点。本次评估对象</w:t>
      </w:r>
      <w:r>
        <w:rPr>
          <w:rFonts w:hint="eastAsia" w:ascii="宋体" w:hAnsi="宋体" w:eastAsia="宋体" w:cs="宋体"/>
          <w:color w:val="auto"/>
          <w:sz w:val="28"/>
          <w:szCs w:val="28"/>
          <w:lang w:val="en-US" w:eastAsia="zh-CN"/>
        </w:rPr>
        <w:t>为位于</w:t>
      </w:r>
      <w:r>
        <w:rPr>
          <w:rFonts w:hint="eastAsia" w:ascii="宋体" w:hAnsi="宋体" w:eastAsia="宋体" w:cs="宋体"/>
          <w:color w:val="auto"/>
          <w:sz w:val="28"/>
          <w:szCs w:val="28"/>
          <w:lang w:eastAsia="zh-CN"/>
        </w:rPr>
        <w:t>陆良县中枢镇南门三社1-1-1A号</w:t>
      </w:r>
      <w:r>
        <w:rPr>
          <w:rFonts w:hint="eastAsia" w:ascii="宋体" w:hAnsi="宋体" w:eastAsia="宋体" w:cs="宋体"/>
          <w:color w:val="auto"/>
          <w:sz w:val="28"/>
          <w:szCs w:val="28"/>
          <w:lang w:val="en-US" w:eastAsia="zh-CN"/>
        </w:rPr>
        <w:t>房地产</w:t>
      </w:r>
      <w:r>
        <w:rPr>
          <w:rFonts w:hint="eastAsia" w:ascii="宋体" w:hAnsi="宋体" w:eastAsia="宋体" w:cs="宋体"/>
          <w:color w:val="auto"/>
          <w:sz w:val="28"/>
          <w:szCs w:val="28"/>
        </w:rPr>
        <w:t>，经调查收集，与评估对象处于同一供需圈、用地性质相同或类似的房地产交易案例较</w:t>
      </w:r>
      <w:r>
        <w:rPr>
          <w:rFonts w:hint="eastAsia" w:ascii="宋体" w:hAnsi="宋体" w:eastAsia="宋体" w:cs="宋体"/>
          <w:color w:val="auto"/>
          <w:sz w:val="28"/>
          <w:szCs w:val="28"/>
          <w:lang w:val="en-US" w:eastAsia="zh-CN"/>
        </w:rPr>
        <w:t>多</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能够</w:t>
      </w:r>
      <w:r>
        <w:rPr>
          <w:rFonts w:hint="eastAsia" w:ascii="宋体" w:hAnsi="宋体" w:eastAsia="宋体" w:cs="宋体"/>
          <w:color w:val="auto"/>
          <w:sz w:val="28"/>
          <w:szCs w:val="28"/>
        </w:rPr>
        <w:t>获取3个规模相当的可比案例，具备市场比较法运用的条件，因此</w:t>
      </w:r>
      <w:r>
        <w:rPr>
          <w:rFonts w:hint="eastAsia" w:ascii="宋体" w:hAnsi="宋体" w:eastAsia="宋体" w:cs="宋体"/>
          <w:color w:val="auto"/>
          <w:sz w:val="28"/>
          <w:szCs w:val="28"/>
          <w:lang w:val="en-US" w:eastAsia="zh-CN"/>
        </w:rPr>
        <w:t>宜</w:t>
      </w:r>
      <w:r>
        <w:rPr>
          <w:rFonts w:hint="eastAsia" w:ascii="宋体" w:hAnsi="宋体" w:eastAsia="宋体" w:cs="宋体"/>
          <w:color w:val="auto"/>
          <w:sz w:val="28"/>
          <w:szCs w:val="28"/>
        </w:rPr>
        <w:t>采用市场法进行评估。</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车库用房</w:t>
      </w:r>
      <w:r>
        <w:rPr>
          <w:rFonts w:hint="eastAsia" w:ascii="宋体" w:hAnsi="宋体" w:eastAsia="宋体" w:cs="宋体"/>
          <w:color w:val="auto"/>
          <w:sz w:val="28"/>
          <w:szCs w:val="28"/>
        </w:rPr>
        <w:t>采用收益法的理由：收益法就是预测评估对象未来收益，利用报酬率或资本化率、收益乘数将未来收益转换为价值得到评估对象价值或价格的方法。本次评估对象位于新圩镇文武阁开发区，所在区域类似物业出租情况较多，其客观租金和租赁成本费用可预测，因此采用收益法进行评估。</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车库用房不</w:t>
      </w:r>
      <w:r>
        <w:rPr>
          <w:rFonts w:hint="eastAsia" w:ascii="宋体" w:hAnsi="宋体" w:eastAsia="宋体" w:cs="宋体"/>
          <w:color w:val="auto"/>
          <w:sz w:val="28"/>
          <w:szCs w:val="28"/>
        </w:rPr>
        <w:t>采用市场法的理由：市场法是以现实市场上的参照物来评价评估对象的现行公平市场价值，它具有评估角度和评估途径直接、评估过程直观、评估数据直接取材于市场、评估结果说服力强的特点。本次评估对象</w:t>
      </w:r>
      <w:r>
        <w:rPr>
          <w:rFonts w:hint="eastAsia" w:ascii="宋体" w:hAnsi="宋体" w:eastAsia="宋体" w:cs="宋体"/>
          <w:color w:val="auto"/>
          <w:sz w:val="28"/>
          <w:szCs w:val="28"/>
          <w:lang w:val="en-US" w:eastAsia="zh-CN"/>
        </w:rPr>
        <w:t>为位于</w:t>
      </w:r>
      <w:r>
        <w:rPr>
          <w:rFonts w:hint="eastAsia" w:ascii="宋体" w:hAnsi="宋体" w:eastAsia="宋体" w:cs="宋体"/>
          <w:color w:val="auto"/>
          <w:sz w:val="28"/>
          <w:szCs w:val="28"/>
          <w:lang w:eastAsia="zh-CN"/>
        </w:rPr>
        <w:t>陆良县中枢镇南门三社1-1-1</w:t>
      </w:r>
      <w:r>
        <w:rPr>
          <w:rFonts w:hint="eastAsia" w:ascii="宋体" w:hAnsi="宋体" w:eastAsia="宋体" w:cs="宋体"/>
          <w:color w:val="auto"/>
          <w:sz w:val="28"/>
          <w:szCs w:val="28"/>
          <w:lang w:val="en-US" w:eastAsia="zh-CN"/>
        </w:rPr>
        <w:t>B</w:t>
      </w:r>
      <w:r>
        <w:rPr>
          <w:rFonts w:hint="eastAsia" w:ascii="宋体" w:hAnsi="宋体" w:eastAsia="宋体" w:cs="宋体"/>
          <w:color w:val="auto"/>
          <w:sz w:val="28"/>
          <w:szCs w:val="28"/>
          <w:lang w:eastAsia="zh-CN"/>
        </w:rPr>
        <w:t>号</w:t>
      </w:r>
      <w:r>
        <w:rPr>
          <w:rFonts w:hint="eastAsia" w:ascii="宋体" w:hAnsi="宋体" w:eastAsia="宋体" w:cs="宋体"/>
          <w:color w:val="auto"/>
          <w:sz w:val="28"/>
          <w:szCs w:val="28"/>
          <w:lang w:val="en-US" w:eastAsia="zh-CN"/>
        </w:rPr>
        <w:t>房地产</w:t>
      </w:r>
      <w:r>
        <w:rPr>
          <w:rFonts w:hint="eastAsia" w:ascii="宋体" w:hAnsi="宋体" w:eastAsia="宋体" w:cs="宋体"/>
          <w:color w:val="auto"/>
          <w:sz w:val="28"/>
          <w:szCs w:val="28"/>
        </w:rPr>
        <w:t>，经调查收集，与评估对象处于同一供需圈、用地性质相同或类似的房地产交易案例较</w:t>
      </w:r>
      <w:r>
        <w:rPr>
          <w:rFonts w:hint="eastAsia" w:ascii="宋体" w:hAnsi="宋体" w:eastAsia="宋体" w:cs="宋体"/>
          <w:color w:val="auto"/>
          <w:sz w:val="28"/>
          <w:szCs w:val="28"/>
          <w:lang w:val="en-US" w:eastAsia="zh-CN"/>
        </w:rPr>
        <w:t>少</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不能够</w:t>
      </w:r>
      <w:r>
        <w:rPr>
          <w:rFonts w:hint="eastAsia" w:ascii="宋体" w:hAnsi="宋体" w:eastAsia="宋体" w:cs="宋体"/>
          <w:color w:val="auto"/>
          <w:sz w:val="28"/>
          <w:szCs w:val="28"/>
        </w:rPr>
        <w:t>获取3个规模相当的可比案例，</w:t>
      </w:r>
      <w:r>
        <w:rPr>
          <w:rFonts w:hint="eastAsia" w:ascii="宋体" w:hAnsi="宋体" w:eastAsia="宋体" w:cs="宋体"/>
          <w:color w:val="auto"/>
          <w:sz w:val="28"/>
          <w:szCs w:val="28"/>
          <w:lang w:val="en-US" w:eastAsia="zh-CN"/>
        </w:rPr>
        <w:t>不</w:t>
      </w:r>
      <w:r>
        <w:rPr>
          <w:rFonts w:hint="eastAsia" w:ascii="宋体" w:hAnsi="宋体" w:eastAsia="宋体" w:cs="宋体"/>
          <w:color w:val="auto"/>
          <w:sz w:val="28"/>
          <w:szCs w:val="28"/>
        </w:rPr>
        <w:t>具备市场比较法运用的条件，因此</w:t>
      </w:r>
      <w:r>
        <w:rPr>
          <w:rFonts w:hint="eastAsia" w:ascii="宋体" w:hAnsi="宋体" w:eastAsia="宋体" w:cs="宋体"/>
          <w:color w:val="auto"/>
          <w:sz w:val="28"/>
          <w:szCs w:val="28"/>
          <w:lang w:val="en-US" w:eastAsia="zh-CN"/>
        </w:rPr>
        <w:t>不宜</w:t>
      </w:r>
      <w:r>
        <w:rPr>
          <w:rFonts w:hint="eastAsia" w:ascii="宋体" w:hAnsi="宋体" w:eastAsia="宋体" w:cs="宋体"/>
          <w:color w:val="auto"/>
          <w:sz w:val="28"/>
          <w:szCs w:val="28"/>
        </w:rPr>
        <w:t>采用市场法进行评估。</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住宅、车库用房</w:t>
      </w:r>
      <w:r>
        <w:rPr>
          <w:rFonts w:hint="eastAsia" w:ascii="宋体" w:hAnsi="宋体" w:eastAsia="宋体" w:cs="宋体"/>
          <w:color w:val="auto"/>
          <w:sz w:val="28"/>
          <w:szCs w:val="28"/>
        </w:rPr>
        <w:t>不</w:t>
      </w:r>
      <w:r>
        <w:rPr>
          <w:rFonts w:hint="eastAsia" w:ascii="宋体" w:hAnsi="宋体" w:eastAsia="宋体" w:cs="宋体"/>
          <w:color w:val="auto"/>
          <w:sz w:val="28"/>
          <w:szCs w:val="28"/>
          <w:lang w:eastAsia="zh-CN"/>
        </w:rPr>
        <w:t>采用</w:t>
      </w:r>
      <w:r>
        <w:rPr>
          <w:rFonts w:hint="eastAsia" w:ascii="宋体" w:hAnsi="宋体" w:eastAsia="宋体" w:cs="宋体"/>
          <w:color w:val="auto"/>
          <w:sz w:val="28"/>
          <w:szCs w:val="28"/>
          <w:lang w:val="en-US" w:eastAsia="zh-CN"/>
        </w:rPr>
        <w:t>成本</w:t>
      </w:r>
      <w:r>
        <w:rPr>
          <w:rFonts w:hint="eastAsia" w:ascii="宋体" w:hAnsi="宋体" w:eastAsia="宋体" w:cs="宋体"/>
          <w:color w:val="auto"/>
          <w:sz w:val="28"/>
          <w:szCs w:val="28"/>
          <w:lang w:eastAsia="zh-CN"/>
        </w:rPr>
        <w:t>法</w:t>
      </w:r>
      <w:r>
        <w:rPr>
          <w:rFonts w:hint="eastAsia" w:ascii="宋体" w:hAnsi="宋体" w:eastAsia="宋体" w:cs="宋体"/>
          <w:color w:val="auto"/>
          <w:sz w:val="28"/>
          <w:szCs w:val="28"/>
        </w:rPr>
        <w:t>的理由：成本法的评估路线是通过评估被评估对象的现时重置成本，然后扣减相关贬值，从而得出评估值。本次评估涉案房产重置费用相关数据较难获得，因此不</w:t>
      </w:r>
      <w:r>
        <w:rPr>
          <w:rFonts w:hint="eastAsia" w:ascii="宋体" w:hAnsi="宋体" w:eastAsia="宋体" w:cs="宋体"/>
          <w:color w:val="auto"/>
          <w:sz w:val="28"/>
          <w:szCs w:val="28"/>
          <w:lang w:eastAsia="zh-CN"/>
        </w:rPr>
        <w:t>采用市场法、收益法</w:t>
      </w:r>
      <w:r>
        <w:rPr>
          <w:rFonts w:hint="eastAsia" w:ascii="宋体" w:hAnsi="宋体" w:eastAsia="宋体" w:cs="宋体"/>
          <w:color w:val="auto"/>
          <w:sz w:val="28"/>
          <w:szCs w:val="28"/>
        </w:rPr>
        <w:t>进行评估。</w:t>
      </w:r>
    </w:p>
    <w:p>
      <w:pPr>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经研究分析，本公司及签字评估师</w:t>
      </w:r>
      <w:r>
        <w:rPr>
          <w:rFonts w:hint="eastAsia" w:ascii="宋体" w:hAnsi="宋体" w:eastAsia="宋体" w:cs="宋体"/>
          <w:color w:val="auto"/>
          <w:sz w:val="28"/>
          <w:szCs w:val="28"/>
          <w:lang w:val="en-US" w:eastAsia="zh-CN"/>
        </w:rPr>
        <w:t>对1-1-1A号房屋</w:t>
      </w:r>
      <w:r>
        <w:rPr>
          <w:rFonts w:hint="eastAsia" w:ascii="宋体" w:hAnsi="宋体" w:eastAsia="宋体" w:cs="宋体"/>
          <w:color w:val="auto"/>
          <w:sz w:val="28"/>
          <w:szCs w:val="28"/>
        </w:rPr>
        <w:t>采用</w:t>
      </w:r>
      <w:r>
        <w:rPr>
          <w:rFonts w:hint="eastAsia" w:ascii="宋体" w:hAnsi="宋体" w:eastAsia="宋体" w:cs="宋体"/>
          <w:color w:val="auto"/>
          <w:sz w:val="28"/>
          <w:szCs w:val="28"/>
          <w:lang w:val="en-US" w:eastAsia="zh-CN"/>
        </w:rPr>
        <w:t>市场法、</w:t>
      </w:r>
      <w:r>
        <w:rPr>
          <w:rFonts w:hint="eastAsia" w:ascii="宋体" w:hAnsi="宋体" w:eastAsia="宋体" w:cs="宋体"/>
          <w:color w:val="auto"/>
          <w:sz w:val="28"/>
          <w:szCs w:val="28"/>
        </w:rPr>
        <w:t>收益法进行测算评估，</w:t>
      </w:r>
      <w:r>
        <w:rPr>
          <w:rFonts w:hint="eastAsia" w:asciiTheme="majorEastAsia" w:hAnsiTheme="majorEastAsia" w:eastAsiaTheme="majorEastAsia" w:cstheme="majorEastAsia"/>
          <w:color w:val="auto"/>
          <w:sz w:val="28"/>
          <w:szCs w:val="28"/>
          <w:lang w:val="en-US" w:eastAsia="zh-CN"/>
        </w:rPr>
        <w:t>经综合分析，收益法从预期收益资本化的角度进行测算，不能较好的反应评估对象的价值，因此本次评估单价比较法的评估单价为正常市场价值，</w:t>
      </w:r>
      <w:r>
        <w:rPr>
          <w:rFonts w:hint="eastAsia" w:ascii="宋体" w:hAnsi="宋体" w:eastAsia="宋体" w:cs="宋体"/>
          <w:color w:val="auto"/>
          <w:sz w:val="28"/>
          <w:szCs w:val="28"/>
        </w:rPr>
        <w:t>本次评估结论采用了</w:t>
      </w:r>
      <w:r>
        <w:rPr>
          <w:rFonts w:hint="eastAsia" w:ascii="宋体" w:hAnsi="宋体" w:eastAsia="宋体" w:cs="宋体"/>
          <w:color w:val="auto"/>
          <w:sz w:val="28"/>
          <w:szCs w:val="28"/>
          <w:lang w:val="en-US" w:eastAsia="zh-CN"/>
        </w:rPr>
        <w:t>市场法</w:t>
      </w:r>
      <w:r>
        <w:rPr>
          <w:rFonts w:hint="eastAsia" w:ascii="宋体" w:hAnsi="宋体" w:eastAsia="宋体" w:cs="宋体"/>
          <w:color w:val="auto"/>
          <w:sz w:val="28"/>
          <w:szCs w:val="28"/>
        </w:rPr>
        <w:t>的评估结果</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对1-1-1B号房屋采用收益法进行测算评估，</w:t>
      </w:r>
      <w:r>
        <w:rPr>
          <w:rFonts w:hint="eastAsia" w:asciiTheme="majorEastAsia" w:hAnsiTheme="majorEastAsia" w:eastAsiaTheme="majorEastAsia" w:cstheme="majorEastAsia"/>
          <w:color w:val="auto"/>
          <w:sz w:val="28"/>
          <w:szCs w:val="28"/>
          <w:lang w:val="en-US" w:eastAsia="zh-CN"/>
        </w:rPr>
        <w:t>经综合分析，收益法从预期收益资本化的角度进行测算，能较好的反应评估对象的价值</w:t>
      </w:r>
      <w:r>
        <w:rPr>
          <w:rFonts w:hint="eastAsia" w:ascii="宋体" w:hAnsi="宋体" w:eastAsia="宋体" w:cs="宋体"/>
          <w:color w:val="auto"/>
          <w:sz w:val="28"/>
          <w:szCs w:val="28"/>
        </w:rPr>
        <w:t>本次评估结论采用了</w:t>
      </w:r>
      <w:r>
        <w:rPr>
          <w:rFonts w:hint="eastAsia" w:ascii="宋体" w:hAnsi="宋体" w:eastAsia="宋体" w:cs="宋体"/>
          <w:color w:val="auto"/>
          <w:sz w:val="28"/>
          <w:szCs w:val="28"/>
          <w:lang w:val="en-US" w:eastAsia="zh-CN"/>
        </w:rPr>
        <w:t>收益法</w:t>
      </w:r>
      <w:r>
        <w:rPr>
          <w:rFonts w:hint="eastAsia" w:ascii="宋体" w:hAnsi="宋体" w:eastAsia="宋体" w:cs="宋体"/>
          <w:color w:val="auto"/>
          <w:sz w:val="28"/>
          <w:szCs w:val="28"/>
        </w:rPr>
        <w:t>的评估结果</w:t>
      </w:r>
      <w:r>
        <w:rPr>
          <w:rFonts w:hint="eastAsia" w:ascii="宋体" w:hAnsi="宋体" w:eastAsia="宋体" w:cs="宋体"/>
          <w:color w:val="auto"/>
          <w:sz w:val="28"/>
          <w:szCs w:val="28"/>
          <w:lang w:eastAsia="zh-CN"/>
        </w:rPr>
        <w:t>。</w:t>
      </w:r>
    </w:p>
    <w:p>
      <w:pPr>
        <w:spacing w:line="580" w:lineRule="exact"/>
        <w:ind w:firstLine="562" w:firstLineChars="200"/>
        <w:outlineLvl w:val="1"/>
        <w:rPr>
          <w:rFonts w:hint="eastAsia" w:ascii="宋体" w:hAnsi="宋体" w:eastAsia="宋体" w:cs="宋体"/>
          <w:b/>
          <w:bCs/>
          <w:color w:val="auto"/>
          <w:sz w:val="28"/>
          <w:szCs w:val="28"/>
        </w:rPr>
      </w:pPr>
      <w:bookmarkStart w:id="10" w:name="_Toc18852"/>
      <w:r>
        <w:rPr>
          <w:rFonts w:hint="eastAsia" w:ascii="宋体" w:hAnsi="宋体" w:eastAsia="宋体" w:cs="宋体"/>
          <w:b/>
          <w:bCs/>
          <w:color w:val="auto"/>
          <w:sz w:val="28"/>
          <w:szCs w:val="28"/>
        </w:rPr>
        <w:t>八、评估程序实施过程和情况</w:t>
      </w:r>
      <w:bookmarkEnd w:id="10"/>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本公司接受评估委托后，根据中华人民共和国有关法律法规和规定，按照</w:t>
      </w:r>
      <w:r>
        <w:rPr>
          <w:rFonts w:hint="eastAsia" w:ascii="宋体" w:hAnsi="宋体" w:eastAsia="宋体" w:cs="宋体"/>
          <w:color w:val="auto"/>
          <w:sz w:val="28"/>
          <w:szCs w:val="28"/>
          <w:lang w:eastAsia="zh-CN"/>
        </w:rPr>
        <w:t>陆良县人民法院</w:t>
      </w:r>
      <w:r>
        <w:rPr>
          <w:rFonts w:hint="eastAsia" w:ascii="宋体" w:hAnsi="宋体" w:eastAsia="宋体" w:cs="宋体"/>
          <w:color w:val="auto"/>
          <w:sz w:val="28"/>
          <w:szCs w:val="28"/>
        </w:rPr>
        <w:t>《委托</w:t>
      </w:r>
      <w:r>
        <w:rPr>
          <w:rFonts w:hint="eastAsia" w:ascii="宋体" w:hAnsi="宋体" w:eastAsia="宋体" w:cs="宋体"/>
          <w:color w:val="auto"/>
          <w:sz w:val="28"/>
          <w:szCs w:val="28"/>
          <w:lang w:eastAsia="zh-CN"/>
        </w:rPr>
        <w:t>评估函</w:t>
      </w:r>
      <w:r>
        <w:rPr>
          <w:rFonts w:hint="eastAsia" w:ascii="宋体" w:hAnsi="宋体" w:eastAsia="宋体" w:cs="宋体"/>
          <w:color w:val="auto"/>
          <w:sz w:val="28"/>
          <w:szCs w:val="28"/>
        </w:rPr>
        <w:t>》的委托事项，组织评估人员对评估范围内的评估标的价格进行了评估，先后经过接受委托、现场勘查核实、评定估算、评估汇总、提交报告等过程。具体步骤如下：</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（一）接受委托阶段</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2022年</w:t>
      </w:r>
      <w:r>
        <w:rPr>
          <w:rFonts w:hint="eastAsia" w:ascii="宋体" w:hAnsi="宋体" w:eastAsia="宋体" w:cs="宋体"/>
          <w:color w:val="auto"/>
          <w:sz w:val="28"/>
          <w:szCs w:val="28"/>
          <w:lang w:eastAsia="zh-CN"/>
        </w:rPr>
        <w:t>07月20</w:t>
      </w:r>
      <w:r>
        <w:rPr>
          <w:rFonts w:hint="eastAsia" w:ascii="宋体" w:hAnsi="宋体" w:eastAsia="宋体" w:cs="宋体"/>
          <w:color w:val="auto"/>
          <w:sz w:val="28"/>
          <w:szCs w:val="28"/>
        </w:rPr>
        <w:t>日，</w:t>
      </w:r>
      <w:r>
        <w:rPr>
          <w:rFonts w:hint="eastAsia" w:ascii="宋体" w:hAnsi="宋体" w:eastAsia="宋体" w:cs="宋体"/>
          <w:color w:val="auto"/>
          <w:sz w:val="28"/>
          <w:szCs w:val="28"/>
          <w:lang w:eastAsia="zh-CN"/>
        </w:rPr>
        <w:t>陆良县人民法院</w:t>
      </w:r>
      <w:r>
        <w:rPr>
          <w:rFonts w:hint="eastAsia" w:ascii="宋体" w:hAnsi="宋体" w:eastAsia="宋体" w:cs="宋体"/>
          <w:color w:val="auto"/>
          <w:sz w:val="28"/>
          <w:szCs w:val="28"/>
        </w:rPr>
        <w:t>向本公司出具《委托</w:t>
      </w:r>
      <w:r>
        <w:rPr>
          <w:rFonts w:hint="eastAsia" w:ascii="宋体" w:hAnsi="宋体" w:eastAsia="宋体" w:cs="宋体"/>
          <w:color w:val="auto"/>
          <w:sz w:val="28"/>
          <w:szCs w:val="28"/>
          <w:lang w:eastAsia="zh-CN"/>
        </w:rPr>
        <w:t>评估函</w:t>
      </w:r>
      <w:r>
        <w:rPr>
          <w:rFonts w:hint="eastAsia" w:ascii="宋体" w:hAnsi="宋体" w:eastAsia="宋体" w:cs="宋体"/>
          <w:color w:val="auto"/>
          <w:sz w:val="28"/>
          <w:szCs w:val="28"/>
        </w:rPr>
        <w:t>》，本公司按照规定履行了必要的前期工作程序。</w:t>
      </w:r>
    </w:p>
    <w:p>
      <w:pPr>
        <w:spacing w:line="580" w:lineRule="exact"/>
        <w:ind w:left="630"/>
        <w:rPr>
          <w:rFonts w:hint="eastAsia" w:ascii="宋体" w:hAnsi="宋体" w:eastAsia="宋体" w:cs="宋体"/>
          <w:color w:val="auto"/>
          <w:sz w:val="28"/>
          <w:szCs w:val="28"/>
        </w:rPr>
      </w:pPr>
      <w:r>
        <w:rPr>
          <w:rFonts w:hint="eastAsia" w:ascii="宋体" w:hAnsi="宋体" w:eastAsia="宋体" w:cs="宋体"/>
          <w:color w:val="auto"/>
          <w:sz w:val="28"/>
          <w:szCs w:val="28"/>
        </w:rPr>
        <w:t>（二）评估范围核实阶段</w:t>
      </w:r>
    </w:p>
    <w:p>
      <w:pPr>
        <w:spacing w:line="580" w:lineRule="exact"/>
        <w:ind w:firstLine="640"/>
        <w:rPr>
          <w:rFonts w:hint="eastAsia" w:ascii="宋体" w:hAnsi="宋体" w:eastAsia="宋体" w:cs="宋体"/>
          <w:color w:val="auto"/>
          <w:sz w:val="28"/>
          <w:szCs w:val="28"/>
        </w:rPr>
      </w:pPr>
      <w:r>
        <w:rPr>
          <w:rFonts w:hint="eastAsia" w:ascii="宋体" w:hAnsi="宋体" w:eastAsia="宋体" w:cs="宋体"/>
          <w:color w:val="auto"/>
          <w:sz w:val="28"/>
          <w:szCs w:val="28"/>
        </w:rPr>
        <w:t>本公司接受委托后，按照委托方规定的时间（2022年</w:t>
      </w:r>
      <w:r>
        <w:rPr>
          <w:rFonts w:hint="eastAsia" w:ascii="宋体" w:hAnsi="宋体" w:eastAsia="宋体" w:cs="宋体"/>
          <w:color w:val="auto"/>
          <w:sz w:val="28"/>
          <w:szCs w:val="28"/>
          <w:lang w:eastAsia="zh-CN"/>
        </w:rPr>
        <w:t>07月20</w:t>
      </w:r>
      <w:r>
        <w:rPr>
          <w:rFonts w:hint="eastAsia" w:ascii="宋体" w:hAnsi="宋体" w:eastAsia="宋体" w:cs="宋体"/>
          <w:color w:val="auto"/>
          <w:sz w:val="28"/>
          <w:szCs w:val="28"/>
        </w:rPr>
        <w:t>日），在委托方和</w:t>
      </w:r>
      <w:r>
        <w:rPr>
          <w:rFonts w:hint="eastAsia" w:ascii="宋体" w:hAnsi="宋体" w:eastAsia="宋体" w:cs="宋体"/>
          <w:color w:val="auto"/>
          <w:sz w:val="28"/>
          <w:szCs w:val="28"/>
          <w:lang w:val="en-US" w:eastAsia="zh-CN"/>
        </w:rPr>
        <w:t>相关</w:t>
      </w:r>
      <w:r>
        <w:rPr>
          <w:rFonts w:hint="eastAsia" w:ascii="宋体" w:hAnsi="宋体" w:eastAsia="宋体" w:cs="宋体"/>
          <w:color w:val="auto"/>
          <w:sz w:val="28"/>
          <w:szCs w:val="28"/>
        </w:rPr>
        <w:t>当事人的配合下进行了现场勘查。对评估对象进行了现场记录、拍照，现场勘查笔录经</w:t>
      </w:r>
      <w:r>
        <w:rPr>
          <w:rFonts w:hint="eastAsia" w:ascii="宋体" w:hAnsi="宋体" w:eastAsia="宋体" w:cs="宋体"/>
          <w:color w:val="auto"/>
          <w:sz w:val="28"/>
          <w:szCs w:val="28"/>
          <w:lang w:val="en-US" w:eastAsia="zh-CN"/>
        </w:rPr>
        <w:t>委托方、申请方</w:t>
      </w:r>
      <w:r>
        <w:rPr>
          <w:rFonts w:hint="eastAsia" w:ascii="宋体" w:hAnsi="宋体" w:eastAsia="宋体" w:cs="宋体"/>
          <w:color w:val="auto"/>
          <w:sz w:val="28"/>
          <w:szCs w:val="28"/>
        </w:rPr>
        <w:t>当事人签字确认</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被申请方当事人李文华未参与现场勘察，现场勘查是在其家人的参与下进行的，其家人不能书写其名字，故未在勘查笔录上签字</w:t>
      </w:r>
      <w:r>
        <w:rPr>
          <w:rFonts w:hint="eastAsia" w:ascii="宋体" w:hAnsi="宋体" w:eastAsia="宋体" w:cs="宋体"/>
          <w:color w:val="auto"/>
          <w:sz w:val="28"/>
          <w:szCs w:val="28"/>
        </w:rPr>
        <w:t>。</w:t>
      </w:r>
    </w:p>
    <w:p>
      <w:pPr>
        <w:spacing w:line="580" w:lineRule="exact"/>
        <w:ind w:firstLine="560" w:firstLineChars="200"/>
        <w:rPr>
          <w:rFonts w:hint="eastAsia" w:ascii="宋体" w:hAnsi="宋体" w:eastAsia="宋体" w:cs="宋体"/>
          <w:color w:val="auto"/>
          <w:sz w:val="28"/>
          <w:szCs w:val="28"/>
        </w:rPr>
      </w:pPr>
      <w:r>
        <w:rPr>
          <w:rFonts w:hint="eastAsia" w:asciiTheme="majorEastAsia" w:hAnsiTheme="majorEastAsia" w:eastAsiaTheme="majorEastAsia" w:cstheme="majorEastAsia"/>
          <w:color w:val="auto"/>
          <w:sz w:val="28"/>
          <w:szCs w:val="28"/>
        </w:rPr>
        <w:t>根据现场勘查了解，现场勘查日该房屋为被</w:t>
      </w:r>
      <w:r>
        <w:rPr>
          <w:rFonts w:hint="eastAsia" w:asciiTheme="majorEastAsia" w:hAnsiTheme="majorEastAsia" w:eastAsiaTheme="majorEastAsia" w:cstheme="majorEastAsia"/>
          <w:color w:val="auto"/>
          <w:sz w:val="28"/>
          <w:szCs w:val="28"/>
          <w:lang w:val="en-US" w:eastAsia="zh-CN"/>
        </w:rPr>
        <w:t>申请方</w:t>
      </w:r>
      <w:r>
        <w:rPr>
          <w:rFonts w:hint="eastAsia" w:asciiTheme="majorEastAsia" w:hAnsiTheme="majorEastAsia" w:eastAsiaTheme="majorEastAsia" w:cstheme="majorEastAsia"/>
          <w:color w:val="auto"/>
          <w:sz w:val="28"/>
          <w:szCs w:val="28"/>
        </w:rPr>
        <w:t>自用，房屋结构为</w:t>
      </w:r>
      <w:r>
        <w:rPr>
          <w:rFonts w:hint="eastAsia" w:asciiTheme="majorEastAsia" w:hAnsiTheme="majorEastAsia" w:eastAsiaTheme="majorEastAsia" w:cstheme="majorEastAsia"/>
          <w:color w:val="auto"/>
          <w:sz w:val="28"/>
          <w:szCs w:val="28"/>
          <w:lang w:eastAsia="zh-CN"/>
        </w:rPr>
        <w:t>钢混结构</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1-1-1A号</w:t>
      </w:r>
      <w:r>
        <w:rPr>
          <w:rFonts w:hint="eastAsia" w:asciiTheme="majorEastAsia" w:hAnsiTheme="majorEastAsia" w:eastAsiaTheme="majorEastAsia" w:cstheme="majorEastAsia"/>
          <w:color w:val="auto"/>
          <w:sz w:val="28"/>
          <w:szCs w:val="28"/>
          <w:lang w:val="en-US" w:eastAsia="zh-CN"/>
        </w:rPr>
        <w:t>房屋</w:t>
      </w:r>
      <w:r>
        <w:rPr>
          <w:rFonts w:hint="eastAsia" w:asciiTheme="majorEastAsia" w:hAnsiTheme="majorEastAsia" w:eastAsiaTheme="majorEastAsia" w:cstheme="majorEastAsia"/>
          <w:color w:val="auto"/>
          <w:sz w:val="28"/>
          <w:szCs w:val="28"/>
        </w:rPr>
        <w:t>建筑面积为</w:t>
      </w:r>
      <w:r>
        <w:rPr>
          <w:rFonts w:hint="eastAsia" w:asciiTheme="majorEastAsia" w:hAnsiTheme="majorEastAsia" w:eastAsiaTheme="majorEastAsia" w:cstheme="majorEastAsia"/>
          <w:color w:val="auto"/>
          <w:sz w:val="28"/>
          <w:szCs w:val="28"/>
          <w:lang w:eastAsia="zh-CN"/>
        </w:rPr>
        <w:t>61.92</w:t>
      </w:r>
      <w:r>
        <w:rPr>
          <w:rFonts w:hint="eastAsia" w:asciiTheme="majorEastAsia" w:hAnsiTheme="majorEastAsia" w:eastAsiaTheme="majorEastAsia" w:cstheme="majorEastAsia"/>
          <w:color w:val="auto"/>
          <w:sz w:val="28"/>
          <w:szCs w:val="28"/>
        </w:rPr>
        <w:t>平方米，</w:t>
      </w:r>
      <w:r>
        <w:rPr>
          <w:rFonts w:hint="eastAsia" w:asciiTheme="majorEastAsia" w:hAnsiTheme="majorEastAsia" w:eastAsiaTheme="majorEastAsia" w:cstheme="majorEastAsia"/>
          <w:color w:val="auto"/>
          <w:sz w:val="28"/>
          <w:szCs w:val="28"/>
          <w:lang w:eastAsia="zh-CN"/>
        </w:rPr>
        <w:t>1-1-1</w:t>
      </w:r>
      <w:r>
        <w:rPr>
          <w:rFonts w:hint="eastAsia" w:asciiTheme="majorEastAsia" w:hAnsiTheme="majorEastAsia" w:eastAsiaTheme="majorEastAsia" w:cstheme="majorEastAsia"/>
          <w:color w:val="auto"/>
          <w:sz w:val="28"/>
          <w:szCs w:val="28"/>
          <w:lang w:val="en-US" w:eastAsia="zh-CN"/>
        </w:rPr>
        <w:t>B</w:t>
      </w:r>
      <w:r>
        <w:rPr>
          <w:rFonts w:hint="eastAsia" w:asciiTheme="majorEastAsia" w:hAnsiTheme="majorEastAsia" w:eastAsiaTheme="majorEastAsia" w:cstheme="majorEastAsia"/>
          <w:color w:val="auto"/>
          <w:sz w:val="28"/>
          <w:szCs w:val="28"/>
          <w:lang w:eastAsia="zh-CN"/>
        </w:rPr>
        <w:t>号</w:t>
      </w:r>
      <w:r>
        <w:rPr>
          <w:rFonts w:hint="eastAsia" w:asciiTheme="majorEastAsia" w:hAnsiTheme="majorEastAsia" w:eastAsiaTheme="majorEastAsia" w:cstheme="majorEastAsia"/>
          <w:color w:val="auto"/>
          <w:sz w:val="28"/>
          <w:szCs w:val="28"/>
          <w:lang w:val="en-US" w:eastAsia="zh-CN"/>
        </w:rPr>
        <w:t>房屋</w:t>
      </w:r>
      <w:r>
        <w:rPr>
          <w:rFonts w:hint="eastAsia" w:asciiTheme="majorEastAsia" w:hAnsiTheme="majorEastAsia" w:eastAsiaTheme="majorEastAsia" w:cstheme="majorEastAsia"/>
          <w:color w:val="auto"/>
          <w:sz w:val="28"/>
          <w:szCs w:val="28"/>
        </w:rPr>
        <w:t>建筑面积为</w:t>
      </w:r>
      <w:r>
        <w:rPr>
          <w:rFonts w:hint="eastAsia" w:asciiTheme="majorEastAsia" w:hAnsiTheme="majorEastAsia" w:eastAsiaTheme="majorEastAsia" w:cstheme="majorEastAsia"/>
          <w:color w:val="auto"/>
          <w:sz w:val="28"/>
          <w:szCs w:val="28"/>
          <w:lang w:val="en-US" w:eastAsia="zh-CN"/>
        </w:rPr>
        <w:t>20.40</w:t>
      </w:r>
      <w:r>
        <w:rPr>
          <w:rFonts w:hint="eastAsia" w:asciiTheme="majorEastAsia" w:hAnsiTheme="majorEastAsia" w:eastAsiaTheme="majorEastAsia" w:cstheme="majorEastAsia"/>
          <w:color w:val="auto"/>
          <w:sz w:val="28"/>
          <w:szCs w:val="28"/>
        </w:rPr>
        <w:t>平方米</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总层数为</w:t>
      </w:r>
      <w:r>
        <w:rPr>
          <w:rFonts w:hint="eastAsia" w:asciiTheme="majorEastAsia" w:hAnsiTheme="majorEastAsia" w:eastAsiaTheme="majorEastAsia" w:cstheme="majorEastAsia"/>
          <w:color w:val="auto"/>
          <w:sz w:val="28"/>
          <w:szCs w:val="28"/>
          <w:lang w:val="en-US" w:eastAsia="zh-CN"/>
        </w:rPr>
        <w:t>7</w:t>
      </w:r>
      <w:r>
        <w:rPr>
          <w:rFonts w:hint="eastAsia" w:asciiTheme="majorEastAsia" w:hAnsiTheme="majorEastAsia" w:eastAsiaTheme="majorEastAsia" w:cstheme="majorEastAsia"/>
          <w:color w:val="auto"/>
          <w:sz w:val="28"/>
          <w:szCs w:val="28"/>
        </w:rPr>
        <w:t>层</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lang w:val="en-US" w:eastAsia="zh-CN"/>
        </w:rPr>
        <w:t>均为地上层</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评估对象均位于1层。</w:t>
      </w:r>
      <w:r>
        <w:rPr>
          <w:rFonts w:hint="eastAsia" w:asciiTheme="majorEastAsia" w:hAnsiTheme="majorEastAsia" w:eastAsiaTheme="majorEastAsia" w:cstheme="majorEastAsia"/>
          <w:color w:val="auto"/>
          <w:sz w:val="28"/>
          <w:szCs w:val="28"/>
          <w:lang w:eastAsia="zh-CN"/>
        </w:rPr>
        <w:t>1-1-1A号</w:t>
      </w:r>
      <w:r>
        <w:rPr>
          <w:rFonts w:hint="eastAsia" w:asciiTheme="majorEastAsia" w:hAnsiTheme="majorEastAsia" w:eastAsiaTheme="majorEastAsia" w:cstheme="majorEastAsia"/>
          <w:color w:val="auto"/>
          <w:sz w:val="28"/>
          <w:szCs w:val="28"/>
          <w:lang w:val="en-US" w:eastAsia="zh-CN"/>
        </w:rPr>
        <w:t>房屋</w:t>
      </w:r>
      <w:r>
        <w:rPr>
          <w:rFonts w:hint="eastAsia" w:asciiTheme="majorEastAsia" w:hAnsiTheme="majorEastAsia" w:eastAsiaTheme="majorEastAsia" w:cstheme="majorEastAsia"/>
          <w:color w:val="auto"/>
          <w:sz w:val="28"/>
          <w:szCs w:val="28"/>
        </w:rPr>
        <w:t>用途为住宅</w:t>
      </w:r>
      <w:r>
        <w:rPr>
          <w:rFonts w:hint="eastAsia" w:asciiTheme="majorEastAsia" w:hAnsiTheme="majorEastAsia" w:eastAsiaTheme="majorEastAsia" w:cstheme="majorEastAsia"/>
          <w:color w:val="auto"/>
          <w:sz w:val="28"/>
          <w:szCs w:val="28"/>
          <w:lang w:eastAsia="zh-CN"/>
        </w:rPr>
        <w:t>、1-1-1</w:t>
      </w:r>
      <w:r>
        <w:rPr>
          <w:rFonts w:hint="eastAsia" w:asciiTheme="majorEastAsia" w:hAnsiTheme="majorEastAsia" w:eastAsiaTheme="majorEastAsia" w:cstheme="majorEastAsia"/>
          <w:color w:val="auto"/>
          <w:sz w:val="28"/>
          <w:szCs w:val="28"/>
          <w:lang w:val="en-US" w:eastAsia="zh-CN"/>
        </w:rPr>
        <w:t>B</w:t>
      </w:r>
      <w:r>
        <w:rPr>
          <w:rFonts w:hint="eastAsia" w:asciiTheme="majorEastAsia" w:hAnsiTheme="majorEastAsia" w:eastAsiaTheme="majorEastAsia" w:cstheme="majorEastAsia"/>
          <w:color w:val="auto"/>
          <w:sz w:val="28"/>
          <w:szCs w:val="28"/>
          <w:lang w:eastAsia="zh-CN"/>
        </w:rPr>
        <w:t>号</w:t>
      </w:r>
      <w:r>
        <w:rPr>
          <w:rFonts w:hint="eastAsia" w:asciiTheme="majorEastAsia" w:hAnsiTheme="majorEastAsia" w:eastAsiaTheme="majorEastAsia" w:cstheme="majorEastAsia"/>
          <w:color w:val="auto"/>
          <w:sz w:val="28"/>
          <w:szCs w:val="28"/>
          <w:lang w:val="en-US" w:eastAsia="zh-CN"/>
        </w:rPr>
        <w:t>房屋用途为车库。</w:t>
      </w:r>
      <w:r>
        <w:rPr>
          <w:rFonts w:hint="eastAsia" w:asciiTheme="majorEastAsia" w:hAnsiTheme="majorEastAsia" w:eastAsiaTheme="majorEastAsia" w:cstheme="majorEastAsia"/>
          <w:color w:val="auto"/>
          <w:sz w:val="28"/>
          <w:szCs w:val="28"/>
        </w:rPr>
        <w:t>房屋外墙为瓷砖，</w:t>
      </w:r>
      <w:r>
        <w:rPr>
          <w:rFonts w:hint="eastAsia" w:asciiTheme="majorEastAsia" w:hAnsiTheme="majorEastAsia" w:eastAsiaTheme="majorEastAsia" w:cstheme="majorEastAsia"/>
          <w:color w:val="auto"/>
          <w:sz w:val="28"/>
          <w:szCs w:val="28"/>
          <w:lang w:val="en-US" w:eastAsia="zh-CN"/>
        </w:rPr>
        <w:t>住宅</w:t>
      </w:r>
      <w:r>
        <w:rPr>
          <w:rFonts w:hint="eastAsia" w:asciiTheme="majorEastAsia" w:hAnsiTheme="majorEastAsia" w:eastAsiaTheme="majorEastAsia" w:cstheme="majorEastAsia"/>
          <w:color w:val="auto"/>
          <w:sz w:val="28"/>
          <w:szCs w:val="28"/>
        </w:rPr>
        <w:t>入户门为</w:t>
      </w:r>
      <w:r>
        <w:rPr>
          <w:rFonts w:hint="eastAsia" w:asciiTheme="majorEastAsia" w:hAnsiTheme="majorEastAsia" w:eastAsiaTheme="majorEastAsia" w:cstheme="majorEastAsia"/>
          <w:color w:val="auto"/>
          <w:sz w:val="28"/>
          <w:szCs w:val="28"/>
          <w:lang w:val="en-US" w:eastAsia="zh-CN"/>
        </w:rPr>
        <w:t>防盗门</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车库入户门为铁门，</w:t>
      </w:r>
      <w:r>
        <w:rPr>
          <w:rFonts w:hint="eastAsia" w:asciiTheme="majorEastAsia" w:hAnsiTheme="majorEastAsia" w:eastAsiaTheme="majorEastAsia" w:cstheme="majorEastAsia"/>
          <w:color w:val="auto"/>
          <w:sz w:val="28"/>
          <w:szCs w:val="28"/>
        </w:rPr>
        <w:t>室内楼梯为步梯（瓷砖踏步，</w:t>
      </w:r>
      <w:r>
        <w:rPr>
          <w:rFonts w:hint="eastAsia" w:asciiTheme="majorEastAsia" w:hAnsiTheme="majorEastAsia" w:eastAsiaTheme="majorEastAsia" w:cstheme="majorEastAsia"/>
          <w:color w:val="auto"/>
          <w:sz w:val="28"/>
          <w:szCs w:val="28"/>
          <w:lang w:val="en-US" w:eastAsia="zh-CN"/>
        </w:rPr>
        <w:t>楼道墙面部分贴墙砖，部分刮瓷粉，天棚面刮瓷粉</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1-1-1A号</w:t>
      </w:r>
      <w:r>
        <w:rPr>
          <w:rFonts w:hint="eastAsia" w:asciiTheme="majorEastAsia" w:hAnsiTheme="majorEastAsia" w:eastAsiaTheme="majorEastAsia" w:cstheme="majorEastAsia"/>
          <w:color w:val="auto"/>
          <w:sz w:val="28"/>
          <w:szCs w:val="28"/>
          <w:lang w:val="en-US" w:eastAsia="zh-CN"/>
        </w:rPr>
        <w:t>房屋空间</w:t>
      </w:r>
      <w:r>
        <w:rPr>
          <w:rFonts w:hint="eastAsia" w:asciiTheme="majorEastAsia" w:hAnsiTheme="majorEastAsia" w:eastAsiaTheme="majorEastAsia" w:cstheme="majorEastAsia"/>
          <w:color w:val="auto"/>
          <w:sz w:val="28"/>
          <w:szCs w:val="28"/>
        </w:rPr>
        <w:t>布局为</w:t>
      </w:r>
      <w:r>
        <w:rPr>
          <w:rFonts w:hint="eastAsia" w:asciiTheme="majorEastAsia" w:hAnsiTheme="majorEastAsia" w:eastAsiaTheme="majorEastAsia" w:cstheme="majorEastAsia"/>
          <w:color w:val="auto"/>
          <w:sz w:val="28"/>
          <w:szCs w:val="28"/>
          <w:lang w:val="en-US" w:eastAsia="zh-CN"/>
        </w:rPr>
        <w:t>二室</w:t>
      </w:r>
      <w:r>
        <w:rPr>
          <w:rFonts w:hint="eastAsia" w:asciiTheme="majorEastAsia" w:hAnsiTheme="majorEastAsia" w:eastAsiaTheme="majorEastAsia" w:cstheme="majorEastAsia"/>
          <w:color w:val="auto"/>
          <w:sz w:val="28"/>
          <w:szCs w:val="28"/>
        </w:rPr>
        <w:t>一厅一厨一卫</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lang w:val="en-US" w:eastAsia="zh-CN"/>
        </w:rPr>
        <w:t>室内装修为简单装修，层高为3.24米（净层高）；</w:t>
      </w:r>
      <w:r>
        <w:rPr>
          <w:rFonts w:hint="eastAsia" w:asciiTheme="majorEastAsia" w:hAnsiTheme="majorEastAsia" w:eastAsiaTheme="majorEastAsia" w:cstheme="majorEastAsia"/>
          <w:color w:val="auto"/>
          <w:sz w:val="28"/>
          <w:szCs w:val="28"/>
          <w:lang w:eastAsia="zh-CN"/>
        </w:rPr>
        <w:t>1-1-1</w:t>
      </w:r>
      <w:r>
        <w:rPr>
          <w:rFonts w:hint="eastAsia" w:asciiTheme="majorEastAsia" w:hAnsiTheme="majorEastAsia" w:eastAsiaTheme="majorEastAsia" w:cstheme="majorEastAsia"/>
          <w:color w:val="auto"/>
          <w:sz w:val="28"/>
          <w:szCs w:val="28"/>
          <w:lang w:val="en-US" w:eastAsia="zh-CN"/>
        </w:rPr>
        <w:t>B</w:t>
      </w:r>
      <w:r>
        <w:rPr>
          <w:rFonts w:hint="eastAsia" w:asciiTheme="majorEastAsia" w:hAnsiTheme="majorEastAsia" w:eastAsiaTheme="majorEastAsia" w:cstheme="majorEastAsia"/>
          <w:color w:val="auto"/>
          <w:sz w:val="28"/>
          <w:szCs w:val="28"/>
          <w:lang w:eastAsia="zh-CN"/>
        </w:rPr>
        <w:t>号</w:t>
      </w:r>
      <w:r>
        <w:rPr>
          <w:rFonts w:hint="eastAsia" w:asciiTheme="majorEastAsia" w:hAnsiTheme="majorEastAsia" w:eastAsiaTheme="majorEastAsia" w:cstheme="majorEastAsia"/>
          <w:color w:val="auto"/>
          <w:sz w:val="28"/>
          <w:szCs w:val="28"/>
          <w:lang w:val="en-US" w:eastAsia="zh-CN"/>
        </w:rPr>
        <w:t>房屋空间</w:t>
      </w:r>
      <w:r>
        <w:rPr>
          <w:rFonts w:hint="eastAsia" w:asciiTheme="majorEastAsia" w:hAnsiTheme="majorEastAsia" w:eastAsiaTheme="majorEastAsia" w:cstheme="majorEastAsia"/>
          <w:color w:val="auto"/>
          <w:sz w:val="28"/>
          <w:szCs w:val="28"/>
        </w:rPr>
        <w:t>布局为</w:t>
      </w:r>
      <w:r>
        <w:rPr>
          <w:rFonts w:hint="eastAsia" w:asciiTheme="majorEastAsia" w:hAnsiTheme="majorEastAsia" w:eastAsiaTheme="majorEastAsia" w:cstheme="majorEastAsia"/>
          <w:color w:val="auto"/>
          <w:sz w:val="28"/>
          <w:szCs w:val="28"/>
          <w:lang w:val="en-US" w:eastAsia="zh-CN"/>
        </w:rPr>
        <w:t>矩形</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lang w:val="en-US" w:eastAsia="zh-CN"/>
        </w:rPr>
        <w:t>室内装修为简单装修，层高为3.24米（净层高）</w:t>
      </w:r>
      <w:r>
        <w:rPr>
          <w:rFonts w:hint="eastAsia" w:asciiTheme="majorEastAsia" w:hAnsiTheme="majorEastAsia" w:eastAsiaTheme="majorEastAsia" w:cstheme="majorEastAsia"/>
          <w:color w:val="auto"/>
          <w:sz w:val="28"/>
          <w:szCs w:val="28"/>
        </w:rPr>
        <w:t>。评估对象位于</w:t>
      </w:r>
      <w:r>
        <w:rPr>
          <w:rFonts w:hint="eastAsia" w:asciiTheme="majorEastAsia" w:hAnsiTheme="majorEastAsia" w:eastAsiaTheme="majorEastAsia" w:cstheme="majorEastAsia"/>
          <w:color w:val="auto"/>
          <w:sz w:val="28"/>
          <w:szCs w:val="28"/>
          <w:lang w:val="en-US" w:eastAsia="zh-CN"/>
        </w:rPr>
        <w:t>陆良县中枢镇南门三社</w:t>
      </w:r>
      <w:r>
        <w:rPr>
          <w:rFonts w:hint="eastAsia" w:asciiTheme="majorEastAsia" w:hAnsiTheme="majorEastAsia" w:eastAsiaTheme="majorEastAsia" w:cstheme="majorEastAsia"/>
          <w:color w:val="auto"/>
          <w:sz w:val="28"/>
          <w:szCs w:val="28"/>
        </w:rPr>
        <w:t>，一面临街巷，所在街巷商业氛围</w:t>
      </w:r>
      <w:r>
        <w:rPr>
          <w:rFonts w:hint="eastAsia" w:asciiTheme="majorEastAsia" w:hAnsiTheme="majorEastAsia" w:eastAsiaTheme="majorEastAsia" w:cstheme="majorEastAsia"/>
          <w:color w:val="auto"/>
          <w:sz w:val="28"/>
          <w:szCs w:val="28"/>
          <w:lang w:val="en-US" w:eastAsia="zh-CN"/>
        </w:rPr>
        <w:t>一般</w:t>
      </w:r>
      <w:r>
        <w:rPr>
          <w:rFonts w:hint="eastAsia" w:asciiTheme="majorEastAsia" w:hAnsiTheme="majorEastAsia" w:eastAsiaTheme="majorEastAsia" w:cstheme="majorEastAsia"/>
          <w:color w:val="auto"/>
          <w:sz w:val="28"/>
          <w:szCs w:val="28"/>
        </w:rPr>
        <w:t>，一层基本为居住自用，距离</w:t>
      </w:r>
      <w:r>
        <w:rPr>
          <w:rFonts w:hint="eastAsia" w:asciiTheme="majorEastAsia" w:hAnsiTheme="majorEastAsia" w:eastAsiaTheme="majorEastAsia" w:cstheme="majorEastAsia"/>
          <w:color w:val="auto"/>
          <w:sz w:val="28"/>
          <w:szCs w:val="28"/>
          <w:lang w:val="en-US" w:eastAsia="zh-CN"/>
        </w:rPr>
        <w:t>中枢大厦购物广场</w:t>
      </w:r>
      <w:r>
        <w:rPr>
          <w:rFonts w:hint="eastAsia" w:asciiTheme="majorEastAsia" w:hAnsiTheme="majorEastAsia" w:eastAsiaTheme="majorEastAsia" w:cstheme="majorEastAsia"/>
          <w:color w:val="auto"/>
          <w:sz w:val="28"/>
          <w:szCs w:val="28"/>
        </w:rPr>
        <w:t>约</w:t>
      </w:r>
      <w:r>
        <w:rPr>
          <w:rFonts w:hint="eastAsia" w:asciiTheme="majorEastAsia" w:hAnsiTheme="majorEastAsia" w:eastAsiaTheme="majorEastAsia" w:cstheme="majorEastAsia"/>
          <w:color w:val="auto"/>
          <w:sz w:val="28"/>
          <w:szCs w:val="28"/>
          <w:lang w:val="en-US" w:eastAsia="zh-CN"/>
        </w:rPr>
        <w:t>40</w:t>
      </w:r>
      <w:r>
        <w:rPr>
          <w:rFonts w:hint="eastAsia" w:asciiTheme="majorEastAsia" w:hAnsiTheme="majorEastAsia" w:eastAsiaTheme="majorEastAsia" w:cstheme="majorEastAsia"/>
          <w:color w:val="auto"/>
          <w:sz w:val="28"/>
          <w:szCs w:val="28"/>
        </w:rPr>
        <w:t>0米，距离</w:t>
      </w:r>
      <w:r>
        <w:rPr>
          <w:rFonts w:hint="eastAsia" w:asciiTheme="majorEastAsia" w:hAnsiTheme="majorEastAsia" w:eastAsiaTheme="majorEastAsia" w:cstheme="majorEastAsia"/>
          <w:color w:val="auto"/>
          <w:sz w:val="28"/>
          <w:szCs w:val="28"/>
          <w:lang w:val="en-US" w:eastAsia="zh-CN"/>
        </w:rPr>
        <w:t>陆良县汽车客运站约3</w:t>
      </w:r>
      <w:r>
        <w:rPr>
          <w:rFonts w:hint="eastAsia" w:asciiTheme="majorEastAsia" w:hAnsiTheme="majorEastAsia" w:eastAsiaTheme="majorEastAsia" w:cstheme="majorEastAsia"/>
          <w:color w:val="auto"/>
          <w:sz w:val="28"/>
          <w:szCs w:val="28"/>
        </w:rPr>
        <w:t>00米，所在区域交通条件较好，基础配套设施</w:t>
      </w:r>
      <w:r>
        <w:rPr>
          <w:rFonts w:hint="eastAsia" w:asciiTheme="majorEastAsia" w:hAnsiTheme="majorEastAsia" w:eastAsiaTheme="majorEastAsia" w:cstheme="majorEastAsia"/>
          <w:color w:val="auto"/>
          <w:sz w:val="28"/>
          <w:szCs w:val="28"/>
          <w:lang w:val="en-US" w:eastAsia="zh-CN"/>
        </w:rPr>
        <w:t>一般</w:t>
      </w:r>
      <w:r>
        <w:rPr>
          <w:rFonts w:hint="eastAsia" w:asciiTheme="majorEastAsia" w:hAnsiTheme="majorEastAsia" w:eastAsiaTheme="majorEastAsia" w:cstheme="majorEastAsia"/>
          <w:color w:val="auto"/>
          <w:sz w:val="28"/>
          <w:szCs w:val="28"/>
        </w:rPr>
        <w:t>,商业繁华程度</w:t>
      </w:r>
      <w:r>
        <w:rPr>
          <w:rFonts w:hint="eastAsia" w:asciiTheme="majorEastAsia" w:hAnsiTheme="majorEastAsia" w:eastAsiaTheme="majorEastAsia" w:cstheme="majorEastAsia"/>
          <w:color w:val="auto"/>
          <w:sz w:val="28"/>
          <w:szCs w:val="28"/>
          <w:lang w:val="en-US" w:eastAsia="zh-CN"/>
        </w:rPr>
        <w:t>一般</w:t>
      </w:r>
      <w:r>
        <w:rPr>
          <w:rFonts w:hint="eastAsia" w:asciiTheme="majorEastAsia" w:hAnsiTheme="majorEastAsia" w:eastAsiaTheme="majorEastAsia" w:cstheme="majorEastAsia"/>
          <w:color w:val="auto"/>
          <w:sz w:val="28"/>
          <w:szCs w:val="28"/>
        </w:rPr>
        <w:t>，市政基础设施、生活服务设施</w:t>
      </w:r>
      <w:r>
        <w:rPr>
          <w:rFonts w:hint="eastAsia" w:asciiTheme="majorEastAsia" w:hAnsiTheme="majorEastAsia" w:eastAsiaTheme="majorEastAsia" w:cstheme="majorEastAsia"/>
          <w:color w:val="auto"/>
          <w:sz w:val="28"/>
          <w:szCs w:val="28"/>
          <w:lang w:val="en-US" w:eastAsia="zh-CN"/>
        </w:rPr>
        <w:t>一般</w:t>
      </w:r>
      <w:r>
        <w:rPr>
          <w:rFonts w:hint="eastAsia" w:asciiTheme="majorEastAsia" w:hAnsiTheme="majorEastAsia" w:eastAsiaTheme="majorEastAsia" w:cstheme="majorEastAsia"/>
          <w:color w:val="auto"/>
          <w:sz w:val="28"/>
          <w:szCs w:val="28"/>
        </w:rPr>
        <w:t>。</w:t>
      </w:r>
      <w:r>
        <w:rPr>
          <w:rFonts w:hint="eastAsia" w:ascii="宋体" w:hAnsi="宋体" w:eastAsia="宋体" w:cs="宋体"/>
          <w:color w:val="auto"/>
          <w:sz w:val="28"/>
          <w:szCs w:val="28"/>
          <w:lang w:val="en-US" w:eastAsia="zh-CN"/>
        </w:rPr>
        <w:t>评估对象的权属</w:t>
      </w:r>
      <w:r>
        <w:rPr>
          <w:rFonts w:hint="eastAsia" w:ascii="宋体" w:hAnsi="宋体" w:eastAsia="宋体" w:cs="宋体"/>
          <w:color w:val="auto"/>
          <w:sz w:val="28"/>
          <w:szCs w:val="28"/>
        </w:rPr>
        <w:t>以委托方提供的</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房屋所有权证</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国有土地使用证</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所记载的为准。具体产权状况如：</w:t>
      </w:r>
    </w:p>
    <w:p>
      <w:pPr>
        <w:spacing w:line="58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（1）评估对象房屋权属状况</w:t>
      </w:r>
    </w:p>
    <w:tbl>
      <w:tblPr>
        <w:tblStyle w:val="18"/>
        <w:tblW w:w="8522" w:type="dxa"/>
        <w:tblInd w:w="0" w:type="dxa"/>
        <w:tblLayout w:type="fixed"/>
        <w:tblCellMar>
          <w:top w:w="0" w:type="dxa"/>
          <w:left w:w="108" w:type="dxa"/>
          <w:bottom w:w="0" w:type="dxa"/>
          <w:right w:w="108" w:type="dxa"/>
        </w:tblCellMar>
      </w:tblPr>
      <w:tblGrid>
        <w:gridCol w:w="2383"/>
        <w:gridCol w:w="6139"/>
      </w:tblGrid>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eastAsia="zh-CN"/>
              </w:rPr>
              <w:t>房屋所有权证</w:t>
            </w:r>
            <w:r>
              <w:rPr>
                <w:rFonts w:hint="eastAsia" w:ascii="仿宋" w:hAnsi="仿宋" w:eastAsia="仿宋" w:cs="仿宋"/>
                <w:color w:val="auto"/>
                <w:sz w:val="24"/>
              </w:rPr>
              <w:t>编号</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陆房权证中枢镇字第00027339号</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房号</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1-1-1A</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权利人</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李文华</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共有情况</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坐落</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中枢镇南门三社</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产别</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私有</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结构</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钢混结构</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设计</w:t>
            </w:r>
            <w:r>
              <w:rPr>
                <w:rFonts w:hint="eastAsia" w:ascii="仿宋" w:hAnsi="仿宋" w:eastAsia="仿宋" w:cs="仿宋"/>
                <w:color w:val="auto"/>
                <w:sz w:val="24"/>
              </w:rPr>
              <w:t>用途</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住宅</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建筑面积</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eastAsia="zh-CN"/>
              </w:rPr>
              <w:t>61.92</w:t>
            </w:r>
            <w:r>
              <w:rPr>
                <w:rFonts w:hint="eastAsia" w:ascii="仿宋" w:hAnsi="仿宋" w:eastAsia="仿宋" w:cs="仿宋"/>
                <w:color w:val="auto"/>
                <w:sz w:val="24"/>
              </w:rPr>
              <w:t>m</w:t>
            </w:r>
            <w:r>
              <w:rPr>
                <w:rFonts w:hint="eastAsia" w:ascii="仿宋" w:hAnsi="仿宋" w:eastAsia="仿宋" w:cs="仿宋"/>
                <w:color w:val="auto"/>
                <w:sz w:val="24"/>
                <w:vertAlign w:val="superscript"/>
              </w:rPr>
              <w:t>2</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房屋总层数</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7</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所在层数</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1</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lang w:val="en-US" w:eastAsia="zh-CN"/>
              </w:rPr>
              <w:t>房号</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b w:val="0"/>
                <w:bCs w:val="0"/>
                <w:color w:val="auto"/>
                <w:sz w:val="24"/>
                <w:lang w:val="en-US" w:eastAsia="zh-CN"/>
              </w:rPr>
            </w:pPr>
            <w:r>
              <w:rPr>
                <w:rFonts w:hint="eastAsia" w:ascii="仿宋" w:hAnsi="仿宋" w:eastAsia="仿宋" w:cs="仿宋"/>
                <w:b w:val="0"/>
                <w:bCs w:val="0"/>
                <w:color w:val="auto"/>
                <w:sz w:val="24"/>
                <w:lang w:val="en-US" w:eastAsia="zh-CN"/>
              </w:rPr>
              <w:t>1-1-1B</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权利人</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eastAsia="zh-CN"/>
              </w:rPr>
              <w:t>李文华</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共有情况</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val="en-US" w:eastAsia="zh-CN"/>
              </w:rPr>
              <w:t>/</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坐落</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val="en-US" w:eastAsia="zh-CN"/>
              </w:rPr>
              <w:t>中枢镇南门三社</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val="en-US" w:eastAsia="zh-CN"/>
              </w:rPr>
              <w:t>产别</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val="en-US" w:eastAsia="zh-CN"/>
              </w:rPr>
              <w:t>私有</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val="en-US" w:eastAsia="zh-CN"/>
              </w:rPr>
              <w:t>结构</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val="en-US" w:eastAsia="zh-CN"/>
              </w:rPr>
              <w:t>钢混结构</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val="en-US" w:eastAsia="zh-CN"/>
              </w:rPr>
              <w:t>设计</w:t>
            </w:r>
            <w:r>
              <w:rPr>
                <w:rFonts w:hint="eastAsia" w:ascii="仿宋" w:hAnsi="仿宋" w:eastAsia="仿宋" w:cs="仿宋"/>
                <w:color w:val="auto"/>
                <w:sz w:val="24"/>
              </w:rPr>
              <w:t>用途</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车库</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建筑面积</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20.40</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val="en-US" w:eastAsia="zh-CN"/>
              </w:rPr>
              <w:t>房屋总层数</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7</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val="en-US" w:eastAsia="zh-CN"/>
              </w:rPr>
              <w:t>所在层数</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1</w:t>
            </w:r>
          </w:p>
        </w:tc>
      </w:tr>
    </w:tbl>
    <w:p>
      <w:pPr>
        <w:spacing w:line="580" w:lineRule="exact"/>
        <w:ind w:firstLine="560" w:firstLine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评估对象土地权属状况</w:t>
      </w:r>
    </w:p>
    <w:tbl>
      <w:tblPr>
        <w:tblStyle w:val="18"/>
        <w:tblW w:w="8522" w:type="dxa"/>
        <w:tblInd w:w="0" w:type="dxa"/>
        <w:tblLayout w:type="fixed"/>
        <w:tblCellMar>
          <w:top w:w="0" w:type="dxa"/>
          <w:left w:w="108" w:type="dxa"/>
          <w:bottom w:w="0" w:type="dxa"/>
          <w:right w:w="108" w:type="dxa"/>
        </w:tblCellMar>
      </w:tblPr>
      <w:tblGrid>
        <w:gridCol w:w="2383"/>
        <w:gridCol w:w="6139"/>
      </w:tblGrid>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国有土地使用证</w:t>
            </w:r>
            <w:r>
              <w:rPr>
                <w:rFonts w:hint="eastAsia" w:ascii="仿宋" w:hAnsi="仿宋" w:eastAsia="仿宋" w:cs="仿宋"/>
                <w:color w:val="auto"/>
                <w:sz w:val="24"/>
              </w:rPr>
              <w:t>编号</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陆国用（2010）第1456号</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土地使用权人</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李文华</w:t>
            </w:r>
          </w:p>
        </w:tc>
      </w:tr>
      <w:tr>
        <w:tblPrEx>
          <w:tblCellMar>
            <w:top w:w="0" w:type="dxa"/>
            <w:left w:w="108" w:type="dxa"/>
            <w:bottom w:w="0" w:type="dxa"/>
            <w:right w:w="108" w:type="dxa"/>
          </w:tblCellMar>
        </w:tblPrEx>
        <w:trPr>
          <w:trHeight w:val="317"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坐落</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中枢镇南门三社华龙小区</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地号</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101-0B-32-9-S1-20-10</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地类（用途）</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城镇单一住宅用地</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使用权类型</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出让</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设计</w:t>
            </w:r>
            <w:r>
              <w:rPr>
                <w:rFonts w:hint="eastAsia" w:ascii="仿宋" w:hAnsi="仿宋" w:eastAsia="仿宋" w:cs="仿宋"/>
                <w:color w:val="auto"/>
                <w:sz w:val="24"/>
              </w:rPr>
              <w:t>用途</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住宅</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使用权</w:t>
            </w:r>
            <w:r>
              <w:rPr>
                <w:rFonts w:hint="eastAsia" w:ascii="仿宋" w:hAnsi="仿宋" w:eastAsia="仿宋" w:cs="仿宋"/>
                <w:color w:val="auto"/>
                <w:sz w:val="24"/>
              </w:rPr>
              <w:t>面积</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11.34</w:t>
            </w:r>
            <w:r>
              <w:rPr>
                <w:rFonts w:hint="eastAsia" w:ascii="仿宋" w:hAnsi="仿宋" w:eastAsia="仿宋" w:cs="仿宋"/>
                <w:color w:val="auto"/>
                <w:sz w:val="24"/>
              </w:rPr>
              <w:t>m</w:t>
            </w:r>
            <w:r>
              <w:rPr>
                <w:rFonts w:hint="eastAsia" w:ascii="仿宋" w:hAnsi="仿宋" w:eastAsia="仿宋" w:cs="仿宋"/>
                <w:color w:val="auto"/>
                <w:sz w:val="24"/>
                <w:vertAlign w:val="superscript"/>
              </w:rPr>
              <w:t>2</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分摊面积</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11.34</w:t>
            </w:r>
            <w:r>
              <w:rPr>
                <w:rFonts w:hint="eastAsia" w:ascii="仿宋" w:hAnsi="仿宋" w:eastAsia="仿宋" w:cs="仿宋"/>
                <w:color w:val="auto"/>
                <w:sz w:val="24"/>
              </w:rPr>
              <w:t>m</w:t>
            </w:r>
            <w:r>
              <w:rPr>
                <w:rFonts w:hint="eastAsia" w:ascii="仿宋" w:hAnsi="仿宋" w:eastAsia="仿宋" w:cs="仿宋"/>
                <w:color w:val="auto"/>
                <w:sz w:val="24"/>
                <w:vertAlign w:val="superscript"/>
              </w:rPr>
              <w:t>2</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终止日期</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rPr>
            </w:pPr>
            <w:r>
              <w:rPr>
                <w:rFonts w:hint="eastAsia" w:ascii="仿宋" w:hAnsi="仿宋" w:eastAsia="仿宋" w:cs="仿宋"/>
                <w:color w:val="auto"/>
                <w:sz w:val="24"/>
                <w:lang w:val="en-US" w:eastAsia="zh-CN"/>
              </w:rPr>
              <w:t>2077年04月10日</w:t>
            </w:r>
          </w:p>
        </w:tc>
      </w:tr>
    </w:tbl>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本公司评估人员经过对委托方提供的资料进行仔细研究，最后综合评估师意见，形成本次评估的评估结论。</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（三）评定估算阶段</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价格鉴证师根据对评估对象的初步评估结果进行分析，确认评估工作中没有发生重复或遗漏评估，并根据分析情况，对评估结果进行调整、修改和完善。</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A、</w:t>
      </w:r>
      <w:r>
        <w:rPr>
          <w:rFonts w:hint="eastAsia" w:ascii="宋体" w:hAnsi="宋体" w:eastAsia="宋体" w:cs="宋体"/>
          <w:color w:val="auto"/>
          <w:sz w:val="28"/>
          <w:szCs w:val="28"/>
        </w:rPr>
        <w:t>经研究分析，评估人员确定</w:t>
      </w:r>
      <w:r>
        <w:rPr>
          <w:rFonts w:hint="eastAsia" w:ascii="宋体" w:hAnsi="宋体" w:eastAsia="宋体" w:cs="宋体"/>
          <w:color w:val="auto"/>
          <w:sz w:val="28"/>
          <w:szCs w:val="28"/>
          <w:lang w:val="en-US" w:eastAsia="zh-CN"/>
        </w:rPr>
        <w:t>对1-1-1A号房屋</w:t>
      </w:r>
      <w:r>
        <w:rPr>
          <w:rFonts w:hint="eastAsia" w:ascii="宋体" w:hAnsi="宋体" w:eastAsia="宋体" w:cs="宋体"/>
          <w:color w:val="auto"/>
          <w:sz w:val="28"/>
          <w:szCs w:val="28"/>
        </w:rPr>
        <w:t>采用</w:t>
      </w:r>
      <w:r>
        <w:rPr>
          <w:rFonts w:hint="eastAsia" w:ascii="宋体" w:hAnsi="宋体" w:eastAsia="宋体" w:cs="宋体"/>
          <w:color w:val="auto"/>
          <w:sz w:val="28"/>
          <w:szCs w:val="28"/>
          <w:lang w:val="en-US" w:eastAsia="zh-CN"/>
        </w:rPr>
        <w:t>市场法、</w:t>
      </w:r>
      <w:r>
        <w:rPr>
          <w:rFonts w:hint="eastAsia" w:ascii="宋体" w:hAnsi="宋体" w:eastAsia="宋体" w:cs="宋体"/>
          <w:color w:val="auto"/>
          <w:sz w:val="28"/>
          <w:szCs w:val="28"/>
        </w:rPr>
        <w:t>收益法进行评估。</w:t>
      </w:r>
    </w:p>
    <w:p>
      <w:pPr>
        <w:spacing w:line="58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1、市场法</w:t>
      </w:r>
    </w:p>
    <w:p>
      <w:pPr>
        <w:spacing w:line="58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根据与评估对象相似的房地产成交价格来求取评估对象价值或价格的方法，具体的说是选取一定数量的可比实例，将他们与评估对象进行比较，根据其间的差异对可比实例进行处理后得到评估对象价值或价值的方法。根据上述原理，比较法公式为：</w:t>
      </w:r>
    </w:p>
    <w:p>
      <w:pPr>
        <w:spacing w:line="58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评估对象价格=可比实例价格×交易情况修正系数×交易日期修正系数×区位状况因素修正系数×实物状况因素修正系数×权益状况因素修正系数</w:t>
      </w:r>
    </w:p>
    <w:p>
      <w:pPr>
        <w:pStyle w:val="2"/>
        <w:spacing w:line="580" w:lineRule="exact"/>
        <w:ind w:firstLine="560" w:firstLineChars="200"/>
        <w:jc w:val="both"/>
        <w:outlineLvl w:val="1"/>
        <w:rPr>
          <w:rFonts w:hint="eastAsia" w:ascii="宋体" w:hAnsi="宋体" w:eastAsia="宋体" w:cs="宋体"/>
          <w:color w:val="auto"/>
          <w:sz w:val="28"/>
          <w:szCs w:val="28"/>
        </w:rPr>
      </w:pPr>
      <w:r>
        <w:rPr>
          <w:rFonts w:hint="eastAsia" w:ascii="宋体" w:hAnsi="宋体" w:eastAsia="宋体" w:cs="宋体"/>
          <w:color w:val="auto"/>
          <w:kern w:val="2"/>
          <w:sz w:val="28"/>
          <w:szCs w:val="28"/>
          <w:lang w:val="en-US" w:eastAsia="zh-CN" w:bidi="ar-SA"/>
        </w:rPr>
        <w:t>2</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rPr>
        <w:t>收益法</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评估人员通过对该区域内相似物业的租金水平、空置率、租赁税费标准进行调查后，进行分析、推断，从而预测评估对象未来的正常净收益，选择适当的报酬率或资本化率、收益乘数，通过特有的公式求取评估对象在剩余收益年期内的市场价值。</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计算公式：V=a/(r-s)×[1-(1+s)</w:t>
      </w:r>
      <w:r>
        <w:rPr>
          <w:rFonts w:hint="eastAsia" w:ascii="宋体" w:hAnsi="宋体" w:eastAsia="宋体" w:cs="宋体"/>
          <w:color w:val="auto"/>
          <w:sz w:val="28"/>
          <w:szCs w:val="28"/>
          <w:vertAlign w:val="superscript"/>
        </w:rPr>
        <w:t>n</w:t>
      </w:r>
      <w:r>
        <w:rPr>
          <w:rFonts w:hint="eastAsia" w:ascii="宋体" w:hAnsi="宋体" w:eastAsia="宋体" w:cs="宋体"/>
          <w:color w:val="auto"/>
          <w:sz w:val="28"/>
          <w:szCs w:val="28"/>
        </w:rPr>
        <w:t>/(1+r)</w:t>
      </w:r>
      <w:r>
        <w:rPr>
          <w:rFonts w:hint="eastAsia" w:ascii="宋体" w:hAnsi="宋体" w:eastAsia="宋体" w:cs="宋体"/>
          <w:color w:val="auto"/>
          <w:sz w:val="28"/>
          <w:szCs w:val="28"/>
          <w:vertAlign w:val="superscript"/>
        </w:rPr>
        <w:t>n</w:t>
      </w:r>
      <w:r>
        <w:rPr>
          <w:rFonts w:hint="eastAsia" w:ascii="宋体" w:hAnsi="宋体" w:eastAsia="宋体" w:cs="宋体"/>
          <w:color w:val="auto"/>
          <w:sz w:val="28"/>
          <w:szCs w:val="28"/>
        </w:rPr>
        <w:t xml:space="preserve">] </w:t>
      </w:r>
    </w:p>
    <w:p>
      <w:pPr>
        <w:pStyle w:val="2"/>
        <w:spacing w:line="580" w:lineRule="exact"/>
        <w:ind w:firstLine="520" w:firstLineChars="200"/>
        <w:jc w:val="both"/>
        <w:rPr>
          <w:rFonts w:hint="eastAsia" w:ascii="宋体" w:hAnsi="宋体" w:eastAsia="宋体" w:cs="宋体"/>
          <w:color w:val="auto"/>
          <w:spacing w:val="-10"/>
          <w:sz w:val="28"/>
          <w:szCs w:val="28"/>
        </w:rPr>
      </w:pPr>
      <w:r>
        <w:rPr>
          <w:rFonts w:hint="eastAsia" w:ascii="宋体" w:hAnsi="宋体" w:eastAsia="宋体" w:cs="宋体"/>
          <w:color w:val="auto"/>
          <w:spacing w:val="-10"/>
          <w:sz w:val="28"/>
          <w:szCs w:val="28"/>
        </w:rPr>
        <w:t>经测算，取整确定，评估对象评估单价为</w:t>
      </w:r>
      <w:r>
        <w:rPr>
          <w:rFonts w:hint="eastAsia" w:ascii="宋体" w:hAnsi="宋体" w:eastAsia="宋体" w:cs="宋体"/>
          <w:color w:val="auto"/>
          <w:spacing w:val="-10"/>
          <w:sz w:val="28"/>
          <w:szCs w:val="28"/>
          <w:lang w:val="en-US" w:eastAsia="zh-CN"/>
        </w:rPr>
        <w:t>2607</w:t>
      </w:r>
      <w:r>
        <w:rPr>
          <w:rFonts w:hint="eastAsia" w:ascii="宋体" w:hAnsi="宋体" w:eastAsia="宋体" w:cs="宋体"/>
          <w:color w:val="auto"/>
          <w:spacing w:val="-10"/>
          <w:sz w:val="28"/>
          <w:szCs w:val="28"/>
        </w:rPr>
        <w:t>元/平方米。</w:t>
      </w:r>
    </w:p>
    <w:p>
      <w:pPr>
        <w:pStyle w:val="2"/>
        <w:spacing w:line="580" w:lineRule="exact"/>
        <w:ind w:firstLine="560" w:firstLineChars="200"/>
        <w:jc w:val="both"/>
        <w:rPr>
          <w:rFonts w:hint="eastAsia" w:ascii="宋体" w:hAnsi="宋体" w:eastAsia="宋体" w:cs="宋体"/>
          <w:color w:val="auto"/>
          <w:sz w:val="28"/>
          <w:szCs w:val="28"/>
        </w:rPr>
      </w:pPr>
      <w:r>
        <w:rPr>
          <w:rFonts w:hint="eastAsia" w:ascii="宋体" w:hAnsi="宋体" w:eastAsia="宋体" w:cs="宋体"/>
          <w:color w:val="auto"/>
          <w:sz w:val="28"/>
          <w:szCs w:val="28"/>
        </w:rPr>
        <w:t>具体评估过程详见《价格评估技术报告》。</w:t>
      </w:r>
    </w:p>
    <w:p>
      <w:pPr>
        <w:spacing w:line="580" w:lineRule="exact"/>
        <w:ind w:firstLine="560" w:firstLineChars="200"/>
        <w:jc w:val="both"/>
        <w:rPr>
          <w:rFonts w:hint="eastAsia" w:ascii="宋体" w:hAnsi="宋体" w:eastAsia="宋体" w:cs="宋体"/>
          <w:color w:val="auto"/>
          <w:sz w:val="28"/>
          <w:szCs w:val="28"/>
        </w:rPr>
      </w:pPr>
      <w:r>
        <w:rPr>
          <w:rFonts w:hint="eastAsia" w:asciiTheme="majorEastAsia" w:hAnsiTheme="majorEastAsia" w:eastAsiaTheme="majorEastAsia" w:cstheme="majorEastAsia"/>
          <w:color w:val="auto"/>
          <w:sz w:val="28"/>
          <w:szCs w:val="28"/>
          <w:lang w:val="en-US" w:eastAsia="zh-CN"/>
        </w:rPr>
        <w:t>本评估报告采用了市场法和收益法两种方法对评估对象进行了测算，运用两种方法分别从不同的角度测算评估对象的现时市场价值。收益法从预期收益资本化的角度进行测算，不能较好的反应评估对象的价值，因此本次评估单价比较法的评估单价为正常市场价值，采用了市场法评估结果。</w:t>
      </w:r>
    </w:p>
    <w:p>
      <w:pPr>
        <w:spacing w:line="580" w:lineRule="exact"/>
        <w:ind w:firstLine="560" w:firstLineChars="200"/>
        <w:jc w:val="both"/>
        <w:rPr>
          <w:rFonts w:hint="eastAsia" w:ascii="宋体" w:hAnsi="宋体" w:eastAsia="宋体" w:cs="宋体"/>
          <w:color w:val="auto"/>
          <w:sz w:val="28"/>
          <w:szCs w:val="28"/>
        </w:rPr>
      </w:pPr>
      <w:r>
        <w:rPr>
          <w:rFonts w:hint="eastAsia" w:ascii="宋体" w:hAnsi="宋体" w:eastAsia="宋体" w:cs="宋体"/>
          <w:color w:val="auto"/>
          <w:sz w:val="28"/>
          <w:szCs w:val="28"/>
        </w:rPr>
        <w:t>评估对象房地产最终评估总价=</w:t>
      </w:r>
      <w:r>
        <w:rPr>
          <w:rFonts w:hint="eastAsia" w:ascii="宋体" w:hAnsi="宋体" w:eastAsia="宋体" w:cs="宋体"/>
          <w:color w:val="auto"/>
          <w:sz w:val="28"/>
          <w:szCs w:val="28"/>
          <w:lang w:val="en-US" w:eastAsia="zh-CN"/>
        </w:rPr>
        <w:t>2607</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61.92</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16.14</w:t>
      </w:r>
      <w:r>
        <w:rPr>
          <w:rFonts w:hint="eastAsia" w:ascii="宋体" w:hAnsi="宋体" w:eastAsia="宋体" w:cs="宋体"/>
          <w:color w:val="auto"/>
          <w:sz w:val="28"/>
          <w:szCs w:val="28"/>
        </w:rPr>
        <w:t>（万元）</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B、</w:t>
      </w:r>
      <w:r>
        <w:rPr>
          <w:rFonts w:hint="eastAsia" w:ascii="宋体" w:hAnsi="宋体" w:eastAsia="宋体" w:cs="宋体"/>
          <w:color w:val="auto"/>
          <w:sz w:val="28"/>
          <w:szCs w:val="28"/>
        </w:rPr>
        <w:t>经研究分析，评估人员确定</w:t>
      </w:r>
      <w:r>
        <w:rPr>
          <w:rFonts w:hint="eastAsia" w:ascii="宋体" w:hAnsi="宋体" w:eastAsia="宋体" w:cs="宋体"/>
          <w:color w:val="auto"/>
          <w:sz w:val="28"/>
          <w:szCs w:val="28"/>
          <w:lang w:val="en-US" w:eastAsia="zh-CN"/>
        </w:rPr>
        <w:t>对1-1-1B号房屋</w:t>
      </w:r>
      <w:r>
        <w:rPr>
          <w:rFonts w:hint="eastAsia" w:ascii="宋体" w:hAnsi="宋体" w:eastAsia="宋体" w:cs="宋体"/>
          <w:color w:val="auto"/>
          <w:sz w:val="28"/>
          <w:szCs w:val="28"/>
        </w:rPr>
        <w:t>采用收益法进行评估。</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评估人员通过对该区域内相似物业的租金水平、空置率、租赁税费标准进行调查后，进行分析、推断，从而预测评估对象未来的正常净收益，选择适当的报酬率或资本化率、收益乘数，通过特有的公式求取评估对象在剩余收益年期内的市场价值。</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计算公式：V=a/(r-s)×[1-(1+s)</w:t>
      </w:r>
      <w:r>
        <w:rPr>
          <w:rFonts w:hint="eastAsia" w:ascii="宋体" w:hAnsi="宋体" w:eastAsia="宋体" w:cs="宋体"/>
          <w:color w:val="auto"/>
          <w:sz w:val="28"/>
          <w:szCs w:val="28"/>
          <w:vertAlign w:val="superscript"/>
        </w:rPr>
        <w:t>n</w:t>
      </w:r>
      <w:r>
        <w:rPr>
          <w:rFonts w:hint="eastAsia" w:ascii="宋体" w:hAnsi="宋体" w:eastAsia="宋体" w:cs="宋体"/>
          <w:color w:val="auto"/>
          <w:sz w:val="28"/>
          <w:szCs w:val="28"/>
        </w:rPr>
        <w:t>/(1+r)</w:t>
      </w:r>
      <w:r>
        <w:rPr>
          <w:rFonts w:hint="eastAsia" w:ascii="宋体" w:hAnsi="宋体" w:eastAsia="宋体" w:cs="宋体"/>
          <w:color w:val="auto"/>
          <w:sz w:val="28"/>
          <w:szCs w:val="28"/>
          <w:vertAlign w:val="superscript"/>
        </w:rPr>
        <w:t>n</w:t>
      </w:r>
      <w:r>
        <w:rPr>
          <w:rFonts w:hint="eastAsia" w:ascii="宋体" w:hAnsi="宋体" w:eastAsia="宋体" w:cs="宋体"/>
          <w:color w:val="auto"/>
          <w:sz w:val="28"/>
          <w:szCs w:val="28"/>
        </w:rPr>
        <w:t xml:space="preserve">] </w:t>
      </w:r>
    </w:p>
    <w:p>
      <w:pPr>
        <w:pStyle w:val="2"/>
        <w:spacing w:line="580" w:lineRule="exact"/>
        <w:ind w:firstLine="520" w:firstLineChars="200"/>
        <w:jc w:val="both"/>
        <w:rPr>
          <w:rFonts w:hint="eastAsia" w:ascii="宋体" w:hAnsi="宋体" w:eastAsia="宋体" w:cs="宋体"/>
          <w:color w:val="auto"/>
          <w:spacing w:val="-10"/>
          <w:sz w:val="28"/>
          <w:szCs w:val="28"/>
        </w:rPr>
      </w:pPr>
      <w:r>
        <w:rPr>
          <w:rFonts w:hint="eastAsia" w:ascii="宋体" w:hAnsi="宋体" w:eastAsia="宋体" w:cs="宋体"/>
          <w:color w:val="auto"/>
          <w:spacing w:val="-10"/>
          <w:sz w:val="28"/>
          <w:szCs w:val="28"/>
        </w:rPr>
        <w:t>经测算，取整确定，评估对象评估单价为</w:t>
      </w:r>
      <w:r>
        <w:rPr>
          <w:rFonts w:hint="eastAsia" w:ascii="宋体" w:hAnsi="宋体" w:eastAsia="宋体" w:cs="宋体"/>
          <w:color w:val="auto"/>
          <w:spacing w:val="-10"/>
          <w:sz w:val="28"/>
          <w:szCs w:val="28"/>
          <w:lang w:val="en-US" w:eastAsia="zh-CN"/>
        </w:rPr>
        <w:t>2259</w:t>
      </w:r>
      <w:r>
        <w:rPr>
          <w:rFonts w:hint="eastAsia" w:ascii="宋体" w:hAnsi="宋体" w:eastAsia="宋体" w:cs="宋体"/>
          <w:color w:val="auto"/>
          <w:spacing w:val="-10"/>
          <w:sz w:val="28"/>
          <w:szCs w:val="28"/>
        </w:rPr>
        <w:t>元/平方米。</w:t>
      </w:r>
    </w:p>
    <w:p>
      <w:pPr>
        <w:pStyle w:val="2"/>
        <w:spacing w:line="580" w:lineRule="exact"/>
        <w:ind w:firstLine="560" w:firstLineChars="200"/>
        <w:jc w:val="both"/>
        <w:rPr>
          <w:rFonts w:hint="eastAsia" w:ascii="宋体" w:hAnsi="宋体" w:eastAsia="宋体" w:cs="宋体"/>
          <w:color w:val="auto"/>
          <w:sz w:val="28"/>
          <w:szCs w:val="28"/>
        </w:rPr>
      </w:pPr>
      <w:r>
        <w:rPr>
          <w:rFonts w:hint="eastAsia" w:ascii="宋体" w:hAnsi="宋体" w:eastAsia="宋体" w:cs="宋体"/>
          <w:color w:val="auto"/>
          <w:sz w:val="28"/>
          <w:szCs w:val="28"/>
        </w:rPr>
        <w:t>具体评估过程详见《价格评估技术报告》。</w:t>
      </w:r>
    </w:p>
    <w:p>
      <w:pPr>
        <w:spacing w:line="580" w:lineRule="exact"/>
        <w:ind w:firstLine="560" w:firstLineChars="200"/>
        <w:jc w:val="both"/>
        <w:rPr>
          <w:rFonts w:hint="eastAsia" w:ascii="宋体" w:hAnsi="宋体" w:eastAsia="宋体" w:cs="宋体"/>
          <w:color w:val="auto"/>
          <w:sz w:val="28"/>
          <w:szCs w:val="28"/>
        </w:rPr>
      </w:pPr>
      <w:r>
        <w:rPr>
          <w:rFonts w:hint="eastAsia" w:asciiTheme="majorEastAsia" w:hAnsiTheme="majorEastAsia" w:eastAsiaTheme="majorEastAsia" w:cstheme="majorEastAsia"/>
          <w:color w:val="auto"/>
          <w:sz w:val="28"/>
          <w:szCs w:val="28"/>
          <w:lang w:val="en-US" w:eastAsia="zh-CN"/>
        </w:rPr>
        <w:t>本评估报告采用了收益法对评估对象进行了测算，收益法从预期收益资本化的角度进行测算，能较好的反应评估对象的价值，因此本次评估单价收益法的评估单价为正常市场价值，采用了收益法评估结果。</w:t>
      </w:r>
    </w:p>
    <w:p>
      <w:pPr>
        <w:spacing w:line="580" w:lineRule="exact"/>
        <w:ind w:firstLine="560" w:firstLineChars="200"/>
        <w:jc w:val="both"/>
        <w:rPr>
          <w:rFonts w:hint="eastAsia" w:ascii="宋体" w:hAnsi="宋体" w:eastAsia="宋体" w:cs="宋体"/>
          <w:color w:val="auto"/>
          <w:sz w:val="28"/>
          <w:szCs w:val="28"/>
        </w:rPr>
      </w:pPr>
      <w:r>
        <w:rPr>
          <w:rFonts w:hint="eastAsia" w:ascii="宋体" w:hAnsi="宋体" w:eastAsia="宋体" w:cs="宋体"/>
          <w:color w:val="auto"/>
          <w:sz w:val="28"/>
          <w:szCs w:val="28"/>
        </w:rPr>
        <w:t>评估对象房地产最终评估总价=</w:t>
      </w:r>
      <w:r>
        <w:rPr>
          <w:rFonts w:hint="eastAsia" w:ascii="宋体" w:hAnsi="宋体" w:eastAsia="宋体" w:cs="宋体"/>
          <w:color w:val="auto"/>
          <w:sz w:val="28"/>
          <w:szCs w:val="28"/>
          <w:lang w:val="en-US" w:eastAsia="zh-CN"/>
        </w:rPr>
        <w:t>2259</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20.40</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4.68</w:t>
      </w:r>
      <w:r>
        <w:rPr>
          <w:rFonts w:hint="eastAsia" w:ascii="宋体" w:hAnsi="宋体" w:eastAsia="宋体" w:cs="宋体"/>
          <w:color w:val="auto"/>
          <w:sz w:val="28"/>
          <w:szCs w:val="28"/>
        </w:rPr>
        <w:t>（万元）</w:t>
      </w:r>
    </w:p>
    <w:p>
      <w:pPr>
        <w:spacing w:line="580" w:lineRule="exact"/>
        <w:ind w:firstLine="560" w:firstLineChars="200"/>
        <w:outlineLvl w:val="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（四）</w:t>
      </w:r>
      <w:r>
        <w:rPr>
          <w:rFonts w:hint="eastAsia" w:ascii="宋体" w:hAnsi="宋体" w:eastAsia="宋体" w:cs="宋体"/>
          <w:color w:val="auto"/>
          <w:sz w:val="28"/>
          <w:szCs w:val="28"/>
        </w:rPr>
        <w:t>评估汇总</w:t>
      </w:r>
      <w:r>
        <w:rPr>
          <w:rFonts w:hint="eastAsia" w:ascii="宋体" w:hAnsi="宋体" w:eastAsia="宋体" w:cs="宋体"/>
          <w:color w:val="auto"/>
          <w:sz w:val="28"/>
          <w:szCs w:val="28"/>
          <w:lang w:eastAsia="zh-CN"/>
        </w:rPr>
        <w:t>阶段</w:t>
      </w:r>
    </w:p>
    <w:p>
      <w:pPr>
        <w:spacing w:line="580" w:lineRule="exact"/>
        <w:ind w:firstLine="560" w:firstLineChars="200"/>
        <w:outlineLvl w:val="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rPr>
        <w:t>经取整，本次评估的评估结果为</w:t>
      </w:r>
      <w:r>
        <w:rPr>
          <w:rFonts w:hint="eastAsia" w:ascii="宋体" w:hAnsi="宋体" w:eastAsia="宋体" w:cs="宋体"/>
          <w:color w:val="auto"/>
          <w:sz w:val="28"/>
          <w:szCs w:val="28"/>
          <w:lang w:val="en-US" w:eastAsia="zh-CN"/>
        </w:rPr>
        <w:t>20.82</w:t>
      </w:r>
      <w:r>
        <w:rPr>
          <w:rFonts w:hint="eastAsia" w:ascii="宋体" w:hAnsi="宋体" w:eastAsia="宋体" w:cs="宋体"/>
          <w:color w:val="auto"/>
          <w:sz w:val="28"/>
          <w:szCs w:val="28"/>
        </w:rPr>
        <w:t>万元。</w:t>
      </w:r>
      <w:r>
        <w:rPr>
          <w:rFonts w:hint="eastAsia" w:ascii="宋体" w:hAnsi="宋体" w:eastAsia="宋体" w:cs="宋体"/>
          <w:color w:val="auto"/>
          <w:sz w:val="28"/>
          <w:szCs w:val="28"/>
          <w:lang w:val="en-US" w:eastAsia="zh-CN"/>
        </w:rPr>
        <w:t>详见下表：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7"/>
        <w:gridCol w:w="1497"/>
        <w:gridCol w:w="1438"/>
        <w:gridCol w:w="2043"/>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7" w:type="dxa"/>
            <w:vAlign w:val="center"/>
          </w:tcPr>
          <w:p>
            <w:pPr>
              <w:spacing w:line="580" w:lineRule="exact"/>
              <w:jc w:val="center"/>
              <w:rPr>
                <w:rFonts w:hint="eastAsia" w:ascii="宋体" w:hAnsi="宋体" w:eastAsia="宋体" w:cs="宋体"/>
                <w:b/>
                <w:bCs w:val="0"/>
                <w:color w:val="auto"/>
                <w:sz w:val="21"/>
                <w:szCs w:val="21"/>
                <w:highlight w:val="none"/>
                <w:vertAlign w:val="baseline"/>
                <w:lang w:val="en-US" w:eastAsia="zh-CN"/>
              </w:rPr>
            </w:pPr>
            <w:r>
              <w:rPr>
                <w:rFonts w:hint="eastAsia" w:ascii="宋体" w:hAnsi="宋体" w:eastAsia="宋体" w:cs="宋体"/>
                <w:b/>
                <w:bCs w:val="0"/>
                <w:color w:val="auto"/>
                <w:sz w:val="21"/>
                <w:szCs w:val="21"/>
                <w:highlight w:val="none"/>
                <w:vertAlign w:val="baseline"/>
                <w:lang w:val="en-US" w:eastAsia="zh-CN"/>
              </w:rPr>
              <w:t>项目</w:t>
            </w:r>
          </w:p>
        </w:tc>
        <w:tc>
          <w:tcPr>
            <w:tcW w:w="1497" w:type="dxa"/>
            <w:vAlign w:val="center"/>
          </w:tcPr>
          <w:p>
            <w:pPr>
              <w:spacing w:line="580" w:lineRule="exact"/>
              <w:jc w:val="center"/>
              <w:rPr>
                <w:rFonts w:hint="eastAsia" w:ascii="宋体" w:hAnsi="宋体" w:eastAsia="宋体" w:cs="宋体"/>
                <w:b/>
                <w:bCs w:val="0"/>
                <w:color w:val="auto"/>
                <w:sz w:val="21"/>
                <w:szCs w:val="21"/>
                <w:highlight w:val="none"/>
                <w:vertAlign w:val="baseline"/>
                <w:lang w:val="en-US" w:eastAsia="zh-CN"/>
              </w:rPr>
            </w:pPr>
            <w:r>
              <w:rPr>
                <w:rFonts w:hint="eastAsia" w:ascii="宋体" w:hAnsi="宋体" w:eastAsia="宋体" w:cs="宋体"/>
                <w:b/>
                <w:bCs w:val="0"/>
                <w:color w:val="auto"/>
                <w:sz w:val="21"/>
                <w:szCs w:val="21"/>
                <w:highlight w:val="none"/>
                <w:vertAlign w:val="baseline"/>
                <w:lang w:val="en-US" w:eastAsia="zh-CN"/>
              </w:rPr>
              <w:t>用途</w:t>
            </w:r>
          </w:p>
        </w:tc>
        <w:tc>
          <w:tcPr>
            <w:tcW w:w="1438" w:type="dxa"/>
            <w:vAlign w:val="center"/>
          </w:tcPr>
          <w:p>
            <w:pPr>
              <w:spacing w:line="580" w:lineRule="exact"/>
              <w:jc w:val="center"/>
              <w:rPr>
                <w:rFonts w:hint="eastAsia" w:ascii="宋体" w:hAnsi="宋体" w:eastAsia="宋体" w:cs="宋体"/>
                <w:b/>
                <w:bCs w:val="0"/>
                <w:color w:val="auto"/>
                <w:kern w:val="2"/>
                <w:sz w:val="21"/>
                <w:szCs w:val="21"/>
                <w:highlight w:val="none"/>
                <w:vertAlign w:val="baseline"/>
                <w:lang w:val="en-US" w:eastAsia="zh-CN" w:bidi="ar-SA"/>
              </w:rPr>
            </w:pPr>
            <w:r>
              <w:rPr>
                <w:rFonts w:hint="eastAsia" w:ascii="宋体" w:hAnsi="宋体" w:eastAsia="宋体" w:cs="宋体"/>
                <w:b/>
                <w:bCs w:val="0"/>
                <w:color w:val="auto"/>
                <w:sz w:val="21"/>
                <w:szCs w:val="21"/>
                <w:highlight w:val="none"/>
                <w:vertAlign w:val="baseline"/>
                <w:lang w:val="en-US" w:eastAsia="zh-CN"/>
              </w:rPr>
              <w:t>建筑面积（m</w:t>
            </w:r>
            <w:r>
              <w:rPr>
                <w:rFonts w:hint="eastAsia" w:ascii="宋体" w:hAnsi="宋体" w:eastAsia="宋体" w:cs="宋体"/>
                <w:b/>
                <w:bCs w:val="0"/>
                <w:color w:val="auto"/>
                <w:sz w:val="21"/>
                <w:szCs w:val="21"/>
                <w:highlight w:val="none"/>
                <w:vertAlign w:val="superscript"/>
                <w:lang w:val="en-US" w:eastAsia="zh-CN"/>
              </w:rPr>
              <w:t>2</w:t>
            </w:r>
            <w:r>
              <w:rPr>
                <w:rFonts w:hint="eastAsia" w:ascii="宋体" w:hAnsi="宋体" w:eastAsia="宋体" w:cs="宋体"/>
                <w:b/>
                <w:bCs w:val="0"/>
                <w:color w:val="auto"/>
                <w:sz w:val="21"/>
                <w:szCs w:val="21"/>
                <w:highlight w:val="none"/>
                <w:vertAlign w:val="baseline"/>
                <w:lang w:val="en-US" w:eastAsia="zh-CN"/>
              </w:rPr>
              <w:t>）</w:t>
            </w:r>
          </w:p>
        </w:tc>
        <w:tc>
          <w:tcPr>
            <w:tcW w:w="2043" w:type="dxa"/>
            <w:vAlign w:val="center"/>
          </w:tcPr>
          <w:p>
            <w:pPr>
              <w:spacing w:line="580" w:lineRule="exact"/>
              <w:jc w:val="center"/>
              <w:rPr>
                <w:rFonts w:hint="eastAsia" w:ascii="宋体" w:hAnsi="宋体" w:eastAsia="宋体" w:cs="宋体"/>
                <w:b/>
                <w:bCs w:val="0"/>
                <w:color w:val="auto"/>
                <w:kern w:val="2"/>
                <w:sz w:val="21"/>
                <w:szCs w:val="21"/>
                <w:highlight w:val="none"/>
                <w:vertAlign w:val="baseline"/>
                <w:lang w:val="en-US" w:eastAsia="zh-CN" w:bidi="ar-SA"/>
              </w:rPr>
            </w:pPr>
            <w:r>
              <w:rPr>
                <w:rFonts w:hint="eastAsia" w:ascii="宋体" w:hAnsi="宋体" w:eastAsia="宋体" w:cs="宋体"/>
                <w:b/>
                <w:bCs w:val="0"/>
                <w:color w:val="auto"/>
                <w:sz w:val="21"/>
                <w:szCs w:val="21"/>
                <w:highlight w:val="none"/>
                <w:vertAlign w:val="baseline"/>
                <w:lang w:val="en-US" w:eastAsia="zh-CN"/>
              </w:rPr>
              <w:t>评估单价（元/m</w:t>
            </w:r>
            <w:r>
              <w:rPr>
                <w:rFonts w:hint="eastAsia" w:ascii="宋体" w:hAnsi="宋体" w:eastAsia="宋体" w:cs="宋体"/>
                <w:b/>
                <w:bCs w:val="0"/>
                <w:color w:val="auto"/>
                <w:sz w:val="21"/>
                <w:szCs w:val="21"/>
                <w:highlight w:val="none"/>
                <w:vertAlign w:val="superscript"/>
                <w:lang w:val="en-US" w:eastAsia="zh-CN"/>
              </w:rPr>
              <w:t>2</w:t>
            </w:r>
            <w:r>
              <w:rPr>
                <w:rFonts w:hint="eastAsia" w:ascii="宋体" w:hAnsi="宋体" w:eastAsia="宋体" w:cs="宋体"/>
                <w:b/>
                <w:bCs w:val="0"/>
                <w:color w:val="auto"/>
                <w:sz w:val="21"/>
                <w:szCs w:val="21"/>
                <w:highlight w:val="none"/>
                <w:vertAlign w:val="baseline"/>
                <w:lang w:val="en-US" w:eastAsia="zh-CN"/>
              </w:rPr>
              <w:t>）</w:t>
            </w:r>
          </w:p>
        </w:tc>
        <w:tc>
          <w:tcPr>
            <w:tcW w:w="2043" w:type="dxa"/>
            <w:vAlign w:val="center"/>
          </w:tcPr>
          <w:p>
            <w:pPr>
              <w:spacing w:line="580" w:lineRule="exact"/>
              <w:jc w:val="center"/>
              <w:rPr>
                <w:rFonts w:hint="eastAsia" w:ascii="宋体" w:hAnsi="宋体" w:eastAsia="宋体" w:cs="宋体"/>
                <w:b/>
                <w:bCs w:val="0"/>
                <w:color w:val="auto"/>
                <w:kern w:val="2"/>
                <w:sz w:val="21"/>
                <w:szCs w:val="21"/>
                <w:highlight w:val="none"/>
                <w:vertAlign w:val="baseline"/>
                <w:lang w:val="en-US" w:eastAsia="zh-CN" w:bidi="ar-SA"/>
              </w:rPr>
            </w:pPr>
            <w:r>
              <w:rPr>
                <w:rFonts w:hint="eastAsia" w:ascii="宋体" w:hAnsi="宋体" w:eastAsia="宋体" w:cs="宋体"/>
                <w:b/>
                <w:bCs w:val="0"/>
                <w:color w:val="auto"/>
                <w:sz w:val="21"/>
                <w:szCs w:val="21"/>
                <w:highlight w:val="none"/>
                <w:vertAlign w:val="baseline"/>
                <w:lang w:val="en-US" w:eastAsia="zh-CN"/>
              </w:rPr>
              <w:t>评估价值（万元）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7"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1-1-1A号</w:t>
            </w:r>
          </w:p>
        </w:tc>
        <w:tc>
          <w:tcPr>
            <w:tcW w:w="1497"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住宅</w:t>
            </w:r>
          </w:p>
        </w:tc>
        <w:tc>
          <w:tcPr>
            <w:tcW w:w="1438"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61.92</w:t>
            </w:r>
          </w:p>
        </w:tc>
        <w:tc>
          <w:tcPr>
            <w:tcW w:w="2043" w:type="dxa"/>
            <w:vAlign w:val="center"/>
          </w:tcPr>
          <w:p>
            <w:pPr>
              <w:spacing w:line="580" w:lineRule="exact"/>
              <w:ind w:firstLine="429"/>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2607</w:t>
            </w:r>
          </w:p>
        </w:tc>
        <w:tc>
          <w:tcPr>
            <w:tcW w:w="2043"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16.14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7"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1-1-1B号</w:t>
            </w:r>
          </w:p>
        </w:tc>
        <w:tc>
          <w:tcPr>
            <w:tcW w:w="1497"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车库</w:t>
            </w:r>
          </w:p>
        </w:tc>
        <w:tc>
          <w:tcPr>
            <w:tcW w:w="1438"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20.40</w:t>
            </w:r>
          </w:p>
        </w:tc>
        <w:tc>
          <w:tcPr>
            <w:tcW w:w="2043"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2259</w:t>
            </w:r>
          </w:p>
        </w:tc>
        <w:tc>
          <w:tcPr>
            <w:tcW w:w="2043"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7" w:type="dxa"/>
            <w:vAlign w:val="center"/>
          </w:tcPr>
          <w:p>
            <w:pPr>
              <w:spacing w:line="580" w:lineRule="exact"/>
              <w:jc w:val="center"/>
              <w:rPr>
                <w:rFonts w:hint="eastAsia" w:ascii="宋体" w:hAnsi="宋体" w:eastAsia="宋体" w:cs="宋体"/>
                <w:b/>
                <w:bCs w:val="0"/>
                <w:color w:val="auto"/>
                <w:sz w:val="21"/>
                <w:szCs w:val="21"/>
                <w:highlight w:val="none"/>
                <w:vertAlign w:val="baseline"/>
                <w:lang w:val="en-US" w:eastAsia="zh-CN"/>
              </w:rPr>
            </w:pPr>
            <w:r>
              <w:rPr>
                <w:rFonts w:hint="eastAsia" w:ascii="宋体" w:hAnsi="宋体" w:eastAsia="宋体" w:cs="宋体"/>
                <w:b/>
                <w:bCs w:val="0"/>
                <w:color w:val="auto"/>
                <w:sz w:val="21"/>
                <w:szCs w:val="21"/>
                <w:highlight w:val="none"/>
                <w:vertAlign w:val="baseline"/>
                <w:lang w:val="en-US" w:eastAsia="zh-CN"/>
              </w:rPr>
              <w:t>合计</w:t>
            </w:r>
          </w:p>
        </w:tc>
        <w:tc>
          <w:tcPr>
            <w:tcW w:w="1497" w:type="dxa"/>
            <w:vAlign w:val="center"/>
          </w:tcPr>
          <w:p>
            <w:pPr>
              <w:spacing w:line="580" w:lineRule="exact"/>
              <w:jc w:val="center"/>
              <w:rPr>
                <w:rFonts w:hint="eastAsia" w:ascii="宋体" w:hAnsi="宋体" w:eastAsia="宋体" w:cs="宋体"/>
                <w:b/>
                <w:bCs w:val="0"/>
                <w:color w:val="auto"/>
                <w:sz w:val="21"/>
                <w:szCs w:val="21"/>
                <w:highlight w:val="none"/>
                <w:vertAlign w:val="baseline"/>
                <w:lang w:val="en-US" w:eastAsia="zh-CN"/>
              </w:rPr>
            </w:pPr>
          </w:p>
        </w:tc>
        <w:tc>
          <w:tcPr>
            <w:tcW w:w="1438" w:type="dxa"/>
            <w:vAlign w:val="center"/>
          </w:tcPr>
          <w:p>
            <w:pPr>
              <w:spacing w:line="580" w:lineRule="exact"/>
              <w:ind w:firstLine="0" w:firstLineChars="0"/>
              <w:jc w:val="center"/>
              <w:rPr>
                <w:rFonts w:hint="eastAsia" w:ascii="宋体" w:hAnsi="宋体" w:eastAsia="宋体" w:cs="宋体"/>
                <w:b/>
                <w:bCs w:val="0"/>
                <w:color w:val="auto"/>
                <w:sz w:val="21"/>
                <w:szCs w:val="21"/>
                <w:highlight w:val="none"/>
                <w:vertAlign w:val="baseline"/>
                <w:lang w:val="en-US" w:eastAsia="zh-CN"/>
              </w:rPr>
            </w:pPr>
            <w:r>
              <w:rPr>
                <w:rFonts w:hint="eastAsia" w:ascii="宋体" w:hAnsi="宋体" w:eastAsia="宋体" w:cs="宋体"/>
                <w:b/>
                <w:bCs w:val="0"/>
                <w:color w:val="auto"/>
                <w:sz w:val="21"/>
                <w:szCs w:val="21"/>
                <w:highlight w:val="none"/>
                <w:vertAlign w:val="baseline"/>
                <w:lang w:val="en-US" w:eastAsia="zh-CN"/>
              </w:rPr>
              <w:t>82.32</w:t>
            </w:r>
          </w:p>
        </w:tc>
        <w:tc>
          <w:tcPr>
            <w:tcW w:w="2043" w:type="dxa"/>
            <w:vAlign w:val="center"/>
          </w:tcPr>
          <w:p>
            <w:pPr>
              <w:spacing w:line="580" w:lineRule="exact"/>
              <w:jc w:val="center"/>
              <w:rPr>
                <w:rFonts w:hint="eastAsia" w:ascii="宋体" w:hAnsi="宋体" w:eastAsia="宋体" w:cs="宋体"/>
                <w:b/>
                <w:bCs w:val="0"/>
                <w:color w:val="auto"/>
                <w:sz w:val="21"/>
                <w:szCs w:val="21"/>
                <w:highlight w:val="none"/>
                <w:vertAlign w:val="baseline"/>
                <w:lang w:val="en-US" w:eastAsia="zh-CN"/>
              </w:rPr>
            </w:pPr>
          </w:p>
        </w:tc>
        <w:tc>
          <w:tcPr>
            <w:tcW w:w="2043" w:type="dxa"/>
            <w:vAlign w:val="center"/>
          </w:tcPr>
          <w:p>
            <w:pPr>
              <w:spacing w:line="580" w:lineRule="exact"/>
              <w:jc w:val="center"/>
              <w:rPr>
                <w:rFonts w:hint="eastAsia" w:ascii="宋体" w:hAnsi="宋体" w:eastAsia="宋体" w:cs="宋体"/>
                <w:b/>
                <w:bCs w:val="0"/>
                <w:color w:val="auto"/>
                <w:sz w:val="21"/>
                <w:szCs w:val="21"/>
                <w:highlight w:val="none"/>
                <w:vertAlign w:val="baseline"/>
                <w:lang w:val="en-US" w:eastAsia="zh-CN"/>
              </w:rPr>
            </w:pPr>
            <w:r>
              <w:rPr>
                <w:rFonts w:hint="eastAsia" w:ascii="宋体" w:hAnsi="宋体" w:eastAsia="宋体" w:cs="宋体"/>
                <w:b/>
                <w:bCs w:val="0"/>
                <w:color w:val="auto"/>
                <w:sz w:val="21"/>
                <w:szCs w:val="21"/>
                <w:highlight w:val="none"/>
                <w:vertAlign w:val="baseline"/>
                <w:lang w:val="en-US" w:eastAsia="zh-CN"/>
              </w:rPr>
              <w:t>20.82</w:t>
            </w:r>
          </w:p>
        </w:tc>
      </w:tr>
    </w:tbl>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（五）提交报告阶段</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本评估报告形成后，按照本公司内部质量管理制度，严格按照“三级审核”制度进行了质量审核，直至达到可出具报告条件。</w:t>
      </w:r>
    </w:p>
    <w:p>
      <w:pPr>
        <w:spacing w:line="580" w:lineRule="exact"/>
        <w:ind w:firstLine="562" w:firstLineChars="200"/>
        <w:outlineLvl w:val="1"/>
        <w:rPr>
          <w:rFonts w:hint="eastAsia" w:ascii="宋体" w:hAnsi="宋体" w:eastAsia="宋体" w:cs="宋体"/>
          <w:b/>
          <w:bCs/>
          <w:color w:val="auto"/>
          <w:sz w:val="28"/>
          <w:szCs w:val="28"/>
        </w:rPr>
      </w:pPr>
      <w:bookmarkStart w:id="11" w:name="_Toc19207"/>
      <w:r>
        <w:rPr>
          <w:rFonts w:hint="eastAsia" w:ascii="宋体" w:hAnsi="宋体" w:eastAsia="宋体" w:cs="宋体"/>
          <w:b/>
          <w:bCs/>
          <w:color w:val="auto"/>
          <w:sz w:val="28"/>
          <w:szCs w:val="28"/>
        </w:rPr>
        <w:t>九、价格评估假设</w:t>
      </w:r>
      <w:bookmarkEnd w:id="11"/>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（一）评估前提</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本次评估是以房屋按原有用途继续使用条件为评估假设前提，以评估对象在正处于使用状态且将继续使用下去为评估假设前提。</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（二）基本假设</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1、以委托人与当事人提供的全部文件材料真实、有效、准确为条件。</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2、以国家宏观经济政策和所在地区社会经济环境没有发生重大变化为条件。</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3、以经营业务及评估所依据的税收政策、信贷利率、汇率等没有发生足以影响评估结论的重大变化为条件。</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4、以评估基准日后当地不发生不可抗力</w:t>
      </w:r>
      <w:r>
        <w:rPr>
          <w:rFonts w:hint="eastAsia" w:ascii="宋体" w:hAnsi="宋体" w:eastAsia="宋体" w:cs="宋体"/>
          <w:color w:val="auto"/>
          <w:sz w:val="28"/>
          <w:szCs w:val="28"/>
          <w:lang w:eastAsia="zh-CN"/>
        </w:rPr>
        <w:t>事件</w:t>
      </w:r>
      <w:r>
        <w:rPr>
          <w:rFonts w:hint="eastAsia" w:ascii="宋体" w:hAnsi="宋体" w:eastAsia="宋体" w:cs="宋体"/>
          <w:color w:val="auto"/>
          <w:sz w:val="28"/>
          <w:szCs w:val="28"/>
        </w:rPr>
        <w:t>为条件。</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（三）具体假设</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1、评估结论是以列入评估范围的资产（房产）按现行用途不变的条件下，在评估基准日的市场价格的反映为具体条件。</w:t>
      </w:r>
    </w:p>
    <w:p>
      <w:pPr>
        <w:spacing w:line="580" w:lineRule="exact"/>
        <w:ind w:firstLine="280" w:firstLineChars="100"/>
        <w:rPr>
          <w:rFonts w:hint="eastAsia" w:ascii="宋体" w:hAnsi="宋体" w:eastAsia="宋体" w:cs="宋体"/>
          <w:color w:val="auto"/>
          <w:sz w:val="28"/>
          <w:szCs w:val="28"/>
        </w:rPr>
      </w:pPr>
      <w:r>
        <w:rPr>
          <w:rFonts w:hint="eastAsia" w:ascii="宋体" w:hAnsi="宋体" w:eastAsia="宋体" w:cs="宋体"/>
          <w:color w:val="auto"/>
          <w:sz w:val="28"/>
          <w:szCs w:val="28"/>
        </w:rPr>
        <w:t xml:space="preserve">  2、评估对象在</w:t>
      </w:r>
      <w:r>
        <w:rPr>
          <w:rFonts w:hint="eastAsia" w:ascii="宋体" w:hAnsi="宋体" w:eastAsia="宋体" w:cs="宋体"/>
          <w:color w:val="auto"/>
          <w:sz w:val="28"/>
          <w:szCs w:val="28"/>
          <w:lang w:eastAsia="zh-CN"/>
        </w:rPr>
        <w:t>评估基准日</w:t>
      </w:r>
      <w:r>
        <w:rPr>
          <w:rFonts w:hint="eastAsia" w:ascii="宋体" w:hAnsi="宋体" w:eastAsia="宋体" w:cs="宋体"/>
          <w:color w:val="auto"/>
          <w:sz w:val="28"/>
          <w:szCs w:val="28"/>
        </w:rPr>
        <w:t>的房地产市场为公开、平等、自愿的交易市场，即能满足以下条件：</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（1）交易双方是自愿地进行交易的；</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（2）交易双方进行交易的目的是追求自身利益的最大化；</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（3）交易双方具有必要的专业知识，并了解交易对象；</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（4）交易双方掌握必要的市场信息；</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（5）交易双方有较充裕的时间进行交易；</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（6）不存在特殊买者的附加出价。</w:t>
      </w:r>
    </w:p>
    <w:p>
      <w:pPr>
        <w:spacing w:line="5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评估报告及评估结论是依据上述评估前提、基本假设和具体假设条件，以及本评估报告中确定的原则、依据、条件、方法和程序得出的结果，若上述前提和假设条件发生变化时，本评估报告及评估结论自行失效。</w:t>
      </w:r>
    </w:p>
    <w:p>
      <w:pPr>
        <w:spacing w:line="580" w:lineRule="exact"/>
        <w:ind w:firstLine="562" w:firstLineChars="200"/>
        <w:outlineLvl w:val="1"/>
        <w:rPr>
          <w:rFonts w:hint="eastAsia" w:ascii="宋体" w:hAnsi="宋体" w:eastAsia="宋体" w:cs="宋体"/>
          <w:b/>
          <w:bCs/>
          <w:color w:val="auto"/>
          <w:sz w:val="28"/>
          <w:szCs w:val="28"/>
        </w:rPr>
      </w:pPr>
      <w:bookmarkStart w:id="12" w:name="_Toc32295"/>
      <w:r>
        <w:rPr>
          <w:rFonts w:hint="eastAsia" w:ascii="宋体" w:hAnsi="宋体" w:eastAsia="宋体" w:cs="宋体"/>
          <w:b/>
          <w:bCs/>
          <w:color w:val="auto"/>
          <w:sz w:val="28"/>
          <w:szCs w:val="28"/>
        </w:rPr>
        <w:t>十、价格评估结论</w:t>
      </w:r>
      <w:bookmarkEnd w:id="12"/>
    </w:p>
    <w:p>
      <w:pPr>
        <w:spacing w:line="580" w:lineRule="exact"/>
        <w:ind w:firstLine="560" w:firstLineChars="200"/>
        <w:rPr>
          <w:rFonts w:hint="eastAsia" w:asciiTheme="majorEastAsia" w:hAnsiTheme="majorEastAsia" w:eastAsiaTheme="majorEastAsia" w:cstheme="majorEastAsia"/>
          <w:b w:val="0"/>
          <w:bCs/>
          <w:color w:val="auto"/>
          <w:sz w:val="28"/>
          <w:szCs w:val="22"/>
          <w:highlight w:val="none"/>
          <w:vertAlign w:val="baseline"/>
          <w:lang w:val="en-US" w:eastAsia="zh-CN"/>
        </w:rPr>
      </w:pPr>
      <w:r>
        <w:rPr>
          <w:rFonts w:hint="eastAsia" w:asciiTheme="majorEastAsia" w:hAnsiTheme="majorEastAsia" w:eastAsiaTheme="majorEastAsia" w:cstheme="majorEastAsia"/>
          <w:color w:val="auto"/>
          <w:sz w:val="28"/>
          <w:szCs w:val="22"/>
          <w:highlight w:val="none"/>
        </w:rPr>
        <w:t>经过测算，取整确定评估对象在价格评估基准日的评估价格为</w:t>
      </w:r>
      <w:r>
        <w:rPr>
          <w:rFonts w:hint="eastAsia" w:asciiTheme="majorEastAsia" w:hAnsiTheme="majorEastAsia" w:eastAsiaTheme="majorEastAsia" w:cstheme="majorEastAsia"/>
          <w:b/>
          <w:color w:val="auto"/>
          <w:sz w:val="28"/>
          <w:szCs w:val="22"/>
          <w:highlight w:val="none"/>
        </w:rPr>
        <w:t>¥</w:t>
      </w:r>
      <w:r>
        <w:rPr>
          <w:rFonts w:hint="eastAsia" w:asciiTheme="majorEastAsia" w:hAnsiTheme="majorEastAsia" w:eastAsiaTheme="majorEastAsia" w:cstheme="majorEastAsia"/>
          <w:b/>
          <w:color w:val="auto"/>
          <w:sz w:val="28"/>
          <w:szCs w:val="22"/>
          <w:highlight w:val="none"/>
          <w:lang w:val="en-US" w:eastAsia="zh-CN"/>
        </w:rPr>
        <w:t>20.82</w:t>
      </w:r>
      <w:r>
        <w:rPr>
          <w:rFonts w:hint="eastAsia" w:asciiTheme="majorEastAsia" w:hAnsiTheme="majorEastAsia" w:eastAsiaTheme="majorEastAsia" w:cstheme="majorEastAsia"/>
          <w:b/>
          <w:color w:val="auto"/>
          <w:sz w:val="28"/>
          <w:szCs w:val="22"/>
          <w:highlight w:val="none"/>
        </w:rPr>
        <w:t>万元（人民币</w:t>
      </w:r>
      <w:r>
        <w:rPr>
          <w:rFonts w:hint="eastAsia" w:asciiTheme="majorEastAsia" w:hAnsiTheme="majorEastAsia" w:eastAsiaTheme="majorEastAsia" w:cstheme="majorEastAsia"/>
          <w:b/>
          <w:color w:val="auto"/>
          <w:sz w:val="28"/>
          <w:szCs w:val="22"/>
          <w:highlight w:val="none"/>
          <w:lang w:val="en-US" w:eastAsia="zh-CN"/>
        </w:rPr>
        <w:t>贰拾万零捌仟贰佰</w:t>
      </w:r>
      <w:r>
        <w:rPr>
          <w:rFonts w:hint="eastAsia" w:asciiTheme="majorEastAsia" w:hAnsiTheme="majorEastAsia" w:eastAsiaTheme="majorEastAsia" w:cstheme="majorEastAsia"/>
          <w:b/>
          <w:color w:val="auto"/>
          <w:sz w:val="28"/>
          <w:szCs w:val="22"/>
          <w:highlight w:val="none"/>
        </w:rPr>
        <w:t>元整）</w:t>
      </w:r>
      <w:r>
        <w:rPr>
          <w:rFonts w:hint="eastAsia" w:asciiTheme="majorEastAsia" w:hAnsiTheme="majorEastAsia" w:eastAsiaTheme="majorEastAsia" w:cstheme="majorEastAsia"/>
          <w:b/>
          <w:color w:val="auto"/>
          <w:sz w:val="28"/>
          <w:szCs w:val="22"/>
          <w:highlight w:val="none"/>
          <w:lang w:val="en-US" w:eastAsia="zh-CN"/>
        </w:rPr>
        <w:t>,</w:t>
      </w:r>
      <w:r>
        <w:rPr>
          <w:rFonts w:hint="eastAsia" w:asciiTheme="majorEastAsia" w:hAnsiTheme="majorEastAsia" w:eastAsiaTheme="majorEastAsia" w:cstheme="majorEastAsia"/>
          <w:b w:val="0"/>
          <w:bCs/>
          <w:color w:val="auto"/>
          <w:sz w:val="28"/>
          <w:szCs w:val="22"/>
          <w:highlight w:val="none"/>
          <w:lang w:val="en-US" w:eastAsia="zh-CN"/>
        </w:rPr>
        <w:t>详见下表：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7"/>
        <w:gridCol w:w="1497"/>
        <w:gridCol w:w="1438"/>
        <w:gridCol w:w="2043"/>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7" w:type="dxa"/>
            <w:vAlign w:val="center"/>
          </w:tcPr>
          <w:p>
            <w:pPr>
              <w:spacing w:line="580" w:lineRule="exact"/>
              <w:jc w:val="center"/>
              <w:rPr>
                <w:rFonts w:hint="eastAsia" w:ascii="宋体" w:hAnsi="宋体" w:eastAsia="宋体" w:cs="宋体"/>
                <w:b/>
                <w:bCs w:val="0"/>
                <w:color w:val="auto"/>
                <w:sz w:val="21"/>
                <w:szCs w:val="21"/>
                <w:highlight w:val="none"/>
                <w:vertAlign w:val="baseline"/>
                <w:lang w:val="en-US" w:eastAsia="zh-CN"/>
              </w:rPr>
            </w:pPr>
            <w:r>
              <w:rPr>
                <w:rFonts w:hint="eastAsia" w:ascii="宋体" w:hAnsi="宋体" w:eastAsia="宋体" w:cs="宋体"/>
                <w:b/>
                <w:bCs w:val="0"/>
                <w:color w:val="auto"/>
                <w:sz w:val="21"/>
                <w:szCs w:val="21"/>
                <w:highlight w:val="none"/>
                <w:vertAlign w:val="baseline"/>
                <w:lang w:val="en-US" w:eastAsia="zh-CN"/>
              </w:rPr>
              <w:t>项目</w:t>
            </w:r>
          </w:p>
        </w:tc>
        <w:tc>
          <w:tcPr>
            <w:tcW w:w="1497" w:type="dxa"/>
            <w:vAlign w:val="center"/>
          </w:tcPr>
          <w:p>
            <w:pPr>
              <w:spacing w:line="580" w:lineRule="exact"/>
              <w:jc w:val="center"/>
              <w:rPr>
                <w:rFonts w:hint="eastAsia" w:ascii="宋体" w:hAnsi="宋体" w:eastAsia="宋体" w:cs="宋体"/>
                <w:b/>
                <w:bCs w:val="0"/>
                <w:color w:val="auto"/>
                <w:sz w:val="21"/>
                <w:szCs w:val="21"/>
                <w:highlight w:val="none"/>
                <w:vertAlign w:val="baseline"/>
                <w:lang w:val="en-US" w:eastAsia="zh-CN"/>
              </w:rPr>
            </w:pPr>
            <w:r>
              <w:rPr>
                <w:rFonts w:hint="eastAsia" w:ascii="宋体" w:hAnsi="宋体" w:eastAsia="宋体" w:cs="宋体"/>
                <w:b/>
                <w:bCs w:val="0"/>
                <w:color w:val="auto"/>
                <w:sz w:val="21"/>
                <w:szCs w:val="21"/>
                <w:highlight w:val="none"/>
                <w:vertAlign w:val="baseline"/>
                <w:lang w:val="en-US" w:eastAsia="zh-CN"/>
              </w:rPr>
              <w:t>用途</w:t>
            </w:r>
          </w:p>
        </w:tc>
        <w:tc>
          <w:tcPr>
            <w:tcW w:w="1438" w:type="dxa"/>
            <w:vAlign w:val="center"/>
          </w:tcPr>
          <w:p>
            <w:pPr>
              <w:spacing w:line="580" w:lineRule="exact"/>
              <w:jc w:val="center"/>
              <w:rPr>
                <w:rFonts w:hint="eastAsia" w:ascii="宋体" w:hAnsi="宋体" w:eastAsia="宋体" w:cs="宋体"/>
                <w:b/>
                <w:bCs w:val="0"/>
                <w:color w:val="auto"/>
                <w:kern w:val="2"/>
                <w:sz w:val="21"/>
                <w:szCs w:val="21"/>
                <w:highlight w:val="none"/>
                <w:vertAlign w:val="baseline"/>
                <w:lang w:val="en-US" w:eastAsia="zh-CN" w:bidi="ar-SA"/>
              </w:rPr>
            </w:pPr>
            <w:r>
              <w:rPr>
                <w:rFonts w:hint="eastAsia" w:ascii="宋体" w:hAnsi="宋体" w:eastAsia="宋体" w:cs="宋体"/>
                <w:b/>
                <w:bCs w:val="0"/>
                <w:color w:val="auto"/>
                <w:sz w:val="21"/>
                <w:szCs w:val="21"/>
                <w:highlight w:val="none"/>
                <w:vertAlign w:val="baseline"/>
                <w:lang w:val="en-US" w:eastAsia="zh-CN"/>
              </w:rPr>
              <w:t>建筑面积（m</w:t>
            </w:r>
            <w:r>
              <w:rPr>
                <w:rFonts w:hint="eastAsia" w:ascii="宋体" w:hAnsi="宋体" w:eastAsia="宋体" w:cs="宋体"/>
                <w:b/>
                <w:bCs w:val="0"/>
                <w:color w:val="auto"/>
                <w:sz w:val="21"/>
                <w:szCs w:val="21"/>
                <w:highlight w:val="none"/>
                <w:vertAlign w:val="superscript"/>
                <w:lang w:val="en-US" w:eastAsia="zh-CN"/>
              </w:rPr>
              <w:t>2</w:t>
            </w:r>
            <w:r>
              <w:rPr>
                <w:rFonts w:hint="eastAsia" w:ascii="宋体" w:hAnsi="宋体" w:eastAsia="宋体" w:cs="宋体"/>
                <w:b/>
                <w:bCs w:val="0"/>
                <w:color w:val="auto"/>
                <w:sz w:val="21"/>
                <w:szCs w:val="21"/>
                <w:highlight w:val="none"/>
                <w:vertAlign w:val="baseline"/>
                <w:lang w:val="en-US" w:eastAsia="zh-CN"/>
              </w:rPr>
              <w:t>）</w:t>
            </w:r>
          </w:p>
        </w:tc>
        <w:tc>
          <w:tcPr>
            <w:tcW w:w="2043" w:type="dxa"/>
            <w:vAlign w:val="center"/>
          </w:tcPr>
          <w:p>
            <w:pPr>
              <w:spacing w:line="580" w:lineRule="exact"/>
              <w:jc w:val="center"/>
              <w:rPr>
                <w:rFonts w:hint="eastAsia" w:ascii="宋体" w:hAnsi="宋体" w:eastAsia="宋体" w:cs="宋体"/>
                <w:b/>
                <w:bCs w:val="0"/>
                <w:color w:val="auto"/>
                <w:kern w:val="2"/>
                <w:sz w:val="21"/>
                <w:szCs w:val="21"/>
                <w:highlight w:val="none"/>
                <w:vertAlign w:val="baseline"/>
                <w:lang w:val="en-US" w:eastAsia="zh-CN" w:bidi="ar-SA"/>
              </w:rPr>
            </w:pPr>
            <w:r>
              <w:rPr>
                <w:rFonts w:hint="eastAsia" w:ascii="宋体" w:hAnsi="宋体" w:eastAsia="宋体" w:cs="宋体"/>
                <w:b/>
                <w:bCs w:val="0"/>
                <w:color w:val="auto"/>
                <w:sz w:val="21"/>
                <w:szCs w:val="21"/>
                <w:highlight w:val="none"/>
                <w:vertAlign w:val="baseline"/>
                <w:lang w:val="en-US" w:eastAsia="zh-CN"/>
              </w:rPr>
              <w:t>评估单价（元/m</w:t>
            </w:r>
            <w:r>
              <w:rPr>
                <w:rFonts w:hint="eastAsia" w:ascii="宋体" w:hAnsi="宋体" w:eastAsia="宋体" w:cs="宋体"/>
                <w:b/>
                <w:bCs w:val="0"/>
                <w:color w:val="auto"/>
                <w:sz w:val="21"/>
                <w:szCs w:val="21"/>
                <w:highlight w:val="none"/>
                <w:vertAlign w:val="superscript"/>
                <w:lang w:val="en-US" w:eastAsia="zh-CN"/>
              </w:rPr>
              <w:t>2</w:t>
            </w:r>
            <w:r>
              <w:rPr>
                <w:rFonts w:hint="eastAsia" w:ascii="宋体" w:hAnsi="宋体" w:eastAsia="宋体" w:cs="宋体"/>
                <w:b/>
                <w:bCs w:val="0"/>
                <w:color w:val="auto"/>
                <w:sz w:val="21"/>
                <w:szCs w:val="21"/>
                <w:highlight w:val="none"/>
                <w:vertAlign w:val="baseline"/>
                <w:lang w:val="en-US" w:eastAsia="zh-CN"/>
              </w:rPr>
              <w:t>）</w:t>
            </w:r>
          </w:p>
        </w:tc>
        <w:tc>
          <w:tcPr>
            <w:tcW w:w="2043" w:type="dxa"/>
            <w:vAlign w:val="center"/>
          </w:tcPr>
          <w:p>
            <w:pPr>
              <w:spacing w:line="580" w:lineRule="exact"/>
              <w:jc w:val="center"/>
              <w:rPr>
                <w:rFonts w:hint="eastAsia" w:ascii="宋体" w:hAnsi="宋体" w:eastAsia="宋体" w:cs="宋体"/>
                <w:b/>
                <w:bCs w:val="0"/>
                <w:color w:val="auto"/>
                <w:kern w:val="2"/>
                <w:sz w:val="21"/>
                <w:szCs w:val="21"/>
                <w:highlight w:val="none"/>
                <w:vertAlign w:val="baseline"/>
                <w:lang w:val="en-US" w:eastAsia="zh-CN" w:bidi="ar-SA"/>
              </w:rPr>
            </w:pPr>
            <w:r>
              <w:rPr>
                <w:rFonts w:hint="eastAsia" w:ascii="宋体" w:hAnsi="宋体" w:eastAsia="宋体" w:cs="宋体"/>
                <w:b/>
                <w:bCs w:val="0"/>
                <w:color w:val="auto"/>
                <w:sz w:val="21"/>
                <w:szCs w:val="21"/>
                <w:highlight w:val="none"/>
                <w:vertAlign w:val="baseline"/>
                <w:lang w:val="en-US" w:eastAsia="zh-CN"/>
              </w:rPr>
              <w:t>评估价值（万元）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7"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1-1-1A号</w:t>
            </w:r>
          </w:p>
        </w:tc>
        <w:tc>
          <w:tcPr>
            <w:tcW w:w="1497"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住宅</w:t>
            </w:r>
          </w:p>
        </w:tc>
        <w:tc>
          <w:tcPr>
            <w:tcW w:w="1438"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61.92</w:t>
            </w:r>
          </w:p>
        </w:tc>
        <w:tc>
          <w:tcPr>
            <w:tcW w:w="2043" w:type="dxa"/>
            <w:vAlign w:val="center"/>
          </w:tcPr>
          <w:p>
            <w:pPr>
              <w:spacing w:line="580" w:lineRule="exact"/>
              <w:ind w:firstLine="0"/>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2607</w:t>
            </w:r>
          </w:p>
        </w:tc>
        <w:tc>
          <w:tcPr>
            <w:tcW w:w="2043"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16.14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7"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1-1-1B号</w:t>
            </w:r>
          </w:p>
        </w:tc>
        <w:tc>
          <w:tcPr>
            <w:tcW w:w="1497"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车库</w:t>
            </w:r>
          </w:p>
        </w:tc>
        <w:tc>
          <w:tcPr>
            <w:tcW w:w="1438"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20.40</w:t>
            </w:r>
          </w:p>
        </w:tc>
        <w:tc>
          <w:tcPr>
            <w:tcW w:w="2043"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2259</w:t>
            </w:r>
          </w:p>
        </w:tc>
        <w:tc>
          <w:tcPr>
            <w:tcW w:w="2043"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7" w:type="dxa"/>
            <w:vAlign w:val="center"/>
          </w:tcPr>
          <w:p>
            <w:pPr>
              <w:spacing w:line="580" w:lineRule="exact"/>
              <w:jc w:val="center"/>
              <w:rPr>
                <w:rFonts w:hint="eastAsia" w:ascii="宋体" w:hAnsi="宋体" w:eastAsia="宋体" w:cs="宋体"/>
                <w:b/>
                <w:bCs w:val="0"/>
                <w:color w:val="auto"/>
                <w:sz w:val="21"/>
                <w:szCs w:val="21"/>
                <w:highlight w:val="none"/>
                <w:vertAlign w:val="baseline"/>
                <w:lang w:val="en-US" w:eastAsia="zh-CN"/>
              </w:rPr>
            </w:pPr>
            <w:r>
              <w:rPr>
                <w:rFonts w:hint="eastAsia" w:ascii="宋体" w:hAnsi="宋体" w:eastAsia="宋体" w:cs="宋体"/>
                <w:b/>
                <w:bCs w:val="0"/>
                <w:color w:val="auto"/>
                <w:sz w:val="21"/>
                <w:szCs w:val="21"/>
                <w:highlight w:val="none"/>
                <w:vertAlign w:val="baseline"/>
                <w:lang w:val="en-US" w:eastAsia="zh-CN"/>
              </w:rPr>
              <w:t>合计</w:t>
            </w:r>
          </w:p>
        </w:tc>
        <w:tc>
          <w:tcPr>
            <w:tcW w:w="1497" w:type="dxa"/>
            <w:vAlign w:val="center"/>
          </w:tcPr>
          <w:p>
            <w:pPr>
              <w:spacing w:line="580" w:lineRule="exact"/>
              <w:jc w:val="center"/>
              <w:rPr>
                <w:rFonts w:hint="eastAsia" w:ascii="宋体" w:hAnsi="宋体" w:eastAsia="宋体" w:cs="宋体"/>
                <w:b/>
                <w:bCs w:val="0"/>
                <w:color w:val="auto"/>
                <w:sz w:val="21"/>
                <w:szCs w:val="21"/>
                <w:highlight w:val="none"/>
                <w:vertAlign w:val="baseline"/>
                <w:lang w:val="en-US" w:eastAsia="zh-CN"/>
              </w:rPr>
            </w:pPr>
          </w:p>
        </w:tc>
        <w:tc>
          <w:tcPr>
            <w:tcW w:w="1438" w:type="dxa"/>
            <w:vAlign w:val="center"/>
          </w:tcPr>
          <w:p>
            <w:pPr>
              <w:spacing w:line="580" w:lineRule="exact"/>
              <w:ind w:firstLine="0" w:firstLineChars="0"/>
              <w:jc w:val="center"/>
              <w:rPr>
                <w:rFonts w:hint="eastAsia" w:ascii="宋体" w:hAnsi="宋体" w:eastAsia="宋体" w:cs="宋体"/>
                <w:b/>
                <w:bCs w:val="0"/>
                <w:color w:val="auto"/>
                <w:sz w:val="21"/>
                <w:szCs w:val="21"/>
                <w:highlight w:val="none"/>
                <w:vertAlign w:val="baseline"/>
                <w:lang w:val="en-US" w:eastAsia="zh-CN"/>
              </w:rPr>
            </w:pPr>
            <w:r>
              <w:rPr>
                <w:rFonts w:hint="eastAsia" w:ascii="宋体" w:hAnsi="宋体" w:eastAsia="宋体" w:cs="宋体"/>
                <w:b/>
                <w:bCs w:val="0"/>
                <w:color w:val="auto"/>
                <w:sz w:val="21"/>
                <w:szCs w:val="21"/>
                <w:highlight w:val="none"/>
                <w:vertAlign w:val="baseline"/>
                <w:lang w:val="en-US" w:eastAsia="zh-CN"/>
              </w:rPr>
              <w:t>82.32</w:t>
            </w:r>
          </w:p>
        </w:tc>
        <w:tc>
          <w:tcPr>
            <w:tcW w:w="2043" w:type="dxa"/>
            <w:vAlign w:val="center"/>
          </w:tcPr>
          <w:p>
            <w:pPr>
              <w:spacing w:line="580" w:lineRule="exact"/>
              <w:jc w:val="center"/>
              <w:rPr>
                <w:rFonts w:hint="eastAsia" w:ascii="宋体" w:hAnsi="宋体" w:eastAsia="宋体" w:cs="宋体"/>
                <w:b/>
                <w:bCs w:val="0"/>
                <w:color w:val="auto"/>
                <w:sz w:val="21"/>
                <w:szCs w:val="21"/>
                <w:highlight w:val="none"/>
                <w:vertAlign w:val="baseline"/>
                <w:lang w:val="en-US" w:eastAsia="zh-CN"/>
              </w:rPr>
            </w:pPr>
          </w:p>
        </w:tc>
        <w:tc>
          <w:tcPr>
            <w:tcW w:w="2043" w:type="dxa"/>
            <w:vAlign w:val="center"/>
          </w:tcPr>
          <w:p>
            <w:pPr>
              <w:spacing w:line="580" w:lineRule="exact"/>
              <w:jc w:val="center"/>
              <w:rPr>
                <w:rFonts w:hint="eastAsia" w:ascii="宋体" w:hAnsi="宋体" w:eastAsia="宋体" w:cs="宋体"/>
                <w:b/>
                <w:bCs w:val="0"/>
                <w:color w:val="auto"/>
                <w:sz w:val="21"/>
                <w:szCs w:val="21"/>
                <w:highlight w:val="none"/>
                <w:vertAlign w:val="baseline"/>
                <w:lang w:val="en-US" w:eastAsia="zh-CN"/>
              </w:rPr>
            </w:pPr>
            <w:r>
              <w:rPr>
                <w:rFonts w:hint="eastAsia" w:ascii="宋体" w:hAnsi="宋体" w:eastAsia="宋体" w:cs="宋体"/>
                <w:b/>
                <w:bCs w:val="0"/>
                <w:color w:val="auto"/>
                <w:sz w:val="21"/>
                <w:szCs w:val="21"/>
                <w:highlight w:val="none"/>
                <w:vertAlign w:val="baseline"/>
                <w:lang w:val="en-US" w:eastAsia="zh-CN"/>
              </w:rPr>
              <w:t>20.82</w:t>
            </w:r>
          </w:p>
        </w:tc>
      </w:tr>
    </w:tbl>
    <w:p>
      <w:pPr>
        <w:widowControl/>
        <w:spacing w:line="580" w:lineRule="exact"/>
        <w:ind w:firstLine="560" w:firstLineChars="200"/>
        <w:jc w:val="left"/>
        <w:rPr>
          <w:rFonts w:hint="eastAsia" w:ascii="宋体" w:hAnsi="宋体" w:eastAsia="宋体" w:cs="宋体"/>
          <w:b/>
          <w:bCs/>
          <w:color w:val="auto"/>
          <w:sz w:val="28"/>
          <w:szCs w:val="28"/>
        </w:rPr>
      </w:pPr>
      <w:r>
        <w:rPr>
          <w:rFonts w:hint="eastAsia" w:ascii="宋体" w:hAnsi="宋体" w:eastAsia="宋体" w:cs="宋体"/>
          <w:color w:val="auto"/>
          <w:sz w:val="28"/>
          <w:szCs w:val="28"/>
        </w:rPr>
        <w:t>具体详见价格评估技术报告。</w:t>
      </w:r>
      <w:bookmarkStart w:id="13" w:name="_Toc2267"/>
    </w:p>
    <w:p>
      <w:pPr>
        <w:keepNext w:val="0"/>
        <w:keepLines w:val="0"/>
        <w:pageBreakBefore w:val="0"/>
        <w:widowControl/>
        <w:kinsoku/>
        <w:wordWrap/>
        <w:overflowPunct/>
        <w:topLinePunct w:val="0"/>
        <w:autoSpaceDE/>
        <w:autoSpaceDN/>
        <w:bidi w:val="0"/>
        <w:adjustRightInd/>
        <w:snapToGrid/>
        <w:spacing w:line="580" w:lineRule="exact"/>
        <w:ind w:firstLine="562" w:firstLineChars="200"/>
        <w:jc w:val="left"/>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十一、特别事项说明</w:t>
      </w:r>
      <w:bookmarkEnd w:id="13"/>
    </w:p>
    <w:p>
      <w:pPr>
        <w:keepNext w:val="0"/>
        <w:keepLines w:val="0"/>
        <w:pageBreakBefore w:val="0"/>
        <w:tabs>
          <w:tab w:val="left" w:pos="720"/>
        </w:tabs>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在评估过程中，委托人提供的《</w:t>
      </w:r>
      <w:r>
        <w:rPr>
          <w:rFonts w:hint="eastAsia" w:ascii="宋体" w:hAnsi="宋体" w:eastAsia="宋体" w:cs="宋体"/>
          <w:color w:val="auto"/>
          <w:sz w:val="28"/>
          <w:szCs w:val="28"/>
          <w:lang w:eastAsia="zh-CN"/>
        </w:rPr>
        <w:t>陆良县人民法院</w:t>
      </w:r>
      <w:r>
        <w:rPr>
          <w:rFonts w:hint="eastAsia" w:ascii="宋体" w:hAnsi="宋体" w:eastAsia="宋体" w:cs="宋体"/>
          <w:color w:val="auto"/>
          <w:sz w:val="28"/>
          <w:szCs w:val="28"/>
        </w:rPr>
        <w:t>委托</w:t>
      </w:r>
      <w:r>
        <w:rPr>
          <w:rFonts w:hint="eastAsia" w:ascii="宋体" w:hAnsi="宋体" w:eastAsia="宋体" w:cs="宋体"/>
          <w:color w:val="auto"/>
          <w:sz w:val="28"/>
          <w:szCs w:val="28"/>
          <w:lang w:eastAsia="zh-CN"/>
        </w:rPr>
        <w:t>评估函</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房屋所有权证</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国有土地使用证</w:t>
      </w:r>
      <w:r>
        <w:rPr>
          <w:rFonts w:hint="eastAsia" w:ascii="宋体" w:hAnsi="宋体" w:eastAsia="宋体" w:cs="宋体"/>
          <w:color w:val="auto"/>
          <w:sz w:val="28"/>
          <w:szCs w:val="28"/>
        </w:rPr>
        <w:t>》等与评估相关的所有资料是编制本报告的基础，委托人和被评估单位应对其所提供资料的可靠性、真实性、准确性、完整性负责；价格鉴证师的责任是对评估对象在评估基准日特定目的下的价格进行分析、估算并发表专业意见。若被评估单位有意隐匿或提供虚假的资料以使评估人员在委估资产产权调查和评定估算中产生误导，被评估单位应承担由此而产生的一切法律后果。</w:t>
      </w:r>
    </w:p>
    <w:p>
      <w:pPr>
        <w:keepNext w:val="0"/>
        <w:keepLines w:val="0"/>
        <w:pageBreakBefore w:val="0"/>
        <w:tabs>
          <w:tab w:val="left" w:pos="720"/>
        </w:tabs>
        <w:kinsoku/>
        <w:wordWrap/>
        <w:overflowPunct/>
        <w:topLinePunct w:val="0"/>
        <w:autoSpaceDE/>
        <w:autoSpaceDN/>
        <w:bidi w:val="0"/>
        <w:adjustRightInd/>
        <w:snapToGrid/>
        <w:spacing w:line="580" w:lineRule="exact"/>
        <w:ind w:firstLine="562" w:firstLineChars="200"/>
        <w:textAlignment w:val="auto"/>
        <w:rPr>
          <w:rFonts w:hint="eastAsia" w:ascii="宋体" w:hAnsi="宋体" w:eastAsia="宋体" w:cs="宋体"/>
          <w:color w:val="auto"/>
          <w:sz w:val="20"/>
          <w:szCs w:val="22"/>
        </w:rPr>
      </w:pPr>
      <w:bookmarkStart w:id="14" w:name="_Toc24245"/>
      <w:r>
        <w:rPr>
          <w:rFonts w:hint="eastAsia" w:ascii="宋体" w:hAnsi="宋体" w:eastAsia="宋体" w:cs="宋体"/>
          <w:b/>
          <w:bCs/>
          <w:color w:val="auto"/>
          <w:sz w:val="28"/>
          <w:szCs w:val="28"/>
        </w:rPr>
        <w:t>十二、价格评估报告使用限制说明</w:t>
      </w:r>
      <w:bookmarkEnd w:id="14"/>
    </w:p>
    <w:p>
      <w:pPr>
        <w:keepNext w:val="0"/>
        <w:keepLines w:val="0"/>
        <w:pageBreakBefore w:val="0"/>
        <w:tabs>
          <w:tab w:val="left" w:pos="720"/>
        </w:tabs>
        <w:kinsoku/>
        <w:wordWrap/>
        <w:overflowPunct/>
        <w:topLinePunct w:val="0"/>
        <w:autoSpaceDE/>
        <w:autoSpaceDN/>
        <w:bidi w:val="0"/>
        <w:adjustRightInd/>
        <w:snapToGrid/>
        <w:spacing w:line="580" w:lineRule="exact"/>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 xml:space="preserve">    </w:t>
      </w:r>
      <w:r>
        <w:rPr>
          <w:rFonts w:hint="eastAsia" w:ascii="宋体" w:hAnsi="宋体" w:eastAsia="宋体" w:cs="宋体"/>
          <w:color w:val="auto"/>
          <w:sz w:val="28"/>
          <w:szCs w:val="28"/>
        </w:rPr>
        <w:t>（一）本评估报告仅供委托人及《</w:t>
      </w:r>
      <w:r>
        <w:rPr>
          <w:rFonts w:hint="eastAsia" w:ascii="宋体" w:hAnsi="宋体" w:eastAsia="宋体" w:cs="宋体"/>
          <w:color w:val="auto"/>
          <w:sz w:val="28"/>
          <w:szCs w:val="28"/>
          <w:lang w:eastAsia="zh-CN"/>
        </w:rPr>
        <w:t>陆良县人民法院</w:t>
      </w:r>
      <w:r>
        <w:rPr>
          <w:rFonts w:hint="eastAsia" w:ascii="宋体" w:hAnsi="宋体" w:eastAsia="宋体" w:cs="宋体"/>
          <w:color w:val="auto"/>
          <w:sz w:val="28"/>
          <w:szCs w:val="28"/>
        </w:rPr>
        <w:t>委托</w:t>
      </w:r>
      <w:r>
        <w:rPr>
          <w:rFonts w:hint="eastAsia" w:ascii="宋体" w:hAnsi="宋体" w:eastAsia="宋体" w:cs="宋体"/>
          <w:color w:val="auto"/>
          <w:sz w:val="28"/>
          <w:szCs w:val="28"/>
          <w:lang w:eastAsia="zh-CN"/>
        </w:rPr>
        <w:t>评估函</w:t>
      </w:r>
      <w:r>
        <w:rPr>
          <w:rFonts w:hint="eastAsia" w:ascii="宋体" w:hAnsi="宋体" w:eastAsia="宋体" w:cs="宋体"/>
          <w:color w:val="auto"/>
          <w:sz w:val="28"/>
          <w:szCs w:val="28"/>
        </w:rPr>
        <w:t>》中载明的当事人为本次评估目的使用。未征得出具评估报告的评估机构同意，评估报告的内容不得被摘抄、引用或披露于公开媒体，法律、法规规定以及相关当事人另有约定的除外。</w:t>
      </w:r>
    </w:p>
    <w:p>
      <w:pPr>
        <w:keepNext w:val="0"/>
        <w:keepLines w:val="0"/>
        <w:pageBreakBefore w:val="0"/>
        <w:tabs>
          <w:tab w:val="left" w:pos="720"/>
        </w:tabs>
        <w:kinsoku/>
        <w:wordWrap/>
        <w:overflowPunct/>
        <w:topLinePunct w:val="0"/>
        <w:autoSpaceDE/>
        <w:autoSpaceDN/>
        <w:bidi w:val="0"/>
        <w:adjustRightInd/>
        <w:snapToGrid/>
        <w:spacing w:line="580" w:lineRule="exac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（二）本评估报告的评估结论有效使用期为评估报告出具后一年，即自2022年</w:t>
      </w:r>
      <w:r>
        <w:rPr>
          <w:rFonts w:hint="eastAsia" w:ascii="宋体" w:hAnsi="宋体" w:eastAsia="宋体" w:cs="宋体"/>
          <w:color w:val="auto"/>
          <w:sz w:val="28"/>
          <w:szCs w:val="28"/>
          <w:lang w:eastAsia="zh-CN"/>
        </w:rPr>
        <w:t>07月30</w:t>
      </w:r>
      <w:r>
        <w:rPr>
          <w:rFonts w:hint="eastAsia" w:ascii="宋体" w:hAnsi="宋体" w:eastAsia="宋体" w:cs="宋体"/>
          <w:color w:val="auto"/>
          <w:sz w:val="28"/>
          <w:szCs w:val="28"/>
        </w:rPr>
        <w:t>日至2023年</w:t>
      </w:r>
      <w:r>
        <w:rPr>
          <w:rFonts w:hint="eastAsia" w:ascii="宋体" w:hAnsi="宋体" w:eastAsia="宋体" w:cs="宋体"/>
          <w:color w:val="auto"/>
          <w:sz w:val="28"/>
          <w:szCs w:val="28"/>
          <w:lang w:eastAsia="zh-CN"/>
        </w:rPr>
        <w:t>07月29</w:t>
      </w:r>
      <w:r>
        <w:rPr>
          <w:rFonts w:hint="eastAsia" w:ascii="宋体" w:hAnsi="宋体" w:eastAsia="宋体" w:cs="宋体"/>
          <w:color w:val="auto"/>
          <w:sz w:val="28"/>
          <w:szCs w:val="28"/>
        </w:rPr>
        <w:t>日。</w:t>
      </w:r>
    </w:p>
    <w:p>
      <w:pPr>
        <w:keepNext w:val="0"/>
        <w:keepLines w:val="0"/>
        <w:pageBreakBefore w:val="0"/>
        <w:tabs>
          <w:tab w:val="left" w:pos="720"/>
        </w:tabs>
        <w:kinsoku/>
        <w:wordWrap/>
        <w:overflowPunct/>
        <w:topLinePunct w:val="0"/>
        <w:autoSpaceDE/>
        <w:autoSpaceDN/>
        <w:bidi w:val="0"/>
        <w:adjustRightInd/>
        <w:snapToGrid/>
        <w:spacing w:line="580" w:lineRule="exact"/>
        <w:textAlignment w:val="auto"/>
        <w:outlineLvl w:val="1"/>
        <w:rPr>
          <w:rFonts w:hint="eastAsia" w:ascii="宋体" w:hAnsi="宋体" w:eastAsia="宋体" w:cs="宋体"/>
          <w:b/>
          <w:bCs/>
          <w:color w:val="auto"/>
          <w:sz w:val="28"/>
          <w:szCs w:val="28"/>
        </w:rPr>
      </w:pPr>
      <w:r>
        <w:rPr>
          <w:rFonts w:hint="eastAsia" w:ascii="宋体" w:hAnsi="宋体" w:eastAsia="宋体" w:cs="宋体"/>
          <w:color w:val="auto"/>
          <w:sz w:val="28"/>
          <w:szCs w:val="28"/>
        </w:rPr>
        <w:t xml:space="preserve">    </w:t>
      </w:r>
      <w:bookmarkStart w:id="15" w:name="_Toc5296"/>
      <w:r>
        <w:rPr>
          <w:rFonts w:hint="eastAsia" w:ascii="宋体" w:hAnsi="宋体" w:eastAsia="宋体" w:cs="宋体"/>
          <w:b/>
          <w:bCs/>
          <w:color w:val="auto"/>
          <w:sz w:val="28"/>
          <w:szCs w:val="28"/>
        </w:rPr>
        <w:t>十三、评估报告日</w:t>
      </w:r>
      <w:bookmarkEnd w:id="15"/>
    </w:p>
    <w:p>
      <w:pPr>
        <w:tabs>
          <w:tab w:val="left" w:pos="720"/>
        </w:tabs>
        <w:spacing w:line="580" w:lineRule="exact"/>
        <w:ind w:firstLine="0" w:firstLineChars="0"/>
        <w:outlineLvl w:val="9"/>
        <w:rPr>
          <w:rFonts w:hint="eastAsia" w:asciiTheme="majorEastAsia" w:hAnsiTheme="majorEastAsia" w:eastAsiaTheme="majorEastAsia" w:cstheme="majorEastAsia"/>
          <w:b/>
          <w:bCs/>
          <w:color w:val="auto"/>
          <w:sz w:val="28"/>
          <w:szCs w:val="28"/>
        </w:rPr>
      </w:pPr>
      <w:r>
        <w:rPr>
          <w:rFonts w:hint="eastAsia" w:ascii="宋体" w:hAnsi="宋体" w:eastAsia="宋体" w:cs="宋体"/>
          <w:color w:val="auto"/>
          <w:sz w:val="28"/>
          <w:szCs w:val="28"/>
        </w:rPr>
        <w:t xml:space="preserve">    本评估报告日为2022年</w:t>
      </w:r>
      <w:r>
        <w:rPr>
          <w:rFonts w:hint="eastAsia" w:ascii="宋体" w:hAnsi="宋体" w:eastAsia="宋体" w:cs="宋体"/>
          <w:color w:val="auto"/>
          <w:sz w:val="28"/>
          <w:szCs w:val="28"/>
          <w:lang w:eastAsia="zh-CN"/>
        </w:rPr>
        <w:t>07月30</w:t>
      </w:r>
      <w:r>
        <w:rPr>
          <w:rFonts w:hint="eastAsia" w:ascii="宋体" w:hAnsi="宋体" w:eastAsia="宋体" w:cs="宋体"/>
          <w:color w:val="auto"/>
          <w:sz w:val="28"/>
          <w:szCs w:val="28"/>
        </w:rPr>
        <w:t>日。</w:t>
      </w:r>
      <w:bookmarkStart w:id="16" w:name="_Toc16340"/>
    </w:p>
    <w:p>
      <w:pPr>
        <w:tabs>
          <w:tab w:val="left" w:pos="720"/>
        </w:tabs>
        <w:spacing w:line="580" w:lineRule="exact"/>
        <w:ind w:firstLine="562" w:firstLineChars="200"/>
        <w:outlineLvl w:val="1"/>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十四、价格鉴证师签字、评估机构签章</w:t>
      </w:r>
      <w:bookmarkEnd w:id="16"/>
    </w:p>
    <w:p>
      <w:pPr>
        <w:tabs>
          <w:tab w:val="left" w:pos="720"/>
        </w:tabs>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机构名称：皓天评估集团有限责任公司</w:t>
      </w:r>
    </w:p>
    <w:p>
      <w:pPr>
        <w:tabs>
          <w:tab w:val="left" w:pos="720"/>
        </w:tabs>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机构资质证书号:中J240006　</w:t>
      </w:r>
    </w:p>
    <w:p>
      <w:pPr>
        <w:tabs>
          <w:tab w:val="left" w:pos="540"/>
          <w:tab w:val="left" w:pos="900"/>
          <w:tab w:val="left" w:pos="1260"/>
        </w:tabs>
        <w:spacing w:line="580" w:lineRule="exact"/>
        <w:ind w:firstLine="560" w:firstLineChars="200"/>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8"/>
          <w:szCs w:val="28"/>
        </w:rPr>
        <w:t>法定代表人签字（盖章）：</w:t>
      </w:r>
    </w:p>
    <w:p>
      <w:pPr>
        <w:spacing w:line="580" w:lineRule="exact"/>
        <w:ind w:firstLine="560" w:firstLineChars="200"/>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rPr>
        <w:t>分公司名称：皓天评估集团有限责任公司</w:t>
      </w:r>
      <w:r>
        <w:rPr>
          <w:rFonts w:hint="eastAsia" w:asciiTheme="majorEastAsia" w:hAnsiTheme="majorEastAsia" w:eastAsiaTheme="majorEastAsia" w:cstheme="majorEastAsia"/>
          <w:color w:val="auto"/>
          <w:sz w:val="28"/>
          <w:szCs w:val="28"/>
          <w:lang w:eastAsia="zh-CN"/>
        </w:rPr>
        <w:t>云南分公司</w:t>
      </w:r>
    </w:p>
    <w:p>
      <w:pPr>
        <w:spacing w:line="580" w:lineRule="exact"/>
        <w:ind w:firstLine="560" w:firstLineChars="200"/>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rPr>
        <w:t>统一社会信用代码：91</w:t>
      </w:r>
      <w:r>
        <w:rPr>
          <w:rFonts w:hint="eastAsia" w:asciiTheme="majorEastAsia" w:hAnsiTheme="majorEastAsia" w:eastAsiaTheme="majorEastAsia" w:cstheme="majorEastAsia"/>
          <w:color w:val="auto"/>
          <w:sz w:val="28"/>
          <w:szCs w:val="28"/>
          <w:lang w:val="en-US" w:eastAsia="zh-CN"/>
        </w:rPr>
        <w:t>350102MA6NK3C7XJ</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执业资格名称  资格证号    姓  名    签字(盖 章)</w:t>
      </w:r>
    </w:p>
    <w:p>
      <w:pPr>
        <w:pStyle w:val="2"/>
        <w:ind w:firstLine="0" w:firstLineChars="0"/>
        <w:jc w:val="both"/>
        <w:rPr>
          <w:rFonts w:hint="eastAsia" w:asciiTheme="majorEastAsia" w:hAnsiTheme="majorEastAsia" w:eastAsiaTheme="majorEastAsia" w:cstheme="majorEastAsia"/>
          <w:color w:val="auto"/>
          <w:sz w:val="28"/>
          <w:szCs w:val="28"/>
        </w:rPr>
      </w:pPr>
    </w:p>
    <w:p>
      <w:pPr>
        <w:pStyle w:val="2"/>
        <w:ind w:firstLine="0" w:firstLineChars="0"/>
        <w:jc w:val="both"/>
        <w:rPr>
          <w:rFonts w:hint="eastAsia" w:asciiTheme="majorEastAsia" w:hAnsiTheme="majorEastAsia" w:eastAsiaTheme="majorEastAsia" w:cstheme="majorEastAsia"/>
          <w:color w:val="auto"/>
          <w:sz w:val="28"/>
          <w:szCs w:val="28"/>
        </w:rPr>
      </w:pPr>
    </w:p>
    <w:p>
      <w:pPr>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价格鉴证师:    </w:t>
      </w:r>
      <w:r>
        <w:rPr>
          <w:rFonts w:hint="eastAsia" w:asciiTheme="majorEastAsia" w:hAnsiTheme="majorEastAsia" w:eastAsiaTheme="majorEastAsia" w:cstheme="majorEastAsia"/>
          <w:color w:val="auto"/>
          <w:sz w:val="28"/>
          <w:szCs w:val="28"/>
          <w:lang w:eastAsia="zh-CN"/>
        </w:rPr>
        <w:t>0017163</w:t>
      </w:r>
      <w:r>
        <w:rPr>
          <w:rFonts w:hint="eastAsia" w:asciiTheme="majorEastAsia" w:hAnsiTheme="majorEastAsia" w:eastAsiaTheme="majorEastAsia" w:cstheme="majorEastAsia"/>
          <w:color w:val="auto"/>
          <w:sz w:val="28"/>
          <w:szCs w:val="28"/>
        </w:rPr>
        <w:t xml:space="preserve">    </w:t>
      </w:r>
      <w:r>
        <w:rPr>
          <w:rFonts w:hint="eastAsia" w:asciiTheme="majorEastAsia" w:hAnsiTheme="majorEastAsia" w:eastAsiaTheme="majorEastAsia" w:cstheme="majorEastAsia"/>
          <w:color w:val="auto"/>
          <w:sz w:val="28"/>
          <w:szCs w:val="28"/>
          <w:lang w:eastAsia="zh-CN"/>
        </w:rPr>
        <w:t>刘  超</w:t>
      </w:r>
    </w:p>
    <w:p>
      <w:pPr>
        <w:pStyle w:val="2"/>
        <w:ind w:firstLine="0" w:firstLineChars="0"/>
        <w:jc w:val="both"/>
        <w:rPr>
          <w:rFonts w:hint="eastAsia" w:asciiTheme="majorEastAsia" w:hAnsiTheme="majorEastAsia" w:eastAsiaTheme="majorEastAsia" w:cstheme="majorEastAsia"/>
          <w:color w:val="auto"/>
          <w:sz w:val="28"/>
          <w:szCs w:val="28"/>
        </w:rPr>
      </w:pPr>
    </w:p>
    <w:p>
      <w:pPr>
        <w:pStyle w:val="2"/>
        <w:ind w:firstLine="0" w:firstLineChars="0"/>
        <w:jc w:val="both"/>
        <w:rPr>
          <w:rFonts w:hint="eastAsia" w:asciiTheme="majorEastAsia" w:hAnsiTheme="majorEastAsia" w:eastAsiaTheme="majorEastAsia" w:cstheme="majorEastAsia"/>
          <w:color w:val="auto"/>
          <w:sz w:val="28"/>
          <w:szCs w:val="28"/>
        </w:rPr>
      </w:pPr>
    </w:p>
    <w:p>
      <w:pPr>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价格鉴证师:    0009827    韩丽娟 </w:t>
      </w:r>
    </w:p>
    <w:p>
      <w:pPr>
        <w:ind w:firstLine="480" w:firstLineChars="200"/>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xml:space="preserve">                            </w:t>
      </w:r>
    </w:p>
    <w:p>
      <w:pPr>
        <w:pStyle w:val="2"/>
        <w:ind w:firstLine="280"/>
        <w:rPr>
          <w:rFonts w:hint="eastAsia" w:asciiTheme="majorEastAsia" w:hAnsiTheme="majorEastAsia" w:eastAsiaTheme="majorEastAsia" w:cstheme="majorEastAsia"/>
          <w:color w:val="auto"/>
          <w:sz w:val="24"/>
          <w:szCs w:val="24"/>
        </w:rPr>
      </w:pPr>
    </w:p>
    <w:p>
      <w:pPr>
        <w:ind w:firstLine="3120" w:firstLineChars="1300"/>
        <w:rPr>
          <w:rFonts w:hint="eastAsia" w:asciiTheme="majorEastAsia" w:hAnsiTheme="majorEastAsia" w:eastAsiaTheme="majorEastAsia" w:cstheme="majorEastAsia"/>
          <w:color w:val="auto"/>
          <w:sz w:val="24"/>
          <w:szCs w:val="24"/>
        </w:rPr>
      </w:pPr>
    </w:p>
    <w:p>
      <w:pPr>
        <w:ind w:firstLine="3640" w:firstLineChars="13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皓天评估集团有限责任公司</w:t>
      </w:r>
    </w:p>
    <w:p>
      <w:pPr>
        <w:ind w:firstLine="3920" w:firstLineChars="14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二0二二年</w:t>
      </w:r>
      <w:r>
        <w:rPr>
          <w:rFonts w:hint="eastAsia" w:asciiTheme="majorEastAsia" w:hAnsiTheme="majorEastAsia" w:eastAsiaTheme="majorEastAsia" w:cstheme="majorEastAsia"/>
          <w:color w:val="auto"/>
          <w:sz w:val="28"/>
          <w:szCs w:val="28"/>
          <w:lang w:eastAsia="zh-CN"/>
        </w:rPr>
        <w:t>七月三十</w:t>
      </w:r>
      <w:r>
        <w:rPr>
          <w:rFonts w:hint="eastAsia" w:asciiTheme="majorEastAsia" w:hAnsiTheme="majorEastAsia" w:eastAsiaTheme="majorEastAsia" w:cstheme="majorEastAsia"/>
          <w:color w:val="auto"/>
          <w:sz w:val="28"/>
          <w:szCs w:val="28"/>
        </w:rPr>
        <w:t>日</w:t>
      </w:r>
    </w:p>
    <w:p>
      <w:pPr>
        <w:spacing w:line="580" w:lineRule="exact"/>
        <w:ind w:firstLine="643" w:firstLineChars="200"/>
        <w:outlineLvl w:val="0"/>
        <w:rPr>
          <w:rFonts w:hint="eastAsia" w:ascii="仿宋" w:hAnsi="仿宋" w:eastAsia="仿宋" w:cs="仿宋"/>
          <w:b/>
          <w:bCs/>
          <w:color w:val="auto"/>
          <w:sz w:val="32"/>
          <w:szCs w:val="32"/>
          <w:lang w:val="en-US" w:eastAsia="zh-CN"/>
        </w:rPr>
      </w:pPr>
      <w:bookmarkStart w:id="17" w:name="_Toc15387"/>
    </w:p>
    <w:p>
      <w:pPr>
        <w:spacing w:line="580" w:lineRule="exact"/>
        <w:ind w:firstLine="643" w:firstLineChars="200"/>
        <w:outlineLvl w:val="0"/>
        <w:rPr>
          <w:rFonts w:hint="eastAsia" w:ascii="仿宋" w:hAnsi="仿宋" w:eastAsia="仿宋" w:cs="仿宋"/>
          <w:b/>
          <w:bCs/>
          <w:color w:val="auto"/>
          <w:sz w:val="32"/>
          <w:szCs w:val="32"/>
          <w:lang w:val="en-US" w:eastAsia="zh-CN"/>
        </w:rPr>
      </w:pPr>
    </w:p>
    <w:p>
      <w:pPr>
        <w:spacing w:line="580" w:lineRule="exact"/>
        <w:ind w:firstLine="643" w:firstLineChars="200"/>
        <w:outlineLvl w:val="0"/>
        <w:rPr>
          <w:rFonts w:hint="eastAsia" w:ascii="仿宋" w:hAnsi="仿宋" w:eastAsia="仿宋" w:cs="仿宋"/>
          <w:b/>
          <w:bCs/>
          <w:color w:val="auto"/>
          <w:sz w:val="32"/>
          <w:szCs w:val="32"/>
          <w:lang w:val="en-US" w:eastAsia="zh-CN"/>
        </w:rPr>
      </w:pPr>
    </w:p>
    <w:p>
      <w:pPr>
        <w:spacing w:line="580" w:lineRule="exact"/>
        <w:ind w:firstLine="643" w:firstLineChars="200"/>
        <w:outlineLvl w:val="0"/>
        <w:rPr>
          <w:rFonts w:hint="eastAsia" w:asciiTheme="majorEastAsia" w:hAnsiTheme="majorEastAsia" w:eastAsiaTheme="majorEastAsia" w:cstheme="majorEastAsia"/>
          <w:b/>
          <w:bCs/>
          <w:color w:val="auto"/>
          <w:sz w:val="28"/>
          <w:szCs w:val="28"/>
        </w:rPr>
      </w:pPr>
      <w:r>
        <w:rPr>
          <w:rFonts w:hint="eastAsia" w:ascii="仿宋" w:hAnsi="仿宋" w:eastAsia="仿宋" w:cs="仿宋"/>
          <w:b/>
          <w:bCs/>
          <w:color w:val="auto"/>
          <w:sz w:val="32"/>
          <w:szCs w:val="32"/>
          <w:lang w:val="en-US" w:eastAsia="zh-CN"/>
        </w:rPr>
        <w:t xml:space="preserve"> </w:t>
      </w:r>
      <w:r>
        <w:rPr>
          <w:rFonts w:hint="eastAsia" w:asciiTheme="majorEastAsia" w:hAnsiTheme="majorEastAsia" w:eastAsiaTheme="majorEastAsia" w:cstheme="majorEastAsia"/>
          <w:b/>
          <w:bCs/>
          <w:color w:val="auto"/>
          <w:sz w:val="28"/>
          <w:szCs w:val="28"/>
        </w:rPr>
        <w:t>价格评估报告附件：</w:t>
      </w:r>
      <w:bookmarkEnd w:id="17"/>
    </w:p>
    <w:p>
      <w:pPr>
        <w:spacing w:line="580" w:lineRule="exact"/>
        <w:ind w:firstLine="560" w:firstLineChars="200"/>
        <w:jc w:val="left"/>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val="en-US" w:eastAsia="zh-CN"/>
        </w:rPr>
        <w:t>一、</w:t>
      </w:r>
      <w:r>
        <w:rPr>
          <w:rFonts w:hint="eastAsia" w:asciiTheme="majorEastAsia" w:hAnsiTheme="majorEastAsia" w:eastAsiaTheme="majorEastAsia" w:cstheme="majorEastAsia"/>
          <w:color w:val="auto"/>
          <w:sz w:val="28"/>
          <w:szCs w:val="28"/>
        </w:rPr>
        <w:t>现场照片；</w:t>
      </w:r>
    </w:p>
    <w:p>
      <w:pPr>
        <w:spacing w:line="580" w:lineRule="exact"/>
        <w:ind w:firstLine="560" w:firstLineChars="200"/>
        <w:jc w:val="left"/>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val="en-US" w:eastAsia="zh-CN"/>
        </w:rPr>
        <w:t>二</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陆良县人民法院</w:t>
      </w:r>
      <w:r>
        <w:rPr>
          <w:rFonts w:hint="eastAsia" w:asciiTheme="majorEastAsia" w:hAnsiTheme="majorEastAsia" w:eastAsiaTheme="majorEastAsia" w:cstheme="majorEastAsia"/>
          <w:color w:val="auto"/>
          <w:sz w:val="28"/>
          <w:szCs w:val="28"/>
        </w:rPr>
        <w:t>委托</w:t>
      </w:r>
      <w:r>
        <w:rPr>
          <w:rFonts w:hint="eastAsia" w:asciiTheme="majorEastAsia" w:hAnsiTheme="majorEastAsia" w:eastAsiaTheme="majorEastAsia" w:cstheme="majorEastAsia"/>
          <w:color w:val="auto"/>
          <w:sz w:val="28"/>
          <w:szCs w:val="28"/>
          <w:lang w:eastAsia="zh-CN"/>
        </w:rPr>
        <w:t>评估函</w:t>
      </w:r>
      <w:r>
        <w:rPr>
          <w:rFonts w:hint="eastAsia" w:asciiTheme="majorEastAsia" w:hAnsiTheme="majorEastAsia" w:eastAsiaTheme="majorEastAsia" w:cstheme="majorEastAsia"/>
          <w:color w:val="auto"/>
          <w:sz w:val="28"/>
          <w:szCs w:val="28"/>
        </w:rPr>
        <w:t>》原件；</w:t>
      </w:r>
    </w:p>
    <w:p>
      <w:pPr>
        <w:spacing w:line="580" w:lineRule="exact"/>
        <w:ind w:firstLine="560" w:firstLineChars="200"/>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color w:val="auto"/>
          <w:sz w:val="28"/>
          <w:szCs w:val="28"/>
          <w:lang w:val="en-US" w:eastAsia="zh-CN"/>
        </w:rPr>
        <w:t>三</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房屋所有权证</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陆房权证中枢镇字第00027339号</w:t>
      </w:r>
      <w:r>
        <w:rPr>
          <w:rFonts w:hint="eastAsia" w:asciiTheme="majorEastAsia" w:hAnsiTheme="majorEastAsia" w:eastAsiaTheme="majorEastAsia" w:cstheme="majorEastAsia"/>
          <w:color w:val="auto"/>
          <w:sz w:val="28"/>
          <w:szCs w:val="28"/>
        </w:rPr>
        <w:t>）复印件；</w:t>
      </w:r>
    </w:p>
    <w:p>
      <w:pPr>
        <w:pStyle w:val="2"/>
        <w:spacing w:line="580" w:lineRule="exact"/>
        <w:ind w:firstLine="560" w:firstLineChars="200"/>
        <w:jc w:val="both"/>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val="en-US" w:eastAsia="zh-CN"/>
        </w:rPr>
        <w:t>四</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国有土地使用证</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陆国用（2010）第1456号</w:t>
      </w:r>
      <w:r>
        <w:rPr>
          <w:rFonts w:hint="eastAsia" w:asciiTheme="majorEastAsia" w:hAnsiTheme="majorEastAsia" w:eastAsiaTheme="majorEastAsia" w:cstheme="majorEastAsia"/>
          <w:color w:val="auto"/>
          <w:sz w:val="28"/>
          <w:szCs w:val="28"/>
        </w:rPr>
        <w:t>）复印件；</w:t>
      </w:r>
    </w:p>
    <w:p>
      <w:pPr>
        <w:pStyle w:val="2"/>
        <w:spacing w:line="580" w:lineRule="exact"/>
        <w:ind w:firstLine="560" w:firstLineChars="200"/>
        <w:jc w:val="both"/>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val="en-US" w:eastAsia="zh-CN"/>
        </w:rPr>
        <w:t>五</w:t>
      </w:r>
      <w:r>
        <w:rPr>
          <w:rFonts w:hint="eastAsia" w:asciiTheme="majorEastAsia" w:hAnsiTheme="majorEastAsia" w:eastAsiaTheme="majorEastAsia" w:cstheme="majorEastAsia"/>
          <w:color w:val="auto"/>
          <w:sz w:val="28"/>
          <w:szCs w:val="28"/>
        </w:rPr>
        <w:t>、评估机构资质复印件；</w:t>
      </w:r>
    </w:p>
    <w:p>
      <w:pPr>
        <w:pStyle w:val="2"/>
        <w:spacing w:line="580" w:lineRule="exact"/>
        <w:ind w:firstLine="560" w:firstLineChars="200"/>
        <w:jc w:val="both"/>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val="en-US" w:eastAsia="zh-CN"/>
        </w:rPr>
        <w:t>六</w:t>
      </w:r>
      <w:r>
        <w:rPr>
          <w:rFonts w:hint="eastAsia" w:asciiTheme="majorEastAsia" w:hAnsiTheme="majorEastAsia" w:eastAsiaTheme="majorEastAsia" w:cstheme="majorEastAsia"/>
          <w:color w:val="auto"/>
          <w:sz w:val="28"/>
          <w:szCs w:val="28"/>
        </w:rPr>
        <w:t>、价格鉴证师资质复印件。</w:t>
      </w:r>
    </w:p>
    <w:p>
      <w:pPr>
        <w:pStyle w:val="2"/>
        <w:ind w:firstLine="320"/>
        <w:rPr>
          <w:rFonts w:ascii="仿宋" w:hAnsi="仿宋" w:eastAsia="仿宋" w:cs="仿宋"/>
          <w:color w:val="auto"/>
          <w:sz w:val="32"/>
          <w:szCs w:val="32"/>
        </w:rPr>
      </w:pPr>
    </w:p>
    <w:p>
      <w:pPr>
        <w:pStyle w:val="2"/>
        <w:ind w:firstLine="320"/>
        <w:rPr>
          <w:rFonts w:ascii="仿宋" w:hAnsi="仿宋" w:eastAsia="仿宋" w:cs="仿宋"/>
          <w:color w:val="auto"/>
          <w:sz w:val="32"/>
          <w:szCs w:val="32"/>
        </w:rPr>
      </w:pPr>
    </w:p>
    <w:p>
      <w:pPr>
        <w:pStyle w:val="2"/>
        <w:ind w:firstLine="320"/>
        <w:rPr>
          <w:rFonts w:ascii="仿宋" w:hAnsi="仿宋" w:eastAsia="仿宋" w:cs="仿宋"/>
          <w:color w:val="auto"/>
          <w:sz w:val="32"/>
          <w:szCs w:val="32"/>
        </w:rPr>
      </w:pPr>
    </w:p>
    <w:p>
      <w:pPr>
        <w:pStyle w:val="2"/>
        <w:ind w:firstLine="320"/>
        <w:rPr>
          <w:rFonts w:ascii="仿宋" w:hAnsi="仿宋" w:eastAsia="仿宋" w:cs="仿宋"/>
          <w:color w:val="auto"/>
          <w:sz w:val="32"/>
          <w:szCs w:val="32"/>
        </w:rPr>
      </w:pPr>
    </w:p>
    <w:p>
      <w:pPr>
        <w:pStyle w:val="2"/>
        <w:ind w:firstLine="320"/>
        <w:rPr>
          <w:rFonts w:ascii="仿宋" w:hAnsi="仿宋" w:eastAsia="仿宋" w:cs="仿宋"/>
          <w:color w:val="auto"/>
          <w:sz w:val="32"/>
          <w:szCs w:val="32"/>
        </w:rPr>
      </w:pPr>
    </w:p>
    <w:p>
      <w:pPr>
        <w:ind w:firstLine="2209" w:firstLineChars="500"/>
        <w:rPr>
          <w:rFonts w:hint="eastAsia" w:ascii="宋体" w:hAnsi="宋体"/>
          <w:b/>
          <w:color w:val="auto"/>
          <w:sz w:val="44"/>
          <w:szCs w:val="44"/>
        </w:rPr>
      </w:pPr>
    </w:p>
    <w:p>
      <w:pPr>
        <w:ind w:firstLine="2209" w:firstLineChars="500"/>
        <w:rPr>
          <w:rFonts w:hint="eastAsia" w:ascii="宋体" w:hAnsi="宋体"/>
          <w:b/>
          <w:color w:val="auto"/>
          <w:sz w:val="44"/>
          <w:szCs w:val="44"/>
        </w:rPr>
      </w:pPr>
    </w:p>
    <w:p>
      <w:pPr>
        <w:ind w:firstLine="2209" w:firstLineChars="500"/>
        <w:rPr>
          <w:rFonts w:hint="eastAsia" w:ascii="宋体" w:hAnsi="宋体"/>
          <w:b/>
          <w:color w:val="auto"/>
          <w:sz w:val="44"/>
          <w:szCs w:val="44"/>
        </w:rPr>
      </w:pPr>
    </w:p>
    <w:p>
      <w:pPr>
        <w:ind w:firstLine="2209" w:firstLineChars="500"/>
        <w:rPr>
          <w:rFonts w:hint="eastAsia" w:ascii="宋体" w:hAnsi="宋体"/>
          <w:b/>
          <w:color w:val="auto"/>
          <w:sz w:val="44"/>
          <w:szCs w:val="44"/>
        </w:rPr>
      </w:pPr>
    </w:p>
    <w:p>
      <w:pPr>
        <w:ind w:firstLine="2209" w:firstLineChars="500"/>
        <w:rPr>
          <w:rFonts w:hint="eastAsia" w:ascii="宋体" w:hAnsi="宋体"/>
          <w:b/>
          <w:color w:val="auto"/>
          <w:sz w:val="44"/>
          <w:szCs w:val="44"/>
        </w:rPr>
      </w:pPr>
    </w:p>
    <w:p>
      <w:pPr>
        <w:ind w:firstLine="2209" w:firstLineChars="500"/>
        <w:rPr>
          <w:rFonts w:hint="eastAsia" w:ascii="宋体" w:hAnsi="宋体"/>
          <w:b/>
          <w:color w:val="auto"/>
          <w:sz w:val="44"/>
          <w:szCs w:val="44"/>
        </w:rPr>
      </w:pPr>
    </w:p>
    <w:p>
      <w:pPr>
        <w:ind w:firstLine="2209" w:firstLineChars="500"/>
        <w:rPr>
          <w:rFonts w:hint="eastAsia" w:ascii="宋体" w:hAnsi="宋体"/>
          <w:b/>
          <w:color w:val="auto"/>
          <w:sz w:val="44"/>
          <w:szCs w:val="44"/>
        </w:rPr>
      </w:pPr>
    </w:p>
    <w:p>
      <w:pPr>
        <w:ind w:firstLine="2209" w:firstLineChars="500"/>
        <w:rPr>
          <w:rFonts w:hint="eastAsia" w:ascii="宋体" w:hAnsi="宋体"/>
          <w:b/>
          <w:color w:val="auto"/>
          <w:sz w:val="44"/>
          <w:szCs w:val="44"/>
        </w:rPr>
      </w:pPr>
    </w:p>
    <w:p>
      <w:pPr>
        <w:ind w:firstLine="2209" w:firstLineChars="500"/>
        <w:rPr>
          <w:rFonts w:hint="eastAsia" w:ascii="宋体" w:hAnsi="宋体"/>
          <w:b/>
          <w:color w:val="auto"/>
          <w:sz w:val="44"/>
          <w:szCs w:val="44"/>
        </w:rPr>
      </w:pPr>
    </w:p>
    <w:p>
      <w:pPr>
        <w:ind w:firstLine="2209" w:firstLineChars="500"/>
        <w:rPr>
          <w:rFonts w:ascii="宋体" w:hAnsi="宋体"/>
          <w:b/>
          <w:color w:val="auto"/>
          <w:sz w:val="44"/>
          <w:szCs w:val="44"/>
        </w:rPr>
      </w:pPr>
      <w:r>
        <w:rPr>
          <w:rFonts w:hint="eastAsia" w:ascii="宋体" w:hAnsi="宋体"/>
          <w:b/>
          <w:color w:val="auto"/>
          <w:sz w:val="44"/>
          <w:szCs w:val="44"/>
        </w:rPr>
        <w:t>价格评估技术报告</w:t>
      </w:r>
    </w:p>
    <w:p>
      <w:pPr>
        <w:spacing w:line="600" w:lineRule="atLeast"/>
        <w:rPr>
          <w:b/>
          <w:color w:val="auto"/>
          <w:sz w:val="44"/>
        </w:rPr>
      </w:pPr>
    </w:p>
    <w:p>
      <w:pPr>
        <w:tabs>
          <w:tab w:val="left" w:pos="540"/>
        </w:tabs>
        <w:spacing w:line="580" w:lineRule="exact"/>
        <w:ind w:left="-2"/>
        <w:rPr>
          <w:rFonts w:hint="eastAsia" w:ascii="宋体" w:hAnsi="宋体" w:eastAsia="宋体" w:cs="宋体"/>
          <w:color w:val="auto"/>
          <w:sz w:val="28"/>
          <w:szCs w:val="28"/>
        </w:rPr>
      </w:pPr>
      <w:r>
        <w:rPr>
          <w:rFonts w:hint="eastAsia"/>
          <w:b/>
          <w:color w:val="auto"/>
          <w:sz w:val="32"/>
        </w:rPr>
        <w:t xml:space="preserve">   </w:t>
      </w:r>
      <w:r>
        <w:rPr>
          <w:rFonts w:hint="eastAsia" w:ascii="宋体" w:hAnsi="宋体" w:eastAsia="宋体" w:cs="宋体"/>
          <w:b/>
          <w:color w:val="auto"/>
          <w:sz w:val="28"/>
          <w:szCs w:val="28"/>
        </w:rPr>
        <w:t xml:space="preserve"> </w:t>
      </w:r>
      <w:r>
        <w:rPr>
          <w:rFonts w:hint="eastAsia" w:ascii="宋体" w:hAnsi="宋体" w:eastAsia="宋体" w:cs="宋体"/>
          <w:color w:val="auto"/>
          <w:sz w:val="28"/>
          <w:szCs w:val="28"/>
        </w:rPr>
        <w:t>一、评估对象概况</w:t>
      </w:r>
    </w:p>
    <w:p>
      <w:pPr>
        <w:spacing w:line="580" w:lineRule="exact"/>
        <w:ind w:firstLine="640"/>
        <w:rPr>
          <w:rFonts w:hint="eastAsia" w:ascii="宋体" w:hAnsi="宋体" w:eastAsia="宋体" w:cs="宋体"/>
          <w:color w:val="auto"/>
          <w:sz w:val="28"/>
          <w:szCs w:val="28"/>
        </w:rPr>
      </w:pPr>
      <w:r>
        <w:rPr>
          <w:rFonts w:hint="eastAsia" w:ascii="宋体" w:hAnsi="宋体" w:eastAsia="宋体" w:cs="宋体"/>
          <w:color w:val="auto"/>
          <w:sz w:val="28"/>
          <w:szCs w:val="28"/>
        </w:rPr>
        <w:t>根据委托方提供的《</w:t>
      </w:r>
      <w:r>
        <w:rPr>
          <w:rFonts w:hint="eastAsia" w:ascii="宋体" w:hAnsi="宋体" w:eastAsia="宋体" w:cs="宋体"/>
          <w:color w:val="auto"/>
          <w:sz w:val="28"/>
          <w:szCs w:val="28"/>
          <w:lang w:eastAsia="zh-CN"/>
        </w:rPr>
        <w:t>陆良县人民法院</w:t>
      </w:r>
      <w:r>
        <w:rPr>
          <w:rFonts w:hint="eastAsia" w:ascii="宋体" w:hAnsi="宋体" w:eastAsia="宋体" w:cs="宋体"/>
          <w:color w:val="auto"/>
          <w:sz w:val="28"/>
          <w:szCs w:val="28"/>
        </w:rPr>
        <w:t>委托</w:t>
      </w:r>
      <w:r>
        <w:rPr>
          <w:rFonts w:hint="eastAsia" w:ascii="宋体" w:hAnsi="宋体" w:eastAsia="宋体" w:cs="宋体"/>
          <w:color w:val="auto"/>
          <w:sz w:val="28"/>
          <w:szCs w:val="28"/>
          <w:lang w:eastAsia="zh-CN"/>
        </w:rPr>
        <w:t>评估函</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房屋所有权证</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陆房权证中枢镇字第00027339号</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及</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国有土地使用证</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陆国用（2010）第1456号</w:t>
      </w:r>
      <w:r>
        <w:rPr>
          <w:rFonts w:hint="eastAsia" w:asciiTheme="majorEastAsia" w:hAnsiTheme="majorEastAsia" w:eastAsiaTheme="majorEastAsia" w:cstheme="majorEastAsia"/>
          <w:color w:val="auto"/>
          <w:sz w:val="28"/>
          <w:szCs w:val="28"/>
        </w:rPr>
        <w:t>）</w:t>
      </w:r>
      <w:r>
        <w:rPr>
          <w:rFonts w:hint="eastAsia" w:ascii="宋体" w:hAnsi="宋体" w:eastAsia="宋体" w:cs="宋体"/>
          <w:color w:val="auto"/>
          <w:sz w:val="28"/>
          <w:szCs w:val="28"/>
        </w:rPr>
        <w:t>复印件记载评估对象的具体产权状况如下表：</w:t>
      </w:r>
    </w:p>
    <w:p>
      <w:pPr>
        <w:spacing w:line="580" w:lineRule="exact"/>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（1）评估对象房屋权属状况</w:t>
      </w:r>
    </w:p>
    <w:tbl>
      <w:tblPr>
        <w:tblStyle w:val="18"/>
        <w:tblW w:w="8522" w:type="dxa"/>
        <w:tblInd w:w="0" w:type="dxa"/>
        <w:tblLayout w:type="fixed"/>
        <w:tblCellMar>
          <w:top w:w="0" w:type="dxa"/>
          <w:left w:w="108" w:type="dxa"/>
          <w:bottom w:w="0" w:type="dxa"/>
          <w:right w:w="108" w:type="dxa"/>
        </w:tblCellMar>
      </w:tblPr>
      <w:tblGrid>
        <w:gridCol w:w="2383"/>
        <w:gridCol w:w="6139"/>
      </w:tblGrid>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eastAsia="zh-CN"/>
              </w:rPr>
              <w:t>房屋所有权证</w:t>
            </w:r>
            <w:r>
              <w:rPr>
                <w:rFonts w:hint="eastAsia" w:ascii="仿宋" w:hAnsi="仿宋" w:eastAsia="仿宋" w:cs="仿宋"/>
                <w:color w:val="auto"/>
                <w:sz w:val="24"/>
              </w:rPr>
              <w:t>编号</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陆房权证中枢镇字第00027339号</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房号</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1-1-1A</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权利人</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李文华</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共有情况</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坐落</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中枢镇南门三社</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产别</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私有</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结构</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钢混结构</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设计</w:t>
            </w:r>
            <w:r>
              <w:rPr>
                <w:rFonts w:hint="eastAsia" w:ascii="仿宋" w:hAnsi="仿宋" w:eastAsia="仿宋" w:cs="仿宋"/>
                <w:color w:val="auto"/>
                <w:sz w:val="24"/>
              </w:rPr>
              <w:t>用途</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住宅</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建筑面积</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eastAsia="zh-CN"/>
              </w:rPr>
              <w:t>61.92</w:t>
            </w:r>
            <w:r>
              <w:rPr>
                <w:rFonts w:hint="eastAsia" w:ascii="仿宋" w:hAnsi="仿宋" w:eastAsia="仿宋" w:cs="仿宋"/>
                <w:color w:val="auto"/>
                <w:sz w:val="24"/>
              </w:rPr>
              <w:t>m</w:t>
            </w:r>
            <w:r>
              <w:rPr>
                <w:rFonts w:hint="eastAsia" w:ascii="仿宋" w:hAnsi="仿宋" w:eastAsia="仿宋" w:cs="仿宋"/>
                <w:color w:val="auto"/>
                <w:sz w:val="24"/>
                <w:vertAlign w:val="superscript"/>
              </w:rPr>
              <w:t>2</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房屋总层数</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7</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所在层数</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1</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sz w:val="24"/>
                <w:lang w:val="en-US" w:eastAsia="zh-CN"/>
              </w:rPr>
              <w:t>房号</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b w:val="0"/>
                <w:bCs w:val="0"/>
                <w:color w:val="auto"/>
                <w:sz w:val="24"/>
                <w:lang w:val="en-US" w:eastAsia="zh-CN"/>
              </w:rPr>
            </w:pPr>
            <w:r>
              <w:rPr>
                <w:rFonts w:hint="eastAsia" w:ascii="仿宋" w:hAnsi="仿宋" w:eastAsia="仿宋" w:cs="仿宋"/>
                <w:b w:val="0"/>
                <w:bCs w:val="0"/>
                <w:color w:val="auto"/>
                <w:sz w:val="24"/>
                <w:lang w:val="en-US" w:eastAsia="zh-CN"/>
              </w:rPr>
              <w:t>1-1-1B</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权利人</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eastAsia="zh-CN"/>
              </w:rPr>
              <w:t>李文华</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共有情况</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val="en-US" w:eastAsia="zh-CN"/>
              </w:rPr>
              <w:t>/</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坐落</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val="en-US" w:eastAsia="zh-CN"/>
              </w:rPr>
              <w:t>中枢镇南门三社</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val="en-US" w:eastAsia="zh-CN"/>
              </w:rPr>
              <w:t>产别</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val="en-US" w:eastAsia="zh-CN"/>
              </w:rPr>
              <w:t>私有</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val="en-US" w:eastAsia="zh-CN"/>
              </w:rPr>
              <w:t>结构</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val="en-US" w:eastAsia="zh-CN"/>
              </w:rPr>
              <w:t>钢混结构</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val="en-US" w:eastAsia="zh-CN"/>
              </w:rPr>
              <w:t>设计</w:t>
            </w:r>
            <w:r>
              <w:rPr>
                <w:rFonts w:hint="eastAsia" w:ascii="仿宋" w:hAnsi="仿宋" w:eastAsia="仿宋" w:cs="仿宋"/>
                <w:color w:val="auto"/>
                <w:sz w:val="24"/>
              </w:rPr>
              <w:t>用途</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车库</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建筑面积</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20.40</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val="en-US" w:eastAsia="zh-CN"/>
              </w:rPr>
              <w:t>房屋总层数</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7</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lang w:val="en-US" w:eastAsia="zh-CN"/>
              </w:rPr>
              <w:t>所在层数</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1</w:t>
            </w:r>
          </w:p>
        </w:tc>
      </w:tr>
    </w:tbl>
    <w:p>
      <w:pPr>
        <w:spacing w:line="580" w:lineRule="exact"/>
        <w:ind w:firstLine="560" w:firstLine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评估对象土地权属状况</w:t>
      </w:r>
    </w:p>
    <w:tbl>
      <w:tblPr>
        <w:tblStyle w:val="18"/>
        <w:tblW w:w="8522" w:type="dxa"/>
        <w:tblInd w:w="0" w:type="dxa"/>
        <w:tblLayout w:type="fixed"/>
        <w:tblCellMar>
          <w:top w:w="0" w:type="dxa"/>
          <w:left w:w="108" w:type="dxa"/>
          <w:bottom w:w="0" w:type="dxa"/>
          <w:right w:w="108" w:type="dxa"/>
        </w:tblCellMar>
      </w:tblPr>
      <w:tblGrid>
        <w:gridCol w:w="2383"/>
        <w:gridCol w:w="6139"/>
      </w:tblGrid>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国有土地使用证</w:t>
            </w:r>
            <w:r>
              <w:rPr>
                <w:rFonts w:hint="eastAsia" w:ascii="仿宋" w:hAnsi="仿宋" w:eastAsia="仿宋" w:cs="仿宋"/>
                <w:color w:val="auto"/>
                <w:sz w:val="24"/>
              </w:rPr>
              <w:t>编号</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陆国用（2010）第1456号</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土地使用权人</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李文华</w:t>
            </w:r>
          </w:p>
        </w:tc>
      </w:tr>
      <w:tr>
        <w:tblPrEx>
          <w:tblCellMar>
            <w:top w:w="0" w:type="dxa"/>
            <w:left w:w="108" w:type="dxa"/>
            <w:bottom w:w="0" w:type="dxa"/>
            <w:right w:w="108" w:type="dxa"/>
          </w:tblCellMar>
        </w:tblPrEx>
        <w:trPr>
          <w:trHeight w:val="317"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坐落</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中枢镇南门三社华龙小区</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地号</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101-0B-32-9-S1-20-10</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地类（用途）</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城镇单一住宅用地</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使用权类型</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出让</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设计</w:t>
            </w:r>
            <w:r>
              <w:rPr>
                <w:rFonts w:hint="eastAsia" w:ascii="仿宋" w:hAnsi="仿宋" w:eastAsia="仿宋" w:cs="仿宋"/>
                <w:color w:val="auto"/>
                <w:sz w:val="24"/>
              </w:rPr>
              <w:t>用途</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住宅</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使用权</w:t>
            </w:r>
            <w:r>
              <w:rPr>
                <w:rFonts w:hint="eastAsia" w:ascii="仿宋" w:hAnsi="仿宋" w:eastAsia="仿宋" w:cs="仿宋"/>
                <w:color w:val="auto"/>
                <w:sz w:val="24"/>
              </w:rPr>
              <w:t>面积</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lang w:val="en-US" w:eastAsia="zh-CN"/>
              </w:rPr>
              <w:t>11.34</w:t>
            </w:r>
            <w:r>
              <w:rPr>
                <w:rFonts w:hint="eastAsia" w:ascii="仿宋" w:hAnsi="仿宋" w:eastAsia="仿宋" w:cs="仿宋"/>
                <w:color w:val="auto"/>
                <w:sz w:val="24"/>
              </w:rPr>
              <w:t>m</w:t>
            </w:r>
            <w:r>
              <w:rPr>
                <w:rFonts w:hint="eastAsia" w:ascii="仿宋" w:hAnsi="仿宋" w:eastAsia="仿宋" w:cs="仿宋"/>
                <w:color w:val="auto"/>
                <w:sz w:val="24"/>
                <w:vertAlign w:val="superscript"/>
              </w:rPr>
              <w:t>2</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分摊面积</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11.34</w:t>
            </w:r>
            <w:r>
              <w:rPr>
                <w:rFonts w:hint="eastAsia" w:ascii="仿宋" w:hAnsi="仿宋" w:eastAsia="仿宋" w:cs="仿宋"/>
                <w:color w:val="auto"/>
                <w:sz w:val="24"/>
              </w:rPr>
              <w:t>m</w:t>
            </w:r>
            <w:r>
              <w:rPr>
                <w:rFonts w:hint="eastAsia" w:ascii="仿宋" w:hAnsi="仿宋" w:eastAsia="仿宋" w:cs="仿宋"/>
                <w:color w:val="auto"/>
                <w:sz w:val="24"/>
                <w:vertAlign w:val="superscript"/>
              </w:rPr>
              <w:t>2</w:t>
            </w:r>
          </w:p>
        </w:tc>
      </w:tr>
      <w:tr>
        <w:tblPrEx>
          <w:tblCellMar>
            <w:top w:w="0" w:type="dxa"/>
            <w:left w:w="108" w:type="dxa"/>
            <w:bottom w:w="0" w:type="dxa"/>
            <w:right w:w="108" w:type="dxa"/>
          </w:tblCellMar>
        </w:tblPrEx>
        <w:trPr>
          <w:trHeight w:val="270" w:hRule="atLeast"/>
        </w:trPr>
        <w:tc>
          <w:tcPr>
            <w:tcW w:w="238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终止日期</w:t>
            </w:r>
          </w:p>
        </w:tc>
        <w:tc>
          <w:tcPr>
            <w:tcW w:w="613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default" w:ascii="仿宋" w:hAnsi="仿宋" w:eastAsia="仿宋" w:cs="仿宋"/>
                <w:color w:val="auto"/>
                <w:sz w:val="24"/>
                <w:lang w:val="en-US"/>
              </w:rPr>
            </w:pPr>
            <w:r>
              <w:rPr>
                <w:rFonts w:hint="eastAsia" w:ascii="仿宋" w:hAnsi="仿宋" w:eastAsia="仿宋" w:cs="仿宋"/>
                <w:color w:val="auto"/>
                <w:sz w:val="24"/>
                <w:lang w:val="en-US" w:eastAsia="zh-CN"/>
              </w:rPr>
              <w:t>2077年04月10日</w:t>
            </w:r>
          </w:p>
        </w:tc>
      </w:tr>
    </w:tbl>
    <w:p>
      <w:pPr>
        <w:tabs>
          <w:tab w:val="left" w:pos="720"/>
        </w:tabs>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根据现场勘查了解，现场勘查日该房屋为被</w:t>
      </w:r>
      <w:r>
        <w:rPr>
          <w:rFonts w:hint="eastAsia" w:asciiTheme="majorEastAsia" w:hAnsiTheme="majorEastAsia" w:eastAsiaTheme="majorEastAsia" w:cstheme="majorEastAsia"/>
          <w:color w:val="auto"/>
          <w:sz w:val="28"/>
          <w:szCs w:val="28"/>
          <w:lang w:val="en-US" w:eastAsia="zh-CN"/>
        </w:rPr>
        <w:t>申请方</w:t>
      </w:r>
      <w:r>
        <w:rPr>
          <w:rFonts w:hint="eastAsia" w:asciiTheme="majorEastAsia" w:hAnsiTheme="majorEastAsia" w:eastAsiaTheme="majorEastAsia" w:cstheme="majorEastAsia"/>
          <w:color w:val="auto"/>
          <w:sz w:val="28"/>
          <w:szCs w:val="28"/>
        </w:rPr>
        <w:t>自用，房屋结构为</w:t>
      </w:r>
      <w:r>
        <w:rPr>
          <w:rFonts w:hint="eastAsia" w:asciiTheme="majorEastAsia" w:hAnsiTheme="majorEastAsia" w:eastAsiaTheme="majorEastAsia" w:cstheme="majorEastAsia"/>
          <w:color w:val="auto"/>
          <w:sz w:val="28"/>
          <w:szCs w:val="28"/>
          <w:lang w:eastAsia="zh-CN"/>
        </w:rPr>
        <w:t>钢混结构</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1-1-1A号</w:t>
      </w:r>
      <w:r>
        <w:rPr>
          <w:rFonts w:hint="eastAsia" w:asciiTheme="majorEastAsia" w:hAnsiTheme="majorEastAsia" w:eastAsiaTheme="majorEastAsia" w:cstheme="majorEastAsia"/>
          <w:color w:val="auto"/>
          <w:sz w:val="28"/>
          <w:szCs w:val="28"/>
          <w:lang w:val="en-US" w:eastAsia="zh-CN"/>
        </w:rPr>
        <w:t>房屋</w:t>
      </w:r>
      <w:r>
        <w:rPr>
          <w:rFonts w:hint="eastAsia" w:asciiTheme="majorEastAsia" w:hAnsiTheme="majorEastAsia" w:eastAsiaTheme="majorEastAsia" w:cstheme="majorEastAsia"/>
          <w:color w:val="auto"/>
          <w:sz w:val="28"/>
          <w:szCs w:val="28"/>
        </w:rPr>
        <w:t>建筑面积为</w:t>
      </w:r>
      <w:r>
        <w:rPr>
          <w:rFonts w:hint="eastAsia" w:asciiTheme="majorEastAsia" w:hAnsiTheme="majorEastAsia" w:eastAsiaTheme="majorEastAsia" w:cstheme="majorEastAsia"/>
          <w:color w:val="auto"/>
          <w:sz w:val="28"/>
          <w:szCs w:val="28"/>
          <w:lang w:eastAsia="zh-CN"/>
        </w:rPr>
        <w:t>61.92</w:t>
      </w:r>
      <w:r>
        <w:rPr>
          <w:rFonts w:hint="eastAsia" w:asciiTheme="majorEastAsia" w:hAnsiTheme="majorEastAsia" w:eastAsiaTheme="majorEastAsia" w:cstheme="majorEastAsia"/>
          <w:color w:val="auto"/>
          <w:sz w:val="28"/>
          <w:szCs w:val="28"/>
        </w:rPr>
        <w:t>平方米，</w:t>
      </w:r>
      <w:r>
        <w:rPr>
          <w:rFonts w:hint="eastAsia" w:asciiTheme="majorEastAsia" w:hAnsiTheme="majorEastAsia" w:eastAsiaTheme="majorEastAsia" w:cstheme="majorEastAsia"/>
          <w:color w:val="auto"/>
          <w:sz w:val="28"/>
          <w:szCs w:val="28"/>
          <w:lang w:eastAsia="zh-CN"/>
        </w:rPr>
        <w:t>1-1-1</w:t>
      </w:r>
      <w:r>
        <w:rPr>
          <w:rFonts w:hint="eastAsia" w:asciiTheme="majorEastAsia" w:hAnsiTheme="majorEastAsia" w:eastAsiaTheme="majorEastAsia" w:cstheme="majorEastAsia"/>
          <w:color w:val="auto"/>
          <w:sz w:val="28"/>
          <w:szCs w:val="28"/>
          <w:lang w:val="en-US" w:eastAsia="zh-CN"/>
        </w:rPr>
        <w:t>B</w:t>
      </w:r>
      <w:r>
        <w:rPr>
          <w:rFonts w:hint="eastAsia" w:asciiTheme="majorEastAsia" w:hAnsiTheme="majorEastAsia" w:eastAsiaTheme="majorEastAsia" w:cstheme="majorEastAsia"/>
          <w:color w:val="auto"/>
          <w:sz w:val="28"/>
          <w:szCs w:val="28"/>
          <w:lang w:eastAsia="zh-CN"/>
        </w:rPr>
        <w:t>号</w:t>
      </w:r>
      <w:r>
        <w:rPr>
          <w:rFonts w:hint="eastAsia" w:asciiTheme="majorEastAsia" w:hAnsiTheme="majorEastAsia" w:eastAsiaTheme="majorEastAsia" w:cstheme="majorEastAsia"/>
          <w:color w:val="auto"/>
          <w:sz w:val="28"/>
          <w:szCs w:val="28"/>
          <w:lang w:val="en-US" w:eastAsia="zh-CN"/>
        </w:rPr>
        <w:t>房屋</w:t>
      </w:r>
      <w:r>
        <w:rPr>
          <w:rFonts w:hint="eastAsia" w:asciiTheme="majorEastAsia" w:hAnsiTheme="majorEastAsia" w:eastAsiaTheme="majorEastAsia" w:cstheme="majorEastAsia"/>
          <w:color w:val="auto"/>
          <w:sz w:val="28"/>
          <w:szCs w:val="28"/>
        </w:rPr>
        <w:t>建筑面积为</w:t>
      </w:r>
      <w:r>
        <w:rPr>
          <w:rFonts w:hint="eastAsia" w:asciiTheme="majorEastAsia" w:hAnsiTheme="majorEastAsia" w:eastAsiaTheme="majorEastAsia" w:cstheme="majorEastAsia"/>
          <w:color w:val="auto"/>
          <w:sz w:val="28"/>
          <w:szCs w:val="28"/>
          <w:lang w:val="en-US" w:eastAsia="zh-CN"/>
        </w:rPr>
        <w:t>20.40</w:t>
      </w:r>
      <w:r>
        <w:rPr>
          <w:rFonts w:hint="eastAsia" w:asciiTheme="majorEastAsia" w:hAnsiTheme="majorEastAsia" w:eastAsiaTheme="majorEastAsia" w:cstheme="majorEastAsia"/>
          <w:color w:val="auto"/>
          <w:sz w:val="28"/>
          <w:szCs w:val="28"/>
        </w:rPr>
        <w:t>平方米</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总层数为</w:t>
      </w:r>
      <w:r>
        <w:rPr>
          <w:rFonts w:hint="eastAsia" w:asciiTheme="majorEastAsia" w:hAnsiTheme="majorEastAsia" w:eastAsiaTheme="majorEastAsia" w:cstheme="majorEastAsia"/>
          <w:color w:val="auto"/>
          <w:sz w:val="28"/>
          <w:szCs w:val="28"/>
          <w:lang w:val="en-US" w:eastAsia="zh-CN"/>
        </w:rPr>
        <w:t>7</w:t>
      </w:r>
      <w:r>
        <w:rPr>
          <w:rFonts w:hint="eastAsia" w:asciiTheme="majorEastAsia" w:hAnsiTheme="majorEastAsia" w:eastAsiaTheme="majorEastAsia" w:cstheme="majorEastAsia"/>
          <w:color w:val="auto"/>
          <w:sz w:val="28"/>
          <w:szCs w:val="28"/>
        </w:rPr>
        <w:t>层</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lang w:val="en-US" w:eastAsia="zh-CN"/>
        </w:rPr>
        <w:t>均为地上层</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评估对象均位于1层。</w:t>
      </w:r>
      <w:r>
        <w:rPr>
          <w:rFonts w:hint="eastAsia" w:asciiTheme="majorEastAsia" w:hAnsiTheme="majorEastAsia" w:eastAsiaTheme="majorEastAsia" w:cstheme="majorEastAsia"/>
          <w:color w:val="auto"/>
          <w:sz w:val="28"/>
          <w:szCs w:val="28"/>
          <w:lang w:eastAsia="zh-CN"/>
        </w:rPr>
        <w:t>1-1-1A号</w:t>
      </w:r>
      <w:r>
        <w:rPr>
          <w:rFonts w:hint="eastAsia" w:asciiTheme="majorEastAsia" w:hAnsiTheme="majorEastAsia" w:eastAsiaTheme="majorEastAsia" w:cstheme="majorEastAsia"/>
          <w:color w:val="auto"/>
          <w:sz w:val="28"/>
          <w:szCs w:val="28"/>
          <w:lang w:val="en-US" w:eastAsia="zh-CN"/>
        </w:rPr>
        <w:t>房屋</w:t>
      </w:r>
      <w:r>
        <w:rPr>
          <w:rFonts w:hint="eastAsia" w:asciiTheme="majorEastAsia" w:hAnsiTheme="majorEastAsia" w:eastAsiaTheme="majorEastAsia" w:cstheme="majorEastAsia"/>
          <w:color w:val="auto"/>
          <w:sz w:val="28"/>
          <w:szCs w:val="28"/>
        </w:rPr>
        <w:t>用途为住宅</w:t>
      </w:r>
      <w:r>
        <w:rPr>
          <w:rFonts w:hint="eastAsia" w:asciiTheme="majorEastAsia" w:hAnsiTheme="majorEastAsia" w:eastAsiaTheme="majorEastAsia" w:cstheme="majorEastAsia"/>
          <w:color w:val="auto"/>
          <w:sz w:val="28"/>
          <w:szCs w:val="28"/>
          <w:lang w:eastAsia="zh-CN"/>
        </w:rPr>
        <w:t>、1-1-1</w:t>
      </w:r>
      <w:r>
        <w:rPr>
          <w:rFonts w:hint="eastAsia" w:asciiTheme="majorEastAsia" w:hAnsiTheme="majorEastAsia" w:eastAsiaTheme="majorEastAsia" w:cstheme="majorEastAsia"/>
          <w:color w:val="auto"/>
          <w:sz w:val="28"/>
          <w:szCs w:val="28"/>
          <w:lang w:val="en-US" w:eastAsia="zh-CN"/>
        </w:rPr>
        <w:t>B</w:t>
      </w:r>
      <w:r>
        <w:rPr>
          <w:rFonts w:hint="eastAsia" w:asciiTheme="majorEastAsia" w:hAnsiTheme="majorEastAsia" w:eastAsiaTheme="majorEastAsia" w:cstheme="majorEastAsia"/>
          <w:color w:val="auto"/>
          <w:sz w:val="28"/>
          <w:szCs w:val="28"/>
          <w:lang w:eastAsia="zh-CN"/>
        </w:rPr>
        <w:t>号</w:t>
      </w:r>
      <w:r>
        <w:rPr>
          <w:rFonts w:hint="eastAsia" w:asciiTheme="majorEastAsia" w:hAnsiTheme="majorEastAsia" w:eastAsiaTheme="majorEastAsia" w:cstheme="majorEastAsia"/>
          <w:color w:val="auto"/>
          <w:sz w:val="28"/>
          <w:szCs w:val="28"/>
          <w:lang w:val="en-US" w:eastAsia="zh-CN"/>
        </w:rPr>
        <w:t>房屋用途为车库。</w:t>
      </w:r>
      <w:r>
        <w:rPr>
          <w:rFonts w:hint="eastAsia" w:asciiTheme="majorEastAsia" w:hAnsiTheme="majorEastAsia" w:eastAsiaTheme="majorEastAsia" w:cstheme="majorEastAsia"/>
          <w:color w:val="auto"/>
          <w:sz w:val="28"/>
          <w:szCs w:val="28"/>
        </w:rPr>
        <w:t>房屋外墙为瓷砖，</w:t>
      </w:r>
      <w:r>
        <w:rPr>
          <w:rFonts w:hint="eastAsia" w:asciiTheme="majorEastAsia" w:hAnsiTheme="majorEastAsia" w:eastAsiaTheme="majorEastAsia" w:cstheme="majorEastAsia"/>
          <w:color w:val="auto"/>
          <w:sz w:val="28"/>
          <w:szCs w:val="28"/>
          <w:lang w:val="en-US" w:eastAsia="zh-CN"/>
        </w:rPr>
        <w:t>住宅</w:t>
      </w:r>
      <w:r>
        <w:rPr>
          <w:rFonts w:hint="eastAsia" w:asciiTheme="majorEastAsia" w:hAnsiTheme="majorEastAsia" w:eastAsiaTheme="majorEastAsia" w:cstheme="majorEastAsia"/>
          <w:color w:val="auto"/>
          <w:sz w:val="28"/>
          <w:szCs w:val="28"/>
        </w:rPr>
        <w:t>入户门为</w:t>
      </w:r>
      <w:r>
        <w:rPr>
          <w:rFonts w:hint="eastAsia" w:asciiTheme="majorEastAsia" w:hAnsiTheme="majorEastAsia" w:eastAsiaTheme="majorEastAsia" w:cstheme="majorEastAsia"/>
          <w:color w:val="auto"/>
          <w:sz w:val="28"/>
          <w:szCs w:val="28"/>
          <w:lang w:val="en-US" w:eastAsia="zh-CN"/>
        </w:rPr>
        <w:t>防盗门</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车库入户门为铁门，</w:t>
      </w:r>
      <w:r>
        <w:rPr>
          <w:rFonts w:hint="eastAsia" w:asciiTheme="majorEastAsia" w:hAnsiTheme="majorEastAsia" w:eastAsiaTheme="majorEastAsia" w:cstheme="majorEastAsia"/>
          <w:color w:val="auto"/>
          <w:sz w:val="28"/>
          <w:szCs w:val="28"/>
        </w:rPr>
        <w:t>室内楼梯为步梯（瓷砖踏步，</w:t>
      </w:r>
      <w:r>
        <w:rPr>
          <w:rFonts w:hint="eastAsia" w:asciiTheme="majorEastAsia" w:hAnsiTheme="majorEastAsia" w:eastAsiaTheme="majorEastAsia" w:cstheme="majorEastAsia"/>
          <w:color w:val="auto"/>
          <w:sz w:val="28"/>
          <w:szCs w:val="28"/>
          <w:lang w:val="en-US" w:eastAsia="zh-CN"/>
        </w:rPr>
        <w:t>楼道墙面部分贴墙砖，部分刮瓷粉，天棚面刮瓷粉</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1-1-1A号</w:t>
      </w:r>
      <w:r>
        <w:rPr>
          <w:rFonts w:hint="eastAsia" w:asciiTheme="majorEastAsia" w:hAnsiTheme="majorEastAsia" w:eastAsiaTheme="majorEastAsia" w:cstheme="majorEastAsia"/>
          <w:color w:val="auto"/>
          <w:sz w:val="28"/>
          <w:szCs w:val="28"/>
          <w:lang w:val="en-US" w:eastAsia="zh-CN"/>
        </w:rPr>
        <w:t>房屋空间</w:t>
      </w:r>
      <w:r>
        <w:rPr>
          <w:rFonts w:hint="eastAsia" w:asciiTheme="majorEastAsia" w:hAnsiTheme="majorEastAsia" w:eastAsiaTheme="majorEastAsia" w:cstheme="majorEastAsia"/>
          <w:color w:val="auto"/>
          <w:sz w:val="28"/>
          <w:szCs w:val="28"/>
        </w:rPr>
        <w:t>布局为</w:t>
      </w:r>
      <w:r>
        <w:rPr>
          <w:rFonts w:hint="eastAsia" w:asciiTheme="majorEastAsia" w:hAnsiTheme="majorEastAsia" w:eastAsiaTheme="majorEastAsia" w:cstheme="majorEastAsia"/>
          <w:color w:val="auto"/>
          <w:sz w:val="28"/>
          <w:szCs w:val="28"/>
          <w:lang w:val="en-US" w:eastAsia="zh-CN"/>
        </w:rPr>
        <w:t>二室</w:t>
      </w:r>
      <w:r>
        <w:rPr>
          <w:rFonts w:hint="eastAsia" w:asciiTheme="majorEastAsia" w:hAnsiTheme="majorEastAsia" w:eastAsiaTheme="majorEastAsia" w:cstheme="majorEastAsia"/>
          <w:color w:val="auto"/>
          <w:sz w:val="28"/>
          <w:szCs w:val="28"/>
        </w:rPr>
        <w:t>一厅一厨一卫</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lang w:val="en-US" w:eastAsia="zh-CN"/>
        </w:rPr>
        <w:t>室内装修为简单装修，层高为3.24米（净层高）；</w:t>
      </w:r>
      <w:r>
        <w:rPr>
          <w:rFonts w:hint="eastAsia" w:asciiTheme="majorEastAsia" w:hAnsiTheme="majorEastAsia" w:eastAsiaTheme="majorEastAsia" w:cstheme="majorEastAsia"/>
          <w:color w:val="auto"/>
          <w:sz w:val="28"/>
          <w:szCs w:val="28"/>
          <w:lang w:eastAsia="zh-CN"/>
        </w:rPr>
        <w:t>1-1-1</w:t>
      </w:r>
      <w:r>
        <w:rPr>
          <w:rFonts w:hint="eastAsia" w:asciiTheme="majorEastAsia" w:hAnsiTheme="majorEastAsia" w:eastAsiaTheme="majorEastAsia" w:cstheme="majorEastAsia"/>
          <w:color w:val="auto"/>
          <w:sz w:val="28"/>
          <w:szCs w:val="28"/>
          <w:lang w:val="en-US" w:eastAsia="zh-CN"/>
        </w:rPr>
        <w:t>B</w:t>
      </w:r>
      <w:r>
        <w:rPr>
          <w:rFonts w:hint="eastAsia" w:asciiTheme="majorEastAsia" w:hAnsiTheme="majorEastAsia" w:eastAsiaTheme="majorEastAsia" w:cstheme="majorEastAsia"/>
          <w:color w:val="auto"/>
          <w:sz w:val="28"/>
          <w:szCs w:val="28"/>
          <w:lang w:eastAsia="zh-CN"/>
        </w:rPr>
        <w:t>号</w:t>
      </w:r>
      <w:r>
        <w:rPr>
          <w:rFonts w:hint="eastAsia" w:asciiTheme="majorEastAsia" w:hAnsiTheme="majorEastAsia" w:eastAsiaTheme="majorEastAsia" w:cstheme="majorEastAsia"/>
          <w:color w:val="auto"/>
          <w:sz w:val="28"/>
          <w:szCs w:val="28"/>
          <w:lang w:val="en-US" w:eastAsia="zh-CN"/>
        </w:rPr>
        <w:t>房屋空间</w:t>
      </w:r>
      <w:r>
        <w:rPr>
          <w:rFonts w:hint="eastAsia" w:asciiTheme="majorEastAsia" w:hAnsiTheme="majorEastAsia" w:eastAsiaTheme="majorEastAsia" w:cstheme="majorEastAsia"/>
          <w:color w:val="auto"/>
          <w:sz w:val="28"/>
          <w:szCs w:val="28"/>
        </w:rPr>
        <w:t>布局为</w:t>
      </w:r>
      <w:r>
        <w:rPr>
          <w:rFonts w:hint="eastAsia" w:asciiTheme="majorEastAsia" w:hAnsiTheme="majorEastAsia" w:eastAsiaTheme="majorEastAsia" w:cstheme="majorEastAsia"/>
          <w:color w:val="auto"/>
          <w:sz w:val="28"/>
          <w:szCs w:val="28"/>
          <w:lang w:val="en-US" w:eastAsia="zh-CN"/>
        </w:rPr>
        <w:t>矩形</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lang w:val="en-US" w:eastAsia="zh-CN"/>
        </w:rPr>
        <w:t>室内装修为简单装修，层高为3.24米（净层高）</w:t>
      </w:r>
      <w:r>
        <w:rPr>
          <w:rFonts w:hint="eastAsia" w:asciiTheme="majorEastAsia" w:hAnsiTheme="majorEastAsia" w:eastAsiaTheme="majorEastAsia" w:cstheme="majorEastAsia"/>
          <w:color w:val="auto"/>
          <w:sz w:val="28"/>
          <w:szCs w:val="28"/>
        </w:rPr>
        <w:t>。评估对象位于</w:t>
      </w:r>
      <w:r>
        <w:rPr>
          <w:rFonts w:hint="eastAsia" w:asciiTheme="majorEastAsia" w:hAnsiTheme="majorEastAsia" w:eastAsiaTheme="majorEastAsia" w:cstheme="majorEastAsia"/>
          <w:color w:val="auto"/>
          <w:sz w:val="28"/>
          <w:szCs w:val="28"/>
          <w:lang w:val="en-US" w:eastAsia="zh-CN"/>
        </w:rPr>
        <w:t>陆良县中枢镇南门三社</w:t>
      </w:r>
      <w:r>
        <w:rPr>
          <w:rFonts w:hint="eastAsia" w:asciiTheme="majorEastAsia" w:hAnsiTheme="majorEastAsia" w:eastAsiaTheme="majorEastAsia" w:cstheme="majorEastAsia"/>
          <w:color w:val="auto"/>
          <w:sz w:val="28"/>
          <w:szCs w:val="28"/>
        </w:rPr>
        <w:t>，一面临街巷，所在街巷商业氛围</w:t>
      </w:r>
      <w:r>
        <w:rPr>
          <w:rFonts w:hint="eastAsia" w:asciiTheme="majorEastAsia" w:hAnsiTheme="majorEastAsia" w:eastAsiaTheme="majorEastAsia" w:cstheme="majorEastAsia"/>
          <w:color w:val="auto"/>
          <w:sz w:val="28"/>
          <w:szCs w:val="28"/>
          <w:lang w:val="en-US" w:eastAsia="zh-CN"/>
        </w:rPr>
        <w:t>一般</w:t>
      </w:r>
      <w:r>
        <w:rPr>
          <w:rFonts w:hint="eastAsia" w:asciiTheme="majorEastAsia" w:hAnsiTheme="majorEastAsia" w:eastAsiaTheme="majorEastAsia" w:cstheme="majorEastAsia"/>
          <w:color w:val="auto"/>
          <w:sz w:val="28"/>
          <w:szCs w:val="28"/>
        </w:rPr>
        <w:t>，一层基本为居住自用，距离</w:t>
      </w:r>
      <w:r>
        <w:rPr>
          <w:rFonts w:hint="eastAsia" w:asciiTheme="majorEastAsia" w:hAnsiTheme="majorEastAsia" w:eastAsiaTheme="majorEastAsia" w:cstheme="majorEastAsia"/>
          <w:color w:val="auto"/>
          <w:sz w:val="28"/>
          <w:szCs w:val="28"/>
          <w:lang w:val="en-US" w:eastAsia="zh-CN"/>
        </w:rPr>
        <w:t>中枢大厦购物广场</w:t>
      </w:r>
      <w:r>
        <w:rPr>
          <w:rFonts w:hint="eastAsia" w:asciiTheme="majorEastAsia" w:hAnsiTheme="majorEastAsia" w:eastAsiaTheme="majorEastAsia" w:cstheme="majorEastAsia"/>
          <w:color w:val="auto"/>
          <w:sz w:val="28"/>
          <w:szCs w:val="28"/>
        </w:rPr>
        <w:t>约</w:t>
      </w:r>
      <w:r>
        <w:rPr>
          <w:rFonts w:hint="eastAsia" w:asciiTheme="majorEastAsia" w:hAnsiTheme="majorEastAsia" w:eastAsiaTheme="majorEastAsia" w:cstheme="majorEastAsia"/>
          <w:color w:val="auto"/>
          <w:sz w:val="28"/>
          <w:szCs w:val="28"/>
          <w:lang w:val="en-US" w:eastAsia="zh-CN"/>
        </w:rPr>
        <w:t>40</w:t>
      </w:r>
      <w:r>
        <w:rPr>
          <w:rFonts w:hint="eastAsia" w:asciiTheme="majorEastAsia" w:hAnsiTheme="majorEastAsia" w:eastAsiaTheme="majorEastAsia" w:cstheme="majorEastAsia"/>
          <w:color w:val="auto"/>
          <w:sz w:val="28"/>
          <w:szCs w:val="28"/>
        </w:rPr>
        <w:t>0米，距离</w:t>
      </w:r>
      <w:r>
        <w:rPr>
          <w:rFonts w:hint="eastAsia" w:asciiTheme="majorEastAsia" w:hAnsiTheme="majorEastAsia" w:eastAsiaTheme="majorEastAsia" w:cstheme="majorEastAsia"/>
          <w:color w:val="auto"/>
          <w:sz w:val="28"/>
          <w:szCs w:val="28"/>
          <w:lang w:val="en-US" w:eastAsia="zh-CN"/>
        </w:rPr>
        <w:t>陆良县汽车客运站约3</w:t>
      </w:r>
      <w:r>
        <w:rPr>
          <w:rFonts w:hint="eastAsia" w:asciiTheme="majorEastAsia" w:hAnsiTheme="majorEastAsia" w:eastAsiaTheme="majorEastAsia" w:cstheme="majorEastAsia"/>
          <w:color w:val="auto"/>
          <w:sz w:val="28"/>
          <w:szCs w:val="28"/>
        </w:rPr>
        <w:t>00米，所在区域交通条件较好，基础配套设施</w:t>
      </w:r>
      <w:r>
        <w:rPr>
          <w:rFonts w:hint="eastAsia" w:asciiTheme="majorEastAsia" w:hAnsiTheme="majorEastAsia" w:eastAsiaTheme="majorEastAsia" w:cstheme="majorEastAsia"/>
          <w:color w:val="auto"/>
          <w:sz w:val="28"/>
          <w:szCs w:val="28"/>
          <w:lang w:val="en-US" w:eastAsia="zh-CN"/>
        </w:rPr>
        <w:t>一般</w:t>
      </w:r>
      <w:r>
        <w:rPr>
          <w:rFonts w:hint="eastAsia" w:asciiTheme="majorEastAsia" w:hAnsiTheme="majorEastAsia" w:eastAsiaTheme="majorEastAsia" w:cstheme="majorEastAsia"/>
          <w:color w:val="auto"/>
          <w:sz w:val="28"/>
          <w:szCs w:val="28"/>
        </w:rPr>
        <w:t>,商业繁华程度</w:t>
      </w:r>
      <w:r>
        <w:rPr>
          <w:rFonts w:hint="eastAsia" w:asciiTheme="majorEastAsia" w:hAnsiTheme="majorEastAsia" w:eastAsiaTheme="majorEastAsia" w:cstheme="majorEastAsia"/>
          <w:color w:val="auto"/>
          <w:sz w:val="28"/>
          <w:szCs w:val="28"/>
          <w:lang w:val="en-US" w:eastAsia="zh-CN"/>
        </w:rPr>
        <w:t>一般</w:t>
      </w:r>
      <w:r>
        <w:rPr>
          <w:rFonts w:hint="eastAsia" w:asciiTheme="majorEastAsia" w:hAnsiTheme="majorEastAsia" w:eastAsiaTheme="majorEastAsia" w:cstheme="majorEastAsia"/>
          <w:color w:val="auto"/>
          <w:sz w:val="28"/>
          <w:szCs w:val="28"/>
        </w:rPr>
        <w:t>，市政基础设施、生活服务设施</w:t>
      </w:r>
      <w:r>
        <w:rPr>
          <w:rFonts w:hint="eastAsia" w:asciiTheme="majorEastAsia" w:hAnsiTheme="majorEastAsia" w:eastAsiaTheme="majorEastAsia" w:cstheme="majorEastAsia"/>
          <w:color w:val="auto"/>
          <w:sz w:val="28"/>
          <w:szCs w:val="28"/>
          <w:lang w:val="en-US" w:eastAsia="zh-CN"/>
        </w:rPr>
        <w:t>一般</w:t>
      </w:r>
      <w:r>
        <w:rPr>
          <w:rFonts w:hint="eastAsia" w:asciiTheme="majorEastAsia" w:hAnsiTheme="majorEastAsia" w:eastAsiaTheme="majorEastAsia" w:cstheme="majorEastAsia"/>
          <w:color w:val="auto"/>
          <w:sz w:val="28"/>
          <w:szCs w:val="28"/>
        </w:rPr>
        <w:t>。</w:t>
      </w:r>
    </w:p>
    <w:p>
      <w:pPr>
        <w:spacing w:line="580" w:lineRule="exact"/>
        <w:ind w:firstLine="562" w:firstLineChars="200"/>
        <w:jc w:val="left"/>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二、市场背景描述与分析</w:t>
      </w:r>
    </w:p>
    <w:p>
      <w:pPr>
        <w:spacing w:line="580" w:lineRule="exact"/>
        <w:ind w:firstLine="602" w:firstLineChars="200"/>
        <w:rPr>
          <w:rFonts w:hint="eastAsia" w:asciiTheme="majorEastAsia" w:hAnsiTheme="majorEastAsia" w:eastAsiaTheme="majorEastAsia" w:cstheme="majorEastAsia"/>
          <w:b/>
          <w:bCs/>
          <w:color w:val="auto"/>
          <w:spacing w:val="10"/>
          <w:sz w:val="28"/>
          <w:szCs w:val="28"/>
        </w:rPr>
      </w:pPr>
      <w:r>
        <w:rPr>
          <w:rFonts w:hint="eastAsia" w:asciiTheme="majorEastAsia" w:hAnsiTheme="majorEastAsia" w:eastAsiaTheme="majorEastAsia" w:cstheme="majorEastAsia"/>
          <w:b/>
          <w:bCs/>
          <w:color w:val="auto"/>
          <w:spacing w:val="10"/>
          <w:sz w:val="28"/>
          <w:szCs w:val="28"/>
          <w:lang w:eastAsia="zh-CN"/>
        </w:rPr>
        <w:t>（一）</w:t>
      </w:r>
      <w:r>
        <w:rPr>
          <w:rFonts w:hint="eastAsia" w:asciiTheme="majorEastAsia" w:hAnsiTheme="majorEastAsia" w:eastAsiaTheme="majorEastAsia" w:cstheme="majorEastAsia"/>
          <w:b/>
          <w:bCs/>
          <w:color w:val="auto"/>
          <w:spacing w:val="10"/>
          <w:sz w:val="28"/>
          <w:szCs w:val="28"/>
        </w:rPr>
        <w:t>城市资源状况</w:t>
      </w:r>
    </w:p>
    <w:p>
      <w:pPr>
        <w:spacing w:line="580" w:lineRule="exact"/>
        <w:ind w:firstLine="602" w:firstLineChars="200"/>
        <w:rPr>
          <w:rFonts w:hint="eastAsia" w:asciiTheme="majorEastAsia" w:hAnsiTheme="majorEastAsia" w:eastAsiaTheme="majorEastAsia" w:cstheme="majorEastAsia"/>
          <w:b/>
          <w:bCs/>
          <w:color w:val="auto"/>
          <w:spacing w:val="10"/>
          <w:sz w:val="28"/>
          <w:szCs w:val="28"/>
        </w:rPr>
      </w:pPr>
      <w:r>
        <w:rPr>
          <w:rFonts w:hint="eastAsia" w:asciiTheme="majorEastAsia" w:hAnsiTheme="majorEastAsia" w:eastAsiaTheme="majorEastAsia" w:cstheme="majorEastAsia"/>
          <w:b/>
          <w:bCs/>
          <w:color w:val="auto"/>
          <w:spacing w:val="10"/>
          <w:sz w:val="28"/>
          <w:szCs w:val="28"/>
        </w:rPr>
        <w:t>1.地理位置</w:t>
      </w:r>
    </w:p>
    <w:p>
      <w:pPr>
        <w:tabs>
          <w:tab w:val="left" w:pos="720"/>
        </w:tabs>
        <w:spacing w:line="580" w:lineRule="exact"/>
        <w:ind w:firstLine="60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bCs/>
          <w:color w:val="auto"/>
          <w:spacing w:val="10"/>
          <w:sz w:val="28"/>
          <w:szCs w:val="28"/>
        </w:rPr>
        <w:t>陆良县位于云南省东部，居</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"https://bkso.baidu.com/item/%E5%8D%97%E7%9B%98%E6%B1%9F"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南盘江</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上游，北纬24°44′-25°18′，东经103°23′-104°02′。北与</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"https://bkso.baidu.com/item/%E9%A9%AC%E9%BE%99/10757981"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马龙</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、麒麟接壤，东与罗平为邻，南与师宗、石林相连，西与宜良为界。全县总面积1989.47平方千米，坝区面积771.99 平方千米，占总面积的38.8%，云南省第一大高原平坝，辖区东西最大纵距65.6千米，南北最大纵距62.8千米。</w:t>
      </w:r>
    </w:p>
    <w:p>
      <w:pPr>
        <w:spacing w:line="580" w:lineRule="exact"/>
        <w:ind w:firstLine="562" w:firstLineChars="200"/>
        <w:rPr>
          <w:rFonts w:hint="eastAsia" w:asciiTheme="majorEastAsia" w:hAnsiTheme="majorEastAsia" w:eastAsiaTheme="majorEastAsia" w:cstheme="majorEastAsia"/>
          <w:b/>
          <w:color w:val="auto"/>
          <w:sz w:val="28"/>
          <w:szCs w:val="28"/>
          <w:lang w:eastAsia="zh-CN"/>
        </w:rPr>
      </w:pPr>
      <w:r>
        <w:rPr>
          <w:rFonts w:hint="eastAsia" w:asciiTheme="majorEastAsia" w:hAnsiTheme="majorEastAsia" w:eastAsiaTheme="majorEastAsia" w:cstheme="majorEastAsia"/>
          <w:b/>
          <w:color w:val="auto"/>
          <w:sz w:val="28"/>
          <w:szCs w:val="28"/>
        </w:rPr>
        <w:t>2.</w:t>
      </w:r>
      <w:r>
        <w:rPr>
          <w:rFonts w:hint="eastAsia" w:asciiTheme="majorEastAsia" w:hAnsiTheme="majorEastAsia" w:eastAsiaTheme="majorEastAsia" w:cstheme="majorEastAsia"/>
          <w:b/>
          <w:color w:val="auto"/>
          <w:sz w:val="28"/>
          <w:szCs w:val="28"/>
          <w:lang w:val="en-US" w:eastAsia="zh-CN"/>
        </w:rPr>
        <w:t>气候</w:t>
      </w:r>
    </w:p>
    <w:p>
      <w:pPr>
        <w:spacing w:line="580" w:lineRule="exact"/>
        <w:ind w:firstLine="600" w:firstLineChars="200"/>
        <w:rPr>
          <w:rFonts w:hint="eastAsia" w:asciiTheme="majorEastAsia" w:hAnsiTheme="majorEastAsia" w:eastAsiaTheme="majorEastAsia" w:cstheme="majorEastAsia"/>
          <w:bCs/>
          <w:color w:val="auto"/>
          <w:spacing w:val="10"/>
          <w:sz w:val="28"/>
          <w:szCs w:val="28"/>
        </w:rPr>
      </w:pPr>
      <w:r>
        <w:rPr>
          <w:rFonts w:hint="eastAsia" w:asciiTheme="majorEastAsia" w:hAnsiTheme="majorEastAsia" w:eastAsiaTheme="majorEastAsia" w:cstheme="majorEastAsia"/>
          <w:bCs/>
          <w:color w:val="auto"/>
          <w:spacing w:val="10"/>
          <w:sz w:val="28"/>
          <w:szCs w:val="28"/>
        </w:rPr>
        <w:t>陆良县</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"https://bkso.baidu.com/item/%E6%B5%B7%E6%8B%94/5754"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海拔</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1840米，属亚热带高原季风型冬干夏湿气候区，具有冬无严寒，夏无酷暑，春暖干旱，秋凉湿润的特点，年平均气温5326，年平均气温14.7°C，年总积温5326°C，年降雨量为900—1000毫米，无霜期249天，年日照时数2442.5小时，年太阳辐射量为125.2千卡/平方厘米</w:t>
      </w:r>
      <w:r>
        <w:rPr>
          <w:rFonts w:hint="eastAsia" w:asciiTheme="majorEastAsia" w:hAnsiTheme="majorEastAsia" w:eastAsiaTheme="majorEastAsia" w:cstheme="majorEastAsia"/>
          <w:bCs/>
          <w:color w:val="auto"/>
          <w:spacing w:val="10"/>
          <w:sz w:val="28"/>
          <w:szCs w:val="28"/>
        </w:rPr>
        <w:t>。</w:t>
      </w:r>
    </w:p>
    <w:p>
      <w:pPr>
        <w:spacing w:line="580" w:lineRule="exact"/>
        <w:ind w:firstLine="602" w:firstLineChars="200"/>
        <w:rPr>
          <w:rFonts w:hint="eastAsia" w:asciiTheme="majorEastAsia" w:hAnsiTheme="majorEastAsia" w:eastAsiaTheme="majorEastAsia" w:cstheme="majorEastAsia"/>
          <w:b/>
          <w:color w:val="auto"/>
          <w:spacing w:val="10"/>
          <w:sz w:val="28"/>
          <w:szCs w:val="28"/>
        </w:rPr>
      </w:pPr>
      <w:r>
        <w:rPr>
          <w:rFonts w:hint="eastAsia" w:asciiTheme="majorEastAsia" w:hAnsiTheme="majorEastAsia" w:eastAsiaTheme="majorEastAsia" w:cstheme="majorEastAsia"/>
          <w:b/>
          <w:color w:val="auto"/>
          <w:spacing w:val="10"/>
          <w:sz w:val="28"/>
          <w:szCs w:val="28"/>
        </w:rPr>
        <w:t>3.行政区划与城市人口</w:t>
      </w:r>
    </w:p>
    <w:p>
      <w:pPr>
        <w:spacing w:line="580" w:lineRule="exact"/>
        <w:ind w:firstLine="600" w:firstLineChars="200"/>
        <w:rPr>
          <w:rFonts w:hint="eastAsia" w:asciiTheme="majorEastAsia" w:hAnsiTheme="majorEastAsia" w:eastAsiaTheme="majorEastAsia" w:cstheme="majorEastAsia"/>
          <w:color w:val="auto"/>
          <w:spacing w:val="10"/>
          <w:sz w:val="28"/>
          <w:szCs w:val="28"/>
        </w:rPr>
      </w:pPr>
      <w:r>
        <w:rPr>
          <w:rFonts w:hint="eastAsia" w:asciiTheme="majorEastAsia" w:hAnsiTheme="majorEastAsia" w:eastAsiaTheme="majorEastAsia" w:cstheme="majorEastAsia"/>
          <w:bCs/>
          <w:color w:val="auto"/>
          <w:spacing w:val="10"/>
          <w:sz w:val="28"/>
          <w:szCs w:val="28"/>
        </w:rPr>
        <w:t>截至2013年底，陆良县辖2个街道办事处、7个镇、2个乡：</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"https://bkso.baidu.com/item/%E4%B8%AD%E6%9E%A2%E8%A1%97%E9%81%93/58266970"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中枢街道</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"https://bkso.baidu.com/item/%E5%90%8C%E4%B9%90%E8%A1%97%E9%81%93/58266954"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同乐街道</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"https://bkso.baidu.com/item/%E6%9D%BF%E6%A1%A5%E9%95%87/4245804"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板桥镇</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"https://bkso.baidu.com/item/%E4%B8%89%E5%B2%94%E6%B2%B3%E9%95%87/33497"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三岔河镇</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"https://bkso.baidu.com/item/%E9%A9%AC%E8%A1%97%E9%95%87/38054"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马街镇</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"https://bkso.baidu.com/item/%E5%8F%AC%E5%A4%B8%E9%95%87/5364784"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召夸镇</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"https://bkso.baidu.com/item/%E5%A4%A7%E8%8E%AB%E5%8F%A4%E9%95%87/6858331"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大莫古镇</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"https://bkso.baidu.com/item/%E8%8A%B3%E5%8D%8E%E9%95%87/5802235"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芳华镇</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"https://bkso.baidu.com/item/%E5%B0%8F%E7%99%BE%E6%88%B7%E9%95%87/6026617"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小百户镇</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"https://bkso.baidu.com/item/%E6%B4%BB%E6%B0%B4%E4%B9%A1/18482772"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活水乡</w:t>
      </w:r>
      <w:r>
        <w:rPr>
          <w:rFonts w:hint="default" w:asciiTheme="majorEastAsia" w:hAnsiTheme="majorEastAsia" w:eastAsiaTheme="majorEastAsia" w:cstheme="majorEastAsia"/>
          <w:bCs/>
          <w:color w:val="auto"/>
          <w:spacing w:val="10"/>
          <w:sz w:val="28"/>
          <w:szCs w:val="28"/>
        </w:rPr>
        <w:fldChar w:fldCharType="end"/>
      </w:r>
      <w:r>
        <w:rPr>
          <w:rFonts w:hint="default" w:asciiTheme="majorEastAsia" w:hAnsiTheme="majorEastAsia" w:eastAsiaTheme="majorEastAsia" w:cstheme="majorEastAsia"/>
          <w:bCs/>
          <w:color w:val="auto"/>
          <w:spacing w:val="10"/>
          <w:sz w:val="28"/>
          <w:szCs w:val="28"/>
        </w:rPr>
        <w:t>、</w:t>
      </w:r>
      <w:r>
        <w:rPr>
          <w:rFonts w:hint="default" w:asciiTheme="majorEastAsia" w:hAnsiTheme="majorEastAsia" w:eastAsiaTheme="majorEastAsia" w:cstheme="majorEastAsia"/>
          <w:bCs/>
          <w:color w:val="auto"/>
          <w:spacing w:val="10"/>
          <w:sz w:val="28"/>
          <w:szCs w:val="28"/>
        </w:rPr>
        <w:fldChar w:fldCharType="begin"/>
      </w:r>
      <w:r>
        <w:rPr>
          <w:rFonts w:hint="default" w:asciiTheme="majorEastAsia" w:hAnsiTheme="majorEastAsia" w:eastAsiaTheme="majorEastAsia" w:cstheme="majorEastAsia"/>
          <w:bCs/>
          <w:color w:val="auto"/>
          <w:spacing w:val="10"/>
          <w:sz w:val="28"/>
          <w:szCs w:val="28"/>
        </w:rPr>
        <w:instrText xml:space="preserve"> HYPERLINK "https://bkso.baidu.com/item/%E9%BE%99%E6%B5%B7%E4%B9%A1/7855636" \t "https://bkso.baidu.com/item/%E9%99%86%E8%89%AF%E5%8E%BF/_blank" </w:instrText>
      </w:r>
      <w:r>
        <w:rPr>
          <w:rFonts w:hint="default" w:asciiTheme="majorEastAsia" w:hAnsiTheme="majorEastAsia" w:eastAsiaTheme="majorEastAsia" w:cstheme="majorEastAsia"/>
          <w:bCs/>
          <w:color w:val="auto"/>
          <w:spacing w:val="10"/>
          <w:sz w:val="28"/>
          <w:szCs w:val="28"/>
        </w:rPr>
        <w:fldChar w:fldCharType="separate"/>
      </w:r>
      <w:r>
        <w:rPr>
          <w:rFonts w:hint="default" w:asciiTheme="majorEastAsia" w:hAnsiTheme="majorEastAsia" w:eastAsiaTheme="majorEastAsia" w:cstheme="majorEastAsia"/>
          <w:bCs/>
          <w:color w:val="auto"/>
          <w:spacing w:val="10"/>
          <w:sz w:val="28"/>
          <w:szCs w:val="28"/>
        </w:rPr>
        <w:t>龙海乡</w:t>
      </w:r>
      <w:r>
        <w:rPr>
          <w:rFonts w:hint="default" w:asciiTheme="majorEastAsia" w:hAnsiTheme="majorEastAsia" w:eastAsiaTheme="majorEastAsia" w:cstheme="majorEastAsia"/>
          <w:bCs/>
          <w:color w:val="auto"/>
          <w:spacing w:val="10"/>
          <w:sz w:val="28"/>
          <w:szCs w:val="28"/>
        </w:rPr>
        <w:fldChar w:fldCharType="end"/>
      </w:r>
      <w:r>
        <w:rPr>
          <w:rFonts w:hint="eastAsia" w:asciiTheme="majorEastAsia" w:hAnsiTheme="majorEastAsia" w:eastAsiaTheme="majorEastAsia" w:cstheme="majorEastAsia"/>
          <w:bCs/>
          <w:color w:val="auto"/>
          <w:spacing w:val="10"/>
          <w:sz w:val="28"/>
          <w:szCs w:val="28"/>
          <w:lang w:eastAsia="zh-CN"/>
        </w:rPr>
        <w:t>；</w:t>
      </w:r>
      <w:r>
        <w:rPr>
          <w:rFonts w:hint="eastAsia" w:asciiTheme="majorEastAsia" w:hAnsiTheme="majorEastAsia" w:eastAsiaTheme="majorEastAsia" w:cstheme="majorEastAsia"/>
          <w:bCs/>
          <w:color w:val="auto"/>
          <w:spacing w:val="10"/>
          <w:sz w:val="28"/>
          <w:szCs w:val="28"/>
        </w:rPr>
        <w:t>2017年末全县总户数237855户，户籍总人口691064人，少数民族人口15368人。常住人口64.41万人，城镇化率47.1%，其中城镇人口30.34万人。人口自然增长率达7.68‰，出生率达13.42‰，死亡率达5.74‰。</w:t>
      </w:r>
    </w:p>
    <w:p>
      <w:pPr>
        <w:spacing w:line="580" w:lineRule="exact"/>
        <w:ind w:firstLine="602" w:firstLineChars="200"/>
        <w:rPr>
          <w:rFonts w:hint="eastAsia" w:asciiTheme="majorEastAsia" w:hAnsiTheme="majorEastAsia" w:eastAsiaTheme="majorEastAsia" w:cstheme="majorEastAsia"/>
          <w:b/>
          <w:color w:val="auto"/>
          <w:spacing w:val="10"/>
          <w:sz w:val="28"/>
          <w:szCs w:val="28"/>
        </w:rPr>
      </w:pPr>
      <w:r>
        <w:rPr>
          <w:rFonts w:hint="eastAsia" w:asciiTheme="majorEastAsia" w:hAnsiTheme="majorEastAsia" w:eastAsiaTheme="majorEastAsia" w:cstheme="majorEastAsia"/>
          <w:b/>
          <w:color w:val="auto"/>
          <w:spacing w:val="10"/>
          <w:sz w:val="28"/>
          <w:szCs w:val="28"/>
        </w:rPr>
        <w:t>4.</w:t>
      </w:r>
      <w:r>
        <w:rPr>
          <w:rFonts w:hint="eastAsia" w:asciiTheme="majorEastAsia" w:hAnsiTheme="majorEastAsia" w:eastAsiaTheme="majorEastAsia" w:cstheme="majorEastAsia"/>
          <w:b/>
          <w:color w:val="auto"/>
          <w:spacing w:val="10"/>
          <w:sz w:val="28"/>
          <w:szCs w:val="28"/>
          <w:lang w:val="en-US" w:eastAsia="zh-CN"/>
        </w:rPr>
        <w:t>经济</w:t>
      </w:r>
      <w:r>
        <w:rPr>
          <w:rFonts w:hint="eastAsia" w:asciiTheme="majorEastAsia" w:hAnsiTheme="majorEastAsia" w:eastAsiaTheme="majorEastAsia" w:cstheme="majorEastAsia"/>
          <w:b/>
          <w:color w:val="auto"/>
          <w:spacing w:val="10"/>
          <w:sz w:val="28"/>
          <w:szCs w:val="28"/>
        </w:rPr>
        <w:t>状况</w:t>
      </w:r>
    </w:p>
    <w:p>
      <w:pPr>
        <w:spacing w:line="580" w:lineRule="exact"/>
        <w:ind w:firstLine="600" w:firstLineChars="200"/>
        <w:rPr>
          <w:rFonts w:hint="eastAsia" w:asciiTheme="majorEastAsia" w:hAnsiTheme="majorEastAsia" w:eastAsiaTheme="majorEastAsia" w:cstheme="majorEastAsia"/>
          <w:bCs/>
          <w:color w:val="auto"/>
          <w:spacing w:val="10"/>
          <w:kern w:val="2"/>
          <w:sz w:val="28"/>
          <w:szCs w:val="28"/>
          <w:lang w:val="en-US" w:eastAsia="zh-CN" w:bidi="ar-SA"/>
        </w:rPr>
      </w:pPr>
      <w:r>
        <w:rPr>
          <w:rFonts w:hint="eastAsia" w:asciiTheme="majorEastAsia" w:hAnsiTheme="majorEastAsia" w:eastAsiaTheme="majorEastAsia" w:cstheme="majorEastAsia"/>
          <w:bCs/>
          <w:color w:val="auto"/>
          <w:spacing w:val="10"/>
          <w:kern w:val="2"/>
          <w:sz w:val="28"/>
          <w:szCs w:val="28"/>
          <w:lang w:val="en-US" w:eastAsia="zh-CN" w:bidi="ar-SA"/>
        </w:rPr>
        <w:t>生产总值增11%以上，固定资产投资增12%以上，规模以上工业增加值增25%以上，社会消费品零售总额增16%以上，一般公共预算收入增6%以上，城镇和农村常住居民人均可支配收入分别增11%、12%以上</w:t>
      </w:r>
      <w:r>
        <w:rPr>
          <w:rFonts w:hint="default" w:asciiTheme="majorEastAsia" w:hAnsiTheme="majorEastAsia" w:eastAsiaTheme="majorEastAsia" w:cstheme="majorEastAsia"/>
          <w:bCs/>
          <w:color w:val="auto"/>
          <w:spacing w:val="10"/>
          <w:kern w:val="2"/>
          <w:sz w:val="28"/>
          <w:szCs w:val="28"/>
          <w:lang w:val="en-US" w:eastAsia="zh-CN" w:bidi="ar-SA"/>
        </w:rPr>
        <w:t>。</w:t>
      </w:r>
    </w:p>
    <w:p>
      <w:pPr>
        <w:spacing w:line="580" w:lineRule="exact"/>
        <w:ind w:firstLine="602" w:firstLineChars="200"/>
        <w:rPr>
          <w:rFonts w:hint="eastAsia" w:asciiTheme="majorEastAsia" w:hAnsiTheme="majorEastAsia" w:eastAsiaTheme="majorEastAsia" w:cstheme="majorEastAsia"/>
          <w:b/>
          <w:color w:val="auto"/>
          <w:spacing w:val="10"/>
          <w:sz w:val="28"/>
          <w:szCs w:val="28"/>
        </w:rPr>
      </w:pPr>
      <w:r>
        <w:rPr>
          <w:rFonts w:hint="eastAsia" w:asciiTheme="majorEastAsia" w:hAnsiTheme="majorEastAsia" w:eastAsiaTheme="majorEastAsia" w:cstheme="majorEastAsia"/>
          <w:b/>
          <w:color w:val="auto"/>
          <w:spacing w:val="10"/>
          <w:sz w:val="28"/>
          <w:szCs w:val="28"/>
          <w:lang w:eastAsia="zh-CN"/>
        </w:rPr>
        <w:t>（二）</w:t>
      </w:r>
      <w:r>
        <w:rPr>
          <w:rFonts w:hint="eastAsia" w:asciiTheme="majorEastAsia" w:hAnsiTheme="majorEastAsia" w:eastAsiaTheme="majorEastAsia" w:cstheme="majorEastAsia"/>
          <w:b/>
          <w:color w:val="auto"/>
          <w:spacing w:val="10"/>
          <w:sz w:val="28"/>
          <w:szCs w:val="28"/>
        </w:rPr>
        <w:t>房地产市场状况</w:t>
      </w:r>
    </w:p>
    <w:p>
      <w:pPr>
        <w:spacing w:line="580" w:lineRule="exact"/>
        <w:ind w:firstLine="602" w:firstLineChars="200"/>
        <w:rPr>
          <w:rFonts w:hint="eastAsia" w:asciiTheme="majorEastAsia" w:hAnsiTheme="majorEastAsia" w:eastAsiaTheme="majorEastAsia" w:cstheme="majorEastAsia"/>
          <w:b/>
          <w:color w:val="auto"/>
          <w:spacing w:val="10"/>
          <w:sz w:val="28"/>
          <w:szCs w:val="28"/>
        </w:rPr>
      </w:pPr>
      <w:r>
        <w:rPr>
          <w:rFonts w:hint="eastAsia" w:asciiTheme="majorEastAsia" w:hAnsiTheme="majorEastAsia" w:eastAsiaTheme="majorEastAsia" w:cstheme="majorEastAsia"/>
          <w:b/>
          <w:color w:val="auto"/>
          <w:spacing w:val="10"/>
          <w:sz w:val="28"/>
          <w:szCs w:val="28"/>
        </w:rPr>
        <w:t>1.房地产市场</w:t>
      </w:r>
    </w:p>
    <w:p>
      <w:pPr>
        <w:pStyle w:val="17"/>
        <w:spacing w:after="0" w:line="580" w:lineRule="exact"/>
        <w:ind w:firstLine="680"/>
        <w:rPr>
          <w:rFonts w:hint="eastAsia" w:asciiTheme="majorEastAsia" w:hAnsiTheme="majorEastAsia" w:eastAsiaTheme="majorEastAsia" w:cstheme="majorEastAsia"/>
          <w:bCs/>
          <w:color w:val="auto"/>
          <w:spacing w:val="10"/>
          <w:sz w:val="28"/>
          <w:szCs w:val="28"/>
        </w:rPr>
      </w:pPr>
      <w:r>
        <w:rPr>
          <w:rFonts w:hint="eastAsia" w:asciiTheme="majorEastAsia" w:hAnsiTheme="majorEastAsia" w:eastAsiaTheme="majorEastAsia" w:cstheme="majorEastAsia"/>
          <w:bCs/>
          <w:color w:val="auto"/>
          <w:spacing w:val="10"/>
          <w:sz w:val="28"/>
          <w:szCs w:val="28"/>
        </w:rPr>
        <w:t>2017年，全县有29户资质内本地建筑企业，完成总产值41.91亿元，比上年增长27.7%；实现建筑业增加值17.78亿元，比上年增长26.57%。</w:t>
      </w:r>
    </w:p>
    <w:p>
      <w:pPr>
        <w:pStyle w:val="17"/>
        <w:spacing w:after="0" w:line="580" w:lineRule="exact"/>
        <w:ind w:firstLine="680"/>
        <w:rPr>
          <w:rFonts w:hint="eastAsia" w:asciiTheme="majorEastAsia" w:hAnsiTheme="majorEastAsia" w:eastAsiaTheme="majorEastAsia" w:cstheme="majorEastAsia"/>
          <w:bCs/>
          <w:color w:val="auto"/>
          <w:spacing w:val="10"/>
          <w:sz w:val="28"/>
          <w:szCs w:val="28"/>
        </w:rPr>
      </w:pPr>
      <w:r>
        <w:rPr>
          <w:rFonts w:hint="eastAsia" w:asciiTheme="majorEastAsia" w:hAnsiTheme="majorEastAsia" w:eastAsiaTheme="majorEastAsia" w:cstheme="majorEastAsia"/>
          <w:bCs/>
          <w:color w:val="auto"/>
          <w:spacing w:val="10"/>
          <w:sz w:val="28"/>
          <w:szCs w:val="28"/>
        </w:rPr>
        <w:t>2021年，全县有31户资质内本地建筑企业，完成总产值82.06亿元，比上年增长26.1%；全年实现建筑业增加值29.75亿元，比上年增长16.9%。</w:t>
      </w:r>
    </w:p>
    <w:p>
      <w:pPr>
        <w:pStyle w:val="17"/>
        <w:spacing w:after="0" w:line="580" w:lineRule="exact"/>
        <w:ind w:firstLine="680"/>
        <w:rPr>
          <w:rFonts w:hint="eastAsia" w:asciiTheme="majorEastAsia" w:hAnsiTheme="majorEastAsia" w:eastAsiaTheme="majorEastAsia" w:cstheme="majorEastAsia"/>
          <w:bCs/>
          <w:color w:val="auto"/>
          <w:spacing w:val="10"/>
          <w:sz w:val="28"/>
          <w:szCs w:val="28"/>
        </w:rPr>
      </w:pPr>
      <w:r>
        <w:rPr>
          <w:rFonts w:hint="eastAsia" w:asciiTheme="majorEastAsia" w:hAnsiTheme="majorEastAsia" w:eastAsiaTheme="majorEastAsia" w:cstheme="majorEastAsia"/>
          <w:bCs/>
          <w:color w:val="auto"/>
          <w:spacing w:val="10"/>
          <w:sz w:val="28"/>
          <w:szCs w:val="28"/>
        </w:rPr>
        <w:t>投资需谨慎，房市有风险。以前，房地产业作为国家的支柱产业，受过去多年持续宽松的货币政策的刺激，房地产开发速度增长快，房价居高不下，同时，库存也较高。目前，房地产不再作为国家支术产业，房地产市场已经进入了去库存的后时代。国家主要领导人多次公开讲话“房子是用来住的，不是拿来炒的”，目的是为抑制房地产投机需求。在新常态新经济新时代下，经济结构的转变、人口红利的消失、房产税的即将开征、人民币贬值，供需失衡，国家对住房不炒的定位，都不支持房价高位运行，在未来一段时间内，房地产市场和工业品市场不容乐观。</w:t>
      </w:r>
    </w:p>
    <w:p>
      <w:pPr>
        <w:spacing w:line="580" w:lineRule="exact"/>
        <w:ind w:firstLine="602" w:firstLineChars="200"/>
        <w:rPr>
          <w:rFonts w:hint="eastAsia" w:asciiTheme="majorEastAsia" w:hAnsiTheme="majorEastAsia" w:eastAsiaTheme="majorEastAsia" w:cstheme="majorEastAsia"/>
          <w:b/>
          <w:color w:val="auto"/>
          <w:spacing w:val="10"/>
          <w:sz w:val="28"/>
          <w:szCs w:val="28"/>
        </w:rPr>
      </w:pPr>
      <w:r>
        <w:rPr>
          <w:rFonts w:hint="eastAsia" w:asciiTheme="majorEastAsia" w:hAnsiTheme="majorEastAsia" w:eastAsiaTheme="majorEastAsia" w:cstheme="majorEastAsia"/>
          <w:b/>
          <w:color w:val="auto"/>
          <w:spacing w:val="10"/>
          <w:sz w:val="28"/>
          <w:szCs w:val="28"/>
        </w:rPr>
        <w:t>2.土地市场</w:t>
      </w:r>
    </w:p>
    <w:p>
      <w:pPr>
        <w:spacing w:line="580" w:lineRule="exact"/>
        <w:ind w:firstLine="600" w:firstLineChars="200"/>
        <w:rPr>
          <w:rFonts w:hint="eastAsia" w:asciiTheme="majorEastAsia" w:hAnsiTheme="majorEastAsia" w:eastAsiaTheme="majorEastAsia" w:cstheme="majorEastAsia"/>
          <w:bCs/>
          <w:color w:val="auto"/>
          <w:spacing w:val="10"/>
          <w:kern w:val="2"/>
          <w:sz w:val="28"/>
          <w:szCs w:val="28"/>
          <w:lang w:val="en-US" w:eastAsia="zh-CN" w:bidi="ar-SA"/>
        </w:rPr>
      </w:pPr>
      <w:r>
        <w:rPr>
          <w:rFonts w:hint="eastAsia" w:asciiTheme="majorEastAsia" w:hAnsiTheme="majorEastAsia" w:eastAsiaTheme="majorEastAsia" w:cstheme="majorEastAsia"/>
          <w:bCs/>
          <w:color w:val="auto"/>
          <w:spacing w:val="10"/>
          <w:kern w:val="2"/>
          <w:sz w:val="28"/>
          <w:szCs w:val="28"/>
          <w:lang w:val="en-US" w:eastAsia="zh-CN" w:bidi="ar-SA"/>
        </w:rPr>
        <w:t>2022年度本县住宅用地计划供应5.2191公顷，是旧城乱尾改造项目（详见附表1、附表2）。截至2022年3月，陆良县共有存量住宅用地5宗，面积44.4619公顷，建设状态为已动工未竣工，未销售房屋土地面积22.589公顷。</w:t>
      </w:r>
    </w:p>
    <w:p>
      <w:pPr>
        <w:spacing w:line="580" w:lineRule="exact"/>
        <w:ind w:firstLine="600" w:firstLineChars="200"/>
        <w:rPr>
          <w:rFonts w:hint="eastAsia" w:asciiTheme="majorEastAsia" w:hAnsiTheme="majorEastAsia" w:eastAsiaTheme="majorEastAsia" w:cstheme="majorEastAsia"/>
          <w:bCs/>
          <w:color w:val="auto"/>
          <w:spacing w:val="10"/>
          <w:sz w:val="28"/>
          <w:szCs w:val="28"/>
        </w:rPr>
      </w:pPr>
      <w:r>
        <w:rPr>
          <w:rFonts w:hint="eastAsia" w:asciiTheme="majorEastAsia" w:hAnsiTheme="majorEastAsia" w:eastAsiaTheme="majorEastAsia" w:cstheme="majorEastAsia"/>
          <w:bCs/>
          <w:color w:val="auto"/>
          <w:spacing w:val="10"/>
          <w:kern w:val="2"/>
          <w:sz w:val="28"/>
          <w:szCs w:val="28"/>
          <w:lang w:val="en-US" w:eastAsia="zh-CN" w:bidi="ar-SA"/>
        </w:rPr>
        <w:t>综上分析，2020年以来受疫情影响，陆良县经济受到一定</w:t>
      </w:r>
      <w:r>
        <w:rPr>
          <w:rFonts w:hint="eastAsia" w:asciiTheme="majorEastAsia" w:hAnsiTheme="majorEastAsia" w:eastAsiaTheme="majorEastAsia" w:cstheme="majorEastAsia"/>
          <w:bCs/>
          <w:color w:val="auto"/>
          <w:spacing w:val="10"/>
          <w:sz w:val="28"/>
          <w:szCs w:val="28"/>
        </w:rPr>
        <w:t>程度的影响，对房地产行业有一定程度的冲击。2021年，随着大环境的回暖，</w:t>
      </w:r>
      <w:r>
        <w:rPr>
          <w:rFonts w:hint="eastAsia" w:asciiTheme="majorEastAsia" w:hAnsiTheme="majorEastAsia" w:eastAsiaTheme="majorEastAsia" w:cstheme="majorEastAsia"/>
          <w:bCs/>
          <w:color w:val="auto"/>
          <w:spacing w:val="10"/>
          <w:sz w:val="28"/>
          <w:szCs w:val="28"/>
          <w:lang w:val="en-US" w:eastAsia="zh-CN"/>
        </w:rPr>
        <w:t>陆良县</w:t>
      </w:r>
      <w:r>
        <w:rPr>
          <w:rFonts w:hint="eastAsia" w:asciiTheme="majorEastAsia" w:hAnsiTheme="majorEastAsia" w:eastAsiaTheme="majorEastAsia" w:cstheme="majorEastAsia"/>
          <w:bCs/>
          <w:color w:val="auto"/>
          <w:spacing w:val="10"/>
          <w:sz w:val="28"/>
          <w:szCs w:val="28"/>
        </w:rPr>
        <w:t>上半年经济稳步恢复，经济运行总体平稳。但当前经济形势仍然错综复杂，</w:t>
      </w:r>
      <w:r>
        <w:rPr>
          <w:rFonts w:hint="eastAsia" w:asciiTheme="majorEastAsia" w:hAnsiTheme="majorEastAsia" w:eastAsiaTheme="majorEastAsia" w:cstheme="majorEastAsia"/>
          <w:bCs/>
          <w:color w:val="auto"/>
          <w:spacing w:val="10"/>
          <w:sz w:val="28"/>
          <w:szCs w:val="28"/>
          <w:lang w:val="en-US" w:eastAsia="zh-CN"/>
        </w:rPr>
        <w:t>全县</w:t>
      </w:r>
      <w:r>
        <w:rPr>
          <w:rFonts w:hint="eastAsia" w:asciiTheme="majorEastAsia" w:hAnsiTheme="majorEastAsia" w:eastAsiaTheme="majorEastAsia" w:cstheme="majorEastAsia"/>
          <w:bCs/>
          <w:color w:val="auto"/>
          <w:spacing w:val="10"/>
          <w:sz w:val="28"/>
          <w:szCs w:val="28"/>
        </w:rPr>
        <w:t>经济稳定运行仍面临较多风险和挑战，经济稳定回升基础还需加力巩固，经济运行总体平稳对房地产需求和价格都有很好的促进作用。</w:t>
      </w:r>
    </w:p>
    <w:p>
      <w:pPr>
        <w:spacing w:line="580" w:lineRule="exact"/>
        <w:ind w:firstLine="562" w:firstLineChars="200"/>
        <w:rPr>
          <w:rFonts w:hint="eastAsia" w:asciiTheme="majorEastAsia" w:hAnsiTheme="majorEastAsia" w:eastAsiaTheme="majorEastAsia" w:cstheme="majorEastAsia"/>
          <w:b/>
          <w:bCs/>
          <w:color w:val="auto"/>
          <w:spacing w:val="10"/>
          <w:sz w:val="28"/>
          <w:szCs w:val="28"/>
        </w:rPr>
      </w:pPr>
      <w:r>
        <w:rPr>
          <w:rFonts w:hint="eastAsia" w:asciiTheme="majorEastAsia" w:hAnsiTheme="majorEastAsia" w:eastAsiaTheme="majorEastAsia" w:cstheme="majorEastAsia"/>
          <w:b/>
          <w:bCs/>
          <w:color w:val="auto"/>
          <w:sz w:val="28"/>
          <w:szCs w:val="28"/>
        </w:rPr>
        <w:t>三、价格评估原则</w:t>
      </w:r>
    </w:p>
    <w:p>
      <w:pPr>
        <w:spacing w:line="580" w:lineRule="exact"/>
        <w:ind w:firstLine="450" w:firstLineChars="150"/>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pacing w:val="10"/>
          <w:sz w:val="28"/>
          <w:szCs w:val="28"/>
        </w:rPr>
        <w:t>（一）</w:t>
      </w:r>
      <w:r>
        <w:rPr>
          <w:rFonts w:hint="eastAsia" w:asciiTheme="majorEastAsia" w:hAnsiTheme="majorEastAsia" w:eastAsiaTheme="majorEastAsia" w:cstheme="majorEastAsia"/>
          <w:color w:val="auto"/>
          <w:sz w:val="28"/>
          <w:szCs w:val="28"/>
          <w:shd w:val="clear" w:color="auto" w:fill="FFFFFF"/>
        </w:rPr>
        <w:t>合法原则</w:t>
      </w:r>
    </w:p>
    <w:p>
      <w:pPr>
        <w:spacing w:line="580" w:lineRule="exact"/>
        <w:ind w:firstLine="420" w:firstLineChars="150"/>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z w:val="28"/>
          <w:szCs w:val="28"/>
          <w:shd w:val="clear" w:color="auto" w:fill="FFFFFF"/>
        </w:rPr>
        <w:t>（二）替代原则</w:t>
      </w:r>
    </w:p>
    <w:p>
      <w:pPr>
        <w:spacing w:line="580" w:lineRule="exact"/>
        <w:ind w:firstLine="420" w:firstLineChars="150"/>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z w:val="28"/>
          <w:szCs w:val="28"/>
          <w:shd w:val="clear" w:color="auto" w:fill="FFFFFF"/>
        </w:rPr>
        <w:t>（三） 最高最佳使用原则</w:t>
      </w:r>
    </w:p>
    <w:p>
      <w:pPr>
        <w:spacing w:line="580" w:lineRule="exact"/>
        <w:ind w:firstLine="420" w:firstLineChars="150"/>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z w:val="28"/>
          <w:szCs w:val="28"/>
          <w:shd w:val="clear" w:color="auto" w:fill="FFFFFF"/>
        </w:rPr>
        <w:t>（四）时点原则</w:t>
      </w:r>
    </w:p>
    <w:p>
      <w:pPr>
        <w:spacing w:line="580" w:lineRule="exact"/>
        <w:ind w:firstLine="420" w:firstLineChars="150"/>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z w:val="28"/>
          <w:szCs w:val="28"/>
          <w:shd w:val="clear" w:color="auto" w:fill="FFFFFF"/>
        </w:rPr>
        <w:t>（五） 预期收益原则</w:t>
      </w:r>
    </w:p>
    <w:p>
      <w:pPr>
        <w:spacing w:line="580" w:lineRule="exact"/>
        <w:ind w:firstLine="420" w:firstLineChars="150"/>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z w:val="28"/>
          <w:szCs w:val="28"/>
          <w:shd w:val="clear" w:color="auto" w:fill="FFFFFF"/>
        </w:rPr>
        <w:t>（六） 客观、公正原则</w:t>
      </w:r>
    </w:p>
    <w:p>
      <w:pPr>
        <w:spacing w:line="580" w:lineRule="exact"/>
        <w:ind w:firstLine="420" w:firstLineChars="150"/>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z w:val="28"/>
          <w:szCs w:val="28"/>
          <w:shd w:val="clear" w:color="auto" w:fill="FFFFFF"/>
        </w:rPr>
        <w:t>（七）综合分析原则</w:t>
      </w:r>
    </w:p>
    <w:p>
      <w:pPr>
        <w:spacing w:line="580" w:lineRule="exact"/>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color w:val="auto"/>
          <w:sz w:val="28"/>
          <w:szCs w:val="28"/>
        </w:rPr>
        <w:t xml:space="preserve">   </w:t>
      </w:r>
      <w:r>
        <w:rPr>
          <w:rFonts w:hint="eastAsia" w:asciiTheme="majorEastAsia" w:hAnsiTheme="majorEastAsia" w:eastAsiaTheme="majorEastAsia" w:cstheme="majorEastAsia"/>
          <w:b/>
          <w:bCs/>
          <w:color w:val="auto"/>
          <w:sz w:val="28"/>
          <w:szCs w:val="28"/>
        </w:rPr>
        <w:t xml:space="preserve"> 四、最高最佳使用分析</w:t>
      </w:r>
    </w:p>
    <w:p>
      <w:pPr>
        <w:spacing w:line="580" w:lineRule="exact"/>
        <w:ind w:firstLine="560" w:firstLineChars="200"/>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z w:val="28"/>
          <w:szCs w:val="28"/>
          <w:shd w:val="clear" w:color="auto" w:fill="FFFFFF"/>
        </w:rPr>
        <w:t>即在合法原则的前提下和工程技术水平允许的条件下，按评估对象的最佳使用状态进行评估，本次评估以保持现状为前提。</w:t>
      </w:r>
    </w:p>
    <w:p>
      <w:pPr>
        <w:spacing w:line="580" w:lineRule="exact"/>
        <w:rPr>
          <w:rFonts w:hint="eastAsia" w:asciiTheme="majorEastAsia" w:hAnsiTheme="majorEastAsia" w:eastAsiaTheme="majorEastAsia" w:cstheme="majorEastAsia"/>
          <w:b/>
          <w:color w:val="auto"/>
          <w:sz w:val="28"/>
          <w:szCs w:val="28"/>
        </w:rPr>
      </w:pPr>
      <w:r>
        <w:rPr>
          <w:rFonts w:hint="eastAsia" w:asciiTheme="majorEastAsia" w:hAnsiTheme="majorEastAsia" w:eastAsiaTheme="majorEastAsia" w:cstheme="majorEastAsia"/>
          <w:b/>
          <w:color w:val="auto"/>
          <w:sz w:val="28"/>
          <w:szCs w:val="28"/>
        </w:rPr>
        <w:t xml:space="preserve">    五、评估方法</w:t>
      </w:r>
    </w:p>
    <w:p>
      <w:pPr>
        <w:spacing w:line="580" w:lineRule="exact"/>
        <w:ind w:firstLine="560" w:firstLineChars="200"/>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z w:val="28"/>
          <w:szCs w:val="28"/>
          <w:shd w:val="clear" w:color="auto" w:fill="FFFFFF"/>
          <w:lang w:val="en-US" w:eastAsia="zh-CN"/>
        </w:rPr>
        <w:t>市场法、</w:t>
      </w:r>
      <w:r>
        <w:rPr>
          <w:rFonts w:hint="eastAsia" w:asciiTheme="majorEastAsia" w:hAnsiTheme="majorEastAsia" w:eastAsiaTheme="majorEastAsia" w:cstheme="majorEastAsia"/>
          <w:color w:val="auto"/>
          <w:sz w:val="28"/>
          <w:szCs w:val="28"/>
          <w:shd w:val="clear" w:color="auto" w:fill="FFFFFF"/>
        </w:rPr>
        <w:t>收益法</w:t>
      </w:r>
    </w:p>
    <w:p>
      <w:pPr>
        <w:spacing w:line="580" w:lineRule="exact"/>
        <w:ind w:firstLine="562" w:firstLineChars="200"/>
        <w:rPr>
          <w:rFonts w:hint="eastAsia" w:asciiTheme="majorEastAsia" w:hAnsiTheme="majorEastAsia" w:eastAsiaTheme="majorEastAsia" w:cstheme="majorEastAsia"/>
          <w:b/>
          <w:color w:val="auto"/>
          <w:sz w:val="28"/>
          <w:szCs w:val="22"/>
        </w:rPr>
      </w:pPr>
      <w:r>
        <w:rPr>
          <w:rFonts w:hint="eastAsia" w:asciiTheme="majorEastAsia" w:hAnsiTheme="majorEastAsia" w:eastAsiaTheme="majorEastAsia" w:cstheme="majorEastAsia"/>
          <w:b/>
          <w:color w:val="auto"/>
          <w:sz w:val="28"/>
          <w:szCs w:val="22"/>
        </w:rPr>
        <w:t>六、评估过程</w:t>
      </w:r>
    </w:p>
    <w:p>
      <w:pPr>
        <w:spacing w:line="580" w:lineRule="exact"/>
        <w:ind w:firstLine="551" w:firstLineChars="196"/>
        <w:outlineLvl w:val="1"/>
        <w:rPr>
          <w:rFonts w:hint="eastAsia" w:asciiTheme="majorEastAsia" w:hAnsiTheme="majorEastAsia" w:eastAsiaTheme="majorEastAsia" w:cstheme="majorEastAsia"/>
          <w:b/>
          <w:bCs/>
          <w:color w:val="auto"/>
          <w:sz w:val="28"/>
          <w:szCs w:val="28"/>
          <w:lang w:val="en-US" w:eastAsia="zh-CN"/>
        </w:rPr>
      </w:pPr>
      <w:r>
        <w:rPr>
          <w:rFonts w:hint="eastAsia" w:asciiTheme="majorEastAsia" w:hAnsiTheme="majorEastAsia" w:eastAsiaTheme="majorEastAsia" w:cstheme="majorEastAsia"/>
          <w:b/>
          <w:bCs/>
          <w:color w:val="auto"/>
          <w:sz w:val="28"/>
          <w:szCs w:val="28"/>
          <w:lang w:val="en-US" w:eastAsia="zh-CN"/>
        </w:rPr>
        <w:t>A、1-1-1A号房屋的评估过程</w:t>
      </w:r>
    </w:p>
    <w:p>
      <w:pPr>
        <w:spacing w:line="580" w:lineRule="exact"/>
        <w:ind w:firstLine="548" w:firstLineChars="196"/>
        <w:outlineLvl w:val="1"/>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lang w:val="en-US" w:eastAsia="zh-CN"/>
        </w:rPr>
        <w:t xml:space="preserve">一 </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lang w:val="en-US" w:eastAsia="zh-CN"/>
        </w:rPr>
        <w:t>市场法的评估过程</w:t>
      </w:r>
    </w:p>
    <w:p>
      <w:pPr>
        <w:spacing w:line="580" w:lineRule="exact"/>
        <w:ind w:firstLine="560" w:firstLineChars="200"/>
        <w:rPr>
          <w:rFonts w:hint="eastAsia" w:asciiTheme="majorEastAsia" w:hAnsiTheme="majorEastAsia" w:eastAsiaTheme="majorEastAsia" w:cstheme="majorEastAsia"/>
          <w:color w:val="auto"/>
          <w:sz w:val="28"/>
          <w:szCs w:val="28"/>
          <w:shd w:val="clear" w:color="auto" w:fill="FFFFFF"/>
        </w:rPr>
      </w:pPr>
      <w:r>
        <w:rPr>
          <w:rFonts w:hint="eastAsia" w:ascii="宋体" w:hAnsi="宋体" w:eastAsia="宋体" w:cs="宋体"/>
          <w:color w:val="000000" w:themeColor="text1"/>
          <w:kern w:val="96"/>
          <w:sz w:val="28"/>
          <w:szCs w:val="28"/>
          <w14:textFill>
            <w14:solidFill>
              <w14:schemeClr w14:val="tx1"/>
            </w14:solidFill>
          </w14:textFill>
        </w:rPr>
        <w:t>1、选</w:t>
      </w:r>
      <w:r>
        <w:rPr>
          <w:rFonts w:hint="eastAsia" w:asciiTheme="majorEastAsia" w:hAnsiTheme="majorEastAsia" w:eastAsiaTheme="majorEastAsia" w:cstheme="majorEastAsia"/>
          <w:color w:val="auto"/>
          <w:sz w:val="28"/>
          <w:szCs w:val="28"/>
          <w:shd w:val="clear" w:color="auto" w:fill="FFFFFF"/>
        </w:rPr>
        <w:t>取可比实例</w:t>
      </w:r>
    </w:p>
    <w:p>
      <w:pPr>
        <w:spacing w:line="58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Theme="majorEastAsia" w:hAnsiTheme="majorEastAsia" w:eastAsiaTheme="majorEastAsia" w:cstheme="majorEastAsia"/>
          <w:color w:val="auto"/>
          <w:sz w:val="28"/>
          <w:szCs w:val="28"/>
          <w:shd w:val="clear" w:color="auto" w:fill="FFFFFF"/>
        </w:rPr>
        <w:t>按照行业技</w:t>
      </w:r>
      <w:r>
        <w:rPr>
          <w:rFonts w:hint="eastAsia" w:ascii="宋体" w:hAnsi="宋体" w:eastAsia="宋体" w:cs="宋体"/>
          <w:color w:val="000000" w:themeColor="text1"/>
          <w:kern w:val="96"/>
          <w:sz w:val="28"/>
          <w:szCs w:val="28"/>
          <w14:textFill>
            <w14:solidFill>
              <w14:schemeClr w14:val="tx1"/>
            </w14:solidFill>
          </w14:textFill>
        </w:rPr>
        <w:t>术标准《</w:t>
      </w:r>
      <w:r>
        <w:rPr>
          <w:rFonts w:hint="eastAsia" w:ascii="宋体" w:hAnsi="宋体" w:eastAsia="宋体" w:cs="宋体"/>
          <w:color w:val="000000" w:themeColor="text1"/>
          <w:kern w:val="96"/>
          <w:sz w:val="28"/>
          <w:szCs w:val="28"/>
          <w:lang w:val="en-US" w:eastAsia="zh-CN"/>
          <w14:textFill>
            <w14:solidFill>
              <w14:schemeClr w14:val="tx1"/>
            </w14:solidFill>
          </w14:textFill>
        </w:rPr>
        <w:t>不动产价格鉴证评估技术规范</w:t>
      </w:r>
      <w:r>
        <w:rPr>
          <w:rFonts w:hint="eastAsia" w:ascii="宋体" w:hAnsi="宋体" w:eastAsia="宋体" w:cs="宋体"/>
          <w:color w:val="000000" w:themeColor="text1"/>
          <w:kern w:val="96"/>
          <w:sz w:val="28"/>
          <w:szCs w:val="28"/>
          <w14:textFill>
            <w14:solidFill>
              <w14:schemeClr w14:val="tx1"/>
            </w14:solidFill>
          </w14:textFill>
        </w:rPr>
        <w:t>》，可比实例要与</w:t>
      </w:r>
      <w:r>
        <w:rPr>
          <w:rFonts w:hint="eastAsia" w:ascii="宋体" w:hAnsi="宋体" w:eastAsia="宋体" w:cs="宋体"/>
          <w:color w:val="000000" w:themeColor="text1"/>
          <w:kern w:val="96"/>
          <w:sz w:val="28"/>
          <w:szCs w:val="28"/>
          <w:lang w:val="en-US" w:eastAsia="zh-CN"/>
          <w14:textFill>
            <w14:solidFill>
              <w14:schemeClr w14:val="tx1"/>
            </w14:solidFill>
          </w14:textFill>
        </w:rPr>
        <w:t>评估</w:t>
      </w:r>
      <w:r>
        <w:rPr>
          <w:rFonts w:hint="eastAsia" w:ascii="宋体" w:hAnsi="宋体" w:eastAsia="宋体" w:cs="宋体"/>
          <w:color w:val="000000" w:themeColor="text1"/>
          <w:kern w:val="96"/>
          <w:sz w:val="28"/>
          <w:szCs w:val="28"/>
          <w14:textFill>
            <w14:solidFill>
              <w14:schemeClr w14:val="tx1"/>
            </w14:solidFill>
          </w14:textFill>
        </w:rPr>
        <w:t>对象的用途相同、结构相同、处于同一供求圈，交易情况无反常，交易时间不</w:t>
      </w:r>
      <w:r>
        <w:rPr>
          <w:rFonts w:hint="eastAsia" w:ascii="宋体" w:hAnsi="宋体" w:eastAsia="宋体" w:cs="宋体"/>
          <w:color w:val="000000" w:themeColor="text1"/>
          <w:kern w:val="96"/>
          <w:sz w:val="28"/>
          <w:szCs w:val="28"/>
          <w:lang w:val="en-US" w:eastAsia="zh-CN"/>
          <w14:textFill>
            <w14:solidFill>
              <w14:schemeClr w14:val="tx1"/>
            </w14:solidFill>
          </w14:textFill>
        </w:rPr>
        <w:t>宜</w:t>
      </w:r>
      <w:r>
        <w:rPr>
          <w:rFonts w:hint="eastAsia" w:ascii="宋体" w:hAnsi="宋体" w:eastAsia="宋体" w:cs="宋体"/>
          <w:color w:val="000000" w:themeColor="text1"/>
          <w:kern w:val="96"/>
          <w:sz w:val="28"/>
          <w:szCs w:val="28"/>
          <w14:textFill>
            <w14:solidFill>
              <w14:schemeClr w14:val="tx1"/>
            </w14:solidFill>
          </w14:textFill>
        </w:rPr>
        <w:t>超过1年。本次估价选用了A、B、C三个交易实例进行分析比较，详见下表：</w:t>
      </w:r>
    </w:p>
    <w:p>
      <w:pPr>
        <w:pStyle w:val="2"/>
        <w:rPr>
          <w:rFonts w:hint="eastAsia"/>
        </w:rPr>
      </w:pPr>
    </w:p>
    <w:p>
      <w:pPr>
        <w:spacing w:line="500" w:lineRule="exact"/>
        <w:jc w:val="center"/>
        <w:rPr>
          <w:rFonts w:hint="eastAsia" w:ascii="宋体" w:hAnsi="宋体" w:eastAsia="宋体" w:cs="宋体"/>
          <w:color w:val="000000" w:themeColor="text1"/>
          <w:szCs w:val="28"/>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交易实例情况表</w:t>
      </w:r>
    </w:p>
    <w:tbl>
      <w:tblPr>
        <w:tblStyle w:val="18"/>
        <w:tblW w:w="9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2459"/>
        <w:gridCol w:w="2272"/>
        <w:gridCol w:w="2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10" w:type="dxa"/>
            <w:tcBorders>
              <w:top w:val="single" w:color="auto" w:sz="12" w:space="0"/>
              <w:left w:val="single" w:color="auto" w:sz="12" w:space="0"/>
              <w:tl2br w:val="single" w:color="auto" w:sz="8" w:space="0"/>
            </w:tcBorders>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实例</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p>
          <w:p>
            <w:pPr>
              <w:ind w:firstLine="210" w:firstLineChars="10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w:t>
            </w:r>
          </w:p>
        </w:tc>
        <w:tc>
          <w:tcPr>
            <w:tcW w:w="2459" w:type="dxa"/>
            <w:tcBorders>
              <w:top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实例A:金景南苑</w:t>
            </w:r>
          </w:p>
        </w:tc>
        <w:tc>
          <w:tcPr>
            <w:tcW w:w="2272" w:type="dxa"/>
            <w:tcBorders>
              <w:top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实例B：金源花园</w:t>
            </w:r>
          </w:p>
        </w:tc>
        <w:tc>
          <w:tcPr>
            <w:tcW w:w="2695" w:type="dxa"/>
            <w:tcBorders>
              <w:top w:val="single" w:color="auto" w:sz="12" w:space="0"/>
              <w:right w:val="single" w:color="auto" w:sz="12" w:space="0"/>
            </w:tcBorders>
            <w:vAlign w:val="center"/>
          </w:tcPr>
          <w:p>
            <w:pPr>
              <w:adjustRightInd/>
              <w:snapToGrid/>
              <w:spacing w:after="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实例C：阳光北辰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910" w:type="dxa"/>
            <w:tcBorders>
              <w:lef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座    落</w:t>
            </w:r>
          </w:p>
        </w:tc>
        <w:tc>
          <w:tcPr>
            <w:tcW w:w="2459" w:type="dxa"/>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金景南苑</w:t>
            </w:r>
          </w:p>
        </w:tc>
        <w:tc>
          <w:tcPr>
            <w:tcW w:w="2272" w:type="dxa"/>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金源花园</w:t>
            </w:r>
          </w:p>
        </w:tc>
        <w:tc>
          <w:tcPr>
            <w:tcW w:w="2695" w:type="dxa"/>
            <w:tcBorders>
              <w:righ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阳光北辰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910" w:type="dxa"/>
            <w:tcBorders>
              <w:lef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用    途</w:t>
            </w:r>
          </w:p>
        </w:tc>
        <w:tc>
          <w:tcPr>
            <w:tcW w:w="2459" w:type="dxa"/>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住宅</w:t>
            </w:r>
          </w:p>
        </w:tc>
        <w:tc>
          <w:tcPr>
            <w:tcW w:w="2272" w:type="dxa"/>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住宅</w:t>
            </w:r>
          </w:p>
        </w:tc>
        <w:tc>
          <w:tcPr>
            <w:tcW w:w="2695" w:type="dxa"/>
            <w:tcBorders>
              <w:righ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910" w:type="dxa"/>
            <w:tcBorders>
              <w:lef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项目状况</w:t>
            </w:r>
          </w:p>
        </w:tc>
        <w:tc>
          <w:tcPr>
            <w:tcW w:w="2459" w:type="dxa"/>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现房</w:t>
            </w:r>
          </w:p>
        </w:tc>
        <w:tc>
          <w:tcPr>
            <w:tcW w:w="2272" w:type="dxa"/>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现房</w:t>
            </w:r>
          </w:p>
        </w:tc>
        <w:tc>
          <w:tcPr>
            <w:tcW w:w="2695" w:type="dxa"/>
            <w:tcBorders>
              <w:righ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910" w:type="dxa"/>
            <w:tcBorders>
              <w:lef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交易日期</w:t>
            </w:r>
          </w:p>
        </w:tc>
        <w:tc>
          <w:tcPr>
            <w:tcW w:w="2459" w:type="dxa"/>
            <w:vAlign w:val="center"/>
          </w:tcPr>
          <w:p>
            <w:pPr>
              <w:adjustRightInd/>
              <w:snapToGrid/>
              <w:spacing w:after="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r>
              <w:rPr>
                <w:rFonts w:hint="eastAsia" w:ascii="宋体" w:hAnsi="宋体" w:eastAsia="宋体" w:cs="宋体"/>
                <w:color w:val="000000" w:themeColor="text1"/>
                <w:sz w:val="21"/>
                <w:szCs w:val="21"/>
                <w:lang w:val="en-US" w:eastAsia="zh-CN"/>
                <w14:textFill>
                  <w14:solidFill>
                    <w14:schemeClr w14:val="tx1"/>
                  </w14:solidFill>
                </w14:textFill>
              </w:rPr>
              <w:t>22.4</w:t>
            </w:r>
          </w:p>
        </w:tc>
        <w:tc>
          <w:tcPr>
            <w:tcW w:w="2272" w:type="dxa"/>
            <w:vAlign w:val="center"/>
          </w:tcPr>
          <w:p>
            <w:pPr>
              <w:adjustRightInd/>
              <w:snapToGrid/>
              <w:spacing w:after="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r>
              <w:rPr>
                <w:rFonts w:hint="eastAsia" w:ascii="宋体" w:hAnsi="宋体" w:eastAsia="宋体" w:cs="宋体"/>
                <w:color w:val="000000" w:themeColor="text1"/>
                <w:sz w:val="21"/>
                <w:szCs w:val="21"/>
                <w:lang w:val="en-US" w:eastAsia="zh-CN"/>
                <w14:textFill>
                  <w14:solidFill>
                    <w14:schemeClr w14:val="tx1"/>
                  </w14:solidFill>
                </w14:textFill>
              </w:rPr>
              <w:t>22.3</w:t>
            </w:r>
          </w:p>
        </w:tc>
        <w:tc>
          <w:tcPr>
            <w:tcW w:w="2695" w:type="dxa"/>
            <w:tcBorders>
              <w:right w:val="single" w:color="auto" w:sz="12" w:space="0"/>
            </w:tcBorders>
            <w:vAlign w:val="center"/>
          </w:tcPr>
          <w:p>
            <w:pPr>
              <w:adjustRightInd/>
              <w:snapToGrid/>
              <w:spacing w:after="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w:t>
            </w:r>
            <w:r>
              <w:rPr>
                <w:rFonts w:hint="eastAsia" w:ascii="宋体" w:hAnsi="宋体" w:eastAsia="宋体" w:cs="宋体"/>
                <w:color w:val="000000" w:themeColor="text1"/>
                <w:sz w:val="21"/>
                <w:szCs w:val="21"/>
                <w:lang w:val="en-US" w:eastAsia="zh-CN"/>
                <w14:textFill>
                  <w14:solidFill>
                    <w14:schemeClr w14:val="tx1"/>
                  </w14:solidFill>
                </w14:textFill>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910" w:type="dxa"/>
            <w:tcBorders>
              <w:lef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房屋总层数</w:t>
            </w:r>
          </w:p>
        </w:tc>
        <w:tc>
          <w:tcPr>
            <w:tcW w:w="2459" w:type="dxa"/>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w:t>
            </w:r>
          </w:p>
        </w:tc>
        <w:tc>
          <w:tcPr>
            <w:tcW w:w="2272" w:type="dxa"/>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w:t>
            </w:r>
          </w:p>
        </w:tc>
        <w:tc>
          <w:tcPr>
            <w:tcW w:w="2695" w:type="dxa"/>
            <w:tcBorders>
              <w:right w:val="single" w:color="auto" w:sz="12" w:space="0"/>
            </w:tcBorders>
            <w:vAlign w:val="center"/>
          </w:tcPr>
          <w:p>
            <w:pPr>
              <w:adjustRightInd/>
              <w:snapToGrid/>
              <w:spacing w:after="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910" w:type="dxa"/>
            <w:tcBorders>
              <w:lef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楼    层</w:t>
            </w:r>
          </w:p>
        </w:tc>
        <w:tc>
          <w:tcPr>
            <w:tcW w:w="2459" w:type="dxa"/>
            <w:vAlign w:val="center"/>
          </w:tcPr>
          <w:p>
            <w:pPr>
              <w:adjustRightInd/>
              <w:snapToGrid/>
              <w:spacing w:after="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w:t>
            </w:r>
          </w:p>
        </w:tc>
        <w:tc>
          <w:tcPr>
            <w:tcW w:w="2272" w:type="dxa"/>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p>
        </w:tc>
        <w:tc>
          <w:tcPr>
            <w:tcW w:w="2695" w:type="dxa"/>
            <w:tcBorders>
              <w:righ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910" w:type="dxa"/>
            <w:tcBorders>
              <w:lef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建筑面积（</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p>
        </w:tc>
        <w:tc>
          <w:tcPr>
            <w:tcW w:w="2459" w:type="dxa"/>
            <w:vAlign w:val="center"/>
          </w:tcPr>
          <w:p>
            <w:pPr>
              <w:adjustRightInd/>
              <w:snapToGrid/>
              <w:spacing w:after="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113.26</w:t>
            </w:r>
          </w:p>
        </w:tc>
        <w:tc>
          <w:tcPr>
            <w:tcW w:w="2272" w:type="dxa"/>
            <w:vAlign w:val="center"/>
          </w:tcPr>
          <w:p>
            <w:pPr>
              <w:adjustRightInd/>
              <w:snapToGrid/>
              <w:spacing w:after="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118.38</w:t>
            </w:r>
          </w:p>
        </w:tc>
        <w:tc>
          <w:tcPr>
            <w:tcW w:w="2695" w:type="dxa"/>
            <w:tcBorders>
              <w:right w:val="single" w:color="auto" w:sz="12" w:space="0"/>
            </w:tcBorders>
            <w:vAlign w:val="center"/>
          </w:tcPr>
          <w:p>
            <w:pPr>
              <w:adjustRightInd/>
              <w:snapToGrid/>
              <w:spacing w:after="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107.18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910" w:type="dxa"/>
            <w:tcBorders>
              <w:lef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朝向</w:t>
            </w:r>
          </w:p>
        </w:tc>
        <w:tc>
          <w:tcPr>
            <w:tcW w:w="2459" w:type="dxa"/>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南北</w:t>
            </w:r>
          </w:p>
        </w:tc>
        <w:tc>
          <w:tcPr>
            <w:tcW w:w="2272" w:type="dxa"/>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南北</w:t>
            </w:r>
          </w:p>
        </w:tc>
        <w:tc>
          <w:tcPr>
            <w:tcW w:w="2695" w:type="dxa"/>
            <w:tcBorders>
              <w:righ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东南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910" w:type="dxa"/>
            <w:tcBorders>
              <w:lef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内部装饰</w:t>
            </w:r>
          </w:p>
        </w:tc>
        <w:tc>
          <w:tcPr>
            <w:tcW w:w="2459" w:type="dxa"/>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精装修</w:t>
            </w:r>
          </w:p>
        </w:tc>
        <w:tc>
          <w:tcPr>
            <w:tcW w:w="2272" w:type="dxa"/>
            <w:vAlign w:val="center"/>
          </w:tcPr>
          <w:p>
            <w:pPr>
              <w:adjustRightInd/>
              <w:snapToGrid/>
              <w:spacing w:after="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简单装修</w:t>
            </w:r>
          </w:p>
        </w:tc>
        <w:tc>
          <w:tcPr>
            <w:tcW w:w="2695" w:type="dxa"/>
            <w:tcBorders>
              <w:righ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简单装修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910" w:type="dxa"/>
            <w:tcBorders>
              <w:lef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建成年代</w:t>
            </w:r>
          </w:p>
        </w:tc>
        <w:tc>
          <w:tcPr>
            <w:tcW w:w="2459" w:type="dxa"/>
            <w:vAlign w:val="center"/>
          </w:tcPr>
          <w:p>
            <w:pPr>
              <w:adjustRightInd/>
              <w:snapToGrid/>
              <w:spacing w:after="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2008</w:t>
            </w:r>
          </w:p>
        </w:tc>
        <w:tc>
          <w:tcPr>
            <w:tcW w:w="2272" w:type="dxa"/>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2011</w:t>
            </w:r>
          </w:p>
        </w:tc>
        <w:tc>
          <w:tcPr>
            <w:tcW w:w="2695" w:type="dxa"/>
            <w:tcBorders>
              <w:right w:val="single" w:color="auto" w:sz="12" w:space="0"/>
            </w:tcBorders>
            <w:vAlign w:val="center"/>
          </w:tcPr>
          <w:p>
            <w:pPr>
              <w:adjustRightInd/>
              <w:snapToGrid/>
              <w:spacing w:after="0"/>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910" w:type="dxa"/>
            <w:tcBorders>
              <w:lef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结    构</w:t>
            </w:r>
          </w:p>
        </w:tc>
        <w:tc>
          <w:tcPr>
            <w:tcW w:w="2459" w:type="dxa"/>
            <w:vAlign w:val="center"/>
          </w:tcPr>
          <w:p>
            <w:pPr>
              <w:adjustRightInd/>
              <w:snapToGrid/>
              <w:spacing w:after="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钢混</w:t>
            </w:r>
            <w:r>
              <w:rPr>
                <w:rFonts w:hint="eastAsia" w:ascii="宋体" w:hAnsi="宋体" w:eastAsia="宋体" w:cs="宋体"/>
                <w:color w:val="000000" w:themeColor="text1"/>
                <w:sz w:val="21"/>
                <w:szCs w:val="21"/>
                <w:lang w:eastAsia="zh-CN"/>
                <w14:textFill>
                  <w14:solidFill>
                    <w14:schemeClr w14:val="tx1"/>
                  </w14:solidFill>
                </w14:textFill>
              </w:rPr>
              <w:t>结构</w:t>
            </w:r>
          </w:p>
        </w:tc>
        <w:tc>
          <w:tcPr>
            <w:tcW w:w="2272" w:type="dxa"/>
            <w:vAlign w:val="center"/>
          </w:tcPr>
          <w:p>
            <w:pPr>
              <w:adjustRightInd/>
              <w:snapToGrid/>
              <w:spacing w:after="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钢混</w:t>
            </w:r>
            <w:r>
              <w:rPr>
                <w:rFonts w:hint="eastAsia" w:ascii="宋体" w:hAnsi="宋体" w:eastAsia="宋体" w:cs="宋体"/>
                <w:color w:val="000000" w:themeColor="text1"/>
                <w:sz w:val="21"/>
                <w:szCs w:val="21"/>
                <w:lang w:eastAsia="zh-CN"/>
                <w14:textFill>
                  <w14:solidFill>
                    <w14:schemeClr w14:val="tx1"/>
                  </w14:solidFill>
                </w14:textFill>
              </w:rPr>
              <w:t>结构</w:t>
            </w:r>
          </w:p>
        </w:tc>
        <w:tc>
          <w:tcPr>
            <w:tcW w:w="2695" w:type="dxa"/>
            <w:tcBorders>
              <w:righ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钢混</w:t>
            </w:r>
            <w:r>
              <w:rPr>
                <w:rFonts w:hint="eastAsia" w:ascii="宋体" w:hAnsi="宋体" w:eastAsia="宋体" w:cs="宋体"/>
                <w:color w:val="000000" w:themeColor="text1"/>
                <w:sz w:val="21"/>
                <w:szCs w:val="21"/>
                <w:lang w:eastAsia="zh-CN"/>
                <w14:textFill>
                  <w14:solidFill>
                    <w14:schemeClr w14:val="tx1"/>
                  </w14:solidFill>
                </w14:textFill>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910" w:type="dxa"/>
            <w:tcBorders>
              <w:lef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查封情况</w:t>
            </w:r>
          </w:p>
        </w:tc>
        <w:tc>
          <w:tcPr>
            <w:tcW w:w="2459" w:type="dxa"/>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未查封</w:t>
            </w:r>
          </w:p>
        </w:tc>
        <w:tc>
          <w:tcPr>
            <w:tcW w:w="2272" w:type="dxa"/>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未查封</w:t>
            </w:r>
          </w:p>
        </w:tc>
        <w:tc>
          <w:tcPr>
            <w:tcW w:w="2695" w:type="dxa"/>
            <w:tcBorders>
              <w:righ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未查封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910" w:type="dxa"/>
            <w:tcBorders>
              <w:lef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交易单价（元/㎡）</w:t>
            </w:r>
          </w:p>
        </w:tc>
        <w:tc>
          <w:tcPr>
            <w:tcW w:w="2459" w:type="dxa"/>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3267</w:t>
            </w:r>
          </w:p>
        </w:tc>
        <w:tc>
          <w:tcPr>
            <w:tcW w:w="2272" w:type="dxa"/>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2957</w:t>
            </w:r>
          </w:p>
        </w:tc>
        <w:tc>
          <w:tcPr>
            <w:tcW w:w="2695" w:type="dxa"/>
            <w:tcBorders>
              <w:righ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910" w:type="dxa"/>
            <w:tcBorders>
              <w:lef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付款方式</w:t>
            </w:r>
          </w:p>
        </w:tc>
        <w:tc>
          <w:tcPr>
            <w:tcW w:w="2459" w:type="dxa"/>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一次性付款</w:t>
            </w:r>
          </w:p>
        </w:tc>
        <w:tc>
          <w:tcPr>
            <w:tcW w:w="2272" w:type="dxa"/>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一次性付款</w:t>
            </w:r>
          </w:p>
        </w:tc>
        <w:tc>
          <w:tcPr>
            <w:tcW w:w="2695" w:type="dxa"/>
            <w:tcBorders>
              <w:righ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一次性付款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1910" w:type="dxa"/>
            <w:tcBorders>
              <w:lef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税费负担</w:t>
            </w:r>
          </w:p>
        </w:tc>
        <w:tc>
          <w:tcPr>
            <w:tcW w:w="2459"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买卖双方各自家承担</w:t>
            </w:r>
          </w:p>
        </w:tc>
        <w:tc>
          <w:tcPr>
            <w:tcW w:w="2272"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买卖双方各自家承担</w:t>
            </w:r>
          </w:p>
        </w:tc>
        <w:tc>
          <w:tcPr>
            <w:tcW w:w="2695"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买卖双方各自家承担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910" w:type="dxa"/>
            <w:tcBorders>
              <w:lef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面积内涵</w:t>
            </w:r>
          </w:p>
        </w:tc>
        <w:tc>
          <w:tcPr>
            <w:tcW w:w="2459"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按建筑面积计价</w:t>
            </w:r>
          </w:p>
        </w:tc>
        <w:tc>
          <w:tcPr>
            <w:tcW w:w="2272" w:type="dxa"/>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按建筑面积计价</w:t>
            </w:r>
          </w:p>
        </w:tc>
        <w:tc>
          <w:tcPr>
            <w:tcW w:w="2695" w:type="dxa"/>
            <w:tcBorders>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按建筑面积计价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910" w:type="dxa"/>
            <w:tcBorders>
              <w:left w:val="single" w:color="auto" w:sz="12" w:space="0"/>
              <w:bottom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来源</w:t>
            </w:r>
          </w:p>
        </w:tc>
        <w:tc>
          <w:tcPr>
            <w:tcW w:w="2459" w:type="dxa"/>
            <w:tcBorders>
              <w:bottom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市场调查</w:t>
            </w:r>
          </w:p>
        </w:tc>
        <w:tc>
          <w:tcPr>
            <w:tcW w:w="2272" w:type="dxa"/>
            <w:tcBorders>
              <w:bottom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市场调查</w:t>
            </w:r>
          </w:p>
        </w:tc>
        <w:tc>
          <w:tcPr>
            <w:tcW w:w="2695" w:type="dxa"/>
            <w:tcBorders>
              <w:bottom w:val="single" w:color="auto" w:sz="12" w:space="0"/>
              <w:right w:val="single" w:color="auto" w:sz="12" w:space="0"/>
            </w:tcBorders>
            <w:vAlign w:val="center"/>
          </w:tcPr>
          <w:p>
            <w:pPr>
              <w:adjustRightInd/>
              <w:snapToGrid/>
              <w:spacing w:after="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市场调查</w:t>
            </w:r>
          </w:p>
        </w:tc>
      </w:tr>
    </w:tbl>
    <w:p>
      <w:pPr>
        <w:spacing w:after="0" w:line="100" w:lineRule="exact"/>
        <w:ind w:firstLine="560" w:firstLineChars="200"/>
        <w:rPr>
          <w:rFonts w:hint="eastAsia" w:ascii="宋体" w:hAnsi="宋体" w:eastAsia="宋体" w:cs="宋体"/>
          <w:color w:val="000000" w:themeColor="text1"/>
          <w:sz w:val="28"/>
          <w:szCs w:val="28"/>
          <w14:textFill>
            <w14:solidFill>
              <w14:schemeClr w14:val="tx1"/>
            </w14:solidFill>
          </w14:textFill>
        </w:rPr>
      </w:pPr>
    </w:p>
    <w:p>
      <w:pPr>
        <w:spacing w:line="50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2、交</w:t>
      </w:r>
      <w:r>
        <w:rPr>
          <w:rFonts w:hint="eastAsia" w:ascii="宋体" w:hAnsi="宋体" w:eastAsia="宋体" w:cs="宋体"/>
          <w:color w:val="000000" w:themeColor="text1"/>
          <w:sz w:val="28"/>
          <w:szCs w:val="28"/>
          <w14:textFill>
            <w14:solidFill>
              <w14:schemeClr w14:val="tx1"/>
            </w14:solidFill>
          </w14:textFill>
        </w:rPr>
        <w:t>易情况修正</w:t>
      </w:r>
    </w:p>
    <w:p>
      <w:pPr>
        <w:spacing w:line="500" w:lineRule="exact"/>
        <w:ind w:firstLine="560" w:firstLineChars="200"/>
        <w:rPr>
          <w:rFonts w:hint="eastAsia" w:ascii="宋体" w:hAnsi="宋体" w:eastAsia="宋体" w:cs="宋体"/>
          <w:szCs w:val="28"/>
        </w:rPr>
      </w:pPr>
      <w:r>
        <w:rPr>
          <w:rFonts w:hint="eastAsia" w:ascii="宋体" w:hAnsi="宋体" w:eastAsia="宋体" w:cs="宋体"/>
          <w:color w:val="000000" w:themeColor="text1"/>
          <w:sz w:val="28"/>
          <w:szCs w:val="28"/>
          <w14:textFill>
            <w14:solidFill>
              <w14:schemeClr w14:val="tx1"/>
            </w14:solidFill>
          </w14:textFill>
        </w:rPr>
        <w:t>主要考虑</w:t>
      </w:r>
      <w:r>
        <w:rPr>
          <w:rFonts w:hint="eastAsia" w:ascii="宋体" w:hAnsi="宋体" w:eastAsia="宋体" w:cs="宋体"/>
          <w:color w:val="000000" w:themeColor="text1"/>
          <w:kern w:val="96"/>
          <w:sz w:val="28"/>
          <w:szCs w:val="28"/>
          <w14:textFill>
            <w14:solidFill>
              <w14:schemeClr w14:val="tx1"/>
            </w14:solidFill>
          </w14:textFill>
        </w:rPr>
        <w:t>排除交</w:t>
      </w:r>
      <w:r>
        <w:rPr>
          <w:rFonts w:hint="eastAsia" w:ascii="宋体" w:hAnsi="宋体" w:eastAsia="宋体" w:cs="宋体"/>
          <w:color w:val="000000" w:themeColor="text1"/>
          <w:sz w:val="28"/>
          <w:szCs w:val="28"/>
          <w14:textFill>
            <w14:solidFill>
              <w14:schemeClr w14:val="tx1"/>
            </w14:solidFill>
          </w14:textFill>
        </w:rPr>
        <w:t>易行为中的某些特殊因素所造成的可比实例的成交价格偏差，将其成交价格修正为正常价格。三个交易案例为正常交易价格，修正系数为100/100</w:t>
      </w:r>
      <w:r>
        <w:rPr>
          <w:rFonts w:hint="eastAsia" w:ascii="宋体" w:hAnsi="宋体" w:eastAsia="宋体" w:cs="宋体"/>
          <w:szCs w:val="28"/>
        </w:rPr>
        <w:t>。</w:t>
      </w:r>
    </w:p>
    <w:p>
      <w:pPr>
        <w:spacing w:line="50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3、交易日期修正</w:t>
      </w:r>
    </w:p>
    <w:p>
      <w:pPr>
        <w:spacing w:line="50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主要考虑将可比实例在其成交日期时的价格调整为</w:t>
      </w:r>
      <w:r>
        <w:rPr>
          <w:rFonts w:hint="eastAsia" w:ascii="宋体" w:hAnsi="宋体" w:eastAsia="宋体" w:cs="宋体"/>
          <w:color w:val="000000" w:themeColor="text1"/>
          <w:sz w:val="28"/>
          <w:szCs w:val="28"/>
          <w:lang w:val="en-US" w:eastAsia="zh-CN"/>
          <w14:textFill>
            <w14:solidFill>
              <w14:schemeClr w14:val="tx1"/>
            </w14:solidFill>
          </w14:textFill>
        </w:rPr>
        <w:t>评估基准日</w:t>
      </w:r>
      <w:r>
        <w:rPr>
          <w:rFonts w:hint="eastAsia" w:ascii="宋体" w:hAnsi="宋体" w:eastAsia="宋体" w:cs="宋体"/>
          <w:color w:val="000000" w:themeColor="text1"/>
          <w:sz w:val="28"/>
          <w:szCs w:val="28"/>
          <w14:textFill>
            <w14:solidFill>
              <w14:schemeClr w14:val="tx1"/>
            </w14:solidFill>
          </w14:textFill>
        </w:rPr>
        <w:t>的价格。由于所选可比实例是近期成交，且近期房地产市场变化不大，所以不做交易日期修正，修正系数为100/100。</w:t>
      </w:r>
    </w:p>
    <w:p>
      <w:pPr>
        <w:spacing w:line="50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4、其它影响房地产价格的各项因素分析及修正</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（1）区位状</w:t>
      </w:r>
      <w:r>
        <w:rPr>
          <w:rFonts w:hint="eastAsia" w:ascii="宋体" w:hAnsi="宋体" w:eastAsia="宋体" w:cs="宋体"/>
          <w:color w:val="000000" w:themeColor="text1"/>
          <w:kern w:val="96"/>
          <w:sz w:val="28"/>
          <w:szCs w:val="28"/>
          <w14:textFill>
            <w14:solidFill>
              <w14:schemeClr w14:val="tx1"/>
            </w14:solidFill>
          </w14:textFill>
        </w:rPr>
        <w:t>况分析及修正</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是将可比实例相对于</w:t>
      </w:r>
      <w:r>
        <w:rPr>
          <w:rFonts w:hint="eastAsia" w:ascii="宋体" w:hAnsi="宋体" w:eastAsia="宋体" w:cs="宋体"/>
          <w:color w:val="000000" w:themeColor="text1"/>
          <w:kern w:val="96"/>
          <w:sz w:val="28"/>
          <w:szCs w:val="28"/>
          <w:lang w:eastAsia="zh-CN"/>
          <w14:textFill>
            <w14:solidFill>
              <w14:schemeClr w14:val="tx1"/>
            </w14:solidFill>
          </w14:textFill>
        </w:rPr>
        <w:t>评估</w:t>
      </w:r>
      <w:r>
        <w:rPr>
          <w:rFonts w:hint="eastAsia" w:ascii="宋体" w:hAnsi="宋体" w:eastAsia="宋体" w:cs="宋体"/>
          <w:color w:val="000000" w:themeColor="text1"/>
          <w:kern w:val="96"/>
          <w:sz w:val="28"/>
          <w:szCs w:val="28"/>
          <w14:textFill>
            <w14:solidFill>
              <w14:schemeClr w14:val="tx1"/>
            </w14:solidFill>
          </w14:textFill>
        </w:rPr>
        <w:t>对象由于外部环境差异所造成的价格差异排除，使修正后的可比实例价格能够与</w:t>
      </w:r>
      <w:r>
        <w:rPr>
          <w:rFonts w:hint="eastAsia" w:ascii="宋体" w:hAnsi="宋体" w:eastAsia="宋体" w:cs="宋体"/>
          <w:color w:val="000000" w:themeColor="text1"/>
          <w:kern w:val="96"/>
          <w:sz w:val="28"/>
          <w:szCs w:val="28"/>
          <w:lang w:eastAsia="zh-CN"/>
          <w14:textFill>
            <w14:solidFill>
              <w14:schemeClr w14:val="tx1"/>
            </w14:solidFill>
          </w14:textFill>
        </w:rPr>
        <w:t>评估</w:t>
      </w:r>
      <w:r>
        <w:rPr>
          <w:rFonts w:hint="eastAsia" w:ascii="宋体" w:hAnsi="宋体" w:eastAsia="宋体" w:cs="宋体"/>
          <w:color w:val="000000" w:themeColor="text1"/>
          <w:kern w:val="96"/>
          <w:sz w:val="28"/>
          <w:szCs w:val="28"/>
          <w14:textFill>
            <w14:solidFill>
              <w14:schemeClr w14:val="tx1"/>
            </w14:solidFill>
          </w14:textFill>
        </w:rPr>
        <w:t>对象房地产所处地段的实际情况相符，主要考虑繁华程度、交通便捷度、各项配套设施完备程度、小区环境、自然环境、人文环境等影响房地产价格的因素。</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（2）实物状况分析及修正</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是将可比实例相对于</w:t>
      </w:r>
      <w:r>
        <w:rPr>
          <w:rFonts w:hint="eastAsia" w:ascii="宋体" w:hAnsi="宋体" w:eastAsia="宋体" w:cs="宋体"/>
          <w:color w:val="000000" w:themeColor="text1"/>
          <w:kern w:val="96"/>
          <w:sz w:val="28"/>
          <w:szCs w:val="28"/>
          <w:lang w:eastAsia="zh-CN"/>
          <w14:textFill>
            <w14:solidFill>
              <w14:schemeClr w14:val="tx1"/>
            </w14:solidFill>
          </w14:textFill>
        </w:rPr>
        <w:t>评估</w:t>
      </w:r>
      <w:r>
        <w:rPr>
          <w:rFonts w:hint="eastAsia" w:ascii="宋体" w:hAnsi="宋体" w:eastAsia="宋体" w:cs="宋体"/>
          <w:color w:val="000000" w:themeColor="text1"/>
          <w:kern w:val="96"/>
          <w:sz w:val="28"/>
          <w:szCs w:val="28"/>
          <w14:textFill>
            <w14:solidFill>
              <w14:schemeClr w14:val="tx1"/>
            </w14:solidFill>
          </w14:textFill>
        </w:rPr>
        <w:t>对象之间的个体差异所造成的价格差异排除，使修正后的可比实例价格能够与</w:t>
      </w:r>
      <w:r>
        <w:rPr>
          <w:rFonts w:hint="eastAsia" w:ascii="宋体" w:hAnsi="宋体" w:eastAsia="宋体" w:cs="宋体"/>
          <w:color w:val="000000" w:themeColor="text1"/>
          <w:kern w:val="96"/>
          <w:sz w:val="28"/>
          <w:szCs w:val="28"/>
          <w:lang w:eastAsia="zh-CN"/>
          <w14:textFill>
            <w14:solidFill>
              <w14:schemeClr w14:val="tx1"/>
            </w14:solidFill>
          </w14:textFill>
        </w:rPr>
        <w:t>评估</w:t>
      </w:r>
      <w:r>
        <w:rPr>
          <w:rFonts w:hint="eastAsia" w:ascii="宋体" w:hAnsi="宋体" w:eastAsia="宋体" w:cs="宋体"/>
          <w:color w:val="000000" w:themeColor="text1"/>
          <w:kern w:val="96"/>
          <w:sz w:val="28"/>
          <w:szCs w:val="28"/>
          <w14:textFill>
            <w14:solidFill>
              <w14:schemeClr w14:val="tx1"/>
            </w14:solidFill>
          </w14:textFill>
        </w:rPr>
        <w:t>对象房地产自身的实际情况相符，主要考虑土地状况、建筑规模、户型结构、房屋外观、设施设备、新旧程度、采光通风、平面布局等影响房地产价格的因素。</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 xml:space="preserve">（3）房地产权益状况分析及修正 </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 xml:space="preserve">主要考虑规划条件、土地使用权状况、用益物权设立状况、担保物权设立状况、租赁情况、拖欠税费、查封状况等影响房地产价格的因素。 </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（4）修正取值说明</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在进各项修正时，我们设定</w:t>
      </w:r>
      <w:r>
        <w:rPr>
          <w:rFonts w:hint="eastAsia" w:ascii="宋体" w:hAnsi="宋体" w:eastAsia="宋体" w:cs="宋体"/>
          <w:color w:val="000000" w:themeColor="text1"/>
          <w:kern w:val="96"/>
          <w:sz w:val="28"/>
          <w:szCs w:val="28"/>
          <w:lang w:eastAsia="zh-CN"/>
          <w14:textFill>
            <w14:solidFill>
              <w14:schemeClr w14:val="tx1"/>
            </w14:solidFill>
          </w14:textFill>
        </w:rPr>
        <w:t>评估</w:t>
      </w:r>
      <w:r>
        <w:rPr>
          <w:rFonts w:hint="eastAsia" w:ascii="宋体" w:hAnsi="宋体" w:eastAsia="宋体" w:cs="宋体"/>
          <w:color w:val="000000" w:themeColor="text1"/>
          <w:kern w:val="96"/>
          <w:sz w:val="28"/>
          <w:szCs w:val="28"/>
          <w14:textFill>
            <w14:solidFill>
              <w14:schemeClr w14:val="tx1"/>
            </w14:solidFill>
          </w14:textFill>
        </w:rPr>
        <w:t>对象的区域因素的各子因素为和个别因素的各子因素为标准分值，各子因素标准分值为100分，用交易实例的各项因素与</w:t>
      </w:r>
      <w:r>
        <w:rPr>
          <w:rFonts w:hint="eastAsia" w:ascii="宋体" w:hAnsi="宋体" w:eastAsia="宋体" w:cs="宋体"/>
          <w:color w:val="000000" w:themeColor="text1"/>
          <w:kern w:val="96"/>
          <w:sz w:val="28"/>
          <w:szCs w:val="28"/>
          <w:lang w:eastAsia="zh-CN"/>
          <w14:textFill>
            <w14:solidFill>
              <w14:schemeClr w14:val="tx1"/>
            </w14:solidFill>
          </w14:textFill>
        </w:rPr>
        <w:t>评估</w:t>
      </w:r>
      <w:r>
        <w:rPr>
          <w:rFonts w:hint="eastAsia" w:ascii="宋体" w:hAnsi="宋体" w:eastAsia="宋体" w:cs="宋体"/>
          <w:color w:val="000000" w:themeColor="text1"/>
          <w:kern w:val="96"/>
          <w:sz w:val="28"/>
          <w:szCs w:val="28"/>
          <w14:textFill>
            <w14:solidFill>
              <w14:schemeClr w14:val="tx1"/>
            </w14:solidFill>
          </w14:textFill>
        </w:rPr>
        <w:t>对象进行对照、比较、研究、分析后，根据两者的优劣条件（如稍差、稍好、相似等）确定X的取值，从而进一步确定区域因素和个别</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因素修正系数，计算公式：具体某一项修正系数=标准分值+X，X取值幅度详细情况如下：</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①相似取值为0。</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②X（稍好）取值为[+1，+2]，X（稍差）取值为[-1，-2]。</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③X（较好）取值为[+2.5，+4]，X（较差）取值为[-2.5，-4]。</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④X（好）取值为[+4.5，+7]，X（差）取值为[-4.5，-7]。</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lang w:eastAsia="zh-CN"/>
          <w14:textFill>
            <w14:solidFill>
              <w14:schemeClr w14:val="tx1"/>
            </w14:solidFill>
          </w14:textFill>
        </w:rPr>
        <w:t>（</w:t>
      </w:r>
      <w:r>
        <w:rPr>
          <w:rFonts w:hint="eastAsia" w:ascii="宋体" w:hAnsi="宋体" w:eastAsia="宋体" w:cs="宋体"/>
          <w:color w:val="000000" w:themeColor="text1"/>
          <w:kern w:val="96"/>
          <w:sz w:val="28"/>
          <w:szCs w:val="28"/>
          <w:lang w:val="en-US" w:eastAsia="zh-CN"/>
          <w14:textFill>
            <w14:solidFill>
              <w14:schemeClr w14:val="tx1"/>
            </w14:solidFill>
          </w14:textFill>
        </w:rPr>
        <w:t>5</w:t>
      </w:r>
      <w:r>
        <w:rPr>
          <w:rFonts w:hint="eastAsia" w:ascii="宋体" w:hAnsi="宋体" w:eastAsia="宋体" w:cs="宋体"/>
          <w:color w:val="000000" w:themeColor="text1"/>
          <w:kern w:val="96"/>
          <w:sz w:val="28"/>
          <w:szCs w:val="28"/>
          <w:lang w:eastAsia="zh-CN"/>
          <w14:textFill>
            <w14:solidFill>
              <w14:schemeClr w14:val="tx1"/>
            </w14:solidFill>
          </w14:textFill>
        </w:rPr>
        <w:t>）</w:t>
      </w:r>
      <w:r>
        <w:rPr>
          <w:rFonts w:hint="eastAsia" w:ascii="宋体" w:hAnsi="宋体" w:eastAsia="宋体" w:cs="宋体"/>
          <w:color w:val="000000" w:themeColor="text1"/>
          <w:kern w:val="96"/>
          <w:sz w:val="28"/>
          <w:szCs w:val="28"/>
          <w14:textFill>
            <w14:solidFill>
              <w14:schemeClr w14:val="tx1"/>
            </w14:solidFill>
          </w14:textFill>
        </w:rPr>
        <w:t>各项因素修正结果</w:t>
      </w:r>
    </w:p>
    <w:p>
      <w:pPr>
        <w:spacing w:line="50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上述各项修正情况见下表：</w:t>
      </w:r>
    </w:p>
    <w:tbl>
      <w:tblPr>
        <w:tblStyle w:val="18"/>
        <w:tblpPr w:leftFromText="180" w:rightFromText="180" w:vertAnchor="text" w:horzAnchor="page" w:tblpX="1147" w:tblpY="472"/>
        <w:tblOverlap w:val="never"/>
        <w:tblW w:w="9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9"/>
        <w:gridCol w:w="666"/>
        <w:gridCol w:w="2025"/>
        <w:gridCol w:w="808"/>
        <w:gridCol w:w="916"/>
        <w:gridCol w:w="917"/>
        <w:gridCol w:w="929"/>
        <w:gridCol w:w="885"/>
        <w:gridCol w:w="930"/>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trPr>
        <w:tc>
          <w:tcPr>
            <w:tcW w:w="9180" w:type="dxa"/>
            <w:gridSpan w:val="10"/>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表1 比较因素指数修正表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5" w:hRule="atLeast"/>
        </w:trPr>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评估对象与实例</w:t>
            </w:r>
          </w:p>
        </w:tc>
        <w:tc>
          <w:tcPr>
            <w:tcW w:w="8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评估对象</w:t>
            </w:r>
          </w:p>
        </w:tc>
        <w:tc>
          <w:tcPr>
            <w:tcW w:w="1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themeColor="text1"/>
                <w:sz w:val="21"/>
                <w:szCs w:val="21"/>
                <w:lang w:val="en-US" w:eastAsia="zh-CN"/>
                <w14:textFill>
                  <w14:solidFill>
                    <w14:schemeClr w14:val="tx1"/>
                  </w14:solidFill>
                </w14:textFill>
              </w:rPr>
              <w:t>实例A:金景南苑</w:t>
            </w:r>
          </w:p>
        </w:tc>
        <w:tc>
          <w:tcPr>
            <w:tcW w:w="1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themeColor="text1"/>
                <w:sz w:val="21"/>
                <w:szCs w:val="21"/>
                <w:lang w:val="en-US" w:eastAsia="zh-CN"/>
                <w14:textFill>
                  <w14:solidFill>
                    <w14:schemeClr w14:val="tx1"/>
                  </w14:solidFill>
                </w14:textFill>
              </w:rPr>
              <w:t>实例B：金源花园</w:t>
            </w:r>
          </w:p>
        </w:tc>
        <w:tc>
          <w:tcPr>
            <w:tcW w:w="1785" w:type="dxa"/>
            <w:gridSpan w:val="2"/>
            <w:tcBorders>
              <w:top w:val="single" w:color="000000" w:sz="4" w:space="0"/>
              <w:bottom w:val="single" w:color="000000" w:sz="4" w:space="0"/>
              <w:right w:val="single" w:color="000000" w:sz="4" w:space="0"/>
            </w:tcBorders>
            <w:shd w:val="clear" w:color="auto" w:fill="auto"/>
            <w:vAlign w:val="center"/>
          </w:tcPr>
          <w:p>
            <w:pPr>
              <w:adjustRightInd/>
              <w:snapToGrid/>
              <w:spacing w:after="0"/>
              <w:jc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themeColor="text1"/>
                <w:sz w:val="21"/>
                <w:szCs w:val="21"/>
                <w:lang w:val="en-US" w:eastAsia="zh-CN"/>
                <w14:textFill>
                  <w14:solidFill>
                    <w14:schemeClr w14:val="tx1"/>
                  </w14:solidFill>
                </w14:textFill>
              </w:rPr>
              <w:t>实例C：阳光北辰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5" w:hRule="atLeast"/>
        </w:trPr>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8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优劣条件</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修正值</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优劣条件</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修正值</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优劣条件</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修正值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5" w:hRule="atLeast"/>
        </w:trPr>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交易情况修正</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0" w:hRule="atLeast"/>
        </w:trPr>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交易日期修正</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5" w:hRule="atLeast"/>
        </w:trPr>
        <w:tc>
          <w:tcPr>
            <w:tcW w:w="24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房地产状况</w:t>
            </w:r>
          </w:p>
        </w:tc>
        <w:tc>
          <w:tcPr>
            <w:tcW w:w="66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区位</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状况</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区域繁华程度（位置）</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交通便捷程度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基础配套设施完备度</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公共服务设施完备度</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小区环境</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较好</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102</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较好</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102</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较好</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自然环境</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人文环境</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所在楼层</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差</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93</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差</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噪音</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朝向</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稍好</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101</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稍好</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101</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7"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人口流量</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交通管制</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城市规划限制</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小计</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1"/>
                <w:szCs w:val="21"/>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1"/>
                <w:szCs w:val="21"/>
                <w:u w:val="none"/>
                <w:lang w:val="en-US" w:eastAsia="zh-CN" w:bidi="ar"/>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1.0437</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kern w:val="0"/>
                <w:sz w:val="21"/>
                <w:szCs w:val="21"/>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0.9707</w:t>
            </w:r>
          </w:p>
        </w:tc>
        <w:tc>
          <w:tcPr>
            <w:tcW w:w="930"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color w:val="000000"/>
                <w:kern w:val="0"/>
                <w:sz w:val="21"/>
                <w:szCs w:val="21"/>
                <w:u w:val="none"/>
                <w:lang w:val="en-US" w:eastAsia="zh-CN" w:bidi="ar"/>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1.0542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实物</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状况</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土地面积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土地形状</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地形、地势</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地质条件、土壤条件</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土地开发程度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建筑规模</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稍好</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101</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稍好</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稍好</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户型结构</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房屋外观</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建筑结构</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建筑面积</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设施设备</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101</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稍好</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稍好</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装饰装修</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107</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3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采光通风等</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103</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稍好</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102</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较好</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103</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层高和室内净高</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空间布局</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新旧程度</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相似</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小计</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1"/>
                <w:szCs w:val="21"/>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0.8895</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0.9611</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p>
        </w:tc>
        <w:tc>
          <w:tcPr>
            <w:tcW w:w="930" w:type="dxa"/>
            <w:tcBorders>
              <w:top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0.9517</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0.8895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权益状况</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规划条件（建筑密度）</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土地使用年限</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共有情况</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用益物权设立情况</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担保物设立情况</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不考虑</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eastAsia="zh-CN"/>
              </w:rPr>
              <w:t>不考虑</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eastAsia="zh-CN"/>
              </w:rPr>
              <w:t>不考虑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租赁或占用情况</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拖欠税费</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查封情况</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eastAsia="zh-CN"/>
              </w:rPr>
              <w:t>不考虑</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eastAsia="zh-CN"/>
              </w:rPr>
              <w:t>不考虑</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eastAsia="zh-CN"/>
              </w:rPr>
              <w:t>不考虑</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5"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权属清晰情况</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相似</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 w:hRule="atLeast"/>
        </w:trPr>
        <w:tc>
          <w:tcPr>
            <w:tcW w:w="24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小计</w:t>
            </w:r>
          </w:p>
        </w:tc>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1"/>
                <w:szCs w:val="21"/>
                <w:u w:val="none"/>
              </w:rPr>
            </w:pPr>
          </w:p>
        </w:tc>
        <w:tc>
          <w:tcPr>
            <w:tcW w:w="9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1"/>
                <w:szCs w:val="21"/>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w:t>
            </w:r>
          </w:p>
        </w:tc>
        <w:tc>
          <w:tcPr>
            <w:tcW w:w="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1"/>
                <w:szCs w:val="21"/>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w:t>
            </w:r>
          </w:p>
        </w:tc>
        <w:tc>
          <w:tcPr>
            <w:tcW w:w="930" w:type="dxa"/>
            <w:tcBorders>
              <w:top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w:t>
            </w:r>
          </w:p>
        </w:tc>
      </w:tr>
    </w:tbl>
    <w:p>
      <w:pPr>
        <w:spacing w:before="120" w:beforeLines="50" w:after="0" w:line="46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注：权益状况中假定不考虑查封因素对价值的影响。</w:t>
      </w:r>
    </w:p>
    <w:p>
      <w:pPr>
        <w:numPr>
          <w:ilvl w:val="0"/>
          <w:numId w:val="2"/>
        </w:numPr>
        <w:spacing w:before="120" w:beforeLines="50" w:after="0" w:line="460" w:lineRule="exact"/>
        <w:ind w:firstLine="560" w:firstLineChars="200"/>
        <w:rPr>
          <w:rFonts w:hint="eastAsia" w:ascii="宋体" w:hAnsi="宋体" w:eastAsia="宋体" w:cs="宋体"/>
          <w:color w:val="000000" w:themeColor="text1"/>
          <w:kern w:val="96"/>
          <w:sz w:val="28"/>
          <w:szCs w:val="28"/>
          <w14:textFill>
            <w14:solidFill>
              <w14:schemeClr w14:val="tx1"/>
            </w14:solidFill>
          </w14:textFill>
        </w:rPr>
      </w:pPr>
      <w:r>
        <w:rPr>
          <w:rFonts w:hint="eastAsia" w:ascii="宋体" w:hAnsi="宋体" w:eastAsia="宋体" w:cs="宋体"/>
          <w:color w:val="000000" w:themeColor="text1"/>
          <w:kern w:val="96"/>
          <w:sz w:val="28"/>
          <w:szCs w:val="28"/>
          <w14:textFill>
            <w14:solidFill>
              <w14:schemeClr w14:val="tx1"/>
            </w14:solidFill>
          </w14:textFill>
        </w:rPr>
        <w:t>比准价格计算</w:t>
      </w:r>
    </w:p>
    <w:tbl>
      <w:tblPr>
        <w:tblStyle w:val="18"/>
        <w:tblW w:w="8526" w:type="dxa"/>
        <w:tblInd w:w="0" w:type="dxa"/>
        <w:tblLayout w:type="fixed"/>
        <w:tblCellMar>
          <w:top w:w="15" w:type="dxa"/>
          <w:left w:w="15" w:type="dxa"/>
          <w:bottom w:w="15" w:type="dxa"/>
          <w:right w:w="15" w:type="dxa"/>
        </w:tblCellMar>
      </w:tblPr>
      <w:tblGrid>
        <w:gridCol w:w="2600"/>
        <w:gridCol w:w="2000"/>
        <w:gridCol w:w="2006"/>
        <w:gridCol w:w="1920"/>
      </w:tblGrid>
      <w:tr>
        <w:tblPrEx>
          <w:tblCellMar>
            <w:top w:w="15" w:type="dxa"/>
            <w:left w:w="15" w:type="dxa"/>
            <w:bottom w:w="15" w:type="dxa"/>
            <w:right w:w="15" w:type="dxa"/>
          </w:tblCellMar>
        </w:tblPrEx>
        <w:trPr>
          <w:trHeight w:val="222" w:hRule="atLeast"/>
        </w:trPr>
        <w:tc>
          <w:tcPr>
            <w:tcW w:w="8526" w:type="dxa"/>
            <w:gridSpan w:val="4"/>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1"/>
                <w:szCs w:val="21"/>
                <w:lang w:bidi="ar"/>
                <w14:textFill>
                  <w14:solidFill>
                    <w14:schemeClr w14:val="tx1"/>
                  </w14:solidFill>
                </w14:textFill>
              </w:rPr>
              <w:t>表2  比准价格计算表</w:t>
            </w:r>
          </w:p>
        </w:tc>
      </w:tr>
      <w:tr>
        <w:tblPrEx>
          <w:tblCellMar>
            <w:top w:w="15" w:type="dxa"/>
            <w:left w:w="15" w:type="dxa"/>
            <w:bottom w:w="15" w:type="dxa"/>
            <w:right w:w="15" w:type="dxa"/>
          </w:tblCellMar>
        </w:tblPrEx>
        <w:trPr>
          <w:trHeight w:val="297" w:hRule="exact"/>
        </w:trPr>
        <w:tc>
          <w:tcPr>
            <w:tcW w:w="2600" w:type="dxa"/>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项目</w:t>
            </w:r>
          </w:p>
        </w:tc>
        <w:tc>
          <w:tcPr>
            <w:tcW w:w="2000" w:type="dxa"/>
            <w:tcBorders>
              <w:top w:val="single" w:color="auto" w:sz="4" w:space="0"/>
              <w:left w:val="single" w:color="000000"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可比实例A</w:t>
            </w:r>
          </w:p>
        </w:tc>
        <w:tc>
          <w:tcPr>
            <w:tcW w:w="2006"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可比实例B</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可比实例C</w:t>
            </w:r>
          </w:p>
        </w:tc>
      </w:tr>
      <w:tr>
        <w:tblPrEx>
          <w:tblCellMar>
            <w:top w:w="15" w:type="dxa"/>
            <w:left w:w="15" w:type="dxa"/>
            <w:bottom w:w="15" w:type="dxa"/>
            <w:right w:w="15" w:type="dxa"/>
          </w:tblCellMar>
        </w:tblPrEx>
        <w:trPr>
          <w:trHeight w:val="297" w:hRule="exact"/>
        </w:trPr>
        <w:tc>
          <w:tcPr>
            <w:tcW w:w="2600"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成交价格（元/㎡）</w:t>
            </w:r>
          </w:p>
        </w:tc>
        <w:tc>
          <w:tcPr>
            <w:tcW w:w="2000"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3267</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2957</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2515</w:t>
            </w:r>
          </w:p>
        </w:tc>
      </w:tr>
      <w:tr>
        <w:tblPrEx>
          <w:tblCellMar>
            <w:top w:w="15" w:type="dxa"/>
            <w:left w:w="15" w:type="dxa"/>
            <w:bottom w:w="15" w:type="dxa"/>
            <w:right w:w="15" w:type="dxa"/>
          </w:tblCellMar>
        </w:tblPrEx>
        <w:trPr>
          <w:trHeight w:val="332" w:hRule="exact"/>
        </w:trPr>
        <w:tc>
          <w:tcPr>
            <w:tcW w:w="2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交易情况修正</w:t>
            </w:r>
          </w:p>
        </w:tc>
        <w:tc>
          <w:tcPr>
            <w:tcW w:w="2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r>
      <w:tr>
        <w:tblPrEx>
          <w:tblCellMar>
            <w:top w:w="15" w:type="dxa"/>
            <w:left w:w="15" w:type="dxa"/>
            <w:bottom w:w="15" w:type="dxa"/>
            <w:right w:w="15" w:type="dxa"/>
          </w:tblCellMar>
        </w:tblPrEx>
        <w:trPr>
          <w:trHeight w:val="332" w:hRule="exact"/>
        </w:trPr>
        <w:tc>
          <w:tcPr>
            <w:tcW w:w="2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交易日期修正</w:t>
            </w:r>
          </w:p>
        </w:tc>
        <w:tc>
          <w:tcPr>
            <w:tcW w:w="2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r>
      <w:tr>
        <w:tblPrEx>
          <w:tblCellMar>
            <w:top w:w="15" w:type="dxa"/>
            <w:left w:w="15" w:type="dxa"/>
            <w:bottom w:w="15" w:type="dxa"/>
            <w:right w:w="15" w:type="dxa"/>
          </w:tblCellMar>
        </w:tblPrEx>
        <w:trPr>
          <w:trHeight w:val="302" w:hRule="exact"/>
        </w:trPr>
        <w:tc>
          <w:tcPr>
            <w:tcW w:w="2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区位状况调整</w:t>
            </w:r>
          </w:p>
        </w:tc>
        <w:tc>
          <w:tcPr>
            <w:tcW w:w="2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0.9707</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0.9334</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0.9804</w:t>
            </w:r>
          </w:p>
        </w:tc>
      </w:tr>
      <w:tr>
        <w:tblPrEx>
          <w:tblCellMar>
            <w:top w:w="15" w:type="dxa"/>
            <w:left w:w="15" w:type="dxa"/>
            <w:bottom w:w="15" w:type="dxa"/>
            <w:right w:w="15" w:type="dxa"/>
          </w:tblCellMar>
        </w:tblPrEx>
        <w:trPr>
          <w:trHeight w:val="317" w:hRule="exact"/>
        </w:trPr>
        <w:tc>
          <w:tcPr>
            <w:tcW w:w="2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实物状况调整</w:t>
            </w:r>
          </w:p>
        </w:tc>
        <w:tc>
          <w:tcPr>
            <w:tcW w:w="2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0.8895</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0.9611</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0.9517</w:t>
            </w:r>
          </w:p>
        </w:tc>
      </w:tr>
      <w:tr>
        <w:tblPrEx>
          <w:tblCellMar>
            <w:top w:w="15" w:type="dxa"/>
            <w:left w:w="15" w:type="dxa"/>
            <w:bottom w:w="15" w:type="dxa"/>
            <w:right w:w="15" w:type="dxa"/>
          </w:tblCellMar>
        </w:tblPrEx>
        <w:trPr>
          <w:trHeight w:val="302" w:hRule="exact"/>
        </w:trPr>
        <w:tc>
          <w:tcPr>
            <w:tcW w:w="2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权益状况调整</w:t>
            </w:r>
          </w:p>
        </w:tc>
        <w:tc>
          <w:tcPr>
            <w:tcW w:w="2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r>
      <w:tr>
        <w:tblPrEx>
          <w:tblCellMar>
            <w:top w:w="15" w:type="dxa"/>
            <w:left w:w="15" w:type="dxa"/>
            <w:bottom w:w="15" w:type="dxa"/>
            <w:right w:w="15" w:type="dxa"/>
          </w:tblCellMar>
        </w:tblPrEx>
        <w:trPr>
          <w:trHeight w:val="298" w:hRule="exact"/>
        </w:trPr>
        <w:tc>
          <w:tcPr>
            <w:tcW w:w="2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比准价格（元/㎡）</w:t>
            </w:r>
          </w:p>
        </w:tc>
        <w:tc>
          <w:tcPr>
            <w:tcW w:w="20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2821 </w:t>
            </w:r>
          </w:p>
        </w:tc>
        <w:tc>
          <w:tcPr>
            <w:tcW w:w="20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2653</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2347</w:t>
            </w:r>
          </w:p>
        </w:tc>
      </w:tr>
      <w:tr>
        <w:tblPrEx>
          <w:tblCellMar>
            <w:top w:w="15" w:type="dxa"/>
            <w:left w:w="15" w:type="dxa"/>
            <w:bottom w:w="15" w:type="dxa"/>
            <w:right w:w="15" w:type="dxa"/>
          </w:tblCellMar>
        </w:tblPrEx>
        <w:trPr>
          <w:trHeight w:val="332" w:hRule="exact"/>
        </w:trPr>
        <w:tc>
          <w:tcPr>
            <w:tcW w:w="26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修正后比准单价（元/㎡）</w:t>
            </w:r>
          </w:p>
        </w:tc>
        <w:tc>
          <w:tcPr>
            <w:tcW w:w="592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采用简单算术平均法求取</w:t>
            </w:r>
          </w:p>
        </w:tc>
      </w:tr>
      <w:tr>
        <w:tblPrEx>
          <w:tblCellMar>
            <w:top w:w="15" w:type="dxa"/>
            <w:left w:w="15" w:type="dxa"/>
            <w:bottom w:w="15" w:type="dxa"/>
            <w:right w:w="15" w:type="dxa"/>
          </w:tblCellMar>
        </w:tblPrEx>
        <w:trPr>
          <w:trHeight w:val="332" w:hRule="exact"/>
        </w:trPr>
        <w:tc>
          <w:tcPr>
            <w:tcW w:w="26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592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（2821+2653+2347）÷3=2607</w:t>
            </w:r>
          </w:p>
        </w:tc>
      </w:tr>
      <w:tr>
        <w:tblPrEx>
          <w:tblCellMar>
            <w:top w:w="15" w:type="dxa"/>
            <w:left w:w="15" w:type="dxa"/>
            <w:bottom w:w="15" w:type="dxa"/>
            <w:right w:w="15" w:type="dxa"/>
          </w:tblCellMar>
        </w:tblPrEx>
        <w:trPr>
          <w:trHeight w:val="302" w:hRule="exact"/>
        </w:trPr>
        <w:tc>
          <w:tcPr>
            <w:tcW w:w="2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建筑面积</w:t>
            </w:r>
          </w:p>
        </w:tc>
        <w:tc>
          <w:tcPr>
            <w:tcW w:w="592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61.92</w:t>
            </w:r>
          </w:p>
        </w:tc>
      </w:tr>
      <w:tr>
        <w:tblPrEx>
          <w:tblCellMar>
            <w:top w:w="15" w:type="dxa"/>
            <w:left w:w="15" w:type="dxa"/>
            <w:bottom w:w="15" w:type="dxa"/>
            <w:right w:w="15" w:type="dxa"/>
          </w:tblCellMar>
        </w:tblPrEx>
        <w:trPr>
          <w:trHeight w:val="907" w:hRule="exact"/>
        </w:trPr>
        <w:tc>
          <w:tcPr>
            <w:tcW w:w="2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评估值（万元） </w:t>
            </w:r>
          </w:p>
        </w:tc>
        <w:tc>
          <w:tcPr>
            <w:tcW w:w="592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评估值=评估单价×建筑面积</w:t>
            </w:r>
          </w:p>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=2607×61.92</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≈16.14（万元） </w:t>
            </w:r>
          </w:p>
        </w:tc>
      </w:tr>
    </w:tbl>
    <w:p>
      <w:pPr>
        <w:spacing w:line="580" w:lineRule="exact"/>
        <w:ind w:firstLine="548" w:firstLineChars="196"/>
        <w:outlineLvl w:val="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二</w:t>
      </w:r>
      <w:r>
        <w:rPr>
          <w:rFonts w:hint="eastAsia" w:asciiTheme="majorEastAsia" w:hAnsiTheme="majorEastAsia" w:eastAsiaTheme="majorEastAsia" w:cstheme="majorEastAsia"/>
          <w:color w:val="auto"/>
          <w:sz w:val="28"/>
          <w:szCs w:val="28"/>
        </w:rPr>
        <w:t>）收益法评估技术说明</w:t>
      </w:r>
    </w:p>
    <w:p>
      <w:pPr>
        <w:spacing w:line="580" w:lineRule="exact"/>
        <w:ind w:firstLine="548" w:firstLineChars="196"/>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评估人员通过对该区域类似物业的租金水平、空置率、租赁税费标准进行调查后，进行分析、推断，从而预测评估对象未来的正常净收益，选择适当的报酬率或资本化率、收益乘数，通过特有的公式求取评估对象在剩余收益年期内的市场价值。</w:t>
      </w:r>
    </w:p>
    <w:p>
      <w:pPr>
        <w:spacing w:line="580" w:lineRule="exact"/>
        <w:ind w:firstLine="548" w:firstLineChars="196"/>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计算公式：</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V=a/(r-s)×[1-(1+s)</w:t>
      </w:r>
      <w:r>
        <w:rPr>
          <w:rFonts w:hint="eastAsia" w:asciiTheme="majorEastAsia" w:hAnsiTheme="majorEastAsia" w:eastAsiaTheme="majorEastAsia" w:cstheme="majorEastAsia"/>
          <w:color w:val="auto"/>
          <w:sz w:val="28"/>
          <w:szCs w:val="28"/>
          <w:vertAlign w:val="superscript"/>
        </w:rPr>
        <w:t>n</w:t>
      </w:r>
      <w:r>
        <w:rPr>
          <w:rFonts w:hint="eastAsia" w:asciiTheme="majorEastAsia" w:hAnsiTheme="majorEastAsia" w:eastAsiaTheme="majorEastAsia" w:cstheme="majorEastAsia"/>
          <w:color w:val="auto"/>
          <w:sz w:val="28"/>
          <w:szCs w:val="28"/>
        </w:rPr>
        <w:t>/(1+r)</w:t>
      </w:r>
      <w:r>
        <w:rPr>
          <w:rFonts w:hint="eastAsia" w:asciiTheme="majorEastAsia" w:hAnsiTheme="majorEastAsia" w:eastAsiaTheme="majorEastAsia" w:cstheme="majorEastAsia"/>
          <w:color w:val="auto"/>
          <w:sz w:val="28"/>
          <w:szCs w:val="28"/>
          <w:vertAlign w:val="superscript"/>
        </w:rPr>
        <w:t>n</w:t>
      </w:r>
      <w:r>
        <w:rPr>
          <w:rFonts w:hint="eastAsia" w:asciiTheme="majorEastAsia" w:hAnsiTheme="majorEastAsia" w:eastAsiaTheme="majorEastAsia" w:cstheme="majorEastAsia"/>
          <w:color w:val="auto"/>
          <w:sz w:val="28"/>
          <w:szCs w:val="28"/>
        </w:rPr>
        <w:t xml:space="preserve">] </w:t>
      </w:r>
    </w:p>
    <w:p>
      <w:pPr>
        <w:spacing w:line="580" w:lineRule="exact"/>
        <w:ind w:firstLine="828" w:firstLineChars="296"/>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式中： V－房地产市场现值；</w:t>
      </w:r>
    </w:p>
    <w:p>
      <w:pPr>
        <w:spacing w:line="580" w:lineRule="exact"/>
        <w:ind w:firstLine="548" w:firstLineChars="196"/>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a－房地产年纯收益；</w:t>
      </w:r>
    </w:p>
    <w:p>
      <w:pPr>
        <w:spacing w:line="580" w:lineRule="exact"/>
        <w:ind w:firstLine="548" w:firstLineChars="196"/>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r－报酬率；</w:t>
      </w:r>
    </w:p>
    <w:p>
      <w:pPr>
        <w:spacing w:line="580" w:lineRule="exact"/>
        <w:ind w:firstLine="548" w:firstLineChars="196"/>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s－房地产纯收益年增长率；</w:t>
      </w:r>
    </w:p>
    <w:p>
      <w:pPr>
        <w:spacing w:line="580" w:lineRule="exact"/>
        <w:ind w:firstLine="548" w:firstLineChars="196"/>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n－收益年限。</w:t>
      </w:r>
    </w:p>
    <w:p>
      <w:pPr>
        <w:widowControl/>
        <w:adjustRightInd w:val="0"/>
        <w:snapToGrid w:val="0"/>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1、市场租金水平调查及客观月租金的确定</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以下所表达的租金内涵皆为含装饰装修不含家具家电及可移动物品的单位建筑面积月租金，物业管理费、水费、电费等费用由承租人承担，房屋维修费、保险费由出租人承担，税费各自承担。</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经市场调查评估对象所在区域类似住宅用房月租金集中在</w:t>
      </w:r>
      <w:r>
        <w:rPr>
          <w:rFonts w:hint="eastAsia" w:asciiTheme="majorEastAsia" w:hAnsiTheme="majorEastAsia" w:eastAsiaTheme="majorEastAsia" w:cstheme="majorEastAsia"/>
          <w:color w:val="auto"/>
          <w:sz w:val="28"/>
          <w:szCs w:val="28"/>
          <w:lang w:val="en-US" w:eastAsia="zh-CN"/>
        </w:rPr>
        <w:t>5</w:t>
      </w:r>
      <w:r>
        <w:rPr>
          <w:rFonts w:hint="eastAsia" w:asciiTheme="majorEastAsia" w:hAnsiTheme="majorEastAsia" w:eastAsiaTheme="majorEastAsia" w:cstheme="majorEastAsia"/>
          <w:color w:val="auto"/>
          <w:sz w:val="28"/>
          <w:szCs w:val="28"/>
        </w:rPr>
        <w:t>至</w:t>
      </w:r>
      <w:r>
        <w:rPr>
          <w:rFonts w:hint="eastAsia" w:asciiTheme="majorEastAsia" w:hAnsiTheme="majorEastAsia" w:eastAsiaTheme="majorEastAsia" w:cstheme="majorEastAsia"/>
          <w:color w:val="auto"/>
          <w:sz w:val="28"/>
          <w:szCs w:val="28"/>
          <w:lang w:val="en-US" w:eastAsia="zh-CN"/>
        </w:rPr>
        <w:t>15</w:t>
      </w:r>
      <w:r>
        <w:rPr>
          <w:rFonts w:hint="eastAsia" w:asciiTheme="majorEastAsia" w:hAnsiTheme="majorEastAsia" w:eastAsiaTheme="majorEastAsia" w:cstheme="majorEastAsia"/>
          <w:color w:val="auto"/>
          <w:sz w:val="28"/>
          <w:szCs w:val="28"/>
        </w:rPr>
        <w:t>元/㎡之间、空置率约在5%至10%之间。</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本次评估评估对象所在区域住宅用房租赁较为活跃，从中选取了同地段的与评估对象类似规模、楼层相当的三个租赁案例，月租金分别</w:t>
      </w:r>
      <w:r>
        <w:rPr>
          <w:rFonts w:hint="eastAsia" w:asciiTheme="majorEastAsia" w:hAnsiTheme="majorEastAsia" w:eastAsiaTheme="majorEastAsia" w:cstheme="majorEastAsia"/>
          <w:color w:val="auto"/>
          <w:sz w:val="28"/>
          <w:szCs w:val="28"/>
          <w:lang w:val="en-US" w:eastAsia="zh-CN"/>
        </w:rPr>
        <w:t>9</w:t>
      </w:r>
      <w:r>
        <w:rPr>
          <w:rFonts w:hint="eastAsia" w:asciiTheme="majorEastAsia" w:hAnsiTheme="majorEastAsia" w:eastAsiaTheme="majorEastAsia" w:cstheme="majorEastAsia"/>
          <w:color w:val="auto"/>
          <w:sz w:val="28"/>
          <w:szCs w:val="28"/>
        </w:rPr>
        <w:t>元/㎡、1</w:t>
      </w:r>
      <w:r>
        <w:rPr>
          <w:rFonts w:hint="eastAsia" w:asciiTheme="majorEastAsia" w:hAnsiTheme="majorEastAsia" w:eastAsiaTheme="majorEastAsia" w:cstheme="majorEastAsia"/>
          <w:color w:val="auto"/>
          <w:sz w:val="28"/>
          <w:szCs w:val="28"/>
          <w:lang w:val="en-US" w:eastAsia="zh-CN"/>
        </w:rPr>
        <w:t>0</w:t>
      </w:r>
      <w:r>
        <w:rPr>
          <w:rFonts w:hint="eastAsia" w:asciiTheme="majorEastAsia" w:hAnsiTheme="majorEastAsia" w:eastAsiaTheme="majorEastAsia" w:cstheme="majorEastAsia"/>
          <w:color w:val="auto"/>
          <w:sz w:val="28"/>
          <w:szCs w:val="28"/>
        </w:rPr>
        <w:t>元/㎡、1</w:t>
      </w:r>
      <w:r>
        <w:rPr>
          <w:rFonts w:hint="eastAsia" w:asciiTheme="majorEastAsia" w:hAnsiTheme="majorEastAsia" w:eastAsiaTheme="majorEastAsia" w:cstheme="majorEastAsia"/>
          <w:color w:val="auto"/>
          <w:sz w:val="28"/>
          <w:szCs w:val="28"/>
          <w:lang w:val="en-US" w:eastAsia="zh-CN"/>
        </w:rPr>
        <w:t>1</w:t>
      </w:r>
      <w:r>
        <w:rPr>
          <w:rFonts w:hint="eastAsia" w:asciiTheme="majorEastAsia" w:hAnsiTheme="majorEastAsia" w:eastAsiaTheme="majorEastAsia" w:cstheme="majorEastAsia"/>
          <w:color w:val="auto"/>
          <w:sz w:val="28"/>
          <w:szCs w:val="28"/>
        </w:rPr>
        <w:t>元/㎡，由于租赁案例与评估对象类似，租金水平接近，故本次评估求取租赁案例的算术平均值确定为评估对象的客观月租金，则：</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评估对象客观月租金=（</w:t>
      </w:r>
      <w:r>
        <w:rPr>
          <w:rFonts w:hint="eastAsia" w:asciiTheme="majorEastAsia" w:hAnsiTheme="majorEastAsia" w:eastAsiaTheme="majorEastAsia" w:cstheme="majorEastAsia"/>
          <w:color w:val="auto"/>
          <w:sz w:val="28"/>
          <w:szCs w:val="28"/>
          <w:lang w:val="en-US" w:eastAsia="zh-CN"/>
        </w:rPr>
        <w:t>9</w:t>
      </w:r>
      <w:r>
        <w:rPr>
          <w:rFonts w:hint="eastAsia" w:asciiTheme="majorEastAsia" w:hAnsiTheme="majorEastAsia" w:eastAsiaTheme="majorEastAsia" w:cstheme="majorEastAsia"/>
          <w:color w:val="auto"/>
          <w:sz w:val="28"/>
          <w:szCs w:val="28"/>
        </w:rPr>
        <w:t>+1</w:t>
      </w:r>
      <w:r>
        <w:rPr>
          <w:rFonts w:hint="eastAsia" w:asciiTheme="majorEastAsia" w:hAnsiTheme="majorEastAsia" w:eastAsiaTheme="majorEastAsia" w:cstheme="majorEastAsia"/>
          <w:color w:val="auto"/>
          <w:sz w:val="28"/>
          <w:szCs w:val="28"/>
          <w:lang w:val="en-US" w:eastAsia="zh-CN"/>
        </w:rPr>
        <w:t>0</w:t>
      </w:r>
      <w:r>
        <w:rPr>
          <w:rFonts w:hint="eastAsia" w:asciiTheme="majorEastAsia" w:hAnsiTheme="majorEastAsia" w:eastAsiaTheme="majorEastAsia" w:cstheme="majorEastAsia"/>
          <w:color w:val="auto"/>
          <w:sz w:val="28"/>
          <w:szCs w:val="28"/>
        </w:rPr>
        <w:t>+1</w:t>
      </w:r>
      <w:r>
        <w:rPr>
          <w:rFonts w:hint="eastAsia" w:asciiTheme="majorEastAsia" w:hAnsiTheme="majorEastAsia" w:eastAsiaTheme="majorEastAsia" w:cstheme="majorEastAsia"/>
          <w:color w:val="auto"/>
          <w:sz w:val="28"/>
          <w:szCs w:val="28"/>
          <w:lang w:val="en-US" w:eastAsia="zh-CN"/>
        </w:rPr>
        <w:t>1</w:t>
      </w:r>
      <w:r>
        <w:rPr>
          <w:rFonts w:hint="eastAsia" w:asciiTheme="majorEastAsia" w:hAnsiTheme="majorEastAsia" w:eastAsiaTheme="majorEastAsia" w:cstheme="majorEastAsia"/>
          <w:color w:val="auto"/>
          <w:sz w:val="28"/>
          <w:szCs w:val="28"/>
        </w:rPr>
        <w:t>）/3</w:t>
      </w:r>
    </w:p>
    <w:p>
      <w:pPr>
        <w:spacing w:line="580" w:lineRule="exact"/>
        <w:ind w:firstLine="3080" w:firstLineChars="11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10</w:t>
      </w:r>
      <w:r>
        <w:rPr>
          <w:rFonts w:hint="eastAsia" w:asciiTheme="majorEastAsia" w:hAnsiTheme="majorEastAsia" w:eastAsiaTheme="majorEastAsia" w:cstheme="majorEastAsia"/>
          <w:color w:val="auto"/>
          <w:sz w:val="28"/>
          <w:szCs w:val="28"/>
        </w:rPr>
        <w:t>元/㎡（按建筑面积计价）</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2、空置率</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经调查，评估对象所在区域类似住宅用房空置率一般在5%∽10%左右，本次估价根据评估对象在区域位置取5%的空置率。</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3、租约限制</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评估对象未出租，故不考虑租约对评估对象评估值的影响。</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4、确定年有效毛收入</w:t>
      </w:r>
    </w:p>
    <w:p>
      <w:pPr>
        <w:pStyle w:val="9"/>
        <w:spacing w:line="580" w:lineRule="exact"/>
        <w:ind w:firstLine="478" w:firstLineChars="171"/>
        <w:jc w:val="left"/>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(1)确定有效出租面积</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根据调查了解，类似住宅按</w:t>
      </w:r>
      <w:r>
        <w:rPr>
          <w:rFonts w:hint="eastAsia" w:asciiTheme="majorEastAsia" w:hAnsiTheme="majorEastAsia" w:eastAsiaTheme="majorEastAsia" w:cstheme="majorEastAsia"/>
          <w:color w:val="auto"/>
          <w:sz w:val="28"/>
          <w:szCs w:val="28"/>
          <w:lang w:val="en-US" w:eastAsia="zh-CN"/>
        </w:rPr>
        <w:t>整栋或者按</w:t>
      </w:r>
      <w:r>
        <w:rPr>
          <w:rFonts w:hint="eastAsia" w:asciiTheme="majorEastAsia" w:hAnsiTheme="majorEastAsia" w:eastAsiaTheme="majorEastAsia" w:cstheme="majorEastAsia"/>
          <w:color w:val="auto"/>
          <w:sz w:val="28"/>
          <w:szCs w:val="28"/>
        </w:rPr>
        <w:t>建筑面积每平方米出租，评估对象位于</w:t>
      </w:r>
      <w:r>
        <w:rPr>
          <w:rFonts w:hint="eastAsia" w:asciiTheme="majorEastAsia" w:hAnsiTheme="majorEastAsia" w:eastAsiaTheme="majorEastAsia" w:cstheme="majorEastAsia"/>
          <w:color w:val="auto"/>
          <w:sz w:val="28"/>
          <w:szCs w:val="28"/>
          <w:lang w:eastAsia="zh-CN"/>
        </w:rPr>
        <w:t>陆良县中枢镇南门三社1-1-1A号</w:t>
      </w:r>
      <w:r>
        <w:rPr>
          <w:rFonts w:hint="eastAsia" w:asciiTheme="majorEastAsia" w:hAnsiTheme="majorEastAsia" w:eastAsiaTheme="majorEastAsia" w:cstheme="majorEastAsia"/>
          <w:color w:val="auto"/>
          <w:sz w:val="28"/>
          <w:szCs w:val="28"/>
        </w:rPr>
        <w:t>，房屋为</w:t>
      </w:r>
      <w:r>
        <w:rPr>
          <w:rFonts w:hint="eastAsia" w:asciiTheme="majorEastAsia" w:hAnsiTheme="majorEastAsia" w:eastAsiaTheme="majorEastAsia" w:cstheme="majorEastAsia"/>
          <w:color w:val="auto"/>
          <w:sz w:val="28"/>
          <w:szCs w:val="28"/>
          <w:lang w:val="en-US" w:eastAsia="zh-CN"/>
        </w:rPr>
        <w:t>7层钢混</w:t>
      </w:r>
      <w:r>
        <w:rPr>
          <w:rFonts w:hint="eastAsia" w:asciiTheme="majorEastAsia" w:hAnsiTheme="majorEastAsia" w:eastAsiaTheme="majorEastAsia" w:cstheme="majorEastAsia"/>
          <w:color w:val="auto"/>
          <w:sz w:val="28"/>
          <w:szCs w:val="28"/>
        </w:rPr>
        <w:t>结构</w:t>
      </w:r>
      <w:r>
        <w:rPr>
          <w:rFonts w:hint="eastAsia" w:asciiTheme="majorEastAsia" w:hAnsiTheme="majorEastAsia" w:eastAsiaTheme="majorEastAsia" w:cstheme="majorEastAsia"/>
          <w:color w:val="auto"/>
          <w:sz w:val="28"/>
          <w:szCs w:val="28"/>
          <w:lang w:val="en-US" w:eastAsia="zh-CN"/>
        </w:rPr>
        <w:t>住宅楼</w:t>
      </w:r>
      <w:r>
        <w:rPr>
          <w:rFonts w:hint="eastAsia" w:asciiTheme="majorEastAsia" w:hAnsiTheme="majorEastAsia" w:eastAsiaTheme="majorEastAsia" w:cstheme="majorEastAsia"/>
          <w:color w:val="auto"/>
          <w:sz w:val="28"/>
          <w:szCs w:val="28"/>
        </w:rPr>
        <w:t>，建筑面积为</w:t>
      </w:r>
      <w:r>
        <w:rPr>
          <w:rFonts w:hint="eastAsia" w:asciiTheme="majorEastAsia" w:hAnsiTheme="majorEastAsia" w:eastAsiaTheme="majorEastAsia" w:cstheme="majorEastAsia"/>
          <w:color w:val="auto"/>
          <w:sz w:val="28"/>
          <w:szCs w:val="28"/>
          <w:lang w:eastAsia="zh-CN"/>
        </w:rPr>
        <w:t>61.92</w:t>
      </w:r>
      <w:r>
        <w:rPr>
          <w:rFonts w:hint="eastAsia" w:asciiTheme="majorEastAsia" w:hAnsiTheme="majorEastAsia" w:eastAsiaTheme="majorEastAsia" w:cstheme="majorEastAsia"/>
          <w:color w:val="auto"/>
          <w:sz w:val="28"/>
          <w:szCs w:val="28"/>
        </w:rPr>
        <w:t>平方米，有效出租率按100%。</w:t>
      </w:r>
    </w:p>
    <w:p>
      <w:pPr>
        <w:pStyle w:val="9"/>
        <w:spacing w:line="580" w:lineRule="exact"/>
        <w:ind w:firstLine="338" w:firstLineChars="121"/>
        <w:jc w:val="left"/>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（2）年有效毛收入</w:t>
      </w:r>
    </w:p>
    <w:p>
      <w:pPr>
        <w:pStyle w:val="9"/>
        <w:spacing w:line="580" w:lineRule="exact"/>
        <w:ind w:firstLine="618" w:firstLineChars="22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A、年有效毛收入</w:t>
      </w:r>
    </w:p>
    <w:p>
      <w:pPr>
        <w:pStyle w:val="9"/>
        <w:spacing w:line="580" w:lineRule="exact"/>
        <w:ind w:firstLine="618" w:firstLineChars="22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年有效毛收入=客观月租金×有效出租面积×【1-空置率】×12</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w:t>
      </w:r>
      <w:r>
        <w:rPr>
          <w:rFonts w:hint="eastAsia" w:asciiTheme="majorEastAsia" w:hAnsiTheme="majorEastAsia" w:eastAsiaTheme="majorEastAsia" w:cstheme="majorEastAsia"/>
          <w:color w:val="auto"/>
          <w:sz w:val="28"/>
          <w:szCs w:val="28"/>
          <w:lang w:val="en-US" w:eastAsia="zh-CN"/>
        </w:rPr>
        <w:t>10</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61.92</w:t>
      </w:r>
      <w:r>
        <w:rPr>
          <w:rFonts w:hint="eastAsia" w:asciiTheme="majorEastAsia" w:hAnsiTheme="majorEastAsia" w:eastAsiaTheme="majorEastAsia" w:cstheme="majorEastAsia"/>
          <w:color w:val="auto"/>
          <w:sz w:val="28"/>
          <w:szCs w:val="28"/>
        </w:rPr>
        <w:t>×（1-5%）×12</w:t>
      </w:r>
    </w:p>
    <w:p>
      <w:pPr>
        <w:pStyle w:val="9"/>
        <w:spacing w:line="580" w:lineRule="exact"/>
        <w:ind w:firstLine="2298" w:firstLineChars="82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7058.88</w:t>
      </w:r>
      <w:r>
        <w:rPr>
          <w:rFonts w:hint="eastAsia" w:asciiTheme="majorEastAsia" w:hAnsiTheme="majorEastAsia" w:eastAsiaTheme="majorEastAsia" w:cstheme="majorEastAsia"/>
          <w:color w:val="auto"/>
          <w:sz w:val="28"/>
          <w:szCs w:val="28"/>
        </w:rPr>
        <w:t>（元）</w:t>
      </w:r>
    </w:p>
    <w:p>
      <w:pPr>
        <w:pStyle w:val="9"/>
        <w:spacing w:line="580" w:lineRule="exact"/>
        <w:ind w:firstLine="565" w:firstLineChars="202"/>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B、其它收入</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其它收入主要是押金利息收入。经详细的市场调查了解当地租金支付方式大多数为“押一付三”、“押一半年付”，在房屋出租中，出租人一般收取一个月租金作为押金。根据2015年10月中国人民银行公布的一年期存款利率1.5％，则评估对象的单位建筑面积每年押金利息收入为</w:t>
      </w:r>
      <w:r>
        <w:rPr>
          <w:rFonts w:hint="eastAsia" w:asciiTheme="majorEastAsia" w:hAnsiTheme="majorEastAsia" w:eastAsiaTheme="majorEastAsia" w:cstheme="majorEastAsia"/>
          <w:color w:val="auto"/>
          <w:sz w:val="28"/>
          <w:szCs w:val="28"/>
          <w:lang w:eastAsia="zh-CN"/>
        </w:rPr>
        <w:t>9.29</w:t>
      </w:r>
      <w:r>
        <w:rPr>
          <w:rFonts w:hint="eastAsia" w:asciiTheme="majorEastAsia" w:hAnsiTheme="majorEastAsia" w:eastAsiaTheme="majorEastAsia" w:cstheme="majorEastAsia"/>
          <w:color w:val="auto"/>
          <w:sz w:val="28"/>
          <w:szCs w:val="28"/>
        </w:rPr>
        <w:t>元（</w:t>
      </w:r>
      <w:r>
        <w:rPr>
          <w:rFonts w:hint="eastAsia" w:asciiTheme="majorEastAsia" w:hAnsiTheme="majorEastAsia" w:eastAsiaTheme="majorEastAsia" w:cstheme="majorEastAsia"/>
          <w:color w:val="auto"/>
          <w:sz w:val="28"/>
          <w:szCs w:val="28"/>
          <w:lang w:eastAsia="zh-CN"/>
        </w:rPr>
        <w:t>61.92</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10</w:t>
      </w:r>
      <w:r>
        <w:rPr>
          <w:rFonts w:hint="eastAsia" w:asciiTheme="majorEastAsia" w:hAnsiTheme="majorEastAsia" w:eastAsiaTheme="majorEastAsia" w:cstheme="majorEastAsia"/>
          <w:color w:val="auto"/>
          <w:sz w:val="28"/>
          <w:szCs w:val="28"/>
        </w:rPr>
        <w:t>×1.5%=</w:t>
      </w:r>
      <w:r>
        <w:rPr>
          <w:rFonts w:hint="eastAsia" w:asciiTheme="majorEastAsia" w:hAnsiTheme="majorEastAsia" w:eastAsiaTheme="majorEastAsia" w:cstheme="majorEastAsia"/>
          <w:color w:val="auto"/>
          <w:sz w:val="28"/>
          <w:szCs w:val="28"/>
          <w:lang w:eastAsia="zh-CN"/>
        </w:rPr>
        <w:t>9.29</w:t>
      </w:r>
      <w:r>
        <w:rPr>
          <w:rFonts w:hint="eastAsia" w:asciiTheme="majorEastAsia" w:hAnsiTheme="majorEastAsia" w:eastAsiaTheme="majorEastAsia" w:cstheme="majorEastAsia"/>
          <w:color w:val="auto"/>
          <w:sz w:val="28"/>
          <w:szCs w:val="28"/>
        </w:rPr>
        <w:t xml:space="preserve"> 元），即评估对象其他收入确定为</w:t>
      </w:r>
      <w:r>
        <w:rPr>
          <w:rFonts w:hint="eastAsia" w:asciiTheme="majorEastAsia" w:hAnsiTheme="majorEastAsia" w:eastAsiaTheme="majorEastAsia" w:cstheme="majorEastAsia"/>
          <w:color w:val="auto"/>
          <w:sz w:val="28"/>
          <w:szCs w:val="28"/>
          <w:lang w:eastAsia="zh-CN"/>
        </w:rPr>
        <w:t>9.29</w:t>
      </w:r>
      <w:r>
        <w:rPr>
          <w:rFonts w:hint="eastAsia" w:asciiTheme="majorEastAsia" w:hAnsiTheme="majorEastAsia" w:eastAsiaTheme="majorEastAsia" w:cstheme="majorEastAsia"/>
          <w:color w:val="auto"/>
          <w:sz w:val="28"/>
          <w:szCs w:val="28"/>
        </w:rPr>
        <w:t xml:space="preserve"> 元。</w:t>
      </w:r>
    </w:p>
    <w:p>
      <w:pPr>
        <w:pStyle w:val="9"/>
        <w:spacing w:line="580" w:lineRule="exact"/>
        <w:ind w:firstLine="565" w:firstLineChars="202"/>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C、年收入合计</w:t>
      </w:r>
    </w:p>
    <w:p>
      <w:pPr>
        <w:pStyle w:val="9"/>
        <w:spacing w:line="580" w:lineRule="exact"/>
        <w:ind w:firstLine="478" w:firstLineChars="17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年收入合计=年有效毛收入+其他收入</w:t>
      </w:r>
    </w:p>
    <w:p>
      <w:pPr>
        <w:pStyle w:val="9"/>
        <w:spacing w:line="580" w:lineRule="exact"/>
        <w:ind w:firstLine="478" w:firstLineChars="171"/>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rPr>
        <w:t xml:space="preserve">          =</w:t>
      </w:r>
      <w:r>
        <w:rPr>
          <w:rFonts w:hint="eastAsia" w:asciiTheme="majorEastAsia" w:hAnsiTheme="majorEastAsia" w:eastAsiaTheme="majorEastAsia" w:cstheme="majorEastAsia"/>
          <w:color w:val="auto"/>
          <w:sz w:val="28"/>
          <w:szCs w:val="28"/>
          <w:lang w:eastAsia="zh-CN"/>
        </w:rPr>
        <w:t>7058.88</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9.29</w:t>
      </w:r>
    </w:p>
    <w:p>
      <w:pPr>
        <w:pStyle w:val="9"/>
        <w:spacing w:line="580" w:lineRule="exact"/>
        <w:ind w:firstLine="1878" w:firstLineChars="67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7068.17</w:t>
      </w:r>
      <w:r>
        <w:rPr>
          <w:rFonts w:hint="eastAsia" w:asciiTheme="majorEastAsia" w:hAnsiTheme="majorEastAsia" w:eastAsiaTheme="majorEastAsia" w:cstheme="majorEastAsia"/>
          <w:color w:val="auto"/>
          <w:sz w:val="28"/>
          <w:szCs w:val="28"/>
        </w:rPr>
        <w:t>（元）</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5、年总支出</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a.管理费：管理费主要体现为房屋在出租过程中通过线上、线下发布出租信息的费用以及带人看房、与承租人谈判、房屋在使用中正常损坏等作为所有权人应耽搁的时间成本。通过详细的市场调查作为</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出租方在房屋租赁活动中绝大多数情况中介不收取出租人的任何费用，主要向承租人收取半个月到一个月不等的中介费，出租人将房屋出租信息给中介绝大多数都由中介免费带潜在的承租人看房，但在房屋正常损坏维修中基本都由房屋所有权人自己花时间处理。根据市场调查分析评估对象所在区域管理费用占有效毛收入的比率主要集中在0.5%至1.5%之间，结合评估对象的实际情况本次取其中间值管理费按年总收入1%计取；</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管理费=年总收入×1%=</w:t>
      </w:r>
      <w:r>
        <w:rPr>
          <w:rFonts w:hint="eastAsia" w:asciiTheme="majorEastAsia" w:hAnsiTheme="majorEastAsia" w:eastAsiaTheme="majorEastAsia" w:cstheme="majorEastAsia"/>
          <w:color w:val="auto"/>
          <w:sz w:val="28"/>
          <w:szCs w:val="28"/>
          <w:lang w:eastAsia="zh-CN"/>
        </w:rPr>
        <w:t>7068.17</w:t>
      </w:r>
      <w:r>
        <w:rPr>
          <w:rFonts w:hint="eastAsia" w:asciiTheme="majorEastAsia" w:hAnsiTheme="majorEastAsia" w:eastAsiaTheme="majorEastAsia" w:cstheme="majorEastAsia"/>
          <w:color w:val="auto"/>
          <w:sz w:val="28"/>
          <w:szCs w:val="28"/>
        </w:rPr>
        <w:t>×1%=</w:t>
      </w:r>
      <w:r>
        <w:rPr>
          <w:rFonts w:hint="eastAsia" w:asciiTheme="majorEastAsia" w:hAnsiTheme="majorEastAsia" w:eastAsiaTheme="majorEastAsia" w:cstheme="majorEastAsia"/>
          <w:color w:val="auto"/>
          <w:sz w:val="28"/>
          <w:szCs w:val="28"/>
          <w:lang w:eastAsia="zh-CN"/>
        </w:rPr>
        <w:t>70.68</w:t>
      </w:r>
      <w:r>
        <w:rPr>
          <w:rFonts w:hint="eastAsia" w:asciiTheme="majorEastAsia" w:hAnsiTheme="majorEastAsia" w:eastAsiaTheme="majorEastAsia" w:cstheme="majorEastAsia"/>
          <w:color w:val="auto"/>
          <w:sz w:val="28"/>
          <w:szCs w:val="28"/>
        </w:rPr>
        <w:t>（元）</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b.年维修费：高端物业的重置成本高年维修费用高，低端物业的重置成本低年维修费用也低，物业的维修费用与物业的建筑物重置成本正相关，物业的年维修费用一般以物业的全新重置成本为基数，对评估对象所在区域进行详细的市场调查，物业的年维修费用占物业的全新重置价的比率在1%至2.5%之间，较新的物业比率偏低，较老的物业比率偏高，根据评估对象的实际情况本次评估年维修费占全新重置价的比率确定为1.5%；</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c.保险费：根据保险行业的市场调查情况一般根据被承保的市场价值为基数取一定的费率收取保险费，由于土地客观上难以消亡，当发现自然灾害等客观不可抗力因素会导致建筑损害甚至丧失安全使用的功能，所以市场上房屋的保险费一般以建筑物的全新重置价为基数取一定的保险费率收取保险费，经详细的市场调查房屋的保险费率一般占对应建筑物全新重置价的0.1%至0.3%之间，已发生灾害事故的区域以及房屋较旧费率旧偏高，反之偏低，本次评估结合评估对象的实际情况确定保险费占建筑物全新重置价的比率为0.3%； </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本次评估根据《</w:t>
      </w:r>
      <w:r>
        <w:rPr>
          <w:rFonts w:hint="eastAsia" w:asciiTheme="majorEastAsia" w:hAnsiTheme="majorEastAsia" w:eastAsiaTheme="majorEastAsia" w:cstheme="majorEastAsia"/>
          <w:color w:val="auto"/>
          <w:sz w:val="28"/>
          <w:szCs w:val="28"/>
          <w:lang w:val="en-US" w:eastAsia="zh-CN"/>
        </w:rPr>
        <w:t>云南省</w:t>
      </w:r>
      <w:r>
        <w:rPr>
          <w:rFonts w:hint="eastAsia" w:asciiTheme="majorEastAsia" w:hAnsiTheme="majorEastAsia" w:eastAsiaTheme="majorEastAsia" w:cstheme="majorEastAsia"/>
          <w:color w:val="auto"/>
          <w:sz w:val="28"/>
          <w:szCs w:val="28"/>
        </w:rPr>
        <w:t>建筑</w:t>
      </w:r>
      <w:r>
        <w:rPr>
          <w:rFonts w:hint="eastAsia" w:asciiTheme="majorEastAsia" w:hAnsiTheme="majorEastAsia" w:eastAsiaTheme="majorEastAsia" w:cstheme="majorEastAsia"/>
          <w:color w:val="auto"/>
          <w:sz w:val="28"/>
          <w:szCs w:val="28"/>
          <w:lang w:eastAsia="zh-CN"/>
        </w:rPr>
        <w:t>与装饰</w:t>
      </w:r>
      <w:r>
        <w:rPr>
          <w:rFonts w:hint="eastAsia" w:asciiTheme="majorEastAsia" w:hAnsiTheme="majorEastAsia" w:eastAsiaTheme="majorEastAsia" w:cstheme="majorEastAsia"/>
          <w:color w:val="auto"/>
          <w:sz w:val="28"/>
          <w:szCs w:val="28"/>
        </w:rPr>
        <w:t>工程</w:t>
      </w:r>
      <w:r>
        <w:rPr>
          <w:rFonts w:hint="eastAsia" w:asciiTheme="majorEastAsia" w:hAnsiTheme="majorEastAsia" w:eastAsiaTheme="majorEastAsia" w:cstheme="majorEastAsia"/>
          <w:color w:val="auto"/>
          <w:sz w:val="28"/>
          <w:szCs w:val="28"/>
          <w:lang w:eastAsia="zh-CN"/>
        </w:rPr>
        <w:t>计价</w:t>
      </w:r>
      <w:r>
        <w:rPr>
          <w:rFonts w:hint="eastAsia" w:asciiTheme="majorEastAsia" w:hAnsiTheme="majorEastAsia" w:eastAsiaTheme="majorEastAsia" w:cstheme="majorEastAsia"/>
          <w:color w:val="auto"/>
          <w:sz w:val="28"/>
          <w:szCs w:val="28"/>
        </w:rPr>
        <w:t>定额》（20</w:t>
      </w:r>
      <w:r>
        <w:rPr>
          <w:rFonts w:hint="eastAsia" w:asciiTheme="majorEastAsia" w:hAnsiTheme="majorEastAsia" w:eastAsiaTheme="majorEastAsia" w:cstheme="majorEastAsia"/>
          <w:color w:val="auto"/>
          <w:sz w:val="28"/>
          <w:szCs w:val="28"/>
          <w:lang w:val="en-US" w:eastAsia="zh-CN"/>
        </w:rPr>
        <w:t>20</w:t>
      </w:r>
      <w:r>
        <w:rPr>
          <w:rFonts w:hint="eastAsia" w:asciiTheme="majorEastAsia" w:hAnsiTheme="majorEastAsia" w:eastAsiaTheme="majorEastAsia" w:cstheme="majorEastAsia"/>
          <w:color w:val="auto"/>
          <w:sz w:val="28"/>
          <w:szCs w:val="28"/>
        </w:rPr>
        <w:t>年</w:t>
      </w:r>
      <w:r>
        <w:rPr>
          <w:rFonts w:hint="eastAsia" w:asciiTheme="majorEastAsia" w:hAnsiTheme="majorEastAsia" w:eastAsiaTheme="majorEastAsia" w:cstheme="majorEastAsia"/>
          <w:color w:val="auto"/>
          <w:sz w:val="28"/>
          <w:szCs w:val="28"/>
          <w:lang w:val="en-US" w:eastAsia="zh-CN"/>
        </w:rPr>
        <w:t>版</w:t>
      </w:r>
      <w:r>
        <w:rPr>
          <w:rFonts w:hint="eastAsia" w:asciiTheme="majorEastAsia" w:hAnsiTheme="majorEastAsia" w:eastAsiaTheme="majorEastAsia" w:cstheme="majorEastAsia"/>
          <w:color w:val="auto"/>
          <w:sz w:val="28"/>
          <w:szCs w:val="28"/>
        </w:rPr>
        <w:t>），按照目前当地人工工资水平、建筑材料价格等工程造价行情，结合</w:t>
      </w:r>
      <w:r>
        <w:rPr>
          <w:rFonts w:hint="eastAsia" w:asciiTheme="majorEastAsia" w:hAnsiTheme="majorEastAsia" w:eastAsiaTheme="majorEastAsia" w:cstheme="majorEastAsia"/>
          <w:color w:val="auto"/>
          <w:sz w:val="28"/>
          <w:szCs w:val="28"/>
          <w:lang w:eastAsia="zh-CN"/>
        </w:rPr>
        <w:t>评估对象</w:t>
      </w:r>
      <w:r>
        <w:rPr>
          <w:rFonts w:hint="eastAsia" w:asciiTheme="majorEastAsia" w:hAnsiTheme="majorEastAsia" w:eastAsiaTheme="majorEastAsia" w:cstheme="majorEastAsia"/>
          <w:color w:val="auto"/>
          <w:sz w:val="28"/>
          <w:szCs w:val="28"/>
        </w:rPr>
        <w:t>的建筑物实况估算建筑物重置单价为</w:t>
      </w:r>
      <w:r>
        <w:rPr>
          <w:rFonts w:hint="eastAsia" w:asciiTheme="majorEastAsia" w:hAnsiTheme="majorEastAsia" w:eastAsiaTheme="majorEastAsia" w:cstheme="majorEastAsia"/>
          <w:color w:val="auto"/>
          <w:sz w:val="28"/>
          <w:szCs w:val="28"/>
          <w:lang w:val="en-US" w:eastAsia="zh-CN"/>
        </w:rPr>
        <w:t>15</w:t>
      </w:r>
      <w:r>
        <w:rPr>
          <w:rFonts w:hint="eastAsia" w:asciiTheme="majorEastAsia" w:hAnsiTheme="majorEastAsia" w:eastAsiaTheme="majorEastAsia" w:cstheme="majorEastAsia"/>
          <w:color w:val="auto"/>
          <w:sz w:val="28"/>
          <w:szCs w:val="28"/>
        </w:rPr>
        <w:t>00元/㎡，则：</w:t>
      </w:r>
    </w:p>
    <w:p>
      <w:pPr>
        <w:pStyle w:val="9"/>
        <w:spacing w:line="580" w:lineRule="exact"/>
        <w:ind w:left="2799" w:leftChars="266" w:hanging="2240" w:hangingChars="8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年维修费及保险费=建筑物重置单价×建筑面积×（1.5%+0.3%）=</w:t>
      </w:r>
      <w:r>
        <w:rPr>
          <w:rFonts w:hint="eastAsia" w:asciiTheme="majorEastAsia" w:hAnsiTheme="majorEastAsia" w:eastAsiaTheme="majorEastAsia" w:cstheme="majorEastAsia"/>
          <w:color w:val="auto"/>
          <w:sz w:val="28"/>
          <w:szCs w:val="28"/>
          <w:lang w:val="en-US" w:eastAsia="zh-CN"/>
        </w:rPr>
        <w:t>15</w:t>
      </w:r>
      <w:r>
        <w:rPr>
          <w:rFonts w:hint="eastAsia" w:asciiTheme="majorEastAsia" w:hAnsiTheme="majorEastAsia" w:eastAsiaTheme="majorEastAsia" w:cstheme="majorEastAsia"/>
          <w:color w:val="auto"/>
          <w:sz w:val="28"/>
          <w:szCs w:val="28"/>
        </w:rPr>
        <w:t>00×</w:t>
      </w:r>
      <w:r>
        <w:rPr>
          <w:rFonts w:hint="eastAsia" w:asciiTheme="majorEastAsia" w:hAnsiTheme="majorEastAsia" w:eastAsiaTheme="majorEastAsia" w:cstheme="majorEastAsia"/>
          <w:color w:val="auto"/>
          <w:sz w:val="28"/>
          <w:szCs w:val="28"/>
          <w:lang w:eastAsia="zh-CN"/>
        </w:rPr>
        <w:t>61.92</w:t>
      </w:r>
      <w:r>
        <w:rPr>
          <w:rFonts w:hint="eastAsia" w:asciiTheme="majorEastAsia" w:hAnsiTheme="majorEastAsia" w:eastAsiaTheme="majorEastAsia" w:cstheme="majorEastAsia"/>
          <w:color w:val="auto"/>
          <w:sz w:val="28"/>
          <w:szCs w:val="28"/>
        </w:rPr>
        <w:t>×（1.5%+0.3%）</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w:t>
      </w:r>
      <w:r>
        <w:rPr>
          <w:rFonts w:hint="eastAsia" w:asciiTheme="majorEastAsia" w:hAnsiTheme="majorEastAsia" w:eastAsiaTheme="majorEastAsia" w:cstheme="majorEastAsia"/>
          <w:color w:val="auto"/>
          <w:sz w:val="28"/>
          <w:szCs w:val="28"/>
          <w:lang w:val="en-US" w:eastAsia="zh-CN"/>
        </w:rPr>
        <w:t xml:space="preserve">       </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1671.84</w:t>
      </w:r>
      <w:r>
        <w:rPr>
          <w:rFonts w:hint="eastAsia" w:asciiTheme="majorEastAsia" w:hAnsiTheme="majorEastAsia" w:eastAsiaTheme="majorEastAsia" w:cstheme="majorEastAsia"/>
          <w:color w:val="auto"/>
          <w:sz w:val="28"/>
          <w:szCs w:val="28"/>
        </w:rPr>
        <w:t>（元）   </w:t>
      </w:r>
    </w:p>
    <w:p>
      <w:pPr>
        <w:pStyle w:val="9"/>
        <w:spacing w:line="580" w:lineRule="exact"/>
        <w:ind w:firstLine="680"/>
        <w:rPr>
          <w:rFonts w:hint="eastAsia" w:asciiTheme="majorEastAsia" w:hAnsiTheme="majorEastAsia" w:eastAsiaTheme="majorEastAsia" w:cstheme="majorEastAsia"/>
          <w:color w:val="auto"/>
          <w:sz w:val="28"/>
          <w:szCs w:val="28"/>
          <w:highlight w:val="yellow"/>
        </w:rPr>
      </w:pPr>
      <w:r>
        <w:rPr>
          <w:rFonts w:hint="eastAsia" w:asciiTheme="majorEastAsia" w:hAnsiTheme="majorEastAsia" w:eastAsiaTheme="majorEastAsia" w:cstheme="majorEastAsia"/>
          <w:color w:val="auto"/>
          <w:spacing w:val="10"/>
          <w:sz w:val="28"/>
          <w:szCs w:val="28"/>
          <w:lang w:val="en-US" w:eastAsia="zh-CN"/>
        </w:rPr>
        <w:t>d</w:t>
      </w:r>
      <w:r>
        <w:rPr>
          <w:rFonts w:hint="eastAsia" w:asciiTheme="majorEastAsia" w:hAnsiTheme="majorEastAsia" w:eastAsiaTheme="majorEastAsia" w:cstheme="majorEastAsia"/>
          <w:color w:val="auto"/>
          <w:spacing w:val="10"/>
          <w:sz w:val="28"/>
          <w:szCs w:val="28"/>
        </w:rPr>
        <w:t>.</w:t>
      </w:r>
      <w:r>
        <w:rPr>
          <w:rFonts w:hint="eastAsia" w:asciiTheme="majorEastAsia" w:hAnsiTheme="majorEastAsia" w:eastAsiaTheme="majorEastAsia" w:cstheme="majorEastAsia"/>
          <w:color w:val="auto"/>
          <w:sz w:val="28"/>
          <w:szCs w:val="28"/>
        </w:rPr>
        <w:t>税费：主要考虑增值税、城建税、教育费附加、地方教育费附加、房产税率为、印花税。根据相关规定个人出租房屋增值税、房产税的计税基数均为签约合同价扣除增值税的数额（即不含增值税收入）；印花税的计税基数为签约合同价（即有效毛收入）；增值税附加的计税基数为应纳增值税，其中增值税税率为5%，根据现行规定，个人出租住房减按1.5%，增值税附加市级为10%（城建税5%、教育费附加3%、地方教育费附加2%），房产税税率为12%，根据现行规定，个人出租住房减按4%，印花税税率为0.1%。</w:t>
      </w:r>
    </w:p>
    <w:p>
      <w:pPr>
        <w:pStyle w:val="9"/>
        <w:spacing w:line="580" w:lineRule="exact"/>
        <w:ind w:left="1579" w:leftChars="352" w:hanging="840" w:hangingChars="3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税费税率合计=1/（1+5%）×1.5%×（1+5%+3%+2%）+1/（1+5%）×4%+0.1% =5.48%</w:t>
      </w:r>
    </w:p>
    <w:p>
      <w:pPr>
        <w:pStyle w:val="9"/>
        <w:spacing w:line="580" w:lineRule="exact"/>
        <w:ind w:left="1579" w:leftChars="352" w:hanging="840" w:hangingChars="3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税费合计</w:t>
      </w:r>
      <w:r>
        <w:rPr>
          <w:rFonts w:hint="eastAsia" w:asciiTheme="majorEastAsia" w:hAnsiTheme="majorEastAsia" w:eastAsiaTheme="majorEastAsia" w:cstheme="majorEastAsia"/>
          <w:color w:val="auto"/>
          <w:sz w:val="22"/>
          <w:szCs w:val="22"/>
        </w:rPr>
        <w:t>＝</w:t>
      </w:r>
      <w:r>
        <w:rPr>
          <w:rFonts w:hint="eastAsia" w:asciiTheme="majorEastAsia" w:hAnsiTheme="majorEastAsia" w:eastAsiaTheme="majorEastAsia" w:cstheme="majorEastAsia"/>
          <w:color w:val="auto"/>
          <w:sz w:val="28"/>
          <w:szCs w:val="28"/>
        </w:rPr>
        <w:t>年有效毛收入×5.48%</w:t>
      </w:r>
    </w:p>
    <w:p>
      <w:pPr>
        <w:pStyle w:val="9"/>
        <w:spacing w:line="580" w:lineRule="exact"/>
        <w:ind w:left="1369" w:leftChars="652"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7058.88</w:t>
      </w:r>
      <w:r>
        <w:rPr>
          <w:rFonts w:hint="eastAsia" w:asciiTheme="majorEastAsia" w:hAnsiTheme="majorEastAsia" w:eastAsiaTheme="majorEastAsia" w:cstheme="majorEastAsia"/>
          <w:color w:val="auto"/>
          <w:sz w:val="28"/>
          <w:szCs w:val="28"/>
        </w:rPr>
        <w:t>×5.48%</w:t>
      </w:r>
    </w:p>
    <w:p>
      <w:pPr>
        <w:pStyle w:val="9"/>
        <w:spacing w:line="580" w:lineRule="exact"/>
        <w:ind w:left="1697" w:leftChars="808" w:firstLine="280" w:firstLineChars="1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386.83</w:t>
      </w:r>
      <w:r>
        <w:rPr>
          <w:rFonts w:hint="eastAsia" w:asciiTheme="majorEastAsia" w:hAnsiTheme="majorEastAsia" w:eastAsiaTheme="majorEastAsia" w:cstheme="majorEastAsia"/>
          <w:color w:val="auto"/>
          <w:sz w:val="28"/>
          <w:szCs w:val="28"/>
        </w:rPr>
        <w:t xml:space="preserve"> （元）</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年总支出=a+b+c+d</w:t>
      </w:r>
    </w:p>
    <w:p>
      <w:pPr>
        <w:pStyle w:val="9"/>
        <w:spacing w:line="580" w:lineRule="exact"/>
        <w:ind w:firstLine="1680" w:firstLineChars="600"/>
        <w:rPr>
          <w:rFonts w:hint="eastAsia" w:asciiTheme="majorEastAsia" w:hAnsiTheme="majorEastAsia" w:eastAsiaTheme="majorEastAsia" w:cstheme="majorEastAsia"/>
          <w:color w:val="auto"/>
          <w:sz w:val="28"/>
          <w:szCs w:val="28"/>
          <w:highlight w:val="yellow"/>
          <w:lang w:eastAsia="zh-CN"/>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70.68</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1671.84</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386.83</w:t>
      </w:r>
    </w:p>
    <w:p>
      <w:pPr>
        <w:pStyle w:val="9"/>
        <w:spacing w:line="580" w:lineRule="exact"/>
        <w:ind w:firstLine="1680" w:firstLineChars="600"/>
        <w:rPr>
          <w:rFonts w:hint="eastAsia" w:asciiTheme="majorEastAsia" w:hAnsiTheme="majorEastAsia" w:eastAsiaTheme="majorEastAsia" w:cstheme="majorEastAsia"/>
          <w:color w:val="auto"/>
          <w:sz w:val="28"/>
          <w:szCs w:val="28"/>
          <w:highlight w:val="yellow"/>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2129.35</w:t>
      </w:r>
      <w:r>
        <w:rPr>
          <w:rFonts w:hint="eastAsia" w:asciiTheme="majorEastAsia" w:hAnsiTheme="majorEastAsia" w:eastAsiaTheme="majorEastAsia" w:cstheme="majorEastAsia"/>
          <w:color w:val="auto"/>
          <w:sz w:val="28"/>
          <w:szCs w:val="28"/>
        </w:rPr>
        <w:t>（元）</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6、确定净收益</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净收益=年有效毛收入-年总支出</w:t>
      </w:r>
    </w:p>
    <w:p>
      <w:pPr>
        <w:pStyle w:val="9"/>
        <w:spacing w:line="580" w:lineRule="exact"/>
        <w:ind w:firstLine="1400" w:firstLineChars="500"/>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7068.17</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2129.35</w:t>
      </w:r>
    </w:p>
    <w:p>
      <w:pPr>
        <w:pStyle w:val="9"/>
        <w:spacing w:line="580" w:lineRule="exact"/>
        <w:ind w:firstLine="1400" w:firstLineChars="5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4938.82</w:t>
      </w:r>
      <w:r>
        <w:rPr>
          <w:rFonts w:hint="eastAsia" w:asciiTheme="majorEastAsia" w:hAnsiTheme="majorEastAsia" w:eastAsiaTheme="majorEastAsia" w:cstheme="majorEastAsia"/>
          <w:color w:val="auto"/>
          <w:sz w:val="28"/>
          <w:szCs w:val="28"/>
        </w:rPr>
        <w:t>（元）</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7、预测收益递增比率</w:t>
      </w:r>
    </w:p>
    <w:p>
      <w:pPr>
        <w:pStyle w:val="9"/>
        <w:spacing w:line="240" w:lineRule="auto"/>
        <w:ind w:firstLine="478" w:firstLineChars="17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eastAsia="zh-CN"/>
        </w:rPr>
        <w:t>评估人员</w:t>
      </w:r>
      <w:r>
        <w:rPr>
          <w:rFonts w:hint="eastAsia" w:asciiTheme="majorEastAsia" w:hAnsiTheme="majorEastAsia" w:eastAsiaTheme="majorEastAsia" w:cstheme="majorEastAsia"/>
          <w:color w:val="auto"/>
          <w:sz w:val="28"/>
          <w:szCs w:val="28"/>
        </w:rPr>
        <w:t>对递增比率的分析预测主要从两个方面考虑。一是物价上涨因素，正常客观情况下，一个精明的投资人对持有物业租金的增长要求至少要跑赢物价的上涨，根据“东方财富”收集公布的消费价格指数见下表：</w:t>
      </w:r>
    </w:p>
    <w:p>
      <w:pPr>
        <w:pStyle w:val="9"/>
        <w:spacing w:line="240" w:lineRule="auto"/>
        <w:ind w:left="0" w:leftChars="0" w:firstLine="0" w:firstLineChars="0"/>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lang w:eastAsia="zh-CN"/>
        </w:rPr>
        <w:drawing>
          <wp:inline distT="0" distB="0" distL="114300" distR="114300">
            <wp:extent cx="5271770" cy="2020570"/>
            <wp:effectExtent l="0" t="0" r="5080" b="17780"/>
            <wp:docPr id="3" name="图片 3" descr="1658395167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58395167897"/>
                    <pic:cNvPicPr>
                      <a:picLocks noChangeAspect="1"/>
                    </pic:cNvPicPr>
                  </pic:nvPicPr>
                  <pic:blipFill>
                    <a:blip r:embed="rId7"/>
                    <a:stretch>
                      <a:fillRect/>
                    </a:stretch>
                  </pic:blipFill>
                  <pic:spPr>
                    <a:xfrm>
                      <a:off x="0" y="0"/>
                      <a:ext cx="5271770" cy="2020570"/>
                    </a:xfrm>
                    <a:prstGeom prst="rect">
                      <a:avLst/>
                    </a:prstGeom>
                  </pic:spPr>
                </pic:pic>
              </a:graphicData>
            </a:graphic>
          </wp:inline>
        </w:drawing>
      </w:r>
    </w:p>
    <w:p>
      <w:pPr>
        <w:pStyle w:val="9"/>
        <w:spacing w:line="580" w:lineRule="exact"/>
        <w:ind w:firstLine="478" w:firstLineChars="17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通过上述数据可知，2021年</w:t>
      </w:r>
      <w:r>
        <w:rPr>
          <w:rFonts w:hint="eastAsia" w:asciiTheme="majorEastAsia" w:hAnsiTheme="majorEastAsia" w:eastAsiaTheme="majorEastAsia" w:cstheme="majorEastAsia"/>
          <w:color w:val="auto"/>
          <w:sz w:val="28"/>
          <w:szCs w:val="28"/>
          <w:lang w:val="en-US" w:eastAsia="zh-CN"/>
        </w:rPr>
        <w:t>6</w:t>
      </w:r>
      <w:r>
        <w:rPr>
          <w:rFonts w:hint="eastAsia" w:asciiTheme="majorEastAsia" w:hAnsiTheme="majorEastAsia" w:eastAsiaTheme="majorEastAsia" w:cstheme="majorEastAsia"/>
          <w:color w:val="auto"/>
          <w:sz w:val="28"/>
          <w:szCs w:val="28"/>
        </w:rPr>
        <w:t>月到202</w:t>
      </w:r>
      <w:r>
        <w:rPr>
          <w:rFonts w:hint="eastAsia" w:asciiTheme="majorEastAsia" w:hAnsiTheme="majorEastAsia" w:eastAsiaTheme="majorEastAsia" w:cstheme="majorEastAsia"/>
          <w:color w:val="auto"/>
          <w:sz w:val="28"/>
          <w:szCs w:val="28"/>
          <w:lang w:val="en-US" w:eastAsia="zh-CN"/>
        </w:rPr>
        <w:t>2</w:t>
      </w:r>
      <w:r>
        <w:rPr>
          <w:rFonts w:hint="eastAsia" w:asciiTheme="majorEastAsia" w:hAnsiTheme="majorEastAsia" w:eastAsiaTheme="majorEastAsia" w:cstheme="majorEastAsia"/>
          <w:color w:val="auto"/>
          <w:sz w:val="28"/>
          <w:szCs w:val="28"/>
        </w:rPr>
        <w:t>年</w:t>
      </w:r>
      <w:r>
        <w:rPr>
          <w:rFonts w:hint="eastAsia" w:asciiTheme="majorEastAsia" w:hAnsiTheme="majorEastAsia" w:eastAsiaTheme="majorEastAsia" w:cstheme="majorEastAsia"/>
          <w:color w:val="auto"/>
          <w:sz w:val="28"/>
          <w:szCs w:val="28"/>
          <w:lang w:val="en-US" w:eastAsia="zh-CN"/>
        </w:rPr>
        <w:t>6</w:t>
      </w:r>
      <w:r>
        <w:rPr>
          <w:rFonts w:hint="eastAsia" w:asciiTheme="majorEastAsia" w:hAnsiTheme="majorEastAsia" w:eastAsiaTheme="majorEastAsia" w:cstheme="majorEastAsia"/>
          <w:color w:val="auto"/>
          <w:sz w:val="28"/>
          <w:szCs w:val="28"/>
        </w:rPr>
        <w:t>月，全国居民消费价格在</w:t>
      </w:r>
      <w:r>
        <w:rPr>
          <w:rFonts w:hint="eastAsia" w:asciiTheme="majorEastAsia" w:hAnsiTheme="majorEastAsia" w:eastAsiaTheme="majorEastAsia" w:cstheme="majorEastAsia"/>
          <w:color w:val="auto"/>
          <w:sz w:val="28"/>
          <w:szCs w:val="28"/>
          <w:lang w:val="en-US" w:eastAsia="zh-CN"/>
        </w:rPr>
        <w:t>2</w:t>
      </w:r>
      <w:r>
        <w:rPr>
          <w:rFonts w:hint="eastAsia" w:asciiTheme="majorEastAsia" w:hAnsiTheme="majorEastAsia" w:eastAsiaTheme="majorEastAsia" w:cstheme="majorEastAsia"/>
          <w:color w:val="auto"/>
          <w:sz w:val="28"/>
          <w:szCs w:val="28"/>
        </w:rPr>
        <w:t>％左右波动。</w:t>
      </w:r>
    </w:p>
    <w:p>
      <w:pPr>
        <w:pStyle w:val="9"/>
        <w:spacing w:line="580" w:lineRule="exact"/>
        <w:ind w:firstLine="478" w:firstLineChars="17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二是区域同类物业的签约租金增长率。目前市场上租赁期限一般为</w:t>
      </w:r>
      <w:r>
        <w:rPr>
          <w:rFonts w:hint="eastAsia" w:asciiTheme="majorEastAsia" w:hAnsiTheme="majorEastAsia" w:eastAsiaTheme="majorEastAsia" w:cstheme="majorEastAsia"/>
          <w:color w:val="auto"/>
          <w:sz w:val="28"/>
          <w:szCs w:val="28"/>
          <w:lang w:val="en-US" w:eastAsia="zh-CN"/>
        </w:rPr>
        <w:t>3</w:t>
      </w:r>
      <w:r>
        <w:rPr>
          <w:rFonts w:hint="eastAsia" w:asciiTheme="majorEastAsia" w:hAnsiTheme="majorEastAsia" w:eastAsiaTheme="majorEastAsia" w:cstheme="majorEastAsia"/>
          <w:color w:val="auto"/>
          <w:sz w:val="28"/>
          <w:szCs w:val="28"/>
        </w:rPr>
        <w:t>年一签，在租期内年租金递增比率大都为</w:t>
      </w:r>
      <w:r>
        <w:rPr>
          <w:rFonts w:hint="eastAsia" w:asciiTheme="majorEastAsia" w:hAnsiTheme="majorEastAsia" w:eastAsiaTheme="majorEastAsia" w:cstheme="majorEastAsia"/>
          <w:color w:val="auto"/>
          <w:sz w:val="28"/>
          <w:szCs w:val="28"/>
          <w:lang w:val="en-US" w:eastAsia="zh-CN"/>
        </w:rPr>
        <w:t>2</w:t>
      </w:r>
      <w:r>
        <w:rPr>
          <w:rFonts w:hint="eastAsia" w:asciiTheme="majorEastAsia" w:hAnsiTheme="majorEastAsia" w:eastAsiaTheme="majorEastAsia" w:cstheme="majorEastAsia"/>
          <w:color w:val="auto"/>
          <w:sz w:val="28"/>
          <w:szCs w:val="28"/>
        </w:rPr>
        <w:t>%，也就是说投资人的最低要求都要达到</w:t>
      </w:r>
      <w:r>
        <w:rPr>
          <w:rFonts w:hint="eastAsia" w:asciiTheme="majorEastAsia" w:hAnsiTheme="majorEastAsia" w:eastAsiaTheme="majorEastAsia" w:cstheme="majorEastAsia"/>
          <w:color w:val="auto"/>
          <w:sz w:val="28"/>
          <w:szCs w:val="28"/>
          <w:lang w:val="en-US" w:eastAsia="zh-CN"/>
        </w:rPr>
        <w:t>2</w:t>
      </w:r>
      <w:r>
        <w:rPr>
          <w:rFonts w:hint="eastAsia" w:asciiTheme="majorEastAsia" w:hAnsiTheme="majorEastAsia" w:eastAsiaTheme="majorEastAsia" w:cstheme="majorEastAsia"/>
          <w:color w:val="auto"/>
          <w:sz w:val="28"/>
          <w:szCs w:val="28"/>
        </w:rPr>
        <w:t>％。</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评估人员通过对消费价格指数和市场上同类物业租金增长情况分析，再考虑评估对象所在的位置情况，预测收益年递增比率在收益期限内应当在1％～3%之间，本次评估递增比率确定为2.5%。</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8、确定报酬率</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根据《房地产估价规范》（GB/T 50291-2015），报酬率可以采用市场提取法、累加法、投资收益率排序插入法三种方法进行测算。按照当前社会经济环境对房地产投资的影响，本次评估采用累加法确定报酬率。累加法采用安全利率加风险调整值确定，安全利率采用2015年10月中国人民银行公布的一年期存款利率1.5％，风险调整值根据投资人承担额外风险所要求的补偿和评估对象所在的地区、行业、市场状况、区位等因素综合取4％，房地产报酬率为5.5％。假定报酬率在未来收益年期内不变。</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9、收益期n的确定</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房屋收益年限一般根据房屋经济耐用年限，结合土地尚可使用年限分析确定，评估对象为混合结构住宅楼，根据各种结构房屋的经济耐用年限的参考值，本次评估建筑物耐用年限为50年；据</w:t>
      </w:r>
      <w:r>
        <w:rPr>
          <w:rFonts w:hint="eastAsia" w:asciiTheme="majorEastAsia" w:hAnsiTheme="majorEastAsia" w:eastAsiaTheme="majorEastAsia" w:cstheme="majorEastAsia"/>
          <w:color w:val="auto"/>
          <w:sz w:val="28"/>
          <w:szCs w:val="28"/>
          <w:lang w:val="en-US" w:eastAsia="zh-CN"/>
        </w:rPr>
        <w:t>现场勘查了解</w:t>
      </w:r>
      <w:r>
        <w:rPr>
          <w:rFonts w:hint="eastAsia" w:asciiTheme="majorEastAsia" w:hAnsiTheme="majorEastAsia" w:eastAsiaTheme="majorEastAsia" w:cstheme="majorEastAsia"/>
          <w:color w:val="auto"/>
          <w:sz w:val="28"/>
          <w:szCs w:val="28"/>
        </w:rPr>
        <w:t>，评估对象</w:t>
      </w:r>
      <w:r>
        <w:rPr>
          <w:rFonts w:hint="eastAsia" w:asciiTheme="majorEastAsia" w:hAnsiTheme="majorEastAsia" w:eastAsiaTheme="majorEastAsia" w:cstheme="majorEastAsia"/>
          <w:color w:val="auto"/>
          <w:sz w:val="28"/>
          <w:szCs w:val="28"/>
          <w:lang w:val="en-US" w:eastAsia="zh-CN"/>
        </w:rPr>
        <w:t>约</w:t>
      </w:r>
      <w:r>
        <w:rPr>
          <w:rFonts w:hint="eastAsia" w:asciiTheme="majorEastAsia" w:hAnsiTheme="majorEastAsia" w:eastAsiaTheme="majorEastAsia" w:cstheme="majorEastAsia"/>
          <w:color w:val="auto"/>
          <w:sz w:val="28"/>
          <w:szCs w:val="28"/>
        </w:rPr>
        <w:t>建成于20</w:t>
      </w:r>
      <w:r>
        <w:rPr>
          <w:rFonts w:hint="eastAsia" w:asciiTheme="majorEastAsia" w:hAnsiTheme="majorEastAsia" w:eastAsiaTheme="majorEastAsia" w:cstheme="majorEastAsia"/>
          <w:color w:val="auto"/>
          <w:sz w:val="28"/>
          <w:szCs w:val="28"/>
          <w:lang w:val="en-US" w:eastAsia="zh-CN"/>
        </w:rPr>
        <w:t>07</w:t>
      </w:r>
      <w:r>
        <w:rPr>
          <w:rFonts w:hint="eastAsia" w:asciiTheme="majorEastAsia" w:hAnsiTheme="majorEastAsia" w:eastAsiaTheme="majorEastAsia" w:cstheme="majorEastAsia"/>
          <w:color w:val="auto"/>
          <w:sz w:val="28"/>
          <w:szCs w:val="28"/>
        </w:rPr>
        <w:t>年，</w:t>
      </w:r>
      <w:r>
        <w:rPr>
          <w:rFonts w:hint="eastAsia" w:asciiTheme="majorEastAsia" w:hAnsiTheme="majorEastAsia" w:eastAsiaTheme="majorEastAsia" w:cstheme="majorEastAsia"/>
          <w:color w:val="auto"/>
          <w:sz w:val="28"/>
          <w:szCs w:val="28"/>
          <w:lang w:val="en-US" w:eastAsia="zh-CN"/>
        </w:rPr>
        <w:t>已使用</w:t>
      </w:r>
      <w:r>
        <w:rPr>
          <w:rFonts w:hint="eastAsia" w:asciiTheme="majorEastAsia" w:hAnsiTheme="majorEastAsia" w:eastAsiaTheme="majorEastAsia" w:cstheme="majorEastAsia"/>
          <w:color w:val="auto"/>
          <w:sz w:val="28"/>
          <w:szCs w:val="28"/>
        </w:rPr>
        <w:t>年限约为</w:t>
      </w:r>
      <w:r>
        <w:rPr>
          <w:rFonts w:hint="eastAsia" w:asciiTheme="majorEastAsia" w:hAnsiTheme="majorEastAsia" w:eastAsiaTheme="majorEastAsia" w:cstheme="majorEastAsia"/>
          <w:color w:val="auto"/>
          <w:sz w:val="28"/>
          <w:szCs w:val="28"/>
          <w:lang w:val="en-US" w:eastAsia="zh-CN"/>
        </w:rPr>
        <w:t>15</w:t>
      </w:r>
      <w:r>
        <w:rPr>
          <w:rFonts w:hint="eastAsia" w:asciiTheme="majorEastAsia" w:hAnsiTheme="majorEastAsia" w:eastAsiaTheme="majorEastAsia" w:cstheme="majorEastAsia"/>
          <w:color w:val="auto"/>
          <w:sz w:val="28"/>
          <w:szCs w:val="28"/>
        </w:rPr>
        <w:t>年，实际剩余使用年限约为</w:t>
      </w:r>
      <w:r>
        <w:rPr>
          <w:rFonts w:hint="eastAsia" w:asciiTheme="majorEastAsia" w:hAnsiTheme="majorEastAsia" w:eastAsiaTheme="majorEastAsia" w:cstheme="majorEastAsia"/>
          <w:color w:val="auto"/>
          <w:sz w:val="28"/>
          <w:szCs w:val="28"/>
          <w:lang w:val="en-US" w:eastAsia="zh-CN"/>
        </w:rPr>
        <w:t>35</w:t>
      </w:r>
      <w:r>
        <w:rPr>
          <w:rFonts w:hint="eastAsia" w:asciiTheme="majorEastAsia" w:hAnsiTheme="majorEastAsia" w:eastAsiaTheme="majorEastAsia" w:cstheme="majorEastAsia"/>
          <w:color w:val="auto"/>
          <w:sz w:val="28"/>
          <w:szCs w:val="28"/>
        </w:rPr>
        <w:t>年，土地使用权类型为</w:t>
      </w:r>
      <w:r>
        <w:rPr>
          <w:rFonts w:hint="eastAsia" w:asciiTheme="majorEastAsia" w:hAnsiTheme="majorEastAsia" w:eastAsiaTheme="majorEastAsia" w:cstheme="majorEastAsia"/>
          <w:color w:val="auto"/>
          <w:sz w:val="28"/>
          <w:szCs w:val="28"/>
          <w:lang w:val="en-US" w:eastAsia="zh-CN"/>
        </w:rPr>
        <w:t>出让</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使用权面积为11.34㎡，土地使用年限终止日期为2077年04月10日，截止价值时点</w:t>
      </w:r>
      <w:r>
        <w:rPr>
          <w:rFonts w:hint="eastAsia" w:asciiTheme="majorEastAsia" w:hAnsiTheme="majorEastAsia" w:eastAsiaTheme="majorEastAsia" w:cstheme="majorEastAsia"/>
          <w:color w:val="auto"/>
          <w:sz w:val="28"/>
          <w:szCs w:val="28"/>
        </w:rPr>
        <w:t>202</w:t>
      </w:r>
      <w:r>
        <w:rPr>
          <w:rFonts w:hint="eastAsia" w:asciiTheme="majorEastAsia" w:hAnsiTheme="majorEastAsia" w:eastAsiaTheme="majorEastAsia" w:cstheme="majorEastAsia"/>
          <w:color w:val="auto"/>
          <w:sz w:val="28"/>
          <w:szCs w:val="28"/>
          <w:lang w:val="en-US" w:eastAsia="zh-CN"/>
        </w:rPr>
        <w:t>2</w:t>
      </w:r>
      <w:r>
        <w:rPr>
          <w:rFonts w:hint="eastAsia" w:asciiTheme="majorEastAsia" w:hAnsiTheme="majorEastAsia" w:eastAsiaTheme="majorEastAsia" w:cstheme="majorEastAsia"/>
          <w:color w:val="auto"/>
          <w:sz w:val="28"/>
          <w:szCs w:val="28"/>
        </w:rPr>
        <w:t>年</w:t>
      </w:r>
      <w:r>
        <w:rPr>
          <w:rFonts w:hint="eastAsia" w:asciiTheme="majorEastAsia" w:hAnsiTheme="majorEastAsia" w:eastAsiaTheme="majorEastAsia" w:cstheme="majorEastAsia"/>
          <w:color w:val="auto"/>
          <w:sz w:val="28"/>
          <w:szCs w:val="28"/>
          <w:lang w:val="en-US" w:eastAsia="zh-CN"/>
        </w:rPr>
        <w:t>07</w:t>
      </w:r>
      <w:r>
        <w:rPr>
          <w:rFonts w:hint="eastAsia" w:asciiTheme="majorEastAsia" w:hAnsiTheme="majorEastAsia" w:eastAsiaTheme="majorEastAsia" w:cstheme="majorEastAsia"/>
          <w:color w:val="auto"/>
          <w:sz w:val="28"/>
          <w:szCs w:val="28"/>
        </w:rPr>
        <w:t>月</w:t>
      </w:r>
      <w:r>
        <w:rPr>
          <w:rFonts w:hint="eastAsia" w:asciiTheme="majorEastAsia" w:hAnsiTheme="majorEastAsia" w:eastAsiaTheme="majorEastAsia" w:cstheme="majorEastAsia"/>
          <w:color w:val="auto"/>
          <w:sz w:val="28"/>
          <w:szCs w:val="28"/>
          <w:lang w:val="en-US" w:eastAsia="zh-CN"/>
        </w:rPr>
        <w:t>20</w:t>
      </w:r>
      <w:r>
        <w:rPr>
          <w:rFonts w:hint="eastAsia" w:asciiTheme="majorEastAsia" w:hAnsiTheme="majorEastAsia" w:eastAsiaTheme="majorEastAsia" w:cstheme="majorEastAsia"/>
          <w:color w:val="auto"/>
          <w:sz w:val="28"/>
          <w:szCs w:val="28"/>
        </w:rPr>
        <w:t>日</w:t>
      </w:r>
      <w:r>
        <w:rPr>
          <w:rFonts w:hint="eastAsia" w:asciiTheme="majorEastAsia" w:hAnsiTheme="majorEastAsia" w:eastAsiaTheme="majorEastAsia" w:cstheme="majorEastAsia"/>
          <w:color w:val="auto"/>
          <w:sz w:val="28"/>
          <w:szCs w:val="28"/>
          <w:lang w:val="en-US" w:eastAsia="zh-CN"/>
        </w:rPr>
        <w:t>，</w:t>
      </w:r>
      <w:r>
        <w:rPr>
          <w:rFonts w:hint="eastAsia" w:asciiTheme="majorEastAsia" w:hAnsiTheme="majorEastAsia" w:eastAsiaTheme="majorEastAsia" w:cstheme="majorEastAsia"/>
          <w:color w:val="auto"/>
          <w:sz w:val="28"/>
          <w:szCs w:val="28"/>
        </w:rPr>
        <w:t>土地</w:t>
      </w:r>
      <w:r>
        <w:rPr>
          <w:rFonts w:hint="eastAsia" w:asciiTheme="majorEastAsia" w:hAnsiTheme="majorEastAsia" w:eastAsiaTheme="majorEastAsia" w:cstheme="majorEastAsia"/>
          <w:color w:val="auto"/>
          <w:sz w:val="28"/>
          <w:szCs w:val="28"/>
          <w:lang w:val="en-US" w:eastAsia="zh-CN"/>
        </w:rPr>
        <w:t>剩余使用</w:t>
      </w:r>
      <w:r>
        <w:rPr>
          <w:rFonts w:hint="eastAsia" w:asciiTheme="majorEastAsia" w:hAnsiTheme="majorEastAsia" w:eastAsiaTheme="majorEastAsia" w:cstheme="majorEastAsia"/>
          <w:color w:val="auto"/>
          <w:sz w:val="28"/>
          <w:szCs w:val="28"/>
        </w:rPr>
        <w:t>年限约为</w:t>
      </w:r>
      <w:r>
        <w:rPr>
          <w:rFonts w:hint="eastAsia" w:asciiTheme="majorEastAsia" w:hAnsiTheme="majorEastAsia" w:eastAsiaTheme="majorEastAsia" w:cstheme="majorEastAsia"/>
          <w:color w:val="auto"/>
          <w:sz w:val="28"/>
          <w:szCs w:val="28"/>
          <w:lang w:val="en-US" w:eastAsia="zh-CN"/>
        </w:rPr>
        <w:t>54.72年，建筑物经过适当维修可以延长其经济寿命，故本次评估评估对象收益年限即n按土地使用权剩余使用年限取值，即54.72年</w:t>
      </w:r>
      <w:r>
        <w:rPr>
          <w:rFonts w:hint="eastAsia" w:asciiTheme="majorEastAsia" w:hAnsiTheme="majorEastAsia" w:eastAsiaTheme="majorEastAsia" w:cstheme="majorEastAsia"/>
          <w:color w:val="auto"/>
          <w:sz w:val="28"/>
          <w:szCs w:val="28"/>
        </w:rPr>
        <w:t>。</w:t>
      </w:r>
    </w:p>
    <w:p>
      <w:pPr>
        <w:adjustRightInd w:val="0"/>
        <w:snapToGrid w:val="0"/>
        <w:spacing w:line="580" w:lineRule="exact"/>
        <w:ind w:firstLine="560" w:firstLineChars="200"/>
        <w:rPr>
          <w:rFonts w:hint="eastAsia" w:asciiTheme="majorEastAsia" w:hAnsiTheme="majorEastAsia" w:eastAsiaTheme="majorEastAsia" w:cstheme="majorEastAsia"/>
          <w:bCs/>
          <w:color w:val="auto"/>
          <w:sz w:val="28"/>
          <w:szCs w:val="28"/>
        </w:rPr>
      </w:pPr>
      <w:r>
        <w:rPr>
          <w:rFonts w:hint="eastAsia" w:asciiTheme="majorEastAsia" w:hAnsiTheme="majorEastAsia" w:eastAsiaTheme="majorEastAsia" w:cstheme="majorEastAsia"/>
          <w:bCs/>
          <w:color w:val="auto"/>
          <w:sz w:val="28"/>
          <w:szCs w:val="28"/>
        </w:rPr>
        <w:t>10</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bCs/>
          <w:color w:val="auto"/>
          <w:sz w:val="28"/>
          <w:szCs w:val="28"/>
        </w:rPr>
        <w:t>计算房地产总价值</w:t>
      </w:r>
    </w:p>
    <w:p>
      <w:pPr>
        <w:spacing w:line="580" w:lineRule="exact"/>
        <w:ind w:firstLine="560" w:firstLineChars="200"/>
        <w:rPr>
          <w:rFonts w:hint="eastAsia" w:asciiTheme="majorEastAsia" w:hAnsiTheme="majorEastAsia" w:eastAsiaTheme="majorEastAsia" w:cstheme="majorEastAsia"/>
          <w:color w:val="auto"/>
          <w:sz w:val="28"/>
          <w:szCs w:val="28"/>
        </w:rPr>
      </w:pPr>
      <w:bookmarkStart w:id="18" w:name="_Toc469046348"/>
      <w:bookmarkStart w:id="19" w:name="_Toc469046454"/>
      <w:bookmarkStart w:id="20" w:name="_Toc471822822"/>
      <w:bookmarkStart w:id="21" w:name="_Toc436210916"/>
      <w:r>
        <w:rPr>
          <w:rFonts w:hint="eastAsia" w:asciiTheme="majorEastAsia" w:hAnsiTheme="majorEastAsia" w:eastAsiaTheme="majorEastAsia" w:cstheme="majorEastAsia"/>
          <w:color w:val="auto"/>
          <w:sz w:val="28"/>
          <w:szCs w:val="28"/>
        </w:rPr>
        <w:t xml:space="preserve"> V=a/(r-s)×[1-(1+s)</w:t>
      </w:r>
      <w:r>
        <w:rPr>
          <w:rFonts w:hint="eastAsia" w:asciiTheme="majorEastAsia" w:hAnsiTheme="majorEastAsia" w:eastAsiaTheme="majorEastAsia" w:cstheme="majorEastAsia"/>
          <w:color w:val="auto"/>
          <w:sz w:val="28"/>
          <w:szCs w:val="28"/>
          <w:vertAlign w:val="superscript"/>
        </w:rPr>
        <w:t>n</w:t>
      </w:r>
      <w:r>
        <w:rPr>
          <w:rFonts w:hint="eastAsia" w:asciiTheme="majorEastAsia" w:hAnsiTheme="majorEastAsia" w:eastAsiaTheme="majorEastAsia" w:cstheme="majorEastAsia"/>
          <w:color w:val="auto"/>
          <w:sz w:val="28"/>
          <w:szCs w:val="28"/>
        </w:rPr>
        <w:t>/(1+r)</w:t>
      </w:r>
      <w:r>
        <w:rPr>
          <w:rFonts w:hint="eastAsia" w:asciiTheme="majorEastAsia" w:hAnsiTheme="majorEastAsia" w:eastAsiaTheme="majorEastAsia" w:cstheme="majorEastAsia"/>
          <w:color w:val="auto"/>
          <w:sz w:val="28"/>
          <w:szCs w:val="28"/>
          <w:vertAlign w:val="superscript"/>
        </w:rPr>
        <w:t>n</w:t>
      </w:r>
      <w:r>
        <w:rPr>
          <w:rFonts w:hint="eastAsia" w:asciiTheme="majorEastAsia" w:hAnsiTheme="majorEastAsia" w:eastAsiaTheme="majorEastAsia" w:cstheme="majorEastAsia"/>
          <w:color w:val="auto"/>
          <w:sz w:val="28"/>
          <w:szCs w:val="28"/>
        </w:rPr>
        <w:t xml:space="preserve">] </w:t>
      </w:r>
    </w:p>
    <w:p>
      <w:pPr>
        <w:pStyle w:val="9"/>
        <w:spacing w:line="580" w:lineRule="exact"/>
        <w:ind w:firstLine="840" w:firstLineChars="3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val="en-US" w:eastAsia="zh-CN"/>
        </w:rPr>
        <w:t>=4938.82/(5.5%-2.5%)</w:t>
      </w:r>
      <w:r>
        <w:rPr>
          <w:rFonts w:hint="eastAsia" w:asciiTheme="majorEastAsia" w:hAnsiTheme="majorEastAsia" w:eastAsiaTheme="majorEastAsia" w:cstheme="majorEastAsia"/>
          <w:color w:val="auto"/>
          <w:sz w:val="28"/>
          <w:szCs w:val="28"/>
        </w:rPr>
        <w:t>×[1</w:t>
      </w:r>
      <w:r>
        <w:rPr>
          <w:rFonts w:hint="eastAsia" w:asciiTheme="majorEastAsia" w:hAnsiTheme="majorEastAsia" w:eastAsiaTheme="majorEastAsia" w:cstheme="majorEastAsia"/>
          <w:color w:val="auto"/>
          <w:sz w:val="28"/>
          <w:szCs w:val="28"/>
          <w:lang w:val="en-US" w:eastAsia="zh-CN"/>
        </w:rPr>
        <w:t>-(1+2.5%)</w:t>
      </w:r>
      <w:r>
        <w:rPr>
          <w:rFonts w:hint="eastAsia" w:asciiTheme="majorEastAsia" w:hAnsiTheme="majorEastAsia" w:eastAsiaTheme="majorEastAsia" w:cstheme="majorEastAsia"/>
          <w:color w:val="auto"/>
          <w:sz w:val="28"/>
          <w:szCs w:val="28"/>
          <w:vertAlign w:val="superscript"/>
          <w:lang w:val="en-US" w:eastAsia="zh-CN"/>
        </w:rPr>
        <w:t>54.72</w:t>
      </w:r>
      <w:r>
        <w:rPr>
          <w:rFonts w:hint="eastAsia" w:asciiTheme="majorEastAsia" w:hAnsiTheme="majorEastAsia" w:eastAsiaTheme="majorEastAsia" w:cstheme="majorEastAsia"/>
          <w:color w:val="auto"/>
          <w:sz w:val="28"/>
          <w:szCs w:val="28"/>
          <w:lang w:val="en-US" w:eastAsia="zh-CN"/>
        </w:rPr>
        <w:t>/(1+5.5%)</w:t>
      </w:r>
      <w:r>
        <w:rPr>
          <w:rFonts w:hint="eastAsia" w:asciiTheme="majorEastAsia" w:hAnsiTheme="majorEastAsia" w:eastAsiaTheme="majorEastAsia" w:cstheme="majorEastAsia"/>
          <w:color w:val="auto"/>
          <w:sz w:val="28"/>
          <w:szCs w:val="28"/>
          <w:vertAlign w:val="superscript"/>
          <w:lang w:val="en-US" w:eastAsia="zh-CN"/>
        </w:rPr>
        <w:t>54.72</w:t>
      </w:r>
      <w:r>
        <w:rPr>
          <w:rFonts w:hint="eastAsia" w:asciiTheme="majorEastAsia" w:hAnsiTheme="majorEastAsia" w:eastAsiaTheme="majorEastAsia" w:cstheme="majorEastAsia"/>
          <w:color w:val="auto"/>
          <w:sz w:val="28"/>
          <w:szCs w:val="28"/>
        </w:rPr>
        <w:t>]</w:t>
      </w:r>
    </w:p>
    <w:p>
      <w:pPr>
        <w:pStyle w:val="9"/>
        <w:spacing w:line="580" w:lineRule="exact"/>
        <w:ind w:firstLine="840" w:firstLineChars="300"/>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=130670（元）</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val="en-US" w:eastAsia="zh-CN"/>
        </w:rPr>
        <w:t>评估</w:t>
      </w:r>
      <w:r>
        <w:rPr>
          <w:rFonts w:hint="eastAsia" w:asciiTheme="majorEastAsia" w:hAnsiTheme="majorEastAsia" w:eastAsiaTheme="majorEastAsia" w:cstheme="majorEastAsia"/>
          <w:color w:val="auto"/>
          <w:sz w:val="28"/>
          <w:szCs w:val="28"/>
        </w:rPr>
        <w:t>单价=房地产价值÷建筑面积</w:t>
      </w:r>
    </w:p>
    <w:p>
      <w:pPr>
        <w:pStyle w:val="9"/>
        <w:spacing w:line="580" w:lineRule="exact"/>
        <w:ind w:firstLine="640"/>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rPr>
        <w:t xml:space="preserve"> </w:t>
      </w:r>
      <w:r>
        <w:rPr>
          <w:rFonts w:hint="eastAsia" w:asciiTheme="majorEastAsia" w:hAnsiTheme="majorEastAsia" w:eastAsiaTheme="majorEastAsia" w:cstheme="majorEastAsia"/>
          <w:color w:val="auto"/>
          <w:sz w:val="28"/>
          <w:szCs w:val="28"/>
          <w:lang w:val="en-US" w:eastAsia="zh-CN"/>
        </w:rPr>
        <w:t xml:space="preserve">       </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130670</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eastAsia="zh-CN"/>
        </w:rPr>
        <w:t>61.92</w:t>
      </w:r>
    </w:p>
    <w:p>
      <w:pPr>
        <w:spacing w:line="580" w:lineRule="exact"/>
        <w:ind w:firstLine="512" w:firstLineChars="200"/>
        <w:rPr>
          <w:rFonts w:hint="eastAsia" w:asciiTheme="majorEastAsia" w:hAnsiTheme="majorEastAsia" w:eastAsiaTheme="majorEastAsia" w:cstheme="majorEastAsia"/>
          <w:bCs/>
          <w:color w:val="auto"/>
          <w:spacing w:val="-12"/>
          <w:kern w:val="0"/>
          <w:sz w:val="28"/>
          <w:szCs w:val="28"/>
        </w:rPr>
      </w:pPr>
      <w:r>
        <w:rPr>
          <w:rFonts w:hint="eastAsia" w:asciiTheme="majorEastAsia" w:hAnsiTheme="majorEastAsia" w:eastAsiaTheme="majorEastAsia" w:cstheme="majorEastAsia"/>
          <w:bCs/>
          <w:color w:val="auto"/>
          <w:spacing w:val="-12"/>
          <w:kern w:val="0"/>
          <w:sz w:val="28"/>
          <w:szCs w:val="28"/>
        </w:rPr>
        <w:t xml:space="preserve">          =</w:t>
      </w:r>
      <w:r>
        <w:rPr>
          <w:rFonts w:hint="eastAsia" w:asciiTheme="majorEastAsia" w:hAnsiTheme="majorEastAsia" w:eastAsiaTheme="majorEastAsia" w:cstheme="majorEastAsia"/>
          <w:bCs/>
          <w:color w:val="auto"/>
          <w:spacing w:val="-12"/>
          <w:kern w:val="0"/>
          <w:sz w:val="28"/>
          <w:szCs w:val="28"/>
          <w:lang w:val="en-US" w:eastAsia="zh-CN"/>
        </w:rPr>
        <w:t>2110</w:t>
      </w:r>
      <w:r>
        <w:rPr>
          <w:rFonts w:hint="eastAsia" w:asciiTheme="majorEastAsia" w:hAnsiTheme="majorEastAsia" w:eastAsiaTheme="majorEastAsia" w:cstheme="majorEastAsia"/>
          <w:bCs/>
          <w:color w:val="auto"/>
          <w:spacing w:val="-12"/>
          <w:kern w:val="0"/>
          <w:sz w:val="28"/>
          <w:szCs w:val="28"/>
        </w:rPr>
        <w:t>元/平方米</w:t>
      </w:r>
    </w:p>
    <w:bookmarkEnd w:id="18"/>
    <w:bookmarkEnd w:id="19"/>
    <w:bookmarkEnd w:id="20"/>
    <w:bookmarkEnd w:id="21"/>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lang w:val="en-US" w:eastAsia="zh-CN"/>
        </w:rPr>
        <w:t>三</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评估单价的确定</w:t>
      </w:r>
    </w:p>
    <w:p>
      <w:pPr>
        <w:pStyle w:val="9"/>
        <w:spacing w:line="580" w:lineRule="exact"/>
        <w:ind w:firstLine="640"/>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本评估报告采用了市场法和收益法两种方法对评估对象进行了测算，运用两种方法分别从不同的角度测算评估对象的现时市场价值。收益法从预期收益资本化的角度进行测算，不能较好的反应评估对象的价值，因此本次评估单价比较法的评估单价为正常市场价值，采用了市场法的评估结果。则评估对象房地产正常市场价值为：</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评估单价=</w:t>
      </w:r>
      <w:r>
        <w:rPr>
          <w:rFonts w:hint="eastAsia" w:asciiTheme="majorEastAsia" w:hAnsiTheme="majorEastAsia" w:eastAsiaTheme="majorEastAsia" w:cstheme="majorEastAsia"/>
          <w:color w:val="auto"/>
          <w:sz w:val="28"/>
          <w:szCs w:val="28"/>
          <w:lang w:val="en-US" w:eastAsia="zh-CN"/>
        </w:rPr>
        <w:t>2607</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10</w:t>
      </w:r>
      <w:r>
        <w:rPr>
          <w:rFonts w:hint="eastAsia" w:asciiTheme="majorEastAsia" w:hAnsiTheme="majorEastAsia" w:eastAsiaTheme="majorEastAsia" w:cstheme="majorEastAsia"/>
          <w:color w:val="auto"/>
          <w:sz w:val="28"/>
          <w:szCs w:val="28"/>
        </w:rPr>
        <w:t>0%+</w:t>
      </w:r>
      <w:r>
        <w:rPr>
          <w:rFonts w:hint="eastAsia" w:asciiTheme="majorEastAsia" w:hAnsiTheme="majorEastAsia" w:eastAsiaTheme="majorEastAsia" w:cstheme="majorEastAsia"/>
          <w:color w:val="auto"/>
          <w:sz w:val="28"/>
          <w:szCs w:val="28"/>
          <w:lang w:val="en-US" w:eastAsia="zh-CN"/>
        </w:rPr>
        <w:t>2110</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0</w:t>
      </w:r>
      <w:r>
        <w:rPr>
          <w:rFonts w:hint="eastAsia" w:asciiTheme="majorEastAsia" w:hAnsiTheme="majorEastAsia" w:eastAsiaTheme="majorEastAsia" w:cstheme="majorEastAsia"/>
          <w:color w:val="auto"/>
          <w:sz w:val="28"/>
          <w:szCs w:val="28"/>
        </w:rPr>
        <w:t>%</w:t>
      </w:r>
    </w:p>
    <w:p>
      <w:pPr>
        <w:pStyle w:val="9"/>
        <w:spacing w:line="580" w:lineRule="exact"/>
        <w:ind w:firstLine="640"/>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rPr>
        <w:t>    =</w:t>
      </w:r>
      <w:r>
        <w:rPr>
          <w:rFonts w:hint="eastAsia" w:asciiTheme="majorEastAsia" w:hAnsiTheme="majorEastAsia" w:eastAsiaTheme="majorEastAsia" w:cstheme="majorEastAsia"/>
          <w:color w:val="auto"/>
          <w:sz w:val="28"/>
          <w:szCs w:val="28"/>
          <w:lang w:val="en-US" w:eastAsia="zh-CN"/>
        </w:rPr>
        <w:t>2607</w:t>
      </w:r>
      <w:r>
        <w:rPr>
          <w:rFonts w:hint="eastAsia" w:asciiTheme="majorEastAsia" w:hAnsiTheme="majorEastAsia" w:eastAsiaTheme="majorEastAsia" w:cstheme="majorEastAsia"/>
          <w:color w:val="auto"/>
          <w:sz w:val="28"/>
          <w:szCs w:val="28"/>
        </w:rPr>
        <w:t>元/</w:t>
      </w:r>
      <w:r>
        <w:rPr>
          <w:rFonts w:hint="eastAsia" w:asciiTheme="majorEastAsia" w:hAnsiTheme="majorEastAsia" w:eastAsiaTheme="majorEastAsia" w:cstheme="majorEastAsia"/>
          <w:color w:val="auto"/>
          <w:sz w:val="28"/>
          <w:szCs w:val="28"/>
          <w:lang w:val="en-US" w:eastAsia="zh-CN"/>
        </w:rPr>
        <w:t>㎡</w:t>
      </w:r>
    </w:p>
    <w:p>
      <w:pPr>
        <w:pStyle w:val="9"/>
        <w:spacing w:line="580" w:lineRule="exact"/>
        <w:ind w:firstLine="640"/>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评估价值=</w:t>
      </w:r>
      <w:r>
        <w:rPr>
          <w:rFonts w:hint="eastAsia" w:asciiTheme="majorEastAsia" w:hAnsiTheme="majorEastAsia" w:eastAsiaTheme="majorEastAsia" w:cstheme="majorEastAsia"/>
          <w:color w:val="auto"/>
          <w:sz w:val="28"/>
          <w:szCs w:val="28"/>
        </w:rPr>
        <w:t>评估单价×</w:t>
      </w:r>
      <w:r>
        <w:rPr>
          <w:rFonts w:hint="eastAsia" w:asciiTheme="majorEastAsia" w:hAnsiTheme="majorEastAsia" w:eastAsiaTheme="majorEastAsia" w:cstheme="majorEastAsia"/>
          <w:color w:val="auto"/>
          <w:sz w:val="28"/>
          <w:szCs w:val="28"/>
          <w:lang w:val="en-US" w:eastAsia="zh-CN"/>
        </w:rPr>
        <w:t>建筑面积=2607</w:t>
      </w:r>
      <w:r>
        <w:rPr>
          <w:rFonts w:hint="eastAsia" w:asciiTheme="majorEastAsia" w:hAnsiTheme="majorEastAsia" w:eastAsiaTheme="majorEastAsia" w:cstheme="majorEastAsia"/>
          <w:color w:val="auto"/>
          <w:sz w:val="28"/>
          <w:szCs w:val="28"/>
        </w:rPr>
        <w:t>元/</w:t>
      </w:r>
      <w:r>
        <w:rPr>
          <w:rFonts w:hint="eastAsia" w:asciiTheme="majorEastAsia" w:hAnsiTheme="majorEastAsia" w:eastAsiaTheme="majorEastAsia" w:cstheme="majorEastAsia"/>
          <w:color w:val="auto"/>
          <w:sz w:val="28"/>
          <w:szCs w:val="28"/>
          <w:lang w:val="en-US" w:eastAsia="zh-CN"/>
        </w:rPr>
        <w:t>㎡</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61.92㎡</w:t>
      </w:r>
    </w:p>
    <w:p>
      <w:pPr>
        <w:pStyle w:val="9"/>
        <w:spacing w:line="580" w:lineRule="exact"/>
        <w:ind w:firstLine="640"/>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 xml:space="preserve">        =16.14（万元）</w:t>
      </w:r>
    </w:p>
    <w:p>
      <w:pPr>
        <w:pStyle w:val="9"/>
        <w:spacing w:line="580" w:lineRule="exact"/>
        <w:ind w:firstLine="640"/>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B、1-1-1B号房屋的评估过程</w:t>
      </w:r>
    </w:p>
    <w:p>
      <w:pPr>
        <w:spacing w:line="580" w:lineRule="exact"/>
        <w:ind w:firstLine="548" w:firstLineChars="196"/>
        <w:outlineLvl w:val="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收益法评估技术说明</w:t>
      </w:r>
    </w:p>
    <w:p>
      <w:pPr>
        <w:spacing w:line="580" w:lineRule="exact"/>
        <w:ind w:firstLine="548" w:firstLineChars="196"/>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评估人员通过对该区域类似物业的租金水平、空置率、租赁税费标准进行调查后，进行分析、推断，从而预测评估对象未来的正常净收益，选择适当的报酬率或资本化率、收益乘数，通过特有的公式求取评估对象在剩余收益年期内的市场价值。</w:t>
      </w:r>
    </w:p>
    <w:p>
      <w:pPr>
        <w:spacing w:line="580" w:lineRule="exact"/>
        <w:ind w:firstLine="548" w:firstLineChars="196"/>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计算公式：</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V=a/(r-s)×[1-(1+s)</w:t>
      </w:r>
      <w:r>
        <w:rPr>
          <w:rFonts w:hint="eastAsia" w:asciiTheme="majorEastAsia" w:hAnsiTheme="majorEastAsia" w:eastAsiaTheme="majorEastAsia" w:cstheme="majorEastAsia"/>
          <w:color w:val="auto"/>
          <w:sz w:val="28"/>
          <w:szCs w:val="28"/>
          <w:vertAlign w:val="superscript"/>
        </w:rPr>
        <w:t>n</w:t>
      </w:r>
      <w:r>
        <w:rPr>
          <w:rFonts w:hint="eastAsia" w:asciiTheme="majorEastAsia" w:hAnsiTheme="majorEastAsia" w:eastAsiaTheme="majorEastAsia" w:cstheme="majorEastAsia"/>
          <w:color w:val="auto"/>
          <w:sz w:val="28"/>
          <w:szCs w:val="28"/>
        </w:rPr>
        <w:t>/(1+r)</w:t>
      </w:r>
      <w:r>
        <w:rPr>
          <w:rFonts w:hint="eastAsia" w:asciiTheme="majorEastAsia" w:hAnsiTheme="majorEastAsia" w:eastAsiaTheme="majorEastAsia" w:cstheme="majorEastAsia"/>
          <w:color w:val="auto"/>
          <w:sz w:val="28"/>
          <w:szCs w:val="28"/>
          <w:vertAlign w:val="superscript"/>
        </w:rPr>
        <w:t>n</w:t>
      </w:r>
      <w:r>
        <w:rPr>
          <w:rFonts w:hint="eastAsia" w:asciiTheme="majorEastAsia" w:hAnsiTheme="majorEastAsia" w:eastAsiaTheme="majorEastAsia" w:cstheme="majorEastAsia"/>
          <w:color w:val="auto"/>
          <w:sz w:val="28"/>
          <w:szCs w:val="28"/>
        </w:rPr>
        <w:t xml:space="preserve">] </w:t>
      </w:r>
    </w:p>
    <w:p>
      <w:pPr>
        <w:spacing w:line="580" w:lineRule="exact"/>
        <w:ind w:firstLine="828" w:firstLineChars="296"/>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式中： V－房地产市场现值；</w:t>
      </w:r>
    </w:p>
    <w:p>
      <w:pPr>
        <w:spacing w:line="580" w:lineRule="exact"/>
        <w:ind w:firstLine="548" w:firstLineChars="196"/>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a－房地产年纯收益；</w:t>
      </w:r>
    </w:p>
    <w:p>
      <w:pPr>
        <w:spacing w:line="580" w:lineRule="exact"/>
        <w:ind w:firstLine="548" w:firstLineChars="196"/>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r－报酬率；</w:t>
      </w:r>
    </w:p>
    <w:p>
      <w:pPr>
        <w:spacing w:line="580" w:lineRule="exact"/>
        <w:ind w:firstLine="548" w:firstLineChars="196"/>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s－房地产纯收益年增长率；</w:t>
      </w:r>
    </w:p>
    <w:p>
      <w:pPr>
        <w:spacing w:line="580" w:lineRule="exact"/>
        <w:ind w:firstLine="548" w:firstLineChars="196"/>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n－收益年限。</w:t>
      </w:r>
    </w:p>
    <w:p>
      <w:pPr>
        <w:widowControl/>
        <w:adjustRightInd w:val="0"/>
        <w:snapToGrid w:val="0"/>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1、市场租金水平调查及客观月租金的确定</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以下所表达的租金内涵皆为含装饰装修不含家具家电及可移动物品的单位建筑面积月租金，物业管理费、水费、电费等费用由承租人承担，房屋维修费、保险费由出租人承担，税费各自承担。</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经市场调查评估对象所在区域类似住宅用房月租金集中在</w:t>
      </w:r>
      <w:r>
        <w:rPr>
          <w:rFonts w:hint="eastAsia" w:asciiTheme="majorEastAsia" w:hAnsiTheme="majorEastAsia" w:eastAsiaTheme="majorEastAsia" w:cstheme="majorEastAsia"/>
          <w:color w:val="auto"/>
          <w:sz w:val="28"/>
          <w:szCs w:val="28"/>
          <w:lang w:val="en-US" w:eastAsia="zh-CN"/>
        </w:rPr>
        <w:t>5</w:t>
      </w:r>
      <w:r>
        <w:rPr>
          <w:rFonts w:hint="eastAsia" w:asciiTheme="majorEastAsia" w:hAnsiTheme="majorEastAsia" w:eastAsiaTheme="majorEastAsia" w:cstheme="majorEastAsia"/>
          <w:color w:val="auto"/>
          <w:sz w:val="28"/>
          <w:szCs w:val="28"/>
        </w:rPr>
        <w:t>至</w:t>
      </w:r>
      <w:r>
        <w:rPr>
          <w:rFonts w:hint="eastAsia" w:asciiTheme="majorEastAsia" w:hAnsiTheme="majorEastAsia" w:eastAsiaTheme="majorEastAsia" w:cstheme="majorEastAsia"/>
          <w:color w:val="auto"/>
          <w:sz w:val="28"/>
          <w:szCs w:val="28"/>
          <w:lang w:val="en-US" w:eastAsia="zh-CN"/>
        </w:rPr>
        <w:t>15</w:t>
      </w:r>
      <w:r>
        <w:rPr>
          <w:rFonts w:hint="eastAsia" w:asciiTheme="majorEastAsia" w:hAnsiTheme="majorEastAsia" w:eastAsiaTheme="majorEastAsia" w:cstheme="majorEastAsia"/>
          <w:color w:val="auto"/>
          <w:sz w:val="28"/>
          <w:szCs w:val="28"/>
        </w:rPr>
        <w:t>元/㎡之间、空置率约在5%至10%之间。</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本次评估评估对象所在区域住宅用房租赁较为活跃，从中选取了同地段的与评估对象类似规模、楼层相当的三个租赁案例，月租金分别</w:t>
      </w:r>
      <w:r>
        <w:rPr>
          <w:rFonts w:hint="eastAsia" w:asciiTheme="majorEastAsia" w:hAnsiTheme="majorEastAsia" w:eastAsiaTheme="majorEastAsia" w:cstheme="majorEastAsia"/>
          <w:color w:val="auto"/>
          <w:sz w:val="28"/>
          <w:szCs w:val="28"/>
          <w:lang w:val="en-US" w:eastAsia="zh-CN"/>
        </w:rPr>
        <w:t>10</w:t>
      </w:r>
      <w:r>
        <w:rPr>
          <w:rFonts w:hint="eastAsia" w:asciiTheme="majorEastAsia" w:hAnsiTheme="majorEastAsia" w:eastAsiaTheme="majorEastAsia" w:cstheme="majorEastAsia"/>
          <w:color w:val="auto"/>
          <w:sz w:val="28"/>
          <w:szCs w:val="28"/>
        </w:rPr>
        <w:t>元/㎡、1</w:t>
      </w:r>
      <w:r>
        <w:rPr>
          <w:rFonts w:hint="eastAsia" w:asciiTheme="majorEastAsia" w:hAnsiTheme="majorEastAsia" w:eastAsiaTheme="majorEastAsia" w:cstheme="majorEastAsia"/>
          <w:color w:val="auto"/>
          <w:sz w:val="28"/>
          <w:szCs w:val="28"/>
          <w:lang w:val="en-US" w:eastAsia="zh-CN"/>
        </w:rPr>
        <w:t>1</w:t>
      </w:r>
      <w:r>
        <w:rPr>
          <w:rFonts w:hint="eastAsia" w:asciiTheme="majorEastAsia" w:hAnsiTheme="majorEastAsia" w:eastAsiaTheme="majorEastAsia" w:cstheme="majorEastAsia"/>
          <w:color w:val="auto"/>
          <w:sz w:val="28"/>
          <w:szCs w:val="28"/>
        </w:rPr>
        <w:t>元/㎡、1</w:t>
      </w:r>
      <w:r>
        <w:rPr>
          <w:rFonts w:hint="eastAsia" w:asciiTheme="majorEastAsia" w:hAnsiTheme="majorEastAsia" w:eastAsiaTheme="majorEastAsia" w:cstheme="majorEastAsia"/>
          <w:color w:val="auto"/>
          <w:sz w:val="28"/>
          <w:szCs w:val="28"/>
          <w:lang w:val="en-US" w:eastAsia="zh-CN"/>
        </w:rPr>
        <w:t>2</w:t>
      </w:r>
      <w:r>
        <w:rPr>
          <w:rFonts w:hint="eastAsia" w:asciiTheme="majorEastAsia" w:hAnsiTheme="majorEastAsia" w:eastAsiaTheme="majorEastAsia" w:cstheme="majorEastAsia"/>
          <w:color w:val="auto"/>
          <w:sz w:val="28"/>
          <w:szCs w:val="28"/>
        </w:rPr>
        <w:t>元/㎡，由于租赁案例与评估对象类似，租金水平接近，故本次评估求取租赁案例的算术平均值确定为评估对象的客观月租金，则：</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评估对象客观月租金=（</w:t>
      </w:r>
      <w:r>
        <w:rPr>
          <w:rFonts w:hint="eastAsia" w:asciiTheme="majorEastAsia" w:hAnsiTheme="majorEastAsia" w:eastAsiaTheme="majorEastAsia" w:cstheme="majorEastAsia"/>
          <w:color w:val="auto"/>
          <w:sz w:val="28"/>
          <w:szCs w:val="28"/>
          <w:lang w:val="en-US" w:eastAsia="zh-CN"/>
        </w:rPr>
        <w:t>10</w:t>
      </w:r>
      <w:r>
        <w:rPr>
          <w:rFonts w:hint="eastAsia" w:asciiTheme="majorEastAsia" w:hAnsiTheme="majorEastAsia" w:eastAsiaTheme="majorEastAsia" w:cstheme="majorEastAsia"/>
          <w:color w:val="auto"/>
          <w:sz w:val="28"/>
          <w:szCs w:val="28"/>
        </w:rPr>
        <w:t>+1</w:t>
      </w:r>
      <w:r>
        <w:rPr>
          <w:rFonts w:hint="eastAsia" w:asciiTheme="majorEastAsia" w:hAnsiTheme="majorEastAsia" w:eastAsiaTheme="majorEastAsia" w:cstheme="majorEastAsia"/>
          <w:color w:val="auto"/>
          <w:sz w:val="28"/>
          <w:szCs w:val="28"/>
          <w:lang w:val="en-US" w:eastAsia="zh-CN"/>
        </w:rPr>
        <w:t>1</w:t>
      </w:r>
      <w:r>
        <w:rPr>
          <w:rFonts w:hint="eastAsia" w:asciiTheme="majorEastAsia" w:hAnsiTheme="majorEastAsia" w:eastAsiaTheme="majorEastAsia" w:cstheme="majorEastAsia"/>
          <w:color w:val="auto"/>
          <w:sz w:val="28"/>
          <w:szCs w:val="28"/>
        </w:rPr>
        <w:t>+1</w:t>
      </w:r>
      <w:r>
        <w:rPr>
          <w:rFonts w:hint="eastAsia" w:asciiTheme="majorEastAsia" w:hAnsiTheme="majorEastAsia" w:eastAsiaTheme="majorEastAsia" w:cstheme="majorEastAsia"/>
          <w:color w:val="auto"/>
          <w:sz w:val="28"/>
          <w:szCs w:val="28"/>
          <w:lang w:val="en-US" w:eastAsia="zh-CN"/>
        </w:rPr>
        <w:t>2</w:t>
      </w:r>
      <w:r>
        <w:rPr>
          <w:rFonts w:hint="eastAsia" w:asciiTheme="majorEastAsia" w:hAnsiTheme="majorEastAsia" w:eastAsiaTheme="majorEastAsia" w:cstheme="majorEastAsia"/>
          <w:color w:val="auto"/>
          <w:sz w:val="28"/>
          <w:szCs w:val="28"/>
        </w:rPr>
        <w:t>）/3</w:t>
      </w:r>
    </w:p>
    <w:p>
      <w:pPr>
        <w:spacing w:line="580" w:lineRule="exact"/>
        <w:ind w:firstLine="3080" w:firstLineChars="11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11</w:t>
      </w:r>
      <w:r>
        <w:rPr>
          <w:rFonts w:hint="eastAsia" w:asciiTheme="majorEastAsia" w:hAnsiTheme="majorEastAsia" w:eastAsiaTheme="majorEastAsia" w:cstheme="majorEastAsia"/>
          <w:color w:val="auto"/>
          <w:sz w:val="28"/>
          <w:szCs w:val="28"/>
        </w:rPr>
        <w:t>元/㎡（按建筑面积计价）</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2、空置率</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经调查，评估对象所在区域类似住宅用房空置率一般在5%∽10%左右，本次估价根据评估对象在区域位置取</w:t>
      </w:r>
      <w:r>
        <w:rPr>
          <w:rFonts w:hint="eastAsia" w:asciiTheme="majorEastAsia" w:hAnsiTheme="majorEastAsia" w:eastAsiaTheme="majorEastAsia" w:cstheme="majorEastAsia"/>
          <w:color w:val="auto"/>
          <w:sz w:val="28"/>
          <w:szCs w:val="28"/>
          <w:lang w:val="en-US" w:eastAsia="zh-CN"/>
        </w:rPr>
        <w:t>8</w:t>
      </w:r>
      <w:r>
        <w:rPr>
          <w:rFonts w:hint="eastAsia" w:asciiTheme="majorEastAsia" w:hAnsiTheme="majorEastAsia" w:eastAsiaTheme="majorEastAsia" w:cstheme="majorEastAsia"/>
          <w:color w:val="auto"/>
          <w:sz w:val="28"/>
          <w:szCs w:val="28"/>
        </w:rPr>
        <w:t>%的空置率。</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3、租约限制</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评估对象未出租，故不考虑租约对评估对象评估值的影响。</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4、确定年有效毛收入</w:t>
      </w:r>
    </w:p>
    <w:p>
      <w:pPr>
        <w:pStyle w:val="9"/>
        <w:spacing w:line="580" w:lineRule="exact"/>
        <w:ind w:firstLine="478" w:firstLineChars="171"/>
        <w:jc w:val="left"/>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(1)确定有效出租面积</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根据调查了解，类似住宅按</w:t>
      </w:r>
      <w:r>
        <w:rPr>
          <w:rFonts w:hint="eastAsia" w:asciiTheme="majorEastAsia" w:hAnsiTheme="majorEastAsia" w:eastAsiaTheme="majorEastAsia" w:cstheme="majorEastAsia"/>
          <w:color w:val="auto"/>
          <w:sz w:val="28"/>
          <w:szCs w:val="28"/>
          <w:lang w:val="en-US" w:eastAsia="zh-CN"/>
        </w:rPr>
        <w:t>整栋或者按</w:t>
      </w:r>
      <w:r>
        <w:rPr>
          <w:rFonts w:hint="eastAsia" w:asciiTheme="majorEastAsia" w:hAnsiTheme="majorEastAsia" w:eastAsiaTheme="majorEastAsia" w:cstheme="majorEastAsia"/>
          <w:color w:val="auto"/>
          <w:sz w:val="28"/>
          <w:szCs w:val="28"/>
        </w:rPr>
        <w:t>建筑面积每平方米出租，评估对象位于</w:t>
      </w:r>
      <w:r>
        <w:rPr>
          <w:rFonts w:hint="eastAsia" w:asciiTheme="majorEastAsia" w:hAnsiTheme="majorEastAsia" w:eastAsiaTheme="majorEastAsia" w:cstheme="majorEastAsia"/>
          <w:color w:val="auto"/>
          <w:sz w:val="28"/>
          <w:szCs w:val="28"/>
          <w:lang w:eastAsia="zh-CN"/>
        </w:rPr>
        <w:t>陆良县中枢镇南门三社1-1-1</w:t>
      </w:r>
      <w:r>
        <w:rPr>
          <w:rFonts w:hint="eastAsia" w:asciiTheme="majorEastAsia" w:hAnsiTheme="majorEastAsia" w:eastAsiaTheme="majorEastAsia" w:cstheme="majorEastAsia"/>
          <w:color w:val="auto"/>
          <w:sz w:val="28"/>
          <w:szCs w:val="28"/>
          <w:lang w:val="en-US" w:eastAsia="zh-CN"/>
        </w:rPr>
        <w:t>B</w:t>
      </w:r>
      <w:r>
        <w:rPr>
          <w:rFonts w:hint="eastAsia" w:asciiTheme="majorEastAsia" w:hAnsiTheme="majorEastAsia" w:eastAsiaTheme="majorEastAsia" w:cstheme="majorEastAsia"/>
          <w:color w:val="auto"/>
          <w:sz w:val="28"/>
          <w:szCs w:val="28"/>
          <w:lang w:eastAsia="zh-CN"/>
        </w:rPr>
        <w:t>号</w:t>
      </w:r>
      <w:r>
        <w:rPr>
          <w:rFonts w:hint="eastAsia" w:asciiTheme="majorEastAsia" w:hAnsiTheme="majorEastAsia" w:eastAsiaTheme="majorEastAsia" w:cstheme="majorEastAsia"/>
          <w:color w:val="auto"/>
          <w:sz w:val="28"/>
          <w:szCs w:val="28"/>
        </w:rPr>
        <w:t>，房屋为</w:t>
      </w:r>
      <w:r>
        <w:rPr>
          <w:rFonts w:hint="eastAsia" w:asciiTheme="majorEastAsia" w:hAnsiTheme="majorEastAsia" w:eastAsiaTheme="majorEastAsia" w:cstheme="majorEastAsia"/>
          <w:color w:val="auto"/>
          <w:sz w:val="28"/>
          <w:szCs w:val="28"/>
          <w:lang w:val="en-US" w:eastAsia="zh-CN"/>
        </w:rPr>
        <w:t>7层钢混</w:t>
      </w:r>
      <w:r>
        <w:rPr>
          <w:rFonts w:hint="eastAsia" w:asciiTheme="majorEastAsia" w:hAnsiTheme="majorEastAsia" w:eastAsiaTheme="majorEastAsia" w:cstheme="majorEastAsia"/>
          <w:color w:val="auto"/>
          <w:sz w:val="28"/>
          <w:szCs w:val="28"/>
        </w:rPr>
        <w:t>结构</w:t>
      </w:r>
      <w:r>
        <w:rPr>
          <w:rFonts w:hint="eastAsia" w:asciiTheme="majorEastAsia" w:hAnsiTheme="majorEastAsia" w:eastAsiaTheme="majorEastAsia" w:cstheme="majorEastAsia"/>
          <w:color w:val="auto"/>
          <w:sz w:val="28"/>
          <w:szCs w:val="28"/>
          <w:lang w:val="en-US" w:eastAsia="zh-CN"/>
        </w:rPr>
        <w:t>住宅楼</w:t>
      </w:r>
      <w:r>
        <w:rPr>
          <w:rFonts w:hint="eastAsia" w:asciiTheme="majorEastAsia" w:hAnsiTheme="majorEastAsia" w:eastAsiaTheme="majorEastAsia" w:cstheme="majorEastAsia"/>
          <w:color w:val="auto"/>
          <w:sz w:val="28"/>
          <w:szCs w:val="28"/>
        </w:rPr>
        <w:t>，建筑面积为</w:t>
      </w:r>
      <w:r>
        <w:rPr>
          <w:rFonts w:hint="eastAsia" w:asciiTheme="majorEastAsia" w:hAnsiTheme="majorEastAsia" w:eastAsiaTheme="majorEastAsia" w:cstheme="majorEastAsia"/>
          <w:color w:val="auto"/>
          <w:sz w:val="28"/>
          <w:szCs w:val="28"/>
          <w:lang w:val="en-US" w:eastAsia="zh-CN"/>
        </w:rPr>
        <w:t>20.40</w:t>
      </w:r>
      <w:r>
        <w:rPr>
          <w:rFonts w:hint="eastAsia" w:asciiTheme="majorEastAsia" w:hAnsiTheme="majorEastAsia" w:eastAsiaTheme="majorEastAsia" w:cstheme="majorEastAsia"/>
          <w:color w:val="auto"/>
          <w:sz w:val="28"/>
          <w:szCs w:val="28"/>
        </w:rPr>
        <w:t>平方米，有效出租率按100%。</w:t>
      </w:r>
    </w:p>
    <w:p>
      <w:pPr>
        <w:pStyle w:val="9"/>
        <w:spacing w:line="580" w:lineRule="exact"/>
        <w:ind w:firstLine="338" w:firstLineChars="121"/>
        <w:jc w:val="left"/>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（2）年有效毛收入</w:t>
      </w:r>
    </w:p>
    <w:p>
      <w:pPr>
        <w:pStyle w:val="9"/>
        <w:spacing w:line="580" w:lineRule="exact"/>
        <w:ind w:firstLine="618" w:firstLineChars="22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A、年有效毛收入</w:t>
      </w:r>
    </w:p>
    <w:p>
      <w:pPr>
        <w:pStyle w:val="9"/>
        <w:spacing w:line="580" w:lineRule="exact"/>
        <w:ind w:firstLine="618" w:firstLineChars="22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年有效毛收入=客观月租金×有效出租面积×【1-空置率】×12</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w:t>
      </w:r>
      <w:r>
        <w:rPr>
          <w:rFonts w:hint="eastAsia" w:asciiTheme="majorEastAsia" w:hAnsiTheme="majorEastAsia" w:eastAsiaTheme="majorEastAsia" w:cstheme="majorEastAsia"/>
          <w:color w:val="auto"/>
          <w:sz w:val="28"/>
          <w:szCs w:val="28"/>
          <w:lang w:val="en-US" w:eastAsia="zh-CN"/>
        </w:rPr>
        <w:t>11</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20.40</w:t>
      </w:r>
      <w:r>
        <w:rPr>
          <w:rFonts w:hint="eastAsia" w:asciiTheme="majorEastAsia" w:hAnsiTheme="majorEastAsia" w:eastAsiaTheme="majorEastAsia" w:cstheme="majorEastAsia"/>
          <w:color w:val="auto"/>
          <w:sz w:val="28"/>
          <w:szCs w:val="28"/>
        </w:rPr>
        <w:t>×（1-</w:t>
      </w:r>
      <w:r>
        <w:rPr>
          <w:rFonts w:hint="eastAsia" w:asciiTheme="majorEastAsia" w:hAnsiTheme="majorEastAsia" w:eastAsiaTheme="majorEastAsia" w:cstheme="majorEastAsia"/>
          <w:color w:val="auto"/>
          <w:sz w:val="28"/>
          <w:szCs w:val="28"/>
          <w:lang w:val="en-US" w:eastAsia="zh-CN"/>
        </w:rPr>
        <w:t>8</w:t>
      </w:r>
      <w:r>
        <w:rPr>
          <w:rFonts w:hint="eastAsia" w:asciiTheme="majorEastAsia" w:hAnsiTheme="majorEastAsia" w:eastAsiaTheme="majorEastAsia" w:cstheme="majorEastAsia"/>
          <w:color w:val="auto"/>
          <w:sz w:val="28"/>
          <w:szCs w:val="28"/>
        </w:rPr>
        <w:t>%）×12</w:t>
      </w:r>
    </w:p>
    <w:p>
      <w:pPr>
        <w:pStyle w:val="9"/>
        <w:spacing w:line="580" w:lineRule="exact"/>
        <w:ind w:firstLine="2298" w:firstLineChars="82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2477.38</w:t>
      </w:r>
      <w:r>
        <w:rPr>
          <w:rFonts w:hint="eastAsia" w:asciiTheme="majorEastAsia" w:hAnsiTheme="majorEastAsia" w:eastAsiaTheme="majorEastAsia" w:cstheme="majorEastAsia"/>
          <w:color w:val="auto"/>
          <w:sz w:val="28"/>
          <w:szCs w:val="28"/>
        </w:rPr>
        <w:t>（元）</w:t>
      </w:r>
    </w:p>
    <w:p>
      <w:pPr>
        <w:pStyle w:val="9"/>
        <w:spacing w:line="580" w:lineRule="exact"/>
        <w:ind w:firstLine="565" w:firstLineChars="202"/>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B、其它收入</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其它收入主要是押金利息收入。经详细的市场调查了解当地租金支付方式大多数为“押一付三”、“押一半年付”，在房屋出租中，出租人一般收取一个月租金作为押金。根据2015年10月中国人民银行公布的一年期存款利率1.5％，则评估对象的单位建筑面积每年押金利息收入为</w:t>
      </w:r>
      <w:r>
        <w:rPr>
          <w:rFonts w:hint="eastAsia" w:asciiTheme="majorEastAsia" w:hAnsiTheme="majorEastAsia" w:eastAsiaTheme="majorEastAsia" w:cstheme="majorEastAsia"/>
          <w:color w:val="auto"/>
          <w:sz w:val="28"/>
          <w:szCs w:val="28"/>
          <w:lang w:val="en-US" w:eastAsia="zh-CN"/>
        </w:rPr>
        <w:t>3.37</w:t>
      </w:r>
      <w:r>
        <w:rPr>
          <w:rFonts w:hint="eastAsia" w:asciiTheme="majorEastAsia" w:hAnsiTheme="majorEastAsia" w:eastAsiaTheme="majorEastAsia" w:cstheme="majorEastAsia"/>
          <w:color w:val="auto"/>
          <w:sz w:val="28"/>
          <w:szCs w:val="28"/>
        </w:rPr>
        <w:t>元（</w:t>
      </w:r>
      <w:r>
        <w:rPr>
          <w:rFonts w:hint="eastAsia" w:asciiTheme="majorEastAsia" w:hAnsiTheme="majorEastAsia" w:eastAsiaTheme="majorEastAsia" w:cstheme="majorEastAsia"/>
          <w:color w:val="auto"/>
          <w:sz w:val="28"/>
          <w:szCs w:val="28"/>
          <w:lang w:eastAsia="zh-CN"/>
        </w:rPr>
        <w:t>61.92</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10</w:t>
      </w:r>
      <w:r>
        <w:rPr>
          <w:rFonts w:hint="eastAsia" w:asciiTheme="majorEastAsia" w:hAnsiTheme="majorEastAsia" w:eastAsiaTheme="majorEastAsia" w:cstheme="majorEastAsia"/>
          <w:color w:val="auto"/>
          <w:sz w:val="28"/>
          <w:szCs w:val="28"/>
        </w:rPr>
        <w:t>×1.5%=</w:t>
      </w:r>
      <w:r>
        <w:rPr>
          <w:rFonts w:hint="eastAsia" w:asciiTheme="majorEastAsia" w:hAnsiTheme="majorEastAsia" w:eastAsiaTheme="majorEastAsia" w:cstheme="majorEastAsia"/>
          <w:color w:val="auto"/>
          <w:sz w:val="28"/>
          <w:szCs w:val="28"/>
          <w:lang w:val="en-US" w:eastAsia="zh-CN"/>
        </w:rPr>
        <w:t>3.37</w:t>
      </w:r>
      <w:r>
        <w:rPr>
          <w:rFonts w:hint="eastAsia" w:asciiTheme="majorEastAsia" w:hAnsiTheme="majorEastAsia" w:eastAsiaTheme="majorEastAsia" w:cstheme="majorEastAsia"/>
          <w:color w:val="auto"/>
          <w:sz w:val="28"/>
          <w:szCs w:val="28"/>
        </w:rPr>
        <w:t xml:space="preserve"> 元），即评估对象其他收入确定为</w:t>
      </w:r>
      <w:r>
        <w:rPr>
          <w:rFonts w:hint="eastAsia" w:asciiTheme="majorEastAsia" w:hAnsiTheme="majorEastAsia" w:eastAsiaTheme="majorEastAsia" w:cstheme="majorEastAsia"/>
          <w:color w:val="auto"/>
          <w:sz w:val="28"/>
          <w:szCs w:val="28"/>
          <w:lang w:val="en-US" w:eastAsia="zh-CN"/>
        </w:rPr>
        <w:t>3.37</w:t>
      </w:r>
      <w:r>
        <w:rPr>
          <w:rFonts w:hint="eastAsia" w:asciiTheme="majorEastAsia" w:hAnsiTheme="majorEastAsia" w:eastAsiaTheme="majorEastAsia" w:cstheme="majorEastAsia"/>
          <w:color w:val="auto"/>
          <w:sz w:val="28"/>
          <w:szCs w:val="28"/>
        </w:rPr>
        <w:t xml:space="preserve"> 元。</w:t>
      </w:r>
    </w:p>
    <w:p>
      <w:pPr>
        <w:pStyle w:val="9"/>
        <w:spacing w:line="580" w:lineRule="exact"/>
        <w:ind w:firstLine="565" w:firstLineChars="202"/>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C、年收入合计</w:t>
      </w:r>
    </w:p>
    <w:p>
      <w:pPr>
        <w:pStyle w:val="9"/>
        <w:spacing w:line="580" w:lineRule="exact"/>
        <w:ind w:firstLine="478" w:firstLineChars="17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年收入合计=年有效毛收入+其他收入</w:t>
      </w:r>
    </w:p>
    <w:p>
      <w:pPr>
        <w:pStyle w:val="9"/>
        <w:spacing w:line="580" w:lineRule="exact"/>
        <w:ind w:firstLine="478" w:firstLineChars="171"/>
        <w:rPr>
          <w:rFonts w:hint="default"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rPr>
        <w:t xml:space="preserve">          =</w:t>
      </w:r>
      <w:r>
        <w:rPr>
          <w:rFonts w:hint="eastAsia" w:asciiTheme="majorEastAsia" w:hAnsiTheme="majorEastAsia" w:eastAsiaTheme="majorEastAsia" w:cstheme="majorEastAsia"/>
          <w:color w:val="auto"/>
          <w:sz w:val="28"/>
          <w:szCs w:val="28"/>
          <w:lang w:val="en-US" w:eastAsia="zh-CN"/>
        </w:rPr>
        <w:t>2477.38</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3.37</w:t>
      </w:r>
    </w:p>
    <w:p>
      <w:pPr>
        <w:pStyle w:val="9"/>
        <w:spacing w:line="580" w:lineRule="exact"/>
        <w:ind w:firstLine="1878" w:firstLineChars="67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2480.75</w:t>
      </w:r>
      <w:r>
        <w:rPr>
          <w:rFonts w:hint="eastAsia" w:asciiTheme="majorEastAsia" w:hAnsiTheme="majorEastAsia" w:eastAsiaTheme="majorEastAsia" w:cstheme="majorEastAsia"/>
          <w:color w:val="auto"/>
          <w:sz w:val="28"/>
          <w:szCs w:val="28"/>
        </w:rPr>
        <w:t>（元）</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5、年总支出</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a.管理费：管理费主要体现为房屋在出租过程中通过线上、线下发布出租信息的费用以及带人看房、与承租人谈判、房屋在使用中正常损坏等作为所有权人应耽搁的时间成本。通过详细的市场调查作为</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出租方在房屋租赁活动中绝大多数情况中介不收取出租人的任何费用，主要向承租人收取半个月到一个月不等的中介费，出租人将房屋出租信息给中介绝大多数都由中介免费带潜在的承租人看房，但在房屋正常损坏维修中基本都由房屋所有权人自己花时间处理。根据市场调查分析评估对象所在区域管理费用占有效毛收入的比率主要集中在0.5%至1.5%之间，结合评估对象的实际情况本次取其中间值管理费按年总收入1%计取；</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管理费=年总收入×1%=</w:t>
      </w:r>
      <w:r>
        <w:rPr>
          <w:rFonts w:hint="eastAsia" w:asciiTheme="majorEastAsia" w:hAnsiTheme="majorEastAsia" w:eastAsiaTheme="majorEastAsia" w:cstheme="majorEastAsia"/>
          <w:color w:val="auto"/>
          <w:sz w:val="28"/>
          <w:szCs w:val="28"/>
          <w:lang w:val="en-US" w:eastAsia="zh-CN"/>
        </w:rPr>
        <w:t>2780.75</w:t>
      </w:r>
      <w:r>
        <w:rPr>
          <w:rFonts w:hint="eastAsia" w:asciiTheme="majorEastAsia" w:hAnsiTheme="majorEastAsia" w:eastAsiaTheme="majorEastAsia" w:cstheme="majorEastAsia"/>
          <w:color w:val="auto"/>
          <w:sz w:val="28"/>
          <w:szCs w:val="28"/>
        </w:rPr>
        <w:t>×1%=</w:t>
      </w:r>
      <w:r>
        <w:rPr>
          <w:rFonts w:hint="eastAsia" w:asciiTheme="majorEastAsia" w:hAnsiTheme="majorEastAsia" w:eastAsiaTheme="majorEastAsia" w:cstheme="majorEastAsia"/>
          <w:color w:val="auto"/>
          <w:sz w:val="28"/>
          <w:szCs w:val="28"/>
          <w:lang w:val="en-US" w:eastAsia="zh-CN"/>
        </w:rPr>
        <w:t>24.81</w:t>
      </w:r>
      <w:r>
        <w:rPr>
          <w:rFonts w:hint="eastAsia" w:asciiTheme="majorEastAsia" w:hAnsiTheme="majorEastAsia" w:eastAsiaTheme="majorEastAsia" w:cstheme="majorEastAsia"/>
          <w:color w:val="auto"/>
          <w:sz w:val="28"/>
          <w:szCs w:val="28"/>
        </w:rPr>
        <w:t>（元）</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b.年维修费：高端物业的重置成本高年维修费用高，低端物业的重置成本低年维修费用也低，物业的维修费用与物业的建筑物重置成本正相关，物业的年维修费用一般以物业的全新重置成本为基数，对评估对象所在区域进行详细的市场调查，物业的年维修费用占物业的全新重置价的比率在1%至2.5%之间，较新的物业比率偏低，较老的物业比率偏高，根据评估对象的实际情况本次评估年维修费占全新重置价的比率确定为1.5%；</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c.保险费：根据保险行业的市场调查情况一般根据被承保的市场价值为基数取一定的费率收取保险费，由于土地客观上难以消亡，当发现自然灾害等客观不可抗力因素会导致建筑损害甚至丧失安全使用的功能，所以市场上房屋的保险费一般以建筑物的全新重置价为基数取一定的保险费率收取保险费，经详细的市场调查房屋的保险费率一般占对应建筑物全新重置价的0.1%至0.3%之间，已发生灾害事故的区域以及房屋较旧费率旧偏高，反之偏低，本次评估结合评估对象的实际情况确定保险费占建筑物全新重置价的比率为0.3%； </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本次评估根据《</w:t>
      </w:r>
      <w:r>
        <w:rPr>
          <w:rFonts w:hint="eastAsia" w:asciiTheme="majorEastAsia" w:hAnsiTheme="majorEastAsia" w:eastAsiaTheme="majorEastAsia" w:cstheme="majorEastAsia"/>
          <w:color w:val="auto"/>
          <w:sz w:val="28"/>
          <w:szCs w:val="28"/>
          <w:lang w:val="en-US" w:eastAsia="zh-CN"/>
        </w:rPr>
        <w:t>云南省</w:t>
      </w:r>
      <w:r>
        <w:rPr>
          <w:rFonts w:hint="eastAsia" w:asciiTheme="majorEastAsia" w:hAnsiTheme="majorEastAsia" w:eastAsiaTheme="majorEastAsia" w:cstheme="majorEastAsia"/>
          <w:color w:val="auto"/>
          <w:sz w:val="28"/>
          <w:szCs w:val="28"/>
        </w:rPr>
        <w:t>建筑</w:t>
      </w:r>
      <w:r>
        <w:rPr>
          <w:rFonts w:hint="eastAsia" w:asciiTheme="majorEastAsia" w:hAnsiTheme="majorEastAsia" w:eastAsiaTheme="majorEastAsia" w:cstheme="majorEastAsia"/>
          <w:color w:val="auto"/>
          <w:sz w:val="28"/>
          <w:szCs w:val="28"/>
          <w:lang w:eastAsia="zh-CN"/>
        </w:rPr>
        <w:t>与装饰</w:t>
      </w:r>
      <w:r>
        <w:rPr>
          <w:rFonts w:hint="eastAsia" w:asciiTheme="majorEastAsia" w:hAnsiTheme="majorEastAsia" w:eastAsiaTheme="majorEastAsia" w:cstheme="majorEastAsia"/>
          <w:color w:val="auto"/>
          <w:sz w:val="28"/>
          <w:szCs w:val="28"/>
        </w:rPr>
        <w:t>工程</w:t>
      </w:r>
      <w:r>
        <w:rPr>
          <w:rFonts w:hint="eastAsia" w:asciiTheme="majorEastAsia" w:hAnsiTheme="majorEastAsia" w:eastAsiaTheme="majorEastAsia" w:cstheme="majorEastAsia"/>
          <w:color w:val="auto"/>
          <w:sz w:val="28"/>
          <w:szCs w:val="28"/>
          <w:lang w:eastAsia="zh-CN"/>
        </w:rPr>
        <w:t>计价</w:t>
      </w:r>
      <w:r>
        <w:rPr>
          <w:rFonts w:hint="eastAsia" w:asciiTheme="majorEastAsia" w:hAnsiTheme="majorEastAsia" w:eastAsiaTheme="majorEastAsia" w:cstheme="majorEastAsia"/>
          <w:color w:val="auto"/>
          <w:sz w:val="28"/>
          <w:szCs w:val="28"/>
        </w:rPr>
        <w:t>定额》（20</w:t>
      </w:r>
      <w:r>
        <w:rPr>
          <w:rFonts w:hint="eastAsia" w:asciiTheme="majorEastAsia" w:hAnsiTheme="majorEastAsia" w:eastAsiaTheme="majorEastAsia" w:cstheme="majorEastAsia"/>
          <w:color w:val="auto"/>
          <w:sz w:val="28"/>
          <w:szCs w:val="28"/>
          <w:lang w:val="en-US" w:eastAsia="zh-CN"/>
        </w:rPr>
        <w:t>20</w:t>
      </w:r>
      <w:r>
        <w:rPr>
          <w:rFonts w:hint="eastAsia" w:asciiTheme="majorEastAsia" w:hAnsiTheme="majorEastAsia" w:eastAsiaTheme="majorEastAsia" w:cstheme="majorEastAsia"/>
          <w:color w:val="auto"/>
          <w:sz w:val="28"/>
          <w:szCs w:val="28"/>
        </w:rPr>
        <w:t>年</w:t>
      </w:r>
      <w:r>
        <w:rPr>
          <w:rFonts w:hint="eastAsia" w:asciiTheme="majorEastAsia" w:hAnsiTheme="majorEastAsia" w:eastAsiaTheme="majorEastAsia" w:cstheme="majorEastAsia"/>
          <w:color w:val="auto"/>
          <w:sz w:val="28"/>
          <w:szCs w:val="28"/>
          <w:lang w:val="en-US" w:eastAsia="zh-CN"/>
        </w:rPr>
        <w:t>版</w:t>
      </w:r>
      <w:r>
        <w:rPr>
          <w:rFonts w:hint="eastAsia" w:asciiTheme="majorEastAsia" w:hAnsiTheme="majorEastAsia" w:eastAsiaTheme="majorEastAsia" w:cstheme="majorEastAsia"/>
          <w:color w:val="auto"/>
          <w:sz w:val="28"/>
          <w:szCs w:val="28"/>
        </w:rPr>
        <w:t>），按照目前当地人工工资水平、建筑材料价格等工程造价行情，结合</w:t>
      </w:r>
      <w:r>
        <w:rPr>
          <w:rFonts w:hint="eastAsia" w:asciiTheme="majorEastAsia" w:hAnsiTheme="majorEastAsia" w:eastAsiaTheme="majorEastAsia" w:cstheme="majorEastAsia"/>
          <w:color w:val="auto"/>
          <w:sz w:val="28"/>
          <w:szCs w:val="28"/>
          <w:lang w:eastAsia="zh-CN"/>
        </w:rPr>
        <w:t>评估对象</w:t>
      </w:r>
      <w:r>
        <w:rPr>
          <w:rFonts w:hint="eastAsia" w:asciiTheme="majorEastAsia" w:hAnsiTheme="majorEastAsia" w:eastAsiaTheme="majorEastAsia" w:cstheme="majorEastAsia"/>
          <w:color w:val="auto"/>
          <w:sz w:val="28"/>
          <w:szCs w:val="28"/>
        </w:rPr>
        <w:t>的建筑物实况估算建筑物重置单价为</w:t>
      </w:r>
      <w:r>
        <w:rPr>
          <w:rFonts w:hint="eastAsia" w:asciiTheme="majorEastAsia" w:hAnsiTheme="majorEastAsia" w:eastAsiaTheme="majorEastAsia" w:cstheme="majorEastAsia"/>
          <w:color w:val="auto"/>
          <w:sz w:val="28"/>
          <w:szCs w:val="28"/>
          <w:lang w:val="en-US" w:eastAsia="zh-CN"/>
        </w:rPr>
        <w:t>15</w:t>
      </w:r>
      <w:r>
        <w:rPr>
          <w:rFonts w:hint="eastAsia" w:asciiTheme="majorEastAsia" w:hAnsiTheme="majorEastAsia" w:eastAsiaTheme="majorEastAsia" w:cstheme="majorEastAsia"/>
          <w:color w:val="auto"/>
          <w:sz w:val="28"/>
          <w:szCs w:val="28"/>
        </w:rPr>
        <w:t>00元/㎡，则：</w:t>
      </w:r>
    </w:p>
    <w:p>
      <w:pPr>
        <w:pStyle w:val="9"/>
        <w:spacing w:line="580" w:lineRule="exact"/>
        <w:ind w:left="2799" w:leftChars="266" w:hanging="2240" w:hangingChars="8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年维修费及保险费=建筑物重置单价×建筑面积×（1.5%+0.3%）=</w:t>
      </w:r>
      <w:r>
        <w:rPr>
          <w:rFonts w:hint="eastAsia" w:asciiTheme="majorEastAsia" w:hAnsiTheme="majorEastAsia" w:eastAsiaTheme="majorEastAsia" w:cstheme="majorEastAsia"/>
          <w:color w:val="auto"/>
          <w:sz w:val="28"/>
          <w:szCs w:val="28"/>
          <w:lang w:val="en-US" w:eastAsia="zh-CN"/>
        </w:rPr>
        <w:t>15</w:t>
      </w:r>
      <w:r>
        <w:rPr>
          <w:rFonts w:hint="eastAsia" w:asciiTheme="majorEastAsia" w:hAnsiTheme="majorEastAsia" w:eastAsiaTheme="majorEastAsia" w:cstheme="majorEastAsia"/>
          <w:color w:val="auto"/>
          <w:sz w:val="28"/>
          <w:szCs w:val="28"/>
        </w:rPr>
        <w:t>00×</w:t>
      </w:r>
      <w:r>
        <w:rPr>
          <w:rFonts w:hint="eastAsia" w:asciiTheme="majorEastAsia" w:hAnsiTheme="majorEastAsia" w:eastAsiaTheme="majorEastAsia" w:cstheme="majorEastAsia"/>
          <w:color w:val="auto"/>
          <w:sz w:val="28"/>
          <w:szCs w:val="28"/>
          <w:lang w:val="en-US" w:eastAsia="zh-CN"/>
        </w:rPr>
        <w:t>20.40</w:t>
      </w:r>
      <w:r>
        <w:rPr>
          <w:rFonts w:hint="eastAsia" w:asciiTheme="majorEastAsia" w:hAnsiTheme="majorEastAsia" w:eastAsiaTheme="majorEastAsia" w:cstheme="majorEastAsia"/>
          <w:color w:val="auto"/>
          <w:sz w:val="28"/>
          <w:szCs w:val="28"/>
        </w:rPr>
        <w:t>×（1.5%+0.3%）</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w:t>
      </w:r>
      <w:r>
        <w:rPr>
          <w:rFonts w:hint="eastAsia" w:asciiTheme="majorEastAsia" w:hAnsiTheme="majorEastAsia" w:eastAsiaTheme="majorEastAsia" w:cstheme="majorEastAsia"/>
          <w:color w:val="auto"/>
          <w:sz w:val="28"/>
          <w:szCs w:val="28"/>
          <w:lang w:val="en-US" w:eastAsia="zh-CN"/>
        </w:rPr>
        <w:t xml:space="preserve">       </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550.80</w:t>
      </w:r>
      <w:r>
        <w:rPr>
          <w:rFonts w:hint="eastAsia" w:asciiTheme="majorEastAsia" w:hAnsiTheme="majorEastAsia" w:eastAsiaTheme="majorEastAsia" w:cstheme="majorEastAsia"/>
          <w:color w:val="auto"/>
          <w:sz w:val="28"/>
          <w:szCs w:val="28"/>
        </w:rPr>
        <w:t>（元）   </w:t>
      </w:r>
    </w:p>
    <w:p>
      <w:pPr>
        <w:pStyle w:val="9"/>
        <w:spacing w:line="580" w:lineRule="exact"/>
        <w:ind w:firstLine="680"/>
        <w:rPr>
          <w:rFonts w:hint="eastAsia" w:asciiTheme="majorEastAsia" w:hAnsiTheme="majorEastAsia" w:eastAsiaTheme="majorEastAsia" w:cstheme="majorEastAsia"/>
          <w:color w:val="auto"/>
          <w:sz w:val="28"/>
          <w:szCs w:val="28"/>
          <w:highlight w:val="yellow"/>
        </w:rPr>
      </w:pPr>
      <w:r>
        <w:rPr>
          <w:rFonts w:hint="eastAsia" w:asciiTheme="majorEastAsia" w:hAnsiTheme="majorEastAsia" w:eastAsiaTheme="majorEastAsia" w:cstheme="majorEastAsia"/>
          <w:color w:val="auto"/>
          <w:spacing w:val="10"/>
          <w:sz w:val="28"/>
          <w:szCs w:val="28"/>
          <w:lang w:val="en-US" w:eastAsia="zh-CN"/>
        </w:rPr>
        <w:t>d</w:t>
      </w:r>
      <w:r>
        <w:rPr>
          <w:rFonts w:hint="eastAsia" w:asciiTheme="majorEastAsia" w:hAnsiTheme="majorEastAsia" w:eastAsiaTheme="majorEastAsia" w:cstheme="majorEastAsia"/>
          <w:color w:val="auto"/>
          <w:spacing w:val="10"/>
          <w:sz w:val="28"/>
          <w:szCs w:val="28"/>
        </w:rPr>
        <w:t>.</w:t>
      </w:r>
      <w:r>
        <w:rPr>
          <w:rFonts w:hint="eastAsia" w:asciiTheme="majorEastAsia" w:hAnsiTheme="majorEastAsia" w:eastAsiaTheme="majorEastAsia" w:cstheme="majorEastAsia"/>
          <w:color w:val="auto"/>
          <w:sz w:val="28"/>
          <w:szCs w:val="28"/>
        </w:rPr>
        <w:t>税费：主要考虑增值税、城建税、教育费附加、地方教育费附加、房产税率为、印花税。根据相关规定个人出租房屋增值税、房产税的计税基数均为签约合同价扣除增值税的数额（即不含增值税收入）；印花税的计税基数为签约合同价（即有效毛收入）；增值税附加的计税基数为应纳增值税，其中增值税税率为5%，根据现行规定，个人出租住房减按1.5%，增值税附加市级为10%（城建税5%、教育费附加3%、地方教育费附加2%），房产税税率为12%，根据现行规定，个人出租住房减按4%，印花税税率为0.1%。</w:t>
      </w:r>
    </w:p>
    <w:p>
      <w:pPr>
        <w:pStyle w:val="9"/>
        <w:spacing w:line="580" w:lineRule="exact"/>
        <w:ind w:left="1579" w:leftChars="352" w:hanging="840" w:hangingChars="3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税费税率合计=1/（1+5%）×1.5%×（1+5%+3%+2%）+1/（1+5%）×4%+0.1% =5.48%</w:t>
      </w:r>
    </w:p>
    <w:p>
      <w:pPr>
        <w:pStyle w:val="9"/>
        <w:spacing w:line="580" w:lineRule="exact"/>
        <w:ind w:left="1579" w:leftChars="352" w:hanging="840" w:hangingChars="3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税费合计</w:t>
      </w:r>
      <w:r>
        <w:rPr>
          <w:rFonts w:hint="eastAsia" w:asciiTheme="majorEastAsia" w:hAnsiTheme="majorEastAsia" w:eastAsiaTheme="majorEastAsia" w:cstheme="majorEastAsia"/>
          <w:color w:val="auto"/>
          <w:sz w:val="22"/>
          <w:szCs w:val="22"/>
        </w:rPr>
        <w:t>＝</w:t>
      </w:r>
      <w:r>
        <w:rPr>
          <w:rFonts w:hint="eastAsia" w:asciiTheme="majorEastAsia" w:hAnsiTheme="majorEastAsia" w:eastAsiaTheme="majorEastAsia" w:cstheme="majorEastAsia"/>
          <w:color w:val="auto"/>
          <w:sz w:val="28"/>
          <w:szCs w:val="28"/>
        </w:rPr>
        <w:t>年有效毛收入×5.48%</w:t>
      </w:r>
    </w:p>
    <w:p>
      <w:pPr>
        <w:pStyle w:val="9"/>
        <w:spacing w:line="580" w:lineRule="exact"/>
        <w:ind w:left="1369" w:leftChars="652"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2477.38</w:t>
      </w:r>
      <w:r>
        <w:rPr>
          <w:rFonts w:hint="eastAsia" w:asciiTheme="majorEastAsia" w:hAnsiTheme="majorEastAsia" w:eastAsiaTheme="majorEastAsia" w:cstheme="majorEastAsia"/>
          <w:color w:val="auto"/>
          <w:sz w:val="28"/>
          <w:szCs w:val="28"/>
        </w:rPr>
        <w:t>×5.48%</w:t>
      </w:r>
    </w:p>
    <w:p>
      <w:pPr>
        <w:pStyle w:val="9"/>
        <w:spacing w:line="580" w:lineRule="exact"/>
        <w:ind w:left="1697" w:leftChars="808" w:firstLine="280" w:firstLineChars="1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135.76</w:t>
      </w:r>
      <w:r>
        <w:rPr>
          <w:rFonts w:hint="eastAsia" w:asciiTheme="majorEastAsia" w:hAnsiTheme="majorEastAsia" w:eastAsiaTheme="majorEastAsia" w:cstheme="majorEastAsia"/>
          <w:color w:val="auto"/>
          <w:sz w:val="28"/>
          <w:szCs w:val="28"/>
        </w:rPr>
        <w:t>（元）</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年总支出=a+b+c+d</w:t>
      </w:r>
    </w:p>
    <w:p>
      <w:pPr>
        <w:pStyle w:val="9"/>
        <w:spacing w:line="580" w:lineRule="exact"/>
        <w:ind w:firstLine="1680" w:firstLineChars="600"/>
        <w:rPr>
          <w:rFonts w:hint="default" w:asciiTheme="majorEastAsia" w:hAnsiTheme="majorEastAsia" w:eastAsiaTheme="majorEastAsia" w:cstheme="majorEastAsia"/>
          <w:color w:val="auto"/>
          <w:sz w:val="28"/>
          <w:szCs w:val="28"/>
          <w:highlight w:val="yellow"/>
          <w:lang w:val="en-US" w:eastAsia="zh-CN"/>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24.81</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550.80</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135.76</w:t>
      </w:r>
    </w:p>
    <w:p>
      <w:pPr>
        <w:pStyle w:val="9"/>
        <w:spacing w:line="580" w:lineRule="exact"/>
        <w:ind w:firstLine="1680" w:firstLineChars="600"/>
        <w:rPr>
          <w:rFonts w:hint="eastAsia" w:asciiTheme="majorEastAsia" w:hAnsiTheme="majorEastAsia" w:eastAsiaTheme="majorEastAsia" w:cstheme="majorEastAsia"/>
          <w:color w:val="auto"/>
          <w:sz w:val="28"/>
          <w:szCs w:val="28"/>
          <w:highlight w:val="yellow"/>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711.37</w:t>
      </w:r>
      <w:r>
        <w:rPr>
          <w:rFonts w:hint="eastAsia" w:asciiTheme="majorEastAsia" w:hAnsiTheme="majorEastAsia" w:eastAsiaTheme="majorEastAsia" w:cstheme="majorEastAsia"/>
          <w:color w:val="auto"/>
          <w:sz w:val="28"/>
          <w:szCs w:val="28"/>
        </w:rPr>
        <w:t>（元）</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6、确定净收益</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净收益=年有效毛收入-年总支出</w:t>
      </w:r>
    </w:p>
    <w:p>
      <w:pPr>
        <w:pStyle w:val="9"/>
        <w:spacing w:line="580" w:lineRule="exact"/>
        <w:ind w:firstLine="1400" w:firstLineChars="500"/>
        <w:rPr>
          <w:rFonts w:hint="default"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2480.75</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711.37</w:t>
      </w:r>
    </w:p>
    <w:p>
      <w:pPr>
        <w:pStyle w:val="9"/>
        <w:spacing w:line="580" w:lineRule="exact"/>
        <w:ind w:firstLine="1400" w:firstLineChars="5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1769.38</w:t>
      </w:r>
      <w:r>
        <w:rPr>
          <w:rFonts w:hint="eastAsia" w:asciiTheme="majorEastAsia" w:hAnsiTheme="majorEastAsia" w:eastAsiaTheme="majorEastAsia" w:cstheme="majorEastAsia"/>
          <w:color w:val="auto"/>
          <w:sz w:val="28"/>
          <w:szCs w:val="28"/>
        </w:rPr>
        <w:t>（元）</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7、预测收益递增比率</w:t>
      </w:r>
    </w:p>
    <w:p>
      <w:pPr>
        <w:pStyle w:val="9"/>
        <w:spacing w:line="240" w:lineRule="auto"/>
        <w:ind w:firstLine="478" w:firstLineChars="17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eastAsia="zh-CN"/>
        </w:rPr>
        <w:t>评估人员</w:t>
      </w:r>
      <w:r>
        <w:rPr>
          <w:rFonts w:hint="eastAsia" w:asciiTheme="majorEastAsia" w:hAnsiTheme="majorEastAsia" w:eastAsiaTheme="majorEastAsia" w:cstheme="majorEastAsia"/>
          <w:color w:val="auto"/>
          <w:sz w:val="28"/>
          <w:szCs w:val="28"/>
        </w:rPr>
        <w:t>对递增比率的分析预测主要从两个方面考虑。一是物价上涨因素，正常客观情况下，一个精明的投资人对持有物业租金的增长要求至少要跑赢物价的上涨，根据“东方财富”收集公布的消费价格指数见下表：</w:t>
      </w:r>
    </w:p>
    <w:p>
      <w:pPr>
        <w:pStyle w:val="9"/>
        <w:spacing w:line="240" w:lineRule="auto"/>
        <w:ind w:left="0" w:leftChars="0" w:firstLine="0" w:firstLineChars="0"/>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lang w:eastAsia="zh-CN"/>
        </w:rPr>
        <w:drawing>
          <wp:inline distT="0" distB="0" distL="114300" distR="114300">
            <wp:extent cx="5271770" cy="2020570"/>
            <wp:effectExtent l="0" t="0" r="5080" b="17780"/>
            <wp:docPr id="1" name="图片 1" descr="1658395167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8395167897"/>
                    <pic:cNvPicPr>
                      <a:picLocks noChangeAspect="1"/>
                    </pic:cNvPicPr>
                  </pic:nvPicPr>
                  <pic:blipFill>
                    <a:blip r:embed="rId7"/>
                    <a:stretch>
                      <a:fillRect/>
                    </a:stretch>
                  </pic:blipFill>
                  <pic:spPr>
                    <a:xfrm>
                      <a:off x="0" y="0"/>
                      <a:ext cx="5271770" cy="2020570"/>
                    </a:xfrm>
                    <a:prstGeom prst="rect">
                      <a:avLst/>
                    </a:prstGeom>
                  </pic:spPr>
                </pic:pic>
              </a:graphicData>
            </a:graphic>
          </wp:inline>
        </w:drawing>
      </w:r>
    </w:p>
    <w:p>
      <w:pPr>
        <w:pStyle w:val="9"/>
        <w:spacing w:line="580" w:lineRule="exact"/>
        <w:ind w:firstLine="478" w:firstLineChars="17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通过上述数据可知，2021年</w:t>
      </w:r>
      <w:r>
        <w:rPr>
          <w:rFonts w:hint="eastAsia" w:asciiTheme="majorEastAsia" w:hAnsiTheme="majorEastAsia" w:eastAsiaTheme="majorEastAsia" w:cstheme="majorEastAsia"/>
          <w:color w:val="auto"/>
          <w:sz w:val="28"/>
          <w:szCs w:val="28"/>
          <w:lang w:val="en-US" w:eastAsia="zh-CN"/>
        </w:rPr>
        <w:t>6</w:t>
      </w:r>
      <w:r>
        <w:rPr>
          <w:rFonts w:hint="eastAsia" w:asciiTheme="majorEastAsia" w:hAnsiTheme="majorEastAsia" w:eastAsiaTheme="majorEastAsia" w:cstheme="majorEastAsia"/>
          <w:color w:val="auto"/>
          <w:sz w:val="28"/>
          <w:szCs w:val="28"/>
        </w:rPr>
        <w:t>月到202</w:t>
      </w:r>
      <w:r>
        <w:rPr>
          <w:rFonts w:hint="eastAsia" w:asciiTheme="majorEastAsia" w:hAnsiTheme="majorEastAsia" w:eastAsiaTheme="majorEastAsia" w:cstheme="majorEastAsia"/>
          <w:color w:val="auto"/>
          <w:sz w:val="28"/>
          <w:szCs w:val="28"/>
          <w:lang w:val="en-US" w:eastAsia="zh-CN"/>
        </w:rPr>
        <w:t>2</w:t>
      </w:r>
      <w:r>
        <w:rPr>
          <w:rFonts w:hint="eastAsia" w:asciiTheme="majorEastAsia" w:hAnsiTheme="majorEastAsia" w:eastAsiaTheme="majorEastAsia" w:cstheme="majorEastAsia"/>
          <w:color w:val="auto"/>
          <w:sz w:val="28"/>
          <w:szCs w:val="28"/>
        </w:rPr>
        <w:t>年</w:t>
      </w:r>
      <w:r>
        <w:rPr>
          <w:rFonts w:hint="eastAsia" w:asciiTheme="majorEastAsia" w:hAnsiTheme="majorEastAsia" w:eastAsiaTheme="majorEastAsia" w:cstheme="majorEastAsia"/>
          <w:color w:val="auto"/>
          <w:sz w:val="28"/>
          <w:szCs w:val="28"/>
          <w:lang w:val="en-US" w:eastAsia="zh-CN"/>
        </w:rPr>
        <w:t>6</w:t>
      </w:r>
      <w:r>
        <w:rPr>
          <w:rFonts w:hint="eastAsia" w:asciiTheme="majorEastAsia" w:hAnsiTheme="majorEastAsia" w:eastAsiaTheme="majorEastAsia" w:cstheme="majorEastAsia"/>
          <w:color w:val="auto"/>
          <w:sz w:val="28"/>
          <w:szCs w:val="28"/>
        </w:rPr>
        <w:t>月，全国居民消费价格在</w:t>
      </w:r>
      <w:r>
        <w:rPr>
          <w:rFonts w:hint="eastAsia" w:asciiTheme="majorEastAsia" w:hAnsiTheme="majorEastAsia" w:eastAsiaTheme="majorEastAsia" w:cstheme="majorEastAsia"/>
          <w:color w:val="auto"/>
          <w:sz w:val="28"/>
          <w:szCs w:val="28"/>
          <w:lang w:val="en-US" w:eastAsia="zh-CN"/>
        </w:rPr>
        <w:t>2</w:t>
      </w:r>
      <w:r>
        <w:rPr>
          <w:rFonts w:hint="eastAsia" w:asciiTheme="majorEastAsia" w:hAnsiTheme="majorEastAsia" w:eastAsiaTheme="majorEastAsia" w:cstheme="majorEastAsia"/>
          <w:color w:val="auto"/>
          <w:sz w:val="28"/>
          <w:szCs w:val="28"/>
        </w:rPr>
        <w:t>％左右波动。</w:t>
      </w:r>
    </w:p>
    <w:p>
      <w:pPr>
        <w:pStyle w:val="9"/>
        <w:spacing w:line="580" w:lineRule="exact"/>
        <w:ind w:firstLine="478" w:firstLineChars="171"/>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二是区域同类物业的签约租金增长率。目前市场上租赁期限一般为</w:t>
      </w:r>
      <w:r>
        <w:rPr>
          <w:rFonts w:hint="eastAsia" w:asciiTheme="majorEastAsia" w:hAnsiTheme="majorEastAsia" w:eastAsiaTheme="majorEastAsia" w:cstheme="majorEastAsia"/>
          <w:color w:val="auto"/>
          <w:sz w:val="28"/>
          <w:szCs w:val="28"/>
          <w:lang w:val="en-US" w:eastAsia="zh-CN"/>
        </w:rPr>
        <w:t>3</w:t>
      </w:r>
      <w:r>
        <w:rPr>
          <w:rFonts w:hint="eastAsia" w:asciiTheme="majorEastAsia" w:hAnsiTheme="majorEastAsia" w:eastAsiaTheme="majorEastAsia" w:cstheme="majorEastAsia"/>
          <w:color w:val="auto"/>
          <w:sz w:val="28"/>
          <w:szCs w:val="28"/>
        </w:rPr>
        <w:t>年一签，在租期内年租金递增比率大都为</w:t>
      </w:r>
      <w:r>
        <w:rPr>
          <w:rFonts w:hint="eastAsia" w:asciiTheme="majorEastAsia" w:hAnsiTheme="majorEastAsia" w:eastAsiaTheme="majorEastAsia" w:cstheme="majorEastAsia"/>
          <w:color w:val="auto"/>
          <w:sz w:val="28"/>
          <w:szCs w:val="28"/>
          <w:lang w:val="en-US" w:eastAsia="zh-CN"/>
        </w:rPr>
        <w:t>2</w:t>
      </w:r>
      <w:r>
        <w:rPr>
          <w:rFonts w:hint="eastAsia" w:asciiTheme="majorEastAsia" w:hAnsiTheme="majorEastAsia" w:eastAsiaTheme="majorEastAsia" w:cstheme="majorEastAsia"/>
          <w:color w:val="auto"/>
          <w:sz w:val="28"/>
          <w:szCs w:val="28"/>
        </w:rPr>
        <w:t>%，也就是说投资人的最低要求都要达到</w:t>
      </w:r>
      <w:r>
        <w:rPr>
          <w:rFonts w:hint="eastAsia" w:asciiTheme="majorEastAsia" w:hAnsiTheme="majorEastAsia" w:eastAsiaTheme="majorEastAsia" w:cstheme="majorEastAsia"/>
          <w:color w:val="auto"/>
          <w:sz w:val="28"/>
          <w:szCs w:val="28"/>
          <w:lang w:val="en-US" w:eastAsia="zh-CN"/>
        </w:rPr>
        <w:t>2</w:t>
      </w:r>
      <w:r>
        <w:rPr>
          <w:rFonts w:hint="eastAsia" w:asciiTheme="majorEastAsia" w:hAnsiTheme="majorEastAsia" w:eastAsiaTheme="majorEastAsia" w:cstheme="majorEastAsia"/>
          <w:color w:val="auto"/>
          <w:sz w:val="28"/>
          <w:szCs w:val="28"/>
        </w:rPr>
        <w:t>％。</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评估人员通过对消费价格指数和市场上同类物业租金增长情况分析，再考虑评估对象所在的位置情况，预测收益年递增比率在收益期限内应当在1％～3%之间，本次评估递增比率确定为2.5%。</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8、确定报酬率</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根据《房地产估价规范》（GB/T 50291-2015），报酬率可以采用市场提取法、累加法、投资收益率排序插入法三种方法进行测算。按照当前社会经济环境对房地产投资的影响，本次评估采用累加法确定报酬率。累加法采用安全利率加风险调整值确定，安全利率采用2015年10月中国人民银行公布的一年期存款利率1.5％，风险调整值根据投资人承担额外风险所要求的补偿和评估对象所在的地区、行业、市场状况、区位等因素综合取4％，房地产报酬率为5.5％。假定报酬率在未来收益年期内不变。</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9、收益期n的确定</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房屋收益年限一般根据房屋经济耐用年限，结合土地尚可使用年限分析确定，评估对象为混合结构住宅楼，根据各种结构房屋的经济耐用年限的参考值，本次评估建筑物耐用年限为50年；据</w:t>
      </w:r>
      <w:r>
        <w:rPr>
          <w:rFonts w:hint="eastAsia" w:asciiTheme="majorEastAsia" w:hAnsiTheme="majorEastAsia" w:eastAsiaTheme="majorEastAsia" w:cstheme="majorEastAsia"/>
          <w:color w:val="auto"/>
          <w:sz w:val="28"/>
          <w:szCs w:val="28"/>
          <w:lang w:val="en-US" w:eastAsia="zh-CN"/>
        </w:rPr>
        <w:t>现场勘查了解</w:t>
      </w:r>
      <w:r>
        <w:rPr>
          <w:rFonts w:hint="eastAsia" w:asciiTheme="majorEastAsia" w:hAnsiTheme="majorEastAsia" w:eastAsiaTheme="majorEastAsia" w:cstheme="majorEastAsia"/>
          <w:color w:val="auto"/>
          <w:sz w:val="28"/>
          <w:szCs w:val="28"/>
        </w:rPr>
        <w:t>，评估对象</w:t>
      </w:r>
      <w:r>
        <w:rPr>
          <w:rFonts w:hint="eastAsia" w:asciiTheme="majorEastAsia" w:hAnsiTheme="majorEastAsia" w:eastAsiaTheme="majorEastAsia" w:cstheme="majorEastAsia"/>
          <w:color w:val="auto"/>
          <w:sz w:val="28"/>
          <w:szCs w:val="28"/>
          <w:lang w:val="en-US" w:eastAsia="zh-CN"/>
        </w:rPr>
        <w:t>约</w:t>
      </w:r>
      <w:r>
        <w:rPr>
          <w:rFonts w:hint="eastAsia" w:asciiTheme="majorEastAsia" w:hAnsiTheme="majorEastAsia" w:eastAsiaTheme="majorEastAsia" w:cstheme="majorEastAsia"/>
          <w:color w:val="auto"/>
          <w:sz w:val="28"/>
          <w:szCs w:val="28"/>
        </w:rPr>
        <w:t>建成于20</w:t>
      </w:r>
      <w:r>
        <w:rPr>
          <w:rFonts w:hint="eastAsia" w:asciiTheme="majorEastAsia" w:hAnsiTheme="majorEastAsia" w:eastAsiaTheme="majorEastAsia" w:cstheme="majorEastAsia"/>
          <w:color w:val="auto"/>
          <w:sz w:val="28"/>
          <w:szCs w:val="28"/>
          <w:lang w:val="en-US" w:eastAsia="zh-CN"/>
        </w:rPr>
        <w:t>07</w:t>
      </w:r>
      <w:r>
        <w:rPr>
          <w:rFonts w:hint="eastAsia" w:asciiTheme="majorEastAsia" w:hAnsiTheme="majorEastAsia" w:eastAsiaTheme="majorEastAsia" w:cstheme="majorEastAsia"/>
          <w:color w:val="auto"/>
          <w:sz w:val="28"/>
          <w:szCs w:val="28"/>
        </w:rPr>
        <w:t>年，</w:t>
      </w:r>
      <w:r>
        <w:rPr>
          <w:rFonts w:hint="eastAsia" w:asciiTheme="majorEastAsia" w:hAnsiTheme="majorEastAsia" w:eastAsiaTheme="majorEastAsia" w:cstheme="majorEastAsia"/>
          <w:color w:val="auto"/>
          <w:sz w:val="28"/>
          <w:szCs w:val="28"/>
          <w:lang w:val="en-US" w:eastAsia="zh-CN"/>
        </w:rPr>
        <w:t>已使用</w:t>
      </w:r>
      <w:r>
        <w:rPr>
          <w:rFonts w:hint="eastAsia" w:asciiTheme="majorEastAsia" w:hAnsiTheme="majorEastAsia" w:eastAsiaTheme="majorEastAsia" w:cstheme="majorEastAsia"/>
          <w:color w:val="auto"/>
          <w:sz w:val="28"/>
          <w:szCs w:val="28"/>
        </w:rPr>
        <w:t>年限约为</w:t>
      </w:r>
      <w:r>
        <w:rPr>
          <w:rFonts w:hint="eastAsia" w:asciiTheme="majorEastAsia" w:hAnsiTheme="majorEastAsia" w:eastAsiaTheme="majorEastAsia" w:cstheme="majorEastAsia"/>
          <w:color w:val="auto"/>
          <w:sz w:val="28"/>
          <w:szCs w:val="28"/>
          <w:lang w:val="en-US" w:eastAsia="zh-CN"/>
        </w:rPr>
        <w:t>15</w:t>
      </w:r>
      <w:r>
        <w:rPr>
          <w:rFonts w:hint="eastAsia" w:asciiTheme="majorEastAsia" w:hAnsiTheme="majorEastAsia" w:eastAsiaTheme="majorEastAsia" w:cstheme="majorEastAsia"/>
          <w:color w:val="auto"/>
          <w:sz w:val="28"/>
          <w:szCs w:val="28"/>
        </w:rPr>
        <w:t>年，实际剩余使用年限约为</w:t>
      </w:r>
      <w:r>
        <w:rPr>
          <w:rFonts w:hint="eastAsia" w:asciiTheme="majorEastAsia" w:hAnsiTheme="majorEastAsia" w:eastAsiaTheme="majorEastAsia" w:cstheme="majorEastAsia"/>
          <w:color w:val="auto"/>
          <w:sz w:val="28"/>
          <w:szCs w:val="28"/>
          <w:lang w:val="en-US" w:eastAsia="zh-CN"/>
        </w:rPr>
        <w:t>35</w:t>
      </w:r>
      <w:r>
        <w:rPr>
          <w:rFonts w:hint="eastAsia" w:asciiTheme="majorEastAsia" w:hAnsiTheme="majorEastAsia" w:eastAsiaTheme="majorEastAsia" w:cstheme="majorEastAsia"/>
          <w:color w:val="auto"/>
          <w:sz w:val="28"/>
          <w:szCs w:val="28"/>
        </w:rPr>
        <w:t>年，土地使用权类型为</w:t>
      </w:r>
      <w:r>
        <w:rPr>
          <w:rFonts w:hint="eastAsia" w:asciiTheme="majorEastAsia" w:hAnsiTheme="majorEastAsia" w:eastAsiaTheme="majorEastAsia" w:cstheme="majorEastAsia"/>
          <w:color w:val="auto"/>
          <w:sz w:val="28"/>
          <w:szCs w:val="28"/>
          <w:lang w:val="en-US" w:eastAsia="zh-CN"/>
        </w:rPr>
        <w:t>出让</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使用权面积为11.34㎡，土地使用年限终止日期为2077年04月10日，截止价值时点</w:t>
      </w:r>
      <w:r>
        <w:rPr>
          <w:rFonts w:hint="eastAsia" w:asciiTheme="majorEastAsia" w:hAnsiTheme="majorEastAsia" w:eastAsiaTheme="majorEastAsia" w:cstheme="majorEastAsia"/>
          <w:color w:val="auto"/>
          <w:sz w:val="28"/>
          <w:szCs w:val="28"/>
        </w:rPr>
        <w:t>202</w:t>
      </w:r>
      <w:r>
        <w:rPr>
          <w:rFonts w:hint="eastAsia" w:asciiTheme="majorEastAsia" w:hAnsiTheme="majorEastAsia" w:eastAsiaTheme="majorEastAsia" w:cstheme="majorEastAsia"/>
          <w:color w:val="auto"/>
          <w:sz w:val="28"/>
          <w:szCs w:val="28"/>
          <w:lang w:val="en-US" w:eastAsia="zh-CN"/>
        </w:rPr>
        <w:t>2</w:t>
      </w:r>
      <w:r>
        <w:rPr>
          <w:rFonts w:hint="eastAsia" w:asciiTheme="majorEastAsia" w:hAnsiTheme="majorEastAsia" w:eastAsiaTheme="majorEastAsia" w:cstheme="majorEastAsia"/>
          <w:color w:val="auto"/>
          <w:sz w:val="28"/>
          <w:szCs w:val="28"/>
        </w:rPr>
        <w:t>年</w:t>
      </w:r>
      <w:r>
        <w:rPr>
          <w:rFonts w:hint="eastAsia" w:asciiTheme="majorEastAsia" w:hAnsiTheme="majorEastAsia" w:eastAsiaTheme="majorEastAsia" w:cstheme="majorEastAsia"/>
          <w:color w:val="auto"/>
          <w:sz w:val="28"/>
          <w:szCs w:val="28"/>
          <w:lang w:val="en-US" w:eastAsia="zh-CN"/>
        </w:rPr>
        <w:t>07</w:t>
      </w:r>
      <w:r>
        <w:rPr>
          <w:rFonts w:hint="eastAsia" w:asciiTheme="majorEastAsia" w:hAnsiTheme="majorEastAsia" w:eastAsiaTheme="majorEastAsia" w:cstheme="majorEastAsia"/>
          <w:color w:val="auto"/>
          <w:sz w:val="28"/>
          <w:szCs w:val="28"/>
        </w:rPr>
        <w:t>月</w:t>
      </w:r>
      <w:r>
        <w:rPr>
          <w:rFonts w:hint="eastAsia" w:asciiTheme="majorEastAsia" w:hAnsiTheme="majorEastAsia" w:eastAsiaTheme="majorEastAsia" w:cstheme="majorEastAsia"/>
          <w:color w:val="auto"/>
          <w:sz w:val="28"/>
          <w:szCs w:val="28"/>
          <w:lang w:val="en-US" w:eastAsia="zh-CN"/>
        </w:rPr>
        <w:t>20</w:t>
      </w:r>
      <w:r>
        <w:rPr>
          <w:rFonts w:hint="eastAsia" w:asciiTheme="majorEastAsia" w:hAnsiTheme="majorEastAsia" w:eastAsiaTheme="majorEastAsia" w:cstheme="majorEastAsia"/>
          <w:color w:val="auto"/>
          <w:sz w:val="28"/>
          <w:szCs w:val="28"/>
        </w:rPr>
        <w:t>日</w:t>
      </w:r>
      <w:r>
        <w:rPr>
          <w:rFonts w:hint="eastAsia" w:asciiTheme="majorEastAsia" w:hAnsiTheme="majorEastAsia" w:eastAsiaTheme="majorEastAsia" w:cstheme="majorEastAsia"/>
          <w:color w:val="auto"/>
          <w:sz w:val="28"/>
          <w:szCs w:val="28"/>
          <w:lang w:val="en-US" w:eastAsia="zh-CN"/>
        </w:rPr>
        <w:t>，</w:t>
      </w:r>
      <w:r>
        <w:rPr>
          <w:rFonts w:hint="eastAsia" w:asciiTheme="majorEastAsia" w:hAnsiTheme="majorEastAsia" w:eastAsiaTheme="majorEastAsia" w:cstheme="majorEastAsia"/>
          <w:color w:val="auto"/>
          <w:sz w:val="28"/>
          <w:szCs w:val="28"/>
        </w:rPr>
        <w:t>土地</w:t>
      </w:r>
      <w:r>
        <w:rPr>
          <w:rFonts w:hint="eastAsia" w:asciiTheme="majorEastAsia" w:hAnsiTheme="majorEastAsia" w:eastAsiaTheme="majorEastAsia" w:cstheme="majorEastAsia"/>
          <w:color w:val="auto"/>
          <w:sz w:val="28"/>
          <w:szCs w:val="28"/>
          <w:lang w:val="en-US" w:eastAsia="zh-CN"/>
        </w:rPr>
        <w:t>剩余使用</w:t>
      </w:r>
      <w:r>
        <w:rPr>
          <w:rFonts w:hint="eastAsia" w:asciiTheme="majorEastAsia" w:hAnsiTheme="majorEastAsia" w:eastAsiaTheme="majorEastAsia" w:cstheme="majorEastAsia"/>
          <w:color w:val="auto"/>
          <w:sz w:val="28"/>
          <w:szCs w:val="28"/>
        </w:rPr>
        <w:t>年限约为</w:t>
      </w:r>
      <w:r>
        <w:rPr>
          <w:rFonts w:hint="eastAsia" w:asciiTheme="majorEastAsia" w:hAnsiTheme="majorEastAsia" w:eastAsiaTheme="majorEastAsia" w:cstheme="majorEastAsia"/>
          <w:color w:val="auto"/>
          <w:sz w:val="28"/>
          <w:szCs w:val="28"/>
          <w:lang w:val="en-US" w:eastAsia="zh-CN"/>
        </w:rPr>
        <w:t>54.72年，建筑物经过适当维修可以延长其经济寿命，故本次评估评估对象收益年限即n按土地使用权剩余使用年限取值，即54.72年</w:t>
      </w:r>
      <w:r>
        <w:rPr>
          <w:rFonts w:hint="eastAsia" w:asciiTheme="majorEastAsia" w:hAnsiTheme="majorEastAsia" w:eastAsiaTheme="majorEastAsia" w:cstheme="majorEastAsia"/>
          <w:color w:val="auto"/>
          <w:sz w:val="28"/>
          <w:szCs w:val="28"/>
        </w:rPr>
        <w:t>。</w:t>
      </w:r>
    </w:p>
    <w:p>
      <w:pPr>
        <w:adjustRightInd w:val="0"/>
        <w:snapToGrid w:val="0"/>
        <w:spacing w:line="580" w:lineRule="exact"/>
        <w:ind w:firstLine="560" w:firstLineChars="200"/>
        <w:rPr>
          <w:rFonts w:hint="eastAsia" w:asciiTheme="majorEastAsia" w:hAnsiTheme="majorEastAsia" w:eastAsiaTheme="majorEastAsia" w:cstheme="majorEastAsia"/>
          <w:bCs/>
          <w:color w:val="auto"/>
          <w:sz w:val="28"/>
          <w:szCs w:val="28"/>
        </w:rPr>
      </w:pPr>
      <w:r>
        <w:rPr>
          <w:rFonts w:hint="eastAsia" w:asciiTheme="majorEastAsia" w:hAnsiTheme="majorEastAsia" w:eastAsiaTheme="majorEastAsia" w:cstheme="majorEastAsia"/>
          <w:bCs/>
          <w:color w:val="auto"/>
          <w:sz w:val="28"/>
          <w:szCs w:val="28"/>
        </w:rPr>
        <w:t>10</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bCs/>
          <w:color w:val="auto"/>
          <w:sz w:val="28"/>
          <w:szCs w:val="28"/>
        </w:rPr>
        <w:t>计算房地产总价值</w:t>
      </w:r>
    </w:p>
    <w:p>
      <w:pPr>
        <w:spacing w:line="580" w:lineRule="exact"/>
        <w:ind w:firstLine="560" w:firstLineChars="2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V=a/(r-s)×[1-(1+s)</w:t>
      </w:r>
      <w:r>
        <w:rPr>
          <w:rFonts w:hint="eastAsia" w:asciiTheme="majorEastAsia" w:hAnsiTheme="majorEastAsia" w:eastAsiaTheme="majorEastAsia" w:cstheme="majorEastAsia"/>
          <w:color w:val="auto"/>
          <w:sz w:val="28"/>
          <w:szCs w:val="28"/>
          <w:vertAlign w:val="superscript"/>
        </w:rPr>
        <w:t>n</w:t>
      </w:r>
      <w:r>
        <w:rPr>
          <w:rFonts w:hint="eastAsia" w:asciiTheme="majorEastAsia" w:hAnsiTheme="majorEastAsia" w:eastAsiaTheme="majorEastAsia" w:cstheme="majorEastAsia"/>
          <w:color w:val="auto"/>
          <w:sz w:val="28"/>
          <w:szCs w:val="28"/>
        </w:rPr>
        <w:t>/(1+r)</w:t>
      </w:r>
      <w:r>
        <w:rPr>
          <w:rFonts w:hint="eastAsia" w:asciiTheme="majorEastAsia" w:hAnsiTheme="majorEastAsia" w:eastAsiaTheme="majorEastAsia" w:cstheme="majorEastAsia"/>
          <w:color w:val="auto"/>
          <w:sz w:val="28"/>
          <w:szCs w:val="28"/>
          <w:vertAlign w:val="superscript"/>
        </w:rPr>
        <w:t>n</w:t>
      </w:r>
      <w:r>
        <w:rPr>
          <w:rFonts w:hint="eastAsia" w:asciiTheme="majorEastAsia" w:hAnsiTheme="majorEastAsia" w:eastAsiaTheme="majorEastAsia" w:cstheme="majorEastAsia"/>
          <w:color w:val="auto"/>
          <w:sz w:val="28"/>
          <w:szCs w:val="28"/>
        </w:rPr>
        <w:t xml:space="preserve">] </w:t>
      </w:r>
    </w:p>
    <w:p>
      <w:pPr>
        <w:pStyle w:val="9"/>
        <w:spacing w:line="580" w:lineRule="exact"/>
        <w:ind w:firstLine="840" w:firstLineChars="30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val="en-US" w:eastAsia="zh-CN"/>
        </w:rPr>
        <w:t>=1769.38/(5.5%-2.5%)</w:t>
      </w:r>
      <w:r>
        <w:rPr>
          <w:rFonts w:hint="eastAsia" w:asciiTheme="majorEastAsia" w:hAnsiTheme="majorEastAsia" w:eastAsiaTheme="majorEastAsia" w:cstheme="majorEastAsia"/>
          <w:color w:val="auto"/>
          <w:sz w:val="28"/>
          <w:szCs w:val="28"/>
        </w:rPr>
        <w:t>×[1</w:t>
      </w:r>
      <w:r>
        <w:rPr>
          <w:rFonts w:hint="eastAsia" w:asciiTheme="majorEastAsia" w:hAnsiTheme="majorEastAsia" w:eastAsiaTheme="majorEastAsia" w:cstheme="majorEastAsia"/>
          <w:color w:val="auto"/>
          <w:sz w:val="28"/>
          <w:szCs w:val="28"/>
          <w:lang w:val="en-US" w:eastAsia="zh-CN"/>
        </w:rPr>
        <w:t>-(1+2.5%)</w:t>
      </w:r>
      <w:r>
        <w:rPr>
          <w:rFonts w:hint="eastAsia" w:asciiTheme="majorEastAsia" w:hAnsiTheme="majorEastAsia" w:eastAsiaTheme="majorEastAsia" w:cstheme="majorEastAsia"/>
          <w:color w:val="auto"/>
          <w:sz w:val="28"/>
          <w:szCs w:val="28"/>
          <w:vertAlign w:val="superscript"/>
          <w:lang w:val="en-US" w:eastAsia="zh-CN"/>
        </w:rPr>
        <w:t>54.72</w:t>
      </w:r>
      <w:r>
        <w:rPr>
          <w:rFonts w:hint="eastAsia" w:asciiTheme="majorEastAsia" w:hAnsiTheme="majorEastAsia" w:eastAsiaTheme="majorEastAsia" w:cstheme="majorEastAsia"/>
          <w:color w:val="auto"/>
          <w:sz w:val="28"/>
          <w:szCs w:val="28"/>
          <w:lang w:val="en-US" w:eastAsia="zh-CN"/>
        </w:rPr>
        <w:t>/(1+5.5%)</w:t>
      </w:r>
      <w:r>
        <w:rPr>
          <w:rFonts w:hint="eastAsia" w:asciiTheme="majorEastAsia" w:hAnsiTheme="majorEastAsia" w:eastAsiaTheme="majorEastAsia" w:cstheme="majorEastAsia"/>
          <w:color w:val="auto"/>
          <w:sz w:val="28"/>
          <w:szCs w:val="28"/>
          <w:vertAlign w:val="superscript"/>
          <w:lang w:val="en-US" w:eastAsia="zh-CN"/>
        </w:rPr>
        <w:t>54.72</w:t>
      </w:r>
      <w:r>
        <w:rPr>
          <w:rFonts w:hint="eastAsia" w:asciiTheme="majorEastAsia" w:hAnsiTheme="majorEastAsia" w:eastAsiaTheme="majorEastAsia" w:cstheme="majorEastAsia"/>
          <w:color w:val="auto"/>
          <w:sz w:val="28"/>
          <w:szCs w:val="28"/>
        </w:rPr>
        <w:t>]</w:t>
      </w:r>
    </w:p>
    <w:p>
      <w:pPr>
        <w:pStyle w:val="9"/>
        <w:spacing w:line="580" w:lineRule="exact"/>
        <w:ind w:firstLine="840" w:firstLineChars="300"/>
        <w:rPr>
          <w:rFonts w:hint="default"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=46814（元）≈4.68（万元）</w:t>
      </w:r>
    </w:p>
    <w:p>
      <w:pPr>
        <w:pStyle w:val="9"/>
        <w:spacing w:line="580" w:lineRule="exact"/>
        <w:ind w:firstLine="640"/>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lang w:val="en-US" w:eastAsia="zh-CN"/>
        </w:rPr>
        <w:t>评估</w:t>
      </w:r>
      <w:r>
        <w:rPr>
          <w:rFonts w:hint="eastAsia" w:asciiTheme="majorEastAsia" w:hAnsiTheme="majorEastAsia" w:eastAsiaTheme="majorEastAsia" w:cstheme="majorEastAsia"/>
          <w:color w:val="auto"/>
          <w:sz w:val="28"/>
          <w:szCs w:val="28"/>
        </w:rPr>
        <w:t>单价=房地产价值÷建筑面积</w:t>
      </w:r>
    </w:p>
    <w:p>
      <w:pPr>
        <w:pStyle w:val="9"/>
        <w:spacing w:line="580" w:lineRule="exact"/>
        <w:ind w:firstLine="640"/>
        <w:rPr>
          <w:rFonts w:hint="eastAsia" w:ascii="宋体" w:hAnsi="宋体" w:eastAsia="宋体" w:cs="宋体"/>
          <w:color w:val="auto"/>
          <w:sz w:val="28"/>
          <w:szCs w:val="28"/>
          <w:lang w:val="en-US" w:eastAsia="zh-CN"/>
        </w:rPr>
      </w:pPr>
      <w:r>
        <w:rPr>
          <w:rFonts w:hint="eastAsia" w:asciiTheme="majorEastAsia" w:hAnsiTheme="majorEastAsia" w:eastAsiaTheme="majorEastAsia" w:cstheme="majorEastAsia"/>
          <w:color w:val="auto"/>
          <w:sz w:val="28"/>
          <w:szCs w:val="28"/>
        </w:rPr>
        <w:t xml:space="preserve"> </w:t>
      </w:r>
      <w:r>
        <w:rPr>
          <w:rFonts w:hint="eastAsia" w:asciiTheme="majorEastAsia" w:hAnsiTheme="majorEastAsia" w:eastAsiaTheme="majorEastAsia" w:cstheme="majorEastAsia"/>
          <w:color w:val="auto"/>
          <w:sz w:val="28"/>
          <w:szCs w:val="28"/>
          <w:lang w:val="en-US" w:eastAsia="zh-CN"/>
        </w:rPr>
        <w:t xml:space="preserve">       </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46814</w:t>
      </w:r>
      <w:r>
        <w:rPr>
          <w:rFonts w:hint="eastAsia" w:asciiTheme="majorEastAsia" w:hAnsiTheme="majorEastAsia" w:eastAsiaTheme="majorEastAsia" w:cstheme="majorEastAsia"/>
          <w:color w:val="auto"/>
          <w:sz w:val="28"/>
          <w:szCs w:val="28"/>
        </w:rPr>
        <w:t>÷</w:t>
      </w:r>
      <w:r>
        <w:rPr>
          <w:rFonts w:hint="eastAsia" w:asciiTheme="majorEastAsia" w:hAnsiTheme="majorEastAsia" w:eastAsiaTheme="majorEastAsia" w:cstheme="majorEastAsia"/>
          <w:color w:val="auto"/>
          <w:sz w:val="28"/>
          <w:szCs w:val="28"/>
          <w:lang w:val="en-US" w:eastAsia="zh-CN"/>
        </w:rPr>
        <w:t>20.40</w:t>
      </w:r>
    </w:p>
    <w:p>
      <w:pPr>
        <w:spacing w:line="580" w:lineRule="exact"/>
        <w:ind w:firstLine="512" w:firstLineChars="200"/>
        <w:rPr>
          <w:rFonts w:hint="eastAsia" w:asciiTheme="majorEastAsia" w:hAnsiTheme="majorEastAsia" w:eastAsiaTheme="majorEastAsia" w:cstheme="majorEastAsia"/>
          <w:bCs/>
          <w:color w:val="auto"/>
          <w:spacing w:val="-12"/>
          <w:kern w:val="0"/>
          <w:sz w:val="28"/>
          <w:szCs w:val="28"/>
        </w:rPr>
      </w:pPr>
      <w:r>
        <w:rPr>
          <w:rFonts w:hint="eastAsia" w:asciiTheme="majorEastAsia" w:hAnsiTheme="majorEastAsia" w:eastAsiaTheme="majorEastAsia" w:cstheme="majorEastAsia"/>
          <w:bCs/>
          <w:color w:val="auto"/>
          <w:spacing w:val="-12"/>
          <w:kern w:val="0"/>
          <w:sz w:val="28"/>
          <w:szCs w:val="28"/>
        </w:rPr>
        <w:t xml:space="preserve">          =</w:t>
      </w:r>
      <w:r>
        <w:rPr>
          <w:rFonts w:hint="eastAsia" w:asciiTheme="majorEastAsia" w:hAnsiTheme="majorEastAsia" w:eastAsiaTheme="majorEastAsia" w:cstheme="majorEastAsia"/>
          <w:bCs/>
          <w:color w:val="auto"/>
          <w:spacing w:val="-12"/>
          <w:kern w:val="0"/>
          <w:sz w:val="28"/>
          <w:szCs w:val="28"/>
          <w:lang w:val="en-US" w:eastAsia="zh-CN"/>
        </w:rPr>
        <w:t>2295</w:t>
      </w:r>
      <w:r>
        <w:rPr>
          <w:rFonts w:hint="eastAsia" w:asciiTheme="majorEastAsia" w:hAnsiTheme="majorEastAsia" w:eastAsiaTheme="majorEastAsia" w:cstheme="majorEastAsia"/>
          <w:bCs/>
          <w:color w:val="auto"/>
          <w:spacing w:val="-12"/>
          <w:kern w:val="0"/>
          <w:sz w:val="28"/>
          <w:szCs w:val="28"/>
        </w:rPr>
        <w:t>元/平方米</w:t>
      </w:r>
    </w:p>
    <w:p>
      <w:pPr>
        <w:tabs>
          <w:tab w:val="left" w:pos="630"/>
        </w:tabs>
        <w:spacing w:line="580" w:lineRule="exact"/>
        <w:ind w:firstLine="562" w:firstLineChars="200"/>
        <w:rPr>
          <w:rFonts w:hint="eastAsia" w:asciiTheme="majorEastAsia" w:hAnsiTheme="majorEastAsia" w:eastAsiaTheme="majorEastAsia" w:cstheme="majorEastAsia"/>
          <w:b/>
          <w:bCs/>
          <w:color w:val="auto"/>
          <w:sz w:val="28"/>
          <w:szCs w:val="22"/>
          <w:highlight w:val="none"/>
        </w:rPr>
      </w:pPr>
      <w:r>
        <w:rPr>
          <w:rFonts w:hint="eastAsia" w:asciiTheme="majorEastAsia" w:hAnsiTheme="majorEastAsia" w:eastAsiaTheme="majorEastAsia" w:cstheme="majorEastAsia"/>
          <w:b/>
          <w:bCs/>
          <w:color w:val="auto"/>
          <w:sz w:val="28"/>
          <w:szCs w:val="22"/>
          <w:highlight w:val="none"/>
        </w:rPr>
        <w:t>七、评估结果的确定</w:t>
      </w:r>
    </w:p>
    <w:p>
      <w:pPr>
        <w:spacing w:line="580" w:lineRule="exact"/>
        <w:ind w:firstLine="560" w:firstLineChars="200"/>
        <w:rPr>
          <w:rFonts w:hint="eastAsia" w:asciiTheme="majorEastAsia" w:hAnsiTheme="majorEastAsia" w:eastAsiaTheme="majorEastAsia" w:cstheme="majorEastAsia"/>
          <w:b w:val="0"/>
          <w:bCs/>
          <w:color w:val="auto"/>
          <w:sz w:val="28"/>
          <w:szCs w:val="22"/>
          <w:highlight w:val="none"/>
          <w:vertAlign w:val="baseline"/>
          <w:lang w:val="en-US" w:eastAsia="zh-CN"/>
        </w:rPr>
      </w:pPr>
      <w:r>
        <w:rPr>
          <w:rFonts w:hint="eastAsia" w:asciiTheme="majorEastAsia" w:hAnsiTheme="majorEastAsia" w:eastAsiaTheme="majorEastAsia" w:cstheme="majorEastAsia"/>
          <w:color w:val="auto"/>
          <w:sz w:val="28"/>
          <w:szCs w:val="22"/>
          <w:highlight w:val="none"/>
        </w:rPr>
        <w:t>经过测算，取整确定评估对象在价格评估基准日的评估价格为</w:t>
      </w:r>
      <w:r>
        <w:rPr>
          <w:rFonts w:hint="eastAsia" w:asciiTheme="majorEastAsia" w:hAnsiTheme="majorEastAsia" w:eastAsiaTheme="majorEastAsia" w:cstheme="majorEastAsia"/>
          <w:b/>
          <w:color w:val="auto"/>
          <w:sz w:val="28"/>
          <w:szCs w:val="22"/>
          <w:highlight w:val="none"/>
        </w:rPr>
        <w:t>¥</w:t>
      </w:r>
      <w:r>
        <w:rPr>
          <w:rFonts w:hint="eastAsia" w:asciiTheme="majorEastAsia" w:hAnsiTheme="majorEastAsia" w:eastAsiaTheme="majorEastAsia" w:cstheme="majorEastAsia"/>
          <w:b/>
          <w:color w:val="auto"/>
          <w:sz w:val="28"/>
          <w:szCs w:val="22"/>
          <w:highlight w:val="none"/>
          <w:lang w:val="en-US" w:eastAsia="zh-CN"/>
        </w:rPr>
        <w:t>20.82</w:t>
      </w:r>
      <w:r>
        <w:rPr>
          <w:rFonts w:hint="eastAsia" w:asciiTheme="majorEastAsia" w:hAnsiTheme="majorEastAsia" w:eastAsiaTheme="majorEastAsia" w:cstheme="majorEastAsia"/>
          <w:b/>
          <w:color w:val="auto"/>
          <w:sz w:val="28"/>
          <w:szCs w:val="22"/>
          <w:highlight w:val="none"/>
        </w:rPr>
        <w:t>万元（人民币</w:t>
      </w:r>
      <w:r>
        <w:rPr>
          <w:rFonts w:hint="eastAsia" w:asciiTheme="majorEastAsia" w:hAnsiTheme="majorEastAsia" w:eastAsiaTheme="majorEastAsia" w:cstheme="majorEastAsia"/>
          <w:b/>
          <w:color w:val="auto"/>
          <w:sz w:val="28"/>
          <w:szCs w:val="22"/>
          <w:highlight w:val="none"/>
          <w:lang w:val="en-US" w:eastAsia="zh-CN"/>
        </w:rPr>
        <w:t>贰拾万零捌仟贰佰</w:t>
      </w:r>
      <w:r>
        <w:rPr>
          <w:rFonts w:hint="eastAsia" w:asciiTheme="majorEastAsia" w:hAnsiTheme="majorEastAsia" w:eastAsiaTheme="majorEastAsia" w:cstheme="majorEastAsia"/>
          <w:b/>
          <w:color w:val="auto"/>
          <w:sz w:val="28"/>
          <w:szCs w:val="22"/>
          <w:highlight w:val="none"/>
        </w:rPr>
        <w:t>元整）</w:t>
      </w:r>
      <w:r>
        <w:rPr>
          <w:rFonts w:hint="eastAsia" w:asciiTheme="majorEastAsia" w:hAnsiTheme="majorEastAsia" w:eastAsiaTheme="majorEastAsia" w:cstheme="majorEastAsia"/>
          <w:b/>
          <w:color w:val="auto"/>
          <w:sz w:val="28"/>
          <w:szCs w:val="22"/>
          <w:highlight w:val="none"/>
          <w:lang w:val="en-US" w:eastAsia="zh-CN"/>
        </w:rPr>
        <w:t>,</w:t>
      </w:r>
      <w:r>
        <w:rPr>
          <w:rFonts w:hint="eastAsia" w:asciiTheme="majorEastAsia" w:hAnsiTheme="majorEastAsia" w:eastAsiaTheme="majorEastAsia" w:cstheme="majorEastAsia"/>
          <w:b w:val="0"/>
          <w:bCs/>
          <w:color w:val="auto"/>
          <w:sz w:val="28"/>
          <w:szCs w:val="22"/>
          <w:highlight w:val="none"/>
          <w:lang w:val="en-US" w:eastAsia="zh-CN"/>
        </w:rPr>
        <w:t>详见下表：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497"/>
        <w:gridCol w:w="1497"/>
        <w:gridCol w:w="1438"/>
        <w:gridCol w:w="2043"/>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497" w:type="dxa"/>
            <w:vAlign w:val="center"/>
          </w:tcPr>
          <w:p>
            <w:pPr>
              <w:spacing w:line="580" w:lineRule="exact"/>
              <w:jc w:val="center"/>
              <w:rPr>
                <w:rFonts w:hint="eastAsia" w:ascii="宋体" w:hAnsi="宋体" w:eastAsia="宋体" w:cs="宋体"/>
                <w:b/>
                <w:bCs w:val="0"/>
                <w:color w:val="auto"/>
                <w:sz w:val="21"/>
                <w:szCs w:val="21"/>
                <w:highlight w:val="none"/>
                <w:vertAlign w:val="baseline"/>
                <w:lang w:val="en-US" w:eastAsia="zh-CN"/>
              </w:rPr>
            </w:pPr>
            <w:r>
              <w:rPr>
                <w:rFonts w:hint="eastAsia" w:ascii="宋体" w:hAnsi="宋体" w:eastAsia="宋体" w:cs="宋体"/>
                <w:b/>
                <w:bCs w:val="0"/>
                <w:color w:val="auto"/>
                <w:sz w:val="21"/>
                <w:szCs w:val="21"/>
                <w:highlight w:val="none"/>
                <w:vertAlign w:val="baseline"/>
                <w:lang w:val="en-US" w:eastAsia="zh-CN"/>
              </w:rPr>
              <w:t>项目</w:t>
            </w:r>
          </w:p>
        </w:tc>
        <w:tc>
          <w:tcPr>
            <w:tcW w:w="1497" w:type="dxa"/>
            <w:vAlign w:val="center"/>
          </w:tcPr>
          <w:p>
            <w:pPr>
              <w:spacing w:line="580" w:lineRule="exact"/>
              <w:jc w:val="center"/>
              <w:rPr>
                <w:rFonts w:hint="eastAsia" w:ascii="宋体" w:hAnsi="宋体" w:eastAsia="宋体" w:cs="宋体"/>
                <w:b/>
                <w:bCs w:val="0"/>
                <w:color w:val="auto"/>
                <w:sz w:val="21"/>
                <w:szCs w:val="21"/>
                <w:highlight w:val="none"/>
                <w:vertAlign w:val="baseline"/>
                <w:lang w:val="en-US" w:eastAsia="zh-CN"/>
              </w:rPr>
            </w:pPr>
            <w:r>
              <w:rPr>
                <w:rFonts w:hint="eastAsia" w:ascii="宋体" w:hAnsi="宋体" w:eastAsia="宋体" w:cs="宋体"/>
                <w:b/>
                <w:bCs w:val="0"/>
                <w:color w:val="auto"/>
                <w:sz w:val="21"/>
                <w:szCs w:val="21"/>
                <w:highlight w:val="none"/>
                <w:vertAlign w:val="baseline"/>
                <w:lang w:val="en-US" w:eastAsia="zh-CN"/>
              </w:rPr>
              <w:t>用途</w:t>
            </w:r>
          </w:p>
        </w:tc>
        <w:tc>
          <w:tcPr>
            <w:tcW w:w="1438" w:type="dxa"/>
            <w:vAlign w:val="center"/>
          </w:tcPr>
          <w:p>
            <w:pPr>
              <w:spacing w:line="580" w:lineRule="exact"/>
              <w:jc w:val="center"/>
              <w:rPr>
                <w:rFonts w:hint="eastAsia" w:ascii="宋体" w:hAnsi="宋体" w:eastAsia="宋体" w:cs="宋体"/>
                <w:b/>
                <w:bCs w:val="0"/>
                <w:color w:val="auto"/>
                <w:kern w:val="2"/>
                <w:sz w:val="21"/>
                <w:szCs w:val="21"/>
                <w:highlight w:val="none"/>
                <w:vertAlign w:val="baseline"/>
                <w:lang w:val="en-US" w:eastAsia="zh-CN" w:bidi="ar-SA"/>
              </w:rPr>
            </w:pPr>
            <w:r>
              <w:rPr>
                <w:rFonts w:hint="eastAsia" w:ascii="宋体" w:hAnsi="宋体" w:eastAsia="宋体" w:cs="宋体"/>
                <w:b/>
                <w:bCs w:val="0"/>
                <w:color w:val="auto"/>
                <w:sz w:val="21"/>
                <w:szCs w:val="21"/>
                <w:highlight w:val="none"/>
                <w:vertAlign w:val="baseline"/>
                <w:lang w:val="en-US" w:eastAsia="zh-CN"/>
              </w:rPr>
              <w:t>建筑面积（m</w:t>
            </w:r>
            <w:r>
              <w:rPr>
                <w:rFonts w:hint="eastAsia" w:ascii="宋体" w:hAnsi="宋体" w:eastAsia="宋体" w:cs="宋体"/>
                <w:b/>
                <w:bCs w:val="0"/>
                <w:color w:val="auto"/>
                <w:sz w:val="21"/>
                <w:szCs w:val="21"/>
                <w:highlight w:val="none"/>
                <w:vertAlign w:val="superscript"/>
                <w:lang w:val="en-US" w:eastAsia="zh-CN"/>
              </w:rPr>
              <w:t>2</w:t>
            </w:r>
            <w:r>
              <w:rPr>
                <w:rFonts w:hint="eastAsia" w:ascii="宋体" w:hAnsi="宋体" w:eastAsia="宋体" w:cs="宋体"/>
                <w:b/>
                <w:bCs w:val="0"/>
                <w:color w:val="auto"/>
                <w:sz w:val="21"/>
                <w:szCs w:val="21"/>
                <w:highlight w:val="none"/>
                <w:vertAlign w:val="baseline"/>
                <w:lang w:val="en-US" w:eastAsia="zh-CN"/>
              </w:rPr>
              <w:t>）</w:t>
            </w:r>
          </w:p>
        </w:tc>
        <w:tc>
          <w:tcPr>
            <w:tcW w:w="2043" w:type="dxa"/>
            <w:vAlign w:val="center"/>
          </w:tcPr>
          <w:p>
            <w:pPr>
              <w:spacing w:line="580" w:lineRule="exact"/>
              <w:jc w:val="center"/>
              <w:rPr>
                <w:rFonts w:hint="eastAsia" w:ascii="宋体" w:hAnsi="宋体" w:eastAsia="宋体" w:cs="宋体"/>
                <w:b/>
                <w:bCs w:val="0"/>
                <w:color w:val="auto"/>
                <w:kern w:val="2"/>
                <w:sz w:val="21"/>
                <w:szCs w:val="21"/>
                <w:highlight w:val="none"/>
                <w:vertAlign w:val="baseline"/>
                <w:lang w:val="en-US" w:eastAsia="zh-CN" w:bidi="ar-SA"/>
              </w:rPr>
            </w:pPr>
            <w:r>
              <w:rPr>
                <w:rFonts w:hint="eastAsia" w:ascii="宋体" w:hAnsi="宋体" w:eastAsia="宋体" w:cs="宋体"/>
                <w:b/>
                <w:bCs w:val="0"/>
                <w:color w:val="auto"/>
                <w:sz w:val="21"/>
                <w:szCs w:val="21"/>
                <w:highlight w:val="none"/>
                <w:vertAlign w:val="baseline"/>
                <w:lang w:val="en-US" w:eastAsia="zh-CN"/>
              </w:rPr>
              <w:t>评估单价（元/m</w:t>
            </w:r>
            <w:r>
              <w:rPr>
                <w:rFonts w:hint="eastAsia" w:ascii="宋体" w:hAnsi="宋体" w:eastAsia="宋体" w:cs="宋体"/>
                <w:b/>
                <w:bCs w:val="0"/>
                <w:color w:val="auto"/>
                <w:sz w:val="21"/>
                <w:szCs w:val="21"/>
                <w:highlight w:val="none"/>
                <w:vertAlign w:val="superscript"/>
                <w:lang w:val="en-US" w:eastAsia="zh-CN"/>
              </w:rPr>
              <w:t>2</w:t>
            </w:r>
            <w:r>
              <w:rPr>
                <w:rFonts w:hint="eastAsia" w:ascii="宋体" w:hAnsi="宋体" w:eastAsia="宋体" w:cs="宋体"/>
                <w:b/>
                <w:bCs w:val="0"/>
                <w:color w:val="auto"/>
                <w:sz w:val="21"/>
                <w:szCs w:val="21"/>
                <w:highlight w:val="none"/>
                <w:vertAlign w:val="baseline"/>
                <w:lang w:val="en-US" w:eastAsia="zh-CN"/>
              </w:rPr>
              <w:t>）</w:t>
            </w:r>
          </w:p>
        </w:tc>
        <w:tc>
          <w:tcPr>
            <w:tcW w:w="2043" w:type="dxa"/>
            <w:vAlign w:val="center"/>
          </w:tcPr>
          <w:p>
            <w:pPr>
              <w:spacing w:line="580" w:lineRule="exact"/>
              <w:jc w:val="center"/>
              <w:rPr>
                <w:rFonts w:hint="eastAsia" w:ascii="宋体" w:hAnsi="宋体" w:eastAsia="宋体" w:cs="宋体"/>
                <w:b/>
                <w:bCs w:val="0"/>
                <w:color w:val="auto"/>
                <w:kern w:val="2"/>
                <w:sz w:val="21"/>
                <w:szCs w:val="21"/>
                <w:highlight w:val="none"/>
                <w:vertAlign w:val="baseline"/>
                <w:lang w:val="en-US" w:eastAsia="zh-CN" w:bidi="ar-SA"/>
              </w:rPr>
            </w:pPr>
            <w:r>
              <w:rPr>
                <w:rFonts w:hint="eastAsia" w:ascii="宋体" w:hAnsi="宋体" w:eastAsia="宋体" w:cs="宋体"/>
                <w:b/>
                <w:bCs w:val="0"/>
                <w:color w:val="auto"/>
                <w:sz w:val="21"/>
                <w:szCs w:val="21"/>
                <w:highlight w:val="none"/>
                <w:vertAlign w:val="baseline"/>
                <w:lang w:val="en-US" w:eastAsia="zh-CN"/>
              </w:rPr>
              <w:t>评估价值（万元）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497"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1-1-1A号</w:t>
            </w:r>
          </w:p>
        </w:tc>
        <w:tc>
          <w:tcPr>
            <w:tcW w:w="1497"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住宅</w:t>
            </w:r>
          </w:p>
        </w:tc>
        <w:tc>
          <w:tcPr>
            <w:tcW w:w="1438"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61.92</w:t>
            </w:r>
          </w:p>
        </w:tc>
        <w:tc>
          <w:tcPr>
            <w:tcW w:w="2043" w:type="dxa"/>
            <w:vAlign w:val="center"/>
          </w:tcPr>
          <w:p>
            <w:pPr>
              <w:spacing w:line="580" w:lineRule="exact"/>
              <w:ind w:firstLine="0"/>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2607</w:t>
            </w:r>
          </w:p>
        </w:tc>
        <w:tc>
          <w:tcPr>
            <w:tcW w:w="2043"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16.14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497"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1-1-1B号</w:t>
            </w:r>
          </w:p>
        </w:tc>
        <w:tc>
          <w:tcPr>
            <w:tcW w:w="1497"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车库</w:t>
            </w:r>
          </w:p>
        </w:tc>
        <w:tc>
          <w:tcPr>
            <w:tcW w:w="1438"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20.40</w:t>
            </w:r>
          </w:p>
        </w:tc>
        <w:tc>
          <w:tcPr>
            <w:tcW w:w="2043"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2259</w:t>
            </w:r>
          </w:p>
        </w:tc>
        <w:tc>
          <w:tcPr>
            <w:tcW w:w="2043" w:type="dxa"/>
            <w:vAlign w:val="center"/>
          </w:tcPr>
          <w:p>
            <w:pPr>
              <w:spacing w:line="580" w:lineRule="exact"/>
              <w:jc w:val="center"/>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497" w:type="dxa"/>
            <w:vAlign w:val="center"/>
          </w:tcPr>
          <w:p>
            <w:pPr>
              <w:spacing w:line="580" w:lineRule="exact"/>
              <w:jc w:val="center"/>
              <w:rPr>
                <w:rFonts w:hint="eastAsia" w:ascii="宋体" w:hAnsi="宋体" w:eastAsia="宋体" w:cs="宋体"/>
                <w:b/>
                <w:bCs w:val="0"/>
                <w:color w:val="auto"/>
                <w:sz w:val="21"/>
                <w:szCs w:val="21"/>
                <w:highlight w:val="none"/>
                <w:vertAlign w:val="baseline"/>
                <w:lang w:val="en-US" w:eastAsia="zh-CN"/>
              </w:rPr>
            </w:pPr>
            <w:r>
              <w:rPr>
                <w:rFonts w:hint="eastAsia" w:ascii="宋体" w:hAnsi="宋体" w:eastAsia="宋体" w:cs="宋体"/>
                <w:b/>
                <w:bCs w:val="0"/>
                <w:color w:val="auto"/>
                <w:sz w:val="21"/>
                <w:szCs w:val="21"/>
                <w:highlight w:val="none"/>
                <w:vertAlign w:val="baseline"/>
                <w:lang w:val="en-US" w:eastAsia="zh-CN"/>
              </w:rPr>
              <w:t>合计</w:t>
            </w:r>
          </w:p>
        </w:tc>
        <w:tc>
          <w:tcPr>
            <w:tcW w:w="1497" w:type="dxa"/>
            <w:vAlign w:val="center"/>
          </w:tcPr>
          <w:p>
            <w:pPr>
              <w:spacing w:line="580" w:lineRule="exact"/>
              <w:jc w:val="center"/>
              <w:rPr>
                <w:rFonts w:hint="eastAsia" w:ascii="宋体" w:hAnsi="宋体" w:eastAsia="宋体" w:cs="宋体"/>
                <w:b/>
                <w:bCs w:val="0"/>
                <w:color w:val="auto"/>
                <w:sz w:val="21"/>
                <w:szCs w:val="21"/>
                <w:highlight w:val="none"/>
                <w:vertAlign w:val="baseline"/>
                <w:lang w:val="en-US" w:eastAsia="zh-CN"/>
              </w:rPr>
            </w:pPr>
          </w:p>
        </w:tc>
        <w:tc>
          <w:tcPr>
            <w:tcW w:w="1438" w:type="dxa"/>
            <w:vAlign w:val="center"/>
          </w:tcPr>
          <w:p>
            <w:pPr>
              <w:spacing w:line="580" w:lineRule="exact"/>
              <w:ind w:firstLine="0" w:firstLineChars="0"/>
              <w:jc w:val="center"/>
              <w:rPr>
                <w:rFonts w:hint="eastAsia" w:ascii="宋体" w:hAnsi="宋体" w:eastAsia="宋体" w:cs="宋体"/>
                <w:b/>
                <w:bCs w:val="0"/>
                <w:color w:val="auto"/>
                <w:sz w:val="21"/>
                <w:szCs w:val="21"/>
                <w:highlight w:val="none"/>
                <w:vertAlign w:val="baseline"/>
                <w:lang w:val="en-US" w:eastAsia="zh-CN"/>
              </w:rPr>
            </w:pPr>
            <w:r>
              <w:rPr>
                <w:rFonts w:hint="eastAsia" w:ascii="宋体" w:hAnsi="宋体" w:eastAsia="宋体" w:cs="宋体"/>
                <w:b/>
                <w:bCs w:val="0"/>
                <w:color w:val="auto"/>
                <w:sz w:val="21"/>
                <w:szCs w:val="21"/>
                <w:highlight w:val="none"/>
                <w:vertAlign w:val="baseline"/>
                <w:lang w:val="en-US" w:eastAsia="zh-CN"/>
              </w:rPr>
              <w:t>82.32</w:t>
            </w:r>
          </w:p>
        </w:tc>
        <w:tc>
          <w:tcPr>
            <w:tcW w:w="2043" w:type="dxa"/>
            <w:vAlign w:val="center"/>
          </w:tcPr>
          <w:p>
            <w:pPr>
              <w:spacing w:line="580" w:lineRule="exact"/>
              <w:jc w:val="center"/>
              <w:rPr>
                <w:rFonts w:hint="eastAsia" w:ascii="宋体" w:hAnsi="宋体" w:eastAsia="宋体" w:cs="宋体"/>
                <w:b/>
                <w:bCs w:val="0"/>
                <w:color w:val="auto"/>
                <w:sz w:val="21"/>
                <w:szCs w:val="21"/>
                <w:highlight w:val="none"/>
                <w:vertAlign w:val="baseline"/>
                <w:lang w:val="en-US" w:eastAsia="zh-CN"/>
              </w:rPr>
            </w:pPr>
          </w:p>
        </w:tc>
        <w:tc>
          <w:tcPr>
            <w:tcW w:w="2043" w:type="dxa"/>
            <w:vAlign w:val="center"/>
          </w:tcPr>
          <w:p>
            <w:pPr>
              <w:spacing w:line="580" w:lineRule="exact"/>
              <w:jc w:val="center"/>
              <w:rPr>
                <w:rFonts w:hint="eastAsia" w:ascii="宋体" w:hAnsi="宋体" w:eastAsia="宋体" w:cs="宋体"/>
                <w:b/>
                <w:bCs w:val="0"/>
                <w:color w:val="auto"/>
                <w:sz w:val="21"/>
                <w:szCs w:val="21"/>
                <w:highlight w:val="none"/>
                <w:vertAlign w:val="baseline"/>
                <w:lang w:val="en-US" w:eastAsia="zh-CN"/>
              </w:rPr>
            </w:pPr>
            <w:r>
              <w:rPr>
                <w:rFonts w:hint="eastAsia" w:ascii="宋体" w:hAnsi="宋体" w:eastAsia="宋体" w:cs="宋体"/>
                <w:b/>
                <w:bCs w:val="0"/>
                <w:color w:val="auto"/>
                <w:sz w:val="21"/>
                <w:szCs w:val="21"/>
                <w:highlight w:val="none"/>
                <w:vertAlign w:val="baseline"/>
                <w:lang w:val="en-US" w:eastAsia="zh-CN"/>
              </w:rPr>
              <w:t>20.82</w:t>
            </w:r>
          </w:p>
        </w:tc>
      </w:tr>
    </w:tbl>
    <w:p>
      <w:pPr>
        <w:spacing w:line="580" w:lineRule="exact"/>
        <w:ind w:firstLine="560" w:firstLineChars="200"/>
        <w:rPr>
          <w:rFonts w:hint="eastAsia" w:asciiTheme="majorEastAsia" w:hAnsiTheme="majorEastAsia" w:eastAsiaTheme="majorEastAsia" w:cstheme="majorEastAsia"/>
          <w:b w:val="0"/>
          <w:bCs/>
          <w:color w:val="auto"/>
          <w:sz w:val="28"/>
          <w:szCs w:val="22"/>
          <w:highlight w:val="none"/>
          <w:lang w:val="en-US" w:eastAsia="zh-CN"/>
        </w:rPr>
      </w:pPr>
    </w:p>
    <w:p>
      <w:pPr>
        <w:tabs>
          <w:tab w:val="left" w:pos="630"/>
        </w:tabs>
        <w:spacing w:line="580" w:lineRule="exact"/>
        <w:ind w:firstLine="480" w:firstLineChars="200"/>
        <w:rPr>
          <w:rFonts w:hint="eastAsia" w:ascii="仿宋" w:hAnsi="仿宋" w:eastAsia="仿宋" w:cs="仿宋"/>
          <w:color w:val="auto"/>
          <w:sz w:val="24"/>
        </w:rPr>
      </w:pPr>
    </w:p>
    <w:p>
      <w:pPr>
        <w:pStyle w:val="2"/>
        <w:ind w:firstLine="210"/>
        <w:rPr>
          <w:rFonts w:hint="eastAsia" w:ascii="仿宋" w:hAnsi="仿宋" w:eastAsia="仿宋" w:cs="仿宋"/>
          <w:color w:val="auto"/>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方正书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Bdr>
        <w:bottom w:val="single" w:color="auto" w:sz="4" w:space="1"/>
      </w:pBdr>
    </w:pPr>
    <w:r>
      <w:rPr>
        <w:rFonts w:hint="eastAsia"/>
      </w:rPr>
      <w:t xml:space="preserve"> 皓天评估集团有限责任公司                                                  价格鉴证评估报告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32B59A"/>
    <w:multiLevelType w:val="singleLevel"/>
    <w:tmpl w:val="8E32B59A"/>
    <w:lvl w:ilvl="0" w:tentative="0">
      <w:start w:val="6"/>
      <w:numFmt w:val="chineseCounting"/>
      <w:suff w:val="nothing"/>
      <w:lvlText w:val="（%1）"/>
      <w:lvlJc w:val="left"/>
      <w:rPr>
        <w:rFonts w:hint="eastAsia"/>
      </w:rPr>
    </w:lvl>
  </w:abstractNum>
  <w:abstractNum w:abstractNumId="1">
    <w:nsid w:val="D0C6EF42"/>
    <w:multiLevelType w:val="singleLevel"/>
    <w:tmpl w:val="D0C6EF42"/>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4YzQzODZjMjI2YTc3ZGVmODFiNGNlMTNlZmJlNDAifQ=="/>
  </w:docVars>
  <w:rsids>
    <w:rsidRoot w:val="00172A27"/>
    <w:rsid w:val="000751BF"/>
    <w:rsid w:val="00095DD6"/>
    <w:rsid w:val="0009723F"/>
    <w:rsid w:val="000C3CB4"/>
    <w:rsid w:val="000D20BC"/>
    <w:rsid w:val="00172A27"/>
    <w:rsid w:val="001748BB"/>
    <w:rsid w:val="001B1409"/>
    <w:rsid w:val="001D79F3"/>
    <w:rsid w:val="0022119C"/>
    <w:rsid w:val="002D43FF"/>
    <w:rsid w:val="002E0BA7"/>
    <w:rsid w:val="002E63A0"/>
    <w:rsid w:val="003879A9"/>
    <w:rsid w:val="003A73E4"/>
    <w:rsid w:val="003B372E"/>
    <w:rsid w:val="003C0525"/>
    <w:rsid w:val="0045089A"/>
    <w:rsid w:val="00452AA0"/>
    <w:rsid w:val="00457F10"/>
    <w:rsid w:val="00546E6C"/>
    <w:rsid w:val="00567321"/>
    <w:rsid w:val="005B22A2"/>
    <w:rsid w:val="005E0B7E"/>
    <w:rsid w:val="0061312E"/>
    <w:rsid w:val="00630FA8"/>
    <w:rsid w:val="00631507"/>
    <w:rsid w:val="00693E5C"/>
    <w:rsid w:val="006B55A6"/>
    <w:rsid w:val="00726513"/>
    <w:rsid w:val="007358AA"/>
    <w:rsid w:val="007D6A27"/>
    <w:rsid w:val="008646D3"/>
    <w:rsid w:val="008D208B"/>
    <w:rsid w:val="008F46B5"/>
    <w:rsid w:val="008F6D27"/>
    <w:rsid w:val="009158B6"/>
    <w:rsid w:val="009D2316"/>
    <w:rsid w:val="00A11327"/>
    <w:rsid w:val="00A21B72"/>
    <w:rsid w:val="00A47E06"/>
    <w:rsid w:val="00A73601"/>
    <w:rsid w:val="00A9010D"/>
    <w:rsid w:val="00AD7209"/>
    <w:rsid w:val="00B0116E"/>
    <w:rsid w:val="00B10D14"/>
    <w:rsid w:val="00B847F6"/>
    <w:rsid w:val="00BC5F61"/>
    <w:rsid w:val="00BC7848"/>
    <w:rsid w:val="00C24F57"/>
    <w:rsid w:val="00C50C8F"/>
    <w:rsid w:val="00C76FF6"/>
    <w:rsid w:val="00CE1AA1"/>
    <w:rsid w:val="00CF3597"/>
    <w:rsid w:val="00CF3A3B"/>
    <w:rsid w:val="00CF7A71"/>
    <w:rsid w:val="00D05146"/>
    <w:rsid w:val="00D10095"/>
    <w:rsid w:val="00D27E15"/>
    <w:rsid w:val="00D56B79"/>
    <w:rsid w:val="00E3118D"/>
    <w:rsid w:val="00E414F4"/>
    <w:rsid w:val="00E475AB"/>
    <w:rsid w:val="00E60A6C"/>
    <w:rsid w:val="00E76E26"/>
    <w:rsid w:val="00EA4C6F"/>
    <w:rsid w:val="00EC4F2B"/>
    <w:rsid w:val="00ED5D2E"/>
    <w:rsid w:val="00EE66F0"/>
    <w:rsid w:val="00EE74E3"/>
    <w:rsid w:val="00F048B2"/>
    <w:rsid w:val="00F30274"/>
    <w:rsid w:val="00F34669"/>
    <w:rsid w:val="00F7512D"/>
    <w:rsid w:val="0156498E"/>
    <w:rsid w:val="016061B3"/>
    <w:rsid w:val="01B034C4"/>
    <w:rsid w:val="025A5680"/>
    <w:rsid w:val="031A34F6"/>
    <w:rsid w:val="033B34F4"/>
    <w:rsid w:val="035459FE"/>
    <w:rsid w:val="03817F0F"/>
    <w:rsid w:val="03E95E4D"/>
    <w:rsid w:val="040B3FD8"/>
    <w:rsid w:val="04252F08"/>
    <w:rsid w:val="04646633"/>
    <w:rsid w:val="046500D2"/>
    <w:rsid w:val="053352F3"/>
    <w:rsid w:val="05783BF2"/>
    <w:rsid w:val="05A202AB"/>
    <w:rsid w:val="05CC4EAC"/>
    <w:rsid w:val="05F76673"/>
    <w:rsid w:val="07417CD4"/>
    <w:rsid w:val="07512E46"/>
    <w:rsid w:val="075D30AB"/>
    <w:rsid w:val="07E073E5"/>
    <w:rsid w:val="080655A0"/>
    <w:rsid w:val="08F655C3"/>
    <w:rsid w:val="091009A1"/>
    <w:rsid w:val="092D6578"/>
    <w:rsid w:val="095064FB"/>
    <w:rsid w:val="09A67490"/>
    <w:rsid w:val="0A7C45C3"/>
    <w:rsid w:val="0ACD0B9B"/>
    <w:rsid w:val="0B0F1EE2"/>
    <w:rsid w:val="0B2E0E40"/>
    <w:rsid w:val="0B514630"/>
    <w:rsid w:val="0B6E359F"/>
    <w:rsid w:val="0BF279E5"/>
    <w:rsid w:val="0C023944"/>
    <w:rsid w:val="0C541C1E"/>
    <w:rsid w:val="0CF73AC3"/>
    <w:rsid w:val="0CFC01A7"/>
    <w:rsid w:val="0D101F7C"/>
    <w:rsid w:val="0D2F05D7"/>
    <w:rsid w:val="0D3851BB"/>
    <w:rsid w:val="0E9B5A41"/>
    <w:rsid w:val="0EB3411D"/>
    <w:rsid w:val="0ED409DC"/>
    <w:rsid w:val="0EE42B7C"/>
    <w:rsid w:val="0F422AD7"/>
    <w:rsid w:val="0FC216ED"/>
    <w:rsid w:val="0FD1636F"/>
    <w:rsid w:val="100205B6"/>
    <w:rsid w:val="101F123D"/>
    <w:rsid w:val="10FE46BF"/>
    <w:rsid w:val="1100226B"/>
    <w:rsid w:val="114C367D"/>
    <w:rsid w:val="11A75DC0"/>
    <w:rsid w:val="11B1020F"/>
    <w:rsid w:val="11E03ACC"/>
    <w:rsid w:val="11F76CFF"/>
    <w:rsid w:val="126A4AB9"/>
    <w:rsid w:val="12A32D62"/>
    <w:rsid w:val="14957626"/>
    <w:rsid w:val="14EA0314"/>
    <w:rsid w:val="15371D3D"/>
    <w:rsid w:val="15DE2469"/>
    <w:rsid w:val="15EC322E"/>
    <w:rsid w:val="169B055D"/>
    <w:rsid w:val="16D412AC"/>
    <w:rsid w:val="171B1331"/>
    <w:rsid w:val="17514AE1"/>
    <w:rsid w:val="179A2FBD"/>
    <w:rsid w:val="17F17D0D"/>
    <w:rsid w:val="180F5369"/>
    <w:rsid w:val="18AC6507"/>
    <w:rsid w:val="19E07783"/>
    <w:rsid w:val="1A516ECD"/>
    <w:rsid w:val="1AC95BEA"/>
    <w:rsid w:val="1ACA007D"/>
    <w:rsid w:val="1AF51998"/>
    <w:rsid w:val="1B143194"/>
    <w:rsid w:val="1B3903C5"/>
    <w:rsid w:val="1BD33634"/>
    <w:rsid w:val="1CE8553E"/>
    <w:rsid w:val="1CFC04AB"/>
    <w:rsid w:val="1D8F7EF8"/>
    <w:rsid w:val="1DC56009"/>
    <w:rsid w:val="1DF86851"/>
    <w:rsid w:val="1E0744F7"/>
    <w:rsid w:val="1E3A70A4"/>
    <w:rsid w:val="1E5531DD"/>
    <w:rsid w:val="1EB717C3"/>
    <w:rsid w:val="1F3C3162"/>
    <w:rsid w:val="1F4B60B9"/>
    <w:rsid w:val="1F586479"/>
    <w:rsid w:val="1F77308C"/>
    <w:rsid w:val="1FAF5C5C"/>
    <w:rsid w:val="207C6C6F"/>
    <w:rsid w:val="207F1B11"/>
    <w:rsid w:val="208B1A9F"/>
    <w:rsid w:val="2091524A"/>
    <w:rsid w:val="20FC7430"/>
    <w:rsid w:val="21366CA4"/>
    <w:rsid w:val="21A80832"/>
    <w:rsid w:val="21AC0D83"/>
    <w:rsid w:val="22C43F96"/>
    <w:rsid w:val="22FF49CB"/>
    <w:rsid w:val="235C1608"/>
    <w:rsid w:val="23A57F8C"/>
    <w:rsid w:val="24230DE8"/>
    <w:rsid w:val="244504D8"/>
    <w:rsid w:val="24A54895"/>
    <w:rsid w:val="25302242"/>
    <w:rsid w:val="257A51EB"/>
    <w:rsid w:val="257F1073"/>
    <w:rsid w:val="25DF6797"/>
    <w:rsid w:val="25FA04DC"/>
    <w:rsid w:val="26756E30"/>
    <w:rsid w:val="268B4562"/>
    <w:rsid w:val="268C3A33"/>
    <w:rsid w:val="27306CFE"/>
    <w:rsid w:val="275512FB"/>
    <w:rsid w:val="27857A7B"/>
    <w:rsid w:val="27B259EB"/>
    <w:rsid w:val="285B5D67"/>
    <w:rsid w:val="28977E66"/>
    <w:rsid w:val="28A43610"/>
    <w:rsid w:val="29380367"/>
    <w:rsid w:val="2A4B1305"/>
    <w:rsid w:val="2ACF2B1A"/>
    <w:rsid w:val="2B1222E3"/>
    <w:rsid w:val="2B456DE0"/>
    <w:rsid w:val="2B5F40AE"/>
    <w:rsid w:val="2B8069F4"/>
    <w:rsid w:val="2C311F1F"/>
    <w:rsid w:val="2CDF3011"/>
    <w:rsid w:val="2CFA5770"/>
    <w:rsid w:val="2D472BAF"/>
    <w:rsid w:val="2D612A00"/>
    <w:rsid w:val="2E077AF1"/>
    <w:rsid w:val="2E0B6F5D"/>
    <w:rsid w:val="2E832D6D"/>
    <w:rsid w:val="2ED638ED"/>
    <w:rsid w:val="2FB70AF2"/>
    <w:rsid w:val="30BE6837"/>
    <w:rsid w:val="30E95111"/>
    <w:rsid w:val="30FE2683"/>
    <w:rsid w:val="317D2E02"/>
    <w:rsid w:val="31C15912"/>
    <w:rsid w:val="31CC7C94"/>
    <w:rsid w:val="31EF1041"/>
    <w:rsid w:val="323F2B75"/>
    <w:rsid w:val="32E44A78"/>
    <w:rsid w:val="33013E78"/>
    <w:rsid w:val="33233306"/>
    <w:rsid w:val="339C736B"/>
    <w:rsid w:val="33B23490"/>
    <w:rsid w:val="33BC1B50"/>
    <w:rsid w:val="33D77114"/>
    <w:rsid w:val="340C4436"/>
    <w:rsid w:val="341708D1"/>
    <w:rsid w:val="34881C33"/>
    <w:rsid w:val="35152AC8"/>
    <w:rsid w:val="358A2C03"/>
    <w:rsid w:val="362776E2"/>
    <w:rsid w:val="362B39B2"/>
    <w:rsid w:val="366A3188"/>
    <w:rsid w:val="367642B2"/>
    <w:rsid w:val="36A525A3"/>
    <w:rsid w:val="36CD108F"/>
    <w:rsid w:val="37363047"/>
    <w:rsid w:val="378A10FC"/>
    <w:rsid w:val="37957979"/>
    <w:rsid w:val="384D1080"/>
    <w:rsid w:val="385E31C1"/>
    <w:rsid w:val="38661270"/>
    <w:rsid w:val="38792D43"/>
    <w:rsid w:val="38AA15F5"/>
    <w:rsid w:val="38AC739F"/>
    <w:rsid w:val="38EB04CB"/>
    <w:rsid w:val="399E4654"/>
    <w:rsid w:val="39C65FCE"/>
    <w:rsid w:val="3A6D30B9"/>
    <w:rsid w:val="3AA03CA6"/>
    <w:rsid w:val="3AB417AD"/>
    <w:rsid w:val="3ADA08B3"/>
    <w:rsid w:val="3AF92C91"/>
    <w:rsid w:val="3C505BE2"/>
    <w:rsid w:val="3D2D2A56"/>
    <w:rsid w:val="3D4671F2"/>
    <w:rsid w:val="3D471524"/>
    <w:rsid w:val="3D7379EE"/>
    <w:rsid w:val="3EFB402E"/>
    <w:rsid w:val="3F7B0C98"/>
    <w:rsid w:val="3FC176A1"/>
    <w:rsid w:val="3FC43A6B"/>
    <w:rsid w:val="41090F2A"/>
    <w:rsid w:val="411F0DA4"/>
    <w:rsid w:val="42126D98"/>
    <w:rsid w:val="424502D4"/>
    <w:rsid w:val="42BE65F8"/>
    <w:rsid w:val="42EC14AC"/>
    <w:rsid w:val="43000F03"/>
    <w:rsid w:val="439A0A77"/>
    <w:rsid w:val="44142F78"/>
    <w:rsid w:val="446A404C"/>
    <w:rsid w:val="447E08D4"/>
    <w:rsid w:val="44B4595A"/>
    <w:rsid w:val="459620DB"/>
    <w:rsid w:val="461D135B"/>
    <w:rsid w:val="462171B5"/>
    <w:rsid w:val="462F1247"/>
    <w:rsid w:val="463F32E9"/>
    <w:rsid w:val="46DA49CB"/>
    <w:rsid w:val="46EF6755"/>
    <w:rsid w:val="470B7EE1"/>
    <w:rsid w:val="47F3679D"/>
    <w:rsid w:val="480C5C2A"/>
    <w:rsid w:val="48372561"/>
    <w:rsid w:val="48E4390A"/>
    <w:rsid w:val="49B06C09"/>
    <w:rsid w:val="49EF4AC6"/>
    <w:rsid w:val="49F74287"/>
    <w:rsid w:val="4A0F4867"/>
    <w:rsid w:val="4A1159C5"/>
    <w:rsid w:val="4A3B5212"/>
    <w:rsid w:val="4AF40B12"/>
    <w:rsid w:val="4BDA2329"/>
    <w:rsid w:val="4BF1208D"/>
    <w:rsid w:val="4C374846"/>
    <w:rsid w:val="4C45620C"/>
    <w:rsid w:val="4C480668"/>
    <w:rsid w:val="4C613CF7"/>
    <w:rsid w:val="4C834B0F"/>
    <w:rsid w:val="4D011B8B"/>
    <w:rsid w:val="4D3A1C2F"/>
    <w:rsid w:val="4D6E2C07"/>
    <w:rsid w:val="4E696DAF"/>
    <w:rsid w:val="4ECA7D8B"/>
    <w:rsid w:val="4F101271"/>
    <w:rsid w:val="4F2A3D38"/>
    <w:rsid w:val="4FAB1D2A"/>
    <w:rsid w:val="4FF46138"/>
    <w:rsid w:val="50274F9E"/>
    <w:rsid w:val="50374594"/>
    <w:rsid w:val="508646E5"/>
    <w:rsid w:val="509C322D"/>
    <w:rsid w:val="516451EE"/>
    <w:rsid w:val="516A30F8"/>
    <w:rsid w:val="51E97711"/>
    <w:rsid w:val="51F536A9"/>
    <w:rsid w:val="522341F6"/>
    <w:rsid w:val="526939DB"/>
    <w:rsid w:val="5280577F"/>
    <w:rsid w:val="52AE587C"/>
    <w:rsid w:val="52D55EFF"/>
    <w:rsid w:val="53080723"/>
    <w:rsid w:val="531438F8"/>
    <w:rsid w:val="535A0296"/>
    <w:rsid w:val="53C525FC"/>
    <w:rsid w:val="54474290"/>
    <w:rsid w:val="546B6B19"/>
    <w:rsid w:val="5472456F"/>
    <w:rsid w:val="549F1FC4"/>
    <w:rsid w:val="551D527F"/>
    <w:rsid w:val="555719ED"/>
    <w:rsid w:val="55A5543C"/>
    <w:rsid w:val="55B9181A"/>
    <w:rsid w:val="55DB46F2"/>
    <w:rsid w:val="562E0976"/>
    <w:rsid w:val="565710F9"/>
    <w:rsid w:val="56CB5C2D"/>
    <w:rsid w:val="56CE7E1E"/>
    <w:rsid w:val="570135F7"/>
    <w:rsid w:val="57A14358"/>
    <w:rsid w:val="57FF139C"/>
    <w:rsid w:val="59DF67B1"/>
    <w:rsid w:val="5A794781"/>
    <w:rsid w:val="5AC37047"/>
    <w:rsid w:val="5B155D29"/>
    <w:rsid w:val="5B7B0840"/>
    <w:rsid w:val="5BD51C5B"/>
    <w:rsid w:val="5CA31B04"/>
    <w:rsid w:val="5CE8394B"/>
    <w:rsid w:val="5CED40FB"/>
    <w:rsid w:val="5D07638F"/>
    <w:rsid w:val="5D262262"/>
    <w:rsid w:val="5DC869FC"/>
    <w:rsid w:val="5DF2144F"/>
    <w:rsid w:val="5F0016FB"/>
    <w:rsid w:val="5F6D3CCA"/>
    <w:rsid w:val="5FB57AF5"/>
    <w:rsid w:val="5FD21AE3"/>
    <w:rsid w:val="5FD47AD1"/>
    <w:rsid w:val="603F431D"/>
    <w:rsid w:val="60710DD1"/>
    <w:rsid w:val="609728AB"/>
    <w:rsid w:val="61300F0B"/>
    <w:rsid w:val="617560D9"/>
    <w:rsid w:val="617D1142"/>
    <w:rsid w:val="61EE36CF"/>
    <w:rsid w:val="62483573"/>
    <w:rsid w:val="626F3544"/>
    <w:rsid w:val="62831A80"/>
    <w:rsid w:val="62D30659"/>
    <w:rsid w:val="62DA498D"/>
    <w:rsid w:val="63071C07"/>
    <w:rsid w:val="63770210"/>
    <w:rsid w:val="63AC3D74"/>
    <w:rsid w:val="63ED5D4B"/>
    <w:rsid w:val="643572C4"/>
    <w:rsid w:val="65E56F3D"/>
    <w:rsid w:val="6619500B"/>
    <w:rsid w:val="66490645"/>
    <w:rsid w:val="66615358"/>
    <w:rsid w:val="670C678D"/>
    <w:rsid w:val="6781524F"/>
    <w:rsid w:val="67850E68"/>
    <w:rsid w:val="678D5F3C"/>
    <w:rsid w:val="678D75E1"/>
    <w:rsid w:val="67D432DF"/>
    <w:rsid w:val="67F627A2"/>
    <w:rsid w:val="68305866"/>
    <w:rsid w:val="68560AFA"/>
    <w:rsid w:val="688A5BFF"/>
    <w:rsid w:val="689C5427"/>
    <w:rsid w:val="69061831"/>
    <w:rsid w:val="691E30B8"/>
    <w:rsid w:val="69E31358"/>
    <w:rsid w:val="6A0452CF"/>
    <w:rsid w:val="6A1F56B9"/>
    <w:rsid w:val="6A743074"/>
    <w:rsid w:val="6A8A1FA1"/>
    <w:rsid w:val="6AE47012"/>
    <w:rsid w:val="6AFC1BA0"/>
    <w:rsid w:val="6B3927A1"/>
    <w:rsid w:val="6B921E9F"/>
    <w:rsid w:val="6B996075"/>
    <w:rsid w:val="6BD73183"/>
    <w:rsid w:val="6C9B04E9"/>
    <w:rsid w:val="6DC01120"/>
    <w:rsid w:val="6E1A6D68"/>
    <w:rsid w:val="6F5F67B3"/>
    <w:rsid w:val="6FCB419F"/>
    <w:rsid w:val="702C4DA2"/>
    <w:rsid w:val="70872D6F"/>
    <w:rsid w:val="70CA5F7F"/>
    <w:rsid w:val="7136189E"/>
    <w:rsid w:val="714B2E47"/>
    <w:rsid w:val="728D2574"/>
    <w:rsid w:val="72DA31ED"/>
    <w:rsid w:val="738C6A7C"/>
    <w:rsid w:val="74C8747D"/>
    <w:rsid w:val="752A3006"/>
    <w:rsid w:val="753C305D"/>
    <w:rsid w:val="75C716A9"/>
    <w:rsid w:val="75FA264A"/>
    <w:rsid w:val="76B62CEE"/>
    <w:rsid w:val="76EA7BB1"/>
    <w:rsid w:val="77757FC5"/>
    <w:rsid w:val="777E4C91"/>
    <w:rsid w:val="77F84491"/>
    <w:rsid w:val="789474A5"/>
    <w:rsid w:val="78A120BA"/>
    <w:rsid w:val="78BC45D6"/>
    <w:rsid w:val="78E76F50"/>
    <w:rsid w:val="790B14A1"/>
    <w:rsid w:val="793B5D06"/>
    <w:rsid w:val="7A6C299F"/>
    <w:rsid w:val="7A9724DA"/>
    <w:rsid w:val="7A9A378D"/>
    <w:rsid w:val="7AD078AF"/>
    <w:rsid w:val="7B21235B"/>
    <w:rsid w:val="7BBE4931"/>
    <w:rsid w:val="7C54767B"/>
    <w:rsid w:val="7C6F5D6E"/>
    <w:rsid w:val="7C737F3A"/>
    <w:rsid w:val="7CC339A4"/>
    <w:rsid w:val="7DDD4D57"/>
    <w:rsid w:val="7E1C5A99"/>
    <w:rsid w:val="7E5D1D3B"/>
    <w:rsid w:val="7E8D6E2E"/>
    <w:rsid w:val="7EBE0A66"/>
    <w:rsid w:val="7EC3680A"/>
    <w:rsid w:val="7F811B70"/>
    <w:rsid w:val="7F9F4340"/>
    <w:rsid w:val="7FAB3F05"/>
    <w:rsid w:val="7FDB1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jc w:val="center"/>
    </w:pPr>
  </w:style>
  <w:style w:type="paragraph" w:styleId="5">
    <w:name w:val="Normal Indent"/>
    <w:basedOn w:val="1"/>
    <w:qFormat/>
    <w:uiPriority w:val="99"/>
    <w:pPr>
      <w:ind w:firstLine="420" w:firstLineChars="200"/>
    </w:pPr>
  </w:style>
  <w:style w:type="paragraph" w:styleId="6">
    <w:name w:val="caption"/>
    <w:basedOn w:val="1"/>
    <w:next w:val="1"/>
    <w:qFormat/>
    <w:uiPriority w:val="99"/>
    <w:rPr>
      <w:rFonts w:ascii="Arial" w:hAnsi="Arial" w:eastAsia="黑体" w:cs="Arial"/>
      <w:sz w:val="20"/>
      <w:szCs w:val="20"/>
    </w:rPr>
  </w:style>
  <w:style w:type="paragraph" w:styleId="7">
    <w:name w:val="annotation text"/>
    <w:basedOn w:val="1"/>
    <w:qFormat/>
    <w:uiPriority w:val="0"/>
    <w:pPr>
      <w:jc w:val="left"/>
    </w:pPr>
  </w:style>
  <w:style w:type="paragraph" w:styleId="8">
    <w:name w:val="Body Text Indent"/>
    <w:basedOn w:val="1"/>
    <w:qFormat/>
    <w:uiPriority w:val="0"/>
    <w:pPr>
      <w:spacing w:line="360" w:lineRule="auto"/>
      <w:ind w:firstLine="560" w:firstLineChars="200"/>
    </w:pPr>
    <w:rPr>
      <w:rFonts w:ascii="宋体" w:hAnsi="宋体"/>
      <w:sz w:val="28"/>
    </w:rPr>
  </w:style>
  <w:style w:type="paragraph" w:styleId="9">
    <w:name w:val="Body Text Indent 2"/>
    <w:basedOn w:val="1"/>
    <w:qFormat/>
    <w:uiPriority w:val="0"/>
    <w:pPr>
      <w:spacing w:line="640" w:lineRule="exact"/>
      <w:ind w:firstLine="200" w:firstLineChars="200"/>
    </w:pPr>
    <w:rPr>
      <w:rFonts w:ascii="Times New Roman" w:hAnsi="Times New Roman" w:eastAsia="楷体_GB2312" w:cs="Times New Roman"/>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39"/>
    <w:pPr>
      <w:jc w:val="left"/>
    </w:pPr>
    <w:rPr>
      <w:szCs w:val="20"/>
    </w:rPr>
  </w:style>
  <w:style w:type="paragraph" w:styleId="13">
    <w:name w:val="List"/>
    <w:basedOn w:val="1"/>
    <w:unhideWhenUsed/>
    <w:qFormat/>
    <w:uiPriority w:val="99"/>
    <w:pPr>
      <w:ind w:left="200" w:hanging="200" w:hangingChars="200"/>
      <w:contextualSpacing/>
    </w:pPr>
  </w:style>
  <w:style w:type="paragraph" w:styleId="14">
    <w:name w:val="toc 2"/>
    <w:basedOn w:val="1"/>
    <w:next w:val="1"/>
    <w:qFormat/>
    <w:uiPriority w:val="39"/>
    <w:pPr>
      <w:ind w:left="200" w:leftChars="200"/>
      <w:jc w:val="left"/>
    </w:pPr>
    <w:rPr>
      <w:szCs w:val="20"/>
    </w:r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6">
    <w:name w:val="Title"/>
    <w:basedOn w:val="1"/>
    <w:next w:val="1"/>
    <w:qFormat/>
    <w:uiPriority w:val="0"/>
    <w:pPr>
      <w:spacing w:before="240" w:after="60"/>
      <w:jc w:val="center"/>
      <w:outlineLvl w:val="0"/>
    </w:pPr>
    <w:rPr>
      <w:rFonts w:ascii="Cambria" w:hAnsi="Cambria"/>
      <w:b/>
      <w:sz w:val="36"/>
      <w:szCs w:val="32"/>
    </w:rPr>
  </w:style>
  <w:style w:type="paragraph" w:styleId="17">
    <w:name w:val="Body Text First Indent 2"/>
    <w:basedOn w:val="8"/>
    <w:qFormat/>
    <w:uiPriority w:val="0"/>
    <w:pPr>
      <w:spacing w:after="120"/>
      <w:ind w:firstLine="210"/>
    </w:pPr>
    <w:rPr>
      <w:sz w:val="34"/>
    </w:rPr>
  </w:style>
  <w:style w:type="table" w:styleId="19">
    <w:name w:val="Table Grid"/>
    <w:basedOn w:val="18"/>
    <w:semiHidden/>
    <w:unhideWhenUs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rPr>
  </w:style>
  <w:style w:type="character" w:styleId="22">
    <w:name w:val="FollowedHyperlink"/>
    <w:basedOn w:val="20"/>
    <w:qFormat/>
    <w:uiPriority w:val="0"/>
    <w:rPr>
      <w:color w:val="576B95"/>
      <w:u w:val="none"/>
    </w:rPr>
  </w:style>
  <w:style w:type="character" w:styleId="23">
    <w:name w:val="Hyperlink"/>
    <w:basedOn w:val="20"/>
    <w:qFormat/>
    <w:uiPriority w:val="0"/>
    <w:rPr>
      <w:color w:val="0000FF"/>
      <w:u w:val="single"/>
    </w:rPr>
  </w:style>
  <w:style w:type="character" w:customStyle="1" w:styleId="24">
    <w:name w:val="font21"/>
    <w:basedOn w:val="20"/>
    <w:qFormat/>
    <w:uiPriority w:val="0"/>
    <w:rPr>
      <w:rFonts w:ascii="Arial" w:hAnsi="Arial" w:cs="Arial"/>
      <w:color w:val="000000"/>
      <w:sz w:val="22"/>
      <w:szCs w:val="22"/>
      <w:u w:val="none"/>
    </w:rPr>
  </w:style>
  <w:style w:type="character" w:customStyle="1" w:styleId="25">
    <w:name w:val="font01"/>
    <w:basedOn w:val="20"/>
    <w:qFormat/>
    <w:uiPriority w:val="0"/>
    <w:rPr>
      <w:rFonts w:hint="eastAsia" w:ascii="宋体" w:hAnsi="宋体" w:eastAsia="宋体" w:cs="宋体"/>
      <w:color w:val="000000"/>
      <w:sz w:val="22"/>
      <w:szCs w:val="22"/>
      <w:u w:val="none"/>
    </w:rPr>
  </w:style>
  <w:style w:type="character" w:customStyle="1" w:styleId="26">
    <w:name w:val="font51"/>
    <w:basedOn w:val="20"/>
    <w:qFormat/>
    <w:uiPriority w:val="0"/>
    <w:rPr>
      <w:rFonts w:hint="default" w:ascii="Calibri" w:hAnsi="Calibri" w:cs="Calibri"/>
      <w:color w:val="000000"/>
      <w:sz w:val="22"/>
      <w:szCs w:val="22"/>
      <w:u w:val="none"/>
    </w:rPr>
  </w:style>
  <w:style w:type="character" w:customStyle="1" w:styleId="27">
    <w:name w:val="font41"/>
    <w:basedOn w:val="20"/>
    <w:qFormat/>
    <w:uiPriority w:val="0"/>
    <w:rPr>
      <w:rFonts w:hint="eastAsia" w:ascii="微软雅黑" w:hAnsi="微软雅黑" w:eastAsia="微软雅黑" w:cs="微软雅黑"/>
      <w:color w:val="000000"/>
      <w:sz w:val="22"/>
      <w:szCs w:val="22"/>
      <w:u w:val="none"/>
    </w:rPr>
  </w:style>
  <w:style w:type="character" w:customStyle="1" w:styleId="28">
    <w:name w:val="font11"/>
    <w:basedOn w:val="20"/>
    <w:qFormat/>
    <w:uiPriority w:val="0"/>
    <w:rPr>
      <w:rFonts w:hint="default" w:ascii="Calibri" w:hAnsi="Calibri" w:cs="Calibri"/>
      <w:color w:val="000000"/>
      <w:sz w:val="22"/>
      <w:szCs w:val="22"/>
      <w:u w:val="none"/>
    </w:rPr>
  </w:style>
  <w:style w:type="character" w:customStyle="1" w:styleId="29">
    <w:name w:val="font31"/>
    <w:basedOn w:val="20"/>
    <w:qFormat/>
    <w:uiPriority w:val="0"/>
    <w:rPr>
      <w:rFonts w:hint="eastAsia" w:ascii="宋体" w:hAnsi="宋体" w:eastAsia="宋体" w:cs="宋体"/>
      <w:color w:val="000000"/>
      <w:sz w:val="22"/>
      <w:szCs w:val="22"/>
      <w:u w:val="none"/>
    </w:rPr>
  </w:style>
  <w:style w:type="paragraph" w:customStyle="1" w:styleId="30">
    <w:name w:val="正文字体"/>
    <w:basedOn w:val="13"/>
    <w:qFormat/>
    <w:uiPriority w:val="0"/>
    <w:pPr>
      <w:spacing w:line="414" w:lineRule="exact"/>
      <w:ind w:left="0" w:firstLine="200" w:firstLineChars="200"/>
      <w:jc w:val="left"/>
    </w:pPr>
    <w:rPr>
      <w:rFonts w:eastAsia="方正书宋简体"/>
      <w:sz w:val="24"/>
    </w:rPr>
  </w:style>
  <w:style w:type="paragraph" w:styleId="31">
    <w:name w:val="List Paragraph"/>
    <w:basedOn w:val="1"/>
    <w:unhideWhenUsed/>
    <w:qFormat/>
    <w:uiPriority w:val="99"/>
    <w:pPr>
      <w:ind w:firstLine="420" w:firstLineChars="200"/>
    </w:pPr>
  </w:style>
  <w:style w:type="character" w:customStyle="1" w:styleId="32">
    <w:name w:val="img_bg_cover"/>
    <w:basedOn w:val="20"/>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4C2853-3E02-4F3A-AF8D-E7A0F76CF098}">
  <ds:schemaRefs/>
</ds:datastoreItem>
</file>

<file path=docProps/app.xml><?xml version="1.0" encoding="utf-8"?>
<Properties xmlns="http://schemas.openxmlformats.org/officeDocument/2006/extended-properties" xmlns:vt="http://schemas.openxmlformats.org/officeDocument/2006/docPropsVTypes">
  <Template>Normal</Template>
  <Pages>34</Pages>
  <Words>13976</Words>
  <Characters>15712</Characters>
  <Lines>148</Lines>
  <Paragraphs>41</Paragraphs>
  <TotalTime>2</TotalTime>
  <ScaleCrop>false</ScaleCrop>
  <LinksUpToDate>false</LinksUpToDate>
  <CharactersWithSpaces>16818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2021-03-24T07:14:00Z</dcterms:created>
  <dc:creator>青山绿水</dc:creator>
  <cp:lastModifiedBy>韩虎</cp:lastModifiedBy>
  <cp:lastPrinted>2021-07-24T00:41:00Z</cp:lastPrinted>
  <dcterms:modified xsi:type="dcterms:W3CDTF">2022-08-17T09:27:26Z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2B6E81C7E56E40139B710EBFF073C023</vt:lpwstr>
  </property>
</Properties>
</file>