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left" w:pos="7035"/>
        </w:tabs>
        <w:wordWrap/>
        <w:adjustRightInd/>
        <w:snapToGrid/>
        <w:spacing w:line="360" w:lineRule="auto"/>
        <w:ind w:right="-2" w:rightChars="-1"/>
        <w:jc w:val="center"/>
        <w:textAlignment w:val="auto"/>
        <w:rPr>
          <w:rFonts w:hint="eastAsia" w:ascii="宋体" w:hAnsi="宋体" w:cs="宋体"/>
          <w:b/>
          <w:bCs/>
          <w:sz w:val="44"/>
          <w:szCs w:val="44"/>
        </w:rPr>
      </w:pPr>
    </w:p>
    <w:p>
      <w:pPr>
        <w:widowControl w:val="0"/>
        <w:tabs>
          <w:tab w:val="left" w:pos="7035"/>
        </w:tabs>
        <w:wordWrap/>
        <w:adjustRightInd/>
        <w:snapToGrid/>
        <w:spacing w:line="360" w:lineRule="auto"/>
        <w:ind w:right="-2" w:rightChars="-1"/>
        <w:jc w:val="center"/>
        <w:textAlignment w:val="auto"/>
        <w:outlineLvl w:val="0"/>
        <w:rPr>
          <w:rFonts w:hint="eastAsia" w:ascii="仿宋" w:hAnsi="仿宋" w:eastAsia="仿宋" w:cs="仿宋"/>
          <w:b/>
          <w:bCs/>
          <w:sz w:val="72"/>
          <w:szCs w:val="72"/>
        </w:rPr>
      </w:pPr>
      <w:r>
        <w:rPr>
          <w:rFonts w:hint="eastAsia" w:ascii="仿宋" w:hAnsi="仿宋" w:eastAsia="仿宋" w:cs="仿宋"/>
          <w:b/>
          <w:bCs/>
          <w:sz w:val="72"/>
          <w:szCs w:val="72"/>
        </w:rPr>
        <w:t>房地产抵押估价报告</w:t>
      </w:r>
    </w:p>
    <w:p>
      <w:pPr>
        <w:widowControl w:val="0"/>
        <w:tabs>
          <w:tab w:val="left" w:pos="7035"/>
        </w:tabs>
        <w:wordWrap/>
        <w:adjustRightInd/>
        <w:snapToGrid/>
        <w:spacing w:line="360" w:lineRule="auto"/>
        <w:ind w:right="-2" w:rightChars="-1"/>
        <w:jc w:val="center"/>
        <w:textAlignment w:val="auto"/>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drawing>
          <wp:inline distT="0" distB="0" distL="114300" distR="114300">
            <wp:extent cx="4311015" cy="3233420"/>
            <wp:effectExtent l="0" t="0" r="5080" b="13335"/>
            <wp:docPr id="4" name="图片 4" descr="0d74eb6f73654d901872450b9cc610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d74eb6f73654d901872450b9cc61070_"/>
                    <pic:cNvPicPr>
                      <a:picLocks noChangeAspect="1"/>
                    </pic:cNvPicPr>
                  </pic:nvPicPr>
                  <pic:blipFill>
                    <a:blip r:embed="rId10"/>
                    <a:stretch>
                      <a:fillRect/>
                    </a:stretch>
                  </pic:blipFill>
                  <pic:spPr>
                    <a:xfrm rot="5400000">
                      <a:off x="0" y="0"/>
                      <a:ext cx="4311015" cy="3233420"/>
                    </a:xfrm>
                    <a:prstGeom prst="rect">
                      <a:avLst/>
                    </a:prstGeom>
                  </pic:spPr>
                </pic:pic>
              </a:graphicData>
            </a:graphic>
          </wp:inline>
        </w:drawing>
      </w:r>
    </w:p>
    <w:p>
      <w:pPr>
        <w:widowControl w:val="0"/>
        <w:tabs>
          <w:tab w:val="left" w:pos="7648"/>
        </w:tabs>
        <w:wordWrap/>
        <w:adjustRightInd/>
        <w:snapToGrid/>
        <w:spacing w:line="360" w:lineRule="auto"/>
        <w:ind w:firstLine="843" w:firstLineChars="300"/>
        <w:textAlignment w:val="auto"/>
        <w:rPr>
          <w:rFonts w:hint="eastAsia" w:ascii="仿宋" w:hAnsi="仿宋" w:eastAsia="仿宋" w:cs="仿宋"/>
          <w:b/>
          <w:bCs/>
          <w:sz w:val="28"/>
          <w:lang w:eastAsia="zh-CN"/>
        </w:rPr>
      </w:pPr>
      <w:r>
        <w:rPr>
          <w:rFonts w:hint="eastAsia" w:ascii="仿宋" w:hAnsi="仿宋" w:eastAsia="仿宋" w:cs="仿宋"/>
          <w:b/>
          <w:bCs/>
          <w:sz w:val="28"/>
        </w:rPr>
        <w:t>估价报告编号：</w:t>
      </w:r>
      <w:r>
        <w:rPr>
          <w:rFonts w:hint="eastAsia" w:ascii="仿宋" w:hAnsi="仿宋" w:eastAsia="仿宋" w:cs="仿宋"/>
          <w:sz w:val="28"/>
          <w:lang w:eastAsia="zh-CN"/>
        </w:rPr>
        <w:t>厦翰和房估字2022(龙)D0582号</w:t>
      </w:r>
    </w:p>
    <w:p>
      <w:pPr>
        <w:widowControl w:val="0"/>
        <w:tabs>
          <w:tab w:val="left" w:pos="7648"/>
        </w:tabs>
        <w:wordWrap/>
        <w:adjustRightInd/>
        <w:snapToGrid/>
        <w:spacing w:line="360" w:lineRule="auto"/>
        <w:ind w:left="2808" w:leftChars="400" w:hanging="1968" w:hangingChars="700"/>
        <w:textAlignment w:val="auto"/>
        <w:rPr>
          <w:rFonts w:hint="eastAsia" w:ascii="仿宋" w:hAnsi="仿宋" w:eastAsia="仿宋" w:cs="仿宋"/>
          <w:b/>
          <w:bCs/>
          <w:sz w:val="28"/>
        </w:rPr>
      </w:pPr>
      <w:r>
        <w:rPr>
          <w:rFonts w:hint="eastAsia" w:ascii="仿宋" w:hAnsi="仿宋" w:eastAsia="仿宋" w:cs="仿宋"/>
          <w:b/>
          <w:bCs/>
          <w:sz w:val="28"/>
        </w:rPr>
        <w:t>估价项目名称：</w:t>
      </w:r>
      <w:r>
        <w:rPr>
          <w:rFonts w:hint="eastAsia" w:ascii="仿宋" w:hAnsi="仿宋" w:eastAsia="仿宋" w:cs="仿宋"/>
          <w:sz w:val="28"/>
          <w:lang w:eastAsia="zh-CN"/>
        </w:rPr>
        <w:t>永定县高陂镇先富大道1-6层住宅房地产市场价值</w:t>
      </w:r>
      <w:r>
        <w:rPr>
          <w:rFonts w:hint="eastAsia" w:ascii="仿宋" w:hAnsi="仿宋" w:eastAsia="仿宋" w:cs="仿宋"/>
          <w:sz w:val="28"/>
        </w:rPr>
        <w:t>评估</w:t>
      </w:r>
    </w:p>
    <w:p>
      <w:pPr>
        <w:widowControl w:val="0"/>
        <w:wordWrap/>
        <w:adjustRightInd/>
        <w:snapToGrid/>
        <w:spacing w:line="360" w:lineRule="auto"/>
        <w:ind w:firstLine="843" w:firstLineChars="300"/>
        <w:textAlignment w:val="auto"/>
        <w:rPr>
          <w:rFonts w:hint="eastAsia" w:ascii="仿宋" w:hAnsi="仿宋" w:eastAsia="仿宋" w:cs="仿宋"/>
          <w:b/>
          <w:bCs/>
          <w:sz w:val="28"/>
          <w:lang w:eastAsia="zh-CN"/>
        </w:rPr>
      </w:pPr>
      <w:r>
        <w:rPr>
          <w:rFonts w:hint="eastAsia" w:ascii="仿宋" w:hAnsi="仿宋" w:eastAsia="仿宋" w:cs="仿宋"/>
          <w:b/>
          <w:bCs/>
          <w:sz w:val="28"/>
        </w:rPr>
        <w:t>估价委托人：</w:t>
      </w:r>
      <w:r>
        <w:rPr>
          <w:rFonts w:hint="eastAsia" w:ascii="仿宋" w:hAnsi="仿宋" w:eastAsia="仿宋" w:cs="仿宋"/>
          <w:sz w:val="28"/>
          <w:lang w:eastAsia="zh-CN"/>
        </w:rPr>
        <w:t>龙岩市永定区农村信用合作联社</w:t>
      </w:r>
    </w:p>
    <w:p>
      <w:pPr>
        <w:widowControl w:val="0"/>
        <w:wordWrap/>
        <w:adjustRightInd/>
        <w:snapToGrid/>
        <w:spacing w:line="360" w:lineRule="auto"/>
        <w:ind w:firstLine="843" w:firstLineChars="300"/>
        <w:textAlignment w:val="auto"/>
        <w:rPr>
          <w:rFonts w:hint="eastAsia" w:ascii="仿宋" w:hAnsi="仿宋" w:eastAsia="仿宋" w:cs="仿宋"/>
          <w:b/>
          <w:bCs/>
          <w:sz w:val="28"/>
        </w:rPr>
      </w:pPr>
      <w:r>
        <w:rPr>
          <w:rFonts w:hint="eastAsia" w:ascii="仿宋" w:hAnsi="仿宋" w:eastAsia="仿宋" w:cs="仿宋"/>
          <w:b/>
          <w:bCs/>
          <w:sz w:val="28"/>
        </w:rPr>
        <w:t>房地产估价机构：</w:t>
      </w:r>
      <w:r>
        <w:rPr>
          <w:rFonts w:hint="eastAsia" w:ascii="仿宋" w:hAnsi="仿宋" w:eastAsia="仿宋" w:cs="仿宋"/>
          <w:sz w:val="28"/>
        </w:rPr>
        <w:t>厦门翰和资产评估土地房地产估价有限公司</w:t>
      </w:r>
    </w:p>
    <w:p>
      <w:pPr>
        <w:widowControl w:val="0"/>
        <w:wordWrap/>
        <w:adjustRightInd/>
        <w:snapToGrid/>
        <w:spacing w:line="360" w:lineRule="auto"/>
        <w:ind w:firstLine="843" w:firstLineChars="300"/>
        <w:textAlignment w:val="auto"/>
        <w:rPr>
          <w:rFonts w:hint="eastAsia" w:ascii="仿宋" w:hAnsi="仿宋" w:eastAsia="仿宋" w:cs="仿宋"/>
          <w:b/>
          <w:bCs/>
          <w:sz w:val="28"/>
          <w:szCs w:val="28"/>
        </w:rPr>
      </w:pPr>
      <w:r>
        <w:rPr>
          <w:rFonts w:hint="eastAsia" w:ascii="仿宋" w:hAnsi="仿宋" w:eastAsia="仿宋" w:cs="仿宋"/>
          <w:b/>
          <w:bCs/>
          <w:sz w:val="28"/>
        </w:rPr>
        <w:t>注册房地产估价师：</w:t>
      </w:r>
      <w:r>
        <w:rPr>
          <w:rFonts w:hint="eastAsia" w:ascii="仿宋" w:hAnsi="仿宋" w:eastAsia="仿宋" w:cs="仿宋"/>
          <w:sz w:val="28"/>
          <w:lang w:eastAsia="zh-CN"/>
        </w:rPr>
        <w:t>赵少聪</w:t>
      </w:r>
      <w:r>
        <w:rPr>
          <w:rFonts w:hint="eastAsia" w:ascii="仿宋" w:hAnsi="仿宋" w:eastAsia="仿宋" w:cs="仿宋"/>
          <w:sz w:val="28"/>
          <w:szCs w:val="28"/>
        </w:rPr>
        <w:t>（</w:t>
      </w:r>
      <w:r>
        <w:rPr>
          <w:rFonts w:hint="eastAsia" w:ascii="仿宋" w:hAnsi="仿宋" w:eastAsia="仿宋" w:cs="仿宋"/>
          <w:bCs/>
          <w:sz w:val="28"/>
          <w:szCs w:val="28"/>
        </w:rPr>
        <w:t>注册号：</w:t>
      </w:r>
      <w:r>
        <w:rPr>
          <w:rFonts w:hint="eastAsia" w:ascii="仿宋" w:hAnsi="仿宋" w:eastAsia="仿宋" w:cs="仿宋"/>
          <w:sz w:val="28"/>
          <w:szCs w:val="28"/>
          <w:lang w:eastAsia="zh-CN"/>
        </w:rPr>
        <w:t>3520100022</w:t>
      </w:r>
      <w:r>
        <w:rPr>
          <w:rFonts w:hint="eastAsia" w:ascii="仿宋" w:hAnsi="仿宋" w:eastAsia="仿宋" w:cs="仿宋"/>
          <w:bCs/>
          <w:sz w:val="28"/>
          <w:szCs w:val="28"/>
        </w:rPr>
        <w:t>）</w:t>
      </w:r>
    </w:p>
    <w:p>
      <w:pPr>
        <w:widowControl w:val="0"/>
        <w:wordWrap/>
        <w:adjustRightInd/>
        <w:snapToGrid/>
        <w:spacing w:line="360" w:lineRule="auto"/>
        <w:ind w:firstLine="3360" w:firstLineChars="1200"/>
        <w:textAlignment w:val="auto"/>
        <w:rPr>
          <w:rFonts w:hint="eastAsia" w:ascii="仿宋" w:hAnsi="仿宋" w:eastAsia="仿宋" w:cs="仿宋"/>
          <w:b/>
          <w:bCs/>
          <w:sz w:val="28"/>
          <w:szCs w:val="28"/>
        </w:rPr>
      </w:pPr>
      <w:r>
        <w:rPr>
          <w:rFonts w:hint="eastAsia" w:ascii="仿宋" w:hAnsi="仿宋" w:eastAsia="仿宋" w:cs="仿宋"/>
          <w:sz w:val="28"/>
          <w:szCs w:val="28"/>
          <w:lang w:eastAsia="zh-CN"/>
        </w:rPr>
        <w:t>李凤娥</w:t>
      </w:r>
      <w:r>
        <w:rPr>
          <w:rFonts w:hint="eastAsia" w:ascii="仿宋" w:hAnsi="仿宋" w:eastAsia="仿宋" w:cs="仿宋"/>
          <w:bCs/>
          <w:sz w:val="28"/>
          <w:szCs w:val="28"/>
        </w:rPr>
        <w:t>（注册号：</w:t>
      </w:r>
      <w:r>
        <w:rPr>
          <w:rFonts w:hint="eastAsia" w:ascii="仿宋" w:hAnsi="仿宋" w:eastAsia="仿宋" w:cs="仿宋"/>
          <w:sz w:val="28"/>
          <w:szCs w:val="28"/>
          <w:lang w:eastAsia="zh-CN"/>
        </w:rPr>
        <w:t>3520200015</w:t>
      </w:r>
      <w:r>
        <w:rPr>
          <w:rFonts w:hint="eastAsia" w:ascii="仿宋" w:hAnsi="仿宋" w:eastAsia="仿宋" w:cs="仿宋"/>
          <w:bCs/>
          <w:sz w:val="28"/>
          <w:szCs w:val="28"/>
        </w:rPr>
        <w:t>）</w:t>
      </w:r>
    </w:p>
    <w:p>
      <w:pPr>
        <w:widowControl w:val="0"/>
        <w:wordWrap/>
        <w:adjustRightInd/>
        <w:snapToGrid/>
        <w:spacing w:line="360" w:lineRule="auto"/>
        <w:ind w:firstLine="843" w:firstLineChars="300"/>
        <w:textAlignment w:val="auto"/>
        <w:rPr>
          <w:rFonts w:hint="eastAsia" w:ascii="仿宋" w:hAnsi="仿宋" w:eastAsia="仿宋" w:cs="仿宋"/>
          <w:sz w:val="28"/>
        </w:rPr>
      </w:pPr>
      <w:r>
        <w:rPr>
          <w:rFonts w:hint="eastAsia" w:ascii="仿宋" w:hAnsi="仿宋" w:eastAsia="仿宋" w:cs="仿宋"/>
          <w:b/>
          <w:bCs/>
          <w:sz w:val="28"/>
        </w:rPr>
        <w:t>估价出具日期：</w:t>
      </w:r>
      <w:r>
        <w:rPr>
          <w:rFonts w:hint="eastAsia" w:ascii="仿宋" w:hAnsi="仿宋" w:eastAsia="仿宋" w:cs="仿宋"/>
          <w:sz w:val="28"/>
          <w:lang w:eastAsia="zh-CN"/>
        </w:rPr>
        <w:t>2022年10月14日</w:t>
      </w:r>
    </w:p>
    <w:p>
      <w:pPr>
        <w:widowControl w:val="0"/>
        <w:wordWrap/>
        <w:adjustRightInd/>
        <w:snapToGrid/>
        <w:spacing w:line="360" w:lineRule="auto"/>
        <w:textAlignment w:val="auto"/>
        <w:rPr>
          <w:rFonts w:hint="eastAsia" w:ascii="仿宋" w:hAnsi="仿宋" w:eastAsia="仿宋" w:cs="仿宋"/>
          <w:b/>
          <w:sz w:val="28"/>
          <w:szCs w:val="28"/>
        </w:rPr>
        <w:sectPr>
          <w:headerReference r:id="rId3" w:type="default"/>
          <w:footerReference r:id="rId4" w:type="default"/>
          <w:pgSz w:w="11906" w:h="16838"/>
          <w:pgMar w:top="1418" w:right="1418" w:bottom="1418" w:left="1701" w:header="1021" w:footer="397" w:gutter="0"/>
          <w:pgNumType w:start="1"/>
          <w:cols w:space="720" w:num="1"/>
          <w:docGrid w:type="lines" w:linePitch="312" w:charSpace="0"/>
        </w:sectPr>
      </w:pPr>
    </w:p>
    <w:p>
      <w:pPr>
        <w:widowControl w:val="0"/>
        <w:wordWrap/>
        <w:adjustRightInd/>
        <w:snapToGrid/>
        <w:spacing w:line="500" w:lineRule="exact"/>
        <w:jc w:val="center"/>
        <w:textAlignment w:val="auto"/>
        <w:outlineLvl w:val="0"/>
        <w:rPr>
          <w:rFonts w:hint="eastAsia" w:ascii="仿宋" w:hAnsi="仿宋" w:eastAsia="仿宋" w:cs="仿宋"/>
          <w:bCs/>
          <w:szCs w:val="21"/>
        </w:rPr>
      </w:pPr>
      <w:r>
        <w:rPr>
          <w:rFonts w:hint="eastAsia" w:ascii="仿宋" w:hAnsi="仿宋" w:eastAsia="仿宋" w:cs="仿宋"/>
          <w:b/>
          <w:sz w:val="44"/>
          <w:szCs w:val="44"/>
        </w:rPr>
        <w:t>摘 要</w:t>
      </w:r>
    </w:p>
    <w:tbl>
      <w:tblPr>
        <w:tblStyle w:val="22"/>
        <w:tblW w:w="1001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474"/>
        <w:gridCol w:w="2253"/>
        <w:gridCol w:w="1891"/>
        <w:gridCol w:w="9"/>
        <w:gridCol w:w="1149"/>
        <w:gridCol w:w="864"/>
        <w:gridCol w:w="178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85" w:type="dxa"/>
            <w:tcBorders>
              <w:top w:val="double" w:color="auto" w:sz="4" w:space="0"/>
              <w:left w:val="double" w:color="auto" w:sz="4" w:space="0"/>
              <w:bottom w:val="single" w:color="auto" w:sz="6" w:space="0"/>
              <w:right w:val="single" w:color="auto" w:sz="6" w:space="0"/>
            </w:tcBorders>
            <w:vAlign w:val="center"/>
          </w:tcPr>
          <w:p>
            <w:pPr>
              <w:wordWrap/>
              <w:adjustRightInd/>
              <w:snapToGrid/>
              <w:spacing w:line="240" w:lineRule="auto"/>
              <w:ind w:right="0"/>
              <w:jc w:val="center"/>
              <w:textAlignment w:val="auto"/>
              <w:rPr>
                <w:rFonts w:hint="eastAsia" w:ascii="仿宋" w:hAnsi="仿宋" w:eastAsia="仿宋" w:cs="仿宋"/>
                <w:b/>
                <w:bCs/>
                <w:spacing w:val="-4"/>
                <w:sz w:val="24"/>
                <w:szCs w:val="24"/>
              </w:rPr>
            </w:pPr>
            <w:r>
              <w:rPr>
                <w:rFonts w:hint="eastAsia" w:ascii="仿宋" w:hAnsi="仿宋" w:eastAsia="仿宋" w:cs="仿宋"/>
                <w:b/>
                <w:bCs/>
                <w:spacing w:val="-4"/>
                <w:sz w:val="24"/>
                <w:szCs w:val="24"/>
              </w:rPr>
              <w:t>一</w:t>
            </w:r>
          </w:p>
        </w:tc>
        <w:tc>
          <w:tcPr>
            <w:tcW w:w="1474" w:type="dxa"/>
            <w:tcBorders>
              <w:top w:val="double" w:color="auto" w:sz="4" w:space="0"/>
              <w:left w:val="single" w:color="auto" w:sz="6" w:space="0"/>
              <w:bottom w:val="single" w:color="auto" w:sz="6" w:space="0"/>
              <w:right w:val="single" w:color="auto" w:sz="6" w:space="0"/>
            </w:tcBorders>
            <w:vAlign w:val="center"/>
          </w:tcPr>
          <w:p>
            <w:pPr>
              <w:wordWrap/>
              <w:spacing w:line="240" w:lineRule="auto"/>
              <w:ind w:right="73" w:rightChars="35" w:firstLine="9" w:firstLineChars="4"/>
              <w:jc w:val="center"/>
              <w:rPr>
                <w:rFonts w:hint="eastAsia" w:ascii="仿宋" w:hAnsi="仿宋" w:eastAsia="仿宋" w:cs="仿宋"/>
                <w:b/>
                <w:bCs/>
                <w:spacing w:val="-4"/>
                <w:sz w:val="24"/>
                <w:szCs w:val="24"/>
              </w:rPr>
            </w:pPr>
            <w:r>
              <w:rPr>
                <w:rFonts w:hint="eastAsia" w:ascii="仿宋" w:hAnsi="仿宋" w:eastAsia="仿宋" w:cs="仿宋"/>
                <w:b/>
                <w:bCs/>
                <w:spacing w:val="-4"/>
                <w:sz w:val="24"/>
                <w:szCs w:val="24"/>
              </w:rPr>
              <w:t>估价对象</w:t>
            </w:r>
          </w:p>
        </w:tc>
        <w:tc>
          <w:tcPr>
            <w:tcW w:w="7955" w:type="dxa"/>
            <w:gridSpan w:val="6"/>
            <w:tcBorders>
              <w:top w:val="double" w:color="auto" w:sz="4" w:space="0"/>
              <w:left w:val="single" w:color="auto" w:sz="6" w:space="0"/>
              <w:bottom w:val="single" w:color="auto" w:sz="6" w:space="0"/>
              <w:right w:val="double" w:color="auto" w:sz="4" w:space="0"/>
            </w:tcBorders>
            <w:vAlign w:val="center"/>
          </w:tcPr>
          <w:p>
            <w:pPr>
              <w:wordWrap/>
              <w:spacing w:line="240" w:lineRule="auto"/>
              <w:ind w:right="73" w:rightChars="35"/>
              <w:rPr>
                <w:rFonts w:hint="eastAsia" w:ascii="仿宋" w:hAnsi="仿宋" w:eastAsia="仿宋" w:cs="仿宋"/>
                <w:spacing w:val="-4"/>
                <w:sz w:val="24"/>
                <w:szCs w:val="24"/>
                <w:lang w:eastAsia="zh-CN"/>
              </w:rPr>
            </w:pPr>
            <w:r>
              <w:rPr>
                <w:rFonts w:hint="eastAsia" w:ascii="仿宋" w:hAnsi="仿宋" w:eastAsia="仿宋" w:cs="仿宋"/>
                <w:sz w:val="24"/>
                <w:szCs w:val="24"/>
                <w:lang w:eastAsia="zh-CN"/>
              </w:rPr>
              <w:t>永定县高陂镇先富大道1-6层住宅房地产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85" w:type="dxa"/>
            <w:vMerge w:val="restart"/>
            <w:tcBorders>
              <w:top w:val="single" w:color="auto" w:sz="6" w:space="0"/>
              <w:left w:val="double" w:color="auto" w:sz="4" w:space="0"/>
              <w:bottom w:val="single" w:color="auto" w:sz="6" w:space="0"/>
              <w:right w:val="single" w:color="auto" w:sz="6" w:space="0"/>
            </w:tcBorders>
            <w:vAlign w:val="center"/>
          </w:tcPr>
          <w:p>
            <w:pPr>
              <w:wordWrap/>
              <w:adjustRightInd/>
              <w:snapToGrid/>
              <w:spacing w:line="240" w:lineRule="auto"/>
              <w:ind w:right="0"/>
              <w:jc w:val="center"/>
              <w:textAlignment w:val="auto"/>
              <w:rPr>
                <w:rFonts w:hint="eastAsia" w:ascii="仿宋" w:hAnsi="仿宋" w:eastAsia="仿宋" w:cs="仿宋"/>
                <w:b/>
                <w:bCs/>
                <w:spacing w:val="-4"/>
                <w:sz w:val="24"/>
                <w:szCs w:val="24"/>
              </w:rPr>
            </w:pPr>
            <w:r>
              <w:rPr>
                <w:rFonts w:hint="eastAsia" w:ascii="仿宋" w:hAnsi="仿宋" w:eastAsia="仿宋" w:cs="仿宋"/>
                <w:b/>
                <w:bCs/>
                <w:spacing w:val="-4"/>
                <w:sz w:val="24"/>
                <w:szCs w:val="24"/>
              </w:rPr>
              <w:t>二</w:t>
            </w:r>
          </w:p>
        </w:tc>
        <w:tc>
          <w:tcPr>
            <w:tcW w:w="1474" w:type="dxa"/>
            <w:vMerge w:val="restart"/>
            <w:tcBorders>
              <w:top w:val="single" w:color="auto" w:sz="6" w:space="0"/>
              <w:left w:val="single" w:color="auto" w:sz="6" w:space="0"/>
              <w:bottom w:val="single" w:color="auto" w:sz="6" w:space="0"/>
              <w:right w:val="single" w:color="auto" w:sz="6" w:space="0"/>
            </w:tcBorders>
            <w:vAlign w:val="center"/>
          </w:tcPr>
          <w:p>
            <w:pPr>
              <w:wordWrap/>
              <w:spacing w:line="240" w:lineRule="auto"/>
              <w:ind w:right="73" w:rightChars="35" w:firstLine="9" w:firstLineChars="4"/>
              <w:jc w:val="center"/>
              <w:rPr>
                <w:rFonts w:hint="eastAsia" w:ascii="仿宋" w:hAnsi="仿宋" w:eastAsia="仿宋" w:cs="仿宋"/>
                <w:b/>
                <w:bCs/>
                <w:spacing w:val="-4"/>
                <w:sz w:val="24"/>
                <w:szCs w:val="24"/>
              </w:rPr>
            </w:pPr>
            <w:r>
              <w:rPr>
                <w:rFonts w:hint="eastAsia" w:ascii="仿宋" w:hAnsi="仿宋" w:eastAsia="仿宋" w:cs="仿宋"/>
                <w:b/>
                <w:bCs/>
                <w:spacing w:val="-4"/>
                <w:sz w:val="24"/>
                <w:szCs w:val="24"/>
              </w:rPr>
              <w:t>委托情况</w:t>
            </w:r>
          </w:p>
        </w:tc>
        <w:tc>
          <w:tcPr>
            <w:tcW w:w="2253" w:type="dxa"/>
            <w:tcBorders>
              <w:top w:val="single" w:color="auto" w:sz="6" w:space="0"/>
              <w:left w:val="single" w:color="auto" w:sz="6" w:space="0"/>
              <w:bottom w:val="single" w:color="auto" w:sz="6" w:space="0"/>
              <w:right w:val="single" w:color="auto" w:sz="6" w:space="0"/>
            </w:tcBorders>
            <w:vAlign w:val="center"/>
          </w:tcPr>
          <w:p>
            <w:pPr>
              <w:wordWrap/>
              <w:spacing w:line="240" w:lineRule="auto"/>
              <w:ind w:right="73" w:rightChars="35" w:firstLine="232" w:firstLineChars="100"/>
              <w:jc w:val="center"/>
              <w:rPr>
                <w:rFonts w:hint="eastAsia" w:ascii="仿宋" w:hAnsi="仿宋" w:eastAsia="仿宋" w:cs="仿宋"/>
                <w:spacing w:val="-4"/>
                <w:sz w:val="24"/>
                <w:szCs w:val="24"/>
              </w:rPr>
            </w:pPr>
            <w:r>
              <w:rPr>
                <w:rFonts w:hint="eastAsia" w:ascii="仿宋" w:hAnsi="仿宋" w:eastAsia="仿宋" w:cs="仿宋"/>
                <w:spacing w:val="-4"/>
                <w:sz w:val="24"/>
                <w:szCs w:val="24"/>
              </w:rPr>
              <w:t>委托人</w:t>
            </w:r>
          </w:p>
        </w:tc>
        <w:tc>
          <w:tcPr>
            <w:tcW w:w="5702" w:type="dxa"/>
            <w:gridSpan w:val="5"/>
            <w:tcBorders>
              <w:top w:val="single" w:color="auto" w:sz="6" w:space="0"/>
              <w:left w:val="single" w:color="auto" w:sz="6" w:space="0"/>
              <w:bottom w:val="single" w:color="auto" w:sz="6" w:space="0"/>
              <w:right w:val="double" w:color="auto" w:sz="4" w:space="0"/>
            </w:tcBorders>
            <w:vAlign w:val="center"/>
          </w:tcPr>
          <w:p>
            <w:pPr>
              <w:wordWrap/>
              <w:spacing w:line="240" w:lineRule="auto"/>
              <w:ind w:right="73" w:rightChars="35"/>
              <w:rPr>
                <w:rFonts w:hint="eastAsia" w:ascii="仿宋" w:hAnsi="仿宋" w:eastAsia="仿宋" w:cs="仿宋"/>
                <w:spacing w:val="-4"/>
                <w:sz w:val="24"/>
                <w:szCs w:val="24"/>
                <w:lang w:eastAsia="zh-CN"/>
              </w:rPr>
            </w:pPr>
            <w:r>
              <w:rPr>
                <w:rFonts w:hint="eastAsia" w:ascii="仿宋" w:hAnsi="仿宋" w:eastAsia="仿宋" w:cs="仿宋"/>
                <w:sz w:val="24"/>
                <w:szCs w:val="24"/>
                <w:lang w:eastAsia="zh-CN"/>
              </w:rPr>
              <w:t>龙岩市永定区农村信用合作联社</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5" w:type="dxa"/>
            <w:vMerge w:val="continue"/>
            <w:tcBorders>
              <w:top w:val="single" w:color="auto" w:sz="6" w:space="0"/>
              <w:left w:val="double" w:color="auto" w:sz="4" w:space="0"/>
              <w:bottom w:val="single" w:color="auto" w:sz="6" w:space="0"/>
              <w:right w:val="single" w:color="auto" w:sz="6" w:space="0"/>
            </w:tcBorders>
            <w:vAlign w:val="center"/>
          </w:tcPr>
          <w:p>
            <w:pPr>
              <w:widowControl/>
              <w:wordWrap/>
              <w:adjustRightInd/>
              <w:snapToGrid/>
              <w:spacing w:line="240" w:lineRule="auto"/>
              <w:ind w:right="0"/>
              <w:jc w:val="left"/>
              <w:textAlignment w:val="auto"/>
              <w:rPr>
                <w:rFonts w:hint="eastAsia" w:ascii="仿宋" w:hAnsi="仿宋" w:eastAsia="仿宋" w:cs="仿宋"/>
                <w:b/>
                <w:bCs/>
                <w:spacing w:val="-4"/>
                <w:sz w:val="24"/>
                <w:szCs w:val="24"/>
              </w:rPr>
            </w:pPr>
          </w:p>
        </w:tc>
        <w:tc>
          <w:tcPr>
            <w:tcW w:w="1474" w:type="dxa"/>
            <w:vMerge w:val="continue"/>
            <w:tcBorders>
              <w:top w:val="single" w:color="auto" w:sz="6" w:space="0"/>
              <w:left w:val="single" w:color="auto" w:sz="6" w:space="0"/>
              <w:bottom w:val="single" w:color="auto" w:sz="6" w:space="0"/>
              <w:right w:val="single" w:color="auto" w:sz="6" w:space="0"/>
            </w:tcBorders>
            <w:vAlign w:val="center"/>
          </w:tcPr>
          <w:p>
            <w:pPr>
              <w:widowControl/>
              <w:wordWrap/>
              <w:spacing w:line="240" w:lineRule="auto"/>
              <w:jc w:val="center"/>
              <w:rPr>
                <w:rFonts w:hint="eastAsia" w:ascii="仿宋" w:hAnsi="仿宋" w:eastAsia="仿宋" w:cs="仿宋"/>
                <w:b/>
                <w:bCs/>
                <w:spacing w:val="-4"/>
                <w:sz w:val="24"/>
                <w:szCs w:val="24"/>
              </w:rPr>
            </w:pPr>
          </w:p>
        </w:tc>
        <w:tc>
          <w:tcPr>
            <w:tcW w:w="2253" w:type="dxa"/>
            <w:tcBorders>
              <w:top w:val="single" w:color="auto" w:sz="6" w:space="0"/>
              <w:left w:val="single" w:color="auto" w:sz="6" w:space="0"/>
              <w:bottom w:val="single" w:color="auto" w:sz="6" w:space="0"/>
              <w:right w:val="single" w:color="auto" w:sz="6" w:space="0"/>
            </w:tcBorders>
            <w:vAlign w:val="center"/>
          </w:tcPr>
          <w:p>
            <w:pPr>
              <w:wordWrap/>
              <w:spacing w:line="240" w:lineRule="auto"/>
              <w:ind w:right="73" w:rightChars="35" w:firstLine="232" w:firstLineChars="100"/>
              <w:jc w:val="center"/>
              <w:rPr>
                <w:rFonts w:hint="eastAsia" w:ascii="仿宋" w:hAnsi="仿宋" w:eastAsia="仿宋" w:cs="仿宋"/>
                <w:spacing w:val="-4"/>
                <w:sz w:val="24"/>
                <w:szCs w:val="24"/>
              </w:rPr>
            </w:pPr>
            <w:r>
              <w:rPr>
                <w:rFonts w:hint="eastAsia" w:ascii="仿宋" w:hAnsi="仿宋" w:eastAsia="仿宋" w:cs="仿宋"/>
                <w:spacing w:val="-4"/>
                <w:sz w:val="24"/>
                <w:szCs w:val="24"/>
              </w:rPr>
              <w:t>估价目的</w:t>
            </w:r>
          </w:p>
        </w:tc>
        <w:tc>
          <w:tcPr>
            <w:tcW w:w="5702" w:type="dxa"/>
            <w:gridSpan w:val="5"/>
            <w:tcBorders>
              <w:top w:val="single" w:color="auto" w:sz="6" w:space="0"/>
              <w:left w:val="single" w:color="auto" w:sz="6" w:space="0"/>
              <w:bottom w:val="single" w:color="auto" w:sz="6" w:space="0"/>
              <w:right w:val="double" w:color="auto" w:sz="4" w:space="0"/>
            </w:tcBorders>
            <w:vAlign w:val="center"/>
          </w:tcPr>
          <w:p>
            <w:pPr>
              <w:wordWrap/>
              <w:spacing w:line="240" w:lineRule="auto"/>
              <w:ind w:right="73" w:rightChars="35"/>
              <w:rPr>
                <w:rFonts w:hint="eastAsia" w:ascii="仿宋" w:hAnsi="仿宋" w:eastAsia="仿宋" w:cs="仿宋"/>
                <w:spacing w:val="-4"/>
                <w:sz w:val="24"/>
                <w:szCs w:val="24"/>
                <w:lang w:eastAsia="zh-CN"/>
              </w:rPr>
            </w:pPr>
            <w:r>
              <w:rPr>
                <w:rFonts w:hint="eastAsia" w:ascii="仿宋" w:hAnsi="仿宋" w:eastAsia="仿宋" w:cs="仿宋"/>
                <w:sz w:val="24"/>
                <w:szCs w:val="24"/>
              </w:rPr>
              <w:t>为确定</w:t>
            </w:r>
            <w:r>
              <w:rPr>
                <w:rFonts w:hint="eastAsia" w:ascii="仿宋" w:hAnsi="仿宋" w:eastAsia="仿宋" w:cs="仿宋"/>
                <w:sz w:val="24"/>
                <w:szCs w:val="24"/>
                <w:lang w:eastAsia="zh-CN"/>
              </w:rPr>
              <w:t>房地产拍卖底价</w:t>
            </w:r>
            <w:r>
              <w:rPr>
                <w:rFonts w:hint="eastAsia" w:ascii="仿宋" w:hAnsi="仿宋" w:eastAsia="仿宋" w:cs="仿宋"/>
                <w:sz w:val="24"/>
                <w:szCs w:val="24"/>
              </w:rPr>
              <w:t>提供参考依据而评估房地产</w:t>
            </w:r>
            <w:r>
              <w:rPr>
                <w:rFonts w:hint="eastAsia" w:ascii="仿宋" w:hAnsi="仿宋" w:eastAsia="仿宋" w:cs="仿宋"/>
                <w:sz w:val="24"/>
                <w:szCs w:val="24"/>
                <w:lang w:eastAsia="zh-CN"/>
              </w:rPr>
              <w:t>市场价值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85" w:type="dxa"/>
            <w:tcBorders>
              <w:top w:val="single" w:color="auto" w:sz="6" w:space="0"/>
              <w:left w:val="double" w:color="auto" w:sz="4" w:space="0"/>
              <w:bottom w:val="single" w:color="auto" w:sz="6" w:space="0"/>
              <w:right w:val="single" w:color="auto" w:sz="6" w:space="0"/>
            </w:tcBorders>
            <w:vAlign w:val="center"/>
          </w:tcPr>
          <w:p>
            <w:pPr>
              <w:wordWrap/>
              <w:adjustRightInd/>
              <w:snapToGrid/>
              <w:spacing w:line="240" w:lineRule="auto"/>
              <w:ind w:right="0"/>
              <w:jc w:val="center"/>
              <w:textAlignment w:val="auto"/>
              <w:rPr>
                <w:rFonts w:hint="eastAsia" w:ascii="仿宋" w:hAnsi="仿宋" w:eastAsia="仿宋" w:cs="仿宋"/>
                <w:b/>
                <w:bCs/>
                <w:spacing w:val="-4"/>
                <w:sz w:val="24"/>
                <w:szCs w:val="24"/>
              </w:rPr>
            </w:pPr>
            <w:r>
              <w:rPr>
                <w:rFonts w:hint="eastAsia" w:ascii="仿宋" w:hAnsi="仿宋" w:eastAsia="仿宋" w:cs="仿宋"/>
                <w:b/>
                <w:bCs/>
                <w:spacing w:val="-4"/>
                <w:sz w:val="24"/>
                <w:szCs w:val="24"/>
              </w:rPr>
              <w:t>三</w:t>
            </w:r>
          </w:p>
        </w:tc>
        <w:tc>
          <w:tcPr>
            <w:tcW w:w="1474" w:type="dxa"/>
            <w:tcBorders>
              <w:top w:val="single" w:color="auto" w:sz="6" w:space="0"/>
              <w:left w:val="single" w:color="auto" w:sz="6" w:space="0"/>
              <w:bottom w:val="single" w:color="auto" w:sz="6" w:space="0"/>
              <w:right w:val="single" w:color="auto" w:sz="6" w:space="0"/>
            </w:tcBorders>
            <w:vAlign w:val="center"/>
          </w:tcPr>
          <w:p>
            <w:pPr>
              <w:wordWrap/>
              <w:spacing w:line="240" w:lineRule="auto"/>
              <w:ind w:right="73" w:rightChars="35" w:firstLine="9" w:firstLineChars="4"/>
              <w:jc w:val="center"/>
              <w:rPr>
                <w:rFonts w:hint="eastAsia" w:ascii="仿宋" w:hAnsi="仿宋" w:eastAsia="仿宋" w:cs="仿宋"/>
                <w:b/>
                <w:bCs/>
                <w:spacing w:val="-4"/>
                <w:sz w:val="24"/>
                <w:szCs w:val="24"/>
              </w:rPr>
            </w:pPr>
            <w:r>
              <w:rPr>
                <w:rFonts w:hint="eastAsia" w:ascii="仿宋" w:hAnsi="仿宋" w:eastAsia="仿宋" w:cs="仿宋"/>
                <w:b/>
                <w:bCs/>
                <w:spacing w:val="-4"/>
                <w:sz w:val="24"/>
                <w:szCs w:val="24"/>
              </w:rPr>
              <w:t>价值时点</w:t>
            </w:r>
          </w:p>
        </w:tc>
        <w:tc>
          <w:tcPr>
            <w:tcW w:w="7955" w:type="dxa"/>
            <w:gridSpan w:val="6"/>
            <w:tcBorders>
              <w:top w:val="single" w:color="auto" w:sz="6" w:space="0"/>
              <w:left w:val="single" w:color="auto" w:sz="6" w:space="0"/>
              <w:bottom w:val="single" w:color="auto" w:sz="6" w:space="0"/>
              <w:right w:val="double" w:color="auto" w:sz="4" w:space="0"/>
            </w:tcBorders>
            <w:vAlign w:val="center"/>
          </w:tcPr>
          <w:p>
            <w:pPr>
              <w:widowControl w:val="0"/>
              <w:wordWrap/>
              <w:spacing w:line="240" w:lineRule="auto"/>
              <w:ind w:right="73" w:rightChars="35"/>
              <w:jc w:val="left"/>
              <w:textAlignment w:val="auto"/>
              <w:rPr>
                <w:rFonts w:hint="eastAsia" w:ascii="仿宋" w:hAnsi="仿宋" w:eastAsia="仿宋" w:cs="仿宋"/>
                <w:spacing w:val="-4"/>
                <w:sz w:val="24"/>
                <w:szCs w:val="24"/>
              </w:rPr>
            </w:pPr>
            <w:r>
              <w:rPr>
                <w:rFonts w:hint="eastAsia" w:ascii="仿宋" w:hAnsi="仿宋" w:eastAsia="仿宋" w:cs="仿宋"/>
                <w:sz w:val="24"/>
                <w:szCs w:val="24"/>
                <w:lang w:eastAsia="zh-CN"/>
              </w:rPr>
              <w:t>2022年10月13日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85" w:type="dxa"/>
            <w:tcBorders>
              <w:top w:val="single" w:color="auto" w:sz="6" w:space="0"/>
              <w:left w:val="double" w:color="auto" w:sz="4" w:space="0"/>
              <w:bottom w:val="single" w:color="auto" w:sz="6" w:space="0"/>
              <w:right w:val="single" w:color="auto" w:sz="6" w:space="0"/>
            </w:tcBorders>
            <w:vAlign w:val="center"/>
          </w:tcPr>
          <w:p>
            <w:pPr>
              <w:wordWrap/>
              <w:adjustRightInd/>
              <w:snapToGrid/>
              <w:spacing w:line="240" w:lineRule="auto"/>
              <w:ind w:right="0"/>
              <w:jc w:val="center"/>
              <w:textAlignment w:val="auto"/>
              <w:rPr>
                <w:rFonts w:hint="eastAsia" w:ascii="仿宋" w:hAnsi="仿宋" w:eastAsia="仿宋" w:cs="仿宋"/>
                <w:b/>
                <w:bCs/>
                <w:spacing w:val="-4"/>
                <w:sz w:val="24"/>
                <w:szCs w:val="24"/>
              </w:rPr>
            </w:pPr>
            <w:r>
              <w:rPr>
                <w:rFonts w:hint="eastAsia" w:ascii="仿宋" w:hAnsi="仿宋" w:eastAsia="仿宋" w:cs="仿宋"/>
                <w:b/>
                <w:bCs/>
                <w:spacing w:val="-4"/>
                <w:sz w:val="24"/>
                <w:szCs w:val="24"/>
              </w:rPr>
              <w:t>四</w:t>
            </w:r>
          </w:p>
        </w:tc>
        <w:tc>
          <w:tcPr>
            <w:tcW w:w="1474" w:type="dxa"/>
            <w:tcBorders>
              <w:top w:val="single" w:color="auto" w:sz="6" w:space="0"/>
              <w:left w:val="single" w:color="auto" w:sz="6" w:space="0"/>
              <w:bottom w:val="single" w:color="auto" w:sz="6" w:space="0"/>
              <w:right w:val="single" w:color="auto" w:sz="6" w:space="0"/>
            </w:tcBorders>
            <w:vAlign w:val="center"/>
          </w:tcPr>
          <w:p>
            <w:pPr>
              <w:wordWrap/>
              <w:spacing w:line="240" w:lineRule="auto"/>
              <w:ind w:right="73" w:rightChars="35" w:firstLine="9" w:firstLineChars="4"/>
              <w:jc w:val="center"/>
              <w:rPr>
                <w:rFonts w:hint="eastAsia" w:ascii="仿宋" w:hAnsi="仿宋" w:eastAsia="仿宋" w:cs="仿宋"/>
                <w:b/>
                <w:bCs/>
                <w:spacing w:val="-4"/>
                <w:sz w:val="24"/>
                <w:szCs w:val="24"/>
              </w:rPr>
            </w:pPr>
            <w:r>
              <w:rPr>
                <w:rFonts w:hint="eastAsia" w:ascii="仿宋" w:hAnsi="仿宋" w:eastAsia="仿宋" w:cs="仿宋"/>
                <w:b/>
                <w:bCs/>
                <w:spacing w:val="-4"/>
                <w:sz w:val="24"/>
                <w:szCs w:val="24"/>
              </w:rPr>
              <w:t>估价有效期</w:t>
            </w:r>
          </w:p>
        </w:tc>
        <w:tc>
          <w:tcPr>
            <w:tcW w:w="7955" w:type="dxa"/>
            <w:gridSpan w:val="6"/>
            <w:tcBorders>
              <w:top w:val="single" w:color="auto" w:sz="6" w:space="0"/>
              <w:left w:val="single" w:color="auto" w:sz="6" w:space="0"/>
              <w:bottom w:val="single" w:color="auto" w:sz="6" w:space="0"/>
              <w:right w:val="double" w:color="auto" w:sz="4" w:space="0"/>
            </w:tcBorders>
            <w:vAlign w:val="center"/>
          </w:tcPr>
          <w:p>
            <w:pPr>
              <w:wordWrap/>
              <w:spacing w:line="240" w:lineRule="auto"/>
              <w:ind w:right="73" w:rightChars="35"/>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壹年</w:t>
            </w:r>
            <w:r>
              <w:rPr>
                <w:rFonts w:hint="eastAsia" w:ascii="仿宋" w:hAnsi="仿宋" w:eastAsia="仿宋" w:cs="仿宋"/>
                <w:sz w:val="24"/>
                <w:szCs w:val="24"/>
              </w:rPr>
              <w:t>，</w:t>
            </w:r>
            <w:r>
              <w:rPr>
                <w:rFonts w:hint="eastAsia" w:ascii="仿宋" w:hAnsi="仿宋" w:eastAsia="仿宋" w:cs="仿宋"/>
                <w:sz w:val="24"/>
                <w:szCs w:val="24"/>
                <w:lang w:eastAsia="zh-CN"/>
              </w:rPr>
              <w:t>自2022年10月14日起至202</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年</w:t>
            </w:r>
            <w:r>
              <w:rPr>
                <w:rFonts w:hint="eastAsia" w:ascii="仿宋" w:hAnsi="仿宋" w:eastAsia="仿宋" w:cs="仿宋"/>
                <w:sz w:val="24"/>
                <w:szCs w:val="24"/>
                <w:lang w:val="en-US" w:eastAsia="zh-CN"/>
              </w:rPr>
              <w:t>10月13日</w:t>
            </w:r>
            <w:r>
              <w:rPr>
                <w:rFonts w:hint="eastAsia" w:ascii="仿宋" w:hAnsi="仿宋" w:eastAsia="仿宋" w:cs="仿宋"/>
                <w:sz w:val="24"/>
                <w:szCs w:val="24"/>
                <w:lang w:eastAsia="zh-CN"/>
              </w:rPr>
              <w:t>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5" w:type="dxa"/>
            <w:vMerge w:val="restart"/>
            <w:tcBorders>
              <w:top w:val="single" w:color="auto" w:sz="6" w:space="0"/>
              <w:left w:val="double" w:color="auto" w:sz="4" w:space="0"/>
              <w:bottom w:val="single" w:color="auto" w:sz="6" w:space="0"/>
              <w:right w:val="single" w:color="auto" w:sz="6" w:space="0"/>
            </w:tcBorders>
            <w:vAlign w:val="center"/>
          </w:tcPr>
          <w:p>
            <w:pPr>
              <w:wordWrap/>
              <w:adjustRightInd/>
              <w:snapToGrid/>
              <w:spacing w:line="240" w:lineRule="auto"/>
              <w:ind w:right="0"/>
              <w:jc w:val="center"/>
              <w:textAlignment w:val="auto"/>
              <w:rPr>
                <w:rFonts w:hint="eastAsia" w:ascii="仿宋" w:hAnsi="仿宋" w:eastAsia="仿宋" w:cs="仿宋"/>
                <w:b/>
                <w:bCs/>
                <w:spacing w:val="-4"/>
                <w:sz w:val="24"/>
                <w:szCs w:val="24"/>
              </w:rPr>
            </w:pPr>
            <w:r>
              <w:rPr>
                <w:rFonts w:hint="eastAsia" w:ascii="仿宋" w:hAnsi="仿宋" w:eastAsia="仿宋" w:cs="仿宋"/>
                <w:b/>
                <w:bCs/>
                <w:spacing w:val="-4"/>
                <w:sz w:val="24"/>
                <w:szCs w:val="24"/>
              </w:rPr>
              <w:t>五</w:t>
            </w:r>
          </w:p>
        </w:tc>
        <w:tc>
          <w:tcPr>
            <w:tcW w:w="1474" w:type="dxa"/>
            <w:vMerge w:val="restart"/>
            <w:tcBorders>
              <w:top w:val="single" w:color="auto" w:sz="6" w:space="0"/>
              <w:left w:val="single" w:color="auto" w:sz="6" w:space="0"/>
              <w:bottom w:val="single" w:color="auto" w:sz="6" w:space="0"/>
              <w:right w:val="single" w:color="auto" w:sz="6" w:space="0"/>
            </w:tcBorders>
            <w:vAlign w:val="center"/>
          </w:tcPr>
          <w:p>
            <w:pPr>
              <w:wordWrap/>
              <w:spacing w:line="240" w:lineRule="auto"/>
              <w:ind w:right="73" w:rightChars="35" w:firstLine="9" w:firstLineChars="4"/>
              <w:jc w:val="center"/>
              <w:rPr>
                <w:rFonts w:hint="eastAsia" w:ascii="仿宋" w:hAnsi="仿宋" w:eastAsia="仿宋" w:cs="仿宋"/>
                <w:b/>
                <w:bCs/>
                <w:spacing w:val="-4"/>
                <w:sz w:val="24"/>
                <w:szCs w:val="24"/>
              </w:rPr>
            </w:pPr>
            <w:r>
              <w:rPr>
                <w:rFonts w:hint="eastAsia" w:ascii="仿宋" w:hAnsi="仿宋" w:eastAsia="仿宋" w:cs="仿宋"/>
                <w:b/>
                <w:bCs/>
                <w:spacing w:val="-4"/>
                <w:sz w:val="24"/>
                <w:szCs w:val="24"/>
              </w:rPr>
              <w:t>项目情况</w:t>
            </w:r>
          </w:p>
        </w:tc>
        <w:tc>
          <w:tcPr>
            <w:tcW w:w="2253" w:type="dxa"/>
            <w:tcBorders>
              <w:top w:val="single" w:color="auto" w:sz="6" w:space="0"/>
              <w:left w:val="single" w:color="auto" w:sz="6" w:space="0"/>
              <w:bottom w:val="single" w:color="auto" w:sz="6" w:space="0"/>
              <w:right w:val="single" w:color="auto" w:sz="6" w:space="0"/>
            </w:tcBorders>
            <w:vAlign w:val="center"/>
          </w:tcPr>
          <w:p>
            <w:pPr>
              <w:wordWrap/>
              <w:spacing w:line="240" w:lineRule="auto"/>
              <w:jc w:val="center"/>
              <w:rPr>
                <w:rFonts w:hint="eastAsia" w:ascii="仿宋" w:hAnsi="仿宋" w:eastAsia="仿宋" w:cs="仿宋"/>
                <w:spacing w:val="-20"/>
                <w:sz w:val="24"/>
                <w:szCs w:val="24"/>
              </w:rPr>
            </w:pPr>
            <w:r>
              <w:rPr>
                <w:rFonts w:hint="eastAsia" w:ascii="仿宋" w:hAnsi="仿宋" w:eastAsia="仿宋" w:cs="仿宋"/>
                <w:sz w:val="24"/>
                <w:szCs w:val="24"/>
              </w:rPr>
              <w:t>权属人</w:t>
            </w:r>
          </w:p>
        </w:tc>
        <w:tc>
          <w:tcPr>
            <w:tcW w:w="1891" w:type="dxa"/>
            <w:tcBorders>
              <w:top w:val="single" w:color="auto" w:sz="6" w:space="0"/>
              <w:left w:val="single" w:color="auto" w:sz="6" w:space="0"/>
              <w:bottom w:val="single" w:color="auto" w:sz="6" w:space="0"/>
              <w:right w:val="single" w:color="auto" w:sz="4" w:space="0"/>
            </w:tcBorders>
            <w:vAlign w:val="center"/>
          </w:tcPr>
          <w:p>
            <w:pPr>
              <w:wordWrap/>
              <w:spacing w:line="240" w:lineRule="auto"/>
              <w:ind w:right="73" w:rightChars="35"/>
              <w:rPr>
                <w:rFonts w:hint="eastAsia" w:ascii="仿宋" w:hAnsi="仿宋" w:eastAsia="仿宋" w:cs="仿宋"/>
                <w:spacing w:val="-4"/>
                <w:sz w:val="24"/>
                <w:szCs w:val="24"/>
                <w:lang w:eastAsia="zh-CN"/>
              </w:rPr>
            </w:pPr>
            <w:r>
              <w:rPr>
                <w:rFonts w:hint="eastAsia" w:ascii="仿宋" w:hAnsi="仿宋" w:eastAsia="仿宋" w:cs="仿宋"/>
                <w:sz w:val="24"/>
                <w:szCs w:val="24"/>
                <w:lang w:eastAsia="zh-CN"/>
              </w:rPr>
              <w:t>龙岩市永定区农村信用合作联社</w:t>
            </w:r>
          </w:p>
        </w:tc>
        <w:tc>
          <w:tcPr>
            <w:tcW w:w="2022" w:type="dxa"/>
            <w:gridSpan w:val="3"/>
            <w:tcBorders>
              <w:top w:val="single" w:color="auto" w:sz="6" w:space="0"/>
              <w:left w:val="single" w:color="auto" w:sz="4" w:space="0"/>
              <w:bottom w:val="single" w:color="auto" w:sz="6" w:space="0"/>
              <w:right w:val="single" w:color="auto" w:sz="4" w:space="0"/>
            </w:tcBorders>
            <w:vAlign w:val="center"/>
          </w:tcPr>
          <w:p>
            <w:pPr>
              <w:wordWrap/>
              <w:spacing w:line="240" w:lineRule="auto"/>
              <w:ind w:right="73" w:rightChars="35"/>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土地使用权类型</w:t>
            </w:r>
          </w:p>
        </w:tc>
        <w:tc>
          <w:tcPr>
            <w:tcW w:w="1789" w:type="dxa"/>
            <w:tcBorders>
              <w:top w:val="single" w:color="auto" w:sz="6" w:space="0"/>
              <w:left w:val="single" w:color="auto" w:sz="4" w:space="0"/>
              <w:bottom w:val="single" w:color="auto" w:sz="6" w:space="0"/>
              <w:right w:val="double" w:color="auto" w:sz="4" w:space="0"/>
            </w:tcBorders>
            <w:vAlign w:val="center"/>
          </w:tcPr>
          <w:p>
            <w:pPr>
              <w:wordWrap/>
              <w:spacing w:line="240" w:lineRule="auto"/>
              <w:ind w:right="73" w:rightChars="35"/>
              <w:rPr>
                <w:rFonts w:hint="eastAsia" w:ascii="仿宋" w:hAnsi="仿宋" w:eastAsia="仿宋" w:cs="仿宋"/>
                <w:sz w:val="24"/>
                <w:szCs w:val="24"/>
                <w:lang w:val="en-US" w:eastAsia="zh-CN"/>
              </w:rPr>
            </w:pPr>
            <w:r>
              <w:rPr>
                <w:rFonts w:hint="eastAsia" w:ascii="仿宋" w:hAnsi="仿宋" w:eastAsia="仿宋" w:cs="仿宋"/>
                <w:sz w:val="24"/>
                <w:szCs w:val="24"/>
                <w:lang w:eastAsia="zh-CN"/>
              </w:rPr>
              <w:t>出让</w:t>
            </w:r>
            <w:r>
              <w:rPr>
                <w:rFonts w:hint="eastAsia" w:ascii="仿宋" w:hAnsi="仿宋" w:eastAsia="仿宋" w:cs="仿宋"/>
                <w:sz w:val="24"/>
                <w:szCs w:val="24"/>
                <w:lang w:val="en-US" w:eastAsia="zh-CN"/>
              </w:rPr>
              <w:t>/存量房</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5" w:type="dxa"/>
            <w:vMerge w:val="continue"/>
            <w:tcBorders>
              <w:top w:val="single" w:color="auto" w:sz="6" w:space="0"/>
              <w:left w:val="double" w:color="auto" w:sz="4" w:space="0"/>
              <w:bottom w:val="single" w:color="auto" w:sz="6" w:space="0"/>
              <w:right w:val="single" w:color="auto" w:sz="6" w:space="0"/>
            </w:tcBorders>
            <w:vAlign w:val="center"/>
          </w:tcPr>
          <w:p>
            <w:pPr>
              <w:wordWrap/>
              <w:adjustRightInd/>
              <w:snapToGrid/>
              <w:spacing w:line="240" w:lineRule="auto"/>
              <w:ind w:right="0"/>
              <w:jc w:val="center"/>
              <w:textAlignment w:val="auto"/>
              <w:rPr>
                <w:rFonts w:hint="eastAsia" w:ascii="仿宋" w:hAnsi="仿宋" w:eastAsia="仿宋" w:cs="仿宋"/>
                <w:b/>
                <w:bCs/>
                <w:spacing w:val="-4"/>
                <w:sz w:val="24"/>
                <w:szCs w:val="24"/>
              </w:rPr>
            </w:pPr>
          </w:p>
        </w:tc>
        <w:tc>
          <w:tcPr>
            <w:tcW w:w="1474" w:type="dxa"/>
            <w:vMerge w:val="continue"/>
            <w:tcBorders>
              <w:top w:val="single" w:color="auto" w:sz="6" w:space="0"/>
              <w:left w:val="single" w:color="auto" w:sz="6" w:space="0"/>
              <w:bottom w:val="single" w:color="auto" w:sz="6" w:space="0"/>
              <w:right w:val="single" w:color="auto" w:sz="6" w:space="0"/>
            </w:tcBorders>
            <w:vAlign w:val="center"/>
          </w:tcPr>
          <w:p>
            <w:pPr>
              <w:wordWrap/>
              <w:spacing w:line="240" w:lineRule="auto"/>
              <w:ind w:right="73" w:rightChars="35" w:firstLine="9" w:firstLineChars="4"/>
              <w:jc w:val="center"/>
              <w:rPr>
                <w:rFonts w:hint="eastAsia" w:ascii="仿宋" w:hAnsi="仿宋" w:eastAsia="仿宋" w:cs="仿宋"/>
                <w:b/>
                <w:bCs/>
                <w:spacing w:val="-4"/>
                <w:sz w:val="24"/>
                <w:szCs w:val="24"/>
              </w:rPr>
            </w:pPr>
          </w:p>
        </w:tc>
        <w:tc>
          <w:tcPr>
            <w:tcW w:w="2253" w:type="dxa"/>
            <w:tcBorders>
              <w:top w:val="single" w:color="auto" w:sz="6" w:space="0"/>
              <w:left w:val="single" w:color="auto" w:sz="6" w:space="0"/>
              <w:bottom w:val="single" w:color="auto" w:sz="6" w:space="0"/>
              <w:right w:val="single" w:color="auto" w:sz="6" w:space="0"/>
            </w:tcBorders>
            <w:vAlign w:val="center"/>
          </w:tcPr>
          <w:p>
            <w:pPr>
              <w:wordWrap/>
              <w:spacing w:line="240" w:lineRule="auto"/>
              <w:jc w:val="center"/>
              <w:rPr>
                <w:rFonts w:hint="eastAsia" w:ascii="仿宋" w:hAnsi="仿宋" w:eastAsia="仿宋" w:cs="仿宋"/>
                <w:sz w:val="24"/>
                <w:szCs w:val="24"/>
              </w:rPr>
            </w:pPr>
            <w:r>
              <w:rPr>
                <w:rFonts w:hint="eastAsia" w:ascii="仿宋" w:hAnsi="仿宋" w:eastAsia="仿宋" w:cs="仿宋"/>
                <w:sz w:val="24"/>
                <w:szCs w:val="24"/>
              </w:rPr>
              <w:t>建筑面积</w:t>
            </w:r>
          </w:p>
        </w:tc>
        <w:tc>
          <w:tcPr>
            <w:tcW w:w="1891" w:type="dxa"/>
            <w:tcBorders>
              <w:top w:val="single" w:color="auto" w:sz="6" w:space="0"/>
              <w:left w:val="single" w:color="auto" w:sz="6" w:space="0"/>
              <w:bottom w:val="single" w:color="auto" w:sz="6" w:space="0"/>
              <w:right w:val="single" w:color="auto" w:sz="4" w:space="0"/>
            </w:tcBorders>
            <w:vAlign w:val="center"/>
          </w:tcPr>
          <w:p>
            <w:pPr>
              <w:wordWrap/>
              <w:spacing w:line="240" w:lineRule="auto"/>
              <w:ind w:right="73" w:rightChars="35"/>
              <w:rPr>
                <w:rFonts w:hint="eastAsia" w:ascii="仿宋" w:hAnsi="仿宋" w:eastAsia="仿宋" w:cs="仿宋"/>
                <w:sz w:val="24"/>
                <w:szCs w:val="24"/>
                <w:lang w:eastAsia="zh-CN"/>
              </w:rPr>
            </w:pPr>
            <w:r>
              <w:rPr>
                <w:rFonts w:hint="eastAsia" w:ascii="仿宋" w:hAnsi="仿宋" w:eastAsia="仿宋" w:cs="仿宋"/>
                <w:sz w:val="24"/>
                <w:szCs w:val="24"/>
                <w:lang w:val="en-US" w:eastAsia="zh-CN"/>
              </w:rPr>
              <w:t>1086.20平方米</w:t>
            </w:r>
          </w:p>
        </w:tc>
        <w:tc>
          <w:tcPr>
            <w:tcW w:w="2022" w:type="dxa"/>
            <w:gridSpan w:val="3"/>
            <w:tcBorders>
              <w:top w:val="single" w:color="auto" w:sz="6" w:space="0"/>
              <w:left w:val="single" w:color="auto" w:sz="4" w:space="0"/>
              <w:bottom w:val="single" w:color="auto" w:sz="6" w:space="0"/>
              <w:right w:val="single" w:color="auto" w:sz="4" w:space="0"/>
            </w:tcBorders>
            <w:vAlign w:val="center"/>
          </w:tcPr>
          <w:p>
            <w:pPr>
              <w:wordWrap/>
              <w:spacing w:line="240" w:lineRule="auto"/>
              <w:ind w:right="73" w:rightChars="35"/>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建筑结构</w:t>
            </w:r>
          </w:p>
        </w:tc>
        <w:tc>
          <w:tcPr>
            <w:tcW w:w="1789" w:type="dxa"/>
            <w:tcBorders>
              <w:top w:val="single" w:color="auto" w:sz="6" w:space="0"/>
              <w:left w:val="single" w:color="auto" w:sz="4" w:space="0"/>
              <w:bottom w:val="single" w:color="auto" w:sz="6" w:space="0"/>
              <w:right w:val="double" w:color="auto" w:sz="4" w:space="0"/>
            </w:tcBorders>
            <w:vAlign w:val="center"/>
          </w:tcPr>
          <w:p>
            <w:pPr>
              <w:wordWrap/>
              <w:spacing w:line="240" w:lineRule="auto"/>
              <w:ind w:right="73" w:rightChars="35"/>
              <w:rPr>
                <w:rFonts w:hint="eastAsia" w:ascii="仿宋" w:hAnsi="仿宋" w:eastAsia="仿宋" w:cs="仿宋"/>
                <w:sz w:val="24"/>
                <w:szCs w:val="24"/>
                <w:lang w:eastAsia="zh-CN"/>
              </w:rPr>
            </w:pPr>
            <w:r>
              <w:rPr>
                <w:rFonts w:hint="eastAsia" w:ascii="仿宋" w:hAnsi="仿宋" w:eastAsia="仿宋" w:cs="仿宋"/>
                <w:sz w:val="24"/>
                <w:szCs w:val="24"/>
                <w:lang w:eastAsia="zh-CN"/>
              </w:rPr>
              <w:t>钢混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5" w:type="dxa"/>
            <w:vMerge w:val="continue"/>
            <w:tcBorders>
              <w:top w:val="single" w:color="auto" w:sz="6" w:space="0"/>
              <w:left w:val="double" w:color="auto" w:sz="4" w:space="0"/>
              <w:bottom w:val="single" w:color="auto" w:sz="6" w:space="0"/>
              <w:right w:val="single" w:color="auto" w:sz="6" w:space="0"/>
            </w:tcBorders>
            <w:vAlign w:val="center"/>
          </w:tcPr>
          <w:p>
            <w:pPr>
              <w:widowControl/>
              <w:wordWrap/>
              <w:adjustRightInd/>
              <w:snapToGrid/>
              <w:spacing w:line="240" w:lineRule="auto"/>
              <w:ind w:right="0"/>
              <w:jc w:val="left"/>
              <w:textAlignment w:val="auto"/>
              <w:rPr>
                <w:rFonts w:hint="eastAsia" w:ascii="仿宋" w:hAnsi="仿宋" w:eastAsia="仿宋" w:cs="仿宋"/>
                <w:b/>
                <w:bCs/>
                <w:spacing w:val="-4"/>
                <w:sz w:val="24"/>
                <w:szCs w:val="24"/>
              </w:rPr>
            </w:pPr>
          </w:p>
        </w:tc>
        <w:tc>
          <w:tcPr>
            <w:tcW w:w="1474" w:type="dxa"/>
            <w:vMerge w:val="continue"/>
            <w:tcBorders>
              <w:top w:val="single" w:color="auto" w:sz="6" w:space="0"/>
              <w:left w:val="single" w:color="auto" w:sz="6" w:space="0"/>
              <w:bottom w:val="single" w:color="auto" w:sz="6" w:space="0"/>
              <w:right w:val="single" w:color="auto" w:sz="6" w:space="0"/>
            </w:tcBorders>
            <w:vAlign w:val="center"/>
          </w:tcPr>
          <w:p>
            <w:pPr>
              <w:widowControl/>
              <w:wordWrap/>
              <w:spacing w:line="240" w:lineRule="auto"/>
              <w:jc w:val="center"/>
              <w:rPr>
                <w:rFonts w:hint="eastAsia" w:ascii="仿宋" w:hAnsi="仿宋" w:eastAsia="仿宋" w:cs="仿宋"/>
                <w:b/>
                <w:bCs/>
                <w:spacing w:val="-4"/>
                <w:sz w:val="24"/>
                <w:szCs w:val="24"/>
              </w:rPr>
            </w:pPr>
          </w:p>
        </w:tc>
        <w:tc>
          <w:tcPr>
            <w:tcW w:w="2253" w:type="dxa"/>
            <w:tcBorders>
              <w:top w:val="single" w:color="auto" w:sz="6" w:space="0"/>
              <w:left w:val="single" w:color="auto" w:sz="6" w:space="0"/>
              <w:bottom w:val="single" w:color="auto" w:sz="6" w:space="0"/>
              <w:right w:val="single" w:color="auto" w:sz="6" w:space="0"/>
            </w:tcBorders>
            <w:vAlign w:val="center"/>
          </w:tcPr>
          <w:p>
            <w:pPr>
              <w:wordWrap/>
              <w:spacing w:line="240" w:lineRule="auto"/>
              <w:ind w:right="73" w:rightChars="35"/>
              <w:jc w:val="center"/>
              <w:rPr>
                <w:rFonts w:hint="eastAsia" w:ascii="仿宋" w:hAnsi="仿宋" w:eastAsia="仿宋" w:cs="仿宋"/>
                <w:spacing w:val="-20"/>
                <w:sz w:val="24"/>
                <w:szCs w:val="24"/>
              </w:rPr>
            </w:pPr>
            <w:r>
              <w:rPr>
                <w:rFonts w:hint="eastAsia" w:ascii="仿宋" w:hAnsi="仿宋" w:eastAsia="仿宋" w:cs="仿宋"/>
                <w:sz w:val="24"/>
                <w:szCs w:val="24"/>
                <w:lang w:eastAsia="zh-CN"/>
              </w:rPr>
              <w:t>土地及房屋用途</w:t>
            </w:r>
          </w:p>
        </w:tc>
        <w:tc>
          <w:tcPr>
            <w:tcW w:w="1900" w:type="dxa"/>
            <w:gridSpan w:val="2"/>
            <w:tcBorders>
              <w:top w:val="single" w:color="auto" w:sz="6" w:space="0"/>
              <w:left w:val="single" w:color="auto" w:sz="6" w:space="0"/>
              <w:bottom w:val="single" w:color="auto" w:sz="6" w:space="0"/>
              <w:right w:val="double" w:color="auto" w:sz="4" w:space="0"/>
            </w:tcBorders>
            <w:vAlign w:val="center"/>
          </w:tcPr>
          <w:p>
            <w:pPr>
              <w:wordWrap/>
              <w:spacing w:line="240" w:lineRule="auto"/>
              <w:ind w:right="73" w:rightChars="35"/>
              <w:rPr>
                <w:rFonts w:hint="eastAsia" w:ascii="仿宋" w:hAnsi="仿宋" w:eastAsia="仿宋" w:cs="仿宋"/>
                <w:sz w:val="24"/>
                <w:szCs w:val="24"/>
                <w:lang w:val="en-US" w:eastAsia="zh-CN"/>
              </w:rPr>
            </w:pPr>
            <w:r>
              <w:rPr>
                <w:rFonts w:hint="eastAsia" w:ascii="仿宋" w:hAnsi="仿宋" w:eastAsia="仿宋" w:cs="仿宋"/>
                <w:sz w:val="24"/>
                <w:szCs w:val="24"/>
                <w:lang w:eastAsia="zh-CN"/>
              </w:rPr>
              <w:t>商住用地</w:t>
            </w:r>
          </w:p>
        </w:tc>
        <w:tc>
          <w:tcPr>
            <w:tcW w:w="2013" w:type="dxa"/>
            <w:gridSpan w:val="2"/>
            <w:tcBorders>
              <w:top w:val="single" w:color="auto" w:sz="6" w:space="0"/>
              <w:left w:val="single" w:color="auto" w:sz="6" w:space="0"/>
              <w:bottom w:val="single" w:color="auto" w:sz="6" w:space="0"/>
              <w:right w:val="double" w:color="auto" w:sz="4" w:space="0"/>
            </w:tcBorders>
            <w:vAlign w:val="center"/>
          </w:tcPr>
          <w:p>
            <w:pPr>
              <w:wordWrap/>
              <w:spacing w:line="240" w:lineRule="auto"/>
              <w:ind w:right="73" w:rightChars="35"/>
              <w:rPr>
                <w:rFonts w:hint="eastAsia" w:ascii="仿宋" w:hAnsi="仿宋" w:eastAsia="仿宋" w:cs="仿宋"/>
                <w:sz w:val="24"/>
                <w:szCs w:val="24"/>
                <w:lang w:eastAsia="zh-CN"/>
              </w:rPr>
            </w:pPr>
            <w:r>
              <w:rPr>
                <w:rFonts w:hint="eastAsia" w:ascii="仿宋" w:hAnsi="仿宋" w:eastAsia="仿宋" w:cs="仿宋"/>
                <w:sz w:val="24"/>
                <w:szCs w:val="24"/>
                <w:lang w:eastAsia="zh-CN"/>
              </w:rPr>
              <w:t>土地使用权面积</w:t>
            </w:r>
          </w:p>
        </w:tc>
        <w:tc>
          <w:tcPr>
            <w:tcW w:w="1789" w:type="dxa"/>
            <w:tcBorders>
              <w:top w:val="single" w:color="auto" w:sz="6" w:space="0"/>
              <w:left w:val="single" w:color="auto" w:sz="6" w:space="0"/>
              <w:bottom w:val="single" w:color="auto" w:sz="6" w:space="0"/>
              <w:right w:val="double" w:color="auto" w:sz="4" w:space="0"/>
            </w:tcBorders>
            <w:vAlign w:val="center"/>
          </w:tcPr>
          <w:p>
            <w:pPr>
              <w:wordWrap/>
              <w:spacing w:line="240" w:lineRule="auto"/>
              <w:ind w:right="73" w:rightChars="35"/>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125.4平方米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5" w:type="dxa"/>
            <w:tcBorders>
              <w:top w:val="single" w:color="auto" w:sz="6" w:space="0"/>
              <w:left w:val="double" w:color="auto" w:sz="4" w:space="0"/>
              <w:bottom w:val="single" w:color="auto" w:sz="6" w:space="0"/>
              <w:right w:val="single" w:color="auto" w:sz="6" w:space="0"/>
            </w:tcBorders>
            <w:vAlign w:val="center"/>
          </w:tcPr>
          <w:p>
            <w:pPr>
              <w:wordWrap/>
              <w:adjustRightInd/>
              <w:snapToGrid/>
              <w:spacing w:line="240" w:lineRule="auto"/>
              <w:ind w:right="0"/>
              <w:jc w:val="center"/>
              <w:textAlignment w:val="auto"/>
              <w:rPr>
                <w:rFonts w:hint="eastAsia" w:ascii="仿宋" w:hAnsi="仿宋" w:eastAsia="仿宋" w:cs="仿宋"/>
                <w:b/>
                <w:bCs/>
                <w:spacing w:val="-4"/>
                <w:sz w:val="24"/>
                <w:szCs w:val="24"/>
              </w:rPr>
            </w:pPr>
            <w:r>
              <w:rPr>
                <w:rFonts w:hint="eastAsia" w:ascii="仿宋" w:hAnsi="仿宋" w:eastAsia="仿宋" w:cs="仿宋"/>
                <w:b/>
                <w:bCs/>
                <w:spacing w:val="-4"/>
                <w:sz w:val="24"/>
                <w:szCs w:val="24"/>
              </w:rPr>
              <w:t>六</w:t>
            </w:r>
          </w:p>
        </w:tc>
        <w:tc>
          <w:tcPr>
            <w:tcW w:w="1474" w:type="dxa"/>
            <w:tcBorders>
              <w:top w:val="single" w:color="auto" w:sz="6" w:space="0"/>
              <w:left w:val="single" w:color="auto" w:sz="6" w:space="0"/>
              <w:bottom w:val="single" w:color="auto" w:sz="6" w:space="0"/>
              <w:right w:val="single" w:color="auto" w:sz="6" w:space="0"/>
            </w:tcBorders>
            <w:vAlign w:val="center"/>
          </w:tcPr>
          <w:p>
            <w:pPr>
              <w:wordWrap/>
              <w:spacing w:line="240" w:lineRule="auto"/>
              <w:ind w:right="73" w:rightChars="35" w:firstLine="9" w:firstLineChars="4"/>
              <w:jc w:val="center"/>
              <w:rPr>
                <w:rFonts w:hint="eastAsia" w:ascii="仿宋" w:hAnsi="仿宋" w:eastAsia="仿宋" w:cs="仿宋"/>
                <w:b/>
                <w:bCs/>
                <w:spacing w:val="-4"/>
                <w:sz w:val="24"/>
                <w:szCs w:val="24"/>
              </w:rPr>
            </w:pPr>
            <w:r>
              <w:rPr>
                <w:rFonts w:hint="eastAsia" w:ascii="仿宋" w:hAnsi="仿宋" w:eastAsia="仿宋" w:cs="仿宋"/>
                <w:b/>
                <w:bCs/>
                <w:spacing w:val="-4"/>
                <w:sz w:val="24"/>
                <w:szCs w:val="24"/>
              </w:rPr>
              <w:t>价值类型</w:t>
            </w:r>
          </w:p>
        </w:tc>
        <w:tc>
          <w:tcPr>
            <w:tcW w:w="7955" w:type="dxa"/>
            <w:gridSpan w:val="6"/>
            <w:tcBorders>
              <w:top w:val="single" w:color="auto" w:sz="6" w:space="0"/>
              <w:left w:val="single" w:color="auto" w:sz="6" w:space="0"/>
              <w:bottom w:val="single" w:color="auto" w:sz="6" w:space="0"/>
              <w:right w:val="double" w:color="auto" w:sz="4" w:space="0"/>
            </w:tcBorders>
            <w:vAlign w:val="center"/>
          </w:tcPr>
          <w:p>
            <w:pPr>
              <w:widowControl w:val="0"/>
              <w:wordWrap/>
              <w:adjustRightInd w:val="0"/>
              <w:snapToGrid w:val="0"/>
              <w:spacing w:line="240" w:lineRule="auto"/>
              <w:textAlignment w:val="auto"/>
              <w:rPr>
                <w:rFonts w:hint="eastAsia" w:ascii="仿宋" w:hAnsi="仿宋" w:eastAsia="仿宋" w:cs="仿宋"/>
                <w:bCs/>
                <w:sz w:val="24"/>
                <w:szCs w:val="24"/>
              </w:rPr>
            </w:pPr>
            <w:r>
              <w:rPr>
                <w:rFonts w:hint="eastAsia" w:ascii="仿宋" w:hAnsi="仿宋" w:eastAsia="仿宋" w:cs="仿宋"/>
                <w:sz w:val="24"/>
                <w:szCs w:val="24"/>
                <w:lang w:eastAsia="zh-CN"/>
              </w:rPr>
              <w:t>本次估价的价值类型为市场价值，市场价值为估价对象未设定法定优先受偿权利下的价值减去注册房地产估价师知悉的法定优先受偿款后的价值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dxa"/>
            <w:vMerge w:val="restart"/>
            <w:tcBorders>
              <w:left w:val="double" w:color="auto" w:sz="4" w:space="0"/>
              <w:right w:val="single" w:color="auto" w:sz="6" w:space="0"/>
            </w:tcBorders>
            <w:vAlign w:val="center"/>
          </w:tcPr>
          <w:p>
            <w:pPr>
              <w:widowControl w:val="0"/>
              <w:wordWrap/>
              <w:adjustRightInd/>
              <w:snapToGrid/>
              <w:spacing w:line="240" w:lineRule="auto"/>
              <w:ind w:right="0" w:rightChars="0"/>
              <w:jc w:val="center"/>
              <w:textAlignment w:val="auto"/>
              <w:rPr>
                <w:rFonts w:hint="eastAsia" w:ascii="仿宋" w:hAnsi="仿宋" w:eastAsia="仿宋" w:cs="仿宋"/>
                <w:spacing w:val="-4"/>
                <w:sz w:val="24"/>
                <w:szCs w:val="24"/>
              </w:rPr>
            </w:pPr>
            <w:r>
              <w:rPr>
                <w:rFonts w:hint="eastAsia" w:ascii="仿宋" w:hAnsi="仿宋" w:eastAsia="仿宋" w:cs="仿宋"/>
                <w:b/>
                <w:bCs/>
                <w:color w:val="auto"/>
                <w:sz w:val="24"/>
                <w:szCs w:val="24"/>
                <w:lang w:eastAsia="zh-CN"/>
              </w:rPr>
              <w:t>七</w:t>
            </w:r>
          </w:p>
        </w:tc>
        <w:tc>
          <w:tcPr>
            <w:tcW w:w="1474" w:type="dxa"/>
            <w:vMerge w:val="restart"/>
            <w:tcBorders>
              <w:left w:val="single" w:color="auto" w:sz="6" w:space="0"/>
              <w:right w:val="single" w:color="auto" w:sz="6" w:space="0"/>
            </w:tcBorders>
            <w:vAlign w:val="center"/>
          </w:tcPr>
          <w:p>
            <w:pPr>
              <w:widowControl w:val="0"/>
              <w:wordWrap/>
              <w:adjustRightInd/>
              <w:snapToGrid/>
              <w:spacing w:line="240" w:lineRule="auto"/>
              <w:ind w:right="0" w:rightChars="0"/>
              <w:jc w:val="center"/>
              <w:textAlignment w:val="auto"/>
              <w:rPr>
                <w:rFonts w:hint="eastAsia" w:ascii="仿宋" w:hAnsi="仿宋" w:eastAsia="仿宋" w:cs="仿宋"/>
                <w:spacing w:val="-4"/>
                <w:sz w:val="24"/>
                <w:szCs w:val="24"/>
              </w:rPr>
            </w:pPr>
            <w:r>
              <w:rPr>
                <w:rFonts w:hint="eastAsia" w:ascii="仿宋" w:hAnsi="仿宋" w:eastAsia="仿宋" w:cs="仿宋"/>
                <w:b/>
                <w:bCs/>
                <w:color w:val="auto"/>
                <w:sz w:val="24"/>
                <w:szCs w:val="24"/>
                <w:lang w:eastAsia="zh-CN"/>
              </w:rPr>
              <w:t>估价结果</w:t>
            </w:r>
          </w:p>
        </w:tc>
        <w:tc>
          <w:tcPr>
            <w:tcW w:w="2253" w:type="dxa"/>
            <w:vMerge w:val="restart"/>
            <w:tcBorders>
              <w:top w:val="single" w:color="auto" w:sz="6" w:space="0"/>
              <w:left w:val="single" w:color="auto" w:sz="6" w:space="0"/>
              <w:right w:val="single" w:color="auto" w:sz="4" w:space="0"/>
            </w:tcBorders>
            <w:vAlign w:val="center"/>
          </w:tcPr>
          <w:p>
            <w:pPr>
              <w:widowControl w:val="0"/>
              <w:wordWrap/>
              <w:adjustRightInd/>
              <w:snapToGrid/>
              <w:spacing w:line="240" w:lineRule="auto"/>
              <w:ind w:right="0"/>
              <w:textAlignment w:val="auto"/>
              <w:rPr>
                <w:rFonts w:hint="eastAsia" w:ascii="仿宋" w:hAnsi="仿宋" w:eastAsia="仿宋" w:cs="仿宋"/>
                <w:sz w:val="24"/>
                <w:szCs w:val="24"/>
              </w:rPr>
            </w:pPr>
            <w:r>
              <w:rPr>
                <w:rFonts w:hint="eastAsia" w:ascii="仿宋" w:hAnsi="仿宋" w:eastAsia="仿宋" w:cs="仿宋"/>
                <w:b w:val="0"/>
                <w:bCs w:val="0"/>
                <w:color w:val="auto"/>
                <w:kern w:val="2"/>
                <w:sz w:val="24"/>
                <w:szCs w:val="24"/>
                <w:lang w:val="en-US" w:eastAsia="zh-CN" w:bidi="ar-SA"/>
              </w:rPr>
              <w:t>1.市场价值</w:t>
            </w:r>
          </w:p>
        </w:tc>
        <w:tc>
          <w:tcPr>
            <w:tcW w:w="1891" w:type="dxa"/>
            <w:tcBorders>
              <w:top w:val="single" w:color="auto" w:sz="6" w:space="0"/>
              <w:left w:val="single" w:color="auto" w:sz="4" w:space="0"/>
              <w:bottom w:val="single" w:color="auto" w:sz="6" w:space="0"/>
              <w:right w:val="single" w:color="auto" w:sz="4" w:space="0"/>
            </w:tcBorders>
            <w:vAlign w:val="center"/>
          </w:tcPr>
          <w:p>
            <w:pPr>
              <w:widowControl w:val="0"/>
              <w:wordWrap/>
              <w:adjustRightInd/>
              <w:snapToGrid/>
              <w:spacing w:line="240" w:lineRule="auto"/>
              <w:ind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总额</w:t>
            </w:r>
          </w:p>
        </w:tc>
        <w:tc>
          <w:tcPr>
            <w:tcW w:w="3811" w:type="dxa"/>
            <w:gridSpan w:val="4"/>
            <w:tcBorders>
              <w:top w:val="single" w:color="auto" w:sz="6" w:space="0"/>
              <w:left w:val="single" w:color="auto" w:sz="4" w:space="0"/>
              <w:bottom w:val="single" w:color="auto" w:sz="6" w:space="0"/>
              <w:right w:val="double" w:color="auto" w:sz="4" w:space="0"/>
            </w:tcBorders>
            <w:vAlign w:val="center"/>
          </w:tcPr>
          <w:p>
            <w:pPr>
              <w:spacing w:line="24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color w:val="auto"/>
                <w:sz w:val="24"/>
                <w:szCs w:val="24"/>
                <w:lang w:val="en-US" w:eastAsia="zh-CN"/>
              </w:rPr>
              <w:t>人民币贰佰伍拾贰万陆仟伍佰元整（人民币252.65万元）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5" w:type="dxa"/>
            <w:vMerge w:val="continue"/>
            <w:tcBorders>
              <w:left w:val="double" w:color="auto" w:sz="4" w:space="0"/>
              <w:right w:val="single" w:color="auto" w:sz="6" w:space="0"/>
            </w:tcBorders>
            <w:vAlign w:val="center"/>
          </w:tcPr>
          <w:p>
            <w:pPr>
              <w:wordWrap/>
              <w:adjustRightInd/>
              <w:snapToGrid/>
              <w:spacing w:line="240" w:lineRule="auto"/>
              <w:ind w:right="0"/>
              <w:jc w:val="center"/>
              <w:textAlignment w:val="auto"/>
              <w:rPr>
                <w:rFonts w:hint="eastAsia" w:ascii="仿宋" w:hAnsi="仿宋" w:eastAsia="仿宋" w:cs="仿宋"/>
                <w:spacing w:val="-4"/>
                <w:sz w:val="24"/>
                <w:szCs w:val="24"/>
              </w:rPr>
            </w:pPr>
          </w:p>
        </w:tc>
        <w:tc>
          <w:tcPr>
            <w:tcW w:w="1474" w:type="dxa"/>
            <w:vMerge w:val="continue"/>
            <w:tcBorders>
              <w:left w:val="single" w:color="auto" w:sz="6" w:space="0"/>
              <w:right w:val="single" w:color="auto" w:sz="6" w:space="0"/>
            </w:tcBorders>
            <w:vAlign w:val="center"/>
          </w:tcPr>
          <w:p>
            <w:pPr>
              <w:wordWrap/>
              <w:spacing w:line="240" w:lineRule="auto"/>
              <w:ind w:right="73" w:rightChars="35" w:firstLine="9" w:firstLineChars="4"/>
              <w:jc w:val="center"/>
              <w:rPr>
                <w:rFonts w:hint="eastAsia" w:ascii="仿宋" w:hAnsi="仿宋" w:eastAsia="仿宋" w:cs="仿宋"/>
                <w:spacing w:val="-4"/>
                <w:sz w:val="24"/>
                <w:szCs w:val="24"/>
              </w:rPr>
            </w:pPr>
          </w:p>
        </w:tc>
        <w:tc>
          <w:tcPr>
            <w:tcW w:w="2253" w:type="dxa"/>
            <w:vMerge w:val="continue"/>
            <w:tcBorders>
              <w:left w:val="single" w:color="auto" w:sz="6" w:space="0"/>
              <w:bottom w:val="single" w:color="auto" w:sz="6" w:space="0"/>
              <w:right w:val="single" w:color="auto" w:sz="4" w:space="0"/>
            </w:tcBorders>
            <w:vAlign w:val="center"/>
          </w:tcPr>
          <w:p>
            <w:pPr>
              <w:widowControl w:val="0"/>
              <w:wordWrap/>
              <w:adjustRightInd/>
              <w:snapToGrid/>
              <w:spacing w:line="240" w:lineRule="auto"/>
              <w:ind w:right="0"/>
              <w:textAlignment w:val="auto"/>
              <w:rPr>
                <w:rFonts w:hint="eastAsia" w:ascii="仿宋" w:hAnsi="仿宋" w:eastAsia="仿宋" w:cs="仿宋"/>
                <w:sz w:val="24"/>
                <w:szCs w:val="24"/>
              </w:rPr>
            </w:pPr>
          </w:p>
        </w:tc>
        <w:tc>
          <w:tcPr>
            <w:tcW w:w="1891" w:type="dxa"/>
            <w:tcBorders>
              <w:top w:val="single" w:color="auto" w:sz="6" w:space="0"/>
              <w:left w:val="single" w:color="auto" w:sz="4" w:space="0"/>
              <w:bottom w:val="single" w:color="auto" w:sz="6" w:space="0"/>
              <w:right w:val="single" w:color="auto" w:sz="4" w:space="0"/>
            </w:tcBorders>
            <w:vAlign w:val="center"/>
          </w:tcPr>
          <w:p>
            <w:pPr>
              <w:widowControl w:val="0"/>
              <w:wordWrap/>
              <w:adjustRightInd/>
              <w:snapToGrid/>
              <w:spacing w:line="240" w:lineRule="auto"/>
              <w:ind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单价</w:t>
            </w:r>
          </w:p>
        </w:tc>
        <w:tc>
          <w:tcPr>
            <w:tcW w:w="3811" w:type="dxa"/>
            <w:gridSpan w:val="4"/>
            <w:tcBorders>
              <w:top w:val="single" w:color="auto" w:sz="6" w:space="0"/>
              <w:left w:val="single" w:color="auto" w:sz="4" w:space="0"/>
              <w:bottom w:val="single" w:color="auto" w:sz="6" w:space="0"/>
              <w:right w:val="double" w:color="auto" w:sz="4" w:space="0"/>
            </w:tcBorders>
            <w:vAlign w:val="center"/>
          </w:tcPr>
          <w:p>
            <w:pPr>
              <w:spacing w:line="24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color w:val="auto"/>
                <w:sz w:val="24"/>
                <w:szCs w:val="24"/>
                <w:lang w:val="en-US" w:eastAsia="zh-CN"/>
              </w:rPr>
              <w:t>人民币2326元/平方米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5" w:type="dxa"/>
            <w:vMerge w:val="continue"/>
            <w:tcBorders>
              <w:left w:val="double" w:color="auto" w:sz="4" w:space="0"/>
              <w:right w:val="single" w:color="auto" w:sz="6" w:space="0"/>
            </w:tcBorders>
            <w:vAlign w:val="center"/>
          </w:tcPr>
          <w:p>
            <w:pPr>
              <w:wordWrap/>
              <w:adjustRightInd/>
              <w:snapToGrid/>
              <w:spacing w:line="240" w:lineRule="auto"/>
              <w:ind w:right="0"/>
              <w:jc w:val="center"/>
              <w:textAlignment w:val="auto"/>
              <w:rPr>
                <w:rFonts w:hint="eastAsia" w:ascii="仿宋" w:hAnsi="仿宋" w:eastAsia="仿宋" w:cs="仿宋"/>
                <w:spacing w:val="-4"/>
                <w:sz w:val="24"/>
                <w:szCs w:val="24"/>
              </w:rPr>
            </w:pPr>
          </w:p>
        </w:tc>
        <w:tc>
          <w:tcPr>
            <w:tcW w:w="1474" w:type="dxa"/>
            <w:vMerge w:val="continue"/>
            <w:tcBorders>
              <w:left w:val="single" w:color="auto" w:sz="6" w:space="0"/>
              <w:right w:val="single" w:color="auto" w:sz="6" w:space="0"/>
            </w:tcBorders>
            <w:vAlign w:val="center"/>
          </w:tcPr>
          <w:p>
            <w:pPr>
              <w:wordWrap/>
              <w:spacing w:line="240" w:lineRule="auto"/>
              <w:ind w:right="73" w:rightChars="35" w:firstLine="9" w:firstLineChars="4"/>
              <w:jc w:val="center"/>
              <w:rPr>
                <w:rFonts w:hint="eastAsia" w:ascii="仿宋" w:hAnsi="仿宋" w:eastAsia="仿宋" w:cs="仿宋"/>
                <w:spacing w:val="-4"/>
                <w:sz w:val="24"/>
                <w:szCs w:val="24"/>
              </w:rPr>
            </w:pPr>
          </w:p>
        </w:tc>
        <w:tc>
          <w:tcPr>
            <w:tcW w:w="2253" w:type="dxa"/>
            <w:tcBorders>
              <w:top w:val="single" w:color="auto" w:sz="6" w:space="0"/>
              <w:left w:val="single" w:color="auto" w:sz="6" w:space="0"/>
              <w:bottom w:val="single" w:color="auto" w:sz="6" w:space="0"/>
              <w:right w:val="single" w:color="auto" w:sz="4" w:space="0"/>
            </w:tcBorders>
            <w:vAlign w:val="center"/>
          </w:tcPr>
          <w:p>
            <w:pPr>
              <w:widowControl w:val="0"/>
              <w:wordWrap/>
              <w:adjustRightInd/>
              <w:snapToGrid/>
              <w:spacing w:line="240" w:lineRule="auto"/>
              <w:ind w:right="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房地产处置过程中产生的相关税费</w:t>
            </w:r>
          </w:p>
        </w:tc>
        <w:tc>
          <w:tcPr>
            <w:tcW w:w="5702" w:type="dxa"/>
            <w:gridSpan w:val="5"/>
            <w:tcBorders>
              <w:top w:val="single" w:color="auto" w:sz="6" w:space="0"/>
              <w:left w:val="single" w:color="auto" w:sz="4" w:space="0"/>
              <w:bottom w:val="single" w:color="auto" w:sz="6" w:space="0"/>
              <w:right w:val="double" w:color="auto" w:sz="4" w:space="0"/>
            </w:tcBorders>
            <w:vAlign w:val="center"/>
          </w:tcPr>
          <w:p>
            <w:pPr>
              <w:wordWrap/>
              <w:adjustRightInd/>
              <w:snapToGrid/>
              <w:spacing w:line="24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color w:val="auto"/>
                <w:sz w:val="24"/>
                <w:szCs w:val="24"/>
              </w:rPr>
              <w:t>人民币</w:t>
            </w:r>
            <w:r>
              <w:rPr>
                <w:rFonts w:hint="eastAsia" w:ascii="仿宋" w:hAnsi="仿宋" w:eastAsia="仿宋" w:cs="仿宋"/>
                <w:b w:val="0"/>
                <w:bCs w:val="0"/>
                <w:color w:val="auto"/>
                <w:sz w:val="24"/>
                <w:szCs w:val="24"/>
                <w:lang w:eastAsia="zh-CN"/>
              </w:rPr>
              <w:t>叁万柒仟玖佰元</w:t>
            </w:r>
            <w:r>
              <w:rPr>
                <w:rFonts w:hint="eastAsia" w:ascii="仿宋" w:hAnsi="仿宋" w:eastAsia="仿宋" w:cs="仿宋"/>
                <w:b w:val="0"/>
                <w:bCs w:val="0"/>
                <w:color w:val="auto"/>
                <w:sz w:val="24"/>
                <w:szCs w:val="24"/>
              </w:rPr>
              <w:t>整（人民币</w:t>
            </w:r>
            <w:r>
              <w:rPr>
                <w:rFonts w:hint="eastAsia" w:ascii="仿宋" w:hAnsi="仿宋" w:eastAsia="仿宋" w:cs="仿宋"/>
                <w:b w:val="0"/>
                <w:bCs w:val="0"/>
                <w:color w:val="auto"/>
                <w:sz w:val="24"/>
                <w:szCs w:val="24"/>
                <w:lang w:val="en-US" w:eastAsia="zh-CN"/>
              </w:rPr>
              <w:t>3.79万元</w:t>
            </w:r>
            <w:r>
              <w:rPr>
                <w:rFonts w:hint="eastAsia" w:ascii="仿宋" w:hAnsi="仿宋" w:eastAsia="仿宋" w:cs="仿宋"/>
                <w:b w:val="0"/>
                <w:bCs w:val="0"/>
                <w:color w:val="auto"/>
                <w:sz w:val="24"/>
                <w:szCs w:val="24"/>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5" w:type="dxa"/>
            <w:vMerge w:val="continue"/>
            <w:tcBorders>
              <w:left w:val="double" w:color="auto" w:sz="4" w:space="0"/>
              <w:right w:val="single" w:color="auto" w:sz="6" w:space="0"/>
            </w:tcBorders>
            <w:vAlign w:val="center"/>
          </w:tcPr>
          <w:p>
            <w:pPr>
              <w:wordWrap/>
              <w:adjustRightInd/>
              <w:snapToGrid/>
              <w:spacing w:line="240" w:lineRule="auto"/>
              <w:ind w:right="0"/>
              <w:jc w:val="center"/>
              <w:textAlignment w:val="auto"/>
              <w:rPr>
                <w:rFonts w:hint="eastAsia" w:ascii="仿宋" w:hAnsi="仿宋" w:eastAsia="仿宋" w:cs="仿宋"/>
                <w:spacing w:val="-4"/>
                <w:sz w:val="24"/>
                <w:szCs w:val="24"/>
              </w:rPr>
            </w:pPr>
          </w:p>
        </w:tc>
        <w:tc>
          <w:tcPr>
            <w:tcW w:w="1474" w:type="dxa"/>
            <w:vMerge w:val="continue"/>
            <w:tcBorders>
              <w:left w:val="single" w:color="auto" w:sz="6" w:space="0"/>
              <w:right w:val="single" w:color="auto" w:sz="6" w:space="0"/>
            </w:tcBorders>
            <w:vAlign w:val="center"/>
          </w:tcPr>
          <w:p>
            <w:pPr>
              <w:wordWrap/>
              <w:spacing w:line="240" w:lineRule="auto"/>
              <w:ind w:right="73" w:rightChars="35" w:firstLine="9" w:firstLineChars="4"/>
              <w:jc w:val="center"/>
              <w:rPr>
                <w:rFonts w:hint="eastAsia" w:ascii="仿宋" w:hAnsi="仿宋" w:eastAsia="仿宋" w:cs="仿宋"/>
                <w:spacing w:val="-4"/>
                <w:sz w:val="24"/>
                <w:szCs w:val="24"/>
              </w:rPr>
            </w:pPr>
          </w:p>
        </w:tc>
        <w:tc>
          <w:tcPr>
            <w:tcW w:w="2253" w:type="dxa"/>
            <w:vMerge w:val="restart"/>
            <w:tcBorders>
              <w:top w:val="single" w:color="auto" w:sz="6" w:space="0"/>
              <w:left w:val="single" w:color="auto" w:sz="6" w:space="0"/>
              <w:right w:val="single" w:color="auto" w:sz="4" w:space="0"/>
            </w:tcBorders>
            <w:vAlign w:val="center"/>
          </w:tcPr>
          <w:p>
            <w:pPr>
              <w:widowControl w:val="0"/>
              <w:wordWrap/>
              <w:adjustRightInd/>
              <w:snapToGrid/>
              <w:spacing w:line="240" w:lineRule="auto"/>
              <w:ind w:right="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扣除相关处置税费后的抵押净值</w:t>
            </w:r>
          </w:p>
        </w:tc>
        <w:tc>
          <w:tcPr>
            <w:tcW w:w="1891" w:type="dxa"/>
            <w:tcBorders>
              <w:top w:val="single" w:color="auto" w:sz="6" w:space="0"/>
              <w:left w:val="single" w:color="auto" w:sz="4" w:space="0"/>
              <w:bottom w:val="single" w:color="auto" w:sz="6" w:space="0"/>
              <w:right w:val="single" w:color="auto" w:sz="4" w:space="0"/>
            </w:tcBorders>
            <w:vAlign w:val="center"/>
          </w:tcPr>
          <w:p>
            <w:pPr>
              <w:widowControl w:val="0"/>
              <w:wordWrap/>
              <w:adjustRightInd/>
              <w:snapToGrid/>
              <w:spacing w:line="240" w:lineRule="auto"/>
              <w:ind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总额</w:t>
            </w:r>
          </w:p>
        </w:tc>
        <w:tc>
          <w:tcPr>
            <w:tcW w:w="3811" w:type="dxa"/>
            <w:gridSpan w:val="4"/>
            <w:tcBorders>
              <w:top w:val="single" w:color="auto" w:sz="6" w:space="0"/>
              <w:left w:val="single" w:color="auto" w:sz="4" w:space="0"/>
              <w:bottom w:val="single" w:color="auto" w:sz="6" w:space="0"/>
              <w:right w:val="double" w:color="auto" w:sz="4" w:space="0"/>
            </w:tcBorders>
            <w:vAlign w:val="center"/>
          </w:tcPr>
          <w:p>
            <w:pPr>
              <w:widowControl w:val="0"/>
              <w:wordWrap/>
              <w:adjustRightInd/>
              <w:snapToGrid/>
              <w:spacing w:line="24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人民币</w:t>
            </w:r>
            <w:r>
              <w:rPr>
                <w:rFonts w:hint="eastAsia" w:ascii="仿宋" w:hAnsi="仿宋" w:eastAsia="仿宋" w:cs="仿宋"/>
                <w:b w:val="0"/>
                <w:bCs w:val="0"/>
                <w:color w:val="auto"/>
                <w:sz w:val="24"/>
                <w:szCs w:val="24"/>
                <w:lang w:eastAsia="zh-CN"/>
              </w:rPr>
              <w:t>贰佰肆拾捌万捌仟陆佰元</w:t>
            </w:r>
            <w:r>
              <w:rPr>
                <w:rFonts w:hint="eastAsia" w:ascii="仿宋" w:hAnsi="仿宋" w:eastAsia="仿宋" w:cs="仿宋"/>
                <w:b w:val="0"/>
                <w:bCs w:val="0"/>
                <w:color w:val="auto"/>
                <w:sz w:val="24"/>
                <w:szCs w:val="24"/>
              </w:rPr>
              <w:t>整（人民币</w:t>
            </w:r>
            <w:r>
              <w:rPr>
                <w:rFonts w:hint="eastAsia" w:ascii="仿宋" w:hAnsi="仿宋" w:eastAsia="仿宋" w:cs="仿宋"/>
                <w:b w:val="0"/>
                <w:bCs w:val="0"/>
                <w:color w:val="auto"/>
                <w:sz w:val="24"/>
                <w:szCs w:val="24"/>
                <w:lang w:val="en-US" w:eastAsia="zh-CN"/>
              </w:rPr>
              <w:t>248.86万元</w:t>
            </w:r>
            <w:r>
              <w:rPr>
                <w:rFonts w:hint="eastAsia" w:ascii="仿宋" w:hAnsi="仿宋" w:eastAsia="仿宋" w:cs="仿宋"/>
                <w:b w:val="0"/>
                <w:bCs w:val="0"/>
                <w:color w:val="auto"/>
                <w:sz w:val="24"/>
                <w:szCs w:val="24"/>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5" w:type="dxa"/>
            <w:vMerge w:val="continue"/>
            <w:tcBorders>
              <w:left w:val="double" w:color="auto" w:sz="4" w:space="0"/>
              <w:right w:val="single" w:color="auto" w:sz="6" w:space="0"/>
            </w:tcBorders>
            <w:vAlign w:val="center"/>
          </w:tcPr>
          <w:p>
            <w:pPr>
              <w:wordWrap/>
              <w:adjustRightInd/>
              <w:snapToGrid/>
              <w:spacing w:line="240" w:lineRule="auto"/>
              <w:ind w:right="0"/>
              <w:jc w:val="center"/>
              <w:textAlignment w:val="auto"/>
              <w:rPr>
                <w:rFonts w:hint="eastAsia" w:ascii="仿宋" w:hAnsi="仿宋" w:eastAsia="仿宋" w:cs="仿宋"/>
                <w:spacing w:val="-4"/>
                <w:sz w:val="24"/>
                <w:szCs w:val="24"/>
              </w:rPr>
            </w:pPr>
          </w:p>
        </w:tc>
        <w:tc>
          <w:tcPr>
            <w:tcW w:w="1474" w:type="dxa"/>
            <w:vMerge w:val="continue"/>
            <w:tcBorders>
              <w:left w:val="single" w:color="auto" w:sz="6" w:space="0"/>
              <w:right w:val="single" w:color="auto" w:sz="6" w:space="0"/>
            </w:tcBorders>
            <w:vAlign w:val="center"/>
          </w:tcPr>
          <w:p>
            <w:pPr>
              <w:wordWrap/>
              <w:spacing w:line="240" w:lineRule="auto"/>
              <w:ind w:right="73" w:rightChars="35" w:firstLine="9" w:firstLineChars="4"/>
              <w:jc w:val="center"/>
              <w:rPr>
                <w:rFonts w:hint="eastAsia" w:ascii="仿宋" w:hAnsi="仿宋" w:eastAsia="仿宋" w:cs="仿宋"/>
                <w:spacing w:val="-4"/>
                <w:sz w:val="24"/>
                <w:szCs w:val="24"/>
              </w:rPr>
            </w:pPr>
          </w:p>
        </w:tc>
        <w:tc>
          <w:tcPr>
            <w:tcW w:w="2253" w:type="dxa"/>
            <w:vMerge w:val="continue"/>
            <w:tcBorders>
              <w:left w:val="single" w:color="auto" w:sz="6" w:space="0"/>
              <w:bottom w:val="single" w:color="auto" w:sz="6" w:space="0"/>
              <w:right w:val="single" w:color="auto" w:sz="4" w:space="0"/>
            </w:tcBorders>
            <w:vAlign w:val="center"/>
          </w:tcPr>
          <w:p>
            <w:pPr>
              <w:widowControl w:val="0"/>
              <w:wordWrap/>
              <w:adjustRightInd/>
              <w:snapToGrid/>
              <w:spacing w:line="240" w:lineRule="auto"/>
              <w:ind w:right="0"/>
              <w:textAlignment w:val="auto"/>
              <w:rPr>
                <w:rFonts w:hint="eastAsia" w:ascii="仿宋" w:hAnsi="仿宋" w:eastAsia="仿宋" w:cs="仿宋"/>
                <w:sz w:val="24"/>
                <w:szCs w:val="24"/>
              </w:rPr>
            </w:pPr>
          </w:p>
        </w:tc>
        <w:tc>
          <w:tcPr>
            <w:tcW w:w="1891" w:type="dxa"/>
            <w:tcBorders>
              <w:top w:val="single" w:color="auto" w:sz="6" w:space="0"/>
              <w:left w:val="single" w:color="auto" w:sz="4" w:space="0"/>
              <w:bottom w:val="single" w:color="auto" w:sz="6" w:space="0"/>
              <w:right w:val="single" w:color="auto" w:sz="4" w:space="0"/>
            </w:tcBorders>
            <w:vAlign w:val="center"/>
          </w:tcPr>
          <w:p>
            <w:pPr>
              <w:widowControl w:val="0"/>
              <w:wordWrap/>
              <w:adjustRightInd/>
              <w:snapToGrid/>
              <w:spacing w:line="240" w:lineRule="auto"/>
              <w:ind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单价</w:t>
            </w:r>
          </w:p>
        </w:tc>
        <w:tc>
          <w:tcPr>
            <w:tcW w:w="3811" w:type="dxa"/>
            <w:gridSpan w:val="4"/>
            <w:tcBorders>
              <w:top w:val="single" w:color="auto" w:sz="6" w:space="0"/>
              <w:left w:val="single" w:color="auto" w:sz="4" w:space="0"/>
              <w:bottom w:val="single" w:color="auto" w:sz="6" w:space="0"/>
              <w:right w:val="double" w:color="auto" w:sz="4" w:space="0"/>
            </w:tcBorders>
            <w:vAlign w:val="center"/>
          </w:tcPr>
          <w:p>
            <w:pPr>
              <w:widowControl w:val="0"/>
              <w:wordWrap/>
              <w:adjustRightInd/>
              <w:snapToGrid/>
              <w:spacing w:line="24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人民币</w:t>
            </w:r>
            <w:r>
              <w:rPr>
                <w:rFonts w:hint="eastAsia" w:ascii="仿宋" w:hAnsi="仿宋" w:eastAsia="仿宋" w:cs="仿宋"/>
                <w:b w:val="0"/>
                <w:bCs w:val="0"/>
                <w:color w:val="auto"/>
                <w:sz w:val="24"/>
                <w:szCs w:val="24"/>
                <w:lang w:val="en-US" w:eastAsia="zh-CN"/>
              </w:rPr>
              <w:t>2291元/平方米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5" w:type="dxa"/>
            <w:tcBorders>
              <w:top w:val="single" w:color="auto" w:sz="6" w:space="0"/>
              <w:left w:val="double" w:color="auto" w:sz="4" w:space="0"/>
              <w:bottom w:val="single" w:color="auto" w:sz="6" w:space="0"/>
              <w:right w:val="single" w:color="auto" w:sz="6" w:space="0"/>
            </w:tcBorders>
            <w:vAlign w:val="center"/>
          </w:tcPr>
          <w:p>
            <w:pPr>
              <w:wordWrap/>
              <w:adjustRightInd/>
              <w:snapToGrid/>
              <w:spacing w:line="240" w:lineRule="auto"/>
              <w:ind w:right="0" w:rightChars="0"/>
              <w:jc w:val="center"/>
              <w:textAlignment w:val="auto"/>
              <w:rPr>
                <w:rFonts w:hint="eastAsia" w:ascii="仿宋" w:hAnsi="仿宋" w:eastAsia="仿宋" w:cs="仿宋"/>
                <w:sz w:val="24"/>
                <w:szCs w:val="24"/>
              </w:rPr>
            </w:pPr>
            <w:r>
              <w:rPr>
                <w:rFonts w:hint="eastAsia" w:ascii="仿宋" w:hAnsi="仿宋" w:eastAsia="仿宋" w:cs="仿宋"/>
                <w:b/>
                <w:bCs/>
                <w:sz w:val="24"/>
                <w:szCs w:val="24"/>
                <w:lang w:eastAsia="zh-CN"/>
              </w:rPr>
              <w:t>八</w:t>
            </w:r>
          </w:p>
        </w:tc>
        <w:tc>
          <w:tcPr>
            <w:tcW w:w="1474" w:type="dxa"/>
            <w:tcBorders>
              <w:top w:val="single" w:color="auto" w:sz="6" w:space="0"/>
              <w:left w:val="single" w:color="auto" w:sz="6" w:space="0"/>
              <w:bottom w:val="single" w:color="auto" w:sz="6" w:space="0"/>
              <w:right w:val="single" w:color="auto" w:sz="6" w:space="0"/>
            </w:tcBorders>
            <w:vAlign w:val="center"/>
          </w:tcPr>
          <w:p>
            <w:pPr>
              <w:wordWrap/>
              <w:spacing w:line="240" w:lineRule="auto"/>
              <w:ind w:right="73" w:rightChars="35"/>
              <w:jc w:val="center"/>
              <w:rPr>
                <w:rFonts w:hint="eastAsia" w:ascii="仿宋" w:hAnsi="仿宋" w:eastAsia="仿宋" w:cs="仿宋"/>
                <w:sz w:val="24"/>
                <w:szCs w:val="24"/>
              </w:rPr>
            </w:pPr>
            <w:r>
              <w:rPr>
                <w:rFonts w:hint="eastAsia" w:ascii="仿宋" w:hAnsi="仿宋" w:eastAsia="仿宋" w:cs="仿宋"/>
                <w:b/>
                <w:bCs/>
                <w:sz w:val="24"/>
                <w:szCs w:val="24"/>
                <w:lang w:eastAsia="zh-CN"/>
              </w:rPr>
              <w:t>重要提示</w:t>
            </w:r>
          </w:p>
        </w:tc>
        <w:tc>
          <w:tcPr>
            <w:tcW w:w="7955" w:type="dxa"/>
            <w:gridSpan w:val="6"/>
            <w:tcBorders>
              <w:top w:val="single" w:color="auto" w:sz="6" w:space="0"/>
              <w:left w:val="single" w:color="auto" w:sz="6" w:space="0"/>
              <w:bottom w:val="single" w:color="auto" w:sz="6" w:space="0"/>
              <w:right w:val="double" w:color="auto" w:sz="4" w:space="0"/>
            </w:tcBorders>
            <w:vAlign w:val="center"/>
          </w:tcPr>
          <w:p>
            <w:pPr>
              <w:wordWrap/>
              <w:spacing w:line="240" w:lineRule="auto"/>
              <w:jc w:val="left"/>
              <w:rPr>
                <w:rFonts w:hint="eastAsia" w:ascii="仿宋" w:hAnsi="仿宋" w:eastAsia="仿宋" w:cs="仿宋"/>
                <w:sz w:val="24"/>
                <w:szCs w:val="24"/>
              </w:rPr>
            </w:pPr>
            <w:r>
              <w:rPr>
                <w:rFonts w:hint="eastAsia" w:ascii="仿宋" w:hAnsi="仿宋" w:eastAsia="仿宋" w:cs="仿宋"/>
                <w:b w:val="0"/>
                <w:bCs w:val="0"/>
                <w:color w:val="auto"/>
                <w:sz w:val="24"/>
                <w:szCs w:val="24"/>
              </w:rPr>
              <w:t>在使用本报告前，估价委托人及报告使用人应在全面阅读估价报告的基础上合理使用报告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585" w:type="dxa"/>
            <w:vMerge w:val="restart"/>
            <w:tcBorders>
              <w:top w:val="single" w:color="auto" w:sz="6" w:space="0"/>
              <w:left w:val="double" w:color="auto" w:sz="4" w:space="0"/>
              <w:bottom w:val="single" w:color="auto" w:sz="6" w:space="0"/>
              <w:right w:val="single" w:color="auto" w:sz="6" w:space="0"/>
            </w:tcBorders>
            <w:vAlign w:val="center"/>
          </w:tcPr>
          <w:p>
            <w:pPr>
              <w:wordWrap/>
              <w:adjustRightInd/>
              <w:snapToGrid/>
              <w:spacing w:line="240" w:lineRule="auto"/>
              <w:ind w:right="0" w:rightChars="0"/>
              <w:jc w:val="center"/>
              <w:textAlignment w:val="auto"/>
              <w:rPr>
                <w:rFonts w:hint="eastAsia" w:ascii="仿宋" w:hAnsi="仿宋" w:eastAsia="仿宋" w:cs="仿宋"/>
                <w:spacing w:val="-4"/>
                <w:sz w:val="24"/>
                <w:szCs w:val="24"/>
              </w:rPr>
            </w:pPr>
            <w:r>
              <w:rPr>
                <w:rFonts w:hint="eastAsia" w:ascii="仿宋" w:hAnsi="仿宋" w:eastAsia="仿宋" w:cs="仿宋"/>
                <w:b/>
                <w:bCs/>
                <w:spacing w:val="-4"/>
                <w:sz w:val="24"/>
                <w:szCs w:val="24"/>
                <w:lang w:eastAsia="zh-CN"/>
              </w:rPr>
              <w:t>九</w:t>
            </w:r>
          </w:p>
        </w:tc>
        <w:tc>
          <w:tcPr>
            <w:tcW w:w="1474" w:type="dxa"/>
            <w:vMerge w:val="restart"/>
            <w:tcBorders>
              <w:top w:val="single" w:color="auto" w:sz="6" w:space="0"/>
              <w:left w:val="single" w:color="auto" w:sz="6" w:space="0"/>
              <w:bottom w:val="single" w:color="auto" w:sz="6" w:space="0"/>
              <w:right w:val="single" w:color="auto" w:sz="6" w:space="0"/>
            </w:tcBorders>
            <w:vAlign w:val="center"/>
          </w:tcPr>
          <w:p>
            <w:pPr>
              <w:wordWrap/>
              <w:spacing w:line="240" w:lineRule="auto"/>
              <w:ind w:right="73" w:rightChars="35"/>
              <w:jc w:val="center"/>
              <w:rPr>
                <w:rFonts w:hint="eastAsia" w:ascii="仿宋" w:hAnsi="仿宋" w:eastAsia="仿宋" w:cs="仿宋"/>
                <w:spacing w:val="-4"/>
                <w:sz w:val="24"/>
                <w:szCs w:val="24"/>
              </w:rPr>
            </w:pPr>
            <w:r>
              <w:rPr>
                <w:rFonts w:hint="eastAsia" w:ascii="仿宋" w:hAnsi="仿宋" w:eastAsia="仿宋" w:cs="仿宋"/>
                <w:b/>
                <w:bCs/>
                <w:sz w:val="24"/>
                <w:szCs w:val="24"/>
                <w:lang w:eastAsia="zh-CN"/>
              </w:rPr>
              <w:t>注册房地产估价师</w:t>
            </w:r>
          </w:p>
        </w:tc>
        <w:tc>
          <w:tcPr>
            <w:tcW w:w="2253" w:type="dxa"/>
            <w:tcBorders>
              <w:top w:val="single" w:color="auto" w:sz="6" w:space="0"/>
              <w:left w:val="single" w:color="auto" w:sz="6" w:space="0"/>
              <w:bottom w:val="single" w:color="auto" w:sz="6" w:space="0"/>
              <w:right w:val="single" w:color="auto" w:sz="6" w:space="0"/>
            </w:tcBorders>
            <w:vAlign w:val="center"/>
          </w:tcPr>
          <w:p>
            <w:pPr>
              <w:wordWrap/>
              <w:spacing w:line="240" w:lineRule="auto"/>
              <w:ind w:left="-178" w:leftChars="-85" w:right="-178" w:rightChars="-85"/>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赵少聪</w:t>
            </w:r>
          </w:p>
        </w:tc>
        <w:tc>
          <w:tcPr>
            <w:tcW w:w="3049" w:type="dxa"/>
            <w:gridSpan w:val="3"/>
            <w:tcBorders>
              <w:top w:val="single" w:color="auto" w:sz="6" w:space="0"/>
              <w:left w:val="single" w:color="auto" w:sz="6" w:space="0"/>
              <w:bottom w:val="single" w:color="auto" w:sz="6" w:space="0"/>
              <w:right w:val="single" w:color="auto" w:sz="6" w:space="0"/>
            </w:tcBorders>
            <w:vAlign w:val="center"/>
          </w:tcPr>
          <w:p>
            <w:pPr>
              <w:tabs>
                <w:tab w:val="left" w:pos="6600"/>
              </w:tabs>
              <w:wordWrap/>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rPr>
              <w:t>房地产估价师注册号</w:t>
            </w:r>
            <w:r>
              <w:rPr>
                <w:rFonts w:hint="eastAsia" w:ascii="仿宋" w:hAnsi="仿宋" w:eastAsia="仿宋" w:cs="仿宋"/>
                <w:sz w:val="24"/>
                <w:szCs w:val="24"/>
                <w:lang w:eastAsia="zh-CN"/>
              </w:rPr>
              <w:t>3520100022</w:t>
            </w:r>
          </w:p>
        </w:tc>
        <w:tc>
          <w:tcPr>
            <w:tcW w:w="2653" w:type="dxa"/>
            <w:gridSpan w:val="2"/>
            <w:tcBorders>
              <w:top w:val="single" w:color="auto" w:sz="6" w:space="0"/>
              <w:left w:val="single" w:color="auto" w:sz="6" w:space="0"/>
              <w:bottom w:val="single" w:color="auto" w:sz="6" w:space="0"/>
              <w:right w:val="double" w:color="auto" w:sz="4" w:space="0"/>
            </w:tcBorders>
            <w:vAlign w:val="center"/>
          </w:tcPr>
          <w:p>
            <w:pPr>
              <w:pStyle w:val="9"/>
              <w:wordWrap/>
              <w:spacing w:line="240" w:lineRule="auto"/>
              <w:ind w:firstLine="480" w:firstLineChars="200"/>
              <w:rPr>
                <w:rFonts w:hint="eastAsia" w:ascii="仿宋" w:hAnsi="仿宋" w:eastAsia="仿宋" w:cs="仿宋"/>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585" w:type="dxa"/>
            <w:vMerge w:val="continue"/>
            <w:tcBorders>
              <w:top w:val="single" w:color="auto" w:sz="6" w:space="0"/>
              <w:left w:val="double" w:color="auto" w:sz="4" w:space="0"/>
              <w:bottom w:val="single" w:color="auto" w:sz="6" w:space="0"/>
              <w:right w:val="single" w:color="auto" w:sz="6" w:space="0"/>
            </w:tcBorders>
            <w:vAlign w:val="center"/>
          </w:tcPr>
          <w:p>
            <w:pPr>
              <w:widowControl/>
              <w:wordWrap/>
              <w:adjustRightInd/>
              <w:snapToGrid/>
              <w:spacing w:line="240" w:lineRule="auto"/>
              <w:ind w:right="0"/>
              <w:jc w:val="left"/>
              <w:textAlignment w:val="auto"/>
              <w:rPr>
                <w:rFonts w:hint="eastAsia" w:ascii="仿宋" w:hAnsi="仿宋" w:eastAsia="仿宋" w:cs="仿宋"/>
                <w:spacing w:val="-4"/>
                <w:sz w:val="24"/>
                <w:szCs w:val="24"/>
              </w:rPr>
            </w:pPr>
          </w:p>
        </w:tc>
        <w:tc>
          <w:tcPr>
            <w:tcW w:w="1474" w:type="dxa"/>
            <w:vMerge w:val="continue"/>
            <w:tcBorders>
              <w:top w:val="single" w:color="auto" w:sz="6" w:space="0"/>
              <w:left w:val="single" w:color="auto" w:sz="6" w:space="0"/>
              <w:bottom w:val="single" w:color="auto" w:sz="6" w:space="0"/>
              <w:right w:val="single" w:color="auto" w:sz="6" w:space="0"/>
            </w:tcBorders>
            <w:vAlign w:val="center"/>
          </w:tcPr>
          <w:p>
            <w:pPr>
              <w:widowControl/>
              <w:wordWrap/>
              <w:spacing w:line="240" w:lineRule="auto"/>
              <w:jc w:val="center"/>
              <w:rPr>
                <w:rFonts w:hint="eastAsia" w:ascii="仿宋" w:hAnsi="仿宋" w:eastAsia="仿宋" w:cs="仿宋"/>
                <w:spacing w:val="-4"/>
                <w:sz w:val="24"/>
                <w:szCs w:val="24"/>
              </w:rPr>
            </w:pPr>
          </w:p>
        </w:tc>
        <w:tc>
          <w:tcPr>
            <w:tcW w:w="2253" w:type="dxa"/>
            <w:tcBorders>
              <w:top w:val="single" w:color="auto" w:sz="6" w:space="0"/>
              <w:left w:val="single" w:color="auto" w:sz="6" w:space="0"/>
              <w:bottom w:val="single" w:color="auto" w:sz="6" w:space="0"/>
              <w:right w:val="single" w:color="auto" w:sz="6" w:space="0"/>
            </w:tcBorders>
            <w:vAlign w:val="center"/>
          </w:tcPr>
          <w:p>
            <w:pPr>
              <w:wordWrap/>
              <w:spacing w:line="240" w:lineRule="auto"/>
              <w:ind w:left="-178" w:leftChars="-85" w:right="-178" w:rightChars="-85"/>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李凤娥</w:t>
            </w:r>
          </w:p>
        </w:tc>
        <w:tc>
          <w:tcPr>
            <w:tcW w:w="3049" w:type="dxa"/>
            <w:gridSpan w:val="3"/>
            <w:tcBorders>
              <w:top w:val="single" w:color="auto" w:sz="6" w:space="0"/>
              <w:left w:val="single" w:color="auto" w:sz="6" w:space="0"/>
              <w:bottom w:val="single" w:color="auto" w:sz="6" w:space="0"/>
              <w:right w:val="single" w:color="auto" w:sz="4" w:space="0"/>
            </w:tcBorders>
            <w:vAlign w:val="center"/>
          </w:tcPr>
          <w:p>
            <w:pPr>
              <w:tabs>
                <w:tab w:val="left" w:pos="6600"/>
              </w:tabs>
              <w:wordWrap/>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rPr>
              <w:t>房地产估价师注册号</w:t>
            </w:r>
            <w:r>
              <w:rPr>
                <w:rFonts w:hint="eastAsia" w:ascii="仿宋" w:hAnsi="仿宋" w:eastAsia="仿宋" w:cs="仿宋"/>
                <w:sz w:val="24"/>
                <w:szCs w:val="24"/>
                <w:lang w:eastAsia="zh-CN"/>
              </w:rPr>
              <w:t>3520200015</w:t>
            </w:r>
          </w:p>
        </w:tc>
        <w:tc>
          <w:tcPr>
            <w:tcW w:w="2653" w:type="dxa"/>
            <w:gridSpan w:val="2"/>
            <w:tcBorders>
              <w:top w:val="single" w:color="auto" w:sz="6" w:space="0"/>
              <w:left w:val="single" w:color="auto" w:sz="4" w:space="0"/>
              <w:bottom w:val="single" w:color="auto" w:sz="6" w:space="0"/>
              <w:right w:val="double" w:color="auto" w:sz="4" w:space="0"/>
            </w:tcBorders>
            <w:vAlign w:val="center"/>
          </w:tcPr>
          <w:p>
            <w:pPr>
              <w:tabs>
                <w:tab w:val="left" w:pos="6600"/>
              </w:tabs>
              <w:wordWrap/>
              <w:spacing w:line="240" w:lineRule="auto"/>
              <w:jc w:val="center"/>
              <w:rPr>
                <w:rFonts w:hint="eastAsia" w:ascii="仿宋" w:hAnsi="仿宋" w:eastAsia="仿宋" w:cs="仿宋"/>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585" w:type="dxa"/>
            <w:tcBorders>
              <w:top w:val="single" w:color="auto" w:sz="6" w:space="0"/>
              <w:left w:val="double" w:color="auto" w:sz="4" w:space="0"/>
              <w:right w:val="single" w:color="auto" w:sz="6" w:space="0"/>
            </w:tcBorders>
            <w:vAlign w:val="center"/>
          </w:tcPr>
          <w:p>
            <w:pPr>
              <w:wordWrap/>
              <w:adjustRightInd/>
              <w:snapToGrid/>
              <w:spacing w:line="240" w:lineRule="auto"/>
              <w:ind w:right="0" w:rightChars="0"/>
              <w:jc w:val="center"/>
              <w:textAlignment w:val="auto"/>
              <w:rPr>
                <w:rFonts w:hint="eastAsia" w:ascii="仿宋" w:hAnsi="仿宋" w:eastAsia="仿宋" w:cs="仿宋"/>
                <w:spacing w:val="-4"/>
                <w:sz w:val="24"/>
                <w:szCs w:val="24"/>
              </w:rPr>
            </w:pPr>
            <w:r>
              <w:rPr>
                <w:rFonts w:hint="eastAsia" w:ascii="仿宋" w:hAnsi="仿宋" w:eastAsia="仿宋" w:cs="仿宋"/>
                <w:b/>
                <w:bCs/>
                <w:spacing w:val="-4"/>
                <w:sz w:val="24"/>
                <w:szCs w:val="24"/>
              </w:rPr>
              <w:t>十</w:t>
            </w:r>
          </w:p>
        </w:tc>
        <w:tc>
          <w:tcPr>
            <w:tcW w:w="1474" w:type="dxa"/>
            <w:tcBorders>
              <w:top w:val="single" w:color="auto" w:sz="6" w:space="0"/>
              <w:left w:val="single" w:color="auto" w:sz="6" w:space="0"/>
              <w:right w:val="single" w:color="auto" w:sz="6" w:space="0"/>
            </w:tcBorders>
            <w:vAlign w:val="center"/>
          </w:tcPr>
          <w:p>
            <w:pPr>
              <w:wordWrap/>
              <w:spacing w:line="240" w:lineRule="auto"/>
              <w:ind w:right="73" w:rightChars="35"/>
              <w:jc w:val="center"/>
              <w:rPr>
                <w:rFonts w:hint="eastAsia" w:ascii="仿宋" w:hAnsi="仿宋" w:eastAsia="仿宋" w:cs="仿宋"/>
                <w:spacing w:val="-4"/>
                <w:sz w:val="24"/>
                <w:szCs w:val="24"/>
              </w:rPr>
            </w:pPr>
            <w:r>
              <w:rPr>
                <w:rFonts w:hint="eastAsia" w:ascii="仿宋" w:hAnsi="仿宋" w:eastAsia="仿宋" w:cs="仿宋"/>
                <w:b/>
                <w:bCs/>
                <w:sz w:val="24"/>
                <w:szCs w:val="24"/>
                <w:lang w:eastAsia="zh-CN"/>
              </w:rPr>
              <w:t>评估机构</w:t>
            </w:r>
          </w:p>
        </w:tc>
        <w:tc>
          <w:tcPr>
            <w:tcW w:w="7955" w:type="dxa"/>
            <w:gridSpan w:val="6"/>
            <w:tcBorders>
              <w:top w:val="single" w:color="auto" w:sz="6" w:space="0"/>
              <w:left w:val="single" w:color="auto" w:sz="6" w:space="0"/>
              <w:bottom w:val="double" w:color="auto" w:sz="4" w:space="0"/>
              <w:right w:val="double" w:color="auto" w:sz="4" w:space="0"/>
            </w:tcBorders>
            <w:vAlign w:val="center"/>
          </w:tcPr>
          <w:p>
            <w:pPr>
              <w:pStyle w:val="9"/>
              <w:wordWrap/>
              <w:spacing w:line="240" w:lineRule="auto"/>
              <w:ind w:firstLine="0"/>
              <w:jc w:val="center"/>
              <w:rPr>
                <w:rFonts w:hint="eastAsia" w:ascii="仿宋" w:hAnsi="仿宋" w:eastAsia="仿宋" w:cs="仿宋"/>
                <w:sz w:val="24"/>
                <w:szCs w:val="24"/>
              </w:rPr>
            </w:pPr>
            <w:r>
              <w:rPr>
                <w:rFonts w:hint="eastAsia" w:ascii="仿宋" w:hAnsi="仿宋" w:eastAsia="仿宋" w:cs="仿宋"/>
                <w:sz w:val="24"/>
                <w:szCs w:val="24"/>
              </w:rPr>
              <w:t>厦门翰和资产评估土地房地产估价有限公司</w:t>
            </w:r>
          </w:p>
          <w:p>
            <w:pPr>
              <w:pStyle w:val="9"/>
              <w:wordWrap/>
              <w:spacing w:line="240" w:lineRule="auto"/>
              <w:ind w:firstLine="0"/>
              <w:jc w:val="center"/>
              <w:rPr>
                <w:rFonts w:hint="eastAsia" w:ascii="仿宋" w:hAnsi="仿宋" w:eastAsia="仿宋" w:cs="仿宋"/>
                <w:sz w:val="24"/>
                <w:szCs w:val="24"/>
              </w:rPr>
            </w:pPr>
            <w:r>
              <w:rPr>
                <w:rFonts w:hint="eastAsia" w:ascii="仿宋" w:hAnsi="仿宋" w:eastAsia="仿宋" w:cs="仿宋"/>
                <w:sz w:val="24"/>
                <w:szCs w:val="24"/>
              </w:rPr>
              <w:t>房地产估价机构资质证书号：352018017</w:t>
            </w:r>
          </w:p>
          <w:p>
            <w:pPr>
              <w:pStyle w:val="9"/>
              <w:wordWrap/>
              <w:spacing w:line="240" w:lineRule="auto"/>
              <w:ind w:firstLine="0"/>
              <w:jc w:val="center"/>
              <w:rPr>
                <w:rFonts w:hint="eastAsia" w:ascii="仿宋" w:hAnsi="仿宋" w:eastAsia="仿宋" w:cs="仿宋"/>
                <w:sz w:val="24"/>
                <w:szCs w:val="24"/>
                <w:lang w:eastAsia="zh-CN"/>
              </w:rPr>
            </w:pPr>
            <w:r>
              <w:rPr>
                <w:rFonts w:hint="eastAsia" w:ascii="仿宋" w:hAnsi="仿宋" w:eastAsia="仿宋" w:cs="仿宋"/>
                <w:sz w:val="24"/>
                <w:szCs w:val="24"/>
              </w:rPr>
              <w:t>土地评估中介机构备案号：</w:t>
            </w:r>
            <w:r>
              <w:rPr>
                <w:rFonts w:hint="eastAsia" w:ascii="仿宋" w:hAnsi="仿宋" w:eastAsia="仿宋" w:cs="仿宋"/>
                <w:sz w:val="24"/>
                <w:szCs w:val="24"/>
                <w:lang w:eastAsia="zh-CN"/>
              </w:rPr>
              <w:t>2020350065</w:t>
            </w:r>
          </w:p>
        </w:tc>
      </w:tr>
    </w:tbl>
    <w:p>
      <w:pPr>
        <w:keepNext w:val="0"/>
        <w:keepLines w:val="0"/>
        <w:pageBreakBefore w:val="0"/>
        <w:widowControl w:val="0"/>
        <w:kinsoku/>
        <w:wordWrap/>
        <w:overflowPunct/>
        <w:topLinePunct w:val="0"/>
        <w:autoSpaceDE/>
        <w:autoSpaceDN/>
        <w:bidi w:val="0"/>
        <w:adjustRightInd/>
        <w:snapToGrid/>
        <w:spacing w:before="120" w:line="720" w:lineRule="auto"/>
        <w:jc w:val="center"/>
        <w:textAlignment w:val="auto"/>
        <w:outlineLvl w:val="0"/>
        <w:rPr>
          <w:rFonts w:hint="eastAsia" w:ascii="仿宋" w:hAnsi="仿宋" w:eastAsia="仿宋" w:cs="仿宋"/>
          <w:b/>
          <w:sz w:val="44"/>
          <w:szCs w:val="44"/>
        </w:rPr>
      </w:pPr>
      <w:r>
        <w:rPr>
          <w:rFonts w:hint="eastAsia" w:ascii="仿宋" w:hAnsi="仿宋" w:eastAsia="仿宋" w:cs="仿宋"/>
          <w:b/>
          <w:sz w:val="44"/>
          <w:szCs w:val="44"/>
        </w:rPr>
        <w:t>致估价委托人函</w:t>
      </w:r>
    </w:p>
    <w:p>
      <w:pPr>
        <w:spacing w:line="360" w:lineRule="auto"/>
        <w:jc w:val="center"/>
        <w:rPr>
          <w:rFonts w:hint="eastAsia" w:ascii="仿宋" w:hAnsi="仿宋" w:eastAsia="仿宋" w:cs="仿宋"/>
          <w:sz w:val="24"/>
          <w:szCs w:val="24"/>
          <w:lang w:eastAsia="zh-CN"/>
        </w:rPr>
      </w:pPr>
      <w:r>
        <w:rPr>
          <w:rFonts w:hint="eastAsia" w:ascii="仿宋" w:hAnsi="仿宋" w:eastAsia="仿宋" w:cs="仿宋"/>
          <w:bCs/>
          <w:szCs w:val="21"/>
          <w:lang w:eastAsia="zh-CN"/>
        </w:rPr>
        <w:t>厦翰和房估字2022(龙)D0582号</w:t>
      </w:r>
    </w:p>
    <w:p>
      <w:pPr>
        <w:pStyle w:val="11"/>
        <w:spacing w:line="360" w:lineRule="auto"/>
        <w:rPr>
          <w:rFonts w:hint="eastAsia" w:ascii="仿宋" w:hAnsi="仿宋" w:eastAsia="仿宋" w:cs="仿宋"/>
          <w:b/>
          <w:sz w:val="24"/>
          <w:szCs w:val="24"/>
        </w:rPr>
      </w:pPr>
      <w:r>
        <w:rPr>
          <w:rFonts w:hint="eastAsia" w:ascii="仿宋" w:hAnsi="仿宋" w:eastAsia="仿宋" w:cs="仿宋"/>
          <w:b/>
          <w:sz w:val="24"/>
          <w:szCs w:val="24"/>
          <w:lang w:eastAsia="zh-CN"/>
        </w:rPr>
        <w:t>龙岩市永定区农村信用合作联社</w:t>
      </w:r>
      <w:r>
        <w:rPr>
          <w:rFonts w:hint="eastAsia" w:ascii="仿宋" w:hAnsi="仿宋" w:eastAsia="仿宋" w:cs="仿宋"/>
          <w:b/>
          <w:sz w:val="24"/>
          <w:szCs w:val="24"/>
        </w:rPr>
        <w:t>：</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受贵方的委托，本估价机构委派估价</w:t>
      </w:r>
      <w:r>
        <w:rPr>
          <w:rFonts w:hint="eastAsia" w:ascii="仿宋" w:hAnsi="仿宋" w:eastAsia="仿宋" w:cs="仿宋"/>
          <w:sz w:val="24"/>
          <w:szCs w:val="24"/>
          <w:lang w:eastAsia="zh-CN"/>
        </w:rPr>
        <w:t>人员</w:t>
      </w:r>
      <w:r>
        <w:rPr>
          <w:rFonts w:hint="eastAsia" w:ascii="仿宋" w:hAnsi="仿宋" w:eastAsia="仿宋" w:cs="仿宋"/>
          <w:sz w:val="24"/>
          <w:szCs w:val="24"/>
        </w:rPr>
        <w:t>对估价对象进行了估价，有关内容报告如下。</w:t>
      </w:r>
    </w:p>
    <w:p>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bCs/>
          <w:sz w:val="24"/>
          <w:szCs w:val="24"/>
        </w:rPr>
        <w:t>估价目的：</w:t>
      </w:r>
      <w:r>
        <w:rPr>
          <w:rFonts w:hint="eastAsia" w:ascii="仿宋" w:hAnsi="仿宋" w:eastAsia="仿宋" w:cs="仿宋"/>
          <w:sz w:val="24"/>
          <w:szCs w:val="24"/>
        </w:rPr>
        <w:t>为确定</w:t>
      </w:r>
      <w:r>
        <w:rPr>
          <w:rFonts w:hint="eastAsia" w:ascii="仿宋" w:hAnsi="仿宋" w:eastAsia="仿宋" w:cs="仿宋"/>
          <w:sz w:val="24"/>
          <w:szCs w:val="24"/>
          <w:lang w:eastAsia="zh-CN"/>
        </w:rPr>
        <w:t>房地产拍卖底价</w:t>
      </w:r>
      <w:r>
        <w:rPr>
          <w:rFonts w:hint="eastAsia" w:ascii="仿宋" w:hAnsi="仿宋" w:eastAsia="仿宋" w:cs="仿宋"/>
          <w:sz w:val="24"/>
          <w:szCs w:val="24"/>
        </w:rPr>
        <w:t>提</w:t>
      </w:r>
      <w:r>
        <w:rPr>
          <w:rFonts w:hint="eastAsia" w:ascii="仿宋" w:hAnsi="仿宋" w:eastAsia="仿宋" w:cs="仿宋"/>
          <w:color w:val="auto"/>
          <w:sz w:val="24"/>
          <w:szCs w:val="24"/>
        </w:rPr>
        <w:t>供参考依据而评估房地产</w:t>
      </w:r>
      <w:r>
        <w:rPr>
          <w:rFonts w:hint="eastAsia" w:ascii="仿宋" w:hAnsi="仿宋" w:eastAsia="仿宋" w:cs="仿宋"/>
          <w:color w:val="auto"/>
          <w:sz w:val="24"/>
          <w:szCs w:val="24"/>
          <w:lang w:eastAsia="zh-CN"/>
        </w:rPr>
        <w:t>市场价值</w:t>
      </w:r>
      <w:r>
        <w:rPr>
          <w:rFonts w:hint="eastAsia" w:ascii="仿宋" w:hAnsi="仿宋" w:eastAsia="仿宋" w:cs="仿宋"/>
          <w:color w:val="auto"/>
          <w:sz w:val="24"/>
          <w:szCs w:val="24"/>
        </w:rPr>
        <w:t>。</w:t>
      </w:r>
    </w:p>
    <w:p>
      <w:pPr>
        <w:tabs>
          <w:tab w:val="left" w:pos="7648"/>
        </w:tabs>
        <w:spacing w:line="360" w:lineRule="auto"/>
        <w:ind w:firstLine="482" w:firstLineChars="200"/>
        <w:rPr>
          <w:rFonts w:hint="eastAsia" w:ascii="仿宋" w:hAnsi="仿宋" w:eastAsia="仿宋" w:cs="仿宋"/>
          <w:sz w:val="24"/>
          <w:szCs w:val="24"/>
          <w:lang w:eastAsia="zh-CN"/>
        </w:rPr>
      </w:pPr>
      <w:r>
        <w:rPr>
          <w:rFonts w:hint="eastAsia" w:ascii="仿宋" w:hAnsi="仿宋" w:eastAsia="仿宋" w:cs="仿宋"/>
          <w:b/>
          <w:bCs/>
          <w:color w:val="auto"/>
          <w:sz w:val="24"/>
          <w:szCs w:val="24"/>
        </w:rPr>
        <w:t>估价对象：</w:t>
      </w:r>
      <w:r>
        <w:rPr>
          <w:rFonts w:hint="eastAsia" w:ascii="仿宋" w:hAnsi="仿宋" w:eastAsia="仿宋" w:cs="仿宋"/>
          <w:color w:val="auto"/>
          <w:kern w:val="15"/>
          <w:sz w:val="24"/>
          <w:szCs w:val="24"/>
        </w:rPr>
        <w:t>根据委托人提供的</w:t>
      </w:r>
      <w:r>
        <w:rPr>
          <w:rFonts w:hint="eastAsia" w:ascii="仿宋" w:hAnsi="仿宋" w:eastAsia="仿宋" w:cs="仿宋"/>
          <w:color w:val="auto"/>
          <w:kern w:val="15"/>
          <w:sz w:val="24"/>
          <w:szCs w:val="24"/>
          <w:lang w:eastAsia="zh-CN"/>
        </w:rPr>
        <w:t>《房屋产权证》（永房权证2010字第00306号）《国有土地证》（永国用（2009）第T047号），估价对象如下表：</w:t>
      </w:r>
    </w:p>
    <w:tbl>
      <w:tblPr>
        <w:tblStyle w:val="23"/>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3"/>
        <w:gridCol w:w="2417"/>
        <w:gridCol w:w="4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3"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color w:val="auto"/>
                <w:sz w:val="21"/>
                <w:szCs w:val="21"/>
                <w:lang w:eastAsia="zh-CN"/>
              </w:rPr>
            </w:pPr>
            <w:r>
              <w:rPr>
                <w:rFonts w:hint="eastAsia" w:ascii="仿宋" w:hAnsi="仿宋" w:eastAsia="仿宋" w:cs="仿宋"/>
                <w:b w:val="0"/>
                <w:bCs w:val="0"/>
                <w:color w:val="auto"/>
                <w:sz w:val="21"/>
                <w:szCs w:val="21"/>
                <w:lang w:val="en-US" w:eastAsia="zh-CN"/>
              </w:rPr>
              <w:t>1、</w:t>
            </w:r>
            <w:r>
              <w:rPr>
                <w:rFonts w:hint="eastAsia" w:ascii="仿宋" w:hAnsi="仿宋" w:eastAsia="仿宋" w:cs="仿宋"/>
                <w:b w:val="0"/>
                <w:bCs w:val="0"/>
                <w:color w:val="auto"/>
                <w:sz w:val="21"/>
                <w:szCs w:val="21"/>
                <w:lang w:eastAsia="zh-CN"/>
              </w:rPr>
              <w:t>名称、座落</w:t>
            </w:r>
          </w:p>
        </w:tc>
        <w:tc>
          <w:tcPr>
            <w:tcW w:w="6998" w:type="dxa"/>
            <w:gridSpan w:val="2"/>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kern w:val="15"/>
                <w:sz w:val="21"/>
                <w:szCs w:val="21"/>
                <w:vertAlign w:val="baseline"/>
              </w:rPr>
            </w:pPr>
            <w:r>
              <w:rPr>
                <w:rFonts w:hint="eastAsia" w:ascii="仿宋" w:hAnsi="仿宋" w:eastAsia="仿宋" w:cs="仿宋"/>
                <w:kern w:val="15"/>
                <w:sz w:val="21"/>
                <w:szCs w:val="21"/>
                <w:lang w:eastAsia="zh-CN"/>
              </w:rPr>
              <w:t>永定县高陂镇先富大道1-6层住宅</w:t>
            </w:r>
            <w:r>
              <w:rPr>
                <w:rFonts w:hint="eastAsia" w:ascii="仿宋" w:hAnsi="仿宋" w:eastAsia="仿宋" w:cs="仿宋"/>
                <w:color w:val="auto"/>
                <w:sz w:val="21"/>
                <w:szCs w:val="21"/>
                <w:lang w:eastAsia="zh-CN"/>
              </w:rPr>
              <w:t>房地产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3"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color w:val="auto"/>
                <w:sz w:val="21"/>
                <w:szCs w:val="21"/>
                <w:lang w:eastAsia="zh-CN"/>
              </w:rPr>
            </w:pPr>
            <w:r>
              <w:rPr>
                <w:rFonts w:hint="eastAsia" w:ascii="仿宋" w:hAnsi="仿宋" w:eastAsia="仿宋" w:cs="仿宋"/>
                <w:b w:val="0"/>
                <w:bCs w:val="0"/>
                <w:color w:val="auto"/>
                <w:sz w:val="21"/>
                <w:szCs w:val="21"/>
                <w:lang w:val="en-US" w:eastAsia="zh-CN"/>
              </w:rPr>
              <w:t>2、</w:t>
            </w:r>
            <w:r>
              <w:rPr>
                <w:rFonts w:hint="eastAsia" w:ascii="仿宋" w:hAnsi="仿宋" w:eastAsia="仿宋" w:cs="仿宋"/>
                <w:b w:val="0"/>
                <w:bCs w:val="0"/>
                <w:color w:val="auto"/>
                <w:sz w:val="21"/>
                <w:szCs w:val="21"/>
                <w:lang w:eastAsia="zh-CN"/>
              </w:rPr>
              <w:t>权属人</w:t>
            </w:r>
          </w:p>
        </w:tc>
        <w:tc>
          <w:tcPr>
            <w:tcW w:w="6998" w:type="dxa"/>
            <w:gridSpan w:val="2"/>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kern w:val="15"/>
                <w:sz w:val="21"/>
                <w:szCs w:val="21"/>
                <w:vertAlign w:val="baseline"/>
              </w:rPr>
            </w:pPr>
            <w:r>
              <w:rPr>
                <w:rFonts w:hint="eastAsia" w:ascii="仿宋" w:hAnsi="仿宋" w:eastAsia="仿宋" w:cs="仿宋"/>
                <w:kern w:val="15"/>
                <w:sz w:val="21"/>
                <w:szCs w:val="21"/>
                <w:lang w:eastAsia="zh-CN"/>
              </w:rPr>
              <w:t>龙岩市永定区农村信用合作联社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3" w:type="dxa"/>
            <w:vMerge w:val="restart"/>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color w:val="auto"/>
                <w:sz w:val="21"/>
                <w:szCs w:val="21"/>
                <w:lang w:eastAsia="zh-CN"/>
              </w:rPr>
            </w:pPr>
            <w:r>
              <w:rPr>
                <w:rFonts w:hint="eastAsia" w:ascii="仿宋" w:hAnsi="仿宋" w:eastAsia="仿宋" w:cs="仿宋"/>
                <w:b w:val="0"/>
                <w:bCs w:val="0"/>
                <w:color w:val="auto"/>
                <w:sz w:val="21"/>
                <w:szCs w:val="21"/>
                <w:lang w:val="en-US" w:eastAsia="zh-CN"/>
              </w:rPr>
              <w:t>3、</w:t>
            </w:r>
            <w:r>
              <w:rPr>
                <w:rFonts w:hint="eastAsia" w:ascii="仿宋" w:hAnsi="仿宋" w:eastAsia="仿宋" w:cs="仿宋"/>
                <w:b w:val="0"/>
                <w:bCs w:val="0"/>
                <w:color w:val="auto"/>
                <w:sz w:val="21"/>
                <w:szCs w:val="21"/>
                <w:lang w:eastAsia="zh-CN"/>
              </w:rPr>
              <w:t>土地使用权</w:t>
            </w:r>
          </w:p>
        </w:tc>
        <w:tc>
          <w:tcPr>
            <w:tcW w:w="2417"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土地使用权类型</w:t>
            </w:r>
          </w:p>
        </w:tc>
        <w:tc>
          <w:tcPr>
            <w:tcW w:w="4581"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eastAsia="zh-CN"/>
              </w:rPr>
              <w:t>出让</w:t>
            </w:r>
            <w:r>
              <w:rPr>
                <w:rFonts w:hint="eastAsia" w:ascii="仿宋" w:hAnsi="仿宋" w:eastAsia="仿宋" w:cs="仿宋"/>
                <w:color w:val="auto"/>
                <w:sz w:val="21"/>
                <w:szCs w:val="21"/>
                <w:lang w:val="en-US" w:eastAsia="zh-CN"/>
              </w:rPr>
              <w:t>/存量房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3" w:type="dxa"/>
            <w:vMerge w:val="continue"/>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color w:val="auto"/>
                <w:sz w:val="21"/>
                <w:szCs w:val="21"/>
                <w:lang w:eastAsia="zh-CN"/>
              </w:rPr>
            </w:pPr>
          </w:p>
        </w:tc>
        <w:tc>
          <w:tcPr>
            <w:tcW w:w="2417"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法定用途及实际用途</w:t>
            </w:r>
          </w:p>
        </w:tc>
        <w:tc>
          <w:tcPr>
            <w:tcW w:w="4581"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商住用地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3" w:type="dxa"/>
            <w:vMerge w:val="continue"/>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color w:val="auto"/>
                <w:sz w:val="21"/>
                <w:szCs w:val="21"/>
                <w:lang w:eastAsia="zh-CN"/>
              </w:rPr>
            </w:pPr>
          </w:p>
        </w:tc>
        <w:tc>
          <w:tcPr>
            <w:tcW w:w="2417"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土地使用权面积</w:t>
            </w:r>
          </w:p>
        </w:tc>
        <w:tc>
          <w:tcPr>
            <w:tcW w:w="4581"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125.4平方米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3" w:type="dxa"/>
            <w:vMerge w:val="continue"/>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color w:val="auto"/>
                <w:sz w:val="21"/>
                <w:szCs w:val="21"/>
                <w:lang w:eastAsia="zh-CN"/>
              </w:rPr>
            </w:pPr>
          </w:p>
        </w:tc>
        <w:tc>
          <w:tcPr>
            <w:tcW w:w="2417"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土地使用期限</w:t>
            </w:r>
          </w:p>
        </w:tc>
        <w:tc>
          <w:tcPr>
            <w:tcW w:w="4581"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sz w:val="21"/>
                <w:szCs w:val="21"/>
                <w:lang w:val="en-US" w:eastAsia="zh-CN"/>
              </w:rPr>
              <w:t>至2050年05月29日止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3" w:type="dxa"/>
            <w:vMerge w:val="restart"/>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color w:val="auto"/>
                <w:sz w:val="21"/>
                <w:szCs w:val="21"/>
                <w:lang w:eastAsia="zh-CN"/>
              </w:rPr>
            </w:pPr>
            <w:r>
              <w:rPr>
                <w:rFonts w:hint="eastAsia" w:ascii="仿宋" w:hAnsi="仿宋" w:eastAsia="仿宋" w:cs="仿宋"/>
                <w:b w:val="0"/>
                <w:bCs w:val="0"/>
                <w:color w:val="auto"/>
                <w:sz w:val="21"/>
                <w:szCs w:val="21"/>
                <w:lang w:val="en-US" w:eastAsia="zh-CN"/>
              </w:rPr>
              <w:t>4、</w:t>
            </w:r>
            <w:r>
              <w:rPr>
                <w:rFonts w:hint="eastAsia" w:ascii="仿宋" w:hAnsi="仿宋" w:eastAsia="仿宋" w:cs="仿宋"/>
                <w:b w:val="0"/>
                <w:bCs w:val="0"/>
                <w:color w:val="auto"/>
                <w:sz w:val="21"/>
                <w:szCs w:val="21"/>
                <w:lang w:eastAsia="zh-CN"/>
              </w:rPr>
              <w:t>建筑物</w:t>
            </w:r>
          </w:p>
        </w:tc>
        <w:tc>
          <w:tcPr>
            <w:tcW w:w="2417"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建筑面积</w:t>
            </w:r>
          </w:p>
        </w:tc>
        <w:tc>
          <w:tcPr>
            <w:tcW w:w="4581"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sz w:val="21"/>
                <w:szCs w:val="21"/>
                <w:lang w:val="en-US" w:eastAsia="zh-CN"/>
              </w:rPr>
              <w:t>1086.20平方米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3" w:type="dxa"/>
            <w:vMerge w:val="continue"/>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color w:val="auto"/>
                <w:sz w:val="21"/>
                <w:szCs w:val="21"/>
                <w:lang w:eastAsia="zh-CN"/>
              </w:rPr>
            </w:pPr>
          </w:p>
        </w:tc>
        <w:tc>
          <w:tcPr>
            <w:tcW w:w="2417"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建筑结构</w:t>
            </w:r>
          </w:p>
        </w:tc>
        <w:tc>
          <w:tcPr>
            <w:tcW w:w="4581"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3" w:type="dxa"/>
            <w:vMerge w:val="continue"/>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color w:val="auto"/>
                <w:sz w:val="21"/>
                <w:szCs w:val="21"/>
                <w:lang w:eastAsia="zh-CN"/>
              </w:rPr>
            </w:pPr>
          </w:p>
        </w:tc>
        <w:tc>
          <w:tcPr>
            <w:tcW w:w="2417"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eastAsia="zh-CN"/>
              </w:rPr>
              <w:t>所处楼层</w:t>
            </w:r>
            <w:r>
              <w:rPr>
                <w:rFonts w:hint="eastAsia" w:ascii="仿宋" w:hAnsi="仿宋" w:eastAsia="仿宋" w:cs="仿宋"/>
                <w:color w:val="auto"/>
                <w:sz w:val="21"/>
                <w:szCs w:val="21"/>
                <w:lang w:val="en-US" w:eastAsia="zh-CN"/>
              </w:rPr>
              <w:t>/总楼层</w:t>
            </w:r>
          </w:p>
        </w:tc>
        <w:tc>
          <w:tcPr>
            <w:tcW w:w="4581"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val="en-US" w:eastAsia="zh-CN"/>
              </w:rPr>
            </w:pPr>
            <w:r>
              <w:rPr>
                <w:rFonts w:hint="eastAsia" w:ascii="仿宋" w:hAnsi="仿宋" w:eastAsia="仿宋" w:cs="仿宋"/>
                <w:sz w:val="21"/>
                <w:szCs w:val="21"/>
                <w:lang w:eastAsia="zh-CN"/>
              </w:rPr>
              <w:t>位于楼幢总层数6层的第1-6层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3" w:type="dxa"/>
            <w:vMerge w:val="continue"/>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color w:val="auto"/>
                <w:sz w:val="21"/>
                <w:szCs w:val="21"/>
                <w:lang w:eastAsia="zh-CN"/>
              </w:rPr>
            </w:pPr>
          </w:p>
        </w:tc>
        <w:tc>
          <w:tcPr>
            <w:tcW w:w="2417"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法定用途及实际用途</w:t>
            </w:r>
          </w:p>
        </w:tc>
        <w:tc>
          <w:tcPr>
            <w:tcW w:w="4581"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商住用地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3" w:type="dxa"/>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color w:val="auto"/>
                <w:sz w:val="21"/>
                <w:szCs w:val="21"/>
                <w:lang w:eastAsia="zh-CN"/>
              </w:rPr>
            </w:pPr>
            <w:r>
              <w:rPr>
                <w:rFonts w:hint="eastAsia" w:ascii="仿宋" w:hAnsi="仿宋" w:eastAsia="仿宋" w:cs="仿宋"/>
                <w:b w:val="0"/>
                <w:bCs w:val="0"/>
                <w:color w:val="auto"/>
                <w:sz w:val="21"/>
                <w:szCs w:val="21"/>
                <w:lang w:val="en-US" w:eastAsia="zh-CN"/>
              </w:rPr>
              <w:t>5、</w:t>
            </w:r>
            <w:r>
              <w:rPr>
                <w:rFonts w:hint="eastAsia" w:ascii="仿宋" w:hAnsi="仿宋" w:eastAsia="仿宋" w:cs="仿宋"/>
                <w:b w:val="0"/>
                <w:bCs w:val="0"/>
                <w:color w:val="auto"/>
                <w:sz w:val="21"/>
                <w:szCs w:val="21"/>
                <w:lang w:eastAsia="zh-CN"/>
              </w:rPr>
              <w:t>财产范围</w:t>
            </w:r>
          </w:p>
        </w:tc>
        <w:tc>
          <w:tcPr>
            <w:tcW w:w="6998" w:type="dxa"/>
            <w:gridSpan w:val="2"/>
            <w:vAlign w:val="center"/>
          </w:tcPr>
          <w:p>
            <w:pPr>
              <w:keepNext w:val="0"/>
              <w:keepLines w:val="0"/>
              <w:pageBreakBefore w:val="0"/>
              <w:widowControl w:val="0"/>
              <w:tabs>
                <w:tab w:val="left" w:pos="7648"/>
              </w:tabs>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包括建筑物、分摊的土地使用权（含土地出让金）及公共配套设施，不包括动产、债权债务、特许经营权等其他财产或权益</w:t>
            </w:r>
          </w:p>
        </w:tc>
      </w:tr>
    </w:tbl>
    <w:p>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价值时点：</w:t>
      </w:r>
      <w:r>
        <w:rPr>
          <w:rFonts w:hint="eastAsia" w:ascii="仿宋" w:hAnsi="仿宋" w:eastAsia="仿宋" w:cs="仿宋"/>
          <w:sz w:val="24"/>
          <w:szCs w:val="24"/>
          <w:lang w:eastAsia="zh-CN"/>
        </w:rPr>
        <w:t>2022年10月13日</w:t>
      </w:r>
      <w:r>
        <w:rPr>
          <w:rFonts w:hint="eastAsia" w:ascii="仿宋" w:hAnsi="仿宋" w:eastAsia="仿宋" w:cs="仿宋"/>
          <w:sz w:val="24"/>
          <w:szCs w:val="24"/>
        </w:rPr>
        <w:t>。</w:t>
      </w:r>
    </w:p>
    <w:p>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价值类型：</w:t>
      </w:r>
      <w:r>
        <w:rPr>
          <w:rFonts w:hint="eastAsia" w:ascii="仿宋" w:hAnsi="仿宋" w:eastAsia="仿宋" w:cs="仿宋"/>
          <w:sz w:val="24"/>
          <w:szCs w:val="24"/>
          <w:lang w:eastAsia="zh-CN"/>
        </w:rPr>
        <w:t>市场价值</w:t>
      </w:r>
      <w:r>
        <w:rPr>
          <w:rFonts w:hint="eastAsia" w:ascii="仿宋" w:hAnsi="仿宋" w:eastAsia="仿宋" w:cs="仿宋"/>
          <w:sz w:val="24"/>
          <w:szCs w:val="24"/>
        </w:rPr>
        <w:t>。</w:t>
      </w:r>
    </w:p>
    <w:p>
      <w:pPr>
        <w:spacing w:line="360" w:lineRule="auto"/>
        <w:ind w:firstLine="482" w:firstLineChars="200"/>
        <w:rPr>
          <w:rFonts w:hint="eastAsia" w:ascii="仿宋" w:hAnsi="仿宋" w:eastAsia="仿宋" w:cs="仿宋"/>
          <w:color w:val="auto"/>
          <w:sz w:val="24"/>
          <w:szCs w:val="24"/>
        </w:rPr>
        <w:sectPr>
          <w:pgSz w:w="11906" w:h="16838"/>
          <w:pgMar w:top="1418" w:right="1418" w:bottom="1418" w:left="1701" w:header="1021" w:footer="397" w:gutter="0"/>
          <w:pgNumType w:start="1"/>
          <w:cols w:space="720" w:num="1"/>
          <w:docGrid w:type="lines" w:linePitch="312" w:charSpace="0"/>
        </w:sectPr>
      </w:pPr>
      <w:r>
        <w:rPr>
          <w:rFonts w:hint="eastAsia" w:ascii="仿宋" w:hAnsi="仿宋" w:eastAsia="仿宋" w:cs="仿宋"/>
          <w:b/>
          <w:bCs/>
          <w:sz w:val="24"/>
          <w:szCs w:val="24"/>
        </w:rPr>
        <w:t>估价方法：</w:t>
      </w:r>
      <w:r>
        <w:rPr>
          <w:rFonts w:hint="eastAsia" w:ascii="仿宋" w:hAnsi="仿宋" w:eastAsia="仿宋" w:cs="仿宋"/>
          <w:color w:val="auto"/>
          <w:sz w:val="24"/>
          <w:szCs w:val="24"/>
          <w:lang w:eastAsia="zh-CN"/>
        </w:rPr>
        <w:t>比较法</w:t>
      </w:r>
      <w:r>
        <w:rPr>
          <w:rFonts w:hint="eastAsia" w:ascii="仿宋" w:hAnsi="仿宋" w:eastAsia="仿宋" w:cs="仿宋"/>
          <w:color w:val="auto"/>
          <w:sz w:val="24"/>
          <w:szCs w:val="24"/>
        </w:rPr>
        <w:t>。</w:t>
      </w:r>
    </w:p>
    <w:p>
      <w:pPr>
        <w:pStyle w:val="10"/>
        <w:spacing w:line="360" w:lineRule="auto"/>
        <w:ind w:firstLine="482" w:firstLineChars="200"/>
        <w:rPr>
          <w:rFonts w:hint="eastAsia" w:ascii="仿宋" w:hAnsi="仿宋" w:eastAsia="仿宋" w:cs="仿宋"/>
          <w:sz w:val="24"/>
        </w:rPr>
      </w:pPr>
      <w:r>
        <w:rPr>
          <w:rFonts w:hint="eastAsia" w:ascii="仿宋" w:hAnsi="仿宋" w:eastAsia="仿宋" w:cs="仿宋"/>
          <w:b/>
          <w:bCs/>
          <w:sz w:val="24"/>
        </w:rPr>
        <w:t>估价结果：</w:t>
      </w:r>
      <w:r>
        <w:rPr>
          <w:rFonts w:hint="eastAsia" w:ascii="仿宋" w:hAnsi="仿宋" w:eastAsia="仿宋" w:cs="仿宋"/>
          <w:sz w:val="24"/>
          <w:szCs w:val="24"/>
          <w:lang w:val="en-US" w:eastAsia="zh-CN"/>
        </w:rPr>
        <w:t>根据有关法律法规、政策文件和技术标准，按照估价目的，遵循估价原则，在满足本次估价的全部假设和限制条件的前提下，于价值时点的估价结果如下表</w:t>
      </w:r>
      <w:r>
        <w:rPr>
          <w:rFonts w:hint="eastAsia" w:ascii="仿宋" w:hAnsi="仿宋" w:eastAsia="仿宋" w:cs="仿宋"/>
          <w:sz w:val="24"/>
          <w:szCs w:val="24"/>
          <w:lang w:eastAsia="zh-CN"/>
        </w:rPr>
        <w:t>：</w:t>
      </w:r>
    </w:p>
    <w:p>
      <w:pPr>
        <w:pStyle w:val="10"/>
        <w:spacing w:line="360" w:lineRule="auto"/>
        <w:jc w:val="center"/>
        <w:rPr>
          <w:rFonts w:hint="eastAsia" w:ascii="仿宋" w:hAnsi="仿宋" w:eastAsia="仿宋" w:cs="仿宋"/>
          <w:sz w:val="24"/>
          <w:szCs w:val="24"/>
        </w:rPr>
      </w:pPr>
      <w:r>
        <w:rPr>
          <w:rFonts w:hint="eastAsia" w:ascii="仿宋" w:hAnsi="仿宋" w:eastAsia="仿宋" w:cs="仿宋"/>
          <w:sz w:val="24"/>
          <w:szCs w:val="24"/>
        </w:rPr>
        <w:t>估价对象房地产</w:t>
      </w:r>
      <w:r>
        <w:rPr>
          <w:rFonts w:hint="eastAsia" w:ascii="仿宋" w:hAnsi="仿宋" w:eastAsia="仿宋" w:cs="仿宋"/>
          <w:sz w:val="24"/>
          <w:szCs w:val="24"/>
          <w:lang w:eastAsia="zh-CN"/>
        </w:rPr>
        <w:t>市场价值</w:t>
      </w:r>
      <w:r>
        <w:rPr>
          <w:rFonts w:hint="eastAsia" w:ascii="仿宋" w:hAnsi="仿宋" w:eastAsia="仿宋" w:cs="仿宋"/>
          <w:sz w:val="24"/>
          <w:szCs w:val="24"/>
        </w:rPr>
        <w:t>评估汇总表</w:t>
      </w:r>
    </w:p>
    <w:tbl>
      <w:tblPr>
        <w:tblStyle w:val="22"/>
        <w:tblW w:w="9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1408"/>
        <w:gridCol w:w="5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Align w:val="center"/>
          </w:tcPr>
          <w:p>
            <w:pPr>
              <w:snapToGrid w:val="0"/>
              <w:spacing w:line="240" w:lineRule="auto"/>
              <w:jc w:val="center"/>
              <w:rPr>
                <w:rFonts w:hint="eastAsia" w:ascii="仿宋" w:hAnsi="仿宋" w:eastAsia="仿宋" w:cs="仿宋"/>
                <w:b/>
                <w:bCs/>
                <w:color w:val="auto"/>
                <w:sz w:val="21"/>
                <w:szCs w:val="21"/>
                <w:lang w:eastAsia="zh-CN"/>
              </w:rPr>
            </w:pPr>
            <w:r>
              <w:rPr>
                <w:rFonts w:hint="eastAsia" w:ascii="仿宋" w:hAnsi="仿宋" w:eastAsia="仿宋" w:cs="仿宋"/>
                <w:b/>
                <w:bCs/>
                <w:color w:val="auto"/>
                <w:sz w:val="21"/>
                <w:szCs w:val="21"/>
                <w:lang w:eastAsia="zh-CN"/>
              </w:rPr>
              <w:t>项目内容</w:t>
            </w:r>
          </w:p>
        </w:tc>
        <w:tc>
          <w:tcPr>
            <w:tcW w:w="6801" w:type="dxa"/>
            <w:gridSpan w:val="2"/>
            <w:vAlign w:val="center"/>
          </w:tcPr>
          <w:p>
            <w:pPr>
              <w:spacing w:line="240" w:lineRule="auto"/>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估价结果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restart"/>
            <w:vAlign w:val="center"/>
          </w:tcPr>
          <w:p>
            <w:pPr>
              <w:wordWrap/>
              <w:adjustRightInd/>
              <w:snapToGrid/>
              <w:spacing w:line="240" w:lineRule="auto"/>
              <w:jc w:val="left"/>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1、假定未设立法定优先受偿权下的价值</w:t>
            </w:r>
          </w:p>
        </w:tc>
        <w:tc>
          <w:tcPr>
            <w:tcW w:w="1408" w:type="dxa"/>
            <w:vAlign w:val="center"/>
          </w:tcPr>
          <w:p>
            <w:pPr>
              <w:widowControl w:val="0"/>
              <w:wordWrap/>
              <w:adjustRightInd/>
              <w:snapToGrid/>
              <w:spacing w:line="240" w:lineRule="auto"/>
              <w:ind w:right="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rPr>
              <w:t>总额</w:t>
            </w:r>
          </w:p>
        </w:tc>
        <w:tc>
          <w:tcPr>
            <w:tcW w:w="5393" w:type="dxa"/>
            <w:vAlign w:val="center"/>
          </w:tcPr>
          <w:p>
            <w:pPr>
              <w:spacing w:line="240" w:lineRule="auto"/>
              <w:jc w:val="left"/>
              <w:rPr>
                <w:rFonts w:hint="eastAsia" w:ascii="仿宋" w:hAnsi="仿宋" w:eastAsia="仿宋" w:cs="仿宋"/>
                <w:b w:val="0"/>
                <w:bCs w:val="0"/>
                <w:color w:val="auto"/>
                <w:sz w:val="21"/>
                <w:szCs w:val="21"/>
                <w:lang w:val="en-US" w:eastAsia="zh-CN"/>
              </w:rPr>
            </w:pPr>
            <w:r>
              <w:rPr>
                <w:rFonts w:hint="eastAsia" w:ascii="仿宋" w:hAnsi="仿宋" w:eastAsia="仿宋" w:cs="仿宋"/>
                <w:b w:val="0"/>
                <w:bCs/>
                <w:color w:val="auto"/>
                <w:sz w:val="21"/>
                <w:szCs w:val="21"/>
                <w:lang w:val="en-US" w:eastAsia="zh-CN"/>
              </w:rPr>
              <w:t>人民币贰佰伍拾贰万陆仟伍佰元整（人民币252.65万元）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continue"/>
            <w:vAlign w:val="center"/>
          </w:tcPr>
          <w:p>
            <w:pPr>
              <w:wordWrap/>
              <w:adjustRightInd/>
              <w:snapToGrid/>
              <w:spacing w:line="240" w:lineRule="auto"/>
              <w:jc w:val="left"/>
              <w:rPr>
                <w:rFonts w:hint="eastAsia" w:ascii="仿宋" w:hAnsi="仿宋" w:eastAsia="仿宋" w:cs="仿宋"/>
                <w:b w:val="0"/>
                <w:bCs w:val="0"/>
                <w:color w:val="auto"/>
                <w:sz w:val="21"/>
                <w:szCs w:val="21"/>
              </w:rPr>
            </w:pPr>
          </w:p>
        </w:tc>
        <w:tc>
          <w:tcPr>
            <w:tcW w:w="1408" w:type="dxa"/>
            <w:vAlign w:val="center"/>
          </w:tcPr>
          <w:p>
            <w:pPr>
              <w:widowControl w:val="0"/>
              <w:wordWrap/>
              <w:adjustRightInd/>
              <w:snapToGrid/>
              <w:spacing w:line="240" w:lineRule="auto"/>
              <w:ind w:righ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color w:val="auto"/>
                <w:sz w:val="21"/>
                <w:szCs w:val="21"/>
                <w:lang w:eastAsia="zh-CN"/>
              </w:rPr>
              <w:t>单价</w:t>
            </w:r>
          </w:p>
        </w:tc>
        <w:tc>
          <w:tcPr>
            <w:tcW w:w="5393" w:type="dxa"/>
            <w:vAlign w:val="center"/>
          </w:tcPr>
          <w:p>
            <w:pPr>
              <w:spacing w:line="240" w:lineRule="auto"/>
              <w:jc w:val="left"/>
              <w:rPr>
                <w:rFonts w:hint="eastAsia" w:ascii="仿宋" w:hAnsi="仿宋" w:eastAsia="仿宋" w:cs="仿宋"/>
                <w:b w:val="0"/>
                <w:bCs w:val="0"/>
                <w:color w:val="auto"/>
                <w:sz w:val="21"/>
                <w:szCs w:val="21"/>
                <w:lang w:val="en-US" w:eastAsia="zh-CN"/>
              </w:rPr>
            </w:pPr>
            <w:r>
              <w:rPr>
                <w:rFonts w:hint="eastAsia" w:ascii="仿宋" w:hAnsi="仿宋" w:eastAsia="仿宋" w:cs="仿宋"/>
                <w:b w:val="0"/>
                <w:bCs/>
                <w:color w:val="auto"/>
                <w:sz w:val="21"/>
                <w:szCs w:val="21"/>
                <w:lang w:val="en-US" w:eastAsia="zh-CN"/>
              </w:rPr>
              <w:t>人民币2326元/平方米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Align w:val="center"/>
          </w:tcPr>
          <w:p>
            <w:pPr>
              <w:widowControl w:val="0"/>
              <w:wordWrap/>
              <w:adjustRightInd/>
              <w:snapToGrid/>
              <w:spacing w:line="240" w:lineRule="auto"/>
              <w:jc w:val="left"/>
              <w:textAlignment w:val="auto"/>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2、注册房地产估价师知悉的法定优先受偿款</w:t>
            </w:r>
          </w:p>
        </w:tc>
        <w:tc>
          <w:tcPr>
            <w:tcW w:w="6801" w:type="dxa"/>
            <w:gridSpan w:val="2"/>
            <w:vAlign w:val="center"/>
          </w:tcPr>
          <w:p>
            <w:pPr>
              <w:widowControl w:val="0"/>
              <w:wordWrap/>
              <w:adjustRightInd/>
              <w:snapToGrid/>
              <w:spacing w:line="240" w:lineRule="auto"/>
              <w:jc w:val="left"/>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人民币零元整（</w:t>
            </w:r>
            <w:r>
              <w:rPr>
                <w:rFonts w:hint="eastAsia" w:ascii="仿宋" w:hAnsi="仿宋" w:eastAsia="仿宋" w:cs="仿宋"/>
                <w:b w:val="0"/>
                <w:bCs w:val="0"/>
                <w:color w:val="auto"/>
                <w:sz w:val="21"/>
                <w:szCs w:val="21"/>
              </w:rPr>
              <w:t>人民币</w:t>
            </w:r>
            <w:r>
              <w:rPr>
                <w:rFonts w:hint="eastAsia" w:ascii="仿宋" w:hAnsi="仿宋" w:eastAsia="仿宋" w:cs="仿宋"/>
                <w:b w:val="0"/>
                <w:bCs w:val="0"/>
                <w:color w:val="auto"/>
                <w:sz w:val="21"/>
                <w:szCs w:val="21"/>
                <w:lang w:val="en-US" w:eastAsia="zh-CN"/>
              </w:rPr>
              <w:t>0</w:t>
            </w:r>
            <w:r>
              <w:rPr>
                <w:rFonts w:hint="eastAsia" w:ascii="仿宋" w:hAnsi="仿宋" w:eastAsia="仿宋" w:cs="仿宋"/>
                <w:b w:val="0"/>
                <w:bCs w:val="0"/>
                <w:color w:val="auto"/>
                <w:sz w:val="21"/>
                <w:szCs w:val="21"/>
              </w:rPr>
              <w:t>元</w:t>
            </w:r>
            <w:r>
              <w:rPr>
                <w:rFonts w:hint="eastAsia" w:ascii="仿宋" w:hAnsi="仿宋" w:eastAsia="仿宋" w:cs="仿宋"/>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restart"/>
            <w:vAlign w:val="center"/>
          </w:tcPr>
          <w:p>
            <w:pPr>
              <w:numPr>
                <w:ilvl w:val="0"/>
                <w:numId w:val="0"/>
              </w:numPr>
              <w:spacing w:afterLines="10" w:line="240" w:lineRule="auto"/>
              <w:jc w:val="left"/>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kern w:val="2"/>
                <w:sz w:val="21"/>
                <w:szCs w:val="21"/>
                <w:lang w:val="en-US" w:eastAsia="zh-CN" w:bidi="ar-SA"/>
              </w:rPr>
              <w:t>3、市场价值</w:t>
            </w:r>
          </w:p>
        </w:tc>
        <w:tc>
          <w:tcPr>
            <w:tcW w:w="1408" w:type="dxa"/>
            <w:vAlign w:val="center"/>
          </w:tcPr>
          <w:p>
            <w:pPr>
              <w:widowControl w:val="0"/>
              <w:wordWrap/>
              <w:adjustRightInd/>
              <w:snapToGrid/>
              <w:spacing w:line="240" w:lineRule="auto"/>
              <w:ind w:right="0"/>
              <w:jc w:val="center"/>
              <w:textAlignment w:val="auto"/>
              <w:rPr>
                <w:rFonts w:hint="default"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sz w:val="21"/>
                <w:szCs w:val="21"/>
              </w:rPr>
              <w:t>总额</w:t>
            </w:r>
          </w:p>
        </w:tc>
        <w:tc>
          <w:tcPr>
            <w:tcW w:w="5393" w:type="dxa"/>
            <w:vAlign w:val="center"/>
          </w:tcPr>
          <w:p>
            <w:pPr>
              <w:spacing w:line="240" w:lineRule="auto"/>
              <w:jc w:val="left"/>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color w:val="auto"/>
                <w:sz w:val="21"/>
                <w:szCs w:val="21"/>
                <w:lang w:val="en-US" w:eastAsia="zh-CN"/>
              </w:rPr>
              <w:t>人民币贰佰伍拾贰万陆仟伍佰元整（人民币252.65万元）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continue"/>
            <w:vAlign w:val="center"/>
          </w:tcPr>
          <w:p>
            <w:pPr>
              <w:numPr>
                <w:ilvl w:val="0"/>
                <w:numId w:val="0"/>
              </w:numPr>
              <w:spacing w:afterLines="10" w:line="240" w:lineRule="auto"/>
              <w:jc w:val="left"/>
              <w:rPr>
                <w:rFonts w:hint="eastAsia" w:ascii="仿宋" w:hAnsi="仿宋" w:eastAsia="仿宋" w:cs="仿宋"/>
                <w:b w:val="0"/>
                <w:bCs w:val="0"/>
                <w:color w:val="auto"/>
                <w:kern w:val="2"/>
                <w:sz w:val="21"/>
                <w:szCs w:val="21"/>
                <w:lang w:val="en-US" w:eastAsia="zh-CN" w:bidi="ar-SA"/>
              </w:rPr>
            </w:pPr>
          </w:p>
        </w:tc>
        <w:tc>
          <w:tcPr>
            <w:tcW w:w="1408" w:type="dxa"/>
            <w:vAlign w:val="center"/>
          </w:tcPr>
          <w:p>
            <w:pPr>
              <w:widowControl w:val="0"/>
              <w:wordWrap/>
              <w:adjustRightInd/>
              <w:snapToGrid/>
              <w:spacing w:line="240" w:lineRule="auto"/>
              <w:ind w:righ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color w:val="auto"/>
                <w:sz w:val="21"/>
                <w:szCs w:val="21"/>
                <w:lang w:eastAsia="zh-CN"/>
              </w:rPr>
              <w:t>单价</w:t>
            </w:r>
          </w:p>
        </w:tc>
        <w:tc>
          <w:tcPr>
            <w:tcW w:w="5393" w:type="dxa"/>
            <w:vAlign w:val="center"/>
          </w:tcPr>
          <w:p>
            <w:pPr>
              <w:spacing w:line="240" w:lineRule="auto"/>
              <w:jc w:val="left"/>
              <w:rPr>
                <w:rFonts w:hint="eastAsia" w:ascii="仿宋" w:hAnsi="仿宋" w:eastAsia="仿宋" w:cs="仿宋"/>
                <w:b w:val="0"/>
                <w:bCs w:val="0"/>
                <w:color w:val="auto"/>
                <w:sz w:val="21"/>
                <w:szCs w:val="21"/>
              </w:rPr>
            </w:pPr>
            <w:r>
              <w:rPr>
                <w:rFonts w:hint="eastAsia" w:ascii="仿宋" w:hAnsi="仿宋" w:eastAsia="仿宋" w:cs="仿宋"/>
                <w:b w:val="0"/>
                <w:bCs/>
                <w:color w:val="auto"/>
                <w:sz w:val="21"/>
                <w:szCs w:val="21"/>
                <w:lang w:val="en-US" w:eastAsia="zh-CN"/>
              </w:rPr>
              <w:t>人民币2326元/平方米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Align w:val="center"/>
          </w:tcPr>
          <w:p>
            <w:pPr>
              <w:numPr>
                <w:ilvl w:val="0"/>
                <w:numId w:val="0"/>
              </w:numPr>
              <w:spacing w:afterLines="10" w:line="240" w:lineRule="auto"/>
              <w:ind w:left="0" w:leftChars="0" w:firstLine="0" w:firstLineChars="0"/>
              <w:jc w:val="left"/>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sz w:val="21"/>
                <w:szCs w:val="21"/>
                <w:lang w:val="en-US" w:eastAsia="zh-CN"/>
              </w:rPr>
              <w:t>4、扣除预期实现抵押权的交易税费及处置费用</w:t>
            </w:r>
          </w:p>
        </w:tc>
        <w:tc>
          <w:tcPr>
            <w:tcW w:w="6801" w:type="dxa"/>
            <w:gridSpan w:val="2"/>
            <w:vAlign w:val="center"/>
          </w:tcPr>
          <w:p>
            <w:pPr>
              <w:wordWrap/>
              <w:adjustRightInd/>
              <w:snapToGrid/>
              <w:spacing w:line="240" w:lineRule="auto"/>
              <w:jc w:val="left"/>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sz w:val="21"/>
                <w:szCs w:val="21"/>
              </w:rPr>
              <w:t>人民币</w:t>
            </w:r>
            <w:r>
              <w:rPr>
                <w:rFonts w:hint="eastAsia" w:ascii="仿宋" w:hAnsi="仿宋" w:eastAsia="仿宋" w:cs="仿宋"/>
                <w:b w:val="0"/>
                <w:bCs w:val="0"/>
                <w:color w:val="auto"/>
                <w:sz w:val="21"/>
                <w:szCs w:val="21"/>
                <w:lang w:eastAsia="zh-CN"/>
              </w:rPr>
              <w:t>叁万柒仟玖佰元</w:t>
            </w:r>
            <w:r>
              <w:rPr>
                <w:rFonts w:hint="eastAsia" w:ascii="仿宋" w:hAnsi="仿宋" w:eastAsia="仿宋" w:cs="仿宋"/>
                <w:b w:val="0"/>
                <w:bCs w:val="0"/>
                <w:color w:val="auto"/>
                <w:sz w:val="21"/>
                <w:szCs w:val="21"/>
              </w:rPr>
              <w:t>整（人民币</w:t>
            </w:r>
            <w:r>
              <w:rPr>
                <w:rFonts w:hint="eastAsia" w:ascii="仿宋" w:hAnsi="仿宋" w:eastAsia="仿宋" w:cs="仿宋"/>
                <w:b w:val="0"/>
                <w:bCs w:val="0"/>
                <w:color w:val="auto"/>
                <w:sz w:val="21"/>
                <w:szCs w:val="21"/>
                <w:lang w:val="en-US" w:eastAsia="zh-CN"/>
              </w:rPr>
              <w:t>3.79万元</w:t>
            </w:r>
            <w:r>
              <w:rPr>
                <w:rFonts w:hint="eastAsia" w:ascii="仿宋" w:hAnsi="仿宋" w:eastAsia="仿宋" w:cs="仿宋"/>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restart"/>
            <w:vAlign w:val="center"/>
          </w:tcPr>
          <w:p>
            <w:pPr>
              <w:numPr>
                <w:ilvl w:val="0"/>
                <w:numId w:val="0"/>
              </w:numPr>
              <w:spacing w:afterLines="10" w:line="240" w:lineRule="auto"/>
              <w:ind w:left="0" w:leftChars="0" w:firstLine="0" w:firstLineChars="0"/>
              <w:jc w:val="left"/>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5、抵押净值</w:t>
            </w:r>
          </w:p>
        </w:tc>
        <w:tc>
          <w:tcPr>
            <w:tcW w:w="1408" w:type="dxa"/>
            <w:vAlign w:val="center"/>
          </w:tcPr>
          <w:p>
            <w:pPr>
              <w:widowControl w:val="0"/>
              <w:wordWrap/>
              <w:adjustRightInd/>
              <w:snapToGrid/>
              <w:spacing w:line="240" w:lineRule="auto"/>
              <w:ind w:right="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总额</w:t>
            </w:r>
          </w:p>
        </w:tc>
        <w:tc>
          <w:tcPr>
            <w:tcW w:w="5393" w:type="dxa"/>
            <w:vAlign w:val="center"/>
          </w:tcPr>
          <w:p>
            <w:pPr>
              <w:widowControl w:val="0"/>
              <w:wordWrap/>
              <w:adjustRightInd/>
              <w:snapToGrid/>
              <w:spacing w:line="240" w:lineRule="auto"/>
              <w:ind w:right="0"/>
              <w:jc w:val="both"/>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rPr>
              <w:t>人民币</w:t>
            </w:r>
            <w:r>
              <w:rPr>
                <w:rFonts w:hint="eastAsia" w:ascii="仿宋" w:hAnsi="仿宋" w:eastAsia="仿宋" w:cs="仿宋"/>
                <w:b w:val="0"/>
                <w:bCs w:val="0"/>
                <w:color w:val="auto"/>
                <w:sz w:val="21"/>
                <w:szCs w:val="21"/>
                <w:lang w:eastAsia="zh-CN"/>
              </w:rPr>
              <w:t>贰佰肆拾捌万捌仟陆佰元</w:t>
            </w:r>
            <w:r>
              <w:rPr>
                <w:rFonts w:hint="eastAsia" w:ascii="仿宋" w:hAnsi="仿宋" w:eastAsia="仿宋" w:cs="仿宋"/>
                <w:b w:val="0"/>
                <w:bCs w:val="0"/>
                <w:color w:val="auto"/>
                <w:sz w:val="21"/>
                <w:szCs w:val="21"/>
              </w:rPr>
              <w:t>整（人民币</w:t>
            </w:r>
            <w:r>
              <w:rPr>
                <w:rFonts w:hint="eastAsia" w:ascii="仿宋" w:hAnsi="仿宋" w:eastAsia="仿宋" w:cs="仿宋"/>
                <w:b w:val="0"/>
                <w:bCs w:val="0"/>
                <w:color w:val="auto"/>
                <w:sz w:val="21"/>
                <w:szCs w:val="21"/>
                <w:lang w:val="en-US" w:eastAsia="zh-CN"/>
              </w:rPr>
              <w:t>248.86万元</w:t>
            </w:r>
            <w:r>
              <w:rPr>
                <w:rFonts w:hint="eastAsia" w:ascii="仿宋" w:hAnsi="仿宋" w:eastAsia="仿宋" w:cs="仿宋"/>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continue"/>
            <w:vAlign w:val="center"/>
          </w:tcPr>
          <w:p>
            <w:pPr>
              <w:numPr>
                <w:ilvl w:val="0"/>
                <w:numId w:val="0"/>
              </w:numPr>
              <w:spacing w:afterLines="10" w:line="240" w:lineRule="auto"/>
              <w:ind w:left="0" w:leftChars="0" w:firstLine="0" w:firstLineChars="0"/>
              <w:jc w:val="left"/>
              <w:rPr>
                <w:rFonts w:hint="eastAsia" w:ascii="仿宋" w:hAnsi="仿宋" w:eastAsia="仿宋" w:cs="仿宋"/>
                <w:b w:val="0"/>
                <w:bCs w:val="0"/>
                <w:color w:val="auto"/>
                <w:sz w:val="21"/>
                <w:szCs w:val="21"/>
                <w:lang w:val="en-US" w:eastAsia="zh-CN"/>
              </w:rPr>
            </w:pPr>
          </w:p>
        </w:tc>
        <w:tc>
          <w:tcPr>
            <w:tcW w:w="1408" w:type="dxa"/>
            <w:vAlign w:val="center"/>
          </w:tcPr>
          <w:p>
            <w:pPr>
              <w:widowControl w:val="0"/>
              <w:wordWrap/>
              <w:adjustRightInd/>
              <w:snapToGrid/>
              <w:spacing w:line="240" w:lineRule="auto"/>
              <w:ind w:righ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color w:val="auto"/>
                <w:sz w:val="21"/>
                <w:szCs w:val="21"/>
                <w:lang w:val="en-US" w:eastAsia="zh-CN"/>
              </w:rPr>
              <w:t>单价</w:t>
            </w:r>
          </w:p>
        </w:tc>
        <w:tc>
          <w:tcPr>
            <w:tcW w:w="5393" w:type="dxa"/>
            <w:vAlign w:val="center"/>
          </w:tcPr>
          <w:p>
            <w:pPr>
              <w:widowControl w:val="0"/>
              <w:wordWrap/>
              <w:adjustRightInd/>
              <w:snapToGrid/>
              <w:spacing w:line="240" w:lineRule="auto"/>
              <w:ind w:right="0"/>
              <w:jc w:val="both"/>
              <w:textAlignment w:val="auto"/>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lang w:eastAsia="zh-CN"/>
              </w:rPr>
              <w:t>人民币</w:t>
            </w:r>
            <w:r>
              <w:rPr>
                <w:rFonts w:hint="eastAsia" w:ascii="仿宋" w:hAnsi="仿宋" w:eastAsia="仿宋" w:cs="仿宋"/>
                <w:b w:val="0"/>
                <w:bCs w:val="0"/>
                <w:color w:val="auto"/>
                <w:sz w:val="21"/>
                <w:szCs w:val="21"/>
                <w:lang w:val="en-US" w:eastAsia="zh-CN"/>
              </w:rPr>
              <w:t>2291元/平方米</w:t>
            </w:r>
          </w:p>
        </w:tc>
      </w:tr>
    </w:tbl>
    <w:p>
      <w:pPr>
        <w:pStyle w:val="10"/>
        <w:spacing w:line="360" w:lineRule="auto"/>
        <w:jc w:val="center"/>
        <w:rPr>
          <w:rFonts w:hint="eastAsia" w:ascii="仿宋" w:hAnsi="仿宋" w:eastAsia="仿宋" w:cs="仿宋"/>
          <w:sz w:val="24"/>
          <w:szCs w:val="24"/>
        </w:rPr>
      </w:pPr>
    </w:p>
    <w:p>
      <w:pPr>
        <w:widowControl w:val="0"/>
        <w:wordWrap/>
        <w:adjustRightInd/>
        <w:snapToGrid/>
        <w:spacing w:line="360" w:lineRule="auto"/>
        <w:ind w:firstLine="420" w:firstLineChars="200"/>
        <w:textAlignment w:val="auto"/>
        <w:rPr>
          <w:rFonts w:hint="eastAsia" w:ascii="仿宋" w:hAnsi="仿宋" w:eastAsia="仿宋" w:cs="仿宋"/>
          <w:szCs w:val="21"/>
        </w:rPr>
      </w:pPr>
      <w:r>
        <w:rPr>
          <w:rFonts w:hint="eastAsia" w:ascii="仿宋" w:hAnsi="仿宋" w:eastAsia="仿宋" w:cs="仿宋"/>
          <w:szCs w:val="21"/>
        </w:rPr>
        <w:t>特别提示：</w:t>
      </w:r>
      <w:r>
        <w:rPr>
          <w:rFonts w:hint="eastAsia" w:ascii="仿宋" w:hAnsi="仿宋" w:eastAsia="仿宋" w:cs="仿宋"/>
          <w:szCs w:val="21"/>
          <w:lang w:eastAsia="zh-CN"/>
        </w:rPr>
        <w:t>（</w:t>
      </w:r>
      <w:r>
        <w:rPr>
          <w:rFonts w:hint="eastAsia" w:ascii="仿宋" w:hAnsi="仿宋" w:eastAsia="仿宋" w:cs="仿宋"/>
          <w:szCs w:val="21"/>
          <w:lang w:val="en-US" w:eastAsia="zh-CN"/>
        </w:rPr>
        <w:t>1</w:t>
      </w:r>
      <w:r>
        <w:rPr>
          <w:rFonts w:hint="eastAsia" w:ascii="仿宋" w:hAnsi="仿宋" w:eastAsia="仿宋" w:cs="仿宋"/>
          <w:szCs w:val="21"/>
          <w:lang w:eastAsia="zh-CN"/>
        </w:rPr>
        <w:t>）</w:t>
      </w:r>
      <w:r>
        <w:rPr>
          <w:rFonts w:hint="eastAsia" w:ascii="仿宋" w:hAnsi="仿宋" w:eastAsia="仿宋" w:cs="仿宋"/>
          <w:szCs w:val="21"/>
        </w:rPr>
        <w:t>、本估价报告使用期限自估价报告出具之日起不超过</w:t>
      </w:r>
      <w:r>
        <w:rPr>
          <w:rFonts w:hint="eastAsia" w:ascii="仿宋" w:hAnsi="仿宋" w:eastAsia="仿宋" w:cs="仿宋"/>
          <w:szCs w:val="21"/>
          <w:lang w:eastAsia="zh-CN"/>
        </w:rPr>
        <w:t>壹</w:t>
      </w:r>
      <w:r>
        <w:rPr>
          <w:rFonts w:hint="eastAsia" w:ascii="仿宋" w:hAnsi="仿宋" w:eastAsia="仿宋" w:cs="仿宋"/>
          <w:szCs w:val="21"/>
        </w:rPr>
        <w:t>年。</w:t>
      </w:r>
    </w:p>
    <w:p>
      <w:pPr>
        <w:widowControl w:val="0"/>
        <w:wordWrap/>
        <w:adjustRightInd/>
        <w:snapToGrid/>
        <w:spacing w:line="360" w:lineRule="auto"/>
        <w:ind w:firstLine="1470" w:firstLineChars="700"/>
        <w:textAlignment w:val="auto"/>
        <w:rPr>
          <w:rFonts w:hint="eastAsia" w:ascii="仿宋" w:hAnsi="仿宋" w:eastAsia="仿宋" w:cs="仿宋"/>
          <w:szCs w:val="21"/>
        </w:rPr>
      </w:pPr>
      <w:r>
        <w:rPr>
          <w:rFonts w:hint="eastAsia" w:ascii="仿宋" w:hAnsi="仿宋" w:eastAsia="仿宋" w:cs="仿宋"/>
          <w:szCs w:val="21"/>
          <w:lang w:eastAsia="zh-CN"/>
        </w:rPr>
        <w:t>（</w:t>
      </w:r>
      <w:r>
        <w:rPr>
          <w:rFonts w:hint="eastAsia" w:ascii="仿宋" w:hAnsi="仿宋" w:eastAsia="仿宋" w:cs="仿宋"/>
          <w:szCs w:val="21"/>
          <w:lang w:val="en-US" w:eastAsia="zh-CN"/>
        </w:rPr>
        <w:t>2</w:t>
      </w:r>
      <w:r>
        <w:rPr>
          <w:rFonts w:hint="eastAsia" w:ascii="仿宋" w:hAnsi="仿宋" w:eastAsia="仿宋" w:cs="仿宋"/>
          <w:szCs w:val="21"/>
          <w:lang w:eastAsia="zh-CN"/>
        </w:rPr>
        <w:t>）</w:t>
      </w:r>
      <w:r>
        <w:rPr>
          <w:rFonts w:hint="eastAsia" w:ascii="仿宋" w:hAnsi="仿宋" w:eastAsia="仿宋" w:cs="仿宋"/>
          <w:szCs w:val="21"/>
        </w:rPr>
        <w:t>、欲知详情，请阅读本估价报告全文。</w:t>
      </w:r>
    </w:p>
    <w:p>
      <w:pPr>
        <w:widowControl w:val="0"/>
        <w:wordWrap/>
        <w:adjustRightInd/>
        <w:snapToGrid/>
        <w:spacing w:line="360" w:lineRule="auto"/>
        <w:jc w:val="right"/>
        <w:textAlignment w:val="auto"/>
        <w:rPr>
          <w:rFonts w:hint="eastAsia" w:ascii="仿宋" w:hAnsi="仿宋" w:eastAsia="仿宋" w:cs="仿宋"/>
          <w:sz w:val="24"/>
          <w:szCs w:val="24"/>
        </w:rPr>
      </w:pPr>
      <w:bookmarkStart w:id="0" w:name="_Toc402080909"/>
      <w:bookmarkStart w:id="1" w:name="_Toc402080178"/>
      <w:bookmarkStart w:id="2" w:name="_Toc458777881"/>
      <w:bookmarkStart w:id="3" w:name="_Toc402080238"/>
      <w:bookmarkStart w:id="4" w:name="_Toc402100711"/>
      <w:bookmarkStart w:id="5" w:name="_Toc407639999"/>
      <w:bookmarkStart w:id="6" w:name="_Toc407621211"/>
    </w:p>
    <w:p>
      <w:pPr>
        <w:widowControl w:val="0"/>
        <w:wordWrap/>
        <w:adjustRightInd/>
        <w:snapToGrid/>
        <w:spacing w:line="360" w:lineRule="auto"/>
        <w:jc w:val="right"/>
        <w:textAlignment w:val="auto"/>
        <w:rPr>
          <w:rFonts w:hint="eastAsia" w:ascii="仿宋" w:hAnsi="仿宋" w:eastAsia="仿宋" w:cs="仿宋"/>
          <w:sz w:val="24"/>
          <w:szCs w:val="24"/>
        </w:rPr>
      </w:pPr>
    </w:p>
    <w:p>
      <w:pPr>
        <w:widowControl w:val="0"/>
        <w:wordWrap/>
        <w:adjustRightInd/>
        <w:snapToGrid/>
        <w:spacing w:line="360" w:lineRule="auto"/>
        <w:jc w:val="right"/>
        <w:textAlignment w:val="auto"/>
        <w:rPr>
          <w:rFonts w:hint="eastAsia" w:ascii="仿宋" w:hAnsi="仿宋" w:eastAsia="仿宋" w:cs="仿宋"/>
          <w:sz w:val="24"/>
          <w:szCs w:val="24"/>
        </w:rPr>
      </w:pPr>
    </w:p>
    <w:p>
      <w:pPr>
        <w:widowControl w:val="0"/>
        <w:wordWrap/>
        <w:adjustRightInd/>
        <w:snapToGrid/>
        <w:spacing w:line="360" w:lineRule="auto"/>
        <w:jc w:val="right"/>
        <w:textAlignment w:val="auto"/>
        <w:rPr>
          <w:rFonts w:hint="eastAsia" w:ascii="仿宋" w:hAnsi="仿宋" w:eastAsia="仿宋" w:cs="仿宋"/>
          <w:sz w:val="24"/>
          <w:szCs w:val="24"/>
        </w:rPr>
      </w:pPr>
      <w:r>
        <w:rPr>
          <w:rFonts w:hint="eastAsia" w:ascii="仿宋" w:hAnsi="仿宋" w:eastAsia="仿宋" w:cs="仿宋"/>
          <w:sz w:val="24"/>
          <w:szCs w:val="24"/>
        </w:rPr>
        <w:t>厦门翰和资产评估土地房地产估价有限公司</w:t>
      </w:r>
      <w:bookmarkEnd w:id="0"/>
      <w:bookmarkEnd w:id="1"/>
      <w:bookmarkEnd w:id="2"/>
      <w:bookmarkEnd w:id="3"/>
      <w:bookmarkEnd w:id="4"/>
      <w:bookmarkEnd w:id="5"/>
      <w:bookmarkEnd w:id="6"/>
    </w:p>
    <w:p>
      <w:pPr>
        <w:widowControl w:val="0"/>
        <w:wordWrap/>
        <w:adjustRightInd/>
        <w:snapToGrid/>
        <w:spacing w:line="360" w:lineRule="auto"/>
        <w:ind w:right="482" w:firstLine="5280" w:firstLineChars="2200"/>
        <w:textAlignment w:val="auto"/>
        <w:rPr>
          <w:rFonts w:hint="eastAsia" w:ascii="仿宋" w:hAnsi="仿宋" w:eastAsia="仿宋" w:cs="仿宋"/>
          <w:sz w:val="24"/>
          <w:szCs w:val="24"/>
        </w:rPr>
      </w:pPr>
      <w:bookmarkStart w:id="7" w:name="_Toc407721085"/>
      <w:bookmarkStart w:id="8" w:name="_Toc458777882"/>
      <w:bookmarkStart w:id="9" w:name="_Toc407621212"/>
      <w:bookmarkStart w:id="10" w:name="_Toc402080179"/>
      <w:bookmarkStart w:id="11" w:name="_Toc402080239"/>
      <w:bookmarkStart w:id="12" w:name="_Toc407718819"/>
      <w:bookmarkStart w:id="13" w:name="_Toc402080910"/>
      <w:bookmarkStart w:id="14" w:name="_Toc407640000"/>
      <w:bookmarkStart w:id="15" w:name="_Toc407641182"/>
      <w:bookmarkStart w:id="16" w:name="_Toc402100712"/>
      <w:bookmarkStart w:id="17" w:name="_Toc407785121"/>
      <w:r>
        <w:rPr>
          <w:rFonts w:hint="eastAsia" w:ascii="仿宋" w:hAnsi="仿宋" w:eastAsia="仿宋" w:cs="仿宋"/>
          <w:sz w:val="24"/>
          <w:szCs w:val="24"/>
        </w:rPr>
        <w:t>法定代表人(签章)：</w:t>
      </w:r>
      <w:bookmarkEnd w:id="7"/>
      <w:bookmarkEnd w:id="8"/>
      <w:bookmarkEnd w:id="9"/>
      <w:bookmarkEnd w:id="10"/>
      <w:bookmarkEnd w:id="11"/>
      <w:bookmarkEnd w:id="12"/>
      <w:bookmarkEnd w:id="13"/>
      <w:bookmarkEnd w:id="14"/>
      <w:bookmarkEnd w:id="15"/>
      <w:bookmarkEnd w:id="16"/>
      <w:bookmarkEnd w:id="17"/>
      <w:r>
        <w:rPr>
          <w:rFonts w:hint="eastAsia" w:ascii="仿宋" w:hAnsi="仿宋" w:eastAsia="仿宋" w:cs="仿宋"/>
          <w:sz w:val="24"/>
          <w:szCs w:val="24"/>
        </w:rPr>
        <w:t>赵少聪</w:t>
      </w:r>
    </w:p>
    <w:p>
      <w:pPr>
        <w:widowControl w:val="0"/>
        <w:wordWrap/>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eastAsia="zh-CN"/>
        </w:rPr>
        <w:t>二０二二年十月十四日</w:t>
      </w:r>
    </w:p>
    <w:p>
      <w:pPr>
        <w:spacing w:line="360" w:lineRule="auto"/>
        <w:jc w:val="left"/>
        <w:rPr>
          <w:rFonts w:hint="eastAsia" w:ascii="仿宋" w:hAnsi="仿宋" w:eastAsia="仿宋" w:cs="仿宋"/>
          <w:b/>
          <w:sz w:val="24"/>
          <w:szCs w:val="24"/>
        </w:rPr>
      </w:pPr>
    </w:p>
    <w:p>
      <w:pPr>
        <w:spacing w:line="360" w:lineRule="auto"/>
        <w:jc w:val="left"/>
        <w:rPr>
          <w:rFonts w:hint="eastAsia" w:ascii="仿宋" w:hAnsi="仿宋" w:eastAsia="仿宋" w:cs="仿宋"/>
          <w:b/>
          <w:sz w:val="24"/>
          <w:szCs w:val="24"/>
        </w:rPr>
        <w:sectPr>
          <w:pgSz w:w="11906" w:h="16838"/>
          <w:pgMar w:top="1418" w:right="1418" w:bottom="1418" w:left="1701" w:header="1021" w:footer="397" w:gutter="0"/>
          <w:pgNumType w:start="1"/>
          <w:cols w:space="720" w:num="1"/>
          <w:docGrid w:type="lines" w:linePitch="312" w:charSpace="0"/>
        </w:sectPr>
      </w:pPr>
    </w:p>
    <w:p>
      <w:pPr>
        <w:spacing w:line="960" w:lineRule="auto"/>
        <w:jc w:val="center"/>
        <w:outlineLvl w:val="0"/>
        <w:rPr>
          <w:rFonts w:hint="eastAsia" w:ascii="仿宋" w:hAnsi="仿宋" w:eastAsia="仿宋" w:cs="仿宋"/>
          <w:b/>
          <w:sz w:val="44"/>
          <w:szCs w:val="44"/>
        </w:rPr>
      </w:pPr>
      <w:r>
        <w:rPr>
          <w:rFonts w:hint="eastAsia" w:ascii="仿宋" w:hAnsi="仿宋" w:eastAsia="仿宋" w:cs="仿宋"/>
          <w:b/>
          <w:sz w:val="44"/>
          <w:szCs w:val="44"/>
        </w:rPr>
        <w:t>目  录</w:t>
      </w:r>
    </w:p>
    <w:p>
      <w:pPr>
        <w:pStyle w:val="16"/>
        <w:tabs>
          <w:tab w:val="right" w:leader="dot" w:pos="8787"/>
          <w:tab w:val="clear" w:pos="8777"/>
        </w:tabs>
        <w:rPr>
          <w:rFonts w:hint="eastAsia" w:ascii="仿宋" w:hAnsi="仿宋" w:eastAsia="仿宋" w:cs="仿宋"/>
        </w:rPr>
      </w:pPr>
      <w:r>
        <w:rPr>
          <w:rFonts w:hint="eastAsia" w:ascii="仿宋" w:hAnsi="仿宋" w:eastAsia="仿宋" w:cs="仿宋"/>
          <w:b w:val="0"/>
          <w:sz w:val="24"/>
          <w:szCs w:val="24"/>
        </w:rPr>
        <w:fldChar w:fldCharType="begin"/>
      </w:r>
      <w:r>
        <w:rPr>
          <w:rFonts w:hint="eastAsia" w:ascii="仿宋" w:hAnsi="仿宋" w:eastAsia="仿宋" w:cs="仿宋"/>
          <w:b w:val="0"/>
          <w:sz w:val="24"/>
          <w:szCs w:val="24"/>
        </w:rPr>
        <w:instrText xml:space="preserve"> TOC \o "1-2" \h \z \u </w:instrText>
      </w:r>
      <w:r>
        <w:rPr>
          <w:rFonts w:hint="eastAsia" w:ascii="仿宋" w:hAnsi="仿宋" w:eastAsia="仿宋" w:cs="仿宋"/>
          <w:b w:val="0"/>
          <w:sz w:val="24"/>
          <w:szCs w:val="24"/>
        </w:rPr>
        <w:fldChar w:fldCharType="separate"/>
      </w:r>
      <w:r>
        <w:rPr>
          <w:rFonts w:hint="eastAsia" w:ascii="仿宋" w:hAnsi="仿宋" w:eastAsia="仿宋" w:cs="仿宋"/>
          <w:szCs w:val="24"/>
        </w:rPr>
        <w:fldChar w:fldCharType="begin"/>
      </w:r>
      <w:r>
        <w:rPr>
          <w:rFonts w:hint="eastAsia" w:ascii="仿宋" w:hAnsi="仿宋" w:eastAsia="仿宋" w:cs="仿宋"/>
          <w:szCs w:val="24"/>
        </w:rPr>
        <w:instrText xml:space="preserve"> HYPERLINK \l _Toc15451 </w:instrText>
      </w:r>
      <w:r>
        <w:rPr>
          <w:rFonts w:hint="eastAsia" w:ascii="仿宋" w:hAnsi="仿宋" w:eastAsia="仿宋" w:cs="仿宋"/>
          <w:szCs w:val="24"/>
        </w:rPr>
        <w:fldChar w:fldCharType="separate"/>
      </w:r>
      <w:r>
        <w:rPr>
          <w:rFonts w:hint="eastAsia" w:ascii="仿宋" w:hAnsi="仿宋" w:eastAsia="仿宋" w:cs="仿宋"/>
          <w:szCs w:val="44"/>
        </w:rPr>
        <w:t>估价师声明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_Toc15451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szCs w:val="24"/>
        </w:rPr>
        <w:fldChar w:fldCharType="end"/>
      </w:r>
    </w:p>
    <w:p>
      <w:pPr>
        <w:pStyle w:val="16"/>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_Toc14419 </w:instrText>
      </w:r>
      <w:r>
        <w:rPr>
          <w:rFonts w:hint="eastAsia" w:ascii="仿宋" w:hAnsi="仿宋" w:eastAsia="仿宋" w:cs="仿宋"/>
          <w:szCs w:val="24"/>
        </w:rPr>
        <w:fldChar w:fldCharType="separate"/>
      </w:r>
      <w:r>
        <w:rPr>
          <w:rFonts w:hint="eastAsia" w:ascii="仿宋" w:hAnsi="仿宋" w:eastAsia="仿宋" w:cs="仿宋"/>
          <w:bCs/>
          <w:szCs w:val="44"/>
        </w:rPr>
        <w:t>估价假设和限制条件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_Toc14419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_Toc17074 </w:instrText>
      </w:r>
      <w:r>
        <w:rPr>
          <w:rFonts w:hint="eastAsia" w:ascii="仿宋" w:hAnsi="仿宋" w:eastAsia="仿宋" w:cs="仿宋"/>
          <w:szCs w:val="24"/>
        </w:rPr>
        <w:fldChar w:fldCharType="separate"/>
      </w:r>
      <w:r>
        <w:rPr>
          <w:rFonts w:hint="eastAsia" w:ascii="仿宋" w:hAnsi="仿宋" w:eastAsia="仿宋" w:cs="仿宋"/>
        </w:rPr>
        <w:t>一、本次估价的各项估价假设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_Toc17074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_Toc32682 </w:instrText>
      </w:r>
      <w:r>
        <w:rPr>
          <w:rFonts w:hint="eastAsia" w:ascii="仿宋" w:hAnsi="仿宋" w:eastAsia="仿宋" w:cs="仿宋"/>
          <w:szCs w:val="24"/>
        </w:rPr>
        <w:fldChar w:fldCharType="separate"/>
      </w:r>
      <w:r>
        <w:rPr>
          <w:rFonts w:hint="eastAsia" w:ascii="仿宋" w:hAnsi="仿宋" w:eastAsia="仿宋" w:cs="仿宋"/>
        </w:rPr>
        <w:t>二、估价报告使用限制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_Toc32682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szCs w:val="24"/>
        </w:rPr>
        <w:fldChar w:fldCharType="end"/>
      </w:r>
    </w:p>
    <w:p>
      <w:pPr>
        <w:pStyle w:val="16"/>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_Toc28595 </w:instrText>
      </w:r>
      <w:r>
        <w:rPr>
          <w:rFonts w:hint="eastAsia" w:ascii="仿宋" w:hAnsi="仿宋" w:eastAsia="仿宋" w:cs="仿宋"/>
          <w:szCs w:val="24"/>
        </w:rPr>
        <w:fldChar w:fldCharType="separate"/>
      </w:r>
      <w:r>
        <w:rPr>
          <w:rFonts w:hint="eastAsia" w:ascii="仿宋" w:hAnsi="仿宋" w:eastAsia="仿宋" w:cs="仿宋"/>
          <w:szCs w:val="44"/>
        </w:rPr>
        <w:t>估价结果报告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_Toc28595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_Toc14646 </w:instrText>
      </w:r>
      <w:r>
        <w:rPr>
          <w:rFonts w:hint="eastAsia" w:ascii="仿宋" w:hAnsi="仿宋" w:eastAsia="仿宋" w:cs="仿宋"/>
          <w:szCs w:val="24"/>
        </w:rPr>
        <w:fldChar w:fldCharType="separate"/>
      </w:r>
      <w:r>
        <w:rPr>
          <w:rFonts w:hint="eastAsia" w:ascii="仿宋" w:hAnsi="仿宋" w:eastAsia="仿宋" w:cs="仿宋"/>
        </w:rPr>
        <w:t>一、估价委托人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_Toc14646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_Toc9351 </w:instrText>
      </w:r>
      <w:r>
        <w:rPr>
          <w:rFonts w:hint="eastAsia" w:ascii="仿宋" w:hAnsi="仿宋" w:eastAsia="仿宋" w:cs="仿宋"/>
          <w:szCs w:val="24"/>
        </w:rPr>
        <w:fldChar w:fldCharType="separate"/>
      </w:r>
      <w:r>
        <w:rPr>
          <w:rFonts w:hint="eastAsia" w:ascii="仿宋" w:hAnsi="仿宋" w:eastAsia="仿宋" w:cs="仿宋"/>
        </w:rPr>
        <w:t>二、房地产估价机构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_Toc9351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_Toc3324 </w:instrText>
      </w:r>
      <w:r>
        <w:rPr>
          <w:rFonts w:hint="eastAsia" w:ascii="仿宋" w:hAnsi="仿宋" w:eastAsia="仿宋" w:cs="仿宋"/>
          <w:szCs w:val="24"/>
        </w:rPr>
        <w:fldChar w:fldCharType="separate"/>
      </w:r>
      <w:r>
        <w:rPr>
          <w:rFonts w:hint="eastAsia" w:ascii="仿宋" w:hAnsi="仿宋" w:eastAsia="仿宋" w:cs="仿宋"/>
        </w:rPr>
        <w:t>三、估价目的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_Toc3324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_Toc3729 </w:instrText>
      </w:r>
      <w:r>
        <w:rPr>
          <w:rFonts w:hint="eastAsia" w:ascii="仿宋" w:hAnsi="仿宋" w:eastAsia="仿宋" w:cs="仿宋"/>
          <w:szCs w:val="24"/>
        </w:rPr>
        <w:fldChar w:fldCharType="separate"/>
      </w:r>
      <w:r>
        <w:rPr>
          <w:rFonts w:hint="eastAsia" w:ascii="仿宋" w:hAnsi="仿宋" w:eastAsia="仿宋" w:cs="仿宋"/>
        </w:rPr>
        <w:t>四、估价对象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_Toc3729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_Toc27234 </w:instrText>
      </w:r>
      <w:r>
        <w:rPr>
          <w:rFonts w:hint="eastAsia" w:ascii="仿宋" w:hAnsi="仿宋" w:eastAsia="仿宋" w:cs="仿宋"/>
          <w:szCs w:val="24"/>
        </w:rPr>
        <w:fldChar w:fldCharType="separate"/>
      </w:r>
      <w:r>
        <w:rPr>
          <w:rFonts w:hint="eastAsia" w:ascii="仿宋" w:hAnsi="仿宋" w:eastAsia="仿宋" w:cs="仿宋"/>
        </w:rPr>
        <w:t>五、价值时点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_Toc27234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_Toc16625 </w:instrText>
      </w:r>
      <w:r>
        <w:rPr>
          <w:rFonts w:hint="eastAsia" w:ascii="仿宋" w:hAnsi="仿宋" w:eastAsia="仿宋" w:cs="仿宋"/>
          <w:szCs w:val="24"/>
        </w:rPr>
        <w:fldChar w:fldCharType="separate"/>
      </w:r>
      <w:r>
        <w:rPr>
          <w:rFonts w:hint="eastAsia" w:ascii="仿宋" w:hAnsi="仿宋" w:eastAsia="仿宋" w:cs="仿宋"/>
        </w:rPr>
        <w:t>六、价值类型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_Toc16625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_Toc7213 </w:instrText>
      </w:r>
      <w:r>
        <w:rPr>
          <w:rFonts w:hint="eastAsia" w:ascii="仿宋" w:hAnsi="仿宋" w:eastAsia="仿宋" w:cs="仿宋"/>
          <w:szCs w:val="24"/>
        </w:rPr>
        <w:fldChar w:fldCharType="separate"/>
      </w:r>
      <w:r>
        <w:rPr>
          <w:rFonts w:hint="eastAsia" w:ascii="仿宋" w:hAnsi="仿宋" w:eastAsia="仿宋" w:cs="仿宋"/>
        </w:rPr>
        <w:t>七、估价原则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_Toc7213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_Toc22254 </w:instrText>
      </w:r>
      <w:r>
        <w:rPr>
          <w:rFonts w:hint="eastAsia" w:ascii="仿宋" w:hAnsi="仿宋" w:eastAsia="仿宋" w:cs="仿宋"/>
          <w:szCs w:val="24"/>
        </w:rPr>
        <w:fldChar w:fldCharType="separate"/>
      </w:r>
      <w:r>
        <w:rPr>
          <w:rFonts w:hint="eastAsia" w:ascii="仿宋" w:hAnsi="仿宋" w:eastAsia="仿宋" w:cs="仿宋"/>
        </w:rPr>
        <w:t>八、估价依据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_Toc22254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_Toc17849 </w:instrText>
      </w:r>
      <w:r>
        <w:rPr>
          <w:rFonts w:hint="eastAsia" w:ascii="仿宋" w:hAnsi="仿宋" w:eastAsia="仿宋" w:cs="仿宋"/>
          <w:szCs w:val="24"/>
        </w:rPr>
        <w:fldChar w:fldCharType="separate"/>
      </w:r>
      <w:r>
        <w:rPr>
          <w:rFonts w:hint="eastAsia" w:ascii="仿宋" w:hAnsi="仿宋" w:eastAsia="仿宋" w:cs="仿宋"/>
        </w:rPr>
        <w:t>九、估价方法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_Toc17849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_Toc20193 </w:instrText>
      </w:r>
      <w:r>
        <w:rPr>
          <w:rFonts w:hint="eastAsia" w:ascii="仿宋" w:hAnsi="仿宋" w:eastAsia="仿宋" w:cs="仿宋"/>
          <w:szCs w:val="24"/>
        </w:rPr>
        <w:fldChar w:fldCharType="separate"/>
      </w:r>
      <w:r>
        <w:rPr>
          <w:rFonts w:hint="eastAsia" w:ascii="仿宋" w:hAnsi="仿宋" w:eastAsia="仿宋" w:cs="仿宋"/>
        </w:rPr>
        <w:t>十、估价结果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_Toc20193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_Toc23229 </w:instrText>
      </w:r>
      <w:r>
        <w:rPr>
          <w:rFonts w:hint="eastAsia" w:ascii="仿宋" w:hAnsi="仿宋" w:eastAsia="仿宋" w:cs="仿宋"/>
          <w:szCs w:val="24"/>
        </w:rPr>
        <w:fldChar w:fldCharType="separate"/>
      </w:r>
      <w:r>
        <w:rPr>
          <w:rFonts w:hint="eastAsia" w:ascii="仿宋" w:hAnsi="仿宋" w:eastAsia="仿宋" w:cs="仿宋"/>
        </w:rPr>
        <w:t>十一、注册房地产估价师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_Toc23229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_Toc2398 </w:instrText>
      </w:r>
      <w:r>
        <w:rPr>
          <w:rFonts w:hint="eastAsia" w:ascii="仿宋" w:hAnsi="仿宋" w:eastAsia="仿宋" w:cs="仿宋"/>
          <w:szCs w:val="24"/>
        </w:rPr>
        <w:fldChar w:fldCharType="separate"/>
      </w:r>
      <w:r>
        <w:rPr>
          <w:rFonts w:hint="eastAsia" w:ascii="仿宋" w:hAnsi="仿宋" w:eastAsia="仿宋" w:cs="仿宋"/>
        </w:rPr>
        <w:t>十二、实地查勘期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_Toc2398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_Toc28241 </w:instrText>
      </w:r>
      <w:r>
        <w:rPr>
          <w:rFonts w:hint="eastAsia" w:ascii="仿宋" w:hAnsi="仿宋" w:eastAsia="仿宋" w:cs="仿宋"/>
          <w:szCs w:val="24"/>
        </w:rPr>
        <w:fldChar w:fldCharType="separate"/>
      </w:r>
      <w:r>
        <w:rPr>
          <w:rFonts w:hint="eastAsia" w:ascii="仿宋" w:hAnsi="仿宋" w:eastAsia="仿宋" w:cs="仿宋"/>
        </w:rPr>
        <w:t>十三、估价作业期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_Toc28241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4"/>
        </w:rPr>
        <w:fldChar w:fldCharType="end"/>
      </w:r>
    </w:p>
    <w:p>
      <w:pPr>
        <w:pStyle w:val="16"/>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_Toc30371 </w:instrText>
      </w:r>
      <w:r>
        <w:rPr>
          <w:rFonts w:hint="eastAsia" w:ascii="仿宋" w:hAnsi="仿宋" w:eastAsia="仿宋" w:cs="仿宋"/>
          <w:szCs w:val="24"/>
        </w:rPr>
        <w:fldChar w:fldCharType="separate"/>
      </w:r>
      <w:r>
        <w:rPr>
          <w:rFonts w:hint="eastAsia" w:ascii="仿宋" w:hAnsi="仿宋" w:eastAsia="仿宋" w:cs="仿宋"/>
          <w:szCs w:val="44"/>
        </w:rPr>
        <w:t>估价技术报告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_Toc30371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_Toc23322 </w:instrText>
      </w:r>
      <w:r>
        <w:rPr>
          <w:rFonts w:hint="eastAsia" w:ascii="仿宋" w:hAnsi="仿宋" w:eastAsia="仿宋" w:cs="仿宋"/>
          <w:szCs w:val="24"/>
        </w:rPr>
        <w:fldChar w:fldCharType="separate"/>
      </w:r>
      <w:r>
        <w:rPr>
          <w:rFonts w:hint="eastAsia" w:ascii="仿宋" w:hAnsi="仿宋" w:eastAsia="仿宋" w:cs="仿宋"/>
        </w:rPr>
        <w:t>一、区位状况描述与分析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_Toc23322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_Toc3231 </w:instrText>
      </w:r>
      <w:r>
        <w:rPr>
          <w:rFonts w:hint="eastAsia" w:ascii="仿宋" w:hAnsi="仿宋" w:eastAsia="仿宋" w:cs="仿宋"/>
          <w:szCs w:val="24"/>
        </w:rPr>
        <w:fldChar w:fldCharType="separate"/>
      </w:r>
      <w:r>
        <w:rPr>
          <w:rFonts w:hint="eastAsia" w:ascii="仿宋" w:hAnsi="仿宋" w:eastAsia="仿宋" w:cs="仿宋"/>
        </w:rPr>
        <w:t>二、实物状况描述与分析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_Toc3231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_Toc5565 </w:instrText>
      </w:r>
      <w:r>
        <w:rPr>
          <w:rFonts w:hint="eastAsia" w:ascii="仿宋" w:hAnsi="仿宋" w:eastAsia="仿宋" w:cs="仿宋"/>
          <w:szCs w:val="24"/>
        </w:rPr>
        <w:fldChar w:fldCharType="separate"/>
      </w:r>
      <w:r>
        <w:rPr>
          <w:rFonts w:hint="eastAsia" w:ascii="仿宋" w:hAnsi="仿宋" w:eastAsia="仿宋" w:cs="仿宋"/>
        </w:rPr>
        <w:t>三、权益状况描述与分析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_Toc5565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_Toc12814 </w:instrText>
      </w:r>
      <w:r>
        <w:rPr>
          <w:rFonts w:hint="eastAsia" w:ascii="仿宋" w:hAnsi="仿宋" w:eastAsia="仿宋" w:cs="仿宋"/>
          <w:szCs w:val="24"/>
        </w:rPr>
        <w:fldChar w:fldCharType="separate"/>
      </w:r>
      <w:r>
        <w:rPr>
          <w:rFonts w:hint="eastAsia" w:ascii="仿宋" w:hAnsi="仿宋" w:eastAsia="仿宋" w:cs="仿宋"/>
        </w:rPr>
        <w:t>四、市场背景描述与分析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_Toc12814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_Toc17420 </w:instrText>
      </w:r>
      <w:r>
        <w:rPr>
          <w:rFonts w:hint="eastAsia" w:ascii="仿宋" w:hAnsi="仿宋" w:eastAsia="仿宋" w:cs="仿宋"/>
          <w:szCs w:val="24"/>
        </w:rPr>
        <w:fldChar w:fldCharType="separate"/>
      </w:r>
      <w:r>
        <w:rPr>
          <w:rFonts w:hint="eastAsia" w:ascii="仿宋" w:hAnsi="仿宋" w:eastAsia="仿宋" w:cs="仿宋"/>
          <w:szCs w:val="24"/>
        </w:rPr>
        <w:t>五、最高最佳使用分析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_Toc17420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_Toc28530 </w:instrText>
      </w:r>
      <w:r>
        <w:rPr>
          <w:rFonts w:hint="eastAsia" w:ascii="仿宋" w:hAnsi="仿宋" w:eastAsia="仿宋" w:cs="仿宋"/>
          <w:szCs w:val="24"/>
        </w:rPr>
        <w:fldChar w:fldCharType="separate"/>
      </w:r>
      <w:r>
        <w:rPr>
          <w:rFonts w:hint="eastAsia" w:ascii="仿宋" w:hAnsi="仿宋" w:eastAsia="仿宋" w:cs="仿宋"/>
          <w:szCs w:val="24"/>
        </w:rPr>
        <w:t>六、估价方法的适用性分析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_Toc28530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_Toc18063 </w:instrText>
      </w:r>
      <w:r>
        <w:rPr>
          <w:rFonts w:hint="eastAsia" w:ascii="仿宋" w:hAnsi="仿宋" w:eastAsia="仿宋" w:cs="仿宋"/>
          <w:szCs w:val="24"/>
        </w:rPr>
        <w:fldChar w:fldCharType="separate"/>
      </w:r>
      <w:r>
        <w:rPr>
          <w:rFonts w:hint="eastAsia" w:ascii="仿宋" w:hAnsi="仿宋" w:eastAsia="仿宋" w:cs="仿宋"/>
        </w:rPr>
        <w:t>七、估价测算过程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_Toc18063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_Toc31998 </w:instrText>
      </w:r>
      <w:r>
        <w:rPr>
          <w:rFonts w:hint="eastAsia" w:ascii="仿宋" w:hAnsi="仿宋" w:eastAsia="仿宋" w:cs="仿宋"/>
          <w:szCs w:val="24"/>
        </w:rPr>
        <w:fldChar w:fldCharType="separate"/>
      </w:r>
      <w:r>
        <w:rPr>
          <w:rFonts w:hint="eastAsia" w:ascii="仿宋" w:hAnsi="仿宋" w:eastAsia="仿宋" w:cs="仿宋"/>
        </w:rPr>
        <w:t>八、估价结果确定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_Toc31998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szCs w:val="24"/>
        </w:rPr>
        <w:fldChar w:fldCharType="end"/>
      </w:r>
    </w:p>
    <w:p>
      <w:pPr>
        <w:pStyle w:val="16"/>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_Toc3920 </w:instrText>
      </w:r>
      <w:r>
        <w:rPr>
          <w:rFonts w:hint="eastAsia" w:ascii="仿宋" w:hAnsi="仿宋" w:eastAsia="仿宋" w:cs="仿宋"/>
          <w:szCs w:val="24"/>
        </w:rPr>
        <w:fldChar w:fldCharType="separate"/>
      </w:r>
      <w:r>
        <w:rPr>
          <w:rFonts w:hint="eastAsia" w:ascii="仿宋" w:hAnsi="仿宋" w:eastAsia="仿宋" w:cs="仿宋"/>
          <w:szCs w:val="44"/>
        </w:rPr>
        <w:t>估价对象变现能力分析与风险提示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_Toc3920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_Toc15529 </w:instrText>
      </w:r>
      <w:r>
        <w:rPr>
          <w:rFonts w:hint="eastAsia" w:ascii="仿宋" w:hAnsi="仿宋" w:eastAsia="仿宋" w:cs="仿宋"/>
          <w:szCs w:val="24"/>
        </w:rPr>
        <w:fldChar w:fldCharType="separate"/>
      </w:r>
      <w:r>
        <w:rPr>
          <w:rFonts w:hint="eastAsia" w:ascii="仿宋" w:hAnsi="仿宋" w:eastAsia="仿宋" w:cs="仿宋"/>
          <w:bCs w:val="0"/>
          <w:szCs w:val="20"/>
        </w:rPr>
        <w:t>一、估价对象变现能力分析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_Toc15529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_Toc14362 </w:instrText>
      </w:r>
      <w:r>
        <w:rPr>
          <w:rFonts w:hint="eastAsia" w:ascii="仿宋" w:hAnsi="仿宋" w:eastAsia="仿宋" w:cs="仿宋"/>
          <w:szCs w:val="24"/>
        </w:rPr>
        <w:fldChar w:fldCharType="separate"/>
      </w:r>
      <w:r>
        <w:rPr>
          <w:rFonts w:hint="eastAsia" w:ascii="仿宋" w:hAnsi="仿宋" w:eastAsia="仿宋" w:cs="仿宋"/>
          <w:bCs w:val="0"/>
          <w:szCs w:val="20"/>
        </w:rPr>
        <w:t>二、风险提示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_Toc14362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szCs w:val="24"/>
        </w:rPr>
        <w:fldChar w:fldCharType="end"/>
      </w:r>
    </w:p>
    <w:p>
      <w:pPr>
        <w:pStyle w:val="16"/>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_Toc27140 </w:instrText>
      </w:r>
      <w:r>
        <w:rPr>
          <w:rFonts w:hint="eastAsia" w:ascii="仿宋" w:hAnsi="仿宋" w:eastAsia="仿宋" w:cs="仿宋"/>
          <w:szCs w:val="24"/>
        </w:rPr>
        <w:fldChar w:fldCharType="separate"/>
      </w:r>
      <w:r>
        <w:rPr>
          <w:rFonts w:hint="eastAsia" w:ascii="仿宋" w:hAnsi="仿宋" w:eastAsia="仿宋" w:cs="仿宋"/>
          <w:szCs w:val="44"/>
        </w:rPr>
        <w:t>附  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_Toc27140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_Toc7044 </w:instrText>
      </w:r>
      <w:r>
        <w:rPr>
          <w:rFonts w:hint="eastAsia" w:ascii="仿宋" w:hAnsi="仿宋" w:eastAsia="仿宋" w:cs="仿宋"/>
          <w:szCs w:val="24"/>
        </w:rPr>
        <w:fldChar w:fldCharType="separate"/>
      </w:r>
      <w:r>
        <w:rPr>
          <w:rFonts w:hint="eastAsia" w:ascii="仿宋" w:hAnsi="仿宋" w:eastAsia="仿宋" w:cs="仿宋"/>
          <w:bCs w:val="0"/>
        </w:rPr>
        <w:t>一、估价对象位置图及现场实勘照片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_Toc7044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_Toc21890 </w:instrText>
      </w:r>
      <w:r>
        <w:rPr>
          <w:rFonts w:hint="eastAsia" w:ascii="仿宋" w:hAnsi="仿宋" w:eastAsia="仿宋" w:cs="仿宋"/>
          <w:szCs w:val="24"/>
        </w:rPr>
        <w:fldChar w:fldCharType="separate"/>
      </w:r>
      <w:r>
        <w:rPr>
          <w:rFonts w:hint="eastAsia" w:ascii="仿宋" w:hAnsi="仿宋" w:eastAsia="仿宋" w:cs="仿宋"/>
          <w:bCs w:val="0"/>
        </w:rPr>
        <w:t>二、房地产估价委托合同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_Toc21890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_Toc3965 </w:instrText>
      </w:r>
      <w:r>
        <w:rPr>
          <w:rFonts w:hint="eastAsia" w:ascii="仿宋" w:hAnsi="仿宋" w:eastAsia="仿宋" w:cs="仿宋"/>
          <w:szCs w:val="24"/>
        </w:rPr>
        <w:fldChar w:fldCharType="separate"/>
      </w:r>
      <w:r>
        <w:rPr>
          <w:rFonts w:hint="eastAsia" w:ascii="仿宋" w:hAnsi="仿宋" w:eastAsia="仿宋" w:cs="仿宋"/>
          <w:bCs w:val="0"/>
        </w:rPr>
        <w:t>三、</w:t>
      </w:r>
      <w:r>
        <w:rPr>
          <w:rFonts w:hint="eastAsia" w:ascii="仿宋" w:hAnsi="仿宋" w:eastAsia="仿宋" w:cs="仿宋"/>
          <w:bCs w:val="0"/>
          <w:szCs w:val="24"/>
        </w:rPr>
        <w:t>估价委托人提供的材料(复印件)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_Toc3965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_Toc28507 </w:instrText>
      </w:r>
      <w:r>
        <w:rPr>
          <w:rFonts w:hint="eastAsia" w:ascii="仿宋" w:hAnsi="仿宋" w:eastAsia="仿宋" w:cs="仿宋"/>
          <w:szCs w:val="24"/>
        </w:rPr>
        <w:fldChar w:fldCharType="separate"/>
      </w:r>
      <w:r>
        <w:rPr>
          <w:rFonts w:hint="eastAsia" w:ascii="仿宋" w:hAnsi="仿宋" w:eastAsia="仿宋" w:cs="仿宋"/>
          <w:bCs w:val="0"/>
        </w:rPr>
        <w:t>四、</w:t>
      </w:r>
      <w:r>
        <w:rPr>
          <w:rFonts w:hint="eastAsia" w:ascii="仿宋" w:hAnsi="仿宋" w:eastAsia="仿宋" w:cs="仿宋"/>
          <w:bCs w:val="0"/>
          <w:szCs w:val="24"/>
        </w:rPr>
        <w:t>估价机构搜集的资料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_Toc28507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_Toc5443 </w:instrText>
      </w:r>
      <w:r>
        <w:rPr>
          <w:rFonts w:hint="eastAsia" w:ascii="仿宋" w:hAnsi="仿宋" w:eastAsia="仿宋" w:cs="仿宋"/>
          <w:szCs w:val="24"/>
        </w:rPr>
        <w:fldChar w:fldCharType="separate"/>
      </w:r>
      <w:r>
        <w:rPr>
          <w:rFonts w:hint="eastAsia" w:ascii="仿宋" w:hAnsi="仿宋" w:eastAsia="仿宋" w:cs="仿宋"/>
          <w:bCs w:val="0"/>
        </w:rPr>
        <w:t>五、估价机构营业执照</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_Toc5443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_Toc17971 </w:instrText>
      </w:r>
      <w:r>
        <w:rPr>
          <w:rFonts w:hint="eastAsia" w:ascii="仿宋" w:hAnsi="仿宋" w:eastAsia="仿宋" w:cs="仿宋"/>
          <w:szCs w:val="24"/>
        </w:rPr>
        <w:fldChar w:fldCharType="separate"/>
      </w:r>
      <w:r>
        <w:rPr>
          <w:rFonts w:hint="eastAsia" w:ascii="仿宋" w:hAnsi="仿宋" w:eastAsia="仿宋" w:cs="仿宋"/>
          <w:bCs w:val="0"/>
        </w:rPr>
        <w:t>六、估价机构资格证书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_Toc17971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4"/>
        </w:rPr>
        <w:fldChar w:fldCharType="end"/>
      </w:r>
    </w:p>
    <w:p>
      <w:pPr>
        <w:pStyle w:val="18"/>
        <w:tabs>
          <w:tab w:val="right" w:leader="dot" w:pos="8787"/>
          <w:tab w:val="clear" w:pos="8777"/>
        </w:tabs>
        <w:rPr>
          <w:rFonts w:hint="eastAsia" w:ascii="仿宋" w:hAnsi="仿宋" w:eastAsia="仿宋" w:cs="仿宋"/>
        </w:rPr>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_Toc12765 </w:instrText>
      </w:r>
      <w:r>
        <w:rPr>
          <w:rFonts w:hint="eastAsia" w:ascii="仿宋" w:hAnsi="仿宋" w:eastAsia="仿宋" w:cs="仿宋"/>
          <w:szCs w:val="24"/>
        </w:rPr>
        <w:fldChar w:fldCharType="separate"/>
      </w:r>
      <w:r>
        <w:rPr>
          <w:rFonts w:hint="eastAsia" w:ascii="仿宋" w:hAnsi="仿宋" w:eastAsia="仿宋" w:cs="仿宋"/>
          <w:bCs w:val="0"/>
        </w:rPr>
        <w:t>七、房地产估价师注册证书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_Toc12765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4"/>
        </w:rPr>
        <w:fldChar w:fldCharType="end"/>
      </w:r>
    </w:p>
    <w:p>
      <w:pPr>
        <w:pStyle w:val="18"/>
        <w:rPr>
          <w:rFonts w:hint="eastAsia" w:ascii="仿宋" w:hAnsi="仿宋" w:eastAsia="仿宋" w:cs="仿宋"/>
        </w:rPr>
        <w:sectPr>
          <w:pgSz w:w="11906" w:h="16838"/>
          <w:pgMar w:top="1418" w:right="1418" w:bottom="1418" w:left="1701" w:header="1021" w:footer="397" w:gutter="0"/>
          <w:pgNumType w:start="1"/>
          <w:cols w:space="720" w:num="1"/>
          <w:docGrid w:type="lines" w:linePitch="312" w:charSpace="0"/>
        </w:sectPr>
      </w:pPr>
      <w:r>
        <w:rPr>
          <w:rFonts w:hint="eastAsia" w:ascii="仿宋" w:hAnsi="仿宋" w:eastAsia="仿宋" w:cs="仿宋"/>
          <w:szCs w:val="24"/>
        </w:rPr>
        <w:fldChar w:fldCharType="end"/>
      </w:r>
    </w:p>
    <w:p>
      <w:pPr>
        <w:spacing w:line="960" w:lineRule="auto"/>
        <w:jc w:val="center"/>
        <w:outlineLvl w:val="0"/>
        <w:rPr>
          <w:rFonts w:hint="eastAsia" w:ascii="仿宋" w:hAnsi="仿宋" w:eastAsia="仿宋" w:cs="仿宋"/>
          <w:b/>
          <w:sz w:val="44"/>
          <w:szCs w:val="44"/>
        </w:rPr>
      </w:pPr>
      <w:bookmarkStart w:id="18" w:name="_Toc15451"/>
      <w:r>
        <w:rPr>
          <w:rFonts w:hint="eastAsia" w:ascii="仿宋" w:hAnsi="仿宋" w:eastAsia="仿宋" w:cs="仿宋"/>
          <w:b/>
          <w:sz w:val="44"/>
          <w:szCs w:val="44"/>
        </w:rPr>
        <w:t>估价师声明</w:t>
      </w:r>
      <w:bookmarkEnd w:id="18"/>
    </w:p>
    <w:p>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我们根据自己的专业知识和职业道德，在此郑重声明：</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rPr>
        <w:t>、</w:t>
      </w:r>
      <w:r>
        <w:rPr>
          <w:rFonts w:hint="eastAsia" w:ascii="仿宋" w:hAnsi="仿宋" w:eastAsia="仿宋" w:cs="仿宋"/>
          <w:sz w:val="24"/>
          <w:szCs w:val="24"/>
        </w:rPr>
        <w:t>我们在本估价报告中对事实的说明是真实和准确的,没有虚假记载、误导性陈述和重大遗漏。</w:t>
      </w:r>
    </w:p>
    <w:p>
      <w:pPr>
        <w:tabs>
          <w:tab w:val="left" w:pos="-2940"/>
          <w:tab w:val="left" w:pos="-252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2、本次估价报告中分析、意见和结论是我们独立、客观、公正的专业分析、意见和结论，但受到本估价报告中已说明的估价假设和限制条件的限制。</w:t>
      </w:r>
    </w:p>
    <w:p>
      <w:pPr>
        <w:tabs>
          <w:tab w:val="left" w:pos="-2940"/>
          <w:tab w:val="left" w:pos="-252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3、我们与本估价报告中的估价对象没有现实或潜在的利益，与估价委托人和估价利害关系人没有利害关系。</w:t>
      </w:r>
    </w:p>
    <w:p>
      <w:pPr>
        <w:tabs>
          <w:tab w:val="left" w:pos="-2940"/>
          <w:tab w:val="left" w:pos="-252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4、我们对本估价报告中的估价对象、估价委托人及估价利害关系人没有偏见。</w:t>
      </w:r>
    </w:p>
    <w:p>
      <w:pPr>
        <w:pStyle w:val="11"/>
        <w:spacing w:line="360" w:lineRule="auto"/>
        <w:ind w:firstLine="480" w:firstLineChars="200"/>
        <w:rPr>
          <w:rFonts w:hint="eastAsia" w:ascii="仿宋" w:hAnsi="仿宋" w:eastAsia="仿宋" w:cs="仿宋"/>
          <w:kern w:val="0"/>
          <w:sz w:val="24"/>
          <w:szCs w:val="24"/>
        </w:rPr>
      </w:pPr>
      <w:r>
        <w:rPr>
          <w:rFonts w:hint="eastAsia" w:ascii="仿宋" w:hAnsi="仿宋" w:eastAsia="仿宋" w:cs="仿宋"/>
          <w:sz w:val="24"/>
          <w:szCs w:val="24"/>
        </w:rPr>
        <w:t>5、我们依照《房地产估价规范》GB/T 50291－2015、《房地产估价基本术语标准》GB/T 50899－2013</w:t>
      </w:r>
      <w:r>
        <w:rPr>
          <w:rFonts w:hint="eastAsia" w:ascii="仿宋" w:hAnsi="仿宋" w:eastAsia="仿宋" w:cs="仿宋"/>
          <w:kern w:val="0"/>
          <w:sz w:val="24"/>
          <w:szCs w:val="24"/>
        </w:rPr>
        <w:t>以及房地产估价专项标准《房地产抵押估价指导意见》（建住房[2006]8号）进行分析,形成意见和结论,撰写本估价报告。</w:t>
      </w:r>
    </w:p>
    <w:p>
      <w:pPr>
        <w:ind w:firstLine="480" w:firstLineChars="200"/>
        <w:rPr>
          <w:rFonts w:hint="eastAsia" w:eastAsia="仿宋"/>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lang w:val="en-US" w:eastAsia="zh-CN" w:bidi="ar-SA"/>
        </w:rPr>
        <w:t>本次估价中，没有人对本报告提供了专业帮助，也未依据相关专业意见进行估。</w:t>
      </w: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sectPr>
          <w:headerReference r:id="rId5" w:type="default"/>
          <w:footerReference r:id="rId6" w:type="default"/>
          <w:pgSz w:w="11906" w:h="16838"/>
          <w:pgMar w:top="1134" w:right="1134" w:bottom="1134" w:left="1418" w:header="1021" w:footer="397" w:gutter="0"/>
          <w:pgNumType w:start="1"/>
          <w:cols w:space="720" w:num="1"/>
          <w:docGrid w:type="lines" w:linePitch="312" w:charSpace="0"/>
        </w:sectPr>
      </w:pPr>
    </w:p>
    <w:p>
      <w:pPr>
        <w:pStyle w:val="3"/>
        <w:bidi w:val="0"/>
        <w:ind w:firstLine="2891" w:firstLineChars="900"/>
        <w:rPr>
          <w:rFonts w:hint="eastAsia"/>
          <w:sz w:val="32"/>
          <w:szCs w:val="36"/>
        </w:rPr>
      </w:pPr>
      <w:bookmarkStart w:id="19" w:name="_Toc14419"/>
      <w:r>
        <w:rPr>
          <w:rFonts w:hint="eastAsia"/>
          <w:sz w:val="32"/>
          <w:szCs w:val="36"/>
        </w:rPr>
        <w:t>估价假设和限制条件</w:t>
      </w:r>
      <w:bookmarkEnd w:id="19"/>
    </w:p>
    <w:p>
      <w:pPr>
        <w:pStyle w:val="3"/>
        <w:widowControl w:val="0"/>
        <w:wordWrap/>
        <w:adjustRightInd/>
        <w:snapToGrid/>
        <w:ind w:firstLine="422" w:firstLineChars="200"/>
        <w:textAlignment w:val="auto"/>
        <w:rPr>
          <w:rFonts w:hint="eastAsia" w:ascii="仿宋" w:hAnsi="仿宋" w:eastAsia="仿宋" w:cs="仿宋"/>
          <w:sz w:val="21"/>
          <w:szCs w:val="22"/>
        </w:rPr>
      </w:pPr>
      <w:bookmarkStart w:id="20" w:name="_Toc7803"/>
      <w:bookmarkStart w:id="21" w:name="_Toc26844"/>
      <w:bookmarkStart w:id="22" w:name="_Toc8426"/>
      <w:bookmarkStart w:id="23" w:name="_Toc3203"/>
      <w:bookmarkStart w:id="24" w:name="_Toc77"/>
      <w:bookmarkStart w:id="25" w:name="_Toc31419"/>
      <w:bookmarkStart w:id="26" w:name="_Toc32567"/>
      <w:bookmarkStart w:id="27" w:name="_Toc17074"/>
      <w:bookmarkStart w:id="28" w:name="_Toc25895"/>
      <w:bookmarkStart w:id="29" w:name="_Toc28410"/>
      <w:r>
        <w:rPr>
          <w:rFonts w:hint="eastAsia" w:ascii="仿宋" w:hAnsi="仿宋" w:eastAsia="仿宋" w:cs="仿宋"/>
          <w:sz w:val="21"/>
          <w:szCs w:val="22"/>
        </w:rPr>
        <w:t>一、本次估价的各项估价假设</w:t>
      </w:r>
      <w:bookmarkEnd w:id="20"/>
      <w:bookmarkEnd w:id="21"/>
      <w:bookmarkEnd w:id="22"/>
      <w:bookmarkEnd w:id="23"/>
      <w:bookmarkEnd w:id="24"/>
      <w:bookmarkEnd w:id="25"/>
      <w:bookmarkEnd w:id="26"/>
      <w:bookmarkEnd w:id="27"/>
      <w:bookmarkEnd w:id="28"/>
      <w:bookmarkEnd w:id="29"/>
    </w:p>
    <w:p>
      <w:pPr>
        <w:widowControl w:val="0"/>
        <w:wordWrap/>
        <w:adjustRightInd/>
        <w:snapToGrid/>
        <w:spacing w:line="360" w:lineRule="auto"/>
        <w:ind w:firstLine="460" w:firstLineChars="218"/>
        <w:textAlignment w:val="auto"/>
        <w:rPr>
          <w:rFonts w:hint="eastAsia" w:ascii="仿宋" w:hAnsi="仿宋" w:eastAsia="仿宋" w:cs="仿宋"/>
          <w:b/>
          <w:bCs/>
          <w:sz w:val="21"/>
          <w:szCs w:val="20"/>
        </w:rPr>
      </w:pPr>
      <w:bookmarkStart w:id="30" w:name="_Toc380593917"/>
      <w:bookmarkStart w:id="31" w:name="_Toc386977576"/>
      <w:r>
        <w:rPr>
          <w:rFonts w:hint="eastAsia" w:ascii="仿宋" w:hAnsi="仿宋" w:eastAsia="仿宋" w:cs="仿宋"/>
          <w:b/>
          <w:bCs/>
          <w:sz w:val="21"/>
          <w:szCs w:val="20"/>
        </w:rPr>
        <w:t>(一) 一般假设</w:t>
      </w:r>
    </w:p>
    <w:p>
      <w:pPr>
        <w:widowControl w:val="0"/>
        <w:wordWrap/>
        <w:adjustRightInd/>
        <w:snapToGrid/>
        <w:spacing w:line="360" w:lineRule="auto"/>
        <w:ind w:firstLine="457" w:firstLineChars="218"/>
        <w:textAlignment w:val="auto"/>
        <w:rPr>
          <w:rFonts w:hint="eastAsia" w:ascii="仿宋" w:hAnsi="仿宋" w:eastAsia="仿宋" w:cs="仿宋"/>
          <w:sz w:val="21"/>
          <w:szCs w:val="20"/>
        </w:rPr>
      </w:pPr>
      <w:r>
        <w:rPr>
          <w:rFonts w:hint="eastAsia" w:ascii="仿宋" w:hAnsi="仿宋" w:eastAsia="仿宋" w:cs="仿宋"/>
          <w:sz w:val="21"/>
          <w:szCs w:val="20"/>
        </w:rPr>
        <w:t>1、本次估价假定委托人提供的所有资料是真实、完整和有效的，且估价对象可以在公开市场上自由转让。</w:t>
      </w:r>
    </w:p>
    <w:p>
      <w:pPr>
        <w:widowControl w:val="0"/>
        <w:wordWrap/>
        <w:adjustRightInd/>
        <w:snapToGrid/>
        <w:spacing w:line="360" w:lineRule="auto"/>
        <w:ind w:firstLine="457" w:firstLineChars="218"/>
        <w:textAlignment w:val="auto"/>
        <w:rPr>
          <w:rFonts w:hint="eastAsia" w:ascii="仿宋" w:hAnsi="仿宋" w:eastAsia="仿宋" w:cs="仿宋"/>
          <w:sz w:val="21"/>
          <w:szCs w:val="20"/>
        </w:rPr>
      </w:pPr>
      <w:r>
        <w:rPr>
          <w:rFonts w:hint="eastAsia" w:ascii="仿宋" w:hAnsi="仿宋" w:eastAsia="仿宋" w:cs="仿宋"/>
          <w:sz w:val="21"/>
          <w:szCs w:val="20"/>
          <w:lang w:val="en-US" w:eastAsia="zh-CN"/>
        </w:rPr>
        <w:t>2</w:t>
      </w:r>
      <w:r>
        <w:rPr>
          <w:rFonts w:hint="eastAsia" w:ascii="仿宋" w:hAnsi="仿宋" w:eastAsia="仿宋" w:cs="仿宋"/>
          <w:sz w:val="21"/>
          <w:szCs w:val="20"/>
        </w:rPr>
        <w:t>、估价人员未对估价对象的房屋结构性安全、环境污染等因素进行安全鉴定，本次估价假定房屋质量及居住环境是安全的，在耐用年限或土地使用期限内能够正常使用。</w:t>
      </w:r>
    </w:p>
    <w:bookmarkEnd w:id="30"/>
    <w:bookmarkEnd w:id="31"/>
    <w:p>
      <w:pPr>
        <w:widowControl w:val="0"/>
        <w:wordWrap/>
        <w:adjustRightInd/>
        <w:snapToGrid/>
        <w:spacing w:line="360" w:lineRule="auto"/>
        <w:ind w:firstLine="460" w:firstLineChars="218"/>
        <w:textAlignment w:val="auto"/>
        <w:rPr>
          <w:rFonts w:hint="eastAsia" w:ascii="仿宋" w:hAnsi="仿宋" w:eastAsia="仿宋" w:cs="仿宋"/>
          <w:b/>
          <w:bCs/>
          <w:sz w:val="21"/>
          <w:szCs w:val="20"/>
        </w:rPr>
      </w:pPr>
      <w:r>
        <w:rPr>
          <w:rFonts w:hint="eastAsia" w:ascii="仿宋" w:hAnsi="仿宋" w:eastAsia="仿宋" w:cs="仿宋"/>
          <w:b/>
          <w:bCs/>
          <w:sz w:val="21"/>
          <w:szCs w:val="20"/>
        </w:rPr>
        <w:t>(二) 未定事项假设</w:t>
      </w:r>
    </w:p>
    <w:p>
      <w:pPr>
        <w:widowControl w:val="0"/>
        <w:wordWrap/>
        <w:adjustRightInd/>
        <w:snapToGrid/>
        <w:spacing w:line="360" w:lineRule="auto"/>
        <w:ind w:firstLine="457" w:firstLineChars="218"/>
        <w:textAlignment w:val="auto"/>
        <w:rPr>
          <w:rFonts w:hint="eastAsia" w:ascii="仿宋" w:hAnsi="仿宋" w:eastAsia="仿宋" w:cs="仿宋"/>
          <w:sz w:val="21"/>
          <w:szCs w:val="20"/>
        </w:rPr>
      </w:pPr>
      <w:r>
        <w:rPr>
          <w:rFonts w:hint="eastAsia" w:ascii="仿宋" w:hAnsi="仿宋" w:eastAsia="仿宋" w:cs="仿宋"/>
          <w:sz w:val="21"/>
          <w:szCs w:val="20"/>
        </w:rPr>
        <w:t>无未定事项假设。</w:t>
      </w:r>
    </w:p>
    <w:p>
      <w:pPr>
        <w:widowControl w:val="0"/>
        <w:wordWrap/>
        <w:adjustRightInd/>
        <w:snapToGrid/>
        <w:spacing w:line="360" w:lineRule="auto"/>
        <w:ind w:firstLine="460" w:firstLineChars="218"/>
        <w:textAlignment w:val="auto"/>
        <w:rPr>
          <w:rFonts w:hint="eastAsia" w:ascii="仿宋" w:hAnsi="仿宋" w:eastAsia="仿宋" w:cs="仿宋"/>
          <w:b/>
          <w:bCs/>
          <w:sz w:val="21"/>
          <w:szCs w:val="20"/>
        </w:rPr>
      </w:pPr>
      <w:r>
        <w:rPr>
          <w:rFonts w:hint="eastAsia" w:ascii="仿宋" w:hAnsi="仿宋" w:eastAsia="仿宋" w:cs="仿宋"/>
          <w:b/>
          <w:bCs/>
          <w:sz w:val="21"/>
          <w:szCs w:val="20"/>
        </w:rPr>
        <w:t>(三) 背离事实假设</w:t>
      </w:r>
    </w:p>
    <w:p>
      <w:pPr>
        <w:widowControl w:val="0"/>
        <w:wordWrap/>
        <w:adjustRightInd/>
        <w:snapToGrid/>
        <w:spacing w:line="360" w:lineRule="auto"/>
        <w:ind w:firstLine="457" w:firstLineChars="218"/>
        <w:textAlignment w:val="auto"/>
        <w:rPr>
          <w:rFonts w:hint="eastAsia" w:ascii="仿宋" w:hAnsi="仿宋" w:eastAsia="仿宋" w:cs="仿宋"/>
          <w:sz w:val="21"/>
          <w:szCs w:val="20"/>
        </w:rPr>
      </w:pPr>
      <w:r>
        <w:rPr>
          <w:rFonts w:hint="eastAsia" w:ascii="仿宋" w:hAnsi="仿宋" w:eastAsia="仿宋" w:cs="仿宋"/>
          <w:sz w:val="21"/>
          <w:szCs w:val="20"/>
        </w:rPr>
        <w:t>无背离事项假设。</w:t>
      </w:r>
    </w:p>
    <w:p>
      <w:pPr>
        <w:widowControl w:val="0"/>
        <w:wordWrap/>
        <w:adjustRightInd/>
        <w:snapToGrid/>
        <w:spacing w:line="360" w:lineRule="auto"/>
        <w:ind w:firstLine="460" w:firstLineChars="218"/>
        <w:textAlignment w:val="auto"/>
        <w:rPr>
          <w:rFonts w:hint="eastAsia" w:ascii="仿宋" w:hAnsi="仿宋" w:eastAsia="仿宋" w:cs="仿宋"/>
          <w:b/>
          <w:bCs/>
          <w:sz w:val="21"/>
          <w:szCs w:val="20"/>
        </w:rPr>
      </w:pPr>
      <w:r>
        <w:rPr>
          <w:rFonts w:hint="eastAsia" w:ascii="仿宋" w:hAnsi="仿宋" w:eastAsia="仿宋" w:cs="仿宋"/>
          <w:b/>
          <w:bCs/>
          <w:sz w:val="21"/>
          <w:szCs w:val="20"/>
        </w:rPr>
        <w:t>(四) 不相一致假设</w:t>
      </w:r>
    </w:p>
    <w:p>
      <w:pPr>
        <w:widowControl w:val="0"/>
        <w:wordWrap/>
        <w:adjustRightInd/>
        <w:snapToGrid/>
        <w:spacing w:line="360" w:lineRule="auto"/>
        <w:ind w:firstLine="457" w:firstLineChars="218"/>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依据委托方提供的《房屋产权证》（永房权证2010字第00306号）《国有土地证》（永国用（2009）第T047号），</w:t>
      </w:r>
      <w:r>
        <w:rPr>
          <w:rFonts w:hint="eastAsia" w:ascii="仿宋" w:hAnsi="仿宋" w:eastAsia="仿宋" w:cs="仿宋"/>
          <w:sz w:val="21"/>
          <w:szCs w:val="21"/>
        </w:rPr>
        <w:t>估价对象的产权证中记载估价对象位于</w:t>
      </w:r>
      <w:r>
        <w:rPr>
          <w:rFonts w:hint="eastAsia" w:ascii="仿宋" w:hAnsi="仿宋" w:eastAsia="仿宋" w:cs="仿宋"/>
          <w:sz w:val="21"/>
          <w:szCs w:val="21"/>
          <w:lang w:eastAsia="zh-CN"/>
        </w:rPr>
        <w:t>永定县</w:t>
      </w:r>
      <w:r>
        <w:rPr>
          <w:rFonts w:hint="eastAsia" w:ascii="仿宋" w:hAnsi="仿宋" w:eastAsia="仿宋" w:cs="仿宋"/>
          <w:sz w:val="21"/>
          <w:szCs w:val="21"/>
        </w:rPr>
        <w:t>，经行政区划调整，现估价对象所在行政区划为</w:t>
      </w:r>
      <w:r>
        <w:rPr>
          <w:rFonts w:hint="eastAsia" w:ascii="仿宋" w:hAnsi="仿宋" w:eastAsia="仿宋" w:cs="仿宋"/>
          <w:sz w:val="21"/>
          <w:szCs w:val="21"/>
          <w:lang w:eastAsia="zh-CN"/>
        </w:rPr>
        <w:t>永定</w:t>
      </w:r>
      <w:r>
        <w:rPr>
          <w:rFonts w:hint="eastAsia" w:ascii="仿宋" w:hAnsi="仿宋" w:eastAsia="仿宋" w:cs="仿宋"/>
          <w:sz w:val="21"/>
          <w:szCs w:val="21"/>
        </w:rPr>
        <w:t>区</w:t>
      </w:r>
      <w:r>
        <w:rPr>
          <w:rFonts w:hint="eastAsia" w:ascii="仿宋" w:hAnsi="仿宋" w:eastAsia="仿宋" w:cs="仿宋"/>
          <w:sz w:val="21"/>
          <w:szCs w:val="21"/>
          <w:lang w:eastAsia="zh-CN"/>
        </w:rPr>
        <w:t>。</w:t>
      </w:r>
    </w:p>
    <w:p>
      <w:pPr>
        <w:widowControl w:val="0"/>
        <w:wordWrap/>
        <w:adjustRightInd/>
        <w:snapToGrid/>
        <w:spacing w:line="360" w:lineRule="auto"/>
        <w:ind w:firstLine="460" w:firstLineChars="218"/>
        <w:textAlignment w:val="auto"/>
        <w:rPr>
          <w:rFonts w:hint="eastAsia" w:ascii="仿宋" w:hAnsi="仿宋" w:eastAsia="仿宋" w:cs="仿宋"/>
          <w:b/>
          <w:bCs/>
          <w:sz w:val="21"/>
          <w:szCs w:val="20"/>
        </w:rPr>
      </w:pPr>
      <w:r>
        <w:rPr>
          <w:rFonts w:hint="eastAsia" w:ascii="仿宋" w:hAnsi="仿宋" w:eastAsia="仿宋" w:cs="仿宋"/>
          <w:b/>
          <w:bCs/>
          <w:sz w:val="21"/>
          <w:szCs w:val="20"/>
        </w:rPr>
        <w:t>(五) 依据不足假设</w:t>
      </w:r>
    </w:p>
    <w:p>
      <w:pPr>
        <w:widowControl w:val="0"/>
        <w:wordWrap/>
        <w:adjustRightInd/>
        <w:snapToGrid/>
        <w:spacing w:line="360" w:lineRule="auto"/>
        <w:ind w:firstLine="457" w:firstLineChars="218"/>
        <w:textAlignment w:val="auto"/>
        <w:rPr>
          <w:rFonts w:hint="eastAsia" w:ascii="仿宋" w:hAnsi="仿宋" w:eastAsia="仿宋" w:cs="仿宋"/>
          <w:color w:val="FF0000"/>
          <w:sz w:val="21"/>
          <w:szCs w:val="20"/>
        </w:rPr>
      </w:pPr>
      <w:r>
        <w:rPr>
          <w:rFonts w:hint="eastAsia" w:ascii="仿宋" w:hAnsi="仿宋" w:eastAsia="仿宋" w:cs="仿宋"/>
          <w:sz w:val="21"/>
          <w:szCs w:val="16"/>
        </w:rPr>
        <w:t>可比实例的规划条件、室内二次装修年份等资料，因调查难度极大，其有关描述及调整只能根据实地查勘的经验判断。</w:t>
      </w:r>
    </w:p>
    <w:p>
      <w:pPr>
        <w:pStyle w:val="3"/>
        <w:widowControl w:val="0"/>
        <w:wordWrap/>
        <w:adjustRightInd/>
        <w:snapToGrid/>
        <w:ind w:firstLine="422" w:firstLineChars="200"/>
        <w:textAlignment w:val="auto"/>
        <w:rPr>
          <w:rFonts w:hint="eastAsia" w:ascii="仿宋" w:hAnsi="仿宋" w:eastAsia="仿宋" w:cs="仿宋"/>
          <w:sz w:val="21"/>
          <w:szCs w:val="22"/>
        </w:rPr>
      </w:pPr>
      <w:bookmarkStart w:id="32" w:name="_Toc19794"/>
      <w:bookmarkStart w:id="33" w:name="_Toc19573"/>
      <w:bookmarkStart w:id="34" w:name="_Toc14921"/>
      <w:bookmarkStart w:id="35" w:name="_Toc32682"/>
      <w:bookmarkStart w:id="36" w:name="_Toc24824"/>
      <w:bookmarkStart w:id="37" w:name="_Toc19791"/>
      <w:bookmarkStart w:id="38" w:name="_Toc3075"/>
      <w:bookmarkStart w:id="39" w:name="_Toc31407"/>
      <w:bookmarkStart w:id="40" w:name="_Toc31019"/>
      <w:bookmarkStart w:id="41" w:name="_Toc14258"/>
      <w:r>
        <w:rPr>
          <w:rFonts w:hint="eastAsia" w:ascii="仿宋" w:hAnsi="仿宋" w:eastAsia="仿宋" w:cs="仿宋"/>
          <w:sz w:val="21"/>
          <w:szCs w:val="22"/>
        </w:rPr>
        <w:t>二、</w:t>
      </w:r>
      <w:bookmarkEnd w:id="32"/>
      <w:r>
        <w:rPr>
          <w:rFonts w:hint="eastAsia" w:ascii="仿宋" w:hAnsi="仿宋" w:eastAsia="仿宋" w:cs="仿宋"/>
          <w:sz w:val="21"/>
          <w:szCs w:val="22"/>
        </w:rPr>
        <w:t>估价报告使用限制</w:t>
      </w:r>
      <w:bookmarkEnd w:id="33"/>
      <w:bookmarkEnd w:id="34"/>
      <w:bookmarkEnd w:id="35"/>
      <w:bookmarkEnd w:id="36"/>
      <w:bookmarkEnd w:id="37"/>
      <w:bookmarkEnd w:id="38"/>
      <w:bookmarkEnd w:id="39"/>
      <w:bookmarkEnd w:id="40"/>
      <w:bookmarkEnd w:id="41"/>
    </w:p>
    <w:p>
      <w:pPr>
        <w:widowControl w:val="0"/>
        <w:wordWrap/>
        <w:adjustRightInd/>
        <w:snapToGrid/>
        <w:spacing w:line="360" w:lineRule="auto"/>
        <w:ind w:firstLine="420" w:firstLineChars="200"/>
        <w:textAlignment w:val="auto"/>
        <w:rPr>
          <w:rFonts w:hint="eastAsia" w:ascii="仿宋" w:hAnsi="仿宋" w:eastAsia="仿宋" w:cs="仿宋"/>
          <w:sz w:val="21"/>
          <w:szCs w:val="20"/>
          <w:lang w:eastAsia="zh-CN"/>
        </w:rPr>
      </w:pPr>
      <w:r>
        <w:rPr>
          <w:rFonts w:hint="eastAsia" w:ascii="仿宋" w:hAnsi="仿宋" w:eastAsia="仿宋" w:cs="仿宋"/>
          <w:sz w:val="21"/>
          <w:szCs w:val="20"/>
          <w:lang w:eastAsia="zh-CN"/>
        </w:rPr>
        <w:t>1、本估价报告仅作为本次估价目的之使用，不作其他任何用途使用，若用作其他用途使用，则本次估价报告无效。</w:t>
      </w:r>
    </w:p>
    <w:p>
      <w:pPr>
        <w:widowControl w:val="0"/>
        <w:wordWrap/>
        <w:adjustRightInd/>
        <w:snapToGrid/>
        <w:spacing w:line="360" w:lineRule="auto"/>
        <w:ind w:firstLine="420" w:firstLineChars="200"/>
        <w:textAlignment w:val="auto"/>
        <w:rPr>
          <w:rFonts w:hint="eastAsia" w:ascii="仿宋" w:hAnsi="仿宋" w:eastAsia="仿宋" w:cs="仿宋"/>
          <w:sz w:val="21"/>
          <w:szCs w:val="20"/>
          <w:lang w:eastAsia="zh-CN"/>
        </w:rPr>
      </w:pPr>
      <w:r>
        <w:rPr>
          <w:rFonts w:hint="eastAsia" w:ascii="仿宋" w:hAnsi="仿宋" w:eastAsia="仿宋" w:cs="仿宋"/>
          <w:sz w:val="21"/>
          <w:szCs w:val="20"/>
          <w:lang w:eastAsia="zh-CN"/>
        </w:rPr>
        <w:t>2、估价报告使用者为估价委托人，估价报告使用者在使用本估价报告时，不应断章取义。</w:t>
      </w:r>
    </w:p>
    <w:p>
      <w:pPr>
        <w:widowControl w:val="0"/>
        <w:wordWrap/>
        <w:adjustRightInd/>
        <w:snapToGrid/>
        <w:spacing w:line="360" w:lineRule="auto"/>
        <w:ind w:firstLine="420" w:firstLineChars="200"/>
        <w:textAlignment w:val="auto"/>
        <w:rPr>
          <w:rFonts w:hint="eastAsia" w:ascii="仿宋" w:hAnsi="仿宋" w:eastAsia="仿宋" w:cs="仿宋"/>
          <w:sz w:val="21"/>
          <w:szCs w:val="20"/>
          <w:lang w:eastAsia="zh-CN"/>
        </w:rPr>
      </w:pPr>
      <w:r>
        <w:rPr>
          <w:rFonts w:hint="eastAsia" w:ascii="仿宋" w:hAnsi="仿宋" w:eastAsia="仿宋" w:cs="仿宋"/>
          <w:sz w:val="21"/>
          <w:szCs w:val="20"/>
          <w:lang w:val="en-US" w:eastAsia="zh-CN"/>
        </w:rPr>
        <w:t>3</w:t>
      </w:r>
      <w:r>
        <w:rPr>
          <w:rFonts w:hint="eastAsia" w:ascii="仿宋" w:hAnsi="仿宋" w:eastAsia="仿宋" w:cs="仿宋"/>
          <w:sz w:val="21"/>
          <w:szCs w:val="20"/>
          <w:lang w:eastAsia="zh-CN"/>
        </w:rPr>
        <w:t>、未经本估价机构书面同意，任何单位或个人不得将本报告的全部或部分内容发表于任何公开媒体上。</w:t>
      </w:r>
    </w:p>
    <w:p>
      <w:pPr>
        <w:widowControl w:val="0"/>
        <w:wordWrap/>
        <w:adjustRightInd/>
        <w:snapToGrid/>
        <w:spacing w:line="360" w:lineRule="auto"/>
        <w:ind w:firstLine="420" w:firstLineChars="200"/>
        <w:textAlignment w:val="auto"/>
        <w:rPr>
          <w:rFonts w:hint="eastAsia" w:ascii="仿宋" w:hAnsi="仿宋" w:eastAsia="仿宋" w:cs="仿宋"/>
          <w:sz w:val="21"/>
          <w:szCs w:val="20"/>
          <w:lang w:eastAsia="zh-CN"/>
        </w:rPr>
      </w:pPr>
      <w:r>
        <w:rPr>
          <w:rFonts w:hint="eastAsia" w:ascii="仿宋" w:hAnsi="仿宋" w:eastAsia="仿宋" w:cs="仿宋"/>
          <w:sz w:val="21"/>
          <w:szCs w:val="20"/>
          <w:lang w:val="en-US" w:eastAsia="zh-CN"/>
        </w:rPr>
        <w:t>4</w:t>
      </w:r>
      <w:r>
        <w:rPr>
          <w:rFonts w:hint="eastAsia" w:ascii="仿宋" w:hAnsi="仿宋" w:eastAsia="仿宋" w:cs="仿宋"/>
          <w:sz w:val="21"/>
          <w:szCs w:val="20"/>
          <w:lang w:eastAsia="zh-CN"/>
        </w:rPr>
        <w:t>、本估价报告经估价机构加盖公章、法定代表人签名（或盖章）及注册房地产估价师签名方可有效。</w:t>
      </w:r>
    </w:p>
    <w:p>
      <w:pPr>
        <w:widowControl w:val="0"/>
        <w:wordWrap/>
        <w:adjustRightInd/>
        <w:snapToGrid/>
        <w:spacing w:line="360" w:lineRule="auto"/>
        <w:ind w:firstLine="420" w:firstLineChars="200"/>
        <w:textAlignment w:val="auto"/>
        <w:rPr>
          <w:rFonts w:hint="eastAsia" w:ascii="仿宋" w:hAnsi="仿宋" w:eastAsia="仿宋" w:cs="仿宋"/>
          <w:sz w:val="21"/>
          <w:szCs w:val="16"/>
        </w:rPr>
      </w:pPr>
      <w:r>
        <w:rPr>
          <w:rFonts w:hint="eastAsia" w:ascii="仿宋" w:hAnsi="仿宋" w:eastAsia="仿宋" w:cs="仿宋"/>
          <w:sz w:val="21"/>
          <w:szCs w:val="20"/>
          <w:lang w:val="en-US" w:eastAsia="zh-CN"/>
        </w:rPr>
        <w:t>5</w:t>
      </w:r>
      <w:r>
        <w:rPr>
          <w:rFonts w:hint="eastAsia" w:ascii="仿宋" w:hAnsi="仿宋" w:eastAsia="仿宋" w:cs="仿宋"/>
          <w:sz w:val="21"/>
          <w:szCs w:val="20"/>
          <w:lang w:eastAsia="zh-CN"/>
        </w:rPr>
        <w:t>、估价报告使用期限自本估价报告出具之日起不超过壹年</w:t>
      </w:r>
      <w:r>
        <w:rPr>
          <w:rFonts w:hint="eastAsia" w:ascii="仿宋" w:hAnsi="仿宋" w:eastAsia="仿宋" w:cs="仿宋"/>
          <w:sz w:val="21"/>
          <w:szCs w:val="16"/>
        </w:rPr>
        <w:t>。</w:t>
      </w:r>
    </w:p>
    <w:p>
      <w:pPr>
        <w:spacing w:line="360" w:lineRule="auto"/>
        <w:rPr>
          <w:rFonts w:hint="eastAsia" w:ascii="仿宋" w:hAnsi="仿宋" w:eastAsia="仿宋" w:cs="仿宋"/>
          <w:sz w:val="24"/>
        </w:rPr>
        <w:sectPr>
          <w:pgSz w:w="11906" w:h="16838"/>
          <w:pgMar w:top="1134" w:right="1134" w:bottom="1134" w:left="1418" w:header="1021" w:footer="397" w:gutter="0"/>
          <w:cols w:space="720" w:num="1"/>
          <w:docGrid w:type="lines" w:linePitch="312" w:charSpace="0"/>
        </w:sectPr>
      </w:pPr>
    </w:p>
    <w:p>
      <w:pPr>
        <w:spacing w:line="960" w:lineRule="auto"/>
        <w:jc w:val="center"/>
        <w:outlineLvl w:val="0"/>
        <w:rPr>
          <w:rFonts w:hint="eastAsia" w:ascii="仿宋" w:hAnsi="仿宋" w:eastAsia="仿宋" w:cs="仿宋"/>
        </w:rPr>
      </w:pPr>
      <w:bookmarkStart w:id="42" w:name="_Toc28595"/>
      <w:r>
        <w:rPr>
          <w:rFonts w:hint="eastAsia" w:ascii="仿宋" w:hAnsi="仿宋" w:eastAsia="仿宋" w:cs="仿宋"/>
          <w:b/>
          <w:sz w:val="44"/>
          <w:szCs w:val="44"/>
        </w:rPr>
        <w:t>估价结果报告</w:t>
      </w:r>
      <w:bookmarkEnd w:id="42"/>
    </w:p>
    <w:p>
      <w:pPr>
        <w:pStyle w:val="3"/>
        <w:ind w:firstLine="482" w:firstLineChars="200"/>
        <w:rPr>
          <w:rFonts w:hint="eastAsia" w:ascii="仿宋" w:hAnsi="仿宋" w:eastAsia="仿宋" w:cs="仿宋"/>
        </w:rPr>
      </w:pPr>
      <w:bookmarkStart w:id="43" w:name="_Toc14646"/>
      <w:r>
        <w:rPr>
          <w:rFonts w:hint="eastAsia" w:ascii="仿宋" w:hAnsi="仿宋" w:eastAsia="仿宋" w:cs="仿宋"/>
        </w:rPr>
        <w:t>一、估价委托人</w:t>
      </w:r>
      <w:bookmarkEnd w:id="43"/>
    </w:p>
    <w:p>
      <w:pPr>
        <w:spacing w:line="360" w:lineRule="auto"/>
        <w:ind w:firstLine="480" w:firstLineChars="200"/>
        <w:rPr>
          <w:rFonts w:hint="eastAsia" w:ascii="仿宋" w:hAnsi="仿宋" w:eastAsia="仿宋" w:cs="仿宋"/>
          <w:sz w:val="24"/>
          <w:szCs w:val="22"/>
          <w:lang w:eastAsia="zh-CN"/>
        </w:rPr>
      </w:pPr>
      <w:bookmarkStart w:id="44" w:name="_Toc9351"/>
      <w:r>
        <w:rPr>
          <w:rFonts w:hint="eastAsia" w:ascii="仿宋" w:hAnsi="仿宋" w:eastAsia="仿宋" w:cs="仿宋"/>
          <w:sz w:val="24"/>
        </w:rPr>
        <w:t>委托人：</w:t>
      </w:r>
      <w:r>
        <w:rPr>
          <w:rFonts w:hint="eastAsia" w:ascii="仿宋" w:hAnsi="仿宋" w:eastAsia="仿宋" w:cs="仿宋"/>
          <w:sz w:val="24"/>
          <w:szCs w:val="22"/>
          <w:lang w:eastAsia="zh-CN"/>
        </w:rPr>
        <w:t>龙岩市永定区农村信用合作联社</w:t>
      </w:r>
    </w:p>
    <w:p>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住址：</w:t>
      </w:r>
      <w:r>
        <w:rPr>
          <w:rFonts w:hint="eastAsia" w:ascii="仿宋" w:hAnsi="仿宋" w:eastAsia="仿宋" w:cs="仿宋"/>
          <w:sz w:val="24"/>
          <w:lang w:eastAsia="zh-CN"/>
        </w:rPr>
        <w:t>福建省龙岩市永定区凤城街道沿河北路北</w:t>
      </w:r>
      <w:r>
        <w:rPr>
          <w:rFonts w:hint="eastAsia" w:ascii="仿宋" w:hAnsi="仿宋" w:eastAsia="仿宋" w:cs="仿宋"/>
          <w:sz w:val="24"/>
          <w:lang w:val="en-US" w:eastAsia="zh-CN"/>
        </w:rPr>
        <w:t>198号</w:t>
      </w:r>
    </w:p>
    <w:p>
      <w:pPr>
        <w:pStyle w:val="3"/>
        <w:ind w:firstLine="482" w:firstLineChars="200"/>
        <w:rPr>
          <w:rFonts w:hint="eastAsia" w:ascii="仿宋" w:hAnsi="仿宋" w:eastAsia="仿宋" w:cs="仿宋"/>
        </w:rPr>
      </w:pPr>
      <w:r>
        <w:rPr>
          <w:rFonts w:hint="eastAsia" w:ascii="仿宋" w:hAnsi="仿宋" w:eastAsia="仿宋" w:cs="仿宋"/>
        </w:rPr>
        <w:t>二、房地产估价机构</w:t>
      </w:r>
      <w:bookmarkEnd w:id="44"/>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名称：厦门翰和资产评估土地房地产估价有限公司</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法定代表人：赵少聪</w:t>
      </w:r>
    </w:p>
    <w:p>
      <w:pPr>
        <w:spacing w:line="360" w:lineRule="auto"/>
        <w:ind w:firstLine="480" w:firstLineChars="200"/>
        <w:jc w:val="left"/>
        <w:rPr>
          <w:rFonts w:hint="eastAsia" w:ascii="仿宋" w:hAnsi="仿宋" w:eastAsia="仿宋" w:cs="仿宋"/>
          <w:bCs/>
          <w:sz w:val="24"/>
        </w:rPr>
      </w:pPr>
      <w:r>
        <w:rPr>
          <w:rFonts w:hint="eastAsia" w:ascii="仿宋" w:hAnsi="仿宋" w:eastAsia="仿宋" w:cs="仿宋"/>
          <w:sz w:val="24"/>
        </w:rPr>
        <w:t>单位地址：</w:t>
      </w:r>
      <w:r>
        <w:rPr>
          <w:rFonts w:hint="eastAsia" w:ascii="仿宋" w:hAnsi="仿宋" w:eastAsia="仿宋" w:cs="仿宋"/>
          <w:bCs/>
          <w:sz w:val="24"/>
        </w:rPr>
        <w:t>厦门市思明区湖滨东路11号501单元之三（邮电广通大厦）</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营业执照：91350200562840749K</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房地产估价资质等级：一级</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房地产价格评估资质证书号：352018017</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土地估价执业范围：全国执业</w:t>
      </w:r>
    </w:p>
    <w:p>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土地估价机构备案号：</w:t>
      </w:r>
      <w:r>
        <w:rPr>
          <w:rFonts w:hint="eastAsia" w:ascii="仿宋" w:hAnsi="仿宋" w:eastAsia="仿宋" w:cs="仿宋"/>
          <w:sz w:val="24"/>
          <w:lang w:eastAsia="zh-CN"/>
        </w:rPr>
        <w:t>2020350065</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联系电话：0592-5801622    公司传真：0592-5801577</w:t>
      </w:r>
    </w:p>
    <w:p>
      <w:pPr>
        <w:pStyle w:val="3"/>
        <w:ind w:firstLine="482" w:firstLineChars="200"/>
        <w:rPr>
          <w:rFonts w:hint="eastAsia" w:ascii="仿宋" w:hAnsi="仿宋" w:eastAsia="仿宋" w:cs="仿宋"/>
        </w:rPr>
      </w:pPr>
      <w:bookmarkStart w:id="45" w:name="_Toc3324"/>
      <w:r>
        <w:rPr>
          <w:rFonts w:hint="eastAsia" w:ascii="仿宋" w:hAnsi="仿宋" w:eastAsia="仿宋" w:cs="仿宋"/>
        </w:rPr>
        <w:t>三、估价目的</w:t>
      </w:r>
      <w:bookmarkEnd w:id="45"/>
    </w:p>
    <w:p>
      <w:pPr>
        <w:spacing w:line="360" w:lineRule="auto"/>
        <w:ind w:firstLine="480" w:firstLineChars="200"/>
        <w:rPr>
          <w:rFonts w:hint="eastAsia" w:ascii="仿宋" w:hAnsi="仿宋" w:eastAsia="仿宋" w:cs="仿宋"/>
          <w:sz w:val="24"/>
        </w:rPr>
      </w:pPr>
      <w:r>
        <w:rPr>
          <w:rFonts w:hint="eastAsia" w:ascii="仿宋" w:hAnsi="仿宋" w:eastAsia="仿宋" w:cs="仿宋"/>
          <w:sz w:val="24"/>
          <w:szCs w:val="24"/>
        </w:rPr>
        <w:t>估价目的是为确定</w:t>
      </w:r>
      <w:r>
        <w:rPr>
          <w:rFonts w:hint="eastAsia" w:ascii="仿宋" w:hAnsi="仿宋" w:eastAsia="仿宋" w:cs="仿宋"/>
          <w:sz w:val="24"/>
          <w:szCs w:val="24"/>
          <w:lang w:eastAsia="zh-CN"/>
        </w:rPr>
        <w:t>房地产拍卖底价</w:t>
      </w:r>
      <w:r>
        <w:rPr>
          <w:rFonts w:hint="eastAsia" w:ascii="仿宋" w:hAnsi="仿宋" w:eastAsia="仿宋" w:cs="仿宋"/>
          <w:sz w:val="24"/>
          <w:szCs w:val="24"/>
        </w:rPr>
        <w:t>提供参考依据而评估房地产</w:t>
      </w:r>
      <w:r>
        <w:rPr>
          <w:rFonts w:hint="eastAsia" w:ascii="仿宋" w:hAnsi="仿宋" w:eastAsia="仿宋" w:cs="仿宋"/>
          <w:sz w:val="24"/>
          <w:szCs w:val="24"/>
          <w:lang w:eastAsia="zh-CN"/>
        </w:rPr>
        <w:t>市场价值</w:t>
      </w:r>
      <w:r>
        <w:rPr>
          <w:rFonts w:hint="eastAsia" w:ascii="仿宋" w:hAnsi="仿宋" w:eastAsia="仿宋" w:cs="仿宋"/>
          <w:sz w:val="24"/>
          <w:szCs w:val="24"/>
        </w:rPr>
        <w:t>。</w:t>
      </w:r>
    </w:p>
    <w:p>
      <w:pPr>
        <w:pStyle w:val="3"/>
        <w:ind w:firstLine="482" w:firstLineChars="200"/>
        <w:rPr>
          <w:rFonts w:hint="eastAsia" w:ascii="仿宋" w:hAnsi="仿宋" w:eastAsia="仿宋" w:cs="仿宋"/>
        </w:rPr>
      </w:pPr>
      <w:bookmarkStart w:id="46" w:name="_Toc3729"/>
      <w:r>
        <w:rPr>
          <w:rFonts w:hint="eastAsia" w:ascii="仿宋" w:hAnsi="仿宋" w:eastAsia="仿宋" w:cs="仿宋"/>
        </w:rPr>
        <w:t>四、估价对象</w:t>
      </w:r>
      <w:bookmarkEnd w:id="46"/>
    </w:p>
    <w:p>
      <w:pPr>
        <w:adjustRightInd w:val="0"/>
        <w:snapToGrid w:val="0"/>
        <w:spacing w:line="360" w:lineRule="auto"/>
        <w:ind w:firstLine="482" w:firstLineChars="200"/>
        <w:outlineLvl w:val="2"/>
        <w:rPr>
          <w:rFonts w:hint="eastAsia" w:ascii="仿宋" w:hAnsi="仿宋" w:eastAsia="仿宋" w:cs="仿宋"/>
          <w:b/>
          <w:sz w:val="24"/>
          <w:szCs w:val="24"/>
        </w:rPr>
      </w:pPr>
      <w:r>
        <w:rPr>
          <w:rFonts w:hint="eastAsia" w:ascii="仿宋" w:hAnsi="仿宋" w:eastAsia="仿宋" w:cs="仿宋"/>
          <w:b/>
          <w:sz w:val="24"/>
          <w:szCs w:val="24"/>
        </w:rPr>
        <w:t>(一)估价对象抵押的合法性分析</w:t>
      </w:r>
    </w:p>
    <w:p>
      <w:pPr>
        <w:adjustRightInd w:val="0"/>
        <w:snapToGrid w:val="0"/>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估价对象</w:t>
      </w:r>
      <w:r>
        <w:rPr>
          <w:rFonts w:hint="eastAsia" w:ascii="仿宋" w:hAnsi="仿宋" w:eastAsia="仿宋" w:cs="仿宋"/>
          <w:sz w:val="24"/>
          <w:szCs w:val="24"/>
          <w:lang w:eastAsia="zh-CN"/>
        </w:rPr>
        <w:t>至价值时点，产权人已合法取得产权，</w:t>
      </w:r>
      <w:r>
        <w:rPr>
          <w:rFonts w:hint="eastAsia" w:ascii="仿宋" w:hAnsi="仿宋" w:eastAsia="仿宋" w:cs="仿宋"/>
          <w:sz w:val="24"/>
          <w:szCs w:val="24"/>
        </w:rPr>
        <w:t>拥有完全的处分权</w:t>
      </w:r>
      <w:r>
        <w:rPr>
          <w:rFonts w:hint="eastAsia" w:ascii="仿宋" w:hAnsi="仿宋" w:eastAsia="仿宋" w:cs="仿宋"/>
          <w:sz w:val="24"/>
          <w:szCs w:val="24"/>
          <w:lang w:eastAsia="zh-CN"/>
        </w:rPr>
        <w:t>，</w:t>
      </w:r>
      <w:r>
        <w:rPr>
          <w:rFonts w:hint="eastAsia" w:ascii="仿宋" w:hAnsi="仿宋" w:eastAsia="仿宋" w:cs="仿宋"/>
          <w:sz w:val="24"/>
          <w:szCs w:val="24"/>
        </w:rPr>
        <w:t>权属清晰、没有争议，没有被依法查封、扣押、监管等限制</w:t>
      </w:r>
      <w:r>
        <w:rPr>
          <w:rFonts w:hint="eastAsia" w:ascii="仿宋" w:hAnsi="仿宋" w:eastAsia="仿宋" w:cs="仿宋"/>
          <w:sz w:val="24"/>
          <w:szCs w:val="24"/>
          <w:lang w:eastAsia="zh-CN"/>
        </w:rPr>
        <w:t>。</w:t>
      </w:r>
    </w:p>
    <w:p>
      <w:pPr>
        <w:adjustRightInd w:val="0"/>
        <w:snapToGrid w:val="0"/>
        <w:spacing w:line="360" w:lineRule="auto"/>
        <w:ind w:firstLine="482" w:firstLineChars="200"/>
        <w:outlineLvl w:val="2"/>
        <w:rPr>
          <w:rFonts w:hint="eastAsia" w:ascii="仿宋" w:hAnsi="仿宋" w:eastAsia="仿宋" w:cs="仿宋"/>
          <w:b/>
          <w:bCs/>
          <w:sz w:val="24"/>
          <w:szCs w:val="24"/>
        </w:rPr>
      </w:pPr>
      <w:r>
        <w:rPr>
          <w:rFonts w:hint="eastAsia" w:ascii="仿宋" w:hAnsi="仿宋" w:eastAsia="仿宋" w:cs="仿宋"/>
          <w:b/>
          <w:bCs/>
          <w:sz w:val="24"/>
          <w:szCs w:val="24"/>
        </w:rPr>
        <w:t>(二)估价对象财产范围</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估价对象财产范围包括估价对象建筑物、分摊的</w:t>
      </w:r>
      <w:r>
        <w:rPr>
          <w:rFonts w:hint="eastAsia" w:ascii="仿宋" w:hAnsi="仿宋" w:eastAsia="仿宋" w:cs="仿宋"/>
          <w:sz w:val="24"/>
          <w:szCs w:val="24"/>
          <w:lang w:eastAsia="zh-CN"/>
        </w:rPr>
        <w:t>土地使用权（含土地出让金）</w:t>
      </w:r>
      <w:r>
        <w:rPr>
          <w:rFonts w:hint="eastAsia" w:ascii="仿宋" w:hAnsi="仿宋" w:eastAsia="仿宋" w:cs="仿宋"/>
          <w:sz w:val="24"/>
          <w:szCs w:val="24"/>
        </w:rPr>
        <w:t>和公共配套设施，不包括动产、债权债务、特许经营权等其他财产或权益。</w:t>
      </w:r>
    </w:p>
    <w:p>
      <w:pPr>
        <w:adjustRightInd w:val="0"/>
        <w:snapToGrid w:val="0"/>
        <w:spacing w:line="360" w:lineRule="auto"/>
        <w:ind w:firstLine="482" w:firstLineChars="200"/>
        <w:outlineLvl w:val="2"/>
        <w:rPr>
          <w:rFonts w:hint="eastAsia" w:ascii="仿宋" w:hAnsi="仿宋" w:eastAsia="仿宋" w:cs="仿宋"/>
          <w:b/>
          <w:sz w:val="24"/>
          <w:szCs w:val="24"/>
        </w:rPr>
      </w:pPr>
      <w:r>
        <w:rPr>
          <w:rFonts w:hint="eastAsia" w:ascii="仿宋" w:hAnsi="仿宋" w:eastAsia="仿宋" w:cs="仿宋"/>
          <w:b/>
          <w:sz w:val="24"/>
          <w:szCs w:val="24"/>
        </w:rPr>
        <w:t>(三)估价对象基本状况</w:t>
      </w:r>
    </w:p>
    <w:p>
      <w:pPr>
        <w:adjustRightInd w:val="0"/>
        <w:snapToGrid w:val="0"/>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1、名  称：</w:t>
      </w:r>
      <w:r>
        <w:rPr>
          <w:rFonts w:hint="eastAsia" w:ascii="仿宋" w:hAnsi="仿宋" w:eastAsia="仿宋" w:cs="仿宋"/>
          <w:sz w:val="24"/>
          <w:szCs w:val="24"/>
          <w:lang w:eastAsia="zh-CN"/>
        </w:rPr>
        <w:t>永定县高陂镇先富大道1-6层住宅房地产。</w:t>
      </w:r>
    </w:p>
    <w:p>
      <w:pPr>
        <w:adjustRightInd w:val="0"/>
        <w:snapToGrid w:val="0"/>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2、座  落：</w:t>
      </w:r>
      <w:r>
        <w:rPr>
          <w:rFonts w:hint="eastAsia" w:ascii="仿宋" w:hAnsi="仿宋" w:eastAsia="仿宋" w:cs="仿宋"/>
          <w:sz w:val="24"/>
          <w:szCs w:val="24"/>
          <w:lang w:eastAsia="zh-CN"/>
        </w:rPr>
        <w:t>永定县高陂镇先富大道1-6层。</w:t>
      </w:r>
    </w:p>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3、规  模：</w:t>
      </w:r>
      <w:r>
        <w:rPr>
          <w:rFonts w:hint="eastAsia" w:ascii="仿宋" w:hAnsi="仿宋" w:eastAsia="仿宋" w:cs="仿宋"/>
          <w:sz w:val="24"/>
          <w:szCs w:val="24"/>
          <w:lang w:eastAsia="zh-CN"/>
        </w:rPr>
        <w:t>建筑面积</w:t>
      </w:r>
      <w:r>
        <w:rPr>
          <w:rFonts w:hint="eastAsia" w:ascii="仿宋" w:hAnsi="仿宋" w:eastAsia="仿宋" w:cs="仿宋"/>
          <w:sz w:val="24"/>
          <w:szCs w:val="24"/>
          <w:lang w:val="en-US" w:eastAsia="zh-CN"/>
        </w:rPr>
        <w:t>1086.20平方米。</w:t>
      </w:r>
    </w:p>
    <w:p>
      <w:pPr>
        <w:adjustRightInd w:val="0"/>
        <w:snapToGrid w:val="0"/>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4、用  途：土地、</w:t>
      </w:r>
      <w:r>
        <w:rPr>
          <w:rFonts w:hint="eastAsia" w:ascii="仿宋" w:hAnsi="仿宋" w:eastAsia="仿宋" w:cs="仿宋"/>
          <w:sz w:val="24"/>
          <w:szCs w:val="24"/>
          <w:lang w:eastAsia="zh-CN"/>
        </w:rPr>
        <w:t>房屋法定用途及实际用途均为住宅。</w:t>
      </w:r>
    </w:p>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5、建筑结构：</w:t>
      </w:r>
      <w:r>
        <w:rPr>
          <w:rFonts w:hint="eastAsia" w:ascii="仿宋" w:hAnsi="仿宋" w:eastAsia="仿宋" w:cs="仿宋"/>
          <w:sz w:val="24"/>
          <w:szCs w:val="24"/>
          <w:lang w:eastAsia="zh-CN"/>
        </w:rPr>
        <w:t>框架</w:t>
      </w:r>
      <w:r>
        <w:rPr>
          <w:rFonts w:hint="eastAsia" w:ascii="仿宋" w:hAnsi="仿宋" w:eastAsia="仿宋" w:cs="仿宋"/>
          <w:sz w:val="24"/>
          <w:szCs w:val="24"/>
          <w:lang w:val="en-US" w:eastAsia="zh-CN"/>
        </w:rPr>
        <w:t>。</w:t>
      </w:r>
    </w:p>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6、建成年份：2009年。</w:t>
      </w:r>
    </w:p>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7、所处楼层/总楼层：位于楼幢总层数6层的第1-6层。</w:t>
      </w:r>
    </w:p>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8、产权证登记状况</w:t>
      </w:r>
    </w:p>
    <w:p>
      <w:pPr>
        <w:tabs>
          <w:tab w:val="left" w:pos="7648"/>
        </w:tabs>
        <w:spacing w:line="360" w:lineRule="auto"/>
        <w:ind w:firstLine="480" w:firstLineChars="20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权属登记表</w:t>
      </w:r>
    </w:p>
    <w:tbl>
      <w:tblPr>
        <w:tblStyle w:val="22"/>
        <w:tblpPr w:leftFromText="180" w:rightFromText="180" w:vertAnchor="text" w:tblpXSpec="center" w:tblpY="1"/>
        <w:tblOverlap w:val="never"/>
        <w:tblW w:w="9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3"/>
        <w:gridCol w:w="2570"/>
        <w:gridCol w:w="4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3" w:type="dxa"/>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权属人</w:t>
            </w:r>
          </w:p>
        </w:tc>
        <w:tc>
          <w:tcPr>
            <w:tcW w:w="7236" w:type="dxa"/>
            <w:gridSpan w:val="2"/>
            <w:noWrap w:val="0"/>
            <w:vAlign w:val="center"/>
          </w:tcPr>
          <w:p>
            <w:pPr>
              <w:adjustRightInd w:val="0"/>
              <w:snapToGrid w:val="0"/>
              <w:spacing w:line="360" w:lineRule="auto"/>
              <w:rPr>
                <w:rFonts w:hint="default" w:ascii="仿宋" w:hAnsi="仿宋" w:eastAsia="仿宋" w:cs="仿宋"/>
                <w:sz w:val="24"/>
                <w:szCs w:val="24"/>
                <w:lang w:val="en-US" w:eastAsia="zh-CN"/>
              </w:rPr>
            </w:pPr>
            <w:r>
              <w:rPr>
                <w:rFonts w:hint="eastAsia" w:ascii="仿宋" w:hAnsi="仿宋" w:eastAsia="仿宋" w:cs="仿宋"/>
                <w:sz w:val="24"/>
                <w:lang w:eastAsia="zh-CN"/>
              </w:rPr>
              <w:t>张达泉、廖伟兰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3" w:type="dxa"/>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房地坐落</w:t>
            </w:r>
          </w:p>
        </w:tc>
        <w:tc>
          <w:tcPr>
            <w:tcW w:w="7236" w:type="dxa"/>
            <w:gridSpan w:val="2"/>
            <w:noWrap w:val="0"/>
            <w:vAlign w:val="center"/>
          </w:tcPr>
          <w:p>
            <w:pPr>
              <w:adjustRightInd w:val="0"/>
              <w:snapToGrid w:val="0"/>
              <w:spacing w:line="360" w:lineRule="auto"/>
              <w:rPr>
                <w:rFonts w:hint="default" w:ascii="仿宋" w:hAnsi="仿宋" w:eastAsia="仿宋" w:cs="仿宋"/>
                <w:sz w:val="24"/>
                <w:szCs w:val="24"/>
                <w:lang w:val="en-US" w:eastAsia="zh-CN"/>
              </w:rPr>
            </w:pPr>
            <w:r>
              <w:rPr>
                <w:rFonts w:hint="eastAsia" w:ascii="仿宋" w:hAnsi="仿宋" w:eastAsia="仿宋" w:cs="仿宋"/>
                <w:sz w:val="24"/>
                <w:szCs w:val="24"/>
                <w:lang w:eastAsia="zh-CN"/>
              </w:rPr>
              <w:t>永定县高陂镇先富大道1-6层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3" w:type="dxa"/>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共有权情况</w:t>
            </w:r>
          </w:p>
        </w:tc>
        <w:tc>
          <w:tcPr>
            <w:tcW w:w="7236" w:type="dxa"/>
            <w:gridSpan w:val="2"/>
            <w:noWrap w:val="0"/>
            <w:vAlign w:val="center"/>
          </w:tcPr>
          <w:p>
            <w:pPr>
              <w:adjustRightInd w:val="0"/>
              <w:snapToGrid w:val="0"/>
              <w:spacing w:line="360" w:lineRule="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共同共有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3" w:type="dxa"/>
            <w:vMerge w:val="restart"/>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土地状况</w:t>
            </w:r>
          </w:p>
        </w:tc>
        <w:tc>
          <w:tcPr>
            <w:tcW w:w="2570" w:type="dxa"/>
            <w:noWrap w:val="0"/>
            <w:vAlign w:val="center"/>
          </w:tcPr>
          <w:p>
            <w:pPr>
              <w:adjustRightInd w:val="0"/>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土地使用权类型</w:t>
            </w:r>
          </w:p>
        </w:tc>
        <w:tc>
          <w:tcPr>
            <w:tcW w:w="4666" w:type="dxa"/>
            <w:noWrap w:val="0"/>
            <w:vAlign w:val="center"/>
          </w:tcPr>
          <w:p>
            <w:pPr>
              <w:adjustRightInd w:val="0"/>
              <w:snapToGrid w:val="0"/>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出让/存量房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3" w:type="dxa"/>
            <w:vMerge w:val="continue"/>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p>
        </w:tc>
        <w:tc>
          <w:tcPr>
            <w:tcW w:w="2570" w:type="dxa"/>
            <w:noWrap w:val="0"/>
            <w:vAlign w:val="center"/>
          </w:tcPr>
          <w:p>
            <w:pPr>
              <w:adjustRightInd w:val="0"/>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批准土地用途</w:t>
            </w:r>
          </w:p>
        </w:tc>
        <w:tc>
          <w:tcPr>
            <w:tcW w:w="4666" w:type="dxa"/>
            <w:noWrap w:val="0"/>
            <w:vAlign w:val="center"/>
          </w:tcPr>
          <w:p>
            <w:pPr>
              <w:adjustRightInd w:val="0"/>
              <w:snapToGrid w:val="0"/>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商住用房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3" w:type="dxa"/>
            <w:vMerge w:val="continue"/>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p>
        </w:tc>
        <w:tc>
          <w:tcPr>
            <w:tcW w:w="2570" w:type="dxa"/>
            <w:noWrap w:val="0"/>
            <w:vAlign w:val="center"/>
          </w:tcPr>
          <w:p>
            <w:pPr>
              <w:adjustRightInd w:val="0"/>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批准使用期限</w:t>
            </w:r>
          </w:p>
        </w:tc>
        <w:tc>
          <w:tcPr>
            <w:tcW w:w="4666" w:type="dxa"/>
            <w:noWrap w:val="0"/>
            <w:vAlign w:val="center"/>
          </w:tcPr>
          <w:p>
            <w:pPr>
              <w:adjustRightInd w:val="0"/>
              <w:snapToGrid w:val="0"/>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2050年05月29日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3" w:type="dxa"/>
            <w:vMerge w:val="continue"/>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p>
        </w:tc>
        <w:tc>
          <w:tcPr>
            <w:tcW w:w="2570" w:type="dxa"/>
            <w:noWrap w:val="0"/>
            <w:vAlign w:val="center"/>
          </w:tcPr>
          <w:p>
            <w:pPr>
              <w:adjustRightInd w:val="0"/>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土地使用权面积</w:t>
            </w:r>
          </w:p>
        </w:tc>
        <w:tc>
          <w:tcPr>
            <w:tcW w:w="4666" w:type="dxa"/>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125.4平方米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3" w:type="dxa"/>
            <w:vMerge w:val="restart"/>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房屋状况</w:t>
            </w:r>
          </w:p>
        </w:tc>
        <w:tc>
          <w:tcPr>
            <w:tcW w:w="2570" w:type="dxa"/>
            <w:noWrap w:val="0"/>
            <w:vAlign w:val="center"/>
          </w:tcPr>
          <w:p>
            <w:pPr>
              <w:adjustRightInd w:val="0"/>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房屋用途</w:t>
            </w:r>
          </w:p>
        </w:tc>
        <w:tc>
          <w:tcPr>
            <w:tcW w:w="4666" w:type="dxa"/>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商住用房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3" w:type="dxa"/>
            <w:vMerge w:val="continue"/>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p>
        </w:tc>
        <w:tc>
          <w:tcPr>
            <w:tcW w:w="2570" w:type="dxa"/>
            <w:noWrap w:val="0"/>
            <w:vAlign w:val="center"/>
          </w:tcPr>
          <w:p>
            <w:pPr>
              <w:adjustRightInd w:val="0"/>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建筑面积</w:t>
            </w:r>
          </w:p>
        </w:tc>
        <w:tc>
          <w:tcPr>
            <w:tcW w:w="4666" w:type="dxa"/>
            <w:noWrap w:val="0"/>
            <w:vAlign w:val="center"/>
          </w:tcPr>
          <w:p>
            <w:pPr>
              <w:adjustRightInd w:val="0"/>
              <w:snapToGrid w:val="0"/>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color w:val="auto"/>
                <w:sz w:val="24"/>
                <w:szCs w:val="24"/>
                <w:lang w:val="en-US" w:eastAsia="zh-CN"/>
              </w:rPr>
              <w:t>1086.2平方米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3" w:type="dxa"/>
            <w:vMerge w:val="continue"/>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p>
        </w:tc>
        <w:tc>
          <w:tcPr>
            <w:tcW w:w="2570" w:type="dxa"/>
            <w:noWrap w:val="0"/>
            <w:vAlign w:val="center"/>
          </w:tcPr>
          <w:p>
            <w:pPr>
              <w:adjustRightInd w:val="0"/>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总层数</w:t>
            </w:r>
          </w:p>
        </w:tc>
        <w:tc>
          <w:tcPr>
            <w:tcW w:w="4666" w:type="dxa"/>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3" w:type="dxa"/>
            <w:vMerge w:val="continue"/>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p>
        </w:tc>
        <w:tc>
          <w:tcPr>
            <w:tcW w:w="2570" w:type="dxa"/>
            <w:noWrap w:val="0"/>
            <w:vAlign w:val="center"/>
          </w:tcPr>
          <w:p>
            <w:pPr>
              <w:adjustRightInd w:val="0"/>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室号或部位</w:t>
            </w:r>
          </w:p>
        </w:tc>
        <w:tc>
          <w:tcPr>
            <w:tcW w:w="4666" w:type="dxa"/>
            <w:noWrap w:val="0"/>
            <w:vAlign w:val="center"/>
          </w:tcPr>
          <w:p>
            <w:pPr>
              <w:adjustRightInd w:val="0"/>
              <w:snapToGrid w:val="0"/>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3" w:type="dxa"/>
            <w:vMerge w:val="continue"/>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p>
        </w:tc>
        <w:tc>
          <w:tcPr>
            <w:tcW w:w="2570" w:type="dxa"/>
            <w:noWrap w:val="0"/>
            <w:vAlign w:val="center"/>
          </w:tcPr>
          <w:p>
            <w:pPr>
              <w:adjustRightInd w:val="0"/>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建筑结构</w:t>
            </w:r>
          </w:p>
        </w:tc>
        <w:tc>
          <w:tcPr>
            <w:tcW w:w="4666" w:type="dxa"/>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框架结构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3" w:type="dxa"/>
            <w:noWrap w:val="0"/>
            <w:vAlign w:val="center"/>
          </w:tcPr>
          <w:p>
            <w:pPr>
              <w:adjustRightInd w:val="0"/>
              <w:snapToGrid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备注事项</w:t>
            </w:r>
          </w:p>
        </w:tc>
        <w:tc>
          <w:tcPr>
            <w:tcW w:w="7236" w:type="dxa"/>
            <w:gridSpan w:val="2"/>
            <w:noWrap w:val="0"/>
            <w:vAlign w:val="center"/>
          </w:tcPr>
          <w:p>
            <w:pPr>
              <w:adjustRightInd w:val="0"/>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产权来源：2009年5月新建的房产</w:t>
            </w:r>
          </w:p>
          <w:p>
            <w:pPr>
              <w:adjustRightInd w:val="0"/>
              <w:snapToGrid w:val="0"/>
              <w:spacing w:line="360" w:lineRule="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注：其中夹层建筑面积为34.03平方米</w:t>
            </w:r>
          </w:p>
        </w:tc>
      </w:tr>
    </w:tbl>
    <w:p>
      <w:pPr>
        <w:tabs>
          <w:tab w:val="left" w:pos="5413"/>
        </w:tabs>
        <w:spacing w:line="360" w:lineRule="auto"/>
        <w:ind w:firstLine="482" w:firstLineChars="200"/>
        <w:outlineLvl w:val="2"/>
        <w:rPr>
          <w:rFonts w:hint="eastAsia" w:ascii="仿宋" w:hAnsi="仿宋" w:eastAsia="仿宋" w:cs="仿宋"/>
          <w:b/>
          <w:sz w:val="24"/>
          <w:szCs w:val="24"/>
        </w:rPr>
      </w:pPr>
      <w:r>
        <w:rPr>
          <w:rFonts w:hint="eastAsia" w:ascii="仿宋" w:hAnsi="仿宋" w:eastAsia="仿宋" w:cs="仿宋"/>
          <w:b/>
          <w:sz w:val="24"/>
          <w:szCs w:val="24"/>
        </w:rPr>
        <w:t>(四)土地基本状况</w:t>
      </w:r>
    </w:p>
    <w:tbl>
      <w:tblPr>
        <w:tblStyle w:val="22"/>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3"/>
        <w:gridCol w:w="7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rPr>
            </w:pPr>
            <w:r>
              <w:rPr>
                <w:rFonts w:hint="eastAsia" w:ascii="仿宋" w:hAnsi="仿宋" w:eastAsia="仿宋" w:cs="仿宋"/>
                <w:sz w:val="21"/>
                <w:szCs w:val="21"/>
              </w:rPr>
              <w:t>小区</w:t>
            </w:r>
            <w:r>
              <w:rPr>
                <w:rFonts w:hint="eastAsia" w:ascii="仿宋" w:hAnsi="仿宋" w:eastAsia="仿宋" w:cs="仿宋"/>
                <w:sz w:val="21"/>
                <w:szCs w:val="21"/>
                <w:lang w:eastAsia="zh-CN"/>
              </w:rPr>
              <w:t>宗地</w:t>
            </w:r>
            <w:r>
              <w:rPr>
                <w:rFonts w:hint="eastAsia" w:ascii="仿宋" w:hAnsi="仿宋" w:eastAsia="仿宋" w:cs="仿宋"/>
                <w:sz w:val="21"/>
                <w:szCs w:val="21"/>
              </w:rPr>
              <w:t>四至</w:t>
            </w:r>
          </w:p>
        </w:tc>
        <w:tc>
          <w:tcPr>
            <w:tcW w:w="7194"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lang w:eastAsia="zh-CN"/>
              </w:rPr>
              <w:t>东至空地，西至福三线，南至相邻住宅，北至村道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形状</w:t>
            </w:r>
          </w:p>
        </w:tc>
        <w:tc>
          <w:tcPr>
            <w:tcW w:w="7194"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lang w:val="en-US" w:eastAsia="zh-CN"/>
              </w:rPr>
              <w:t>宗地整体平面</w:t>
            </w:r>
            <w:r>
              <w:rPr>
                <w:rFonts w:hint="eastAsia" w:ascii="仿宋" w:hAnsi="仿宋" w:eastAsia="仿宋" w:cs="仿宋"/>
                <w:sz w:val="21"/>
                <w:szCs w:val="21"/>
              </w:rPr>
              <w:t>形状</w:t>
            </w:r>
            <w:r>
              <w:rPr>
                <w:rFonts w:hint="eastAsia" w:ascii="仿宋" w:hAnsi="仿宋" w:eastAsia="仿宋" w:cs="仿宋"/>
                <w:sz w:val="21"/>
                <w:szCs w:val="21"/>
                <w:lang w:eastAsia="zh-CN"/>
              </w:rPr>
              <w:t>较</w:t>
            </w:r>
            <w:r>
              <w:rPr>
                <w:rFonts w:hint="eastAsia" w:ascii="仿宋" w:hAnsi="仿宋" w:eastAsia="仿宋" w:cs="仿宋"/>
                <w:sz w:val="21"/>
                <w:szCs w:val="21"/>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rPr>
              <w:t>土地使用权类型</w:t>
            </w:r>
          </w:p>
        </w:tc>
        <w:tc>
          <w:tcPr>
            <w:tcW w:w="7194"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rPr>
              <w:t>土地使用期限</w:t>
            </w:r>
          </w:p>
        </w:tc>
        <w:tc>
          <w:tcPr>
            <w:tcW w:w="7194"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lang w:val="en-US" w:eastAsia="zh-CN"/>
              </w:rPr>
              <w:t>2050年05月29日止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rPr>
              <w:t>规划条件</w:t>
            </w:r>
          </w:p>
        </w:tc>
        <w:tc>
          <w:tcPr>
            <w:tcW w:w="7194"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宗地规划为</w:t>
            </w:r>
            <w:r>
              <w:rPr>
                <w:rFonts w:hint="eastAsia" w:ascii="仿宋" w:hAnsi="仿宋" w:eastAsia="仿宋" w:cs="仿宋"/>
                <w:sz w:val="21"/>
                <w:szCs w:val="21"/>
                <w:lang w:eastAsia="zh-CN"/>
              </w:rPr>
              <w:t>住宅</w:t>
            </w:r>
            <w:r>
              <w:rPr>
                <w:rFonts w:hint="eastAsia" w:ascii="仿宋" w:hAnsi="仿宋" w:eastAsia="仿宋" w:cs="仿宋"/>
                <w:sz w:val="21"/>
                <w:szCs w:val="21"/>
              </w:rPr>
              <w:t>，容积率</w:t>
            </w:r>
            <w:r>
              <w:rPr>
                <w:rFonts w:hint="eastAsia" w:ascii="仿宋" w:hAnsi="仿宋" w:eastAsia="仿宋" w:cs="仿宋"/>
                <w:sz w:val="21"/>
                <w:szCs w:val="21"/>
                <w:lang w:eastAsia="zh-CN"/>
              </w:rPr>
              <w:t>、</w:t>
            </w:r>
            <w:r>
              <w:rPr>
                <w:rFonts w:hint="eastAsia" w:ascii="仿宋" w:hAnsi="仿宋" w:eastAsia="仿宋" w:cs="仿宋"/>
                <w:sz w:val="21"/>
                <w:szCs w:val="21"/>
              </w:rPr>
              <w:t>建筑密度较合理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rPr>
              <w:t>开发程度</w:t>
            </w:r>
          </w:p>
        </w:tc>
        <w:tc>
          <w:tcPr>
            <w:tcW w:w="7194"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区域内城市基础设施建设基本完善，已达“五通一平”（通上水、通下水、通路、通电、通讯及场地平整）</w:t>
            </w:r>
          </w:p>
        </w:tc>
      </w:tr>
    </w:tbl>
    <w:p>
      <w:pPr>
        <w:spacing w:line="360" w:lineRule="auto"/>
        <w:ind w:firstLine="482" w:firstLineChars="200"/>
        <w:outlineLvl w:val="2"/>
        <w:rPr>
          <w:rFonts w:hint="eastAsia" w:ascii="仿宋" w:hAnsi="仿宋" w:eastAsia="仿宋" w:cs="仿宋"/>
          <w:b/>
          <w:sz w:val="24"/>
          <w:szCs w:val="24"/>
        </w:rPr>
      </w:pPr>
      <w:r>
        <w:rPr>
          <w:rFonts w:hint="eastAsia" w:ascii="仿宋" w:hAnsi="仿宋" w:eastAsia="仿宋" w:cs="仿宋"/>
          <w:b/>
          <w:sz w:val="24"/>
          <w:szCs w:val="24"/>
        </w:rPr>
        <w:t>(五)建筑物基本状况</w:t>
      </w:r>
    </w:p>
    <w:tbl>
      <w:tblPr>
        <w:tblStyle w:val="22"/>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3"/>
        <w:gridCol w:w="957"/>
        <w:gridCol w:w="1125"/>
        <w:gridCol w:w="1515"/>
        <w:gridCol w:w="1125"/>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rPr>
            </w:pPr>
            <w:r>
              <w:rPr>
                <w:rFonts w:hint="eastAsia" w:ascii="仿宋" w:hAnsi="仿宋" w:eastAsia="仿宋" w:cs="仿宋"/>
                <w:sz w:val="21"/>
                <w:szCs w:val="21"/>
              </w:rPr>
              <w:t>建筑结构</w:t>
            </w:r>
          </w:p>
        </w:tc>
        <w:tc>
          <w:tcPr>
            <w:tcW w:w="7194" w:type="dxa"/>
            <w:gridSpan w:val="5"/>
            <w:vAlign w:val="center"/>
          </w:tcPr>
          <w:p>
            <w:pPr>
              <w:spacing w:line="240" w:lineRule="auto"/>
              <w:rPr>
                <w:rFonts w:hint="eastAsia" w:ascii="仿宋" w:hAnsi="仿宋" w:eastAsia="仿宋" w:cs="仿宋"/>
                <w:sz w:val="21"/>
                <w:szCs w:val="21"/>
                <w:lang w:eastAsia="zh-CN"/>
              </w:rPr>
            </w:pPr>
            <w:r>
              <w:rPr>
                <w:rFonts w:hint="eastAsia" w:ascii="仿宋" w:hAnsi="仿宋" w:eastAsia="仿宋" w:cs="仿宋"/>
                <w:sz w:val="21"/>
                <w:szCs w:val="21"/>
                <w:lang w:eastAsia="zh-CN"/>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rPr>
            </w:pPr>
            <w:r>
              <w:rPr>
                <w:rFonts w:hint="eastAsia" w:ascii="仿宋" w:hAnsi="仿宋" w:eastAsia="仿宋" w:cs="仿宋"/>
                <w:sz w:val="21"/>
                <w:szCs w:val="21"/>
              </w:rPr>
              <w:t>设施设备</w:t>
            </w:r>
          </w:p>
        </w:tc>
        <w:tc>
          <w:tcPr>
            <w:tcW w:w="7194" w:type="dxa"/>
            <w:gridSpan w:val="5"/>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设有</w:t>
            </w:r>
            <w:r>
              <w:rPr>
                <w:rFonts w:hint="eastAsia" w:ascii="仿宋" w:hAnsi="仿宋" w:eastAsia="仿宋" w:cs="仿宋"/>
                <w:sz w:val="21"/>
                <w:szCs w:val="21"/>
                <w:lang w:eastAsia="zh-CN"/>
              </w:rPr>
              <w:t>步行梯、水电、消防</w:t>
            </w:r>
            <w:r>
              <w:rPr>
                <w:rFonts w:hint="eastAsia" w:ascii="仿宋" w:hAnsi="仿宋" w:eastAsia="仿宋" w:cs="仿宋"/>
                <w:sz w:val="21"/>
                <w:szCs w:val="21"/>
              </w:rPr>
              <w:t>等设施齐全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Merge w:val="restart"/>
            <w:vAlign w:val="center"/>
          </w:tcPr>
          <w:p>
            <w:pPr>
              <w:spacing w:line="240" w:lineRule="auto"/>
              <w:jc w:val="center"/>
              <w:rPr>
                <w:rFonts w:hint="eastAsia" w:ascii="仿宋" w:hAnsi="仿宋" w:eastAsia="仿宋" w:cs="仿宋"/>
                <w:sz w:val="21"/>
                <w:szCs w:val="21"/>
              </w:rPr>
            </w:pPr>
            <w:r>
              <w:rPr>
                <w:rFonts w:hint="eastAsia" w:ascii="仿宋" w:hAnsi="仿宋" w:eastAsia="仿宋" w:cs="仿宋"/>
                <w:sz w:val="21"/>
                <w:szCs w:val="21"/>
              </w:rPr>
              <w:t>装饰装修</w:t>
            </w:r>
          </w:p>
        </w:tc>
        <w:tc>
          <w:tcPr>
            <w:tcW w:w="7194" w:type="dxa"/>
            <w:gridSpan w:val="5"/>
            <w:vAlign w:val="center"/>
          </w:tcPr>
          <w:p>
            <w:pPr>
              <w:widowControl w:val="0"/>
              <w:wordWrap/>
              <w:adjustRightInd/>
              <w:snapToGrid/>
              <w:spacing w:line="240" w:lineRule="auto"/>
              <w:textAlignment w:val="auto"/>
              <w:rPr>
                <w:rFonts w:hint="eastAsia" w:ascii="仿宋" w:hAnsi="仿宋" w:eastAsia="仿宋" w:cs="仿宋"/>
                <w:sz w:val="21"/>
                <w:szCs w:val="21"/>
              </w:rPr>
            </w:pPr>
            <w:r>
              <w:rPr>
                <w:rFonts w:hint="eastAsia" w:ascii="仿宋" w:hAnsi="仿宋" w:eastAsia="仿宋" w:cs="仿宋"/>
                <w:color w:val="auto"/>
                <w:sz w:val="21"/>
                <w:szCs w:val="21"/>
              </w:rPr>
              <w:t>建筑物外</w:t>
            </w:r>
            <w:r>
              <w:rPr>
                <w:rFonts w:hint="eastAsia" w:ascii="仿宋" w:hAnsi="仿宋" w:eastAsia="仿宋" w:cs="仿宋"/>
                <w:color w:val="auto"/>
                <w:sz w:val="21"/>
                <w:szCs w:val="21"/>
                <w:lang w:val="en-US" w:eastAsia="zh-CN"/>
              </w:rPr>
              <w:t>墙</w:t>
            </w:r>
            <w:r>
              <w:rPr>
                <w:rFonts w:hint="eastAsia" w:ascii="仿宋" w:hAnsi="仿宋" w:eastAsia="仿宋" w:cs="仿宋"/>
                <w:color w:val="auto"/>
                <w:sz w:val="21"/>
                <w:szCs w:val="21"/>
              </w:rPr>
              <w:t>为墙砖，</w:t>
            </w:r>
            <w:r>
              <w:rPr>
                <w:rFonts w:hint="eastAsia" w:ascii="仿宋" w:hAnsi="仿宋" w:eastAsia="仿宋" w:cs="仿宋"/>
                <w:szCs w:val="21"/>
              </w:rPr>
              <w:t>窗为铝合金推拉窗，内墙面及天棚为乳胶漆，楼梯间普通装修</w:t>
            </w:r>
            <w:r>
              <w:rPr>
                <w:rFonts w:hint="eastAsia" w:ascii="仿宋" w:hAnsi="仿宋" w:eastAsia="仿宋" w:cs="仿宋"/>
                <w:color w:val="auto"/>
                <w:sz w:val="21"/>
                <w:szCs w:val="21"/>
              </w:rPr>
              <w:t>；估价对象室内装修情况</w:t>
            </w:r>
            <w:r>
              <w:rPr>
                <w:rFonts w:hint="eastAsia" w:ascii="仿宋" w:hAnsi="仿宋" w:eastAsia="仿宋" w:cs="仿宋"/>
                <w:color w:val="auto"/>
                <w:sz w:val="21"/>
                <w:szCs w:val="21"/>
                <w:lang w:eastAsia="zh-CN"/>
              </w:rPr>
              <w:t>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Merge w:val="continue"/>
            <w:vAlign w:val="center"/>
          </w:tcPr>
          <w:p>
            <w:pPr>
              <w:spacing w:line="240" w:lineRule="auto"/>
              <w:jc w:val="center"/>
              <w:rPr>
                <w:rFonts w:hint="eastAsia" w:ascii="仿宋" w:hAnsi="仿宋" w:eastAsia="仿宋" w:cs="仿宋"/>
                <w:sz w:val="21"/>
                <w:szCs w:val="21"/>
              </w:rPr>
            </w:pPr>
          </w:p>
        </w:tc>
        <w:tc>
          <w:tcPr>
            <w:tcW w:w="7194" w:type="dxa"/>
            <w:gridSpan w:val="5"/>
            <w:vAlign w:val="center"/>
          </w:tcPr>
          <w:p>
            <w:pPr>
              <w:widowControl w:val="0"/>
              <w:wordWrap/>
              <w:adjustRightInd/>
              <w:snapToGrid/>
              <w:spacing w:line="240" w:lineRule="auto"/>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估价对象室内二次装修一览表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Merge w:val="continue"/>
            <w:vAlign w:val="center"/>
          </w:tcPr>
          <w:p>
            <w:pPr>
              <w:spacing w:line="240" w:lineRule="auto"/>
              <w:jc w:val="center"/>
              <w:rPr>
                <w:rFonts w:hint="eastAsia" w:ascii="仿宋" w:hAnsi="仿宋" w:eastAsia="仿宋" w:cs="仿宋"/>
                <w:sz w:val="21"/>
                <w:szCs w:val="21"/>
              </w:rPr>
            </w:pPr>
          </w:p>
        </w:tc>
        <w:tc>
          <w:tcPr>
            <w:tcW w:w="957"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lang w:eastAsia="zh-CN"/>
              </w:rPr>
              <w:t>部位</w:t>
            </w:r>
          </w:p>
        </w:tc>
        <w:tc>
          <w:tcPr>
            <w:tcW w:w="1125"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地面</w:t>
            </w:r>
          </w:p>
        </w:tc>
        <w:tc>
          <w:tcPr>
            <w:tcW w:w="1515"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墙面</w:t>
            </w:r>
          </w:p>
        </w:tc>
        <w:tc>
          <w:tcPr>
            <w:tcW w:w="1125"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天棚</w:t>
            </w:r>
          </w:p>
        </w:tc>
        <w:tc>
          <w:tcPr>
            <w:tcW w:w="2472"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Merge w:val="continue"/>
            <w:vAlign w:val="center"/>
          </w:tcPr>
          <w:p>
            <w:pPr>
              <w:spacing w:line="240" w:lineRule="auto"/>
              <w:jc w:val="center"/>
              <w:rPr>
                <w:rFonts w:hint="eastAsia" w:ascii="仿宋" w:hAnsi="仿宋" w:eastAsia="仿宋" w:cs="仿宋"/>
                <w:sz w:val="21"/>
                <w:szCs w:val="21"/>
              </w:rPr>
            </w:pPr>
          </w:p>
        </w:tc>
        <w:tc>
          <w:tcPr>
            <w:tcW w:w="957" w:type="dxa"/>
            <w:vAlign w:val="center"/>
          </w:tcPr>
          <w:p>
            <w:pPr>
              <w:spacing w:line="240" w:lineRule="auto"/>
              <w:jc w:val="center"/>
              <w:rPr>
                <w:rFonts w:hint="default" w:ascii="仿宋" w:hAnsi="仿宋" w:eastAsia="仿宋" w:cs="仿宋"/>
                <w:color w:val="auto"/>
                <w:sz w:val="21"/>
                <w:szCs w:val="21"/>
                <w:lang w:val="en-US"/>
              </w:rPr>
            </w:pPr>
            <w:r>
              <w:rPr>
                <w:rFonts w:hint="eastAsia" w:ascii="仿宋" w:hAnsi="仿宋" w:eastAsia="仿宋" w:cs="仿宋"/>
                <w:color w:val="auto"/>
                <w:sz w:val="21"/>
                <w:szCs w:val="21"/>
                <w:lang w:val="en-US" w:eastAsia="zh-CN"/>
              </w:rPr>
              <w:t>1.</w:t>
            </w:r>
            <w:r>
              <w:rPr>
                <w:rFonts w:hint="eastAsia" w:ascii="仿宋" w:hAnsi="仿宋" w:eastAsia="仿宋" w:cs="仿宋"/>
                <w:color w:val="auto"/>
                <w:sz w:val="21"/>
                <w:szCs w:val="21"/>
                <w:lang w:eastAsia="zh-CN"/>
              </w:rPr>
              <w:t>客厅</w:t>
            </w:r>
          </w:p>
        </w:tc>
        <w:tc>
          <w:tcPr>
            <w:tcW w:w="1125" w:type="dxa"/>
            <w:vAlign w:val="center"/>
          </w:tcPr>
          <w:p>
            <w:pPr>
              <w:widowControl w:val="0"/>
              <w:wordWrap/>
              <w:adjustRightInd/>
              <w:snapToGrid/>
              <w:spacing w:line="360" w:lineRule="exact"/>
              <w:jc w:val="center"/>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地砖</w:t>
            </w:r>
          </w:p>
        </w:tc>
        <w:tc>
          <w:tcPr>
            <w:tcW w:w="1515" w:type="dxa"/>
            <w:vAlign w:val="center"/>
          </w:tcPr>
          <w:p>
            <w:pPr>
              <w:widowControl w:val="0"/>
              <w:wordWrap/>
              <w:adjustRightInd/>
              <w:snapToGrid/>
              <w:spacing w:line="360" w:lineRule="exac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涂料</w:t>
            </w:r>
          </w:p>
        </w:tc>
        <w:tc>
          <w:tcPr>
            <w:tcW w:w="1125" w:type="dxa"/>
            <w:vAlign w:val="center"/>
          </w:tcPr>
          <w:p>
            <w:pPr>
              <w:widowControl w:val="0"/>
              <w:wordWrap/>
              <w:adjustRightInd/>
              <w:snapToGrid/>
              <w:spacing w:line="360" w:lineRule="exac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涂料</w:t>
            </w:r>
          </w:p>
        </w:tc>
        <w:tc>
          <w:tcPr>
            <w:tcW w:w="2472" w:type="dxa"/>
            <w:vAlign w:val="center"/>
          </w:tcPr>
          <w:p>
            <w:pPr>
              <w:spacing w:line="240" w:lineRule="auto"/>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Merge w:val="continue"/>
            <w:vAlign w:val="center"/>
          </w:tcPr>
          <w:p>
            <w:pPr>
              <w:spacing w:line="240" w:lineRule="auto"/>
              <w:jc w:val="center"/>
              <w:rPr>
                <w:rFonts w:hint="eastAsia" w:ascii="仿宋" w:hAnsi="仿宋" w:eastAsia="仿宋" w:cs="仿宋"/>
                <w:sz w:val="21"/>
                <w:szCs w:val="21"/>
              </w:rPr>
            </w:pPr>
          </w:p>
        </w:tc>
        <w:tc>
          <w:tcPr>
            <w:tcW w:w="957" w:type="dxa"/>
            <w:vAlign w:val="center"/>
          </w:tcPr>
          <w:p>
            <w:pPr>
              <w:spacing w:line="240" w:lineRule="auto"/>
              <w:jc w:val="left"/>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2.</w:t>
            </w:r>
            <w:r>
              <w:rPr>
                <w:rFonts w:hint="eastAsia" w:ascii="仿宋" w:hAnsi="仿宋" w:eastAsia="仿宋" w:cs="仿宋"/>
                <w:color w:val="auto"/>
                <w:sz w:val="21"/>
                <w:szCs w:val="21"/>
              </w:rPr>
              <w:t>卧室</w:t>
            </w:r>
          </w:p>
        </w:tc>
        <w:tc>
          <w:tcPr>
            <w:tcW w:w="1125" w:type="dxa"/>
            <w:vAlign w:val="center"/>
          </w:tcPr>
          <w:p>
            <w:pPr>
              <w:widowControl w:val="0"/>
              <w:wordWrap/>
              <w:adjustRightInd/>
              <w:snapToGrid/>
              <w:spacing w:line="360" w:lineRule="exac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木地板</w:t>
            </w:r>
          </w:p>
        </w:tc>
        <w:tc>
          <w:tcPr>
            <w:tcW w:w="1515" w:type="dxa"/>
            <w:vAlign w:val="center"/>
          </w:tcPr>
          <w:p>
            <w:pPr>
              <w:widowControl w:val="0"/>
              <w:wordWrap/>
              <w:adjustRightInd/>
              <w:snapToGrid/>
              <w:spacing w:line="360" w:lineRule="exac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涂料</w:t>
            </w:r>
          </w:p>
        </w:tc>
        <w:tc>
          <w:tcPr>
            <w:tcW w:w="1125" w:type="dxa"/>
            <w:vAlign w:val="center"/>
          </w:tcPr>
          <w:p>
            <w:pPr>
              <w:widowControl w:val="0"/>
              <w:wordWrap/>
              <w:adjustRightInd/>
              <w:snapToGrid/>
              <w:spacing w:line="360" w:lineRule="exac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涂料</w:t>
            </w:r>
          </w:p>
        </w:tc>
        <w:tc>
          <w:tcPr>
            <w:tcW w:w="2472"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Merge w:val="continue"/>
            <w:vAlign w:val="center"/>
          </w:tcPr>
          <w:p>
            <w:pPr>
              <w:spacing w:line="240" w:lineRule="auto"/>
              <w:jc w:val="center"/>
              <w:rPr>
                <w:rFonts w:hint="eastAsia" w:ascii="仿宋" w:hAnsi="仿宋" w:eastAsia="仿宋" w:cs="仿宋"/>
                <w:sz w:val="21"/>
                <w:szCs w:val="21"/>
              </w:rPr>
            </w:pPr>
          </w:p>
        </w:tc>
        <w:tc>
          <w:tcPr>
            <w:tcW w:w="957" w:type="dxa"/>
            <w:vAlign w:val="center"/>
          </w:tcPr>
          <w:p>
            <w:pPr>
              <w:spacing w:line="240" w:lineRule="auto"/>
              <w:jc w:val="left"/>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rPr>
              <w:t>厨房</w:t>
            </w:r>
          </w:p>
        </w:tc>
        <w:tc>
          <w:tcPr>
            <w:tcW w:w="1125" w:type="dxa"/>
            <w:vAlign w:val="center"/>
          </w:tcPr>
          <w:p>
            <w:pPr>
              <w:widowControl w:val="0"/>
              <w:wordWrap/>
              <w:adjustRightInd/>
              <w:snapToGrid/>
              <w:spacing w:line="360" w:lineRule="exac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防滑砖</w:t>
            </w:r>
          </w:p>
        </w:tc>
        <w:tc>
          <w:tcPr>
            <w:tcW w:w="1515" w:type="dxa"/>
            <w:vAlign w:val="center"/>
          </w:tcPr>
          <w:p>
            <w:pPr>
              <w:widowControl w:val="0"/>
              <w:wordWrap/>
              <w:adjustRightInd/>
              <w:snapToGrid/>
              <w:spacing w:line="360" w:lineRule="exac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瓷砖贴面</w:t>
            </w:r>
          </w:p>
        </w:tc>
        <w:tc>
          <w:tcPr>
            <w:tcW w:w="1125" w:type="dxa"/>
            <w:vAlign w:val="center"/>
          </w:tcPr>
          <w:p>
            <w:pPr>
              <w:widowControl w:val="0"/>
              <w:wordWrap/>
              <w:adjustRightInd/>
              <w:snapToGrid/>
              <w:spacing w:line="360" w:lineRule="exac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塑料扣顶</w:t>
            </w:r>
          </w:p>
        </w:tc>
        <w:tc>
          <w:tcPr>
            <w:tcW w:w="2472"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lang w:eastAsia="zh-CN"/>
              </w:rPr>
              <w:t>卫浴洁具等齐全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Merge w:val="continue"/>
            <w:vAlign w:val="center"/>
          </w:tcPr>
          <w:p>
            <w:pPr>
              <w:spacing w:line="240" w:lineRule="auto"/>
              <w:jc w:val="center"/>
              <w:rPr>
                <w:rFonts w:hint="eastAsia" w:ascii="仿宋" w:hAnsi="仿宋" w:eastAsia="仿宋" w:cs="仿宋"/>
                <w:sz w:val="21"/>
                <w:szCs w:val="21"/>
              </w:rPr>
            </w:pPr>
          </w:p>
        </w:tc>
        <w:tc>
          <w:tcPr>
            <w:tcW w:w="957" w:type="dxa"/>
            <w:vAlign w:val="center"/>
          </w:tcPr>
          <w:p>
            <w:pPr>
              <w:spacing w:line="240" w:lineRule="auto"/>
              <w:jc w:val="left"/>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4.</w:t>
            </w:r>
            <w:r>
              <w:rPr>
                <w:rFonts w:hint="eastAsia" w:ascii="仿宋" w:hAnsi="仿宋" w:eastAsia="仿宋" w:cs="仿宋"/>
                <w:color w:val="auto"/>
                <w:sz w:val="21"/>
                <w:szCs w:val="21"/>
              </w:rPr>
              <w:t>卫生间</w:t>
            </w:r>
          </w:p>
        </w:tc>
        <w:tc>
          <w:tcPr>
            <w:tcW w:w="1125" w:type="dxa"/>
            <w:vAlign w:val="center"/>
          </w:tcPr>
          <w:p>
            <w:pPr>
              <w:widowControl w:val="0"/>
              <w:wordWrap/>
              <w:adjustRightInd/>
              <w:snapToGrid/>
              <w:spacing w:line="360" w:lineRule="exac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防滑砖</w:t>
            </w:r>
          </w:p>
        </w:tc>
        <w:tc>
          <w:tcPr>
            <w:tcW w:w="1515" w:type="dxa"/>
            <w:vAlign w:val="center"/>
          </w:tcPr>
          <w:p>
            <w:pPr>
              <w:widowControl w:val="0"/>
              <w:wordWrap/>
              <w:adjustRightInd/>
              <w:snapToGrid/>
              <w:spacing w:line="360" w:lineRule="exac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瓷砖贴面</w:t>
            </w:r>
          </w:p>
        </w:tc>
        <w:tc>
          <w:tcPr>
            <w:tcW w:w="1125" w:type="dxa"/>
            <w:vAlign w:val="center"/>
          </w:tcPr>
          <w:p>
            <w:pPr>
              <w:widowControl w:val="0"/>
              <w:wordWrap/>
              <w:adjustRightInd/>
              <w:snapToGrid/>
              <w:spacing w:line="360" w:lineRule="exac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塑料扣顶</w:t>
            </w:r>
          </w:p>
        </w:tc>
        <w:tc>
          <w:tcPr>
            <w:tcW w:w="2472"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厨具灶具等齐全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313" w:type="dxa"/>
            <w:vMerge w:val="continue"/>
            <w:vAlign w:val="center"/>
          </w:tcPr>
          <w:p>
            <w:pPr>
              <w:spacing w:line="240" w:lineRule="auto"/>
              <w:jc w:val="center"/>
              <w:rPr>
                <w:rFonts w:hint="eastAsia" w:ascii="仿宋" w:hAnsi="仿宋" w:eastAsia="仿宋" w:cs="仿宋"/>
                <w:sz w:val="21"/>
                <w:szCs w:val="21"/>
              </w:rPr>
            </w:pP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5.</w:t>
            </w:r>
            <w:r>
              <w:rPr>
                <w:rFonts w:hint="eastAsia" w:ascii="仿宋" w:hAnsi="仿宋" w:eastAsia="仿宋" w:cs="仿宋"/>
                <w:color w:val="auto"/>
                <w:sz w:val="21"/>
                <w:szCs w:val="21"/>
              </w:rPr>
              <w:t>其他</w:t>
            </w:r>
          </w:p>
        </w:tc>
        <w:tc>
          <w:tcPr>
            <w:tcW w:w="6237"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eastAsia="zh-CN"/>
              </w:rPr>
              <w:t>窗为</w:t>
            </w:r>
            <w:r>
              <w:rPr>
                <w:rFonts w:hint="eastAsia" w:ascii="仿宋" w:hAnsi="仿宋" w:eastAsia="仿宋" w:cs="仿宋"/>
                <w:color w:val="auto"/>
                <w:sz w:val="21"/>
                <w:szCs w:val="21"/>
              </w:rPr>
              <w:t>铝合窗；入户门为防盗套门，水、电、通信、网络等配套设施齐全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rPr>
            </w:pPr>
            <w:r>
              <w:rPr>
                <w:rFonts w:hint="eastAsia" w:ascii="仿宋" w:hAnsi="仿宋" w:eastAsia="仿宋" w:cs="仿宋"/>
                <w:sz w:val="21"/>
                <w:szCs w:val="21"/>
              </w:rPr>
              <w:t>建成时间</w:t>
            </w:r>
          </w:p>
        </w:tc>
        <w:tc>
          <w:tcPr>
            <w:tcW w:w="7194" w:type="dxa"/>
            <w:gridSpan w:val="5"/>
            <w:vAlign w:val="center"/>
          </w:tcPr>
          <w:p>
            <w:pPr>
              <w:spacing w:line="240" w:lineRule="auto"/>
              <w:rPr>
                <w:rFonts w:hint="eastAsia" w:ascii="仿宋" w:hAnsi="仿宋" w:eastAsia="仿宋" w:cs="仿宋"/>
                <w:sz w:val="21"/>
                <w:szCs w:val="21"/>
                <w:lang w:eastAsia="zh-CN"/>
              </w:rPr>
            </w:pPr>
            <w:r>
              <w:rPr>
                <w:rFonts w:hint="eastAsia" w:ascii="仿宋" w:hAnsi="仿宋" w:eastAsia="仿宋" w:cs="仿宋"/>
                <w:sz w:val="21"/>
                <w:szCs w:val="21"/>
                <w:lang w:val="en-US" w:eastAsia="zh-CN"/>
              </w:rPr>
              <w:t>2009年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rPr>
            </w:pPr>
            <w:r>
              <w:rPr>
                <w:rFonts w:hint="eastAsia" w:ascii="仿宋" w:hAnsi="仿宋" w:eastAsia="仿宋" w:cs="仿宋"/>
                <w:sz w:val="21"/>
                <w:szCs w:val="21"/>
              </w:rPr>
              <w:t>使用及维护状况</w:t>
            </w:r>
          </w:p>
        </w:tc>
        <w:tc>
          <w:tcPr>
            <w:tcW w:w="7194" w:type="dxa"/>
            <w:gridSpan w:val="5"/>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根据实地查勘，估价对象处正常使用，维护状况较好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rPr>
            </w:pPr>
            <w:r>
              <w:rPr>
                <w:rFonts w:hint="eastAsia" w:ascii="仿宋" w:hAnsi="仿宋" w:eastAsia="仿宋" w:cs="仿宋"/>
                <w:sz w:val="21"/>
                <w:szCs w:val="21"/>
              </w:rPr>
              <w:t>外观</w:t>
            </w:r>
          </w:p>
        </w:tc>
        <w:tc>
          <w:tcPr>
            <w:tcW w:w="7194" w:type="dxa"/>
            <w:gridSpan w:val="5"/>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建筑物外观较好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rPr>
            </w:pPr>
            <w:r>
              <w:rPr>
                <w:rFonts w:hint="eastAsia" w:ascii="仿宋" w:hAnsi="仿宋" w:eastAsia="仿宋" w:cs="仿宋"/>
                <w:sz w:val="21"/>
                <w:szCs w:val="21"/>
              </w:rPr>
              <w:t>建筑面积（㎡）</w:t>
            </w:r>
          </w:p>
        </w:tc>
        <w:tc>
          <w:tcPr>
            <w:tcW w:w="7194" w:type="dxa"/>
            <w:gridSpan w:val="5"/>
            <w:vAlign w:val="center"/>
          </w:tcPr>
          <w:p>
            <w:pPr>
              <w:pStyle w:val="10"/>
              <w:widowControl w:val="0"/>
              <w:wordWrap/>
              <w:adjustRightInd/>
              <w:snapToGrid/>
              <w:spacing w:line="240" w:lineRule="auto"/>
              <w:ind w:right="25"/>
              <w:textAlignment w:val="auto"/>
              <w:rPr>
                <w:rFonts w:hint="eastAsia" w:ascii="仿宋" w:hAnsi="仿宋" w:eastAsia="仿宋" w:cs="仿宋"/>
                <w:sz w:val="21"/>
                <w:szCs w:val="21"/>
                <w:lang w:eastAsia="zh-CN"/>
              </w:rPr>
            </w:pPr>
            <w:r>
              <w:rPr>
                <w:rFonts w:hint="eastAsia" w:ascii="仿宋" w:hAnsi="仿宋" w:eastAsia="仿宋" w:cs="仿宋"/>
                <w:sz w:val="21"/>
                <w:szCs w:val="21"/>
              </w:rPr>
              <w:t>估价对象建筑面积为</w:t>
            </w:r>
            <w:r>
              <w:rPr>
                <w:rFonts w:hint="eastAsia" w:ascii="仿宋" w:hAnsi="仿宋" w:eastAsia="仿宋" w:cs="仿宋"/>
                <w:sz w:val="21"/>
                <w:szCs w:val="21"/>
                <w:lang w:val="en-US" w:eastAsia="zh-CN"/>
              </w:rPr>
              <w:t>1086.20平方米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rPr>
            </w:pPr>
            <w:r>
              <w:rPr>
                <w:rFonts w:hint="eastAsia" w:ascii="仿宋" w:hAnsi="仿宋" w:eastAsia="仿宋" w:cs="仿宋"/>
                <w:sz w:val="21"/>
                <w:szCs w:val="21"/>
              </w:rPr>
              <w:t>层高（m）</w:t>
            </w:r>
          </w:p>
        </w:tc>
        <w:tc>
          <w:tcPr>
            <w:tcW w:w="7194" w:type="dxa"/>
            <w:gridSpan w:val="5"/>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层高</w:t>
            </w:r>
            <w:r>
              <w:rPr>
                <w:rFonts w:hint="eastAsia" w:ascii="仿宋" w:hAnsi="仿宋" w:eastAsia="仿宋" w:cs="仿宋"/>
                <w:sz w:val="21"/>
                <w:szCs w:val="21"/>
                <w:lang w:eastAsia="zh-CN"/>
              </w:rPr>
              <w:t>约</w:t>
            </w:r>
            <w:r>
              <w:rPr>
                <w:rFonts w:hint="eastAsia" w:ascii="仿宋" w:hAnsi="仿宋" w:eastAsia="仿宋" w:cs="仿宋"/>
                <w:sz w:val="21"/>
                <w:szCs w:val="21"/>
              </w:rPr>
              <w:t>为2.8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rPr>
            </w:pPr>
            <w:r>
              <w:rPr>
                <w:rFonts w:hint="eastAsia" w:ascii="仿宋" w:hAnsi="仿宋" w:eastAsia="仿宋" w:cs="仿宋"/>
                <w:sz w:val="21"/>
                <w:szCs w:val="21"/>
              </w:rPr>
              <w:t>朝向</w:t>
            </w:r>
          </w:p>
        </w:tc>
        <w:tc>
          <w:tcPr>
            <w:tcW w:w="7194" w:type="dxa"/>
            <w:gridSpan w:val="5"/>
            <w:vAlign w:val="center"/>
          </w:tcPr>
          <w:p>
            <w:pPr>
              <w:spacing w:line="240" w:lineRule="auto"/>
              <w:rPr>
                <w:rFonts w:hint="eastAsia" w:ascii="仿宋" w:hAnsi="仿宋" w:eastAsia="仿宋" w:cs="仿宋"/>
                <w:sz w:val="21"/>
                <w:szCs w:val="21"/>
                <w:lang w:eastAsia="zh-CN"/>
              </w:rPr>
            </w:pPr>
            <w:r>
              <w:rPr>
                <w:rFonts w:hint="eastAsia" w:ascii="仿宋" w:hAnsi="仿宋" w:eastAsia="仿宋" w:cs="仿宋"/>
                <w:sz w:val="21"/>
                <w:szCs w:val="21"/>
              </w:rPr>
              <w:t>建筑物</w:t>
            </w:r>
            <w:r>
              <w:rPr>
                <w:rFonts w:hint="eastAsia" w:ascii="仿宋" w:hAnsi="仿宋" w:eastAsia="仿宋" w:cs="仿宋"/>
                <w:sz w:val="21"/>
                <w:szCs w:val="21"/>
                <w:lang w:eastAsia="zh-CN"/>
              </w:rPr>
              <w:t>南北朝向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3" w:type="dxa"/>
            <w:vAlign w:val="center"/>
          </w:tcPr>
          <w:p>
            <w:pPr>
              <w:spacing w:line="240" w:lineRule="auto"/>
              <w:jc w:val="center"/>
              <w:rPr>
                <w:rFonts w:hint="eastAsia" w:ascii="仿宋" w:hAnsi="仿宋" w:eastAsia="仿宋" w:cs="仿宋"/>
                <w:sz w:val="21"/>
                <w:szCs w:val="21"/>
              </w:rPr>
            </w:pPr>
            <w:r>
              <w:rPr>
                <w:rFonts w:hint="eastAsia" w:ascii="仿宋" w:hAnsi="仿宋" w:eastAsia="仿宋" w:cs="仿宋"/>
                <w:sz w:val="21"/>
                <w:szCs w:val="21"/>
              </w:rPr>
              <w:t>总楼层及层次</w:t>
            </w:r>
          </w:p>
        </w:tc>
        <w:tc>
          <w:tcPr>
            <w:tcW w:w="7194" w:type="dxa"/>
            <w:gridSpan w:val="5"/>
            <w:vAlign w:val="center"/>
          </w:tcPr>
          <w:p>
            <w:pPr>
              <w:spacing w:line="240" w:lineRule="auto"/>
              <w:rPr>
                <w:rFonts w:hint="eastAsia" w:ascii="仿宋" w:hAnsi="仿宋" w:eastAsia="仿宋" w:cs="仿宋"/>
                <w:sz w:val="21"/>
                <w:szCs w:val="21"/>
                <w:lang w:val="en-US" w:eastAsia="zh-CN"/>
              </w:rPr>
            </w:pPr>
            <w:r>
              <w:rPr>
                <w:rFonts w:hint="eastAsia" w:ascii="仿宋" w:hAnsi="仿宋" w:eastAsia="仿宋" w:cs="仿宋"/>
                <w:sz w:val="21"/>
                <w:szCs w:val="21"/>
              </w:rPr>
              <w:t>楼宇</w:t>
            </w:r>
            <w:r>
              <w:rPr>
                <w:rFonts w:hint="eastAsia" w:ascii="仿宋" w:hAnsi="仿宋" w:eastAsia="仿宋" w:cs="仿宋"/>
                <w:sz w:val="21"/>
                <w:szCs w:val="21"/>
                <w:lang w:eastAsia="zh-CN"/>
              </w:rPr>
              <w:t>总层数</w:t>
            </w:r>
            <w:r>
              <w:rPr>
                <w:rFonts w:hint="eastAsia" w:ascii="仿宋" w:hAnsi="仿宋" w:eastAsia="仿宋" w:cs="仿宋"/>
                <w:sz w:val="21"/>
                <w:szCs w:val="21"/>
                <w:lang w:val="en-US" w:eastAsia="zh-CN"/>
              </w:rPr>
              <w:t>6</w:t>
            </w:r>
            <w:r>
              <w:rPr>
                <w:rFonts w:hint="eastAsia" w:ascii="仿宋" w:hAnsi="仿宋" w:eastAsia="仿宋" w:cs="仿宋"/>
                <w:sz w:val="21"/>
                <w:szCs w:val="21"/>
                <w:lang w:eastAsia="zh-CN"/>
              </w:rPr>
              <w:t>层</w:t>
            </w:r>
            <w:r>
              <w:rPr>
                <w:rFonts w:hint="eastAsia" w:ascii="仿宋" w:hAnsi="仿宋" w:eastAsia="仿宋" w:cs="仿宋"/>
                <w:sz w:val="21"/>
                <w:szCs w:val="21"/>
              </w:rPr>
              <w:t>，</w:t>
            </w:r>
            <w:r>
              <w:rPr>
                <w:rFonts w:hint="eastAsia" w:ascii="仿宋" w:hAnsi="仿宋" w:eastAsia="仿宋" w:cs="仿宋"/>
                <w:sz w:val="21"/>
                <w:szCs w:val="21"/>
                <w:lang w:eastAsia="zh-CN"/>
              </w:rPr>
              <w:t>估价对象位于第</w:t>
            </w:r>
            <w:r>
              <w:rPr>
                <w:rFonts w:hint="eastAsia" w:ascii="仿宋" w:hAnsi="仿宋" w:eastAsia="仿宋" w:cs="仿宋"/>
                <w:sz w:val="21"/>
                <w:szCs w:val="21"/>
                <w:lang w:val="en-US" w:eastAsia="zh-CN"/>
              </w:rPr>
              <w:t>1-6</w:t>
            </w:r>
            <w:r>
              <w:rPr>
                <w:rFonts w:hint="eastAsia" w:ascii="仿宋" w:hAnsi="仿宋" w:eastAsia="仿宋" w:cs="仿宋"/>
                <w:sz w:val="21"/>
                <w:szCs w:val="21"/>
                <w:lang w:eastAsia="zh-CN"/>
              </w:rPr>
              <w:t>层</w:t>
            </w:r>
          </w:p>
        </w:tc>
      </w:tr>
    </w:tbl>
    <w:p>
      <w:pPr>
        <w:pStyle w:val="3"/>
        <w:ind w:firstLine="482" w:firstLineChars="200"/>
        <w:rPr>
          <w:rFonts w:hint="eastAsia" w:ascii="仿宋" w:hAnsi="仿宋" w:eastAsia="仿宋" w:cs="仿宋"/>
        </w:rPr>
      </w:pPr>
      <w:bookmarkStart w:id="47" w:name="_Toc27234"/>
      <w:r>
        <w:rPr>
          <w:rFonts w:hint="eastAsia" w:ascii="仿宋" w:hAnsi="仿宋" w:eastAsia="仿宋" w:cs="仿宋"/>
        </w:rPr>
        <w:t>五、价值时点</w:t>
      </w:r>
      <w:bookmarkEnd w:id="47"/>
    </w:p>
    <w:p>
      <w:pPr>
        <w:tabs>
          <w:tab w:val="left" w:pos="525"/>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价值时点为</w:t>
      </w:r>
      <w:r>
        <w:rPr>
          <w:rFonts w:hint="eastAsia" w:ascii="仿宋" w:hAnsi="仿宋" w:eastAsia="仿宋" w:cs="仿宋"/>
          <w:sz w:val="24"/>
          <w:szCs w:val="24"/>
          <w:lang w:eastAsia="zh-CN"/>
        </w:rPr>
        <w:t>2022年10月13日</w:t>
      </w:r>
      <w:r>
        <w:rPr>
          <w:rFonts w:hint="eastAsia" w:ascii="仿宋" w:hAnsi="仿宋" w:eastAsia="仿宋" w:cs="仿宋"/>
          <w:sz w:val="24"/>
          <w:szCs w:val="24"/>
        </w:rPr>
        <w:t>（估价人员实地查勘日）。</w:t>
      </w:r>
    </w:p>
    <w:p>
      <w:pPr>
        <w:pStyle w:val="3"/>
        <w:ind w:firstLine="482" w:firstLineChars="200"/>
        <w:rPr>
          <w:rFonts w:hint="eastAsia" w:ascii="仿宋" w:hAnsi="仿宋" w:eastAsia="仿宋" w:cs="仿宋"/>
        </w:rPr>
      </w:pPr>
      <w:bookmarkStart w:id="48" w:name="_Toc16625"/>
      <w:r>
        <w:rPr>
          <w:rFonts w:hint="eastAsia" w:ascii="仿宋" w:hAnsi="仿宋" w:eastAsia="仿宋" w:cs="仿宋"/>
        </w:rPr>
        <w:t>六、价值类型</w:t>
      </w:r>
      <w:bookmarkEnd w:id="48"/>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(一)价值类型名称</w:t>
      </w:r>
    </w:p>
    <w:p>
      <w:pPr>
        <w:adjustRightInd w:val="0"/>
        <w:snapToGrid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本次估价的价值类型为</w:t>
      </w:r>
      <w:r>
        <w:rPr>
          <w:rFonts w:hint="eastAsia" w:ascii="仿宋" w:hAnsi="仿宋" w:eastAsia="仿宋" w:cs="仿宋"/>
          <w:bCs/>
          <w:sz w:val="24"/>
          <w:lang w:eastAsia="zh-CN"/>
        </w:rPr>
        <w:t>市场价值</w:t>
      </w:r>
      <w:r>
        <w:rPr>
          <w:rFonts w:hint="eastAsia" w:ascii="仿宋" w:hAnsi="仿宋" w:eastAsia="仿宋" w:cs="仿宋"/>
          <w:bCs/>
          <w:sz w:val="24"/>
        </w:rPr>
        <w:t>。</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(二)价值定义</w:t>
      </w:r>
    </w:p>
    <w:p>
      <w:pPr>
        <w:tabs>
          <w:tab w:val="left" w:pos="7648"/>
        </w:tabs>
        <w:spacing w:line="360" w:lineRule="auto"/>
        <w:ind w:firstLine="480"/>
        <w:rPr>
          <w:rFonts w:hint="eastAsia" w:ascii="仿宋" w:hAnsi="仿宋" w:eastAsia="仿宋" w:cs="仿宋"/>
          <w:sz w:val="24"/>
        </w:rPr>
      </w:pPr>
      <w:r>
        <w:rPr>
          <w:rFonts w:hint="eastAsia" w:ascii="仿宋" w:hAnsi="仿宋" w:eastAsia="仿宋" w:cs="仿宋"/>
          <w:bCs/>
          <w:sz w:val="24"/>
          <w:lang w:eastAsia="zh-CN"/>
        </w:rPr>
        <w:t>市场价值</w:t>
      </w:r>
      <w:r>
        <w:rPr>
          <w:rFonts w:hint="eastAsia" w:ascii="仿宋" w:hAnsi="仿宋" w:eastAsia="仿宋" w:cs="仿宋"/>
          <w:bCs/>
          <w:sz w:val="24"/>
        </w:rPr>
        <w:t>为估价对象未设定法定优先受偿权利下的价值减去注册房地产估价师知悉的法定优先受偿款后的价值。</w:t>
      </w:r>
    </w:p>
    <w:p>
      <w:pPr>
        <w:tabs>
          <w:tab w:val="left" w:pos="7648"/>
        </w:tabs>
        <w:spacing w:line="360" w:lineRule="auto"/>
        <w:ind w:firstLine="480"/>
        <w:rPr>
          <w:rFonts w:hint="eastAsia" w:ascii="仿宋" w:hAnsi="仿宋" w:eastAsia="仿宋" w:cs="仿宋"/>
          <w:sz w:val="24"/>
          <w:szCs w:val="24"/>
        </w:rPr>
      </w:pPr>
      <w:r>
        <w:rPr>
          <w:rFonts w:hint="eastAsia" w:ascii="仿宋" w:hAnsi="仿宋" w:eastAsia="仿宋" w:cs="仿宋"/>
          <w:sz w:val="24"/>
        </w:rPr>
        <w:t>(三)价值内涵</w:t>
      </w:r>
    </w:p>
    <w:p>
      <w:pPr>
        <w:adjustRightInd w:val="0"/>
        <w:snapToGrid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价值内涵是估价对象在价值时点，满足本次估价假设和限制条件下包括建筑、分摊的</w:t>
      </w:r>
      <w:r>
        <w:rPr>
          <w:rFonts w:hint="eastAsia" w:ascii="仿宋" w:hAnsi="仿宋" w:eastAsia="仿宋" w:cs="仿宋"/>
          <w:bCs/>
          <w:sz w:val="24"/>
          <w:lang w:eastAsia="zh-CN"/>
        </w:rPr>
        <w:t>土地使用权（含土地出让金）</w:t>
      </w:r>
      <w:r>
        <w:rPr>
          <w:rFonts w:hint="eastAsia" w:ascii="仿宋" w:hAnsi="仿宋" w:eastAsia="仿宋" w:cs="仿宋"/>
          <w:bCs/>
          <w:sz w:val="24"/>
        </w:rPr>
        <w:t>及公共配套设施，不包括动产、债权债务、特许经营权等其他财产或权益；付款方式是一次性付清房价款（包括首付款及按揭贷款）；房屋面积内涵是建筑面积；开发程度为现房，具备“五通一平”；已扣除预期实现抵押权的处置费用和税金。</w:t>
      </w:r>
    </w:p>
    <w:p>
      <w:pPr>
        <w:pStyle w:val="3"/>
        <w:ind w:firstLine="482" w:firstLineChars="200"/>
        <w:rPr>
          <w:rFonts w:hint="eastAsia" w:ascii="仿宋" w:hAnsi="仿宋" w:eastAsia="仿宋" w:cs="仿宋"/>
        </w:rPr>
      </w:pPr>
      <w:bookmarkStart w:id="49" w:name="_Toc7213"/>
      <w:r>
        <w:rPr>
          <w:rFonts w:hint="eastAsia" w:ascii="仿宋" w:hAnsi="仿宋" w:eastAsia="仿宋" w:cs="仿宋"/>
        </w:rPr>
        <w:t>七、估价原则</w:t>
      </w:r>
      <w:bookmarkEnd w:id="49"/>
    </w:p>
    <w:p>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本估价遵循以下原则：</w:t>
      </w:r>
    </w:p>
    <w:p>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b/>
          <w:sz w:val="24"/>
          <w:szCs w:val="24"/>
        </w:rPr>
        <w:t>、</w:t>
      </w:r>
      <w:r>
        <w:rPr>
          <w:rFonts w:hint="eastAsia" w:ascii="仿宋" w:hAnsi="仿宋" w:eastAsia="仿宋" w:cs="仿宋"/>
          <w:sz w:val="24"/>
          <w:szCs w:val="24"/>
        </w:rPr>
        <w:t>独立、客观、公正原则。要求站在中立的立场上，实事求是，公平正直地评估出对各方估价利害关系人均是公平合理的价值或价格的原则。</w:t>
      </w:r>
    </w:p>
    <w:p>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2、合法原则。要求估价结果是在依法判定的估价对象状况下的价值或价格的原则。</w:t>
      </w:r>
    </w:p>
    <w:p>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3、价值时点原则。要求估价结果是在依据估价目的确定的某个特定时间的价值或价格的原则。</w:t>
      </w:r>
    </w:p>
    <w:p>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4、替代原则。要求估价结果与估价对象的类似房地产在同等条件下的价值或价格偏差在合理范围内的原则。</w:t>
      </w:r>
    </w:p>
    <w:p>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5、最高最佳利用原则。要求估价结果在估价对象最高最佳利用状况下的价值或价格的原则。</w:t>
      </w:r>
    </w:p>
    <w:p>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6、谨慎原则。要求在影响估价对象价值或价格的因素存在不确定性的情况下对其作出判断时，应充分考虑其导致估价对象价值或价格偏低的一面，慎重考虑其导致估价对象价值或价格偏高的一面的原则。</w:t>
      </w:r>
    </w:p>
    <w:p>
      <w:pPr>
        <w:pStyle w:val="3"/>
        <w:ind w:firstLine="482" w:firstLineChars="200"/>
        <w:rPr>
          <w:rFonts w:hint="eastAsia" w:ascii="仿宋" w:hAnsi="仿宋" w:eastAsia="仿宋" w:cs="仿宋"/>
        </w:rPr>
      </w:pPr>
      <w:bookmarkStart w:id="50" w:name="_Toc22254"/>
      <w:r>
        <w:rPr>
          <w:rFonts w:hint="eastAsia" w:ascii="仿宋" w:hAnsi="仿宋" w:eastAsia="仿宋" w:cs="仿宋"/>
        </w:rPr>
        <w:t>八、估价依据</w:t>
      </w:r>
      <w:bookmarkEnd w:id="50"/>
    </w:p>
    <w:p>
      <w:pPr>
        <w:spacing w:line="360" w:lineRule="auto"/>
        <w:ind w:firstLine="482" w:firstLineChars="200"/>
        <w:rPr>
          <w:rFonts w:hint="eastAsia" w:ascii="仿宋" w:hAnsi="仿宋" w:eastAsia="仿宋" w:cs="仿宋"/>
          <w:sz w:val="24"/>
          <w:szCs w:val="24"/>
        </w:rPr>
      </w:pPr>
      <w:r>
        <w:rPr>
          <w:rFonts w:hint="eastAsia" w:ascii="仿宋" w:hAnsi="仿宋" w:eastAsia="仿宋" w:cs="仿宋"/>
          <w:b/>
          <w:sz w:val="24"/>
          <w:szCs w:val="24"/>
        </w:rPr>
        <w:t>(一)有关法律、法规及文件依据</w:t>
      </w:r>
    </w:p>
    <w:p>
      <w:pPr>
        <w:widowControl w:val="0"/>
        <w:wordWrap/>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1.中华人民共和国民法典（2020年5月28日第十三届全国人民代表大会第三次会议通过、2021年1月1日起施行）；</w:t>
      </w:r>
    </w:p>
    <w:p>
      <w:pPr>
        <w:widowControl w:val="0"/>
        <w:wordWrap/>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2.中华人民共和国土地管理法（2019年8月26日第十三届全国人民代表大会常务委员会第十二次会议（第三次修正）、2004年8月28日中华人民共和国主席令第28号（第二次修正）、1999年1月1日起施行）；</w:t>
      </w:r>
    </w:p>
    <w:p>
      <w:pPr>
        <w:widowControl w:val="0"/>
        <w:wordWrap/>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3.中华人民共和国城乡规划法（2007年10月28日中华人民共和国主席令第74号、2008年1月1日起施行）；</w:t>
      </w:r>
    </w:p>
    <w:p>
      <w:pPr>
        <w:widowControl w:val="0"/>
        <w:wordWrap/>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4.中华人民共和国城市房地产管理法（1994年7月5日中华人民共和国主席令第29号、1995年1月1日起施行、2007年修正）；</w:t>
      </w:r>
    </w:p>
    <w:p>
      <w:pPr>
        <w:widowControl w:val="0"/>
        <w:wordWrap/>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5.中华人民共和国资产评估法（中华人民共和国主席令第46号，2016年12月1日起施行）；</w:t>
      </w:r>
    </w:p>
    <w:p>
      <w:pPr>
        <w:widowControl w:val="0"/>
        <w:wordWrap/>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6.中华人民共和国土地管理法实施条例（1998年12月27日中华人民共和国国务院令第256号发布，根据2011年1月8日《国务院关于废止和修改部分行政法规的决定》修订）；</w:t>
      </w:r>
    </w:p>
    <w:p>
      <w:pPr>
        <w:widowControl w:val="0"/>
        <w:wordWrap/>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7.中华人民共和国城镇国有土地使用权出让和转让暂行条例（中华人民共和国国务院令第55号）；</w:t>
      </w:r>
    </w:p>
    <w:p>
      <w:pPr>
        <w:widowControl w:val="0"/>
        <w:wordWrap/>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8.城市房地产抵押管理办法（1997年5月9日建设部令第56号发布，2001年8月15日根据《建设部关于修改〈城市房地产抵押管理办法〉的决定》修正）；</w:t>
      </w:r>
    </w:p>
    <w:p>
      <w:pPr>
        <w:widowControl w:val="0"/>
        <w:wordWrap/>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9.龙岩市人民政府关于颁布执行龙岩市中心城区（第</w:t>
      </w:r>
      <w:r>
        <w:rPr>
          <w:rFonts w:hint="eastAsia" w:ascii="仿宋" w:hAnsi="仿宋" w:eastAsia="仿宋" w:cs="仿宋"/>
          <w:sz w:val="24"/>
          <w:szCs w:val="24"/>
          <w:lang w:eastAsia="zh-CN"/>
        </w:rPr>
        <w:t>九</w:t>
      </w:r>
      <w:r>
        <w:rPr>
          <w:rFonts w:hint="eastAsia" w:ascii="仿宋" w:hAnsi="仿宋" w:eastAsia="仿宋" w:cs="仿宋"/>
          <w:sz w:val="24"/>
          <w:szCs w:val="24"/>
        </w:rPr>
        <w:t>轮）和新罗区8个镇（2017年）土地级别暨基准地价修编成果的通知（龙政综〔20</w:t>
      </w:r>
      <w:r>
        <w:rPr>
          <w:rFonts w:hint="eastAsia" w:ascii="仿宋" w:hAnsi="仿宋" w:eastAsia="仿宋" w:cs="仿宋"/>
          <w:sz w:val="24"/>
          <w:szCs w:val="24"/>
          <w:lang w:val="en-US" w:eastAsia="zh-CN"/>
        </w:rPr>
        <w:t>21</w:t>
      </w:r>
      <w:r>
        <w:rPr>
          <w:rFonts w:hint="eastAsia" w:ascii="仿宋" w:hAnsi="仿宋" w:eastAsia="仿宋" w:cs="仿宋"/>
          <w:sz w:val="24"/>
          <w:szCs w:val="24"/>
        </w:rPr>
        <w:t>〕</w:t>
      </w:r>
      <w:r>
        <w:rPr>
          <w:rFonts w:hint="eastAsia" w:ascii="仿宋" w:hAnsi="仿宋" w:eastAsia="仿宋" w:cs="仿宋"/>
          <w:sz w:val="24"/>
          <w:szCs w:val="24"/>
          <w:lang w:val="en-US" w:eastAsia="zh-CN"/>
        </w:rPr>
        <w:t>43</w:t>
      </w:r>
      <w:r>
        <w:rPr>
          <w:rFonts w:hint="eastAsia" w:ascii="仿宋" w:hAnsi="仿宋" w:eastAsia="仿宋" w:cs="仿宋"/>
          <w:sz w:val="24"/>
          <w:szCs w:val="24"/>
        </w:rPr>
        <w:t>号）、龙岩市永定区人民政府关于执行永定区城区和乡镇规划区国有土地基准地价修编成果的通知（永政综〔2018〕2号）。</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(二)估价标准依据</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1、中华人民共和国国家标准——房地产估价规范（GB/T 50291-2015）；</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2、中华人民共和国国家标准——房地产估价基本术语标准（GB/T 50899-2013）；</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3、城镇土地估价规程（GB/T 1</w:t>
      </w:r>
      <w:r>
        <w:rPr>
          <w:rFonts w:hint="eastAsia" w:ascii="仿宋" w:hAnsi="仿宋" w:eastAsia="仿宋" w:cs="仿宋"/>
          <w:sz w:val="24"/>
          <w:szCs w:val="24"/>
          <w:lang w:eastAsia="zh-CN"/>
        </w:rPr>
        <w:t>3048</w:t>
      </w:r>
      <w:r>
        <w:rPr>
          <w:rFonts w:hint="eastAsia" w:ascii="仿宋" w:hAnsi="仿宋" w:eastAsia="仿宋" w:cs="仿宋"/>
          <w:sz w:val="24"/>
          <w:szCs w:val="24"/>
        </w:rPr>
        <w:t>-2014）；</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4、房地产抵押估价指导意见（建住房[2006]8号）。</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(三)估价委托人提供的资料依据</w:t>
      </w:r>
      <w:bookmarkStart w:id="90" w:name="_GoBack"/>
      <w:bookmarkEnd w:id="90"/>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1、估价委托书；</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color w:val="auto"/>
          <w:kern w:val="15"/>
          <w:sz w:val="24"/>
          <w:szCs w:val="24"/>
          <w:lang w:eastAsia="zh-CN"/>
        </w:rPr>
        <w:t>《房屋产权证》（永房权证2010字第00306号）《国有土地证》（永国用（2009）第T047号）</w:t>
      </w:r>
      <w:r>
        <w:rPr>
          <w:rFonts w:hint="eastAsia" w:ascii="仿宋" w:hAnsi="仿宋" w:eastAsia="仿宋" w:cs="仿宋"/>
          <w:sz w:val="24"/>
          <w:szCs w:val="24"/>
        </w:rPr>
        <w:t>复印件；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3、房地产估价合同；</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、估价委托人身份证复印件。</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(四)估价机构及注册房地产估价师搜集的资料依据</w:t>
      </w:r>
    </w:p>
    <w:p>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1、估价对象地理位置示意图；</w:t>
      </w:r>
    </w:p>
    <w:p>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2、估价对象照片；</w:t>
      </w:r>
    </w:p>
    <w:p>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3、实地查勘记录；</w:t>
      </w:r>
    </w:p>
    <w:p>
      <w:pPr>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lang w:val="zh-CN"/>
        </w:rPr>
        <w:t>4、当地市场调查和搜集的相关资料。</w:t>
      </w:r>
    </w:p>
    <w:p>
      <w:pPr>
        <w:pStyle w:val="3"/>
        <w:ind w:firstLine="482" w:firstLineChars="200"/>
        <w:rPr>
          <w:rFonts w:hint="eastAsia" w:ascii="仿宋" w:hAnsi="仿宋" w:eastAsia="仿宋" w:cs="仿宋"/>
        </w:rPr>
      </w:pPr>
      <w:bookmarkStart w:id="51" w:name="_Toc17849"/>
      <w:r>
        <w:rPr>
          <w:rFonts w:hint="eastAsia" w:ascii="仿宋" w:hAnsi="仿宋" w:eastAsia="仿宋" w:cs="仿宋"/>
        </w:rPr>
        <w:t>九、估价方法</w:t>
      </w:r>
      <w:bookmarkEnd w:id="51"/>
    </w:p>
    <w:p>
      <w:pPr>
        <w:spacing w:line="360" w:lineRule="auto"/>
        <w:ind w:firstLine="480" w:firstLineChars="200"/>
        <w:rPr>
          <w:rFonts w:hint="eastAsia" w:ascii="仿宋" w:hAnsi="仿宋" w:eastAsia="仿宋" w:cs="仿宋"/>
          <w:kern w:val="2"/>
          <w:sz w:val="24"/>
          <w:szCs w:val="24"/>
          <w:lang w:val="en-US" w:eastAsia="zh-CN" w:bidi="ar-SA"/>
        </w:rPr>
      </w:pPr>
      <w:bookmarkStart w:id="52" w:name="估价方法选用及方法定义"/>
      <w:r>
        <w:rPr>
          <w:rFonts w:hint="eastAsia" w:ascii="仿宋" w:hAnsi="仿宋" w:eastAsia="仿宋" w:cs="仿宋"/>
          <w:kern w:val="2"/>
          <w:sz w:val="24"/>
          <w:szCs w:val="24"/>
          <w:lang w:val="en-US" w:eastAsia="zh-CN" w:bidi="ar-SA"/>
        </w:rPr>
        <w:t>比较法是预测估价对象的未来收益，利用报酬率或资本化率、收益乘数将未来收益转换为价值得到估价对象价值或价格的方法。</w:t>
      </w:r>
    </w:p>
    <w:bookmarkEnd w:id="52"/>
    <w:p>
      <w:pPr>
        <w:pStyle w:val="3"/>
        <w:ind w:firstLine="482" w:firstLineChars="200"/>
        <w:rPr>
          <w:rFonts w:hint="eastAsia" w:ascii="仿宋" w:hAnsi="仿宋" w:eastAsia="仿宋" w:cs="仿宋"/>
        </w:rPr>
      </w:pPr>
      <w:bookmarkStart w:id="53" w:name="_Toc20193"/>
      <w:r>
        <w:rPr>
          <w:rFonts w:hint="eastAsia" w:ascii="仿宋" w:hAnsi="仿宋" w:eastAsia="仿宋" w:cs="仿宋"/>
        </w:rPr>
        <w:t>十、估价结果</w:t>
      </w:r>
      <w:bookmarkEnd w:id="53"/>
    </w:p>
    <w:p>
      <w:pPr>
        <w:pStyle w:val="1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遵照有关的法律法规、政策文件和估价标准，根据估价委托人提供的相关资料以及本估价机构及注册房地产估价师掌握的资料，按照估价目的，遵循估价原则，采用适当估价方法进行了分析、测算和判断，在满足估价假设和限制条件下，估价对象于价值时点（</w:t>
      </w:r>
      <w:r>
        <w:rPr>
          <w:rFonts w:hint="eastAsia" w:ascii="仿宋" w:hAnsi="仿宋" w:eastAsia="仿宋" w:cs="仿宋"/>
          <w:sz w:val="24"/>
          <w:szCs w:val="24"/>
          <w:lang w:eastAsia="zh-CN"/>
        </w:rPr>
        <w:t>2022年10月13日</w:t>
      </w:r>
      <w:r>
        <w:rPr>
          <w:rFonts w:hint="eastAsia" w:ascii="仿宋" w:hAnsi="仿宋" w:eastAsia="仿宋" w:cs="仿宋"/>
          <w:sz w:val="24"/>
          <w:szCs w:val="24"/>
        </w:rPr>
        <w:t>）的估价结果见下表。</w:t>
      </w:r>
    </w:p>
    <w:p>
      <w:pPr>
        <w:pStyle w:val="10"/>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估价对象房地产</w:t>
      </w:r>
      <w:r>
        <w:rPr>
          <w:rFonts w:hint="eastAsia" w:ascii="仿宋" w:hAnsi="仿宋" w:eastAsia="仿宋" w:cs="仿宋"/>
          <w:sz w:val="24"/>
          <w:szCs w:val="24"/>
          <w:lang w:eastAsia="zh-CN"/>
        </w:rPr>
        <w:t>市场价值</w:t>
      </w:r>
      <w:r>
        <w:rPr>
          <w:rFonts w:hint="eastAsia" w:ascii="仿宋" w:hAnsi="仿宋" w:eastAsia="仿宋" w:cs="仿宋"/>
          <w:sz w:val="24"/>
          <w:szCs w:val="24"/>
        </w:rPr>
        <w:t>评估汇总表</w:t>
      </w:r>
    </w:p>
    <w:tbl>
      <w:tblPr>
        <w:tblStyle w:val="22"/>
        <w:tblW w:w="9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1408"/>
        <w:gridCol w:w="5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Align w:val="center"/>
          </w:tcPr>
          <w:p>
            <w:pPr>
              <w:snapToGrid w:val="0"/>
              <w:spacing w:line="240" w:lineRule="auto"/>
              <w:jc w:val="center"/>
              <w:rPr>
                <w:rFonts w:hint="eastAsia" w:ascii="仿宋" w:hAnsi="仿宋" w:eastAsia="仿宋" w:cs="仿宋"/>
                <w:b/>
                <w:bCs/>
                <w:color w:val="auto"/>
                <w:sz w:val="21"/>
                <w:szCs w:val="21"/>
                <w:lang w:eastAsia="zh-CN"/>
              </w:rPr>
            </w:pPr>
            <w:r>
              <w:rPr>
                <w:rFonts w:hint="eastAsia" w:ascii="仿宋" w:hAnsi="仿宋" w:eastAsia="仿宋" w:cs="仿宋"/>
                <w:b/>
                <w:bCs/>
                <w:color w:val="auto"/>
                <w:sz w:val="21"/>
                <w:szCs w:val="21"/>
                <w:lang w:eastAsia="zh-CN"/>
              </w:rPr>
              <w:t>项目内容</w:t>
            </w:r>
          </w:p>
        </w:tc>
        <w:tc>
          <w:tcPr>
            <w:tcW w:w="6801" w:type="dxa"/>
            <w:gridSpan w:val="2"/>
            <w:vAlign w:val="center"/>
          </w:tcPr>
          <w:p>
            <w:pPr>
              <w:spacing w:line="240" w:lineRule="auto"/>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估价结果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restart"/>
            <w:vAlign w:val="center"/>
          </w:tcPr>
          <w:p>
            <w:pPr>
              <w:wordWrap/>
              <w:adjustRightInd/>
              <w:snapToGrid/>
              <w:spacing w:line="240" w:lineRule="auto"/>
              <w:jc w:val="left"/>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1、假定未设立法定优先受偿权下的价值</w:t>
            </w:r>
          </w:p>
        </w:tc>
        <w:tc>
          <w:tcPr>
            <w:tcW w:w="1408" w:type="dxa"/>
            <w:vAlign w:val="center"/>
          </w:tcPr>
          <w:p>
            <w:pPr>
              <w:widowControl w:val="0"/>
              <w:wordWrap/>
              <w:adjustRightInd/>
              <w:snapToGrid/>
              <w:spacing w:line="240" w:lineRule="auto"/>
              <w:ind w:right="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rPr>
              <w:t>总额</w:t>
            </w:r>
          </w:p>
        </w:tc>
        <w:tc>
          <w:tcPr>
            <w:tcW w:w="5393" w:type="dxa"/>
            <w:vAlign w:val="center"/>
          </w:tcPr>
          <w:p>
            <w:pPr>
              <w:spacing w:line="240" w:lineRule="auto"/>
              <w:jc w:val="left"/>
              <w:rPr>
                <w:rFonts w:hint="eastAsia" w:ascii="仿宋" w:hAnsi="仿宋" w:eastAsia="仿宋" w:cs="仿宋"/>
                <w:b w:val="0"/>
                <w:bCs w:val="0"/>
                <w:color w:val="auto"/>
                <w:sz w:val="21"/>
                <w:szCs w:val="21"/>
                <w:lang w:val="en-US" w:eastAsia="zh-CN"/>
              </w:rPr>
            </w:pPr>
            <w:r>
              <w:rPr>
                <w:rFonts w:hint="eastAsia" w:ascii="仿宋" w:hAnsi="仿宋" w:eastAsia="仿宋" w:cs="仿宋"/>
                <w:b w:val="0"/>
                <w:bCs/>
                <w:color w:val="auto"/>
                <w:sz w:val="21"/>
                <w:szCs w:val="21"/>
                <w:lang w:val="en-US" w:eastAsia="zh-CN"/>
              </w:rPr>
              <w:t>人民币贰佰伍拾贰万陆仟伍佰元整（人民币252.65万元）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continue"/>
            <w:vAlign w:val="center"/>
          </w:tcPr>
          <w:p>
            <w:pPr>
              <w:wordWrap/>
              <w:adjustRightInd/>
              <w:snapToGrid/>
              <w:spacing w:line="240" w:lineRule="auto"/>
              <w:jc w:val="left"/>
              <w:rPr>
                <w:rFonts w:hint="eastAsia" w:ascii="仿宋" w:hAnsi="仿宋" w:eastAsia="仿宋" w:cs="仿宋"/>
                <w:b w:val="0"/>
                <w:bCs w:val="0"/>
                <w:color w:val="auto"/>
                <w:sz w:val="21"/>
                <w:szCs w:val="21"/>
              </w:rPr>
            </w:pPr>
          </w:p>
        </w:tc>
        <w:tc>
          <w:tcPr>
            <w:tcW w:w="1408" w:type="dxa"/>
            <w:vAlign w:val="center"/>
          </w:tcPr>
          <w:p>
            <w:pPr>
              <w:widowControl w:val="0"/>
              <w:wordWrap/>
              <w:adjustRightInd/>
              <w:snapToGrid/>
              <w:spacing w:line="240" w:lineRule="auto"/>
              <w:ind w:righ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color w:val="auto"/>
                <w:sz w:val="21"/>
                <w:szCs w:val="21"/>
                <w:lang w:eastAsia="zh-CN"/>
              </w:rPr>
              <w:t>单价</w:t>
            </w:r>
          </w:p>
        </w:tc>
        <w:tc>
          <w:tcPr>
            <w:tcW w:w="5393" w:type="dxa"/>
            <w:vAlign w:val="center"/>
          </w:tcPr>
          <w:p>
            <w:pPr>
              <w:spacing w:line="240" w:lineRule="auto"/>
              <w:jc w:val="left"/>
              <w:rPr>
                <w:rFonts w:hint="eastAsia" w:ascii="仿宋" w:hAnsi="仿宋" w:eastAsia="仿宋" w:cs="仿宋"/>
                <w:b w:val="0"/>
                <w:bCs w:val="0"/>
                <w:color w:val="auto"/>
                <w:sz w:val="21"/>
                <w:szCs w:val="21"/>
                <w:lang w:val="en-US" w:eastAsia="zh-CN"/>
              </w:rPr>
            </w:pPr>
            <w:r>
              <w:rPr>
                <w:rFonts w:hint="eastAsia" w:ascii="仿宋" w:hAnsi="仿宋" w:eastAsia="仿宋" w:cs="仿宋"/>
                <w:b w:val="0"/>
                <w:bCs/>
                <w:color w:val="auto"/>
                <w:sz w:val="21"/>
                <w:szCs w:val="21"/>
                <w:lang w:val="en-US" w:eastAsia="zh-CN"/>
              </w:rPr>
              <w:t>人民币2326元/平方米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Align w:val="center"/>
          </w:tcPr>
          <w:p>
            <w:pPr>
              <w:widowControl w:val="0"/>
              <w:wordWrap/>
              <w:adjustRightInd/>
              <w:snapToGrid/>
              <w:spacing w:line="240" w:lineRule="auto"/>
              <w:jc w:val="left"/>
              <w:textAlignment w:val="auto"/>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2、注册房地产估价师知悉的法定优先受偿款</w:t>
            </w:r>
          </w:p>
        </w:tc>
        <w:tc>
          <w:tcPr>
            <w:tcW w:w="6801" w:type="dxa"/>
            <w:gridSpan w:val="2"/>
            <w:vAlign w:val="center"/>
          </w:tcPr>
          <w:p>
            <w:pPr>
              <w:widowControl w:val="0"/>
              <w:wordWrap/>
              <w:adjustRightInd/>
              <w:snapToGrid/>
              <w:spacing w:line="240" w:lineRule="auto"/>
              <w:jc w:val="left"/>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人民币零元整（</w:t>
            </w:r>
            <w:r>
              <w:rPr>
                <w:rFonts w:hint="eastAsia" w:ascii="仿宋" w:hAnsi="仿宋" w:eastAsia="仿宋" w:cs="仿宋"/>
                <w:b w:val="0"/>
                <w:bCs w:val="0"/>
                <w:color w:val="auto"/>
                <w:sz w:val="21"/>
                <w:szCs w:val="21"/>
              </w:rPr>
              <w:t>人民币</w:t>
            </w:r>
            <w:r>
              <w:rPr>
                <w:rFonts w:hint="eastAsia" w:ascii="仿宋" w:hAnsi="仿宋" w:eastAsia="仿宋" w:cs="仿宋"/>
                <w:b w:val="0"/>
                <w:bCs w:val="0"/>
                <w:color w:val="auto"/>
                <w:sz w:val="21"/>
                <w:szCs w:val="21"/>
                <w:lang w:val="en-US" w:eastAsia="zh-CN"/>
              </w:rPr>
              <w:t>0</w:t>
            </w:r>
            <w:r>
              <w:rPr>
                <w:rFonts w:hint="eastAsia" w:ascii="仿宋" w:hAnsi="仿宋" w:eastAsia="仿宋" w:cs="仿宋"/>
                <w:b w:val="0"/>
                <w:bCs w:val="0"/>
                <w:color w:val="auto"/>
                <w:sz w:val="21"/>
                <w:szCs w:val="21"/>
              </w:rPr>
              <w:t>元</w:t>
            </w:r>
            <w:r>
              <w:rPr>
                <w:rFonts w:hint="eastAsia" w:ascii="仿宋" w:hAnsi="仿宋" w:eastAsia="仿宋" w:cs="仿宋"/>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restart"/>
            <w:vAlign w:val="center"/>
          </w:tcPr>
          <w:p>
            <w:pPr>
              <w:numPr>
                <w:ilvl w:val="0"/>
                <w:numId w:val="0"/>
              </w:numPr>
              <w:spacing w:afterLines="10" w:line="240" w:lineRule="auto"/>
              <w:jc w:val="left"/>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kern w:val="2"/>
                <w:sz w:val="21"/>
                <w:szCs w:val="21"/>
                <w:lang w:val="en-US" w:eastAsia="zh-CN" w:bidi="ar-SA"/>
              </w:rPr>
              <w:t>3、市场价值</w:t>
            </w:r>
          </w:p>
        </w:tc>
        <w:tc>
          <w:tcPr>
            <w:tcW w:w="1408" w:type="dxa"/>
            <w:vAlign w:val="center"/>
          </w:tcPr>
          <w:p>
            <w:pPr>
              <w:widowControl w:val="0"/>
              <w:wordWrap/>
              <w:adjustRightInd/>
              <w:snapToGrid/>
              <w:spacing w:line="240" w:lineRule="auto"/>
              <w:ind w:right="0"/>
              <w:jc w:val="center"/>
              <w:textAlignment w:val="auto"/>
              <w:rPr>
                <w:rFonts w:hint="default"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sz w:val="21"/>
                <w:szCs w:val="21"/>
              </w:rPr>
              <w:t>总额</w:t>
            </w:r>
          </w:p>
        </w:tc>
        <w:tc>
          <w:tcPr>
            <w:tcW w:w="5393" w:type="dxa"/>
            <w:vAlign w:val="center"/>
          </w:tcPr>
          <w:p>
            <w:pPr>
              <w:spacing w:line="240" w:lineRule="auto"/>
              <w:jc w:val="left"/>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color w:val="auto"/>
                <w:sz w:val="21"/>
                <w:szCs w:val="21"/>
                <w:lang w:val="en-US" w:eastAsia="zh-CN"/>
              </w:rPr>
              <w:t>人民币贰佰伍拾贰万陆仟伍佰元整（人民币252.65万元）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continue"/>
            <w:vAlign w:val="center"/>
          </w:tcPr>
          <w:p>
            <w:pPr>
              <w:numPr>
                <w:ilvl w:val="0"/>
                <w:numId w:val="0"/>
              </w:numPr>
              <w:spacing w:afterLines="10" w:line="240" w:lineRule="auto"/>
              <w:jc w:val="left"/>
              <w:rPr>
                <w:rFonts w:hint="eastAsia" w:ascii="仿宋" w:hAnsi="仿宋" w:eastAsia="仿宋" w:cs="仿宋"/>
                <w:b w:val="0"/>
                <w:bCs w:val="0"/>
                <w:color w:val="auto"/>
                <w:kern w:val="2"/>
                <w:sz w:val="21"/>
                <w:szCs w:val="21"/>
                <w:lang w:val="en-US" w:eastAsia="zh-CN" w:bidi="ar-SA"/>
              </w:rPr>
            </w:pPr>
          </w:p>
        </w:tc>
        <w:tc>
          <w:tcPr>
            <w:tcW w:w="1408" w:type="dxa"/>
            <w:vAlign w:val="center"/>
          </w:tcPr>
          <w:p>
            <w:pPr>
              <w:widowControl w:val="0"/>
              <w:wordWrap/>
              <w:adjustRightInd/>
              <w:snapToGrid/>
              <w:spacing w:line="240" w:lineRule="auto"/>
              <w:ind w:righ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color w:val="auto"/>
                <w:sz w:val="21"/>
                <w:szCs w:val="21"/>
                <w:lang w:eastAsia="zh-CN"/>
              </w:rPr>
              <w:t>单价</w:t>
            </w:r>
          </w:p>
        </w:tc>
        <w:tc>
          <w:tcPr>
            <w:tcW w:w="5393" w:type="dxa"/>
            <w:vAlign w:val="center"/>
          </w:tcPr>
          <w:p>
            <w:pPr>
              <w:spacing w:line="240" w:lineRule="auto"/>
              <w:jc w:val="left"/>
              <w:rPr>
                <w:rFonts w:hint="eastAsia" w:ascii="仿宋" w:hAnsi="仿宋" w:eastAsia="仿宋" w:cs="仿宋"/>
                <w:b w:val="0"/>
                <w:bCs w:val="0"/>
                <w:color w:val="auto"/>
                <w:sz w:val="21"/>
                <w:szCs w:val="21"/>
              </w:rPr>
            </w:pPr>
            <w:r>
              <w:rPr>
                <w:rFonts w:hint="eastAsia" w:ascii="仿宋" w:hAnsi="仿宋" w:eastAsia="仿宋" w:cs="仿宋"/>
                <w:b w:val="0"/>
                <w:bCs/>
                <w:color w:val="auto"/>
                <w:sz w:val="21"/>
                <w:szCs w:val="21"/>
                <w:lang w:val="en-US" w:eastAsia="zh-CN"/>
              </w:rPr>
              <w:t>人民币2326元/平方米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Align w:val="center"/>
          </w:tcPr>
          <w:p>
            <w:pPr>
              <w:numPr>
                <w:ilvl w:val="0"/>
                <w:numId w:val="0"/>
              </w:numPr>
              <w:spacing w:afterLines="10" w:line="240" w:lineRule="auto"/>
              <w:ind w:left="0" w:leftChars="0" w:firstLine="0" w:firstLineChars="0"/>
              <w:jc w:val="left"/>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sz w:val="21"/>
                <w:szCs w:val="21"/>
                <w:lang w:val="en-US" w:eastAsia="zh-CN"/>
              </w:rPr>
              <w:t>4、扣除预期实现抵押权的交易税费及处置费用</w:t>
            </w:r>
          </w:p>
        </w:tc>
        <w:tc>
          <w:tcPr>
            <w:tcW w:w="6801" w:type="dxa"/>
            <w:gridSpan w:val="2"/>
            <w:vAlign w:val="center"/>
          </w:tcPr>
          <w:p>
            <w:pPr>
              <w:wordWrap/>
              <w:adjustRightInd/>
              <w:snapToGrid/>
              <w:spacing w:line="240" w:lineRule="auto"/>
              <w:jc w:val="left"/>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sz w:val="21"/>
                <w:szCs w:val="21"/>
              </w:rPr>
              <w:t>人民币</w:t>
            </w:r>
            <w:r>
              <w:rPr>
                <w:rFonts w:hint="eastAsia" w:ascii="仿宋" w:hAnsi="仿宋" w:eastAsia="仿宋" w:cs="仿宋"/>
                <w:b w:val="0"/>
                <w:bCs w:val="0"/>
                <w:color w:val="auto"/>
                <w:sz w:val="21"/>
                <w:szCs w:val="21"/>
                <w:lang w:eastAsia="zh-CN"/>
              </w:rPr>
              <w:t>叁万柒仟玖佰元</w:t>
            </w:r>
            <w:r>
              <w:rPr>
                <w:rFonts w:hint="eastAsia" w:ascii="仿宋" w:hAnsi="仿宋" w:eastAsia="仿宋" w:cs="仿宋"/>
                <w:b w:val="0"/>
                <w:bCs w:val="0"/>
                <w:color w:val="auto"/>
                <w:sz w:val="21"/>
                <w:szCs w:val="21"/>
              </w:rPr>
              <w:t>整（人民币</w:t>
            </w:r>
            <w:r>
              <w:rPr>
                <w:rFonts w:hint="eastAsia" w:ascii="仿宋" w:hAnsi="仿宋" w:eastAsia="仿宋" w:cs="仿宋"/>
                <w:b w:val="0"/>
                <w:bCs w:val="0"/>
                <w:color w:val="auto"/>
                <w:sz w:val="21"/>
                <w:szCs w:val="21"/>
                <w:lang w:val="en-US" w:eastAsia="zh-CN"/>
              </w:rPr>
              <w:t>3.79万元</w:t>
            </w:r>
            <w:r>
              <w:rPr>
                <w:rFonts w:hint="eastAsia" w:ascii="仿宋" w:hAnsi="仿宋" w:eastAsia="仿宋" w:cs="仿宋"/>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restart"/>
            <w:vAlign w:val="center"/>
          </w:tcPr>
          <w:p>
            <w:pPr>
              <w:numPr>
                <w:ilvl w:val="0"/>
                <w:numId w:val="0"/>
              </w:numPr>
              <w:spacing w:afterLines="10" w:line="240" w:lineRule="auto"/>
              <w:ind w:left="0" w:leftChars="0" w:firstLine="0" w:firstLineChars="0"/>
              <w:jc w:val="left"/>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5、抵押净值</w:t>
            </w:r>
          </w:p>
        </w:tc>
        <w:tc>
          <w:tcPr>
            <w:tcW w:w="1408" w:type="dxa"/>
            <w:vAlign w:val="center"/>
          </w:tcPr>
          <w:p>
            <w:pPr>
              <w:widowControl w:val="0"/>
              <w:wordWrap/>
              <w:adjustRightInd/>
              <w:snapToGrid/>
              <w:spacing w:line="240" w:lineRule="auto"/>
              <w:ind w:right="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总额</w:t>
            </w:r>
          </w:p>
        </w:tc>
        <w:tc>
          <w:tcPr>
            <w:tcW w:w="5393" w:type="dxa"/>
            <w:vAlign w:val="center"/>
          </w:tcPr>
          <w:p>
            <w:pPr>
              <w:widowControl w:val="0"/>
              <w:wordWrap/>
              <w:adjustRightInd/>
              <w:snapToGrid/>
              <w:spacing w:line="240" w:lineRule="auto"/>
              <w:ind w:right="0"/>
              <w:jc w:val="both"/>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rPr>
              <w:t>人民币</w:t>
            </w:r>
            <w:r>
              <w:rPr>
                <w:rFonts w:hint="eastAsia" w:ascii="仿宋" w:hAnsi="仿宋" w:eastAsia="仿宋" w:cs="仿宋"/>
                <w:b w:val="0"/>
                <w:bCs w:val="0"/>
                <w:color w:val="auto"/>
                <w:sz w:val="21"/>
                <w:szCs w:val="21"/>
                <w:lang w:eastAsia="zh-CN"/>
              </w:rPr>
              <w:t>贰佰肆拾捌万捌仟陆佰元</w:t>
            </w:r>
            <w:r>
              <w:rPr>
                <w:rFonts w:hint="eastAsia" w:ascii="仿宋" w:hAnsi="仿宋" w:eastAsia="仿宋" w:cs="仿宋"/>
                <w:b w:val="0"/>
                <w:bCs w:val="0"/>
                <w:color w:val="auto"/>
                <w:sz w:val="21"/>
                <w:szCs w:val="21"/>
              </w:rPr>
              <w:t>整（人民币</w:t>
            </w:r>
            <w:r>
              <w:rPr>
                <w:rFonts w:hint="eastAsia" w:ascii="仿宋" w:hAnsi="仿宋" w:eastAsia="仿宋" w:cs="仿宋"/>
                <w:b w:val="0"/>
                <w:bCs w:val="0"/>
                <w:color w:val="auto"/>
                <w:sz w:val="21"/>
                <w:szCs w:val="21"/>
                <w:lang w:val="en-US" w:eastAsia="zh-CN"/>
              </w:rPr>
              <w:t>248.86万元</w:t>
            </w:r>
            <w:r>
              <w:rPr>
                <w:rFonts w:hint="eastAsia" w:ascii="仿宋" w:hAnsi="仿宋" w:eastAsia="仿宋" w:cs="仿宋"/>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continue"/>
            <w:vAlign w:val="center"/>
          </w:tcPr>
          <w:p>
            <w:pPr>
              <w:numPr>
                <w:ilvl w:val="0"/>
                <w:numId w:val="0"/>
              </w:numPr>
              <w:spacing w:afterLines="10" w:line="240" w:lineRule="auto"/>
              <w:ind w:left="0" w:leftChars="0" w:firstLine="0" w:firstLineChars="0"/>
              <w:jc w:val="left"/>
              <w:rPr>
                <w:rFonts w:hint="eastAsia" w:ascii="仿宋" w:hAnsi="仿宋" w:eastAsia="仿宋" w:cs="仿宋"/>
                <w:b w:val="0"/>
                <w:bCs w:val="0"/>
                <w:color w:val="auto"/>
                <w:sz w:val="21"/>
                <w:szCs w:val="21"/>
                <w:lang w:val="en-US" w:eastAsia="zh-CN"/>
              </w:rPr>
            </w:pPr>
          </w:p>
        </w:tc>
        <w:tc>
          <w:tcPr>
            <w:tcW w:w="1408" w:type="dxa"/>
            <w:vAlign w:val="center"/>
          </w:tcPr>
          <w:p>
            <w:pPr>
              <w:widowControl w:val="0"/>
              <w:wordWrap/>
              <w:adjustRightInd/>
              <w:snapToGrid/>
              <w:spacing w:line="240" w:lineRule="auto"/>
              <w:ind w:righ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color w:val="auto"/>
                <w:sz w:val="21"/>
                <w:szCs w:val="21"/>
                <w:lang w:val="en-US" w:eastAsia="zh-CN"/>
              </w:rPr>
              <w:t>单价</w:t>
            </w:r>
          </w:p>
        </w:tc>
        <w:tc>
          <w:tcPr>
            <w:tcW w:w="5393" w:type="dxa"/>
            <w:vAlign w:val="center"/>
          </w:tcPr>
          <w:p>
            <w:pPr>
              <w:widowControl w:val="0"/>
              <w:wordWrap/>
              <w:adjustRightInd/>
              <w:snapToGrid/>
              <w:spacing w:line="240" w:lineRule="auto"/>
              <w:ind w:right="0"/>
              <w:jc w:val="both"/>
              <w:textAlignment w:val="auto"/>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lang w:eastAsia="zh-CN"/>
              </w:rPr>
              <w:t>人民币</w:t>
            </w:r>
            <w:r>
              <w:rPr>
                <w:rFonts w:hint="eastAsia" w:ascii="仿宋" w:hAnsi="仿宋" w:eastAsia="仿宋" w:cs="仿宋"/>
                <w:b w:val="0"/>
                <w:bCs w:val="0"/>
                <w:color w:val="auto"/>
                <w:sz w:val="21"/>
                <w:szCs w:val="21"/>
                <w:lang w:val="en-US" w:eastAsia="zh-CN"/>
              </w:rPr>
              <w:t>2291元/平方米</w:t>
            </w:r>
          </w:p>
        </w:tc>
      </w:tr>
    </w:tbl>
    <w:p>
      <w:pPr>
        <w:widowControl w:val="0"/>
        <w:wordWrap/>
        <w:adjustRightInd/>
        <w:snapToGrid/>
        <w:spacing w:line="360" w:lineRule="auto"/>
        <w:ind w:firstLine="420" w:firstLineChars="200"/>
        <w:textAlignment w:val="auto"/>
        <w:rPr>
          <w:rFonts w:hint="eastAsia" w:ascii="仿宋" w:hAnsi="仿宋" w:eastAsia="仿宋" w:cs="仿宋"/>
          <w:bCs/>
          <w:szCs w:val="21"/>
        </w:rPr>
      </w:pPr>
      <w:r>
        <w:rPr>
          <w:rFonts w:hint="eastAsia" w:ascii="仿宋" w:hAnsi="仿宋" w:eastAsia="仿宋" w:cs="仿宋"/>
          <w:bCs/>
          <w:szCs w:val="24"/>
        </w:rPr>
        <w:t>估价结果内涵为在满足本次估价假设和限制条件下：1、包括建筑、分摊的</w:t>
      </w:r>
      <w:r>
        <w:rPr>
          <w:rFonts w:hint="eastAsia" w:ascii="仿宋" w:hAnsi="仿宋" w:eastAsia="仿宋" w:cs="仿宋"/>
          <w:bCs/>
          <w:szCs w:val="24"/>
          <w:lang w:eastAsia="zh-CN"/>
        </w:rPr>
        <w:t>土地使用权（含土地出让金）</w:t>
      </w:r>
      <w:r>
        <w:rPr>
          <w:rFonts w:hint="eastAsia" w:ascii="仿宋" w:hAnsi="仿宋" w:eastAsia="仿宋" w:cs="仿宋"/>
          <w:bCs/>
          <w:szCs w:val="24"/>
        </w:rPr>
        <w:t>及公共配套设施，不包括动产、债权债务、特许经营权等其他财产或权益；2、付款方式是一次性付清房价款（包括首付款及按揭贷款）；3、房屋面积内涵是建筑面积；4、开发程度为现房，具备“五通一平”；5、已扣除预期实现抵押权的处置费用和税金</w:t>
      </w:r>
      <w:r>
        <w:rPr>
          <w:rFonts w:hint="eastAsia" w:ascii="仿宋" w:hAnsi="仿宋" w:eastAsia="仿宋" w:cs="仿宋"/>
          <w:bCs/>
          <w:szCs w:val="21"/>
        </w:rPr>
        <w:t>。</w:t>
      </w:r>
    </w:p>
    <w:p>
      <w:pPr>
        <w:pStyle w:val="3"/>
        <w:widowControl w:val="0"/>
        <w:wordWrap/>
        <w:adjustRightInd/>
        <w:snapToGrid/>
        <w:ind w:firstLine="482" w:firstLineChars="200"/>
        <w:textAlignment w:val="auto"/>
        <w:rPr>
          <w:rFonts w:hint="eastAsia" w:ascii="仿宋" w:hAnsi="仿宋" w:eastAsia="仿宋" w:cs="仿宋"/>
        </w:rPr>
      </w:pPr>
      <w:bookmarkStart w:id="54" w:name="_Toc23229"/>
      <w:r>
        <w:rPr>
          <w:rFonts w:hint="eastAsia" w:ascii="仿宋" w:hAnsi="仿宋" w:eastAsia="仿宋" w:cs="仿宋"/>
        </w:rPr>
        <w:t>十一、注册房地产估价师</w:t>
      </w:r>
      <w:bookmarkEnd w:id="54"/>
    </w:p>
    <w:p>
      <w:pPr>
        <w:pStyle w:val="11"/>
        <w:widowControl w:val="0"/>
        <w:wordWrap/>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参加本次估价的中国注册房地产估价师</w:t>
      </w:r>
    </w:p>
    <w:tbl>
      <w:tblPr>
        <w:tblStyle w:val="22"/>
        <w:tblW w:w="90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29"/>
        <w:gridCol w:w="2205"/>
        <w:gridCol w:w="2310"/>
        <w:gridCol w:w="27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1729" w:type="dxa"/>
            <w:tcBorders>
              <w:top w:val="double" w:color="auto" w:sz="4" w:space="0"/>
              <w:left w:val="double" w:color="auto" w:sz="4" w:space="0"/>
              <w:bottom w:val="single" w:color="auto" w:sz="4" w:space="0"/>
              <w:right w:val="single" w:color="auto" w:sz="4" w:space="0"/>
            </w:tcBorders>
            <w:vAlign w:val="center"/>
          </w:tcPr>
          <w:p>
            <w:pPr>
              <w:ind w:left="-178" w:leftChars="-85" w:right="-178" w:rightChars="-85"/>
              <w:jc w:val="center"/>
              <w:rPr>
                <w:rFonts w:hint="eastAsia" w:ascii="仿宋" w:hAnsi="仿宋" w:eastAsia="仿宋" w:cs="仿宋"/>
                <w:sz w:val="24"/>
              </w:rPr>
            </w:pPr>
            <w:bookmarkStart w:id="55" w:name="_Toc17274"/>
            <w:r>
              <w:rPr>
                <w:rFonts w:hint="eastAsia" w:ascii="仿宋" w:hAnsi="仿宋" w:eastAsia="仿宋" w:cs="仿宋"/>
                <w:sz w:val="24"/>
              </w:rPr>
              <w:t>姓名</w:t>
            </w:r>
          </w:p>
        </w:tc>
        <w:tc>
          <w:tcPr>
            <w:tcW w:w="2205" w:type="dxa"/>
            <w:tcBorders>
              <w:top w:val="double" w:color="auto" w:sz="4" w:space="0"/>
              <w:left w:val="nil"/>
              <w:bottom w:val="single" w:color="auto" w:sz="4" w:space="0"/>
              <w:right w:val="single" w:color="auto" w:sz="4" w:space="0"/>
            </w:tcBorders>
            <w:vAlign w:val="center"/>
          </w:tcPr>
          <w:p>
            <w:pPr>
              <w:ind w:left="-178" w:leftChars="-85" w:right="-178" w:rightChars="-85"/>
              <w:jc w:val="center"/>
              <w:rPr>
                <w:rFonts w:hint="eastAsia" w:ascii="仿宋" w:hAnsi="仿宋" w:eastAsia="仿宋" w:cs="仿宋"/>
                <w:sz w:val="24"/>
              </w:rPr>
            </w:pPr>
            <w:r>
              <w:rPr>
                <w:rFonts w:hint="eastAsia" w:ascii="仿宋" w:hAnsi="仿宋" w:eastAsia="仿宋" w:cs="仿宋"/>
                <w:sz w:val="24"/>
              </w:rPr>
              <w:t>注册号</w:t>
            </w:r>
          </w:p>
        </w:tc>
        <w:tc>
          <w:tcPr>
            <w:tcW w:w="2310" w:type="dxa"/>
            <w:tcBorders>
              <w:top w:val="double" w:color="auto" w:sz="4" w:space="0"/>
              <w:left w:val="nil"/>
              <w:bottom w:val="single" w:color="auto" w:sz="4" w:space="0"/>
              <w:right w:val="single" w:color="auto" w:sz="4" w:space="0"/>
            </w:tcBorders>
            <w:vAlign w:val="center"/>
          </w:tcPr>
          <w:p>
            <w:pPr>
              <w:ind w:left="-178" w:leftChars="-85" w:right="-178" w:rightChars="-85"/>
              <w:jc w:val="center"/>
              <w:rPr>
                <w:rFonts w:hint="eastAsia" w:ascii="仿宋" w:hAnsi="仿宋" w:eastAsia="仿宋" w:cs="仿宋"/>
                <w:sz w:val="24"/>
              </w:rPr>
            </w:pPr>
            <w:r>
              <w:rPr>
                <w:rFonts w:hint="eastAsia" w:ascii="仿宋" w:hAnsi="仿宋" w:eastAsia="仿宋" w:cs="仿宋"/>
                <w:sz w:val="24"/>
              </w:rPr>
              <w:t>签名</w:t>
            </w:r>
          </w:p>
        </w:tc>
        <w:tc>
          <w:tcPr>
            <w:tcW w:w="2758" w:type="dxa"/>
            <w:tcBorders>
              <w:top w:val="double" w:color="auto" w:sz="4" w:space="0"/>
              <w:left w:val="single" w:color="auto" w:sz="4" w:space="0"/>
              <w:bottom w:val="single" w:color="auto" w:sz="4" w:space="0"/>
              <w:right w:val="double" w:color="auto" w:sz="4" w:space="0"/>
            </w:tcBorders>
            <w:vAlign w:val="center"/>
          </w:tcPr>
          <w:p>
            <w:pPr>
              <w:ind w:right="-178" w:rightChars="-85"/>
              <w:jc w:val="center"/>
              <w:rPr>
                <w:rFonts w:hint="eastAsia" w:ascii="仿宋" w:hAnsi="仿宋" w:eastAsia="仿宋" w:cs="仿宋"/>
                <w:sz w:val="24"/>
              </w:rPr>
            </w:pPr>
            <w:r>
              <w:rPr>
                <w:rFonts w:hint="eastAsia" w:ascii="仿宋" w:hAnsi="仿宋" w:eastAsia="仿宋" w:cs="仿宋"/>
                <w:sz w:val="24"/>
              </w:rPr>
              <w:t>签名日期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1" w:hRule="atLeast"/>
          <w:jc w:val="center"/>
        </w:trPr>
        <w:tc>
          <w:tcPr>
            <w:tcW w:w="1729" w:type="dxa"/>
            <w:tcBorders>
              <w:top w:val="single" w:color="auto" w:sz="4" w:space="0"/>
              <w:left w:val="double" w:color="auto" w:sz="4" w:space="0"/>
              <w:bottom w:val="single" w:color="auto" w:sz="4" w:space="0"/>
              <w:right w:val="single" w:color="auto" w:sz="4" w:space="0"/>
            </w:tcBorders>
            <w:vAlign w:val="center"/>
          </w:tcPr>
          <w:p>
            <w:pPr>
              <w:ind w:left="-178" w:leftChars="-85" w:right="-178" w:rightChars="-85"/>
              <w:jc w:val="center"/>
              <w:rPr>
                <w:rFonts w:hint="eastAsia" w:ascii="仿宋" w:hAnsi="仿宋" w:eastAsia="仿宋" w:cs="仿宋"/>
                <w:sz w:val="24"/>
                <w:lang w:eastAsia="zh-CN"/>
              </w:rPr>
            </w:pPr>
            <w:r>
              <w:rPr>
                <w:rFonts w:hint="eastAsia" w:ascii="仿宋" w:hAnsi="仿宋" w:eastAsia="仿宋" w:cs="仿宋"/>
                <w:sz w:val="24"/>
                <w:lang w:eastAsia="zh-CN"/>
              </w:rPr>
              <w:t>赵少聪</w:t>
            </w:r>
          </w:p>
        </w:tc>
        <w:tc>
          <w:tcPr>
            <w:tcW w:w="2205" w:type="dxa"/>
            <w:tcBorders>
              <w:top w:val="single" w:color="auto" w:sz="4" w:space="0"/>
              <w:left w:val="nil"/>
              <w:bottom w:val="single" w:color="auto" w:sz="4" w:space="0"/>
              <w:right w:val="single" w:color="auto" w:sz="4" w:space="0"/>
            </w:tcBorders>
            <w:vAlign w:val="center"/>
          </w:tcPr>
          <w:p>
            <w:pPr>
              <w:tabs>
                <w:tab w:val="left" w:pos="6600"/>
              </w:tabs>
              <w:jc w:val="center"/>
              <w:rPr>
                <w:rFonts w:hint="eastAsia" w:ascii="仿宋" w:hAnsi="仿宋" w:eastAsia="仿宋" w:cs="仿宋"/>
                <w:sz w:val="24"/>
                <w:lang w:eastAsia="zh-CN"/>
              </w:rPr>
            </w:pPr>
            <w:r>
              <w:rPr>
                <w:rFonts w:hint="eastAsia" w:ascii="仿宋" w:hAnsi="仿宋" w:eastAsia="仿宋" w:cs="仿宋"/>
                <w:sz w:val="24"/>
                <w:lang w:eastAsia="zh-CN"/>
              </w:rPr>
              <w:t>3520100022</w:t>
            </w:r>
          </w:p>
        </w:tc>
        <w:tc>
          <w:tcPr>
            <w:tcW w:w="2310" w:type="dxa"/>
            <w:tcBorders>
              <w:top w:val="single" w:color="auto" w:sz="4" w:space="0"/>
              <w:left w:val="nil"/>
              <w:bottom w:val="single" w:color="auto" w:sz="4" w:space="0"/>
              <w:right w:val="single" w:color="auto" w:sz="4" w:space="0"/>
            </w:tcBorders>
            <w:vAlign w:val="center"/>
          </w:tcPr>
          <w:p>
            <w:pPr>
              <w:ind w:left="-178" w:leftChars="-85" w:right="-178" w:rightChars="-85"/>
              <w:rPr>
                <w:rFonts w:hint="eastAsia" w:ascii="仿宋" w:hAnsi="仿宋" w:eastAsia="仿宋" w:cs="仿宋"/>
                <w:sz w:val="24"/>
              </w:rPr>
            </w:pPr>
          </w:p>
        </w:tc>
        <w:tc>
          <w:tcPr>
            <w:tcW w:w="2758" w:type="dxa"/>
            <w:tcBorders>
              <w:top w:val="single" w:color="auto" w:sz="4" w:space="0"/>
              <w:left w:val="single" w:color="auto" w:sz="4" w:space="0"/>
              <w:bottom w:val="single" w:color="auto" w:sz="4" w:space="0"/>
              <w:right w:val="double" w:color="auto" w:sz="4" w:space="0"/>
            </w:tcBorders>
            <w:vAlign w:val="center"/>
          </w:tcPr>
          <w:p>
            <w:pPr>
              <w:ind w:left="-178" w:leftChars="-85" w:right="-178" w:rightChars="-85"/>
              <w:rPr>
                <w:rFonts w:hint="eastAsia" w:ascii="仿宋" w:hAnsi="仿宋" w:eastAsia="仿宋" w:cs="仿宋"/>
                <w:sz w:val="24"/>
              </w:rPr>
            </w:pPr>
            <w:r>
              <w:rPr>
                <w:rFonts w:hint="eastAsia" w:ascii="仿宋" w:hAnsi="仿宋" w:eastAsia="仿宋" w:cs="仿宋"/>
                <w:sz w:val="24"/>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jc w:val="center"/>
        </w:trPr>
        <w:tc>
          <w:tcPr>
            <w:tcW w:w="1729" w:type="dxa"/>
            <w:tcBorders>
              <w:top w:val="single" w:color="auto" w:sz="4" w:space="0"/>
              <w:left w:val="double" w:color="auto" w:sz="4" w:space="0"/>
              <w:bottom w:val="double" w:color="auto" w:sz="4" w:space="0"/>
              <w:right w:val="single" w:color="auto" w:sz="4" w:space="0"/>
            </w:tcBorders>
            <w:vAlign w:val="center"/>
          </w:tcPr>
          <w:p>
            <w:pPr>
              <w:ind w:left="-178" w:leftChars="-85" w:right="-178" w:rightChars="-85"/>
              <w:jc w:val="center"/>
              <w:rPr>
                <w:rFonts w:hint="eastAsia" w:ascii="仿宋" w:hAnsi="仿宋" w:eastAsia="仿宋" w:cs="仿宋"/>
                <w:sz w:val="24"/>
                <w:lang w:eastAsia="zh-CN"/>
              </w:rPr>
            </w:pPr>
            <w:r>
              <w:rPr>
                <w:rFonts w:hint="eastAsia" w:ascii="仿宋" w:hAnsi="仿宋" w:eastAsia="仿宋" w:cs="仿宋"/>
                <w:sz w:val="24"/>
                <w:lang w:eastAsia="zh-CN"/>
              </w:rPr>
              <w:t>李凤娥</w:t>
            </w:r>
          </w:p>
        </w:tc>
        <w:tc>
          <w:tcPr>
            <w:tcW w:w="2205" w:type="dxa"/>
            <w:tcBorders>
              <w:top w:val="single" w:color="auto" w:sz="4" w:space="0"/>
              <w:left w:val="nil"/>
              <w:bottom w:val="double" w:color="auto" w:sz="4" w:space="0"/>
              <w:right w:val="single" w:color="auto" w:sz="4" w:space="0"/>
            </w:tcBorders>
            <w:vAlign w:val="center"/>
          </w:tcPr>
          <w:p>
            <w:pPr>
              <w:tabs>
                <w:tab w:val="left" w:pos="6600"/>
              </w:tabs>
              <w:jc w:val="center"/>
              <w:rPr>
                <w:rFonts w:hint="eastAsia" w:ascii="仿宋" w:hAnsi="仿宋" w:eastAsia="仿宋" w:cs="仿宋"/>
                <w:sz w:val="24"/>
                <w:lang w:eastAsia="zh-CN"/>
              </w:rPr>
            </w:pPr>
            <w:r>
              <w:rPr>
                <w:rFonts w:hint="eastAsia" w:ascii="仿宋" w:hAnsi="仿宋" w:eastAsia="仿宋" w:cs="仿宋"/>
                <w:sz w:val="24"/>
                <w:lang w:eastAsia="zh-CN"/>
              </w:rPr>
              <w:t>3520200015</w:t>
            </w:r>
          </w:p>
        </w:tc>
        <w:tc>
          <w:tcPr>
            <w:tcW w:w="2310" w:type="dxa"/>
            <w:tcBorders>
              <w:top w:val="single" w:color="auto" w:sz="4" w:space="0"/>
              <w:left w:val="nil"/>
              <w:bottom w:val="double" w:color="auto" w:sz="4" w:space="0"/>
              <w:right w:val="single" w:color="auto" w:sz="4" w:space="0"/>
            </w:tcBorders>
            <w:vAlign w:val="center"/>
          </w:tcPr>
          <w:p>
            <w:pPr>
              <w:ind w:left="-178" w:leftChars="-85" w:right="-178" w:rightChars="-85"/>
              <w:rPr>
                <w:rFonts w:hint="eastAsia" w:ascii="仿宋" w:hAnsi="仿宋" w:eastAsia="仿宋" w:cs="仿宋"/>
                <w:sz w:val="24"/>
              </w:rPr>
            </w:pPr>
          </w:p>
        </w:tc>
        <w:tc>
          <w:tcPr>
            <w:tcW w:w="2758" w:type="dxa"/>
            <w:tcBorders>
              <w:top w:val="single" w:color="auto" w:sz="4" w:space="0"/>
              <w:left w:val="single" w:color="auto" w:sz="4" w:space="0"/>
              <w:bottom w:val="double" w:color="auto" w:sz="4" w:space="0"/>
              <w:right w:val="double" w:color="auto" w:sz="4" w:space="0"/>
            </w:tcBorders>
            <w:vAlign w:val="center"/>
          </w:tcPr>
          <w:p>
            <w:pPr>
              <w:ind w:left="-178" w:leftChars="-85" w:right="-178" w:rightChars="-85"/>
              <w:rPr>
                <w:rFonts w:hint="eastAsia" w:ascii="仿宋" w:hAnsi="仿宋" w:eastAsia="仿宋" w:cs="仿宋"/>
                <w:sz w:val="24"/>
              </w:rPr>
            </w:pPr>
            <w:r>
              <w:rPr>
                <w:rFonts w:hint="eastAsia" w:ascii="仿宋" w:hAnsi="仿宋" w:eastAsia="仿宋" w:cs="仿宋"/>
                <w:sz w:val="24"/>
              </w:rPr>
              <w:t xml:space="preserve">        年   月   日</w:t>
            </w:r>
          </w:p>
        </w:tc>
      </w:tr>
      <w:bookmarkEnd w:id="55"/>
    </w:tbl>
    <w:p>
      <w:pPr>
        <w:pStyle w:val="3"/>
        <w:widowControl w:val="0"/>
        <w:wordWrap/>
        <w:ind w:firstLine="482" w:firstLineChars="200"/>
        <w:textAlignment w:val="auto"/>
        <w:rPr>
          <w:rFonts w:hint="eastAsia" w:ascii="仿宋" w:hAnsi="仿宋" w:eastAsia="仿宋" w:cs="仿宋"/>
        </w:rPr>
      </w:pPr>
      <w:bookmarkStart w:id="56" w:name="_Toc2398"/>
      <w:r>
        <w:rPr>
          <w:rFonts w:hint="eastAsia" w:ascii="仿宋" w:hAnsi="仿宋" w:eastAsia="仿宋" w:cs="仿宋"/>
        </w:rPr>
        <w:t>十二、实地查勘期</w:t>
      </w:r>
      <w:bookmarkEnd w:id="56"/>
    </w:p>
    <w:p>
      <w:pPr>
        <w:widowControl w:val="0"/>
        <w:wordWrap/>
        <w:adjustRightInd w:val="0"/>
        <w:snapToGrid w:val="0"/>
        <w:spacing w:line="360" w:lineRule="auto"/>
        <w:ind w:firstLine="480" w:firstLineChars="200"/>
        <w:textAlignment w:val="auto"/>
        <w:rPr>
          <w:rFonts w:hint="eastAsia" w:ascii="仿宋" w:hAnsi="仿宋" w:eastAsia="仿宋" w:cs="仿宋"/>
        </w:rPr>
      </w:pPr>
      <w:r>
        <w:rPr>
          <w:rFonts w:hint="eastAsia" w:ascii="仿宋" w:hAnsi="仿宋" w:eastAsia="仿宋" w:cs="仿宋"/>
          <w:sz w:val="24"/>
          <w:szCs w:val="24"/>
        </w:rPr>
        <w:t>实地查勘日：</w:t>
      </w:r>
      <w:bookmarkStart w:id="57" w:name="_Toc28241"/>
      <w:r>
        <w:rPr>
          <w:rFonts w:hint="eastAsia" w:ascii="仿宋" w:hAnsi="仿宋" w:eastAsia="仿宋" w:cs="仿宋"/>
          <w:sz w:val="24"/>
          <w:szCs w:val="24"/>
          <w:lang w:eastAsia="zh-CN"/>
        </w:rPr>
        <w:t>2022年10月13日。</w:t>
      </w:r>
    </w:p>
    <w:p>
      <w:pPr>
        <w:pStyle w:val="3"/>
        <w:widowControl w:val="0"/>
        <w:wordWrap/>
        <w:ind w:firstLine="482" w:firstLineChars="200"/>
        <w:textAlignment w:val="auto"/>
        <w:rPr>
          <w:rFonts w:hint="eastAsia" w:ascii="仿宋" w:hAnsi="仿宋" w:eastAsia="仿宋" w:cs="仿宋"/>
        </w:rPr>
      </w:pPr>
      <w:r>
        <w:rPr>
          <w:rFonts w:hint="eastAsia" w:ascii="仿宋" w:hAnsi="仿宋" w:eastAsia="仿宋" w:cs="仿宋"/>
        </w:rPr>
        <w:t>十三、估价作业期</w:t>
      </w:r>
      <w:bookmarkEnd w:id="57"/>
    </w:p>
    <w:p>
      <w:pPr>
        <w:widowControl w:val="0"/>
        <w:wordWrap/>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估价作业期：</w:t>
      </w:r>
      <w:r>
        <w:rPr>
          <w:rFonts w:hint="eastAsia" w:ascii="仿宋" w:hAnsi="仿宋" w:eastAsia="仿宋" w:cs="仿宋"/>
          <w:sz w:val="24"/>
          <w:szCs w:val="24"/>
          <w:lang w:eastAsia="zh-CN"/>
        </w:rPr>
        <w:t>2022年10月13日</w:t>
      </w:r>
      <w:r>
        <w:rPr>
          <w:rFonts w:hint="eastAsia" w:ascii="仿宋" w:hAnsi="仿宋" w:eastAsia="仿宋" w:cs="仿宋"/>
          <w:sz w:val="24"/>
          <w:szCs w:val="24"/>
        </w:rPr>
        <w:t>起至</w:t>
      </w:r>
      <w:r>
        <w:rPr>
          <w:rFonts w:hint="eastAsia" w:ascii="仿宋" w:hAnsi="仿宋" w:eastAsia="仿宋" w:cs="仿宋"/>
          <w:sz w:val="24"/>
          <w:szCs w:val="24"/>
          <w:lang w:eastAsia="zh-CN"/>
        </w:rPr>
        <w:t>2022年10月14日</w:t>
      </w:r>
      <w:r>
        <w:rPr>
          <w:rFonts w:hint="eastAsia" w:ascii="仿宋" w:hAnsi="仿宋" w:eastAsia="仿宋" w:cs="仿宋"/>
          <w:sz w:val="24"/>
          <w:szCs w:val="24"/>
        </w:rPr>
        <w:t>。</w:t>
      </w:r>
    </w:p>
    <w:p>
      <w:pPr>
        <w:widowControl w:val="0"/>
        <w:wordWrap/>
        <w:spacing w:line="360" w:lineRule="auto"/>
        <w:jc w:val="right"/>
        <w:textAlignment w:val="auto"/>
        <w:rPr>
          <w:rFonts w:hint="eastAsia" w:ascii="仿宋" w:hAnsi="仿宋" w:eastAsia="仿宋" w:cs="仿宋"/>
          <w:sz w:val="24"/>
          <w:szCs w:val="24"/>
        </w:rPr>
      </w:pPr>
    </w:p>
    <w:p>
      <w:pPr>
        <w:widowControl w:val="0"/>
        <w:wordWrap/>
        <w:spacing w:line="360" w:lineRule="auto"/>
        <w:jc w:val="right"/>
        <w:textAlignment w:val="auto"/>
        <w:rPr>
          <w:rFonts w:hint="eastAsia" w:ascii="仿宋" w:hAnsi="仿宋" w:eastAsia="仿宋" w:cs="仿宋"/>
          <w:sz w:val="24"/>
          <w:szCs w:val="24"/>
        </w:rPr>
      </w:pPr>
      <w:r>
        <w:rPr>
          <w:rFonts w:hint="eastAsia" w:ascii="仿宋" w:hAnsi="仿宋" w:eastAsia="仿宋" w:cs="仿宋"/>
          <w:sz w:val="24"/>
          <w:szCs w:val="24"/>
        </w:rPr>
        <w:t>厦门翰和资产评估土地房地产估价有限公司</w:t>
      </w:r>
    </w:p>
    <w:p>
      <w:pPr>
        <w:widowControl w:val="0"/>
        <w:wordWrap/>
        <w:spacing w:line="360" w:lineRule="auto"/>
        <w:ind w:firstLine="5280" w:firstLineChars="2200"/>
        <w:textAlignment w:val="auto"/>
        <w:rPr>
          <w:rFonts w:hint="eastAsia" w:ascii="仿宋" w:hAnsi="仿宋" w:eastAsia="仿宋" w:cs="仿宋"/>
          <w:sz w:val="24"/>
          <w:szCs w:val="24"/>
        </w:rPr>
      </w:pPr>
      <w:r>
        <w:rPr>
          <w:rFonts w:hint="eastAsia" w:ascii="仿宋" w:hAnsi="仿宋" w:eastAsia="仿宋" w:cs="仿宋"/>
          <w:sz w:val="24"/>
          <w:szCs w:val="24"/>
        </w:rPr>
        <w:t xml:space="preserve">   法定代表人(签章)：赵少聪</w:t>
      </w:r>
    </w:p>
    <w:p>
      <w:pPr>
        <w:widowControl w:val="0"/>
        <w:wordWrap/>
        <w:spacing w:line="360" w:lineRule="auto"/>
        <w:ind w:firstLine="6000" w:firstLineChars="2500"/>
        <w:textAlignment w:val="auto"/>
        <w:rPr>
          <w:rFonts w:hint="eastAsia" w:ascii="仿宋" w:hAnsi="仿宋" w:eastAsia="仿宋" w:cs="仿宋"/>
          <w:sz w:val="24"/>
          <w:szCs w:val="24"/>
        </w:rPr>
      </w:pPr>
      <w:r>
        <w:rPr>
          <w:rFonts w:hint="eastAsia" w:ascii="仿宋" w:hAnsi="仿宋" w:eastAsia="仿宋" w:cs="仿宋"/>
          <w:sz w:val="24"/>
          <w:szCs w:val="24"/>
          <w:lang w:eastAsia="zh-CN"/>
        </w:rPr>
        <w:t>二０二二年十月十四日</w:t>
      </w:r>
    </w:p>
    <w:p>
      <w:pPr>
        <w:widowControl w:val="0"/>
        <w:wordWrap/>
        <w:adjustRightInd/>
        <w:snapToGrid/>
        <w:spacing w:line="20" w:lineRule="exact"/>
        <w:textAlignment w:val="auto"/>
        <w:rPr>
          <w:rFonts w:hint="eastAsia" w:ascii="仿宋" w:hAnsi="仿宋" w:eastAsia="仿宋" w:cs="仿宋"/>
          <w:b/>
          <w:sz w:val="24"/>
          <w:szCs w:val="24"/>
        </w:rPr>
      </w:pPr>
    </w:p>
    <w:p>
      <w:pPr>
        <w:widowControl w:val="0"/>
        <w:wordWrap/>
        <w:adjustRightInd/>
        <w:snapToGrid/>
        <w:spacing w:line="20" w:lineRule="exact"/>
        <w:textAlignment w:val="auto"/>
        <w:rPr>
          <w:rFonts w:hint="eastAsia" w:ascii="仿宋" w:hAnsi="仿宋" w:eastAsia="仿宋" w:cs="仿宋"/>
          <w:b/>
          <w:sz w:val="24"/>
          <w:szCs w:val="24"/>
        </w:rPr>
        <w:sectPr>
          <w:pgSz w:w="11906" w:h="16838"/>
          <w:pgMar w:top="1134" w:right="1134" w:bottom="1134" w:left="1418" w:header="1021" w:footer="397" w:gutter="0"/>
          <w:cols w:space="720" w:num="1"/>
          <w:docGrid w:type="lines" w:linePitch="312" w:charSpace="0"/>
        </w:sectPr>
      </w:pPr>
    </w:p>
    <w:p>
      <w:pPr>
        <w:spacing w:line="960" w:lineRule="auto"/>
        <w:jc w:val="center"/>
        <w:outlineLvl w:val="0"/>
        <w:rPr>
          <w:rFonts w:hint="eastAsia" w:ascii="仿宋" w:hAnsi="仿宋" w:eastAsia="仿宋" w:cs="仿宋"/>
          <w:b/>
          <w:bCs/>
        </w:rPr>
      </w:pPr>
      <w:bookmarkStart w:id="58" w:name="_Toc30371"/>
      <w:r>
        <w:rPr>
          <w:rFonts w:hint="eastAsia" w:ascii="仿宋" w:hAnsi="仿宋" w:eastAsia="仿宋" w:cs="仿宋"/>
          <w:b/>
          <w:sz w:val="44"/>
          <w:szCs w:val="44"/>
        </w:rPr>
        <w:t>估价技术报告</w:t>
      </w:r>
      <w:bookmarkEnd w:id="58"/>
    </w:p>
    <w:p>
      <w:pPr>
        <w:pStyle w:val="3"/>
        <w:ind w:firstLine="482" w:firstLineChars="200"/>
        <w:rPr>
          <w:rFonts w:hint="eastAsia" w:ascii="仿宋" w:hAnsi="仿宋" w:eastAsia="仿宋" w:cs="仿宋"/>
        </w:rPr>
      </w:pPr>
      <w:bookmarkStart w:id="59" w:name="_Toc407785144"/>
      <w:bookmarkStart w:id="60" w:name="_Toc23322"/>
      <w:r>
        <w:rPr>
          <w:rFonts w:hint="eastAsia" w:ascii="仿宋" w:hAnsi="仿宋" w:eastAsia="仿宋" w:cs="仿宋"/>
        </w:rPr>
        <w:t>一、</w:t>
      </w:r>
      <w:bookmarkStart w:id="61" w:name="_Toc13717"/>
      <w:r>
        <w:rPr>
          <w:rFonts w:hint="eastAsia" w:ascii="仿宋" w:hAnsi="仿宋" w:eastAsia="仿宋" w:cs="仿宋"/>
        </w:rPr>
        <w:t>区位状况描述与分析</w:t>
      </w:r>
      <w:bookmarkEnd w:id="59"/>
      <w:bookmarkEnd w:id="60"/>
      <w:bookmarkEnd w:id="61"/>
    </w:p>
    <w:p>
      <w:pPr>
        <w:adjustRightInd w:val="0"/>
        <w:snapToGrid w:val="0"/>
        <w:spacing w:line="360" w:lineRule="auto"/>
        <w:ind w:firstLine="482" w:firstLineChars="200"/>
        <w:outlineLvl w:val="2"/>
        <w:rPr>
          <w:rFonts w:hint="eastAsia" w:ascii="仿宋" w:hAnsi="仿宋" w:eastAsia="仿宋" w:cs="仿宋"/>
          <w:b/>
          <w:bCs/>
          <w:sz w:val="24"/>
          <w:szCs w:val="24"/>
        </w:rPr>
      </w:pPr>
      <w:r>
        <w:rPr>
          <w:rFonts w:hint="eastAsia" w:ascii="仿宋" w:hAnsi="仿宋" w:eastAsia="仿宋" w:cs="仿宋"/>
          <w:b/>
          <w:bCs/>
          <w:sz w:val="24"/>
        </w:rPr>
        <w:t>(一)位置状况</w:t>
      </w:r>
    </w:p>
    <w:tbl>
      <w:tblPr>
        <w:tblStyle w:val="22"/>
        <w:tblW w:w="9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6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vAlign w:val="center"/>
          </w:tcPr>
          <w:p>
            <w:pPr>
              <w:adjustRightInd w:val="0"/>
              <w:snapToGrid w:val="0"/>
              <w:spacing w:line="240" w:lineRule="auto"/>
              <w:jc w:val="center"/>
              <w:rPr>
                <w:rFonts w:hint="eastAsia" w:ascii="仿宋" w:hAnsi="仿宋" w:eastAsia="仿宋" w:cs="仿宋"/>
                <w:b/>
                <w:bCs/>
                <w:sz w:val="21"/>
                <w:szCs w:val="21"/>
              </w:rPr>
            </w:pPr>
            <w:bookmarkStart w:id="62" w:name="_Toc407785147"/>
            <w:r>
              <w:rPr>
                <w:rFonts w:hint="eastAsia" w:ascii="仿宋" w:hAnsi="仿宋" w:eastAsia="仿宋" w:cs="仿宋"/>
                <w:b/>
                <w:bCs/>
                <w:sz w:val="21"/>
                <w:szCs w:val="21"/>
              </w:rPr>
              <w:t>项目</w:t>
            </w:r>
          </w:p>
        </w:tc>
        <w:tc>
          <w:tcPr>
            <w:tcW w:w="6760" w:type="dxa"/>
            <w:vAlign w:val="center"/>
          </w:tcPr>
          <w:p>
            <w:pPr>
              <w:adjustRightInd w:val="0"/>
              <w:snapToGrid w:val="0"/>
              <w:spacing w:line="240" w:lineRule="auto"/>
              <w:jc w:val="center"/>
              <w:rPr>
                <w:rFonts w:hint="eastAsia" w:ascii="仿宋" w:hAnsi="仿宋" w:eastAsia="仿宋" w:cs="仿宋"/>
                <w:b/>
                <w:bCs/>
                <w:sz w:val="21"/>
                <w:szCs w:val="21"/>
              </w:rPr>
            </w:pPr>
            <w:r>
              <w:rPr>
                <w:rFonts w:hint="eastAsia" w:ascii="仿宋" w:hAnsi="仿宋" w:eastAsia="仿宋" w:cs="仿宋"/>
                <w:b/>
                <w:bCs/>
                <w:sz w:val="21"/>
                <w:szCs w:val="21"/>
              </w:rPr>
              <w:t>描述与分析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1、坐落</w:t>
            </w:r>
          </w:p>
        </w:tc>
        <w:tc>
          <w:tcPr>
            <w:tcW w:w="6760" w:type="dxa"/>
            <w:vAlign w:val="center"/>
          </w:tcPr>
          <w:p>
            <w:pPr>
              <w:adjustRightInd w:val="0"/>
              <w:snapToGrid w:val="0"/>
              <w:spacing w:line="240" w:lineRule="auto"/>
              <w:rPr>
                <w:rFonts w:hint="eastAsia" w:ascii="仿宋" w:hAnsi="仿宋" w:eastAsia="仿宋" w:cs="仿宋"/>
                <w:sz w:val="21"/>
                <w:szCs w:val="21"/>
                <w:lang w:eastAsia="zh-CN"/>
              </w:rPr>
            </w:pPr>
            <w:r>
              <w:rPr>
                <w:rFonts w:hint="eastAsia" w:ascii="仿宋" w:hAnsi="仿宋" w:eastAsia="仿宋" w:cs="仿宋"/>
                <w:sz w:val="21"/>
                <w:szCs w:val="21"/>
                <w:lang w:val="en-US" w:eastAsia="zh-CN"/>
              </w:rPr>
              <w:t>永定县高陂镇先富大道1-6层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2、方位</w:t>
            </w:r>
          </w:p>
        </w:tc>
        <w:tc>
          <w:tcPr>
            <w:tcW w:w="6760" w:type="dxa"/>
            <w:vAlign w:val="center"/>
          </w:tcPr>
          <w:p>
            <w:pPr>
              <w:widowControl w:val="0"/>
              <w:wordWrap/>
              <w:adjustRightInd w:val="0"/>
              <w:snapToGrid w:val="0"/>
              <w:spacing w:line="240"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位处先富大道；</w:t>
            </w:r>
          </w:p>
          <w:p>
            <w:pPr>
              <w:widowControl w:val="0"/>
              <w:wordWrap/>
              <w:adjustRightInd w:val="0"/>
              <w:snapToGrid w:val="0"/>
              <w:spacing w:line="240" w:lineRule="auto"/>
              <w:textAlignment w:val="auto"/>
              <w:rPr>
                <w:rFonts w:hint="eastAsia" w:ascii="仿宋" w:hAnsi="仿宋" w:eastAsia="仿宋" w:cs="仿宋"/>
                <w:sz w:val="21"/>
                <w:szCs w:val="21"/>
              </w:rPr>
            </w:pPr>
            <w:r>
              <w:rPr>
                <w:rFonts w:hint="eastAsia" w:ascii="仿宋" w:hAnsi="仿宋" w:eastAsia="仿宋" w:cs="仿宋"/>
                <w:sz w:val="21"/>
                <w:szCs w:val="21"/>
                <w:lang w:eastAsia="zh-CN"/>
              </w:rPr>
              <w:t>东至空地，西至福三线，南至相邻住宅，北至村道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3、与重要场所距离</w:t>
            </w:r>
          </w:p>
        </w:tc>
        <w:tc>
          <w:tcPr>
            <w:tcW w:w="6760" w:type="dxa"/>
            <w:vAlign w:val="center"/>
          </w:tcPr>
          <w:p>
            <w:pPr>
              <w:adjustRightInd w:val="0"/>
              <w:snapToGrid w:val="0"/>
              <w:spacing w:line="240" w:lineRule="auto"/>
              <w:rPr>
                <w:rFonts w:hint="eastAsia" w:ascii="仿宋" w:hAnsi="仿宋" w:eastAsia="仿宋" w:cs="仿宋"/>
                <w:sz w:val="21"/>
                <w:szCs w:val="21"/>
                <w:lang w:eastAsia="zh-CN"/>
              </w:rPr>
            </w:pPr>
            <w:r>
              <w:rPr>
                <w:rFonts w:hint="eastAsia" w:ascii="仿宋" w:hAnsi="仿宋" w:eastAsia="仿宋" w:cs="仿宋"/>
                <w:sz w:val="21"/>
                <w:szCs w:val="21"/>
                <w:lang w:eastAsia="zh-CN"/>
              </w:rPr>
              <w:t>距高陂中心小学约</w:t>
            </w:r>
            <w:r>
              <w:rPr>
                <w:rFonts w:hint="eastAsia" w:ascii="仿宋" w:hAnsi="仿宋" w:eastAsia="仿宋" w:cs="仿宋"/>
                <w:sz w:val="21"/>
                <w:szCs w:val="21"/>
                <w:lang w:val="en-US" w:eastAsia="zh-CN"/>
              </w:rPr>
              <w:t>700</w:t>
            </w:r>
            <w:r>
              <w:rPr>
                <w:rFonts w:hint="eastAsia" w:ascii="仿宋" w:hAnsi="仿宋" w:eastAsia="仿宋" w:cs="仿宋"/>
                <w:sz w:val="21"/>
                <w:szCs w:val="21"/>
                <w:lang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4、临路状况</w:t>
            </w:r>
          </w:p>
        </w:tc>
        <w:tc>
          <w:tcPr>
            <w:tcW w:w="6760"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估价对象临</w:t>
            </w:r>
            <w:r>
              <w:rPr>
                <w:rFonts w:hint="eastAsia" w:ascii="仿宋" w:hAnsi="仿宋" w:eastAsia="仿宋" w:cs="仿宋"/>
                <w:sz w:val="21"/>
                <w:szCs w:val="21"/>
                <w:lang w:eastAsia="zh-CN"/>
              </w:rPr>
              <w:t>先富大道</w:t>
            </w:r>
            <w:r>
              <w:rPr>
                <w:rFonts w:hint="eastAsia" w:ascii="仿宋" w:hAnsi="仿宋" w:eastAsia="仿宋" w:cs="仿宋"/>
                <w:sz w:val="21"/>
                <w:szCs w:val="21"/>
              </w:rPr>
              <w:t>，临路状况较好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5、楼幢位置</w:t>
            </w:r>
          </w:p>
        </w:tc>
        <w:tc>
          <w:tcPr>
            <w:tcW w:w="6760"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估价对象所在楼幢位置较好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6、朝向</w:t>
            </w:r>
          </w:p>
        </w:tc>
        <w:tc>
          <w:tcPr>
            <w:tcW w:w="6760" w:type="dxa"/>
            <w:vAlign w:val="center"/>
          </w:tcPr>
          <w:p>
            <w:pPr>
              <w:adjustRightInd w:val="0"/>
              <w:snapToGrid w:val="0"/>
              <w:spacing w:line="240" w:lineRule="auto"/>
              <w:rPr>
                <w:rFonts w:hint="eastAsia" w:ascii="仿宋" w:hAnsi="仿宋" w:eastAsia="仿宋" w:cs="仿宋"/>
                <w:sz w:val="21"/>
                <w:szCs w:val="21"/>
                <w:lang w:eastAsia="zh-CN"/>
              </w:rPr>
            </w:pPr>
            <w:r>
              <w:rPr>
                <w:rFonts w:hint="eastAsia" w:ascii="仿宋" w:hAnsi="仿宋" w:eastAsia="仿宋" w:cs="仿宋"/>
                <w:sz w:val="21"/>
                <w:szCs w:val="21"/>
              </w:rPr>
              <w:t>建筑物</w:t>
            </w:r>
            <w:r>
              <w:rPr>
                <w:rFonts w:hint="eastAsia" w:ascii="仿宋" w:hAnsi="仿宋" w:eastAsia="仿宋" w:cs="仿宋"/>
                <w:sz w:val="21"/>
                <w:szCs w:val="21"/>
                <w:lang w:eastAsia="zh-CN"/>
              </w:rPr>
              <w:t>为南北朝向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7、楼层</w:t>
            </w:r>
          </w:p>
        </w:tc>
        <w:tc>
          <w:tcPr>
            <w:tcW w:w="6760" w:type="dxa"/>
            <w:vAlign w:val="center"/>
          </w:tcPr>
          <w:p>
            <w:pPr>
              <w:adjustRightInd w:val="0"/>
              <w:snapToGrid w:val="0"/>
              <w:spacing w:line="240" w:lineRule="auto"/>
              <w:rPr>
                <w:rFonts w:hint="eastAsia" w:ascii="仿宋" w:hAnsi="仿宋" w:eastAsia="仿宋" w:cs="仿宋"/>
                <w:sz w:val="21"/>
                <w:szCs w:val="21"/>
                <w:lang w:eastAsia="zh-CN"/>
              </w:rPr>
            </w:pPr>
            <w:r>
              <w:rPr>
                <w:rFonts w:hint="eastAsia" w:ascii="仿宋" w:hAnsi="仿宋" w:eastAsia="仿宋" w:cs="仿宋"/>
                <w:sz w:val="21"/>
                <w:szCs w:val="21"/>
                <w:lang w:eastAsia="zh-CN"/>
              </w:rPr>
              <w:t>位于楼幢总层数6层的第1-6层</w:t>
            </w:r>
            <w:r>
              <w:rPr>
                <w:rFonts w:hint="eastAsia" w:ascii="仿宋" w:hAnsi="仿宋" w:eastAsia="仿宋" w:cs="仿宋"/>
                <w:sz w:val="21"/>
                <w:szCs w:val="21"/>
              </w:rPr>
              <w:t>；所在楼层</w:t>
            </w:r>
            <w:r>
              <w:rPr>
                <w:rFonts w:hint="eastAsia" w:ascii="仿宋" w:hAnsi="仿宋" w:eastAsia="仿宋" w:cs="仿宋"/>
                <w:sz w:val="21"/>
                <w:szCs w:val="21"/>
                <w:lang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vAlign w:val="center"/>
          </w:tcPr>
          <w:p>
            <w:pPr>
              <w:adjustRightInd w:val="0"/>
              <w:snapToGrid w:val="0"/>
              <w:spacing w:line="240" w:lineRule="auto"/>
              <w:rPr>
                <w:rFonts w:hint="eastAsia" w:ascii="仿宋" w:hAnsi="仿宋" w:eastAsia="仿宋" w:cs="仿宋"/>
                <w:sz w:val="21"/>
                <w:szCs w:val="21"/>
                <w:lang w:eastAsia="zh-CN"/>
              </w:rPr>
            </w:pPr>
            <w:r>
              <w:rPr>
                <w:rFonts w:hint="eastAsia" w:ascii="仿宋" w:hAnsi="仿宋" w:eastAsia="仿宋" w:cs="仿宋"/>
                <w:sz w:val="21"/>
                <w:szCs w:val="21"/>
              </w:rPr>
              <w:t>8、</w:t>
            </w:r>
            <w:r>
              <w:rPr>
                <w:rFonts w:hint="eastAsia" w:ascii="仿宋" w:hAnsi="仿宋" w:eastAsia="仿宋" w:cs="仿宋"/>
                <w:sz w:val="21"/>
                <w:szCs w:val="21"/>
                <w:lang w:eastAsia="zh-CN"/>
              </w:rPr>
              <w:t>商业繁华</w:t>
            </w:r>
            <w:r>
              <w:rPr>
                <w:rFonts w:hint="eastAsia" w:ascii="仿宋" w:hAnsi="仿宋" w:eastAsia="仿宋" w:cs="仿宋"/>
                <w:sz w:val="21"/>
                <w:szCs w:val="21"/>
              </w:rPr>
              <w:t>度</w:t>
            </w:r>
            <w:r>
              <w:rPr>
                <w:rFonts w:hint="eastAsia" w:ascii="仿宋" w:hAnsi="仿宋" w:eastAsia="仿宋" w:cs="仿宋"/>
                <w:sz w:val="21"/>
                <w:szCs w:val="21"/>
                <w:lang w:eastAsia="zh-CN"/>
              </w:rPr>
              <w:t>及居住聚集度</w:t>
            </w:r>
          </w:p>
        </w:tc>
        <w:tc>
          <w:tcPr>
            <w:tcW w:w="6760" w:type="dxa"/>
            <w:vAlign w:val="center"/>
          </w:tcPr>
          <w:p>
            <w:pPr>
              <w:keepNext w:val="0"/>
              <w:keepLines w:val="0"/>
              <w:widowControl/>
              <w:suppressLineNumbers w:val="0"/>
              <w:jc w:val="both"/>
              <w:textAlignment w:val="center"/>
              <w:rPr>
                <w:rFonts w:hint="eastAsia" w:ascii="仿宋" w:hAnsi="仿宋" w:eastAsia="仿宋" w:cs="仿宋"/>
                <w:sz w:val="21"/>
                <w:szCs w:val="21"/>
                <w:lang w:eastAsia="zh-CN"/>
              </w:rPr>
            </w:pPr>
            <w:r>
              <w:rPr>
                <w:rFonts w:hint="eastAsia" w:ascii="仿宋" w:hAnsi="仿宋" w:eastAsia="仿宋" w:cs="仿宋"/>
                <w:i w:val="0"/>
                <w:iCs w:val="0"/>
                <w:color w:val="000000"/>
                <w:kern w:val="0"/>
                <w:sz w:val="21"/>
                <w:szCs w:val="21"/>
                <w:u w:val="none"/>
                <w:lang w:val="en-US" w:eastAsia="zh-CN" w:bidi="ar"/>
              </w:rPr>
              <w:t>区域内有永龙楼、先锋小区、永兴楼等住宅生活小区，居住聚集度较高</w:t>
            </w:r>
          </w:p>
        </w:tc>
      </w:tr>
    </w:tbl>
    <w:p>
      <w:pPr>
        <w:adjustRightInd w:val="0"/>
        <w:snapToGrid w:val="0"/>
        <w:spacing w:beforeLines="50" w:line="360" w:lineRule="auto"/>
        <w:ind w:firstLine="482" w:firstLineChars="200"/>
        <w:outlineLvl w:val="2"/>
        <w:rPr>
          <w:rFonts w:hint="eastAsia" w:ascii="仿宋" w:hAnsi="仿宋" w:eastAsia="仿宋" w:cs="仿宋"/>
          <w:b/>
          <w:bCs/>
          <w:sz w:val="24"/>
          <w:szCs w:val="24"/>
        </w:rPr>
      </w:pPr>
      <w:r>
        <w:rPr>
          <w:rFonts w:hint="eastAsia" w:ascii="仿宋" w:hAnsi="仿宋" w:eastAsia="仿宋" w:cs="仿宋"/>
          <w:b/>
          <w:bCs/>
          <w:sz w:val="24"/>
        </w:rPr>
        <w:t>(二)交通状况</w:t>
      </w:r>
    </w:p>
    <w:tbl>
      <w:tblPr>
        <w:tblStyle w:val="22"/>
        <w:tblW w:w="9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6"/>
        <w:gridCol w:w="6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6" w:type="dxa"/>
            <w:vAlign w:val="center"/>
          </w:tcPr>
          <w:p>
            <w:pPr>
              <w:adjustRightInd w:val="0"/>
              <w:snapToGrid w:val="0"/>
              <w:spacing w:line="240" w:lineRule="auto"/>
              <w:jc w:val="center"/>
              <w:rPr>
                <w:rFonts w:hint="eastAsia" w:ascii="仿宋" w:hAnsi="仿宋" w:eastAsia="仿宋" w:cs="仿宋"/>
                <w:b/>
                <w:bCs/>
                <w:sz w:val="21"/>
                <w:szCs w:val="21"/>
              </w:rPr>
            </w:pPr>
            <w:r>
              <w:rPr>
                <w:rFonts w:hint="eastAsia" w:ascii="仿宋" w:hAnsi="仿宋" w:eastAsia="仿宋" w:cs="仿宋"/>
                <w:b/>
                <w:bCs/>
                <w:sz w:val="21"/>
                <w:szCs w:val="21"/>
              </w:rPr>
              <w:t>项目</w:t>
            </w:r>
          </w:p>
        </w:tc>
        <w:tc>
          <w:tcPr>
            <w:tcW w:w="6777" w:type="dxa"/>
            <w:vAlign w:val="center"/>
          </w:tcPr>
          <w:p>
            <w:pPr>
              <w:adjustRightInd w:val="0"/>
              <w:snapToGrid w:val="0"/>
              <w:spacing w:line="240" w:lineRule="auto"/>
              <w:jc w:val="center"/>
              <w:rPr>
                <w:rFonts w:hint="eastAsia" w:ascii="仿宋" w:hAnsi="仿宋" w:eastAsia="仿宋" w:cs="仿宋"/>
                <w:b/>
                <w:bCs/>
                <w:sz w:val="21"/>
                <w:szCs w:val="21"/>
              </w:rPr>
            </w:pPr>
            <w:r>
              <w:rPr>
                <w:rFonts w:hint="eastAsia" w:ascii="仿宋" w:hAnsi="仿宋" w:eastAsia="仿宋" w:cs="仿宋"/>
                <w:b/>
                <w:bCs/>
                <w:sz w:val="21"/>
                <w:szCs w:val="21"/>
              </w:rPr>
              <w:t>描述与分析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6"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1、道路状况</w:t>
            </w:r>
          </w:p>
        </w:tc>
        <w:tc>
          <w:tcPr>
            <w:tcW w:w="6777" w:type="dxa"/>
            <w:vAlign w:val="center"/>
          </w:tcPr>
          <w:p>
            <w:pPr>
              <w:keepNext w:val="0"/>
              <w:keepLines w:val="0"/>
              <w:widowControl/>
              <w:suppressLineNumbers w:val="0"/>
              <w:jc w:val="both"/>
              <w:textAlignment w:val="center"/>
              <w:rPr>
                <w:rFonts w:hint="eastAsia" w:ascii="仿宋" w:hAnsi="仿宋" w:eastAsia="仿宋" w:cs="仿宋"/>
                <w:color w:val="FF0000"/>
                <w:sz w:val="21"/>
                <w:szCs w:val="21"/>
              </w:rPr>
            </w:pPr>
            <w:r>
              <w:rPr>
                <w:rFonts w:hint="eastAsia" w:ascii="仿宋" w:hAnsi="仿宋" w:eastAsia="仿宋" w:cs="仿宋"/>
                <w:i w:val="0"/>
                <w:iCs w:val="0"/>
                <w:color w:val="000000"/>
                <w:kern w:val="0"/>
                <w:sz w:val="21"/>
                <w:szCs w:val="21"/>
                <w:u w:val="none"/>
                <w:lang w:val="en-US" w:eastAsia="zh-CN" w:bidi="ar"/>
              </w:rPr>
              <w:t>周边有先富大道、高富路、政永高速等交通主干道，车流量较大；路网密集，道路通达度较高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6"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2、出入可利用交通工具</w:t>
            </w:r>
          </w:p>
        </w:tc>
        <w:tc>
          <w:tcPr>
            <w:tcW w:w="6777" w:type="dxa"/>
            <w:vAlign w:val="center"/>
          </w:tcPr>
          <w:p>
            <w:pPr>
              <w:widowControl w:val="0"/>
              <w:wordWrap/>
              <w:adjustRightInd w:val="0"/>
              <w:snapToGrid w:val="0"/>
              <w:spacing w:line="240" w:lineRule="auto"/>
              <w:textAlignment w:val="auto"/>
              <w:rPr>
                <w:rFonts w:hint="eastAsia" w:ascii="仿宋" w:hAnsi="仿宋" w:eastAsia="仿宋" w:cs="仿宋"/>
                <w:color w:val="FF0000"/>
                <w:sz w:val="21"/>
                <w:szCs w:val="21"/>
                <w:lang w:eastAsia="zh-CN"/>
              </w:rPr>
            </w:pPr>
            <w:r>
              <w:rPr>
                <w:rFonts w:hint="eastAsia" w:ascii="仿宋" w:hAnsi="仿宋" w:eastAsia="仿宋" w:cs="仿宋"/>
                <w:sz w:val="21"/>
                <w:szCs w:val="21"/>
                <w:lang w:eastAsia="zh-CN"/>
              </w:rPr>
              <w:t>出入可利用私家车、公交车、出租车等；公交班次较多，辐射范围广；乘坐出租车方便性较好；交通便捷度较高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6"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3、交通管制情况</w:t>
            </w:r>
          </w:p>
        </w:tc>
        <w:tc>
          <w:tcPr>
            <w:tcW w:w="6777"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没有单行道、车辆限行等交通管制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6"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4、停车方便程度</w:t>
            </w:r>
          </w:p>
        </w:tc>
        <w:tc>
          <w:tcPr>
            <w:tcW w:w="6777"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停车方便度</w:t>
            </w:r>
            <w:r>
              <w:rPr>
                <w:rFonts w:hint="eastAsia" w:ascii="仿宋" w:hAnsi="仿宋" w:eastAsia="仿宋" w:cs="仿宋"/>
                <w:sz w:val="21"/>
                <w:szCs w:val="21"/>
                <w:lang w:eastAsia="zh-CN"/>
              </w:rPr>
              <w:t>较高</w:t>
            </w:r>
          </w:p>
        </w:tc>
      </w:tr>
    </w:tbl>
    <w:p>
      <w:pPr>
        <w:adjustRightInd w:val="0"/>
        <w:snapToGrid w:val="0"/>
        <w:spacing w:beforeLines="50" w:line="360" w:lineRule="auto"/>
        <w:ind w:firstLine="482" w:firstLineChars="200"/>
        <w:outlineLvl w:val="2"/>
        <w:rPr>
          <w:rFonts w:hint="eastAsia" w:ascii="仿宋" w:hAnsi="仿宋" w:eastAsia="仿宋" w:cs="仿宋"/>
          <w:sz w:val="24"/>
        </w:rPr>
      </w:pPr>
      <w:r>
        <w:rPr>
          <w:rFonts w:hint="eastAsia" w:ascii="仿宋" w:hAnsi="仿宋" w:eastAsia="仿宋" w:cs="仿宋"/>
          <w:b/>
          <w:bCs/>
          <w:sz w:val="24"/>
        </w:rPr>
        <w:t>(三)外部配套设施状况</w:t>
      </w:r>
    </w:p>
    <w:tbl>
      <w:tblPr>
        <w:tblStyle w:val="22"/>
        <w:tblW w:w="9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6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vAlign w:val="center"/>
          </w:tcPr>
          <w:p>
            <w:pPr>
              <w:adjustRightInd w:val="0"/>
              <w:snapToGrid w:val="0"/>
              <w:spacing w:line="240" w:lineRule="auto"/>
              <w:jc w:val="center"/>
              <w:rPr>
                <w:rFonts w:hint="eastAsia" w:ascii="仿宋" w:hAnsi="仿宋" w:eastAsia="仿宋" w:cs="仿宋"/>
                <w:b/>
                <w:bCs/>
                <w:sz w:val="21"/>
                <w:szCs w:val="21"/>
              </w:rPr>
            </w:pPr>
            <w:r>
              <w:rPr>
                <w:rFonts w:hint="eastAsia" w:ascii="仿宋" w:hAnsi="仿宋" w:eastAsia="仿宋" w:cs="仿宋"/>
                <w:b/>
                <w:bCs/>
                <w:sz w:val="21"/>
                <w:szCs w:val="21"/>
              </w:rPr>
              <w:t>项目</w:t>
            </w:r>
          </w:p>
        </w:tc>
        <w:tc>
          <w:tcPr>
            <w:tcW w:w="6760" w:type="dxa"/>
            <w:vAlign w:val="center"/>
          </w:tcPr>
          <w:p>
            <w:pPr>
              <w:tabs>
                <w:tab w:val="left" w:pos="2850"/>
              </w:tabs>
              <w:adjustRightInd w:val="0"/>
              <w:snapToGrid w:val="0"/>
              <w:spacing w:line="240" w:lineRule="auto"/>
              <w:jc w:val="center"/>
              <w:rPr>
                <w:rFonts w:hint="eastAsia" w:ascii="仿宋" w:hAnsi="仿宋" w:eastAsia="仿宋" w:cs="仿宋"/>
                <w:b/>
                <w:bCs/>
                <w:sz w:val="21"/>
                <w:szCs w:val="21"/>
              </w:rPr>
            </w:pPr>
            <w:r>
              <w:rPr>
                <w:rFonts w:hint="eastAsia" w:ascii="仿宋" w:hAnsi="仿宋" w:eastAsia="仿宋" w:cs="仿宋"/>
                <w:b/>
                <w:bCs/>
                <w:sz w:val="21"/>
                <w:szCs w:val="21"/>
              </w:rPr>
              <w:t>描述与分析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1、基础设施</w:t>
            </w:r>
          </w:p>
        </w:tc>
        <w:tc>
          <w:tcPr>
            <w:tcW w:w="6760" w:type="dxa"/>
            <w:vAlign w:val="center"/>
          </w:tcPr>
          <w:p>
            <w:pPr>
              <w:widowControl w:val="0"/>
              <w:wordWrap/>
              <w:adjustRightInd w:val="0"/>
              <w:snapToGrid w:val="0"/>
              <w:spacing w:line="240" w:lineRule="auto"/>
              <w:textAlignment w:val="auto"/>
              <w:rPr>
                <w:rFonts w:hint="eastAsia" w:ascii="仿宋" w:hAnsi="仿宋" w:eastAsia="仿宋" w:cs="仿宋"/>
                <w:sz w:val="21"/>
                <w:szCs w:val="21"/>
              </w:rPr>
            </w:pPr>
            <w:r>
              <w:rPr>
                <w:rFonts w:hint="eastAsia" w:ascii="仿宋" w:hAnsi="仿宋" w:eastAsia="仿宋" w:cs="仿宋"/>
                <w:sz w:val="21"/>
                <w:szCs w:val="21"/>
              </w:rPr>
              <w:t>周边城市基础设施已达到“五通”（上水、下水、路、电、通信），水、电供应保证率高，基础设施完善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2、公共服务设施</w:t>
            </w:r>
          </w:p>
        </w:tc>
        <w:tc>
          <w:tcPr>
            <w:tcW w:w="6760" w:type="dxa"/>
            <w:vAlign w:val="center"/>
          </w:tcPr>
          <w:p>
            <w:pPr>
              <w:widowControl w:val="0"/>
              <w:wordWrap/>
              <w:adjustRightInd w:val="0"/>
              <w:snapToGrid w:val="0"/>
              <w:spacing w:line="240" w:lineRule="auto"/>
              <w:textAlignment w:val="auto"/>
              <w:rPr>
                <w:rFonts w:hint="eastAsia" w:ascii="仿宋" w:hAnsi="仿宋" w:eastAsia="仿宋" w:cs="仿宋"/>
                <w:sz w:val="21"/>
                <w:szCs w:val="21"/>
              </w:rPr>
            </w:pPr>
            <w:r>
              <w:rPr>
                <w:rFonts w:hint="eastAsia" w:ascii="仿宋" w:hAnsi="仿宋" w:eastAsia="仿宋" w:cs="仿宋"/>
                <w:sz w:val="21"/>
                <w:szCs w:val="21"/>
              </w:rPr>
              <w:t>周围分布有学校、银行、邮电市政等配套设施较齐全，可满足附件居民日常生活需要，公共服务配套设施</w:t>
            </w:r>
            <w:r>
              <w:rPr>
                <w:rFonts w:hint="eastAsia" w:ascii="仿宋" w:hAnsi="仿宋" w:eastAsia="仿宋" w:cs="仿宋"/>
                <w:sz w:val="21"/>
                <w:szCs w:val="21"/>
                <w:lang w:eastAsia="zh-CN"/>
              </w:rPr>
              <w:t>较</w:t>
            </w:r>
            <w:r>
              <w:rPr>
                <w:rFonts w:hint="eastAsia" w:ascii="仿宋" w:hAnsi="仿宋" w:eastAsia="仿宋" w:cs="仿宋"/>
                <w:sz w:val="21"/>
                <w:szCs w:val="21"/>
              </w:rPr>
              <w:t>完善</w:t>
            </w:r>
          </w:p>
        </w:tc>
      </w:tr>
    </w:tbl>
    <w:p>
      <w:pPr>
        <w:adjustRightInd w:val="0"/>
        <w:snapToGrid w:val="0"/>
        <w:spacing w:beforeLines="50" w:line="360" w:lineRule="auto"/>
        <w:ind w:firstLine="482" w:firstLineChars="200"/>
        <w:outlineLvl w:val="2"/>
        <w:rPr>
          <w:rFonts w:hint="eastAsia" w:ascii="仿宋" w:hAnsi="仿宋" w:eastAsia="仿宋" w:cs="仿宋"/>
          <w:b/>
          <w:bCs/>
          <w:sz w:val="24"/>
        </w:rPr>
      </w:pPr>
      <w:r>
        <w:rPr>
          <w:rFonts w:hint="eastAsia" w:ascii="仿宋" w:hAnsi="仿宋" w:eastAsia="仿宋" w:cs="仿宋"/>
          <w:b/>
          <w:bCs/>
          <w:sz w:val="24"/>
        </w:rPr>
        <w:t>(四)周围环境状况</w:t>
      </w:r>
    </w:p>
    <w:tbl>
      <w:tblPr>
        <w:tblStyle w:val="22"/>
        <w:tblW w:w="9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0"/>
        <w:gridCol w:w="6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0" w:type="dxa"/>
            <w:vAlign w:val="center"/>
          </w:tcPr>
          <w:p>
            <w:pPr>
              <w:tabs>
                <w:tab w:val="left" w:pos="585"/>
              </w:tabs>
              <w:adjustRightInd w:val="0"/>
              <w:snapToGrid w:val="0"/>
              <w:spacing w:line="240" w:lineRule="auto"/>
              <w:jc w:val="center"/>
              <w:rPr>
                <w:rFonts w:hint="eastAsia" w:ascii="仿宋" w:hAnsi="仿宋" w:eastAsia="仿宋" w:cs="仿宋"/>
                <w:b/>
                <w:bCs/>
                <w:sz w:val="21"/>
                <w:szCs w:val="21"/>
              </w:rPr>
            </w:pPr>
            <w:r>
              <w:rPr>
                <w:rFonts w:hint="eastAsia" w:ascii="仿宋" w:hAnsi="仿宋" w:eastAsia="仿宋" w:cs="仿宋"/>
                <w:b/>
                <w:bCs/>
                <w:sz w:val="21"/>
                <w:szCs w:val="21"/>
              </w:rPr>
              <w:t>项目</w:t>
            </w:r>
          </w:p>
        </w:tc>
        <w:tc>
          <w:tcPr>
            <w:tcW w:w="6743" w:type="dxa"/>
            <w:vAlign w:val="center"/>
          </w:tcPr>
          <w:p>
            <w:pPr>
              <w:tabs>
                <w:tab w:val="left" w:pos="3120"/>
              </w:tabs>
              <w:adjustRightInd w:val="0"/>
              <w:snapToGrid w:val="0"/>
              <w:spacing w:line="240" w:lineRule="auto"/>
              <w:jc w:val="center"/>
              <w:rPr>
                <w:rFonts w:hint="eastAsia" w:ascii="仿宋" w:hAnsi="仿宋" w:eastAsia="仿宋" w:cs="仿宋"/>
                <w:b/>
                <w:bCs/>
                <w:sz w:val="21"/>
                <w:szCs w:val="21"/>
              </w:rPr>
            </w:pPr>
            <w:r>
              <w:rPr>
                <w:rFonts w:hint="eastAsia" w:ascii="仿宋" w:hAnsi="仿宋" w:eastAsia="仿宋" w:cs="仿宋"/>
                <w:b/>
                <w:bCs/>
                <w:sz w:val="21"/>
                <w:szCs w:val="21"/>
              </w:rPr>
              <w:t>描述与分析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0"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1、自然环境</w:t>
            </w:r>
          </w:p>
        </w:tc>
        <w:tc>
          <w:tcPr>
            <w:tcW w:w="6743" w:type="dxa"/>
            <w:vAlign w:val="center"/>
          </w:tcPr>
          <w:p>
            <w:pPr>
              <w:widowControl w:val="0"/>
              <w:wordWrap/>
              <w:adjustRightInd w:val="0"/>
              <w:snapToGrid w:val="0"/>
              <w:spacing w:line="240" w:lineRule="auto"/>
              <w:textAlignment w:val="auto"/>
              <w:rPr>
                <w:rFonts w:hint="eastAsia" w:ascii="仿宋" w:hAnsi="仿宋" w:eastAsia="仿宋" w:cs="仿宋"/>
                <w:sz w:val="21"/>
                <w:szCs w:val="21"/>
              </w:rPr>
            </w:pPr>
            <w:r>
              <w:rPr>
                <w:rFonts w:hint="eastAsia" w:ascii="仿宋" w:hAnsi="仿宋" w:eastAsia="仿宋" w:cs="仿宋"/>
                <w:sz w:val="21"/>
                <w:szCs w:val="21"/>
                <w:lang w:eastAsia="zh-CN"/>
              </w:rPr>
              <w:t>龙岩市</w:t>
            </w:r>
            <w:r>
              <w:rPr>
                <w:rFonts w:hint="eastAsia" w:ascii="仿宋" w:hAnsi="仿宋" w:eastAsia="仿宋" w:cs="仿宋"/>
                <w:sz w:val="21"/>
                <w:szCs w:val="21"/>
              </w:rPr>
              <w:t>地处北回归线北侧、中亚热带向南亚热带过渡地段，属中亚热带海洋性季风气候，其特点是湿润温和，夏长而不酷热，冬短而无严寒</w:t>
            </w:r>
            <w:r>
              <w:rPr>
                <w:rFonts w:hint="eastAsia" w:ascii="仿宋" w:hAnsi="仿宋" w:eastAsia="仿宋" w:cs="仿宋"/>
                <w:sz w:val="21"/>
                <w:szCs w:val="21"/>
                <w:lang w:eastAsia="zh-CN"/>
              </w:rPr>
              <w:t>，</w:t>
            </w:r>
            <w:r>
              <w:rPr>
                <w:rFonts w:hint="eastAsia" w:ascii="仿宋" w:hAnsi="仿宋" w:eastAsia="仿宋" w:cs="仿宋"/>
                <w:sz w:val="21"/>
                <w:szCs w:val="21"/>
              </w:rPr>
              <w:t>多年平均气温20.1℃，1月平均气温11.3℃</w:t>
            </w:r>
            <w:r>
              <w:rPr>
                <w:rFonts w:hint="eastAsia" w:ascii="仿宋" w:hAnsi="仿宋" w:eastAsia="仿宋" w:cs="仿宋"/>
                <w:sz w:val="21"/>
                <w:szCs w:val="21"/>
                <w:lang w:eastAsia="zh-CN"/>
              </w:rPr>
              <w:t>，</w:t>
            </w:r>
            <w:r>
              <w:rPr>
                <w:rFonts w:hint="eastAsia" w:ascii="仿宋" w:hAnsi="仿宋" w:eastAsia="仿宋" w:cs="仿宋"/>
                <w:sz w:val="21"/>
                <w:szCs w:val="21"/>
              </w:rPr>
              <w:t>自然环境好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0"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2、人文环境</w:t>
            </w:r>
          </w:p>
        </w:tc>
        <w:tc>
          <w:tcPr>
            <w:tcW w:w="6743"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周边居住的居民素质较高，治安状况较好，人文环境较好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0"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3、景观</w:t>
            </w:r>
          </w:p>
        </w:tc>
        <w:tc>
          <w:tcPr>
            <w:tcW w:w="6743" w:type="dxa"/>
            <w:vAlign w:val="center"/>
          </w:tcPr>
          <w:p>
            <w:pPr>
              <w:adjustRightInd w:val="0"/>
              <w:snapToGrid w:val="0"/>
              <w:spacing w:line="240" w:lineRule="auto"/>
              <w:rPr>
                <w:rFonts w:hint="eastAsia" w:ascii="仿宋" w:hAnsi="仿宋" w:eastAsia="仿宋" w:cs="仿宋"/>
                <w:sz w:val="21"/>
                <w:szCs w:val="21"/>
              </w:rPr>
            </w:pPr>
            <w:r>
              <w:rPr>
                <w:rFonts w:hint="eastAsia" w:ascii="仿宋" w:hAnsi="仿宋" w:eastAsia="仿宋" w:cs="仿宋"/>
                <w:sz w:val="21"/>
                <w:szCs w:val="21"/>
              </w:rPr>
              <w:t>周边环境条件较好，景观较好</w:t>
            </w:r>
          </w:p>
        </w:tc>
      </w:tr>
    </w:tbl>
    <w:p>
      <w:pPr>
        <w:adjustRightInd w:val="0"/>
        <w:snapToGrid w:val="0"/>
        <w:spacing w:beforeLines="50" w:line="360" w:lineRule="auto"/>
        <w:ind w:firstLine="482" w:firstLineChars="200"/>
        <w:outlineLvl w:val="2"/>
        <w:rPr>
          <w:rFonts w:hint="eastAsia" w:ascii="仿宋" w:hAnsi="仿宋" w:eastAsia="仿宋" w:cs="仿宋"/>
          <w:b/>
          <w:bCs/>
          <w:sz w:val="24"/>
        </w:rPr>
      </w:pPr>
      <w:bookmarkStart w:id="63" w:name="_Toc12535"/>
      <w:r>
        <w:rPr>
          <w:rFonts w:hint="eastAsia" w:ascii="仿宋" w:hAnsi="仿宋" w:eastAsia="仿宋" w:cs="仿宋"/>
          <w:b/>
          <w:bCs/>
          <w:sz w:val="24"/>
        </w:rPr>
        <w:t>(五)区位优劣度</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综合分析估价对象的位置、交通、外部配套、环境状况，估价对象的区位整体较优，对估价对象的价值产生有利影响。</w:t>
      </w:r>
    </w:p>
    <w:p>
      <w:pPr>
        <w:pStyle w:val="3"/>
        <w:ind w:firstLine="482" w:firstLineChars="200"/>
        <w:rPr>
          <w:rFonts w:hint="eastAsia" w:ascii="仿宋" w:hAnsi="仿宋" w:eastAsia="仿宋" w:cs="仿宋"/>
        </w:rPr>
      </w:pPr>
      <w:bookmarkStart w:id="64" w:name="_Toc407785145"/>
      <w:bookmarkStart w:id="65" w:name="_Toc3231"/>
      <w:r>
        <w:rPr>
          <w:rFonts w:hint="eastAsia" w:ascii="仿宋" w:hAnsi="仿宋" w:eastAsia="仿宋" w:cs="仿宋"/>
        </w:rPr>
        <w:t>二、实物状况描述与分析</w:t>
      </w:r>
      <w:bookmarkEnd w:id="63"/>
      <w:bookmarkEnd w:id="64"/>
      <w:bookmarkEnd w:id="65"/>
    </w:p>
    <w:p>
      <w:pPr>
        <w:adjustRightInd w:val="0"/>
        <w:snapToGrid w:val="0"/>
        <w:spacing w:line="360" w:lineRule="auto"/>
        <w:ind w:firstLine="482" w:firstLineChars="200"/>
        <w:outlineLvl w:val="2"/>
        <w:rPr>
          <w:rFonts w:hint="eastAsia" w:ascii="仿宋" w:hAnsi="仿宋" w:eastAsia="仿宋" w:cs="仿宋"/>
          <w:b/>
          <w:bCs/>
          <w:sz w:val="24"/>
        </w:rPr>
      </w:pPr>
      <w:r>
        <w:rPr>
          <w:rFonts w:hint="eastAsia" w:ascii="仿宋" w:hAnsi="仿宋" w:eastAsia="仿宋" w:cs="仿宋"/>
          <w:b/>
          <w:bCs/>
          <w:sz w:val="24"/>
        </w:rPr>
        <w:t>(一)土地实物状况描述与分析</w:t>
      </w:r>
    </w:p>
    <w:tbl>
      <w:tblPr>
        <w:tblStyle w:val="22"/>
        <w:tblW w:w="9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6"/>
        <w:gridCol w:w="6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tabs>
                <w:tab w:val="left" w:pos="420"/>
              </w:tabs>
              <w:spacing w:line="240" w:lineRule="auto"/>
              <w:jc w:val="center"/>
              <w:rPr>
                <w:rFonts w:hint="eastAsia" w:ascii="仿宋" w:hAnsi="仿宋" w:eastAsia="仿宋" w:cs="仿宋"/>
                <w:b/>
                <w:bCs/>
                <w:sz w:val="21"/>
                <w:szCs w:val="21"/>
              </w:rPr>
            </w:pPr>
            <w:r>
              <w:rPr>
                <w:rFonts w:hint="eastAsia" w:ascii="仿宋" w:hAnsi="仿宋" w:eastAsia="仿宋" w:cs="仿宋"/>
                <w:b/>
                <w:bCs/>
                <w:sz w:val="21"/>
                <w:szCs w:val="21"/>
              </w:rPr>
              <w:t>项目</w:t>
            </w:r>
          </w:p>
        </w:tc>
        <w:tc>
          <w:tcPr>
            <w:tcW w:w="6727" w:type="dxa"/>
            <w:vAlign w:val="center"/>
          </w:tcPr>
          <w:p>
            <w:pPr>
              <w:spacing w:line="240" w:lineRule="auto"/>
              <w:jc w:val="center"/>
              <w:rPr>
                <w:rFonts w:hint="eastAsia" w:ascii="仿宋" w:hAnsi="仿宋" w:eastAsia="仿宋" w:cs="仿宋"/>
                <w:b/>
                <w:bCs/>
                <w:sz w:val="21"/>
                <w:szCs w:val="21"/>
              </w:rPr>
            </w:pPr>
            <w:r>
              <w:rPr>
                <w:rFonts w:hint="eastAsia" w:ascii="仿宋" w:hAnsi="仿宋" w:eastAsia="仿宋" w:cs="仿宋"/>
                <w:b/>
                <w:bCs/>
                <w:sz w:val="21"/>
                <w:szCs w:val="21"/>
              </w:rPr>
              <w:t>描述与分析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1、名称</w:t>
            </w:r>
          </w:p>
        </w:tc>
        <w:tc>
          <w:tcPr>
            <w:tcW w:w="6727"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lang w:eastAsia="zh-CN"/>
              </w:rPr>
              <w:t>永定县高陂镇先富大道1-6层</w:t>
            </w:r>
            <w:r>
              <w:rPr>
                <w:rFonts w:hint="eastAsia" w:ascii="仿宋" w:hAnsi="仿宋" w:eastAsia="仿宋" w:cs="仿宋"/>
                <w:sz w:val="21"/>
                <w:szCs w:val="21"/>
              </w:rPr>
              <w:t>所属土地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2、宗地四至</w:t>
            </w:r>
          </w:p>
        </w:tc>
        <w:tc>
          <w:tcPr>
            <w:tcW w:w="6727"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lang w:eastAsia="zh-CN"/>
              </w:rPr>
              <w:t>东至空地，西至福三线，南至相邻住宅，北至村道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3、面积</w:t>
            </w:r>
          </w:p>
        </w:tc>
        <w:tc>
          <w:tcPr>
            <w:tcW w:w="6727"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估价对象</w:t>
            </w:r>
            <w:r>
              <w:rPr>
                <w:rFonts w:hint="eastAsia" w:ascii="仿宋" w:hAnsi="仿宋" w:eastAsia="仿宋" w:cs="仿宋"/>
                <w:sz w:val="21"/>
                <w:szCs w:val="21"/>
                <w:lang w:eastAsia="zh-CN"/>
              </w:rPr>
              <w:t>宗</w:t>
            </w:r>
            <w:r>
              <w:rPr>
                <w:rFonts w:hint="eastAsia" w:ascii="仿宋" w:hAnsi="仿宋" w:eastAsia="仿宋" w:cs="仿宋"/>
                <w:sz w:val="21"/>
                <w:szCs w:val="21"/>
              </w:rPr>
              <w:t>地面积</w:t>
            </w:r>
            <w:r>
              <w:rPr>
                <w:rFonts w:hint="eastAsia" w:ascii="仿宋" w:hAnsi="仿宋" w:eastAsia="仿宋" w:cs="仿宋"/>
                <w:sz w:val="21"/>
                <w:szCs w:val="21"/>
                <w:lang w:val="en-US" w:eastAsia="zh-CN"/>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4、用途</w:t>
            </w:r>
          </w:p>
        </w:tc>
        <w:tc>
          <w:tcPr>
            <w:tcW w:w="6727"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lang w:eastAsia="zh-CN"/>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lang w:eastAsia="zh-CN"/>
              </w:rPr>
            </w:pPr>
            <w:r>
              <w:rPr>
                <w:rFonts w:hint="eastAsia" w:ascii="仿宋" w:hAnsi="仿宋" w:eastAsia="仿宋" w:cs="仿宋"/>
                <w:sz w:val="21"/>
                <w:szCs w:val="21"/>
              </w:rPr>
              <w:t>5、形状</w:t>
            </w:r>
            <w:r>
              <w:rPr>
                <w:rFonts w:hint="eastAsia" w:ascii="仿宋" w:hAnsi="仿宋" w:eastAsia="仿宋" w:cs="仿宋"/>
                <w:sz w:val="21"/>
                <w:szCs w:val="21"/>
                <w:lang w:eastAsia="zh-CN"/>
              </w:rPr>
              <w:t>、</w:t>
            </w:r>
            <w:r>
              <w:rPr>
                <w:rFonts w:hint="eastAsia" w:ascii="仿宋" w:hAnsi="仿宋" w:eastAsia="仿宋" w:cs="仿宋"/>
                <w:sz w:val="21"/>
                <w:szCs w:val="21"/>
              </w:rPr>
              <w:t>地形</w:t>
            </w:r>
          </w:p>
        </w:tc>
        <w:tc>
          <w:tcPr>
            <w:tcW w:w="6727" w:type="dxa"/>
            <w:vAlign w:val="center"/>
          </w:tcPr>
          <w:p>
            <w:pPr>
              <w:spacing w:line="240" w:lineRule="auto"/>
              <w:rPr>
                <w:rFonts w:hint="eastAsia" w:ascii="仿宋" w:hAnsi="仿宋" w:eastAsia="仿宋" w:cs="仿宋"/>
                <w:sz w:val="21"/>
                <w:szCs w:val="21"/>
                <w:lang w:eastAsia="zh-CN"/>
              </w:rPr>
            </w:pPr>
            <w:r>
              <w:rPr>
                <w:rFonts w:hint="eastAsia" w:ascii="仿宋" w:hAnsi="仿宋" w:eastAsia="仿宋" w:cs="仿宋"/>
                <w:sz w:val="21"/>
                <w:szCs w:val="21"/>
                <w:lang w:eastAsia="zh-CN"/>
              </w:rPr>
              <w:t>形状</w:t>
            </w:r>
            <w:r>
              <w:rPr>
                <w:rFonts w:hint="eastAsia" w:ascii="仿宋" w:hAnsi="仿宋" w:eastAsia="仿宋" w:cs="仿宋"/>
                <w:sz w:val="21"/>
                <w:szCs w:val="21"/>
              </w:rPr>
              <w:t>基本规则</w:t>
            </w:r>
            <w:r>
              <w:rPr>
                <w:rFonts w:hint="eastAsia" w:ascii="仿宋" w:hAnsi="仿宋" w:eastAsia="仿宋" w:cs="仿宋"/>
                <w:sz w:val="21"/>
                <w:szCs w:val="21"/>
                <w:lang w:eastAsia="zh-CN"/>
              </w:rPr>
              <w:t>、</w:t>
            </w:r>
            <w:r>
              <w:rPr>
                <w:rFonts w:hint="eastAsia" w:ascii="仿宋" w:hAnsi="仿宋" w:eastAsia="仿宋" w:cs="仿宋"/>
                <w:sz w:val="21"/>
                <w:szCs w:val="21"/>
              </w:rPr>
              <w:t>地形为平地，有利于</w:t>
            </w:r>
            <w:r>
              <w:rPr>
                <w:rFonts w:hint="eastAsia" w:ascii="仿宋" w:hAnsi="仿宋" w:eastAsia="仿宋" w:cs="仿宋"/>
                <w:sz w:val="21"/>
                <w:szCs w:val="21"/>
                <w:lang w:eastAsia="zh-CN"/>
              </w:rPr>
              <w:t>建筑</w:t>
            </w:r>
            <w:r>
              <w:rPr>
                <w:rFonts w:hint="eastAsia" w:ascii="仿宋" w:hAnsi="仿宋" w:eastAsia="仿宋" w:cs="仿宋"/>
                <w:sz w:val="21"/>
                <w:szCs w:val="21"/>
              </w:rPr>
              <w:t>的布局</w:t>
            </w:r>
            <w:r>
              <w:rPr>
                <w:rFonts w:hint="eastAsia" w:ascii="仿宋" w:hAnsi="仿宋" w:eastAsia="仿宋" w:cs="仿宋"/>
                <w:sz w:val="21"/>
                <w:szCs w:val="21"/>
                <w:lang w:eastAsia="zh-CN"/>
              </w:rPr>
              <w:t>及建设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lang w:val="en-US" w:eastAsia="zh-CN"/>
              </w:rPr>
              <w:t>6</w:t>
            </w:r>
            <w:r>
              <w:rPr>
                <w:rFonts w:hint="eastAsia" w:ascii="仿宋" w:hAnsi="仿宋" w:eastAsia="仿宋" w:cs="仿宋"/>
                <w:sz w:val="21"/>
                <w:szCs w:val="21"/>
              </w:rPr>
              <w:t>、地势</w:t>
            </w:r>
          </w:p>
        </w:tc>
        <w:tc>
          <w:tcPr>
            <w:tcW w:w="6727" w:type="dxa"/>
            <w:vAlign w:val="center"/>
          </w:tcPr>
          <w:p>
            <w:pPr>
              <w:widowControl w:val="0"/>
              <w:wordWrap/>
              <w:spacing w:line="240" w:lineRule="auto"/>
              <w:textAlignment w:val="auto"/>
              <w:rPr>
                <w:rFonts w:hint="eastAsia" w:ascii="仿宋" w:hAnsi="仿宋" w:eastAsia="仿宋" w:cs="仿宋"/>
                <w:sz w:val="21"/>
                <w:szCs w:val="21"/>
              </w:rPr>
            </w:pPr>
            <w:r>
              <w:rPr>
                <w:rFonts w:hint="eastAsia" w:ascii="仿宋" w:hAnsi="仿宋" w:eastAsia="仿宋" w:cs="仿宋"/>
                <w:sz w:val="21"/>
                <w:szCs w:val="21"/>
              </w:rPr>
              <w:t>地势有一定坡度，自然排水畅通，被洪水淹没、积水的可能性较小，有利于房地产价值的提升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lang w:val="en-US" w:eastAsia="zh-CN"/>
              </w:rPr>
              <w:t>7</w:t>
            </w:r>
            <w:r>
              <w:rPr>
                <w:rFonts w:hint="eastAsia" w:ascii="仿宋" w:hAnsi="仿宋" w:eastAsia="仿宋" w:cs="仿宋"/>
                <w:sz w:val="21"/>
                <w:szCs w:val="21"/>
              </w:rPr>
              <w:t>、土壤及地质</w:t>
            </w:r>
          </w:p>
        </w:tc>
        <w:tc>
          <w:tcPr>
            <w:tcW w:w="6727" w:type="dxa"/>
            <w:vAlign w:val="center"/>
          </w:tcPr>
          <w:p>
            <w:pPr>
              <w:widowControl w:val="0"/>
              <w:wordWrap/>
              <w:spacing w:line="240" w:lineRule="auto"/>
              <w:textAlignment w:val="auto"/>
              <w:rPr>
                <w:rFonts w:hint="eastAsia" w:ascii="仿宋" w:hAnsi="仿宋" w:eastAsia="仿宋" w:cs="仿宋"/>
                <w:sz w:val="21"/>
                <w:szCs w:val="21"/>
              </w:rPr>
            </w:pPr>
            <w:r>
              <w:rPr>
                <w:rFonts w:hint="eastAsia" w:ascii="仿宋" w:hAnsi="仿宋" w:eastAsia="仿宋" w:cs="仿宋"/>
                <w:sz w:val="21"/>
                <w:szCs w:val="21"/>
              </w:rPr>
              <w:t>土壤未受过污染，地质条件好，承载力较强，稳定性较好，可节约建安成本投入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lang w:val="en-US" w:eastAsia="zh-CN"/>
              </w:rPr>
              <w:t>8</w:t>
            </w:r>
            <w:r>
              <w:rPr>
                <w:rFonts w:hint="eastAsia" w:ascii="仿宋" w:hAnsi="仿宋" w:eastAsia="仿宋" w:cs="仿宋"/>
                <w:sz w:val="21"/>
                <w:szCs w:val="21"/>
              </w:rPr>
              <w:t>、开发程度</w:t>
            </w:r>
          </w:p>
        </w:tc>
        <w:tc>
          <w:tcPr>
            <w:tcW w:w="6727"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lang w:val="en-US" w:eastAsia="zh-CN"/>
              </w:rPr>
              <w:t>2009年</w:t>
            </w:r>
            <w:r>
              <w:rPr>
                <w:rFonts w:hint="eastAsia" w:ascii="仿宋" w:hAnsi="仿宋" w:eastAsia="仿宋" w:cs="仿宋"/>
                <w:sz w:val="21"/>
                <w:szCs w:val="21"/>
              </w:rPr>
              <w:t>已开发建设完成</w:t>
            </w:r>
            <w:r>
              <w:rPr>
                <w:rFonts w:hint="eastAsia" w:ascii="仿宋" w:hAnsi="仿宋" w:eastAsia="仿宋" w:cs="仿宋"/>
                <w:sz w:val="21"/>
                <w:szCs w:val="21"/>
                <w:lang w:val="en-US" w:eastAsia="zh-CN"/>
              </w:rPr>
              <w:t>，</w:t>
            </w:r>
            <w:r>
              <w:rPr>
                <w:rFonts w:hint="eastAsia" w:ascii="仿宋" w:hAnsi="仿宋" w:eastAsia="仿宋" w:cs="仿宋"/>
                <w:sz w:val="21"/>
                <w:szCs w:val="21"/>
              </w:rPr>
              <w:t>红线内“</w:t>
            </w:r>
            <w:r>
              <w:rPr>
                <w:rFonts w:hint="eastAsia" w:ascii="仿宋" w:hAnsi="仿宋" w:eastAsia="仿宋" w:cs="仿宋"/>
                <w:sz w:val="21"/>
                <w:szCs w:val="21"/>
                <w:lang w:eastAsia="zh-CN"/>
              </w:rPr>
              <w:t>五</w:t>
            </w:r>
            <w:r>
              <w:rPr>
                <w:rFonts w:hint="eastAsia" w:ascii="仿宋" w:hAnsi="仿宋" w:eastAsia="仿宋" w:cs="仿宋"/>
                <w:sz w:val="21"/>
                <w:szCs w:val="21"/>
              </w:rPr>
              <w:t>通一平”（即通上水、通下水、通路、通电、通讯，场地平整）</w:t>
            </w:r>
          </w:p>
        </w:tc>
      </w:tr>
    </w:tbl>
    <w:p>
      <w:pPr>
        <w:spacing w:line="360" w:lineRule="auto"/>
        <w:ind w:firstLine="482" w:firstLineChars="200"/>
        <w:outlineLvl w:val="2"/>
        <w:rPr>
          <w:rFonts w:hint="eastAsia" w:ascii="仿宋" w:hAnsi="仿宋" w:eastAsia="仿宋" w:cs="仿宋"/>
          <w:b/>
          <w:bCs/>
          <w:sz w:val="24"/>
        </w:rPr>
      </w:pPr>
      <w:r>
        <w:rPr>
          <w:rFonts w:hint="eastAsia" w:ascii="仿宋" w:hAnsi="仿宋" w:eastAsia="仿宋" w:cs="仿宋"/>
          <w:b/>
          <w:bCs/>
          <w:sz w:val="24"/>
        </w:rPr>
        <w:t>(二)建筑物实物状况描述与分析</w:t>
      </w:r>
    </w:p>
    <w:tbl>
      <w:tblPr>
        <w:tblStyle w:val="22"/>
        <w:tblW w:w="9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6"/>
        <w:gridCol w:w="6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jc w:val="center"/>
              <w:rPr>
                <w:rFonts w:hint="eastAsia" w:ascii="仿宋" w:hAnsi="仿宋" w:eastAsia="仿宋" w:cs="仿宋"/>
                <w:b/>
                <w:bCs/>
                <w:sz w:val="21"/>
                <w:szCs w:val="21"/>
              </w:rPr>
            </w:pPr>
            <w:r>
              <w:rPr>
                <w:rFonts w:hint="eastAsia" w:ascii="仿宋" w:hAnsi="仿宋" w:eastAsia="仿宋" w:cs="仿宋"/>
                <w:b/>
                <w:bCs/>
                <w:sz w:val="21"/>
                <w:szCs w:val="21"/>
              </w:rPr>
              <w:t>项目</w:t>
            </w:r>
          </w:p>
        </w:tc>
        <w:tc>
          <w:tcPr>
            <w:tcW w:w="6727" w:type="dxa"/>
            <w:vAlign w:val="center"/>
          </w:tcPr>
          <w:p>
            <w:pPr>
              <w:spacing w:line="240" w:lineRule="auto"/>
              <w:jc w:val="center"/>
              <w:rPr>
                <w:rFonts w:hint="eastAsia" w:ascii="仿宋" w:hAnsi="仿宋" w:eastAsia="仿宋" w:cs="仿宋"/>
                <w:b/>
                <w:bCs/>
                <w:sz w:val="21"/>
                <w:szCs w:val="21"/>
              </w:rPr>
            </w:pPr>
            <w:r>
              <w:rPr>
                <w:rFonts w:hint="eastAsia" w:ascii="仿宋" w:hAnsi="仿宋" w:eastAsia="仿宋" w:cs="仿宋"/>
                <w:b/>
                <w:bCs/>
                <w:sz w:val="21"/>
                <w:szCs w:val="21"/>
              </w:rPr>
              <w:t>描述与分析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1、名称</w:t>
            </w:r>
          </w:p>
        </w:tc>
        <w:tc>
          <w:tcPr>
            <w:tcW w:w="6727" w:type="dxa"/>
            <w:vAlign w:val="center"/>
          </w:tcPr>
          <w:p>
            <w:pPr>
              <w:spacing w:line="240" w:lineRule="auto"/>
              <w:rPr>
                <w:rFonts w:hint="eastAsia" w:ascii="仿宋" w:hAnsi="仿宋" w:eastAsia="仿宋" w:cs="仿宋"/>
                <w:sz w:val="21"/>
                <w:szCs w:val="21"/>
                <w:lang w:eastAsia="zh-CN"/>
              </w:rPr>
            </w:pPr>
            <w:r>
              <w:rPr>
                <w:rFonts w:hint="eastAsia" w:ascii="仿宋" w:hAnsi="仿宋" w:eastAsia="仿宋" w:cs="仿宋"/>
                <w:sz w:val="21"/>
                <w:szCs w:val="21"/>
                <w:lang w:eastAsia="zh-CN"/>
              </w:rPr>
              <w:t>永定县高陂镇先富大道1-6层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2、规模</w:t>
            </w:r>
          </w:p>
        </w:tc>
        <w:tc>
          <w:tcPr>
            <w:tcW w:w="6727"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估价对象建筑面积</w:t>
            </w:r>
            <w:r>
              <w:rPr>
                <w:rFonts w:hint="eastAsia" w:ascii="仿宋" w:hAnsi="仿宋" w:eastAsia="仿宋" w:cs="仿宋"/>
                <w:sz w:val="21"/>
                <w:szCs w:val="21"/>
                <w:lang w:eastAsia="zh-CN"/>
              </w:rPr>
              <w:t>1086.20平方米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3、建筑结构</w:t>
            </w:r>
          </w:p>
        </w:tc>
        <w:tc>
          <w:tcPr>
            <w:tcW w:w="6727"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lang w:eastAsia="zh-CN"/>
              </w:rPr>
              <w:t>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4、设施设备</w:t>
            </w:r>
          </w:p>
        </w:tc>
        <w:tc>
          <w:tcPr>
            <w:tcW w:w="6727"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设有</w:t>
            </w:r>
            <w:r>
              <w:rPr>
                <w:rFonts w:hint="eastAsia" w:ascii="仿宋" w:hAnsi="仿宋" w:eastAsia="仿宋" w:cs="仿宋"/>
                <w:sz w:val="21"/>
                <w:szCs w:val="21"/>
                <w:lang w:eastAsia="zh-CN"/>
              </w:rPr>
              <w:t>步行梯、水电、消防</w:t>
            </w:r>
            <w:r>
              <w:rPr>
                <w:rFonts w:hint="eastAsia" w:ascii="仿宋" w:hAnsi="仿宋" w:eastAsia="仿宋" w:cs="仿宋"/>
                <w:sz w:val="21"/>
                <w:szCs w:val="21"/>
              </w:rPr>
              <w:t>等设施齐全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5、装饰装修</w:t>
            </w:r>
          </w:p>
        </w:tc>
        <w:tc>
          <w:tcPr>
            <w:tcW w:w="6727" w:type="dxa"/>
            <w:vAlign w:val="center"/>
          </w:tcPr>
          <w:p>
            <w:pPr>
              <w:widowControl w:val="0"/>
              <w:wordWrap/>
              <w:spacing w:line="240"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建筑物外墙为墙砖，窗为铝合金推拉窗，内墙面及天棚为白色涂料粉刷，楼梯间普通装修；估价对象</w:t>
            </w:r>
            <w:r>
              <w:rPr>
                <w:rFonts w:hint="eastAsia" w:ascii="仿宋" w:hAnsi="仿宋" w:eastAsia="仿宋" w:cs="仿宋"/>
                <w:sz w:val="21"/>
                <w:szCs w:val="21"/>
                <w:lang w:eastAsia="zh-CN"/>
              </w:rPr>
              <w:t>为普通装修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6、层高</w:t>
            </w:r>
          </w:p>
        </w:tc>
        <w:tc>
          <w:tcPr>
            <w:tcW w:w="6727" w:type="dxa"/>
            <w:vAlign w:val="center"/>
          </w:tcPr>
          <w:p>
            <w:pPr>
              <w:spacing w:line="240" w:lineRule="auto"/>
              <w:rPr>
                <w:rFonts w:hint="eastAsia" w:ascii="仿宋" w:hAnsi="仿宋" w:eastAsia="仿宋" w:cs="仿宋"/>
                <w:color w:val="FF0000"/>
                <w:sz w:val="21"/>
                <w:szCs w:val="21"/>
              </w:rPr>
            </w:pPr>
            <w:r>
              <w:rPr>
                <w:rFonts w:hint="eastAsia" w:ascii="仿宋" w:hAnsi="仿宋" w:eastAsia="仿宋" w:cs="仿宋"/>
                <w:sz w:val="21"/>
                <w:szCs w:val="21"/>
              </w:rPr>
              <w:t>层高</w:t>
            </w:r>
            <w:r>
              <w:rPr>
                <w:rFonts w:hint="eastAsia" w:ascii="仿宋" w:hAnsi="仿宋" w:eastAsia="仿宋" w:cs="仿宋"/>
                <w:sz w:val="21"/>
                <w:szCs w:val="21"/>
                <w:lang w:eastAsia="zh-CN"/>
              </w:rPr>
              <w:t>约</w:t>
            </w:r>
            <w:r>
              <w:rPr>
                <w:rFonts w:hint="eastAsia" w:ascii="仿宋" w:hAnsi="仿宋" w:eastAsia="仿宋" w:cs="仿宋"/>
                <w:sz w:val="21"/>
                <w:szCs w:val="21"/>
              </w:rPr>
              <w:t>2.8米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7、空间布局</w:t>
            </w:r>
          </w:p>
        </w:tc>
        <w:tc>
          <w:tcPr>
            <w:tcW w:w="6727" w:type="dxa"/>
            <w:vAlign w:val="center"/>
          </w:tcPr>
          <w:p>
            <w:pPr>
              <w:widowControl w:val="0"/>
              <w:wordWrap/>
              <w:spacing w:line="240" w:lineRule="auto"/>
              <w:textAlignment w:val="auto"/>
              <w:rPr>
                <w:rFonts w:hint="eastAsia" w:ascii="仿宋" w:hAnsi="仿宋" w:eastAsia="仿宋" w:cs="仿宋"/>
                <w:sz w:val="21"/>
                <w:szCs w:val="21"/>
              </w:rPr>
            </w:pPr>
            <w:r>
              <w:rPr>
                <w:rFonts w:hint="eastAsia" w:ascii="仿宋" w:hAnsi="仿宋" w:eastAsia="仿宋" w:cs="仿宋"/>
                <w:sz w:val="21"/>
                <w:szCs w:val="21"/>
              </w:rPr>
              <w:t>建筑物总层数为</w:t>
            </w:r>
            <w:r>
              <w:rPr>
                <w:rFonts w:hint="eastAsia" w:ascii="仿宋" w:hAnsi="仿宋" w:eastAsia="仿宋" w:cs="仿宋"/>
                <w:sz w:val="21"/>
                <w:szCs w:val="21"/>
                <w:lang w:val="en-US" w:eastAsia="zh-CN"/>
              </w:rPr>
              <w:t>6</w:t>
            </w:r>
            <w:r>
              <w:rPr>
                <w:rFonts w:hint="eastAsia" w:ascii="仿宋" w:hAnsi="仿宋" w:eastAsia="仿宋" w:cs="仿宋"/>
                <w:sz w:val="21"/>
                <w:szCs w:val="21"/>
              </w:rPr>
              <w:t>层，垂直交通为人行楼梯</w:t>
            </w:r>
            <w:r>
              <w:rPr>
                <w:rFonts w:hint="eastAsia" w:ascii="仿宋" w:hAnsi="仿宋" w:eastAsia="仿宋" w:cs="仿宋"/>
                <w:sz w:val="21"/>
                <w:szCs w:val="21"/>
                <w:lang w:eastAsia="zh-CN"/>
              </w:rPr>
              <w:t>、电梯，</w:t>
            </w:r>
            <w:r>
              <w:rPr>
                <w:rFonts w:hint="eastAsia" w:ascii="仿宋" w:hAnsi="仿宋" w:eastAsia="仿宋" w:cs="仿宋"/>
                <w:sz w:val="21"/>
                <w:szCs w:val="21"/>
                <w:lang w:val="en-US" w:eastAsia="zh-CN"/>
              </w:rPr>
              <w:t>1层以上均为住宅</w:t>
            </w:r>
            <w:r>
              <w:rPr>
                <w:rFonts w:hint="eastAsia" w:ascii="仿宋" w:hAnsi="仿宋" w:eastAsia="仿宋" w:cs="仿宋"/>
                <w:sz w:val="21"/>
                <w:szCs w:val="21"/>
              </w:rPr>
              <w:t>，空间布局合理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8、建筑功能</w:t>
            </w:r>
          </w:p>
        </w:tc>
        <w:tc>
          <w:tcPr>
            <w:tcW w:w="6727" w:type="dxa"/>
            <w:vAlign w:val="center"/>
          </w:tcPr>
          <w:p>
            <w:pPr>
              <w:widowControl w:val="0"/>
              <w:wordWrap/>
              <w:spacing w:line="240" w:lineRule="auto"/>
              <w:textAlignment w:val="auto"/>
              <w:rPr>
                <w:rFonts w:hint="eastAsia" w:ascii="仿宋" w:hAnsi="仿宋" w:eastAsia="仿宋" w:cs="仿宋"/>
                <w:sz w:val="21"/>
                <w:szCs w:val="21"/>
              </w:rPr>
            </w:pPr>
            <w:r>
              <w:rPr>
                <w:rFonts w:hint="eastAsia" w:ascii="仿宋" w:hAnsi="仿宋" w:eastAsia="仿宋" w:cs="仿宋"/>
                <w:sz w:val="21"/>
                <w:szCs w:val="21"/>
                <w:lang w:eastAsia="zh-CN"/>
              </w:rPr>
              <w:t>估价对象</w:t>
            </w:r>
            <w:r>
              <w:rPr>
                <w:rFonts w:hint="eastAsia" w:ascii="仿宋" w:hAnsi="仿宋" w:eastAsia="仿宋" w:cs="仿宋"/>
                <w:sz w:val="21"/>
                <w:szCs w:val="21"/>
                <w:lang w:val="en-US" w:eastAsia="zh-CN"/>
              </w:rPr>
              <w:t>户型为成套住宅</w:t>
            </w:r>
            <w:r>
              <w:rPr>
                <w:rFonts w:hint="eastAsia" w:ascii="仿宋" w:hAnsi="仿宋" w:eastAsia="仿宋" w:cs="仿宋"/>
                <w:sz w:val="21"/>
                <w:szCs w:val="21"/>
              </w:rPr>
              <w:t>；其他功能配套，使用舒适，空间利用率较好；防水、保温、隔热、通风、采光、日照均较好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9、工程质量</w:t>
            </w:r>
          </w:p>
        </w:tc>
        <w:tc>
          <w:tcPr>
            <w:tcW w:w="6727" w:type="dxa"/>
            <w:vAlign w:val="center"/>
          </w:tcPr>
          <w:p>
            <w:pPr>
              <w:spacing w:line="240" w:lineRule="auto"/>
              <w:rPr>
                <w:rFonts w:hint="eastAsia" w:ascii="仿宋" w:hAnsi="仿宋" w:eastAsia="仿宋" w:cs="仿宋"/>
                <w:color w:val="FF0000"/>
                <w:sz w:val="21"/>
                <w:szCs w:val="21"/>
              </w:rPr>
            </w:pPr>
            <w:r>
              <w:rPr>
                <w:rFonts w:hint="eastAsia" w:ascii="仿宋" w:hAnsi="仿宋" w:eastAsia="仿宋" w:cs="仿宋"/>
                <w:sz w:val="21"/>
                <w:szCs w:val="21"/>
              </w:rPr>
              <w:t>未见有工程质量问题，工程质量较好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10、外观</w:t>
            </w:r>
          </w:p>
        </w:tc>
        <w:tc>
          <w:tcPr>
            <w:tcW w:w="6727"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楼宇外观较好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11、新旧程度</w:t>
            </w:r>
          </w:p>
        </w:tc>
        <w:tc>
          <w:tcPr>
            <w:tcW w:w="6727"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lang w:eastAsia="zh-CN"/>
              </w:rPr>
              <w:t>建成于</w:t>
            </w:r>
            <w:r>
              <w:rPr>
                <w:rFonts w:hint="eastAsia" w:ascii="仿宋" w:hAnsi="仿宋" w:eastAsia="仿宋" w:cs="仿宋"/>
                <w:sz w:val="21"/>
                <w:szCs w:val="21"/>
                <w:lang w:val="en-US" w:eastAsia="zh-CN"/>
              </w:rPr>
              <w:t>2009年</w:t>
            </w:r>
            <w:r>
              <w:rPr>
                <w:rFonts w:hint="eastAsia" w:ascii="仿宋" w:hAnsi="仿宋" w:eastAsia="仿宋" w:cs="仿宋"/>
                <w:sz w:val="21"/>
                <w:szCs w:val="21"/>
              </w:rPr>
              <w:t>；基本无功能折旧及外部性折旧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12、物业服务</w:t>
            </w:r>
          </w:p>
        </w:tc>
        <w:tc>
          <w:tcPr>
            <w:tcW w:w="6727"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安防管理</w:t>
            </w:r>
            <w:r>
              <w:rPr>
                <w:rFonts w:hint="eastAsia" w:ascii="仿宋" w:hAnsi="仿宋" w:eastAsia="仿宋" w:cs="仿宋"/>
                <w:sz w:val="21"/>
                <w:szCs w:val="21"/>
                <w:lang w:eastAsia="zh-CN"/>
              </w:rPr>
              <w:t>较</w:t>
            </w:r>
            <w:r>
              <w:rPr>
                <w:rFonts w:hint="eastAsia" w:ascii="仿宋" w:hAnsi="仿宋" w:eastAsia="仿宋" w:cs="仿宋"/>
                <w:sz w:val="21"/>
                <w:szCs w:val="21"/>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13、使用及维护</w:t>
            </w:r>
          </w:p>
        </w:tc>
        <w:tc>
          <w:tcPr>
            <w:tcW w:w="6727" w:type="dxa"/>
            <w:vAlign w:val="center"/>
          </w:tcPr>
          <w:p>
            <w:pPr>
              <w:widowControl w:val="0"/>
              <w:wordWrap/>
              <w:spacing w:line="240" w:lineRule="auto"/>
              <w:textAlignment w:val="auto"/>
              <w:rPr>
                <w:rFonts w:hint="eastAsia" w:ascii="仿宋" w:hAnsi="仿宋" w:eastAsia="仿宋" w:cs="仿宋"/>
                <w:sz w:val="21"/>
                <w:szCs w:val="21"/>
              </w:rPr>
            </w:pPr>
            <w:r>
              <w:rPr>
                <w:rFonts w:hint="eastAsia" w:ascii="仿宋" w:hAnsi="仿宋" w:eastAsia="仿宋" w:cs="仿宋"/>
                <w:sz w:val="21"/>
                <w:szCs w:val="21"/>
              </w:rPr>
              <w:t>使用正常，维护得较好；经实地查勘，房屋基础有足够承载力，无超过允许范围的不均匀沉降，承重结构部件及非承重墙体完好，门窗及物件配件等齐全完整，为完好房；设备管道运行基本正常；未见有明显影响质量安全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14、概况</w:t>
            </w:r>
          </w:p>
        </w:tc>
        <w:tc>
          <w:tcPr>
            <w:tcW w:w="6727" w:type="dxa"/>
            <w:vAlign w:val="center"/>
          </w:tcPr>
          <w:p>
            <w:pPr>
              <w:widowControl w:val="0"/>
              <w:wordWrap/>
              <w:spacing w:line="240" w:lineRule="auto"/>
              <w:textAlignment w:val="auto"/>
              <w:rPr>
                <w:rFonts w:hint="eastAsia" w:ascii="仿宋" w:hAnsi="仿宋" w:eastAsia="仿宋" w:cs="仿宋"/>
                <w:sz w:val="21"/>
                <w:szCs w:val="21"/>
              </w:rPr>
            </w:pPr>
            <w:r>
              <w:rPr>
                <w:rFonts w:hint="eastAsia" w:ascii="仿宋" w:hAnsi="仿宋" w:eastAsia="仿宋" w:cs="仿宋"/>
                <w:sz w:val="21"/>
                <w:szCs w:val="21"/>
              </w:rPr>
              <w:t>公共配套设施</w:t>
            </w:r>
            <w:r>
              <w:rPr>
                <w:rFonts w:hint="eastAsia" w:ascii="仿宋" w:hAnsi="仿宋" w:eastAsia="仿宋" w:cs="仿宋"/>
                <w:sz w:val="21"/>
                <w:szCs w:val="21"/>
                <w:lang w:eastAsia="zh-CN"/>
              </w:rPr>
              <w:t>、</w:t>
            </w:r>
            <w:r>
              <w:rPr>
                <w:rFonts w:hint="eastAsia" w:ascii="仿宋" w:hAnsi="仿宋" w:eastAsia="仿宋" w:cs="仿宋"/>
                <w:sz w:val="21"/>
                <w:szCs w:val="21"/>
              </w:rPr>
              <w:t>卫生状况较好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6" w:type="dxa"/>
            <w:vAlign w:val="center"/>
          </w:tcPr>
          <w:p>
            <w:pPr>
              <w:spacing w:line="240" w:lineRule="auto"/>
              <w:rPr>
                <w:rFonts w:hint="eastAsia" w:ascii="仿宋" w:hAnsi="仿宋" w:eastAsia="仿宋" w:cs="仿宋"/>
                <w:sz w:val="21"/>
                <w:szCs w:val="21"/>
              </w:rPr>
            </w:pPr>
            <w:r>
              <w:rPr>
                <w:rFonts w:hint="eastAsia" w:ascii="仿宋" w:hAnsi="仿宋" w:eastAsia="仿宋" w:cs="仿宋"/>
                <w:sz w:val="21"/>
                <w:szCs w:val="21"/>
              </w:rPr>
              <w:t>15、特殊景观</w:t>
            </w:r>
          </w:p>
        </w:tc>
        <w:tc>
          <w:tcPr>
            <w:tcW w:w="6727" w:type="dxa"/>
            <w:vAlign w:val="center"/>
          </w:tcPr>
          <w:p>
            <w:pPr>
              <w:spacing w:line="240" w:lineRule="auto"/>
              <w:rPr>
                <w:rFonts w:hint="eastAsia" w:ascii="仿宋" w:hAnsi="仿宋" w:eastAsia="仿宋" w:cs="仿宋"/>
                <w:color w:val="FF0000"/>
                <w:sz w:val="21"/>
                <w:szCs w:val="21"/>
              </w:rPr>
            </w:pPr>
            <w:r>
              <w:rPr>
                <w:rFonts w:hint="eastAsia" w:ascii="仿宋" w:hAnsi="仿宋" w:eastAsia="仿宋" w:cs="仿宋"/>
                <w:sz w:val="21"/>
                <w:szCs w:val="21"/>
              </w:rPr>
              <w:t>无特殊景观</w:t>
            </w:r>
          </w:p>
        </w:tc>
      </w:tr>
    </w:tbl>
    <w:p>
      <w:pPr>
        <w:pStyle w:val="3"/>
        <w:ind w:firstLine="482" w:firstLineChars="200"/>
        <w:rPr>
          <w:rFonts w:hint="eastAsia" w:ascii="仿宋" w:hAnsi="仿宋" w:eastAsia="仿宋" w:cs="仿宋"/>
        </w:rPr>
      </w:pPr>
      <w:bookmarkStart w:id="66" w:name="_Toc5565"/>
      <w:r>
        <w:rPr>
          <w:rFonts w:hint="eastAsia" w:ascii="仿宋" w:hAnsi="仿宋" w:eastAsia="仿宋" w:cs="仿宋"/>
        </w:rPr>
        <w:t>三、权益状况描述与分析</w:t>
      </w:r>
      <w:bookmarkEnd w:id="62"/>
      <w:bookmarkEnd w:id="66"/>
    </w:p>
    <w:tbl>
      <w:tblPr>
        <w:tblStyle w:val="22"/>
        <w:tblW w:w="9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3"/>
        <w:gridCol w:w="6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3" w:type="dxa"/>
            <w:vAlign w:val="center"/>
          </w:tcPr>
          <w:p>
            <w:pPr>
              <w:jc w:val="center"/>
              <w:rPr>
                <w:rFonts w:hint="eastAsia" w:ascii="仿宋" w:hAnsi="仿宋" w:eastAsia="仿宋" w:cs="仿宋"/>
                <w:b/>
                <w:bCs/>
                <w:sz w:val="21"/>
                <w:szCs w:val="21"/>
              </w:rPr>
            </w:pPr>
            <w:r>
              <w:rPr>
                <w:rFonts w:hint="eastAsia" w:ascii="仿宋" w:hAnsi="仿宋" w:eastAsia="仿宋" w:cs="仿宋"/>
                <w:b/>
                <w:bCs/>
                <w:sz w:val="21"/>
                <w:szCs w:val="21"/>
              </w:rPr>
              <w:t>项目</w:t>
            </w:r>
          </w:p>
        </w:tc>
        <w:tc>
          <w:tcPr>
            <w:tcW w:w="6720" w:type="dxa"/>
            <w:vAlign w:val="center"/>
          </w:tcPr>
          <w:p>
            <w:pPr>
              <w:jc w:val="center"/>
              <w:rPr>
                <w:rFonts w:hint="eastAsia" w:ascii="仿宋" w:hAnsi="仿宋" w:eastAsia="仿宋" w:cs="仿宋"/>
                <w:b/>
                <w:bCs/>
                <w:sz w:val="21"/>
                <w:szCs w:val="21"/>
              </w:rPr>
            </w:pPr>
            <w:r>
              <w:rPr>
                <w:rFonts w:hint="eastAsia" w:ascii="仿宋" w:hAnsi="仿宋" w:eastAsia="仿宋" w:cs="仿宋"/>
                <w:b/>
                <w:bCs/>
                <w:sz w:val="21"/>
                <w:szCs w:val="21"/>
              </w:rPr>
              <w:t>描述与分析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3" w:type="dxa"/>
            <w:vAlign w:val="center"/>
          </w:tcPr>
          <w:p>
            <w:pPr>
              <w:rPr>
                <w:rFonts w:hint="eastAsia" w:ascii="仿宋" w:hAnsi="仿宋" w:eastAsia="仿宋" w:cs="仿宋"/>
                <w:sz w:val="21"/>
                <w:szCs w:val="21"/>
              </w:rPr>
            </w:pPr>
            <w:r>
              <w:rPr>
                <w:rFonts w:hint="eastAsia" w:ascii="仿宋" w:hAnsi="仿宋" w:eastAsia="仿宋" w:cs="仿宋"/>
                <w:sz w:val="21"/>
                <w:szCs w:val="21"/>
              </w:rPr>
              <w:t>1、用途</w:t>
            </w:r>
          </w:p>
        </w:tc>
        <w:tc>
          <w:tcPr>
            <w:tcW w:w="6720" w:type="dxa"/>
            <w:vAlign w:val="center"/>
          </w:tcPr>
          <w:p>
            <w:pPr>
              <w:rPr>
                <w:rFonts w:hint="eastAsia" w:ascii="仿宋" w:hAnsi="仿宋" w:eastAsia="仿宋" w:cs="仿宋"/>
                <w:sz w:val="21"/>
                <w:szCs w:val="21"/>
                <w:lang w:eastAsia="zh-CN"/>
              </w:rPr>
            </w:pPr>
            <w:r>
              <w:rPr>
                <w:rFonts w:hint="eastAsia" w:ascii="仿宋" w:hAnsi="仿宋" w:eastAsia="仿宋" w:cs="仿宋"/>
                <w:sz w:val="24"/>
                <w:szCs w:val="24"/>
                <w:lang w:eastAsia="zh-CN"/>
              </w:rPr>
              <w:t>商住用地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3" w:type="dxa"/>
            <w:vAlign w:val="center"/>
          </w:tcPr>
          <w:p>
            <w:pPr>
              <w:rPr>
                <w:rFonts w:hint="eastAsia" w:ascii="仿宋" w:hAnsi="仿宋" w:eastAsia="仿宋" w:cs="仿宋"/>
                <w:sz w:val="21"/>
                <w:szCs w:val="21"/>
              </w:rPr>
            </w:pPr>
            <w:r>
              <w:rPr>
                <w:rFonts w:hint="eastAsia" w:ascii="仿宋" w:hAnsi="仿宋" w:eastAsia="仿宋" w:cs="仿宋"/>
                <w:sz w:val="21"/>
                <w:szCs w:val="21"/>
              </w:rPr>
              <w:t>2、规划条件</w:t>
            </w:r>
          </w:p>
        </w:tc>
        <w:tc>
          <w:tcPr>
            <w:tcW w:w="6720" w:type="dxa"/>
            <w:vAlign w:val="center"/>
          </w:tcPr>
          <w:p>
            <w:pPr>
              <w:rPr>
                <w:rFonts w:hint="eastAsia" w:ascii="仿宋" w:hAnsi="仿宋" w:eastAsia="仿宋" w:cs="仿宋"/>
                <w:sz w:val="21"/>
                <w:szCs w:val="21"/>
                <w:lang w:eastAsia="zh-CN"/>
              </w:rPr>
            </w:pPr>
            <w:r>
              <w:rPr>
                <w:rFonts w:hint="eastAsia" w:ascii="仿宋" w:hAnsi="仿宋" w:eastAsia="仿宋" w:cs="仿宋"/>
                <w:sz w:val="21"/>
                <w:szCs w:val="21"/>
              </w:rPr>
              <w:t>适合</w:t>
            </w:r>
            <w:r>
              <w:rPr>
                <w:rFonts w:hint="eastAsia" w:ascii="仿宋" w:hAnsi="仿宋" w:eastAsia="仿宋" w:cs="仿宋"/>
                <w:sz w:val="21"/>
                <w:szCs w:val="21"/>
                <w:lang w:eastAsia="zh-CN"/>
              </w:rPr>
              <w:t>商住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3" w:type="dxa"/>
            <w:vAlign w:val="center"/>
          </w:tcPr>
          <w:p>
            <w:pPr>
              <w:rPr>
                <w:rFonts w:hint="eastAsia" w:ascii="仿宋" w:hAnsi="仿宋" w:eastAsia="仿宋" w:cs="仿宋"/>
                <w:sz w:val="21"/>
                <w:szCs w:val="21"/>
              </w:rPr>
            </w:pPr>
            <w:r>
              <w:rPr>
                <w:rFonts w:hint="eastAsia" w:ascii="仿宋" w:hAnsi="仿宋" w:eastAsia="仿宋" w:cs="仿宋"/>
                <w:sz w:val="21"/>
                <w:szCs w:val="21"/>
              </w:rPr>
              <w:t>3、所有权</w:t>
            </w:r>
          </w:p>
        </w:tc>
        <w:tc>
          <w:tcPr>
            <w:tcW w:w="6720" w:type="dxa"/>
            <w:vAlign w:val="center"/>
          </w:tcPr>
          <w:p>
            <w:pPr>
              <w:rPr>
                <w:rFonts w:hint="eastAsia" w:ascii="仿宋" w:hAnsi="仿宋" w:eastAsia="仿宋" w:cs="仿宋"/>
                <w:sz w:val="21"/>
                <w:szCs w:val="21"/>
                <w:lang w:eastAsia="zh-CN"/>
              </w:rPr>
            </w:pPr>
            <w:r>
              <w:rPr>
                <w:rFonts w:hint="eastAsia" w:ascii="仿宋" w:hAnsi="仿宋" w:eastAsia="仿宋" w:cs="仿宋"/>
                <w:sz w:val="21"/>
                <w:szCs w:val="21"/>
              </w:rPr>
              <w:t>土地所有权为国家所有，房屋所有权人为</w:t>
            </w:r>
            <w:r>
              <w:rPr>
                <w:rFonts w:hint="eastAsia" w:ascii="仿宋" w:hAnsi="仿宋" w:eastAsia="仿宋" w:cs="仿宋"/>
                <w:sz w:val="21"/>
                <w:szCs w:val="21"/>
                <w:lang w:eastAsia="zh-CN"/>
              </w:rPr>
              <w:t>龙岩市永定区农村信用合作联社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3" w:type="dxa"/>
            <w:vAlign w:val="center"/>
          </w:tcPr>
          <w:p>
            <w:pPr>
              <w:rPr>
                <w:rFonts w:hint="eastAsia" w:ascii="仿宋" w:hAnsi="仿宋" w:eastAsia="仿宋" w:cs="仿宋"/>
                <w:sz w:val="21"/>
                <w:szCs w:val="21"/>
              </w:rPr>
            </w:pPr>
            <w:r>
              <w:rPr>
                <w:rFonts w:hint="eastAsia" w:ascii="仿宋" w:hAnsi="仿宋" w:eastAsia="仿宋" w:cs="仿宋"/>
                <w:sz w:val="21"/>
                <w:szCs w:val="21"/>
              </w:rPr>
              <w:t>4、土地使用权</w:t>
            </w:r>
          </w:p>
        </w:tc>
        <w:tc>
          <w:tcPr>
            <w:tcW w:w="6720" w:type="dxa"/>
            <w:vAlign w:val="center"/>
          </w:tcPr>
          <w:p>
            <w:pPr>
              <w:rPr>
                <w:rFonts w:hint="eastAsia" w:ascii="仿宋" w:hAnsi="仿宋" w:eastAsia="仿宋" w:cs="仿宋"/>
                <w:sz w:val="21"/>
                <w:szCs w:val="21"/>
                <w:lang w:eastAsia="zh-CN"/>
              </w:rPr>
            </w:pPr>
            <w:r>
              <w:rPr>
                <w:rFonts w:hint="eastAsia" w:ascii="仿宋" w:hAnsi="仿宋" w:eastAsia="仿宋" w:cs="仿宋"/>
                <w:sz w:val="21"/>
                <w:szCs w:val="21"/>
              </w:rPr>
              <w:t>土地使用权人为</w:t>
            </w:r>
            <w:r>
              <w:rPr>
                <w:rFonts w:hint="eastAsia" w:ascii="仿宋" w:hAnsi="仿宋" w:eastAsia="仿宋" w:cs="仿宋"/>
                <w:sz w:val="21"/>
                <w:szCs w:val="21"/>
                <w:lang w:eastAsia="zh-CN"/>
              </w:rPr>
              <w:t>龙岩市永定区农村信用合作联社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3" w:type="dxa"/>
            <w:vAlign w:val="center"/>
          </w:tcPr>
          <w:p>
            <w:pPr>
              <w:rPr>
                <w:rFonts w:hint="eastAsia" w:ascii="仿宋" w:hAnsi="仿宋" w:eastAsia="仿宋" w:cs="仿宋"/>
                <w:sz w:val="21"/>
                <w:szCs w:val="21"/>
              </w:rPr>
            </w:pPr>
            <w:r>
              <w:rPr>
                <w:rFonts w:hint="eastAsia" w:ascii="仿宋" w:hAnsi="仿宋" w:eastAsia="仿宋" w:cs="仿宋"/>
                <w:sz w:val="21"/>
                <w:szCs w:val="21"/>
              </w:rPr>
              <w:t>5、共有权情况</w:t>
            </w:r>
          </w:p>
        </w:tc>
        <w:tc>
          <w:tcPr>
            <w:tcW w:w="6720" w:type="dxa"/>
            <w:vAlign w:val="center"/>
          </w:tcPr>
          <w:p>
            <w:pPr>
              <w:rPr>
                <w:rFonts w:hint="eastAsia" w:ascii="仿宋" w:hAnsi="仿宋" w:eastAsia="仿宋" w:cs="仿宋"/>
                <w:sz w:val="21"/>
                <w:szCs w:val="21"/>
                <w:lang w:eastAsia="zh-CN"/>
              </w:rPr>
            </w:pPr>
            <w:r>
              <w:rPr>
                <w:rFonts w:hint="eastAsia" w:ascii="仿宋" w:hAnsi="仿宋" w:eastAsia="仿宋" w:cs="仿宋"/>
                <w:sz w:val="21"/>
                <w:szCs w:val="21"/>
                <w:lang w:eastAsia="zh-CN"/>
              </w:rPr>
              <w:t>共同共有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3" w:type="dxa"/>
            <w:vAlign w:val="center"/>
          </w:tcPr>
          <w:p>
            <w:pPr>
              <w:rPr>
                <w:rFonts w:hint="eastAsia" w:ascii="仿宋" w:hAnsi="仿宋" w:eastAsia="仿宋" w:cs="仿宋"/>
                <w:sz w:val="21"/>
                <w:szCs w:val="21"/>
              </w:rPr>
            </w:pPr>
            <w:r>
              <w:rPr>
                <w:rFonts w:hint="eastAsia" w:ascii="仿宋" w:hAnsi="仿宋" w:eastAsia="仿宋" w:cs="仿宋"/>
                <w:sz w:val="21"/>
                <w:szCs w:val="21"/>
              </w:rPr>
              <w:t>6、用益物权设立情况</w:t>
            </w:r>
          </w:p>
        </w:tc>
        <w:tc>
          <w:tcPr>
            <w:tcW w:w="6720" w:type="dxa"/>
            <w:vAlign w:val="center"/>
          </w:tcPr>
          <w:p>
            <w:pPr>
              <w:rPr>
                <w:rFonts w:hint="eastAsia" w:ascii="仿宋" w:hAnsi="仿宋" w:eastAsia="仿宋" w:cs="仿宋"/>
                <w:sz w:val="21"/>
                <w:szCs w:val="21"/>
                <w:lang w:eastAsia="zh-CN"/>
              </w:rPr>
            </w:pPr>
            <w:r>
              <w:rPr>
                <w:rFonts w:hint="eastAsia" w:ascii="仿宋" w:hAnsi="仿宋" w:eastAsia="仿宋" w:cs="仿宋"/>
                <w:sz w:val="21"/>
                <w:szCs w:val="21"/>
              </w:rPr>
              <w:t>国有建设用地使用权</w:t>
            </w:r>
            <w:r>
              <w:rPr>
                <w:rFonts w:hint="eastAsia" w:ascii="仿宋" w:hAnsi="仿宋" w:eastAsia="仿宋" w:cs="仿宋"/>
                <w:sz w:val="21"/>
                <w:szCs w:val="21"/>
                <w:lang w:eastAsia="zh-CN"/>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3" w:type="dxa"/>
            <w:vAlign w:val="center"/>
          </w:tcPr>
          <w:p>
            <w:pPr>
              <w:rPr>
                <w:rFonts w:hint="eastAsia" w:ascii="仿宋" w:hAnsi="仿宋" w:eastAsia="仿宋" w:cs="仿宋"/>
                <w:sz w:val="21"/>
                <w:szCs w:val="21"/>
              </w:rPr>
            </w:pPr>
            <w:r>
              <w:rPr>
                <w:rFonts w:hint="eastAsia" w:ascii="仿宋" w:hAnsi="仿宋" w:eastAsia="仿宋" w:cs="仿宋"/>
                <w:sz w:val="21"/>
                <w:szCs w:val="21"/>
              </w:rPr>
              <w:t>7、担保物权设立情况</w:t>
            </w:r>
          </w:p>
        </w:tc>
        <w:tc>
          <w:tcPr>
            <w:tcW w:w="6720" w:type="dxa"/>
            <w:vAlign w:val="center"/>
          </w:tcPr>
          <w:p>
            <w:pPr>
              <w:rPr>
                <w:rFonts w:hint="eastAsia" w:ascii="仿宋" w:hAnsi="仿宋" w:eastAsia="仿宋" w:cs="仿宋"/>
                <w:sz w:val="21"/>
                <w:szCs w:val="21"/>
              </w:rPr>
            </w:pPr>
            <w:r>
              <w:rPr>
                <w:rFonts w:hint="eastAsia" w:ascii="仿宋" w:hAnsi="仿宋" w:eastAsia="仿宋" w:cs="仿宋"/>
                <w:sz w:val="21"/>
                <w:szCs w:val="21"/>
              </w:rPr>
              <w:t>价值时点估价对象</w:t>
            </w:r>
            <w:r>
              <w:rPr>
                <w:rFonts w:hint="eastAsia" w:ascii="仿宋" w:hAnsi="仿宋" w:eastAsia="仿宋" w:cs="仿宋"/>
                <w:sz w:val="21"/>
                <w:szCs w:val="21"/>
                <w:lang w:eastAsia="zh-CN"/>
              </w:rPr>
              <w:t>假定</w:t>
            </w:r>
            <w:r>
              <w:rPr>
                <w:rFonts w:hint="eastAsia" w:ascii="仿宋" w:hAnsi="仿宋" w:eastAsia="仿宋" w:cs="仿宋"/>
                <w:sz w:val="21"/>
                <w:szCs w:val="21"/>
              </w:rPr>
              <w:t>未设立担保物权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3" w:type="dxa"/>
            <w:vAlign w:val="center"/>
          </w:tcPr>
          <w:p>
            <w:pPr>
              <w:rPr>
                <w:rFonts w:hint="eastAsia" w:ascii="仿宋" w:hAnsi="仿宋" w:eastAsia="仿宋" w:cs="仿宋"/>
                <w:sz w:val="21"/>
                <w:szCs w:val="21"/>
              </w:rPr>
            </w:pPr>
            <w:r>
              <w:rPr>
                <w:rFonts w:hint="eastAsia" w:ascii="仿宋" w:hAnsi="仿宋" w:eastAsia="仿宋" w:cs="仿宋"/>
                <w:sz w:val="21"/>
                <w:szCs w:val="21"/>
              </w:rPr>
              <w:t>8、租贷或占用情况</w:t>
            </w:r>
          </w:p>
        </w:tc>
        <w:tc>
          <w:tcPr>
            <w:tcW w:w="6720" w:type="dxa"/>
            <w:vAlign w:val="center"/>
          </w:tcPr>
          <w:p>
            <w:pPr>
              <w:rPr>
                <w:rFonts w:hint="eastAsia" w:ascii="仿宋" w:hAnsi="仿宋" w:eastAsia="仿宋" w:cs="仿宋"/>
                <w:sz w:val="21"/>
                <w:szCs w:val="21"/>
              </w:rPr>
            </w:pPr>
            <w:r>
              <w:rPr>
                <w:rFonts w:hint="eastAsia" w:ascii="仿宋" w:hAnsi="仿宋" w:eastAsia="仿宋" w:cs="仿宋"/>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3" w:type="dxa"/>
            <w:vAlign w:val="center"/>
          </w:tcPr>
          <w:p>
            <w:pPr>
              <w:rPr>
                <w:rFonts w:hint="eastAsia" w:ascii="仿宋" w:hAnsi="仿宋" w:eastAsia="仿宋" w:cs="仿宋"/>
                <w:sz w:val="21"/>
                <w:szCs w:val="21"/>
              </w:rPr>
            </w:pPr>
            <w:r>
              <w:rPr>
                <w:rFonts w:hint="eastAsia" w:ascii="仿宋" w:hAnsi="仿宋" w:eastAsia="仿宋" w:cs="仿宋"/>
                <w:sz w:val="21"/>
                <w:szCs w:val="21"/>
              </w:rPr>
              <w:t>9、拖欠工程款情况</w:t>
            </w:r>
          </w:p>
        </w:tc>
        <w:tc>
          <w:tcPr>
            <w:tcW w:w="6720" w:type="dxa"/>
            <w:vAlign w:val="center"/>
          </w:tcPr>
          <w:p>
            <w:pPr>
              <w:rPr>
                <w:rFonts w:hint="eastAsia" w:ascii="仿宋" w:hAnsi="仿宋" w:eastAsia="仿宋" w:cs="仿宋"/>
                <w:sz w:val="21"/>
                <w:szCs w:val="21"/>
              </w:rPr>
            </w:pPr>
            <w:r>
              <w:rPr>
                <w:rFonts w:hint="eastAsia" w:ascii="仿宋" w:hAnsi="仿宋" w:eastAsia="仿宋" w:cs="仿宋"/>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3" w:type="dxa"/>
            <w:vAlign w:val="center"/>
          </w:tcPr>
          <w:p>
            <w:pPr>
              <w:rPr>
                <w:rFonts w:hint="eastAsia" w:ascii="仿宋" w:hAnsi="仿宋" w:eastAsia="仿宋" w:cs="仿宋"/>
                <w:sz w:val="21"/>
                <w:szCs w:val="21"/>
              </w:rPr>
            </w:pPr>
            <w:r>
              <w:rPr>
                <w:rFonts w:hint="eastAsia" w:ascii="仿宋" w:hAnsi="仿宋" w:eastAsia="仿宋" w:cs="仿宋"/>
                <w:sz w:val="21"/>
                <w:szCs w:val="21"/>
              </w:rPr>
              <w:t>10、查封等形式限制权情况</w:t>
            </w:r>
          </w:p>
        </w:tc>
        <w:tc>
          <w:tcPr>
            <w:tcW w:w="6720" w:type="dxa"/>
            <w:vAlign w:val="center"/>
          </w:tcPr>
          <w:p>
            <w:pPr>
              <w:rPr>
                <w:rFonts w:hint="eastAsia" w:ascii="仿宋" w:hAnsi="仿宋" w:eastAsia="仿宋" w:cs="仿宋"/>
                <w:sz w:val="21"/>
                <w:szCs w:val="21"/>
              </w:rPr>
            </w:pPr>
            <w:r>
              <w:rPr>
                <w:rFonts w:hint="eastAsia" w:ascii="仿宋" w:hAnsi="仿宋" w:eastAsia="仿宋" w:cs="仿宋"/>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3" w:type="dxa"/>
            <w:vAlign w:val="center"/>
          </w:tcPr>
          <w:p>
            <w:pPr>
              <w:rPr>
                <w:rFonts w:hint="eastAsia" w:ascii="仿宋" w:hAnsi="仿宋" w:eastAsia="仿宋" w:cs="仿宋"/>
                <w:sz w:val="21"/>
                <w:szCs w:val="21"/>
              </w:rPr>
            </w:pPr>
            <w:r>
              <w:rPr>
                <w:rFonts w:hint="eastAsia" w:ascii="仿宋" w:hAnsi="仿宋" w:eastAsia="仿宋" w:cs="仿宋"/>
                <w:sz w:val="21"/>
                <w:szCs w:val="21"/>
              </w:rPr>
              <w:t>11、权属清晰情况</w:t>
            </w:r>
          </w:p>
        </w:tc>
        <w:tc>
          <w:tcPr>
            <w:tcW w:w="6720" w:type="dxa"/>
            <w:vAlign w:val="center"/>
          </w:tcPr>
          <w:p>
            <w:pPr>
              <w:rPr>
                <w:rFonts w:hint="eastAsia" w:ascii="仿宋" w:hAnsi="仿宋" w:eastAsia="仿宋" w:cs="仿宋"/>
                <w:sz w:val="21"/>
                <w:szCs w:val="21"/>
              </w:rPr>
            </w:pPr>
            <w:r>
              <w:rPr>
                <w:rFonts w:hint="eastAsia" w:ascii="仿宋" w:hAnsi="仿宋" w:eastAsia="仿宋" w:cs="仿宋"/>
                <w:sz w:val="21"/>
                <w:szCs w:val="21"/>
              </w:rPr>
              <w:t>权属清晰</w:t>
            </w:r>
          </w:p>
        </w:tc>
      </w:tr>
    </w:tbl>
    <w:p>
      <w:pPr>
        <w:pStyle w:val="3"/>
        <w:ind w:firstLine="482" w:firstLineChars="200"/>
        <w:rPr>
          <w:rFonts w:hint="eastAsia" w:ascii="仿宋" w:hAnsi="仿宋" w:eastAsia="仿宋" w:cs="仿宋"/>
        </w:rPr>
      </w:pPr>
      <w:bookmarkStart w:id="67" w:name="_Toc12814"/>
      <w:bookmarkStart w:id="68" w:name="_Toc453590463"/>
      <w:bookmarkStart w:id="69" w:name="_Toc29581"/>
      <w:bookmarkStart w:id="70" w:name="_Toc407785149"/>
      <w:r>
        <w:rPr>
          <w:rFonts w:hint="eastAsia" w:ascii="仿宋" w:hAnsi="仿宋" w:eastAsia="仿宋" w:cs="仿宋"/>
        </w:rPr>
        <w:t>四、市场背景描述与分析</w:t>
      </w:r>
      <w:bookmarkEnd w:id="67"/>
      <w:bookmarkEnd w:id="68"/>
      <w:bookmarkEnd w:id="69"/>
    </w:p>
    <w:p>
      <w:pPr>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b w:val="0"/>
          <w:bCs w:val="0"/>
          <w:i w:val="0"/>
          <w:iCs w:val="0"/>
          <w:sz w:val="24"/>
          <w:szCs w:val="24"/>
        </w:rPr>
        <w:t>市场因素是指影响房地产价格的整体性宏观因素，对具体地段的房地产价格影响不明显，而对全社会范围内的整体房地产价格水平有较显著影响，对不同的地价区域的房地产也有较大作用</w:t>
      </w:r>
      <w:r>
        <w:rPr>
          <w:rFonts w:hint="eastAsia" w:ascii="仿宋" w:hAnsi="仿宋" w:eastAsia="仿宋" w:cs="仿宋"/>
          <w:b w:val="0"/>
          <w:bCs w:val="0"/>
          <w:i w:val="0"/>
          <w:iCs w:val="0"/>
          <w:sz w:val="24"/>
          <w:szCs w:val="24"/>
          <w:lang w:eastAsia="zh-CN"/>
        </w:rPr>
        <w:t>。</w:t>
      </w:r>
    </w:p>
    <w:p>
      <w:pPr>
        <w:spacing w:line="360" w:lineRule="auto"/>
        <w:ind w:firstLine="480" w:firstLineChars="200"/>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w:t>
      </w:r>
      <w:r>
        <w:rPr>
          <w:rFonts w:hint="eastAsia" w:ascii="仿宋" w:hAnsi="仿宋" w:eastAsia="仿宋" w:cs="仿宋"/>
          <w:b w:val="0"/>
          <w:bCs w:val="0"/>
          <w:i w:val="0"/>
          <w:iCs w:val="0"/>
          <w:sz w:val="24"/>
          <w:szCs w:val="24"/>
        </w:rPr>
        <w:t>一</w:t>
      </w:r>
      <w:r>
        <w:rPr>
          <w:rFonts w:hint="eastAsia" w:ascii="仿宋" w:hAnsi="仿宋" w:eastAsia="仿宋" w:cs="仿宋"/>
          <w:b w:val="0"/>
          <w:bCs w:val="0"/>
          <w:i w:val="0"/>
          <w:iCs w:val="0"/>
          <w:sz w:val="24"/>
          <w:szCs w:val="24"/>
          <w:lang w:val="en-US" w:eastAsia="zh-CN"/>
        </w:rPr>
        <w:t>)当地经济社会发展简况</w:t>
      </w:r>
    </w:p>
    <w:p>
      <w:pPr>
        <w:widowControl w:val="0"/>
        <w:wordWrap/>
        <w:adjustRightInd/>
        <w:snapToGrid/>
        <w:spacing w:line="360" w:lineRule="auto"/>
        <w:ind w:firstLine="480" w:firstLineChars="200"/>
        <w:textAlignment w:val="auto"/>
        <w:rPr>
          <w:rFonts w:hint="eastAsia" w:ascii="仿宋" w:hAnsi="仿宋" w:eastAsia="仿宋" w:cs="仿宋"/>
          <w:b w:val="0"/>
          <w:bCs w:val="0"/>
          <w:i w:val="0"/>
          <w:iCs w:val="0"/>
          <w:sz w:val="24"/>
          <w:szCs w:val="24"/>
          <w:lang w:eastAsia="zh-CN"/>
        </w:rPr>
      </w:pPr>
      <w:r>
        <w:rPr>
          <w:rFonts w:hint="eastAsia" w:ascii="仿宋" w:hAnsi="仿宋" w:eastAsia="仿宋" w:cs="仿宋"/>
          <w:b w:val="0"/>
          <w:bCs w:val="0"/>
          <w:i w:val="0"/>
          <w:iCs w:val="0"/>
          <w:sz w:val="24"/>
          <w:szCs w:val="24"/>
        </w:rPr>
        <w:t>龙岩位于中国福建省西部,通称闽西,是中国唯一以“龙”字命名的地级市,是全国文明城市、国家级可持续发展实验区、全国生态文明建设试点地区、中国专用汽车名城、福建省整体投资环境最佳设区市,入选新一批城市开展创新型城市建设名单</w:t>
      </w:r>
      <w:r>
        <w:rPr>
          <w:rFonts w:hint="eastAsia" w:ascii="仿宋" w:hAnsi="仿宋" w:eastAsia="仿宋" w:cs="仿宋"/>
          <w:b w:val="0"/>
          <w:bCs w:val="0"/>
          <w:i w:val="0"/>
          <w:iCs w:val="0"/>
          <w:sz w:val="24"/>
          <w:szCs w:val="24"/>
          <w:lang w:eastAsia="zh-CN"/>
        </w:rPr>
        <w:t>；</w:t>
      </w:r>
      <w:r>
        <w:rPr>
          <w:rFonts w:hint="eastAsia" w:ascii="仿宋" w:hAnsi="仿宋" w:eastAsia="仿宋" w:cs="仿宋"/>
          <w:b w:val="0"/>
          <w:bCs w:val="0"/>
          <w:i w:val="0"/>
          <w:iCs w:val="0"/>
          <w:sz w:val="24"/>
          <w:szCs w:val="24"/>
        </w:rPr>
        <w:t>是我党确立思想建党、政治建军原则的地方,是原中央苏区核心区域、毛泽东思想的重要发祥地,享有“二十年红旗不倒”赞誉;也是福建省重要矿区、林区,是海西品牌最多的旅游区。龙岩市曾经是远古时代“古闽人”的天堂,是“闽越人”的祖籍地和“南海国”的国都所在地及其中心区域,是享誉海内外的客家祖地,是河洛人的祖居地之一。1997年5月撤地设市</w:t>
      </w:r>
      <w:r>
        <w:rPr>
          <w:rFonts w:hint="eastAsia" w:ascii="仿宋" w:hAnsi="仿宋" w:eastAsia="仿宋" w:cs="仿宋"/>
          <w:b w:val="0"/>
          <w:bCs w:val="0"/>
          <w:i w:val="0"/>
          <w:iCs w:val="0"/>
          <w:sz w:val="24"/>
          <w:szCs w:val="24"/>
          <w:lang w:eastAsia="zh-CN"/>
        </w:rPr>
        <w:t>。</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(二)当地房地产市场总体状况及同类房地产市场状况</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1.房地产市场总体运行情况</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⑴.一级市场</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龙岩城区出让地块总计24幅，总揽金87.94亿元。其中，住宅地块一共占18幅，总揽金85.165亿元，曹溪、东山板块、铁山、大洋、龙腾中路各有1幅；龙门2幅；小洋、东肖各3幅；城北成为最大重头戏，共有6幅。天马西路北侧一号地楼面价创下10391.47元/㎡，成为龙岩城区“新地王”！城南、城北的地价也被频频刷新，楼面价直逼“7”字头、“8”字头，赶超城中心的国贸天琴湾、水晶中央等曾经的“地王”。</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⑵.二级市场</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回望整个2020年，龙岩楼市呈低开高走之势。年初受到春节和疫情的影响，第一季度楼市基本处于“休眠”状态，第二季度开始迅速恢复启动，新老楼盘接踵推量，成交量跟着水涨船高，6月达到小高峰，12月再创新高，一整年成交总量达26927套，住宅占14881套，非住宅12046套。对比2018-2020年数据发现，龙岩城区住宅成交量连续三年下滑，2020年同比上年减少1036套；但非住宅（杂物间、商业等）今年却异军突起，成交量创三年来新高。整个2020年，龙岩城区楼市总体表现较火热，虽然新房源供应量同比减少，但大部分楼盘均销绩耀眼，城发汇金望郡、融创玖峯台、建发泱著、建发津湖印、厦鑫博世楠院、水晶澜庭等龙津湖公园周边一带的楼盘，成为今年楼市“最靓的仔”，每次开盘备受热抢，房源几近“日光”，刮起楼市一阵又一阵的热潮。城北世家文苑、书华文郡和城南璞玉滨江，凭借着区域发展潜力，推盘两期也创下不俗成绩；以“改善”著称的交发沁芳轩开盘两期也大受热捧；美伦生态城这个东山“万户”大盘在目前市场上性价比高，多次开盘。龙地东尚湾、城发雅郡、 远洋山水、观樾台、碧桂园珑悦台、永城利铭著、美伦东锦缘等楼盘也在平稳中走量。</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2.成交量</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2020年，龙岩中心城区总成交 26927套房源，其中住宅成交14881套，非住宅（商业、杂物间等）成交12046套，总成交面积 2166827.22㎡。</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3.成交走势</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2020年，龙岩城区楼市成交量总体呈上涨走势，四个季度呈“低-高-低-高”走势。6月，成交出现小高峰，当月总成交量3553套，住宅成交量1738套。12月，成交量再创新高，当月总成交量4520套，住宅成交量2018套。</w:t>
      </w:r>
    </w:p>
    <w:p>
      <w:pPr>
        <w:widowControl w:val="0"/>
        <w:wordWrap/>
        <w:adjustRightInd/>
        <w:snapToGrid/>
        <w:spacing w:line="360" w:lineRule="auto"/>
        <w:ind w:firstLine="420" w:firstLineChars="200"/>
        <w:textAlignment w:val="auto"/>
        <w:rPr>
          <w:rFonts w:hint="eastAsia" w:ascii="仿宋" w:hAnsi="仿宋" w:eastAsia="仿宋" w:cs="仿宋"/>
          <w:sz w:val="24"/>
          <w:szCs w:val="24"/>
          <w:lang w:val="en-US" w:eastAsia="zh-CN"/>
        </w:rPr>
      </w:pPr>
      <w:r>
        <w:drawing>
          <wp:inline distT="0" distB="0" distL="114300" distR="114300">
            <wp:extent cx="5939790" cy="2497455"/>
            <wp:effectExtent l="0" t="0" r="3810" b="1714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1"/>
                    <a:stretch>
                      <a:fillRect/>
                    </a:stretch>
                  </pic:blipFill>
                  <pic:spPr>
                    <a:xfrm>
                      <a:off x="0" y="0"/>
                      <a:ext cx="5939790" cy="2497455"/>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sz w:val="24"/>
          <w:szCs w:val="24"/>
          <w:lang w:val="en-US" w:eastAsia="zh-CN"/>
        </w:rPr>
      </w:pPr>
      <w:bookmarkStart w:id="71" w:name="_Toc17420"/>
      <w:r>
        <w:rPr>
          <w:rFonts w:hint="eastAsia" w:ascii="仿宋" w:hAnsi="仿宋" w:eastAsia="仿宋" w:cs="仿宋"/>
          <w:sz w:val="24"/>
          <w:szCs w:val="24"/>
          <w:lang w:val="en-US" w:eastAsia="zh-CN"/>
        </w:rPr>
        <w:t>4.同比情况</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2020年，龙岩城区总体成交量呈上涨。但住宅成交量连续三年下滑，2020年同比上年减少1036套；而非住宅（杂物间、商业等）今年却异军突起，成交量创三年来新高。</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5.销量方面</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2020年，大部分楼盘成交量均表现出色。住宅方面，美伦生态城以备案1263套再次夺得年度榜单第一；厦鑫博世楠院以1193套，排得第二；远洋山水993套排得第三。非住宅（杂物间、商业等）方面，水晶澜庭以1235套夺得榜首，厦鑫博世楠院1170套排第二，建发泱著649套排行第三。总成交面积（含住宅、杂物间、商业等）方面，厦鑫博世楠院以17.28万㎡登榜第一，美伦生态城以15.61万㎡排第二，水晶澜庭12.98万㎡排第三。</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6.新房供应方面</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2020年，龙岩城区住宅供应量总达13100套，面积约达143万㎡。住宅供应量整体再呈下滑趋势，较比2019年减少了1080套，供应楼盘较比上年减少5个。新增住宅房源最多的片区属龙津湖公园周边一带，5个楼盘总供应3369套；其次是龙门和紫金山一带，4个楼盘总供应2917套；东山板块紧随其后，有4个楼盘总供应2804套。</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(三)后市展望</w:t>
      </w:r>
    </w:p>
    <w:p>
      <w:pPr>
        <w:widowControl w:val="0"/>
        <w:wordWrap/>
        <w:adjustRightInd/>
        <w:snapToGrid/>
        <w:spacing w:line="360" w:lineRule="auto"/>
        <w:ind w:firstLine="480" w:firstLineChars="200"/>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sz w:val="24"/>
          <w:szCs w:val="24"/>
          <w:lang w:val="en-US" w:eastAsia="zh-CN"/>
        </w:rPr>
        <w:t>价格方面,在“稳地价、稳房价、稳预期”背景下,相比以往,但土拍热度则明显回升,预计后期土地市场仍以“稳”为主，商品房市场成交将回暖</w:t>
      </w:r>
      <w:r>
        <w:rPr>
          <w:rFonts w:hint="eastAsia" w:ascii="仿宋" w:hAnsi="仿宋" w:eastAsia="仿宋" w:cs="仿宋"/>
          <w:b w:val="0"/>
          <w:bCs w:val="0"/>
          <w:sz w:val="24"/>
          <w:szCs w:val="24"/>
          <w:lang w:val="en-US" w:eastAsia="zh-CN"/>
        </w:rPr>
        <w:t>。</w:t>
      </w:r>
    </w:p>
    <w:p>
      <w:pPr>
        <w:pStyle w:val="3"/>
        <w:ind w:firstLine="482" w:firstLineChars="200"/>
        <w:rPr>
          <w:rFonts w:hint="eastAsia" w:ascii="仿宋" w:hAnsi="仿宋" w:eastAsia="仿宋" w:cs="仿宋"/>
          <w:szCs w:val="24"/>
        </w:rPr>
      </w:pPr>
      <w:r>
        <w:rPr>
          <w:rFonts w:hint="eastAsia" w:ascii="仿宋" w:hAnsi="仿宋" w:eastAsia="仿宋" w:cs="仿宋"/>
          <w:szCs w:val="24"/>
        </w:rPr>
        <w:t>五、最高最佳使用分析</w:t>
      </w:r>
      <w:bookmarkEnd w:id="70"/>
      <w:bookmarkEnd w:id="71"/>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最高最佳利用是指法律上许可、技术可能、财务可行，能使估价对象的价值达到最大的一种最可能的使用。</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(一)法律上许可：最高最佳利用不是无条件的最高最佳利用，而是在法律、法规、政策以及建设用地使用权出让合同等允许范围内的最高最佳利用。</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估价对象规划、设计及产权登记法定用途为商业，且实际用途为商业，</w:t>
      </w:r>
      <w:r>
        <w:rPr>
          <w:rFonts w:hint="eastAsia" w:ascii="仿宋" w:hAnsi="仿宋" w:eastAsia="仿宋" w:cs="仿宋"/>
          <w:sz w:val="24"/>
          <w:szCs w:val="24"/>
        </w:rPr>
        <w:t>满足用途合法性</w:t>
      </w:r>
      <w:r>
        <w:rPr>
          <w:rFonts w:hint="eastAsia" w:ascii="仿宋" w:hAnsi="仿宋" w:eastAsia="仿宋" w:cs="仿宋"/>
          <w:sz w:val="24"/>
          <w:szCs w:val="24"/>
          <w:lang w:val="en-US" w:eastAsia="zh-CN"/>
        </w:rPr>
        <w:t>。</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(二)技术可能性：不能把技术上无法做到的使用当作最高最佳使用，要按照可达到的建筑材料、施工技术等方面的要求确定。</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估价对象为常规结构建筑物，</w:t>
      </w:r>
      <w:r>
        <w:rPr>
          <w:rFonts w:hint="eastAsia" w:ascii="仿宋" w:hAnsi="仿宋" w:eastAsia="仿宋" w:cs="仿宋"/>
          <w:sz w:val="24"/>
          <w:szCs w:val="24"/>
        </w:rPr>
        <w:t>从规划、设计、施工、材料等各方面都满足现有技术的可能性</w:t>
      </w:r>
      <w:r>
        <w:rPr>
          <w:rFonts w:hint="eastAsia" w:ascii="仿宋" w:hAnsi="仿宋" w:eastAsia="仿宋" w:cs="仿宋"/>
          <w:sz w:val="24"/>
          <w:szCs w:val="24"/>
          <w:lang w:val="en-US" w:eastAsia="zh-CN"/>
        </w:rPr>
        <w:t>。</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(三)财务可行性：在各种可能的使用方式中，选择收入现值大于支出现值的方式，寻求以经济上有限的投入而能获得最大收益的使用方式。</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估价对象所在区域的</w:t>
      </w:r>
      <w:r>
        <w:rPr>
          <w:rFonts w:hint="eastAsia" w:ascii="仿宋" w:hAnsi="仿宋" w:eastAsia="仿宋" w:cs="仿宋"/>
          <w:sz w:val="24"/>
          <w:szCs w:val="24"/>
          <w:lang w:eastAsia="zh-CN"/>
        </w:rPr>
        <w:t>同类</w:t>
      </w:r>
      <w:r>
        <w:rPr>
          <w:rFonts w:hint="eastAsia" w:ascii="仿宋" w:hAnsi="仿宋" w:eastAsia="仿宋" w:cs="仿宋"/>
          <w:sz w:val="24"/>
          <w:szCs w:val="24"/>
        </w:rPr>
        <w:t>房地产有效需求较大，且估价对象能获得较好的经济收益，满足财务的可行性</w:t>
      </w:r>
      <w:r>
        <w:rPr>
          <w:rFonts w:hint="eastAsia" w:ascii="仿宋" w:hAnsi="仿宋" w:eastAsia="仿宋" w:cs="仿宋"/>
          <w:sz w:val="24"/>
          <w:szCs w:val="24"/>
          <w:lang w:val="en-US" w:eastAsia="zh-CN"/>
        </w:rPr>
        <w:t>。</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(四)最高最佳利用方式：在具有经济可行性的利用中，能够使估价对象的价值达到最大的利用，便是最高最佳利用。</w:t>
      </w:r>
    </w:p>
    <w:p>
      <w:pPr>
        <w:spacing w:line="360" w:lineRule="auto"/>
        <w:ind w:firstLine="480" w:firstLineChars="200"/>
        <w:rPr>
          <w:rFonts w:hint="eastAsia"/>
          <w:sz w:val="21"/>
          <w:szCs w:val="21"/>
        </w:rPr>
      </w:pPr>
      <w:r>
        <w:rPr>
          <w:rFonts w:hint="eastAsia" w:ascii="仿宋" w:hAnsi="仿宋" w:eastAsia="仿宋" w:cs="仿宋"/>
          <w:sz w:val="24"/>
          <w:szCs w:val="24"/>
          <w:lang w:val="en-US" w:eastAsia="zh-CN"/>
        </w:rPr>
        <w:t>估价对象法定及实际用途均符合区域总体规划，并按现状规模、空间布局利用，达到最高最佳的利用效果</w:t>
      </w:r>
      <w:r>
        <w:rPr>
          <w:rFonts w:hint="eastAsia" w:ascii="仿宋" w:hAnsi="仿宋" w:eastAsia="仿宋" w:cs="仿宋"/>
          <w:sz w:val="24"/>
          <w:szCs w:val="24"/>
        </w:rPr>
        <w:t>。</w:t>
      </w:r>
    </w:p>
    <w:p>
      <w:pPr>
        <w:pStyle w:val="3"/>
        <w:ind w:firstLine="482" w:firstLineChars="200"/>
        <w:rPr>
          <w:rFonts w:hint="eastAsia" w:ascii="仿宋" w:hAnsi="仿宋" w:eastAsia="仿宋" w:cs="仿宋"/>
          <w:szCs w:val="24"/>
        </w:rPr>
      </w:pPr>
      <w:bookmarkStart w:id="72" w:name="_Toc407785150"/>
      <w:bookmarkStart w:id="73" w:name="_Toc28530"/>
      <w:r>
        <w:rPr>
          <w:rFonts w:hint="eastAsia" w:ascii="仿宋" w:hAnsi="仿宋" w:eastAsia="仿宋" w:cs="仿宋"/>
          <w:szCs w:val="24"/>
        </w:rPr>
        <w:t>六、估价方法</w:t>
      </w:r>
      <w:bookmarkEnd w:id="72"/>
      <w:r>
        <w:rPr>
          <w:rFonts w:hint="eastAsia" w:ascii="仿宋" w:hAnsi="仿宋" w:eastAsia="仿宋" w:cs="仿宋"/>
          <w:szCs w:val="24"/>
        </w:rPr>
        <w:t>的适用性分析</w:t>
      </w:r>
      <w:bookmarkEnd w:id="7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房地产估价常用的估价方法主要包括比较法、收益法、成本法、假设开发法等四种估价方法。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比较法适用于</w:t>
      </w:r>
      <w:r>
        <w:rPr>
          <w:rFonts w:hint="eastAsia" w:ascii="仿宋" w:hAnsi="仿宋" w:eastAsia="仿宋" w:cs="仿宋"/>
          <w:sz w:val="24"/>
          <w:szCs w:val="24"/>
          <w:lang w:eastAsia="zh-CN"/>
        </w:rPr>
        <w:t>同区域内</w:t>
      </w:r>
      <w:r>
        <w:rPr>
          <w:rFonts w:hint="eastAsia" w:ascii="仿宋" w:hAnsi="仿宋" w:eastAsia="仿宋" w:cs="仿宋"/>
          <w:sz w:val="24"/>
          <w:szCs w:val="24"/>
        </w:rPr>
        <w:t>类似房地产交易案例较多的房地产估价；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收益法适用于收益或有潜在收益</w:t>
      </w:r>
      <w:r>
        <w:rPr>
          <w:rFonts w:hint="eastAsia" w:ascii="仿宋" w:hAnsi="仿宋" w:eastAsia="仿宋" w:cs="仿宋"/>
          <w:sz w:val="24"/>
          <w:szCs w:val="24"/>
          <w:lang w:eastAsia="zh-CN"/>
        </w:rPr>
        <w:t>，且同区域内</w:t>
      </w:r>
      <w:r>
        <w:rPr>
          <w:rFonts w:hint="eastAsia" w:ascii="仿宋" w:hAnsi="仿宋" w:eastAsia="仿宋" w:cs="仿宋"/>
          <w:sz w:val="24"/>
          <w:szCs w:val="24"/>
        </w:rPr>
        <w:t>类似房地产</w:t>
      </w:r>
      <w:r>
        <w:rPr>
          <w:rFonts w:hint="eastAsia" w:ascii="仿宋" w:hAnsi="仿宋" w:eastAsia="仿宋" w:cs="仿宋"/>
          <w:sz w:val="24"/>
          <w:szCs w:val="24"/>
          <w:lang w:eastAsia="zh-CN"/>
        </w:rPr>
        <w:t>租赁活跃</w:t>
      </w:r>
      <w:r>
        <w:rPr>
          <w:rFonts w:hint="eastAsia" w:ascii="仿宋" w:hAnsi="仿宋" w:eastAsia="仿宋" w:cs="仿宋"/>
          <w:sz w:val="24"/>
          <w:szCs w:val="24"/>
        </w:rPr>
        <w:t>的房地产估价；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假设开发法适用于具有投资开发或再开发潜力</w:t>
      </w:r>
      <w:r>
        <w:rPr>
          <w:rFonts w:hint="eastAsia" w:ascii="仿宋" w:hAnsi="仿宋" w:eastAsia="仿宋" w:cs="仿宋"/>
          <w:sz w:val="24"/>
          <w:szCs w:val="24"/>
          <w:lang w:eastAsia="zh-CN"/>
        </w:rPr>
        <w:t>及</w:t>
      </w:r>
      <w:r>
        <w:rPr>
          <w:rFonts w:hint="eastAsia" w:ascii="仿宋" w:hAnsi="仿宋" w:eastAsia="仿宋" w:cs="仿宋"/>
          <w:sz w:val="24"/>
          <w:szCs w:val="24"/>
        </w:rPr>
        <w:t>待开发的建设的房地产估价；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成本法适用于无市场依据或市场依据不充分而不宜采用比较法、收益法、假设开发法进行估价的情况下的房地产估价</w:t>
      </w:r>
      <w:r>
        <w:rPr>
          <w:rFonts w:hint="eastAsia" w:ascii="仿宋" w:hAnsi="仿宋" w:eastAsia="仿宋" w:cs="仿宋"/>
          <w:sz w:val="24"/>
          <w:szCs w:val="24"/>
          <w:lang w:eastAsia="zh-CN"/>
        </w:rPr>
        <w:t>。</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(一)不选用的估价方法及理由</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1、不选用成本法的理由</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虽然估价对象理论上使用成本法，但受到运用的客观条件限制，特别是现时</w:t>
      </w:r>
      <w:r>
        <w:rPr>
          <w:rFonts w:hint="eastAsia" w:ascii="仿宋" w:hAnsi="仿宋" w:eastAsia="仿宋" w:cs="仿宋"/>
          <w:sz w:val="24"/>
          <w:szCs w:val="24"/>
          <w:lang w:eastAsia="zh-CN"/>
        </w:rPr>
        <w:t>房地产</w:t>
      </w:r>
      <w:r>
        <w:rPr>
          <w:rFonts w:hint="eastAsia" w:ascii="仿宋" w:hAnsi="仿宋" w:eastAsia="仿宋" w:cs="仿宋"/>
          <w:sz w:val="24"/>
          <w:szCs w:val="24"/>
        </w:rPr>
        <w:t>价格主要受市场供求关系左右，成本法的均衡原理已被淡化，在这种背景下，房地产价格与开发成本的关联性弱，房地产的开发成本根本不能反映出房地产的现时的市场价格，故不适合选用成本法。</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2、不选用收益法的理由</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虽估价对象为</w:t>
      </w:r>
      <w:r>
        <w:rPr>
          <w:rFonts w:hint="eastAsia" w:ascii="仿宋" w:hAnsi="仿宋" w:eastAsia="仿宋" w:cs="仿宋"/>
          <w:sz w:val="24"/>
          <w:szCs w:val="24"/>
          <w:lang w:eastAsia="zh-CN"/>
        </w:rPr>
        <w:t>收益性房地产，但由于</w:t>
      </w:r>
      <w:r>
        <w:rPr>
          <w:rFonts w:hint="eastAsia" w:ascii="仿宋" w:hAnsi="仿宋" w:eastAsia="仿宋" w:cs="仿宋"/>
          <w:sz w:val="24"/>
          <w:szCs w:val="24"/>
          <w:lang w:val="en-US" w:eastAsia="zh-CN"/>
        </w:rPr>
        <w:t>二手住宅价格高位震荡后进入盘整期至今，现以“稳地价、稳房价、稳预期、防风险”为重要政策目标，</w:t>
      </w:r>
      <w:r>
        <w:rPr>
          <w:rFonts w:hint="eastAsia" w:ascii="仿宋" w:hAnsi="仿宋" w:eastAsia="仿宋" w:cs="仿宋"/>
          <w:sz w:val="24"/>
          <w:szCs w:val="24"/>
          <w:lang w:eastAsia="zh-CN"/>
        </w:rPr>
        <w:t>而</w:t>
      </w:r>
      <w:r>
        <w:rPr>
          <w:rFonts w:hint="eastAsia" w:ascii="仿宋" w:hAnsi="仿宋" w:eastAsia="仿宋" w:cs="仿宋"/>
          <w:sz w:val="24"/>
          <w:szCs w:val="24"/>
        </w:rPr>
        <w:t>房地产租金水平的上升速度小于或滞后于房地产价格的变化，租金回报与实际成交价格不匹配，导致以当前租金水平作为测算基础得出的收益价格往往低于市场的实际成交价格</w:t>
      </w:r>
      <w:r>
        <w:rPr>
          <w:rFonts w:hint="eastAsia" w:ascii="仿宋" w:hAnsi="仿宋" w:eastAsia="仿宋" w:cs="仿宋"/>
          <w:sz w:val="24"/>
          <w:szCs w:val="24"/>
          <w:lang w:eastAsia="zh-CN"/>
        </w:rPr>
        <w:t>，</w:t>
      </w:r>
      <w:r>
        <w:rPr>
          <w:rFonts w:hint="eastAsia" w:ascii="仿宋" w:hAnsi="仿宋" w:eastAsia="仿宋" w:cs="仿宋"/>
          <w:sz w:val="24"/>
          <w:szCs w:val="24"/>
        </w:rPr>
        <w:t>故不适合选用</w:t>
      </w:r>
      <w:r>
        <w:rPr>
          <w:rFonts w:hint="eastAsia" w:ascii="仿宋" w:hAnsi="仿宋" w:eastAsia="仿宋" w:cs="仿宋"/>
          <w:sz w:val="24"/>
          <w:szCs w:val="24"/>
          <w:lang w:eastAsia="zh-CN"/>
        </w:rPr>
        <w:t>收益</w:t>
      </w:r>
      <w:r>
        <w:rPr>
          <w:rFonts w:hint="eastAsia" w:ascii="仿宋" w:hAnsi="仿宋" w:eastAsia="仿宋" w:cs="仿宋"/>
          <w:sz w:val="24"/>
          <w:szCs w:val="24"/>
        </w:rPr>
        <w:t>法</w:t>
      </w:r>
      <w:r>
        <w:rPr>
          <w:rFonts w:hint="eastAsia" w:ascii="仿宋" w:hAnsi="仿宋" w:eastAsia="仿宋" w:cs="仿宋"/>
          <w:sz w:val="24"/>
          <w:szCs w:val="24"/>
          <w:lang w:eastAsia="zh-CN"/>
        </w:rPr>
        <w:t>。</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、不选用假设开发法的理由</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由于估价对象为非待开发的建设物业，不产生后续开发成本，理论上不适用假设开发法，故不适合选用假设开发法。</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(二)选用的估价方法及理由</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估价对象是交易性活跃的房地产，由于估价对象同一供求圈内有较多的类似房地产买卖交易实例，故选用比较法。</w:t>
      </w:r>
    </w:p>
    <w:p>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(三)</w:t>
      </w:r>
      <w:r>
        <w:rPr>
          <w:rFonts w:hint="eastAsia" w:ascii="仿宋" w:hAnsi="仿宋" w:eastAsia="仿宋" w:cs="仿宋"/>
          <w:sz w:val="24"/>
          <w:szCs w:val="24"/>
          <w:lang w:val="zh-CN"/>
        </w:rPr>
        <w:t>估价技术路线</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、搜集交易实例；</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、选取三个可比实例；</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、对可比实例的实际成交价格进行适当处理；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、求取比较价值（单价）。</w:t>
      </w:r>
    </w:p>
    <w:p>
      <w:pPr>
        <w:pStyle w:val="3"/>
        <w:ind w:firstLine="482" w:firstLineChars="200"/>
        <w:rPr>
          <w:rFonts w:hint="eastAsia" w:ascii="仿宋" w:hAnsi="仿宋" w:eastAsia="仿宋" w:cs="仿宋"/>
        </w:rPr>
      </w:pPr>
      <w:bookmarkStart w:id="74" w:name="_Toc18063"/>
      <w:bookmarkStart w:id="75" w:name="_Toc407785151"/>
      <w:r>
        <w:rPr>
          <w:rFonts w:hint="eastAsia" w:ascii="仿宋" w:hAnsi="仿宋" w:eastAsia="仿宋" w:cs="仿宋"/>
        </w:rPr>
        <w:t>七、估价测算过程</w:t>
      </w:r>
      <w:bookmarkEnd w:id="74"/>
      <w:bookmarkEnd w:id="75"/>
    </w:p>
    <w:p>
      <w:pPr>
        <w:spacing w:line="360" w:lineRule="auto"/>
        <w:ind w:firstLine="482" w:firstLineChars="200"/>
        <w:outlineLvl w:val="2"/>
        <w:rPr>
          <w:rFonts w:hint="eastAsia" w:ascii="仿宋" w:hAnsi="仿宋" w:eastAsia="仿宋" w:cs="仿宋"/>
          <w:b/>
          <w:bCs/>
          <w:sz w:val="24"/>
          <w:szCs w:val="24"/>
        </w:rPr>
      </w:pPr>
      <w:r>
        <w:rPr>
          <w:rFonts w:hint="eastAsia" w:ascii="仿宋" w:hAnsi="仿宋" w:eastAsia="仿宋" w:cs="仿宋"/>
          <w:b/>
          <w:bCs/>
          <w:sz w:val="24"/>
          <w:szCs w:val="24"/>
        </w:rPr>
        <w:t>1、比较法计算公式选取分析</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由于估价对象为常见且单一的房地产，而且有较多的与之相类似的房地产可比实例，不必通过设定一种“标准房地产”来进行比较与调整，可以直接以估价对象状况为基准，将各可比实例状况与估价对象状况的逐个因素进行直接比较与调整，这种路径也比较便捷与准确，故选择直接比较调整路径。</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房地产比较单价＝可比实例建立比较基础后的单价×交易情况修正系数×市场状况调整系数×区位状况调整系数×实物状况调整系数×权益状况调整系数</w:t>
      </w:r>
    </w:p>
    <w:p>
      <w:pPr>
        <w:spacing w:line="360" w:lineRule="auto"/>
        <w:ind w:firstLine="482" w:firstLineChars="200"/>
        <w:outlineLvl w:val="2"/>
        <w:rPr>
          <w:rFonts w:hint="eastAsia" w:ascii="仿宋" w:hAnsi="仿宋" w:eastAsia="仿宋" w:cs="仿宋"/>
          <w:b/>
          <w:sz w:val="24"/>
        </w:rPr>
      </w:pPr>
      <w:r>
        <w:rPr>
          <w:rFonts w:hint="eastAsia" w:ascii="仿宋" w:hAnsi="仿宋" w:eastAsia="仿宋" w:cs="仿宋"/>
          <w:b/>
          <w:sz w:val="24"/>
        </w:rPr>
        <w:t>2、选取可比实例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根据替代原则，估价人员在市场调查中选取近期交易的三个可比实例。三个可比实例价值内涵：价值类型均为市场价值，财产范围均包含分摊的土地使用权、建筑物（含室内二次装修）及配套设施价值，具体详见下表：</w:t>
      </w:r>
    </w:p>
    <w:p>
      <w:pPr>
        <w:pStyle w:val="10"/>
        <w:spacing w:line="360" w:lineRule="auto"/>
        <w:jc w:val="center"/>
        <w:rPr>
          <w:rFonts w:hint="eastAsia" w:ascii="仿宋" w:hAnsi="仿宋" w:eastAsia="仿宋" w:cs="仿宋"/>
          <w:sz w:val="24"/>
          <w:szCs w:val="22"/>
        </w:rPr>
      </w:pPr>
      <w:r>
        <w:rPr>
          <w:rFonts w:hint="eastAsia" w:ascii="仿宋" w:hAnsi="仿宋" w:eastAsia="仿宋" w:cs="仿宋"/>
          <w:sz w:val="24"/>
          <w:szCs w:val="22"/>
        </w:rPr>
        <w:t>可比实例调查表</w:t>
      </w:r>
    </w:p>
    <w:tbl>
      <w:tblPr>
        <w:tblStyle w:val="22"/>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1785"/>
        <w:gridCol w:w="1680"/>
        <w:gridCol w:w="1771"/>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b/>
                <w:bCs/>
                <w:color w:val="auto"/>
                <w:sz w:val="21"/>
                <w:szCs w:val="21"/>
              </w:rPr>
            </w:pPr>
            <w:r>
              <w:rPr>
                <w:rFonts w:hint="eastAsia" w:ascii="仿宋" w:hAnsi="仿宋" w:eastAsia="仿宋" w:cs="仿宋"/>
                <w:b/>
                <w:i w:val="0"/>
                <w:color w:val="000000"/>
                <w:kern w:val="0"/>
                <w:sz w:val="20"/>
                <w:szCs w:val="20"/>
                <w:u w:val="none"/>
                <w:lang w:val="en-US" w:eastAsia="zh-CN" w:bidi="ar"/>
              </w:rPr>
              <w:t>可比实例</w:t>
            </w:r>
          </w:p>
        </w:tc>
        <w:tc>
          <w:tcPr>
            <w:tcW w:w="178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b/>
                <w:i w:val="0"/>
                <w:color w:val="000000"/>
                <w:kern w:val="0"/>
                <w:sz w:val="20"/>
                <w:szCs w:val="20"/>
                <w:u w:val="none"/>
                <w:lang w:val="en-US" w:eastAsia="zh-CN" w:bidi="ar"/>
              </w:rPr>
              <w:t>估价对象</w:t>
            </w:r>
          </w:p>
        </w:tc>
        <w:tc>
          <w:tcPr>
            <w:tcW w:w="1680"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b/>
                <w:i w:val="0"/>
                <w:color w:val="000000"/>
                <w:kern w:val="0"/>
                <w:sz w:val="20"/>
                <w:szCs w:val="20"/>
                <w:u w:val="none"/>
                <w:lang w:val="en-US" w:eastAsia="zh-CN" w:bidi="ar"/>
              </w:rPr>
              <w:t>可比实例A</w:t>
            </w:r>
          </w:p>
        </w:tc>
        <w:tc>
          <w:tcPr>
            <w:tcW w:w="1771"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b/>
                <w:i w:val="0"/>
                <w:color w:val="000000"/>
                <w:kern w:val="0"/>
                <w:sz w:val="20"/>
                <w:szCs w:val="20"/>
                <w:u w:val="none"/>
                <w:lang w:val="en-US" w:eastAsia="zh-CN" w:bidi="ar"/>
              </w:rPr>
              <w:t>可比实例B</w:t>
            </w:r>
          </w:p>
        </w:tc>
        <w:tc>
          <w:tcPr>
            <w:tcW w:w="1902" w:type="dxa"/>
            <w:vAlign w:val="center"/>
          </w:tcPr>
          <w:p>
            <w:pPr>
              <w:keepNext w:val="0"/>
              <w:keepLines w:val="0"/>
              <w:widowControl/>
              <w:suppressLineNumbers w:val="0"/>
              <w:jc w:val="center"/>
              <w:textAlignment w:val="center"/>
              <w:rPr>
                <w:rFonts w:hint="default" w:ascii="仿宋" w:hAnsi="仿宋" w:eastAsia="仿宋" w:cs="仿宋"/>
                <w:b/>
                <w:i w:val="0"/>
                <w:color w:val="000000"/>
                <w:kern w:val="0"/>
                <w:sz w:val="20"/>
                <w:szCs w:val="20"/>
                <w:u w:val="none"/>
                <w:lang w:val="en-US" w:eastAsia="zh-CN" w:bidi="ar"/>
              </w:rPr>
            </w:pPr>
            <w:r>
              <w:rPr>
                <w:rFonts w:hint="eastAsia" w:ascii="仿宋" w:hAnsi="仿宋" w:eastAsia="仿宋" w:cs="仿宋"/>
                <w:b/>
                <w:i w:val="0"/>
                <w:color w:val="000000"/>
                <w:kern w:val="0"/>
                <w:sz w:val="20"/>
                <w:szCs w:val="20"/>
                <w:u w:val="none"/>
                <w:lang w:val="en-US" w:eastAsia="zh-CN" w:bidi="ar"/>
              </w:rPr>
              <w:t>可比实例C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b/>
                <w:bCs/>
                <w:color w:val="auto"/>
                <w:sz w:val="21"/>
                <w:szCs w:val="21"/>
              </w:rPr>
            </w:pPr>
            <w:r>
              <w:rPr>
                <w:rFonts w:hint="eastAsia" w:ascii="仿宋" w:hAnsi="仿宋" w:eastAsia="仿宋" w:cs="仿宋"/>
                <w:i w:val="0"/>
                <w:color w:val="000000"/>
                <w:kern w:val="0"/>
                <w:sz w:val="20"/>
                <w:szCs w:val="20"/>
                <w:u w:val="none"/>
                <w:lang w:val="en-US" w:eastAsia="zh-CN" w:bidi="ar"/>
              </w:rPr>
              <w:t>小区名称</w:t>
            </w:r>
          </w:p>
        </w:tc>
        <w:tc>
          <w:tcPr>
            <w:tcW w:w="178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先富大道</w:t>
            </w:r>
          </w:p>
        </w:tc>
        <w:tc>
          <w:tcPr>
            <w:tcW w:w="1680"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先富大道</w:t>
            </w:r>
          </w:p>
        </w:tc>
        <w:tc>
          <w:tcPr>
            <w:tcW w:w="1771"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高富路</w:t>
            </w:r>
          </w:p>
        </w:tc>
        <w:tc>
          <w:tcPr>
            <w:tcW w:w="19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高富路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土地使用权类型</w:t>
            </w:r>
          </w:p>
        </w:tc>
        <w:tc>
          <w:tcPr>
            <w:tcW w:w="1785"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出让</w:t>
            </w:r>
          </w:p>
        </w:tc>
        <w:tc>
          <w:tcPr>
            <w:tcW w:w="1680"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出让</w:t>
            </w:r>
          </w:p>
        </w:tc>
        <w:tc>
          <w:tcPr>
            <w:tcW w:w="1771"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出让</w:t>
            </w:r>
          </w:p>
        </w:tc>
        <w:tc>
          <w:tcPr>
            <w:tcW w:w="1902" w:type="dxa"/>
            <w:vAlign w:val="center"/>
          </w:tcPr>
          <w:p>
            <w:pPr>
              <w:keepNext w:val="0"/>
              <w:keepLines w:val="0"/>
              <w:widowControl/>
              <w:suppressLineNumbers w:val="0"/>
              <w:jc w:val="center"/>
              <w:textAlignment w:val="center"/>
              <w:rPr>
                <w:rFonts w:hint="eastAsia" w:ascii="仿宋" w:hAnsi="仿宋" w:eastAsia="仿宋" w:cs="仿宋"/>
                <w:b w:val="0"/>
                <w:bCs/>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用途</w:t>
            </w:r>
          </w:p>
        </w:tc>
        <w:tc>
          <w:tcPr>
            <w:tcW w:w="1785"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住宅</w:t>
            </w:r>
          </w:p>
        </w:tc>
        <w:tc>
          <w:tcPr>
            <w:tcW w:w="1680"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住宅</w:t>
            </w:r>
          </w:p>
        </w:tc>
        <w:tc>
          <w:tcPr>
            <w:tcW w:w="1771"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住宅</w:t>
            </w:r>
          </w:p>
        </w:tc>
        <w:tc>
          <w:tcPr>
            <w:tcW w:w="1902" w:type="dxa"/>
            <w:vAlign w:val="center"/>
          </w:tcPr>
          <w:p>
            <w:pPr>
              <w:keepNext w:val="0"/>
              <w:keepLines w:val="0"/>
              <w:widowControl/>
              <w:suppressLineNumbers w:val="0"/>
              <w:jc w:val="center"/>
              <w:textAlignment w:val="center"/>
              <w:rPr>
                <w:rFonts w:hint="eastAsia" w:ascii="仿宋" w:hAnsi="仿宋" w:eastAsia="仿宋" w:cs="仿宋"/>
                <w:b w:val="0"/>
                <w:bCs/>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建筑结构</w:t>
            </w:r>
          </w:p>
        </w:tc>
        <w:tc>
          <w:tcPr>
            <w:tcW w:w="1785"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框架</w:t>
            </w:r>
          </w:p>
        </w:tc>
        <w:tc>
          <w:tcPr>
            <w:tcW w:w="1680"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框架</w:t>
            </w:r>
          </w:p>
        </w:tc>
        <w:tc>
          <w:tcPr>
            <w:tcW w:w="1771"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框架</w:t>
            </w:r>
          </w:p>
        </w:tc>
        <w:tc>
          <w:tcPr>
            <w:tcW w:w="1902" w:type="dxa"/>
            <w:vAlign w:val="center"/>
          </w:tcPr>
          <w:p>
            <w:pPr>
              <w:keepNext w:val="0"/>
              <w:keepLines w:val="0"/>
              <w:widowControl/>
              <w:suppressLineNumbers w:val="0"/>
              <w:jc w:val="center"/>
              <w:textAlignment w:val="center"/>
              <w:rPr>
                <w:rFonts w:hint="eastAsia" w:ascii="仿宋" w:hAnsi="仿宋" w:eastAsia="仿宋" w:cs="仿宋"/>
                <w:b w:val="0"/>
                <w:bCs/>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lang w:eastAsia="zh-CN"/>
              </w:rPr>
            </w:pPr>
            <w:r>
              <w:rPr>
                <w:rFonts w:hint="eastAsia" w:ascii="仿宋" w:hAnsi="仿宋" w:eastAsia="仿宋" w:cs="仿宋"/>
                <w:i w:val="0"/>
                <w:color w:val="000000"/>
                <w:kern w:val="0"/>
                <w:sz w:val="20"/>
                <w:szCs w:val="20"/>
                <w:u w:val="none"/>
                <w:lang w:val="en-US" w:eastAsia="zh-CN" w:bidi="ar"/>
              </w:rPr>
              <w:t>垂直交通方式</w:t>
            </w:r>
          </w:p>
        </w:tc>
        <w:tc>
          <w:tcPr>
            <w:tcW w:w="178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楼梯</w:t>
            </w:r>
          </w:p>
        </w:tc>
        <w:tc>
          <w:tcPr>
            <w:tcW w:w="1680"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楼梯</w:t>
            </w:r>
          </w:p>
        </w:tc>
        <w:tc>
          <w:tcPr>
            <w:tcW w:w="1771"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楼梯</w:t>
            </w:r>
          </w:p>
        </w:tc>
        <w:tc>
          <w:tcPr>
            <w:tcW w:w="19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平面布局</w:t>
            </w:r>
          </w:p>
        </w:tc>
        <w:tc>
          <w:tcPr>
            <w:tcW w:w="1785"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平层住宅</w:t>
            </w:r>
          </w:p>
        </w:tc>
        <w:tc>
          <w:tcPr>
            <w:tcW w:w="1680"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平层住宅</w:t>
            </w:r>
          </w:p>
        </w:tc>
        <w:tc>
          <w:tcPr>
            <w:tcW w:w="1771"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lang w:val="en-US"/>
              </w:rPr>
            </w:pPr>
            <w:r>
              <w:rPr>
                <w:rFonts w:hint="eastAsia" w:ascii="仿宋" w:hAnsi="仿宋" w:eastAsia="仿宋" w:cs="仿宋"/>
                <w:i w:val="0"/>
                <w:iCs w:val="0"/>
                <w:color w:val="000000"/>
                <w:kern w:val="0"/>
                <w:sz w:val="21"/>
                <w:szCs w:val="21"/>
                <w:u w:val="none"/>
                <w:lang w:val="en-US" w:eastAsia="zh-CN" w:bidi="ar"/>
              </w:rPr>
              <w:t>平层住宅</w:t>
            </w:r>
          </w:p>
        </w:tc>
        <w:tc>
          <w:tcPr>
            <w:tcW w:w="1902" w:type="dxa"/>
            <w:vAlign w:val="center"/>
          </w:tcPr>
          <w:p>
            <w:pPr>
              <w:keepNext w:val="0"/>
              <w:keepLines w:val="0"/>
              <w:widowControl/>
              <w:suppressLineNumbers w:val="0"/>
              <w:jc w:val="center"/>
              <w:textAlignment w:val="center"/>
              <w:rPr>
                <w:rFonts w:hint="eastAsia" w:ascii="仿宋" w:hAnsi="仿宋" w:eastAsia="仿宋" w:cs="仿宋"/>
                <w:b w:val="0"/>
                <w:bCs/>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平层住宅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装饰装修</w:t>
            </w:r>
          </w:p>
        </w:tc>
        <w:tc>
          <w:tcPr>
            <w:tcW w:w="1785"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普通装修</w:t>
            </w:r>
          </w:p>
        </w:tc>
        <w:tc>
          <w:tcPr>
            <w:tcW w:w="1680"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普通装修</w:t>
            </w:r>
          </w:p>
        </w:tc>
        <w:tc>
          <w:tcPr>
            <w:tcW w:w="1771"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普通装修</w:t>
            </w:r>
          </w:p>
        </w:tc>
        <w:tc>
          <w:tcPr>
            <w:tcW w:w="1902" w:type="dxa"/>
            <w:vAlign w:val="center"/>
          </w:tcPr>
          <w:p>
            <w:pPr>
              <w:keepNext w:val="0"/>
              <w:keepLines w:val="0"/>
              <w:widowControl/>
              <w:suppressLineNumbers w:val="0"/>
              <w:jc w:val="center"/>
              <w:textAlignment w:val="center"/>
              <w:rPr>
                <w:rFonts w:hint="eastAsia" w:ascii="仿宋" w:hAnsi="仿宋" w:eastAsia="仿宋" w:cs="仿宋"/>
                <w:b w:val="0"/>
                <w:bCs/>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普通装修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所处楼层</w:t>
            </w:r>
          </w:p>
        </w:tc>
        <w:tc>
          <w:tcPr>
            <w:tcW w:w="1785"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1-6</w:t>
            </w:r>
          </w:p>
        </w:tc>
        <w:tc>
          <w:tcPr>
            <w:tcW w:w="1680" w:type="dxa"/>
            <w:vAlign w:val="center"/>
          </w:tcPr>
          <w:p>
            <w:pPr>
              <w:keepNext w:val="0"/>
              <w:keepLines w:val="0"/>
              <w:widowControl/>
              <w:suppressLineNumbers w:val="0"/>
              <w:jc w:val="center"/>
              <w:textAlignment w:val="center"/>
              <w:rPr>
                <w:rFonts w:hint="eastAsia" w:ascii="仿宋" w:hAnsi="仿宋" w:eastAsia="仿宋" w:cs="仿宋"/>
                <w:b w:val="0"/>
                <w:bCs/>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1-7</w:t>
            </w:r>
          </w:p>
        </w:tc>
        <w:tc>
          <w:tcPr>
            <w:tcW w:w="1771" w:type="dxa"/>
            <w:vAlign w:val="center"/>
          </w:tcPr>
          <w:p>
            <w:pPr>
              <w:keepNext w:val="0"/>
              <w:keepLines w:val="0"/>
              <w:widowControl/>
              <w:suppressLineNumbers w:val="0"/>
              <w:jc w:val="center"/>
              <w:textAlignment w:val="center"/>
              <w:rPr>
                <w:rFonts w:hint="eastAsia" w:ascii="仿宋" w:hAnsi="仿宋" w:eastAsia="仿宋" w:cs="仿宋"/>
                <w:b w:val="0"/>
                <w:bCs/>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1-5</w:t>
            </w:r>
          </w:p>
        </w:tc>
        <w:tc>
          <w:tcPr>
            <w:tcW w:w="1902" w:type="dxa"/>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朝向</w:t>
            </w:r>
          </w:p>
        </w:tc>
        <w:tc>
          <w:tcPr>
            <w:tcW w:w="1785"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南北</w:t>
            </w:r>
          </w:p>
        </w:tc>
        <w:tc>
          <w:tcPr>
            <w:tcW w:w="1680"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南北</w:t>
            </w:r>
          </w:p>
        </w:tc>
        <w:tc>
          <w:tcPr>
            <w:tcW w:w="1771"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南北</w:t>
            </w:r>
          </w:p>
        </w:tc>
        <w:tc>
          <w:tcPr>
            <w:tcW w:w="19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南北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建成年份</w:t>
            </w:r>
          </w:p>
        </w:tc>
        <w:tc>
          <w:tcPr>
            <w:tcW w:w="1785"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2009</w:t>
            </w:r>
          </w:p>
        </w:tc>
        <w:tc>
          <w:tcPr>
            <w:tcW w:w="1680"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lang w:val="en-US"/>
              </w:rPr>
            </w:pPr>
            <w:r>
              <w:rPr>
                <w:rFonts w:hint="eastAsia" w:ascii="仿宋" w:hAnsi="仿宋" w:eastAsia="仿宋" w:cs="仿宋"/>
                <w:i w:val="0"/>
                <w:iCs w:val="0"/>
                <w:color w:val="000000"/>
                <w:kern w:val="0"/>
                <w:sz w:val="21"/>
                <w:szCs w:val="21"/>
                <w:u w:val="none"/>
                <w:lang w:val="en-US" w:eastAsia="zh-CN" w:bidi="ar"/>
              </w:rPr>
              <w:t>2009</w:t>
            </w:r>
          </w:p>
        </w:tc>
        <w:tc>
          <w:tcPr>
            <w:tcW w:w="1771"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2008</w:t>
            </w:r>
          </w:p>
        </w:tc>
        <w:tc>
          <w:tcPr>
            <w:tcW w:w="19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成交日期</w:t>
            </w:r>
          </w:p>
        </w:tc>
        <w:tc>
          <w:tcPr>
            <w:tcW w:w="1785"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lang w:val="en-US"/>
              </w:rPr>
            </w:pPr>
            <w:r>
              <w:rPr>
                <w:rFonts w:hint="eastAsia" w:ascii="仿宋" w:hAnsi="仿宋" w:eastAsia="仿宋" w:cs="仿宋"/>
                <w:i w:val="0"/>
                <w:iCs w:val="0"/>
                <w:color w:val="000000"/>
                <w:kern w:val="0"/>
                <w:sz w:val="21"/>
                <w:szCs w:val="21"/>
                <w:u w:val="none"/>
                <w:lang w:val="en-US" w:eastAsia="zh-CN" w:bidi="ar"/>
              </w:rPr>
              <w:t>——</w:t>
            </w:r>
          </w:p>
        </w:tc>
        <w:tc>
          <w:tcPr>
            <w:tcW w:w="1680" w:type="dxa"/>
            <w:vAlign w:val="center"/>
          </w:tcPr>
          <w:p>
            <w:pPr>
              <w:keepNext w:val="0"/>
              <w:keepLines w:val="0"/>
              <w:widowControl/>
              <w:suppressLineNumbers w:val="0"/>
              <w:jc w:val="center"/>
              <w:textAlignment w:val="center"/>
              <w:rPr>
                <w:rFonts w:hint="default" w:ascii="仿宋" w:hAnsi="仿宋" w:eastAsia="仿宋" w:cs="仿宋"/>
                <w:b w:val="0"/>
                <w:bCs/>
                <w:color w:val="auto"/>
                <w:sz w:val="21"/>
                <w:szCs w:val="21"/>
                <w:lang w:val="en-US"/>
              </w:rPr>
            </w:pPr>
            <w:r>
              <w:rPr>
                <w:rFonts w:hint="eastAsia" w:ascii="仿宋" w:hAnsi="仿宋" w:eastAsia="仿宋" w:cs="仿宋"/>
                <w:i w:val="0"/>
                <w:iCs w:val="0"/>
                <w:color w:val="000000"/>
                <w:kern w:val="0"/>
                <w:sz w:val="21"/>
                <w:szCs w:val="21"/>
                <w:u w:val="none"/>
                <w:lang w:val="en-US" w:eastAsia="zh-CN" w:bidi="ar"/>
              </w:rPr>
              <w:t>2022.7</w:t>
            </w:r>
          </w:p>
        </w:tc>
        <w:tc>
          <w:tcPr>
            <w:tcW w:w="1771" w:type="dxa"/>
            <w:vAlign w:val="center"/>
          </w:tcPr>
          <w:p>
            <w:pPr>
              <w:keepNext w:val="0"/>
              <w:keepLines w:val="0"/>
              <w:widowControl/>
              <w:suppressLineNumbers w:val="0"/>
              <w:jc w:val="center"/>
              <w:textAlignment w:val="center"/>
              <w:rPr>
                <w:rFonts w:hint="default" w:ascii="仿宋" w:hAnsi="仿宋" w:eastAsia="仿宋" w:cs="仿宋"/>
                <w:b w:val="0"/>
                <w:bCs/>
                <w:color w:val="auto"/>
                <w:sz w:val="21"/>
                <w:szCs w:val="21"/>
                <w:lang w:val="en-US"/>
              </w:rPr>
            </w:pPr>
            <w:r>
              <w:rPr>
                <w:rFonts w:hint="eastAsia" w:ascii="仿宋" w:hAnsi="仿宋" w:eastAsia="仿宋" w:cs="仿宋"/>
                <w:i w:val="0"/>
                <w:iCs w:val="0"/>
                <w:color w:val="000000"/>
                <w:kern w:val="0"/>
                <w:sz w:val="21"/>
                <w:szCs w:val="21"/>
                <w:u w:val="none"/>
                <w:lang w:val="en-US" w:eastAsia="zh-CN" w:bidi="ar"/>
              </w:rPr>
              <w:t>2022.6</w:t>
            </w:r>
          </w:p>
        </w:tc>
        <w:tc>
          <w:tcPr>
            <w:tcW w:w="1902" w:type="dxa"/>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2022.9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成交单价（元/㎡）</w:t>
            </w:r>
          </w:p>
        </w:tc>
        <w:tc>
          <w:tcPr>
            <w:tcW w:w="1785"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w:t>
            </w:r>
          </w:p>
        </w:tc>
        <w:tc>
          <w:tcPr>
            <w:tcW w:w="1680"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3478</w:t>
            </w:r>
          </w:p>
        </w:tc>
        <w:tc>
          <w:tcPr>
            <w:tcW w:w="1771"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1"/>
                <w:szCs w:val="21"/>
                <w:u w:val="none"/>
                <w:lang w:val="en-US" w:eastAsia="zh-CN" w:bidi="ar"/>
              </w:rPr>
              <w:t>3345</w:t>
            </w:r>
          </w:p>
        </w:tc>
        <w:tc>
          <w:tcPr>
            <w:tcW w:w="1902" w:type="dxa"/>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建筑面积（㎡）</w:t>
            </w:r>
          </w:p>
        </w:tc>
        <w:tc>
          <w:tcPr>
            <w:tcW w:w="1785"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1"/>
                <w:szCs w:val="21"/>
                <w:u w:val="none"/>
                <w:lang w:val="en-US" w:eastAsia="zh-CN" w:bidi="ar"/>
              </w:rPr>
              <w:t xml:space="preserve">1086.20 </w:t>
            </w:r>
          </w:p>
        </w:tc>
        <w:tc>
          <w:tcPr>
            <w:tcW w:w="1680" w:type="dxa"/>
            <w:vAlign w:val="center"/>
          </w:tcPr>
          <w:p>
            <w:pPr>
              <w:keepNext w:val="0"/>
              <w:keepLines w:val="0"/>
              <w:widowControl/>
              <w:suppressLineNumbers w:val="0"/>
              <w:jc w:val="center"/>
              <w:textAlignment w:val="center"/>
              <w:rPr>
                <w:rFonts w:hint="eastAsia" w:ascii="仿宋" w:hAnsi="仿宋" w:eastAsia="仿宋" w:cs="仿宋"/>
                <w:color w:val="auto"/>
                <w:sz w:val="21"/>
                <w:szCs w:val="21"/>
                <w:lang w:val="en-US"/>
              </w:rPr>
            </w:pPr>
            <w:r>
              <w:rPr>
                <w:rFonts w:hint="eastAsia" w:ascii="仿宋" w:hAnsi="仿宋" w:eastAsia="仿宋" w:cs="仿宋"/>
                <w:i w:val="0"/>
                <w:iCs w:val="0"/>
                <w:color w:val="000000"/>
                <w:kern w:val="0"/>
                <w:sz w:val="21"/>
                <w:szCs w:val="21"/>
                <w:u w:val="none"/>
                <w:lang w:val="en-US" w:eastAsia="zh-CN" w:bidi="ar"/>
              </w:rPr>
              <w:t xml:space="preserve">990.00 </w:t>
            </w:r>
          </w:p>
        </w:tc>
        <w:tc>
          <w:tcPr>
            <w:tcW w:w="1771" w:type="dxa"/>
            <w:vAlign w:val="center"/>
          </w:tcPr>
          <w:p>
            <w:pPr>
              <w:keepNext w:val="0"/>
              <w:keepLines w:val="0"/>
              <w:widowControl/>
              <w:suppressLineNumbers w:val="0"/>
              <w:jc w:val="center"/>
              <w:textAlignment w:val="center"/>
              <w:rPr>
                <w:rFonts w:hint="eastAsia" w:ascii="仿宋" w:hAnsi="仿宋" w:eastAsia="仿宋" w:cs="仿宋"/>
                <w:color w:val="auto"/>
                <w:sz w:val="21"/>
                <w:szCs w:val="21"/>
                <w:lang w:val="en-US"/>
              </w:rPr>
            </w:pPr>
            <w:r>
              <w:rPr>
                <w:rFonts w:hint="eastAsia" w:ascii="仿宋" w:hAnsi="仿宋" w:eastAsia="仿宋" w:cs="仿宋"/>
                <w:i w:val="0"/>
                <w:iCs w:val="0"/>
                <w:color w:val="000000"/>
                <w:kern w:val="0"/>
                <w:sz w:val="21"/>
                <w:szCs w:val="21"/>
                <w:u w:val="none"/>
                <w:lang w:val="en-US" w:eastAsia="zh-CN" w:bidi="ar"/>
              </w:rPr>
              <w:t xml:space="preserve">352.00 </w:t>
            </w:r>
          </w:p>
        </w:tc>
        <w:tc>
          <w:tcPr>
            <w:tcW w:w="1902" w:type="dxa"/>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482.00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7"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成交价格内涵</w:t>
            </w:r>
          </w:p>
        </w:tc>
        <w:tc>
          <w:tcPr>
            <w:tcW w:w="1785" w:type="dxa"/>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1、产权建筑面积计价；</w:t>
            </w:r>
          </w:p>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2、成交价中含室内二次装修，但不含家具家电；</w:t>
            </w:r>
          </w:p>
          <w:p>
            <w:pPr>
              <w:keepNext w:val="0"/>
              <w:keepLines w:val="0"/>
              <w:widowControl/>
              <w:suppressLineNumbers w:val="0"/>
              <w:jc w:val="left"/>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3、卖方实收（交易手续费全部由买方承担）</w:t>
            </w:r>
          </w:p>
        </w:tc>
        <w:tc>
          <w:tcPr>
            <w:tcW w:w="1680" w:type="dxa"/>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1、产权建筑面积计价；</w:t>
            </w:r>
          </w:p>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2、成交价中含室内二次装修，但不含家具家电；</w:t>
            </w:r>
          </w:p>
          <w:p>
            <w:pPr>
              <w:keepNext w:val="0"/>
              <w:keepLines w:val="0"/>
              <w:widowControl/>
              <w:suppressLineNumbers w:val="0"/>
              <w:jc w:val="left"/>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3、卖方实收（交易手续费全部由买方承担）</w:t>
            </w:r>
          </w:p>
        </w:tc>
        <w:tc>
          <w:tcPr>
            <w:tcW w:w="1771" w:type="dxa"/>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1、产权建筑面积计价；</w:t>
            </w:r>
          </w:p>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2、成交价中含室内二次装修，但不含家具家电；</w:t>
            </w:r>
          </w:p>
          <w:p>
            <w:pPr>
              <w:keepNext w:val="0"/>
              <w:keepLines w:val="0"/>
              <w:widowControl/>
              <w:suppressLineNumbers w:val="0"/>
              <w:jc w:val="left"/>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3、卖方实收（交易手续费全部由买方承担）</w:t>
            </w:r>
          </w:p>
        </w:tc>
        <w:tc>
          <w:tcPr>
            <w:tcW w:w="1902" w:type="dxa"/>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1、产权建筑面积计价；</w:t>
            </w:r>
          </w:p>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2、成交价中含室内二次装修，但不含家具家电；</w:t>
            </w:r>
          </w:p>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3、卖方实收（交易手续费全部由买方承担）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186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0"/>
                <w:szCs w:val="20"/>
                <w:u w:val="none"/>
                <w:lang w:val="en-US" w:eastAsia="zh-CN" w:bidi="ar"/>
              </w:rPr>
              <w:t>资料来源</w:t>
            </w:r>
          </w:p>
        </w:tc>
        <w:tc>
          <w:tcPr>
            <w:tcW w:w="1785"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1"/>
                <w:szCs w:val="21"/>
                <w:u w:val="none"/>
                <w:lang w:val="en-US" w:eastAsia="zh-CN" w:bidi="ar"/>
              </w:rPr>
              <w:t>市场调查</w:t>
            </w:r>
          </w:p>
        </w:tc>
        <w:tc>
          <w:tcPr>
            <w:tcW w:w="1680"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1"/>
                <w:szCs w:val="21"/>
                <w:u w:val="none"/>
                <w:lang w:val="en-US" w:eastAsia="zh-CN" w:bidi="ar"/>
              </w:rPr>
              <w:t>市场调查</w:t>
            </w:r>
          </w:p>
        </w:tc>
        <w:tc>
          <w:tcPr>
            <w:tcW w:w="1771"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000000"/>
                <w:kern w:val="0"/>
                <w:sz w:val="21"/>
                <w:szCs w:val="21"/>
                <w:u w:val="none"/>
                <w:lang w:val="en-US" w:eastAsia="zh-CN" w:bidi="ar"/>
              </w:rPr>
              <w:t>市场调查</w:t>
            </w:r>
          </w:p>
        </w:tc>
        <w:tc>
          <w:tcPr>
            <w:tcW w:w="19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市场调查</w:t>
            </w:r>
          </w:p>
        </w:tc>
      </w:tr>
    </w:tbl>
    <w:p>
      <w:pPr>
        <w:pStyle w:val="10"/>
        <w:spacing w:line="360" w:lineRule="auto"/>
        <w:ind w:firstLine="480" w:firstLineChars="200"/>
        <w:jc w:val="left"/>
        <w:rPr>
          <w:rFonts w:hint="eastAsia" w:ascii="仿宋" w:hAnsi="仿宋" w:eastAsia="仿宋" w:cs="仿宋"/>
          <w:kern w:val="2"/>
          <w:sz w:val="24"/>
          <w:szCs w:val="22"/>
          <w:lang w:val="en-US" w:eastAsia="zh-CN" w:bidi="ar-SA"/>
        </w:rPr>
      </w:pPr>
      <w:r>
        <w:rPr>
          <w:rFonts w:hint="eastAsia" w:ascii="仿宋" w:hAnsi="仿宋" w:eastAsia="仿宋" w:cs="仿宋"/>
          <w:kern w:val="2"/>
          <w:sz w:val="24"/>
          <w:szCs w:val="22"/>
          <w:lang w:val="en-US" w:eastAsia="zh-CN" w:bidi="ar-SA"/>
        </w:rPr>
        <w:t>因可比实例为网上挂牌，议价空间约挂牌价5%～10%，基于谨慎性原则本次估价取挂牌价的90%，则：</w:t>
      </w:r>
    </w:p>
    <w:tbl>
      <w:tblPr>
        <w:tblStyle w:val="22"/>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2004"/>
        <w:gridCol w:w="2004"/>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4" w:type="dxa"/>
            <w:vAlign w:val="center"/>
          </w:tcPr>
          <w:p>
            <w:pPr>
              <w:keepNext w:val="0"/>
              <w:keepLines w:val="0"/>
              <w:widowControl/>
              <w:suppressLineNumbers w:val="0"/>
              <w:jc w:val="center"/>
              <w:textAlignment w:val="center"/>
              <w:rPr>
                <w:rFonts w:hint="eastAsia" w:ascii="仿宋" w:hAnsi="仿宋" w:eastAsia="仿宋" w:cs="仿宋"/>
                <w:b/>
                <w:bCs/>
                <w:color w:val="auto"/>
                <w:sz w:val="21"/>
                <w:szCs w:val="21"/>
              </w:rPr>
            </w:pPr>
            <w:r>
              <w:rPr>
                <w:rFonts w:hint="eastAsia" w:ascii="仿宋" w:hAnsi="仿宋" w:eastAsia="仿宋" w:cs="仿宋"/>
                <w:b/>
                <w:i w:val="0"/>
                <w:color w:val="000000"/>
                <w:kern w:val="0"/>
                <w:sz w:val="21"/>
                <w:szCs w:val="21"/>
                <w:u w:val="none"/>
                <w:lang w:val="en-US" w:eastAsia="zh-CN" w:bidi="ar"/>
              </w:rPr>
              <w:t>项目名称</w:t>
            </w:r>
          </w:p>
        </w:tc>
        <w:tc>
          <w:tcPr>
            <w:tcW w:w="2004" w:type="dxa"/>
            <w:vAlign w:val="center"/>
          </w:tcPr>
          <w:p>
            <w:pPr>
              <w:keepNext w:val="0"/>
              <w:keepLines w:val="0"/>
              <w:widowControl/>
              <w:suppressLineNumbers w:val="0"/>
              <w:jc w:val="center"/>
              <w:textAlignment w:val="center"/>
              <w:rPr>
                <w:rFonts w:hint="eastAsia" w:ascii="仿宋" w:hAnsi="仿宋" w:eastAsia="仿宋" w:cs="仿宋"/>
                <w:b/>
                <w:bCs/>
                <w:color w:val="auto"/>
                <w:sz w:val="21"/>
                <w:szCs w:val="21"/>
              </w:rPr>
            </w:pPr>
            <w:r>
              <w:rPr>
                <w:rFonts w:hint="eastAsia" w:ascii="仿宋" w:hAnsi="仿宋" w:eastAsia="仿宋" w:cs="仿宋"/>
                <w:b/>
                <w:i w:val="0"/>
                <w:color w:val="000000"/>
                <w:kern w:val="0"/>
                <w:sz w:val="21"/>
                <w:szCs w:val="21"/>
                <w:u w:val="none"/>
                <w:lang w:val="en-US" w:eastAsia="zh-CN" w:bidi="ar"/>
              </w:rPr>
              <w:t>挂牌单价（元/㎡）</w:t>
            </w:r>
          </w:p>
        </w:tc>
        <w:tc>
          <w:tcPr>
            <w:tcW w:w="2004" w:type="dxa"/>
            <w:vAlign w:val="center"/>
          </w:tcPr>
          <w:p>
            <w:pPr>
              <w:keepNext w:val="0"/>
              <w:keepLines w:val="0"/>
              <w:widowControl/>
              <w:suppressLineNumbers w:val="0"/>
              <w:jc w:val="center"/>
              <w:textAlignment w:val="center"/>
              <w:rPr>
                <w:rFonts w:hint="eastAsia" w:ascii="仿宋" w:hAnsi="仿宋" w:eastAsia="仿宋" w:cs="仿宋"/>
                <w:b/>
                <w:bCs/>
                <w:color w:val="auto"/>
                <w:sz w:val="21"/>
                <w:szCs w:val="21"/>
              </w:rPr>
            </w:pPr>
            <w:r>
              <w:rPr>
                <w:rFonts w:hint="eastAsia" w:ascii="仿宋" w:hAnsi="仿宋" w:eastAsia="仿宋" w:cs="仿宋"/>
                <w:b/>
                <w:i w:val="0"/>
                <w:color w:val="000000"/>
                <w:kern w:val="0"/>
                <w:sz w:val="21"/>
                <w:szCs w:val="21"/>
                <w:u w:val="none"/>
                <w:lang w:val="en-US" w:eastAsia="zh-CN" w:bidi="ar"/>
              </w:rPr>
              <w:t>比例</w:t>
            </w:r>
          </w:p>
        </w:tc>
        <w:tc>
          <w:tcPr>
            <w:tcW w:w="2007" w:type="dxa"/>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1"/>
                <w:szCs w:val="21"/>
                <w:u w:val="none"/>
                <w:lang w:val="en-US" w:eastAsia="zh-CN"/>
              </w:rPr>
            </w:pPr>
            <w:r>
              <w:rPr>
                <w:rFonts w:hint="eastAsia" w:ascii="仿宋" w:hAnsi="仿宋" w:eastAsia="仿宋" w:cs="仿宋"/>
                <w:b/>
                <w:i w:val="0"/>
                <w:color w:val="000000"/>
                <w:kern w:val="0"/>
                <w:sz w:val="21"/>
                <w:szCs w:val="21"/>
                <w:u w:val="none"/>
                <w:lang w:val="en-US" w:eastAsia="zh-CN" w:bidi="ar"/>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4"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1"/>
                <w:szCs w:val="21"/>
                <w:u w:val="none"/>
                <w:lang w:val="en-US" w:eastAsia="zh-CN" w:bidi="ar"/>
              </w:rPr>
              <w:t>可比实例A</w:t>
            </w:r>
          </w:p>
        </w:tc>
        <w:tc>
          <w:tcPr>
            <w:tcW w:w="2004"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lang w:val="en-US"/>
              </w:rPr>
            </w:pPr>
            <w:r>
              <w:rPr>
                <w:rFonts w:hint="eastAsia" w:ascii="仿宋" w:hAnsi="仿宋" w:eastAsia="仿宋" w:cs="仿宋"/>
                <w:i w:val="0"/>
                <w:iCs w:val="0"/>
                <w:color w:val="000000"/>
                <w:kern w:val="0"/>
                <w:sz w:val="20"/>
                <w:szCs w:val="20"/>
                <w:u w:val="none"/>
                <w:lang w:val="en-US" w:eastAsia="zh-CN" w:bidi="ar"/>
              </w:rPr>
              <w:t>3478</w:t>
            </w:r>
          </w:p>
        </w:tc>
        <w:tc>
          <w:tcPr>
            <w:tcW w:w="2004"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lang w:val="en-US"/>
              </w:rPr>
            </w:pPr>
            <w:r>
              <w:rPr>
                <w:rFonts w:hint="eastAsia" w:ascii="仿宋" w:hAnsi="仿宋" w:eastAsia="仿宋" w:cs="仿宋"/>
                <w:i w:val="0"/>
                <w:iCs w:val="0"/>
                <w:color w:val="000000"/>
                <w:kern w:val="0"/>
                <w:sz w:val="20"/>
                <w:szCs w:val="20"/>
                <w:u w:val="none"/>
                <w:lang w:val="en-US" w:eastAsia="zh-CN" w:bidi="ar"/>
              </w:rPr>
              <w:t>90%</w:t>
            </w:r>
          </w:p>
        </w:tc>
        <w:tc>
          <w:tcPr>
            <w:tcW w:w="2007"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rPr>
            </w:pPr>
            <w:r>
              <w:rPr>
                <w:rFonts w:hint="eastAsia" w:ascii="仿宋" w:hAnsi="仿宋" w:eastAsia="仿宋" w:cs="仿宋"/>
                <w:i w:val="0"/>
                <w:iCs w:val="0"/>
                <w:color w:val="000000"/>
                <w:kern w:val="0"/>
                <w:sz w:val="20"/>
                <w:szCs w:val="20"/>
                <w:u w:val="none"/>
                <w:lang w:val="en-US" w:eastAsia="zh-CN" w:bidi="ar"/>
              </w:rPr>
              <w:t>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4"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1"/>
                <w:szCs w:val="21"/>
                <w:u w:val="none"/>
                <w:lang w:val="en-US" w:eastAsia="zh-CN" w:bidi="ar"/>
              </w:rPr>
              <w:t>可比实例B</w:t>
            </w:r>
          </w:p>
        </w:tc>
        <w:tc>
          <w:tcPr>
            <w:tcW w:w="2004"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lang w:val="en-US" w:eastAsia="zh-CN"/>
              </w:rPr>
            </w:pPr>
            <w:r>
              <w:rPr>
                <w:rFonts w:hint="eastAsia" w:ascii="仿宋" w:hAnsi="仿宋" w:eastAsia="仿宋" w:cs="仿宋"/>
                <w:i w:val="0"/>
                <w:iCs w:val="0"/>
                <w:color w:val="000000"/>
                <w:kern w:val="0"/>
                <w:sz w:val="20"/>
                <w:szCs w:val="20"/>
                <w:u w:val="none"/>
                <w:lang w:val="en-US" w:eastAsia="zh-CN" w:bidi="ar"/>
              </w:rPr>
              <w:t>3345</w:t>
            </w:r>
          </w:p>
        </w:tc>
        <w:tc>
          <w:tcPr>
            <w:tcW w:w="2004" w:type="dxa"/>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rPr>
            </w:pPr>
            <w:r>
              <w:rPr>
                <w:rFonts w:hint="eastAsia" w:ascii="仿宋" w:hAnsi="仿宋" w:eastAsia="仿宋" w:cs="仿宋"/>
                <w:i w:val="0"/>
                <w:iCs w:val="0"/>
                <w:color w:val="000000"/>
                <w:kern w:val="0"/>
                <w:sz w:val="20"/>
                <w:szCs w:val="20"/>
                <w:u w:val="none"/>
                <w:lang w:val="en-US" w:eastAsia="zh-CN" w:bidi="ar"/>
              </w:rPr>
              <w:t>90%</w:t>
            </w:r>
          </w:p>
        </w:tc>
        <w:tc>
          <w:tcPr>
            <w:tcW w:w="2007"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rPr>
            </w:pPr>
            <w:r>
              <w:rPr>
                <w:rFonts w:hint="eastAsia" w:ascii="仿宋" w:hAnsi="仿宋" w:eastAsia="仿宋" w:cs="仿宋"/>
                <w:i w:val="0"/>
                <w:iCs w:val="0"/>
                <w:color w:val="000000"/>
                <w:kern w:val="0"/>
                <w:sz w:val="20"/>
                <w:szCs w:val="20"/>
                <w:u w:val="none"/>
                <w:lang w:val="en-US" w:eastAsia="zh-CN" w:bidi="ar"/>
              </w:rPr>
              <w:t>3011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4" w:type="dxa"/>
            <w:vAlign w:val="center"/>
          </w:tcPr>
          <w:p>
            <w:pPr>
              <w:keepNext w:val="0"/>
              <w:keepLines w:val="0"/>
              <w:widowControl/>
              <w:suppressLineNumbers w:val="0"/>
              <w:jc w:val="center"/>
              <w:textAlignment w:val="center"/>
              <w:rPr>
                <w:rFonts w:hint="eastAsia" w:ascii="仿宋" w:hAnsi="仿宋" w:eastAsia="仿宋" w:cs="仿宋"/>
                <w:b w:val="0"/>
                <w:bCs w:val="0"/>
                <w:i w:val="0"/>
                <w:color w:val="000000"/>
                <w:kern w:val="0"/>
                <w:sz w:val="21"/>
                <w:szCs w:val="21"/>
                <w:u w:val="none"/>
                <w:lang w:val="en-US" w:eastAsia="zh-CN"/>
              </w:rPr>
            </w:pPr>
            <w:r>
              <w:rPr>
                <w:rFonts w:hint="eastAsia" w:ascii="仿宋" w:hAnsi="仿宋" w:eastAsia="仿宋" w:cs="仿宋"/>
                <w:i w:val="0"/>
                <w:color w:val="000000"/>
                <w:kern w:val="0"/>
                <w:sz w:val="21"/>
                <w:szCs w:val="21"/>
                <w:u w:val="none"/>
                <w:lang w:val="en-US" w:eastAsia="zh-CN" w:bidi="ar"/>
              </w:rPr>
              <w:t>可比实例C</w:t>
            </w:r>
          </w:p>
        </w:tc>
        <w:tc>
          <w:tcPr>
            <w:tcW w:w="200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rPr>
            </w:pPr>
            <w:r>
              <w:rPr>
                <w:rFonts w:hint="eastAsia" w:ascii="仿宋" w:hAnsi="仿宋" w:eastAsia="仿宋" w:cs="仿宋"/>
                <w:i w:val="0"/>
                <w:iCs w:val="0"/>
                <w:color w:val="000000"/>
                <w:kern w:val="0"/>
                <w:sz w:val="20"/>
                <w:szCs w:val="20"/>
                <w:u w:val="none"/>
                <w:lang w:val="en-US" w:eastAsia="zh-CN" w:bidi="ar"/>
              </w:rPr>
              <w:t>3356</w:t>
            </w:r>
          </w:p>
        </w:tc>
        <w:tc>
          <w:tcPr>
            <w:tcW w:w="200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rPr>
            </w:pPr>
            <w:r>
              <w:rPr>
                <w:rFonts w:hint="eastAsia" w:ascii="仿宋" w:hAnsi="仿宋" w:eastAsia="仿宋" w:cs="仿宋"/>
                <w:i w:val="0"/>
                <w:iCs w:val="0"/>
                <w:color w:val="000000"/>
                <w:kern w:val="0"/>
                <w:sz w:val="20"/>
                <w:szCs w:val="20"/>
                <w:u w:val="none"/>
                <w:lang w:val="en-US" w:eastAsia="zh-CN" w:bidi="ar"/>
              </w:rPr>
              <w:t>90%</w:t>
            </w:r>
          </w:p>
        </w:tc>
        <w:tc>
          <w:tcPr>
            <w:tcW w:w="2007"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rPr>
            </w:pPr>
            <w:r>
              <w:rPr>
                <w:rFonts w:hint="eastAsia" w:ascii="仿宋" w:hAnsi="仿宋" w:eastAsia="仿宋" w:cs="仿宋"/>
                <w:i w:val="0"/>
                <w:iCs w:val="0"/>
                <w:color w:val="000000"/>
                <w:kern w:val="0"/>
                <w:sz w:val="20"/>
                <w:szCs w:val="20"/>
                <w:u w:val="none"/>
                <w:lang w:val="en-US" w:eastAsia="zh-CN" w:bidi="ar"/>
              </w:rPr>
              <w:t>3020</w:t>
            </w:r>
          </w:p>
        </w:tc>
      </w:tr>
    </w:tbl>
    <w:p>
      <w:pPr>
        <w:spacing w:line="360" w:lineRule="auto"/>
        <w:ind w:firstLine="482" w:firstLineChars="200"/>
        <w:outlineLvl w:val="2"/>
        <w:rPr>
          <w:rFonts w:hint="eastAsia" w:ascii="仿宋" w:hAnsi="仿宋" w:eastAsia="仿宋" w:cs="仿宋"/>
          <w:b/>
          <w:bCs/>
          <w:sz w:val="24"/>
        </w:rPr>
      </w:pPr>
      <w:r>
        <w:rPr>
          <w:rFonts w:hint="eastAsia" w:ascii="仿宋" w:hAnsi="仿宋" w:eastAsia="仿宋" w:cs="仿宋"/>
          <w:b/>
          <w:bCs/>
          <w:sz w:val="24"/>
        </w:rPr>
        <w:t>3、建立比较基础</w:t>
      </w:r>
    </w:p>
    <w:p>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⑴、统一税费负担：是将成交价格调整为买卖双方各自缴纳自己应缴纳的交易税费下的价格。正常负担下的价格=卖方实收金额/（1-应由卖方缴纳的税费比率）=买方实付金额/（1+应由买方缴纳的税费比率）。</w:t>
      </w:r>
    </w:p>
    <w:p>
      <w:pPr>
        <w:spacing w:line="360" w:lineRule="auto"/>
        <w:jc w:val="center"/>
        <w:rPr>
          <w:rFonts w:hint="eastAsia" w:ascii="仿宋" w:hAnsi="仿宋" w:eastAsia="仿宋" w:cs="仿宋"/>
          <w:bCs/>
          <w:sz w:val="24"/>
          <w:szCs w:val="22"/>
        </w:rPr>
      </w:pPr>
      <w:r>
        <w:rPr>
          <w:rFonts w:hint="eastAsia" w:ascii="仿宋" w:hAnsi="仿宋" w:eastAsia="仿宋" w:cs="仿宋"/>
          <w:bCs/>
          <w:sz w:val="24"/>
          <w:szCs w:val="22"/>
        </w:rPr>
        <w:t>二手住房交易税费表</w:t>
      </w:r>
    </w:p>
    <w:tbl>
      <w:tblPr>
        <w:tblStyle w:val="22"/>
        <w:tblW w:w="91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47"/>
        <w:gridCol w:w="1343"/>
        <w:gridCol w:w="60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7" w:type="dxa"/>
            <w:tcBorders>
              <w:top w:val="single" w:color="auto" w:sz="4" w:space="0"/>
              <w:left w:val="single" w:color="auto" w:sz="4" w:space="0"/>
              <w:bottom w:val="single" w:color="auto" w:sz="4" w:space="0"/>
            </w:tcBorders>
            <w:vAlign w:val="center"/>
          </w:tcPr>
          <w:p>
            <w:pPr>
              <w:spacing w:line="240" w:lineRule="auto"/>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税费类型</w:t>
            </w:r>
          </w:p>
        </w:tc>
        <w:tc>
          <w:tcPr>
            <w:tcW w:w="1343" w:type="dxa"/>
            <w:tcBorders>
              <w:top w:val="single" w:color="auto" w:sz="4" w:space="0"/>
              <w:bottom w:val="single" w:color="auto" w:sz="4" w:space="0"/>
            </w:tcBorders>
            <w:vAlign w:val="center"/>
          </w:tcPr>
          <w:p>
            <w:pPr>
              <w:spacing w:line="240" w:lineRule="auto"/>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税费值</w:t>
            </w:r>
          </w:p>
        </w:tc>
        <w:tc>
          <w:tcPr>
            <w:tcW w:w="6087" w:type="dxa"/>
            <w:tcBorders>
              <w:top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7" w:type="dxa"/>
            <w:tcBorders>
              <w:top w:val="single" w:color="auto" w:sz="4" w:space="0"/>
              <w:left w:val="single" w:color="auto" w:sz="4" w:space="0"/>
            </w:tcBorders>
            <w:vAlign w:val="center"/>
          </w:tcPr>
          <w:p>
            <w:pPr>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增值税及附加</w:t>
            </w:r>
          </w:p>
        </w:tc>
        <w:tc>
          <w:tcPr>
            <w:tcW w:w="1343" w:type="dxa"/>
            <w:tcBorders>
              <w:top w:val="single" w:color="auto" w:sz="4" w:space="0"/>
            </w:tcBorders>
            <w:vAlign w:val="center"/>
          </w:tcPr>
          <w:p>
            <w:pPr>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5.</w:t>
            </w:r>
            <w:r>
              <w:rPr>
                <w:rFonts w:hint="eastAsia" w:ascii="仿宋" w:hAnsi="仿宋" w:eastAsia="仿宋" w:cs="仿宋"/>
                <w:color w:val="000000"/>
                <w:sz w:val="21"/>
                <w:szCs w:val="21"/>
                <w:lang w:val="en-US" w:eastAsia="zh-CN"/>
              </w:rPr>
              <w:t>24</w:t>
            </w:r>
            <w:r>
              <w:rPr>
                <w:rFonts w:hint="eastAsia" w:ascii="仿宋" w:hAnsi="仿宋" w:eastAsia="仿宋" w:cs="仿宋"/>
                <w:color w:val="000000"/>
                <w:sz w:val="21"/>
                <w:szCs w:val="21"/>
              </w:rPr>
              <w:t>%</w:t>
            </w:r>
          </w:p>
        </w:tc>
        <w:tc>
          <w:tcPr>
            <w:tcW w:w="6087" w:type="dxa"/>
            <w:tcBorders>
              <w:top w:val="single" w:color="auto" w:sz="4" w:space="0"/>
              <w:right w:val="single" w:color="auto" w:sz="4" w:space="0"/>
            </w:tcBorders>
            <w:vAlign w:val="center"/>
          </w:tcPr>
          <w:p>
            <w:pPr>
              <w:widowControl w:val="0"/>
              <w:wordWrap/>
              <w:adjustRightInd/>
              <w:snapToGrid/>
              <w:spacing w:line="240" w:lineRule="auto"/>
              <w:textAlignment w:val="auto"/>
              <w:rPr>
                <w:rFonts w:hint="eastAsia" w:ascii="仿宋" w:hAnsi="仿宋" w:eastAsia="仿宋" w:cs="仿宋"/>
                <w:color w:val="000000"/>
                <w:kern w:val="0"/>
                <w:sz w:val="21"/>
                <w:szCs w:val="21"/>
              </w:rPr>
            </w:pPr>
            <w:r>
              <w:rPr>
                <w:rFonts w:hint="eastAsia" w:ascii="仿宋" w:hAnsi="仿宋" w:eastAsia="仿宋" w:cs="仿宋"/>
                <w:color w:val="000000"/>
                <w:sz w:val="21"/>
                <w:szCs w:val="21"/>
              </w:rPr>
              <w:t>由卖方承担①个人转让购买超过2年（含2年）的普通住房（即容积率在1.0以上、单套建筑面积在144平方米以下），免征增值税；②满2年的非普通住房按差额征收；③不满2年则需全额缴纳增值税及附加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7" w:type="dxa"/>
            <w:tcBorders>
              <w:left w:val="single" w:color="auto" w:sz="4" w:space="0"/>
            </w:tcBorders>
            <w:vAlign w:val="center"/>
          </w:tcPr>
          <w:p>
            <w:pPr>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个人所得税</w:t>
            </w:r>
          </w:p>
        </w:tc>
        <w:tc>
          <w:tcPr>
            <w:tcW w:w="1343" w:type="dxa"/>
            <w:vAlign w:val="center"/>
          </w:tcPr>
          <w:p>
            <w:pPr>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1.5％</w:t>
            </w:r>
          </w:p>
        </w:tc>
        <w:tc>
          <w:tcPr>
            <w:tcW w:w="6087" w:type="dxa"/>
            <w:tcBorders>
              <w:right w:val="single" w:color="auto" w:sz="4" w:space="0"/>
            </w:tcBorders>
            <w:vAlign w:val="center"/>
          </w:tcPr>
          <w:p>
            <w:pPr>
              <w:widowControl w:val="0"/>
              <w:wordWrap/>
              <w:adjustRightInd/>
              <w:snapToGrid/>
              <w:spacing w:line="240" w:lineRule="auto"/>
              <w:textAlignment w:val="auto"/>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由卖方承担，个人出售普通住房，产权人住满2年以上，且是唯一家庭生活用房，免征个人所得税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7" w:type="dxa"/>
            <w:tcBorders>
              <w:left w:val="single" w:color="auto" w:sz="4" w:space="0"/>
            </w:tcBorders>
            <w:vAlign w:val="center"/>
          </w:tcPr>
          <w:p>
            <w:pPr>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印花税</w:t>
            </w:r>
          </w:p>
        </w:tc>
        <w:tc>
          <w:tcPr>
            <w:tcW w:w="1343" w:type="dxa"/>
            <w:vAlign w:val="center"/>
          </w:tcPr>
          <w:p>
            <w:pPr>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0.05%</w:t>
            </w:r>
          </w:p>
        </w:tc>
        <w:tc>
          <w:tcPr>
            <w:tcW w:w="6087" w:type="dxa"/>
            <w:tcBorders>
              <w:right w:val="single" w:color="auto" w:sz="4" w:space="0"/>
            </w:tcBorders>
            <w:vAlign w:val="center"/>
          </w:tcPr>
          <w:p>
            <w:pPr>
              <w:widowControl w:val="0"/>
              <w:wordWrap/>
              <w:adjustRightInd/>
              <w:snapToGrid/>
              <w:spacing w:line="240" w:lineRule="auto"/>
              <w:textAlignment w:val="auto"/>
              <w:rPr>
                <w:rFonts w:hint="eastAsia" w:ascii="仿宋" w:hAnsi="仿宋" w:eastAsia="仿宋" w:cs="仿宋"/>
                <w:color w:val="000000"/>
                <w:sz w:val="21"/>
                <w:szCs w:val="21"/>
              </w:rPr>
            </w:pPr>
            <w:r>
              <w:rPr>
                <w:rFonts w:hint="eastAsia" w:ascii="仿宋" w:hAnsi="仿宋" w:eastAsia="仿宋" w:cs="仿宋"/>
                <w:color w:val="000000"/>
                <w:kern w:val="0"/>
                <w:sz w:val="21"/>
                <w:szCs w:val="21"/>
              </w:rPr>
              <w:t>由买方承担，住宅免征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7" w:type="dxa"/>
            <w:tcBorders>
              <w:left w:val="single" w:color="auto" w:sz="4" w:space="0"/>
              <w:bottom w:val="single" w:color="auto" w:sz="4" w:space="0"/>
            </w:tcBorders>
            <w:vAlign w:val="center"/>
          </w:tcPr>
          <w:p>
            <w:pPr>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交易手续费</w:t>
            </w:r>
          </w:p>
        </w:tc>
        <w:tc>
          <w:tcPr>
            <w:tcW w:w="1343" w:type="dxa"/>
            <w:tcBorders>
              <w:bottom w:val="single" w:color="auto" w:sz="4" w:space="0"/>
            </w:tcBorders>
            <w:vAlign w:val="center"/>
          </w:tcPr>
          <w:p>
            <w:pPr>
              <w:spacing w:line="240" w:lineRule="auto"/>
              <w:jc w:val="center"/>
              <w:rPr>
                <w:rFonts w:hint="eastAsia" w:ascii="仿宋" w:hAnsi="仿宋" w:eastAsia="仿宋" w:cs="仿宋"/>
                <w:sz w:val="21"/>
                <w:szCs w:val="21"/>
              </w:rPr>
            </w:pPr>
            <w:r>
              <w:rPr>
                <w:rFonts w:hint="eastAsia" w:ascii="仿宋" w:hAnsi="仿宋" w:eastAsia="仿宋" w:cs="仿宋"/>
                <w:sz w:val="21"/>
                <w:szCs w:val="21"/>
              </w:rPr>
              <w:t>2元/平方米</w:t>
            </w:r>
          </w:p>
        </w:tc>
        <w:tc>
          <w:tcPr>
            <w:tcW w:w="6087" w:type="dxa"/>
            <w:tcBorders>
              <w:bottom w:val="single" w:color="auto" w:sz="4" w:space="0"/>
              <w:right w:val="single" w:color="auto" w:sz="4" w:space="0"/>
            </w:tcBorders>
            <w:vAlign w:val="center"/>
          </w:tcPr>
          <w:p>
            <w:pPr>
              <w:widowControl w:val="0"/>
              <w:wordWrap/>
              <w:adjustRightInd/>
              <w:snapToGrid/>
              <w:spacing w:line="240" w:lineRule="auto"/>
              <w:textAlignment w:val="auto"/>
              <w:rPr>
                <w:rFonts w:hint="eastAsia" w:ascii="仿宋" w:hAnsi="仿宋" w:eastAsia="仿宋" w:cs="仿宋"/>
                <w:color w:val="000000"/>
                <w:sz w:val="21"/>
                <w:szCs w:val="21"/>
              </w:rPr>
            </w:pPr>
            <w:r>
              <w:rPr>
                <w:rFonts w:hint="eastAsia" w:ascii="仿宋" w:hAnsi="仿宋" w:eastAsia="仿宋" w:cs="仿宋"/>
                <w:color w:val="000000"/>
                <w:kern w:val="0"/>
                <w:sz w:val="21"/>
                <w:szCs w:val="21"/>
              </w:rPr>
              <w:t>由买方承担，</w:t>
            </w:r>
            <w:r>
              <w:rPr>
                <w:rFonts w:hint="eastAsia" w:ascii="仿宋" w:hAnsi="仿宋" w:eastAsia="仿宋" w:cs="仿宋"/>
                <w:color w:val="000000"/>
                <w:sz w:val="21"/>
                <w:szCs w:val="21"/>
              </w:rPr>
              <w:t>《福建省物价局 福建省财政厅关于房屋转让收费有关问题的通知》（闽价费〔2016〕23号）</w:t>
            </w:r>
          </w:p>
        </w:tc>
      </w:tr>
    </w:tbl>
    <w:p>
      <w:pPr>
        <w:spacing w:line="360" w:lineRule="auto"/>
        <w:jc w:val="center"/>
        <w:rPr>
          <w:rFonts w:hint="eastAsia" w:ascii="仿宋" w:hAnsi="仿宋" w:eastAsia="仿宋" w:cs="仿宋"/>
          <w:b/>
          <w:bCs/>
          <w:color w:val="000000"/>
          <w:sz w:val="24"/>
        </w:rPr>
      </w:pPr>
      <w:r>
        <w:rPr>
          <w:rFonts w:hint="eastAsia" w:ascii="仿宋" w:hAnsi="仿宋" w:eastAsia="仿宋" w:cs="仿宋"/>
          <w:bCs/>
          <w:sz w:val="24"/>
          <w:szCs w:val="24"/>
        </w:rPr>
        <w:t>可比实例A、B、C统一税费负担计算表</w:t>
      </w:r>
      <w:bookmarkStart w:id="76" w:name="OLE_LINK48"/>
    </w:p>
    <w:tbl>
      <w:tblPr>
        <w:tblStyle w:val="22"/>
        <w:tblW w:w="92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5"/>
        <w:gridCol w:w="1446"/>
        <w:gridCol w:w="1236"/>
        <w:gridCol w:w="1200"/>
        <w:gridCol w:w="1981"/>
        <w:gridCol w:w="20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45" w:type="dxa"/>
            <w:tcBorders>
              <w:top w:val="single" w:color="auto" w:sz="4" w:space="0"/>
              <w:left w:val="single" w:color="auto" w:sz="4" w:space="0"/>
            </w:tcBorders>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可比实例</w:t>
            </w:r>
          </w:p>
        </w:tc>
        <w:tc>
          <w:tcPr>
            <w:tcW w:w="1446" w:type="dxa"/>
            <w:tcBorders>
              <w:top w:val="single" w:color="auto" w:sz="4" w:space="0"/>
            </w:tcBorders>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房屋类型</w:t>
            </w:r>
          </w:p>
        </w:tc>
        <w:tc>
          <w:tcPr>
            <w:tcW w:w="1236" w:type="dxa"/>
            <w:tcBorders>
              <w:top w:val="single" w:color="auto" w:sz="4" w:space="0"/>
            </w:tcBorders>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税费承担</w:t>
            </w:r>
          </w:p>
        </w:tc>
        <w:tc>
          <w:tcPr>
            <w:tcW w:w="1200" w:type="dxa"/>
            <w:tcBorders>
              <w:top w:val="single" w:color="auto" w:sz="4" w:space="0"/>
            </w:tcBorders>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产权取得</w:t>
            </w:r>
          </w:p>
        </w:tc>
        <w:tc>
          <w:tcPr>
            <w:tcW w:w="1981" w:type="dxa"/>
            <w:tcBorders>
              <w:top w:val="single" w:color="auto" w:sz="4" w:space="0"/>
            </w:tcBorders>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计算公式</w:t>
            </w:r>
          </w:p>
        </w:tc>
        <w:tc>
          <w:tcPr>
            <w:tcW w:w="2011" w:type="dxa"/>
            <w:tcBorders>
              <w:top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统一税费负担后的单价（元/平方米）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45" w:type="dxa"/>
            <w:tcBorders>
              <w:left w:val="single" w:color="auto" w:sz="4" w:space="0"/>
            </w:tcBorders>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可比实例A</w:t>
            </w:r>
          </w:p>
        </w:tc>
        <w:tc>
          <w:tcPr>
            <w:tcW w:w="1446"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普通住宅</w:t>
            </w:r>
          </w:p>
        </w:tc>
        <w:tc>
          <w:tcPr>
            <w:tcW w:w="1236"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卖方实收</w:t>
            </w:r>
          </w:p>
        </w:tc>
        <w:tc>
          <w:tcPr>
            <w:tcW w:w="1200"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满2年</w:t>
            </w:r>
          </w:p>
        </w:tc>
        <w:tc>
          <w:tcPr>
            <w:tcW w:w="1981"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（成交单价+2）/（1-1.5%）</w:t>
            </w:r>
          </w:p>
        </w:tc>
        <w:tc>
          <w:tcPr>
            <w:tcW w:w="2011" w:type="dxa"/>
            <w:tcBorders>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3180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45" w:type="dxa"/>
            <w:tcBorders>
              <w:left w:val="single" w:color="auto" w:sz="4" w:space="0"/>
            </w:tcBorders>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可比实例B</w:t>
            </w:r>
          </w:p>
        </w:tc>
        <w:tc>
          <w:tcPr>
            <w:tcW w:w="1446"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普通住宅</w:t>
            </w:r>
          </w:p>
        </w:tc>
        <w:tc>
          <w:tcPr>
            <w:tcW w:w="1236"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卖方实收</w:t>
            </w:r>
          </w:p>
        </w:tc>
        <w:tc>
          <w:tcPr>
            <w:tcW w:w="1200"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满2年</w:t>
            </w:r>
          </w:p>
        </w:tc>
        <w:tc>
          <w:tcPr>
            <w:tcW w:w="1981"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（成交单价+2）/（1-1.5%）</w:t>
            </w:r>
          </w:p>
        </w:tc>
        <w:tc>
          <w:tcPr>
            <w:tcW w:w="2011" w:type="dxa"/>
            <w:tcBorders>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3059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45" w:type="dxa"/>
            <w:tcBorders>
              <w:left w:val="single" w:color="auto" w:sz="4" w:space="0"/>
            </w:tcBorders>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可比实例C</w:t>
            </w:r>
          </w:p>
        </w:tc>
        <w:tc>
          <w:tcPr>
            <w:tcW w:w="1446"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普通住宅</w:t>
            </w:r>
          </w:p>
        </w:tc>
        <w:tc>
          <w:tcPr>
            <w:tcW w:w="1236"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卖方实收</w:t>
            </w:r>
          </w:p>
        </w:tc>
        <w:tc>
          <w:tcPr>
            <w:tcW w:w="1200"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满2年</w:t>
            </w:r>
          </w:p>
        </w:tc>
        <w:tc>
          <w:tcPr>
            <w:tcW w:w="1981"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（成交单价+2）/（1-1.5%）</w:t>
            </w:r>
          </w:p>
        </w:tc>
        <w:tc>
          <w:tcPr>
            <w:tcW w:w="2011" w:type="dxa"/>
            <w:tcBorders>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3068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19" w:type="dxa"/>
            <w:gridSpan w:val="6"/>
            <w:tcBorders>
              <w:left w:val="single" w:color="auto" w:sz="4" w:space="0"/>
              <w:bottom w:val="single" w:color="auto" w:sz="4" w:space="0"/>
              <w:right w:val="single" w:color="auto" w:sz="4" w:space="0"/>
            </w:tcBorders>
            <w:vAlign w:val="center"/>
          </w:tcPr>
          <w:p>
            <w:pPr>
              <w:keepNext w:val="0"/>
              <w:keepLines w:val="0"/>
              <w:widowControl/>
              <w:suppressLineNumbers w:val="0"/>
              <w:jc w:val="both"/>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备注：由于估价人员无法取得相关资料来判定可比实例在成交时是否为家庭唯一生活用房，故本次估价假设可比实例在成交时，不是家庭唯一生活用房</w:t>
            </w:r>
          </w:p>
        </w:tc>
      </w:tr>
      <w:bookmarkEnd w:id="76"/>
    </w:tbl>
    <w:p>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rPr>
        <w:t>⑵、</w:t>
      </w:r>
      <w:r>
        <w:rPr>
          <w:rFonts w:hint="eastAsia" w:ascii="仿宋" w:hAnsi="仿宋" w:eastAsia="仿宋" w:cs="仿宋"/>
          <w:bCs/>
          <w:sz w:val="24"/>
          <w:szCs w:val="24"/>
        </w:rPr>
        <w:t>统一财产范围：主要指含有非房地产成分，带有债权债务的房地产，若含有非房地产成分，应进行剔除。</w:t>
      </w:r>
    </w:p>
    <w:p>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可比实例A</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B、C</w:t>
      </w:r>
      <w:r>
        <w:rPr>
          <w:rFonts w:hint="eastAsia" w:ascii="仿宋" w:hAnsi="仿宋" w:eastAsia="仿宋" w:cs="仿宋"/>
          <w:bCs/>
          <w:sz w:val="24"/>
          <w:szCs w:val="24"/>
        </w:rPr>
        <w:t>为含二次装修；而估价对象不含室内二次装修价值，故应将可比实例中所含二次装修的价值剔除，可比实例比较基础具体见下表。</w:t>
      </w:r>
    </w:p>
    <w:p>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可比实例比较基础建立表</w:t>
      </w:r>
    </w:p>
    <w:tbl>
      <w:tblPr>
        <w:tblStyle w:val="2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2197"/>
        <w:gridCol w:w="2197"/>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1" w:type="dxa"/>
            <w:vAlign w:val="center"/>
          </w:tcPr>
          <w:p>
            <w:pPr>
              <w:keepNext w:val="0"/>
              <w:keepLines w:val="0"/>
              <w:widowControl/>
              <w:suppressLineNumbers w:val="0"/>
              <w:jc w:val="center"/>
              <w:textAlignment w:val="center"/>
              <w:rPr>
                <w:rFonts w:hint="eastAsia" w:ascii="仿宋" w:hAnsi="仿宋" w:eastAsia="仿宋" w:cs="仿宋"/>
                <w:b/>
                <w:sz w:val="21"/>
                <w:szCs w:val="21"/>
              </w:rPr>
            </w:pPr>
            <w:r>
              <w:rPr>
                <w:rFonts w:hint="eastAsia" w:ascii="仿宋" w:hAnsi="仿宋" w:eastAsia="仿宋" w:cs="仿宋"/>
                <w:b/>
                <w:i w:val="0"/>
                <w:color w:val="000000"/>
                <w:kern w:val="0"/>
                <w:sz w:val="20"/>
                <w:szCs w:val="20"/>
                <w:u w:val="none"/>
                <w:lang w:val="en-US" w:eastAsia="zh-CN" w:bidi="ar"/>
              </w:rPr>
              <w:t>项    目</w:t>
            </w:r>
          </w:p>
        </w:tc>
        <w:tc>
          <w:tcPr>
            <w:tcW w:w="2197" w:type="dxa"/>
            <w:vAlign w:val="center"/>
          </w:tcPr>
          <w:p>
            <w:pPr>
              <w:keepNext w:val="0"/>
              <w:keepLines w:val="0"/>
              <w:widowControl/>
              <w:suppressLineNumbers w:val="0"/>
              <w:jc w:val="center"/>
              <w:textAlignment w:val="center"/>
              <w:rPr>
                <w:rFonts w:hint="eastAsia" w:ascii="仿宋" w:hAnsi="仿宋" w:eastAsia="仿宋" w:cs="仿宋"/>
                <w:b/>
                <w:sz w:val="21"/>
                <w:szCs w:val="21"/>
              </w:rPr>
            </w:pPr>
            <w:r>
              <w:rPr>
                <w:rFonts w:hint="eastAsia" w:ascii="仿宋" w:hAnsi="仿宋" w:eastAsia="仿宋" w:cs="仿宋"/>
                <w:b/>
                <w:i w:val="0"/>
                <w:color w:val="000000"/>
                <w:kern w:val="0"/>
                <w:sz w:val="20"/>
                <w:szCs w:val="20"/>
                <w:u w:val="none"/>
                <w:lang w:val="en-US" w:eastAsia="zh-CN" w:bidi="ar"/>
              </w:rPr>
              <w:t>可比实例A</w:t>
            </w:r>
          </w:p>
        </w:tc>
        <w:tc>
          <w:tcPr>
            <w:tcW w:w="2197" w:type="dxa"/>
            <w:vAlign w:val="center"/>
          </w:tcPr>
          <w:p>
            <w:pPr>
              <w:keepNext w:val="0"/>
              <w:keepLines w:val="0"/>
              <w:widowControl/>
              <w:suppressLineNumbers w:val="0"/>
              <w:jc w:val="center"/>
              <w:textAlignment w:val="center"/>
              <w:rPr>
                <w:rFonts w:hint="eastAsia" w:ascii="仿宋" w:hAnsi="仿宋" w:eastAsia="仿宋" w:cs="仿宋"/>
                <w:b/>
                <w:sz w:val="21"/>
                <w:szCs w:val="21"/>
              </w:rPr>
            </w:pPr>
            <w:r>
              <w:rPr>
                <w:rFonts w:hint="eastAsia" w:ascii="仿宋" w:hAnsi="仿宋" w:eastAsia="仿宋" w:cs="仿宋"/>
                <w:b/>
                <w:i w:val="0"/>
                <w:color w:val="000000"/>
                <w:kern w:val="0"/>
                <w:sz w:val="20"/>
                <w:szCs w:val="20"/>
                <w:u w:val="none"/>
                <w:lang w:val="en-US" w:eastAsia="zh-CN" w:bidi="ar"/>
              </w:rPr>
              <w:t>可比实例B</w:t>
            </w:r>
          </w:p>
        </w:tc>
        <w:tc>
          <w:tcPr>
            <w:tcW w:w="2197" w:type="dxa"/>
            <w:vAlign w:val="center"/>
          </w:tcPr>
          <w:p>
            <w:pPr>
              <w:keepNext w:val="0"/>
              <w:keepLines w:val="0"/>
              <w:widowControl/>
              <w:suppressLineNumbers w:val="0"/>
              <w:jc w:val="center"/>
              <w:textAlignment w:val="center"/>
              <w:rPr>
                <w:rFonts w:hint="eastAsia" w:ascii="仿宋" w:hAnsi="仿宋" w:eastAsia="仿宋" w:cs="仿宋"/>
                <w:b/>
                <w:sz w:val="21"/>
                <w:szCs w:val="21"/>
              </w:rPr>
            </w:pPr>
            <w:r>
              <w:rPr>
                <w:rFonts w:hint="eastAsia" w:ascii="仿宋" w:hAnsi="仿宋" w:eastAsia="仿宋" w:cs="仿宋"/>
                <w:b/>
                <w:i w:val="0"/>
                <w:color w:val="000000"/>
                <w:kern w:val="0"/>
                <w:sz w:val="20"/>
                <w:szCs w:val="20"/>
                <w:u w:val="none"/>
                <w:lang w:val="en-US" w:eastAsia="zh-CN" w:bidi="ar"/>
              </w:rPr>
              <w:t>可比实例C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1"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小区名称</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先富大道</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高富路</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高富路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1"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交易单价（元/平方米）</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3180</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3059</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3068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1" w:type="dxa"/>
            <w:vMerge w:val="restart"/>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装修情况</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普通装修</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普通装修</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普通装修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1" w:type="dxa"/>
            <w:vMerge w:val="continue"/>
            <w:vAlign w:val="center"/>
          </w:tcPr>
          <w:p>
            <w:pPr>
              <w:jc w:val="center"/>
              <w:rPr>
                <w:rFonts w:hint="eastAsia" w:ascii="仿宋" w:hAnsi="仿宋" w:eastAsia="仿宋" w:cs="仿宋"/>
                <w:sz w:val="21"/>
                <w:szCs w:val="21"/>
              </w:rPr>
            </w:pP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800</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800</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1" w:type="dxa"/>
            <w:vAlign w:val="center"/>
          </w:tcPr>
          <w:p>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color w:val="000000"/>
                <w:kern w:val="0"/>
                <w:sz w:val="20"/>
                <w:szCs w:val="20"/>
                <w:u w:val="none"/>
                <w:lang w:val="en-US" w:eastAsia="zh-CN" w:bidi="ar"/>
              </w:rPr>
              <w:t>建立比较基础后的可比实例价格（元/平方米）</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2380</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2259</w:t>
            </w:r>
          </w:p>
        </w:tc>
        <w:tc>
          <w:tcPr>
            <w:tcW w:w="2197" w:type="dxa"/>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0"/>
                <w:szCs w:val="20"/>
                <w:u w:val="none"/>
                <w:lang w:val="en-US" w:eastAsia="zh-CN" w:bidi="ar"/>
              </w:rPr>
              <w:t>2268</w:t>
            </w:r>
          </w:p>
        </w:tc>
      </w:tr>
    </w:tbl>
    <w:p>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⑶、统一计价单位：可比实例计价单位均为人民币、建筑面积与估价对象已一致。</w:t>
      </w:r>
    </w:p>
    <w:p>
      <w:pPr>
        <w:numPr>
          <w:ilvl w:val="0"/>
          <w:numId w:val="0"/>
        </w:numPr>
        <w:spacing w:line="360" w:lineRule="auto"/>
        <w:ind w:firstLine="482" w:firstLineChars="200"/>
        <w:outlineLvl w:val="2"/>
        <w:rPr>
          <w:rFonts w:hint="eastAsia" w:ascii="仿宋" w:hAnsi="仿宋" w:eastAsia="仿宋" w:cs="仿宋"/>
          <w:b/>
          <w:bCs/>
          <w:sz w:val="24"/>
        </w:rPr>
      </w:pPr>
      <w:r>
        <w:rPr>
          <w:rFonts w:hint="eastAsia" w:ascii="仿宋" w:hAnsi="仿宋" w:eastAsia="仿宋" w:cs="仿宋"/>
          <w:b/>
          <w:bCs/>
          <w:sz w:val="24"/>
          <w:lang w:val="en-US" w:eastAsia="zh-CN"/>
        </w:rPr>
        <w:t>4、</w:t>
      </w:r>
      <w:r>
        <w:rPr>
          <w:rFonts w:hint="eastAsia" w:ascii="仿宋" w:hAnsi="仿宋" w:eastAsia="仿宋" w:cs="仿宋"/>
          <w:b/>
          <w:bCs/>
          <w:sz w:val="24"/>
        </w:rPr>
        <w:t>估价对象比较因素条件说明表</w:t>
      </w:r>
    </w:p>
    <w:p>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通过各可比实例分别于估价对象进行比较，得出下表中的“比较结果”。</w:t>
      </w:r>
    </w:p>
    <w:p>
      <w:pPr>
        <w:spacing w:line="360" w:lineRule="auto"/>
        <w:ind w:right="-304" w:rightChars="-145" w:firstLine="480" w:firstLineChars="200"/>
        <w:rPr>
          <w:rFonts w:hint="eastAsia" w:ascii="仿宋" w:hAnsi="仿宋" w:eastAsia="仿宋" w:cs="仿宋"/>
          <w:bCs/>
          <w:sz w:val="24"/>
        </w:rPr>
      </w:pPr>
      <w:r>
        <w:rPr>
          <w:rFonts w:hint="eastAsia" w:ascii="仿宋" w:hAnsi="仿宋" w:eastAsia="仿宋" w:cs="仿宋"/>
          <w:bCs/>
          <w:sz w:val="24"/>
        </w:rPr>
        <w:t>⑴、可比实例比估价对象好的，“比较结果”中依次程度不同表述为：好、较好、略好；</w:t>
      </w:r>
    </w:p>
    <w:p>
      <w:pPr>
        <w:spacing w:line="360" w:lineRule="auto"/>
        <w:ind w:right="-304" w:rightChars="-145" w:firstLine="480" w:firstLineChars="200"/>
        <w:rPr>
          <w:rFonts w:hint="eastAsia" w:ascii="仿宋" w:hAnsi="仿宋" w:eastAsia="仿宋" w:cs="仿宋"/>
          <w:bCs/>
          <w:sz w:val="24"/>
        </w:rPr>
      </w:pPr>
      <w:r>
        <w:rPr>
          <w:rFonts w:hint="eastAsia" w:ascii="仿宋" w:hAnsi="仿宋" w:eastAsia="仿宋" w:cs="仿宋"/>
          <w:bCs/>
          <w:sz w:val="24"/>
        </w:rPr>
        <w:t>⑵、可比实例比估价对象差的，“比较结果”中依次程度不同表述为：差、较差、略差；</w:t>
      </w:r>
    </w:p>
    <w:p>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⑶、可比实例与估价对象相同或相当的，“比较结果”中表述为：相似。</w:t>
      </w:r>
    </w:p>
    <w:p>
      <w:pPr>
        <w:spacing w:line="360" w:lineRule="auto"/>
        <w:jc w:val="center"/>
        <w:rPr>
          <w:rFonts w:hint="eastAsia" w:ascii="仿宋" w:hAnsi="仿宋" w:eastAsia="仿宋" w:cs="仿宋"/>
          <w:b/>
          <w:sz w:val="24"/>
          <w:szCs w:val="24"/>
        </w:rPr>
      </w:pPr>
      <w:r>
        <w:rPr>
          <w:rFonts w:hint="eastAsia" w:ascii="仿宋" w:hAnsi="仿宋" w:eastAsia="仿宋" w:cs="仿宋"/>
          <w:bCs/>
          <w:sz w:val="24"/>
        </w:rPr>
        <w:t>可比实例与估价对象因素比较</w:t>
      </w:r>
      <w:r>
        <w:rPr>
          <w:rFonts w:hint="eastAsia" w:ascii="仿宋" w:hAnsi="仿宋" w:eastAsia="仿宋" w:cs="仿宋"/>
          <w:bCs/>
          <w:sz w:val="24"/>
          <w:szCs w:val="22"/>
        </w:rPr>
        <w:t>表</w:t>
      </w:r>
    </w:p>
    <w:tbl>
      <w:tblPr>
        <w:tblStyle w:val="22"/>
        <w:tblW w:w="10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617"/>
        <w:gridCol w:w="584"/>
        <w:gridCol w:w="1725"/>
        <w:gridCol w:w="1768"/>
        <w:gridCol w:w="598"/>
        <w:gridCol w:w="1754"/>
        <w:gridCol w:w="564"/>
        <w:gridCol w:w="1802"/>
        <w:gridCol w:w="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8" w:type="dxa"/>
            <w:gridSpan w:val="3"/>
            <w:vMerge w:val="restart"/>
            <w:vAlign w:val="center"/>
          </w:tcPr>
          <w:p>
            <w:pPr>
              <w:keepNext w:val="0"/>
              <w:keepLines w:val="0"/>
              <w:widowControl/>
              <w:suppressLineNumbers w:val="0"/>
              <w:jc w:val="center"/>
              <w:textAlignment w:val="center"/>
              <w:rPr>
                <w:rFonts w:hint="eastAsia" w:ascii="仿宋" w:hAnsi="仿宋" w:eastAsia="仿宋" w:cs="仿宋"/>
                <w:b/>
                <w:bCs/>
                <w:sz w:val="18"/>
                <w:szCs w:val="18"/>
              </w:rPr>
            </w:pPr>
            <w:r>
              <w:rPr>
                <w:rFonts w:hint="eastAsia" w:ascii="仿宋" w:hAnsi="仿宋" w:eastAsia="仿宋" w:cs="仿宋"/>
                <w:b/>
                <w:i w:val="0"/>
                <w:color w:val="000000"/>
                <w:kern w:val="0"/>
                <w:sz w:val="20"/>
                <w:szCs w:val="20"/>
                <w:u w:val="none"/>
                <w:lang w:val="en-US" w:eastAsia="zh-CN" w:bidi="ar"/>
              </w:rPr>
              <w:t>项    目</w:t>
            </w:r>
          </w:p>
        </w:tc>
        <w:tc>
          <w:tcPr>
            <w:tcW w:w="1725" w:type="dxa"/>
            <w:vMerge w:val="restart"/>
            <w:vAlign w:val="center"/>
          </w:tcPr>
          <w:p>
            <w:pPr>
              <w:keepNext w:val="0"/>
              <w:keepLines w:val="0"/>
              <w:widowControl/>
              <w:suppressLineNumbers w:val="0"/>
              <w:jc w:val="center"/>
              <w:textAlignment w:val="center"/>
              <w:rPr>
                <w:rFonts w:hint="eastAsia" w:ascii="仿宋" w:hAnsi="仿宋" w:eastAsia="仿宋" w:cs="仿宋"/>
                <w:b/>
                <w:bCs/>
                <w:sz w:val="18"/>
                <w:szCs w:val="18"/>
              </w:rPr>
            </w:pPr>
            <w:r>
              <w:rPr>
                <w:rFonts w:hint="eastAsia" w:ascii="仿宋" w:hAnsi="仿宋" w:eastAsia="仿宋" w:cs="仿宋"/>
                <w:b/>
                <w:i w:val="0"/>
                <w:color w:val="000000"/>
                <w:kern w:val="0"/>
                <w:sz w:val="20"/>
                <w:szCs w:val="20"/>
                <w:u w:val="none"/>
                <w:lang w:val="en-US" w:eastAsia="zh-CN" w:bidi="ar"/>
              </w:rPr>
              <w:t>估价对象</w:t>
            </w:r>
          </w:p>
        </w:tc>
        <w:tc>
          <w:tcPr>
            <w:tcW w:w="2366" w:type="dxa"/>
            <w:gridSpan w:val="2"/>
            <w:vAlign w:val="center"/>
          </w:tcPr>
          <w:p>
            <w:pPr>
              <w:keepNext w:val="0"/>
              <w:keepLines w:val="0"/>
              <w:widowControl/>
              <w:suppressLineNumbers w:val="0"/>
              <w:jc w:val="center"/>
              <w:textAlignment w:val="center"/>
              <w:rPr>
                <w:rFonts w:hint="eastAsia" w:ascii="仿宋" w:hAnsi="仿宋" w:eastAsia="仿宋" w:cs="仿宋"/>
                <w:b/>
                <w:bCs/>
                <w:sz w:val="18"/>
                <w:szCs w:val="18"/>
              </w:rPr>
            </w:pPr>
            <w:r>
              <w:rPr>
                <w:rFonts w:hint="eastAsia" w:ascii="仿宋" w:hAnsi="仿宋" w:eastAsia="仿宋" w:cs="仿宋"/>
                <w:b/>
                <w:i w:val="0"/>
                <w:color w:val="000000"/>
                <w:kern w:val="0"/>
                <w:sz w:val="20"/>
                <w:szCs w:val="20"/>
                <w:u w:val="none"/>
                <w:lang w:val="en-US" w:eastAsia="zh-CN" w:bidi="ar"/>
              </w:rPr>
              <w:t>可比实例A</w:t>
            </w:r>
          </w:p>
        </w:tc>
        <w:tc>
          <w:tcPr>
            <w:tcW w:w="2318" w:type="dxa"/>
            <w:gridSpan w:val="2"/>
            <w:vAlign w:val="center"/>
          </w:tcPr>
          <w:p>
            <w:pPr>
              <w:keepNext w:val="0"/>
              <w:keepLines w:val="0"/>
              <w:widowControl/>
              <w:suppressLineNumbers w:val="0"/>
              <w:jc w:val="center"/>
              <w:textAlignment w:val="center"/>
              <w:rPr>
                <w:rFonts w:hint="eastAsia" w:ascii="仿宋" w:hAnsi="仿宋" w:eastAsia="仿宋" w:cs="仿宋"/>
                <w:b/>
                <w:bCs/>
                <w:sz w:val="18"/>
                <w:szCs w:val="18"/>
              </w:rPr>
            </w:pPr>
            <w:r>
              <w:rPr>
                <w:rFonts w:hint="eastAsia" w:ascii="仿宋" w:hAnsi="仿宋" w:eastAsia="仿宋" w:cs="仿宋"/>
                <w:b/>
                <w:i w:val="0"/>
                <w:color w:val="000000"/>
                <w:kern w:val="0"/>
                <w:sz w:val="20"/>
                <w:szCs w:val="20"/>
                <w:u w:val="none"/>
                <w:lang w:val="en-US" w:eastAsia="zh-CN" w:bidi="ar"/>
              </w:rPr>
              <w:t>可比实例B</w:t>
            </w:r>
          </w:p>
        </w:tc>
        <w:tc>
          <w:tcPr>
            <w:tcW w:w="2347" w:type="dxa"/>
            <w:gridSpan w:val="2"/>
            <w:vAlign w:val="center"/>
          </w:tcPr>
          <w:p>
            <w:pPr>
              <w:keepNext w:val="0"/>
              <w:keepLines w:val="0"/>
              <w:widowControl/>
              <w:suppressLineNumbers w:val="0"/>
              <w:jc w:val="center"/>
              <w:textAlignment w:val="center"/>
              <w:rPr>
                <w:rFonts w:hint="eastAsia" w:ascii="仿宋" w:hAnsi="仿宋" w:eastAsia="仿宋" w:cs="仿宋"/>
                <w:b/>
                <w:bCs/>
                <w:sz w:val="18"/>
                <w:szCs w:val="18"/>
              </w:rPr>
            </w:pPr>
            <w:r>
              <w:rPr>
                <w:rFonts w:hint="eastAsia" w:ascii="仿宋" w:hAnsi="仿宋" w:eastAsia="仿宋" w:cs="仿宋"/>
                <w:b/>
                <w:i w:val="0"/>
                <w:color w:val="000000"/>
                <w:kern w:val="0"/>
                <w:sz w:val="20"/>
                <w:szCs w:val="20"/>
                <w:u w:val="none"/>
                <w:lang w:val="en-US" w:eastAsia="zh-CN" w:bidi="ar"/>
              </w:rPr>
              <w:t>可比实例C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8" w:type="dxa"/>
            <w:gridSpan w:val="3"/>
            <w:vMerge w:val="continue"/>
            <w:vAlign w:val="center"/>
          </w:tcPr>
          <w:p>
            <w:pPr>
              <w:jc w:val="center"/>
              <w:rPr>
                <w:rFonts w:hint="eastAsia" w:ascii="仿宋" w:hAnsi="仿宋" w:eastAsia="仿宋" w:cs="仿宋"/>
                <w:b/>
                <w:bCs/>
                <w:sz w:val="18"/>
                <w:szCs w:val="18"/>
              </w:rPr>
            </w:pPr>
          </w:p>
        </w:tc>
        <w:tc>
          <w:tcPr>
            <w:tcW w:w="1725" w:type="dxa"/>
            <w:vMerge w:val="continue"/>
            <w:vAlign w:val="center"/>
          </w:tcPr>
          <w:p>
            <w:pPr>
              <w:jc w:val="center"/>
              <w:rPr>
                <w:rFonts w:hint="eastAsia" w:ascii="仿宋" w:hAnsi="仿宋" w:eastAsia="仿宋" w:cs="仿宋"/>
                <w:b/>
                <w:bCs/>
                <w:sz w:val="18"/>
                <w:szCs w:val="18"/>
              </w:rPr>
            </w:pPr>
          </w:p>
        </w:tc>
        <w:tc>
          <w:tcPr>
            <w:tcW w:w="1768" w:type="dxa"/>
            <w:vAlign w:val="center"/>
          </w:tcPr>
          <w:p>
            <w:pPr>
              <w:keepNext w:val="0"/>
              <w:keepLines w:val="0"/>
              <w:widowControl/>
              <w:suppressLineNumbers w:val="0"/>
              <w:jc w:val="center"/>
              <w:textAlignment w:val="center"/>
              <w:rPr>
                <w:rFonts w:hint="eastAsia" w:ascii="仿宋" w:hAnsi="仿宋" w:eastAsia="仿宋" w:cs="仿宋"/>
                <w:b/>
                <w:bCs/>
                <w:sz w:val="18"/>
                <w:szCs w:val="18"/>
              </w:rPr>
            </w:pPr>
            <w:r>
              <w:rPr>
                <w:rFonts w:hint="eastAsia" w:ascii="仿宋" w:hAnsi="仿宋" w:eastAsia="仿宋" w:cs="仿宋"/>
                <w:b/>
                <w:i w:val="0"/>
                <w:color w:val="000000"/>
                <w:kern w:val="0"/>
                <w:sz w:val="20"/>
                <w:szCs w:val="20"/>
                <w:u w:val="none"/>
                <w:lang w:val="en-US" w:eastAsia="zh-CN" w:bidi="ar"/>
              </w:rPr>
              <w:t>案例状况</w:t>
            </w:r>
          </w:p>
        </w:tc>
        <w:tc>
          <w:tcPr>
            <w:tcW w:w="598" w:type="dxa"/>
            <w:vAlign w:val="center"/>
          </w:tcPr>
          <w:p>
            <w:pPr>
              <w:keepNext w:val="0"/>
              <w:keepLines w:val="0"/>
              <w:widowControl/>
              <w:suppressLineNumbers w:val="0"/>
              <w:jc w:val="center"/>
              <w:textAlignment w:val="center"/>
              <w:rPr>
                <w:rFonts w:hint="eastAsia" w:ascii="仿宋" w:hAnsi="仿宋" w:eastAsia="仿宋" w:cs="仿宋"/>
                <w:b/>
                <w:bCs/>
                <w:sz w:val="18"/>
                <w:szCs w:val="18"/>
              </w:rPr>
            </w:pPr>
            <w:r>
              <w:rPr>
                <w:rFonts w:hint="eastAsia" w:ascii="仿宋" w:hAnsi="仿宋" w:eastAsia="仿宋" w:cs="仿宋"/>
                <w:b/>
                <w:i w:val="0"/>
                <w:color w:val="000000"/>
                <w:kern w:val="0"/>
                <w:sz w:val="20"/>
                <w:szCs w:val="20"/>
                <w:u w:val="none"/>
                <w:lang w:val="en-US" w:eastAsia="zh-CN" w:bidi="ar"/>
              </w:rPr>
              <w:t>比较结果</w:t>
            </w:r>
          </w:p>
        </w:tc>
        <w:tc>
          <w:tcPr>
            <w:tcW w:w="1754" w:type="dxa"/>
            <w:vAlign w:val="center"/>
          </w:tcPr>
          <w:p>
            <w:pPr>
              <w:keepNext w:val="0"/>
              <w:keepLines w:val="0"/>
              <w:widowControl/>
              <w:suppressLineNumbers w:val="0"/>
              <w:jc w:val="center"/>
              <w:textAlignment w:val="center"/>
              <w:rPr>
                <w:rFonts w:hint="eastAsia" w:ascii="仿宋" w:hAnsi="仿宋" w:eastAsia="仿宋" w:cs="仿宋"/>
                <w:b/>
                <w:bCs/>
                <w:sz w:val="18"/>
                <w:szCs w:val="18"/>
              </w:rPr>
            </w:pPr>
            <w:r>
              <w:rPr>
                <w:rFonts w:hint="eastAsia" w:ascii="仿宋" w:hAnsi="仿宋" w:eastAsia="仿宋" w:cs="仿宋"/>
                <w:b/>
                <w:i w:val="0"/>
                <w:color w:val="000000"/>
                <w:kern w:val="0"/>
                <w:sz w:val="20"/>
                <w:szCs w:val="20"/>
                <w:u w:val="none"/>
                <w:lang w:val="en-US" w:eastAsia="zh-CN" w:bidi="ar"/>
              </w:rPr>
              <w:t>案例状况</w:t>
            </w:r>
          </w:p>
        </w:tc>
        <w:tc>
          <w:tcPr>
            <w:tcW w:w="564" w:type="dxa"/>
            <w:vAlign w:val="center"/>
          </w:tcPr>
          <w:p>
            <w:pPr>
              <w:keepNext w:val="0"/>
              <w:keepLines w:val="0"/>
              <w:widowControl/>
              <w:suppressLineNumbers w:val="0"/>
              <w:jc w:val="center"/>
              <w:textAlignment w:val="center"/>
              <w:rPr>
                <w:rFonts w:hint="eastAsia" w:ascii="仿宋" w:hAnsi="仿宋" w:eastAsia="仿宋" w:cs="仿宋"/>
                <w:b/>
                <w:bCs/>
                <w:sz w:val="18"/>
                <w:szCs w:val="18"/>
              </w:rPr>
            </w:pPr>
            <w:r>
              <w:rPr>
                <w:rFonts w:hint="eastAsia" w:ascii="仿宋" w:hAnsi="仿宋" w:eastAsia="仿宋" w:cs="仿宋"/>
                <w:b/>
                <w:i w:val="0"/>
                <w:color w:val="000000"/>
                <w:kern w:val="0"/>
                <w:sz w:val="20"/>
                <w:szCs w:val="20"/>
                <w:u w:val="none"/>
                <w:lang w:val="en-US" w:eastAsia="zh-CN" w:bidi="ar"/>
              </w:rPr>
              <w:t>比较结果</w:t>
            </w:r>
          </w:p>
        </w:tc>
        <w:tc>
          <w:tcPr>
            <w:tcW w:w="1802" w:type="dxa"/>
            <w:vAlign w:val="center"/>
          </w:tcPr>
          <w:p>
            <w:pPr>
              <w:keepNext w:val="0"/>
              <w:keepLines w:val="0"/>
              <w:widowControl/>
              <w:suppressLineNumbers w:val="0"/>
              <w:jc w:val="center"/>
              <w:textAlignment w:val="center"/>
              <w:rPr>
                <w:rFonts w:hint="eastAsia" w:ascii="仿宋" w:hAnsi="仿宋" w:eastAsia="仿宋" w:cs="仿宋"/>
                <w:b/>
                <w:bCs/>
                <w:sz w:val="18"/>
                <w:szCs w:val="18"/>
              </w:rPr>
            </w:pPr>
            <w:r>
              <w:rPr>
                <w:rFonts w:hint="eastAsia" w:ascii="仿宋" w:hAnsi="仿宋" w:eastAsia="仿宋" w:cs="仿宋"/>
                <w:b/>
                <w:i w:val="0"/>
                <w:color w:val="000000"/>
                <w:kern w:val="0"/>
                <w:sz w:val="20"/>
                <w:szCs w:val="20"/>
                <w:u w:val="none"/>
                <w:lang w:val="en-US" w:eastAsia="zh-CN" w:bidi="ar"/>
              </w:rPr>
              <w:t>案例状况</w:t>
            </w:r>
          </w:p>
        </w:tc>
        <w:tc>
          <w:tcPr>
            <w:tcW w:w="545" w:type="dxa"/>
            <w:vAlign w:val="center"/>
          </w:tcPr>
          <w:p>
            <w:pPr>
              <w:keepNext w:val="0"/>
              <w:keepLines w:val="0"/>
              <w:widowControl/>
              <w:suppressLineNumbers w:val="0"/>
              <w:jc w:val="center"/>
              <w:textAlignment w:val="center"/>
              <w:rPr>
                <w:rFonts w:hint="eastAsia" w:ascii="仿宋" w:hAnsi="仿宋" w:eastAsia="仿宋" w:cs="仿宋"/>
                <w:b/>
                <w:bCs/>
                <w:sz w:val="18"/>
                <w:szCs w:val="18"/>
              </w:rPr>
            </w:pPr>
            <w:r>
              <w:rPr>
                <w:rFonts w:hint="eastAsia" w:ascii="仿宋" w:hAnsi="仿宋" w:eastAsia="仿宋" w:cs="仿宋"/>
                <w:b/>
                <w:i w:val="0"/>
                <w:color w:val="000000"/>
                <w:kern w:val="0"/>
                <w:sz w:val="20"/>
                <w:szCs w:val="20"/>
                <w:u w:val="none"/>
                <w:lang w:val="en-US" w:eastAsia="zh-CN" w:bidi="ar"/>
              </w:rPr>
              <w:t>比较结果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restart"/>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位置状况</w:t>
            </w: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区位条件</w:t>
            </w:r>
          </w:p>
        </w:tc>
        <w:tc>
          <w:tcPr>
            <w:tcW w:w="1725" w:type="dxa"/>
            <w:vAlign w:val="center"/>
          </w:tcPr>
          <w:p>
            <w:pPr>
              <w:keepNext w:val="0"/>
              <w:keepLines w:val="0"/>
              <w:widowControl/>
              <w:suppressLineNumbers w:val="0"/>
              <w:jc w:val="both"/>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位于先富大道</w:t>
            </w:r>
          </w:p>
        </w:tc>
        <w:tc>
          <w:tcPr>
            <w:tcW w:w="1768" w:type="dxa"/>
            <w:vAlign w:val="center"/>
          </w:tcPr>
          <w:p>
            <w:pPr>
              <w:keepNext w:val="0"/>
              <w:keepLines w:val="0"/>
              <w:widowControl/>
              <w:suppressLineNumbers w:val="0"/>
              <w:jc w:val="both"/>
              <w:textAlignment w:val="center"/>
              <w:rPr>
                <w:rFonts w:hint="eastAsia" w:ascii="仿宋" w:hAnsi="仿宋" w:eastAsia="仿宋" w:cs="仿宋"/>
                <w:kern w:val="0"/>
                <w:sz w:val="18"/>
                <w:szCs w:val="18"/>
              </w:rPr>
            </w:pPr>
            <w:r>
              <w:rPr>
                <w:rFonts w:hint="eastAsia" w:ascii="仿宋" w:hAnsi="仿宋" w:eastAsia="仿宋" w:cs="仿宋"/>
                <w:i w:val="0"/>
                <w:iCs w:val="0"/>
                <w:color w:val="000000"/>
                <w:kern w:val="0"/>
                <w:sz w:val="18"/>
                <w:szCs w:val="18"/>
                <w:u w:val="none"/>
                <w:lang w:val="en-US" w:eastAsia="zh-CN" w:bidi="ar"/>
              </w:rPr>
              <w:t>位于先富大道</w:t>
            </w:r>
          </w:p>
        </w:tc>
        <w:tc>
          <w:tcPr>
            <w:tcW w:w="598"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both"/>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位于高富路</w:t>
            </w:r>
          </w:p>
        </w:tc>
        <w:tc>
          <w:tcPr>
            <w:tcW w:w="56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both"/>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位于高富路</w:t>
            </w:r>
          </w:p>
        </w:tc>
        <w:tc>
          <w:tcPr>
            <w:tcW w:w="545"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居住聚集度</w:t>
            </w:r>
          </w:p>
        </w:tc>
        <w:tc>
          <w:tcPr>
            <w:tcW w:w="1725" w:type="dxa"/>
            <w:vAlign w:val="center"/>
          </w:tcPr>
          <w:p>
            <w:pPr>
              <w:keepNext w:val="0"/>
              <w:keepLines w:val="0"/>
              <w:widowControl/>
              <w:suppressLineNumbers w:val="0"/>
              <w:jc w:val="both"/>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区域内有永龙楼、先锋小区、永兴楼等住宅生活小区，居住聚集度较高</w:t>
            </w:r>
          </w:p>
        </w:tc>
        <w:tc>
          <w:tcPr>
            <w:tcW w:w="1768" w:type="dxa"/>
            <w:vAlign w:val="center"/>
          </w:tcPr>
          <w:p>
            <w:pPr>
              <w:keepNext w:val="0"/>
              <w:keepLines w:val="0"/>
              <w:widowControl/>
              <w:suppressLineNumbers w:val="0"/>
              <w:jc w:val="both"/>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区域内有永龙楼、先锋小区、永兴楼等住宅生活小区，居住聚集度较高</w:t>
            </w:r>
          </w:p>
        </w:tc>
        <w:tc>
          <w:tcPr>
            <w:tcW w:w="598"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both"/>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区域内有永龙楼、先锋小区、永兴楼等住宅生活小区，居住聚集度较高</w:t>
            </w:r>
          </w:p>
        </w:tc>
        <w:tc>
          <w:tcPr>
            <w:tcW w:w="56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both"/>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区域内有永龙楼、先锋小区、永兴楼等住宅生活小区，居住聚集度较高</w:t>
            </w:r>
          </w:p>
        </w:tc>
        <w:tc>
          <w:tcPr>
            <w:tcW w:w="545"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楼层</w:t>
            </w:r>
          </w:p>
        </w:tc>
        <w:tc>
          <w:tcPr>
            <w:tcW w:w="1725"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1-6</w:t>
            </w:r>
          </w:p>
        </w:tc>
        <w:tc>
          <w:tcPr>
            <w:tcW w:w="1768"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1-7</w:t>
            </w:r>
          </w:p>
        </w:tc>
        <w:tc>
          <w:tcPr>
            <w:tcW w:w="598"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略差</w:t>
            </w:r>
          </w:p>
        </w:tc>
        <w:tc>
          <w:tcPr>
            <w:tcW w:w="175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1-5</w:t>
            </w:r>
          </w:p>
        </w:tc>
        <w:tc>
          <w:tcPr>
            <w:tcW w:w="56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略差</w:t>
            </w:r>
          </w:p>
        </w:tc>
        <w:tc>
          <w:tcPr>
            <w:tcW w:w="1802"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1-4</w:t>
            </w:r>
          </w:p>
        </w:tc>
        <w:tc>
          <w:tcPr>
            <w:tcW w:w="545"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略差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朝向</w:t>
            </w:r>
          </w:p>
        </w:tc>
        <w:tc>
          <w:tcPr>
            <w:tcW w:w="1725"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南北</w:t>
            </w:r>
          </w:p>
        </w:tc>
        <w:tc>
          <w:tcPr>
            <w:tcW w:w="1768"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南北</w:t>
            </w:r>
          </w:p>
        </w:tc>
        <w:tc>
          <w:tcPr>
            <w:tcW w:w="598"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南北</w:t>
            </w:r>
          </w:p>
        </w:tc>
        <w:tc>
          <w:tcPr>
            <w:tcW w:w="56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南北</w:t>
            </w:r>
          </w:p>
        </w:tc>
        <w:tc>
          <w:tcPr>
            <w:tcW w:w="545"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617" w:type="dxa"/>
            <w:vMerge w:val="restart"/>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交通状况</w:t>
            </w:r>
          </w:p>
        </w:tc>
        <w:tc>
          <w:tcPr>
            <w:tcW w:w="58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道路状况</w:t>
            </w:r>
          </w:p>
        </w:tc>
        <w:tc>
          <w:tcPr>
            <w:tcW w:w="1725" w:type="dxa"/>
            <w:vAlign w:val="center"/>
          </w:tcPr>
          <w:p>
            <w:pPr>
              <w:keepNext w:val="0"/>
              <w:keepLines w:val="0"/>
              <w:widowControl/>
              <w:suppressLineNumbers w:val="0"/>
              <w:jc w:val="both"/>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周边有先富大道、高富路、政永高速等交通主干道，车流量较大；路网密集，道路通达度较高</w:t>
            </w:r>
          </w:p>
        </w:tc>
        <w:tc>
          <w:tcPr>
            <w:tcW w:w="1768" w:type="dxa"/>
            <w:vAlign w:val="center"/>
          </w:tcPr>
          <w:p>
            <w:pPr>
              <w:keepNext w:val="0"/>
              <w:keepLines w:val="0"/>
              <w:widowControl/>
              <w:suppressLineNumbers w:val="0"/>
              <w:jc w:val="both"/>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周边有先富大道、高富路、政永高速等交通主干道，车流量较大；路网密集，道路通达度较高</w:t>
            </w:r>
          </w:p>
        </w:tc>
        <w:tc>
          <w:tcPr>
            <w:tcW w:w="598" w:type="dxa"/>
            <w:vMerge w:val="restart"/>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both"/>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周边有先富大道、高富路、政永高速等交通主干道，车流量较大；路网密集，道路通达度较高</w:t>
            </w:r>
          </w:p>
        </w:tc>
        <w:tc>
          <w:tcPr>
            <w:tcW w:w="564" w:type="dxa"/>
            <w:vMerge w:val="restart"/>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both"/>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周边有先富大道、高富路、政永高速等交通主干道，车流量较大；路网密集，道路通达度较高</w:t>
            </w:r>
          </w:p>
        </w:tc>
        <w:tc>
          <w:tcPr>
            <w:tcW w:w="545" w:type="dxa"/>
            <w:vMerge w:val="restart"/>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617" w:type="dxa"/>
            <w:vMerge w:val="continue"/>
            <w:vAlign w:val="center"/>
          </w:tcPr>
          <w:p>
            <w:pPr>
              <w:jc w:val="center"/>
              <w:rPr>
                <w:rFonts w:hint="eastAsia" w:ascii="仿宋" w:hAnsi="仿宋" w:eastAsia="仿宋" w:cs="仿宋"/>
                <w:sz w:val="18"/>
                <w:szCs w:val="18"/>
              </w:rPr>
            </w:pPr>
          </w:p>
        </w:tc>
        <w:tc>
          <w:tcPr>
            <w:tcW w:w="58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出入可利用交通工具</w:t>
            </w:r>
          </w:p>
        </w:tc>
        <w:tc>
          <w:tcPr>
            <w:tcW w:w="1725"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出入可利用私家车、公交车、出租车等；公交班次较多，辐射范围广；乘坐出租车方便性较好；交通便捷度较高</w:t>
            </w:r>
          </w:p>
        </w:tc>
        <w:tc>
          <w:tcPr>
            <w:tcW w:w="1768"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出入可利用私家车、公交车、出租车等；公交班次较多，辐射范围广；乘坐出租车方便性较好；交通便捷度较高</w:t>
            </w:r>
          </w:p>
        </w:tc>
        <w:tc>
          <w:tcPr>
            <w:tcW w:w="598" w:type="dxa"/>
            <w:vMerge w:val="continue"/>
            <w:vAlign w:val="center"/>
          </w:tcPr>
          <w:p>
            <w:pPr>
              <w:jc w:val="center"/>
              <w:rPr>
                <w:rFonts w:hint="eastAsia" w:ascii="仿宋" w:hAnsi="仿宋" w:eastAsia="仿宋" w:cs="仿宋"/>
                <w:sz w:val="18"/>
                <w:szCs w:val="18"/>
              </w:rPr>
            </w:pPr>
          </w:p>
        </w:tc>
        <w:tc>
          <w:tcPr>
            <w:tcW w:w="1754"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出入可利用私家车、公交车、出租车等；公交班次较多，辐射范围广；乘坐出租车方便性较好；交通便捷度较高</w:t>
            </w:r>
          </w:p>
        </w:tc>
        <w:tc>
          <w:tcPr>
            <w:tcW w:w="564" w:type="dxa"/>
            <w:vMerge w:val="continue"/>
            <w:vAlign w:val="center"/>
          </w:tcPr>
          <w:p>
            <w:pPr>
              <w:jc w:val="center"/>
              <w:rPr>
                <w:rFonts w:hint="eastAsia" w:ascii="仿宋" w:hAnsi="仿宋" w:eastAsia="仿宋" w:cs="仿宋"/>
                <w:sz w:val="18"/>
                <w:szCs w:val="18"/>
              </w:rPr>
            </w:pPr>
          </w:p>
        </w:tc>
        <w:tc>
          <w:tcPr>
            <w:tcW w:w="1802"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出入可利用私家车、公交车、出租车等；公交班次较多，辐射范围广；乘坐出租车方便性较好；交通便捷度较高</w:t>
            </w:r>
          </w:p>
        </w:tc>
        <w:tc>
          <w:tcPr>
            <w:tcW w:w="545" w:type="dxa"/>
            <w:vMerge w:val="continue"/>
            <w:vAlign w:val="center"/>
          </w:tcPr>
          <w:p>
            <w:pPr>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617" w:type="dxa"/>
            <w:vMerge w:val="continue"/>
            <w:vAlign w:val="center"/>
          </w:tcPr>
          <w:p>
            <w:pPr>
              <w:jc w:val="center"/>
              <w:rPr>
                <w:rFonts w:hint="eastAsia" w:ascii="仿宋" w:hAnsi="仿宋" w:eastAsia="仿宋" w:cs="仿宋"/>
                <w:sz w:val="18"/>
                <w:szCs w:val="18"/>
              </w:rPr>
            </w:pPr>
          </w:p>
        </w:tc>
        <w:tc>
          <w:tcPr>
            <w:tcW w:w="58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交通管制情况</w:t>
            </w:r>
          </w:p>
        </w:tc>
        <w:tc>
          <w:tcPr>
            <w:tcW w:w="1725"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无特殊交通管制</w:t>
            </w:r>
          </w:p>
        </w:tc>
        <w:tc>
          <w:tcPr>
            <w:tcW w:w="1768"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无特殊交通管制</w:t>
            </w:r>
          </w:p>
        </w:tc>
        <w:tc>
          <w:tcPr>
            <w:tcW w:w="598" w:type="dxa"/>
            <w:vMerge w:val="continue"/>
            <w:vAlign w:val="center"/>
          </w:tcPr>
          <w:p>
            <w:pPr>
              <w:jc w:val="center"/>
              <w:rPr>
                <w:rFonts w:hint="eastAsia" w:ascii="仿宋" w:hAnsi="仿宋" w:eastAsia="仿宋" w:cs="仿宋"/>
                <w:sz w:val="18"/>
                <w:szCs w:val="18"/>
              </w:rPr>
            </w:pPr>
          </w:p>
        </w:tc>
        <w:tc>
          <w:tcPr>
            <w:tcW w:w="175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无特殊交通管制</w:t>
            </w:r>
          </w:p>
        </w:tc>
        <w:tc>
          <w:tcPr>
            <w:tcW w:w="564" w:type="dxa"/>
            <w:vMerge w:val="continue"/>
            <w:vAlign w:val="center"/>
          </w:tcPr>
          <w:p>
            <w:pPr>
              <w:jc w:val="center"/>
              <w:rPr>
                <w:rFonts w:hint="eastAsia" w:ascii="仿宋" w:hAnsi="仿宋" w:eastAsia="仿宋" w:cs="仿宋"/>
                <w:sz w:val="18"/>
                <w:szCs w:val="18"/>
              </w:rPr>
            </w:pPr>
          </w:p>
        </w:tc>
        <w:tc>
          <w:tcPr>
            <w:tcW w:w="1802"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无特殊交通管制</w:t>
            </w:r>
          </w:p>
        </w:tc>
        <w:tc>
          <w:tcPr>
            <w:tcW w:w="545" w:type="dxa"/>
            <w:vMerge w:val="continue"/>
            <w:vAlign w:val="center"/>
          </w:tcPr>
          <w:p>
            <w:pPr>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617" w:type="dxa"/>
            <w:vMerge w:val="continue"/>
            <w:vAlign w:val="center"/>
          </w:tcPr>
          <w:p>
            <w:pPr>
              <w:jc w:val="center"/>
              <w:rPr>
                <w:rFonts w:hint="eastAsia" w:ascii="仿宋" w:hAnsi="仿宋" w:eastAsia="仿宋" w:cs="仿宋"/>
                <w:sz w:val="18"/>
                <w:szCs w:val="18"/>
              </w:rPr>
            </w:pPr>
          </w:p>
        </w:tc>
        <w:tc>
          <w:tcPr>
            <w:tcW w:w="58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停车方便程度</w:t>
            </w:r>
          </w:p>
        </w:tc>
        <w:tc>
          <w:tcPr>
            <w:tcW w:w="1725"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车位略显紧张，停车方便度一般</w:t>
            </w:r>
          </w:p>
        </w:tc>
        <w:tc>
          <w:tcPr>
            <w:tcW w:w="1768"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车位略显紧张，停车方便度一般</w:t>
            </w:r>
          </w:p>
        </w:tc>
        <w:tc>
          <w:tcPr>
            <w:tcW w:w="598" w:type="dxa"/>
            <w:vMerge w:val="continue"/>
            <w:vAlign w:val="center"/>
          </w:tcPr>
          <w:p>
            <w:pPr>
              <w:jc w:val="center"/>
              <w:rPr>
                <w:rFonts w:hint="eastAsia" w:ascii="仿宋" w:hAnsi="仿宋" w:eastAsia="仿宋" w:cs="仿宋"/>
                <w:sz w:val="18"/>
                <w:szCs w:val="18"/>
              </w:rPr>
            </w:pPr>
          </w:p>
        </w:tc>
        <w:tc>
          <w:tcPr>
            <w:tcW w:w="1754"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车位略显紧张，停车方便度一般</w:t>
            </w:r>
          </w:p>
        </w:tc>
        <w:tc>
          <w:tcPr>
            <w:tcW w:w="564" w:type="dxa"/>
            <w:vMerge w:val="continue"/>
            <w:vAlign w:val="center"/>
          </w:tcPr>
          <w:p>
            <w:pPr>
              <w:jc w:val="center"/>
              <w:rPr>
                <w:rFonts w:hint="eastAsia" w:ascii="仿宋" w:hAnsi="仿宋" w:eastAsia="仿宋" w:cs="仿宋"/>
                <w:sz w:val="18"/>
                <w:szCs w:val="18"/>
              </w:rPr>
            </w:pPr>
          </w:p>
        </w:tc>
        <w:tc>
          <w:tcPr>
            <w:tcW w:w="1802"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车位略显紧张，停车方便度一般</w:t>
            </w:r>
          </w:p>
        </w:tc>
        <w:tc>
          <w:tcPr>
            <w:tcW w:w="545" w:type="dxa"/>
            <w:vMerge w:val="continue"/>
            <w:vAlign w:val="center"/>
          </w:tcPr>
          <w:p>
            <w:pPr>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617" w:type="dxa"/>
            <w:vMerge w:val="restart"/>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外部配套设施状况</w:t>
            </w:r>
          </w:p>
        </w:tc>
        <w:tc>
          <w:tcPr>
            <w:tcW w:w="58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公共服务设施</w:t>
            </w:r>
          </w:p>
        </w:tc>
        <w:tc>
          <w:tcPr>
            <w:tcW w:w="1725"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区域内有学校、银行、邮电市政等配套设施较齐全</w:t>
            </w:r>
          </w:p>
        </w:tc>
        <w:tc>
          <w:tcPr>
            <w:tcW w:w="1768"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区域内有学校、银行、邮电市政等配套设施较齐全</w:t>
            </w:r>
          </w:p>
        </w:tc>
        <w:tc>
          <w:tcPr>
            <w:tcW w:w="598" w:type="dxa"/>
            <w:vMerge w:val="restart"/>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区域内有学校、银行、邮电市政等配套设施较齐全</w:t>
            </w:r>
          </w:p>
        </w:tc>
        <w:tc>
          <w:tcPr>
            <w:tcW w:w="56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区域内有学校、银行、邮电市政等配套设施较齐全</w:t>
            </w:r>
          </w:p>
        </w:tc>
        <w:tc>
          <w:tcPr>
            <w:tcW w:w="545"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617" w:type="dxa"/>
            <w:vMerge w:val="continue"/>
            <w:vAlign w:val="center"/>
          </w:tcPr>
          <w:p>
            <w:pPr>
              <w:jc w:val="center"/>
              <w:rPr>
                <w:rFonts w:hint="eastAsia" w:ascii="仿宋" w:hAnsi="仿宋" w:eastAsia="仿宋" w:cs="仿宋"/>
                <w:sz w:val="18"/>
                <w:szCs w:val="18"/>
              </w:rPr>
            </w:pPr>
          </w:p>
        </w:tc>
        <w:tc>
          <w:tcPr>
            <w:tcW w:w="58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基础设施</w:t>
            </w:r>
          </w:p>
        </w:tc>
        <w:tc>
          <w:tcPr>
            <w:tcW w:w="1725"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“五通一平”（即通上水、下水、通路、通电、通讯及场地平整）</w:t>
            </w:r>
          </w:p>
        </w:tc>
        <w:tc>
          <w:tcPr>
            <w:tcW w:w="1768"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“五通一平”（即通上水、下水、通路、通电、通讯及场地平整）</w:t>
            </w:r>
          </w:p>
        </w:tc>
        <w:tc>
          <w:tcPr>
            <w:tcW w:w="598" w:type="dxa"/>
            <w:vMerge w:val="continue"/>
            <w:vAlign w:val="center"/>
          </w:tcPr>
          <w:p>
            <w:pPr>
              <w:jc w:val="center"/>
              <w:rPr>
                <w:rFonts w:hint="eastAsia" w:ascii="仿宋" w:hAnsi="仿宋" w:eastAsia="仿宋" w:cs="仿宋"/>
                <w:sz w:val="18"/>
                <w:szCs w:val="18"/>
              </w:rPr>
            </w:pPr>
          </w:p>
        </w:tc>
        <w:tc>
          <w:tcPr>
            <w:tcW w:w="1754"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“五通一平”（即通上水、下水、通路、通电、通讯及场地平整）</w:t>
            </w:r>
          </w:p>
        </w:tc>
        <w:tc>
          <w:tcPr>
            <w:tcW w:w="564" w:type="dxa"/>
            <w:vAlign w:val="center"/>
          </w:tcPr>
          <w:p>
            <w:pPr>
              <w:jc w:val="center"/>
              <w:rPr>
                <w:rFonts w:hint="eastAsia" w:ascii="仿宋" w:hAnsi="仿宋" w:eastAsia="仿宋" w:cs="仿宋"/>
                <w:sz w:val="18"/>
                <w:szCs w:val="18"/>
              </w:rPr>
            </w:pPr>
          </w:p>
        </w:tc>
        <w:tc>
          <w:tcPr>
            <w:tcW w:w="1802"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“五通一平”（即通上水、下水、通路、通电、通讯及场地平整）</w:t>
            </w:r>
          </w:p>
        </w:tc>
        <w:tc>
          <w:tcPr>
            <w:tcW w:w="545" w:type="dxa"/>
            <w:vAlign w:val="center"/>
          </w:tcPr>
          <w:p>
            <w:pPr>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617" w:type="dxa"/>
            <w:vMerge w:val="restart"/>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环境质量</w:t>
            </w:r>
          </w:p>
        </w:tc>
        <w:tc>
          <w:tcPr>
            <w:tcW w:w="58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自然环境</w:t>
            </w:r>
          </w:p>
        </w:tc>
        <w:tc>
          <w:tcPr>
            <w:tcW w:w="1725"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气候温和，雨量充沛，四季常青</w:t>
            </w:r>
          </w:p>
        </w:tc>
        <w:tc>
          <w:tcPr>
            <w:tcW w:w="1768"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气候温和，雨量充沛，四季常青</w:t>
            </w:r>
          </w:p>
        </w:tc>
        <w:tc>
          <w:tcPr>
            <w:tcW w:w="598" w:type="dxa"/>
            <w:vMerge w:val="restart"/>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气候温和，雨量充沛，四季常青</w:t>
            </w:r>
          </w:p>
        </w:tc>
        <w:tc>
          <w:tcPr>
            <w:tcW w:w="564" w:type="dxa"/>
            <w:vMerge w:val="restart"/>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气候温和，雨量充沛，四季常青</w:t>
            </w:r>
          </w:p>
        </w:tc>
        <w:tc>
          <w:tcPr>
            <w:tcW w:w="545" w:type="dxa"/>
            <w:vMerge w:val="restart"/>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617" w:type="dxa"/>
            <w:vMerge w:val="continue"/>
            <w:vAlign w:val="center"/>
          </w:tcPr>
          <w:p>
            <w:pPr>
              <w:jc w:val="center"/>
              <w:rPr>
                <w:rFonts w:hint="eastAsia" w:ascii="仿宋" w:hAnsi="仿宋" w:eastAsia="仿宋" w:cs="仿宋"/>
                <w:sz w:val="18"/>
                <w:szCs w:val="18"/>
              </w:rPr>
            </w:pPr>
          </w:p>
        </w:tc>
        <w:tc>
          <w:tcPr>
            <w:tcW w:w="58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人文环境</w:t>
            </w:r>
          </w:p>
        </w:tc>
        <w:tc>
          <w:tcPr>
            <w:tcW w:w="1725"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居民素质较好、声誉较好，治安状况较好</w:t>
            </w:r>
          </w:p>
        </w:tc>
        <w:tc>
          <w:tcPr>
            <w:tcW w:w="1768"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居民素质较好、声誉较好，治安状况较好</w:t>
            </w:r>
          </w:p>
        </w:tc>
        <w:tc>
          <w:tcPr>
            <w:tcW w:w="598" w:type="dxa"/>
            <w:vMerge w:val="continue"/>
            <w:vAlign w:val="center"/>
          </w:tcPr>
          <w:p>
            <w:pPr>
              <w:jc w:val="center"/>
              <w:rPr>
                <w:rFonts w:hint="eastAsia" w:ascii="仿宋" w:hAnsi="仿宋" w:eastAsia="仿宋" w:cs="仿宋"/>
                <w:sz w:val="18"/>
                <w:szCs w:val="18"/>
              </w:rPr>
            </w:pPr>
          </w:p>
        </w:tc>
        <w:tc>
          <w:tcPr>
            <w:tcW w:w="1754"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居民素质较好、声誉较好，治安状况较好</w:t>
            </w:r>
          </w:p>
        </w:tc>
        <w:tc>
          <w:tcPr>
            <w:tcW w:w="564" w:type="dxa"/>
            <w:vMerge w:val="continue"/>
            <w:vAlign w:val="center"/>
          </w:tcPr>
          <w:p>
            <w:pPr>
              <w:jc w:val="center"/>
              <w:rPr>
                <w:rFonts w:hint="eastAsia" w:ascii="仿宋" w:hAnsi="仿宋" w:eastAsia="仿宋" w:cs="仿宋"/>
                <w:sz w:val="18"/>
                <w:szCs w:val="18"/>
              </w:rPr>
            </w:pPr>
          </w:p>
        </w:tc>
        <w:tc>
          <w:tcPr>
            <w:tcW w:w="1802"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居民素质较好、声誉较好，治安状况较好</w:t>
            </w:r>
          </w:p>
        </w:tc>
        <w:tc>
          <w:tcPr>
            <w:tcW w:w="545" w:type="dxa"/>
            <w:vMerge w:val="continue"/>
            <w:vAlign w:val="center"/>
          </w:tcPr>
          <w:p>
            <w:pPr>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617" w:type="dxa"/>
            <w:vMerge w:val="continue"/>
            <w:vAlign w:val="center"/>
          </w:tcPr>
          <w:p>
            <w:pPr>
              <w:jc w:val="center"/>
              <w:rPr>
                <w:rFonts w:hint="eastAsia" w:ascii="仿宋" w:hAnsi="仿宋" w:eastAsia="仿宋" w:cs="仿宋"/>
                <w:sz w:val="18"/>
                <w:szCs w:val="18"/>
              </w:rPr>
            </w:pPr>
          </w:p>
        </w:tc>
        <w:tc>
          <w:tcPr>
            <w:tcW w:w="58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景观</w:t>
            </w:r>
          </w:p>
        </w:tc>
        <w:tc>
          <w:tcPr>
            <w:tcW w:w="1725"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区域绿化率较高，环境景观较好</w:t>
            </w:r>
          </w:p>
        </w:tc>
        <w:tc>
          <w:tcPr>
            <w:tcW w:w="1768"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区域绿化率较高，环境景观较好</w:t>
            </w:r>
          </w:p>
        </w:tc>
        <w:tc>
          <w:tcPr>
            <w:tcW w:w="598" w:type="dxa"/>
            <w:vMerge w:val="continue"/>
            <w:vAlign w:val="center"/>
          </w:tcPr>
          <w:p>
            <w:pPr>
              <w:jc w:val="center"/>
              <w:rPr>
                <w:rFonts w:hint="eastAsia" w:ascii="仿宋" w:hAnsi="仿宋" w:eastAsia="仿宋" w:cs="仿宋"/>
                <w:sz w:val="18"/>
                <w:szCs w:val="18"/>
              </w:rPr>
            </w:pPr>
          </w:p>
        </w:tc>
        <w:tc>
          <w:tcPr>
            <w:tcW w:w="1754"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区域绿化率较高，环境景观较好</w:t>
            </w:r>
          </w:p>
        </w:tc>
        <w:tc>
          <w:tcPr>
            <w:tcW w:w="564" w:type="dxa"/>
            <w:vMerge w:val="continue"/>
            <w:vAlign w:val="center"/>
          </w:tcPr>
          <w:p>
            <w:pPr>
              <w:jc w:val="center"/>
              <w:rPr>
                <w:rFonts w:hint="eastAsia" w:ascii="仿宋" w:hAnsi="仿宋" w:eastAsia="仿宋" w:cs="仿宋"/>
                <w:sz w:val="18"/>
                <w:szCs w:val="18"/>
              </w:rPr>
            </w:pPr>
          </w:p>
        </w:tc>
        <w:tc>
          <w:tcPr>
            <w:tcW w:w="1802"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区域绿化率较高，环境景观较好</w:t>
            </w:r>
          </w:p>
        </w:tc>
        <w:tc>
          <w:tcPr>
            <w:tcW w:w="545" w:type="dxa"/>
            <w:vMerge w:val="continue"/>
            <w:vAlign w:val="center"/>
          </w:tcPr>
          <w:p>
            <w:pPr>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617" w:type="dxa"/>
            <w:vMerge w:val="continue"/>
            <w:vAlign w:val="center"/>
          </w:tcPr>
          <w:p>
            <w:pPr>
              <w:jc w:val="center"/>
              <w:rPr>
                <w:rFonts w:hint="eastAsia" w:ascii="仿宋" w:hAnsi="仿宋" w:eastAsia="仿宋" w:cs="仿宋"/>
                <w:sz w:val="18"/>
                <w:szCs w:val="18"/>
              </w:rPr>
            </w:pPr>
          </w:p>
        </w:tc>
        <w:tc>
          <w:tcPr>
            <w:tcW w:w="58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其他</w:t>
            </w:r>
          </w:p>
        </w:tc>
        <w:tc>
          <w:tcPr>
            <w:tcW w:w="1725"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有一定噪音影响，无明显污染源，环境治理和空气质量良好</w:t>
            </w:r>
          </w:p>
        </w:tc>
        <w:tc>
          <w:tcPr>
            <w:tcW w:w="1768"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有一定噪音影响，无明显污染源，环境治理和空气质量良好</w:t>
            </w:r>
          </w:p>
        </w:tc>
        <w:tc>
          <w:tcPr>
            <w:tcW w:w="598" w:type="dxa"/>
            <w:vMerge w:val="continue"/>
            <w:vAlign w:val="center"/>
          </w:tcPr>
          <w:p>
            <w:pPr>
              <w:jc w:val="center"/>
              <w:rPr>
                <w:rFonts w:hint="eastAsia" w:ascii="仿宋" w:hAnsi="仿宋" w:eastAsia="仿宋" w:cs="仿宋"/>
                <w:sz w:val="18"/>
                <w:szCs w:val="18"/>
              </w:rPr>
            </w:pPr>
          </w:p>
        </w:tc>
        <w:tc>
          <w:tcPr>
            <w:tcW w:w="1754"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有一定噪音影响，无明显污染源，环境治理和空气质量良好</w:t>
            </w:r>
          </w:p>
        </w:tc>
        <w:tc>
          <w:tcPr>
            <w:tcW w:w="564" w:type="dxa"/>
            <w:vMerge w:val="continue"/>
            <w:vAlign w:val="center"/>
          </w:tcPr>
          <w:p>
            <w:pPr>
              <w:jc w:val="center"/>
              <w:rPr>
                <w:rFonts w:hint="eastAsia" w:ascii="仿宋" w:hAnsi="仿宋" w:eastAsia="仿宋" w:cs="仿宋"/>
                <w:sz w:val="18"/>
                <w:szCs w:val="18"/>
              </w:rPr>
            </w:pPr>
          </w:p>
        </w:tc>
        <w:tc>
          <w:tcPr>
            <w:tcW w:w="1802"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有一定噪音影响，无明显污染源，环境治理和空气质量良好</w:t>
            </w:r>
          </w:p>
        </w:tc>
        <w:tc>
          <w:tcPr>
            <w:tcW w:w="545" w:type="dxa"/>
            <w:vMerge w:val="continue"/>
            <w:vAlign w:val="center"/>
          </w:tcPr>
          <w:p>
            <w:pPr>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restart"/>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实物状况</w:t>
            </w: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环境景观</w:t>
            </w:r>
          </w:p>
        </w:tc>
        <w:tc>
          <w:tcPr>
            <w:tcW w:w="1725"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空气质量较好，卫生情况较好，绿化程度较好</w:t>
            </w:r>
          </w:p>
        </w:tc>
        <w:tc>
          <w:tcPr>
            <w:tcW w:w="1768"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空气质量较好，卫生情况较好，绿化程度较好</w:t>
            </w:r>
          </w:p>
        </w:tc>
        <w:tc>
          <w:tcPr>
            <w:tcW w:w="598"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空气质量较好，卫生情况较好，绿化程度较好</w:t>
            </w:r>
          </w:p>
        </w:tc>
        <w:tc>
          <w:tcPr>
            <w:tcW w:w="56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left"/>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18"/>
                <w:szCs w:val="18"/>
                <w:u w:val="none"/>
                <w:lang w:val="en-US" w:eastAsia="zh-CN" w:bidi="ar"/>
              </w:rPr>
              <w:t>空气质量较好，卫生情况较好，绿化程度较好</w:t>
            </w:r>
          </w:p>
        </w:tc>
        <w:tc>
          <w:tcPr>
            <w:tcW w:w="545"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配套设施</w:t>
            </w:r>
          </w:p>
        </w:tc>
        <w:tc>
          <w:tcPr>
            <w:tcW w:w="172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水电、数字电视、电讯等基础配套完善等设施</w:t>
            </w:r>
          </w:p>
        </w:tc>
        <w:tc>
          <w:tcPr>
            <w:tcW w:w="176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水电、数字电视、电讯等基础配套完善等设施</w:t>
            </w:r>
          </w:p>
        </w:tc>
        <w:tc>
          <w:tcPr>
            <w:tcW w:w="59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水电、数字电视、电讯等基础配套完善等设施</w:t>
            </w:r>
          </w:p>
        </w:tc>
        <w:tc>
          <w:tcPr>
            <w:tcW w:w="56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水电、数字电视、电讯等基础配套完善等设施</w:t>
            </w:r>
          </w:p>
        </w:tc>
        <w:tc>
          <w:tcPr>
            <w:tcW w:w="54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物业服务</w:t>
            </w:r>
          </w:p>
        </w:tc>
        <w:tc>
          <w:tcPr>
            <w:tcW w:w="172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物业服务及安防管理好</w:t>
            </w:r>
          </w:p>
        </w:tc>
        <w:tc>
          <w:tcPr>
            <w:tcW w:w="176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物业服务及安防管理好</w:t>
            </w:r>
          </w:p>
        </w:tc>
        <w:tc>
          <w:tcPr>
            <w:tcW w:w="59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物业服务及安防管理好</w:t>
            </w:r>
          </w:p>
        </w:tc>
        <w:tc>
          <w:tcPr>
            <w:tcW w:w="56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物业服务及安防管理好</w:t>
            </w:r>
          </w:p>
        </w:tc>
        <w:tc>
          <w:tcPr>
            <w:tcW w:w="54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建筑外观</w:t>
            </w:r>
          </w:p>
        </w:tc>
        <w:tc>
          <w:tcPr>
            <w:tcW w:w="172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外观较好</w:t>
            </w:r>
          </w:p>
        </w:tc>
        <w:tc>
          <w:tcPr>
            <w:tcW w:w="176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外观较好</w:t>
            </w:r>
          </w:p>
        </w:tc>
        <w:tc>
          <w:tcPr>
            <w:tcW w:w="59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外观较好</w:t>
            </w:r>
          </w:p>
        </w:tc>
        <w:tc>
          <w:tcPr>
            <w:tcW w:w="56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外观较好</w:t>
            </w:r>
          </w:p>
        </w:tc>
        <w:tc>
          <w:tcPr>
            <w:tcW w:w="54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建筑结构</w:t>
            </w:r>
          </w:p>
        </w:tc>
        <w:tc>
          <w:tcPr>
            <w:tcW w:w="172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框架</w:t>
            </w:r>
          </w:p>
        </w:tc>
        <w:tc>
          <w:tcPr>
            <w:tcW w:w="176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框架</w:t>
            </w:r>
          </w:p>
        </w:tc>
        <w:tc>
          <w:tcPr>
            <w:tcW w:w="59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框架</w:t>
            </w:r>
          </w:p>
        </w:tc>
        <w:tc>
          <w:tcPr>
            <w:tcW w:w="56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框架</w:t>
            </w:r>
          </w:p>
        </w:tc>
        <w:tc>
          <w:tcPr>
            <w:tcW w:w="54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建成年份</w:t>
            </w:r>
          </w:p>
        </w:tc>
        <w:tc>
          <w:tcPr>
            <w:tcW w:w="172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2009</w:t>
            </w:r>
          </w:p>
        </w:tc>
        <w:tc>
          <w:tcPr>
            <w:tcW w:w="176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2009</w:t>
            </w:r>
          </w:p>
        </w:tc>
        <w:tc>
          <w:tcPr>
            <w:tcW w:w="59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2008</w:t>
            </w:r>
          </w:p>
        </w:tc>
        <w:tc>
          <w:tcPr>
            <w:tcW w:w="56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略差</w:t>
            </w:r>
          </w:p>
        </w:tc>
        <w:tc>
          <w:tcPr>
            <w:tcW w:w="18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2008</w:t>
            </w:r>
          </w:p>
        </w:tc>
        <w:tc>
          <w:tcPr>
            <w:tcW w:w="54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略差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户型类别</w:t>
            </w:r>
          </w:p>
        </w:tc>
        <w:tc>
          <w:tcPr>
            <w:tcW w:w="172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平层住宅</w:t>
            </w:r>
          </w:p>
        </w:tc>
        <w:tc>
          <w:tcPr>
            <w:tcW w:w="176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平层住宅</w:t>
            </w:r>
          </w:p>
        </w:tc>
        <w:tc>
          <w:tcPr>
            <w:tcW w:w="59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平层住宅</w:t>
            </w:r>
          </w:p>
        </w:tc>
        <w:tc>
          <w:tcPr>
            <w:tcW w:w="56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平层住宅</w:t>
            </w:r>
          </w:p>
        </w:tc>
        <w:tc>
          <w:tcPr>
            <w:tcW w:w="54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设施设备</w:t>
            </w:r>
          </w:p>
        </w:tc>
        <w:tc>
          <w:tcPr>
            <w:tcW w:w="172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设施设备齐全，正常使用</w:t>
            </w:r>
          </w:p>
        </w:tc>
        <w:tc>
          <w:tcPr>
            <w:tcW w:w="176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设施设备齐全，正常使用</w:t>
            </w:r>
          </w:p>
        </w:tc>
        <w:tc>
          <w:tcPr>
            <w:tcW w:w="59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设施设备齐全，正常使用</w:t>
            </w:r>
          </w:p>
        </w:tc>
        <w:tc>
          <w:tcPr>
            <w:tcW w:w="56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设施设备齐全，正常使用</w:t>
            </w:r>
          </w:p>
        </w:tc>
        <w:tc>
          <w:tcPr>
            <w:tcW w:w="54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建筑面积（㎡）</w:t>
            </w:r>
          </w:p>
        </w:tc>
        <w:tc>
          <w:tcPr>
            <w:tcW w:w="172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1086.20 </w:t>
            </w:r>
          </w:p>
        </w:tc>
        <w:tc>
          <w:tcPr>
            <w:tcW w:w="176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990.00 </w:t>
            </w:r>
          </w:p>
        </w:tc>
        <w:tc>
          <w:tcPr>
            <w:tcW w:w="59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352.00 </w:t>
            </w:r>
          </w:p>
        </w:tc>
        <w:tc>
          <w:tcPr>
            <w:tcW w:w="56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略好</w:t>
            </w:r>
          </w:p>
        </w:tc>
        <w:tc>
          <w:tcPr>
            <w:tcW w:w="18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482.00 </w:t>
            </w:r>
          </w:p>
        </w:tc>
        <w:tc>
          <w:tcPr>
            <w:tcW w:w="54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略好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特殊景观</w:t>
            </w:r>
          </w:p>
        </w:tc>
        <w:tc>
          <w:tcPr>
            <w:tcW w:w="172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无</w:t>
            </w:r>
          </w:p>
        </w:tc>
        <w:tc>
          <w:tcPr>
            <w:tcW w:w="176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无</w:t>
            </w:r>
          </w:p>
        </w:tc>
        <w:tc>
          <w:tcPr>
            <w:tcW w:w="59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无</w:t>
            </w:r>
          </w:p>
        </w:tc>
        <w:tc>
          <w:tcPr>
            <w:tcW w:w="56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无</w:t>
            </w:r>
          </w:p>
        </w:tc>
        <w:tc>
          <w:tcPr>
            <w:tcW w:w="54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restart"/>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权益状况</w:t>
            </w: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规划条件</w:t>
            </w:r>
          </w:p>
        </w:tc>
        <w:tc>
          <w:tcPr>
            <w:tcW w:w="1725"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适合住宅</w:t>
            </w:r>
          </w:p>
        </w:tc>
        <w:tc>
          <w:tcPr>
            <w:tcW w:w="1768"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适合住宅</w:t>
            </w:r>
          </w:p>
        </w:tc>
        <w:tc>
          <w:tcPr>
            <w:tcW w:w="598" w:type="dxa"/>
            <w:vMerge w:val="restart"/>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754"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适合住宅</w:t>
            </w:r>
          </w:p>
        </w:tc>
        <w:tc>
          <w:tcPr>
            <w:tcW w:w="564" w:type="dxa"/>
            <w:vMerge w:val="restart"/>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c>
          <w:tcPr>
            <w:tcW w:w="1802" w:type="dxa"/>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适合住宅</w:t>
            </w:r>
          </w:p>
        </w:tc>
        <w:tc>
          <w:tcPr>
            <w:tcW w:w="545" w:type="dxa"/>
            <w:vMerge w:val="restart"/>
            <w:vAlign w:val="center"/>
          </w:tcPr>
          <w:p>
            <w:pPr>
              <w:keepNext w:val="0"/>
              <w:keepLines w:val="0"/>
              <w:widowControl/>
              <w:suppressLineNumbers w:val="0"/>
              <w:jc w:val="center"/>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iCs w:val="0"/>
                <w:color w:val="000000"/>
                <w:kern w:val="0"/>
                <w:sz w:val="20"/>
                <w:szCs w:val="20"/>
                <w:u w:val="none"/>
                <w:lang w:val="en-US" w:eastAsia="zh-CN" w:bidi="ar"/>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7" w:type="dxa"/>
            <w:vMerge w:val="continue"/>
            <w:vAlign w:val="center"/>
          </w:tcPr>
          <w:p>
            <w:pPr>
              <w:jc w:val="center"/>
              <w:rPr>
                <w:rFonts w:hint="eastAsia" w:ascii="仿宋" w:hAnsi="仿宋" w:eastAsia="仿宋" w:cs="仿宋"/>
                <w:sz w:val="18"/>
                <w:szCs w:val="18"/>
              </w:rPr>
            </w:pPr>
          </w:p>
        </w:tc>
        <w:tc>
          <w:tcPr>
            <w:tcW w:w="1201" w:type="dxa"/>
            <w:gridSpan w:val="2"/>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其他状况</w:t>
            </w:r>
          </w:p>
        </w:tc>
        <w:tc>
          <w:tcPr>
            <w:tcW w:w="1725"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无</w:t>
            </w:r>
          </w:p>
        </w:tc>
        <w:tc>
          <w:tcPr>
            <w:tcW w:w="1768"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无</w:t>
            </w:r>
          </w:p>
        </w:tc>
        <w:tc>
          <w:tcPr>
            <w:tcW w:w="598" w:type="dxa"/>
            <w:vMerge w:val="continue"/>
            <w:vAlign w:val="center"/>
          </w:tcPr>
          <w:p>
            <w:pPr>
              <w:jc w:val="center"/>
              <w:rPr>
                <w:rFonts w:hint="eastAsia" w:ascii="仿宋" w:hAnsi="仿宋" w:eastAsia="仿宋" w:cs="仿宋"/>
                <w:sz w:val="18"/>
                <w:szCs w:val="18"/>
              </w:rPr>
            </w:pPr>
          </w:p>
        </w:tc>
        <w:tc>
          <w:tcPr>
            <w:tcW w:w="1754"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无</w:t>
            </w:r>
          </w:p>
        </w:tc>
        <w:tc>
          <w:tcPr>
            <w:tcW w:w="564" w:type="dxa"/>
            <w:vMerge w:val="continue"/>
            <w:vAlign w:val="center"/>
          </w:tcPr>
          <w:p>
            <w:pPr>
              <w:jc w:val="center"/>
              <w:rPr>
                <w:rFonts w:hint="eastAsia" w:ascii="仿宋" w:hAnsi="仿宋" w:eastAsia="仿宋" w:cs="仿宋"/>
                <w:sz w:val="18"/>
                <w:szCs w:val="18"/>
              </w:rPr>
            </w:pPr>
          </w:p>
        </w:tc>
        <w:tc>
          <w:tcPr>
            <w:tcW w:w="1802" w:type="dxa"/>
            <w:vAlign w:val="center"/>
          </w:tcPr>
          <w:p>
            <w:pPr>
              <w:keepNext w:val="0"/>
              <w:keepLines w:val="0"/>
              <w:widowControl/>
              <w:suppressLineNumbers w:val="0"/>
              <w:jc w:val="center"/>
              <w:textAlignment w:val="center"/>
              <w:rPr>
                <w:rFonts w:hint="eastAsia" w:ascii="仿宋" w:hAnsi="仿宋" w:eastAsia="仿宋" w:cs="仿宋"/>
                <w:sz w:val="18"/>
                <w:szCs w:val="18"/>
              </w:rPr>
            </w:pPr>
            <w:r>
              <w:rPr>
                <w:rFonts w:hint="eastAsia" w:ascii="仿宋" w:hAnsi="仿宋" w:eastAsia="仿宋" w:cs="仿宋"/>
                <w:i w:val="0"/>
                <w:color w:val="000000"/>
                <w:kern w:val="0"/>
                <w:sz w:val="20"/>
                <w:szCs w:val="20"/>
                <w:u w:val="none"/>
                <w:lang w:val="en-US" w:eastAsia="zh-CN" w:bidi="ar"/>
              </w:rPr>
              <w:t>无</w:t>
            </w:r>
          </w:p>
        </w:tc>
        <w:tc>
          <w:tcPr>
            <w:tcW w:w="545" w:type="dxa"/>
            <w:vMerge w:val="continue"/>
            <w:vAlign w:val="center"/>
          </w:tcPr>
          <w:p>
            <w:pPr>
              <w:jc w:val="center"/>
              <w:rPr>
                <w:rFonts w:hint="eastAsia" w:ascii="仿宋" w:hAnsi="仿宋" w:eastAsia="仿宋" w:cs="仿宋"/>
                <w:sz w:val="18"/>
                <w:szCs w:val="18"/>
              </w:rPr>
            </w:pPr>
          </w:p>
        </w:tc>
      </w:tr>
    </w:tbl>
    <w:p>
      <w:pPr>
        <w:spacing w:line="440" w:lineRule="exact"/>
        <w:ind w:firstLine="482" w:firstLineChars="200"/>
        <w:outlineLvl w:val="2"/>
        <w:rPr>
          <w:rFonts w:hint="eastAsia" w:ascii="仿宋" w:hAnsi="仿宋" w:eastAsia="仿宋" w:cs="仿宋"/>
          <w:b/>
          <w:sz w:val="24"/>
        </w:rPr>
      </w:pPr>
      <w:r>
        <w:rPr>
          <w:rFonts w:hint="eastAsia" w:ascii="仿宋" w:hAnsi="仿宋" w:eastAsia="仿宋" w:cs="仿宋"/>
          <w:b/>
          <w:sz w:val="24"/>
        </w:rPr>
        <w:t>5、各种因素的修正或调整</w:t>
      </w:r>
      <w:r>
        <w:rPr>
          <w:rFonts w:hint="eastAsia" w:ascii="仿宋" w:hAnsi="仿宋" w:eastAsia="仿宋" w:cs="仿宋"/>
          <w:b/>
          <w:sz w:val="24"/>
        </w:rPr>
        <w:tab/>
      </w:r>
    </w:p>
    <w:p>
      <w:pPr>
        <w:spacing w:line="420" w:lineRule="exact"/>
        <w:ind w:firstLine="482" w:firstLineChars="200"/>
        <w:rPr>
          <w:rFonts w:hint="eastAsia" w:ascii="仿宋" w:hAnsi="仿宋" w:eastAsia="仿宋" w:cs="仿宋"/>
          <w:b/>
          <w:sz w:val="24"/>
        </w:rPr>
      </w:pPr>
      <w:r>
        <w:rPr>
          <w:rFonts w:hint="eastAsia" w:ascii="仿宋" w:hAnsi="仿宋" w:eastAsia="仿宋" w:cs="仿宋"/>
          <w:b/>
          <w:sz w:val="24"/>
        </w:rPr>
        <w:t>⑴、市场状况调整</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估价对象所在区域官方未发布房屋销售价格指数，根据当地房地产市场行情，</w:t>
      </w:r>
      <w:r>
        <w:rPr>
          <w:rFonts w:hint="eastAsia" w:ascii="仿宋" w:hAnsi="仿宋" w:eastAsia="仿宋" w:cs="仿宋"/>
          <w:sz w:val="24"/>
          <w:szCs w:val="24"/>
          <w:lang w:val="en-US" w:eastAsia="zh-CN"/>
        </w:rPr>
        <w:t>二手住宅价格高位震荡后进入盘整期至今，现以“稳地价、稳房价、稳预期、防风险”为重要政策目标，基于谨慎原则</w:t>
      </w:r>
      <w:r>
        <w:rPr>
          <w:rFonts w:hint="eastAsia" w:ascii="仿宋" w:hAnsi="仿宋" w:eastAsia="仿宋" w:cs="仿宋"/>
          <w:sz w:val="24"/>
          <w:szCs w:val="24"/>
        </w:rPr>
        <w:t>不进行修正。</w:t>
      </w:r>
    </w:p>
    <w:p>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⑵、交易情况修正</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交易情况修正采用百分比修正法。</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rPr>
        <w:t>可比实例A、B、C均属正常交易，不必进行修正，交易情况修正系数均取100/100。</w:t>
      </w:r>
    </w:p>
    <w:p>
      <w:pPr>
        <w:spacing w:line="360" w:lineRule="auto"/>
        <w:ind w:firstLine="482" w:firstLineChars="200"/>
        <w:rPr>
          <w:rFonts w:hint="eastAsia" w:ascii="仿宋" w:hAnsi="仿宋" w:eastAsia="仿宋" w:cs="仿宋"/>
          <w:sz w:val="24"/>
          <w:szCs w:val="24"/>
        </w:rPr>
      </w:pPr>
      <w:r>
        <w:rPr>
          <w:rFonts w:hint="eastAsia" w:ascii="仿宋" w:hAnsi="仿宋" w:eastAsia="仿宋" w:cs="仿宋"/>
          <w:b/>
          <w:sz w:val="24"/>
          <w:szCs w:val="24"/>
        </w:rPr>
        <w:t>⑶、区位、实物、权益状况调整</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szCs w:val="24"/>
        </w:rPr>
        <w:t>以估价对象条件为基准100，各可比实例分别与估价对象</w:t>
      </w:r>
      <w:r>
        <w:rPr>
          <w:rFonts w:hint="eastAsia" w:ascii="仿宋" w:hAnsi="仿宋" w:eastAsia="仿宋" w:cs="仿宋"/>
          <w:sz w:val="24"/>
        </w:rPr>
        <w:t>的区位、实物及权益状况中的每个子项因素进行比较，比估价对象好的，调整值为“＋”，反之为“－”，相似（相同）为“0”。得出各可比实例的区位、实物、权益状况的调整系数。</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区位、实物及权益状况的调整方法均采用直接比较法,并采用百分比调整法。</w:t>
      </w:r>
    </w:p>
    <w:p>
      <w:pPr>
        <w:spacing w:line="360" w:lineRule="auto"/>
        <w:jc w:val="center"/>
        <w:rPr>
          <w:rFonts w:hint="eastAsia" w:ascii="仿宋" w:hAnsi="仿宋" w:eastAsia="仿宋" w:cs="仿宋"/>
          <w:bCs/>
          <w:sz w:val="24"/>
        </w:rPr>
      </w:pPr>
      <w:r>
        <w:rPr>
          <w:rFonts w:hint="eastAsia" w:ascii="仿宋" w:hAnsi="仿宋" w:eastAsia="仿宋" w:cs="仿宋"/>
          <w:bCs/>
          <w:sz w:val="24"/>
          <w:szCs w:val="24"/>
        </w:rPr>
        <w:t>调整系数表</w:t>
      </w:r>
    </w:p>
    <w:tbl>
      <w:tblPr>
        <w:tblStyle w:val="22"/>
        <w:tblW w:w="10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732"/>
        <w:gridCol w:w="1497"/>
        <w:gridCol w:w="1182"/>
        <w:gridCol w:w="1182"/>
        <w:gridCol w:w="1180"/>
        <w:gridCol w:w="1180"/>
        <w:gridCol w:w="1182"/>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1" w:type="dxa"/>
            <w:gridSpan w:val="3"/>
            <w:vMerge w:val="restart"/>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项    目</w:t>
            </w:r>
          </w:p>
        </w:tc>
        <w:tc>
          <w:tcPr>
            <w:tcW w:w="2364" w:type="dxa"/>
            <w:gridSpan w:val="2"/>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可比实例A</w:t>
            </w:r>
          </w:p>
        </w:tc>
        <w:tc>
          <w:tcPr>
            <w:tcW w:w="2360" w:type="dxa"/>
            <w:gridSpan w:val="2"/>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可比实例B</w:t>
            </w:r>
          </w:p>
        </w:tc>
        <w:tc>
          <w:tcPr>
            <w:tcW w:w="2365" w:type="dxa"/>
            <w:gridSpan w:val="2"/>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可比实例C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1" w:type="dxa"/>
            <w:gridSpan w:val="3"/>
            <w:vMerge w:val="continue"/>
            <w:vAlign w:val="center"/>
          </w:tcPr>
          <w:p>
            <w:pPr>
              <w:jc w:val="center"/>
              <w:rPr>
                <w:rFonts w:hint="eastAsia" w:ascii="仿宋" w:hAnsi="仿宋" w:eastAsia="仿宋" w:cs="仿宋"/>
                <w:b/>
                <w:bCs/>
                <w:sz w:val="21"/>
                <w:szCs w:val="21"/>
              </w:rPr>
            </w:pPr>
          </w:p>
        </w:tc>
        <w:tc>
          <w:tcPr>
            <w:tcW w:w="1182" w:type="dxa"/>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比较结果</w:t>
            </w:r>
          </w:p>
        </w:tc>
        <w:tc>
          <w:tcPr>
            <w:tcW w:w="1182" w:type="dxa"/>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调整数值</w:t>
            </w:r>
          </w:p>
        </w:tc>
        <w:tc>
          <w:tcPr>
            <w:tcW w:w="1180" w:type="dxa"/>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比较结果</w:t>
            </w:r>
          </w:p>
        </w:tc>
        <w:tc>
          <w:tcPr>
            <w:tcW w:w="1180" w:type="dxa"/>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调整数值</w:t>
            </w:r>
          </w:p>
        </w:tc>
        <w:tc>
          <w:tcPr>
            <w:tcW w:w="1182" w:type="dxa"/>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比较结果</w:t>
            </w:r>
          </w:p>
        </w:tc>
        <w:tc>
          <w:tcPr>
            <w:tcW w:w="1183" w:type="dxa"/>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调整数值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位置状况</w:t>
            </w: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区位条件</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居住聚集度</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楼层</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略差</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-1</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略差</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-1</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略差</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朝向</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732"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交通状况</w:t>
            </w:r>
          </w:p>
        </w:tc>
        <w:tc>
          <w:tcPr>
            <w:tcW w:w="1497"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道路状况</w:t>
            </w:r>
          </w:p>
        </w:tc>
        <w:tc>
          <w:tcPr>
            <w:tcW w:w="1182"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Merge w:val="restart"/>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Merge w:val="restart"/>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Merge w:val="restart"/>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732" w:type="dxa"/>
            <w:vMerge w:val="continue"/>
            <w:vAlign w:val="center"/>
          </w:tcPr>
          <w:p>
            <w:pPr>
              <w:jc w:val="center"/>
              <w:rPr>
                <w:rFonts w:hint="eastAsia" w:ascii="仿宋" w:hAnsi="仿宋" w:eastAsia="仿宋" w:cs="仿宋"/>
                <w:b w:val="0"/>
                <w:bCs w:val="0"/>
                <w:sz w:val="21"/>
                <w:szCs w:val="21"/>
              </w:rPr>
            </w:pPr>
          </w:p>
        </w:tc>
        <w:tc>
          <w:tcPr>
            <w:tcW w:w="1497"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出入可利用交通工具</w:t>
            </w:r>
          </w:p>
        </w:tc>
        <w:tc>
          <w:tcPr>
            <w:tcW w:w="1182" w:type="dxa"/>
            <w:vMerge w:val="continue"/>
            <w:vAlign w:val="center"/>
          </w:tcPr>
          <w:p>
            <w:pPr>
              <w:jc w:val="center"/>
              <w:rPr>
                <w:rFonts w:hint="eastAsia" w:ascii="仿宋" w:hAnsi="仿宋" w:eastAsia="仿宋" w:cs="仿宋"/>
                <w:b w:val="0"/>
                <w:bCs w:val="0"/>
                <w:sz w:val="21"/>
                <w:szCs w:val="21"/>
              </w:rPr>
            </w:pPr>
          </w:p>
        </w:tc>
        <w:tc>
          <w:tcPr>
            <w:tcW w:w="1182" w:type="dxa"/>
            <w:vMerge w:val="continue"/>
            <w:vAlign w:val="center"/>
          </w:tcPr>
          <w:p>
            <w:pPr>
              <w:jc w:val="center"/>
              <w:rPr>
                <w:rFonts w:hint="eastAsia" w:ascii="仿宋" w:hAnsi="仿宋" w:eastAsia="仿宋" w:cs="仿宋"/>
                <w:b w:val="0"/>
                <w:bCs w:val="0"/>
                <w:kern w:val="0"/>
                <w:sz w:val="21"/>
                <w:szCs w:val="21"/>
              </w:rPr>
            </w:pPr>
          </w:p>
        </w:tc>
        <w:tc>
          <w:tcPr>
            <w:tcW w:w="1180" w:type="dxa"/>
            <w:vMerge w:val="continue"/>
            <w:vAlign w:val="center"/>
          </w:tcPr>
          <w:p>
            <w:pPr>
              <w:jc w:val="center"/>
              <w:rPr>
                <w:rFonts w:hint="eastAsia" w:ascii="仿宋" w:hAnsi="仿宋" w:eastAsia="仿宋" w:cs="仿宋"/>
                <w:b w:val="0"/>
                <w:bCs w:val="0"/>
                <w:sz w:val="21"/>
                <w:szCs w:val="21"/>
              </w:rPr>
            </w:pPr>
          </w:p>
        </w:tc>
        <w:tc>
          <w:tcPr>
            <w:tcW w:w="1180" w:type="dxa"/>
            <w:vMerge w:val="continue"/>
            <w:vAlign w:val="center"/>
          </w:tcPr>
          <w:p>
            <w:pPr>
              <w:jc w:val="center"/>
              <w:rPr>
                <w:rFonts w:hint="eastAsia" w:ascii="仿宋" w:hAnsi="仿宋" w:eastAsia="仿宋" w:cs="仿宋"/>
                <w:b w:val="0"/>
                <w:bCs w:val="0"/>
                <w:kern w:val="0"/>
                <w:sz w:val="21"/>
                <w:szCs w:val="21"/>
              </w:rPr>
            </w:pPr>
          </w:p>
        </w:tc>
        <w:tc>
          <w:tcPr>
            <w:tcW w:w="1182" w:type="dxa"/>
            <w:vMerge w:val="continue"/>
            <w:vAlign w:val="center"/>
          </w:tcPr>
          <w:p>
            <w:pPr>
              <w:jc w:val="center"/>
              <w:rPr>
                <w:rFonts w:hint="eastAsia" w:ascii="仿宋" w:hAnsi="仿宋" w:eastAsia="仿宋" w:cs="仿宋"/>
                <w:b w:val="0"/>
                <w:bCs w:val="0"/>
                <w:sz w:val="21"/>
                <w:szCs w:val="21"/>
              </w:rPr>
            </w:pPr>
          </w:p>
        </w:tc>
        <w:tc>
          <w:tcPr>
            <w:tcW w:w="1183" w:type="dxa"/>
            <w:vMerge w:val="continue"/>
            <w:vAlign w:val="center"/>
          </w:tcPr>
          <w:p>
            <w:pPr>
              <w:jc w:val="center"/>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732" w:type="dxa"/>
            <w:vMerge w:val="continue"/>
            <w:vAlign w:val="center"/>
          </w:tcPr>
          <w:p>
            <w:pPr>
              <w:jc w:val="center"/>
              <w:rPr>
                <w:rFonts w:hint="eastAsia" w:ascii="仿宋" w:hAnsi="仿宋" w:eastAsia="仿宋" w:cs="仿宋"/>
                <w:b w:val="0"/>
                <w:bCs w:val="0"/>
                <w:sz w:val="21"/>
                <w:szCs w:val="21"/>
              </w:rPr>
            </w:pPr>
          </w:p>
        </w:tc>
        <w:tc>
          <w:tcPr>
            <w:tcW w:w="1497"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交通管制情况</w:t>
            </w:r>
          </w:p>
        </w:tc>
        <w:tc>
          <w:tcPr>
            <w:tcW w:w="1182" w:type="dxa"/>
            <w:vMerge w:val="continue"/>
            <w:vAlign w:val="center"/>
          </w:tcPr>
          <w:p>
            <w:pPr>
              <w:jc w:val="center"/>
              <w:rPr>
                <w:rFonts w:hint="eastAsia" w:ascii="仿宋" w:hAnsi="仿宋" w:eastAsia="仿宋" w:cs="仿宋"/>
                <w:b w:val="0"/>
                <w:bCs w:val="0"/>
                <w:sz w:val="21"/>
                <w:szCs w:val="21"/>
              </w:rPr>
            </w:pPr>
          </w:p>
        </w:tc>
        <w:tc>
          <w:tcPr>
            <w:tcW w:w="1182" w:type="dxa"/>
            <w:vMerge w:val="continue"/>
            <w:vAlign w:val="center"/>
          </w:tcPr>
          <w:p>
            <w:pPr>
              <w:jc w:val="center"/>
              <w:rPr>
                <w:rFonts w:hint="eastAsia" w:ascii="仿宋" w:hAnsi="仿宋" w:eastAsia="仿宋" w:cs="仿宋"/>
                <w:b w:val="0"/>
                <w:bCs w:val="0"/>
                <w:kern w:val="0"/>
                <w:sz w:val="21"/>
                <w:szCs w:val="21"/>
              </w:rPr>
            </w:pPr>
          </w:p>
        </w:tc>
        <w:tc>
          <w:tcPr>
            <w:tcW w:w="1180" w:type="dxa"/>
            <w:vMerge w:val="continue"/>
            <w:vAlign w:val="center"/>
          </w:tcPr>
          <w:p>
            <w:pPr>
              <w:jc w:val="center"/>
              <w:rPr>
                <w:rFonts w:hint="eastAsia" w:ascii="仿宋" w:hAnsi="仿宋" w:eastAsia="仿宋" w:cs="仿宋"/>
                <w:b w:val="0"/>
                <w:bCs w:val="0"/>
                <w:sz w:val="21"/>
                <w:szCs w:val="21"/>
              </w:rPr>
            </w:pPr>
          </w:p>
        </w:tc>
        <w:tc>
          <w:tcPr>
            <w:tcW w:w="1180" w:type="dxa"/>
            <w:vMerge w:val="continue"/>
            <w:vAlign w:val="center"/>
          </w:tcPr>
          <w:p>
            <w:pPr>
              <w:jc w:val="center"/>
              <w:rPr>
                <w:rFonts w:hint="eastAsia" w:ascii="仿宋" w:hAnsi="仿宋" w:eastAsia="仿宋" w:cs="仿宋"/>
                <w:b w:val="0"/>
                <w:bCs w:val="0"/>
                <w:kern w:val="0"/>
                <w:sz w:val="21"/>
                <w:szCs w:val="21"/>
              </w:rPr>
            </w:pPr>
          </w:p>
        </w:tc>
        <w:tc>
          <w:tcPr>
            <w:tcW w:w="1182" w:type="dxa"/>
            <w:vMerge w:val="continue"/>
            <w:vAlign w:val="center"/>
          </w:tcPr>
          <w:p>
            <w:pPr>
              <w:jc w:val="center"/>
              <w:rPr>
                <w:rFonts w:hint="eastAsia" w:ascii="仿宋" w:hAnsi="仿宋" w:eastAsia="仿宋" w:cs="仿宋"/>
                <w:b w:val="0"/>
                <w:bCs w:val="0"/>
                <w:sz w:val="21"/>
                <w:szCs w:val="21"/>
              </w:rPr>
            </w:pPr>
          </w:p>
        </w:tc>
        <w:tc>
          <w:tcPr>
            <w:tcW w:w="1183" w:type="dxa"/>
            <w:vMerge w:val="continue"/>
            <w:vAlign w:val="center"/>
          </w:tcPr>
          <w:p>
            <w:pPr>
              <w:jc w:val="center"/>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732" w:type="dxa"/>
            <w:vMerge w:val="continue"/>
            <w:vAlign w:val="center"/>
          </w:tcPr>
          <w:p>
            <w:pPr>
              <w:jc w:val="center"/>
              <w:rPr>
                <w:rFonts w:hint="eastAsia" w:ascii="仿宋" w:hAnsi="仿宋" w:eastAsia="仿宋" w:cs="仿宋"/>
                <w:b w:val="0"/>
                <w:bCs w:val="0"/>
                <w:sz w:val="21"/>
                <w:szCs w:val="21"/>
              </w:rPr>
            </w:pPr>
          </w:p>
        </w:tc>
        <w:tc>
          <w:tcPr>
            <w:tcW w:w="1497"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停车方便程度</w:t>
            </w:r>
          </w:p>
        </w:tc>
        <w:tc>
          <w:tcPr>
            <w:tcW w:w="1182" w:type="dxa"/>
            <w:vMerge w:val="continue"/>
            <w:vAlign w:val="center"/>
          </w:tcPr>
          <w:p>
            <w:pPr>
              <w:jc w:val="center"/>
              <w:rPr>
                <w:rFonts w:hint="eastAsia" w:ascii="仿宋" w:hAnsi="仿宋" w:eastAsia="仿宋" w:cs="仿宋"/>
                <w:b w:val="0"/>
                <w:bCs w:val="0"/>
                <w:sz w:val="21"/>
                <w:szCs w:val="21"/>
              </w:rPr>
            </w:pPr>
          </w:p>
        </w:tc>
        <w:tc>
          <w:tcPr>
            <w:tcW w:w="1182" w:type="dxa"/>
            <w:vMerge w:val="continue"/>
            <w:vAlign w:val="center"/>
          </w:tcPr>
          <w:p>
            <w:pPr>
              <w:jc w:val="center"/>
              <w:rPr>
                <w:rFonts w:hint="eastAsia" w:ascii="仿宋" w:hAnsi="仿宋" w:eastAsia="仿宋" w:cs="仿宋"/>
                <w:b w:val="0"/>
                <w:bCs w:val="0"/>
                <w:kern w:val="0"/>
                <w:sz w:val="21"/>
                <w:szCs w:val="21"/>
              </w:rPr>
            </w:pPr>
          </w:p>
        </w:tc>
        <w:tc>
          <w:tcPr>
            <w:tcW w:w="1180" w:type="dxa"/>
            <w:vMerge w:val="continue"/>
            <w:vAlign w:val="center"/>
          </w:tcPr>
          <w:p>
            <w:pPr>
              <w:jc w:val="center"/>
              <w:rPr>
                <w:rFonts w:hint="eastAsia" w:ascii="仿宋" w:hAnsi="仿宋" w:eastAsia="仿宋" w:cs="仿宋"/>
                <w:b w:val="0"/>
                <w:bCs w:val="0"/>
                <w:sz w:val="21"/>
                <w:szCs w:val="21"/>
              </w:rPr>
            </w:pPr>
          </w:p>
        </w:tc>
        <w:tc>
          <w:tcPr>
            <w:tcW w:w="1180" w:type="dxa"/>
            <w:vMerge w:val="continue"/>
            <w:vAlign w:val="center"/>
          </w:tcPr>
          <w:p>
            <w:pPr>
              <w:jc w:val="center"/>
              <w:rPr>
                <w:rFonts w:hint="eastAsia" w:ascii="仿宋" w:hAnsi="仿宋" w:eastAsia="仿宋" w:cs="仿宋"/>
                <w:b w:val="0"/>
                <w:bCs w:val="0"/>
                <w:kern w:val="0"/>
                <w:sz w:val="21"/>
                <w:szCs w:val="21"/>
              </w:rPr>
            </w:pPr>
          </w:p>
        </w:tc>
        <w:tc>
          <w:tcPr>
            <w:tcW w:w="1182" w:type="dxa"/>
            <w:vMerge w:val="continue"/>
            <w:vAlign w:val="center"/>
          </w:tcPr>
          <w:p>
            <w:pPr>
              <w:jc w:val="center"/>
              <w:rPr>
                <w:rFonts w:hint="eastAsia" w:ascii="仿宋" w:hAnsi="仿宋" w:eastAsia="仿宋" w:cs="仿宋"/>
                <w:b w:val="0"/>
                <w:bCs w:val="0"/>
                <w:sz w:val="21"/>
                <w:szCs w:val="21"/>
              </w:rPr>
            </w:pPr>
          </w:p>
        </w:tc>
        <w:tc>
          <w:tcPr>
            <w:tcW w:w="1183" w:type="dxa"/>
            <w:vMerge w:val="continue"/>
            <w:vAlign w:val="center"/>
          </w:tcPr>
          <w:p>
            <w:pPr>
              <w:jc w:val="center"/>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732"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外部配套设施状况</w:t>
            </w:r>
          </w:p>
        </w:tc>
        <w:tc>
          <w:tcPr>
            <w:tcW w:w="1497"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公共服务设施</w:t>
            </w:r>
          </w:p>
        </w:tc>
        <w:tc>
          <w:tcPr>
            <w:tcW w:w="1182"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Merge w:val="restart"/>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Merge w:val="restart"/>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Merge w:val="restart"/>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732" w:type="dxa"/>
            <w:vMerge w:val="continue"/>
            <w:vAlign w:val="center"/>
          </w:tcPr>
          <w:p>
            <w:pPr>
              <w:jc w:val="center"/>
              <w:rPr>
                <w:rFonts w:hint="eastAsia" w:ascii="仿宋" w:hAnsi="仿宋" w:eastAsia="仿宋" w:cs="仿宋"/>
                <w:b w:val="0"/>
                <w:bCs w:val="0"/>
                <w:sz w:val="21"/>
                <w:szCs w:val="21"/>
              </w:rPr>
            </w:pPr>
          </w:p>
        </w:tc>
        <w:tc>
          <w:tcPr>
            <w:tcW w:w="1497"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基础设施</w:t>
            </w:r>
          </w:p>
        </w:tc>
        <w:tc>
          <w:tcPr>
            <w:tcW w:w="1182" w:type="dxa"/>
            <w:vMerge w:val="continue"/>
            <w:vAlign w:val="center"/>
          </w:tcPr>
          <w:p>
            <w:pPr>
              <w:jc w:val="center"/>
              <w:rPr>
                <w:rFonts w:hint="eastAsia" w:ascii="仿宋" w:hAnsi="仿宋" w:eastAsia="仿宋" w:cs="仿宋"/>
                <w:b w:val="0"/>
                <w:bCs w:val="0"/>
                <w:sz w:val="21"/>
                <w:szCs w:val="21"/>
              </w:rPr>
            </w:pPr>
          </w:p>
        </w:tc>
        <w:tc>
          <w:tcPr>
            <w:tcW w:w="1182" w:type="dxa"/>
            <w:vMerge w:val="continue"/>
            <w:vAlign w:val="center"/>
          </w:tcPr>
          <w:p>
            <w:pPr>
              <w:jc w:val="center"/>
              <w:rPr>
                <w:rFonts w:hint="eastAsia" w:ascii="仿宋" w:hAnsi="仿宋" w:eastAsia="仿宋" w:cs="仿宋"/>
                <w:b w:val="0"/>
                <w:bCs w:val="0"/>
                <w:kern w:val="0"/>
                <w:sz w:val="21"/>
                <w:szCs w:val="21"/>
              </w:rPr>
            </w:pPr>
          </w:p>
        </w:tc>
        <w:tc>
          <w:tcPr>
            <w:tcW w:w="1180" w:type="dxa"/>
            <w:vMerge w:val="continue"/>
            <w:vAlign w:val="center"/>
          </w:tcPr>
          <w:p>
            <w:pPr>
              <w:jc w:val="center"/>
              <w:rPr>
                <w:rFonts w:hint="eastAsia" w:ascii="仿宋" w:hAnsi="仿宋" w:eastAsia="仿宋" w:cs="仿宋"/>
                <w:b w:val="0"/>
                <w:bCs w:val="0"/>
                <w:sz w:val="21"/>
                <w:szCs w:val="21"/>
              </w:rPr>
            </w:pPr>
          </w:p>
        </w:tc>
        <w:tc>
          <w:tcPr>
            <w:tcW w:w="1180" w:type="dxa"/>
            <w:vMerge w:val="continue"/>
            <w:vAlign w:val="center"/>
          </w:tcPr>
          <w:p>
            <w:pPr>
              <w:jc w:val="center"/>
              <w:rPr>
                <w:rFonts w:hint="eastAsia" w:ascii="仿宋" w:hAnsi="仿宋" w:eastAsia="仿宋" w:cs="仿宋"/>
                <w:b w:val="0"/>
                <w:bCs w:val="0"/>
                <w:kern w:val="0"/>
                <w:sz w:val="21"/>
                <w:szCs w:val="21"/>
              </w:rPr>
            </w:pPr>
          </w:p>
        </w:tc>
        <w:tc>
          <w:tcPr>
            <w:tcW w:w="1182" w:type="dxa"/>
            <w:vMerge w:val="continue"/>
            <w:vAlign w:val="center"/>
          </w:tcPr>
          <w:p>
            <w:pPr>
              <w:jc w:val="center"/>
              <w:rPr>
                <w:rFonts w:hint="eastAsia" w:ascii="仿宋" w:hAnsi="仿宋" w:eastAsia="仿宋" w:cs="仿宋"/>
                <w:b w:val="0"/>
                <w:bCs w:val="0"/>
                <w:sz w:val="21"/>
                <w:szCs w:val="21"/>
              </w:rPr>
            </w:pPr>
          </w:p>
        </w:tc>
        <w:tc>
          <w:tcPr>
            <w:tcW w:w="1183" w:type="dxa"/>
            <w:vMerge w:val="continue"/>
            <w:vAlign w:val="center"/>
          </w:tcPr>
          <w:p>
            <w:pPr>
              <w:jc w:val="center"/>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732"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环境质量</w:t>
            </w:r>
          </w:p>
        </w:tc>
        <w:tc>
          <w:tcPr>
            <w:tcW w:w="1497"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自然环境</w:t>
            </w:r>
          </w:p>
        </w:tc>
        <w:tc>
          <w:tcPr>
            <w:tcW w:w="1182"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Merge w:val="restart"/>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Merge w:val="restart"/>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Merge w:val="restart"/>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732" w:type="dxa"/>
            <w:vMerge w:val="continue"/>
            <w:vAlign w:val="center"/>
          </w:tcPr>
          <w:p>
            <w:pPr>
              <w:jc w:val="center"/>
              <w:rPr>
                <w:rFonts w:hint="eastAsia" w:ascii="仿宋" w:hAnsi="仿宋" w:eastAsia="仿宋" w:cs="仿宋"/>
                <w:b w:val="0"/>
                <w:bCs w:val="0"/>
                <w:sz w:val="21"/>
                <w:szCs w:val="21"/>
              </w:rPr>
            </w:pPr>
          </w:p>
        </w:tc>
        <w:tc>
          <w:tcPr>
            <w:tcW w:w="1497"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人文环境</w:t>
            </w:r>
          </w:p>
        </w:tc>
        <w:tc>
          <w:tcPr>
            <w:tcW w:w="1182" w:type="dxa"/>
            <w:vMerge w:val="continue"/>
            <w:vAlign w:val="center"/>
          </w:tcPr>
          <w:p>
            <w:pPr>
              <w:jc w:val="center"/>
              <w:rPr>
                <w:rFonts w:hint="eastAsia" w:ascii="仿宋" w:hAnsi="仿宋" w:eastAsia="仿宋" w:cs="仿宋"/>
                <w:b w:val="0"/>
                <w:bCs w:val="0"/>
                <w:sz w:val="21"/>
                <w:szCs w:val="21"/>
              </w:rPr>
            </w:pPr>
          </w:p>
        </w:tc>
        <w:tc>
          <w:tcPr>
            <w:tcW w:w="1182" w:type="dxa"/>
            <w:vMerge w:val="continue"/>
            <w:vAlign w:val="center"/>
          </w:tcPr>
          <w:p>
            <w:pPr>
              <w:jc w:val="center"/>
              <w:rPr>
                <w:rFonts w:hint="eastAsia" w:ascii="仿宋" w:hAnsi="仿宋" w:eastAsia="仿宋" w:cs="仿宋"/>
                <w:b w:val="0"/>
                <w:bCs w:val="0"/>
                <w:kern w:val="0"/>
                <w:sz w:val="21"/>
                <w:szCs w:val="21"/>
              </w:rPr>
            </w:pPr>
          </w:p>
        </w:tc>
        <w:tc>
          <w:tcPr>
            <w:tcW w:w="1180" w:type="dxa"/>
            <w:vMerge w:val="continue"/>
            <w:vAlign w:val="center"/>
          </w:tcPr>
          <w:p>
            <w:pPr>
              <w:jc w:val="center"/>
              <w:rPr>
                <w:rFonts w:hint="eastAsia" w:ascii="仿宋" w:hAnsi="仿宋" w:eastAsia="仿宋" w:cs="仿宋"/>
                <w:b w:val="0"/>
                <w:bCs w:val="0"/>
                <w:sz w:val="21"/>
                <w:szCs w:val="21"/>
              </w:rPr>
            </w:pPr>
          </w:p>
        </w:tc>
        <w:tc>
          <w:tcPr>
            <w:tcW w:w="1180" w:type="dxa"/>
            <w:vMerge w:val="continue"/>
            <w:vAlign w:val="center"/>
          </w:tcPr>
          <w:p>
            <w:pPr>
              <w:jc w:val="center"/>
              <w:rPr>
                <w:rFonts w:hint="eastAsia" w:ascii="仿宋" w:hAnsi="仿宋" w:eastAsia="仿宋" w:cs="仿宋"/>
                <w:b w:val="0"/>
                <w:bCs w:val="0"/>
                <w:kern w:val="0"/>
                <w:sz w:val="21"/>
                <w:szCs w:val="21"/>
              </w:rPr>
            </w:pPr>
          </w:p>
        </w:tc>
        <w:tc>
          <w:tcPr>
            <w:tcW w:w="1182" w:type="dxa"/>
            <w:vMerge w:val="continue"/>
            <w:vAlign w:val="center"/>
          </w:tcPr>
          <w:p>
            <w:pPr>
              <w:jc w:val="center"/>
              <w:rPr>
                <w:rFonts w:hint="eastAsia" w:ascii="仿宋" w:hAnsi="仿宋" w:eastAsia="仿宋" w:cs="仿宋"/>
                <w:b w:val="0"/>
                <w:bCs w:val="0"/>
                <w:sz w:val="21"/>
                <w:szCs w:val="21"/>
              </w:rPr>
            </w:pPr>
          </w:p>
        </w:tc>
        <w:tc>
          <w:tcPr>
            <w:tcW w:w="1183" w:type="dxa"/>
            <w:vMerge w:val="continue"/>
            <w:vAlign w:val="center"/>
          </w:tcPr>
          <w:p>
            <w:pPr>
              <w:jc w:val="center"/>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732" w:type="dxa"/>
            <w:vMerge w:val="continue"/>
            <w:vAlign w:val="center"/>
          </w:tcPr>
          <w:p>
            <w:pPr>
              <w:jc w:val="center"/>
              <w:rPr>
                <w:rFonts w:hint="eastAsia" w:ascii="仿宋" w:hAnsi="仿宋" w:eastAsia="仿宋" w:cs="仿宋"/>
                <w:b w:val="0"/>
                <w:bCs w:val="0"/>
                <w:sz w:val="21"/>
                <w:szCs w:val="21"/>
              </w:rPr>
            </w:pPr>
          </w:p>
        </w:tc>
        <w:tc>
          <w:tcPr>
            <w:tcW w:w="1497"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景观</w:t>
            </w:r>
          </w:p>
        </w:tc>
        <w:tc>
          <w:tcPr>
            <w:tcW w:w="1182" w:type="dxa"/>
            <w:vMerge w:val="continue"/>
            <w:vAlign w:val="center"/>
          </w:tcPr>
          <w:p>
            <w:pPr>
              <w:jc w:val="center"/>
              <w:rPr>
                <w:rFonts w:hint="eastAsia" w:ascii="仿宋" w:hAnsi="仿宋" w:eastAsia="仿宋" w:cs="仿宋"/>
                <w:b w:val="0"/>
                <w:bCs w:val="0"/>
                <w:sz w:val="21"/>
                <w:szCs w:val="21"/>
              </w:rPr>
            </w:pPr>
          </w:p>
        </w:tc>
        <w:tc>
          <w:tcPr>
            <w:tcW w:w="1182" w:type="dxa"/>
            <w:vMerge w:val="continue"/>
            <w:vAlign w:val="center"/>
          </w:tcPr>
          <w:p>
            <w:pPr>
              <w:jc w:val="center"/>
              <w:rPr>
                <w:rFonts w:hint="eastAsia" w:ascii="仿宋" w:hAnsi="仿宋" w:eastAsia="仿宋" w:cs="仿宋"/>
                <w:b w:val="0"/>
                <w:bCs w:val="0"/>
                <w:kern w:val="0"/>
                <w:sz w:val="21"/>
                <w:szCs w:val="21"/>
              </w:rPr>
            </w:pPr>
          </w:p>
        </w:tc>
        <w:tc>
          <w:tcPr>
            <w:tcW w:w="1180" w:type="dxa"/>
            <w:vMerge w:val="continue"/>
            <w:vAlign w:val="center"/>
          </w:tcPr>
          <w:p>
            <w:pPr>
              <w:jc w:val="center"/>
              <w:rPr>
                <w:rFonts w:hint="eastAsia" w:ascii="仿宋" w:hAnsi="仿宋" w:eastAsia="仿宋" w:cs="仿宋"/>
                <w:b w:val="0"/>
                <w:bCs w:val="0"/>
                <w:sz w:val="21"/>
                <w:szCs w:val="21"/>
              </w:rPr>
            </w:pPr>
          </w:p>
        </w:tc>
        <w:tc>
          <w:tcPr>
            <w:tcW w:w="1180" w:type="dxa"/>
            <w:vMerge w:val="continue"/>
            <w:vAlign w:val="center"/>
          </w:tcPr>
          <w:p>
            <w:pPr>
              <w:jc w:val="center"/>
              <w:rPr>
                <w:rFonts w:hint="eastAsia" w:ascii="仿宋" w:hAnsi="仿宋" w:eastAsia="仿宋" w:cs="仿宋"/>
                <w:b w:val="0"/>
                <w:bCs w:val="0"/>
                <w:kern w:val="0"/>
                <w:sz w:val="21"/>
                <w:szCs w:val="21"/>
              </w:rPr>
            </w:pPr>
          </w:p>
        </w:tc>
        <w:tc>
          <w:tcPr>
            <w:tcW w:w="1182" w:type="dxa"/>
            <w:vMerge w:val="continue"/>
            <w:vAlign w:val="center"/>
          </w:tcPr>
          <w:p>
            <w:pPr>
              <w:jc w:val="center"/>
              <w:rPr>
                <w:rFonts w:hint="eastAsia" w:ascii="仿宋" w:hAnsi="仿宋" w:eastAsia="仿宋" w:cs="仿宋"/>
                <w:b w:val="0"/>
                <w:bCs w:val="0"/>
                <w:sz w:val="21"/>
                <w:szCs w:val="21"/>
              </w:rPr>
            </w:pPr>
          </w:p>
        </w:tc>
        <w:tc>
          <w:tcPr>
            <w:tcW w:w="1183" w:type="dxa"/>
            <w:vMerge w:val="continue"/>
            <w:vAlign w:val="center"/>
          </w:tcPr>
          <w:p>
            <w:pPr>
              <w:jc w:val="center"/>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732" w:type="dxa"/>
            <w:vMerge w:val="continue"/>
            <w:vAlign w:val="center"/>
          </w:tcPr>
          <w:p>
            <w:pPr>
              <w:jc w:val="center"/>
              <w:rPr>
                <w:rFonts w:hint="eastAsia" w:ascii="仿宋" w:hAnsi="仿宋" w:eastAsia="仿宋" w:cs="仿宋"/>
                <w:b w:val="0"/>
                <w:bCs w:val="0"/>
                <w:sz w:val="21"/>
                <w:szCs w:val="21"/>
              </w:rPr>
            </w:pPr>
          </w:p>
        </w:tc>
        <w:tc>
          <w:tcPr>
            <w:tcW w:w="1497"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其他</w:t>
            </w:r>
          </w:p>
        </w:tc>
        <w:tc>
          <w:tcPr>
            <w:tcW w:w="1182" w:type="dxa"/>
            <w:vMerge w:val="continue"/>
            <w:vAlign w:val="center"/>
          </w:tcPr>
          <w:p>
            <w:pPr>
              <w:jc w:val="center"/>
              <w:rPr>
                <w:rFonts w:hint="eastAsia" w:ascii="仿宋" w:hAnsi="仿宋" w:eastAsia="仿宋" w:cs="仿宋"/>
                <w:b w:val="0"/>
                <w:bCs w:val="0"/>
                <w:sz w:val="21"/>
                <w:szCs w:val="21"/>
              </w:rPr>
            </w:pPr>
          </w:p>
        </w:tc>
        <w:tc>
          <w:tcPr>
            <w:tcW w:w="1182" w:type="dxa"/>
            <w:vMerge w:val="continue"/>
            <w:vAlign w:val="center"/>
          </w:tcPr>
          <w:p>
            <w:pPr>
              <w:jc w:val="center"/>
              <w:rPr>
                <w:rFonts w:hint="eastAsia" w:ascii="仿宋" w:hAnsi="仿宋" w:eastAsia="仿宋" w:cs="仿宋"/>
                <w:b w:val="0"/>
                <w:bCs w:val="0"/>
                <w:kern w:val="0"/>
                <w:sz w:val="21"/>
                <w:szCs w:val="21"/>
              </w:rPr>
            </w:pPr>
          </w:p>
        </w:tc>
        <w:tc>
          <w:tcPr>
            <w:tcW w:w="1180" w:type="dxa"/>
            <w:vMerge w:val="continue"/>
            <w:vAlign w:val="center"/>
          </w:tcPr>
          <w:p>
            <w:pPr>
              <w:jc w:val="center"/>
              <w:rPr>
                <w:rFonts w:hint="eastAsia" w:ascii="仿宋" w:hAnsi="仿宋" w:eastAsia="仿宋" w:cs="仿宋"/>
                <w:b w:val="0"/>
                <w:bCs w:val="0"/>
                <w:sz w:val="21"/>
                <w:szCs w:val="21"/>
              </w:rPr>
            </w:pPr>
          </w:p>
        </w:tc>
        <w:tc>
          <w:tcPr>
            <w:tcW w:w="1180" w:type="dxa"/>
            <w:vMerge w:val="continue"/>
            <w:vAlign w:val="center"/>
          </w:tcPr>
          <w:p>
            <w:pPr>
              <w:jc w:val="center"/>
              <w:rPr>
                <w:rFonts w:hint="eastAsia" w:ascii="仿宋" w:hAnsi="仿宋" w:eastAsia="仿宋" w:cs="仿宋"/>
                <w:b w:val="0"/>
                <w:bCs w:val="0"/>
                <w:kern w:val="0"/>
                <w:sz w:val="21"/>
                <w:szCs w:val="21"/>
              </w:rPr>
            </w:pPr>
          </w:p>
        </w:tc>
        <w:tc>
          <w:tcPr>
            <w:tcW w:w="1182" w:type="dxa"/>
            <w:vMerge w:val="continue"/>
            <w:vAlign w:val="center"/>
          </w:tcPr>
          <w:p>
            <w:pPr>
              <w:jc w:val="center"/>
              <w:rPr>
                <w:rFonts w:hint="eastAsia" w:ascii="仿宋" w:hAnsi="仿宋" w:eastAsia="仿宋" w:cs="仿宋"/>
                <w:b w:val="0"/>
                <w:bCs w:val="0"/>
                <w:sz w:val="21"/>
                <w:szCs w:val="21"/>
              </w:rPr>
            </w:pPr>
          </w:p>
        </w:tc>
        <w:tc>
          <w:tcPr>
            <w:tcW w:w="1183" w:type="dxa"/>
            <w:vMerge w:val="continue"/>
            <w:vAlign w:val="center"/>
          </w:tcPr>
          <w:p>
            <w:pPr>
              <w:jc w:val="center"/>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61" w:type="dxa"/>
            <w:gridSpan w:val="3"/>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位置状况调整值小计</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-1</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-1</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61" w:type="dxa"/>
            <w:gridSpan w:val="3"/>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位置状况调整系数</w:t>
            </w:r>
          </w:p>
        </w:tc>
        <w:tc>
          <w:tcPr>
            <w:tcW w:w="2364" w:type="dxa"/>
            <w:gridSpan w:val="2"/>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99</w:t>
            </w:r>
          </w:p>
        </w:tc>
        <w:tc>
          <w:tcPr>
            <w:tcW w:w="2360" w:type="dxa"/>
            <w:gridSpan w:val="2"/>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99</w:t>
            </w:r>
          </w:p>
        </w:tc>
        <w:tc>
          <w:tcPr>
            <w:tcW w:w="2365" w:type="dxa"/>
            <w:gridSpan w:val="2"/>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实物状况</w:t>
            </w:r>
          </w:p>
        </w:tc>
        <w:tc>
          <w:tcPr>
            <w:tcW w:w="2229" w:type="dxa"/>
            <w:gridSpan w:val="2"/>
            <w:vAlign w:val="center"/>
          </w:tcPr>
          <w:p>
            <w:pPr>
              <w:keepNext w:val="0"/>
              <w:keepLines w:val="0"/>
              <w:widowControl/>
              <w:suppressLineNumbers w:val="0"/>
              <w:jc w:val="center"/>
              <w:textAlignment w:val="center"/>
            </w:pPr>
            <w:r>
              <w:rPr>
                <w:rFonts w:hint="eastAsia" w:ascii="仿宋" w:hAnsi="仿宋" w:eastAsia="仿宋" w:cs="仿宋"/>
                <w:i w:val="0"/>
                <w:color w:val="000000"/>
                <w:kern w:val="0"/>
                <w:sz w:val="20"/>
                <w:szCs w:val="20"/>
                <w:u w:val="none"/>
                <w:lang w:val="en-US" w:eastAsia="zh-CN" w:bidi="ar"/>
              </w:rPr>
              <w:t>环境景观</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Align w:val="center"/>
          </w:tcPr>
          <w:p>
            <w:pPr>
              <w:keepNext w:val="0"/>
              <w:keepLines w:val="0"/>
              <w:widowControl/>
              <w:suppressLineNumbers w:val="0"/>
              <w:jc w:val="center"/>
              <w:textAlignment w:val="cente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Align w:val="center"/>
          </w:tcPr>
          <w:p>
            <w:pPr>
              <w:keepNext w:val="0"/>
              <w:keepLines w:val="0"/>
              <w:widowControl/>
              <w:suppressLineNumbers w:val="0"/>
              <w:jc w:val="center"/>
              <w:textAlignment w:val="center"/>
            </w:pPr>
            <w:r>
              <w:rPr>
                <w:rFonts w:hint="eastAsia" w:ascii="仿宋" w:hAnsi="仿宋" w:eastAsia="仿宋" w:cs="仿宋"/>
                <w:i w:val="0"/>
                <w:iCs w:val="0"/>
                <w:color w:val="000000"/>
                <w:kern w:val="0"/>
                <w:sz w:val="20"/>
                <w:szCs w:val="20"/>
                <w:u w:val="none"/>
                <w:lang w:val="en-US" w:eastAsia="zh-CN" w:bidi="ar"/>
              </w:rPr>
              <w:t>0</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Align w:val="center"/>
          </w:tcPr>
          <w:p>
            <w:pPr>
              <w:keepNext w:val="0"/>
              <w:keepLines w:val="0"/>
              <w:widowControl/>
              <w:suppressLineNumbers w:val="0"/>
              <w:jc w:val="center"/>
              <w:textAlignment w:val="cente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配套设施</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物业服务</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建筑外观</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建筑结构</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建成年份</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略差</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-1</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略差</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户型类别</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设施设备</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建筑面积（㎡）</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略好</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1</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略好</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特殊景观</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color w:val="FF000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color w:val="FF000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61" w:type="dxa"/>
            <w:gridSpan w:val="3"/>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实物状况调整值小计</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61" w:type="dxa"/>
            <w:gridSpan w:val="3"/>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实物状况调整系数</w:t>
            </w:r>
          </w:p>
        </w:tc>
        <w:tc>
          <w:tcPr>
            <w:tcW w:w="2364" w:type="dxa"/>
            <w:gridSpan w:val="2"/>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2360" w:type="dxa"/>
            <w:gridSpan w:val="2"/>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2365" w:type="dxa"/>
            <w:gridSpan w:val="2"/>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restart"/>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权益状况</w:t>
            </w:r>
          </w:p>
        </w:tc>
        <w:tc>
          <w:tcPr>
            <w:tcW w:w="2229" w:type="dxa"/>
            <w:gridSpan w:val="2"/>
            <w:vAlign w:val="center"/>
          </w:tcPr>
          <w:p>
            <w:pPr>
              <w:keepNext w:val="0"/>
              <w:keepLines w:val="0"/>
              <w:widowControl/>
              <w:suppressLineNumbers w:val="0"/>
              <w:jc w:val="center"/>
              <w:textAlignment w:val="center"/>
            </w:pPr>
            <w:r>
              <w:rPr>
                <w:rFonts w:hint="eastAsia" w:ascii="仿宋" w:hAnsi="仿宋" w:eastAsia="仿宋" w:cs="仿宋"/>
                <w:i w:val="0"/>
                <w:color w:val="000000"/>
                <w:kern w:val="0"/>
                <w:sz w:val="20"/>
                <w:szCs w:val="20"/>
                <w:u w:val="none"/>
                <w:lang w:val="en-US" w:eastAsia="zh-CN" w:bidi="ar"/>
              </w:rPr>
              <w:t>规划条件</w:t>
            </w:r>
          </w:p>
        </w:tc>
        <w:tc>
          <w:tcPr>
            <w:tcW w:w="1182" w:type="dxa"/>
            <w:vMerge w:val="restart"/>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2" w:type="dxa"/>
            <w:vMerge w:val="restart"/>
            <w:vAlign w:val="center"/>
          </w:tcPr>
          <w:p>
            <w:pPr>
              <w:keepNext w:val="0"/>
              <w:keepLines w:val="0"/>
              <w:widowControl/>
              <w:suppressLineNumbers w:val="0"/>
              <w:jc w:val="center"/>
              <w:textAlignment w:val="center"/>
            </w:pPr>
            <w:r>
              <w:rPr>
                <w:rFonts w:hint="eastAsia" w:ascii="仿宋" w:hAnsi="仿宋" w:eastAsia="仿宋" w:cs="仿宋"/>
                <w:i w:val="0"/>
                <w:iCs w:val="0"/>
                <w:color w:val="000000"/>
                <w:kern w:val="0"/>
                <w:sz w:val="20"/>
                <w:szCs w:val="20"/>
                <w:u w:val="none"/>
                <w:lang w:val="en-US" w:eastAsia="zh-CN" w:bidi="ar"/>
              </w:rPr>
              <w:t>0</w:t>
            </w:r>
          </w:p>
        </w:tc>
        <w:tc>
          <w:tcPr>
            <w:tcW w:w="1180" w:type="dxa"/>
            <w:vMerge w:val="restart"/>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0" w:type="dxa"/>
            <w:vMerge w:val="restart"/>
            <w:vAlign w:val="center"/>
          </w:tcPr>
          <w:p>
            <w:pPr>
              <w:keepNext w:val="0"/>
              <w:keepLines w:val="0"/>
              <w:widowControl/>
              <w:suppressLineNumbers w:val="0"/>
              <w:jc w:val="center"/>
              <w:textAlignment w:val="center"/>
            </w:pPr>
            <w:r>
              <w:rPr>
                <w:rFonts w:hint="eastAsia" w:ascii="仿宋" w:hAnsi="仿宋" w:eastAsia="仿宋" w:cs="仿宋"/>
                <w:i w:val="0"/>
                <w:iCs w:val="0"/>
                <w:color w:val="000000"/>
                <w:kern w:val="0"/>
                <w:sz w:val="20"/>
                <w:szCs w:val="20"/>
                <w:u w:val="none"/>
                <w:lang w:val="en-US" w:eastAsia="zh-CN" w:bidi="ar"/>
              </w:rPr>
              <w:t>0</w:t>
            </w:r>
          </w:p>
        </w:tc>
        <w:tc>
          <w:tcPr>
            <w:tcW w:w="1182" w:type="dxa"/>
            <w:vMerge w:val="restart"/>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相似</w:t>
            </w:r>
          </w:p>
        </w:tc>
        <w:tc>
          <w:tcPr>
            <w:tcW w:w="1183" w:type="dxa"/>
            <w:vMerge w:val="restart"/>
            <w:vAlign w:val="center"/>
          </w:tcPr>
          <w:p>
            <w:pPr>
              <w:keepNext w:val="0"/>
              <w:keepLines w:val="0"/>
              <w:widowControl/>
              <w:suppressLineNumbers w:val="0"/>
              <w:jc w:val="center"/>
              <w:textAlignment w:val="cente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2" w:type="dxa"/>
            <w:vMerge w:val="continue"/>
            <w:vAlign w:val="center"/>
          </w:tcPr>
          <w:p>
            <w:pPr>
              <w:jc w:val="center"/>
              <w:rPr>
                <w:rFonts w:hint="eastAsia" w:ascii="仿宋" w:hAnsi="仿宋" w:eastAsia="仿宋" w:cs="仿宋"/>
                <w:b w:val="0"/>
                <w:bCs w:val="0"/>
                <w:sz w:val="21"/>
                <w:szCs w:val="21"/>
              </w:rPr>
            </w:pPr>
          </w:p>
        </w:tc>
        <w:tc>
          <w:tcPr>
            <w:tcW w:w="2229" w:type="dxa"/>
            <w:gridSpan w:val="2"/>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其他状况</w:t>
            </w:r>
          </w:p>
        </w:tc>
        <w:tc>
          <w:tcPr>
            <w:tcW w:w="1182" w:type="dxa"/>
            <w:vMerge w:val="continue"/>
            <w:vAlign w:val="center"/>
          </w:tcPr>
          <w:p>
            <w:pPr>
              <w:jc w:val="center"/>
              <w:rPr>
                <w:rFonts w:hint="eastAsia" w:ascii="仿宋" w:hAnsi="仿宋" w:eastAsia="仿宋" w:cs="仿宋"/>
                <w:b w:val="0"/>
                <w:bCs w:val="0"/>
                <w:sz w:val="21"/>
                <w:szCs w:val="21"/>
              </w:rPr>
            </w:pPr>
          </w:p>
        </w:tc>
        <w:tc>
          <w:tcPr>
            <w:tcW w:w="1182" w:type="dxa"/>
            <w:vMerge w:val="continue"/>
            <w:vAlign w:val="center"/>
          </w:tcPr>
          <w:p>
            <w:pPr>
              <w:jc w:val="center"/>
              <w:rPr>
                <w:rFonts w:hint="eastAsia" w:ascii="仿宋" w:hAnsi="仿宋" w:eastAsia="仿宋" w:cs="仿宋"/>
                <w:b w:val="0"/>
                <w:bCs w:val="0"/>
                <w:kern w:val="0"/>
                <w:sz w:val="21"/>
                <w:szCs w:val="21"/>
              </w:rPr>
            </w:pPr>
          </w:p>
        </w:tc>
        <w:tc>
          <w:tcPr>
            <w:tcW w:w="1180" w:type="dxa"/>
            <w:vMerge w:val="continue"/>
            <w:vAlign w:val="center"/>
          </w:tcPr>
          <w:p>
            <w:pPr>
              <w:jc w:val="center"/>
              <w:rPr>
                <w:rFonts w:hint="eastAsia" w:ascii="仿宋" w:hAnsi="仿宋" w:eastAsia="仿宋" w:cs="仿宋"/>
                <w:b w:val="0"/>
                <w:bCs w:val="0"/>
                <w:sz w:val="21"/>
                <w:szCs w:val="21"/>
              </w:rPr>
            </w:pPr>
          </w:p>
        </w:tc>
        <w:tc>
          <w:tcPr>
            <w:tcW w:w="1180" w:type="dxa"/>
            <w:vMerge w:val="continue"/>
            <w:vAlign w:val="center"/>
          </w:tcPr>
          <w:p>
            <w:pPr>
              <w:jc w:val="center"/>
              <w:rPr>
                <w:rFonts w:hint="eastAsia" w:ascii="仿宋" w:hAnsi="仿宋" w:eastAsia="仿宋" w:cs="仿宋"/>
                <w:b w:val="0"/>
                <w:bCs w:val="0"/>
                <w:kern w:val="0"/>
                <w:sz w:val="21"/>
                <w:szCs w:val="21"/>
              </w:rPr>
            </w:pPr>
          </w:p>
        </w:tc>
        <w:tc>
          <w:tcPr>
            <w:tcW w:w="1182" w:type="dxa"/>
            <w:vMerge w:val="continue"/>
            <w:vAlign w:val="center"/>
          </w:tcPr>
          <w:p>
            <w:pPr>
              <w:jc w:val="center"/>
              <w:rPr>
                <w:rFonts w:hint="eastAsia" w:ascii="仿宋" w:hAnsi="仿宋" w:eastAsia="仿宋" w:cs="仿宋"/>
                <w:b w:val="0"/>
                <w:bCs w:val="0"/>
                <w:sz w:val="21"/>
                <w:szCs w:val="21"/>
              </w:rPr>
            </w:pPr>
          </w:p>
        </w:tc>
        <w:tc>
          <w:tcPr>
            <w:tcW w:w="1183" w:type="dxa"/>
            <w:vMerge w:val="continue"/>
            <w:vAlign w:val="center"/>
          </w:tcPr>
          <w:p>
            <w:pPr>
              <w:jc w:val="center"/>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61" w:type="dxa"/>
            <w:gridSpan w:val="3"/>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权益状况调整值小计</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w:t>
            </w:r>
          </w:p>
        </w:tc>
        <w:tc>
          <w:tcPr>
            <w:tcW w:w="1180"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c>
          <w:tcPr>
            <w:tcW w:w="1182" w:type="dxa"/>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iCs w:val="0"/>
                <w:color w:val="000000"/>
                <w:kern w:val="0"/>
                <w:sz w:val="20"/>
                <w:szCs w:val="20"/>
                <w:u w:val="none"/>
                <w:lang w:val="en-US" w:eastAsia="zh-CN" w:bidi="ar"/>
              </w:rPr>
              <w:t>——</w:t>
            </w:r>
          </w:p>
        </w:tc>
        <w:tc>
          <w:tcPr>
            <w:tcW w:w="1183" w:type="dxa"/>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61" w:type="dxa"/>
            <w:gridSpan w:val="3"/>
            <w:vAlign w:val="center"/>
          </w:tcPr>
          <w:p>
            <w:pPr>
              <w:keepNext w:val="0"/>
              <w:keepLines w:val="0"/>
              <w:widowControl/>
              <w:suppressLineNumbers w:val="0"/>
              <w:jc w:val="center"/>
              <w:textAlignment w:val="center"/>
              <w:rPr>
                <w:rFonts w:hint="eastAsia" w:ascii="仿宋" w:hAnsi="仿宋" w:eastAsia="仿宋" w:cs="仿宋"/>
                <w:b w:val="0"/>
                <w:bCs w:val="0"/>
                <w:sz w:val="21"/>
                <w:szCs w:val="21"/>
              </w:rPr>
            </w:pPr>
            <w:r>
              <w:rPr>
                <w:rFonts w:hint="eastAsia" w:ascii="仿宋" w:hAnsi="仿宋" w:eastAsia="仿宋" w:cs="仿宋"/>
                <w:i w:val="0"/>
                <w:color w:val="000000"/>
                <w:kern w:val="0"/>
                <w:sz w:val="20"/>
                <w:szCs w:val="20"/>
                <w:u w:val="none"/>
                <w:lang w:val="en-US" w:eastAsia="zh-CN" w:bidi="ar"/>
              </w:rPr>
              <w:t>权益状况调整系数</w:t>
            </w:r>
          </w:p>
        </w:tc>
        <w:tc>
          <w:tcPr>
            <w:tcW w:w="2364" w:type="dxa"/>
            <w:gridSpan w:val="2"/>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2360" w:type="dxa"/>
            <w:gridSpan w:val="2"/>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2365" w:type="dxa"/>
            <w:gridSpan w:val="2"/>
            <w:vAlign w:val="center"/>
          </w:tcPr>
          <w:p>
            <w:pPr>
              <w:keepNext w:val="0"/>
              <w:keepLines w:val="0"/>
              <w:widowControl/>
              <w:suppressLineNumbers w:val="0"/>
              <w:jc w:val="center"/>
              <w:textAlignment w:val="center"/>
              <w:rPr>
                <w:rFonts w:hint="eastAsia" w:ascii="仿宋" w:hAnsi="仿宋" w:eastAsia="仿宋" w:cs="仿宋"/>
                <w:b w:val="0"/>
                <w:bCs w:val="0"/>
                <w:kern w:val="0"/>
                <w:sz w:val="21"/>
                <w:szCs w:val="21"/>
              </w:rPr>
            </w:pPr>
            <w:r>
              <w:rPr>
                <w:rFonts w:hint="eastAsia" w:ascii="仿宋" w:hAnsi="仿宋" w:eastAsia="仿宋" w:cs="仿宋"/>
                <w:i w:val="0"/>
                <w:iCs w:val="0"/>
                <w:color w:val="000000"/>
                <w:kern w:val="0"/>
                <w:sz w:val="20"/>
                <w:szCs w:val="20"/>
                <w:u w:val="none"/>
                <w:lang w:val="en-US" w:eastAsia="zh-CN" w:bidi="ar"/>
              </w:rPr>
              <w:t>100</w:t>
            </w:r>
          </w:p>
        </w:tc>
      </w:tr>
    </w:tbl>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注：以上各子项调整值中均考虑了该子项因素对价值的影响权重。</w:t>
      </w:r>
    </w:p>
    <w:p>
      <w:pPr>
        <w:pStyle w:val="10"/>
        <w:spacing w:line="360" w:lineRule="auto"/>
        <w:ind w:firstLine="482" w:firstLineChars="200"/>
        <w:outlineLvl w:val="2"/>
        <w:rPr>
          <w:rFonts w:hint="eastAsia" w:ascii="仿宋" w:hAnsi="仿宋" w:eastAsia="仿宋" w:cs="仿宋"/>
          <w:b/>
          <w:bCs/>
          <w:sz w:val="24"/>
        </w:rPr>
      </w:pPr>
      <w:r>
        <w:rPr>
          <w:rFonts w:hint="eastAsia" w:ascii="仿宋" w:hAnsi="仿宋" w:eastAsia="仿宋" w:cs="仿宋"/>
          <w:b/>
          <w:bCs/>
          <w:sz w:val="24"/>
        </w:rPr>
        <w:t>6、计算结果</w:t>
      </w:r>
    </w:p>
    <w:p>
      <w:pPr>
        <w:pStyle w:val="10"/>
        <w:spacing w:line="360" w:lineRule="auto"/>
        <w:ind w:firstLine="480" w:firstLineChars="200"/>
        <w:jc w:val="center"/>
        <w:rPr>
          <w:rFonts w:hint="eastAsia" w:ascii="仿宋" w:hAnsi="仿宋" w:eastAsia="仿宋" w:cs="仿宋"/>
          <w:bCs/>
          <w:sz w:val="24"/>
        </w:rPr>
      </w:pPr>
      <w:r>
        <w:rPr>
          <w:rFonts w:hint="eastAsia" w:ascii="仿宋" w:hAnsi="仿宋" w:eastAsia="仿宋" w:cs="仿宋"/>
          <w:bCs/>
          <w:sz w:val="24"/>
          <w:szCs w:val="24"/>
        </w:rPr>
        <w:t>比较单价计算表</w:t>
      </w:r>
    </w:p>
    <w:tbl>
      <w:tblPr>
        <w:tblStyle w:val="22"/>
        <w:tblW w:w="9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1132"/>
        <w:gridCol w:w="1133"/>
        <w:gridCol w:w="1132"/>
        <w:gridCol w:w="1133"/>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项目</w:t>
            </w:r>
          </w:p>
        </w:tc>
        <w:tc>
          <w:tcPr>
            <w:tcW w:w="2265" w:type="dxa"/>
            <w:gridSpan w:val="2"/>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可比实例A</w:t>
            </w:r>
          </w:p>
        </w:tc>
        <w:tc>
          <w:tcPr>
            <w:tcW w:w="2265" w:type="dxa"/>
            <w:gridSpan w:val="2"/>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可比实例B</w:t>
            </w:r>
          </w:p>
        </w:tc>
        <w:tc>
          <w:tcPr>
            <w:tcW w:w="2268" w:type="dxa"/>
            <w:gridSpan w:val="2"/>
            <w:vAlign w:val="center"/>
          </w:tcPr>
          <w:p>
            <w:pPr>
              <w:keepNext w:val="0"/>
              <w:keepLines w:val="0"/>
              <w:widowControl/>
              <w:suppressLineNumbers w:val="0"/>
              <w:jc w:val="center"/>
              <w:textAlignment w:val="center"/>
              <w:rPr>
                <w:rFonts w:hint="eastAsia" w:ascii="仿宋" w:hAnsi="仿宋" w:eastAsia="仿宋" w:cs="仿宋"/>
                <w:b/>
                <w:bCs/>
                <w:sz w:val="21"/>
                <w:szCs w:val="21"/>
              </w:rPr>
            </w:pPr>
            <w:r>
              <w:rPr>
                <w:rFonts w:hint="eastAsia" w:ascii="仿宋" w:hAnsi="仿宋" w:eastAsia="仿宋" w:cs="仿宋"/>
                <w:b/>
                <w:i w:val="0"/>
                <w:color w:val="000000"/>
                <w:kern w:val="0"/>
                <w:sz w:val="20"/>
                <w:szCs w:val="20"/>
                <w:u w:val="none"/>
                <w:lang w:val="en-US" w:eastAsia="zh-CN" w:bidi="ar"/>
              </w:rPr>
              <w:t>可比实例C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交易单价（元/㎡）</w:t>
            </w:r>
          </w:p>
        </w:tc>
        <w:tc>
          <w:tcPr>
            <w:tcW w:w="2265" w:type="dxa"/>
            <w:gridSpan w:val="2"/>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2380</w:t>
            </w:r>
          </w:p>
        </w:tc>
        <w:tc>
          <w:tcPr>
            <w:tcW w:w="2265" w:type="dxa"/>
            <w:gridSpan w:val="2"/>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2259</w:t>
            </w:r>
          </w:p>
        </w:tc>
        <w:tc>
          <w:tcPr>
            <w:tcW w:w="2268" w:type="dxa"/>
            <w:gridSpan w:val="2"/>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市场状况调整</w:t>
            </w:r>
          </w:p>
        </w:tc>
        <w:tc>
          <w:tcPr>
            <w:tcW w:w="1132"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3"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2"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3"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4"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4"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交易情况修正</w:t>
            </w:r>
          </w:p>
        </w:tc>
        <w:tc>
          <w:tcPr>
            <w:tcW w:w="1132"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3"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2"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3"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4"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4" w:type="dxa"/>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1"/>
                <w:szCs w:val="21"/>
              </w:rPr>
            </w:pPr>
            <w:r>
              <w:rPr>
                <w:rFonts w:hint="eastAsia" w:ascii="仿宋" w:hAnsi="仿宋" w:eastAsia="仿宋" w:cs="仿宋"/>
                <w:i w:val="0"/>
                <w:iCs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位置状况调整</w:t>
            </w:r>
          </w:p>
        </w:tc>
        <w:tc>
          <w:tcPr>
            <w:tcW w:w="1132"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3" w:type="dxa"/>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1"/>
                <w:szCs w:val="21"/>
              </w:rPr>
            </w:pPr>
            <w:r>
              <w:rPr>
                <w:rFonts w:hint="eastAsia" w:ascii="仿宋" w:hAnsi="仿宋" w:eastAsia="仿宋" w:cs="仿宋"/>
                <w:i w:val="0"/>
                <w:iCs w:val="0"/>
                <w:color w:val="000000"/>
                <w:kern w:val="0"/>
                <w:sz w:val="20"/>
                <w:szCs w:val="20"/>
                <w:u w:val="none"/>
                <w:lang w:val="en-US" w:eastAsia="zh-CN" w:bidi="ar"/>
              </w:rPr>
              <w:t>99</w:t>
            </w:r>
          </w:p>
        </w:tc>
        <w:tc>
          <w:tcPr>
            <w:tcW w:w="1132"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3" w:type="dxa"/>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1"/>
                <w:szCs w:val="21"/>
              </w:rPr>
            </w:pPr>
            <w:r>
              <w:rPr>
                <w:rFonts w:hint="eastAsia" w:ascii="仿宋" w:hAnsi="仿宋" w:eastAsia="仿宋" w:cs="仿宋"/>
                <w:i w:val="0"/>
                <w:iCs w:val="0"/>
                <w:color w:val="000000"/>
                <w:kern w:val="0"/>
                <w:sz w:val="20"/>
                <w:szCs w:val="20"/>
                <w:u w:val="none"/>
                <w:lang w:val="en-US" w:eastAsia="zh-CN" w:bidi="ar"/>
              </w:rPr>
              <w:t>99</w:t>
            </w:r>
          </w:p>
        </w:tc>
        <w:tc>
          <w:tcPr>
            <w:tcW w:w="1134"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4" w:type="dxa"/>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1"/>
                <w:szCs w:val="21"/>
              </w:rPr>
            </w:pPr>
            <w:r>
              <w:rPr>
                <w:rFonts w:hint="eastAsia" w:ascii="仿宋" w:hAnsi="仿宋" w:eastAsia="仿宋" w:cs="仿宋"/>
                <w:i w:val="0"/>
                <w:iCs w:val="0"/>
                <w:color w:val="000000"/>
                <w:kern w:val="0"/>
                <w:sz w:val="20"/>
                <w:szCs w:val="20"/>
                <w:u w:val="none"/>
                <w:lang w:val="en-US" w:eastAsia="zh-CN" w:bidi="ar"/>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实物状况调整</w:t>
            </w:r>
          </w:p>
        </w:tc>
        <w:tc>
          <w:tcPr>
            <w:tcW w:w="1132"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3" w:type="dxa"/>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2"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3" w:type="dxa"/>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4"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4" w:type="dxa"/>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1"/>
                <w:szCs w:val="21"/>
              </w:rPr>
            </w:pPr>
            <w:r>
              <w:rPr>
                <w:rFonts w:hint="eastAsia" w:ascii="仿宋" w:hAnsi="仿宋" w:eastAsia="仿宋" w:cs="仿宋"/>
                <w:i w:val="0"/>
                <w:iCs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权益状况调整</w:t>
            </w:r>
          </w:p>
        </w:tc>
        <w:tc>
          <w:tcPr>
            <w:tcW w:w="1132"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3" w:type="dxa"/>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2"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3"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4"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c>
          <w:tcPr>
            <w:tcW w:w="1134"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比较价值（元/㎡）</w:t>
            </w:r>
          </w:p>
        </w:tc>
        <w:tc>
          <w:tcPr>
            <w:tcW w:w="2265" w:type="dxa"/>
            <w:gridSpan w:val="2"/>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 xml:space="preserve">2404.04 </w:t>
            </w:r>
          </w:p>
        </w:tc>
        <w:tc>
          <w:tcPr>
            <w:tcW w:w="2265" w:type="dxa"/>
            <w:gridSpan w:val="2"/>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 xml:space="preserve">2281.82 </w:t>
            </w:r>
          </w:p>
        </w:tc>
        <w:tc>
          <w:tcPr>
            <w:tcW w:w="2268" w:type="dxa"/>
            <w:gridSpan w:val="2"/>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 xml:space="preserve">2290.91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Merge w:val="restart"/>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估价对象的比较单价（元/㎡）</w:t>
            </w:r>
          </w:p>
        </w:tc>
        <w:tc>
          <w:tcPr>
            <w:tcW w:w="6798" w:type="dxa"/>
            <w:gridSpan w:val="6"/>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1"/>
                <w:szCs w:val="21"/>
                <w:lang w:eastAsia="zh-CN"/>
              </w:rPr>
            </w:pPr>
            <w:r>
              <w:rPr>
                <w:rFonts w:hint="eastAsia" w:ascii="仿宋" w:hAnsi="仿宋" w:eastAsia="仿宋" w:cs="仿宋"/>
                <w:i w:val="0"/>
                <w:iCs w:val="0"/>
                <w:color w:val="000000"/>
                <w:kern w:val="0"/>
                <w:sz w:val="20"/>
                <w:szCs w:val="20"/>
                <w:u w:val="none"/>
                <w:lang w:val="en-US" w:eastAsia="zh-CN" w:bidi="ar"/>
              </w:rPr>
              <w:t>2326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Merge w:val="continue"/>
            <w:vAlign w:val="center"/>
          </w:tcPr>
          <w:p>
            <w:pPr>
              <w:jc w:val="center"/>
              <w:rPr>
                <w:rFonts w:hint="eastAsia" w:ascii="仿宋" w:hAnsi="仿宋" w:eastAsia="仿宋" w:cs="仿宋"/>
                <w:b w:val="0"/>
                <w:bCs w:val="0"/>
                <w:color w:val="auto"/>
                <w:sz w:val="21"/>
                <w:szCs w:val="21"/>
              </w:rPr>
            </w:pPr>
          </w:p>
        </w:tc>
        <w:tc>
          <w:tcPr>
            <w:tcW w:w="6798" w:type="dxa"/>
            <w:gridSpan w:val="6"/>
            <w:vAlign w:val="center"/>
          </w:tcPr>
          <w:p>
            <w:pPr>
              <w:keepNext w:val="0"/>
              <w:keepLines w:val="0"/>
              <w:widowControl/>
              <w:suppressLineNumbers w:val="0"/>
              <w:jc w:val="left"/>
              <w:textAlignment w:val="center"/>
              <w:rPr>
                <w:rFonts w:hint="eastAsia" w:ascii="仿宋" w:hAnsi="仿宋" w:eastAsia="仿宋" w:cs="仿宋"/>
                <w:b w:val="0"/>
                <w:bCs w:val="0"/>
                <w:color w:val="auto"/>
                <w:kern w:val="0"/>
                <w:sz w:val="21"/>
                <w:szCs w:val="21"/>
              </w:rPr>
            </w:pPr>
            <w:r>
              <w:rPr>
                <w:rFonts w:hint="eastAsia" w:ascii="仿宋" w:hAnsi="仿宋" w:eastAsia="仿宋" w:cs="仿宋"/>
                <w:i w:val="0"/>
                <w:iCs w:val="0"/>
                <w:color w:val="000000"/>
                <w:kern w:val="0"/>
                <w:sz w:val="20"/>
                <w:szCs w:val="20"/>
                <w:u w:val="none"/>
                <w:lang w:val="en-US" w:eastAsia="zh-CN" w:bidi="ar"/>
              </w:rPr>
              <w:t>各可比实例的比较单价较接近，故采用简单算术平均值求取估价对象的比较单价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建筑面积（㎡）</w:t>
            </w:r>
          </w:p>
        </w:tc>
        <w:tc>
          <w:tcPr>
            <w:tcW w:w="6798" w:type="dxa"/>
            <w:gridSpan w:val="6"/>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 xml:space="preserve">1086.20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color w:val="000000"/>
                <w:kern w:val="0"/>
                <w:sz w:val="20"/>
                <w:szCs w:val="20"/>
                <w:u w:val="none"/>
                <w:lang w:val="en-US" w:eastAsia="zh-CN" w:bidi="ar"/>
              </w:rPr>
              <w:t>总价（万元）</w:t>
            </w:r>
          </w:p>
        </w:tc>
        <w:tc>
          <w:tcPr>
            <w:tcW w:w="6798" w:type="dxa"/>
            <w:gridSpan w:val="6"/>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rPr>
            </w:pPr>
            <w:r>
              <w:rPr>
                <w:rFonts w:hint="eastAsia" w:ascii="仿宋" w:hAnsi="仿宋" w:eastAsia="仿宋" w:cs="仿宋"/>
                <w:i w:val="0"/>
                <w:iCs w:val="0"/>
                <w:color w:val="000000"/>
                <w:kern w:val="0"/>
                <w:sz w:val="20"/>
                <w:szCs w:val="20"/>
                <w:u w:val="none"/>
                <w:lang w:val="en-US" w:eastAsia="zh-CN" w:bidi="ar"/>
              </w:rPr>
              <w:t>252.65</w:t>
            </w:r>
          </w:p>
        </w:tc>
      </w:tr>
    </w:tbl>
    <w:p>
      <w:pPr>
        <w:pStyle w:val="3"/>
        <w:numPr>
          <w:ilvl w:val="0"/>
          <w:numId w:val="1"/>
        </w:numPr>
        <w:ind w:firstLine="482" w:firstLineChars="200"/>
        <w:rPr>
          <w:rFonts w:hint="eastAsia" w:ascii="仿宋" w:hAnsi="仿宋" w:eastAsia="仿宋" w:cs="仿宋"/>
        </w:rPr>
      </w:pPr>
      <w:bookmarkStart w:id="77" w:name="_Toc31998"/>
      <w:bookmarkStart w:id="78" w:name="_Toc407785152"/>
      <w:r>
        <w:rPr>
          <w:rFonts w:hint="eastAsia" w:ascii="仿宋" w:hAnsi="仿宋" w:eastAsia="仿宋" w:cs="仿宋"/>
        </w:rPr>
        <w:t>估价结果确定</w:t>
      </w:r>
      <w:bookmarkEnd w:id="77"/>
      <w:bookmarkEnd w:id="78"/>
    </w:p>
    <w:p>
      <w:pPr>
        <w:spacing w:line="360" w:lineRule="auto"/>
        <w:ind w:firstLine="482" w:firstLineChars="200"/>
        <w:outlineLvl w:val="2"/>
        <w:rPr>
          <w:rFonts w:ascii="仿宋" w:hAnsi="仿宋" w:eastAsia="仿宋" w:cs="仿宋"/>
          <w:b/>
          <w:sz w:val="24"/>
        </w:rPr>
      </w:pPr>
      <w:r>
        <w:rPr>
          <w:rFonts w:hint="eastAsia" w:ascii="仿宋" w:hAnsi="仿宋" w:eastAsia="仿宋" w:cs="仿宋"/>
          <w:b/>
          <w:sz w:val="24"/>
        </w:rPr>
        <w:t>(一)假定未设立法定优先受偿权下的价值</w:t>
      </w:r>
    </w:p>
    <w:p>
      <w:pPr>
        <w:tabs>
          <w:tab w:val="left" w:pos="6345"/>
        </w:tabs>
        <w:spacing w:line="360" w:lineRule="auto"/>
        <w:ind w:firstLine="420" w:firstLineChars="200"/>
        <w:rPr>
          <w:rFonts w:ascii="仿宋" w:hAnsi="仿宋" w:eastAsia="仿宋" w:cs="仿宋"/>
          <w:sz w:val="24"/>
        </w:rPr>
      </w:pPr>
      <w:r>
        <w:rPr>
          <w:rFonts w:hint="eastAsia"/>
          <w:lang w:val="en-US" w:eastAsia="zh-CN"/>
        </w:rPr>
        <w:t xml:space="preserve"> </w:t>
      </w:r>
      <w:r>
        <w:rPr>
          <w:rFonts w:hint="eastAsia" w:ascii="仿宋" w:hAnsi="仿宋" w:eastAsia="仿宋" w:cs="仿宋"/>
          <w:sz w:val="24"/>
        </w:rPr>
        <w:t>综上所述，</w:t>
      </w:r>
      <w:r>
        <w:rPr>
          <w:rFonts w:hint="eastAsia" w:ascii="仿宋" w:hAnsi="仿宋" w:eastAsia="仿宋" w:cs="仿宋"/>
          <w:sz w:val="24"/>
          <w:szCs w:val="24"/>
        </w:rPr>
        <w:t>遵照有关的法律法规、政策文件和估价标准，根据估价委托人提供的相关资料以及本估价机构及注册房地产估价师掌握的资料，按照估价目的，遵循估价原则，采用适当估价方法进行了分析、测算和判断，在满足估价假设和限制条件下的估价结果如下</w:t>
      </w:r>
      <w:r>
        <w:rPr>
          <w:rFonts w:hint="eastAsia" w:ascii="仿宋" w:hAnsi="仿宋" w:eastAsia="仿宋" w:cs="仿宋"/>
          <w:sz w:val="24"/>
        </w:rPr>
        <w:t>：</w:t>
      </w:r>
    </w:p>
    <w:tbl>
      <w:tblPr>
        <w:tblStyle w:val="22"/>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4"/>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4" w:type="dxa"/>
            <w:vAlign w:val="center"/>
          </w:tcPr>
          <w:p>
            <w:pPr>
              <w:spacing w:line="240" w:lineRule="auto"/>
              <w:jc w:val="center"/>
              <w:rPr>
                <w:rFonts w:ascii="仿宋" w:hAnsi="仿宋" w:eastAsia="仿宋" w:cs="仿宋"/>
                <w:sz w:val="21"/>
                <w:szCs w:val="21"/>
              </w:rPr>
            </w:pPr>
            <w:r>
              <w:rPr>
                <w:rFonts w:hint="eastAsia" w:ascii="仿宋" w:hAnsi="仿宋" w:eastAsia="仿宋" w:cs="仿宋"/>
                <w:b/>
                <w:bCs/>
                <w:color w:val="auto"/>
                <w:sz w:val="21"/>
                <w:szCs w:val="21"/>
                <w:lang w:eastAsia="zh-CN"/>
              </w:rPr>
              <w:t>项目内容</w:t>
            </w:r>
          </w:p>
        </w:tc>
        <w:tc>
          <w:tcPr>
            <w:tcW w:w="5953" w:type="dxa"/>
            <w:vAlign w:val="center"/>
          </w:tcPr>
          <w:p>
            <w:pPr>
              <w:spacing w:line="240" w:lineRule="auto"/>
              <w:jc w:val="center"/>
              <w:rPr>
                <w:rFonts w:ascii="仿宋" w:hAnsi="仿宋" w:eastAsia="仿宋" w:cs="仿宋"/>
                <w:b w:val="0"/>
                <w:bCs/>
                <w:sz w:val="21"/>
                <w:szCs w:val="21"/>
              </w:rPr>
            </w:pPr>
            <w:r>
              <w:rPr>
                <w:rFonts w:hint="eastAsia" w:ascii="仿宋" w:hAnsi="仿宋" w:eastAsia="仿宋" w:cs="仿宋"/>
                <w:b/>
                <w:bCs/>
                <w:color w:val="auto"/>
                <w:sz w:val="21"/>
                <w:szCs w:val="21"/>
              </w:rPr>
              <w:t>估价结果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4" w:type="dxa"/>
            <w:vAlign w:val="center"/>
          </w:tcPr>
          <w:p>
            <w:pPr>
              <w:spacing w:line="240" w:lineRule="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1.</w:t>
            </w:r>
            <w:r>
              <w:rPr>
                <w:rFonts w:hint="eastAsia" w:ascii="仿宋" w:hAnsi="仿宋" w:eastAsia="仿宋" w:cs="仿宋"/>
                <w:b w:val="0"/>
                <w:bCs w:val="0"/>
                <w:color w:val="auto"/>
                <w:sz w:val="21"/>
                <w:szCs w:val="21"/>
              </w:rPr>
              <w:t>假定未设立法定优先受偿权下的价值总额</w:t>
            </w:r>
          </w:p>
        </w:tc>
        <w:tc>
          <w:tcPr>
            <w:tcW w:w="5953" w:type="dxa"/>
            <w:vAlign w:val="center"/>
          </w:tcPr>
          <w:p>
            <w:pPr>
              <w:spacing w:line="240" w:lineRule="auto"/>
              <w:jc w:val="left"/>
              <w:rPr>
                <w:rFonts w:hint="eastAsia" w:ascii="仿宋" w:hAnsi="仿宋" w:eastAsia="仿宋" w:cs="仿宋"/>
                <w:b w:val="0"/>
                <w:bCs/>
                <w:color w:val="auto"/>
                <w:sz w:val="21"/>
                <w:szCs w:val="21"/>
              </w:rPr>
            </w:pPr>
            <w:r>
              <w:rPr>
                <w:rFonts w:hint="eastAsia" w:ascii="仿宋" w:hAnsi="仿宋" w:eastAsia="仿宋" w:cs="仿宋"/>
                <w:b w:val="0"/>
                <w:bCs/>
                <w:color w:val="auto"/>
                <w:sz w:val="21"/>
                <w:szCs w:val="21"/>
              </w:rPr>
              <w:t>人民币</w:t>
            </w:r>
            <w:r>
              <w:rPr>
                <w:rFonts w:hint="eastAsia" w:ascii="仿宋" w:hAnsi="仿宋" w:eastAsia="仿宋" w:cs="仿宋"/>
                <w:b w:val="0"/>
                <w:bCs/>
                <w:color w:val="auto"/>
                <w:sz w:val="21"/>
                <w:szCs w:val="21"/>
                <w:lang w:eastAsia="zh-CN"/>
              </w:rPr>
              <w:t>贰佰伍拾贰万陆仟伍佰元</w:t>
            </w:r>
            <w:r>
              <w:rPr>
                <w:rFonts w:hint="eastAsia" w:ascii="仿宋" w:hAnsi="仿宋" w:eastAsia="仿宋" w:cs="仿宋"/>
                <w:b w:val="0"/>
                <w:bCs/>
                <w:color w:val="auto"/>
                <w:sz w:val="21"/>
                <w:szCs w:val="21"/>
              </w:rPr>
              <w:t>整（人民币</w:t>
            </w:r>
            <w:r>
              <w:rPr>
                <w:rFonts w:hint="eastAsia" w:ascii="仿宋" w:hAnsi="仿宋" w:eastAsia="仿宋" w:cs="仿宋"/>
                <w:b w:val="0"/>
                <w:bCs/>
                <w:color w:val="auto"/>
                <w:sz w:val="21"/>
                <w:szCs w:val="21"/>
                <w:lang w:val="en-US" w:eastAsia="zh-CN"/>
              </w:rPr>
              <w:t>252.65万元</w:t>
            </w:r>
            <w:r>
              <w:rPr>
                <w:rFonts w:hint="eastAsia" w:ascii="仿宋" w:hAnsi="仿宋" w:eastAsia="仿宋" w:cs="仿宋"/>
                <w:b w:val="0"/>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4" w:type="dxa"/>
            <w:vAlign w:val="center"/>
          </w:tcPr>
          <w:p>
            <w:pPr>
              <w:spacing w:line="240" w:lineRule="auto"/>
              <w:rPr>
                <w:rFonts w:ascii="仿宋" w:hAnsi="仿宋" w:eastAsia="仿宋" w:cs="仿宋"/>
                <w:sz w:val="21"/>
                <w:szCs w:val="21"/>
              </w:rPr>
            </w:pPr>
            <w:r>
              <w:rPr>
                <w:rFonts w:hint="eastAsia" w:ascii="仿宋" w:hAnsi="仿宋" w:eastAsia="仿宋" w:cs="仿宋"/>
                <w:color w:val="auto"/>
                <w:sz w:val="21"/>
                <w:szCs w:val="21"/>
                <w:lang w:val="en-US" w:eastAsia="zh-CN"/>
              </w:rPr>
              <w:t>2.</w:t>
            </w:r>
            <w:r>
              <w:rPr>
                <w:rFonts w:hint="eastAsia" w:ascii="仿宋" w:hAnsi="仿宋" w:eastAsia="仿宋" w:cs="仿宋"/>
                <w:b w:val="0"/>
                <w:bCs/>
                <w:color w:val="auto"/>
                <w:sz w:val="21"/>
                <w:szCs w:val="21"/>
              </w:rPr>
              <w:t>假定未设立法定优先受偿权下的价值</w:t>
            </w:r>
            <w:r>
              <w:rPr>
                <w:rFonts w:hint="eastAsia" w:ascii="仿宋" w:hAnsi="仿宋" w:eastAsia="仿宋" w:cs="仿宋"/>
                <w:color w:val="auto"/>
                <w:sz w:val="21"/>
                <w:szCs w:val="21"/>
                <w:lang w:eastAsia="zh-CN"/>
              </w:rPr>
              <w:t>单价</w:t>
            </w:r>
          </w:p>
        </w:tc>
        <w:tc>
          <w:tcPr>
            <w:tcW w:w="5953" w:type="dxa"/>
            <w:vAlign w:val="center"/>
          </w:tcPr>
          <w:p>
            <w:pPr>
              <w:spacing w:line="240" w:lineRule="auto"/>
              <w:jc w:val="left"/>
              <w:rPr>
                <w:rFonts w:ascii="仿宋" w:hAnsi="仿宋" w:eastAsia="仿宋" w:cs="仿宋"/>
                <w:b w:val="0"/>
                <w:bCs/>
                <w:sz w:val="21"/>
                <w:szCs w:val="21"/>
              </w:rPr>
            </w:pPr>
            <w:r>
              <w:rPr>
                <w:rFonts w:hint="eastAsia" w:ascii="仿宋" w:hAnsi="仿宋" w:eastAsia="仿宋" w:cs="仿宋"/>
                <w:b w:val="0"/>
                <w:bCs/>
                <w:color w:val="auto"/>
                <w:sz w:val="21"/>
                <w:szCs w:val="21"/>
              </w:rPr>
              <w:t>人民币</w:t>
            </w:r>
            <w:r>
              <w:rPr>
                <w:rFonts w:hint="eastAsia" w:ascii="仿宋" w:hAnsi="仿宋" w:eastAsia="仿宋" w:cs="仿宋"/>
                <w:b w:val="0"/>
                <w:bCs/>
                <w:color w:val="auto"/>
                <w:sz w:val="21"/>
                <w:szCs w:val="21"/>
                <w:lang w:val="en-US" w:eastAsia="zh-CN"/>
              </w:rPr>
              <w:t>2326元/平方米</w:t>
            </w:r>
          </w:p>
        </w:tc>
      </w:tr>
    </w:tbl>
    <w:p>
      <w:pPr>
        <w:spacing w:line="360" w:lineRule="auto"/>
        <w:ind w:firstLine="482" w:firstLineChars="200"/>
        <w:outlineLvl w:val="2"/>
        <w:rPr>
          <w:rFonts w:ascii="仿宋" w:hAnsi="仿宋" w:eastAsia="仿宋" w:cs="仿宋"/>
          <w:b/>
          <w:sz w:val="24"/>
          <w:szCs w:val="22"/>
        </w:rPr>
      </w:pPr>
      <w:r>
        <w:rPr>
          <w:rFonts w:hint="eastAsia" w:ascii="仿宋" w:hAnsi="仿宋" w:eastAsia="仿宋" w:cs="仿宋"/>
          <w:b/>
          <w:sz w:val="24"/>
          <w:szCs w:val="22"/>
        </w:rPr>
        <w:t>(二)估价对象法定优先受偿款</w:t>
      </w:r>
    </w:p>
    <w:p>
      <w:pPr>
        <w:spacing w:line="360" w:lineRule="auto"/>
        <w:ind w:firstLine="480" w:firstLineChars="200"/>
        <w:rPr>
          <w:rFonts w:ascii="仿宋" w:hAnsi="仿宋" w:eastAsia="仿宋" w:cs="仿宋"/>
          <w:sz w:val="24"/>
        </w:rPr>
      </w:pPr>
      <w:r>
        <w:rPr>
          <w:rFonts w:hint="eastAsia" w:ascii="仿宋" w:hAnsi="仿宋" w:eastAsia="仿宋" w:cs="仿宋"/>
          <w:sz w:val="24"/>
        </w:rPr>
        <w:t>根据调查，注册房地产估价师知悉的估价对象法定优先受偿款为0元，如下表：</w:t>
      </w:r>
    </w:p>
    <w:tbl>
      <w:tblPr>
        <w:tblStyle w:val="22"/>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0"/>
        <w:gridCol w:w="3190"/>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90" w:type="dxa"/>
            <w:vAlign w:val="center"/>
          </w:tcPr>
          <w:p>
            <w:pPr>
              <w:jc w:val="center"/>
              <w:rPr>
                <w:rFonts w:ascii="仿宋" w:hAnsi="仿宋" w:eastAsia="仿宋" w:cs="仿宋"/>
                <w:b/>
                <w:bCs/>
                <w:sz w:val="21"/>
                <w:szCs w:val="21"/>
              </w:rPr>
            </w:pPr>
            <w:r>
              <w:rPr>
                <w:rFonts w:hint="eastAsia" w:ascii="仿宋" w:hAnsi="仿宋" w:eastAsia="仿宋" w:cs="仿宋"/>
                <w:b/>
                <w:bCs/>
                <w:sz w:val="21"/>
                <w:szCs w:val="21"/>
              </w:rPr>
              <w:t>估价师知悉的法定优先受偿款</w:t>
            </w:r>
          </w:p>
        </w:tc>
        <w:tc>
          <w:tcPr>
            <w:tcW w:w="3190" w:type="dxa"/>
            <w:vAlign w:val="center"/>
          </w:tcPr>
          <w:p>
            <w:pPr>
              <w:jc w:val="center"/>
              <w:rPr>
                <w:rFonts w:ascii="仿宋" w:hAnsi="仿宋" w:eastAsia="仿宋" w:cs="仿宋"/>
                <w:b/>
                <w:bCs/>
                <w:sz w:val="21"/>
                <w:szCs w:val="21"/>
              </w:rPr>
            </w:pPr>
            <w:r>
              <w:rPr>
                <w:rFonts w:hint="eastAsia" w:ascii="仿宋" w:hAnsi="仿宋" w:eastAsia="仿宋" w:cs="仿宋"/>
                <w:b/>
                <w:bCs/>
                <w:sz w:val="21"/>
                <w:szCs w:val="21"/>
              </w:rPr>
              <w:t>计价单位</w:t>
            </w:r>
          </w:p>
        </w:tc>
        <w:tc>
          <w:tcPr>
            <w:tcW w:w="2968" w:type="dxa"/>
            <w:vAlign w:val="center"/>
          </w:tcPr>
          <w:p>
            <w:pPr>
              <w:jc w:val="center"/>
              <w:rPr>
                <w:rFonts w:ascii="仿宋" w:hAnsi="仿宋" w:eastAsia="仿宋" w:cs="仿宋"/>
                <w:b/>
                <w:bCs/>
                <w:sz w:val="21"/>
                <w:szCs w:val="21"/>
              </w:rPr>
            </w:pPr>
            <w:r>
              <w:rPr>
                <w:rFonts w:hint="eastAsia" w:ascii="仿宋" w:hAnsi="仿宋" w:eastAsia="仿宋" w:cs="仿宋"/>
                <w:b/>
                <w:bCs/>
                <w:sz w:val="21"/>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90" w:type="dxa"/>
            <w:vAlign w:val="center"/>
          </w:tcPr>
          <w:p>
            <w:pPr>
              <w:rPr>
                <w:rFonts w:ascii="仿宋" w:hAnsi="仿宋" w:eastAsia="仿宋" w:cs="仿宋"/>
                <w:sz w:val="21"/>
                <w:szCs w:val="21"/>
              </w:rPr>
            </w:pPr>
            <w:r>
              <w:rPr>
                <w:rFonts w:hint="eastAsia" w:ascii="仿宋" w:hAnsi="仿宋" w:eastAsia="仿宋" w:cs="仿宋"/>
                <w:sz w:val="21"/>
                <w:szCs w:val="21"/>
              </w:rPr>
              <w:t>1.已抵押担保的债权数额</w:t>
            </w:r>
          </w:p>
        </w:tc>
        <w:tc>
          <w:tcPr>
            <w:tcW w:w="3190" w:type="dxa"/>
            <w:vAlign w:val="center"/>
          </w:tcPr>
          <w:p>
            <w:pPr>
              <w:jc w:val="center"/>
              <w:rPr>
                <w:rFonts w:ascii="仿宋" w:hAnsi="仿宋" w:eastAsia="仿宋" w:cs="仿宋"/>
                <w:sz w:val="21"/>
                <w:szCs w:val="21"/>
              </w:rPr>
            </w:pPr>
            <w:r>
              <w:rPr>
                <w:rFonts w:hint="eastAsia" w:ascii="仿宋" w:hAnsi="仿宋" w:eastAsia="仿宋" w:cs="仿宋"/>
                <w:sz w:val="21"/>
                <w:szCs w:val="21"/>
              </w:rPr>
              <w:t>总额（元）</w:t>
            </w:r>
          </w:p>
        </w:tc>
        <w:tc>
          <w:tcPr>
            <w:tcW w:w="2968" w:type="dxa"/>
            <w:vAlign w:val="center"/>
          </w:tcPr>
          <w:p>
            <w:pPr>
              <w:jc w:val="center"/>
              <w:rPr>
                <w:rFonts w:ascii="仿宋" w:hAnsi="仿宋" w:eastAsia="仿宋" w:cs="仿宋"/>
                <w:sz w:val="21"/>
                <w:szCs w:val="21"/>
              </w:rPr>
            </w:pPr>
            <w:r>
              <w:rPr>
                <w:rFonts w:hint="eastAsia" w:ascii="仿宋" w:hAnsi="仿宋" w:eastAsia="仿宋" w:cs="仿宋"/>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90" w:type="dxa"/>
            <w:vAlign w:val="center"/>
          </w:tcPr>
          <w:p>
            <w:pPr>
              <w:rPr>
                <w:rFonts w:ascii="仿宋" w:hAnsi="仿宋" w:eastAsia="仿宋" w:cs="仿宋"/>
                <w:sz w:val="21"/>
                <w:szCs w:val="21"/>
              </w:rPr>
            </w:pPr>
            <w:r>
              <w:rPr>
                <w:rFonts w:hint="eastAsia" w:ascii="仿宋" w:hAnsi="仿宋" w:eastAsia="仿宋" w:cs="仿宋"/>
                <w:sz w:val="21"/>
                <w:szCs w:val="21"/>
              </w:rPr>
              <w:t>2.拖欠的建设工程价款</w:t>
            </w:r>
          </w:p>
        </w:tc>
        <w:tc>
          <w:tcPr>
            <w:tcW w:w="3190" w:type="dxa"/>
            <w:vAlign w:val="center"/>
          </w:tcPr>
          <w:p>
            <w:pPr>
              <w:jc w:val="center"/>
              <w:rPr>
                <w:rFonts w:ascii="仿宋" w:hAnsi="仿宋" w:eastAsia="仿宋" w:cs="仿宋"/>
                <w:sz w:val="21"/>
                <w:szCs w:val="21"/>
              </w:rPr>
            </w:pPr>
            <w:r>
              <w:rPr>
                <w:rFonts w:hint="eastAsia" w:ascii="仿宋" w:hAnsi="仿宋" w:eastAsia="仿宋" w:cs="仿宋"/>
                <w:sz w:val="21"/>
                <w:szCs w:val="21"/>
              </w:rPr>
              <w:t>总额（元）</w:t>
            </w:r>
          </w:p>
        </w:tc>
        <w:tc>
          <w:tcPr>
            <w:tcW w:w="2968" w:type="dxa"/>
            <w:vAlign w:val="center"/>
          </w:tcPr>
          <w:p>
            <w:pPr>
              <w:jc w:val="center"/>
              <w:rPr>
                <w:rFonts w:ascii="仿宋" w:hAnsi="仿宋" w:eastAsia="仿宋" w:cs="仿宋"/>
                <w:sz w:val="21"/>
                <w:szCs w:val="21"/>
              </w:rPr>
            </w:pPr>
            <w:r>
              <w:rPr>
                <w:rFonts w:hint="eastAsia" w:ascii="仿宋" w:hAnsi="仿宋" w:eastAsia="仿宋" w:cs="仿宋"/>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90" w:type="dxa"/>
            <w:vAlign w:val="center"/>
          </w:tcPr>
          <w:p>
            <w:pPr>
              <w:rPr>
                <w:rFonts w:ascii="仿宋" w:hAnsi="仿宋" w:eastAsia="仿宋" w:cs="仿宋"/>
                <w:sz w:val="21"/>
                <w:szCs w:val="21"/>
              </w:rPr>
            </w:pPr>
            <w:r>
              <w:rPr>
                <w:rFonts w:hint="eastAsia" w:ascii="仿宋" w:hAnsi="仿宋" w:eastAsia="仿宋" w:cs="仿宋"/>
                <w:sz w:val="21"/>
                <w:szCs w:val="21"/>
              </w:rPr>
              <w:t>3.其他法定优先受偿款</w:t>
            </w:r>
          </w:p>
        </w:tc>
        <w:tc>
          <w:tcPr>
            <w:tcW w:w="3190" w:type="dxa"/>
            <w:vAlign w:val="center"/>
          </w:tcPr>
          <w:p>
            <w:pPr>
              <w:jc w:val="center"/>
              <w:rPr>
                <w:rFonts w:ascii="仿宋" w:hAnsi="仿宋" w:eastAsia="仿宋" w:cs="仿宋"/>
                <w:sz w:val="21"/>
                <w:szCs w:val="21"/>
              </w:rPr>
            </w:pPr>
            <w:r>
              <w:rPr>
                <w:rFonts w:hint="eastAsia" w:ascii="仿宋" w:hAnsi="仿宋" w:eastAsia="仿宋" w:cs="仿宋"/>
                <w:sz w:val="21"/>
                <w:szCs w:val="21"/>
              </w:rPr>
              <w:t>总额（元）</w:t>
            </w:r>
          </w:p>
        </w:tc>
        <w:tc>
          <w:tcPr>
            <w:tcW w:w="2968" w:type="dxa"/>
            <w:vAlign w:val="center"/>
          </w:tcPr>
          <w:p>
            <w:pPr>
              <w:jc w:val="center"/>
              <w:rPr>
                <w:rFonts w:ascii="仿宋" w:hAnsi="仿宋" w:eastAsia="仿宋" w:cs="仿宋"/>
                <w:sz w:val="21"/>
                <w:szCs w:val="21"/>
              </w:rPr>
            </w:pPr>
            <w:r>
              <w:rPr>
                <w:rFonts w:hint="eastAsia" w:ascii="仿宋" w:hAnsi="仿宋" w:eastAsia="仿宋" w:cs="仿宋"/>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80" w:type="dxa"/>
            <w:gridSpan w:val="2"/>
            <w:vAlign w:val="center"/>
          </w:tcPr>
          <w:p>
            <w:pPr>
              <w:jc w:val="center"/>
              <w:rPr>
                <w:rFonts w:ascii="仿宋" w:hAnsi="仿宋" w:eastAsia="仿宋" w:cs="仿宋"/>
                <w:b w:val="0"/>
                <w:bCs w:val="0"/>
                <w:sz w:val="21"/>
                <w:szCs w:val="21"/>
              </w:rPr>
            </w:pPr>
            <w:r>
              <w:rPr>
                <w:rFonts w:hint="eastAsia" w:ascii="仿宋" w:hAnsi="仿宋" w:eastAsia="仿宋" w:cs="仿宋"/>
                <w:b w:val="0"/>
                <w:bCs w:val="0"/>
                <w:sz w:val="21"/>
                <w:szCs w:val="21"/>
              </w:rPr>
              <w:t>合计</w:t>
            </w:r>
          </w:p>
        </w:tc>
        <w:tc>
          <w:tcPr>
            <w:tcW w:w="2968" w:type="dxa"/>
            <w:vAlign w:val="center"/>
          </w:tcPr>
          <w:p>
            <w:pPr>
              <w:jc w:val="center"/>
              <w:rPr>
                <w:rFonts w:ascii="仿宋" w:hAnsi="仿宋" w:eastAsia="仿宋" w:cs="仿宋"/>
                <w:b w:val="0"/>
                <w:bCs w:val="0"/>
                <w:sz w:val="21"/>
                <w:szCs w:val="21"/>
              </w:rPr>
            </w:pPr>
            <w:r>
              <w:rPr>
                <w:rFonts w:hint="eastAsia" w:ascii="仿宋" w:hAnsi="仿宋" w:eastAsia="仿宋" w:cs="仿宋"/>
                <w:b w:val="0"/>
                <w:bCs w:val="0"/>
                <w:sz w:val="21"/>
                <w:szCs w:val="21"/>
              </w:rPr>
              <w:t>0</w:t>
            </w:r>
          </w:p>
        </w:tc>
      </w:tr>
    </w:tbl>
    <w:p>
      <w:pPr>
        <w:spacing w:line="360" w:lineRule="auto"/>
        <w:ind w:firstLine="482" w:firstLineChars="200"/>
        <w:outlineLvl w:val="2"/>
        <w:rPr>
          <w:rFonts w:hint="eastAsia" w:ascii="仿宋" w:hAnsi="仿宋" w:eastAsia="仿宋" w:cs="仿宋"/>
          <w:b/>
          <w:bCs/>
          <w:sz w:val="24"/>
          <w:szCs w:val="24"/>
        </w:rPr>
      </w:pPr>
      <w:r>
        <w:rPr>
          <w:rFonts w:hint="eastAsia" w:ascii="仿宋" w:hAnsi="仿宋" w:eastAsia="仿宋" w:cs="仿宋"/>
          <w:b/>
          <w:bCs/>
          <w:sz w:val="24"/>
          <w:szCs w:val="24"/>
        </w:rPr>
        <w:t>(三)</w:t>
      </w:r>
      <w:r>
        <w:rPr>
          <w:rFonts w:hint="eastAsia" w:ascii="仿宋" w:hAnsi="仿宋" w:eastAsia="仿宋" w:cs="仿宋"/>
        </w:rPr>
        <w:t xml:space="preserve"> </w:t>
      </w:r>
      <w:r>
        <w:rPr>
          <w:rFonts w:hint="eastAsia" w:ascii="仿宋" w:hAnsi="仿宋" w:eastAsia="仿宋" w:cs="仿宋"/>
          <w:b/>
          <w:bCs/>
          <w:sz w:val="24"/>
          <w:szCs w:val="24"/>
          <w:lang w:eastAsia="zh-CN"/>
        </w:rPr>
        <w:t>市场价值</w:t>
      </w:r>
      <w:r>
        <w:rPr>
          <w:rFonts w:hint="eastAsia" w:ascii="仿宋" w:hAnsi="仿宋" w:eastAsia="仿宋" w:cs="仿宋"/>
          <w:b/>
          <w:bCs/>
          <w:sz w:val="24"/>
          <w:szCs w:val="24"/>
        </w:rPr>
        <w:t>的确定</w:t>
      </w:r>
    </w:p>
    <w:p>
      <w:pPr>
        <w:pStyle w:val="10"/>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市场价值</w:t>
      </w:r>
      <w:r>
        <w:rPr>
          <w:rFonts w:hint="eastAsia" w:ascii="仿宋" w:hAnsi="仿宋" w:eastAsia="仿宋" w:cs="仿宋"/>
          <w:sz w:val="24"/>
          <w:szCs w:val="24"/>
        </w:rPr>
        <w:t>=假定未设立法定优先受偿权下的价值-法定优先受偿款</w:t>
      </w:r>
      <w:r>
        <w:rPr>
          <w:rFonts w:hint="eastAsia" w:ascii="仿宋" w:hAnsi="仿宋" w:eastAsia="仿宋" w:cs="仿宋"/>
          <w:sz w:val="24"/>
          <w:szCs w:val="24"/>
          <w:lang w:eastAsia="zh-CN"/>
        </w:rPr>
        <w:t>，如下表：</w:t>
      </w:r>
    </w:p>
    <w:tbl>
      <w:tblPr>
        <w:tblStyle w:val="22"/>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4"/>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404" w:type="dxa"/>
            <w:vAlign w:val="center"/>
          </w:tcPr>
          <w:p>
            <w:pPr>
              <w:spacing w:line="240" w:lineRule="auto"/>
              <w:jc w:val="center"/>
              <w:rPr>
                <w:rFonts w:ascii="仿宋" w:hAnsi="仿宋" w:eastAsia="仿宋" w:cs="仿宋"/>
                <w:sz w:val="18"/>
                <w:szCs w:val="18"/>
              </w:rPr>
            </w:pPr>
            <w:r>
              <w:rPr>
                <w:rFonts w:hint="eastAsia" w:ascii="仿宋" w:hAnsi="仿宋" w:eastAsia="仿宋" w:cs="仿宋"/>
                <w:b/>
                <w:bCs/>
                <w:color w:val="auto"/>
                <w:sz w:val="21"/>
                <w:szCs w:val="21"/>
                <w:lang w:eastAsia="zh-CN"/>
              </w:rPr>
              <w:t>项目内容</w:t>
            </w:r>
          </w:p>
        </w:tc>
        <w:tc>
          <w:tcPr>
            <w:tcW w:w="5953" w:type="dxa"/>
            <w:vAlign w:val="center"/>
          </w:tcPr>
          <w:p>
            <w:pPr>
              <w:spacing w:line="240" w:lineRule="auto"/>
              <w:jc w:val="center"/>
              <w:rPr>
                <w:rFonts w:ascii="仿宋" w:hAnsi="仿宋" w:eastAsia="仿宋" w:cs="仿宋"/>
                <w:b w:val="0"/>
                <w:bCs/>
                <w:sz w:val="18"/>
                <w:szCs w:val="18"/>
              </w:rPr>
            </w:pPr>
            <w:r>
              <w:rPr>
                <w:rFonts w:hint="eastAsia" w:ascii="仿宋" w:hAnsi="仿宋" w:eastAsia="仿宋" w:cs="仿宋"/>
                <w:b/>
                <w:bCs/>
                <w:color w:val="auto"/>
                <w:sz w:val="21"/>
                <w:szCs w:val="21"/>
              </w:rPr>
              <w:t>估价结果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4" w:type="dxa"/>
            <w:vAlign w:val="center"/>
          </w:tcPr>
          <w:p>
            <w:pPr>
              <w:spacing w:line="240" w:lineRule="auto"/>
              <w:jc w:val="left"/>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r>
              <w:rPr>
                <w:rFonts w:hint="eastAsia" w:ascii="仿宋" w:hAnsi="仿宋" w:eastAsia="仿宋" w:cs="仿宋"/>
                <w:b w:val="0"/>
                <w:bCs/>
                <w:color w:val="auto"/>
                <w:sz w:val="21"/>
                <w:szCs w:val="21"/>
                <w:lang w:eastAsia="zh-CN"/>
              </w:rPr>
              <w:t>市场价值</w:t>
            </w:r>
            <w:r>
              <w:rPr>
                <w:rFonts w:hint="eastAsia" w:ascii="仿宋" w:hAnsi="仿宋" w:eastAsia="仿宋" w:cs="仿宋"/>
                <w:b w:val="0"/>
                <w:bCs/>
                <w:color w:val="auto"/>
                <w:sz w:val="21"/>
                <w:szCs w:val="21"/>
              </w:rPr>
              <w:t>总额</w:t>
            </w:r>
          </w:p>
        </w:tc>
        <w:tc>
          <w:tcPr>
            <w:tcW w:w="5953" w:type="dxa"/>
            <w:vAlign w:val="center"/>
          </w:tcPr>
          <w:p>
            <w:pPr>
              <w:spacing w:line="240" w:lineRule="auto"/>
              <w:jc w:val="left"/>
              <w:rPr>
                <w:rFonts w:hint="eastAsia" w:ascii="仿宋" w:hAnsi="仿宋" w:eastAsia="仿宋" w:cs="仿宋"/>
                <w:b w:val="0"/>
                <w:bCs/>
                <w:color w:val="auto"/>
                <w:sz w:val="21"/>
                <w:szCs w:val="21"/>
              </w:rPr>
            </w:pPr>
            <w:r>
              <w:rPr>
                <w:rFonts w:hint="eastAsia" w:ascii="仿宋" w:hAnsi="仿宋" w:eastAsia="仿宋" w:cs="仿宋"/>
                <w:b w:val="0"/>
                <w:bCs/>
                <w:color w:val="auto"/>
                <w:sz w:val="21"/>
                <w:szCs w:val="21"/>
              </w:rPr>
              <w:t>人民币</w:t>
            </w:r>
            <w:r>
              <w:rPr>
                <w:rFonts w:hint="eastAsia" w:ascii="仿宋" w:hAnsi="仿宋" w:eastAsia="仿宋" w:cs="仿宋"/>
                <w:b w:val="0"/>
                <w:bCs/>
                <w:color w:val="auto"/>
                <w:sz w:val="21"/>
                <w:szCs w:val="21"/>
                <w:lang w:eastAsia="zh-CN"/>
              </w:rPr>
              <w:t>贰佰伍拾贰万陆仟伍佰元</w:t>
            </w:r>
            <w:r>
              <w:rPr>
                <w:rFonts w:hint="eastAsia" w:ascii="仿宋" w:hAnsi="仿宋" w:eastAsia="仿宋" w:cs="仿宋"/>
                <w:b w:val="0"/>
                <w:bCs/>
                <w:color w:val="auto"/>
                <w:sz w:val="21"/>
                <w:szCs w:val="21"/>
              </w:rPr>
              <w:t>整（人民币</w:t>
            </w:r>
            <w:r>
              <w:rPr>
                <w:rFonts w:hint="eastAsia" w:ascii="仿宋" w:hAnsi="仿宋" w:eastAsia="仿宋" w:cs="仿宋"/>
                <w:b w:val="0"/>
                <w:bCs/>
                <w:color w:val="auto"/>
                <w:sz w:val="21"/>
                <w:szCs w:val="21"/>
                <w:lang w:val="en-US" w:eastAsia="zh-CN"/>
              </w:rPr>
              <w:t>252.65万元</w:t>
            </w:r>
            <w:r>
              <w:rPr>
                <w:rFonts w:hint="eastAsia" w:ascii="仿宋" w:hAnsi="仿宋" w:eastAsia="仿宋" w:cs="仿宋"/>
                <w:b w:val="0"/>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404" w:type="dxa"/>
            <w:vAlign w:val="center"/>
          </w:tcPr>
          <w:p>
            <w:pPr>
              <w:spacing w:line="240" w:lineRule="auto"/>
              <w:jc w:val="left"/>
              <w:rPr>
                <w:rFonts w:hint="eastAsia" w:ascii="仿宋" w:hAnsi="仿宋" w:eastAsia="仿宋" w:cs="仿宋"/>
                <w:b w:val="0"/>
                <w:bCs/>
                <w:color w:val="auto"/>
                <w:sz w:val="21"/>
                <w:szCs w:val="21"/>
              </w:rPr>
            </w:pPr>
            <w:r>
              <w:rPr>
                <w:rFonts w:hint="eastAsia" w:ascii="仿宋" w:hAnsi="仿宋" w:eastAsia="仿宋" w:cs="仿宋"/>
                <w:b w:val="0"/>
                <w:bCs/>
                <w:color w:val="auto"/>
                <w:sz w:val="21"/>
                <w:szCs w:val="21"/>
                <w:lang w:val="en-US" w:eastAsia="zh-CN"/>
              </w:rPr>
              <w:t>2.</w:t>
            </w:r>
            <w:r>
              <w:rPr>
                <w:rFonts w:hint="eastAsia" w:ascii="仿宋" w:hAnsi="仿宋" w:eastAsia="仿宋" w:cs="仿宋"/>
                <w:b w:val="0"/>
                <w:bCs/>
                <w:color w:val="auto"/>
                <w:sz w:val="21"/>
                <w:szCs w:val="21"/>
                <w:lang w:eastAsia="zh-CN"/>
              </w:rPr>
              <w:t>市场价值单价</w:t>
            </w:r>
          </w:p>
        </w:tc>
        <w:tc>
          <w:tcPr>
            <w:tcW w:w="5953" w:type="dxa"/>
            <w:vAlign w:val="center"/>
          </w:tcPr>
          <w:p>
            <w:pPr>
              <w:spacing w:line="240" w:lineRule="auto"/>
              <w:jc w:val="left"/>
              <w:rPr>
                <w:rFonts w:hint="eastAsia" w:ascii="仿宋" w:hAnsi="仿宋" w:eastAsia="仿宋" w:cs="仿宋"/>
                <w:b w:val="0"/>
                <w:bCs/>
                <w:color w:val="auto"/>
                <w:sz w:val="21"/>
                <w:szCs w:val="21"/>
              </w:rPr>
            </w:pPr>
            <w:r>
              <w:rPr>
                <w:rFonts w:hint="eastAsia" w:ascii="仿宋" w:hAnsi="仿宋" w:eastAsia="仿宋" w:cs="仿宋"/>
                <w:b w:val="0"/>
                <w:bCs/>
                <w:color w:val="auto"/>
                <w:sz w:val="21"/>
                <w:szCs w:val="21"/>
              </w:rPr>
              <w:t>人民币</w:t>
            </w:r>
            <w:r>
              <w:rPr>
                <w:rFonts w:hint="eastAsia" w:ascii="仿宋" w:hAnsi="仿宋" w:eastAsia="仿宋" w:cs="仿宋"/>
                <w:b w:val="0"/>
                <w:bCs/>
                <w:color w:val="auto"/>
                <w:sz w:val="21"/>
                <w:szCs w:val="21"/>
                <w:lang w:val="en-US" w:eastAsia="zh-CN"/>
              </w:rPr>
              <w:t>2326元/平方米</w:t>
            </w:r>
          </w:p>
        </w:tc>
      </w:tr>
    </w:tbl>
    <w:p>
      <w:pPr>
        <w:pStyle w:val="10"/>
        <w:spacing w:line="360" w:lineRule="auto"/>
        <w:ind w:firstLine="482" w:firstLineChars="200"/>
        <w:outlineLvl w:val="2"/>
        <w:rPr>
          <w:rFonts w:hint="eastAsia" w:ascii="仿宋" w:hAnsi="仿宋" w:eastAsia="仿宋" w:cs="仿宋"/>
          <w:b/>
          <w:sz w:val="24"/>
          <w:szCs w:val="24"/>
        </w:rPr>
      </w:pPr>
      <w:r>
        <w:rPr>
          <w:rFonts w:hint="eastAsia" w:ascii="仿宋" w:hAnsi="仿宋" w:eastAsia="仿宋" w:cs="仿宋"/>
          <w:b/>
          <w:sz w:val="24"/>
          <w:szCs w:val="24"/>
        </w:rPr>
        <w:t>(四)对估价对象处置过程中相关税费及扣税后抵押净值的计算</w:t>
      </w:r>
    </w:p>
    <w:p>
      <w:pPr>
        <w:pStyle w:val="10"/>
        <w:widowControl w:val="0"/>
        <w:wordWrap/>
        <w:adjustRightInd/>
        <w:snapToGrid/>
        <w:spacing w:line="360" w:lineRule="auto"/>
        <w:ind w:firstLine="555"/>
        <w:textAlignment w:val="auto"/>
        <w:rPr>
          <w:rFonts w:hint="eastAsia" w:ascii="仿宋" w:hAnsi="仿宋" w:eastAsia="仿宋" w:cs="仿宋"/>
          <w:sz w:val="24"/>
        </w:rPr>
      </w:pPr>
      <w:r>
        <w:rPr>
          <w:rFonts w:hint="eastAsia" w:ascii="仿宋" w:hAnsi="仿宋" w:eastAsia="仿宋" w:cs="仿宋"/>
          <w:sz w:val="24"/>
        </w:rPr>
        <w:t>根据现行房地产转让管理有关规定，以抵押贷款为目的的房地产价格评估，需假设以估价对象的估价现值为基础进入现行市场进行转让，并计算转让方根据国家有关法律、法规应缴纳的优先受偿额。计算如下表：</w:t>
      </w:r>
    </w:p>
    <w:p>
      <w:pPr>
        <w:pStyle w:val="10"/>
        <w:widowControl w:val="0"/>
        <w:wordWrap/>
        <w:adjustRightInd/>
        <w:snapToGrid/>
        <w:spacing w:line="360" w:lineRule="auto"/>
        <w:ind w:firstLine="555"/>
        <w:textAlignment w:val="auto"/>
        <w:rPr>
          <w:rFonts w:hint="eastAsia" w:ascii="仿宋" w:hAnsi="仿宋" w:eastAsia="仿宋" w:cs="仿宋"/>
          <w:sz w:val="24"/>
        </w:rPr>
      </w:pPr>
    </w:p>
    <w:p>
      <w:pPr>
        <w:pStyle w:val="10"/>
        <w:widowControl w:val="0"/>
        <w:wordWrap/>
        <w:adjustRightInd/>
        <w:snapToGrid/>
        <w:spacing w:line="360" w:lineRule="auto"/>
        <w:ind w:firstLine="555"/>
        <w:textAlignment w:val="auto"/>
        <w:rPr>
          <w:rFonts w:hint="eastAsia" w:ascii="仿宋" w:hAnsi="仿宋" w:eastAsia="仿宋" w:cs="仿宋"/>
          <w:sz w:val="24"/>
        </w:rPr>
      </w:pPr>
    </w:p>
    <w:tbl>
      <w:tblPr>
        <w:tblStyle w:val="22"/>
        <w:tblW w:w="9648"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445"/>
        <w:gridCol w:w="1296"/>
        <w:gridCol w:w="1029"/>
        <w:gridCol w:w="1125"/>
        <w:gridCol w:w="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vAlign w:val="center"/>
          </w:tcPr>
          <w:p>
            <w:pPr>
              <w:widowControl/>
              <w:jc w:val="center"/>
              <w:textAlignment w:val="center"/>
              <w:rPr>
                <w:rFonts w:hint="eastAsia" w:ascii="仿宋" w:hAnsi="仿宋" w:eastAsia="仿宋" w:cs="仿宋"/>
                <w:b/>
                <w:bCs w:val="0"/>
                <w:sz w:val="18"/>
                <w:szCs w:val="18"/>
              </w:rPr>
            </w:pPr>
            <w:r>
              <w:rPr>
                <w:rFonts w:hint="eastAsia" w:ascii="仿宋" w:hAnsi="仿宋" w:eastAsia="仿宋" w:cs="仿宋"/>
                <w:b/>
                <w:bCs w:val="0"/>
                <w:color w:val="000000"/>
                <w:kern w:val="0"/>
                <w:sz w:val="18"/>
                <w:szCs w:val="18"/>
              </w:rPr>
              <w:t>序号</w:t>
            </w:r>
          </w:p>
        </w:tc>
        <w:tc>
          <w:tcPr>
            <w:tcW w:w="1445" w:type="dxa"/>
            <w:vAlign w:val="center"/>
          </w:tcPr>
          <w:p>
            <w:pPr>
              <w:widowControl/>
              <w:jc w:val="center"/>
              <w:textAlignment w:val="center"/>
              <w:rPr>
                <w:rFonts w:hint="eastAsia" w:ascii="仿宋" w:hAnsi="仿宋" w:eastAsia="仿宋" w:cs="仿宋"/>
                <w:b/>
                <w:bCs w:val="0"/>
                <w:color w:val="000000"/>
                <w:kern w:val="0"/>
                <w:sz w:val="18"/>
                <w:szCs w:val="18"/>
              </w:rPr>
            </w:pPr>
            <w:r>
              <w:rPr>
                <w:rFonts w:hint="eastAsia" w:ascii="仿宋" w:hAnsi="仿宋" w:eastAsia="仿宋" w:cs="仿宋"/>
                <w:b/>
                <w:bCs w:val="0"/>
                <w:color w:val="000000"/>
                <w:kern w:val="0"/>
                <w:sz w:val="18"/>
                <w:szCs w:val="18"/>
              </w:rPr>
              <w:t>税费项目</w:t>
            </w:r>
          </w:p>
        </w:tc>
        <w:tc>
          <w:tcPr>
            <w:tcW w:w="1296" w:type="dxa"/>
            <w:vAlign w:val="center"/>
          </w:tcPr>
          <w:p>
            <w:pPr>
              <w:widowControl/>
              <w:jc w:val="center"/>
              <w:textAlignment w:val="center"/>
              <w:rPr>
                <w:rFonts w:hint="eastAsia" w:ascii="仿宋" w:hAnsi="仿宋" w:eastAsia="仿宋" w:cs="仿宋"/>
                <w:b/>
                <w:bCs w:val="0"/>
                <w:sz w:val="18"/>
                <w:szCs w:val="18"/>
              </w:rPr>
            </w:pPr>
            <w:r>
              <w:rPr>
                <w:rFonts w:hint="eastAsia" w:ascii="仿宋" w:hAnsi="仿宋" w:eastAsia="仿宋" w:cs="仿宋"/>
                <w:b/>
                <w:bCs w:val="0"/>
                <w:color w:val="000000"/>
                <w:kern w:val="0"/>
                <w:sz w:val="18"/>
                <w:szCs w:val="18"/>
              </w:rPr>
              <w:t>计税依据</w:t>
            </w:r>
          </w:p>
        </w:tc>
        <w:tc>
          <w:tcPr>
            <w:tcW w:w="1029" w:type="dxa"/>
            <w:vAlign w:val="center"/>
          </w:tcPr>
          <w:p>
            <w:pPr>
              <w:keepNext w:val="0"/>
              <w:keepLines w:val="0"/>
              <w:widowControl/>
              <w:suppressLineNumbers w:val="0"/>
              <w:jc w:val="center"/>
              <w:textAlignment w:val="center"/>
              <w:rPr>
                <w:rFonts w:hint="eastAsia" w:ascii="仿宋" w:hAnsi="仿宋" w:eastAsia="仿宋" w:cs="仿宋"/>
                <w:b/>
                <w:bCs w:val="0"/>
                <w:sz w:val="18"/>
                <w:szCs w:val="18"/>
              </w:rPr>
            </w:pPr>
            <w:r>
              <w:rPr>
                <w:rFonts w:hint="eastAsia" w:ascii="仿宋" w:hAnsi="仿宋" w:eastAsia="仿宋" w:cs="仿宋"/>
                <w:b/>
                <w:bCs w:val="0"/>
                <w:i w:val="0"/>
                <w:color w:val="000000"/>
                <w:kern w:val="0"/>
                <w:sz w:val="18"/>
                <w:szCs w:val="18"/>
                <w:u w:val="none"/>
                <w:lang w:val="en-US" w:eastAsia="zh-CN" w:bidi="ar"/>
              </w:rPr>
              <w:t>税（费）率</w:t>
            </w:r>
          </w:p>
        </w:tc>
        <w:tc>
          <w:tcPr>
            <w:tcW w:w="1125" w:type="dxa"/>
            <w:vAlign w:val="center"/>
          </w:tcPr>
          <w:p>
            <w:pPr>
              <w:keepNext w:val="0"/>
              <w:keepLines w:val="0"/>
              <w:widowControl/>
              <w:suppressLineNumbers w:val="0"/>
              <w:jc w:val="center"/>
              <w:textAlignment w:val="center"/>
              <w:rPr>
                <w:rFonts w:hint="eastAsia" w:ascii="仿宋" w:hAnsi="仿宋" w:eastAsia="仿宋" w:cs="仿宋"/>
                <w:b/>
                <w:bCs w:val="0"/>
                <w:color w:val="000000"/>
                <w:kern w:val="0"/>
                <w:sz w:val="18"/>
                <w:szCs w:val="18"/>
              </w:rPr>
            </w:pPr>
            <w:r>
              <w:rPr>
                <w:rFonts w:hint="eastAsia" w:ascii="仿宋" w:hAnsi="仿宋" w:eastAsia="仿宋" w:cs="仿宋"/>
                <w:b/>
                <w:bCs w:val="0"/>
                <w:i w:val="0"/>
                <w:color w:val="000000"/>
                <w:kern w:val="0"/>
                <w:sz w:val="18"/>
                <w:szCs w:val="18"/>
                <w:u w:val="none"/>
                <w:lang w:val="en-US" w:eastAsia="zh-CN" w:bidi="ar"/>
              </w:rPr>
              <w:t>金额（万元）</w:t>
            </w:r>
          </w:p>
        </w:tc>
        <w:tc>
          <w:tcPr>
            <w:tcW w:w="4175" w:type="dxa"/>
            <w:vAlign w:val="center"/>
          </w:tcPr>
          <w:p>
            <w:pPr>
              <w:widowControl/>
              <w:jc w:val="center"/>
              <w:textAlignment w:val="center"/>
              <w:rPr>
                <w:rFonts w:hint="eastAsia" w:ascii="仿宋" w:hAnsi="仿宋" w:eastAsia="仿宋" w:cs="仿宋"/>
                <w:b/>
                <w:bCs w:val="0"/>
                <w:i w:val="0"/>
                <w:color w:val="000000"/>
                <w:kern w:val="0"/>
                <w:sz w:val="18"/>
                <w:szCs w:val="18"/>
                <w:u w:val="none"/>
                <w:lang w:val="en-US" w:eastAsia="zh-CN" w:bidi="ar-SA"/>
              </w:rPr>
            </w:pPr>
            <w:r>
              <w:rPr>
                <w:rFonts w:hint="eastAsia" w:ascii="仿宋" w:hAnsi="仿宋" w:eastAsia="仿宋" w:cs="仿宋"/>
                <w:b/>
                <w:bCs w:val="0"/>
                <w:i w:val="0"/>
                <w:color w:val="000000"/>
                <w:kern w:val="0"/>
                <w:sz w:val="18"/>
                <w:szCs w:val="18"/>
                <w:u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vAlign w:val="center"/>
          </w:tcPr>
          <w:p>
            <w:pPr>
              <w:widowControl/>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一</w:t>
            </w:r>
          </w:p>
        </w:tc>
        <w:tc>
          <w:tcPr>
            <w:tcW w:w="1445" w:type="dxa"/>
            <w:vAlign w:val="center"/>
          </w:tcPr>
          <w:p>
            <w:pPr>
              <w:widowControl/>
              <w:jc w:val="left"/>
              <w:textAlignment w:val="center"/>
              <w:rPr>
                <w:rFonts w:hint="eastAsia" w:ascii="仿宋" w:hAnsi="仿宋" w:eastAsia="仿宋" w:cs="仿宋"/>
                <w:b w:val="0"/>
                <w:bCs/>
                <w:color w:val="000000"/>
                <w:kern w:val="0"/>
                <w:sz w:val="18"/>
                <w:szCs w:val="18"/>
                <w:lang w:eastAsia="zh-CN"/>
              </w:rPr>
            </w:pPr>
            <w:r>
              <w:rPr>
                <w:rFonts w:hint="eastAsia" w:ascii="仿宋" w:hAnsi="仿宋" w:eastAsia="仿宋" w:cs="仿宋"/>
                <w:b w:val="0"/>
                <w:bCs/>
                <w:color w:val="000000"/>
                <w:kern w:val="0"/>
                <w:sz w:val="18"/>
                <w:szCs w:val="18"/>
                <w:lang w:eastAsia="zh-CN"/>
              </w:rPr>
              <w:t>市场价值</w:t>
            </w:r>
          </w:p>
        </w:tc>
        <w:tc>
          <w:tcPr>
            <w:tcW w:w="1296" w:type="dxa"/>
            <w:vAlign w:val="center"/>
          </w:tcPr>
          <w:p>
            <w:pPr>
              <w:widowControl/>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w:t>
            </w:r>
          </w:p>
        </w:tc>
        <w:tc>
          <w:tcPr>
            <w:tcW w:w="1029"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i w:val="0"/>
                <w:color w:val="000000"/>
                <w:kern w:val="0"/>
                <w:sz w:val="18"/>
                <w:szCs w:val="18"/>
                <w:u w:val="none"/>
                <w:lang w:val="en-US" w:eastAsia="zh-CN" w:bidi="ar"/>
              </w:rPr>
              <w:t>——</w:t>
            </w:r>
          </w:p>
        </w:tc>
        <w:tc>
          <w:tcPr>
            <w:tcW w:w="1125"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iCs w:val="0"/>
                <w:color w:val="000000"/>
                <w:kern w:val="0"/>
                <w:sz w:val="20"/>
                <w:szCs w:val="20"/>
                <w:u w:val="none"/>
                <w:lang w:val="en-US" w:eastAsia="zh-CN" w:bidi="ar"/>
              </w:rPr>
              <w:t xml:space="preserve">252.65 </w:t>
            </w:r>
          </w:p>
        </w:tc>
        <w:tc>
          <w:tcPr>
            <w:tcW w:w="4175" w:type="dxa"/>
            <w:vAlign w:val="center"/>
          </w:tcPr>
          <w:p>
            <w:pPr>
              <w:keepNext w:val="0"/>
              <w:keepLines w:val="0"/>
              <w:widowControl/>
              <w:suppressLineNumbers w:val="0"/>
              <w:jc w:val="left"/>
              <w:textAlignment w:val="center"/>
              <w:rPr>
                <w:rFonts w:hint="eastAsia" w:ascii="仿宋" w:hAnsi="仿宋" w:eastAsia="仿宋" w:cs="仿宋"/>
                <w:b w:val="0"/>
                <w:bCs/>
                <w:i w:val="0"/>
                <w:color w:val="000000"/>
                <w:kern w:val="0"/>
                <w:sz w:val="18"/>
                <w:szCs w:val="18"/>
                <w:u w:val="none"/>
                <w:lang w:val="en-US" w:eastAsia="zh-CN" w:bidi="ar-SA"/>
              </w:rPr>
            </w:pPr>
            <w:r>
              <w:rPr>
                <w:rFonts w:hint="eastAsia" w:ascii="仿宋" w:hAnsi="仿宋" w:eastAsia="仿宋" w:cs="仿宋"/>
                <w:i w:val="0"/>
                <w:iCs w:val="0"/>
                <w:color w:val="000000"/>
                <w:kern w:val="0"/>
                <w:sz w:val="20"/>
                <w:szCs w:val="20"/>
                <w:u w:val="none"/>
                <w:lang w:val="en-US" w:eastAsia="zh-CN" w:bidi="ar"/>
              </w:rPr>
              <w:t>市场价值=假定未设立法定优先受偿权下的价值扣除法定优先受偿款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1</w:t>
            </w:r>
          </w:p>
        </w:tc>
        <w:tc>
          <w:tcPr>
            <w:tcW w:w="1445" w:type="dxa"/>
            <w:vAlign w:val="center"/>
          </w:tcPr>
          <w:p>
            <w:pPr>
              <w:widowControl/>
              <w:jc w:val="left"/>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增值税</w:t>
            </w:r>
          </w:p>
        </w:tc>
        <w:tc>
          <w:tcPr>
            <w:tcW w:w="1296" w:type="dxa"/>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销售额</w:t>
            </w:r>
          </w:p>
        </w:tc>
        <w:tc>
          <w:tcPr>
            <w:tcW w:w="1029"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color w:val="000000"/>
                <w:kern w:val="0"/>
                <w:sz w:val="20"/>
                <w:szCs w:val="20"/>
                <w:u w:val="none"/>
                <w:lang w:val="en-US" w:eastAsia="zh-CN" w:bidi="ar"/>
              </w:rPr>
              <w:t>5.00%</w:t>
            </w:r>
          </w:p>
        </w:tc>
        <w:tc>
          <w:tcPr>
            <w:tcW w:w="1125"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iCs w:val="0"/>
                <w:color w:val="000000"/>
                <w:kern w:val="0"/>
                <w:sz w:val="20"/>
                <w:szCs w:val="20"/>
                <w:u w:val="none"/>
                <w:lang w:val="en-US" w:eastAsia="zh-CN" w:bidi="ar"/>
              </w:rPr>
              <w:t xml:space="preserve">0.00 </w:t>
            </w:r>
          </w:p>
        </w:tc>
        <w:tc>
          <w:tcPr>
            <w:tcW w:w="4175" w:type="dxa"/>
            <w:vAlign w:val="center"/>
          </w:tcPr>
          <w:p>
            <w:pPr>
              <w:keepNext w:val="0"/>
              <w:keepLines w:val="0"/>
              <w:widowControl/>
              <w:suppressLineNumbers w:val="0"/>
              <w:jc w:val="left"/>
              <w:textAlignment w:val="center"/>
              <w:rPr>
                <w:rFonts w:hint="eastAsia" w:ascii="仿宋" w:hAnsi="仿宋" w:eastAsia="仿宋" w:cs="仿宋"/>
                <w:b w:val="0"/>
                <w:bCs/>
                <w:i w:val="0"/>
                <w:color w:val="000000"/>
                <w:kern w:val="0"/>
                <w:sz w:val="18"/>
                <w:szCs w:val="18"/>
                <w:u w:val="none"/>
                <w:lang w:val="en-US" w:eastAsia="zh-CN" w:bidi="ar-SA"/>
              </w:rPr>
            </w:pPr>
            <w:r>
              <w:rPr>
                <w:rFonts w:hint="eastAsia" w:ascii="仿宋" w:hAnsi="仿宋" w:eastAsia="仿宋" w:cs="仿宋"/>
                <w:i w:val="0"/>
                <w:iCs w:val="0"/>
                <w:color w:val="000000"/>
                <w:kern w:val="0"/>
                <w:sz w:val="20"/>
                <w:szCs w:val="20"/>
                <w:u w:val="none"/>
                <w:lang w:val="en-US" w:eastAsia="zh-CN" w:bidi="ar"/>
              </w:rPr>
              <w:t>个人将购买2年以上（含2年）的住房对外销售的，免征增值税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2</w:t>
            </w:r>
          </w:p>
        </w:tc>
        <w:tc>
          <w:tcPr>
            <w:tcW w:w="1445" w:type="dxa"/>
            <w:vAlign w:val="center"/>
          </w:tcPr>
          <w:p>
            <w:pPr>
              <w:widowControl/>
              <w:jc w:val="left"/>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城建税</w:t>
            </w:r>
          </w:p>
        </w:tc>
        <w:tc>
          <w:tcPr>
            <w:tcW w:w="1296" w:type="dxa"/>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增值税额</w:t>
            </w:r>
          </w:p>
        </w:tc>
        <w:tc>
          <w:tcPr>
            <w:tcW w:w="1029"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color w:val="000000"/>
                <w:kern w:val="0"/>
                <w:sz w:val="20"/>
                <w:szCs w:val="20"/>
                <w:u w:val="none"/>
                <w:lang w:val="en-US" w:eastAsia="zh-CN" w:bidi="ar"/>
              </w:rPr>
              <w:t>5.00%</w:t>
            </w:r>
          </w:p>
        </w:tc>
        <w:tc>
          <w:tcPr>
            <w:tcW w:w="1125"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iCs w:val="0"/>
                <w:color w:val="000000"/>
                <w:kern w:val="0"/>
                <w:sz w:val="20"/>
                <w:szCs w:val="20"/>
                <w:u w:val="none"/>
                <w:lang w:val="en-US" w:eastAsia="zh-CN" w:bidi="ar"/>
              </w:rPr>
              <w:t xml:space="preserve">0.00 </w:t>
            </w:r>
          </w:p>
        </w:tc>
        <w:tc>
          <w:tcPr>
            <w:tcW w:w="4175" w:type="dxa"/>
            <w:vAlign w:val="center"/>
          </w:tcPr>
          <w:p>
            <w:pPr>
              <w:jc w:val="left"/>
              <w:rPr>
                <w:rFonts w:hint="eastAsia" w:ascii="仿宋" w:hAnsi="仿宋" w:eastAsia="仿宋" w:cs="仿宋"/>
                <w:b w:val="0"/>
                <w:bCs/>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w:t>
            </w:r>
          </w:p>
        </w:tc>
        <w:tc>
          <w:tcPr>
            <w:tcW w:w="1445" w:type="dxa"/>
            <w:vAlign w:val="center"/>
          </w:tcPr>
          <w:p>
            <w:pPr>
              <w:widowControl/>
              <w:jc w:val="left"/>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教育费附加</w:t>
            </w:r>
          </w:p>
        </w:tc>
        <w:tc>
          <w:tcPr>
            <w:tcW w:w="1296" w:type="dxa"/>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增值税额</w:t>
            </w:r>
          </w:p>
        </w:tc>
        <w:tc>
          <w:tcPr>
            <w:tcW w:w="1029"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color w:val="000000"/>
                <w:kern w:val="0"/>
                <w:sz w:val="20"/>
                <w:szCs w:val="20"/>
                <w:u w:val="none"/>
                <w:lang w:val="en-US" w:eastAsia="zh-CN" w:bidi="ar"/>
              </w:rPr>
              <w:t>3.00%</w:t>
            </w:r>
          </w:p>
        </w:tc>
        <w:tc>
          <w:tcPr>
            <w:tcW w:w="1125"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iCs w:val="0"/>
                <w:color w:val="000000"/>
                <w:kern w:val="0"/>
                <w:sz w:val="20"/>
                <w:szCs w:val="20"/>
                <w:u w:val="none"/>
                <w:lang w:val="en-US" w:eastAsia="zh-CN" w:bidi="ar"/>
              </w:rPr>
              <w:t xml:space="preserve">0.00 </w:t>
            </w:r>
          </w:p>
        </w:tc>
        <w:tc>
          <w:tcPr>
            <w:tcW w:w="4175" w:type="dxa"/>
            <w:vAlign w:val="center"/>
          </w:tcPr>
          <w:p>
            <w:pPr>
              <w:jc w:val="left"/>
              <w:rPr>
                <w:rFonts w:hint="eastAsia" w:ascii="仿宋" w:hAnsi="仿宋" w:eastAsia="仿宋" w:cs="仿宋"/>
                <w:b w:val="0"/>
                <w:bCs/>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4</w:t>
            </w:r>
          </w:p>
        </w:tc>
        <w:tc>
          <w:tcPr>
            <w:tcW w:w="1445" w:type="dxa"/>
            <w:vAlign w:val="center"/>
          </w:tcPr>
          <w:p>
            <w:pPr>
              <w:widowControl/>
              <w:jc w:val="left"/>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地方教育费附加</w:t>
            </w:r>
          </w:p>
        </w:tc>
        <w:tc>
          <w:tcPr>
            <w:tcW w:w="1296" w:type="dxa"/>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增值税额</w:t>
            </w:r>
          </w:p>
        </w:tc>
        <w:tc>
          <w:tcPr>
            <w:tcW w:w="1029"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color w:val="000000"/>
                <w:kern w:val="0"/>
                <w:sz w:val="20"/>
                <w:szCs w:val="20"/>
                <w:u w:val="none"/>
                <w:lang w:val="en-US" w:eastAsia="zh-CN" w:bidi="ar"/>
              </w:rPr>
              <w:t>2.00%</w:t>
            </w:r>
          </w:p>
        </w:tc>
        <w:tc>
          <w:tcPr>
            <w:tcW w:w="1125"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iCs w:val="0"/>
                <w:color w:val="000000"/>
                <w:kern w:val="0"/>
                <w:sz w:val="20"/>
                <w:szCs w:val="20"/>
                <w:u w:val="none"/>
                <w:lang w:val="en-US" w:eastAsia="zh-CN" w:bidi="ar"/>
              </w:rPr>
              <w:t xml:space="preserve">0.00 </w:t>
            </w:r>
          </w:p>
        </w:tc>
        <w:tc>
          <w:tcPr>
            <w:tcW w:w="4175" w:type="dxa"/>
            <w:vAlign w:val="center"/>
          </w:tcPr>
          <w:p>
            <w:pPr>
              <w:jc w:val="left"/>
              <w:rPr>
                <w:rFonts w:hint="eastAsia" w:ascii="仿宋" w:hAnsi="仿宋" w:eastAsia="仿宋" w:cs="仿宋"/>
                <w:b w:val="0"/>
                <w:bCs/>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vAlign w:val="center"/>
          </w:tcPr>
          <w:p>
            <w:pPr>
              <w:widowControl/>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5</w:t>
            </w:r>
          </w:p>
        </w:tc>
        <w:tc>
          <w:tcPr>
            <w:tcW w:w="1445" w:type="dxa"/>
            <w:vAlign w:val="center"/>
          </w:tcPr>
          <w:p>
            <w:pPr>
              <w:widowControl/>
              <w:jc w:val="left"/>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交易手续费</w:t>
            </w:r>
          </w:p>
        </w:tc>
        <w:tc>
          <w:tcPr>
            <w:tcW w:w="1296" w:type="dxa"/>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建筑面积</w:t>
            </w:r>
          </w:p>
        </w:tc>
        <w:tc>
          <w:tcPr>
            <w:tcW w:w="1029"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color w:val="000000"/>
                <w:kern w:val="0"/>
                <w:sz w:val="20"/>
                <w:szCs w:val="20"/>
                <w:u w:val="none"/>
                <w:lang w:val="en-US" w:eastAsia="zh-CN" w:bidi="ar"/>
              </w:rPr>
              <w:t>0.05%</w:t>
            </w:r>
          </w:p>
        </w:tc>
        <w:tc>
          <w:tcPr>
            <w:tcW w:w="1125"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iCs w:val="0"/>
                <w:color w:val="000000"/>
                <w:kern w:val="0"/>
                <w:sz w:val="20"/>
                <w:szCs w:val="20"/>
                <w:u w:val="none"/>
                <w:lang w:val="en-US" w:eastAsia="zh-CN" w:bidi="ar"/>
              </w:rPr>
              <w:t xml:space="preserve">0.00 </w:t>
            </w:r>
          </w:p>
        </w:tc>
        <w:tc>
          <w:tcPr>
            <w:tcW w:w="4175" w:type="dxa"/>
            <w:vAlign w:val="center"/>
          </w:tcPr>
          <w:p>
            <w:pPr>
              <w:keepNext w:val="0"/>
              <w:keepLines w:val="0"/>
              <w:widowControl/>
              <w:suppressLineNumbers w:val="0"/>
              <w:jc w:val="left"/>
              <w:textAlignment w:val="center"/>
              <w:rPr>
                <w:rFonts w:hint="eastAsia" w:ascii="仿宋" w:hAnsi="仿宋" w:eastAsia="仿宋" w:cs="仿宋"/>
                <w:b w:val="0"/>
                <w:bCs/>
                <w:i w:val="0"/>
                <w:color w:val="000000"/>
                <w:kern w:val="0"/>
                <w:sz w:val="18"/>
                <w:szCs w:val="18"/>
                <w:u w:val="none"/>
                <w:lang w:val="en-US" w:eastAsia="zh-CN" w:bidi="ar-SA"/>
              </w:rPr>
            </w:pPr>
            <w:r>
              <w:rPr>
                <w:rFonts w:hint="eastAsia" w:ascii="仿宋" w:hAnsi="仿宋" w:eastAsia="仿宋" w:cs="仿宋"/>
                <w:i w:val="0"/>
                <w:iCs w:val="0"/>
                <w:color w:val="000000"/>
                <w:kern w:val="0"/>
                <w:sz w:val="20"/>
                <w:szCs w:val="20"/>
                <w:u w:val="none"/>
                <w:lang w:val="en-US" w:eastAsia="zh-CN" w:bidi="ar"/>
              </w:rPr>
              <w:t>自2008年11月1日起，个人销售或购买住房暂免征收印花税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vAlign w:val="center"/>
          </w:tcPr>
          <w:p>
            <w:pPr>
              <w:widowControl/>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6</w:t>
            </w:r>
          </w:p>
        </w:tc>
        <w:tc>
          <w:tcPr>
            <w:tcW w:w="1445" w:type="dxa"/>
            <w:vAlign w:val="center"/>
          </w:tcPr>
          <w:p>
            <w:pPr>
              <w:widowControl/>
              <w:jc w:val="left"/>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土地增值税</w:t>
            </w:r>
          </w:p>
        </w:tc>
        <w:tc>
          <w:tcPr>
            <w:tcW w:w="1296" w:type="dxa"/>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转让收入全额</w:t>
            </w:r>
          </w:p>
        </w:tc>
        <w:tc>
          <w:tcPr>
            <w:tcW w:w="1029"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color w:val="000000"/>
                <w:kern w:val="0"/>
                <w:sz w:val="20"/>
                <w:szCs w:val="20"/>
                <w:u w:val="none"/>
                <w:lang w:val="en-US" w:eastAsia="zh-CN" w:bidi="ar"/>
              </w:rPr>
              <w:t>5.00%</w:t>
            </w:r>
          </w:p>
        </w:tc>
        <w:tc>
          <w:tcPr>
            <w:tcW w:w="1125"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iCs w:val="0"/>
                <w:color w:val="000000"/>
                <w:kern w:val="0"/>
                <w:sz w:val="20"/>
                <w:szCs w:val="20"/>
                <w:u w:val="none"/>
                <w:lang w:val="en-US" w:eastAsia="zh-CN" w:bidi="ar"/>
              </w:rPr>
              <w:t xml:space="preserve">0.00 </w:t>
            </w:r>
          </w:p>
        </w:tc>
        <w:tc>
          <w:tcPr>
            <w:tcW w:w="4175" w:type="dxa"/>
            <w:vAlign w:val="center"/>
          </w:tcPr>
          <w:p>
            <w:pPr>
              <w:keepNext w:val="0"/>
              <w:keepLines w:val="0"/>
              <w:widowControl/>
              <w:suppressLineNumbers w:val="0"/>
              <w:jc w:val="left"/>
              <w:textAlignment w:val="center"/>
              <w:rPr>
                <w:rFonts w:hint="eastAsia" w:ascii="仿宋" w:hAnsi="仿宋" w:eastAsia="仿宋" w:cs="仿宋"/>
                <w:b w:val="0"/>
                <w:bCs/>
                <w:i w:val="0"/>
                <w:color w:val="000000"/>
                <w:kern w:val="0"/>
                <w:sz w:val="18"/>
                <w:szCs w:val="18"/>
                <w:u w:val="none"/>
                <w:lang w:val="en-US" w:eastAsia="zh-CN" w:bidi="ar-SA"/>
              </w:rPr>
            </w:pPr>
            <w:r>
              <w:rPr>
                <w:rFonts w:hint="eastAsia" w:ascii="仿宋" w:hAnsi="仿宋" w:eastAsia="仿宋" w:cs="仿宋"/>
                <w:i w:val="0"/>
                <w:iCs w:val="0"/>
                <w:color w:val="000000"/>
                <w:kern w:val="0"/>
                <w:sz w:val="20"/>
                <w:szCs w:val="20"/>
                <w:u w:val="none"/>
                <w:lang w:val="en-US" w:eastAsia="zh-CN" w:bidi="ar"/>
              </w:rPr>
              <w:t>自2008年11月1日起，个人销售住房暂免征收土地增值税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vAlign w:val="center"/>
          </w:tcPr>
          <w:p>
            <w:pPr>
              <w:widowControl/>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7</w:t>
            </w:r>
          </w:p>
        </w:tc>
        <w:tc>
          <w:tcPr>
            <w:tcW w:w="1445" w:type="dxa"/>
            <w:vAlign w:val="center"/>
          </w:tcPr>
          <w:p>
            <w:pPr>
              <w:widowControl/>
              <w:jc w:val="left"/>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个人所得税</w:t>
            </w:r>
          </w:p>
        </w:tc>
        <w:tc>
          <w:tcPr>
            <w:tcW w:w="1296" w:type="dxa"/>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交易总额=评估值-增值税</w:t>
            </w:r>
          </w:p>
        </w:tc>
        <w:tc>
          <w:tcPr>
            <w:tcW w:w="1029"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color w:val="000000"/>
                <w:kern w:val="0"/>
                <w:sz w:val="20"/>
                <w:szCs w:val="20"/>
                <w:u w:val="none"/>
                <w:lang w:val="en-US" w:eastAsia="zh-CN" w:bidi="ar"/>
              </w:rPr>
              <w:t>1.50%</w:t>
            </w:r>
          </w:p>
        </w:tc>
        <w:tc>
          <w:tcPr>
            <w:tcW w:w="1125"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iCs w:val="0"/>
                <w:color w:val="000000"/>
                <w:kern w:val="0"/>
                <w:sz w:val="20"/>
                <w:szCs w:val="20"/>
                <w:u w:val="none"/>
                <w:lang w:val="en-US" w:eastAsia="zh-CN" w:bidi="ar"/>
              </w:rPr>
              <w:t xml:space="preserve">3.79 </w:t>
            </w:r>
          </w:p>
        </w:tc>
        <w:tc>
          <w:tcPr>
            <w:tcW w:w="4175" w:type="dxa"/>
            <w:vAlign w:val="center"/>
          </w:tcPr>
          <w:p>
            <w:pPr>
              <w:keepNext w:val="0"/>
              <w:keepLines w:val="0"/>
              <w:widowControl/>
              <w:suppressLineNumbers w:val="0"/>
              <w:jc w:val="left"/>
              <w:textAlignment w:val="center"/>
              <w:rPr>
                <w:rFonts w:hint="eastAsia" w:ascii="仿宋" w:hAnsi="仿宋" w:eastAsia="仿宋" w:cs="仿宋"/>
                <w:b w:val="0"/>
                <w:bCs/>
                <w:i w:val="0"/>
                <w:color w:val="000000"/>
                <w:kern w:val="0"/>
                <w:sz w:val="18"/>
                <w:szCs w:val="18"/>
                <w:u w:val="none"/>
                <w:lang w:val="en-US" w:eastAsia="zh-CN" w:bidi="ar-SA"/>
              </w:rPr>
            </w:pPr>
            <w:r>
              <w:rPr>
                <w:rFonts w:hint="eastAsia" w:ascii="仿宋" w:hAnsi="仿宋" w:eastAsia="仿宋" w:cs="仿宋"/>
                <w:i w:val="0"/>
                <w:iCs w:val="0"/>
                <w:color w:val="000000"/>
                <w:kern w:val="0"/>
                <w:sz w:val="20"/>
                <w:szCs w:val="20"/>
                <w:u w:val="none"/>
                <w:lang w:val="en-US" w:eastAsia="zh-CN" w:bidi="ar"/>
              </w:rPr>
              <w:t>①销售额按评估值计（交易总额=销售额-增值税额）；②无法判断是否产权人住满5年以上，且是唯一家庭生活用房，根据谨慎性原则，计算个人所得税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vAlign w:val="center"/>
          </w:tcPr>
          <w:p>
            <w:pPr>
              <w:widowControl/>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二</w:t>
            </w:r>
          </w:p>
        </w:tc>
        <w:tc>
          <w:tcPr>
            <w:tcW w:w="1445" w:type="dxa"/>
            <w:vAlign w:val="center"/>
          </w:tcPr>
          <w:p>
            <w:pPr>
              <w:widowControl/>
              <w:jc w:val="left"/>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处置过程中相关税费</w:t>
            </w:r>
          </w:p>
        </w:tc>
        <w:tc>
          <w:tcPr>
            <w:tcW w:w="1296" w:type="dxa"/>
            <w:vAlign w:val="center"/>
          </w:tcPr>
          <w:p>
            <w:pPr>
              <w:widowControl/>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w:t>
            </w:r>
          </w:p>
        </w:tc>
        <w:tc>
          <w:tcPr>
            <w:tcW w:w="1029"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color w:val="000000"/>
                <w:kern w:val="0"/>
                <w:sz w:val="20"/>
                <w:szCs w:val="20"/>
                <w:u w:val="none"/>
                <w:lang w:val="en-US" w:eastAsia="zh-CN" w:bidi="ar"/>
              </w:rPr>
              <w:t>——</w:t>
            </w:r>
          </w:p>
        </w:tc>
        <w:tc>
          <w:tcPr>
            <w:tcW w:w="1125"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iCs w:val="0"/>
                <w:color w:val="000000"/>
                <w:kern w:val="0"/>
                <w:sz w:val="20"/>
                <w:szCs w:val="20"/>
                <w:u w:val="none"/>
                <w:lang w:val="en-US" w:eastAsia="zh-CN" w:bidi="ar"/>
              </w:rPr>
              <w:t xml:space="preserve">3.79 </w:t>
            </w:r>
          </w:p>
        </w:tc>
        <w:tc>
          <w:tcPr>
            <w:tcW w:w="4175" w:type="dxa"/>
            <w:vAlign w:val="center"/>
          </w:tcPr>
          <w:p>
            <w:pPr>
              <w:keepNext w:val="0"/>
              <w:keepLines w:val="0"/>
              <w:widowControl/>
              <w:suppressLineNumbers w:val="0"/>
              <w:jc w:val="left"/>
              <w:textAlignment w:val="center"/>
              <w:rPr>
                <w:rFonts w:hint="eastAsia" w:ascii="仿宋" w:hAnsi="仿宋" w:eastAsia="仿宋" w:cs="仿宋"/>
                <w:b w:val="0"/>
                <w:bCs/>
                <w:i w:val="0"/>
                <w:color w:val="000000"/>
                <w:kern w:val="0"/>
                <w:sz w:val="18"/>
                <w:szCs w:val="18"/>
                <w:u w:val="none"/>
                <w:lang w:val="en-US" w:eastAsia="zh-CN" w:bidi="ar-SA"/>
              </w:rPr>
            </w:pPr>
            <w:r>
              <w:rPr>
                <w:rFonts w:hint="eastAsia" w:ascii="仿宋" w:hAnsi="仿宋" w:eastAsia="仿宋" w:cs="仿宋"/>
                <w:i w:val="0"/>
                <w:iCs w:val="0"/>
                <w:color w:val="000000"/>
                <w:kern w:val="0"/>
                <w:sz w:val="20"/>
                <w:szCs w:val="20"/>
                <w:u w:val="none"/>
                <w:lang w:val="en-US" w:eastAsia="zh-CN" w:bidi="ar"/>
              </w:rPr>
              <w:t>卖方应缴纳的增值税、城建税、教育税附加、地方教育费附加、印花税、交易手续费、土地增值税、个人所得税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vAlign w:val="center"/>
          </w:tcPr>
          <w:p>
            <w:pPr>
              <w:widowControl/>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三</w:t>
            </w:r>
          </w:p>
        </w:tc>
        <w:tc>
          <w:tcPr>
            <w:tcW w:w="1445" w:type="dxa"/>
            <w:vAlign w:val="center"/>
          </w:tcPr>
          <w:p>
            <w:pPr>
              <w:widowControl/>
              <w:jc w:val="left"/>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抵押净值总价</w:t>
            </w:r>
          </w:p>
        </w:tc>
        <w:tc>
          <w:tcPr>
            <w:tcW w:w="1296" w:type="dxa"/>
            <w:vAlign w:val="center"/>
          </w:tcPr>
          <w:p>
            <w:pPr>
              <w:widowControl/>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w:t>
            </w:r>
          </w:p>
        </w:tc>
        <w:tc>
          <w:tcPr>
            <w:tcW w:w="1029"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color w:val="000000"/>
                <w:kern w:val="0"/>
                <w:sz w:val="20"/>
                <w:szCs w:val="20"/>
                <w:u w:val="none"/>
                <w:lang w:val="en-US" w:eastAsia="zh-CN" w:bidi="ar"/>
              </w:rPr>
              <w:t>——</w:t>
            </w:r>
          </w:p>
        </w:tc>
        <w:tc>
          <w:tcPr>
            <w:tcW w:w="1125"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iCs w:val="0"/>
                <w:color w:val="000000"/>
                <w:kern w:val="0"/>
                <w:sz w:val="20"/>
                <w:szCs w:val="20"/>
                <w:u w:val="none"/>
                <w:lang w:val="en-US" w:eastAsia="zh-CN" w:bidi="ar"/>
              </w:rPr>
              <w:t xml:space="preserve">248.86 </w:t>
            </w:r>
          </w:p>
        </w:tc>
        <w:tc>
          <w:tcPr>
            <w:tcW w:w="4175" w:type="dxa"/>
            <w:vAlign w:val="center"/>
          </w:tcPr>
          <w:p>
            <w:pPr>
              <w:keepNext w:val="0"/>
              <w:keepLines w:val="0"/>
              <w:widowControl/>
              <w:suppressLineNumbers w:val="0"/>
              <w:jc w:val="left"/>
              <w:textAlignment w:val="center"/>
              <w:rPr>
                <w:rFonts w:hint="eastAsia" w:ascii="仿宋" w:hAnsi="仿宋" w:eastAsia="仿宋" w:cs="仿宋"/>
                <w:b w:val="0"/>
                <w:bCs/>
                <w:i w:val="0"/>
                <w:color w:val="000000"/>
                <w:kern w:val="0"/>
                <w:sz w:val="18"/>
                <w:szCs w:val="18"/>
                <w:u w:val="none"/>
                <w:lang w:val="en-US" w:eastAsia="zh-CN" w:bidi="ar-SA"/>
              </w:rPr>
            </w:pPr>
            <w:r>
              <w:rPr>
                <w:rFonts w:hint="eastAsia" w:ascii="仿宋" w:hAnsi="仿宋" w:eastAsia="仿宋" w:cs="仿宋"/>
                <w:i w:val="0"/>
                <w:iCs w:val="0"/>
                <w:color w:val="000000"/>
                <w:kern w:val="0"/>
                <w:sz w:val="20"/>
                <w:szCs w:val="20"/>
                <w:u w:val="none"/>
                <w:lang w:val="en-US" w:eastAsia="zh-CN" w:bidi="ar"/>
              </w:rPr>
              <w:t>抵押净值总价=市场价值扣除处置过程中相关税费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vAlign w:val="center"/>
          </w:tcPr>
          <w:p>
            <w:pPr>
              <w:widowControl/>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四</w:t>
            </w:r>
          </w:p>
        </w:tc>
        <w:tc>
          <w:tcPr>
            <w:tcW w:w="1445" w:type="dxa"/>
            <w:vAlign w:val="center"/>
          </w:tcPr>
          <w:p>
            <w:pPr>
              <w:widowControl/>
              <w:jc w:val="left"/>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抵押净值单价</w:t>
            </w:r>
          </w:p>
        </w:tc>
        <w:tc>
          <w:tcPr>
            <w:tcW w:w="1296" w:type="dxa"/>
            <w:vAlign w:val="center"/>
          </w:tcPr>
          <w:p>
            <w:pPr>
              <w:widowControl/>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w:t>
            </w:r>
          </w:p>
        </w:tc>
        <w:tc>
          <w:tcPr>
            <w:tcW w:w="1029"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color w:val="000000"/>
                <w:kern w:val="0"/>
                <w:sz w:val="20"/>
                <w:szCs w:val="20"/>
                <w:u w:val="none"/>
                <w:lang w:val="en-US" w:eastAsia="zh-CN" w:bidi="ar"/>
              </w:rPr>
              <w:t>——</w:t>
            </w:r>
          </w:p>
        </w:tc>
        <w:tc>
          <w:tcPr>
            <w:tcW w:w="1125" w:type="dxa"/>
            <w:vAlign w:val="center"/>
          </w:tcPr>
          <w:p>
            <w:pPr>
              <w:keepNext w:val="0"/>
              <w:keepLines w:val="0"/>
              <w:widowControl/>
              <w:suppressLineNumbers w:val="0"/>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i w:val="0"/>
                <w:iCs w:val="0"/>
                <w:color w:val="000000"/>
                <w:kern w:val="0"/>
                <w:sz w:val="20"/>
                <w:szCs w:val="20"/>
                <w:u w:val="none"/>
                <w:lang w:val="en-US" w:eastAsia="zh-CN" w:bidi="ar"/>
              </w:rPr>
              <w:t xml:space="preserve">2291.00 </w:t>
            </w:r>
          </w:p>
        </w:tc>
        <w:tc>
          <w:tcPr>
            <w:tcW w:w="4175" w:type="dxa"/>
            <w:vAlign w:val="center"/>
          </w:tcPr>
          <w:p>
            <w:pPr>
              <w:keepNext w:val="0"/>
              <w:keepLines w:val="0"/>
              <w:widowControl/>
              <w:suppressLineNumbers w:val="0"/>
              <w:jc w:val="left"/>
              <w:textAlignment w:val="center"/>
              <w:rPr>
                <w:rFonts w:hint="eastAsia" w:ascii="仿宋" w:hAnsi="仿宋" w:eastAsia="仿宋" w:cs="仿宋"/>
                <w:b w:val="0"/>
                <w:bCs/>
                <w:color w:val="000000"/>
                <w:kern w:val="0"/>
                <w:sz w:val="18"/>
                <w:szCs w:val="18"/>
              </w:rPr>
            </w:pPr>
            <w:r>
              <w:rPr>
                <w:rFonts w:hint="eastAsia" w:ascii="仿宋" w:hAnsi="仿宋" w:eastAsia="仿宋" w:cs="仿宋"/>
                <w:i w:val="0"/>
                <w:iCs w:val="0"/>
                <w:color w:val="000000"/>
                <w:kern w:val="0"/>
                <w:sz w:val="20"/>
                <w:szCs w:val="20"/>
                <w:u w:val="none"/>
                <w:lang w:val="en-US" w:eastAsia="zh-CN" w:bidi="ar"/>
              </w:rPr>
              <w:t>抵押净值单价=抵押净值总价÷建筑面积</w:t>
            </w:r>
          </w:p>
        </w:tc>
      </w:tr>
    </w:tbl>
    <w:p>
      <w:pPr>
        <w:pStyle w:val="10"/>
        <w:widowControl w:val="0"/>
        <w:wordWrap/>
        <w:adjustRightInd/>
        <w:snapToGrid/>
        <w:spacing w:line="360" w:lineRule="auto"/>
        <w:ind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rPr>
        <w:t>(五)估价结果汇总</w:t>
      </w:r>
    </w:p>
    <w:p>
      <w:pPr>
        <w:widowControl w:val="0"/>
        <w:wordWrap/>
        <w:adjustRightInd/>
        <w:snapToGrid/>
        <w:spacing w:line="360" w:lineRule="auto"/>
        <w:ind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估价对象房地产</w:t>
      </w:r>
      <w:r>
        <w:rPr>
          <w:rFonts w:hint="eastAsia" w:ascii="仿宋" w:hAnsi="仿宋" w:eastAsia="仿宋" w:cs="仿宋"/>
          <w:sz w:val="24"/>
          <w:szCs w:val="24"/>
          <w:lang w:eastAsia="zh-CN"/>
        </w:rPr>
        <w:t>市场价值</w:t>
      </w:r>
      <w:r>
        <w:rPr>
          <w:rFonts w:hint="eastAsia" w:ascii="仿宋" w:hAnsi="仿宋" w:eastAsia="仿宋" w:cs="仿宋"/>
          <w:sz w:val="24"/>
          <w:szCs w:val="24"/>
        </w:rPr>
        <w:t>评估汇总表</w:t>
      </w:r>
    </w:p>
    <w:tbl>
      <w:tblPr>
        <w:tblStyle w:val="22"/>
        <w:tblW w:w="9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1408"/>
        <w:gridCol w:w="5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Align w:val="center"/>
          </w:tcPr>
          <w:p>
            <w:pPr>
              <w:snapToGrid w:val="0"/>
              <w:spacing w:line="240" w:lineRule="auto"/>
              <w:jc w:val="center"/>
              <w:rPr>
                <w:rFonts w:hint="eastAsia" w:ascii="仿宋" w:hAnsi="仿宋" w:eastAsia="仿宋" w:cs="仿宋"/>
                <w:b/>
                <w:bCs/>
                <w:color w:val="auto"/>
                <w:sz w:val="21"/>
                <w:szCs w:val="21"/>
                <w:lang w:eastAsia="zh-CN"/>
              </w:rPr>
            </w:pPr>
            <w:r>
              <w:rPr>
                <w:rFonts w:hint="eastAsia" w:ascii="仿宋" w:hAnsi="仿宋" w:eastAsia="仿宋" w:cs="仿宋"/>
                <w:b/>
                <w:bCs/>
                <w:color w:val="auto"/>
                <w:sz w:val="21"/>
                <w:szCs w:val="21"/>
                <w:lang w:eastAsia="zh-CN"/>
              </w:rPr>
              <w:t>项目内容</w:t>
            </w:r>
          </w:p>
        </w:tc>
        <w:tc>
          <w:tcPr>
            <w:tcW w:w="6801" w:type="dxa"/>
            <w:gridSpan w:val="2"/>
            <w:vAlign w:val="center"/>
          </w:tcPr>
          <w:p>
            <w:pPr>
              <w:spacing w:line="240" w:lineRule="auto"/>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估价结果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restart"/>
            <w:vAlign w:val="center"/>
          </w:tcPr>
          <w:p>
            <w:pPr>
              <w:wordWrap/>
              <w:adjustRightInd/>
              <w:snapToGrid/>
              <w:spacing w:line="240" w:lineRule="auto"/>
              <w:jc w:val="left"/>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1、假定未设立法定优先受偿权下的价值</w:t>
            </w:r>
          </w:p>
        </w:tc>
        <w:tc>
          <w:tcPr>
            <w:tcW w:w="1408" w:type="dxa"/>
            <w:vAlign w:val="center"/>
          </w:tcPr>
          <w:p>
            <w:pPr>
              <w:widowControl w:val="0"/>
              <w:wordWrap/>
              <w:adjustRightInd/>
              <w:snapToGrid/>
              <w:spacing w:line="240" w:lineRule="auto"/>
              <w:ind w:right="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rPr>
              <w:t>总额</w:t>
            </w:r>
          </w:p>
        </w:tc>
        <w:tc>
          <w:tcPr>
            <w:tcW w:w="5393" w:type="dxa"/>
            <w:vAlign w:val="center"/>
          </w:tcPr>
          <w:p>
            <w:pPr>
              <w:spacing w:line="240" w:lineRule="auto"/>
              <w:jc w:val="left"/>
              <w:rPr>
                <w:rFonts w:hint="eastAsia" w:ascii="仿宋" w:hAnsi="仿宋" w:eastAsia="仿宋" w:cs="仿宋"/>
                <w:b w:val="0"/>
                <w:bCs w:val="0"/>
                <w:color w:val="auto"/>
                <w:sz w:val="21"/>
                <w:szCs w:val="21"/>
                <w:lang w:val="en-US" w:eastAsia="zh-CN"/>
              </w:rPr>
            </w:pPr>
            <w:r>
              <w:rPr>
                <w:rFonts w:hint="eastAsia" w:ascii="仿宋" w:hAnsi="仿宋" w:eastAsia="仿宋" w:cs="仿宋"/>
                <w:b w:val="0"/>
                <w:bCs/>
                <w:color w:val="auto"/>
                <w:sz w:val="21"/>
                <w:szCs w:val="21"/>
                <w:lang w:val="en-US" w:eastAsia="zh-CN"/>
              </w:rPr>
              <w:t>人民币贰佰伍拾贰万陆仟伍佰元整（人民币252.65万元）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continue"/>
            <w:vAlign w:val="center"/>
          </w:tcPr>
          <w:p>
            <w:pPr>
              <w:wordWrap/>
              <w:adjustRightInd/>
              <w:snapToGrid/>
              <w:spacing w:line="240" w:lineRule="auto"/>
              <w:jc w:val="left"/>
              <w:rPr>
                <w:rFonts w:hint="eastAsia" w:ascii="仿宋" w:hAnsi="仿宋" w:eastAsia="仿宋" w:cs="仿宋"/>
                <w:b w:val="0"/>
                <w:bCs w:val="0"/>
                <w:color w:val="auto"/>
                <w:sz w:val="21"/>
                <w:szCs w:val="21"/>
              </w:rPr>
            </w:pPr>
          </w:p>
        </w:tc>
        <w:tc>
          <w:tcPr>
            <w:tcW w:w="1408" w:type="dxa"/>
            <w:vAlign w:val="center"/>
          </w:tcPr>
          <w:p>
            <w:pPr>
              <w:widowControl w:val="0"/>
              <w:wordWrap/>
              <w:adjustRightInd/>
              <w:snapToGrid/>
              <w:spacing w:line="240" w:lineRule="auto"/>
              <w:ind w:righ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color w:val="auto"/>
                <w:sz w:val="21"/>
                <w:szCs w:val="21"/>
                <w:lang w:eastAsia="zh-CN"/>
              </w:rPr>
              <w:t>单价</w:t>
            </w:r>
          </w:p>
        </w:tc>
        <w:tc>
          <w:tcPr>
            <w:tcW w:w="5393" w:type="dxa"/>
            <w:vAlign w:val="center"/>
          </w:tcPr>
          <w:p>
            <w:pPr>
              <w:spacing w:line="240" w:lineRule="auto"/>
              <w:jc w:val="left"/>
              <w:rPr>
                <w:rFonts w:hint="eastAsia" w:ascii="仿宋" w:hAnsi="仿宋" w:eastAsia="仿宋" w:cs="仿宋"/>
                <w:b w:val="0"/>
                <w:bCs w:val="0"/>
                <w:color w:val="auto"/>
                <w:sz w:val="21"/>
                <w:szCs w:val="21"/>
                <w:lang w:val="en-US" w:eastAsia="zh-CN"/>
              </w:rPr>
            </w:pPr>
            <w:r>
              <w:rPr>
                <w:rFonts w:hint="eastAsia" w:ascii="仿宋" w:hAnsi="仿宋" w:eastAsia="仿宋" w:cs="仿宋"/>
                <w:b w:val="0"/>
                <w:bCs/>
                <w:color w:val="auto"/>
                <w:sz w:val="21"/>
                <w:szCs w:val="21"/>
                <w:lang w:val="en-US" w:eastAsia="zh-CN"/>
              </w:rPr>
              <w:t>人民币2326元/平方米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Align w:val="center"/>
          </w:tcPr>
          <w:p>
            <w:pPr>
              <w:widowControl w:val="0"/>
              <w:wordWrap/>
              <w:adjustRightInd/>
              <w:snapToGrid/>
              <w:spacing w:line="240" w:lineRule="auto"/>
              <w:jc w:val="left"/>
              <w:textAlignment w:val="auto"/>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2、注册房地产估价师知悉的法定优先受偿款</w:t>
            </w:r>
          </w:p>
        </w:tc>
        <w:tc>
          <w:tcPr>
            <w:tcW w:w="6801" w:type="dxa"/>
            <w:gridSpan w:val="2"/>
            <w:vAlign w:val="center"/>
          </w:tcPr>
          <w:p>
            <w:pPr>
              <w:widowControl w:val="0"/>
              <w:wordWrap/>
              <w:adjustRightInd/>
              <w:snapToGrid/>
              <w:spacing w:line="240" w:lineRule="auto"/>
              <w:jc w:val="left"/>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人民币零元整（</w:t>
            </w:r>
            <w:r>
              <w:rPr>
                <w:rFonts w:hint="eastAsia" w:ascii="仿宋" w:hAnsi="仿宋" w:eastAsia="仿宋" w:cs="仿宋"/>
                <w:b w:val="0"/>
                <w:bCs w:val="0"/>
                <w:color w:val="auto"/>
                <w:sz w:val="21"/>
                <w:szCs w:val="21"/>
              </w:rPr>
              <w:t>人民币</w:t>
            </w:r>
            <w:r>
              <w:rPr>
                <w:rFonts w:hint="eastAsia" w:ascii="仿宋" w:hAnsi="仿宋" w:eastAsia="仿宋" w:cs="仿宋"/>
                <w:b w:val="0"/>
                <w:bCs w:val="0"/>
                <w:color w:val="auto"/>
                <w:sz w:val="21"/>
                <w:szCs w:val="21"/>
                <w:lang w:val="en-US" w:eastAsia="zh-CN"/>
              </w:rPr>
              <w:t>0</w:t>
            </w:r>
            <w:r>
              <w:rPr>
                <w:rFonts w:hint="eastAsia" w:ascii="仿宋" w:hAnsi="仿宋" w:eastAsia="仿宋" w:cs="仿宋"/>
                <w:b w:val="0"/>
                <w:bCs w:val="0"/>
                <w:color w:val="auto"/>
                <w:sz w:val="21"/>
                <w:szCs w:val="21"/>
              </w:rPr>
              <w:t>元</w:t>
            </w:r>
            <w:r>
              <w:rPr>
                <w:rFonts w:hint="eastAsia" w:ascii="仿宋" w:hAnsi="仿宋" w:eastAsia="仿宋" w:cs="仿宋"/>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restart"/>
            <w:vAlign w:val="center"/>
          </w:tcPr>
          <w:p>
            <w:pPr>
              <w:numPr>
                <w:ilvl w:val="0"/>
                <w:numId w:val="0"/>
              </w:numPr>
              <w:spacing w:afterLines="10" w:line="240" w:lineRule="auto"/>
              <w:jc w:val="left"/>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kern w:val="2"/>
                <w:sz w:val="21"/>
                <w:szCs w:val="21"/>
                <w:lang w:val="en-US" w:eastAsia="zh-CN" w:bidi="ar-SA"/>
              </w:rPr>
              <w:t>3、市场价值</w:t>
            </w:r>
          </w:p>
        </w:tc>
        <w:tc>
          <w:tcPr>
            <w:tcW w:w="1408" w:type="dxa"/>
            <w:vAlign w:val="center"/>
          </w:tcPr>
          <w:p>
            <w:pPr>
              <w:widowControl w:val="0"/>
              <w:wordWrap/>
              <w:adjustRightInd/>
              <w:snapToGrid/>
              <w:spacing w:line="240" w:lineRule="auto"/>
              <w:ind w:right="0"/>
              <w:jc w:val="center"/>
              <w:textAlignment w:val="auto"/>
              <w:rPr>
                <w:rFonts w:hint="default"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sz w:val="21"/>
                <w:szCs w:val="21"/>
              </w:rPr>
              <w:t>总额</w:t>
            </w:r>
          </w:p>
        </w:tc>
        <w:tc>
          <w:tcPr>
            <w:tcW w:w="5393" w:type="dxa"/>
            <w:vAlign w:val="center"/>
          </w:tcPr>
          <w:p>
            <w:pPr>
              <w:spacing w:line="240" w:lineRule="auto"/>
              <w:jc w:val="left"/>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color w:val="auto"/>
                <w:sz w:val="21"/>
                <w:szCs w:val="21"/>
                <w:lang w:val="en-US" w:eastAsia="zh-CN"/>
              </w:rPr>
              <w:t>人民币贰佰伍拾贰万陆仟伍佰元整（人民币252.65万元）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continue"/>
            <w:vAlign w:val="center"/>
          </w:tcPr>
          <w:p>
            <w:pPr>
              <w:numPr>
                <w:ilvl w:val="0"/>
                <w:numId w:val="0"/>
              </w:numPr>
              <w:spacing w:afterLines="10" w:line="240" w:lineRule="auto"/>
              <w:jc w:val="left"/>
              <w:rPr>
                <w:rFonts w:hint="eastAsia" w:ascii="仿宋" w:hAnsi="仿宋" w:eastAsia="仿宋" w:cs="仿宋"/>
                <w:b w:val="0"/>
                <w:bCs w:val="0"/>
                <w:color w:val="auto"/>
                <w:kern w:val="2"/>
                <w:sz w:val="21"/>
                <w:szCs w:val="21"/>
                <w:lang w:val="en-US" w:eastAsia="zh-CN" w:bidi="ar-SA"/>
              </w:rPr>
            </w:pPr>
          </w:p>
        </w:tc>
        <w:tc>
          <w:tcPr>
            <w:tcW w:w="1408" w:type="dxa"/>
            <w:vAlign w:val="center"/>
          </w:tcPr>
          <w:p>
            <w:pPr>
              <w:widowControl w:val="0"/>
              <w:wordWrap/>
              <w:adjustRightInd/>
              <w:snapToGrid/>
              <w:spacing w:line="240" w:lineRule="auto"/>
              <w:ind w:righ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color w:val="auto"/>
                <w:sz w:val="21"/>
                <w:szCs w:val="21"/>
                <w:lang w:eastAsia="zh-CN"/>
              </w:rPr>
              <w:t>单价</w:t>
            </w:r>
          </w:p>
        </w:tc>
        <w:tc>
          <w:tcPr>
            <w:tcW w:w="5393" w:type="dxa"/>
            <w:vAlign w:val="center"/>
          </w:tcPr>
          <w:p>
            <w:pPr>
              <w:spacing w:line="240" w:lineRule="auto"/>
              <w:jc w:val="left"/>
              <w:rPr>
                <w:rFonts w:hint="eastAsia" w:ascii="仿宋" w:hAnsi="仿宋" w:eastAsia="仿宋" w:cs="仿宋"/>
                <w:b w:val="0"/>
                <w:bCs w:val="0"/>
                <w:color w:val="auto"/>
                <w:sz w:val="21"/>
                <w:szCs w:val="21"/>
              </w:rPr>
            </w:pPr>
            <w:r>
              <w:rPr>
                <w:rFonts w:hint="eastAsia" w:ascii="仿宋" w:hAnsi="仿宋" w:eastAsia="仿宋" w:cs="仿宋"/>
                <w:b w:val="0"/>
                <w:bCs/>
                <w:color w:val="auto"/>
                <w:sz w:val="21"/>
                <w:szCs w:val="21"/>
                <w:lang w:val="en-US" w:eastAsia="zh-CN"/>
              </w:rPr>
              <w:t>人民币2326元/平方米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Align w:val="center"/>
          </w:tcPr>
          <w:p>
            <w:pPr>
              <w:numPr>
                <w:ilvl w:val="0"/>
                <w:numId w:val="0"/>
              </w:numPr>
              <w:spacing w:afterLines="10" w:line="240" w:lineRule="auto"/>
              <w:ind w:left="0" w:leftChars="0" w:firstLine="0" w:firstLineChars="0"/>
              <w:jc w:val="left"/>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sz w:val="21"/>
                <w:szCs w:val="21"/>
                <w:lang w:val="en-US" w:eastAsia="zh-CN"/>
              </w:rPr>
              <w:t>4、扣除预期实现抵押权的交易税费及处置费用</w:t>
            </w:r>
          </w:p>
        </w:tc>
        <w:tc>
          <w:tcPr>
            <w:tcW w:w="6801" w:type="dxa"/>
            <w:gridSpan w:val="2"/>
            <w:vAlign w:val="center"/>
          </w:tcPr>
          <w:p>
            <w:pPr>
              <w:wordWrap/>
              <w:adjustRightInd/>
              <w:snapToGrid/>
              <w:spacing w:line="240" w:lineRule="auto"/>
              <w:jc w:val="left"/>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sz w:val="21"/>
                <w:szCs w:val="21"/>
              </w:rPr>
              <w:t>人民币</w:t>
            </w:r>
            <w:r>
              <w:rPr>
                <w:rFonts w:hint="eastAsia" w:ascii="仿宋" w:hAnsi="仿宋" w:eastAsia="仿宋" w:cs="仿宋"/>
                <w:b w:val="0"/>
                <w:bCs w:val="0"/>
                <w:color w:val="auto"/>
                <w:sz w:val="21"/>
                <w:szCs w:val="21"/>
                <w:lang w:eastAsia="zh-CN"/>
              </w:rPr>
              <w:t>叁万柒仟玖佰元</w:t>
            </w:r>
            <w:r>
              <w:rPr>
                <w:rFonts w:hint="eastAsia" w:ascii="仿宋" w:hAnsi="仿宋" w:eastAsia="仿宋" w:cs="仿宋"/>
                <w:b w:val="0"/>
                <w:bCs w:val="0"/>
                <w:color w:val="auto"/>
                <w:sz w:val="21"/>
                <w:szCs w:val="21"/>
              </w:rPr>
              <w:t>整（人民币</w:t>
            </w:r>
            <w:r>
              <w:rPr>
                <w:rFonts w:hint="eastAsia" w:ascii="仿宋" w:hAnsi="仿宋" w:eastAsia="仿宋" w:cs="仿宋"/>
                <w:b w:val="0"/>
                <w:bCs w:val="0"/>
                <w:color w:val="auto"/>
                <w:sz w:val="21"/>
                <w:szCs w:val="21"/>
                <w:lang w:val="en-US" w:eastAsia="zh-CN"/>
              </w:rPr>
              <w:t>3.79万元</w:t>
            </w:r>
            <w:r>
              <w:rPr>
                <w:rFonts w:hint="eastAsia" w:ascii="仿宋" w:hAnsi="仿宋" w:eastAsia="仿宋" w:cs="仿宋"/>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restart"/>
            <w:vAlign w:val="center"/>
          </w:tcPr>
          <w:p>
            <w:pPr>
              <w:numPr>
                <w:ilvl w:val="0"/>
                <w:numId w:val="0"/>
              </w:numPr>
              <w:spacing w:afterLines="10" w:line="240" w:lineRule="auto"/>
              <w:ind w:left="0" w:leftChars="0" w:firstLine="0" w:firstLineChars="0"/>
              <w:jc w:val="left"/>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5、抵押净值</w:t>
            </w:r>
          </w:p>
        </w:tc>
        <w:tc>
          <w:tcPr>
            <w:tcW w:w="1408" w:type="dxa"/>
            <w:vAlign w:val="center"/>
          </w:tcPr>
          <w:p>
            <w:pPr>
              <w:widowControl w:val="0"/>
              <w:wordWrap/>
              <w:adjustRightInd/>
              <w:snapToGrid/>
              <w:spacing w:line="240" w:lineRule="auto"/>
              <w:ind w:right="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总额</w:t>
            </w:r>
          </w:p>
        </w:tc>
        <w:tc>
          <w:tcPr>
            <w:tcW w:w="5393" w:type="dxa"/>
            <w:vAlign w:val="center"/>
          </w:tcPr>
          <w:p>
            <w:pPr>
              <w:widowControl w:val="0"/>
              <w:wordWrap/>
              <w:adjustRightInd/>
              <w:snapToGrid/>
              <w:spacing w:line="240" w:lineRule="auto"/>
              <w:ind w:right="0"/>
              <w:jc w:val="both"/>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rPr>
              <w:t>人民币</w:t>
            </w:r>
            <w:r>
              <w:rPr>
                <w:rFonts w:hint="eastAsia" w:ascii="仿宋" w:hAnsi="仿宋" w:eastAsia="仿宋" w:cs="仿宋"/>
                <w:b w:val="0"/>
                <w:bCs w:val="0"/>
                <w:color w:val="auto"/>
                <w:sz w:val="21"/>
                <w:szCs w:val="21"/>
                <w:lang w:eastAsia="zh-CN"/>
              </w:rPr>
              <w:t>贰佰肆拾捌万捌仟陆佰元</w:t>
            </w:r>
            <w:r>
              <w:rPr>
                <w:rFonts w:hint="eastAsia" w:ascii="仿宋" w:hAnsi="仿宋" w:eastAsia="仿宋" w:cs="仿宋"/>
                <w:b w:val="0"/>
                <w:bCs w:val="0"/>
                <w:color w:val="auto"/>
                <w:sz w:val="21"/>
                <w:szCs w:val="21"/>
              </w:rPr>
              <w:t>整（人民币</w:t>
            </w:r>
            <w:r>
              <w:rPr>
                <w:rFonts w:hint="eastAsia" w:ascii="仿宋" w:hAnsi="仿宋" w:eastAsia="仿宋" w:cs="仿宋"/>
                <w:b w:val="0"/>
                <w:bCs w:val="0"/>
                <w:color w:val="auto"/>
                <w:sz w:val="21"/>
                <w:szCs w:val="21"/>
                <w:lang w:val="en-US" w:eastAsia="zh-CN"/>
              </w:rPr>
              <w:t>248.86万元</w:t>
            </w:r>
            <w:r>
              <w:rPr>
                <w:rFonts w:hint="eastAsia" w:ascii="仿宋" w:hAnsi="仿宋" w:eastAsia="仿宋" w:cs="仿宋"/>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3" w:type="dxa"/>
            <w:vMerge w:val="continue"/>
            <w:vAlign w:val="center"/>
          </w:tcPr>
          <w:p>
            <w:pPr>
              <w:numPr>
                <w:ilvl w:val="0"/>
                <w:numId w:val="0"/>
              </w:numPr>
              <w:spacing w:afterLines="10" w:line="240" w:lineRule="auto"/>
              <w:ind w:left="0" w:leftChars="0" w:firstLine="0" w:firstLineChars="0"/>
              <w:jc w:val="left"/>
              <w:rPr>
                <w:rFonts w:hint="eastAsia" w:ascii="仿宋" w:hAnsi="仿宋" w:eastAsia="仿宋" w:cs="仿宋"/>
                <w:b w:val="0"/>
                <w:bCs w:val="0"/>
                <w:color w:val="auto"/>
                <w:sz w:val="21"/>
                <w:szCs w:val="21"/>
                <w:lang w:val="en-US" w:eastAsia="zh-CN"/>
              </w:rPr>
            </w:pPr>
          </w:p>
        </w:tc>
        <w:tc>
          <w:tcPr>
            <w:tcW w:w="1408" w:type="dxa"/>
            <w:vAlign w:val="center"/>
          </w:tcPr>
          <w:p>
            <w:pPr>
              <w:widowControl w:val="0"/>
              <w:wordWrap/>
              <w:adjustRightInd/>
              <w:snapToGrid/>
              <w:spacing w:line="240" w:lineRule="auto"/>
              <w:ind w:right="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color w:val="auto"/>
                <w:sz w:val="21"/>
                <w:szCs w:val="21"/>
                <w:lang w:val="en-US" w:eastAsia="zh-CN"/>
              </w:rPr>
              <w:t>单价</w:t>
            </w:r>
          </w:p>
        </w:tc>
        <w:tc>
          <w:tcPr>
            <w:tcW w:w="5393" w:type="dxa"/>
            <w:vAlign w:val="center"/>
          </w:tcPr>
          <w:p>
            <w:pPr>
              <w:widowControl w:val="0"/>
              <w:wordWrap/>
              <w:adjustRightInd/>
              <w:snapToGrid/>
              <w:spacing w:line="240" w:lineRule="auto"/>
              <w:ind w:right="0"/>
              <w:jc w:val="both"/>
              <w:textAlignment w:val="auto"/>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lang w:eastAsia="zh-CN"/>
              </w:rPr>
              <w:t>人民币</w:t>
            </w:r>
            <w:r>
              <w:rPr>
                <w:rFonts w:hint="eastAsia" w:ascii="仿宋" w:hAnsi="仿宋" w:eastAsia="仿宋" w:cs="仿宋"/>
                <w:b w:val="0"/>
                <w:bCs w:val="0"/>
                <w:color w:val="auto"/>
                <w:sz w:val="21"/>
                <w:szCs w:val="21"/>
                <w:lang w:val="en-US" w:eastAsia="zh-CN"/>
              </w:rPr>
              <w:t>2291元/平方米</w:t>
            </w:r>
          </w:p>
        </w:tc>
      </w:tr>
    </w:tbl>
    <w:p>
      <w:pPr>
        <w:widowControl w:val="0"/>
        <w:wordWrap/>
        <w:adjustRightInd w:val="0"/>
        <w:snapToGrid w:val="0"/>
        <w:spacing w:line="360" w:lineRule="auto"/>
        <w:ind w:right="735" w:firstLine="630" w:firstLineChars="300"/>
        <w:rPr>
          <w:rFonts w:hint="eastAsia" w:ascii="仿宋" w:hAnsi="仿宋" w:eastAsia="仿宋" w:cs="仿宋"/>
          <w:szCs w:val="21"/>
        </w:rPr>
      </w:pPr>
      <w:r>
        <w:rPr>
          <w:rFonts w:hint="eastAsia" w:ascii="仿宋" w:hAnsi="仿宋" w:eastAsia="仿宋" w:cs="仿宋"/>
          <w:szCs w:val="21"/>
        </w:rPr>
        <w:t>特别提示：</w:t>
      </w:r>
      <w:r>
        <w:rPr>
          <w:rFonts w:hint="eastAsia" w:ascii="仿宋" w:hAnsi="仿宋" w:eastAsia="仿宋" w:cs="仿宋"/>
          <w:szCs w:val="21"/>
          <w:lang w:val="en-US" w:eastAsia="zh-CN"/>
        </w:rPr>
        <w:t>1</w:t>
      </w:r>
      <w:r>
        <w:rPr>
          <w:rFonts w:hint="eastAsia" w:ascii="仿宋" w:hAnsi="仿宋" w:eastAsia="仿宋" w:cs="仿宋"/>
          <w:szCs w:val="21"/>
        </w:rPr>
        <w:t>、本估价报告使用期限自估价报告出具之日起不超过</w:t>
      </w:r>
      <w:r>
        <w:rPr>
          <w:rFonts w:hint="eastAsia" w:ascii="仿宋" w:hAnsi="仿宋" w:eastAsia="仿宋" w:cs="仿宋"/>
          <w:szCs w:val="21"/>
          <w:lang w:eastAsia="zh-CN"/>
        </w:rPr>
        <w:t>壹年</w:t>
      </w:r>
      <w:r>
        <w:rPr>
          <w:rFonts w:hint="eastAsia" w:ascii="仿宋" w:hAnsi="仿宋" w:eastAsia="仿宋" w:cs="仿宋"/>
          <w:szCs w:val="21"/>
        </w:rPr>
        <w:t>。</w:t>
      </w:r>
    </w:p>
    <w:p>
      <w:pPr>
        <w:widowControl w:val="0"/>
        <w:wordWrap/>
        <w:adjustRightInd w:val="0"/>
        <w:snapToGrid w:val="0"/>
        <w:spacing w:line="360" w:lineRule="auto"/>
        <w:ind w:right="420" w:firstLine="1890" w:firstLineChars="900"/>
        <w:rPr>
          <w:rFonts w:hint="eastAsia" w:ascii="仿宋" w:hAnsi="仿宋" w:eastAsia="仿宋" w:cs="仿宋"/>
          <w:szCs w:val="21"/>
        </w:rPr>
      </w:pPr>
      <w:r>
        <w:rPr>
          <w:rFonts w:hint="eastAsia" w:ascii="仿宋" w:hAnsi="仿宋" w:eastAsia="仿宋" w:cs="仿宋"/>
          <w:szCs w:val="21"/>
          <w:lang w:val="en-US" w:eastAsia="zh-CN"/>
        </w:rPr>
        <w:t>2</w:t>
      </w:r>
      <w:r>
        <w:rPr>
          <w:rFonts w:hint="eastAsia" w:ascii="仿宋" w:hAnsi="仿宋" w:eastAsia="仿宋" w:cs="仿宋"/>
          <w:szCs w:val="21"/>
        </w:rPr>
        <w:t>、欲知详情，请阅读本估价报告全文。</w:t>
      </w:r>
    </w:p>
    <w:p>
      <w:pPr>
        <w:widowControl w:val="0"/>
        <w:wordWrap/>
        <w:adjustRightInd w:val="0"/>
        <w:snapToGrid w:val="0"/>
        <w:spacing w:line="360" w:lineRule="auto"/>
        <w:ind w:right="420" w:firstLine="1890" w:firstLineChars="900"/>
        <w:rPr>
          <w:rFonts w:hint="eastAsia" w:ascii="仿宋" w:hAnsi="仿宋" w:eastAsia="仿宋" w:cs="仿宋"/>
          <w:szCs w:val="21"/>
        </w:rPr>
      </w:pPr>
    </w:p>
    <w:p>
      <w:pPr>
        <w:widowControl w:val="0"/>
        <w:wordWrap/>
        <w:adjustRightInd w:val="0"/>
        <w:snapToGrid w:val="0"/>
        <w:spacing w:line="360" w:lineRule="auto"/>
        <w:jc w:val="right"/>
        <w:rPr>
          <w:rFonts w:hint="eastAsia" w:ascii="仿宋" w:hAnsi="仿宋" w:eastAsia="仿宋" w:cs="仿宋"/>
          <w:sz w:val="24"/>
        </w:rPr>
      </w:pPr>
      <w:r>
        <w:rPr>
          <w:rFonts w:hint="eastAsia" w:ascii="仿宋" w:hAnsi="仿宋" w:eastAsia="仿宋" w:cs="仿宋"/>
          <w:sz w:val="24"/>
        </w:rPr>
        <w:t>厦门翰和资产评估土地房地产估价有限公司</w:t>
      </w:r>
    </w:p>
    <w:p>
      <w:pPr>
        <w:widowControl w:val="0"/>
        <w:wordWrap/>
        <w:autoSpaceDE w:val="0"/>
        <w:autoSpaceDN w:val="0"/>
        <w:adjustRightInd w:val="0"/>
        <w:snapToGrid w:val="0"/>
        <w:spacing w:line="360" w:lineRule="auto"/>
        <w:ind w:firstLine="360" w:firstLineChars="150"/>
        <w:jc w:val="center"/>
        <w:textAlignment w:val="bottom"/>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eastAsia="zh-CN"/>
        </w:rPr>
        <w:t>二０二二年十月十四日</w:t>
      </w:r>
    </w:p>
    <w:p>
      <w:pPr>
        <w:widowControl w:val="0"/>
        <w:wordWrap/>
        <w:autoSpaceDE w:val="0"/>
        <w:autoSpaceDN w:val="0"/>
        <w:adjustRightInd w:val="0"/>
        <w:snapToGrid w:val="0"/>
        <w:spacing w:line="360" w:lineRule="auto"/>
        <w:textAlignment w:val="bottom"/>
        <w:rPr>
          <w:rFonts w:hint="eastAsia" w:ascii="仿宋" w:hAnsi="仿宋" w:eastAsia="仿宋" w:cs="仿宋"/>
          <w:b/>
          <w:sz w:val="24"/>
          <w:szCs w:val="24"/>
        </w:rPr>
        <w:sectPr>
          <w:pgSz w:w="11906" w:h="16838"/>
          <w:pgMar w:top="1134" w:right="1134" w:bottom="1134" w:left="1418" w:header="1021" w:footer="397" w:gutter="0"/>
          <w:cols w:space="720" w:num="1"/>
          <w:docGrid w:type="lines" w:linePitch="312" w:charSpace="0"/>
        </w:sectPr>
      </w:pPr>
    </w:p>
    <w:p>
      <w:pPr>
        <w:spacing w:line="960" w:lineRule="auto"/>
        <w:jc w:val="center"/>
        <w:outlineLvl w:val="0"/>
        <w:rPr>
          <w:rFonts w:hint="eastAsia" w:ascii="仿宋" w:hAnsi="仿宋" w:eastAsia="仿宋" w:cs="仿宋"/>
          <w:bCs/>
        </w:rPr>
      </w:pPr>
      <w:bookmarkStart w:id="79" w:name="_Toc402080240"/>
      <w:bookmarkStart w:id="80" w:name="_Toc402080911"/>
      <w:bookmarkStart w:id="81" w:name="_Toc402080180"/>
      <w:bookmarkStart w:id="82" w:name="_Toc27140"/>
      <w:r>
        <w:rPr>
          <w:rFonts w:hint="eastAsia" w:ascii="仿宋" w:hAnsi="仿宋" w:eastAsia="仿宋" w:cs="仿宋"/>
          <w:b/>
          <w:sz w:val="44"/>
          <w:szCs w:val="44"/>
        </w:rPr>
        <w:t>附  件</w:t>
      </w:r>
      <w:bookmarkEnd w:id="79"/>
      <w:bookmarkEnd w:id="80"/>
      <w:bookmarkEnd w:id="81"/>
      <w:bookmarkEnd w:id="82"/>
    </w:p>
    <w:p>
      <w:pPr>
        <w:pStyle w:val="3"/>
        <w:ind w:firstLine="480" w:firstLineChars="200"/>
        <w:rPr>
          <w:rFonts w:hint="eastAsia" w:ascii="仿宋" w:hAnsi="仿宋" w:eastAsia="仿宋" w:cs="仿宋"/>
          <w:b w:val="0"/>
          <w:bCs w:val="0"/>
        </w:rPr>
      </w:pPr>
      <w:bookmarkStart w:id="83" w:name="_Toc7044"/>
      <w:r>
        <w:rPr>
          <w:rFonts w:hint="eastAsia" w:ascii="仿宋" w:hAnsi="仿宋" w:eastAsia="仿宋" w:cs="仿宋"/>
          <w:b w:val="0"/>
          <w:bCs w:val="0"/>
        </w:rPr>
        <w:t>一、估价对象位置图及现场实勘照片</w:t>
      </w:r>
      <w:bookmarkEnd w:id="83"/>
    </w:p>
    <w:p>
      <w:pPr>
        <w:pStyle w:val="3"/>
        <w:ind w:firstLine="480" w:firstLineChars="200"/>
        <w:rPr>
          <w:rFonts w:hint="eastAsia" w:ascii="仿宋" w:hAnsi="仿宋" w:eastAsia="仿宋" w:cs="仿宋"/>
          <w:b w:val="0"/>
          <w:bCs w:val="0"/>
        </w:rPr>
      </w:pPr>
      <w:bookmarkStart w:id="84" w:name="_Toc21890"/>
      <w:r>
        <w:rPr>
          <w:rFonts w:hint="eastAsia" w:ascii="仿宋" w:hAnsi="仿宋" w:eastAsia="仿宋" w:cs="仿宋"/>
          <w:b w:val="0"/>
          <w:bCs w:val="0"/>
        </w:rPr>
        <w:t>二、房地产估价委托合同</w:t>
      </w:r>
      <w:bookmarkEnd w:id="84"/>
    </w:p>
    <w:p>
      <w:pPr>
        <w:pStyle w:val="3"/>
        <w:ind w:firstLine="480" w:firstLineChars="200"/>
        <w:rPr>
          <w:rFonts w:hint="eastAsia" w:ascii="仿宋" w:hAnsi="仿宋" w:eastAsia="仿宋" w:cs="仿宋"/>
          <w:b w:val="0"/>
          <w:bCs w:val="0"/>
          <w:szCs w:val="24"/>
        </w:rPr>
      </w:pPr>
      <w:bookmarkStart w:id="85" w:name="_Toc3965"/>
      <w:r>
        <w:rPr>
          <w:rFonts w:hint="eastAsia" w:ascii="仿宋" w:hAnsi="仿宋" w:eastAsia="仿宋" w:cs="仿宋"/>
          <w:b w:val="0"/>
          <w:bCs w:val="0"/>
        </w:rPr>
        <w:t>三、</w:t>
      </w:r>
      <w:r>
        <w:rPr>
          <w:rFonts w:hint="eastAsia" w:ascii="仿宋" w:hAnsi="仿宋" w:eastAsia="仿宋" w:cs="仿宋"/>
          <w:b w:val="0"/>
          <w:bCs w:val="0"/>
          <w:szCs w:val="24"/>
        </w:rPr>
        <w:t>估价委托人提供的材料(复印件)</w:t>
      </w:r>
      <w:bookmarkEnd w:id="85"/>
    </w:p>
    <w:p>
      <w:pPr>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1、估价委托书；</w:t>
      </w:r>
    </w:p>
    <w:p>
      <w:pPr>
        <w:spacing w:line="360" w:lineRule="auto"/>
        <w:ind w:left="958" w:leftChars="456" w:firstLine="0" w:firstLineChars="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color w:val="auto"/>
          <w:kern w:val="15"/>
          <w:sz w:val="24"/>
          <w:szCs w:val="24"/>
          <w:lang w:eastAsia="zh-CN"/>
        </w:rPr>
        <w:t>《房屋产权证》（永房权证2010字第00306号）《国有土地证》（永国用（2009）第T047号）</w:t>
      </w:r>
      <w:r>
        <w:rPr>
          <w:rFonts w:hint="eastAsia" w:ascii="仿宋" w:hAnsi="仿宋" w:eastAsia="仿宋" w:cs="仿宋"/>
          <w:sz w:val="24"/>
          <w:szCs w:val="24"/>
        </w:rPr>
        <w:t>；</w:t>
      </w:r>
    </w:p>
    <w:p>
      <w:pPr>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、估价委托人身份证。</w:t>
      </w:r>
    </w:p>
    <w:p>
      <w:pPr>
        <w:pStyle w:val="3"/>
        <w:ind w:firstLine="480" w:firstLineChars="200"/>
        <w:rPr>
          <w:rFonts w:hint="eastAsia" w:ascii="仿宋" w:hAnsi="仿宋" w:eastAsia="仿宋" w:cs="仿宋"/>
          <w:b w:val="0"/>
          <w:bCs w:val="0"/>
          <w:szCs w:val="24"/>
        </w:rPr>
      </w:pPr>
      <w:bookmarkStart w:id="86" w:name="_Toc28507"/>
      <w:r>
        <w:rPr>
          <w:rFonts w:hint="eastAsia" w:ascii="仿宋" w:hAnsi="仿宋" w:eastAsia="仿宋" w:cs="仿宋"/>
          <w:b w:val="0"/>
          <w:bCs w:val="0"/>
        </w:rPr>
        <w:t>四、</w:t>
      </w:r>
      <w:r>
        <w:rPr>
          <w:rFonts w:hint="eastAsia" w:ascii="仿宋" w:hAnsi="仿宋" w:eastAsia="仿宋" w:cs="仿宋"/>
          <w:b w:val="0"/>
          <w:bCs w:val="0"/>
          <w:szCs w:val="24"/>
        </w:rPr>
        <w:t>估价机构搜集的资料</w:t>
      </w:r>
      <w:bookmarkEnd w:id="86"/>
    </w:p>
    <w:p>
      <w:pPr>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1、估价对象法定优先受偿款的调查记录；</w:t>
      </w:r>
    </w:p>
    <w:p>
      <w:pPr>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2、估价对象实地勘察情况记录表。</w:t>
      </w:r>
    </w:p>
    <w:p>
      <w:pPr>
        <w:pStyle w:val="3"/>
        <w:ind w:firstLine="480" w:firstLineChars="200"/>
        <w:rPr>
          <w:rFonts w:hint="eastAsia" w:ascii="仿宋" w:hAnsi="仿宋" w:eastAsia="仿宋" w:cs="仿宋"/>
          <w:b w:val="0"/>
          <w:bCs w:val="0"/>
        </w:rPr>
      </w:pPr>
      <w:bookmarkStart w:id="87" w:name="_Toc5443"/>
      <w:r>
        <w:rPr>
          <w:rFonts w:hint="eastAsia" w:ascii="仿宋" w:hAnsi="仿宋" w:eastAsia="仿宋" w:cs="仿宋"/>
          <w:b w:val="0"/>
          <w:bCs w:val="0"/>
        </w:rPr>
        <w:t>五、估价机构营业执照</w:t>
      </w:r>
      <w:bookmarkEnd w:id="87"/>
    </w:p>
    <w:p>
      <w:pPr>
        <w:pStyle w:val="3"/>
        <w:ind w:firstLine="480" w:firstLineChars="200"/>
        <w:rPr>
          <w:rFonts w:hint="eastAsia" w:ascii="仿宋" w:hAnsi="仿宋" w:eastAsia="仿宋" w:cs="仿宋"/>
          <w:b w:val="0"/>
          <w:bCs w:val="0"/>
        </w:rPr>
      </w:pPr>
      <w:bookmarkStart w:id="88" w:name="_Toc17971"/>
      <w:r>
        <w:rPr>
          <w:rFonts w:hint="eastAsia" w:ascii="仿宋" w:hAnsi="仿宋" w:eastAsia="仿宋" w:cs="仿宋"/>
          <w:b w:val="0"/>
          <w:bCs w:val="0"/>
        </w:rPr>
        <w:t>六、估价机构资格证书</w:t>
      </w:r>
      <w:bookmarkEnd w:id="88"/>
    </w:p>
    <w:p>
      <w:pPr>
        <w:pStyle w:val="3"/>
        <w:ind w:firstLine="480" w:firstLineChars="200"/>
        <w:rPr>
          <w:rFonts w:hint="eastAsia" w:ascii="仿宋" w:hAnsi="仿宋" w:eastAsia="仿宋" w:cs="仿宋"/>
        </w:rPr>
      </w:pPr>
      <w:bookmarkStart w:id="89" w:name="_Toc12765"/>
      <w:r>
        <w:rPr>
          <w:rFonts w:hint="eastAsia" w:ascii="仿宋" w:hAnsi="仿宋" w:eastAsia="仿宋" w:cs="仿宋"/>
          <w:b w:val="0"/>
          <w:bCs w:val="0"/>
        </w:rPr>
        <w:t>七、房地产估价师注册证书</w:t>
      </w:r>
      <w:bookmarkEnd w:id="89"/>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pPr>
    </w:p>
    <w:p>
      <w:pPr>
        <w:spacing w:line="360" w:lineRule="auto"/>
        <w:rPr>
          <w:rFonts w:hint="eastAsia" w:ascii="仿宋" w:hAnsi="仿宋" w:eastAsia="仿宋" w:cs="仿宋"/>
          <w:b/>
          <w:sz w:val="24"/>
          <w:szCs w:val="24"/>
        </w:rPr>
      </w:pPr>
    </w:p>
    <w:p>
      <w:pPr>
        <w:spacing w:line="360" w:lineRule="auto"/>
        <w:jc w:val="center"/>
        <w:rPr>
          <w:rFonts w:hint="eastAsia" w:ascii="仿宋" w:hAnsi="仿宋" w:eastAsia="仿宋" w:cs="仿宋"/>
          <w:b/>
          <w:sz w:val="44"/>
          <w:szCs w:val="44"/>
        </w:rPr>
      </w:pPr>
    </w:p>
    <w:p>
      <w:pPr>
        <w:spacing w:line="360" w:lineRule="auto"/>
        <w:jc w:val="center"/>
        <w:rPr>
          <w:rFonts w:hint="eastAsia" w:ascii="仿宋" w:hAnsi="仿宋" w:eastAsia="仿宋" w:cs="仿宋"/>
          <w:b/>
          <w:bCs/>
          <w:sz w:val="44"/>
          <w:shd w:val="pct10" w:color="auto" w:fill="FFFFFF"/>
        </w:rPr>
      </w:pPr>
      <w:r>
        <w:rPr>
          <w:rFonts w:hint="eastAsia" w:ascii="仿宋" w:hAnsi="仿宋" w:eastAsia="仿宋" w:cs="仿宋"/>
          <w:b/>
          <w:sz w:val="44"/>
          <w:szCs w:val="44"/>
        </w:rPr>
        <w:t>价对象位置图及现场实勘照片</w:t>
      </w:r>
    </w:p>
    <w:tbl>
      <w:tblPr>
        <w:tblStyle w:val="22"/>
        <w:tblW w:w="9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4"/>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9095" w:type="dxa"/>
            <w:gridSpan w:val="2"/>
            <w:vAlign w:val="center"/>
          </w:tcPr>
          <w:p>
            <w:pPr>
              <w:jc w:val="center"/>
              <w:rPr>
                <w:rFonts w:hint="eastAsia" w:ascii="仿宋" w:hAnsi="仿宋" w:eastAsia="仿宋" w:cs="仿宋"/>
                <w:b/>
                <w:bCs/>
                <w:sz w:val="24"/>
                <w:szCs w:val="28"/>
              </w:rPr>
            </w:pPr>
            <w:r>
              <w:rPr>
                <w:rFonts w:hint="eastAsia" w:ascii="仿宋" w:hAnsi="仿宋" w:eastAsia="仿宋" w:cs="仿宋"/>
                <w:b/>
                <w:bCs/>
                <w:sz w:val="24"/>
                <w:szCs w:val="28"/>
              </w:rPr>
              <w:t>估价对象位置图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3" w:hRule="atLeast"/>
          <w:jc w:val="center"/>
        </w:trPr>
        <w:tc>
          <w:tcPr>
            <w:tcW w:w="9095" w:type="dxa"/>
            <w:gridSpan w:val="2"/>
            <w:vAlign w:val="center"/>
          </w:tcPr>
          <w:p>
            <w:pPr>
              <w:jc w:val="both"/>
              <w:rPr>
                <w:rFonts w:hint="eastAsia"/>
                <w:lang w:val="en-US" w:eastAsia="zh-CN"/>
              </w:rPr>
            </w:pPr>
            <w:r>
              <w:rPr>
                <w:rFonts w:hint="eastAsia" w:ascii="宋体" w:hAnsi="宋体" w:eastAsia="宋体" w:cs="宋体"/>
                <w:bCs/>
                <w:kern w:val="2"/>
                <w:sz w:val="20"/>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1452880</wp:posOffset>
                      </wp:positionH>
                      <wp:positionV relativeFrom="paragraph">
                        <wp:posOffset>1106170</wp:posOffset>
                      </wp:positionV>
                      <wp:extent cx="749300" cy="297815"/>
                      <wp:effectExtent l="5080" t="4445" r="521970" b="154940"/>
                      <wp:wrapNone/>
                      <wp:docPr id="1" name="Rounded Rectangular Callout 2"/>
                      <wp:cNvGraphicFramePr/>
                      <a:graphic xmlns:a="http://schemas.openxmlformats.org/drawingml/2006/main">
                        <a:graphicData uri="http://schemas.microsoft.com/office/word/2010/wordprocessingShape">
                          <wps:wsp>
                            <wps:cNvSpPr/>
                            <wps:spPr>
                              <a:xfrm>
                                <a:off x="0" y="0"/>
                                <a:ext cx="749300" cy="297815"/>
                              </a:xfrm>
                              <a:prstGeom prst="wedgeRoundRectCallout">
                                <a:avLst>
                                  <a:gd name="adj1" fmla="val 113644"/>
                                  <a:gd name="adj2" fmla="val 91579"/>
                                  <a:gd name="adj3" fmla="val 16667"/>
                                </a:avLst>
                              </a:prstGeom>
                              <a:solidFill>
                                <a:srgbClr val="FFFF00"/>
                              </a:solidFill>
                              <a:ln w="9525" cap="flat" cmpd="sng">
                                <a:solidFill>
                                  <a:srgbClr val="000000"/>
                                </a:solidFill>
                                <a:prstDash val="solid"/>
                                <a:miter/>
                                <a:headEnd type="none" w="med" len="med"/>
                                <a:tailEnd type="none" w="med" len="med"/>
                              </a:ln>
                            </wps:spPr>
                            <wps:txbx>
                              <w:txbxContent>
                                <w:p>
                                  <w:pPr>
                                    <w:rPr>
                                      <w:rFonts w:hint="eastAsia" w:eastAsia="黑体"/>
                                      <w:b/>
                                      <w:bCs/>
                                      <w:sz w:val="18"/>
                                    </w:rPr>
                                  </w:pPr>
                                  <w:r>
                                    <w:rPr>
                                      <w:rFonts w:hint="eastAsia" w:eastAsia="黑体"/>
                                      <w:b/>
                                      <w:bCs/>
                                      <w:sz w:val="18"/>
                                    </w:rPr>
                                    <w:t>估价对象</w:t>
                                  </w:r>
                                </w:p>
                              </w:txbxContent>
                            </wps:txbx>
                            <wps:bodyPr lIns="90043" tIns="0" rIns="18034" bIns="36068" upright="1"/>
                          </wps:wsp>
                        </a:graphicData>
                      </a:graphic>
                    </wp:anchor>
                  </w:drawing>
                </mc:Choice>
                <mc:Fallback>
                  <w:pict>
                    <v:shape id="Rounded Rectangular Callout 2" o:spid="_x0000_s1026" o:spt="62" type="#_x0000_t62" style="position:absolute;left:0pt;margin-left:114.4pt;margin-top:87.1pt;height:23.45pt;width:59pt;z-index:251659264;mso-width-relative:page;mso-height-relative:page;" fillcolor="#FFFF00" filled="t" stroked="t" coordsize="21600,21600" o:gfxdata="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wc/&#10;udoAAAALAQAADwAAAAAAAAABACAAAAAiAAAAZHJzL2Rvd25yZXYueG1sUEsBAhQAFAAAAAgAh07i&#10;QDSCihNZAgAA9AQAAA4AAAAAAAAAAQAgAAAAKQEAAGRycy9lMm9Eb2MueG1sUEsFBgAAAAAGAAYA&#10;WQEAAPQFAAAAAA==&#10;" adj="35347,30581,14400">
                      <v:fill on="t" focussize="0,0"/>
                      <v:stroke color="#000000" joinstyle="miter"/>
                      <v:imagedata o:title=""/>
                      <o:lock v:ext="edit" aspectratio="f"/>
                      <v:textbox inset="7.09pt,0mm,1.42pt,2.84pt">
                        <w:txbxContent>
                          <w:p>
                            <w:pPr>
                              <w:rPr>
                                <w:rFonts w:hint="eastAsia" w:eastAsia="黑体"/>
                                <w:b/>
                                <w:bCs/>
                                <w:sz w:val="18"/>
                              </w:rPr>
                            </w:pPr>
                            <w:r>
                              <w:rPr>
                                <w:rFonts w:hint="eastAsia" w:eastAsia="黑体"/>
                                <w:b/>
                                <w:bCs/>
                                <w:sz w:val="18"/>
                              </w:rPr>
                              <w:t>估价对象</w:t>
                            </w:r>
                          </w:p>
                        </w:txbxContent>
                      </v:textbox>
                    </v:shape>
                  </w:pict>
                </mc:Fallback>
              </mc:AlternateContent>
            </w:r>
            <w:r>
              <w:rPr>
                <w:rFonts w:hint="eastAsia" w:ascii="宋体" w:hAnsi="宋体" w:eastAsia="宋体" w:cs="宋体"/>
                <w:bCs/>
                <w:kern w:val="2"/>
                <w:sz w:val="20"/>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2742565</wp:posOffset>
                      </wp:positionH>
                      <wp:positionV relativeFrom="paragraph">
                        <wp:posOffset>1579880</wp:posOffset>
                      </wp:positionV>
                      <wp:extent cx="144145" cy="144145"/>
                      <wp:effectExtent l="2540" t="5715" r="24765" b="21590"/>
                      <wp:wrapNone/>
                      <wp:docPr id="2" name="5-Point Star 3"/>
                      <wp:cNvGraphicFramePr/>
                      <a:graphic xmlns:a="http://schemas.openxmlformats.org/drawingml/2006/main">
                        <a:graphicData uri="http://schemas.microsoft.com/office/word/2010/wordprocessingShape">
                          <wps:wsp>
                            <wps:cNvSpPr/>
                            <wps:spPr>
                              <a:xfrm rot="17580000">
                                <a:off x="0" y="0"/>
                                <a:ext cx="144145" cy="144145"/>
                              </a:xfrm>
                              <a:prstGeom prst="star5">
                                <a:avLst>
                                  <a:gd name="adj" fmla="val 50000"/>
                                  <a:gd name="hf" fmla="val 105146"/>
                                  <a:gd name="vf" fmla="val 110557"/>
                                </a:avLst>
                              </a:prstGeom>
                              <a:solidFill>
                                <a:srgbClr val="FFFF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5-Point Star 3" o:spid="_x0000_s1026" style="position:absolute;left:0pt;margin-left:215.95pt;margin-top:124.4pt;height:11.35pt;width:11.35pt;rotation:-4390912f;z-index:251660288;mso-width-relative:page;mso-height-relative:page;" fillcolor="#FFFF00" filled="t" stroked="t" coordsize="144145,144145" o:gfxdata="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e/rxf2gAAAAsBAAAPAAAAAAAAAAEAIAAAACIAAABkcnMvZG93bnJldi54bWxQ&#10;SwECFAAUAAAACACHTuJAcAMIwi4CAACwBAAADgAAAAAAAAABACAAAAApAQAAZHJzL2Uyb0RvYy54&#10;bWxQSwUGAAAAAAYABgBZAQAAyQUAAAAA&#10;" path="m0,55058l27529,15217,72072,0,116615,15217,144144,55058,144144,104304,116615,144144,72072,159362,27529,144144,0,104304xe">
                      <v:path textboxrect="0,0,144145,144145" o:connectlocs="72072,0;0,55058;27529,144144;116615,144144;144144,55058" o:connectangles="247,164,82,82,0"/>
                      <v:fill on="t" focussize="0,0"/>
                      <v:stroke color="#000000" joinstyle="miter"/>
                      <v:imagedata o:title=""/>
                      <o:lock v:ext="edit" aspectratio="f"/>
                      <v:textbox>
                        <w:txbxContent>
                          <w:p/>
                        </w:txbxContent>
                      </v:textbox>
                    </v:shape>
                  </w:pict>
                </mc:Fallback>
              </mc:AlternateContent>
            </w:r>
            <w:r>
              <w:rPr>
                <w:rFonts w:hint="eastAsia" w:ascii="宋体" w:hAnsi="宋体" w:eastAsia="宋体" w:cs="宋体"/>
                <w:bCs/>
                <w:kern w:val="2"/>
                <w:sz w:val="20"/>
                <w:lang w:val="en-US" w:eastAsia="zh-CN" w:bidi="ar-SA"/>
              </w:rPr>
              <w:drawing>
                <wp:inline distT="0" distB="0" distL="114300" distR="114300">
                  <wp:extent cx="5637530" cy="3013710"/>
                  <wp:effectExtent l="0" t="0" r="1270" b="15240"/>
                  <wp:docPr id="20" name="图片 20" descr="38a4b0978f3c2878b0bb08b751de3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8a4b0978f3c2878b0bb08b751de3f3"/>
                          <pic:cNvPicPr>
                            <a:picLocks noChangeAspect="1"/>
                          </pic:cNvPicPr>
                        </pic:nvPicPr>
                        <pic:blipFill>
                          <a:blip r:embed="rId12"/>
                          <a:stretch>
                            <a:fillRect/>
                          </a:stretch>
                        </pic:blipFill>
                        <pic:spPr>
                          <a:xfrm>
                            <a:off x="0" y="0"/>
                            <a:ext cx="5637530" cy="30137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4564" w:type="dxa"/>
            <w:vAlign w:val="center"/>
          </w:tcPr>
          <w:p>
            <w:pPr>
              <w:jc w:val="center"/>
              <w:rPr>
                <w:rFonts w:hint="eastAsia" w:ascii="仿宋" w:hAnsi="仿宋" w:eastAsia="仿宋" w:cs="仿宋"/>
                <w:b/>
                <w:bCs/>
                <w:sz w:val="24"/>
                <w:szCs w:val="28"/>
              </w:rPr>
            </w:pPr>
            <w:r>
              <w:rPr>
                <w:rFonts w:hint="eastAsia" w:ascii="仿宋" w:hAnsi="仿宋" w:eastAsia="仿宋" w:cs="仿宋"/>
                <w:b/>
                <w:bCs/>
                <w:sz w:val="24"/>
                <w:szCs w:val="28"/>
                <w:lang w:eastAsia="zh-CN"/>
              </w:rPr>
              <w:t>建筑外观</w:t>
            </w:r>
          </w:p>
        </w:tc>
        <w:tc>
          <w:tcPr>
            <w:tcW w:w="4531" w:type="dxa"/>
            <w:vAlign w:val="center"/>
          </w:tcPr>
          <w:p>
            <w:pPr>
              <w:tabs>
                <w:tab w:val="left" w:pos="1152"/>
                <w:tab w:val="center" w:pos="2219"/>
              </w:tabs>
              <w:jc w:val="center"/>
              <w:rPr>
                <w:rFonts w:hint="eastAsia" w:ascii="仿宋" w:hAnsi="仿宋" w:eastAsia="仿宋" w:cs="仿宋"/>
                <w:b/>
                <w:bCs/>
                <w:sz w:val="24"/>
                <w:szCs w:val="28"/>
              </w:rPr>
            </w:pPr>
            <w:r>
              <w:rPr>
                <w:rFonts w:hint="eastAsia" w:ascii="仿宋" w:hAnsi="仿宋" w:eastAsia="仿宋" w:cs="仿宋"/>
                <w:b/>
                <w:bCs/>
                <w:sz w:val="24"/>
                <w:szCs w:val="28"/>
                <w:lang w:eastAsia="zh-CN"/>
              </w:rPr>
              <w:t>室内</w:t>
            </w:r>
            <w:r>
              <w:rPr>
                <w:rFonts w:hint="eastAsia" w:ascii="仿宋" w:hAnsi="仿宋" w:eastAsia="仿宋" w:cs="仿宋"/>
                <w:b/>
                <w:bCs/>
                <w:sz w:val="24"/>
                <w:szCs w:val="28"/>
              </w:rPr>
              <w:t>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8" w:hRule="atLeast"/>
          <w:jc w:val="center"/>
        </w:trPr>
        <w:tc>
          <w:tcPr>
            <w:tcW w:w="4564" w:type="dxa"/>
            <w:tcBorders>
              <w:bottom w:val="single" w:color="auto" w:sz="4" w:space="0"/>
            </w:tcBorders>
            <w:vAlign w:val="center"/>
          </w:tcPr>
          <w:p>
            <w:pPr>
              <w:jc w:val="cente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2028190" cy="2910840"/>
                  <wp:effectExtent l="0" t="0" r="3810" b="10160"/>
                  <wp:docPr id="21" name="图片 21" descr="0d74eb6f73654d901872450b9cc610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d74eb6f73654d901872450b9cc61070_"/>
                          <pic:cNvPicPr>
                            <a:picLocks noChangeAspect="1"/>
                          </pic:cNvPicPr>
                        </pic:nvPicPr>
                        <pic:blipFill>
                          <a:blip r:embed="rId10"/>
                          <a:stretch>
                            <a:fillRect/>
                          </a:stretch>
                        </pic:blipFill>
                        <pic:spPr>
                          <a:xfrm rot="5400000">
                            <a:off x="0" y="0"/>
                            <a:ext cx="2028190" cy="2910840"/>
                          </a:xfrm>
                          <a:prstGeom prst="rect">
                            <a:avLst/>
                          </a:prstGeom>
                        </pic:spPr>
                      </pic:pic>
                    </a:graphicData>
                  </a:graphic>
                </wp:inline>
              </w:drawing>
            </w:r>
          </w:p>
        </w:tc>
        <w:tc>
          <w:tcPr>
            <w:tcW w:w="4531" w:type="dxa"/>
            <w:tcBorders>
              <w:bottom w:val="single" w:color="auto" w:sz="4" w:space="0"/>
            </w:tcBorders>
            <w:vAlign w:val="center"/>
          </w:tcPr>
          <w:p>
            <w:pPr>
              <w:jc w:val="center"/>
              <w:rPr>
                <w:rFonts w:hint="eastAsia" w:ascii="仿宋" w:hAnsi="仿宋" w:eastAsia="仿宋" w:cs="仿宋"/>
                <w:bCs/>
                <w:sz w:val="28"/>
                <w:lang w:eastAsia="zh-CN"/>
              </w:rPr>
            </w:pPr>
            <w:r>
              <w:rPr>
                <w:rFonts w:hint="eastAsia" w:ascii="仿宋" w:hAnsi="仿宋" w:eastAsia="仿宋" w:cs="仿宋"/>
                <w:bCs/>
                <w:sz w:val="28"/>
                <w:lang w:eastAsia="zh-CN"/>
              </w:rPr>
              <w:drawing>
                <wp:inline distT="0" distB="0" distL="114300" distR="114300">
                  <wp:extent cx="1990725" cy="2836545"/>
                  <wp:effectExtent l="0" t="0" r="1905" b="9525"/>
                  <wp:docPr id="25" name="图片 25" descr="f57b7511a462fea72b94548e53b163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57b7511a462fea72b94548e53b16311_"/>
                          <pic:cNvPicPr>
                            <a:picLocks noChangeAspect="1"/>
                          </pic:cNvPicPr>
                        </pic:nvPicPr>
                        <pic:blipFill>
                          <a:blip r:embed="rId13"/>
                          <a:stretch>
                            <a:fillRect/>
                          </a:stretch>
                        </pic:blipFill>
                        <pic:spPr>
                          <a:xfrm rot="5400000">
                            <a:off x="0" y="0"/>
                            <a:ext cx="1990725" cy="28365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564" w:type="dxa"/>
            <w:vAlign w:val="center"/>
          </w:tcPr>
          <w:p>
            <w:pPr>
              <w:jc w:val="center"/>
              <w:rPr>
                <w:rFonts w:hint="eastAsia" w:ascii="仿宋" w:hAnsi="仿宋" w:eastAsia="仿宋" w:cs="仿宋"/>
                <w:b/>
                <w:bCs/>
                <w:sz w:val="24"/>
                <w:szCs w:val="28"/>
              </w:rPr>
            </w:pPr>
            <w:r>
              <w:rPr>
                <w:rFonts w:hint="eastAsia" w:ascii="仿宋" w:hAnsi="仿宋" w:eastAsia="仿宋" w:cs="仿宋"/>
                <w:b/>
                <w:bCs/>
                <w:sz w:val="24"/>
                <w:szCs w:val="28"/>
                <w:lang w:eastAsia="zh-CN"/>
              </w:rPr>
              <w:t>室内</w:t>
            </w:r>
            <w:r>
              <w:rPr>
                <w:rFonts w:hint="eastAsia" w:ascii="仿宋" w:hAnsi="仿宋" w:eastAsia="仿宋" w:cs="仿宋"/>
                <w:b/>
                <w:bCs/>
                <w:sz w:val="24"/>
                <w:szCs w:val="28"/>
              </w:rPr>
              <w:t>状况</w:t>
            </w:r>
          </w:p>
        </w:tc>
        <w:tc>
          <w:tcPr>
            <w:tcW w:w="4531" w:type="dxa"/>
            <w:vAlign w:val="center"/>
          </w:tcPr>
          <w:p>
            <w:pPr>
              <w:tabs>
                <w:tab w:val="left" w:pos="1152"/>
                <w:tab w:val="center" w:pos="2219"/>
              </w:tabs>
              <w:jc w:val="center"/>
              <w:rPr>
                <w:rFonts w:hint="eastAsia" w:ascii="仿宋" w:hAnsi="仿宋" w:eastAsia="仿宋" w:cs="仿宋"/>
                <w:b/>
                <w:bCs/>
                <w:sz w:val="24"/>
                <w:szCs w:val="28"/>
              </w:rPr>
            </w:pPr>
            <w:r>
              <w:rPr>
                <w:rFonts w:hint="eastAsia" w:ascii="仿宋" w:hAnsi="仿宋" w:eastAsia="仿宋" w:cs="仿宋"/>
                <w:b/>
                <w:bCs/>
                <w:sz w:val="24"/>
                <w:szCs w:val="28"/>
                <w:lang w:eastAsia="zh-CN"/>
              </w:rPr>
              <w:t>室内</w:t>
            </w:r>
            <w:r>
              <w:rPr>
                <w:rFonts w:hint="eastAsia" w:ascii="仿宋" w:hAnsi="仿宋" w:eastAsia="仿宋" w:cs="仿宋"/>
                <w:b/>
                <w:bCs/>
                <w:sz w:val="24"/>
                <w:szCs w:val="28"/>
              </w:rPr>
              <w:t>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8" w:hRule="atLeast"/>
          <w:jc w:val="center"/>
        </w:trPr>
        <w:tc>
          <w:tcPr>
            <w:tcW w:w="4564" w:type="dxa"/>
            <w:tcBorders>
              <w:bottom w:val="single" w:color="auto" w:sz="4" w:space="0"/>
            </w:tcBorders>
            <w:vAlign w:val="center"/>
          </w:tcPr>
          <w:p>
            <w:pPr>
              <w:jc w:val="center"/>
              <w:rPr>
                <w:rFonts w:hint="eastAsia" w:ascii="仿宋" w:hAnsi="仿宋" w:eastAsia="仿宋" w:cs="仿宋"/>
                <w:bCs/>
                <w:sz w:val="28"/>
                <w:lang w:eastAsia="zh-CN"/>
              </w:rPr>
            </w:pPr>
            <w:r>
              <w:rPr>
                <w:rFonts w:hint="eastAsia" w:ascii="仿宋" w:hAnsi="仿宋" w:eastAsia="仿宋" w:cs="仿宋"/>
                <w:bCs/>
                <w:sz w:val="28"/>
                <w:lang w:eastAsia="zh-CN"/>
              </w:rPr>
              <w:drawing>
                <wp:inline distT="0" distB="0" distL="114300" distR="114300">
                  <wp:extent cx="2152015" cy="2872105"/>
                  <wp:effectExtent l="0" t="0" r="4445" b="635"/>
                  <wp:docPr id="26" name="图片 26" descr="01a1af5c8a7340b2b456c9ee451ac9b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1a1af5c8a7340b2b456c9ee451ac9ba_"/>
                          <pic:cNvPicPr>
                            <a:picLocks noChangeAspect="1"/>
                          </pic:cNvPicPr>
                        </pic:nvPicPr>
                        <pic:blipFill>
                          <a:blip r:embed="rId14"/>
                          <a:stretch>
                            <a:fillRect/>
                          </a:stretch>
                        </pic:blipFill>
                        <pic:spPr>
                          <a:xfrm rot="5400000">
                            <a:off x="0" y="0"/>
                            <a:ext cx="2152015" cy="2872105"/>
                          </a:xfrm>
                          <a:prstGeom prst="rect">
                            <a:avLst/>
                          </a:prstGeom>
                        </pic:spPr>
                      </pic:pic>
                    </a:graphicData>
                  </a:graphic>
                </wp:inline>
              </w:drawing>
            </w:r>
          </w:p>
        </w:tc>
        <w:tc>
          <w:tcPr>
            <w:tcW w:w="4531" w:type="dxa"/>
            <w:tcBorders>
              <w:bottom w:val="single" w:color="auto" w:sz="4" w:space="0"/>
            </w:tcBorders>
            <w:vAlign w:val="center"/>
          </w:tcPr>
          <w:p>
            <w:pPr>
              <w:jc w:val="center"/>
              <w:rPr>
                <w:rFonts w:hint="eastAsia" w:ascii="仿宋" w:hAnsi="仿宋" w:eastAsia="仿宋" w:cs="仿宋"/>
                <w:bCs/>
                <w:sz w:val="28"/>
                <w:lang w:eastAsia="zh-CN"/>
              </w:rPr>
            </w:pPr>
            <w:r>
              <w:rPr>
                <w:rFonts w:hint="eastAsia" w:ascii="仿宋" w:hAnsi="仿宋" w:eastAsia="仿宋" w:cs="仿宋"/>
                <w:bCs/>
                <w:sz w:val="28"/>
                <w:lang w:eastAsia="zh-CN"/>
              </w:rPr>
              <w:drawing>
                <wp:inline distT="0" distB="0" distL="114300" distR="114300">
                  <wp:extent cx="2133600" cy="2777490"/>
                  <wp:effectExtent l="0" t="0" r="3810" b="0"/>
                  <wp:docPr id="27" name="图片 27" descr="074b581244081b65a45f20ad3643486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74b581244081b65a45f20ad36434866_"/>
                          <pic:cNvPicPr>
                            <a:picLocks noChangeAspect="1"/>
                          </pic:cNvPicPr>
                        </pic:nvPicPr>
                        <pic:blipFill>
                          <a:blip r:embed="rId15"/>
                          <a:stretch>
                            <a:fillRect/>
                          </a:stretch>
                        </pic:blipFill>
                        <pic:spPr>
                          <a:xfrm rot="5400000">
                            <a:off x="0" y="0"/>
                            <a:ext cx="2133600" cy="2777490"/>
                          </a:xfrm>
                          <a:prstGeom prst="rect">
                            <a:avLst/>
                          </a:prstGeom>
                        </pic:spPr>
                      </pic:pic>
                    </a:graphicData>
                  </a:graphic>
                </wp:inline>
              </w:drawing>
            </w:r>
          </w:p>
        </w:tc>
      </w:tr>
    </w:tbl>
    <w:p>
      <w:pPr>
        <w:spacing w:line="360" w:lineRule="auto"/>
        <w:rPr>
          <w:rFonts w:hint="eastAsia" w:ascii="仿宋" w:hAnsi="仿宋" w:eastAsia="仿宋" w:cs="仿宋"/>
          <w:b/>
          <w:sz w:val="24"/>
          <w:szCs w:val="24"/>
        </w:rPr>
        <w:sectPr>
          <w:pgSz w:w="11906" w:h="16838"/>
          <w:pgMar w:top="1134" w:right="1134" w:bottom="1134" w:left="1418" w:header="1021" w:footer="397" w:gutter="0"/>
          <w:cols w:space="720" w:num="1"/>
          <w:docGrid w:type="lines" w:linePitch="312" w:charSpace="0"/>
        </w:sectPr>
      </w:pPr>
    </w:p>
    <w:p>
      <w:pPr>
        <w:bidi w:val="0"/>
        <w:jc w:val="center"/>
        <w:rPr>
          <w:rFonts w:hint="eastAsia"/>
          <w:lang w:val="en-US" w:eastAsia="zh-CN"/>
        </w:rPr>
      </w:pPr>
    </w:p>
    <w:p>
      <w:pPr>
        <w:bidi w:val="0"/>
        <w:jc w:val="center"/>
        <w:rPr>
          <w:rFonts w:hint="eastAsia"/>
          <w:lang w:val="en-US" w:eastAsia="zh-CN"/>
        </w:rPr>
      </w:pPr>
      <w:r>
        <w:rPr>
          <w:rFonts w:hint="eastAsia"/>
          <w:lang w:val="en-US" w:eastAsia="zh-CN"/>
        </w:rPr>
        <w:drawing>
          <wp:inline distT="0" distB="0" distL="114300" distR="114300">
            <wp:extent cx="5707380" cy="3980815"/>
            <wp:effectExtent l="0" t="0" r="635" b="7620"/>
            <wp:docPr id="28" name="图片 28" descr="a024b0a004f6f5dc54805ab10e93f4a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024b0a004f6f5dc54805ab10e93f4a0_"/>
                    <pic:cNvPicPr>
                      <a:picLocks noChangeAspect="1"/>
                    </pic:cNvPicPr>
                  </pic:nvPicPr>
                  <pic:blipFill>
                    <a:blip r:embed="rId16"/>
                    <a:srcRect l="5338" t="13803" r="13263" b="10496"/>
                    <a:stretch>
                      <a:fillRect/>
                    </a:stretch>
                  </pic:blipFill>
                  <pic:spPr>
                    <a:xfrm rot="5400000">
                      <a:off x="0" y="0"/>
                      <a:ext cx="5707380" cy="3980815"/>
                    </a:xfrm>
                    <a:prstGeom prst="rect">
                      <a:avLst/>
                    </a:prstGeom>
                  </pic:spPr>
                </pic:pic>
              </a:graphicData>
            </a:graphic>
          </wp:inline>
        </w:drawing>
      </w: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r>
        <w:rPr>
          <w:rFonts w:hint="eastAsia"/>
          <w:lang w:val="en-US" w:eastAsia="zh-CN"/>
        </w:rPr>
        <w:drawing>
          <wp:inline distT="0" distB="0" distL="114300" distR="114300">
            <wp:extent cx="5972175" cy="4206875"/>
            <wp:effectExtent l="0" t="0" r="3175" b="9525"/>
            <wp:docPr id="29" name="图片 29" descr="294e62fe175c71fede7355b47a62da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94e62fe175c71fede7355b47a62da80_"/>
                    <pic:cNvPicPr>
                      <a:picLocks noChangeAspect="1"/>
                    </pic:cNvPicPr>
                  </pic:nvPicPr>
                  <pic:blipFill>
                    <a:blip r:embed="rId17"/>
                    <a:srcRect l="8249" t="16175" r="11160" b="11215"/>
                    <a:stretch>
                      <a:fillRect/>
                    </a:stretch>
                  </pic:blipFill>
                  <pic:spPr>
                    <a:xfrm rot="5400000">
                      <a:off x="0" y="0"/>
                      <a:ext cx="5972175" cy="4206875"/>
                    </a:xfrm>
                    <a:prstGeom prst="rect">
                      <a:avLst/>
                    </a:prstGeom>
                  </pic:spPr>
                </pic:pic>
              </a:graphicData>
            </a:graphic>
          </wp:inline>
        </w:drawing>
      </w:r>
    </w:p>
    <w:p>
      <w:pPr>
        <w:bidi w:val="0"/>
        <w:jc w:val="center"/>
        <w:rPr>
          <w:rFonts w:hint="eastAsia"/>
          <w:lang w:val="en-US" w:eastAsia="zh-CN"/>
        </w:rPr>
      </w:pPr>
    </w:p>
    <w:p>
      <w:pPr>
        <w:bidi w:val="0"/>
        <w:jc w:val="center"/>
        <w:rPr>
          <w:rFonts w:hint="eastAsia"/>
          <w:lang w:val="en-US" w:eastAsia="zh-CN"/>
        </w:rPr>
      </w:pPr>
      <w:r>
        <w:rPr>
          <w:rFonts w:hint="eastAsia"/>
          <w:lang w:val="en-US" w:eastAsia="zh-CN"/>
        </w:rPr>
        <w:drawing>
          <wp:inline distT="0" distB="0" distL="114300" distR="114300">
            <wp:extent cx="5606415" cy="3975100"/>
            <wp:effectExtent l="0" t="0" r="13335" b="6350"/>
            <wp:docPr id="31" name="图片 31" descr="1e6a6b2c247c56ed8507a7516ca75db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e6a6b2c247c56ed8507a7516ca75db7_"/>
                    <pic:cNvPicPr>
                      <a:picLocks noChangeAspect="1"/>
                    </pic:cNvPicPr>
                  </pic:nvPicPr>
                  <pic:blipFill>
                    <a:blip r:embed="rId18"/>
                    <a:srcRect l="3397" r="6793" b="15097"/>
                    <a:stretch>
                      <a:fillRect/>
                    </a:stretch>
                  </pic:blipFill>
                  <pic:spPr>
                    <a:xfrm>
                      <a:off x="0" y="0"/>
                      <a:ext cx="5606415" cy="3975100"/>
                    </a:xfrm>
                    <a:prstGeom prst="rect">
                      <a:avLst/>
                    </a:prstGeom>
                  </pic:spPr>
                </pic:pic>
              </a:graphicData>
            </a:graphic>
          </wp:inline>
        </w:drawing>
      </w:r>
    </w:p>
    <w:p>
      <w:pPr>
        <w:bidi w:val="0"/>
        <w:jc w:val="center"/>
        <w:rPr>
          <w:rFonts w:hint="eastAsia"/>
          <w:lang w:val="en-US" w:eastAsia="zh-CN"/>
        </w:rPr>
      </w:pPr>
      <w:r>
        <w:rPr>
          <w:rFonts w:hint="eastAsia"/>
          <w:lang w:val="en-US" w:eastAsia="zh-CN"/>
        </w:rPr>
        <w:drawing>
          <wp:inline distT="0" distB="0" distL="114300" distR="114300">
            <wp:extent cx="5959475" cy="4295140"/>
            <wp:effectExtent l="0" t="0" r="10160" b="3175"/>
            <wp:docPr id="32" name="图片 32" descr="003becedb17cfb3aab00cf54a100467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03becedb17cfb3aab00cf54a100467a_"/>
                    <pic:cNvPicPr>
                      <a:picLocks noChangeAspect="1"/>
                    </pic:cNvPicPr>
                  </pic:nvPicPr>
                  <pic:blipFill>
                    <a:blip r:embed="rId19"/>
                    <a:srcRect l="3882" r="8087" b="9705"/>
                    <a:stretch>
                      <a:fillRect/>
                    </a:stretch>
                  </pic:blipFill>
                  <pic:spPr>
                    <a:xfrm rot="5400000">
                      <a:off x="0" y="0"/>
                      <a:ext cx="5959475" cy="4295140"/>
                    </a:xfrm>
                    <a:prstGeom prst="rect">
                      <a:avLst/>
                    </a:prstGeom>
                  </pic:spPr>
                </pic:pic>
              </a:graphicData>
            </a:graphic>
          </wp:inline>
        </w:drawing>
      </w: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r>
        <w:rPr>
          <w:rFonts w:hint="eastAsia"/>
          <w:lang w:val="en-US" w:eastAsia="zh-CN"/>
        </w:rPr>
        <w:drawing>
          <wp:inline distT="0" distB="0" distL="114300" distR="114300">
            <wp:extent cx="5743575" cy="4292600"/>
            <wp:effectExtent l="0" t="0" r="12700" b="9525"/>
            <wp:docPr id="33" name="图片 33" descr="0823158f287de2b214f3edd946ee7c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823158f287de2b214f3edd946ee7c12_"/>
                    <pic:cNvPicPr>
                      <a:picLocks noChangeAspect="1"/>
                    </pic:cNvPicPr>
                  </pic:nvPicPr>
                  <pic:blipFill>
                    <a:blip r:embed="rId20"/>
                    <a:srcRect l="12616" t="21999" r="14880" b="10352"/>
                    <a:stretch>
                      <a:fillRect/>
                    </a:stretch>
                  </pic:blipFill>
                  <pic:spPr>
                    <a:xfrm rot="5400000">
                      <a:off x="0" y="0"/>
                      <a:ext cx="5743575" cy="4292600"/>
                    </a:xfrm>
                    <a:prstGeom prst="rect">
                      <a:avLst/>
                    </a:prstGeom>
                  </pic:spPr>
                </pic:pic>
              </a:graphicData>
            </a:graphic>
          </wp:inline>
        </w:drawing>
      </w:r>
    </w:p>
    <w:p>
      <w:pPr>
        <w:bidi w:val="0"/>
        <w:jc w:val="center"/>
        <w:rPr>
          <w:rFonts w:hint="eastAsia"/>
          <w:lang w:val="en-US" w:eastAsia="zh-CN"/>
        </w:rPr>
      </w:pPr>
    </w:p>
    <w:p>
      <w:pPr>
        <w:bidi w:val="0"/>
        <w:jc w:val="center"/>
        <w:rPr>
          <w:rFonts w:hint="eastAsia"/>
          <w:lang w:val="en-US" w:eastAsia="zh-CN"/>
        </w:rPr>
      </w:pPr>
      <w:r>
        <w:rPr>
          <w:rFonts w:hint="eastAsia"/>
          <w:lang w:val="en-US" w:eastAsia="zh-CN"/>
        </w:rPr>
        <w:drawing>
          <wp:inline distT="0" distB="0" distL="114300" distR="114300">
            <wp:extent cx="5205730" cy="3872230"/>
            <wp:effectExtent l="0" t="0" r="13970" b="13970"/>
            <wp:docPr id="35" name="图片 35" descr="ae5b2cb3ff915c75a9d94ba139cfd85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e5b2cb3ff915c75a9d94ba139cfd85d_"/>
                    <pic:cNvPicPr>
                      <a:picLocks noChangeAspect="1"/>
                    </pic:cNvPicPr>
                  </pic:nvPicPr>
                  <pic:blipFill>
                    <a:blip r:embed="rId21"/>
                    <a:srcRect l="9058" t="24371" r="23614" b="13587"/>
                    <a:stretch>
                      <a:fillRect/>
                    </a:stretch>
                  </pic:blipFill>
                  <pic:spPr>
                    <a:xfrm rot="5400000">
                      <a:off x="0" y="0"/>
                      <a:ext cx="5205730" cy="3872230"/>
                    </a:xfrm>
                    <a:prstGeom prst="rect">
                      <a:avLst/>
                    </a:prstGeom>
                  </pic:spPr>
                </pic:pic>
              </a:graphicData>
            </a:graphic>
          </wp:inline>
        </w:drawing>
      </w:r>
    </w:p>
    <w:p>
      <w:pPr>
        <w:bidi w:val="0"/>
        <w:jc w:val="center"/>
        <w:rPr>
          <w:rFonts w:hint="eastAsia"/>
          <w:lang w:val="en-US" w:eastAsia="zh-CN"/>
        </w:rPr>
      </w:pPr>
    </w:p>
    <w:p>
      <w:pPr>
        <w:bidi w:val="0"/>
        <w:jc w:val="center"/>
        <w:rPr>
          <w:rFonts w:hint="eastAsia"/>
          <w:lang w:val="en-US" w:eastAsia="zh-CN"/>
        </w:rPr>
      </w:pPr>
      <w:r>
        <w:rPr>
          <w:rFonts w:hint="eastAsia"/>
          <w:lang w:val="en-US" w:eastAsia="zh-CN"/>
        </w:rPr>
        <w:drawing>
          <wp:inline distT="0" distB="0" distL="114300" distR="114300">
            <wp:extent cx="5367655" cy="3742690"/>
            <wp:effectExtent l="0" t="0" r="10160" b="4445"/>
            <wp:docPr id="36" name="图片 36" descr="d855e84e621fe3c09985679b932e45e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855e84e621fe3c09985679b932e45e6_"/>
                    <pic:cNvPicPr>
                      <a:picLocks noChangeAspect="1"/>
                    </pic:cNvPicPr>
                  </pic:nvPicPr>
                  <pic:blipFill>
                    <a:blip r:embed="rId22"/>
                    <a:srcRect l="5984" t="13156" r="8411" b="7261"/>
                    <a:stretch>
                      <a:fillRect/>
                    </a:stretch>
                  </pic:blipFill>
                  <pic:spPr>
                    <a:xfrm rot="5400000">
                      <a:off x="0" y="0"/>
                      <a:ext cx="5367655" cy="3742690"/>
                    </a:xfrm>
                    <a:prstGeom prst="rect">
                      <a:avLst/>
                    </a:prstGeom>
                  </pic:spPr>
                </pic:pic>
              </a:graphicData>
            </a:graphic>
          </wp:inline>
        </w:drawing>
      </w:r>
    </w:p>
    <w:p>
      <w:pPr>
        <w:bidi w:val="0"/>
        <w:jc w:val="center"/>
        <w:rPr>
          <w:rFonts w:hint="eastAsia"/>
          <w:lang w:val="en-US" w:eastAsia="zh-CN"/>
        </w:rPr>
      </w:pPr>
    </w:p>
    <w:p>
      <w:pPr>
        <w:bidi w:val="0"/>
        <w:jc w:val="center"/>
        <w:rPr>
          <w:rFonts w:hint="eastAsia"/>
          <w:lang w:val="en-US" w:eastAsia="zh-CN"/>
        </w:rPr>
      </w:pPr>
      <w:r>
        <w:rPr>
          <w:rFonts w:hint="eastAsia"/>
          <w:lang w:val="en-US" w:eastAsia="zh-CN"/>
        </w:rPr>
        <w:drawing>
          <wp:inline distT="0" distB="0" distL="114300" distR="114300">
            <wp:extent cx="5506085" cy="3910330"/>
            <wp:effectExtent l="0" t="0" r="13970" b="18415"/>
            <wp:docPr id="37" name="图片 37" descr="aadc4dd065e95fbb1d49e171111814a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adc4dd065e95fbb1d49e171111814ae_"/>
                    <pic:cNvPicPr>
                      <a:picLocks noChangeAspect="1"/>
                    </pic:cNvPicPr>
                  </pic:nvPicPr>
                  <pic:blipFill>
                    <a:blip r:embed="rId23"/>
                    <a:srcRect l="5661" t="15528" r="13748" b="11862"/>
                    <a:stretch>
                      <a:fillRect/>
                    </a:stretch>
                  </pic:blipFill>
                  <pic:spPr>
                    <a:xfrm rot="5400000">
                      <a:off x="0" y="0"/>
                      <a:ext cx="5506085" cy="3910330"/>
                    </a:xfrm>
                    <a:prstGeom prst="rect">
                      <a:avLst/>
                    </a:prstGeom>
                  </pic:spPr>
                </pic:pic>
              </a:graphicData>
            </a:graphic>
          </wp:inline>
        </w:drawing>
      </w:r>
    </w:p>
    <w:p>
      <w:pPr>
        <w:spacing w:line="360" w:lineRule="auto"/>
        <w:jc w:val="center"/>
        <w:rPr>
          <w:rFonts w:hint="eastAsia" w:eastAsia="宋体"/>
          <w:sz w:val="24"/>
          <w:szCs w:val="24"/>
          <w:lang w:eastAsia="zh-CN"/>
        </w:rPr>
      </w:pPr>
      <w:r>
        <w:rPr>
          <w:rFonts w:hint="eastAsia" w:eastAsia="宋体"/>
          <w:sz w:val="24"/>
          <w:szCs w:val="24"/>
          <w:lang w:eastAsia="zh-CN"/>
        </w:rPr>
        <w:drawing>
          <wp:inline distT="0" distB="0" distL="114300" distR="114300">
            <wp:extent cx="5925820" cy="4307205"/>
            <wp:effectExtent l="0" t="0" r="17780" b="17145"/>
            <wp:docPr id="34" name="图片 23" descr="房地产估价机构备案证书（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房地产估价机构备案证书（新）"/>
                    <pic:cNvPicPr>
                      <a:picLocks noChangeAspect="1"/>
                    </pic:cNvPicPr>
                  </pic:nvPicPr>
                  <pic:blipFill>
                    <a:blip r:embed="rId24"/>
                    <a:srcRect l="11754" t="1515" r="1666" b="10004"/>
                    <a:stretch>
                      <a:fillRect/>
                    </a:stretch>
                  </pic:blipFill>
                  <pic:spPr>
                    <a:xfrm>
                      <a:off x="0" y="0"/>
                      <a:ext cx="5925820" cy="430720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4261485" cy="5894705"/>
            <wp:effectExtent l="0" t="0" r="10795" b="5715"/>
            <wp:docPr id="18" name="图片 19" descr="7860934fb0af2bdaa07a615b25a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7860934fb0af2bdaa07a615b25a1101"/>
                    <pic:cNvPicPr>
                      <a:picLocks noChangeAspect="1"/>
                    </pic:cNvPicPr>
                  </pic:nvPicPr>
                  <pic:blipFill>
                    <a:blip r:embed="rId25"/>
                    <a:srcRect l="9592" t="9644" r="7727" b="10239"/>
                    <a:stretch>
                      <a:fillRect/>
                    </a:stretch>
                  </pic:blipFill>
                  <pic:spPr>
                    <a:xfrm rot="5400000">
                      <a:off x="0" y="0"/>
                      <a:ext cx="4261485" cy="589470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3891915" cy="5401310"/>
            <wp:effectExtent l="0" t="0" r="8890" b="13335"/>
            <wp:docPr id="19" name="图片 20" descr="5b8aa8c44bc1a402ee13d663f40f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5b8aa8c44bc1a402ee13d663f40fa3c"/>
                    <pic:cNvPicPr>
                      <a:picLocks noChangeAspect="1"/>
                    </pic:cNvPicPr>
                  </pic:nvPicPr>
                  <pic:blipFill>
                    <a:blip r:embed="rId26"/>
                    <a:srcRect l="23206" t="30473" r="30917" b="22711"/>
                    <a:stretch>
                      <a:fillRect/>
                    </a:stretch>
                  </pic:blipFill>
                  <pic:spPr>
                    <a:xfrm rot="5400000">
                      <a:off x="0" y="0"/>
                      <a:ext cx="3891915" cy="5401310"/>
                    </a:xfrm>
                    <a:prstGeom prst="rect">
                      <a:avLst/>
                    </a:prstGeom>
                    <a:noFill/>
                    <a:ln>
                      <a:noFill/>
                    </a:ln>
                  </pic:spPr>
                </pic:pic>
              </a:graphicData>
            </a:graphic>
          </wp:inline>
        </w:drawing>
      </w:r>
    </w:p>
    <w:p>
      <w:pPr>
        <w:spacing w:line="360" w:lineRule="auto"/>
        <w:jc w:val="center"/>
        <w:rPr>
          <w:sz w:val="24"/>
          <w:szCs w:val="24"/>
        </w:rPr>
      </w:pPr>
    </w:p>
    <w:p>
      <w:pPr>
        <w:spacing w:line="360" w:lineRule="auto"/>
        <w:jc w:val="both"/>
        <w:rPr>
          <w:rFonts w:hint="eastAsia" w:eastAsia="宋体"/>
          <w:sz w:val="24"/>
          <w:szCs w:val="24"/>
          <w:lang w:eastAsia="zh-CN"/>
        </w:rPr>
      </w:pPr>
    </w:p>
    <w:p>
      <w:pPr>
        <w:spacing w:line="360" w:lineRule="auto"/>
        <w:jc w:val="center"/>
        <w:rPr>
          <w:rFonts w:hint="eastAsia" w:ascii="仿宋" w:hAnsi="仿宋" w:eastAsia="仿宋" w:cs="仿宋"/>
          <w:lang w:eastAsia="zh-CN"/>
        </w:rPr>
      </w:pPr>
      <w:r>
        <w:rPr>
          <w:rFonts w:hint="eastAsia" w:eastAsia="宋体"/>
          <w:sz w:val="24"/>
          <w:szCs w:val="24"/>
          <w:lang w:eastAsia="zh-CN"/>
        </w:rPr>
        <w:drawing>
          <wp:inline distT="0" distB="0" distL="114300" distR="114300">
            <wp:extent cx="5646420" cy="4527550"/>
            <wp:effectExtent l="0" t="0" r="11430" b="6350"/>
            <wp:docPr id="30" name="图片 6" descr="ad2a5fb0259a4d55984ce7434fe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ad2a5fb0259a4d55984ce7434fe7456"/>
                    <pic:cNvPicPr>
                      <a:picLocks noChangeAspect="1"/>
                    </pic:cNvPicPr>
                  </pic:nvPicPr>
                  <pic:blipFill>
                    <a:blip r:embed="rId27"/>
                    <a:stretch>
                      <a:fillRect/>
                    </a:stretch>
                  </pic:blipFill>
                  <pic:spPr>
                    <a:xfrm>
                      <a:off x="0" y="0"/>
                      <a:ext cx="5646420" cy="4527550"/>
                    </a:xfrm>
                    <a:prstGeom prst="rect">
                      <a:avLst/>
                    </a:prstGeom>
                    <a:noFill/>
                    <a:ln>
                      <a:noFill/>
                    </a:ln>
                  </pic:spPr>
                </pic:pic>
              </a:graphicData>
            </a:graphic>
          </wp:inline>
        </w:drawing>
      </w:r>
    </w:p>
    <w:sectPr>
      <w:headerReference r:id="rId7" w:type="default"/>
      <w:footerReference r:id="rId8" w:type="default"/>
      <w:pgSz w:w="11906" w:h="16838"/>
      <w:pgMar w:top="1134" w:right="1134" w:bottom="1134" w:left="1418" w:header="1021" w:footer="39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506020202030204"/>
    <w:charset w:val="00"/>
    <w:family w:val="auto"/>
    <w:pitch w:val="default"/>
    <w:sig w:usb0="00000287" w:usb1="00000000" w:usb2="00000000" w:usb3="00000000" w:csb0="2000009F" w:csb1="DFD7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黑体" w:hAnsi="宋体" w:eastAsia="黑体"/>
        <w:b/>
        <w:bCs/>
        <w:kern w:val="0"/>
        <w:sz w:val="15"/>
      </w:rPr>
    </w:pPr>
    <w:r>
      <w:rPr>
        <w:rFonts w:hint="eastAsia" w:ascii="黑体" w:hAnsi="宋体" w:eastAsia="黑体"/>
        <w:b/>
        <w:bCs/>
        <w:kern w:val="0"/>
        <w:sz w:val="15"/>
      </w:rPr>
      <w:t>——————————————————————————————————————————————————————————</w:t>
    </w:r>
  </w:p>
  <w:p>
    <w:pPr>
      <w:pStyle w:val="14"/>
      <w:rPr>
        <w:rFonts w:hint="eastAsia" w:ascii="仿宋" w:hAnsi="仿宋" w:eastAsia="仿宋" w:cs="仿宋"/>
        <w:bCs/>
        <w:szCs w:val="18"/>
      </w:rPr>
    </w:pPr>
    <w:r>
      <w:rPr>
        <w:rFonts w:hint="eastAsia" w:ascii="仿宋" w:hAnsi="仿宋" w:eastAsia="仿宋" w:cs="仿宋"/>
        <w:b/>
        <w:szCs w:val="18"/>
        <w:lang w:eastAsia="zh-CN"/>
      </w:rPr>
      <w:t>地址：厦门市思明区湖滨东路11号501单元之三（邮电广通大厦）</w:t>
    </w:r>
    <w:r>
      <w:rPr>
        <w:rFonts w:hint="eastAsia" w:ascii="仿宋" w:hAnsi="仿宋" w:eastAsia="仿宋" w:cs="仿宋"/>
        <w:b/>
        <w:szCs w:val="18"/>
        <w:lang w:val="en-US" w:eastAsia="zh-CN"/>
      </w:rPr>
      <w:t xml:space="preserve"> </w:t>
    </w:r>
    <w:r>
      <w:rPr>
        <w:rFonts w:hint="eastAsia" w:ascii="仿宋" w:hAnsi="仿宋" w:eastAsia="仿宋" w:cs="仿宋"/>
        <w:b/>
        <w:szCs w:val="18"/>
        <w:lang w:eastAsia="zh-CN"/>
      </w:rPr>
      <w:t xml:space="preserve"> 电话：0592-5511118 </w:t>
    </w:r>
    <w:r>
      <w:rPr>
        <w:rFonts w:hint="eastAsia" w:ascii="仿宋" w:hAnsi="仿宋" w:eastAsia="仿宋" w:cs="仿宋"/>
        <w:b/>
        <w:szCs w:val="18"/>
        <w:lang w:val="en-US" w:eastAsia="zh-CN"/>
      </w:rPr>
      <w:t xml:space="preserve"> </w:t>
    </w:r>
    <w:r>
      <w:rPr>
        <w:rFonts w:hint="eastAsia" w:ascii="仿宋" w:hAnsi="仿宋" w:eastAsia="仿宋" w:cs="仿宋"/>
        <w:b/>
        <w:szCs w:val="18"/>
        <w:lang w:eastAsia="zh-CN"/>
      </w:rPr>
      <w:t xml:space="preserve"> 传真： 0592-5801622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黑体" w:hAnsi="宋体" w:eastAsia="黑体"/>
        <w:b/>
        <w:bCs/>
        <w:kern w:val="0"/>
        <w:sz w:val="15"/>
      </w:rPr>
    </w:pPr>
    <w:r>
      <w:rPr>
        <w:rFonts w:hint="eastAsia" w:ascii="黑体" w:hAnsi="宋体" w:eastAsia="黑体"/>
        <w:b/>
        <w:bCs/>
        <w:kern w:val="0"/>
        <w:sz w:val="15"/>
      </w:rPr>
      <w:t>——————————————————————————————————————————————————————————</w:t>
    </w:r>
  </w:p>
  <w:p>
    <w:pPr>
      <w:pStyle w:val="14"/>
      <w:ind w:firstLine="181" w:firstLineChars="100"/>
      <w:rPr>
        <w:rFonts w:hint="eastAsia" w:ascii="仿宋" w:hAnsi="仿宋" w:eastAsia="仿宋" w:cs="仿宋"/>
        <w:bCs/>
        <w:szCs w:val="18"/>
      </w:rPr>
    </w:pPr>
    <w:r>
      <w:rPr>
        <w:rFonts w:hint="eastAsia" w:ascii="仿宋" w:hAnsi="仿宋" w:eastAsia="仿宋" w:cs="仿宋"/>
        <w:b/>
        <w:szCs w:val="18"/>
        <w:lang w:eastAsia="zh-CN"/>
      </w:rPr>
      <w:t>地址：厦门市思明区湖滨东路11号501单元之三（邮电广通大厦）</w:t>
    </w:r>
    <w:r>
      <w:rPr>
        <w:rFonts w:hint="eastAsia" w:ascii="仿宋" w:hAnsi="仿宋" w:eastAsia="仿宋" w:cs="仿宋"/>
        <w:b/>
        <w:szCs w:val="18"/>
        <w:lang w:val="en-US" w:eastAsia="zh-CN"/>
      </w:rPr>
      <w:t xml:space="preserve"> </w:t>
    </w:r>
    <w:r>
      <w:rPr>
        <w:rFonts w:hint="eastAsia" w:ascii="仿宋" w:hAnsi="仿宋" w:eastAsia="仿宋" w:cs="仿宋"/>
        <w:b/>
        <w:szCs w:val="18"/>
        <w:lang w:eastAsia="zh-CN"/>
      </w:rPr>
      <w:t xml:space="preserve"> 电话：0592-5511118 </w:t>
    </w:r>
    <w:r>
      <w:rPr>
        <w:rFonts w:hint="eastAsia" w:ascii="仿宋" w:hAnsi="仿宋" w:eastAsia="仿宋" w:cs="仿宋"/>
        <w:b/>
        <w:szCs w:val="18"/>
        <w:lang w:val="en-US" w:eastAsia="zh-CN"/>
      </w:rPr>
      <w:t xml:space="preserve"> </w:t>
    </w:r>
    <w:r>
      <w:rPr>
        <w:rFonts w:hint="eastAsia" w:ascii="仿宋" w:hAnsi="仿宋" w:eastAsia="仿宋" w:cs="仿宋"/>
        <w:b/>
        <w:szCs w:val="18"/>
        <w:lang w:eastAsia="zh-CN"/>
      </w:rPr>
      <w:t xml:space="preserve"> 传真： 0592-5801622</w:t>
    </w:r>
    <w:r>
      <w:rPr>
        <w:rFonts w:hint="eastAsia" w:ascii="仿宋" w:hAnsi="仿宋" w:eastAsia="仿宋" w:cs="仿宋"/>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posOffset>2148840</wp:posOffset>
              </wp:positionH>
              <wp:positionV relativeFrom="paragraph">
                <wp:posOffset>136525</wp:posOffset>
              </wp:positionV>
              <wp:extent cx="1564005" cy="260350"/>
              <wp:effectExtent l="0" t="0" r="0" b="0"/>
              <wp:wrapNone/>
              <wp:docPr id="22" name="文本框 1"/>
              <wp:cNvGraphicFramePr/>
              <a:graphic xmlns:a="http://schemas.openxmlformats.org/drawingml/2006/main">
                <a:graphicData uri="http://schemas.microsoft.com/office/word/2010/wordprocessingShape">
                  <wps:wsp>
                    <wps:cNvSpPr/>
                    <wps:spPr>
                      <a:xfrm>
                        <a:off x="0" y="0"/>
                        <a:ext cx="1564005" cy="260350"/>
                      </a:xfrm>
                      <a:prstGeom prst="rect">
                        <a:avLst/>
                      </a:prstGeom>
                      <a:noFill/>
                      <a:ln>
                        <a:noFill/>
                      </a:ln>
                    </wps:spPr>
                    <wps:txbx>
                      <w:txbxContent>
                        <w:p>
                          <w:pPr>
                            <w:pStyle w:val="14"/>
                            <w:jc w:val="center"/>
                            <w:rPr>
                              <w:rFonts w:hint="eastAsia" w:ascii="仿宋" w:hAnsi="仿宋" w:eastAsia="仿宋" w:cs="仿宋"/>
                              <w:b/>
                              <w:bCs/>
                            </w:rPr>
                          </w:pPr>
                          <w:r>
                            <w:rPr>
                              <w:rFonts w:hint="eastAsia" w:ascii="仿宋" w:hAnsi="仿宋" w:eastAsia="仿宋" w:cs="仿宋"/>
                              <w:b/>
                              <w:bCs/>
                            </w:rPr>
                            <w:t xml:space="preserve">第 </w:t>
                          </w:r>
                          <w:r>
                            <w:rPr>
                              <w:rFonts w:hint="eastAsia" w:ascii="仿宋" w:hAnsi="仿宋" w:eastAsia="仿宋" w:cs="仿宋"/>
                              <w:b/>
                              <w:bCs/>
                            </w:rPr>
                            <w:fldChar w:fldCharType="begin"/>
                          </w:r>
                          <w:r>
                            <w:rPr>
                              <w:rFonts w:hint="eastAsia" w:ascii="仿宋" w:hAnsi="仿宋" w:eastAsia="仿宋" w:cs="仿宋"/>
                              <w:b/>
                              <w:bCs/>
                            </w:rPr>
                            <w:instrText xml:space="preserve"> PAGE  \* MERGEFORMAT </w:instrText>
                          </w:r>
                          <w:r>
                            <w:rPr>
                              <w:rFonts w:hint="eastAsia" w:ascii="仿宋" w:hAnsi="仿宋" w:eastAsia="仿宋" w:cs="仿宋"/>
                              <w:b/>
                              <w:bCs/>
                            </w:rPr>
                            <w:fldChar w:fldCharType="separate"/>
                          </w:r>
                          <w:r>
                            <w:rPr>
                              <w:rFonts w:hint="eastAsia" w:ascii="仿宋" w:hAnsi="仿宋" w:eastAsia="仿宋" w:cs="仿宋"/>
                              <w:b/>
                              <w:bCs/>
                            </w:rPr>
                            <w:t>40</w:t>
                          </w:r>
                          <w:r>
                            <w:rPr>
                              <w:rFonts w:hint="eastAsia" w:ascii="仿宋" w:hAnsi="仿宋" w:eastAsia="仿宋" w:cs="仿宋"/>
                              <w:b/>
                              <w:bCs/>
                            </w:rPr>
                            <w:fldChar w:fldCharType="end"/>
                          </w:r>
                          <w:r>
                            <w:rPr>
                              <w:rFonts w:hint="eastAsia" w:ascii="仿宋" w:hAnsi="仿宋" w:eastAsia="仿宋" w:cs="仿宋"/>
                              <w:b/>
                              <w:bCs/>
                            </w:rPr>
                            <w:t xml:space="preserve"> 页 </w:t>
                          </w:r>
                        </w:p>
                      </w:txbxContent>
                    </wps:txbx>
                    <wps:bodyPr lIns="0" tIns="0" rIns="0" bIns="0" upright="1"/>
                  </wps:wsp>
                </a:graphicData>
              </a:graphic>
            </wp:anchor>
          </w:drawing>
        </mc:Choice>
        <mc:Fallback>
          <w:pict>
            <v:rect id="文本框 1" o:spid="_x0000_s1026" o:spt="1" style="position:absolute;left:0pt;margin-left:169.2pt;margin-top:10.75pt;height:20.5pt;width:123.15pt;mso-position-horizontal-relative:margin;z-index:251659264;mso-width-relative:page;mso-height-relative:page;" filled="f" stroked="f" coordsize="21600,21600" o:gfxdata="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WmNRW2wAAAAkBAAAPAAAAAAAAAAEAIAAAACIAAABkcnMvZG93bnJldi54bWxQSwECFAAU&#10;AAAACACHTuJAn1oOE7UBAABpAwAADgAAAAAAAAABACAAAAAqAQAAZHJzL2Uyb0RvYy54bWxQSwUG&#10;AAAAAAYABgBZAQAAUQUAAAAA&#10;">
              <v:fill on="f" focussize="0,0"/>
              <v:stroke on="f"/>
              <v:imagedata o:title=""/>
              <o:lock v:ext="edit" aspectratio="f"/>
              <v:textbox inset="0mm,0mm,0mm,0mm">
                <w:txbxContent>
                  <w:p>
                    <w:pPr>
                      <w:pStyle w:val="14"/>
                      <w:jc w:val="center"/>
                      <w:rPr>
                        <w:rFonts w:hint="eastAsia" w:ascii="仿宋" w:hAnsi="仿宋" w:eastAsia="仿宋" w:cs="仿宋"/>
                        <w:b/>
                        <w:bCs/>
                      </w:rPr>
                    </w:pPr>
                    <w:r>
                      <w:rPr>
                        <w:rFonts w:hint="eastAsia" w:ascii="仿宋" w:hAnsi="仿宋" w:eastAsia="仿宋" w:cs="仿宋"/>
                        <w:b/>
                        <w:bCs/>
                      </w:rPr>
                      <w:t xml:space="preserve">第 </w:t>
                    </w:r>
                    <w:r>
                      <w:rPr>
                        <w:rFonts w:hint="eastAsia" w:ascii="仿宋" w:hAnsi="仿宋" w:eastAsia="仿宋" w:cs="仿宋"/>
                        <w:b/>
                        <w:bCs/>
                      </w:rPr>
                      <w:fldChar w:fldCharType="begin"/>
                    </w:r>
                    <w:r>
                      <w:rPr>
                        <w:rFonts w:hint="eastAsia" w:ascii="仿宋" w:hAnsi="仿宋" w:eastAsia="仿宋" w:cs="仿宋"/>
                        <w:b/>
                        <w:bCs/>
                      </w:rPr>
                      <w:instrText xml:space="preserve"> PAGE  \* MERGEFORMAT </w:instrText>
                    </w:r>
                    <w:r>
                      <w:rPr>
                        <w:rFonts w:hint="eastAsia" w:ascii="仿宋" w:hAnsi="仿宋" w:eastAsia="仿宋" w:cs="仿宋"/>
                        <w:b/>
                        <w:bCs/>
                      </w:rPr>
                      <w:fldChar w:fldCharType="separate"/>
                    </w:r>
                    <w:r>
                      <w:rPr>
                        <w:rFonts w:hint="eastAsia" w:ascii="仿宋" w:hAnsi="仿宋" w:eastAsia="仿宋" w:cs="仿宋"/>
                        <w:b/>
                        <w:bCs/>
                      </w:rPr>
                      <w:t>40</w:t>
                    </w:r>
                    <w:r>
                      <w:rPr>
                        <w:rFonts w:hint="eastAsia" w:ascii="仿宋" w:hAnsi="仿宋" w:eastAsia="仿宋" w:cs="仿宋"/>
                        <w:b/>
                        <w:bCs/>
                      </w:rPr>
                      <w:fldChar w:fldCharType="end"/>
                    </w:r>
                    <w:r>
                      <w:rPr>
                        <w:rFonts w:hint="eastAsia" w:ascii="仿宋" w:hAnsi="仿宋" w:eastAsia="仿宋" w:cs="仿宋"/>
                        <w:b/>
                        <w:bCs/>
                      </w:rPr>
                      <w:t xml:space="preserve"> 页 </w:t>
                    </w:r>
                  </w:p>
                </w:txbxContent>
              </v:textbox>
            </v:rect>
          </w:pict>
        </mc:Fallback>
      </mc:AlternateContent>
    </w:r>
  </w:p>
  <w:p>
    <w:pPr>
      <w:pStyle w:val="14"/>
      <w:jc w:val="center"/>
      <w:rPr>
        <w:rFonts w:hint="eastAsia" w:ascii="仿宋" w:hAnsi="仿宋" w:eastAsia="仿宋" w:cs="仿宋"/>
        <w:bCs/>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ascii="仿宋" w:hAnsi="仿宋" w:eastAsia="仿宋" w:cs="仿宋"/>
        <w:bCs/>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3200400" cy="4089400"/>
          <wp:effectExtent l="0" t="0" r="0" b="6350"/>
          <wp:wrapNone/>
          <wp:docPr id="23" name="WordPictureWatermark64823" descr="48c890c39352cda267ba3d98e6f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PictureWatermark64823" descr="48c890c39352cda267ba3d98e6f9263"/>
                  <pic:cNvPicPr>
                    <a:picLocks noChangeAspect="1"/>
                  </pic:cNvPicPr>
                </pic:nvPicPr>
                <pic:blipFill>
                  <a:blip r:embed="rId1">
                    <a:lum bright="69998" contrast="-70001"/>
                  </a:blip>
                  <a:stretch>
                    <a:fillRect/>
                  </a:stretch>
                </pic:blipFill>
                <pic:spPr>
                  <a:xfrm>
                    <a:off x="0" y="0"/>
                    <a:ext cx="3200400" cy="4089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ascii="仿宋" w:hAnsi="仿宋" w:eastAsia="仿宋" w:cs="仿宋"/>
        <w:b/>
        <w:bCs/>
        <w:szCs w:val="18"/>
        <w:lang w:eastAsia="zh-CN"/>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3200400" cy="4089400"/>
          <wp:effectExtent l="0" t="0" r="0" b="6350"/>
          <wp:wrapNone/>
          <wp:docPr id="24" name="图片 3" descr="48c890c39352cda267ba3d98e6f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48c890c39352cda267ba3d98e6f9263"/>
                  <pic:cNvPicPr>
                    <a:picLocks noChangeAspect="1"/>
                  </pic:cNvPicPr>
                </pic:nvPicPr>
                <pic:blipFill>
                  <a:blip r:embed="rId1">
                    <a:lum bright="69998" contrast="-70001"/>
                  </a:blip>
                  <a:stretch>
                    <a:fillRect/>
                  </a:stretch>
                </pic:blipFill>
                <pic:spPr>
                  <a:xfrm>
                    <a:off x="0" y="0"/>
                    <a:ext cx="3200400" cy="4089400"/>
                  </a:xfrm>
                  <a:prstGeom prst="rect">
                    <a:avLst/>
                  </a:prstGeom>
                  <a:noFill/>
                  <a:ln>
                    <a:noFill/>
                  </a:ln>
                </pic:spPr>
              </pic:pic>
            </a:graphicData>
          </a:graphic>
        </wp:anchor>
      </w:drawing>
    </w:r>
    <w:r>
      <w:rPr>
        <w:rFonts w:hint="eastAsia" w:ascii="仿宋" w:hAnsi="仿宋" w:eastAsia="仿宋" w:cs="仿宋"/>
        <w:b/>
        <w:bCs/>
        <w:szCs w:val="18"/>
        <w:lang w:val="en-US" w:eastAsia="zh-CN"/>
      </w:rPr>
      <w:t xml:space="preserve">厦门翰和资产评估土地房地产估价有限公司                                     </w:t>
    </w:r>
    <w:r>
      <w:rPr>
        <w:rFonts w:hint="eastAsia" w:ascii="仿宋" w:hAnsi="仿宋" w:eastAsia="仿宋" w:cs="仿宋"/>
        <w:b/>
        <w:bCs/>
        <w:szCs w:val="18"/>
        <w:lang w:eastAsia="zh-CN"/>
      </w:rPr>
      <w:t>厦翰和房估字2022(龙)D0582号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rFonts w:hint="eastAsia" w:ascii="仿宋" w:hAnsi="仿宋" w:eastAsia="仿宋" w:cs="仿宋"/>
        <w:b/>
        <w:bCs/>
        <w:szCs w:val="18"/>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07EB01"/>
    <w:multiLevelType w:val="singleLevel"/>
    <w:tmpl w:val="2007EB01"/>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documentProtection w:enforcement="0"/>
  <w:defaultTabStop w:val="425"/>
  <w:drawingGridHorizontalSpacing w:val="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2NTJlZDg1ZWViMGM5ZmVlZGNmMjc0ZmFjNDAwZjEifQ=="/>
  </w:docVars>
  <w:rsids>
    <w:rsidRoot w:val="00000000"/>
    <w:rsid w:val="09E92566"/>
    <w:rsid w:val="0ADB4826"/>
    <w:rsid w:val="0D4379F1"/>
    <w:rsid w:val="125245BE"/>
    <w:rsid w:val="13F81088"/>
    <w:rsid w:val="189660AC"/>
    <w:rsid w:val="1C015D33"/>
    <w:rsid w:val="30B25335"/>
    <w:rsid w:val="32795859"/>
    <w:rsid w:val="357743B4"/>
    <w:rsid w:val="362B4280"/>
    <w:rsid w:val="3681318B"/>
    <w:rsid w:val="45D3298C"/>
    <w:rsid w:val="496F7837"/>
    <w:rsid w:val="4AE24718"/>
    <w:rsid w:val="4E97696D"/>
    <w:rsid w:val="500E103C"/>
    <w:rsid w:val="54172F1D"/>
    <w:rsid w:val="551B0EA0"/>
    <w:rsid w:val="55C052B1"/>
    <w:rsid w:val="578F4978"/>
    <w:rsid w:val="592B374B"/>
    <w:rsid w:val="5B004197"/>
    <w:rsid w:val="63B81062"/>
    <w:rsid w:val="649C3925"/>
    <w:rsid w:val="64C43FB3"/>
    <w:rsid w:val="65572745"/>
    <w:rsid w:val="66A279CC"/>
    <w:rsid w:val="68EB2142"/>
    <w:rsid w:val="73363613"/>
    <w:rsid w:val="73D4712B"/>
    <w:rsid w:val="741D6022"/>
    <w:rsid w:val="7F583D72"/>
    <w:rsid w:val="7FC115C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spacing w:line="360" w:lineRule="auto"/>
      <w:ind w:left="420"/>
      <w:jc w:val="center"/>
      <w:outlineLvl w:val="0"/>
    </w:pPr>
    <w:rPr>
      <w:rFonts w:ascii="黑体"/>
      <w:b/>
      <w:sz w:val="44"/>
      <w:shd w:val="pct10" w:color="auto" w:fill="FFFFFF"/>
    </w:rPr>
  </w:style>
  <w:style w:type="paragraph" w:styleId="3">
    <w:name w:val="heading 2"/>
    <w:basedOn w:val="1"/>
    <w:next w:val="1"/>
    <w:link w:val="40"/>
    <w:qFormat/>
    <w:uiPriority w:val="0"/>
    <w:pPr>
      <w:keepNext/>
      <w:keepLines/>
      <w:spacing w:line="360" w:lineRule="auto"/>
      <w:outlineLvl w:val="1"/>
    </w:pPr>
    <w:rPr>
      <w:rFonts w:ascii="Arial" w:hAnsi="Arial"/>
      <w:b/>
      <w:bCs/>
      <w:sz w:val="24"/>
      <w:szCs w:val="28"/>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te Heading"/>
    <w:basedOn w:val="1"/>
    <w:next w:val="1"/>
    <w:qFormat/>
    <w:uiPriority w:val="0"/>
    <w:pPr>
      <w:jc w:val="center"/>
    </w:pPr>
  </w:style>
  <w:style w:type="paragraph" w:styleId="6">
    <w:name w:val="caption"/>
    <w:basedOn w:val="1"/>
    <w:next w:val="1"/>
    <w:qFormat/>
    <w:uiPriority w:val="0"/>
    <w:pPr>
      <w:tabs>
        <w:tab w:val="left" w:pos="1140"/>
      </w:tabs>
      <w:snapToGrid w:val="0"/>
      <w:spacing w:line="500" w:lineRule="atLeast"/>
      <w:ind w:left="1140" w:hanging="720"/>
    </w:pPr>
    <w:rPr>
      <w:rFonts w:ascii="宋体" w:hAnsi="宋体"/>
      <w:b/>
      <w:sz w:val="28"/>
    </w:rPr>
  </w:style>
  <w:style w:type="paragraph" w:styleId="7">
    <w:name w:val="annotation text"/>
    <w:basedOn w:val="1"/>
    <w:semiHidden/>
    <w:qFormat/>
    <w:uiPriority w:val="0"/>
    <w:pPr>
      <w:jc w:val="left"/>
    </w:pPr>
  </w:style>
  <w:style w:type="paragraph" w:styleId="8">
    <w:name w:val="Body Text"/>
    <w:basedOn w:val="1"/>
    <w:qFormat/>
    <w:uiPriority w:val="0"/>
    <w:pPr>
      <w:snapToGrid w:val="0"/>
      <w:spacing w:line="500" w:lineRule="atLeast"/>
    </w:pPr>
    <w:rPr>
      <w:sz w:val="28"/>
    </w:rPr>
  </w:style>
  <w:style w:type="paragraph" w:styleId="9">
    <w:name w:val="Body Text Indent"/>
    <w:basedOn w:val="1"/>
    <w:qFormat/>
    <w:uiPriority w:val="0"/>
    <w:pPr>
      <w:snapToGrid w:val="0"/>
      <w:spacing w:line="500" w:lineRule="atLeast"/>
      <w:ind w:firstLine="570"/>
    </w:pPr>
    <w:rPr>
      <w:sz w:val="28"/>
    </w:rPr>
  </w:style>
  <w:style w:type="paragraph" w:styleId="10">
    <w:name w:val="Plain Text"/>
    <w:basedOn w:val="1"/>
    <w:link w:val="47"/>
    <w:qFormat/>
    <w:uiPriority w:val="0"/>
    <w:rPr>
      <w:rFonts w:ascii="宋体" w:hAnsi="Courier New"/>
    </w:rPr>
  </w:style>
  <w:style w:type="paragraph" w:styleId="11">
    <w:name w:val="Date"/>
    <w:basedOn w:val="1"/>
    <w:next w:val="1"/>
    <w:link w:val="45"/>
    <w:qFormat/>
    <w:uiPriority w:val="0"/>
    <w:rPr>
      <w:sz w:val="28"/>
    </w:rPr>
  </w:style>
  <w:style w:type="paragraph" w:styleId="12">
    <w:name w:val="Body Text Indent 2"/>
    <w:basedOn w:val="1"/>
    <w:qFormat/>
    <w:uiPriority w:val="0"/>
    <w:pPr>
      <w:ind w:firstLine="630"/>
    </w:pPr>
    <w:rPr>
      <w:rFonts w:ascii="宋体"/>
      <w:sz w:val="28"/>
    </w:rPr>
  </w:style>
  <w:style w:type="paragraph" w:styleId="13">
    <w:name w:val="Balloon Text"/>
    <w:basedOn w:val="1"/>
    <w:semiHidden/>
    <w:qFormat/>
    <w:uiPriority w:val="0"/>
    <w:rPr>
      <w:sz w:val="18"/>
      <w:szCs w:val="18"/>
    </w:rPr>
  </w:style>
  <w:style w:type="paragraph" w:styleId="14">
    <w:name w:val="footer"/>
    <w:basedOn w:val="1"/>
    <w:link w:val="42"/>
    <w:qFormat/>
    <w:uiPriority w:val="0"/>
    <w:pPr>
      <w:tabs>
        <w:tab w:val="center" w:pos="4153"/>
        <w:tab w:val="right" w:pos="8306"/>
      </w:tabs>
      <w:snapToGrid w:val="0"/>
      <w:jc w:val="left"/>
    </w:pPr>
    <w:rPr>
      <w:sz w:val="18"/>
    </w:rPr>
  </w:style>
  <w:style w:type="paragraph" w:styleId="15">
    <w:name w:val="header"/>
    <w:basedOn w:val="1"/>
    <w:link w:val="41"/>
    <w:qFormat/>
    <w:uiPriority w:val="0"/>
    <w:pPr>
      <w:pBdr>
        <w:bottom w:val="single" w:color="auto" w:sz="6" w:space="1"/>
      </w:pBdr>
      <w:tabs>
        <w:tab w:val="center" w:pos="4153"/>
        <w:tab w:val="right" w:pos="8306"/>
      </w:tabs>
      <w:snapToGrid w:val="0"/>
      <w:jc w:val="center"/>
    </w:pPr>
    <w:rPr>
      <w:sz w:val="18"/>
    </w:rPr>
  </w:style>
  <w:style w:type="paragraph" w:styleId="16">
    <w:name w:val="toc 1"/>
    <w:basedOn w:val="1"/>
    <w:next w:val="1"/>
    <w:qFormat/>
    <w:uiPriority w:val="39"/>
    <w:pPr>
      <w:tabs>
        <w:tab w:val="right" w:leader="dot" w:pos="8777"/>
      </w:tabs>
      <w:spacing w:line="360" w:lineRule="auto"/>
    </w:pPr>
    <w:rPr>
      <w:b/>
    </w:rPr>
  </w:style>
  <w:style w:type="paragraph" w:styleId="17">
    <w:name w:val="Body Text Indent 3"/>
    <w:basedOn w:val="1"/>
    <w:qFormat/>
    <w:uiPriority w:val="0"/>
    <w:pPr>
      <w:snapToGrid w:val="0"/>
      <w:spacing w:line="460" w:lineRule="exact"/>
      <w:ind w:firstLine="840"/>
    </w:pPr>
    <w:rPr>
      <w:sz w:val="28"/>
    </w:rPr>
  </w:style>
  <w:style w:type="paragraph" w:styleId="18">
    <w:name w:val="toc 2"/>
    <w:basedOn w:val="1"/>
    <w:next w:val="1"/>
    <w:qFormat/>
    <w:uiPriority w:val="39"/>
    <w:pPr>
      <w:tabs>
        <w:tab w:val="right" w:leader="dot" w:pos="8777"/>
      </w:tabs>
      <w:spacing w:line="300" w:lineRule="exact"/>
      <w:ind w:left="420" w:leftChars="200"/>
    </w:pPr>
  </w:style>
  <w:style w:type="paragraph" w:styleId="19">
    <w:name w:val="Body Text 2"/>
    <w:basedOn w:val="1"/>
    <w:qFormat/>
    <w:uiPriority w:val="0"/>
    <w:pPr>
      <w:spacing w:after="120" w:line="480" w:lineRule="auto"/>
    </w:p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1">
    <w:name w:val="annotation subject"/>
    <w:basedOn w:val="7"/>
    <w:next w:val="7"/>
    <w:semiHidden/>
    <w:qFormat/>
    <w:uiPriority w:val="0"/>
    <w:rPr>
      <w:b/>
      <w:bCs/>
    </w:rPr>
  </w:style>
  <w:style w:type="table" w:styleId="23">
    <w:name w:val="Table Grid"/>
    <w:basedOn w:val="22"/>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page number"/>
    <w:basedOn w:val="24"/>
    <w:qFormat/>
    <w:uiPriority w:val="0"/>
  </w:style>
  <w:style w:type="character" w:styleId="27">
    <w:name w:val="FollowedHyperlink"/>
    <w:basedOn w:val="24"/>
    <w:qFormat/>
    <w:uiPriority w:val="0"/>
    <w:rPr>
      <w:color w:val="000000"/>
      <w:u w:val="none"/>
    </w:rPr>
  </w:style>
  <w:style w:type="character" w:styleId="28">
    <w:name w:val="Hyperlink"/>
    <w:qFormat/>
    <w:uiPriority w:val="99"/>
    <w:rPr>
      <w:color w:val="0000FF"/>
      <w:u w:val="single"/>
    </w:rPr>
  </w:style>
  <w:style w:type="character" w:styleId="29">
    <w:name w:val="annotation reference"/>
    <w:semiHidden/>
    <w:qFormat/>
    <w:uiPriority w:val="0"/>
    <w:rPr>
      <w:sz w:val="21"/>
      <w:szCs w:val="21"/>
    </w:rPr>
  </w:style>
  <w:style w:type="paragraph" w:customStyle="1" w:styleId="30">
    <w:name w:val="zw"/>
    <w:basedOn w:val="1"/>
    <w:qFormat/>
    <w:uiPriority w:val="0"/>
    <w:pPr>
      <w:adjustRightInd w:val="0"/>
      <w:spacing w:line="360" w:lineRule="auto"/>
      <w:ind w:firstLine="482"/>
      <w:textAlignment w:val="baseline"/>
    </w:pPr>
    <w:rPr>
      <w:rFonts w:ascii="Arial Narrow" w:hAnsi="Arial Narrow" w:eastAsia="楷体_GB2312"/>
      <w:kern w:val="0"/>
      <w:sz w:val="24"/>
    </w:rPr>
  </w:style>
  <w:style w:type="paragraph" w:customStyle="1" w:styleId="31">
    <w:name w:val="reader-word-layer reader-word-s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2">
    <w:name w:val="Char Char Char1 Char Char Char Char"/>
    <w:basedOn w:val="1"/>
    <w:qFormat/>
    <w:uiPriority w:val="0"/>
    <w:rPr>
      <w:rFonts w:ascii="宋体" w:hAnsi="宋体" w:cs="Courier New"/>
      <w:sz w:val="32"/>
      <w:szCs w:val="32"/>
    </w:rPr>
  </w:style>
  <w:style w:type="paragraph" w:customStyle="1" w:styleId="33">
    <w:name w:val="列出段落1"/>
    <w:basedOn w:val="1"/>
    <w:qFormat/>
    <w:uiPriority w:val="0"/>
    <w:pPr>
      <w:ind w:firstLine="420" w:firstLineChars="200"/>
    </w:pPr>
    <w:rPr>
      <w:rFonts w:ascii="Calibri" w:hAnsi="Calibri"/>
      <w:szCs w:val="22"/>
    </w:rPr>
  </w:style>
  <w:style w:type="paragraph" w:customStyle="1" w:styleId="34">
    <w:name w:val="ParaAttribute0"/>
    <w:qFormat/>
    <w:uiPriority w:val="0"/>
    <w:pPr>
      <w:widowControl w:val="0"/>
    </w:pPr>
    <w:rPr>
      <w:rFonts w:ascii="Times New Roman" w:hAnsi="Times New Roman" w:eastAsia="宋体" w:cs="Times New Roman"/>
      <w:lang w:val="en-US" w:eastAsia="zh-CN" w:bidi="ar-SA"/>
    </w:rPr>
  </w:style>
  <w:style w:type="paragraph" w:customStyle="1" w:styleId="35">
    <w:name w:val="reader-word-layer reader-word-s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6">
    <w:name w:val="地理段落"/>
    <w:basedOn w:val="1"/>
    <w:qFormat/>
    <w:uiPriority w:val="0"/>
    <w:pPr>
      <w:spacing w:line="420" w:lineRule="exact"/>
      <w:ind w:firstLine="552" w:firstLineChars="200"/>
    </w:pPr>
    <w:rPr>
      <w:rFonts w:ascii="楷体_GB2312" w:hAnsi="宋体" w:eastAsia="楷体_GB2312"/>
      <w:spacing w:val="-2"/>
      <w:sz w:val="28"/>
    </w:rPr>
  </w:style>
  <w:style w:type="paragraph" w:customStyle="1" w:styleId="37">
    <w:name w:val="Char Char Char1 Char Char Char Char1"/>
    <w:basedOn w:val="1"/>
    <w:qFormat/>
    <w:uiPriority w:val="0"/>
    <w:rPr>
      <w:rFonts w:ascii="宋体" w:hAnsi="宋体" w:cs="Courier New"/>
      <w:sz w:val="32"/>
      <w:szCs w:val="32"/>
    </w:rPr>
  </w:style>
  <w:style w:type="paragraph" w:customStyle="1" w:styleId="38">
    <w:name w:val="reader-word-layer reader-word-s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9">
    <w:name w:val="Char Char Char1"/>
    <w:basedOn w:val="1"/>
    <w:qFormat/>
    <w:uiPriority w:val="0"/>
    <w:pPr>
      <w:widowControl/>
      <w:spacing w:after="160" w:line="240" w:lineRule="exact"/>
      <w:jc w:val="left"/>
    </w:pPr>
    <w:rPr>
      <w:rFonts w:ascii="Verdana" w:hAnsi="Verdana"/>
      <w:kern w:val="0"/>
      <w:sz w:val="20"/>
      <w:lang w:eastAsia="en-US"/>
    </w:rPr>
  </w:style>
  <w:style w:type="character" w:customStyle="1" w:styleId="40">
    <w:name w:val="标题 2 Char"/>
    <w:link w:val="3"/>
    <w:qFormat/>
    <w:uiPriority w:val="0"/>
    <w:rPr>
      <w:rFonts w:ascii="Arial" w:hAnsi="Arial" w:eastAsia="宋体"/>
      <w:b/>
      <w:bCs/>
      <w:kern w:val="2"/>
      <w:sz w:val="24"/>
      <w:szCs w:val="28"/>
      <w:lang w:val="en-US" w:eastAsia="zh-CN" w:bidi="ar-SA"/>
    </w:rPr>
  </w:style>
  <w:style w:type="character" w:customStyle="1" w:styleId="41">
    <w:name w:val="页眉 Char"/>
    <w:link w:val="15"/>
    <w:qFormat/>
    <w:uiPriority w:val="0"/>
    <w:rPr>
      <w:rFonts w:eastAsia="宋体"/>
      <w:kern w:val="2"/>
      <w:sz w:val="18"/>
      <w:lang w:val="en-US" w:eastAsia="zh-CN" w:bidi="ar-SA"/>
    </w:rPr>
  </w:style>
  <w:style w:type="character" w:customStyle="1" w:styleId="42">
    <w:name w:val="页脚 Char"/>
    <w:link w:val="14"/>
    <w:qFormat/>
    <w:uiPriority w:val="0"/>
    <w:rPr>
      <w:rFonts w:eastAsia="宋体"/>
      <w:kern w:val="2"/>
      <w:sz w:val="18"/>
      <w:lang w:val="en-US" w:eastAsia="zh-CN" w:bidi="ar-SA"/>
    </w:rPr>
  </w:style>
  <w:style w:type="character" w:customStyle="1" w:styleId="43">
    <w:name w:val="apple-converted-space"/>
    <w:basedOn w:val="24"/>
    <w:qFormat/>
    <w:uiPriority w:val="0"/>
  </w:style>
  <w:style w:type="character" w:customStyle="1" w:styleId="44">
    <w:name w:val="CharAttribute1"/>
    <w:qFormat/>
    <w:uiPriority w:val="0"/>
    <w:rPr>
      <w:rFonts w:ascii="Times New Roman" w:eastAsia="Times New Roman"/>
    </w:rPr>
  </w:style>
  <w:style w:type="character" w:customStyle="1" w:styleId="45">
    <w:name w:val="日期 Char"/>
    <w:link w:val="11"/>
    <w:qFormat/>
    <w:uiPriority w:val="0"/>
    <w:rPr>
      <w:rFonts w:eastAsia="宋体"/>
      <w:kern w:val="2"/>
      <w:sz w:val="28"/>
      <w:lang w:val="en-US" w:eastAsia="zh-CN" w:bidi="ar-SA"/>
    </w:rPr>
  </w:style>
  <w:style w:type="character" w:customStyle="1" w:styleId="46">
    <w:name w:val="Char Char1"/>
    <w:qFormat/>
    <w:uiPriority w:val="0"/>
    <w:rPr>
      <w:rFonts w:ascii="宋体" w:hAnsi="Courier New" w:eastAsia="宋体"/>
      <w:kern w:val="2"/>
      <w:sz w:val="21"/>
      <w:lang w:val="en-US" w:eastAsia="zh-CN" w:bidi="ar-SA"/>
    </w:rPr>
  </w:style>
  <w:style w:type="character" w:customStyle="1" w:styleId="47">
    <w:name w:val="纯文本 Char"/>
    <w:link w:val="10"/>
    <w:qFormat/>
    <w:uiPriority w:val="0"/>
    <w:rPr>
      <w:rFonts w:ascii="宋体" w:hAnsi="Courier New" w:eastAsia="宋体"/>
      <w:kern w:val="2"/>
      <w:sz w:val="21"/>
      <w:lang w:val="en-US" w:eastAsia="zh-CN" w:bidi="ar-SA"/>
    </w:rPr>
  </w:style>
  <w:style w:type="character" w:customStyle="1" w:styleId="48">
    <w:name w:val="style6"/>
    <w:qFormat/>
    <w:uiPriority w:val="0"/>
    <w:rPr>
      <w:sz w:val="18"/>
      <w:szCs w:val="18"/>
    </w:rPr>
  </w:style>
  <w:style w:type="character" w:customStyle="1" w:styleId="49">
    <w:name w:val="font21"/>
    <w:qFormat/>
    <w:uiPriority w:val="0"/>
    <w:rPr>
      <w:rFonts w:hint="default" w:ascii="Arial" w:hAnsi="Arial" w:cs="Arial"/>
      <w:color w:val="000000"/>
      <w:sz w:val="18"/>
      <w:szCs w:val="18"/>
      <w:u w:val="none"/>
    </w:rPr>
  </w:style>
  <w:style w:type="character" w:customStyle="1" w:styleId="50">
    <w:name w:val="font01"/>
    <w:qFormat/>
    <w:uiPriority w:val="0"/>
    <w:rPr>
      <w:rFonts w:hint="default" w:ascii="Arial" w:hAnsi="Arial" w:cs="Arial"/>
      <w:color w:val="000000"/>
      <w:sz w:val="18"/>
      <w:szCs w:val="18"/>
      <w:u w:val="none"/>
    </w:rPr>
  </w:style>
  <w:style w:type="character" w:customStyle="1" w:styleId="51">
    <w:name w:val="select"/>
    <w:qFormat/>
    <w:uiPriority w:val="0"/>
    <w:rPr>
      <w:color w:val="1E8AE5"/>
    </w:rPr>
  </w:style>
  <w:style w:type="character" w:customStyle="1" w:styleId="52">
    <w:name w:val="rulerresultinfo"/>
    <w:basedOn w:val="24"/>
    <w:qFormat/>
    <w:uiPriority w:val="0"/>
  </w:style>
  <w:style w:type="character" w:customStyle="1" w:styleId="53">
    <w:name w:val="font41"/>
    <w:qFormat/>
    <w:uiPriority w:val="0"/>
    <w:rPr>
      <w:rFonts w:hint="eastAsia" w:ascii="宋体" w:hAnsi="宋体" w:eastAsia="宋体" w:cs="宋体"/>
      <w:color w:val="000000"/>
      <w:sz w:val="18"/>
      <w:szCs w:val="18"/>
      <w:u w:val="none"/>
    </w:rPr>
  </w:style>
  <w:style w:type="character" w:customStyle="1" w:styleId="54">
    <w:name w:val="font11"/>
    <w:basedOn w:val="24"/>
    <w:qFormat/>
    <w:uiPriority w:val="0"/>
    <w:rPr>
      <w:rFonts w:hint="eastAsia" w:ascii="宋体" w:hAnsi="宋体" w:eastAsia="宋体" w:cs="宋体"/>
      <w:color w:val="000000"/>
      <w:sz w:val="18"/>
      <w:szCs w:val="18"/>
      <w:u w:val="none"/>
    </w:rPr>
  </w:style>
  <w:style w:type="character" w:customStyle="1" w:styleId="55">
    <w:name w:val="gz_btn2"/>
    <w:basedOn w:val="24"/>
    <w:qFormat/>
    <w:uiPriority w:val="0"/>
    <w:rPr>
      <w:color w:val="FFFFFF"/>
      <w:sz w:val="24"/>
      <w:szCs w:val="24"/>
      <w:shd w:val="clear" w:color="030000" w:fill="CCCCCC"/>
    </w:rPr>
  </w:style>
  <w:style w:type="character" w:customStyle="1" w:styleId="56">
    <w:name w:val="qtlm"/>
    <w:basedOn w:val="24"/>
    <w:qFormat/>
    <w:uiPriority w:val="0"/>
    <w:rPr>
      <w:bdr w:val="single" w:color="D8D8D8" w:sz="6" w:space="0"/>
    </w:rPr>
  </w:style>
  <w:style w:type="character" w:customStyle="1" w:styleId="57">
    <w:name w:val="w24"/>
    <w:basedOn w:val="24"/>
    <w:qFormat/>
    <w:uiPriority w:val="0"/>
  </w:style>
  <w:style w:type="character" w:customStyle="1" w:styleId="58">
    <w:name w:val="ico6"/>
    <w:basedOn w:val="24"/>
    <w:qFormat/>
    <w:uiPriority w:val="0"/>
  </w:style>
  <w:style w:type="character" w:customStyle="1" w:styleId="59">
    <w:name w:val="ico2"/>
    <w:basedOn w:val="24"/>
    <w:qFormat/>
    <w:uiPriority w:val="0"/>
  </w:style>
  <w:style w:type="character" w:customStyle="1" w:styleId="60">
    <w:name w:val="ico21"/>
    <w:basedOn w:val="24"/>
    <w:qFormat/>
    <w:uiPriority w:val="0"/>
  </w:style>
  <w:style w:type="character" w:customStyle="1" w:styleId="61">
    <w:name w:val="ico22"/>
    <w:basedOn w:val="24"/>
    <w:qFormat/>
    <w:uiPriority w:val="0"/>
  </w:style>
  <w:style w:type="character" w:customStyle="1" w:styleId="62">
    <w:name w:val="ico23"/>
    <w:basedOn w:val="24"/>
    <w:qFormat/>
    <w:uiPriority w:val="0"/>
  </w:style>
  <w:style w:type="character" w:customStyle="1" w:styleId="63">
    <w:name w:val="ico24"/>
    <w:basedOn w:val="24"/>
    <w:qFormat/>
    <w:uiPriority w:val="0"/>
  </w:style>
  <w:style w:type="character" w:customStyle="1" w:styleId="64">
    <w:name w:val="ico25"/>
    <w:basedOn w:val="24"/>
    <w:qFormat/>
    <w:uiPriority w:val="0"/>
  </w:style>
  <w:style w:type="character" w:customStyle="1" w:styleId="65">
    <w:name w:val="ico26"/>
    <w:basedOn w:val="24"/>
    <w:qFormat/>
    <w:uiPriority w:val="0"/>
  </w:style>
  <w:style w:type="character" w:customStyle="1" w:styleId="66">
    <w:name w:val="ico27"/>
    <w:basedOn w:val="24"/>
    <w:qFormat/>
    <w:uiPriority w:val="0"/>
  </w:style>
  <w:style w:type="character" w:customStyle="1" w:styleId="67">
    <w:name w:val="ico28"/>
    <w:basedOn w:val="24"/>
    <w:qFormat/>
    <w:uiPriority w:val="0"/>
  </w:style>
  <w:style w:type="character" w:customStyle="1" w:styleId="68">
    <w:name w:val="ico1"/>
    <w:basedOn w:val="24"/>
    <w:qFormat/>
    <w:uiPriority w:val="0"/>
  </w:style>
  <w:style w:type="character" w:customStyle="1" w:styleId="69">
    <w:name w:val="ico11"/>
    <w:basedOn w:val="24"/>
    <w:qFormat/>
    <w:uiPriority w:val="0"/>
  </w:style>
  <w:style w:type="character" w:customStyle="1" w:styleId="70">
    <w:name w:val="ico12"/>
    <w:basedOn w:val="24"/>
    <w:qFormat/>
    <w:uiPriority w:val="0"/>
  </w:style>
  <w:style w:type="character" w:customStyle="1" w:styleId="71">
    <w:name w:val="ico13"/>
    <w:basedOn w:val="24"/>
    <w:qFormat/>
    <w:uiPriority w:val="0"/>
  </w:style>
  <w:style w:type="character" w:customStyle="1" w:styleId="72">
    <w:name w:val="ico14"/>
    <w:basedOn w:val="24"/>
    <w:qFormat/>
    <w:uiPriority w:val="0"/>
  </w:style>
  <w:style w:type="character" w:customStyle="1" w:styleId="73">
    <w:name w:val="ico15"/>
    <w:basedOn w:val="24"/>
    <w:qFormat/>
    <w:uiPriority w:val="0"/>
  </w:style>
  <w:style w:type="character" w:customStyle="1" w:styleId="74">
    <w:name w:val="ico16"/>
    <w:basedOn w:val="24"/>
    <w:qFormat/>
    <w:uiPriority w:val="0"/>
  </w:style>
  <w:style w:type="character" w:customStyle="1" w:styleId="75">
    <w:name w:val="ico17"/>
    <w:basedOn w:val="24"/>
    <w:qFormat/>
    <w:uiPriority w:val="0"/>
  </w:style>
  <w:style w:type="character" w:customStyle="1" w:styleId="76">
    <w:name w:val="ico18"/>
    <w:basedOn w:val="24"/>
    <w:qFormat/>
    <w:uiPriority w:val="0"/>
  </w:style>
  <w:style w:type="character" w:customStyle="1" w:styleId="77">
    <w:name w:val="ico4"/>
    <w:basedOn w:val="24"/>
    <w:qFormat/>
    <w:uiPriority w:val="0"/>
  </w:style>
  <w:style w:type="character" w:customStyle="1" w:styleId="78">
    <w:name w:val="ico41"/>
    <w:basedOn w:val="24"/>
    <w:qFormat/>
    <w:uiPriority w:val="0"/>
  </w:style>
  <w:style w:type="character" w:customStyle="1" w:styleId="79">
    <w:name w:val="ico42"/>
    <w:basedOn w:val="24"/>
    <w:qFormat/>
    <w:uiPriority w:val="0"/>
  </w:style>
  <w:style w:type="character" w:customStyle="1" w:styleId="80">
    <w:name w:val="ico43"/>
    <w:basedOn w:val="24"/>
    <w:qFormat/>
    <w:uiPriority w:val="0"/>
  </w:style>
  <w:style w:type="character" w:customStyle="1" w:styleId="81">
    <w:name w:val="ico44"/>
    <w:basedOn w:val="24"/>
    <w:qFormat/>
    <w:uiPriority w:val="0"/>
  </w:style>
  <w:style w:type="character" w:customStyle="1" w:styleId="82">
    <w:name w:val="ico45"/>
    <w:basedOn w:val="24"/>
    <w:qFormat/>
    <w:uiPriority w:val="0"/>
  </w:style>
  <w:style w:type="character" w:customStyle="1" w:styleId="83">
    <w:name w:val="t_bg1"/>
    <w:basedOn w:val="24"/>
    <w:qFormat/>
    <w:uiPriority w:val="0"/>
    <w:rPr>
      <w:color w:val="FFFFFF"/>
      <w:bdr w:val="single" w:color="35B36A" w:sz="6" w:space="0"/>
      <w:shd w:val="clear" w:color="020000" w:fill="35B36A"/>
    </w:rPr>
  </w:style>
  <w:style w:type="character" w:customStyle="1" w:styleId="84">
    <w:name w:val="t_bg2"/>
    <w:basedOn w:val="24"/>
    <w:qFormat/>
    <w:uiPriority w:val="0"/>
    <w:rPr>
      <w:color w:val="FFFFFF"/>
      <w:bdr w:val="single" w:color="FAA72D" w:sz="6" w:space="0"/>
      <w:shd w:val="clear" w:color="020000" w:fill="FAA72D"/>
    </w:rPr>
  </w:style>
  <w:style w:type="character" w:customStyle="1" w:styleId="85">
    <w:name w:val="icon3"/>
    <w:basedOn w:val="24"/>
    <w:qFormat/>
    <w:uiPriority w:val="0"/>
  </w:style>
  <w:style w:type="character" w:customStyle="1" w:styleId="86">
    <w:name w:val="icon31"/>
    <w:basedOn w:val="24"/>
    <w:qFormat/>
    <w:uiPriority w:val="0"/>
  </w:style>
  <w:style w:type="character" w:customStyle="1" w:styleId="87">
    <w:name w:val="icon32"/>
    <w:basedOn w:val="24"/>
    <w:qFormat/>
    <w:uiPriority w:val="0"/>
  </w:style>
  <w:style w:type="character" w:customStyle="1" w:styleId="88">
    <w:name w:val="t_bg3"/>
    <w:basedOn w:val="24"/>
    <w:qFormat/>
    <w:uiPriority w:val="0"/>
    <w:rPr>
      <w:color w:val="FFFFFF"/>
      <w:bdr w:val="single" w:color="01AEFF" w:sz="6" w:space="0"/>
      <w:shd w:val="clear" w:color="020000" w:fill="01AEFF"/>
    </w:rPr>
  </w:style>
  <w:style w:type="character" w:customStyle="1" w:styleId="89">
    <w:name w:val="icon2"/>
    <w:basedOn w:val="24"/>
    <w:qFormat/>
    <w:uiPriority w:val="0"/>
  </w:style>
  <w:style w:type="character" w:customStyle="1" w:styleId="90">
    <w:name w:val="icon21"/>
    <w:basedOn w:val="24"/>
    <w:qFormat/>
    <w:uiPriority w:val="0"/>
  </w:style>
  <w:style w:type="character" w:customStyle="1" w:styleId="91">
    <w:name w:val="icon22"/>
    <w:basedOn w:val="24"/>
    <w:qFormat/>
    <w:uiPriority w:val="0"/>
  </w:style>
  <w:style w:type="character" w:customStyle="1" w:styleId="92">
    <w:name w:val="icon1"/>
    <w:basedOn w:val="24"/>
    <w:qFormat/>
    <w:uiPriority w:val="0"/>
  </w:style>
  <w:style w:type="character" w:customStyle="1" w:styleId="93">
    <w:name w:val="icon11"/>
    <w:basedOn w:val="24"/>
    <w:qFormat/>
    <w:uiPriority w:val="0"/>
  </w:style>
  <w:style w:type="character" w:customStyle="1" w:styleId="94">
    <w:name w:val="icon12"/>
    <w:basedOn w:val="24"/>
    <w:qFormat/>
    <w:uiPriority w:val="0"/>
  </w:style>
  <w:style w:type="character" w:customStyle="1" w:styleId="95">
    <w:name w:val="w36"/>
    <w:basedOn w:val="24"/>
    <w:qFormat/>
    <w:uiPriority w:val="0"/>
  </w:style>
  <w:style w:type="character" w:customStyle="1" w:styleId="96">
    <w:name w:val="icon5"/>
    <w:basedOn w:val="24"/>
    <w:qFormat/>
    <w:uiPriority w:val="0"/>
  </w:style>
  <w:style w:type="character" w:customStyle="1" w:styleId="97">
    <w:name w:val="icon51"/>
    <w:basedOn w:val="24"/>
    <w:qFormat/>
    <w:uiPriority w:val="0"/>
  </w:style>
  <w:style w:type="character" w:customStyle="1" w:styleId="98">
    <w:name w:val="icon52"/>
    <w:basedOn w:val="24"/>
    <w:qFormat/>
    <w:uiPriority w:val="0"/>
  </w:style>
  <w:style w:type="character" w:customStyle="1" w:styleId="99">
    <w:name w:val="icon4"/>
    <w:basedOn w:val="24"/>
    <w:qFormat/>
    <w:uiPriority w:val="0"/>
  </w:style>
  <w:style w:type="character" w:customStyle="1" w:styleId="100">
    <w:name w:val="icon41"/>
    <w:basedOn w:val="24"/>
    <w:qFormat/>
    <w:uiPriority w:val="0"/>
  </w:style>
  <w:style w:type="character" w:customStyle="1" w:styleId="101">
    <w:name w:val="icon42"/>
    <w:basedOn w:val="24"/>
    <w:qFormat/>
    <w:uiPriority w:val="0"/>
  </w:style>
  <w:style w:type="character" w:customStyle="1" w:styleId="102">
    <w:name w:val="current1"/>
    <w:basedOn w:val="24"/>
    <w:qFormat/>
    <w:uiPriority w:val="0"/>
    <w:rPr>
      <w:color w:val="FFFFFF"/>
      <w:u w:val="none"/>
      <w:bdr w:val="single" w:color="ED1E00" w:sz="6" w:space="0"/>
      <w:shd w:val="clear" w:color="030000" w:fill="ED1E00"/>
    </w:rPr>
  </w:style>
  <w:style w:type="character" w:customStyle="1" w:styleId="103">
    <w:name w:val="ico8"/>
    <w:basedOn w:val="24"/>
    <w:qFormat/>
    <w:uiPriority w:val="0"/>
  </w:style>
  <w:style w:type="character" w:customStyle="1" w:styleId="104">
    <w:name w:val="ico81"/>
    <w:basedOn w:val="24"/>
    <w:qFormat/>
    <w:uiPriority w:val="0"/>
  </w:style>
  <w:style w:type="character" w:customStyle="1" w:styleId="105">
    <w:name w:val="ico82"/>
    <w:basedOn w:val="24"/>
    <w:qFormat/>
    <w:uiPriority w:val="0"/>
  </w:style>
  <w:style w:type="character" w:customStyle="1" w:styleId="106">
    <w:name w:val="ico3"/>
    <w:basedOn w:val="24"/>
    <w:qFormat/>
    <w:uiPriority w:val="0"/>
  </w:style>
  <w:style w:type="character" w:customStyle="1" w:styleId="107">
    <w:name w:val="ico31"/>
    <w:basedOn w:val="24"/>
    <w:qFormat/>
    <w:uiPriority w:val="0"/>
  </w:style>
  <w:style w:type="character" w:customStyle="1" w:styleId="108">
    <w:name w:val="ico32"/>
    <w:basedOn w:val="24"/>
    <w:qFormat/>
    <w:uiPriority w:val="0"/>
  </w:style>
  <w:style w:type="character" w:customStyle="1" w:styleId="109">
    <w:name w:val="ico33"/>
    <w:basedOn w:val="24"/>
    <w:qFormat/>
    <w:uiPriority w:val="0"/>
  </w:style>
  <w:style w:type="character" w:customStyle="1" w:styleId="110">
    <w:name w:val="ico34"/>
    <w:basedOn w:val="24"/>
    <w:qFormat/>
    <w:uiPriority w:val="0"/>
  </w:style>
  <w:style w:type="character" w:customStyle="1" w:styleId="111">
    <w:name w:val="ico35"/>
    <w:basedOn w:val="24"/>
    <w:qFormat/>
    <w:uiPriority w:val="0"/>
  </w:style>
  <w:style w:type="character" w:customStyle="1" w:styleId="112">
    <w:name w:val="ico36"/>
    <w:basedOn w:val="24"/>
    <w:qFormat/>
    <w:uiPriority w:val="0"/>
  </w:style>
  <w:style w:type="character" w:customStyle="1" w:styleId="113">
    <w:name w:val="ico37"/>
    <w:basedOn w:val="24"/>
    <w:qFormat/>
    <w:uiPriority w:val="0"/>
  </w:style>
  <w:style w:type="character" w:customStyle="1" w:styleId="114">
    <w:name w:val="ico38"/>
    <w:basedOn w:val="24"/>
    <w:qFormat/>
    <w:uiPriority w:val="0"/>
  </w:style>
  <w:style w:type="character" w:customStyle="1" w:styleId="115">
    <w:name w:val="ico5"/>
    <w:basedOn w:val="24"/>
    <w:qFormat/>
    <w:uiPriority w:val="0"/>
  </w:style>
  <w:style w:type="character" w:customStyle="1" w:styleId="116">
    <w:name w:val="ico51"/>
    <w:basedOn w:val="24"/>
    <w:qFormat/>
    <w:uiPriority w:val="0"/>
  </w:style>
  <w:style w:type="character" w:customStyle="1" w:styleId="117">
    <w:name w:val="ico52"/>
    <w:basedOn w:val="24"/>
    <w:qFormat/>
    <w:uiPriority w:val="0"/>
  </w:style>
  <w:style w:type="character" w:customStyle="1" w:styleId="118">
    <w:name w:val="ico53"/>
    <w:basedOn w:val="24"/>
    <w:qFormat/>
    <w:uiPriority w:val="0"/>
  </w:style>
  <w:style w:type="character" w:customStyle="1" w:styleId="119">
    <w:name w:val="ico54"/>
    <w:basedOn w:val="24"/>
    <w:qFormat/>
    <w:uiPriority w:val="0"/>
  </w:style>
  <w:style w:type="character" w:customStyle="1" w:styleId="120">
    <w:name w:val="ico55"/>
    <w:basedOn w:val="24"/>
    <w:qFormat/>
    <w:uiPriority w:val="0"/>
  </w:style>
  <w:style w:type="character" w:customStyle="1" w:styleId="121">
    <w:name w:val="bar_bg8"/>
    <w:basedOn w:val="24"/>
    <w:qFormat/>
    <w:uiPriority w:val="0"/>
  </w:style>
  <w:style w:type="character" w:customStyle="1" w:styleId="122">
    <w:name w:val="disabled"/>
    <w:basedOn w:val="24"/>
    <w:qFormat/>
    <w:uiPriority w:val="0"/>
    <w:rPr>
      <w:bdr w:val="single" w:color="E4E4E4" w:sz="6" w:space="0"/>
      <w:shd w:val="clear" w:color="010000" w:fill="EEEEEE"/>
    </w:rPr>
  </w:style>
  <w:style w:type="character" w:customStyle="1" w:styleId="123">
    <w:name w:val="ico121"/>
    <w:basedOn w:val="24"/>
    <w:qFormat/>
    <w:uiPriority w:val="0"/>
  </w:style>
  <w:style w:type="character" w:customStyle="1" w:styleId="124">
    <w:name w:val="enter"/>
    <w:basedOn w:val="24"/>
    <w:qFormat/>
    <w:uiPriority w:val="0"/>
    <w:rPr>
      <w:sz w:val="18"/>
      <w:szCs w:val="18"/>
    </w:rPr>
  </w:style>
  <w:style w:type="character" w:customStyle="1" w:styleId="125">
    <w:name w:val="ico10"/>
    <w:basedOn w:val="24"/>
    <w:qFormat/>
    <w:uiPriority w:val="0"/>
  </w:style>
  <w:style w:type="character" w:customStyle="1" w:styleId="126">
    <w:name w:val="ico111"/>
    <w:basedOn w:val="24"/>
    <w:qFormat/>
    <w:uiPriority w:val="0"/>
  </w:style>
  <w:style w:type="character" w:customStyle="1" w:styleId="127">
    <w:name w:val="ico112"/>
    <w:basedOn w:val="24"/>
    <w:qFormat/>
    <w:uiPriority w:val="0"/>
  </w:style>
  <w:style w:type="character" w:customStyle="1" w:styleId="128">
    <w:name w:val="ico113"/>
    <w:basedOn w:val="24"/>
    <w:qFormat/>
    <w:uiPriority w:val="0"/>
  </w:style>
  <w:style w:type="character" w:customStyle="1" w:styleId="129">
    <w:name w:val="renew11"/>
    <w:basedOn w:val="24"/>
    <w:qFormat/>
    <w:uiPriority w:val="0"/>
    <w:rPr>
      <w:sz w:val="18"/>
      <w:szCs w:val="18"/>
    </w:rPr>
  </w:style>
  <w:style w:type="character" w:customStyle="1" w:styleId="130">
    <w:name w:val="hover34"/>
    <w:basedOn w:val="24"/>
    <w:qFormat/>
    <w:uiPriority w:val="0"/>
    <w:rPr>
      <w:color w:val="FFFFFF"/>
      <w:u w:val="none"/>
      <w:bdr w:val="single" w:color="ED1E00" w:sz="6" w:space="0"/>
      <w:shd w:val="clear" w:color="030000" w:fill="ED1E00"/>
    </w:rPr>
  </w:style>
  <w:style w:type="character" w:customStyle="1" w:styleId="131">
    <w:name w:val="ico7"/>
    <w:basedOn w:val="24"/>
    <w:qFormat/>
    <w:uiPriority w:val="0"/>
  </w:style>
  <w:style w:type="character" w:customStyle="1" w:styleId="132">
    <w:name w:val="ico71"/>
    <w:basedOn w:val="24"/>
    <w:qFormat/>
    <w:uiPriority w:val="0"/>
  </w:style>
  <w:style w:type="character" w:customStyle="1" w:styleId="133">
    <w:name w:val="ico72"/>
    <w:basedOn w:val="24"/>
    <w:qFormat/>
    <w:uiPriority w:val="0"/>
  </w:style>
  <w:style w:type="character" w:customStyle="1" w:styleId="134">
    <w:name w:val="ico9"/>
    <w:basedOn w:val="24"/>
    <w:qFormat/>
    <w:uiPriority w:val="0"/>
  </w:style>
  <w:style w:type="character" w:customStyle="1" w:styleId="135">
    <w:name w:val="ico91"/>
    <w:basedOn w:val="24"/>
    <w:qFormat/>
    <w:uiPriority w:val="0"/>
  </w:style>
  <w:style w:type="character" w:customStyle="1" w:styleId="136">
    <w:name w:val="ico92"/>
    <w:basedOn w:val="24"/>
    <w:qFormat/>
    <w:uiPriority w:val="0"/>
  </w:style>
  <w:style w:type="character" w:customStyle="1" w:styleId="137">
    <w:name w:val="disab"/>
    <w:basedOn w:val="24"/>
    <w:qFormat/>
    <w:uiPriority w:val="0"/>
    <w:rPr>
      <w:bdr w:val="single" w:color="E4E4E4" w:sz="6" w:space="0"/>
      <w:shd w:val="clear" w:color="010000" w:fill="EEEEEE"/>
    </w:rPr>
  </w:style>
  <w:style w:type="character" w:customStyle="1" w:styleId="138">
    <w:name w:val="go"/>
    <w:basedOn w:val="24"/>
    <w:qFormat/>
    <w:uiPriority w:val="0"/>
    <w:rPr>
      <w:shd w:val="clear" w:color="000000" w:fill="E2E2E2"/>
    </w:rPr>
  </w:style>
  <w:style w:type="character" w:customStyle="1" w:styleId="139">
    <w:name w:val="w16"/>
    <w:basedOn w:val="24"/>
    <w:qFormat/>
    <w:uiPriority w:val="0"/>
  </w:style>
  <w:style w:type="character" w:customStyle="1" w:styleId="140">
    <w:name w:val="ico61"/>
    <w:basedOn w:val="24"/>
    <w:qFormat/>
    <w:uiPriority w:val="0"/>
  </w:style>
  <w:style w:type="character" w:customStyle="1" w:styleId="141">
    <w:name w:val="ico62"/>
    <w:basedOn w:val="24"/>
    <w:qFormat/>
    <w:uiPriority w:val="0"/>
  </w:style>
  <w:style w:type="character" w:customStyle="1" w:styleId="142">
    <w:name w:val="ico63"/>
    <w:basedOn w:val="24"/>
    <w:qFormat/>
    <w:uiPriority w:val="0"/>
  </w:style>
  <w:style w:type="character" w:customStyle="1" w:styleId="143">
    <w:name w:val="ico64"/>
    <w:basedOn w:val="24"/>
    <w:qFormat/>
    <w:uiPriority w:val="0"/>
  </w:style>
  <w:style w:type="character" w:customStyle="1" w:styleId="144">
    <w:name w:val="ico65"/>
    <w:basedOn w:val="24"/>
    <w:qFormat/>
    <w:uiPriority w:val="0"/>
  </w:style>
  <w:style w:type="character" w:customStyle="1" w:styleId="145">
    <w:name w:val="bar_bg"/>
    <w:basedOn w:val="24"/>
    <w:qFormat/>
    <w:uiPriority w:val="0"/>
  </w:style>
  <w:style w:type="character" w:customStyle="1" w:styleId="146">
    <w:name w:val="ico122"/>
    <w:basedOn w:val="24"/>
    <w:qFormat/>
    <w:uiPriority w:val="0"/>
  </w:style>
  <w:style w:type="character" w:customStyle="1" w:styleId="147">
    <w:name w:val="ico123"/>
    <w:basedOn w:val="24"/>
    <w:qFormat/>
    <w:uiPriority w:val="0"/>
  </w:style>
  <w:style w:type="character" w:customStyle="1" w:styleId="148">
    <w:name w:val="ico101"/>
    <w:basedOn w:val="24"/>
    <w:qFormat/>
    <w:uiPriority w:val="0"/>
  </w:style>
  <w:style w:type="character" w:customStyle="1" w:styleId="149">
    <w:name w:val="ico102"/>
    <w:basedOn w:val="24"/>
    <w:qFormat/>
    <w:uiPriority w:val="0"/>
  </w:style>
  <w:style w:type="character" w:customStyle="1" w:styleId="150">
    <w:name w:val="current"/>
    <w:basedOn w:val="24"/>
    <w:qFormat/>
    <w:uiPriority w:val="0"/>
    <w:rPr>
      <w:color w:val="FFFFFF"/>
      <w:u w:val="none"/>
      <w:bdr w:val="single" w:color="ED1E00" w:sz="6" w:space="0"/>
      <w:shd w:val="clear" w:color="030000" w:fill="ED1E00"/>
    </w:rPr>
  </w:style>
  <w:style w:type="character" w:customStyle="1" w:styleId="151">
    <w:name w:val="hover33"/>
    <w:basedOn w:val="24"/>
    <w:qFormat/>
    <w:uiPriority w:val="0"/>
    <w:rPr>
      <w:color w:val="FFFFFF"/>
      <w:u w:val="none"/>
      <w:bdr w:val="single" w:color="ED1E00" w:sz="6" w:space="0"/>
      <w:shd w:val="clear" w:color="030000" w:fill="ED1E00"/>
    </w:rPr>
  </w:style>
  <w:style w:type="character" w:customStyle="1" w:styleId="152">
    <w:name w:val="font81"/>
    <w:basedOn w:val="24"/>
    <w:qFormat/>
    <w:uiPriority w:val="0"/>
    <w:rPr>
      <w:rFonts w:hint="eastAsia" w:ascii="仿宋" w:hAnsi="仿宋" w:eastAsia="仿宋" w:cs="仿宋"/>
      <w:color w:val="000000"/>
      <w:sz w:val="20"/>
      <w:szCs w:val="20"/>
      <w:u w:val="none"/>
      <w:vertAlign w:val="subscript"/>
    </w:rPr>
  </w:style>
  <w:style w:type="character" w:customStyle="1" w:styleId="153">
    <w:name w:val="font91"/>
    <w:basedOn w:val="24"/>
    <w:qFormat/>
    <w:uiPriority w:val="0"/>
    <w:rPr>
      <w:rFonts w:hint="eastAsia" w:ascii="仿宋" w:hAnsi="仿宋" w:eastAsia="仿宋" w:cs="仿宋"/>
      <w:b/>
      <w:color w:val="000000"/>
      <w:sz w:val="20"/>
      <w:szCs w:val="20"/>
      <w:u w:val="none"/>
      <w:vertAlign w:val="subscript"/>
    </w:rPr>
  </w:style>
  <w:style w:type="character" w:customStyle="1" w:styleId="154">
    <w:name w:val="font71"/>
    <w:basedOn w:val="24"/>
    <w:qFormat/>
    <w:uiPriority w:val="0"/>
    <w:rPr>
      <w:rFonts w:hint="eastAsia" w:ascii="仿宋" w:hAnsi="仿宋" w:eastAsia="仿宋" w:cs="仿宋"/>
      <w:color w:val="000000"/>
      <w:sz w:val="20"/>
      <w:szCs w:val="20"/>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厦门均和房地产价格评估事务所</Company>
  <Pages>43</Pages>
  <Words>19112</Words>
  <Characters>20425</Characters>
  <Lines>260</Lines>
  <Paragraphs>73</Paragraphs>
  <TotalTime>7</TotalTime>
  <ScaleCrop>false</ScaleCrop>
  <LinksUpToDate>false</LinksUpToDate>
  <CharactersWithSpaces>20641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2016-11-21T01:25:00Z</dcterms:created>
  <dc:creator>User</dc:creator>
  <cp:lastModifiedBy>Administrator</cp:lastModifiedBy>
  <cp:lastPrinted>2020-05-22T02:15:00Z</cp:lastPrinted>
  <dcterms:modified xsi:type="dcterms:W3CDTF">2022-10-14T06:09:18Z</dcterms:modified>
  <dc:title>房地产估价报告</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D046C40A1BDD48DB9545CAE2BBAF296E</vt:lpwstr>
  </property>
</Properties>
</file>