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eastAsia="黑体"/>
          <w:b/>
          <w:bCs/>
          <w:color w:val="000000"/>
          <w:sz w:val="44"/>
          <w:szCs w:val="44"/>
        </w:rPr>
        <w:t>房地产</w:t>
      </w:r>
      <w:r>
        <w:rPr>
          <w:rFonts w:hint="eastAsia" w:eastAsia="黑体"/>
          <w:b/>
          <w:bCs/>
          <w:color w:val="000000"/>
          <w:sz w:val="44"/>
          <w:szCs w:val="44"/>
          <w:lang w:eastAsia="zh-CN"/>
        </w:rPr>
        <w:t>司法</w:t>
      </w:r>
      <w:r>
        <w:rPr>
          <w:rFonts w:hint="eastAsia" w:eastAsia="黑体"/>
          <w:b/>
          <w:bCs/>
          <w:color w:val="000000"/>
          <w:sz w:val="44"/>
          <w:szCs w:val="44"/>
        </w:rPr>
        <w:t>鉴定</w:t>
      </w:r>
      <w:r>
        <w:rPr>
          <w:rFonts w:hint="eastAsia" w:eastAsia="黑体"/>
          <w:b/>
          <w:bCs/>
          <w:color w:val="000000"/>
          <w:sz w:val="44"/>
          <w:szCs w:val="44"/>
          <w:lang w:eastAsia="zh-CN"/>
        </w:rPr>
        <w:t>估价</w:t>
      </w:r>
      <w:r>
        <w:rPr>
          <w:rFonts w:hint="eastAsia" w:eastAsia="黑体"/>
          <w:b/>
          <w:bCs/>
          <w:color w:val="000000"/>
          <w:sz w:val="44"/>
          <w:szCs w:val="44"/>
        </w:rPr>
        <w:t>报告</w:t>
      </w:r>
    </w:p>
    <w:p>
      <w:pPr>
        <w:spacing w:line="500" w:lineRule="exact"/>
        <w:ind w:firstLine="336" w:firstLineChars="112"/>
        <w:rPr>
          <w:rFonts w:hint="eastAsia" w:eastAsia="黑体"/>
          <w:color w:val="000000"/>
          <w:sz w:val="30"/>
          <w:szCs w:val="30"/>
          <w:lang w:eastAsia="zh-CN"/>
        </w:rPr>
      </w:pPr>
    </w:p>
    <w:p>
      <w:pPr>
        <w:spacing w:line="500" w:lineRule="exact"/>
        <w:ind w:firstLine="336" w:firstLineChars="112"/>
        <w:rPr>
          <w:rFonts w:hint="eastAsia" w:eastAsia="黑体"/>
          <w:b w:val="0"/>
          <w:bCs/>
          <w:color w:val="000000"/>
          <w:sz w:val="30"/>
          <w:szCs w:val="30"/>
        </w:rPr>
      </w:pPr>
      <w:r>
        <w:rPr>
          <w:rFonts w:hint="eastAsia" w:eastAsia="黑体"/>
          <w:color w:val="000000"/>
          <w:sz w:val="30"/>
          <w:szCs w:val="30"/>
          <w:lang w:eastAsia="zh-CN"/>
        </w:rPr>
        <w:t>估价</w:t>
      </w:r>
      <w:r>
        <w:rPr>
          <w:rFonts w:hint="eastAsia" w:eastAsia="黑体"/>
          <w:color w:val="000000"/>
          <w:sz w:val="30"/>
          <w:szCs w:val="30"/>
        </w:rPr>
        <w:t>报告编号：</w:t>
      </w:r>
      <w:r>
        <w:rPr>
          <w:rFonts w:hint="eastAsia" w:ascii="仿宋_GB2312" w:hAnsi="仿宋_GB2312" w:eastAsia="仿宋_GB2312" w:cs="仿宋_GB2312"/>
          <w:b w:val="0"/>
          <w:bCs/>
          <w:color w:val="000000"/>
          <w:sz w:val="30"/>
          <w:szCs w:val="30"/>
        </w:rPr>
        <w:t>苏万方源</w:t>
      </w:r>
      <w:r>
        <w:rPr>
          <w:rFonts w:hint="eastAsia" w:eastAsia="仿宋_GB2312"/>
          <w:b w:val="0"/>
          <w:bCs/>
          <w:color w:val="000000"/>
          <w:sz w:val="30"/>
          <w:szCs w:val="30"/>
        </w:rPr>
        <w:t>JD</w:t>
      </w:r>
      <w:r>
        <w:rPr>
          <w:rFonts w:hint="eastAsia" w:ascii="仿宋_GB2312" w:hAnsi="仿宋_GB2312" w:eastAsia="仿宋_GB2312" w:cs="仿宋_GB2312"/>
          <w:b w:val="0"/>
          <w:bCs/>
          <w:color w:val="000000"/>
          <w:sz w:val="30"/>
          <w:szCs w:val="30"/>
        </w:rPr>
        <w:t>估字［20</w:t>
      </w:r>
      <w:r>
        <w:rPr>
          <w:rFonts w:hint="eastAsia" w:ascii="仿宋_GB2312" w:hAnsi="仿宋_GB2312" w:eastAsia="仿宋_GB2312" w:cs="仿宋_GB2312"/>
          <w:b w:val="0"/>
          <w:bCs/>
          <w:color w:val="000000"/>
          <w:sz w:val="30"/>
          <w:szCs w:val="30"/>
          <w:lang w:val="en-US" w:eastAsia="zh-CN"/>
        </w:rPr>
        <w:t>22</w:t>
      </w:r>
      <w:r>
        <w:rPr>
          <w:rFonts w:hint="eastAsia" w:ascii="仿宋_GB2312" w:hAnsi="仿宋_GB2312" w:eastAsia="仿宋_GB2312" w:cs="仿宋_GB2312"/>
          <w:b w:val="0"/>
          <w:bCs/>
          <w:color w:val="000000"/>
          <w:sz w:val="30"/>
          <w:szCs w:val="30"/>
        </w:rPr>
        <w:t>］第</w:t>
      </w:r>
      <w:r>
        <w:rPr>
          <w:rFonts w:hint="eastAsia" w:ascii="仿宋_GB2312" w:hAnsi="仿宋_GB2312" w:eastAsia="仿宋_GB2312" w:cs="仿宋_GB2312"/>
          <w:b w:val="0"/>
          <w:bCs/>
          <w:color w:val="auto"/>
          <w:sz w:val="30"/>
          <w:szCs w:val="30"/>
          <w:lang w:val="en-US" w:eastAsia="zh-CN"/>
        </w:rPr>
        <w:t>059</w:t>
      </w:r>
      <w:r>
        <w:rPr>
          <w:rFonts w:hint="eastAsia" w:ascii="仿宋_GB2312" w:hAnsi="仿宋_GB2312" w:eastAsia="仿宋_GB2312" w:cs="仿宋_GB2312"/>
          <w:b w:val="0"/>
          <w:bCs/>
          <w:color w:val="000000"/>
          <w:sz w:val="30"/>
          <w:szCs w:val="30"/>
        </w:rPr>
        <w:t>号</w:t>
      </w:r>
    </w:p>
    <w:p>
      <w:pPr>
        <w:spacing w:line="500" w:lineRule="exact"/>
        <w:ind w:left="2119" w:leftChars="152" w:hanging="1800" w:hangingChars="600"/>
        <w:rPr>
          <w:rFonts w:eastAsia="黑体"/>
          <w:color w:val="000000"/>
          <w:sz w:val="30"/>
          <w:szCs w:val="30"/>
        </w:rPr>
      </w:pPr>
    </w:p>
    <w:p>
      <w:pPr>
        <w:spacing w:line="500" w:lineRule="exact"/>
        <w:ind w:left="2119" w:leftChars="152" w:hanging="1800" w:hangingChars="600"/>
        <w:rPr>
          <w:rFonts w:eastAsia="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2398" w:leftChars="142" w:right="0" w:rightChars="0" w:hanging="2100" w:hangingChars="700"/>
        <w:jc w:val="both"/>
        <w:textAlignment w:val="auto"/>
        <w:outlineLvl w:val="9"/>
        <w:rPr>
          <w:rFonts w:hint="eastAsia" w:ascii="仿宋_GB2312" w:hAnsi="仿宋_GB2312" w:eastAsia="仿宋_GB2312" w:cs="仿宋_GB2312"/>
          <w:color w:val="auto"/>
          <w:sz w:val="30"/>
          <w:szCs w:val="30"/>
        </w:rPr>
      </w:pPr>
      <w:r>
        <w:rPr>
          <w:rFonts w:hint="eastAsia" w:eastAsia="黑体"/>
          <w:color w:val="000000"/>
          <w:sz w:val="30"/>
          <w:szCs w:val="30"/>
          <w:lang w:eastAsia="zh-CN"/>
        </w:rPr>
        <w:t>估价</w:t>
      </w:r>
      <w:r>
        <w:rPr>
          <w:rFonts w:eastAsia="黑体"/>
          <w:color w:val="000000"/>
          <w:sz w:val="30"/>
          <w:szCs w:val="30"/>
        </w:rPr>
        <w:t>项目名称</w:t>
      </w:r>
      <w:r>
        <w:rPr>
          <w:rFonts w:hint="eastAsia" w:eastAsia="黑体"/>
          <w:color w:val="000000"/>
          <w:sz w:val="30"/>
          <w:szCs w:val="30"/>
          <w:lang w:eastAsia="zh-CN"/>
        </w:rPr>
        <w:t>：</w:t>
      </w:r>
      <w:r>
        <w:rPr>
          <w:rFonts w:hint="eastAsia" w:ascii="仿宋_GB2312" w:hAnsi="仿宋_GB2312" w:eastAsia="仿宋_GB2312" w:cs="仿宋_GB2312"/>
          <w:color w:val="000000"/>
          <w:sz w:val="30"/>
          <w:szCs w:val="30"/>
          <w:lang w:eastAsia="zh-CN"/>
        </w:rPr>
        <w:t>被执行人</w:t>
      </w:r>
      <w:r>
        <w:rPr>
          <w:rFonts w:hint="eastAsia" w:ascii="仿宋_GB2312" w:hAnsi="仿宋_GB2312" w:eastAsia="仿宋_GB2312" w:cs="仿宋_GB2312"/>
          <w:color w:val="000000"/>
          <w:sz w:val="30"/>
          <w:szCs w:val="30"/>
          <w:lang w:val="en-US" w:eastAsia="zh-CN"/>
        </w:rPr>
        <w:t>何安龙名下所有的</w:t>
      </w:r>
      <w:r>
        <w:rPr>
          <w:rFonts w:hint="eastAsia" w:ascii="仿宋_GB2312" w:hAnsi="仿宋_GB2312" w:eastAsia="仿宋_GB2312" w:cs="仿宋_GB2312"/>
          <w:color w:val="000000"/>
          <w:sz w:val="30"/>
          <w:szCs w:val="30"/>
          <w:lang w:eastAsia="zh-CN"/>
        </w:rPr>
        <w:t>位于射阳县海通镇通兴东路南侧1幢1室的不动产</w:t>
      </w:r>
      <w:r>
        <w:rPr>
          <w:rFonts w:hint="eastAsia" w:ascii="仿宋_GB2312" w:hAnsi="仿宋_GB2312" w:eastAsia="仿宋_GB2312" w:cs="仿宋_GB2312"/>
          <w:color w:val="000000"/>
          <w:sz w:val="30"/>
          <w:szCs w:val="30"/>
          <w:lang w:val="en-US" w:eastAsia="zh-CN"/>
        </w:rPr>
        <w:t>市场价值评估。</w:t>
      </w:r>
    </w:p>
    <w:p>
      <w:pPr>
        <w:keepNext w:val="0"/>
        <w:keepLines w:val="0"/>
        <w:pageBreakBefore w:val="0"/>
        <w:widowControl w:val="0"/>
        <w:kinsoku/>
        <w:wordWrap/>
        <w:overflowPunct/>
        <w:topLinePunct w:val="0"/>
        <w:autoSpaceDE/>
        <w:autoSpaceDN/>
        <w:bidi w:val="0"/>
        <w:adjustRightInd/>
        <w:snapToGrid/>
        <w:spacing w:line="500" w:lineRule="exact"/>
        <w:ind w:left="2715" w:leftChars="150" w:right="0" w:rightChars="0" w:hanging="2400" w:hangingChars="800"/>
        <w:jc w:val="both"/>
        <w:textAlignment w:val="auto"/>
        <w:outlineLvl w:val="9"/>
        <w:rPr>
          <w:rFonts w:hint="eastAsia" w:ascii="仿宋_GB2312" w:hAnsi="仿宋_GB2312" w:eastAsia="仿宋_GB2312" w:cs="仿宋_GB2312"/>
          <w:color w:val="000000"/>
          <w:sz w:val="30"/>
          <w:szCs w:val="30"/>
          <w:lang w:val="en-US" w:eastAsia="zh-CN"/>
        </w:rPr>
      </w:pPr>
    </w:p>
    <w:p>
      <w:pPr>
        <w:spacing w:line="500" w:lineRule="exact"/>
        <w:ind w:firstLine="336" w:firstLineChars="112"/>
        <w:rPr>
          <w:rFonts w:hint="eastAsia" w:eastAsia="仿宋_GB2312"/>
          <w:color w:val="auto"/>
          <w:sz w:val="30"/>
          <w:szCs w:val="30"/>
        </w:rPr>
      </w:pPr>
    </w:p>
    <w:p>
      <w:pPr>
        <w:spacing w:line="500" w:lineRule="exact"/>
        <w:ind w:firstLine="336" w:firstLineChars="112"/>
        <w:rPr>
          <w:rFonts w:hint="eastAsia" w:eastAsia="仿宋_GB2312"/>
          <w:color w:val="000000"/>
          <w:sz w:val="30"/>
          <w:szCs w:val="30"/>
        </w:rPr>
      </w:pPr>
    </w:p>
    <w:p>
      <w:pPr>
        <w:spacing w:line="500" w:lineRule="exact"/>
        <w:ind w:firstLine="336" w:firstLineChars="112"/>
        <w:rPr>
          <w:rFonts w:hint="eastAsia" w:eastAsia="仿宋_GB2312"/>
          <w:b w:val="0"/>
          <w:bCs w:val="0"/>
          <w:color w:val="000000"/>
          <w:sz w:val="30"/>
          <w:szCs w:val="30"/>
        </w:rPr>
      </w:pPr>
      <w:r>
        <w:rPr>
          <w:rFonts w:hint="eastAsia" w:eastAsia="黑体"/>
          <w:color w:val="000000"/>
          <w:sz w:val="30"/>
          <w:szCs w:val="30"/>
          <w:lang w:eastAsia="zh-CN"/>
        </w:rPr>
        <w:t>估价</w:t>
      </w:r>
      <w:r>
        <w:rPr>
          <w:rFonts w:eastAsia="黑体"/>
          <w:color w:val="000000"/>
          <w:sz w:val="30"/>
          <w:szCs w:val="30"/>
        </w:rPr>
        <w:t>委托</w:t>
      </w:r>
      <w:r>
        <w:rPr>
          <w:rFonts w:hint="eastAsia" w:eastAsia="黑体"/>
          <w:color w:val="000000"/>
          <w:sz w:val="30"/>
          <w:szCs w:val="30"/>
          <w:lang w:eastAsia="zh-CN"/>
        </w:rPr>
        <w:t>人</w:t>
      </w:r>
      <w:r>
        <w:rPr>
          <w:rFonts w:hint="eastAsia" w:eastAsia="黑体"/>
          <w:color w:val="000000"/>
          <w:sz w:val="30"/>
          <w:szCs w:val="30"/>
        </w:rPr>
        <w:t>：</w:t>
      </w:r>
      <w:r>
        <w:rPr>
          <w:rFonts w:hint="eastAsia" w:ascii="仿宋_GB2312" w:hAnsi="仿宋_GB2312" w:eastAsia="仿宋_GB2312" w:cs="仿宋_GB2312"/>
          <w:color w:val="000000"/>
          <w:sz w:val="30"/>
          <w:szCs w:val="30"/>
          <w:lang w:eastAsia="zh-CN"/>
        </w:rPr>
        <w:t>射阳县人民法院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850" w:firstLineChars="661"/>
        <w:jc w:val="both"/>
        <w:textAlignment w:val="auto"/>
        <w:outlineLvl w:val="9"/>
        <w:rPr>
          <w:rFonts w:hint="eastAsia" w:ascii="仿宋_GB2312" w:hAnsi="仿宋_GB2312" w:eastAsia="仿宋_GB2312" w:cs="仿宋_GB2312"/>
          <w:color w:val="000000"/>
          <w:sz w:val="22"/>
          <w:szCs w:val="22"/>
          <w:lang w:val="en-US" w:eastAsia="zh-CN"/>
        </w:rPr>
      </w:pPr>
      <w:r>
        <w:rPr>
          <w:rFonts w:hint="eastAsia" w:eastAsia="仿宋_GB2312"/>
          <w:color w:val="000000"/>
          <w:sz w:val="28"/>
          <w:szCs w:val="28"/>
          <w:lang w:val="en-US" w:eastAsia="zh-CN"/>
        </w:rPr>
        <w:t xml:space="preserve">  </w:t>
      </w:r>
      <w:r>
        <w:rPr>
          <w:rFonts w:hint="eastAsia" w:ascii="仿宋_GB2312" w:hAnsi="仿宋_GB2312" w:eastAsia="仿宋_GB2312" w:cs="仿宋_GB2312"/>
          <w:color w:val="000000"/>
          <w:sz w:val="22"/>
          <w:szCs w:val="22"/>
          <w:lang w:val="en-US" w:eastAsia="zh-CN"/>
        </w:rPr>
        <w:t>[（2022）苏0924法鉴委字第73号]</w:t>
      </w:r>
    </w:p>
    <w:p>
      <w:pPr>
        <w:spacing w:line="500" w:lineRule="exact"/>
        <w:ind w:firstLine="268" w:firstLineChars="112"/>
        <w:rPr>
          <w:rFonts w:hint="eastAsia" w:eastAsia="仿宋_GB2312"/>
          <w:color w:val="000000"/>
          <w:sz w:val="24"/>
          <w:szCs w:val="24"/>
        </w:rPr>
      </w:pPr>
    </w:p>
    <w:p>
      <w:pPr>
        <w:spacing w:line="500" w:lineRule="exact"/>
        <w:ind w:firstLine="336" w:firstLineChars="112"/>
        <w:rPr>
          <w:rFonts w:hint="eastAsia" w:eastAsia="仿宋_GB2312"/>
          <w:color w:val="000000"/>
          <w:sz w:val="30"/>
          <w:szCs w:val="30"/>
        </w:rPr>
      </w:pPr>
    </w:p>
    <w:p>
      <w:pPr>
        <w:spacing w:line="500" w:lineRule="exact"/>
        <w:ind w:firstLine="291" w:firstLineChars="112"/>
        <w:rPr>
          <w:rFonts w:hint="eastAsia" w:ascii="仿宋_GB2312" w:hAnsi="仿宋_GB2312" w:eastAsia="仿宋_GB2312" w:cs="仿宋_GB2312"/>
          <w:color w:val="000000"/>
          <w:spacing w:val="-20"/>
          <w:sz w:val="30"/>
          <w:szCs w:val="30"/>
        </w:rPr>
      </w:pPr>
      <w:r>
        <w:rPr>
          <w:rFonts w:hint="eastAsia" w:eastAsia="黑体"/>
          <w:b w:val="0"/>
          <w:bCs/>
          <w:color w:val="000000"/>
          <w:spacing w:val="-20"/>
          <w:sz w:val="30"/>
          <w:szCs w:val="30"/>
          <w:lang w:eastAsia="zh-CN"/>
        </w:rPr>
        <w:t>房地产估价机构：</w:t>
      </w:r>
      <w:r>
        <w:rPr>
          <w:rFonts w:hint="eastAsia" w:ascii="仿宋_GB2312" w:hAnsi="仿宋_GB2312" w:eastAsia="仿宋_GB2312" w:cs="仿宋_GB2312"/>
          <w:color w:val="000000"/>
          <w:spacing w:val="-20"/>
          <w:sz w:val="30"/>
          <w:szCs w:val="30"/>
        </w:rPr>
        <w:t>江苏万方源土地房地产评估测绘咨询有限公司</w:t>
      </w:r>
    </w:p>
    <w:p>
      <w:pPr>
        <w:spacing w:line="500" w:lineRule="exact"/>
        <w:ind w:firstLine="336" w:firstLineChars="112"/>
        <w:rPr>
          <w:rFonts w:hint="eastAsia" w:eastAsia="仿宋_GB2312"/>
          <w:color w:val="000000"/>
          <w:sz w:val="30"/>
          <w:szCs w:val="30"/>
        </w:rPr>
      </w:pPr>
    </w:p>
    <w:p>
      <w:pPr>
        <w:spacing w:line="500" w:lineRule="exact"/>
        <w:ind w:firstLine="336" w:firstLineChars="112"/>
        <w:rPr>
          <w:rFonts w:hint="eastAsia" w:eastAsia="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eastAsia="黑体"/>
          <w:color w:val="000000"/>
          <w:sz w:val="30"/>
          <w:szCs w:val="30"/>
          <w:lang w:val="en-US" w:eastAsia="zh-CN"/>
        </w:rPr>
        <w:t xml:space="preserve">  </w:t>
      </w:r>
      <w:r>
        <w:rPr>
          <w:rFonts w:hint="eastAsia" w:eastAsia="黑体"/>
          <w:color w:val="000000"/>
          <w:sz w:val="30"/>
          <w:szCs w:val="30"/>
        </w:rPr>
        <w:t>注册房地产估价师</w:t>
      </w:r>
      <w:r>
        <w:rPr>
          <w:rFonts w:hint="eastAsia" w:eastAsia="黑体"/>
          <w:color w:val="000000"/>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梁</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杰</w:t>
      </w:r>
      <w:r>
        <w:rPr>
          <w:rFonts w:hint="eastAsia" w:ascii="仿宋_GB2312" w:hAnsi="仿宋_GB2312" w:eastAsia="仿宋_GB2312" w:cs="仿宋_GB2312"/>
          <w:sz w:val="30"/>
          <w:szCs w:val="30"/>
        </w:rPr>
        <w:t xml:space="preserve">     注册号：3220</w:t>
      </w:r>
      <w:r>
        <w:rPr>
          <w:rFonts w:hint="eastAsia" w:ascii="仿宋_GB2312" w:hAnsi="仿宋_GB2312" w:eastAsia="仿宋_GB2312" w:cs="仿宋_GB2312"/>
          <w:sz w:val="30"/>
          <w:szCs w:val="30"/>
          <w:lang w:val="en-US" w:eastAsia="zh-CN"/>
        </w:rPr>
        <w:t>180226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苗玉龙</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注册号：32201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01</w:t>
      </w:r>
      <w:r>
        <w:rPr>
          <w:rFonts w:hint="eastAsia" w:ascii="仿宋_GB2312" w:hAnsi="仿宋_GB2312" w:eastAsia="仿宋_GB2312" w:cs="仿宋_GB2312"/>
          <w:sz w:val="30"/>
          <w:szCs w:val="30"/>
          <w:lang w:val="en-US" w:eastAsia="zh-CN"/>
        </w:rPr>
        <w:t>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 w:firstLineChars="112"/>
        <w:jc w:val="both"/>
        <w:textAlignment w:val="auto"/>
        <w:outlineLvl w:val="9"/>
        <w:rPr>
          <w:rFonts w:hint="eastAsia" w:eastAsia="仿宋_GB2312"/>
          <w:b/>
          <w:color w:val="000000"/>
          <w:sz w:val="30"/>
          <w:szCs w:val="30"/>
          <w:lang w:eastAsia="zh-CN"/>
        </w:rPr>
      </w:pPr>
      <w:r>
        <w:rPr>
          <w:rFonts w:hint="eastAsia" w:eastAsia="黑体"/>
          <w:color w:val="000000"/>
          <w:sz w:val="30"/>
          <w:szCs w:val="30"/>
          <w:lang w:eastAsia="zh-CN"/>
        </w:rPr>
        <w:t>估价报告出具日期</w:t>
      </w:r>
      <w:r>
        <w:rPr>
          <w:rFonts w:eastAsia="黑体"/>
          <w:color w:val="000000"/>
          <w:sz w:val="30"/>
          <w:szCs w:val="30"/>
        </w:rPr>
        <w:t>：</w:t>
      </w:r>
      <w:r>
        <w:rPr>
          <w:rFonts w:eastAsia="仿宋_GB2312"/>
          <w:b w:val="0"/>
          <w:bCs w:val="0"/>
          <w:color w:val="000000"/>
          <w:sz w:val="30"/>
          <w:szCs w:val="30"/>
        </w:rPr>
        <w:t xml:space="preserve"> </w:t>
      </w:r>
      <w:r>
        <w:rPr>
          <w:rFonts w:hint="eastAsia" w:eastAsia="仿宋_GB2312"/>
          <w:b w:val="0"/>
          <w:bCs w:val="0"/>
          <w:color w:val="000000"/>
          <w:spacing w:val="-20"/>
          <w:sz w:val="30"/>
          <w:szCs w:val="30"/>
          <w:lang w:eastAsia="zh-CN"/>
        </w:rPr>
        <w:t>2022年9月</w:t>
      </w:r>
      <w:r>
        <w:rPr>
          <w:rFonts w:hint="eastAsia" w:eastAsia="仿宋_GB2312"/>
          <w:b w:val="0"/>
          <w:bCs w:val="0"/>
          <w:color w:val="000000"/>
          <w:spacing w:val="-20"/>
          <w:sz w:val="30"/>
          <w:szCs w:val="30"/>
          <w:lang w:val="en-US" w:eastAsia="zh-CN"/>
        </w:rPr>
        <w:t>6</w:t>
      </w:r>
      <w:r>
        <w:rPr>
          <w:rFonts w:hint="eastAsia" w:eastAsia="仿宋_GB2312"/>
          <w:b w:val="0"/>
          <w:bCs w:val="0"/>
          <w:color w:val="000000"/>
          <w:spacing w:val="-20"/>
          <w:sz w:val="30"/>
          <w:szCs w:val="30"/>
          <w:lang w:eastAsia="zh-CN"/>
        </w:rPr>
        <w:t>日</w:t>
      </w:r>
    </w:p>
    <w:p>
      <w:pPr>
        <w:spacing w:line="440" w:lineRule="exact"/>
        <w:jc w:val="both"/>
        <w:rPr>
          <w:rFonts w:eastAsia="黑体"/>
          <w:b/>
          <w:color w:val="000000"/>
          <w:sz w:val="44"/>
          <w:szCs w:val="44"/>
        </w:rPr>
      </w:pPr>
    </w:p>
    <w:p>
      <w:pPr>
        <w:spacing w:line="440" w:lineRule="exact"/>
        <w:jc w:val="center"/>
        <w:rPr>
          <w:rFonts w:hint="eastAsia" w:eastAsia="黑体"/>
          <w:b/>
          <w:color w:val="000000"/>
          <w:spacing w:val="42"/>
          <w:sz w:val="44"/>
          <w:szCs w:val="44"/>
          <w:lang w:eastAsia="zh-CN"/>
        </w:rPr>
      </w:pPr>
    </w:p>
    <w:p>
      <w:pPr>
        <w:spacing w:line="440" w:lineRule="exact"/>
        <w:jc w:val="center"/>
        <w:rPr>
          <w:rFonts w:hint="eastAsia" w:eastAsia="黑体"/>
          <w:b/>
          <w:color w:val="000000"/>
          <w:spacing w:val="42"/>
          <w:sz w:val="44"/>
          <w:szCs w:val="44"/>
          <w:lang w:eastAsia="zh-CN"/>
        </w:rPr>
      </w:pPr>
    </w:p>
    <w:p>
      <w:pPr>
        <w:spacing w:line="440" w:lineRule="exact"/>
        <w:jc w:val="center"/>
        <w:rPr>
          <w:rFonts w:eastAsia="黑体"/>
          <w:b/>
          <w:color w:val="000000"/>
          <w:spacing w:val="42"/>
          <w:sz w:val="44"/>
          <w:szCs w:val="44"/>
        </w:rPr>
      </w:pPr>
      <w:r>
        <w:rPr>
          <w:rFonts w:hint="eastAsia" w:eastAsia="黑体"/>
          <w:b/>
          <w:color w:val="000000"/>
          <w:spacing w:val="42"/>
          <w:sz w:val="44"/>
          <w:szCs w:val="44"/>
          <w:lang w:eastAsia="zh-CN"/>
        </w:rPr>
        <w:t>致估价</w:t>
      </w:r>
      <w:r>
        <w:rPr>
          <w:rFonts w:eastAsia="黑体"/>
          <w:b/>
          <w:color w:val="000000"/>
          <w:spacing w:val="42"/>
          <w:sz w:val="44"/>
          <w:szCs w:val="44"/>
        </w:rPr>
        <w:t>委托</w:t>
      </w:r>
      <w:r>
        <w:rPr>
          <w:rFonts w:hint="eastAsia" w:eastAsia="黑体"/>
          <w:b/>
          <w:color w:val="000000"/>
          <w:spacing w:val="42"/>
          <w:sz w:val="44"/>
          <w:szCs w:val="44"/>
          <w:lang w:eastAsia="zh-CN"/>
        </w:rPr>
        <w:t>人</w:t>
      </w:r>
      <w:r>
        <w:rPr>
          <w:rFonts w:eastAsia="黑体"/>
          <w:b/>
          <w:color w:val="000000"/>
          <w:spacing w:val="42"/>
          <w:sz w:val="44"/>
          <w:szCs w:val="44"/>
        </w:rPr>
        <w:t>函</w:t>
      </w:r>
    </w:p>
    <w:p>
      <w:pPr>
        <w:spacing w:line="500" w:lineRule="exact"/>
        <w:rPr>
          <w:rFonts w:hint="eastAsia" w:eastAsia="楷体_GB2312"/>
          <w:b/>
          <w:color w:val="000000"/>
          <w:sz w:val="30"/>
          <w:szCs w:val="30"/>
        </w:rPr>
      </w:pPr>
    </w:p>
    <w:p>
      <w:pPr>
        <w:spacing w:line="500" w:lineRule="exact"/>
        <w:rPr>
          <w:rFonts w:eastAsia="楷体_GB2312"/>
          <w:b/>
          <w:color w:val="000000"/>
          <w:sz w:val="30"/>
          <w:szCs w:val="30"/>
        </w:rPr>
      </w:pPr>
      <w:r>
        <w:rPr>
          <w:rFonts w:hint="eastAsia" w:eastAsia="楷体_GB2312"/>
          <w:b/>
          <w:color w:val="000000"/>
          <w:sz w:val="30"/>
          <w:szCs w:val="30"/>
          <w:lang w:eastAsia="zh-CN"/>
        </w:rPr>
        <w:t>射阳县人民法院</w:t>
      </w:r>
      <w:r>
        <w:rPr>
          <w:rFonts w:eastAsia="楷体_GB2312"/>
          <w:b/>
          <w:color w:val="000000"/>
          <w:sz w:val="30"/>
          <w:szCs w:val="30"/>
        </w:rPr>
        <w:t>：</w:t>
      </w:r>
    </w:p>
    <w:p>
      <w:pPr>
        <w:spacing w:line="500" w:lineRule="exact"/>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受贵</w:t>
      </w:r>
      <w:r>
        <w:rPr>
          <w:rFonts w:hint="eastAsia" w:ascii="仿宋_GB2312" w:hAnsi="仿宋_GB2312" w:eastAsia="仿宋_GB2312" w:cs="仿宋_GB2312"/>
          <w:color w:val="000000"/>
          <w:sz w:val="28"/>
          <w:szCs w:val="28"/>
          <w:lang w:eastAsia="zh-CN"/>
        </w:rPr>
        <w:t>院</w:t>
      </w:r>
      <w:r>
        <w:rPr>
          <w:rFonts w:hint="eastAsia" w:ascii="仿宋_GB2312" w:hAnsi="仿宋_GB2312" w:eastAsia="仿宋_GB2312" w:cs="仿宋_GB2312"/>
          <w:color w:val="000000"/>
          <w:sz w:val="28"/>
          <w:szCs w:val="28"/>
        </w:rPr>
        <w:t>的委托</w:t>
      </w:r>
      <w:r>
        <w:rPr>
          <w:rFonts w:hint="eastAsia" w:ascii="仿宋_GB2312" w:hAnsi="仿宋_GB2312" w:eastAsia="仿宋_GB2312" w:cs="仿宋_GB2312"/>
          <w:color w:val="000000"/>
          <w:sz w:val="28"/>
          <w:szCs w:val="28"/>
          <w:lang w:val="en-US" w:eastAsia="zh-CN"/>
        </w:rPr>
        <w:t>[委托书编号：（2022）苏0924法鉴委字第73号]</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需要对申请执行人李海蓉与被执行人何安龙婚姻家庭纠纷一案中，涉及的</w:t>
      </w:r>
      <w:r>
        <w:rPr>
          <w:rFonts w:hint="eastAsia" w:ascii="仿宋_GB2312" w:hAnsi="仿宋_GB2312" w:eastAsia="仿宋_GB2312" w:cs="仿宋_GB2312"/>
          <w:color w:val="000000"/>
          <w:sz w:val="28"/>
          <w:szCs w:val="28"/>
          <w:lang w:val="en-US" w:eastAsia="zh-CN"/>
        </w:rPr>
        <w:t>何安龙名下所有</w:t>
      </w:r>
      <w:r>
        <w:rPr>
          <w:rFonts w:hint="eastAsia" w:ascii="仿宋_GB2312" w:hAnsi="仿宋_GB2312" w:eastAsia="仿宋_GB2312" w:cs="仿宋_GB2312"/>
          <w:color w:val="000000"/>
          <w:sz w:val="28"/>
          <w:szCs w:val="28"/>
          <w:lang w:eastAsia="zh-CN"/>
        </w:rPr>
        <w:t>的位于射阳县海通镇通兴东路南侧1幢1室的不动产</w:t>
      </w:r>
      <w:r>
        <w:rPr>
          <w:rFonts w:hint="eastAsia" w:ascii="仿宋_GB2312" w:hAnsi="仿宋_GB2312" w:eastAsia="仿宋_GB2312" w:cs="仿宋_GB2312"/>
          <w:color w:val="000000"/>
          <w:sz w:val="28"/>
          <w:szCs w:val="28"/>
          <w:lang w:val="en-US" w:eastAsia="zh-CN"/>
        </w:rPr>
        <w:t>进行价值评估。现将估价报告摘要如下：</w:t>
      </w:r>
    </w:p>
    <w:p>
      <w:pPr>
        <w:numPr>
          <w:ilvl w:val="0"/>
          <w:numId w:val="1"/>
        </w:numPr>
        <w:spacing w:line="500" w:lineRule="exact"/>
        <w:ind w:firstLine="562" w:firstLineChars="200"/>
        <w:rPr>
          <w:rFonts w:hint="eastAsia" w:eastAsia="仿宋_GB2312"/>
          <w:color w:val="000000"/>
          <w:sz w:val="28"/>
          <w:szCs w:val="28"/>
          <w:lang w:val="en-US" w:eastAsia="zh-CN"/>
        </w:rPr>
      </w:pPr>
      <w:r>
        <w:rPr>
          <w:rFonts w:hint="eastAsia" w:eastAsia="仿宋_GB2312"/>
          <w:b/>
          <w:bCs/>
          <w:color w:val="000000"/>
          <w:sz w:val="28"/>
          <w:szCs w:val="28"/>
          <w:lang w:val="en-US" w:eastAsia="zh-CN"/>
        </w:rPr>
        <w:t>估价目的</w:t>
      </w:r>
      <w:r>
        <w:rPr>
          <w:rFonts w:hint="eastAsia" w:eastAsia="仿宋_GB2312"/>
          <w:color w:val="000000"/>
          <w:sz w:val="28"/>
          <w:szCs w:val="28"/>
          <w:lang w:val="en-US" w:eastAsia="zh-CN"/>
        </w:rPr>
        <w:t>：为人民法院确定财产处置参考价提供参考依据。</w:t>
      </w:r>
    </w:p>
    <w:p>
      <w:pPr>
        <w:numPr>
          <w:ilvl w:val="0"/>
          <w:numId w:val="1"/>
        </w:numPr>
        <w:spacing w:line="500" w:lineRule="exact"/>
        <w:ind w:firstLine="562" w:firstLineChars="200"/>
        <w:rPr>
          <w:rFonts w:hint="eastAsia" w:eastAsia="仿宋_GB2312"/>
          <w:color w:val="000000"/>
          <w:sz w:val="28"/>
          <w:szCs w:val="28"/>
          <w:lang w:val="en-US" w:eastAsia="zh-CN"/>
        </w:rPr>
      </w:pPr>
      <w:r>
        <w:rPr>
          <w:rFonts w:hint="eastAsia" w:eastAsia="仿宋_GB2312"/>
          <w:b/>
          <w:bCs/>
          <w:color w:val="000000"/>
          <w:sz w:val="28"/>
          <w:szCs w:val="28"/>
          <w:lang w:val="en-US" w:eastAsia="zh-CN"/>
        </w:rPr>
        <w:t>估价对象</w:t>
      </w:r>
      <w:r>
        <w:rPr>
          <w:rFonts w:hint="eastAsia" w:eastAsia="仿宋_GB2312"/>
          <w:color w:val="000000"/>
          <w:sz w:val="28"/>
          <w:szCs w:val="28"/>
          <w:lang w:val="en-US" w:eastAsia="zh-CN"/>
        </w:rPr>
        <w:t>：本报告估价对象为</w:t>
      </w:r>
      <w:r>
        <w:rPr>
          <w:rFonts w:hint="eastAsia" w:ascii="仿宋_GB2312" w:hAnsi="仿宋_GB2312" w:eastAsia="仿宋_GB2312" w:cs="仿宋_GB2312"/>
          <w:color w:val="000000"/>
          <w:sz w:val="28"/>
          <w:szCs w:val="28"/>
        </w:rPr>
        <w:t>被执行人</w:t>
      </w:r>
      <w:r>
        <w:rPr>
          <w:rFonts w:hint="eastAsia" w:ascii="仿宋_GB2312" w:hAnsi="仿宋_GB2312" w:eastAsia="仿宋_GB2312" w:cs="仿宋_GB2312"/>
          <w:color w:val="000000"/>
          <w:sz w:val="28"/>
          <w:szCs w:val="28"/>
          <w:lang w:val="en-US" w:eastAsia="zh-CN"/>
        </w:rPr>
        <w:t>何安龙所有的</w:t>
      </w:r>
      <w:r>
        <w:rPr>
          <w:rFonts w:hint="eastAsia" w:ascii="仿宋_GB2312" w:hAnsi="仿宋_GB2312" w:eastAsia="仿宋_GB2312" w:cs="仿宋_GB2312"/>
          <w:color w:val="000000"/>
          <w:sz w:val="28"/>
          <w:szCs w:val="28"/>
          <w:lang w:eastAsia="zh-CN"/>
        </w:rPr>
        <w:t>位于射阳县海通镇通兴东路南侧1幢1室的不动产</w:t>
      </w:r>
      <w:r>
        <w:rPr>
          <w:rFonts w:hint="eastAsia" w:ascii="仿宋_GB2312" w:hAnsi="仿宋_GB2312" w:eastAsia="仿宋_GB2312" w:cs="仿宋_GB2312"/>
          <w:color w:val="000000"/>
          <w:sz w:val="28"/>
          <w:szCs w:val="28"/>
          <w:lang w:val="en-US" w:eastAsia="zh-CN"/>
        </w:rPr>
        <w:t>。根据委托方提供的《射阳县不动产登记信息查询结果证明》、《射阳县不动产登记土地信息查询结果证明》等权属资料和</w:t>
      </w:r>
      <w:r>
        <w:rPr>
          <w:rFonts w:hint="eastAsia" w:eastAsia="仿宋_GB2312"/>
          <w:color w:val="000000"/>
          <w:sz w:val="28"/>
          <w:szCs w:val="28"/>
          <w:highlight w:val="none"/>
          <w:lang w:val="en-US" w:eastAsia="zh-CN"/>
        </w:rPr>
        <w:t>本机构对估价对象的房屋实际测量的结果</w:t>
      </w:r>
      <w:r>
        <w:rPr>
          <w:rFonts w:hint="eastAsia" w:ascii="仿宋_GB2312" w:hAnsi="仿宋_GB2312" w:eastAsia="仿宋_GB2312" w:cs="仿宋_GB2312"/>
          <w:color w:val="000000"/>
          <w:sz w:val="28"/>
          <w:szCs w:val="28"/>
          <w:lang w:val="en-US" w:eastAsia="zh-CN"/>
        </w:rPr>
        <w:t>，估价对象房屋</w:t>
      </w:r>
      <w:r>
        <w:rPr>
          <w:rFonts w:hint="eastAsia" w:eastAsia="仿宋_GB2312"/>
          <w:color w:val="000000"/>
          <w:sz w:val="28"/>
          <w:szCs w:val="28"/>
          <w:lang w:val="en-US" w:eastAsia="zh-CN"/>
        </w:rPr>
        <w:t>建筑面积合计为134.6㎡（其中确权房屋建筑面积96.00㎡，未确权房屋建筑面积约38.60㎡），房屋规划用途为住宅；</w:t>
      </w:r>
      <w:r>
        <w:rPr>
          <w:rFonts w:hint="eastAsia" w:eastAsia="仿宋_GB2312"/>
          <w:color w:val="auto"/>
          <w:sz w:val="28"/>
          <w:szCs w:val="28"/>
          <w:lang w:val="en-US" w:eastAsia="zh-CN"/>
        </w:rPr>
        <w:t>土地使用权面积为70.90㎡，土地类型为集体土地，</w:t>
      </w:r>
      <w:r>
        <w:rPr>
          <w:rFonts w:hint="eastAsia" w:eastAsia="仿宋_GB2312"/>
          <w:color w:val="000000"/>
          <w:sz w:val="28"/>
          <w:szCs w:val="28"/>
          <w:lang w:val="en-US" w:eastAsia="zh-CN"/>
        </w:rPr>
        <w:t>土地用途为农村宅基地</w:t>
      </w:r>
      <w:r>
        <w:rPr>
          <w:rFonts w:hint="eastAsia" w:eastAsia="仿宋_GB2312"/>
          <w:color w:val="auto"/>
          <w:sz w:val="28"/>
          <w:szCs w:val="28"/>
          <w:lang w:val="en-US" w:eastAsia="zh-CN"/>
        </w:rPr>
        <w:t>。</w:t>
      </w:r>
      <w:r>
        <w:rPr>
          <w:rFonts w:hint="eastAsia" w:eastAsia="仿宋_GB2312"/>
          <w:color w:val="000000"/>
          <w:sz w:val="28"/>
          <w:szCs w:val="28"/>
          <w:lang w:val="en-US" w:eastAsia="zh-CN"/>
        </w:rPr>
        <w:t>本报告估价对象的财产范围包括估价对象的房屋所有权（含未确权房屋）、集体土地使用权、室内装饰装修、估价对象可享有的配套设施及基础设施等地上附着物和室内可移动物品的价值。</w:t>
      </w:r>
    </w:p>
    <w:p>
      <w:pPr>
        <w:numPr>
          <w:ilvl w:val="0"/>
          <w:numId w:val="1"/>
        </w:numPr>
        <w:spacing w:line="500" w:lineRule="exact"/>
        <w:ind w:firstLine="562" w:firstLineChars="200"/>
        <w:rPr>
          <w:rFonts w:hint="eastAsia" w:eastAsia="仿宋_GB2312"/>
          <w:color w:val="000000"/>
          <w:sz w:val="28"/>
          <w:szCs w:val="28"/>
          <w:lang w:val="en-US" w:eastAsia="zh-CN"/>
        </w:rPr>
      </w:pPr>
      <w:r>
        <w:rPr>
          <w:rFonts w:hint="eastAsia" w:eastAsia="仿宋_GB2312"/>
          <w:b/>
          <w:bCs/>
          <w:color w:val="000000"/>
          <w:sz w:val="28"/>
          <w:szCs w:val="28"/>
          <w:lang w:val="en-US" w:eastAsia="zh-CN"/>
        </w:rPr>
        <w:t>价值时点</w:t>
      </w:r>
      <w:r>
        <w:rPr>
          <w:rFonts w:hint="eastAsia" w:eastAsia="仿宋_GB2312"/>
          <w:color w:val="000000"/>
          <w:sz w:val="28"/>
          <w:szCs w:val="28"/>
          <w:lang w:val="en-US" w:eastAsia="zh-CN"/>
        </w:rPr>
        <w:t>：2022年08月18日</w:t>
      </w:r>
    </w:p>
    <w:p>
      <w:pPr>
        <w:numPr>
          <w:ilvl w:val="0"/>
          <w:numId w:val="1"/>
        </w:numPr>
        <w:spacing w:line="500" w:lineRule="exact"/>
        <w:ind w:firstLine="562" w:firstLineChars="200"/>
        <w:rPr>
          <w:rFonts w:hint="eastAsia" w:eastAsia="仿宋_GB2312"/>
          <w:color w:val="000000"/>
          <w:sz w:val="28"/>
          <w:szCs w:val="28"/>
          <w:lang w:val="en-US" w:eastAsia="zh-CN"/>
        </w:rPr>
      </w:pPr>
      <w:r>
        <w:rPr>
          <w:rFonts w:hint="eastAsia" w:eastAsia="仿宋_GB2312"/>
          <w:b/>
          <w:bCs/>
          <w:color w:val="000000"/>
          <w:sz w:val="28"/>
          <w:szCs w:val="28"/>
          <w:lang w:val="en-US" w:eastAsia="zh-CN"/>
        </w:rPr>
        <w:t>价值类型</w:t>
      </w:r>
      <w:r>
        <w:rPr>
          <w:rFonts w:hint="eastAsia" w:eastAsia="仿宋_GB2312"/>
          <w:color w:val="000000"/>
          <w:sz w:val="28"/>
          <w:szCs w:val="28"/>
          <w:lang w:val="en-US" w:eastAsia="zh-CN"/>
        </w:rPr>
        <w:t>：市场价值</w:t>
      </w:r>
    </w:p>
    <w:p>
      <w:pPr>
        <w:numPr>
          <w:ilvl w:val="0"/>
          <w:numId w:val="1"/>
        </w:numPr>
        <w:spacing w:line="500" w:lineRule="exact"/>
        <w:ind w:firstLine="562" w:firstLineChars="200"/>
        <w:rPr>
          <w:rFonts w:hint="eastAsia" w:eastAsia="仿宋_GB2312"/>
          <w:color w:val="000000"/>
          <w:sz w:val="28"/>
          <w:szCs w:val="28"/>
          <w:lang w:val="en-US" w:eastAsia="zh-CN"/>
        </w:rPr>
      </w:pPr>
      <w:r>
        <w:rPr>
          <w:rFonts w:hint="eastAsia" w:eastAsia="仿宋_GB2312"/>
          <w:b/>
          <w:bCs/>
          <w:color w:val="000000"/>
          <w:sz w:val="28"/>
          <w:szCs w:val="28"/>
          <w:lang w:val="en-US" w:eastAsia="zh-CN"/>
        </w:rPr>
        <w:t>估价方法</w:t>
      </w:r>
      <w:r>
        <w:rPr>
          <w:rFonts w:hint="eastAsia" w:eastAsia="仿宋_GB2312"/>
          <w:color w:val="000000"/>
          <w:sz w:val="28"/>
          <w:szCs w:val="28"/>
          <w:lang w:val="en-US" w:eastAsia="zh-CN"/>
        </w:rPr>
        <w:t>：成本法</w:t>
      </w:r>
    </w:p>
    <w:p>
      <w:pPr>
        <w:numPr>
          <w:ilvl w:val="0"/>
          <w:numId w:val="0"/>
        </w:numPr>
        <w:spacing w:line="500" w:lineRule="exact"/>
        <w:ind w:firstLine="560" w:firstLineChars="200"/>
        <w:rPr>
          <w:rFonts w:hint="eastAsia" w:ascii="仿宋_GB2312" w:hAnsi="仿宋_GB2312" w:eastAsia="仿宋_GB2312" w:cs="仿宋_GB2312"/>
          <w:b/>
          <w:bCs/>
          <w:color w:val="000000"/>
          <w:sz w:val="28"/>
          <w:szCs w:val="28"/>
          <w:lang w:val="en-US" w:eastAsia="zh-CN"/>
        </w:rPr>
      </w:pPr>
      <w:r>
        <w:rPr>
          <w:rFonts w:hint="eastAsia" w:eastAsia="仿宋_GB2312"/>
          <w:b w:val="0"/>
          <w:bCs w:val="0"/>
          <w:color w:val="000000"/>
          <w:sz w:val="28"/>
          <w:szCs w:val="28"/>
          <w:lang w:val="en-US" w:eastAsia="zh-CN"/>
        </w:rPr>
        <w:t>6、</w:t>
      </w:r>
      <w:r>
        <w:rPr>
          <w:rFonts w:hint="eastAsia" w:eastAsia="仿宋_GB2312"/>
          <w:b/>
          <w:bCs/>
          <w:color w:val="000000"/>
          <w:sz w:val="28"/>
          <w:szCs w:val="28"/>
          <w:lang w:val="en-US" w:eastAsia="zh-CN"/>
        </w:rPr>
        <w:t>估价结果</w:t>
      </w:r>
      <w:r>
        <w:rPr>
          <w:rFonts w:hint="eastAsia" w:eastAsia="仿宋_GB2312"/>
          <w:color w:val="000000"/>
          <w:sz w:val="28"/>
          <w:szCs w:val="28"/>
          <w:lang w:val="en-US" w:eastAsia="zh-CN"/>
        </w:rPr>
        <w:t>：在本报告的价值类型与假设限制条件下，确定估价对象于价值时点的市场价值为</w:t>
      </w:r>
      <w:r>
        <w:rPr>
          <w:rFonts w:hint="eastAsia" w:eastAsia="仿宋_GB2312"/>
          <w:b/>
          <w:bCs/>
          <w:color w:val="auto"/>
          <w:sz w:val="28"/>
          <w:szCs w:val="28"/>
          <w:lang w:val="en-US" w:eastAsia="zh-CN"/>
        </w:rPr>
        <w:t>¥22.71</w:t>
      </w:r>
      <w:r>
        <w:rPr>
          <w:rFonts w:hint="eastAsia" w:eastAsia="仿宋_GB2312"/>
          <w:color w:val="auto"/>
          <w:sz w:val="28"/>
          <w:szCs w:val="28"/>
          <w:lang w:val="en-US" w:eastAsia="zh-CN"/>
        </w:rPr>
        <w:t>万元（其中房地产评估价值为¥22.41万元，室内可移动物品评估价值为¥0.30万元）（大写）人民币</w:t>
      </w:r>
      <w:r>
        <w:rPr>
          <w:rFonts w:hint="eastAsia" w:eastAsia="仿宋_GB2312"/>
          <w:b/>
          <w:bCs/>
          <w:color w:val="auto"/>
          <w:sz w:val="28"/>
          <w:szCs w:val="28"/>
          <w:lang w:val="en-US" w:eastAsia="zh-CN"/>
        </w:rPr>
        <w:t>贰拾贰万柒仟壹佰</w:t>
      </w:r>
      <w:r>
        <w:rPr>
          <w:rFonts w:hint="eastAsia" w:eastAsia="仿宋_GB2312"/>
          <w:color w:val="auto"/>
          <w:sz w:val="28"/>
          <w:szCs w:val="28"/>
          <w:lang w:val="en-US" w:eastAsia="zh-CN"/>
        </w:rPr>
        <w:t>元整。</w:t>
      </w:r>
      <w:r>
        <w:rPr>
          <w:rFonts w:hint="eastAsia" w:eastAsia="仿宋_GB2312"/>
          <w:color w:val="auto"/>
          <w:sz w:val="28"/>
          <w:szCs w:val="28"/>
          <w:vertAlign w:val="baseline"/>
          <w:lang w:val="en-US" w:eastAsia="zh-CN"/>
        </w:rPr>
        <w:t>估价结果详见表-4、表-5</w:t>
      </w:r>
      <w:r>
        <w:rPr>
          <w:rFonts w:hint="eastAsia" w:eastAsia="仿宋_GB2312"/>
          <w:color w:val="000000"/>
          <w:sz w:val="28"/>
          <w:szCs w:val="28"/>
          <w:vertAlign w:val="baseline"/>
          <w:lang w:val="en-US" w:eastAsia="zh-CN"/>
        </w:rPr>
        <w:t>。</w:t>
      </w:r>
    </w:p>
    <w:p>
      <w:pPr>
        <w:numPr>
          <w:ilvl w:val="0"/>
          <w:numId w:val="0"/>
        </w:numPr>
        <w:spacing w:line="500" w:lineRule="exact"/>
        <w:ind w:firstLine="560" w:firstLineChars="200"/>
        <w:rPr>
          <w:rFonts w:hint="eastAsia" w:eastAsia="仿宋_GB2312"/>
          <w:color w:val="000000"/>
          <w:sz w:val="28"/>
          <w:szCs w:val="28"/>
          <w:lang w:val="en-US" w:eastAsia="zh-CN"/>
        </w:rPr>
      </w:pPr>
      <w:r>
        <w:rPr>
          <w:rFonts w:hint="eastAsia" w:eastAsia="仿宋_GB2312"/>
          <w:b w:val="0"/>
          <w:bCs w:val="0"/>
          <w:color w:val="000000"/>
          <w:sz w:val="28"/>
          <w:szCs w:val="28"/>
          <w:lang w:val="en-US" w:eastAsia="zh-CN"/>
        </w:rPr>
        <w:t>7、</w:t>
      </w:r>
      <w:r>
        <w:rPr>
          <w:rFonts w:hint="eastAsia" w:eastAsia="仿宋_GB2312"/>
          <w:b/>
          <w:bCs/>
          <w:color w:val="000000"/>
          <w:sz w:val="28"/>
          <w:szCs w:val="28"/>
          <w:lang w:val="en-US" w:eastAsia="zh-CN"/>
        </w:rPr>
        <w:t>特别提示</w:t>
      </w:r>
      <w:r>
        <w:rPr>
          <w:rFonts w:hint="eastAsia" w:eastAsia="仿宋_GB2312"/>
          <w:color w:val="000000"/>
          <w:sz w:val="28"/>
          <w:szCs w:val="28"/>
          <w:lang w:val="en-US" w:eastAsia="zh-CN"/>
        </w:rPr>
        <w:t>：</w:t>
      </w:r>
    </w:p>
    <w:p>
      <w:pPr>
        <w:numPr>
          <w:ilvl w:val="0"/>
          <w:numId w:val="0"/>
        </w:numPr>
        <w:spacing w:line="500" w:lineRule="exact"/>
        <w:ind w:firstLine="560"/>
        <w:rPr>
          <w:rFonts w:hint="eastAsia" w:eastAsia="仿宋_GB2312"/>
          <w:color w:val="000000"/>
          <w:sz w:val="28"/>
          <w:szCs w:val="28"/>
          <w:lang w:val="en-US" w:eastAsia="zh-CN"/>
        </w:rPr>
      </w:pPr>
      <w:r>
        <w:rPr>
          <w:rFonts w:hint="eastAsia" w:eastAsia="仿宋_GB2312"/>
          <w:color w:val="000000"/>
          <w:sz w:val="28"/>
          <w:szCs w:val="28"/>
          <w:lang w:val="en-US" w:eastAsia="zh-CN"/>
        </w:rPr>
        <w:t>7.1本函为估价报告的摘要，与估价报告全文是一个有机整体，报告使用方应完整阅读、正确理解、规范使用本报告。</w:t>
      </w:r>
    </w:p>
    <w:p>
      <w:pPr>
        <w:numPr>
          <w:ilvl w:val="0"/>
          <w:numId w:val="0"/>
        </w:num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7.2本函及本报告的专业意见受本报告载明的估价目的、估价对象状况、价值时点、价值类型、假设与限制条件的制约。当估价目的、估价对象状况、价值时点、价值类型、假设与限制条件与本报告载明的不一致，不能使用本报告的专业意见，否则法律后果自负。</w:t>
      </w:r>
    </w:p>
    <w:p>
      <w:pPr>
        <w:numPr>
          <w:ilvl w:val="0"/>
          <w:numId w:val="0"/>
        </w:num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7.3估价对象未确权部分的房屋面积暂以本机构的测量结果为依据，本次测量结果不作为办理产权证书的依据，实际数量如有出入，应据实调整。</w:t>
      </w:r>
    </w:p>
    <w:p>
      <w:pPr>
        <w:numPr>
          <w:ilvl w:val="0"/>
          <w:numId w:val="0"/>
        </w:numPr>
        <w:spacing w:line="500" w:lineRule="exact"/>
        <w:ind w:firstLine="560" w:firstLineChars="200"/>
        <w:rPr>
          <w:rFonts w:hint="default" w:eastAsia="仿宋_GB2312"/>
          <w:color w:val="000000"/>
          <w:sz w:val="28"/>
          <w:szCs w:val="28"/>
          <w:lang w:val="en-US" w:eastAsia="zh-CN"/>
        </w:rPr>
      </w:pPr>
      <w:r>
        <w:rPr>
          <w:rFonts w:hint="eastAsia" w:eastAsia="仿宋_GB2312"/>
          <w:color w:val="000000"/>
          <w:sz w:val="28"/>
          <w:szCs w:val="28"/>
          <w:lang w:val="en-US" w:eastAsia="zh-CN"/>
        </w:rPr>
        <w:t>7.4估价对象土地用途为农村宅基地，根据《中华人民共和国民法典》、《中华人民共和国土地管理法》相关规定，农村宅基地所有权为集体，使用权流转须在本集体经济组织内部进行，只有符合资格取得集体土地并符合一户一宅条件的本村村民才能购买，敬请报告使用人注意。</w:t>
      </w:r>
    </w:p>
    <w:p>
      <w:pPr>
        <w:numPr>
          <w:ilvl w:val="0"/>
          <w:numId w:val="0"/>
        </w:num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7.5本估价报告应用有效期自报告出具之日起壹年内有效。</w:t>
      </w:r>
    </w:p>
    <w:p>
      <w:pPr>
        <w:numPr>
          <w:ilvl w:val="0"/>
          <w:numId w:val="0"/>
        </w:numPr>
        <w:spacing w:line="500" w:lineRule="exact"/>
        <w:ind w:firstLine="560"/>
        <w:rPr>
          <w:rFonts w:hint="eastAsia" w:eastAsia="仿宋_GB2312"/>
          <w:color w:val="000000"/>
          <w:sz w:val="28"/>
          <w:szCs w:val="28"/>
          <w:lang w:val="en-US" w:eastAsia="zh-CN"/>
        </w:rPr>
      </w:pPr>
      <w:r>
        <w:rPr>
          <w:rFonts w:hint="eastAsia" w:eastAsia="仿宋_GB2312"/>
          <w:color w:val="000000"/>
          <w:sz w:val="28"/>
          <w:szCs w:val="28"/>
          <w:lang w:val="en-US" w:eastAsia="zh-CN"/>
        </w:rPr>
        <w:t>7.6自价值时点后，估价报告有效期内，如估价对象状况发生变化，估价对象类似房地产的市场状况发生较大幅度变化，不能直接使用本报告专业意见，应提请估价机构对本报告做相应调整或重新出具报告。</w:t>
      </w:r>
    </w:p>
    <w:p>
      <w:pPr>
        <w:numPr>
          <w:ilvl w:val="0"/>
          <w:numId w:val="0"/>
        </w:numPr>
        <w:spacing w:line="500" w:lineRule="exact"/>
        <w:ind w:firstLine="560"/>
        <w:rPr>
          <w:rFonts w:hint="eastAsia" w:eastAsia="仿宋_GB2312"/>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560" w:firstLine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 xml:space="preserve">               江苏万方源土地房地产评估测绘咨询有限公司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560" w:firstLine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 xml:space="preserve">               法定代表人（签名或盖章）：</w:t>
      </w:r>
    </w:p>
    <w:p>
      <w:pPr>
        <w:numPr>
          <w:ilvl w:val="0"/>
          <w:numId w:val="0"/>
        </w:numPr>
        <w:spacing w:line="500" w:lineRule="exact"/>
        <w:ind w:firstLine="560"/>
        <w:rPr>
          <w:rFonts w:hint="eastAsia" w:eastAsia="仿宋_GB2312"/>
          <w:color w:val="000000"/>
          <w:sz w:val="28"/>
          <w:szCs w:val="28"/>
          <w:lang w:val="en-US" w:eastAsia="zh-CN"/>
        </w:rPr>
      </w:pPr>
      <w:r>
        <w:rPr>
          <w:rFonts w:hint="eastAsia" w:eastAsia="仿宋_GB2312"/>
          <w:color w:val="000000"/>
          <w:sz w:val="28"/>
          <w:szCs w:val="28"/>
          <w:lang w:val="en-US" w:eastAsia="zh-CN"/>
        </w:rPr>
        <w:t xml:space="preserve">                 </w:t>
      </w:r>
    </w:p>
    <w:p>
      <w:pPr>
        <w:numPr>
          <w:ilvl w:val="0"/>
          <w:numId w:val="0"/>
        </w:numPr>
        <w:spacing w:line="500" w:lineRule="exact"/>
        <w:ind w:firstLine="560"/>
        <w:rPr>
          <w:rFonts w:hint="eastAsia" w:eastAsia="仿宋_GB2312"/>
          <w:color w:val="000000"/>
          <w:sz w:val="28"/>
          <w:szCs w:val="28"/>
          <w:lang w:val="en-US" w:eastAsia="zh-CN"/>
        </w:rPr>
      </w:pPr>
      <w:r>
        <w:rPr>
          <w:rFonts w:hint="eastAsia" w:eastAsia="仿宋_GB2312"/>
          <w:color w:val="000000"/>
          <w:sz w:val="28"/>
          <w:szCs w:val="28"/>
          <w:lang w:val="en-US" w:eastAsia="zh-CN"/>
        </w:rPr>
        <w:t xml:space="preserve">                                       2022年9月6日</w:t>
      </w:r>
    </w:p>
    <w:p>
      <w:pPr>
        <w:spacing w:line="500" w:lineRule="exact"/>
        <w:jc w:val="both"/>
        <w:rPr>
          <w:rFonts w:hint="eastAsia" w:eastAsia="黑体"/>
          <w:b/>
          <w:color w:val="000000"/>
          <w:sz w:val="36"/>
          <w:szCs w:val="36"/>
        </w:rPr>
      </w:pPr>
    </w:p>
    <w:p>
      <w:pPr>
        <w:spacing w:line="500" w:lineRule="exact"/>
        <w:jc w:val="both"/>
        <w:rPr>
          <w:rFonts w:hint="eastAsia" w:eastAsia="黑体"/>
          <w:b/>
          <w:color w:val="000000"/>
          <w:sz w:val="32"/>
          <w:szCs w:val="32"/>
        </w:rPr>
      </w:pPr>
    </w:p>
    <w:p>
      <w:pPr>
        <w:spacing w:line="500" w:lineRule="exact"/>
        <w:jc w:val="both"/>
        <w:rPr>
          <w:rFonts w:hint="eastAsia" w:eastAsia="黑体"/>
          <w:b/>
          <w:color w:val="000000"/>
          <w:sz w:val="44"/>
          <w:szCs w:val="44"/>
          <w:lang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eastAsia="黑体"/>
          <w:b/>
          <w:color w:val="000000"/>
          <w:sz w:val="36"/>
          <w:szCs w:val="36"/>
          <w:lang w:val="en-US" w:eastAsia="zh-CN"/>
        </w:rPr>
        <w:t xml:space="preserve">                                                                                                                                                                                                                                                                                                                                                                                                                                                                                                                                                                          </w:t>
      </w:r>
    </w:p>
    <w:p>
      <w:pPr>
        <w:pStyle w:val="4"/>
        <w:tabs>
          <w:tab w:val="right" w:leader="dot" w:pos="8306"/>
        </w:tabs>
        <w:jc w:val="center"/>
        <w:rPr>
          <w:rFonts w:hint="eastAsia" w:eastAsia="黑体"/>
          <w:b/>
          <w:color w:val="000000"/>
          <w:sz w:val="44"/>
          <w:szCs w:val="44"/>
          <w:lang w:eastAsia="zh-CN"/>
        </w:rPr>
      </w:pPr>
    </w:p>
    <w:p>
      <w:pPr>
        <w:pStyle w:val="4"/>
        <w:tabs>
          <w:tab w:val="right" w:leader="dot" w:pos="8306"/>
        </w:tabs>
        <w:jc w:val="center"/>
        <w:rPr>
          <w:rFonts w:hint="eastAsia" w:eastAsia="黑体"/>
          <w:b/>
          <w:color w:val="000000"/>
          <w:sz w:val="44"/>
          <w:szCs w:val="44"/>
          <w:lang w:eastAsia="zh-CN"/>
        </w:rPr>
      </w:pPr>
      <w:r>
        <w:rPr>
          <w:rFonts w:hint="eastAsia" w:eastAsia="黑体"/>
          <w:b/>
          <w:color w:val="000000"/>
          <w:sz w:val="44"/>
          <w:szCs w:val="44"/>
          <w:lang w:eastAsia="zh-CN"/>
        </w:rPr>
        <w:t>目</w:t>
      </w:r>
      <w:r>
        <w:rPr>
          <w:rFonts w:hint="eastAsia" w:eastAsia="黑体"/>
          <w:b/>
          <w:color w:val="000000"/>
          <w:sz w:val="44"/>
          <w:szCs w:val="44"/>
          <w:lang w:val="en-US" w:eastAsia="zh-CN"/>
        </w:rPr>
        <w:t xml:space="preserve">  </w:t>
      </w:r>
      <w:r>
        <w:rPr>
          <w:rFonts w:hint="eastAsia" w:eastAsia="黑体"/>
          <w:b/>
          <w:color w:val="000000"/>
          <w:sz w:val="44"/>
          <w:szCs w:val="44"/>
          <w:lang w:eastAsia="zh-CN"/>
        </w:rPr>
        <w:t>录</w:t>
      </w:r>
    </w:p>
    <w:p>
      <w:pPr>
        <w:rPr>
          <w:rFonts w:hint="eastAsia"/>
          <w:lang w:eastAsia="zh-CN"/>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eastAsia="黑体"/>
          <w:b/>
          <w:color w:val="000000"/>
          <w:sz w:val="28"/>
          <w:szCs w:val="28"/>
        </w:rPr>
        <w:fldChar w:fldCharType="begin"/>
      </w:r>
      <w:r>
        <w:rPr>
          <w:rFonts w:hint="eastAsia" w:eastAsia="黑体"/>
          <w:b/>
          <w:color w:val="000000"/>
          <w:sz w:val="28"/>
          <w:szCs w:val="28"/>
        </w:rPr>
        <w:instrText xml:space="preserve">TOC \o "1-3" \h \u </w:instrText>
      </w:r>
      <w:r>
        <w:rPr>
          <w:rFonts w:hint="eastAsia" w:eastAsia="黑体"/>
          <w:b/>
          <w:color w:val="000000"/>
          <w:sz w:val="28"/>
          <w:szCs w:val="28"/>
        </w:rPr>
        <w:fldChar w:fldCharType="separate"/>
      </w: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_Toc2813 </w:instrText>
      </w:r>
      <w:r>
        <w:rPr>
          <w:rFonts w:hint="eastAsia" w:ascii="仿宋" w:hAnsi="仿宋" w:eastAsia="仿宋" w:cs="仿宋"/>
          <w:b w:val="0"/>
          <w:bCs/>
          <w:sz w:val="28"/>
          <w:szCs w:val="28"/>
        </w:rPr>
        <w:fldChar w:fldCharType="separate"/>
      </w:r>
      <w:r>
        <w:rPr>
          <w:rFonts w:hint="eastAsia" w:ascii="仿宋" w:hAnsi="仿宋" w:eastAsia="仿宋" w:cs="仿宋"/>
          <w:b w:val="0"/>
          <w:bCs/>
          <w:spacing w:val="0"/>
          <w:sz w:val="28"/>
          <w:szCs w:val="28"/>
          <w:lang w:eastAsia="zh-CN"/>
        </w:rPr>
        <w:t>第一部分</w:t>
      </w:r>
      <w:r>
        <w:rPr>
          <w:rFonts w:hint="eastAsia" w:ascii="仿宋" w:hAnsi="仿宋" w:eastAsia="仿宋" w:cs="仿宋"/>
          <w:b w:val="0"/>
          <w:bCs/>
          <w:spacing w:val="0"/>
          <w:sz w:val="28"/>
          <w:szCs w:val="28"/>
          <w:lang w:val="en-US" w:eastAsia="zh-CN"/>
        </w:rPr>
        <w:t xml:space="preserve">  </w:t>
      </w:r>
      <w:r>
        <w:rPr>
          <w:rFonts w:hint="eastAsia" w:ascii="仿宋" w:hAnsi="仿宋" w:eastAsia="仿宋" w:cs="仿宋"/>
          <w:b w:val="0"/>
          <w:bCs/>
          <w:spacing w:val="0"/>
          <w:sz w:val="28"/>
          <w:szCs w:val="28"/>
          <w:lang w:eastAsia="zh-CN"/>
        </w:rPr>
        <w:t>房地产</w:t>
      </w:r>
      <w:r>
        <w:rPr>
          <w:rFonts w:hint="eastAsia" w:ascii="仿宋" w:hAnsi="仿宋" w:eastAsia="仿宋" w:cs="仿宋"/>
          <w:b w:val="0"/>
          <w:bCs/>
          <w:spacing w:val="0"/>
          <w:sz w:val="28"/>
          <w:szCs w:val="28"/>
        </w:rPr>
        <w:t>估价师声明</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_Toc2813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1</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_Toc12534 </w:instrText>
      </w:r>
      <w:r>
        <w:rPr>
          <w:rFonts w:hint="eastAsia" w:ascii="仿宋" w:hAnsi="仿宋" w:eastAsia="仿宋" w:cs="仿宋"/>
          <w:b w:val="0"/>
          <w:bCs/>
          <w:sz w:val="28"/>
          <w:szCs w:val="28"/>
        </w:rPr>
        <w:fldChar w:fldCharType="separate"/>
      </w:r>
      <w:r>
        <w:rPr>
          <w:rFonts w:hint="eastAsia" w:ascii="仿宋" w:hAnsi="仿宋" w:eastAsia="仿宋" w:cs="仿宋"/>
          <w:b w:val="0"/>
          <w:bCs/>
          <w:spacing w:val="0"/>
          <w:sz w:val="28"/>
          <w:szCs w:val="28"/>
          <w:lang w:val="en-US" w:eastAsia="zh-CN"/>
        </w:rPr>
        <w:t xml:space="preserve">第二部分  </w:t>
      </w:r>
      <w:r>
        <w:rPr>
          <w:rFonts w:hint="eastAsia" w:ascii="仿宋" w:hAnsi="仿宋" w:eastAsia="仿宋" w:cs="仿宋"/>
          <w:b w:val="0"/>
          <w:bCs/>
          <w:spacing w:val="0"/>
          <w:sz w:val="28"/>
          <w:szCs w:val="28"/>
        </w:rPr>
        <w:t>估价的假设和限制条件</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_Toc12534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2</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_Toc11262 </w:instrText>
      </w:r>
      <w:r>
        <w:rPr>
          <w:rFonts w:hint="eastAsia" w:ascii="仿宋" w:hAnsi="仿宋" w:eastAsia="仿宋" w:cs="仿宋"/>
          <w:b w:val="0"/>
          <w:bCs/>
          <w:sz w:val="28"/>
          <w:szCs w:val="28"/>
        </w:rPr>
        <w:fldChar w:fldCharType="separate"/>
      </w:r>
      <w:r>
        <w:rPr>
          <w:rFonts w:hint="eastAsia" w:ascii="仿宋" w:hAnsi="仿宋" w:eastAsia="仿宋" w:cs="仿宋"/>
          <w:b w:val="0"/>
          <w:bCs/>
          <w:spacing w:val="0"/>
          <w:sz w:val="28"/>
          <w:szCs w:val="28"/>
          <w:lang w:eastAsia="zh-CN"/>
        </w:rPr>
        <w:t>第三部分</w:t>
      </w:r>
      <w:r>
        <w:rPr>
          <w:rFonts w:hint="eastAsia" w:ascii="仿宋" w:hAnsi="仿宋" w:eastAsia="仿宋" w:cs="仿宋"/>
          <w:b w:val="0"/>
          <w:bCs/>
          <w:spacing w:val="0"/>
          <w:sz w:val="28"/>
          <w:szCs w:val="28"/>
          <w:lang w:val="en-US" w:eastAsia="zh-CN"/>
        </w:rPr>
        <w:t xml:space="preserve">  </w:t>
      </w:r>
      <w:r>
        <w:rPr>
          <w:rFonts w:hint="eastAsia" w:ascii="仿宋" w:hAnsi="仿宋" w:eastAsia="仿宋" w:cs="仿宋"/>
          <w:b w:val="0"/>
          <w:bCs/>
          <w:spacing w:val="0"/>
          <w:sz w:val="28"/>
          <w:szCs w:val="28"/>
        </w:rPr>
        <w:t>房地产估价结果报告</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_Toc11262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6</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_Toc1986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一、</w:t>
      </w:r>
      <w:r>
        <w:rPr>
          <w:rFonts w:hint="eastAsia" w:ascii="仿宋" w:hAnsi="仿宋" w:eastAsia="仿宋" w:cs="仿宋"/>
          <w:b w:val="0"/>
          <w:bCs/>
          <w:sz w:val="28"/>
          <w:szCs w:val="28"/>
          <w:lang w:eastAsia="zh-CN"/>
        </w:rPr>
        <w:t>估价委托人</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_Toc1986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6</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_Toc4817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lang w:eastAsia="zh-CN"/>
        </w:rPr>
        <w:t>二、房地产估价机构</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_Toc4817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6</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_Toc28127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lang w:eastAsia="zh-CN"/>
        </w:rPr>
        <w:t>三、估价目的</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_Toc28127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6</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_Toc23411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四、估价对象</w:t>
      </w:r>
      <w:r>
        <w:rPr>
          <w:rFonts w:hint="eastAsia" w:ascii="仿宋" w:hAnsi="仿宋" w:eastAsia="仿宋" w:cs="仿宋"/>
          <w:b w:val="0"/>
          <w:bCs/>
          <w:sz w:val="28"/>
          <w:szCs w:val="28"/>
        </w:rPr>
        <w:tab/>
      </w:r>
      <w:r>
        <w:rPr>
          <w:rFonts w:hint="eastAsia" w:ascii="仿宋" w:hAnsi="仿宋" w:eastAsia="仿宋" w:cs="仿宋"/>
          <w:b w:val="0"/>
          <w:bCs/>
          <w:sz w:val="28"/>
          <w:szCs w:val="28"/>
        </w:rPr>
        <w:fldChar w:fldCharType="begin"/>
      </w:r>
      <w:r>
        <w:rPr>
          <w:rFonts w:hint="eastAsia" w:ascii="仿宋" w:hAnsi="仿宋" w:eastAsia="仿宋" w:cs="仿宋"/>
          <w:b w:val="0"/>
          <w:bCs/>
          <w:sz w:val="28"/>
          <w:szCs w:val="28"/>
        </w:rPr>
        <w:instrText xml:space="preserve"> PAGEREF _Toc23411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6</w:t>
      </w:r>
      <w:r>
        <w:rPr>
          <w:rFonts w:hint="eastAsia" w:ascii="仿宋" w:hAnsi="仿宋" w:eastAsia="仿宋" w:cs="仿宋"/>
          <w:b w:val="0"/>
          <w:bCs/>
          <w:sz w:val="28"/>
          <w:szCs w:val="28"/>
        </w:rPr>
        <w:fldChar w:fldCharType="end"/>
      </w:r>
      <w:r>
        <w:rPr>
          <w:rFonts w:hint="eastAsia" w:ascii="仿宋" w:hAnsi="仿宋" w:eastAsia="仿宋" w:cs="仿宋"/>
          <w:b w:val="0"/>
          <w:bCs/>
          <w:color w:val="000000"/>
          <w:sz w:val="28"/>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_Toc1541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五、</w:t>
      </w:r>
      <w:r>
        <w:rPr>
          <w:rFonts w:hint="eastAsia" w:ascii="仿宋" w:hAnsi="仿宋" w:eastAsia="仿宋" w:cs="仿宋"/>
          <w:b w:val="0"/>
          <w:bCs/>
          <w:sz w:val="28"/>
          <w:szCs w:val="28"/>
          <w:lang w:eastAsia="zh-CN"/>
        </w:rPr>
        <w:t>价值</w:t>
      </w:r>
      <w:r>
        <w:rPr>
          <w:rFonts w:hint="eastAsia" w:ascii="仿宋" w:hAnsi="仿宋" w:eastAsia="仿宋" w:cs="仿宋"/>
          <w:b w:val="0"/>
          <w:bCs/>
          <w:sz w:val="28"/>
          <w:szCs w:val="28"/>
        </w:rPr>
        <w:t>时点</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1</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1</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_Toc28411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六、价值</w:t>
      </w:r>
      <w:r>
        <w:rPr>
          <w:rFonts w:hint="eastAsia" w:ascii="仿宋" w:hAnsi="仿宋" w:eastAsia="仿宋" w:cs="仿宋"/>
          <w:b w:val="0"/>
          <w:bCs/>
          <w:sz w:val="28"/>
          <w:szCs w:val="28"/>
          <w:lang w:eastAsia="zh-CN"/>
        </w:rPr>
        <w:t>类型</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1</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1</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_Toc238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lang w:eastAsia="zh-CN"/>
        </w:rPr>
        <w:t>七</w:t>
      </w:r>
      <w:r>
        <w:rPr>
          <w:rFonts w:hint="eastAsia" w:ascii="仿宋" w:hAnsi="仿宋" w:eastAsia="仿宋" w:cs="仿宋"/>
          <w:b w:val="0"/>
          <w:bCs/>
          <w:sz w:val="28"/>
          <w:szCs w:val="28"/>
        </w:rPr>
        <w:t>、估价原则</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1</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2</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_Toc18178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八、估价依据</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1</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3</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_Toc28979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九、估价方法</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1</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8</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_Toc25092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十、估价结果</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1</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9</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_Toc10357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十一、注册房地产估价师</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2</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1</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ascii="仿宋" w:hAnsi="仿宋" w:eastAsia="仿宋" w:cs="仿宋"/>
          <w:b w:val="0"/>
          <w:bCs/>
          <w:sz w:val="28"/>
          <w:szCs w:val="28"/>
          <w:lang w:val="en-US" w:eastAsia="zh-CN"/>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_Toc29539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十二、实地查勘期</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2</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1</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right="0" w:rightChars="0"/>
        <w:jc w:val="both"/>
        <w:textAlignment w:val="auto"/>
        <w:rPr>
          <w:rFonts w:hint="eastAsia" w:eastAsia="仿宋"/>
          <w:sz w:val="28"/>
          <w:szCs w:val="28"/>
          <w:lang w:val="en-US" w:eastAsia="zh-CN"/>
        </w:rPr>
      </w:pPr>
      <w:r>
        <w:rPr>
          <w:rFonts w:hint="eastAsia" w:ascii="仿宋" w:hAnsi="仿宋" w:eastAsia="仿宋" w:cs="仿宋"/>
          <w:b w:val="0"/>
          <w:bCs/>
          <w:color w:val="000000"/>
          <w:sz w:val="28"/>
          <w:szCs w:val="28"/>
        </w:rPr>
        <w:fldChar w:fldCharType="begin"/>
      </w:r>
      <w:r>
        <w:rPr>
          <w:rFonts w:hint="eastAsia" w:ascii="仿宋" w:hAnsi="仿宋" w:eastAsia="仿宋" w:cs="仿宋"/>
          <w:b w:val="0"/>
          <w:bCs/>
          <w:sz w:val="28"/>
          <w:szCs w:val="28"/>
        </w:rPr>
        <w:instrText xml:space="preserve"> HYPERLINK \l _Toc15627 </w:instrText>
      </w:r>
      <w:r>
        <w:rPr>
          <w:rFonts w:hint="eastAsia" w:ascii="仿宋" w:hAnsi="仿宋" w:eastAsia="仿宋" w:cs="仿宋"/>
          <w:b w:val="0"/>
          <w:bCs/>
          <w:sz w:val="28"/>
          <w:szCs w:val="28"/>
        </w:rPr>
        <w:fldChar w:fldCharType="separate"/>
      </w:r>
      <w:r>
        <w:rPr>
          <w:rFonts w:hint="eastAsia" w:ascii="仿宋" w:hAnsi="仿宋" w:eastAsia="仿宋" w:cs="仿宋"/>
          <w:b w:val="0"/>
          <w:bCs/>
          <w:sz w:val="28"/>
          <w:szCs w:val="28"/>
        </w:rPr>
        <w:t>十三、估价作业期</w:t>
      </w:r>
      <w:r>
        <w:rPr>
          <w:rFonts w:hint="eastAsia" w:ascii="仿宋" w:hAnsi="仿宋" w:eastAsia="仿宋" w:cs="仿宋"/>
          <w:b w:val="0"/>
          <w:bCs/>
          <w:sz w:val="28"/>
          <w:szCs w:val="28"/>
        </w:rPr>
        <w:tab/>
      </w:r>
      <w:r>
        <w:rPr>
          <w:rFonts w:hint="eastAsia" w:ascii="仿宋" w:hAnsi="仿宋" w:eastAsia="仿宋" w:cs="仿宋"/>
          <w:b w:val="0"/>
          <w:bCs/>
          <w:sz w:val="28"/>
          <w:szCs w:val="28"/>
          <w:lang w:val="en-US" w:eastAsia="zh-CN"/>
        </w:rPr>
        <w:t>2</w:t>
      </w:r>
      <w:r>
        <w:rPr>
          <w:rFonts w:hint="eastAsia" w:ascii="仿宋" w:hAnsi="仿宋" w:eastAsia="仿宋" w:cs="仿宋"/>
          <w:b w:val="0"/>
          <w:bCs/>
          <w:color w:val="000000"/>
          <w:sz w:val="28"/>
          <w:szCs w:val="28"/>
        </w:rPr>
        <w:fldChar w:fldCharType="end"/>
      </w:r>
      <w:r>
        <w:rPr>
          <w:rFonts w:hint="eastAsia" w:ascii="仿宋" w:hAnsi="仿宋" w:eastAsia="仿宋" w:cs="仿宋"/>
          <w:b w:val="0"/>
          <w:bCs/>
          <w:color w:val="000000"/>
          <w:sz w:val="28"/>
          <w:szCs w:val="28"/>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黑体"/>
          <w:b/>
          <w:color w:val="000000"/>
          <w:sz w:val="28"/>
          <w:szCs w:val="28"/>
        </w:rPr>
        <w:fldChar w:fldCharType="end"/>
      </w:r>
      <w:r>
        <w:rPr>
          <w:rFonts w:hint="eastAsia" w:eastAsia="仿宋_GB2312"/>
          <w:color w:val="000000"/>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一、《司法鉴定委托书》复印件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560" w:right="0" w:rightChars="0" w:hanging="560" w:hangingChars="20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二、</w:t>
      </w:r>
      <w:r>
        <w:rPr>
          <w:rFonts w:hint="eastAsia" w:ascii="仿宋_GB2312" w:hAnsi="仿宋_GB2312" w:eastAsia="仿宋_GB2312" w:cs="仿宋_GB2312"/>
          <w:color w:val="000000"/>
          <w:sz w:val="28"/>
          <w:szCs w:val="28"/>
          <w:lang w:val="en-US" w:eastAsia="zh-CN"/>
        </w:rPr>
        <w:t>《射阳县不动产登记信息查询结果证明》、《射阳县不动产登记土地信息查询结果证明》</w:t>
      </w:r>
      <w:r>
        <w:rPr>
          <w:rFonts w:hint="eastAsia" w:eastAsia="仿宋_GB2312"/>
          <w:color w:val="000000"/>
          <w:sz w:val="28"/>
          <w:szCs w:val="28"/>
          <w:lang w:val="en-US" w:eastAsia="zh-CN"/>
        </w:rPr>
        <w:t>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三、估价对象现场照片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四、估价对象位置图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五、房地产估价机构营业执照复印件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六、房地产估价机构备案证书复印件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eastAsia="仿宋_GB2312"/>
          <w:color w:val="000000"/>
          <w:sz w:val="28"/>
          <w:szCs w:val="28"/>
          <w:lang w:val="en-US" w:eastAsia="zh-CN"/>
        </w:rPr>
      </w:pPr>
      <w:r>
        <w:rPr>
          <w:rFonts w:hint="eastAsia" w:eastAsia="仿宋_GB2312"/>
          <w:color w:val="000000"/>
          <w:sz w:val="28"/>
          <w:szCs w:val="28"/>
          <w:lang w:val="en-US" w:eastAsia="zh-CN"/>
        </w:rPr>
        <w:t>七、注册房地产估价师估价资格证书复印件</w:t>
      </w:r>
    </w:p>
    <w:p>
      <w:pPr>
        <w:spacing w:line="500" w:lineRule="exact"/>
        <w:jc w:val="center"/>
        <w:rPr>
          <w:rFonts w:hint="eastAsia" w:eastAsia="仿宋_GB2312"/>
          <w:color w:val="000000"/>
          <w:sz w:val="28"/>
          <w:szCs w:val="28"/>
          <w:lang w:val="en-US" w:eastAsia="zh-CN"/>
        </w:rPr>
      </w:pPr>
    </w:p>
    <w:p>
      <w:pPr>
        <w:spacing w:line="500" w:lineRule="exact"/>
        <w:jc w:val="both"/>
        <w:rPr>
          <w:rFonts w:hint="eastAsia" w:eastAsia="黑体"/>
          <w:b/>
          <w:color w:val="000000"/>
          <w:spacing w:val="43"/>
          <w:sz w:val="44"/>
          <w:szCs w:val="44"/>
        </w:rPr>
      </w:pPr>
      <w:r>
        <w:rPr>
          <w:rFonts w:hint="eastAsia" w:eastAsia="仿宋_GB2312"/>
          <w:color w:val="000000"/>
          <w:sz w:val="28"/>
          <w:szCs w:val="28"/>
          <w:lang w:val="en-US" w:eastAsia="zh-CN"/>
        </w:rPr>
        <w:t xml:space="preserve">        </w:t>
      </w:r>
    </w:p>
    <w:p>
      <w:pPr>
        <w:spacing w:line="500" w:lineRule="exact"/>
        <w:jc w:val="center"/>
        <w:outlineLvl w:val="0"/>
        <w:rPr>
          <w:rFonts w:hint="eastAsia" w:eastAsia="黑体"/>
          <w:b/>
          <w:color w:val="000000"/>
          <w:spacing w:val="0"/>
          <w:sz w:val="32"/>
          <w:szCs w:val="32"/>
          <w:lang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0" w:name="_Toc21478"/>
    </w:p>
    <w:p>
      <w:pPr>
        <w:spacing w:line="500" w:lineRule="exact"/>
        <w:jc w:val="center"/>
        <w:outlineLvl w:val="0"/>
        <w:rPr>
          <w:rFonts w:hint="eastAsia" w:eastAsia="黑体"/>
          <w:b/>
          <w:color w:val="000000"/>
          <w:spacing w:val="0"/>
          <w:sz w:val="32"/>
          <w:szCs w:val="32"/>
          <w:lang w:eastAsia="zh-CN"/>
        </w:rPr>
      </w:pPr>
    </w:p>
    <w:p>
      <w:pPr>
        <w:spacing w:line="500" w:lineRule="exact"/>
        <w:jc w:val="center"/>
        <w:outlineLvl w:val="0"/>
        <w:rPr>
          <w:rFonts w:hint="eastAsia" w:eastAsia="黑体"/>
          <w:b/>
          <w:color w:val="000000"/>
          <w:spacing w:val="43"/>
          <w:sz w:val="44"/>
          <w:szCs w:val="44"/>
        </w:rPr>
      </w:pPr>
      <w:bookmarkStart w:id="1" w:name="_Toc2813"/>
      <w:r>
        <w:rPr>
          <w:rFonts w:hint="eastAsia" w:eastAsia="黑体"/>
          <w:b/>
          <w:color w:val="000000"/>
          <w:spacing w:val="0"/>
          <w:sz w:val="44"/>
          <w:szCs w:val="44"/>
          <w:lang w:eastAsia="zh-CN"/>
        </w:rPr>
        <w:t>第一部分</w:t>
      </w:r>
      <w:r>
        <w:rPr>
          <w:rFonts w:hint="eastAsia" w:eastAsia="黑体"/>
          <w:b/>
          <w:color w:val="000000"/>
          <w:spacing w:val="0"/>
          <w:sz w:val="44"/>
          <w:szCs w:val="44"/>
          <w:lang w:val="en-US" w:eastAsia="zh-CN"/>
        </w:rPr>
        <w:t xml:space="preserve"> </w:t>
      </w:r>
      <w:r>
        <w:rPr>
          <w:rFonts w:hint="eastAsia" w:eastAsia="黑体"/>
          <w:b/>
          <w:color w:val="000000"/>
          <w:spacing w:val="0"/>
          <w:sz w:val="44"/>
          <w:szCs w:val="44"/>
          <w:lang w:eastAsia="zh-CN"/>
        </w:rPr>
        <w:t>房地产</w:t>
      </w:r>
      <w:r>
        <w:rPr>
          <w:rFonts w:hint="eastAsia" w:eastAsia="黑体"/>
          <w:b/>
          <w:color w:val="000000"/>
          <w:spacing w:val="0"/>
          <w:sz w:val="44"/>
          <w:szCs w:val="44"/>
        </w:rPr>
        <w:t>估价师声明</w:t>
      </w:r>
      <w:bookmarkEnd w:id="0"/>
      <w:bookmarkEnd w:id="1"/>
    </w:p>
    <w:p>
      <w:pPr>
        <w:spacing w:line="500" w:lineRule="exact"/>
        <w:jc w:val="center"/>
        <w:outlineLvl w:val="0"/>
        <w:rPr>
          <w:rFonts w:hint="eastAsia" w:eastAsia="黑体"/>
          <w:b/>
          <w:color w:val="000000"/>
          <w:spacing w:val="43"/>
          <w:sz w:val="44"/>
          <w:szCs w:val="44"/>
        </w:rPr>
      </w:pPr>
    </w:p>
    <w:p>
      <w:pPr>
        <w:spacing w:line="5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本报告注册房地产估价师对其估价职业道德、专业胜任能力和勤勉尽责估价特作如下承诺和保证：</w:t>
      </w:r>
    </w:p>
    <w:p>
      <w:pPr>
        <w:numPr>
          <w:ilvl w:val="0"/>
          <w:numId w:val="2"/>
        </w:numPr>
        <w:spacing w:line="5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注册房地产估价师在估价报告中对事实的说明是真实和准确的，没有虚假记载、误导性陈述和重大遗漏。</w:t>
      </w:r>
    </w:p>
    <w:p>
      <w:pPr>
        <w:numPr>
          <w:ilvl w:val="0"/>
          <w:numId w:val="2"/>
        </w:numPr>
        <w:spacing w:line="5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估价报告中的分析、意见和结论是注册房地产估价师独立、客观、公正的专业分析、意见和结论，但受估价报告中已说明的假设和限制条件的限制。</w:t>
      </w:r>
    </w:p>
    <w:p>
      <w:pPr>
        <w:numPr>
          <w:ilvl w:val="0"/>
          <w:numId w:val="2"/>
        </w:numPr>
        <w:spacing w:line="5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注册房地产估价师与估价报告中的估价对象没有现实或潜在的利益，与估价委托人及估价利害关系人没有利害关系，也对估价对象、估价委托人及估价利害关系人没有偏见，并承诺对委托方提供的资料负有保密义务。</w:t>
      </w:r>
    </w:p>
    <w:p>
      <w:pPr>
        <w:spacing w:line="500" w:lineRule="exact"/>
        <w:ind w:firstLine="560" w:firstLineChars="200"/>
        <w:rPr>
          <w:rFonts w:eastAsia="仿宋_GB2312"/>
          <w:color w:val="000000"/>
          <w:sz w:val="28"/>
          <w:szCs w:val="28"/>
        </w:rPr>
      </w:pPr>
      <w:r>
        <w:rPr>
          <w:rFonts w:eastAsia="仿宋_GB2312"/>
          <w:color w:val="000000"/>
          <w:sz w:val="28"/>
          <w:szCs w:val="28"/>
        </w:rPr>
        <w:t>4、</w:t>
      </w:r>
      <w:r>
        <w:rPr>
          <w:rFonts w:hint="eastAsia" w:eastAsia="仿宋_GB2312"/>
          <w:color w:val="000000"/>
          <w:sz w:val="28"/>
          <w:szCs w:val="28"/>
          <w:lang w:eastAsia="zh-CN"/>
        </w:rPr>
        <w:t>我们依照国家标准</w:t>
      </w:r>
      <w:r>
        <w:rPr>
          <w:rFonts w:hint="eastAsia" w:eastAsia="仿宋_GB2312"/>
          <w:color w:val="000000"/>
          <w:sz w:val="28"/>
          <w:szCs w:val="28"/>
          <w:lang w:val="en-US" w:eastAsia="zh-CN"/>
        </w:rPr>
        <w:t>GB/T50291-2015《房地产估价规范》、</w:t>
      </w:r>
      <w:r>
        <w:rPr>
          <w:rFonts w:hint="eastAsia" w:eastAsia="仿宋_GB2312"/>
          <w:color w:val="000000"/>
          <w:sz w:val="28"/>
          <w:szCs w:val="28"/>
          <w:lang w:eastAsia="zh-CN"/>
        </w:rPr>
        <w:t>《房地产估价基本术语》</w:t>
      </w:r>
      <w:r>
        <w:rPr>
          <w:rFonts w:eastAsia="仿宋_GB2312"/>
          <w:color w:val="000000"/>
          <w:sz w:val="28"/>
          <w:szCs w:val="28"/>
        </w:rPr>
        <w:t>（GB/T50</w:t>
      </w:r>
      <w:r>
        <w:rPr>
          <w:rFonts w:hint="eastAsia" w:eastAsia="仿宋_GB2312"/>
          <w:color w:val="000000"/>
          <w:sz w:val="28"/>
          <w:szCs w:val="28"/>
          <w:lang w:val="en-US" w:eastAsia="zh-CN"/>
        </w:rPr>
        <w:t>899</w:t>
      </w:r>
      <w:r>
        <w:rPr>
          <w:rFonts w:hint="eastAsia" w:eastAsia="仿宋_GB2312"/>
          <w:color w:val="000000"/>
          <w:sz w:val="28"/>
          <w:szCs w:val="28"/>
        </w:rPr>
        <w:t>-</w:t>
      </w:r>
      <w:r>
        <w:rPr>
          <w:rFonts w:hint="eastAsia" w:eastAsia="仿宋_GB2312"/>
          <w:color w:val="000000"/>
          <w:sz w:val="28"/>
          <w:szCs w:val="28"/>
          <w:lang w:val="en-US" w:eastAsia="zh-CN"/>
        </w:rPr>
        <w:t>2013</w:t>
      </w:r>
      <w:r>
        <w:rPr>
          <w:rFonts w:eastAsia="仿宋_GB2312"/>
          <w:color w:val="000000"/>
          <w:sz w:val="28"/>
          <w:szCs w:val="28"/>
        </w:rPr>
        <w:t>）</w:t>
      </w:r>
      <w:r>
        <w:rPr>
          <w:rFonts w:hint="eastAsia" w:eastAsia="仿宋_GB2312"/>
          <w:color w:val="000000"/>
          <w:sz w:val="28"/>
          <w:szCs w:val="28"/>
          <w:lang w:val="en-US" w:eastAsia="zh-CN"/>
        </w:rPr>
        <w:t>进行分析，形成意见和结论，撰写本报告</w:t>
      </w:r>
      <w:r>
        <w:rPr>
          <w:rFonts w:eastAsia="仿宋_GB2312"/>
          <w:color w:val="000000"/>
          <w:sz w:val="28"/>
          <w:szCs w:val="28"/>
        </w:rPr>
        <w:t>。</w:t>
      </w:r>
    </w:p>
    <w:p>
      <w:pPr>
        <w:spacing w:line="500" w:lineRule="exact"/>
        <w:ind w:firstLine="560" w:firstLineChars="200"/>
        <w:rPr>
          <w:rFonts w:eastAsia="仿宋_GB2312"/>
          <w:color w:val="000000"/>
          <w:sz w:val="28"/>
          <w:szCs w:val="28"/>
        </w:rPr>
      </w:pPr>
      <w:r>
        <w:rPr>
          <w:rFonts w:eastAsia="仿宋_GB2312"/>
          <w:color w:val="000000"/>
          <w:sz w:val="28"/>
          <w:szCs w:val="28"/>
        </w:rPr>
        <w:t>5、</w:t>
      </w:r>
      <w:r>
        <w:rPr>
          <w:rFonts w:hint="eastAsia" w:eastAsia="仿宋_GB2312"/>
          <w:color w:val="000000"/>
          <w:sz w:val="28"/>
          <w:szCs w:val="28"/>
          <w:lang w:eastAsia="zh-CN"/>
        </w:rPr>
        <w:t>注册房地产估价师</w:t>
      </w:r>
      <w:r>
        <w:rPr>
          <w:rFonts w:hint="eastAsia" w:ascii="仿宋_GB2312" w:hAnsi="仿宋_GB2312" w:eastAsia="仿宋_GB2312" w:cs="仿宋_GB2312"/>
          <w:sz w:val="28"/>
          <w:szCs w:val="28"/>
          <w:lang w:eastAsia="zh-CN"/>
        </w:rPr>
        <w:t>梁杰</w:t>
      </w:r>
      <w:r>
        <w:rPr>
          <w:rFonts w:hint="eastAsia" w:eastAsia="仿宋_GB2312"/>
          <w:color w:val="000000"/>
          <w:sz w:val="28"/>
          <w:szCs w:val="28"/>
          <w:lang w:eastAsia="zh-CN"/>
        </w:rPr>
        <w:t>、苗玉龙于</w:t>
      </w:r>
      <w:r>
        <w:rPr>
          <w:rFonts w:hint="eastAsia" w:eastAsia="仿宋_GB2312"/>
          <w:color w:val="000000"/>
          <w:sz w:val="28"/>
          <w:szCs w:val="28"/>
          <w:lang w:val="en-US" w:eastAsia="zh-CN"/>
        </w:rPr>
        <w:t>2022年08月18日完成了对本报告中估价对象的权益、实体、区位进行了实地查勘、记录和摄影等尽职调查，但仅局限于估价对象权益状况资料和估价对象的外观和使用状况的常规性检查。本报告依据了委托方提供的权益状况等相关资料，委托方应对权益状况资料的真实性、合法性负责。对被遮盖、未暴露及难以接触到的部分，依据估价委托人提供的资料和常规设计标准的规定进行评估，不承担其被遮盖、未暴露及难以接触到的部分进行检视和建筑结构质量调查的责任。</w:t>
      </w:r>
    </w:p>
    <w:p>
      <w:pPr>
        <w:spacing w:line="500" w:lineRule="exact"/>
        <w:ind w:firstLine="560" w:firstLineChars="200"/>
        <w:rPr>
          <w:rFonts w:eastAsia="仿宋_GB2312"/>
          <w:color w:val="000000"/>
          <w:sz w:val="28"/>
          <w:szCs w:val="28"/>
        </w:rPr>
      </w:pPr>
      <w:r>
        <w:rPr>
          <w:rFonts w:eastAsia="仿宋_GB2312"/>
          <w:color w:val="000000"/>
          <w:sz w:val="28"/>
          <w:szCs w:val="28"/>
        </w:rPr>
        <w:t>6、没有人对本估价报告提供重要专业帮助。</w:t>
      </w:r>
    </w:p>
    <w:p>
      <w:pPr>
        <w:spacing w:line="500" w:lineRule="exact"/>
        <w:jc w:val="both"/>
        <w:rPr>
          <w:rFonts w:hint="eastAsia" w:ascii="黑体" w:eastAsia="黑体"/>
          <w:b/>
          <w:color w:val="000000"/>
          <w:spacing w:val="40"/>
          <w:kern w:val="10"/>
          <w:sz w:val="36"/>
          <w:szCs w:val="36"/>
        </w:rPr>
      </w:pPr>
    </w:p>
    <w:p>
      <w:pPr>
        <w:spacing w:line="500" w:lineRule="exact"/>
        <w:ind w:firstLine="883" w:firstLineChars="200"/>
        <w:jc w:val="center"/>
        <w:rPr>
          <w:rFonts w:hint="eastAsia" w:ascii="黑体" w:eastAsia="黑体"/>
          <w:b/>
          <w:color w:val="000000"/>
          <w:spacing w:val="40"/>
          <w:kern w:val="10"/>
          <w:sz w:val="36"/>
          <w:szCs w:val="36"/>
        </w:rPr>
      </w:pPr>
    </w:p>
    <w:p>
      <w:pPr>
        <w:spacing w:line="600" w:lineRule="exact"/>
        <w:jc w:val="center"/>
        <w:outlineLvl w:val="0"/>
        <w:rPr>
          <w:rFonts w:hint="eastAsia" w:eastAsia="黑体"/>
          <w:b/>
          <w:color w:val="000000"/>
          <w:spacing w:val="0"/>
          <w:sz w:val="32"/>
          <w:szCs w:val="32"/>
        </w:rPr>
      </w:pPr>
      <w:bookmarkStart w:id="2" w:name="_Toc13775"/>
      <w:r>
        <w:rPr>
          <w:rFonts w:hint="eastAsia" w:eastAsia="黑体"/>
          <w:b/>
          <w:color w:val="000000"/>
          <w:spacing w:val="0"/>
          <w:sz w:val="44"/>
          <w:szCs w:val="44"/>
          <w:lang w:val="en-US" w:eastAsia="zh-CN"/>
        </w:rPr>
        <w:t xml:space="preserve"> </w:t>
      </w:r>
      <w:bookmarkStart w:id="3" w:name="_Toc12534"/>
      <w:r>
        <w:rPr>
          <w:rFonts w:hint="eastAsia" w:eastAsia="黑体"/>
          <w:b/>
          <w:color w:val="000000"/>
          <w:spacing w:val="0"/>
          <w:sz w:val="44"/>
          <w:szCs w:val="44"/>
          <w:lang w:val="en-US" w:eastAsia="zh-CN"/>
        </w:rPr>
        <w:t xml:space="preserve">第二部分 </w:t>
      </w:r>
      <w:r>
        <w:rPr>
          <w:rFonts w:hint="eastAsia" w:eastAsia="黑体"/>
          <w:b/>
          <w:color w:val="000000"/>
          <w:spacing w:val="0"/>
          <w:sz w:val="44"/>
          <w:szCs w:val="44"/>
        </w:rPr>
        <w:t>估价的假设和限制条件</w:t>
      </w:r>
      <w:bookmarkEnd w:id="2"/>
      <w:bookmarkEnd w:id="3"/>
    </w:p>
    <w:p>
      <w:pPr>
        <w:spacing w:line="480" w:lineRule="exact"/>
        <w:jc w:val="both"/>
        <w:rPr>
          <w:rFonts w:hint="eastAsia" w:eastAsia="黑体"/>
          <w:b/>
          <w:color w:val="000000"/>
          <w:sz w:val="36"/>
          <w:szCs w:val="36"/>
        </w:rPr>
      </w:pPr>
    </w:p>
    <w:p>
      <w:pPr>
        <w:spacing w:line="500" w:lineRule="exact"/>
        <w:ind w:firstLine="560" w:firstLineChars="200"/>
        <w:rPr>
          <w:rFonts w:hint="eastAsia" w:eastAsia="仿宋_GB2312"/>
          <w:sz w:val="28"/>
          <w:szCs w:val="28"/>
          <w:lang w:eastAsia="zh-CN"/>
        </w:rPr>
      </w:pPr>
      <w:r>
        <w:rPr>
          <w:rFonts w:hint="eastAsia" w:eastAsia="仿宋_GB2312"/>
          <w:sz w:val="28"/>
          <w:szCs w:val="28"/>
          <w:lang w:eastAsia="zh-CN"/>
        </w:rPr>
        <w:t>本估价报告中的分析、意见和结论是我们独立、客观、公正的专业分析、意见和结论，但受以下及本估价报告中已说明的的假设和限制条件的限制：</w:t>
      </w:r>
    </w:p>
    <w:p>
      <w:pPr>
        <w:spacing w:line="500" w:lineRule="exact"/>
        <w:ind w:firstLine="562" w:firstLineChars="200"/>
        <w:rPr>
          <w:rFonts w:hint="eastAsia" w:eastAsia="仿宋_GB2312"/>
          <w:b/>
          <w:bCs/>
          <w:sz w:val="28"/>
          <w:szCs w:val="28"/>
          <w:lang w:eastAsia="zh-CN"/>
        </w:rPr>
      </w:pPr>
      <w:r>
        <w:rPr>
          <w:rFonts w:hint="eastAsia" w:eastAsia="仿宋_GB2312"/>
          <w:b/>
          <w:bCs/>
          <w:sz w:val="28"/>
          <w:szCs w:val="28"/>
          <w:lang w:eastAsia="zh-CN"/>
        </w:rPr>
        <w:t>一、一般假设</w:t>
      </w:r>
    </w:p>
    <w:p>
      <w:pPr>
        <w:spacing w:line="500" w:lineRule="exact"/>
        <w:ind w:firstLine="560" w:firstLineChars="200"/>
        <w:rPr>
          <w:rFonts w:hint="eastAsia" w:eastAsia="仿宋_GB2312"/>
          <w:sz w:val="28"/>
          <w:szCs w:val="28"/>
          <w:lang w:eastAsia="zh-CN"/>
        </w:rPr>
      </w:pPr>
      <w:r>
        <w:rPr>
          <w:rFonts w:hint="eastAsia" w:eastAsia="仿宋_GB2312"/>
          <w:sz w:val="28"/>
          <w:szCs w:val="28"/>
          <w:lang w:val="en-US" w:eastAsia="zh-CN"/>
        </w:rPr>
        <w:t>1</w:t>
      </w:r>
      <w:r>
        <w:rPr>
          <w:rFonts w:eastAsia="仿宋_GB2312"/>
          <w:sz w:val="28"/>
          <w:szCs w:val="28"/>
        </w:rPr>
        <w:t>、</w:t>
      </w:r>
      <w:r>
        <w:rPr>
          <w:rFonts w:hint="eastAsia" w:eastAsia="仿宋_GB2312"/>
          <w:sz w:val="28"/>
          <w:szCs w:val="28"/>
          <w:lang w:eastAsia="zh-CN"/>
        </w:rPr>
        <w:t>本次估价，估价对象权属状况依据委托方提供的</w:t>
      </w:r>
      <w:r>
        <w:rPr>
          <w:rFonts w:hint="eastAsia" w:ascii="仿宋_GB2312" w:hAnsi="仿宋_GB2312" w:eastAsia="仿宋_GB2312" w:cs="仿宋_GB2312"/>
          <w:color w:val="000000"/>
          <w:sz w:val="28"/>
          <w:szCs w:val="28"/>
          <w:lang w:val="en-US" w:eastAsia="zh-CN"/>
        </w:rPr>
        <w:t>《射阳县不动产登记信息查询结果证明》、《射阳县不动产登记土地信息查询结果证明》等权属</w:t>
      </w:r>
      <w:r>
        <w:rPr>
          <w:rFonts w:hint="eastAsia" w:eastAsia="仿宋_GB2312"/>
          <w:sz w:val="28"/>
          <w:szCs w:val="28"/>
          <w:lang w:eastAsia="zh-CN"/>
        </w:rPr>
        <w:t>资料。我们对估价对象权益状况等资料进行了审慎检查，现场查勘。进行了估价对象产权状况与现场状况一致的检查</w:t>
      </w:r>
      <w:r>
        <w:rPr>
          <w:rFonts w:eastAsia="仿宋_GB2312"/>
          <w:sz w:val="28"/>
          <w:szCs w:val="28"/>
        </w:rPr>
        <w:t>。</w:t>
      </w:r>
      <w:r>
        <w:rPr>
          <w:rFonts w:hint="eastAsia" w:eastAsia="仿宋_GB2312"/>
          <w:sz w:val="28"/>
          <w:szCs w:val="28"/>
          <w:lang w:eastAsia="zh-CN"/>
        </w:rPr>
        <w:t>在无理由怀疑其合法性、真实性、准确性和完整性且未予核实的情况下，假设估价对象权益状况资料及其他有关资料均合法、真实、准确和完整。</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我们对房屋安全、环境污染等影响估价对象价值的重大因素给予了必要关注，在无理由怀疑估价对象存在安全隐患、对估价对象价值有重大影响的环境污染且无相应的专业机构进行鉴定、检测的情况下，假设该房屋质量合格无安全隐患，不存在对估价对象价值有重大影响的环境污染。</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3、假设任何有关估价对象的取得经营等运作方式、程序均符合国家、地方的有关法律、法规，在估价对象权益状况等法定条件下可持续使用，可在公开市场自由合法交易，本次估价专业意见为交易税费按照国家有关规定正常负担状况下的价格。</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4、价值时点到估价目的的实现期间房地产市场保持稳定，不发生自然力和其他不可抗力对估价对象的破坏性损坏。</w:t>
      </w:r>
    </w:p>
    <w:p>
      <w:pPr>
        <w:spacing w:line="500" w:lineRule="exact"/>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二、未定事项假设</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1、注册房地产估价师对估价对象的尽职调查，仅限于估价师专业胜任能力内的估价对象外观和使用状况的常规性检查，并在可能条件下对其内部结构进行了视察，未使用专业检测仪器对其结构进行测量及有关设备进行测试，未对其他被遮盖、未暴露及难以接触到部分进行检视，假设估价对象无基础、结构、设备等方面影响正常使用的质量问题。</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2、本次估价无法确认估价对象是否存在物业费等有关税费的滞纳情况及处置过程中发生的税费转嫁情况。本次估价假定无有关税费的滞纳情况及处置过程中发生的税费转嫁情况。</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3、本次估价未考虑价值时点与估价目的实现日之间的国家宏观经济政策的变化、市场状况变化、未来处置风险、房地产损耗等因素对当地房地产价值的影响。</w:t>
      </w:r>
    </w:p>
    <w:p>
      <w:pPr>
        <w:spacing w:line="50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4、本次估价，估价对象部分未确权的房屋，由于无规划、报建和权证资料，无法保证其后期的合法、持续使用。本次估价假定其产权为被执行人所有的，其寿命年限内可持续配套使用；其建筑面积以本机构现场测量为依据，该测量结果不作为办理权证依据，实际数量如有出入，应据实调整。</w:t>
      </w:r>
    </w:p>
    <w:p>
      <w:pPr>
        <w:spacing w:line="500" w:lineRule="exact"/>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三、背离事实假设</w:t>
      </w:r>
    </w:p>
    <w:p>
      <w:pPr>
        <w:spacing w:line="500" w:lineRule="exact"/>
        <w:ind w:firstLine="560" w:firstLineChars="200"/>
        <w:rPr>
          <w:rFonts w:hint="eastAsia" w:eastAsia="仿宋_GB2312"/>
          <w:b/>
          <w:bCs/>
          <w:sz w:val="28"/>
          <w:szCs w:val="28"/>
          <w:lang w:val="en-US" w:eastAsia="zh-CN"/>
        </w:rPr>
      </w:pPr>
      <w:r>
        <w:rPr>
          <w:rFonts w:hint="eastAsia" w:eastAsia="仿宋_GB2312"/>
          <w:sz w:val="28"/>
          <w:szCs w:val="28"/>
          <w:lang w:val="en-US" w:eastAsia="zh-CN"/>
        </w:rPr>
        <w:t>（无背离事实假设）</w:t>
      </w:r>
    </w:p>
    <w:p>
      <w:pPr>
        <w:numPr>
          <w:ilvl w:val="0"/>
          <w:numId w:val="3"/>
        </w:numPr>
        <w:spacing w:line="500" w:lineRule="exact"/>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不相一致假设</w:t>
      </w:r>
    </w:p>
    <w:p>
      <w:pPr>
        <w:numPr>
          <w:ilvl w:val="0"/>
          <w:numId w:val="0"/>
        </w:numPr>
        <w:spacing w:line="50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（无不相一致假设）</w:t>
      </w:r>
    </w:p>
    <w:p>
      <w:pPr>
        <w:numPr>
          <w:ilvl w:val="0"/>
          <w:numId w:val="3"/>
        </w:numPr>
        <w:spacing w:line="500" w:lineRule="exact"/>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依据不足假设</w:t>
      </w:r>
    </w:p>
    <w:p>
      <w:pPr>
        <w:numPr>
          <w:ilvl w:val="0"/>
          <w:numId w:val="0"/>
        </w:numPr>
        <w:spacing w:line="500" w:lineRule="exact"/>
        <w:ind w:firstLine="560" w:firstLineChars="200"/>
        <w:rPr>
          <w:rFonts w:hint="eastAsia" w:eastAsia="仿宋_GB2312"/>
          <w:b/>
          <w:bCs/>
          <w:sz w:val="28"/>
          <w:szCs w:val="28"/>
          <w:lang w:val="en-US" w:eastAsia="zh-CN"/>
        </w:rPr>
      </w:pPr>
      <w:r>
        <w:rPr>
          <w:rFonts w:hint="eastAsia" w:eastAsia="仿宋_GB2312"/>
          <w:color w:val="000000"/>
          <w:sz w:val="28"/>
          <w:szCs w:val="28"/>
          <w:lang w:val="en-US" w:eastAsia="zh-CN"/>
        </w:rPr>
        <w:t>估价对象未确权部分的房屋面积暂以本机构的测量结果为依据，本次测量结果不作为办理产权证书的依据，实际数量如有出入，应据实调整。</w:t>
      </w:r>
    </w:p>
    <w:p>
      <w:pPr>
        <w:numPr>
          <w:ilvl w:val="0"/>
          <w:numId w:val="3"/>
        </w:numPr>
        <w:spacing w:line="500" w:lineRule="exact"/>
        <w:ind w:firstLine="562" w:firstLineChars="200"/>
        <w:rPr>
          <w:rFonts w:hint="eastAsia" w:eastAsia="仿宋_GB2312"/>
          <w:b/>
          <w:bCs/>
          <w:sz w:val="28"/>
          <w:szCs w:val="28"/>
          <w:lang w:val="en-US" w:eastAsia="zh-CN"/>
        </w:rPr>
      </w:pPr>
      <w:r>
        <w:rPr>
          <w:rFonts w:hint="eastAsia" w:eastAsia="仿宋_GB2312"/>
          <w:b/>
          <w:bCs/>
          <w:sz w:val="28"/>
          <w:szCs w:val="28"/>
          <w:lang w:val="en-US" w:eastAsia="zh-CN"/>
        </w:rPr>
        <w:t>估价报告使用限制</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1、本报告估价结论仅为委托方在上述已有假设条件下用于确定委估对象司法处置价格提供参考依据，不得做其他用途。</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2、本报告结果的有效性受到本报告规定的价值时点、估价目的、价值类型、估价结果有效期、估价对象的权利状态和实体状态以及估价假设限制条件等估价要素的约束和限制，本评估结果的使用也受到本报告及附件中的相关解释、说明的约束限制。估价对象如存在价值时点、估价目的、价值类型、估价结果有效期、估价对象的权利状态和实体状态与本报告不一致，应当调整估价报告。</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3、本报告有效期自报告出具之日起壹年内有效。在有效期限内，如果估价对象状况、价值类型、价值时点以及房地产市场行情等影响房地产价值因素发生重大的变化，并且对房地产价值产生明显影响时，应对评估价值进行调整或重新评估。</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4、本次受托估价方仅对评估技术应用的正确性负责，本评估报告结论系为委托方提供的专业性估价意见，这个意见本身并无强制执行的效力，估价师只对结论本身符合规范要求负责，而不对房地产定价决策负责。</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5、本报告的解释权为本机构所有。本估价报告的规范文本为中文文本，用除中文以外的其他文字制作本报告的以中文文本为准。</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6、报告使用需要注意的其他事项</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本次估价专业意见是交易税费按照国家有关规定正常负担状况下的价格，假定不存在交易过程中税费转嫁的影响。</w:t>
      </w:r>
    </w:p>
    <w:p>
      <w:pPr>
        <w:numPr>
          <w:ilvl w:val="0"/>
          <w:numId w:val="0"/>
        </w:numPr>
        <w:spacing w:line="500" w:lineRule="exact"/>
        <w:ind w:firstLine="560"/>
        <w:rPr>
          <w:rFonts w:hint="eastAsia" w:eastAsia="仿宋_GB2312"/>
          <w:sz w:val="28"/>
          <w:szCs w:val="28"/>
          <w:lang w:val="en-US" w:eastAsia="zh-CN"/>
        </w:rPr>
      </w:pPr>
      <w:r>
        <w:rPr>
          <w:rFonts w:hint="eastAsia" w:eastAsia="仿宋_GB2312"/>
          <w:sz w:val="28"/>
          <w:szCs w:val="28"/>
          <w:lang w:val="en-US" w:eastAsia="zh-CN"/>
        </w:rPr>
        <w:t>需提醒委托方注意的是，根据国家省市有关交易税费政策规定，转让方需缴纳增值税及附加、合同印花税、土地增值税、个人所得税等，具体数额应根据当地税务部门核定数额确定。该部分税费属于估价对象司法处置（或公开拍卖）时应当由转让方缴纳的税费，属于公开市场价值的有机组成部分。本次估价目的为司法鉴定，根据最高人民法院规定，估价对象价值类型为公开市场价值，因此该部分税费不属于公开市场价值应扣除税费款项。需特别提醒委托方注意的是，估价对象司法处置（或公开拍卖）后存在转让方不按照规定缴纳上述税费的可能性，导致由受让方代为转让方缴纳上述税费情形因此报告使用人在确定拍卖底价时应当充分考虑估价对象处置时税费转嫁的影响，也应当提醒参拍人尤其是受让人要充分考虑估价对象处置时税费转嫁的负担。</w:t>
      </w:r>
    </w:p>
    <w:p>
      <w:pPr>
        <w:numPr>
          <w:ilvl w:val="0"/>
          <w:numId w:val="0"/>
        </w:numPr>
        <w:spacing w:line="500" w:lineRule="exact"/>
        <w:ind w:firstLine="560"/>
        <w:rPr>
          <w:rFonts w:hint="eastAsia" w:eastAsia="仿宋_GB2312"/>
          <w:sz w:val="28"/>
          <w:szCs w:val="28"/>
          <w:lang w:val="en-US" w:eastAsia="zh-CN"/>
        </w:rPr>
      </w:pPr>
    </w:p>
    <w:p>
      <w:pPr>
        <w:spacing w:line="600" w:lineRule="exact"/>
        <w:jc w:val="center"/>
        <w:outlineLvl w:val="0"/>
        <w:rPr>
          <w:rFonts w:hint="eastAsia" w:ascii="黑体" w:eastAsia="黑体"/>
          <w:b/>
          <w:color w:val="000000"/>
          <w:spacing w:val="0"/>
          <w:sz w:val="44"/>
          <w:szCs w:val="44"/>
          <w:lang w:eastAsia="zh-CN"/>
        </w:rPr>
      </w:pPr>
      <w:bookmarkStart w:id="4" w:name="_Toc21480"/>
      <w:bookmarkStart w:id="5" w:name="_Toc11262"/>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lang w:eastAsia="zh-CN"/>
        </w:rPr>
      </w:pPr>
    </w:p>
    <w:p>
      <w:pPr>
        <w:spacing w:line="600" w:lineRule="exact"/>
        <w:jc w:val="center"/>
        <w:outlineLvl w:val="0"/>
        <w:rPr>
          <w:rFonts w:hint="eastAsia" w:ascii="黑体" w:eastAsia="黑体"/>
          <w:b/>
          <w:color w:val="000000"/>
          <w:spacing w:val="0"/>
          <w:sz w:val="44"/>
          <w:szCs w:val="44"/>
        </w:rPr>
      </w:pPr>
      <w:r>
        <w:rPr>
          <w:rFonts w:hint="eastAsia" w:ascii="黑体" w:eastAsia="黑体"/>
          <w:b/>
          <w:color w:val="000000"/>
          <w:spacing w:val="0"/>
          <w:sz w:val="44"/>
          <w:szCs w:val="44"/>
          <w:lang w:eastAsia="zh-CN"/>
        </w:rPr>
        <w:t>第三部分</w:t>
      </w:r>
      <w:r>
        <w:rPr>
          <w:rFonts w:hint="eastAsia" w:ascii="黑体" w:eastAsia="黑体"/>
          <w:b/>
          <w:color w:val="000000"/>
          <w:spacing w:val="0"/>
          <w:sz w:val="44"/>
          <w:szCs w:val="44"/>
          <w:lang w:val="en-US" w:eastAsia="zh-CN"/>
        </w:rPr>
        <w:t xml:space="preserve"> </w:t>
      </w:r>
      <w:r>
        <w:rPr>
          <w:rFonts w:hint="eastAsia" w:ascii="黑体" w:eastAsia="黑体"/>
          <w:b/>
          <w:color w:val="000000"/>
          <w:spacing w:val="0"/>
          <w:sz w:val="44"/>
          <w:szCs w:val="44"/>
        </w:rPr>
        <w:t>房地产估价结果报告</w:t>
      </w:r>
      <w:bookmarkEnd w:id="4"/>
      <w:bookmarkEnd w:id="5"/>
    </w:p>
    <w:p>
      <w:pPr>
        <w:spacing w:line="500" w:lineRule="exact"/>
        <w:rPr>
          <w:rFonts w:hint="eastAsia" w:ascii="黑体" w:eastAsia="黑体"/>
          <w:color w:val="000000"/>
          <w:sz w:val="28"/>
          <w:szCs w:val="28"/>
        </w:rPr>
      </w:pPr>
    </w:p>
    <w:p>
      <w:pPr>
        <w:spacing w:line="500" w:lineRule="exact"/>
        <w:ind w:firstLine="560" w:firstLineChars="200"/>
        <w:outlineLvl w:val="0"/>
        <w:rPr>
          <w:rFonts w:hint="eastAsia" w:ascii="楷体_GB2312" w:eastAsia="楷体_GB2312"/>
          <w:b/>
          <w:color w:val="000000"/>
          <w:sz w:val="28"/>
          <w:szCs w:val="28"/>
        </w:rPr>
      </w:pPr>
      <w:bookmarkStart w:id="6" w:name="_Toc11539"/>
      <w:bookmarkStart w:id="7" w:name="_Toc1986"/>
      <w:r>
        <w:rPr>
          <w:rFonts w:hint="eastAsia" w:ascii="黑体" w:eastAsia="黑体"/>
          <w:color w:val="000000"/>
          <w:sz w:val="28"/>
          <w:szCs w:val="28"/>
        </w:rPr>
        <w:t>一、</w:t>
      </w:r>
      <w:r>
        <w:rPr>
          <w:rFonts w:hint="eastAsia" w:ascii="黑体" w:eastAsia="黑体"/>
          <w:color w:val="000000"/>
          <w:sz w:val="28"/>
          <w:szCs w:val="28"/>
          <w:lang w:eastAsia="zh-CN"/>
        </w:rPr>
        <w:t>估价委托人：</w:t>
      </w:r>
      <w:bookmarkEnd w:id="6"/>
      <w:bookmarkEnd w:id="7"/>
    </w:p>
    <w:p>
      <w:pPr>
        <w:spacing w:line="500" w:lineRule="exact"/>
        <w:ind w:firstLine="560" w:firstLineChars="200"/>
        <w:rPr>
          <w:rFonts w:hint="eastAsia" w:eastAsia="仿宋_GB2312"/>
          <w:color w:val="000000"/>
          <w:sz w:val="28"/>
          <w:szCs w:val="28"/>
          <w:lang w:eastAsia="zh-CN"/>
        </w:rPr>
      </w:pPr>
      <w:r>
        <w:rPr>
          <w:rFonts w:hint="eastAsia" w:eastAsia="仿宋_GB2312"/>
          <w:color w:val="000000"/>
          <w:sz w:val="28"/>
          <w:szCs w:val="28"/>
          <w:lang w:eastAsia="zh-CN"/>
        </w:rPr>
        <w:t>委托方名称：射阳县人民法院</w:t>
      </w:r>
    </w:p>
    <w:p>
      <w:pPr>
        <w:spacing w:line="500" w:lineRule="exact"/>
        <w:ind w:firstLine="560" w:firstLineChars="200"/>
        <w:rPr>
          <w:rFonts w:hint="eastAsia" w:eastAsia="仿宋_GB2312"/>
          <w:color w:val="000000"/>
          <w:sz w:val="28"/>
          <w:szCs w:val="28"/>
          <w:lang w:val="en-US" w:eastAsia="zh-CN"/>
        </w:rPr>
      </w:pPr>
      <w:bookmarkStart w:id="8" w:name="_Toc19038"/>
      <w:r>
        <w:rPr>
          <w:rFonts w:hint="eastAsia" w:eastAsia="仿宋_GB2312"/>
          <w:color w:val="000000"/>
          <w:sz w:val="28"/>
          <w:szCs w:val="28"/>
          <w:lang w:eastAsia="zh-CN"/>
        </w:rPr>
        <w:t>督办人：</w:t>
      </w:r>
      <w:r>
        <w:rPr>
          <w:rFonts w:hint="eastAsia" w:eastAsia="仿宋_GB2312"/>
          <w:color w:val="000000"/>
          <w:sz w:val="28"/>
          <w:szCs w:val="28"/>
          <w:lang w:val="en-US" w:eastAsia="zh-CN"/>
        </w:rPr>
        <w:t>练国存</w:t>
      </w:r>
    </w:p>
    <w:p>
      <w:pPr>
        <w:spacing w:line="500" w:lineRule="exact"/>
        <w:ind w:firstLine="560" w:firstLineChars="200"/>
        <w:rPr>
          <w:rFonts w:hint="default" w:eastAsia="仿宋_GB2312"/>
          <w:color w:val="000000"/>
          <w:sz w:val="28"/>
          <w:szCs w:val="28"/>
          <w:lang w:val="en-US" w:eastAsia="zh-CN"/>
        </w:rPr>
      </w:pPr>
      <w:r>
        <w:rPr>
          <w:rFonts w:hint="eastAsia" w:eastAsia="仿宋_GB2312"/>
          <w:color w:val="000000"/>
          <w:sz w:val="28"/>
          <w:szCs w:val="28"/>
        </w:rPr>
        <w:t>电话：</w:t>
      </w:r>
      <w:r>
        <w:rPr>
          <w:rFonts w:hint="eastAsia" w:eastAsia="仿宋_GB2312"/>
          <w:color w:val="000000"/>
          <w:sz w:val="28"/>
          <w:szCs w:val="28"/>
          <w:lang w:val="en-US" w:eastAsia="zh-CN"/>
        </w:rPr>
        <w:t>0515-69220050，18352062005</w:t>
      </w:r>
    </w:p>
    <w:p>
      <w:pPr>
        <w:numPr>
          <w:ilvl w:val="0"/>
          <w:numId w:val="0"/>
        </w:numPr>
        <w:spacing w:line="500" w:lineRule="exact"/>
        <w:outlineLvl w:val="0"/>
        <w:rPr>
          <w:rFonts w:eastAsia="仿宋_GB2312"/>
          <w:color w:val="000000"/>
          <w:spacing w:val="-20"/>
          <w:sz w:val="28"/>
          <w:szCs w:val="28"/>
        </w:rPr>
      </w:pPr>
      <w:r>
        <w:rPr>
          <w:rFonts w:hint="eastAsia" w:ascii="黑体" w:eastAsia="黑体"/>
          <w:color w:val="000000"/>
          <w:sz w:val="28"/>
          <w:szCs w:val="28"/>
          <w:lang w:val="en-US" w:eastAsia="zh-CN"/>
        </w:rPr>
        <w:t xml:space="preserve">    </w:t>
      </w:r>
      <w:bookmarkStart w:id="9" w:name="_Toc4817"/>
      <w:r>
        <w:rPr>
          <w:rFonts w:hint="eastAsia" w:ascii="黑体" w:eastAsia="黑体"/>
          <w:color w:val="000000"/>
          <w:sz w:val="28"/>
          <w:szCs w:val="28"/>
          <w:lang w:eastAsia="zh-CN"/>
        </w:rPr>
        <w:t>二、房地产估价机构</w:t>
      </w:r>
      <w:r>
        <w:rPr>
          <w:rFonts w:hint="eastAsia" w:ascii="黑体" w:eastAsia="黑体"/>
          <w:color w:val="000000"/>
          <w:sz w:val="28"/>
          <w:szCs w:val="28"/>
        </w:rPr>
        <w:t>：</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0"/>
        <w:rPr>
          <w:rFonts w:hint="eastAsia" w:eastAsia="仿宋_GB2312"/>
          <w:color w:val="000000"/>
          <w:spacing w:val="0"/>
          <w:sz w:val="28"/>
          <w:szCs w:val="28"/>
          <w:lang w:val="en-US" w:eastAsia="zh-CN"/>
        </w:rPr>
      </w:pPr>
      <w:bookmarkStart w:id="10" w:name="_Toc18372"/>
      <w:bookmarkStart w:id="11" w:name="_Toc28127"/>
      <w:bookmarkStart w:id="12" w:name="_Toc28300"/>
      <w:r>
        <w:rPr>
          <w:rFonts w:hint="eastAsia" w:eastAsia="仿宋_GB2312"/>
          <w:color w:val="000000"/>
          <w:spacing w:val="0"/>
          <w:sz w:val="28"/>
          <w:szCs w:val="28"/>
          <w:lang w:val="en-US" w:eastAsia="zh-CN"/>
        </w:rPr>
        <w:t>机构名称：江苏万方源土地房地产评估测绘咨询有限公司</w:t>
      </w:r>
      <w:bookmarkEnd w:id="10"/>
    </w:p>
    <w:p>
      <w:pPr>
        <w:numPr>
          <w:ilvl w:val="0"/>
          <w:numId w:val="0"/>
        </w:numPr>
        <w:spacing w:line="500" w:lineRule="exact"/>
        <w:ind w:firstLine="560"/>
        <w:outlineLvl w:val="0"/>
        <w:rPr>
          <w:rFonts w:hint="eastAsia" w:eastAsia="仿宋_GB2312"/>
          <w:color w:val="000000"/>
          <w:spacing w:val="0"/>
          <w:sz w:val="28"/>
          <w:szCs w:val="28"/>
        </w:rPr>
      </w:pPr>
      <w:bookmarkStart w:id="13" w:name="_Toc21241"/>
      <w:r>
        <w:rPr>
          <w:rFonts w:hint="eastAsia" w:eastAsia="仿宋_GB2312"/>
          <w:color w:val="000000"/>
          <w:spacing w:val="0"/>
          <w:sz w:val="28"/>
          <w:szCs w:val="28"/>
          <w:lang w:val="en-US" w:eastAsia="zh-CN"/>
        </w:rPr>
        <w:t>机构</w:t>
      </w:r>
      <w:r>
        <w:rPr>
          <w:rFonts w:eastAsia="仿宋_GB2312"/>
          <w:color w:val="000000"/>
          <w:spacing w:val="0"/>
          <w:sz w:val="28"/>
          <w:szCs w:val="28"/>
        </w:rPr>
        <w:t>地址：</w:t>
      </w:r>
      <w:r>
        <w:rPr>
          <w:rFonts w:hint="eastAsia" w:eastAsia="仿宋_GB2312"/>
          <w:color w:val="000000"/>
          <w:spacing w:val="0"/>
          <w:sz w:val="28"/>
          <w:szCs w:val="28"/>
        </w:rPr>
        <w:t>盐城市射阳县合德镇工业集中区合德路18号</w:t>
      </w:r>
      <w:bookmarkEnd w:id="13"/>
    </w:p>
    <w:p>
      <w:pPr>
        <w:numPr>
          <w:ilvl w:val="0"/>
          <w:numId w:val="0"/>
        </w:numPr>
        <w:spacing w:line="500" w:lineRule="exact"/>
        <w:ind w:firstLine="560"/>
        <w:outlineLvl w:val="0"/>
        <w:rPr>
          <w:rFonts w:hint="eastAsia" w:eastAsia="仿宋_GB2312"/>
          <w:color w:val="000000"/>
          <w:spacing w:val="0"/>
          <w:sz w:val="28"/>
          <w:szCs w:val="28"/>
          <w:lang w:val="en-US" w:eastAsia="zh-CN"/>
        </w:rPr>
      </w:pPr>
      <w:r>
        <w:rPr>
          <w:rFonts w:hint="eastAsia" w:eastAsia="仿宋_GB2312"/>
          <w:color w:val="000000"/>
          <w:spacing w:val="0"/>
          <w:sz w:val="28"/>
          <w:szCs w:val="28"/>
          <w:lang w:val="en-US" w:eastAsia="zh-CN"/>
        </w:rPr>
        <w:t>统一社会信用代码：</w:t>
      </w:r>
      <w:r>
        <w:rPr>
          <w:rFonts w:hint="eastAsia" w:ascii="仿宋_GB2312" w:hAnsi="仿宋_GB2312" w:eastAsia="仿宋_GB2312" w:cs="仿宋_GB2312"/>
          <w:b/>
          <w:bCs/>
          <w:color w:val="000000"/>
          <w:spacing w:val="0"/>
          <w:sz w:val="28"/>
          <w:szCs w:val="28"/>
          <w:lang w:val="en-US" w:eastAsia="zh-CN"/>
        </w:rPr>
        <w:t>91320924716875347P</w:t>
      </w:r>
    </w:p>
    <w:p>
      <w:pPr>
        <w:spacing w:line="500" w:lineRule="exact"/>
        <w:ind w:firstLine="560" w:firstLineChars="200"/>
        <w:rPr>
          <w:rFonts w:eastAsia="仿宋_GB2312"/>
          <w:color w:val="000000"/>
          <w:sz w:val="28"/>
          <w:szCs w:val="28"/>
        </w:rPr>
      </w:pPr>
      <w:r>
        <w:rPr>
          <w:rFonts w:eastAsia="仿宋_GB2312"/>
          <w:color w:val="000000"/>
          <w:sz w:val="28"/>
          <w:szCs w:val="28"/>
        </w:rPr>
        <w:t>估价</w:t>
      </w:r>
      <w:r>
        <w:rPr>
          <w:rFonts w:hint="eastAsia" w:eastAsia="仿宋_GB2312"/>
          <w:color w:val="000000"/>
          <w:sz w:val="28"/>
          <w:szCs w:val="28"/>
          <w:lang w:eastAsia="zh-CN"/>
        </w:rPr>
        <w:t>备案</w:t>
      </w:r>
      <w:r>
        <w:rPr>
          <w:rFonts w:eastAsia="仿宋_GB2312"/>
          <w:color w:val="000000"/>
          <w:sz w:val="28"/>
          <w:szCs w:val="28"/>
        </w:rPr>
        <w:t>等级：贰级</w:t>
      </w:r>
    </w:p>
    <w:p>
      <w:pPr>
        <w:spacing w:line="500" w:lineRule="exact"/>
        <w:ind w:firstLine="560" w:firstLineChars="200"/>
        <w:rPr>
          <w:rFonts w:hint="default" w:eastAsia="仿宋_GB2312"/>
          <w:color w:val="000000"/>
          <w:sz w:val="28"/>
          <w:szCs w:val="28"/>
          <w:lang w:val="en-US"/>
        </w:rPr>
      </w:pPr>
      <w:r>
        <w:rPr>
          <w:rFonts w:hint="eastAsia" w:eastAsia="仿宋_GB2312"/>
          <w:color w:val="000000"/>
          <w:sz w:val="28"/>
          <w:szCs w:val="28"/>
          <w:lang w:eastAsia="zh-CN"/>
        </w:rPr>
        <w:t>房地产估价备案</w:t>
      </w:r>
      <w:r>
        <w:rPr>
          <w:rFonts w:eastAsia="仿宋_GB2312"/>
          <w:color w:val="000000"/>
          <w:sz w:val="28"/>
          <w:szCs w:val="28"/>
        </w:rPr>
        <w:t>证书号码：</w:t>
      </w:r>
      <w:r>
        <w:rPr>
          <w:rFonts w:hint="eastAsia" w:eastAsia="仿宋_GB2312"/>
          <w:color w:val="000000"/>
          <w:sz w:val="28"/>
          <w:szCs w:val="28"/>
          <w:lang w:eastAsia="zh-CN"/>
        </w:rPr>
        <w:t>苏建房估备（贰）盐城</w:t>
      </w:r>
      <w:r>
        <w:rPr>
          <w:rFonts w:hint="eastAsia" w:eastAsia="仿宋_GB2312"/>
          <w:color w:val="000000"/>
          <w:sz w:val="28"/>
          <w:szCs w:val="28"/>
          <w:lang w:val="en-US" w:eastAsia="zh-CN"/>
        </w:rPr>
        <w:t>00026</w:t>
      </w:r>
    </w:p>
    <w:p>
      <w:pPr>
        <w:spacing w:line="500" w:lineRule="exact"/>
        <w:ind w:firstLine="560" w:firstLineChars="200"/>
        <w:rPr>
          <w:rFonts w:eastAsia="仿宋_GB2312"/>
          <w:color w:val="000000"/>
          <w:sz w:val="28"/>
          <w:szCs w:val="28"/>
        </w:rPr>
      </w:pPr>
      <w:r>
        <w:rPr>
          <w:rFonts w:eastAsia="仿宋_GB2312"/>
          <w:color w:val="000000"/>
          <w:sz w:val="28"/>
          <w:szCs w:val="28"/>
        </w:rPr>
        <w:t>法定代表人：</w:t>
      </w:r>
      <w:r>
        <w:rPr>
          <w:rFonts w:hint="eastAsia" w:eastAsia="仿宋_GB2312"/>
          <w:color w:val="000000"/>
          <w:sz w:val="28"/>
          <w:szCs w:val="28"/>
          <w:lang w:eastAsia="zh-CN"/>
        </w:rPr>
        <w:t>苗玉龙</w:t>
      </w:r>
      <w:r>
        <w:rPr>
          <w:rFonts w:eastAsia="仿宋_GB2312"/>
          <w:color w:val="000000"/>
          <w:sz w:val="28"/>
          <w:szCs w:val="28"/>
        </w:rPr>
        <w:t xml:space="preserve">                          </w:t>
      </w:r>
    </w:p>
    <w:p>
      <w:p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eastAsia="zh-CN"/>
        </w:rPr>
        <w:t>联系人：梁杰</w:t>
      </w:r>
      <w:r>
        <w:rPr>
          <w:rFonts w:hint="eastAsia" w:eastAsia="仿宋_GB2312"/>
          <w:color w:val="000000"/>
          <w:sz w:val="28"/>
          <w:szCs w:val="28"/>
          <w:lang w:val="en-US" w:eastAsia="zh-CN"/>
        </w:rPr>
        <w:t xml:space="preserve"> </w:t>
      </w:r>
    </w:p>
    <w:p>
      <w:p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eastAsia="zh-CN"/>
        </w:rPr>
        <w:t>联系电话：</w:t>
      </w:r>
      <w:r>
        <w:rPr>
          <w:rFonts w:hint="eastAsia" w:eastAsia="仿宋_GB2312"/>
          <w:color w:val="000000"/>
          <w:sz w:val="28"/>
          <w:szCs w:val="28"/>
          <w:lang w:val="en-US" w:eastAsia="zh-CN"/>
        </w:rPr>
        <w:t>18951549800  0515-89201100</w:t>
      </w:r>
    </w:p>
    <w:p>
      <w:p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邮政编码：224300</w:t>
      </w:r>
    </w:p>
    <w:p>
      <w:p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传    真：</w:t>
      </w:r>
      <w:r>
        <w:rPr>
          <w:rFonts w:eastAsia="仿宋_GB2312"/>
          <w:color w:val="000000"/>
          <w:sz w:val="28"/>
          <w:szCs w:val="28"/>
        </w:rPr>
        <w:t>0515—8</w:t>
      </w:r>
      <w:r>
        <w:rPr>
          <w:rFonts w:hint="eastAsia" w:eastAsia="仿宋_GB2312"/>
          <w:color w:val="000000"/>
          <w:sz w:val="28"/>
          <w:szCs w:val="28"/>
        </w:rPr>
        <w:t>9201105</w:t>
      </w:r>
    </w:p>
    <w:p>
      <w:pPr>
        <w:spacing w:line="62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eastAsia="zh-CN"/>
        </w:rPr>
        <w:t>网</w:t>
      </w:r>
      <w:r>
        <w:rPr>
          <w:rFonts w:hint="eastAsia" w:eastAsia="仿宋_GB2312"/>
          <w:color w:val="000000"/>
          <w:sz w:val="28"/>
          <w:szCs w:val="28"/>
          <w:lang w:val="en-US" w:eastAsia="zh-CN"/>
        </w:rPr>
        <w:t xml:space="preserve">    </w:t>
      </w:r>
      <w:r>
        <w:rPr>
          <w:rFonts w:hint="eastAsia" w:eastAsia="仿宋_GB2312"/>
          <w:color w:val="000000"/>
          <w:sz w:val="28"/>
          <w:szCs w:val="28"/>
          <w:lang w:eastAsia="zh-CN"/>
        </w:rPr>
        <w:t>址：</w:t>
      </w:r>
      <w:r>
        <w:rPr>
          <w:rFonts w:hint="eastAsia" w:eastAsia="仿宋_GB2312"/>
          <w:color w:val="000000"/>
          <w:sz w:val="28"/>
          <w:szCs w:val="28"/>
          <w:lang w:val="en-US" w:eastAsia="zh-CN"/>
        </w:rPr>
        <w:t>http：//www.wfygs.com</w:t>
      </w:r>
    </w:p>
    <w:p>
      <w:pPr>
        <w:spacing w:line="62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邮    箱：718556742@qq.com</w:t>
      </w:r>
    </w:p>
    <w:p>
      <w:pPr>
        <w:numPr>
          <w:ilvl w:val="0"/>
          <w:numId w:val="4"/>
        </w:numPr>
        <w:spacing w:line="500" w:lineRule="exact"/>
        <w:ind w:firstLine="560" w:firstLineChars="200"/>
        <w:outlineLvl w:val="0"/>
        <w:rPr>
          <w:rFonts w:hint="eastAsia" w:ascii="黑体" w:eastAsia="黑体"/>
          <w:color w:val="000000"/>
          <w:sz w:val="28"/>
          <w:szCs w:val="28"/>
          <w:lang w:val="en-US" w:eastAsia="zh-CN"/>
        </w:rPr>
      </w:pPr>
      <w:r>
        <w:rPr>
          <w:rFonts w:hint="eastAsia" w:ascii="黑体" w:eastAsia="黑体"/>
          <w:color w:val="000000"/>
          <w:sz w:val="28"/>
          <w:szCs w:val="28"/>
          <w:lang w:eastAsia="zh-CN"/>
        </w:rPr>
        <w:t>估价目的：</w:t>
      </w:r>
      <w:bookmarkEnd w:id="11"/>
      <w:bookmarkStart w:id="14" w:name="_Toc30611"/>
      <w:r>
        <w:rPr>
          <w:rFonts w:hint="eastAsia" w:eastAsia="仿宋_GB2312"/>
          <w:color w:val="000000"/>
          <w:sz w:val="28"/>
          <w:szCs w:val="28"/>
          <w:lang w:val="en-US" w:eastAsia="zh-CN"/>
        </w:rPr>
        <w:t>为人民法院确定财产处置参考价提供参考依据。</w:t>
      </w:r>
      <w:bookmarkEnd w:id="14"/>
    </w:p>
    <w:p>
      <w:pPr>
        <w:numPr>
          <w:ilvl w:val="0"/>
          <w:numId w:val="4"/>
        </w:numPr>
        <w:spacing w:line="500" w:lineRule="exact"/>
        <w:ind w:firstLine="560" w:firstLineChars="200"/>
        <w:outlineLvl w:val="0"/>
        <w:rPr>
          <w:rFonts w:hint="eastAsia" w:ascii="黑体" w:eastAsia="黑体"/>
          <w:color w:val="000000"/>
          <w:sz w:val="28"/>
          <w:szCs w:val="28"/>
        </w:rPr>
      </w:pPr>
      <w:bookmarkStart w:id="15" w:name="_Toc23411"/>
      <w:r>
        <w:rPr>
          <w:rFonts w:hint="eastAsia" w:ascii="黑体" w:eastAsia="黑体"/>
          <w:color w:val="000000"/>
          <w:sz w:val="28"/>
          <w:szCs w:val="28"/>
        </w:rPr>
        <w:t>估价对象：</w:t>
      </w:r>
      <w:bookmarkEnd w:id="12"/>
      <w:bookmarkEnd w:id="15"/>
    </w:p>
    <w:p>
      <w:pPr>
        <w:numPr>
          <w:ilvl w:val="0"/>
          <w:numId w:val="0"/>
        </w:numPr>
        <w:spacing w:line="500" w:lineRule="exact"/>
        <w:ind w:firstLine="560" w:firstLineChars="200"/>
        <w:rPr>
          <w:rFonts w:hint="eastAsia" w:eastAsia="仿宋_GB2312"/>
          <w:color w:val="000000"/>
          <w:sz w:val="28"/>
          <w:szCs w:val="28"/>
          <w:lang w:val="en-US" w:eastAsia="zh-CN"/>
        </w:rPr>
      </w:pPr>
      <w:r>
        <w:rPr>
          <w:rFonts w:hint="eastAsia" w:eastAsia="仿宋_GB2312"/>
          <w:color w:val="000000"/>
          <w:sz w:val="28"/>
          <w:szCs w:val="28"/>
          <w:lang w:val="en-US" w:eastAsia="zh-CN"/>
        </w:rPr>
        <w:t>本报告估价对象为</w:t>
      </w:r>
      <w:r>
        <w:rPr>
          <w:rFonts w:hint="eastAsia" w:ascii="仿宋_GB2312" w:hAnsi="仿宋_GB2312" w:eastAsia="仿宋_GB2312" w:cs="仿宋_GB2312"/>
          <w:color w:val="000000"/>
          <w:sz w:val="28"/>
          <w:szCs w:val="28"/>
        </w:rPr>
        <w:t>被执行人</w:t>
      </w:r>
      <w:r>
        <w:rPr>
          <w:rFonts w:hint="eastAsia" w:ascii="仿宋_GB2312" w:hAnsi="仿宋_GB2312" w:eastAsia="仿宋_GB2312" w:cs="仿宋_GB2312"/>
          <w:color w:val="000000"/>
          <w:sz w:val="28"/>
          <w:szCs w:val="28"/>
          <w:lang w:val="en-US" w:eastAsia="zh-CN"/>
        </w:rPr>
        <w:t>何安龙所有的</w:t>
      </w:r>
      <w:r>
        <w:rPr>
          <w:rFonts w:hint="eastAsia" w:ascii="仿宋_GB2312" w:hAnsi="仿宋_GB2312" w:eastAsia="仿宋_GB2312" w:cs="仿宋_GB2312"/>
          <w:color w:val="000000"/>
          <w:sz w:val="28"/>
          <w:szCs w:val="28"/>
          <w:lang w:eastAsia="zh-CN"/>
        </w:rPr>
        <w:t>位于射阳县海通镇通兴东路南侧1幢1室的不动产</w:t>
      </w:r>
      <w:r>
        <w:rPr>
          <w:rFonts w:hint="eastAsia" w:ascii="仿宋_GB2312" w:hAnsi="仿宋_GB2312" w:eastAsia="仿宋_GB2312" w:cs="仿宋_GB2312"/>
          <w:color w:val="000000"/>
          <w:sz w:val="28"/>
          <w:szCs w:val="28"/>
          <w:lang w:val="en-US" w:eastAsia="zh-CN"/>
        </w:rPr>
        <w:t>。根据委托方提供的《射阳县不动产登记信息查询结果证明》、《射阳县不动产登记土地信息查询结果证明》等权属资料和</w:t>
      </w:r>
      <w:r>
        <w:rPr>
          <w:rFonts w:hint="eastAsia" w:eastAsia="仿宋_GB2312"/>
          <w:color w:val="000000"/>
          <w:sz w:val="28"/>
          <w:szCs w:val="28"/>
          <w:highlight w:val="none"/>
          <w:lang w:val="en-US" w:eastAsia="zh-CN"/>
        </w:rPr>
        <w:t>本机构对估价对象的房屋实际测量的结果</w:t>
      </w:r>
      <w:r>
        <w:rPr>
          <w:rFonts w:hint="eastAsia" w:ascii="仿宋_GB2312" w:hAnsi="仿宋_GB2312" w:eastAsia="仿宋_GB2312" w:cs="仿宋_GB2312"/>
          <w:color w:val="000000"/>
          <w:sz w:val="28"/>
          <w:szCs w:val="28"/>
          <w:lang w:val="en-US" w:eastAsia="zh-CN"/>
        </w:rPr>
        <w:t>，估价对象房屋</w:t>
      </w:r>
      <w:r>
        <w:rPr>
          <w:rFonts w:hint="eastAsia" w:eastAsia="仿宋_GB2312"/>
          <w:color w:val="000000"/>
          <w:sz w:val="28"/>
          <w:szCs w:val="28"/>
          <w:lang w:val="en-US" w:eastAsia="zh-CN"/>
        </w:rPr>
        <w:t>建筑面积合计为134.6㎡（其中确权房屋建筑面积96.00㎡，未确权房屋建筑面积约38.60㎡），房屋规划用途为住宅；</w:t>
      </w:r>
      <w:r>
        <w:rPr>
          <w:rFonts w:hint="eastAsia" w:eastAsia="仿宋_GB2312"/>
          <w:color w:val="auto"/>
          <w:sz w:val="28"/>
          <w:szCs w:val="28"/>
          <w:lang w:val="en-US" w:eastAsia="zh-CN"/>
        </w:rPr>
        <w:t>土地使用权面积为70.90㎡，土地类型为集体土地，</w:t>
      </w:r>
      <w:r>
        <w:rPr>
          <w:rFonts w:hint="eastAsia" w:eastAsia="仿宋_GB2312"/>
          <w:color w:val="000000"/>
          <w:sz w:val="28"/>
          <w:szCs w:val="28"/>
          <w:lang w:val="en-US" w:eastAsia="zh-CN"/>
        </w:rPr>
        <w:t>土地用途为农村宅基地</w:t>
      </w:r>
      <w:r>
        <w:rPr>
          <w:rFonts w:hint="eastAsia" w:eastAsia="仿宋_GB2312"/>
          <w:color w:val="auto"/>
          <w:sz w:val="28"/>
          <w:szCs w:val="28"/>
          <w:lang w:val="en-US" w:eastAsia="zh-CN"/>
        </w:rPr>
        <w:t>。</w:t>
      </w:r>
      <w:r>
        <w:rPr>
          <w:rFonts w:hint="eastAsia" w:eastAsia="仿宋_GB2312"/>
          <w:color w:val="000000"/>
          <w:sz w:val="28"/>
          <w:szCs w:val="28"/>
          <w:lang w:val="en-US" w:eastAsia="zh-CN"/>
        </w:rPr>
        <w:t>本报告估价对象的财产范围包括估价对象的房屋所有权（含未确权房屋）、集体土地使用权、室内装饰装修、估价对象可享有的配套设施及基础设施等地上附着物和室内可移动物品的价值。</w:t>
      </w:r>
    </w:p>
    <w:p>
      <w:pPr>
        <w:numPr>
          <w:ilvl w:val="0"/>
          <w:numId w:val="0"/>
        </w:numPr>
        <w:spacing w:line="500" w:lineRule="exact"/>
        <w:rPr>
          <w:rFonts w:hint="eastAsia" w:ascii="仿宋_GB2312" w:hAnsi="仿宋_GB2312" w:eastAsia="仿宋_GB2312" w:cs="仿宋_GB2312"/>
          <w:color w:val="000000"/>
          <w:sz w:val="28"/>
          <w:szCs w:val="28"/>
          <w:lang w:val="en-US" w:eastAsia="zh-CN"/>
        </w:rPr>
      </w:pPr>
      <w:r>
        <w:rPr>
          <w:rFonts w:hint="eastAsia" w:ascii="仿宋" w:hAnsi="仿宋" w:eastAsia="仿宋" w:cs="仿宋"/>
          <w:color w:val="000000"/>
          <w:sz w:val="28"/>
          <w:szCs w:val="28"/>
          <w:lang w:val="en-US" w:eastAsia="zh-CN"/>
        </w:rPr>
        <w:t xml:space="preserve">    </w:t>
      </w:r>
      <w:r>
        <w:rPr>
          <w:rFonts w:hint="eastAsia" w:eastAsia="仿宋_GB2312"/>
          <w:color w:val="000000"/>
          <w:sz w:val="28"/>
          <w:szCs w:val="28"/>
          <w:lang w:val="en-US" w:eastAsia="zh-CN"/>
        </w:rPr>
        <w:t xml:space="preserve"> （一）估价对象的区位状况</w:t>
      </w:r>
    </w:p>
    <w:p>
      <w:pPr>
        <w:ind w:firstLine="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1.位置状况描述</w:t>
      </w:r>
    </w:p>
    <w:p>
      <w:pPr>
        <w:ind w:firstLine="56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（1）坐落：</w:t>
      </w:r>
      <w:r>
        <w:rPr>
          <w:rFonts w:hint="eastAsia" w:ascii="仿宋_GB2312" w:hAnsi="仿宋_GB2312" w:eastAsia="仿宋_GB2312" w:cs="仿宋_GB2312"/>
          <w:color w:val="000000"/>
          <w:sz w:val="28"/>
          <w:szCs w:val="28"/>
          <w:lang w:eastAsia="zh-CN"/>
        </w:rPr>
        <w:t>射阳县海通镇通兴东路南侧1幢1室</w:t>
      </w:r>
      <w:r>
        <w:rPr>
          <w:rFonts w:hint="eastAsia" w:ascii="仿宋_GB2312" w:hAnsi="仿宋_GB2312" w:eastAsia="仿宋_GB2312" w:cs="仿宋_GB2312"/>
          <w:color w:val="000000"/>
          <w:sz w:val="28"/>
          <w:szCs w:val="28"/>
          <w:lang w:val="en-US" w:eastAsia="zh-CN"/>
        </w:rPr>
        <w:t>。</w:t>
      </w:r>
    </w:p>
    <w:p>
      <w:pPr>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rPr>
        <w:t>　　（2）方位：</w:t>
      </w:r>
      <w:r>
        <w:rPr>
          <w:rFonts w:hint="eastAsia" w:ascii="仿宋_GB2312" w:hAnsi="仿宋_GB2312" w:eastAsia="仿宋_GB2312" w:cs="仿宋_GB2312"/>
          <w:color w:val="000000"/>
          <w:sz w:val="28"/>
          <w:szCs w:val="28"/>
          <w:highlight w:val="none"/>
          <w:lang w:eastAsia="zh-CN"/>
        </w:rPr>
        <w:t>射阳县城东北方</w:t>
      </w:r>
      <w:r>
        <w:rPr>
          <w:rFonts w:hint="eastAsia" w:ascii="仿宋_GB2312" w:hAnsi="仿宋_GB2312" w:eastAsia="仿宋_GB2312" w:cs="仿宋_GB2312"/>
          <w:color w:val="000000"/>
          <w:sz w:val="28"/>
          <w:szCs w:val="28"/>
          <w:highlight w:val="none"/>
          <w:lang w:val="en-US" w:eastAsia="zh-CN"/>
        </w:rPr>
        <w:t>。</w:t>
      </w:r>
    </w:p>
    <w:p>
      <w:pP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（3）</w:t>
      </w:r>
      <w:r>
        <w:rPr>
          <w:rFonts w:hint="eastAsia" w:ascii="仿宋_GB2312" w:hAnsi="仿宋_GB2312" w:eastAsia="仿宋_GB2312" w:cs="仿宋_GB2312"/>
          <w:color w:val="000000"/>
          <w:sz w:val="28"/>
          <w:szCs w:val="28"/>
          <w:lang w:eastAsia="zh-CN"/>
        </w:rPr>
        <w:t>与重要场所</w:t>
      </w:r>
      <w:r>
        <w:rPr>
          <w:rFonts w:hint="eastAsia" w:ascii="仿宋_GB2312" w:hAnsi="仿宋_GB2312" w:eastAsia="仿宋_GB2312" w:cs="仿宋_GB2312"/>
          <w:color w:val="000000"/>
          <w:sz w:val="28"/>
          <w:szCs w:val="28"/>
        </w:rPr>
        <w:t>距离：</w:t>
      </w:r>
      <w:r>
        <w:rPr>
          <w:rFonts w:hint="eastAsia" w:ascii="仿宋_GB2312" w:hAnsi="仿宋_GB2312" w:eastAsia="仿宋_GB2312" w:cs="仿宋_GB2312"/>
          <w:color w:val="000000"/>
          <w:sz w:val="28"/>
          <w:szCs w:val="28"/>
          <w:lang w:eastAsia="zh-CN"/>
        </w:rPr>
        <w:t>距离射阳县人民政府约</w:t>
      </w:r>
      <w:r>
        <w:rPr>
          <w:rFonts w:hint="eastAsia" w:ascii="仿宋_GB2312" w:hAnsi="仿宋_GB2312" w:eastAsia="仿宋_GB2312" w:cs="仿宋_GB2312"/>
          <w:color w:val="000000"/>
          <w:sz w:val="28"/>
          <w:szCs w:val="28"/>
          <w:lang w:val="en-US" w:eastAsia="zh-CN"/>
        </w:rPr>
        <w:t>4.7公里</w:t>
      </w:r>
      <w:r>
        <w:rPr>
          <w:rFonts w:hint="eastAsia" w:ascii="仿宋_GB2312" w:hAnsi="仿宋_GB2312" w:eastAsia="仿宋_GB2312" w:cs="仿宋_GB2312"/>
          <w:color w:val="000000"/>
          <w:sz w:val="28"/>
          <w:szCs w:val="28"/>
          <w:lang w:eastAsia="zh-CN"/>
        </w:rPr>
        <w:t>、距离射阳县汽车客运站约</w:t>
      </w:r>
      <w:r>
        <w:rPr>
          <w:rFonts w:hint="eastAsia" w:ascii="仿宋_GB2312" w:hAnsi="仿宋_GB2312" w:eastAsia="仿宋_GB2312" w:cs="仿宋_GB2312"/>
          <w:color w:val="000000"/>
          <w:sz w:val="28"/>
          <w:szCs w:val="28"/>
          <w:lang w:val="en-US" w:eastAsia="zh-CN"/>
        </w:rPr>
        <w:t>12.2公里</w:t>
      </w:r>
      <w:r>
        <w:rPr>
          <w:rFonts w:hint="eastAsia" w:ascii="仿宋_GB2312" w:hAnsi="仿宋_GB2312" w:eastAsia="仿宋_GB2312" w:cs="仿宋_GB2312"/>
          <w:color w:val="000000"/>
          <w:sz w:val="28"/>
          <w:szCs w:val="28"/>
          <w:lang w:eastAsia="zh-CN"/>
        </w:rPr>
        <w:t>、距离射阳县人民医院（新城分院）约</w:t>
      </w:r>
      <w:r>
        <w:rPr>
          <w:rFonts w:hint="eastAsia" w:ascii="仿宋_GB2312" w:hAnsi="仿宋_GB2312" w:eastAsia="仿宋_GB2312" w:cs="仿宋_GB2312"/>
          <w:color w:val="000000"/>
          <w:sz w:val="28"/>
          <w:szCs w:val="28"/>
          <w:lang w:val="en-US" w:eastAsia="zh-CN"/>
        </w:rPr>
        <w:t>7.8公里，距离海通镇人民政府约400米。</w:t>
      </w:r>
    </w:p>
    <w:p>
      <w:pPr>
        <w:ind w:firstLine="560"/>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rPr>
        <w:t>（4）临街（路）状况：</w:t>
      </w:r>
      <w:r>
        <w:rPr>
          <w:rFonts w:hint="eastAsia" w:ascii="仿宋_GB2312" w:hAnsi="仿宋_GB2312" w:eastAsia="仿宋_GB2312" w:cs="仿宋_GB2312"/>
          <w:color w:val="000000"/>
          <w:sz w:val="28"/>
          <w:szCs w:val="28"/>
          <w:highlight w:val="none"/>
          <w:lang w:eastAsia="zh-CN"/>
        </w:rPr>
        <w:t>北临通兴东路</w:t>
      </w:r>
      <w:r>
        <w:rPr>
          <w:rFonts w:hint="eastAsia" w:ascii="仿宋_GB2312" w:hAnsi="仿宋_GB2312" w:eastAsia="仿宋_GB2312" w:cs="仿宋_GB2312"/>
          <w:color w:val="000000"/>
          <w:sz w:val="28"/>
          <w:szCs w:val="28"/>
          <w:highlight w:val="none"/>
          <w:lang w:val="en-US" w:eastAsia="zh-CN"/>
        </w:rPr>
        <w:t>。</w:t>
      </w:r>
    </w:p>
    <w:p>
      <w:pPr>
        <w:ind w:firstLine="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（5）朝向：</w:t>
      </w:r>
      <w:r>
        <w:rPr>
          <w:rFonts w:hint="eastAsia" w:ascii="仿宋_GB2312" w:hAnsi="仿宋_GB2312" w:eastAsia="仿宋_GB2312" w:cs="仿宋_GB2312"/>
          <w:color w:val="000000"/>
          <w:sz w:val="28"/>
          <w:szCs w:val="28"/>
          <w:lang w:eastAsia="zh-CN"/>
        </w:rPr>
        <w:t>估价对象朝北。</w:t>
      </w:r>
    </w:p>
    <w:p>
      <w:pPr>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（6）楼层：位于</w:t>
      </w:r>
      <w:r>
        <w:rPr>
          <w:rFonts w:hint="eastAsia" w:ascii="仿宋_GB2312" w:hAnsi="仿宋_GB2312" w:eastAsia="仿宋_GB2312" w:cs="仿宋_GB2312"/>
          <w:color w:val="000000"/>
          <w:sz w:val="28"/>
          <w:szCs w:val="28"/>
          <w:lang w:val="en-US" w:eastAsia="zh-CN"/>
        </w:rPr>
        <w:t>总层数2层的</w:t>
      </w:r>
      <w:r>
        <w:rPr>
          <w:rFonts w:hint="eastAsia" w:ascii="仿宋_GB2312" w:hAnsi="仿宋_GB2312" w:eastAsia="仿宋_GB2312" w:cs="仿宋_GB2312"/>
          <w:color w:val="000000"/>
          <w:sz w:val="28"/>
          <w:szCs w:val="28"/>
        </w:rPr>
        <w:t>第</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层。</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）居住聚集度：周边均是民房，居住聚集度较高。</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2.交通状况描述</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（1）道路状况：估价对象</w:t>
      </w:r>
      <w:r>
        <w:rPr>
          <w:rFonts w:hint="eastAsia" w:ascii="仿宋_GB2312" w:hAnsi="仿宋_GB2312" w:eastAsia="仿宋_GB2312" w:cs="仿宋_GB2312"/>
          <w:color w:val="000000"/>
          <w:sz w:val="28"/>
          <w:szCs w:val="28"/>
          <w:highlight w:val="none"/>
          <w:lang w:eastAsia="zh-CN"/>
        </w:rPr>
        <w:t>南临人民路、西临金海路、北临通兴东路</w:t>
      </w:r>
      <w:r>
        <w:rPr>
          <w:rFonts w:hint="eastAsia" w:ascii="仿宋_GB2312" w:hAnsi="仿宋_GB2312" w:eastAsia="仿宋_GB2312" w:cs="仿宋_GB2312"/>
          <w:color w:val="000000"/>
          <w:sz w:val="28"/>
          <w:szCs w:val="28"/>
          <w:highlight w:val="none"/>
          <w:lang w:val="en-US" w:eastAsia="zh-CN"/>
        </w:rPr>
        <w:t>。</w:t>
      </w:r>
      <w:r>
        <w:rPr>
          <w:rFonts w:hint="eastAsia" w:ascii="仿宋_GB2312" w:hAnsi="仿宋_GB2312" w:eastAsia="仿宋_GB2312" w:cs="仿宋_GB2312"/>
          <w:color w:val="000000"/>
          <w:sz w:val="28"/>
          <w:szCs w:val="28"/>
        </w:rPr>
        <w:t>主要由</w:t>
      </w:r>
      <w:r>
        <w:rPr>
          <w:rFonts w:hint="eastAsia" w:ascii="仿宋_GB2312" w:hAnsi="仿宋_GB2312" w:eastAsia="仿宋_GB2312" w:cs="仿宋_GB2312"/>
          <w:color w:val="000000"/>
          <w:sz w:val="28"/>
          <w:szCs w:val="28"/>
          <w:highlight w:val="none"/>
          <w:lang w:eastAsia="zh-CN"/>
        </w:rPr>
        <w:t>金海路、通兴东路</w:t>
      </w:r>
      <w:r>
        <w:rPr>
          <w:rFonts w:hint="eastAsia" w:ascii="仿宋_GB2312" w:hAnsi="仿宋_GB2312" w:eastAsia="仿宋_GB2312" w:cs="仿宋_GB2312"/>
          <w:color w:val="000000"/>
          <w:sz w:val="28"/>
          <w:szCs w:val="28"/>
        </w:rPr>
        <w:t>构成其对外交通路网</w:t>
      </w:r>
      <w:r>
        <w:rPr>
          <w:rFonts w:hint="eastAsia" w:ascii="仿宋_GB2312" w:hAnsi="仿宋_GB2312" w:eastAsia="仿宋_GB2312" w:cs="仿宋_GB2312"/>
          <w:color w:val="000000"/>
          <w:sz w:val="28"/>
          <w:szCs w:val="28"/>
          <w:lang w:eastAsia="zh-CN"/>
        </w:rPr>
        <w:t>。</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（2）出入可利用的交通工具：</w:t>
      </w:r>
      <w:r>
        <w:rPr>
          <w:rFonts w:hint="eastAsia" w:ascii="仿宋_GB2312" w:hAnsi="仿宋_GB2312" w:eastAsia="仿宋_GB2312" w:cs="仿宋_GB2312"/>
          <w:color w:val="000000"/>
          <w:sz w:val="28"/>
          <w:szCs w:val="28"/>
          <w:lang w:eastAsia="zh-CN"/>
        </w:rPr>
        <w:t>估价对象周边有公</w:t>
      </w:r>
      <w:r>
        <w:rPr>
          <w:rFonts w:hint="eastAsia" w:ascii="仿宋_GB2312" w:hAnsi="仿宋_GB2312" w:eastAsia="仿宋_GB2312" w:cs="仿宋_GB2312"/>
          <w:color w:val="000000"/>
          <w:sz w:val="28"/>
          <w:szCs w:val="28"/>
        </w:rPr>
        <w:t>交车及出租车经过，交通便捷</w:t>
      </w:r>
      <w:r>
        <w:rPr>
          <w:rFonts w:hint="eastAsia" w:ascii="仿宋_GB2312" w:hAnsi="仿宋_GB2312" w:eastAsia="仿宋_GB2312" w:cs="仿宋_GB2312"/>
          <w:color w:val="000000"/>
          <w:sz w:val="28"/>
          <w:szCs w:val="28"/>
          <w:lang w:eastAsia="zh-CN"/>
        </w:rPr>
        <w:t>度一般。</w:t>
      </w:r>
    </w:p>
    <w:p>
      <w:pP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（3）交通管制情况：</w:t>
      </w:r>
      <w:r>
        <w:rPr>
          <w:rFonts w:hint="eastAsia" w:ascii="仿宋_GB2312" w:hAnsi="仿宋_GB2312" w:eastAsia="仿宋_GB2312" w:cs="仿宋_GB2312"/>
          <w:color w:val="000000"/>
          <w:sz w:val="28"/>
          <w:szCs w:val="28"/>
          <w:lang w:eastAsia="zh-CN"/>
        </w:rPr>
        <w:t>无步行街、单行道、车辆限行等</w:t>
      </w:r>
      <w:r>
        <w:rPr>
          <w:rFonts w:hint="eastAsia" w:ascii="仿宋_GB2312" w:hAnsi="仿宋_GB2312" w:eastAsia="仿宋_GB2312" w:cs="仿宋_GB2312"/>
          <w:color w:val="000000"/>
          <w:sz w:val="28"/>
          <w:szCs w:val="28"/>
        </w:rPr>
        <w:t>交通管制。</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（4）停车方便程度：停车方便</w:t>
      </w:r>
      <w:r>
        <w:rPr>
          <w:rFonts w:hint="eastAsia" w:ascii="仿宋_GB2312" w:hAnsi="仿宋_GB2312" w:eastAsia="仿宋_GB2312" w:cs="仿宋_GB2312"/>
          <w:color w:val="000000"/>
          <w:sz w:val="28"/>
          <w:szCs w:val="28"/>
          <w:lang w:eastAsia="zh-CN"/>
        </w:rPr>
        <w:t>度一般</w:t>
      </w:r>
      <w:r>
        <w:rPr>
          <w:rFonts w:hint="eastAsia" w:ascii="仿宋_GB2312" w:hAnsi="仿宋_GB2312" w:eastAsia="仿宋_GB2312" w:cs="仿宋_GB2312"/>
          <w:color w:val="000000"/>
          <w:sz w:val="28"/>
          <w:szCs w:val="28"/>
        </w:rPr>
        <w:t>。</w:t>
      </w:r>
    </w:p>
    <w:p>
      <w:pPr>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3.环境状况描述</w:t>
      </w:r>
    </w:p>
    <w:p>
      <w:p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（1）自然环境：</w:t>
      </w:r>
      <w:r>
        <w:rPr>
          <w:rFonts w:hint="eastAsia" w:ascii="仿宋_GB2312" w:hAnsi="仿宋_GB2312" w:eastAsia="仿宋_GB2312" w:cs="仿宋_GB2312"/>
          <w:color w:val="000000"/>
          <w:sz w:val="28"/>
          <w:szCs w:val="28"/>
          <w:lang w:eastAsia="zh-CN"/>
        </w:rPr>
        <w:t>射阳县东临黄海，海洋调节作用明显，属于湿润的季风气候区。季风盛行，四季分明，雨水丰沛，日照充足，</w:t>
      </w:r>
      <w:r>
        <w:rPr>
          <w:rFonts w:hint="eastAsia" w:ascii="仿宋_GB2312" w:hAnsi="仿宋_GB2312" w:eastAsia="仿宋_GB2312" w:cs="仿宋_GB2312"/>
          <w:color w:val="000000"/>
          <w:sz w:val="28"/>
          <w:szCs w:val="28"/>
        </w:rPr>
        <w:t>自然环境</w:t>
      </w:r>
      <w:r>
        <w:rPr>
          <w:rFonts w:hint="eastAsia" w:ascii="仿宋_GB2312" w:hAnsi="仿宋_GB2312" w:eastAsia="仿宋_GB2312" w:cs="仿宋_GB2312"/>
          <w:color w:val="000000"/>
          <w:sz w:val="28"/>
          <w:szCs w:val="28"/>
          <w:lang w:eastAsia="zh-CN"/>
        </w:rPr>
        <w:t>较好</w:t>
      </w:r>
      <w:r>
        <w:rPr>
          <w:rFonts w:hint="eastAsia" w:ascii="仿宋_GB2312" w:hAnsi="仿宋_GB2312" w:eastAsia="仿宋_GB2312" w:cs="仿宋_GB2312"/>
          <w:color w:val="000000"/>
          <w:sz w:val="28"/>
          <w:szCs w:val="28"/>
        </w:rPr>
        <w:t>。</w:t>
      </w:r>
    </w:p>
    <w:p>
      <w:p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（2）人文环境：</w:t>
      </w:r>
      <w:r>
        <w:rPr>
          <w:rFonts w:hint="eastAsia" w:ascii="仿宋_GB2312" w:hAnsi="仿宋_GB2312" w:eastAsia="仿宋_GB2312" w:cs="仿宋_GB2312"/>
          <w:color w:val="000000"/>
          <w:sz w:val="28"/>
          <w:szCs w:val="28"/>
          <w:lang w:eastAsia="zh-CN"/>
        </w:rPr>
        <w:t>居住居民素质一般、治安状况一般，</w:t>
      </w:r>
      <w:r>
        <w:rPr>
          <w:rFonts w:hint="eastAsia" w:ascii="仿宋_GB2312" w:hAnsi="仿宋_GB2312" w:eastAsia="仿宋_GB2312" w:cs="仿宋_GB2312"/>
          <w:color w:val="000000"/>
          <w:sz w:val="28"/>
          <w:szCs w:val="28"/>
        </w:rPr>
        <w:t>人文环境</w:t>
      </w:r>
      <w:r>
        <w:rPr>
          <w:rFonts w:hint="eastAsia" w:ascii="仿宋_GB2312" w:hAnsi="仿宋_GB2312" w:eastAsia="仿宋_GB2312" w:cs="仿宋_GB2312"/>
          <w:color w:val="000000"/>
          <w:sz w:val="28"/>
          <w:szCs w:val="28"/>
          <w:lang w:eastAsia="zh-CN"/>
        </w:rPr>
        <w:t>一般。</w:t>
      </w:r>
    </w:p>
    <w:p>
      <w:pP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（3）景观：景观</w:t>
      </w:r>
      <w:r>
        <w:rPr>
          <w:rFonts w:hint="eastAsia" w:ascii="仿宋_GB2312" w:hAnsi="仿宋_GB2312" w:eastAsia="仿宋_GB2312" w:cs="仿宋_GB2312"/>
          <w:color w:val="000000"/>
          <w:sz w:val="28"/>
          <w:szCs w:val="28"/>
          <w:highlight w:val="none"/>
          <w:lang w:eastAsia="zh-CN"/>
        </w:rPr>
        <w:t>一般</w:t>
      </w:r>
      <w:r>
        <w:rPr>
          <w:rFonts w:hint="eastAsia" w:ascii="仿宋_GB2312" w:hAnsi="仿宋_GB2312" w:eastAsia="仿宋_GB2312" w:cs="仿宋_GB2312"/>
          <w:color w:val="000000"/>
          <w:sz w:val="28"/>
          <w:szCs w:val="28"/>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4.外部配套设施状况描述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（1）基础设施：估价对象基础设施</w:t>
      </w:r>
      <w:r>
        <w:rPr>
          <w:rFonts w:hint="eastAsia" w:ascii="仿宋_GB2312" w:hAnsi="仿宋_GB2312" w:eastAsia="仿宋_GB2312" w:cs="仿宋_GB2312"/>
          <w:color w:val="000000"/>
          <w:sz w:val="28"/>
          <w:szCs w:val="28"/>
          <w:lang w:eastAsia="zh-CN"/>
        </w:rPr>
        <w:t>已达到</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五</w:t>
      </w:r>
      <w:r>
        <w:rPr>
          <w:rFonts w:hint="eastAsia" w:ascii="仿宋_GB2312" w:hAnsi="仿宋_GB2312" w:eastAsia="仿宋_GB2312" w:cs="仿宋_GB2312"/>
          <w:color w:val="000000"/>
          <w:sz w:val="28"/>
          <w:szCs w:val="28"/>
        </w:rPr>
        <w:t>通”（通路、通电、通讯、给水、排水），</w:t>
      </w:r>
      <w:r>
        <w:rPr>
          <w:rFonts w:hint="eastAsia" w:ascii="仿宋_GB2312" w:hAnsi="仿宋_GB2312" w:eastAsia="仿宋_GB2312" w:cs="仿宋_GB2312"/>
          <w:color w:val="000000"/>
          <w:sz w:val="28"/>
          <w:szCs w:val="28"/>
          <w:lang w:eastAsia="zh-CN"/>
        </w:rPr>
        <w:t>水、电供应保证率高，</w:t>
      </w:r>
      <w:r>
        <w:rPr>
          <w:rFonts w:hint="eastAsia" w:ascii="仿宋_GB2312" w:hAnsi="仿宋_GB2312" w:eastAsia="仿宋_GB2312" w:cs="仿宋_GB2312"/>
          <w:color w:val="000000"/>
          <w:sz w:val="28"/>
          <w:szCs w:val="28"/>
        </w:rPr>
        <w:t>基础设施完善。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（2）公共服务设施：估价对象附近有</w:t>
      </w:r>
      <w:r>
        <w:rPr>
          <w:rFonts w:hint="eastAsia" w:ascii="仿宋_GB2312" w:hAnsi="仿宋_GB2312" w:eastAsia="仿宋_GB2312" w:cs="仿宋_GB2312"/>
          <w:color w:val="000000"/>
          <w:sz w:val="28"/>
          <w:szCs w:val="28"/>
          <w:lang w:eastAsia="zh-CN"/>
        </w:rPr>
        <w:t>射阳县海通初级中学、射阳县海通小学；射阳县海通镇医院；中国邮政储蓄银行（海通营业所）、中国农业银行（海通支行）、江苏射阳农村商业银行（海通支行）；好又多购物广场（海通店），</w:t>
      </w:r>
      <w:r>
        <w:rPr>
          <w:rFonts w:hint="eastAsia" w:ascii="仿宋_GB2312" w:hAnsi="仿宋_GB2312" w:eastAsia="仿宋_GB2312" w:cs="仿宋_GB2312"/>
          <w:color w:val="000000"/>
          <w:sz w:val="28"/>
          <w:szCs w:val="28"/>
        </w:rPr>
        <w:t>生活配套设施和公共配套设施</w:t>
      </w:r>
      <w:r>
        <w:rPr>
          <w:rFonts w:hint="eastAsia" w:ascii="仿宋_GB2312" w:hAnsi="仿宋_GB2312" w:eastAsia="仿宋_GB2312" w:cs="仿宋_GB2312"/>
          <w:color w:val="000000"/>
          <w:sz w:val="28"/>
          <w:szCs w:val="28"/>
          <w:lang w:eastAsia="zh-CN"/>
        </w:rPr>
        <w:t>一般。</w:t>
      </w:r>
    </w:p>
    <w:p>
      <w:pPr>
        <w:numPr>
          <w:ilvl w:val="0"/>
          <w:numId w:val="0"/>
        </w:numPr>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5.区位状况分析</w:t>
      </w:r>
    </w:p>
    <w:p>
      <w:pPr>
        <w:numPr>
          <w:ilvl w:val="0"/>
          <w:numId w:val="0"/>
        </w:numPr>
        <w:ind w:firstLine="560" w:firstLineChars="200"/>
        <w:rPr>
          <w:rFonts w:hint="eastAsia" w:ascii="Times New Roman" w:hAnsi="Times New Roman" w:eastAsia="仿宋_GB2312" w:cs="Times New Roman"/>
          <w:color w:val="000000"/>
          <w:sz w:val="28"/>
          <w:szCs w:val="28"/>
          <w:lang w:val="en-US" w:eastAsia="zh-CN"/>
        </w:rPr>
      </w:pPr>
      <w:r>
        <w:rPr>
          <w:rFonts w:hint="eastAsia" w:ascii="仿宋_GB2312" w:hAnsi="仿宋_GB2312" w:eastAsia="仿宋_GB2312" w:cs="仿宋_GB2312"/>
          <w:kern w:val="0"/>
          <w:sz w:val="28"/>
          <w:szCs w:val="28"/>
        </w:rPr>
        <w:t>综合分析估价对象的位置、交通、外部配套、环境状况、估价对象的区位整体</w:t>
      </w:r>
      <w:r>
        <w:rPr>
          <w:rFonts w:hint="eastAsia" w:ascii="仿宋_GB2312" w:hAnsi="仿宋_GB2312" w:eastAsia="仿宋_GB2312" w:cs="仿宋_GB2312"/>
          <w:kern w:val="0"/>
          <w:sz w:val="28"/>
          <w:szCs w:val="28"/>
          <w:lang w:eastAsia="zh-CN"/>
        </w:rPr>
        <w:t>一般</w:t>
      </w:r>
      <w:r>
        <w:rPr>
          <w:rFonts w:hint="eastAsia" w:ascii="仿宋_GB2312" w:hAnsi="仿宋_GB2312" w:eastAsia="仿宋_GB2312" w:cs="仿宋_GB2312"/>
          <w:kern w:val="0"/>
          <w:sz w:val="28"/>
          <w:szCs w:val="28"/>
        </w:rPr>
        <w:t>。</w:t>
      </w:r>
    </w:p>
    <w:p>
      <w:pPr>
        <w:numPr>
          <w:ilvl w:val="0"/>
          <w:numId w:val="0"/>
        </w:numPr>
        <w:spacing w:line="500" w:lineRule="exact"/>
        <w:ind w:firstLine="560" w:firstLineChars="200"/>
        <w:rPr>
          <w:rFonts w:hint="eastAsia" w:eastAsia="仿宋_GB2312"/>
          <w:color w:val="000000"/>
          <w:sz w:val="28"/>
          <w:szCs w:val="28"/>
          <w:lang w:eastAsia="zh-CN"/>
        </w:rPr>
      </w:pPr>
      <w:r>
        <w:rPr>
          <w:rFonts w:hint="eastAsia" w:ascii="Times New Roman" w:hAnsi="Times New Roman" w:eastAsia="仿宋_GB2312" w:cs="Times New Roman"/>
          <w:color w:val="000000"/>
          <w:sz w:val="28"/>
          <w:szCs w:val="28"/>
          <w:lang w:val="en-US" w:eastAsia="zh-CN"/>
        </w:rPr>
        <w:t>估价对象具体位置如下：</w:t>
      </w: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ind w:left="560" w:hanging="420" w:hangingChars="200"/>
      </w:pPr>
    </w:p>
    <w:p>
      <w:pPr>
        <w:spacing w:line="240" w:lineRule="auto"/>
        <w:rPr>
          <w:rFonts w:hint="eastAsia" w:eastAsia="仿宋_GB2312"/>
          <w:sz w:val="28"/>
          <w:szCs w:val="28"/>
          <w:lang w:val="en-US" w:eastAsia="zh-CN"/>
        </w:rPr>
      </w:pP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2946400</wp:posOffset>
                </wp:positionH>
                <wp:positionV relativeFrom="paragraph">
                  <wp:posOffset>1533525</wp:posOffset>
                </wp:positionV>
                <wp:extent cx="1064260" cy="396240"/>
                <wp:effectExtent l="397510" t="13970" r="24130" b="237490"/>
                <wp:wrapNone/>
                <wp:docPr id="8" name="圆角矩形标注 8"/>
                <wp:cNvGraphicFramePr/>
                <a:graphic xmlns:a="http://schemas.openxmlformats.org/drawingml/2006/main">
                  <a:graphicData uri="http://schemas.microsoft.com/office/word/2010/wordprocessingShape">
                    <wps:wsp>
                      <wps:cNvSpPr/>
                      <wps:spPr>
                        <a:xfrm>
                          <a:off x="4721225" y="4389120"/>
                          <a:ext cx="1064260" cy="396240"/>
                        </a:xfrm>
                        <a:prstGeom prst="wedgeRoundRectCallout">
                          <a:avLst>
                            <a:gd name="adj1" fmla="val -76986"/>
                            <a:gd name="adj2" fmla="val 99037"/>
                            <a:gd name="adj3" fmla="val 16667"/>
                          </a:avLst>
                        </a:prstGeom>
                        <a:solidFill>
                          <a:srgbClr val="FFFFFF"/>
                        </a:solidFill>
                        <a:ln w="28575" cap="flat" cmpd="sng">
                          <a:solidFill>
                            <a:srgbClr val="FF0000"/>
                          </a:solidFill>
                          <a:prstDash val="solid"/>
                          <a:miter/>
                          <a:headEnd type="none" w="med" len="med"/>
                          <a:tailEnd type="none" w="med" len="med"/>
                        </a:ln>
                        <a:effectLst/>
                      </wps:spPr>
                      <wps:txbx>
                        <w:txbxContent>
                          <w:p>
                            <w:pPr>
                              <w:jc w:val="center"/>
                              <w:rPr>
                                <w:rFonts w:hint="eastAsia" w:eastAsia="楷体_GB2312"/>
                                <w:color w:val="FF0000"/>
                                <w:spacing w:val="10"/>
                                <w:position w:val="20"/>
                                <w:sz w:val="18"/>
                                <w:szCs w:val="18"/>
                              </w:rPr>
                            </w:pPr>
                            <w:r>
                              <w:rPr>
                                <w:rFonts w:hint="eastAsia" w:eastAsia="楷体_GB2312"/>
                                <w:color w:val="FF0000"/>
                                <w:spacing w:val="10"/>
                                <w:position w:val="20"/>
                                <w:sz w:val="18"/>
                                <w:szCs w:val="18"/>
                              </w:rPr>
                              <w:t>委估对象</w:t>
                            </w:r>
                            <w:r>
                              <w:rPr>
                                <w:rFonts w:hint="eastAsia" w:eastAsia="楷体_GB2312"/>
                                <w:color w:val="FF0000"/>
                                <w:spacing w:val="10"/>
                                <w:position w:val="20"/>
                                <w:sz w:val="18"/>
                                <w:szCs w:val="18"/>
                                <w:lang w:eastAsia="zh-CN"/>
                              </w:rPr>
                              <w:t>位置</w:t>
                            </w:r>
                          </w:p>
                        </w:txbxContent>
                      </wps:txbx>
                      <wps:bodyPr upright="1"/>
                    </wps:wsp>
                  </a:graphicData>
                </a:graphic>
              </wp:anchor>
            </w:drawing>
          </mc:Choice>
          <mc:Fallback>
            <w:pict>
              <v:shape id="_x0000_s1026" o:spid="_x0000_s1026" o:spt="62" type="#_x0000_t62" style="position:absolute;left:0pt;margin-left:232pt;margin-top:120.75pt;height:31.2pt;width:83.8pt;z-index:251659264;mso-width-relative:page;mso-height-relative:page;" fillcolor="#FFFFFF" filled="t" stroked="t" coordsize="21600,21600" o:gfxdata="UEsDBAoAAAAAAIdO4kAAAAAAAAAAAAAAAAAEAAAAZHJzL1BLAwQUAAAACACHTuJAkhIhOtkAAAAL&#10;AQAADwAAAGRycy9kb3ducmV2LnhtbE2PwU7DMBBE70j8g7WVuFHbTQgkZFMhJNQDp5Z+gBu7cdp4&#10;HcVuG/4ec4LjaEYzb+r17AZ2NVPoPSHIpQBmqPW6pw5h//Xx+AIsREVaDZ4MwrcJsG7u72pVaX+j&#10;rbnuYsdSCYVKIdgYx4rz0FrjVFj60VDyjn5yKiY5dVxP6pbK3cBXQhTcqZ7SglWjebemPe8uDmHz&#10;LGmbbWQ3f+5Lmx9P5fmNl4gPCylegUUzx78w/OIndGgS08FfSAc2IORFnr5EhFUun4ClRJHJAtgB&#10;IRNZCbyp+f8PzQ9QSwMEFAAAAAgAh07iQKDKSJBkAgAA1wQAAA4AAABkcnMvZTJvRG9jLnhtbK1U&#10;y3LTMBTdM8M/aLRv/UjqPCZOFw1lw0CnhQ9QLNkWo9dISpz8AOxZMwPDBliz5nNa+AyuFNMmLYsu&#10;8MK+so6PzrkPz043UqA1s45rVeLsOMWIqUpTrpoSv3l9fjTGyHmiKBFasRJvmcOn86dPZp2Zsly3&#10;WlBmEZAoN+1MiVvvzTRJXNUySdyxNkzBZq2tJB6WtkmoJR2wS5HkaVoknbbUWF0x5+DtYreJe0b7&#10;GEJd17xiC12tJFN+x2qZIB4suZYbh+dRbV2zyr+qa8c8EiUGpz7e4RCIl+GezGdk2lhiWl71Eshj&#10;JNzzJAlXcOgt1YJ4glaWP6CSvLLa6dofV1omOyMxI+AiS+/l5qolhkUvkGpnbpPu/h9t9XJ9YRGn&#10;JYayKyKh4Ncf3/3++uHXp+/XP7/cfH5/8+MbGoc8dcZNAX5lLmy/chAG05vayvAEO2hT4uEoz/L8&#10;BKMtxIPxJMv7PLONRxUAsrQY5gWUoALEYFLkwwhI7piMdf450xKFoMQdow271CtFL6GiZ0QIvfIx&#10;32T9wvmYeNrLJ/RthlEtBdRxTQQ6GhWTcdEXeg+U74Mmk3QweogZ7GOyoigiBnT2x0L0V2nQ4LTg&#10;9JwLERe2WZ4Ji0BDic/jFQ6ATw5gQqGuxPn4ZAQJqwgMVA2NDKE0UBSnmmjz4BN3yJzC9S/moGxB&#10;XLtTEBl2DiX3zMbGbxmhzxRFfmug8ArmHQc1klGMBIPfQ4gi0hMuHoMEe0IF+ywOHxQneA6ts2uW&#10;EPnNcgNvQ7jUdAv9tzKWNy0UOotGwg70e0xWP5thoPbXkfTufz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ISITrZAAAACwEAAA8AAAAAAAAAAQAgAAAAIgAAAGRycy9kb3ducmV2LnhtbFBLAQIU&#10;ABQAAAAIAIdO4kCgykiQZAIAANcEAAAOAAAAAAAAAAEAIAAAACgBAABkcnMvZTJvRG9jLnhtbFBL&#10;BQYAAAAABgAGAFkBAAD+BQAAAAA=&#10;" adj="-5829,32192,14400">
                <v:path/>
                <v:fill on="t" focussize="0,0"/>
                <v:stroke weight="2.25pt" color="#FF0000" joinstyle="miter"/>
                <v:imagedata o:title=""/>
                <o:lock v:ext="edit" aspectratio="f"/>
                <v:textbox>
                  <w:txbxContent>
                    <w:p>
                      <w:pPr>
                        <w:jc w:val="center"/>
                        <w:rPr>
                          <w:rFonts w:hint="eastAsia" w:eastAsia="楷体_GB2312"/>
                          <w:color w:val="FF0000"/>
                          <w:spacing w:val="10"/>
                          <w:position w:val="20"/>
                          <w:sz w:val="18"/>
                          <w:szCs w:val="18"/>
                        </w:rPr>
                      </w:pPr>
                      <w:r>
                        <w:rPr>
                          <w:rFonts w:hint="eastAsia" w:eastAsia="楷体_GB2312"/>
                          <w:color w:val="FF0000"/>
                          <w:spacing w:val="10"/>
                          <w:position w:val="20"/>
                          <w:sz w:val="18"/>
                          <w:szCs w:val="18"/>
                        </w:rPr>
                        <w:t>委估对象</w:t>
                      </w:r>
                      <w:r>
                        <w:rPr>
                          <w:rFonts w:hint="eastAsia" w:eastAsia="楷体_GB2312"/>
                          <w:color w:val="FF0000"/>
                          <w:spacing w:val="10"/>
                          <w:position w:val="20"/>
                          <w:sz w:val="18"/>
                          <w:szCs w:val="18"/>
                          <w:lang w:eastAsia="zh-CN"/>
                        </w:rPr>
                        <w:t>位置</w:t>
                      </w:r>
                    </w:p>
                  </w:txbxContent>
                </v:textbox>
              </v:shape>
            </w:pict>
          </mc:Fallback>
        </mc:AlternateContent>
      </w:r>
      <w:r>
        <w:drawing>
          <wp:inline distT="0" distB="0" distL="114300" distR="114300">
            <wp:extent cx="5274310" cy="398780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4310" cy="3987800"/>
                    </a:xfrm>
                    <a:prstGeom prst="rect">
                      <a:avLst/>
                    </a:prstGeom>
                    <a:noFill/>
                    <a:ln>
                      <a:noFill/>
                    </a:ln>
                  </pic:spPr>
                </pic:pic>
              </a:graphicData>
            </a:graphic>
          </wp:inline>
        </w:drawing>
      </w:r>
      <w:r>
        <w:rPr>
          <w:rFonts w:hint="eastAsia" w:eastAsia="仿宋_GB2312"/>
          <w:color w:val="000000"/>
          <w:sz w:val="28"/>
          <w:szCs w:val="28"/>
          <w:lang w:eastAsia="zh-CN"/>
        </w:rPr>
        <w:t>（二）</w:t>
      </w:r>
      <w:r>
        <w:rPr>
          <w:rFonts w:eastAsia="仿宋_GB2312"/>
          <w:color w:val="000000"/>
          <w:sz w:val="28"/>
          <w:szCs w:val="28"/>
        </w:rPr>
        <w:t>权益状况</w:t>
      </w:r>
      <w:r>
        <w:rPr>
          <w:rFonts w:hint="eastAsia" w:eastAsia="仿宋_GB2312"/>
          <w:sz w:val="28"/>
          <w:szCs w:val="28"/>
          <w:lang w:val="en-US" w:eastAsia="zh-CN"/>
        </w:rPr>
        <w:t xml:space="preserve">                           </w:t>
      </w:r>
    </w:p>
    <w:p>
      <w:pPr>
        <w:spacing w:line="540" w:lineRule="exact"/>
        <w:ind w:firstLine="560" w:firstLineChars="200"/>
        <w:rPr>
          <w:rFonts w:hint="eastAsia" w:eastAsia="仿宋_GB2312"/>
          <w:sz w:val="28"/>
          <w:szCs w:val="28"/>
        </w:rPr>
      </w:pPr>
      <w:r>
        <w:rPr>
          <w:rFonts w:hint="eastAsia" w:eastAsia="仿宋_GB2312"/>
          <w:sz w:val="28"/>
          <w:szCs w:val="28"/>
          <w:lang w:val="en-US" w:eastAsia="zh-CN"/>
        </w:rPr>
        <w:t xml:space="preserve"> </w:t>
      </w: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土地权益：</w:t>
      </w:r>
    </w:p>
    <w:p>
      <w:pPr>
        <w:spacing w:line="540" w:lineRule="exact"/>
        <w:ind w:firstLine="560" w:firstLineChars="200"/>
        <w:rPr>
          <w:rFonts w:hint="eastAsia" w:eastAsia="仿宋_GB2312"/>
          <w:sz w:val="28"/>
          <w:szCs w:val="28"/>
          <w:lang w:eastAsia="zh-CN"/>
        </w:rPr>
      </w:pPr>
      <w:r>
        <w:rPr>
          <w:rFonts w:hint="eastAsia" w:eastAsia="仿宋_GB2312"/>
          <w:sz w:val="28"/>
          <w:szCs w:val="28"/>
          <w:lang w:eastAsia="zh-CN"/>
        </w:rPr>
        <w:t>依据委托方提供的</w:t>
      </w:r>
      <w:r>
        <w:rPr>
          <w:rFonts w:hint="eastAsia" w:ascii="仿宋_GB2312" w:hAnsi="仿宋_GB2312" w:eastAsia="仿宋_GB2312" w:cs="仿宋_GB2312"/>
          <w:color w:val="000000"/>
          <w:sz w:val="28"/>
          <w:szCs w:val="28"/>
          <w:lang w:val="en-US" w:eastAsia="zh-CN"/>
        </w:rPr>
        <w:t>《射阳县不动产登记土地信息查询结果证明》</w:t>
      </w:r>
      <w:r>
        <w:rPr>
          <w:rFonts w:hint="eastAsia" w:eastAsia="仿宋_GB2312"/>
          <w:sz w:val="28"/>
          <w:szCs w:val="28"/>
        </w:rPr>
        <w:t>（复印件），</w:t>
      </w:r>
      <w:r>
        <w:rPr>
          <w:rFonts w:hint="eastAsia" w:eastAsia="仿宋_GB2312"/>
          <w:sz w:val="28"/>
          <w:szCs w:val="28"/>
          <w:lang w:eastAsia="zh-CN"/>
        </w:rPr>
        <w:t>知悉估价对象的土地信息具体如下：</w:t>
      </w:r>
    </w:p>
    <w:p>
      <w:pPr>
        <w:spacing w:line="540" w:lineRule="exact"/>
        <w:ind w:firstLine="560" w:firstLineChars="200"/>
        <w:jc w:val="right"/>
        <w:rPr>
          <w:rFonts w:hint="default" w:eastAsia="仿宋_GB2312"/>
          <w:sz w:val="28"/>
          <w:szCs w:val="28"/>
          <w:lang w:val="en-US" w:eastAsia="zh-CN"/>
        </w:rPr>
      </w:pPr>
      <w:r>
        <w:rPr>
          <w:rFonts w:hint="eastAsia" w:eastAsia="仿宋_GB2312"/>
          <w:sz w:val="28"/>
          <w:szCs w:val="28"/>
          <w:lang w:eastAsia="zh-CN"/>
        </w:rPr>
        <w:t>表</w:t>
      </w:r>
      <w:r>
        <w:rPr>
          <w:rFonts w:hint="eastAsia" w:eastAsia="仿宋_GB2312"/>
          <w:sz w:val="28"/>
          <w:szCs w:val="28"/>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418"/>
        <w:gridCol w:w="3027"/>
        <w:gridCol w:w="1364"/>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noWrap w:val="0"/>
            <w:vAlign w:val="center"/>
          </w:tcPr>
          <w:p>
            <w:pPr>
              <w:spacing w:line="480" w:lineRule="exact"/>
              <w:jc w:val="center"/>
              <w:rPr>
                <w:rFonts w:hint="eastAsia" w:eastAsia="仿宋_GB2312"/>
                <w:color w:val="000000"/>
                <w:kern w:val="2"/>
                <w:sz w:val="28"/>
                <w:szCs w:val="28"/>
                <w:vertAlign w:val="baseline"/>
                <w:lang w:val="en-US" w:eastAsia="zh-CN" w:bidi="ar-SA"/>
              </w:rPr>
            </w:pPr>
            <w:r>
              <w:rPr>
                <w:rFonts w:hint="eastAsia" w:eastAsia="仿宋_GB2312"/>
                <w:color w:val="000000"/>
                <w:sz w:val="28"/>
                <w:szCs w:val="28"/>
                <w:vertAlign w:val="baseline"/>
                <w:lang w:val="en-US" w:eastAsia="zh-CN"/>
              </w:rPr>
              <w:t>权证号</w:t>
            </w:r>
          </w:p>
        </w:tc>
        <w:tc>
          <w:tcPr>
            <w:tcW w:w="6599" w:type="dxa"/>
            <w:gridSpan w:val="4"/>
            <w:noWrap w:val="0"/>
            <w:vAlign w:val="center"/>
          </w:tcPr>
          <w:p>
            <w:pPr>
              <w:spacing w:line="480" w:lineRule="exact"/>
              <w:jc w:val="center"/>
              <w:rPr>
                <w:rFonts w:hint="default" w:eastAsia="仿宋_GB2312"/>
                <w:color w:val="000000"/>
                <w:kern w:val="2"/>
                <w:sz w:val="28"/>
                <w:szCs w:val="28"/>
                <w:vertAlign w:val="baseline"/>
                <w:lang w:val="en-US" w:eastAsia="zh-CN" w:bidi="ar-SA"/>
              </w:rPr>
            </w:pPr>
            <w:r>
              <w:rPr>
                <w:rFonts w:hint="eastAsia" w:eastAsia="仿宋_GB2312"/>
                <w:color w:val="000000"/>
                <w:sz w:val="28"/>
                <w:szCs w:val="28"/>
                <w:vertAlign w:val="baseline"/>
                <w:lang w:val="en-US" w:eastAsia="zh-CN"/>
              </w:rPr>
              <w:t>射集用（2013）第0000703号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土地使用权人</w:t>
            </w:r>
          </w:p>
        </w:tc>
        <w:tc>
          <w:tcPr>
            <w:tcW w:w="6599"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何安龙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共有情况</w:t>
            </w:r>
          </w:p>
        </w:tc>
        <w:tc>
          <w:tcPr>
            <w:tcW w:w="6599"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其它共有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土地坐落</w:t>
            </w:r>
          </w:p>
        </w:tc>
        <w:tc>
          <w:tcPr>
            <w:tcW w:w="6599"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海通镇通兴路南侧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登记时间</w:t>
            </w:r>
          </w:p>
        </w:tc>
        <w:tc>
          <w:tcPr>
            <w:tcW w:w="6599" w:type="dxa"/>
            <w:gridSpan w:val="4"/>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2013-02-02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Merge w:val="restart"/>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土地状况</w:t>
            </w:r>
          </w:p>
        </w:tc>
        <w:tc>
          <w:tcPr>
            <w:tcW w:w="1418"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宗地号</w:t>
            </w:r>
          </w:p>
        </w:tc>
        <w:tc>
          <w:tcPr>
            <w:tcW w:w="3027" w:type="dxa"/>
            <w:noWrap w:val="0"/>
            <w:vAlign w:val="center"/>
          </w:tcPr>
          <w:p>
            <w:pPr>
              <w:spacing w:line="480" w:lineRule="exact"/>
              <w:jc w:val="left"/>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320924008018JC00017</w:t>
            </w:r>
          </w:p>
        </w:tc>
        <w:tc>
          <w:tcPr>
            <w:tcW w:w="1364" w:type="dxa"/>
            <w:noWrap w:val="0"/>
            <w:vAlign w:val="center"/>
          </w:tcPr>
          <w:p>
            <w:pPr>
              <w:spacing w:line="480" w:lineRule="exact"/>
              <w:jc w:val="left"/>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权属状态</w:t>
            </w:r>
          </w:p>
        </w:tc>
        <w:tc>
          <w:tcPr>
            <w:tcW w:w="790" w:type="dxa"/>
            <w:noWrap w:val="0"/>
            <w:vAlign w:val="center"/>
          </w:tcPr>
          <w:p>
            <w:pPr>
              <w:spacing w:line="480" w:lineRule="exact"/>
              <w:jc w:val="left"/>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Merge w:val="continue"/>
            <w:noWrap w:val="0"/>
            <w:vAlign w:val="center"/>
          </w:tcPr>
          <w:p>
            <w:pPr>
              <w:spacing w:line="480" w:lineRule="exact"/>
              <w:jc w:val="center"/>
              <w:rPr>
                <w:rFonts w:hint="eastAsia" w:eastAsia="仿宋_GB2312"/>
                <w:color w:val="000000"/>
                <w:sz w:val="28"/>
                <w:szCs w:val="28"/>
                <w:vertAlign w:val="baseline"/>
                <w:lang w:val="en-US" w:eastAsia="zh-CN"/>
              </w:rPr>
            </w:pPr>
          </w:p>
        </w:tc>
        <w:tc>
          <w:tcPr>
            <w:tcW w:w="1418"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宗地面积</w:t>
            </w:r>
          </w:p>
        </w:tc>
        <w:tc>
          <w:tcPr>
            <w:tcW w:w="5181" w:type="dxa"/>
            <w:gridSpan w:val="3"/>
            <w:noWrap w:val="0"/>
            <w:vAlign w:val="center"/>
          </w:tcPr>
          <w:p>
            <w:pPr>
              <w:spacing w:line="480" w:lineRule="exact"/>
              <w:jc w:val="left"/>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3" w:type="dxa"/>
            <w:vMerge w:val="continue"/>
            <w:noWrap w:val="0"/>
            <w:vAlign w:val="center"/>
          </w:tcPr>
          <w:p>
            <w:pPr>
              <w:spacing w:line="480" w:lineRule="exact"/>
              <w:jc w:val="center"/>
              <w:rPr>
                <w:rFonts w:hint="eastAsia" w:eastAsia="仿宋_GB2312"/>
                <w:color w:val="000000"/>
                <w:sz w:val="28"/>
                <w:szCs w:val="28"/>
                <w:vertAlign w:val="baseline"/>
                <w:lang w:val="en-US" w:eastAsia="zh-CN"/>
              </w:rPr>
            </w:pPr>
          </w:p>
        </w:tc>
        <w:tc>
          <w:tcPr>
            <w:tcW w:w="1418" w:type="dxa"/>
            <w:noWrap w:val="0"/>
            <w:vAlign w:val="center"/>
          </w:tcPr>
          <w:p>
            <w:pPr>
              <w:spacing w:line="480" w:lineRule="exact"/>
              <w:jc w:val="left"/>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使用年限</w:t>
            </w:r>
          </w:p>
        </w:tc>
        <w:tc>
          <w:tcPr>
            <w:tcW w:w="5181" w:type="dxa"/>
            <w:gridSpan w:val="3"/>
            <w:noWrap w:val="0"/>
            <w:vAlign w:val="center"/>
          </w:tcPr>
          <w:p>
            <w:pPr>
              <w:spacing w:line="480" w:lineRule="exact"/>
              <w:jc w:val="left"/>
              <w:rPr>
                <w:rFonts w:hint="eastAsia" w:eastAsia="仿宋_GB2312"/>
                <w:color w:val="000000"/>
                <w:sz w:val="28"/>
                <w:szCs w:val="28"/>
                <w:vertAlign w:val="baseline"/>
                <w:lang w:val="en-US" w:eastAsia="zh-CN"/>
              </w:rPr>
            </w:pPr>
          </w:p>
        </w:tc>
      </w:tr>
    </w:tbl>
    <w:p>
      <w:pPr>
        <w:spacing w:line="540" w:lineRule="exact"/>
        <w:ind w:firstLine="560" w:firstLineChars="200"/>
        <w:rPr>
          <w:rFonts w:hint="eastAsia" w:eastAsia="仿宋_GB2312"/>
          <w:sz w:val="28"/>
          <w:szCs w:val="28"/>
        </w:rPr>
      </w:pPr>
      <w:r>
        <w:rPr>
          <w:rFonts w:hint="eastAsia" w:eastAsia="仿宋_GB2312"/>
          <w:sz w:val="28"/>
          <w:szCs w:val="28"/>
          <w:lang w:val="en-US" w:eastAsia="zh-CN"/>
        </w:rPr>
        <w:t xml:space="preserve"> 2</w:t>
      </w:r>
      <w:r>
        <w:rPr>
          <w:rFonts w:hint="eastAsia" w:eastAsia="仿宋_GB2312"/>
          <w:sz w:val="28"/>
          <w:szCs w:val="28"/>
          <w:lang w:eastAsia="zh-CN"/>
        </w:rPr>
        <w:t>、房屋</w:t>
      </w:r>
      <w:r>
        <w:rPr>
          <w:rFonts w:hint="eastAsia" w:eastAsia="仿宋_GB2312"/>
          <w:sz w:val="28"/>
          <w:szCs w:val="28"/>
        </w:rPr>
        <w:t>权益：</w:t>
      </w:r>
    </w:p>
    <w:p>
      <w:pPr>
        <w:spacing w:line="540" w:lineRule="exact"/>
        <w:ind w:firstLine="560" w:firstLineChars="200"/>
        <w:rPr>
          <w:rFonts w:hint="eastAsia" w:eastAsia="仿宋_GB2312"/>
          <w:sz w:val="28"/>
          <w:szCs w:val="28"/>
          <w:lang w:eastAsia="zh-CN"/>
        </w:rPr>
      </w:pPr>
      <w:r>
        <w:rPr>
          <w:rFonts w:hint="eastAsia" w:eastAsia="仿宋_GB2312"/>
          <w:sz w:val="28"/>
          <w:szCs w:val="28"/>
          <w:lang w:eastAsia="zh-CN"/>
        </w:rPr>
        <w:t>依据委托方提供的</w:t>
      </w:r>
      <w:r>
        <w:rPr>
          <w:rFonts w:hint="eastAsia" w:ascii="仿宋_GB2312" w:hAnsi="仿宋_GB2312" w:eastAsia="仿宋_GB2312" w:cs="仿宋_GB2312"/>
          <w:color w:val="000000"/>
          <w:sz w:val="28"/>
          <w:szCs w:val="28"/>
          <w:lang w:val="en-US" w:eastAsia="zh-CN"/>
        </w:rPr>
        <w:t>《射阳县不动产登记信息查询结果证明》</w:t>
      </w:r>
      <w:r>
        <w:rPr>
          <w:rFonts w:hint="eastAsia" w:eastAsia="仿宋_GB2312"/>
          <w:sz w:val="28"/>
          <w:szCs w:val="28"/>
        </w:rPr>
        <w:t>（复印件），</w:t>
      </w:r>
      <w:r>
        <w:rPr>
          <w:rFonts w:hint="eastAsia" w:eastAsia="仿宋_GB2312"/>
          <w:sz w:val="28"/>
          <w:szCs w:val="28"/>
          <w:lang w:eastAsia="zh-CN"/>
        </w:rPr>
        <w:t>知悉估价对象的房屋信息具体如下：</w:t>
      </w:r>
    </w:p>
    <w:p>
      <w:pPr>
        <w:spacing w:line="540" w:lineRule="exact"/>
        <w:ind w:firstLine="560" w:firstLineChars="200"/>
        <w:jc w:val="right"/>
        <w:rPr>
          <w:rFonts w:hint="default" w:eastAsia="仿宋_GB2312"/>
          <w:sz w:val="28"/>
          <w:szCs w:val="28"/>
          <w:lang w:val="en-US" w:eastAsia="zh-CN"/>
        </w:rPr>
      </w:pPr>
      <w:r>
        <w:rPr>
          <w:rFonts w:hint="eastAsia" w:eastAsia="仿宋_GB2312"/>
          <w:sz w:val="28"/>
          <w:szCs w:val="28"/>
          <w:lang w:eastAsia="zh-CN"/>
        </w:rPr>
        <w:t>表</w:t>
      </w:r>
      <w:r>
        <w:rPr>
          <w:rFonts w:hint="eastAsia" w:eastAsia="仿宋_GB2312"/>
          <w:sz w:val="28"/>
          <w:szCs w:val="28"/>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1514"/>
        <w:gridCol w:w="1541"/>
        <w:gridCol w:w="196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权证号</w:t>
            </w:r>
          </w:p>
        </w:tc>
        <w:tc>
          <w:tcPr>
            <w:tcW w:w="6593" w:type="dxa"/>
            <w:gridSpan w:val="4"/>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海通20120079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权利人</w:t>
            </w:r>
          </w:p>
        </w:tc>
        <w:tc>
          <w:tcPr>
            <w:tcW w:w="6593"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徐霞、何安龙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共有情况</w:t>
            </w:r>
          </w:p>
        </w:tc>
        <w:tc>
          <w:tcPr>
            <w:tcW w:w="6593"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坐落</w:t>
            </w:r>
          </w:p>
        </w:tc>
        <w:tc>
          <w:tcPr>
            <w:tcW w:w="6593"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海通镇通兴东路南侧1幢1室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不动产单元号</w:t>
            </w:r>
          </w:p>
        </w:tc>
        <w:tc>
          <w:tcPr>
            <w:tcW w:w="6593" w:type="dxa"/>
            <w:gridSpan w:val="4"/>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登记时间</w:t>
            </w:r>
          </w:p>
        </w:tc>
        <w:tc>
          <w:tcPr>
            <w:tcW w:w="6593" w:type="dxa"/>
            <w:gridSpan w:val="4"/>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2012-07-09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房屋性质</w:t>
            </w:r>
          </w:p>
        </w:tc>
        <w:tc>
          <w:tcPr>
            <w:tcW w:w="6593" w:type="dxa"/>
            <w:gridSpan w:val="4"/>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规划用途</w:t>
            </w:r>
          </w:p>
        </w:tc>
        <w:tc>
          <w:tcPr>
            <w:tcW w:w="3055" w:type="dxa"/>
            <w:gridSpan w:val="2"/>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住宅</w:t>
            </w:r>
          </w:p>
        </w:tc>
        <w:tc>
          <w:tcPr>
            <w:tcW w:w="196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权属状态</w:t>
            </w:r>
          </w:p>
        </w:tc>
        <w:tc>
          <w:tcPr>
            <w:tcW w:w="1575" w:type="dxa"/>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vMerge w:val="restart"/>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房屋状况</w:t>
            </w:r>
          </w:p>
        </w:tc>
        <w:tc>
          <w:tcPr>
            <w:tcW w:w="1514"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总层数</w:t>
            </w:r>
          </w:p>
        </w:tc>
        <w:tc>
          <w:tcPr>
            <w:tcW w:w="1541"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建筑面积</w:t>
            </w:r>
          </w:p>
        </w:tc>
        <w:tc>
          <w:tcPr>
            <w:tcW w:w="196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结构</w:t>
            </w:r>
          </w:p>
        </w:tc>
        <w:tc>
          <w:tcPr>
            <w:tcW w:w="1575" w:type="dxa"/>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建成年代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vMerge w:val="continue"/>
            <w:noWrap w:val="0"/>
            <w:vAlign w:val="center"/>
          </w:tcPr>
          <w:p>
            <w:pPr>
              <w:spacing w:line="480" w:lineRule="exact"/>
              <w:jc w:val="center"/>
              <w:rPr>
                <w:rFonts w:hint="eastAsia" w:eastAsia="仿宋_GB2312"/>
                <w:color w:val="000000"/>
                <w:sz w:val="28"/>
                <w:szCs w:val="28"/>
                <w:vertAlign w:val="baseline"/>
                <w:lang w:val="en-US" w:eastAsia="zh-CN"/>
              </w:rPr>
            </w:pPr>
          </w:p>
        </w:tc>
        <w:tc>
          <w:tcPr>
            <w:tcW w:w="1514" w:type="dxa"/>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w:t>
            </w:r>
          </w:p>
        </w:tc>
        <w:tc>
          <w:tcPr>
            <w:tcW w:w="1541" w:type="dxa"/>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96.00</w:t>
            </w:r>
          </w:p>
        </w:tc>
        <w:tc>
          <w:tcPr>
            <w:tcW w:w="1963"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混合结构</w:t>
            </w:r>
          </w:p>
        </w:tc>
        <w:tc>
          <w:tcPr>
            <w:tcW w:w="1575" w:type="dxa"/>
            <w:noWrap w:val="0"/>
            <w:vAlign w:val="center"/>
          </w:tcPr>
          <w:p>
            <w:pPr>
              <w:spacing w:line="480" w:lineRule="exact"/>
              <w:jc w:val="center"/>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vMerge w:val="restart"/>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土地状况</w:t>
            </w:r>
          </w:p>
        </w:tc>
        <w:tc>
          <w:tcPr>
            <w:tcW w:w="1514"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宗地面积</w:t>
            </w:r>
          </w:p>
        </w:tc>
        <w:tc>
          <w:tcPr>
            <w:tcW w:w="5079" w:type="dxa"/>
            <w:gridSpan w:val="3"/>
            <w:noWrap w:val="0"/>
            <w:vAlign w:val="center"/>
          </w:tcPr>
          <w:p>
            <w:pPr>
              <w:spacing w:line="480" w:lineRule="exact"/>
              <w:jc w:val="left"/>
              <w:rPr>
                <w:rFonts w:hint="default"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vMerge w:val="continue"/>
            <w:noWrap w:val="0"/>
            <w:vAlign w:val="center"/>
          </w:tcPr>
          <w:p>
            <w:pPr>
              <w:spacing w:line="480" w:lineRule="exact"/>
              <w:jc w:val="center"/>
              <w:rPr>
                <w:rFonts w:hint="eastAsia" w:eastAsia="仿宋_GB2312"/>
                <w:color w:val="000000"/>
                <w:sz w:val="28"/>
                <w:szCs w:val="28"/>
                <w:vertAlign w:val="baseline"/>
                <w:lang w:val="en-US" w:eastAsia="zh-CN"/>
              </w:rPr>
            </w:pPr>
          </w:p>
        </w:tc>
        <w:tc>
          <w:tcPr>
            <w:tcW w:w="1514"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使用年限</w:t>
            </w:r>
          </w:p>
        </w:tc>
        <w:tc>
          <w:tcPr>
            <w:tcW w:w="5079" w:type="dxa"/>
            <w:gridSpan w:val="3"/>
            <w:noWrap w:val="0"/>
            <w:vAlign w:val="center"/>
          </w:tcPr>
          <w:p>
            <w:pPr>
              <w:spacing w:line="480" w:lineRule="exact"/>
              <w:jc w:val="left"/>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9" w:type="dxa"/>
            <w:noWrap w:val="0"/>
            <w:vAlign w:val="center"/>
          </w:tcPr>
          <w:p>
            <w:pPr>
              <w:spacing w:line="480" w:lineRule="exact"/>
              <w:jc w:val="center"/>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附记</w:t>
            </w:r>
          </w:p>
        </w:tc>
        <w:tc>
          <w:tcPr>
            <w:tcW w:w="6593" w:type="dxa"/>
            <w:gridSpan w:val="4"/>
            <w:noWrap w:val="0"/>
            <w:vAlign w:val="center"/>
          </w:tcPr>
          <w:p>
            <w:pPr>
              <w:spacing w:line="480" w:lineRule="exact"/>
              <w:jc w:val="left"/>
              <w:rPr>
                <w:rFonts w:hint="eastAsia" w:eastAsia="仿宋_GB2312"/>
                <w:color w:val="000000"/>
                <w:sz w:val="28"/>
                <w:szCs w:val="28"/>
                <w:vertAlign w:val="baseline"/>
                <w:lang w:val="en-US" w:eastAsia="zh-CN"/>
              </w:rPr>
            </w:pPr>
            <w:r>
              <w:rPr>
                <w:rFonts w:hint="eastAsia" w:eastAsia="仿宋_GB2312"/>
                <w:color w:val="000000"/>
                <w:sz w:val="28"/>
                <w:szCs w:val="28"/>
                <w:vertAlign w:val="baseline"/>
                <w:lang w:val="en-US" w:eastAsia="zh-CN"/>
              </w:rPr>
              <w:t>集体土地。</w:t>
            </w:r>
          </w:p>
        </w:tc>
      </w:tr>
    </w:tbl>
    <w:p>
      <w:pPr>
        <w:spacing w:line="480" w:lineRule="exact"/>
        <w:ind w:firstLine="560" w:firstLineChars="200"/>
        <w:rPr>
          <w:rFonts w:eastAsia="仿宋_GB2312"/>
          <w:color w:val="000000"/>
          <w:sz w:val="28"/>
          <w:szCs w:val="28"/>
        </w:rPr>
      </w:pPr>
      <w:r>
        <w:rPr>
          <w:rFonts w:hint="eastAsia" w:eastAsia="仿宋_GB2312"/>
          <w:color w:val="000000"/>
          <w:sz w:val="28"/>
          <w:szCs w:val="28"/>
          <w:lang w:val="en-US" w:eastAsia="zh-CN"/>
        </w:rPr>
        <w:t>3</w:t>
      </w:r>
      <w:r>
        <w:rPr>
          <w:rFonts w:hint="eastAsia" w:eastAsia="仿宋_GB2312"/>
          <w:color w:val="000000"/>
          <w:sz w:val="28"/>
          <w:szCs w:val="28"/>
          <w:lang w:eastAsia="zh-CN"/>
        </w:rPr>
        <w:t>、</w:t>
      </w:r>
      <w:r>
        <w:rPr>
          <w:rFonts w:eastAsia="仿宋_GB2312"/>
          <w:color w:val="000000"/>
          <w:sz w:val="28"/>
          <w:szCs w:val="28"/>
        </w:rPr>
        <w:t>他项权利状况：</w:t>
      </w:r>
    </w:p>
    <w:p>
      <w:pPr>
        <w:spacing w:line="480" w:lineRule="exact"/>
        <w:ind w:firstLine="560" w:firstLineChars="200"/>
        <w:rPr>
          <w:rFonts w:hint="eastAsia" w:eastAsia="仿宋_GB2312"/>
          <w:sz w:val="28"/>
          <w:szCs w:val="28"/>
          <w:lang w:val="en-US" w:eastAsia="zh-CN"/>
        </w:rPr>
      </w:pPr>
      <w:r>
        <w:rPr>
          <w:rFonts w:hint="eastAsia" w:eastAsia="仿宋_GB2312"/>
          <w:color w:val="000000"/>
          <w:sz w:val="28"/>
          <w:szCs w:val="28"/>
        </w:rPr>
        <w:t>委托方未提供估价对象的</w:t>
      </w:r>
      <w:r>
        <w:rPr>
          <w:rFonts w:hint="eastAsia" w:eastAsia="仿宋_GB2312"/>
          <w:color w:val="000000"/>
          <w:spacing w:val="2"/>
          <w:sz w:val="28"/>
          <w:szCs w:val="28"/>
        </w:rPr>
        <w:t>他项权利资料，</w:t>
      </w:r>
      <w:r>
        <w:rPr>
          <w:rFonts w:eastAsia="仿宋_GB2312"/>
          <w:color w:val="000000"/>
          <w:sz w:val="28"/>
          <w:szCs w:val="28"/>
        </w:rPr>
        <w:t>本次评估</w:t>
      </w:r>
      <w:r>
        <w:rPr>
          <w:rFonts w:hint="eastAsia" w:eastAsia="仿宋_GB2312"/>
          <w:color w:val="000000"/>
          <w:sz w:val="28"/>
          <w:szCs w:val="28"/>
        </w:rPr>
        <w:t>未</w:t>
      </w:r>
      <w:r>
        <w:rPr>
          <w:rFonts w:eastAsia="仿宋_GB2312"/>
          <w:color w:val="000000"/>
          <w:sz w:val="28"/>
          <w:szCs w:val="28"/>
        </w:rPr>
        <w:t>考虑他项权利</w:t>
      </w:r>
      <w:r>
        <w:rPr>
          <w:rFonts w:hint="eastAsia" w:eastAsia="仿宋_GB2312"/>
          <w:color w:val="000000"/>
          <w:sz w:val="28"/>
          <w:szCs w:val="28"/>
        </w:rPr>
        <w:t>对估价对象评估</w:t>
      </w:r>
      <w:r>
        <w:rPr>
          <w:rFonts w:eastAsia="仿宋_GB2312"/>
          <w:color w:val="000000"/>
          <w:sz w:val="28"/>
          <w:szCs w:val="28"/>
        </w:rPr>
        <w:t>价值</w:t>
      </w:r>
      <w:r>
        <w:rPr>
          <w:rFonts w:hint="eastAsia" w:eastAsia="仿宋_GB2312"/>
          <w:color w:val="000000"/>
          <w:sz w:val="28"/>
          <w:szCs w:val="28"/>
        </w:rPr>
        <w:t>的</w:t>
      </w:r>
      <w:r>
        <w:rPr>
          <w:rFonts w:eastAsia="仿宋_GB2312"/>
          <w:color w:val="000000"/>
          <w:sz w:val="28"/>
          <w:szCs w:val="28"/>
        </w:rPr>
        <w:t>影响。</w:t>
      </w:r>
      <w:r>
        <w:rPr>
          <w:rFonts w:hint="eastAsia" w:eastAsia="仿宋_GB2312"/>
          <w:sz w:val="28"/>
          <w:szCs w:val="28"/>
          <w:lang w:val="en-US" w:eastAsia="zh-CN"/>
        </w:rPr>
        <w:t xml:space="preserve">        </w:t>
      </w:r>
    </w:p>
    <w:p>
      <w:pPr>
        <w:spacing w:line="480" w:lineRule="exact"/>
        <w:ind w:firstLine="560" w:firstLineChars="200"/>
        <w:rPr>
          <w:rFonts w:hint="eastAsia" w:ascii="仿宋_GB2312" w:hAnsi="仿宋_GB2312" w:eastAsia="仿宋_GB2312" w:cs="仿宋_GB2312"/>
          <w:color w:val="000000"/>
          <w:sz w:val="28"/>
          <w:szCs w:val="28"/>
        </w:rPr>
      </w:pPr>
      <w:r>
        <w:rPr>
          <w:rFonts w:hint="eastAsia" w:eastAsia="仿宋_GB2312"/>
          <w:color w:val="000000"/>
          <w:sz w:val="28"/>
          <w:szCs w:val="28"/>
          <w:lang w:eastAsia="zh-CN"/>
        </w:rPr>
        <w:t>（三）实物状况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1.土地实物状况描述</w:t>
      </w:r>
    </w:p>
    <w:p>
      <w:pPr>
        <w:ind w:firstLine="56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eastAsia="zh-CN"/>
        </w:rPr>
        <w:t>坐落：</w:t>
      </w:r>
      <w:r>
        <w:rPr>
          <w:rFonts w:hint="eastAsia" w:eastAsia="仿宋_GB2312"/>
          <w:color w:val="000000"/>
          <w:sz w:val="28"/>
          <w:szCs w:val="28"/>
          <w:vertAlign w:val="baseline"/>
          <w:lang w:val="en-US" w:eastAsia="zh-CN"/>
        </w:rPr>
        <w:t>海通镇通兴路南侧</w:t>
      </w:r>
    </w:p>
    <w:p>
      <w:pPr>
        <w:ind w:firstLine="280" w:firstLineChars="1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用途</w:t>
      </w:r>
      <w:r>
        <w:rPr>
          <w:rFonts w:hint="eastAsia" w:ascii="仿宋_GB2312" w:hAnsi="仿宋_GB2312" w:eastAsia="仿宋_GB2312" w:cs="仿宋_GB2312"/>
          <w:color w:val="000000"/>
          <w:sz w:val="28"/>
          <w:szCs w:val="28"/>
        </w:rPr>
        <w:t>：</w:t>
      </w:r>
      <w:r>
        <w:rPr>
          <w:rFonts w:hint="eastAsia" w:eastAsia="仿宋_GB2312"/>
          <w:color w:val="000000"/>
          <w:sz w:val="28"/>
          <w:szCs w:val="28"/>
          <w:lang w:val="en-US" w:eastAsia="zh-CN"/>
        </w:rPr>
        <w:t>农村宅基地</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）形状：土地形状规则</w:t>
      </w:r>
      <w:r>
        <w:rPr>
          <w:rFonts w:hint="eastAsia" w:ascii="仿宋_GB2312" w:hAnsi="仿宋_GB2312" w:eastAsia="仿宋_GB2312" w:cs="仿宋_GB2312"/>
          <w:color w:val="000000"/>
          <w:sz w:val="28"/>
          <w:szCs w:val="28"/>
          <w:lang w:eastAsia="zh-CN"/>
        </w:rPr>
        <w:t>。</w:t>
      </w:r>
    </w:p>
    <w:p>
      <w:pPr>
        <w:ind w:firstLine="280" w:firstLineChars="1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）地势：估价对象所在地块地势平坦</w:t>
      </w:r>
      <w:r>
        <w:rPr>
          <w:rFonts w:hint="eastAsia" w:ascii="仿宋_GB2312" w:hAnsi="仿宋_GB2312" w:eastAsia="仿宋_GB2312" w:cs="仿宋_GB2312"/>
          <w:color w:val="000000"/>
          <w:sz w:val="28"/>
          <w:szCs w:val="28"/>
          <w:lang w:eastAsia="zh-CN"/>
        </w:rPr>
        <w:t>。</w:t>
      </w:r>
    </w:p>
    <w:p>
      <w:pPr>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）开发程度：至价值时点，土地开发程度达到宗地红线内</w:t>
      </w:r>
      <w:r>
        <w:rPr>
          <w:rFonts w:hint="eastAsia" w:ascii="仿宋_GB2312" w:hAnsi="仿宋_GB2312" w:eastAsia="仿宋_GB2312" w:cs="仿宋_GB2312"/>
          <w:color w:val="000000"/>
          <w:sz w:val="28"/>
          <w:szCs w:val="28"/>
          <w:lang w:eastAsia="zh-CN"/>
        </w:rPr>
        <w:t>外</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五</w:t>
      </w:r>
      <w:r>
        <w:rPr>
          <w:rFonts w:hint="eastAsia" w:ascii="仿宋_GB2312" w:hAnsi="仿宋_GB2312" w:eastAsia="仿宋_GB2312" w:cs="仿宋_GB2312"/>
          <w:color w:val="000000"/>
          <w:sz w:val="28"/>
          <w:szCs w:val="28"/>
        </w:rPr>
        <w:t>通”（通路、通电、通讯、给水、排水）及场地平整。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2.建筑物实物状况分析</w:t>
      </w:r>
    </w:p>
    <w:p>
      <w:pPr>
        <w:ind w:firstLine="560" w:firstLineChars="20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（1）名称及坐落：</w:t>
      </w:r>
      <w:r>
        <w:rPr>
          <w:rFonts w:hint="eastAsia" w:ascii="仿宋_GB2312" w:hAnsi="仿宋_GB2312" w:eastAsia="仿宋_GB2312" w:cs="仿宋_GB2312"/>
          <w:color w:val="000000"/>
          <w:sz w:val="28"/>
          <w:szCs w:val="28"/>
          <w:lang w:val="en-US" w:eastAsia="zh-CN"/>
        </w:rPr>
        <w:t>何安龙名下所有的，</w:t>
      </w:r>
      <w:r>
        <w:rPr>
          <w:rFonts w:hint="eastAsia" w:ascii="仿宋_GB2312" w:hAnsi="仿宋_GB2312" w:eastAsia="仿宋_GB2312" w:cs="仿宋_GB2312"/>
          <w:color w:val="000000"/>
          <w:sz w:val="28"/>
          <w:szCs w:val="28"/>
          <w:lang w:eastAsia="zh-CN"/>
        </w:rPr>
        <w:t>位于射阳县海通镇通兴东路南侧1幢1室的</w:t>
      </w:r>
      <w:r>
        <w:rPr>
          <w:rFonts w:hint="eastAsia" w:ascii="仿宋_GB2312" w:hAnsi="仿宋_GB2312" w:eastAsia="仿宋_GB2312" w:cs="仿宋_GB2312"/>
          <w:color w:val="000000"/>
          <w:sz w:val="28"/>
          <w:szCs w:val="28"/>
          <w:lang w:val="en-US" w:eastAsia="zh-CN"/>
        </w:rPr>
        <w:t>的房屋。</w:t>
      </w:r>
    </w:p>
    <w:p>
      <w:pPr>
        <w:ind w:firstLine="56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rPr>
        <w:t>（2）规模：</w:t>
      </w:r>
      <w:r>
        <w:rPr>
          <w:rFonts w:hint="eastAsia" w:ascii="仿宋_GB2312" w:hAnsi="仿宋_GB2312" w:eastAsia="仿宋_GB2312" w:cs="仿宋_GB2312"/>
          <w:color w:val="000000"/>
          <w:sz w:val="28"/>
          <w:szCs w:val="28"/>
          <w:highlight w:val="none"/>
        </w:rPr>
        <w:t>房</w:t>
      </w:r>
      <w:r>
        <w:rPr>
          <w:rFonts w:hint="eastAsia" w:ascii="仿宋_GB2312" w:hAnsi="仿宋_GB2312" w:eastAsia="仿宋_GB2312" w:cs="仿宋_GB2312"/>
          <w:color w:val="000000"/>
          <w:sz w:val="28"/>
          <w:szCs w:val="28"/>
          <w:highlight w:val="none"/>
          <w:lang w:eastAsia="zh-CN"/>
        </w:rPr>
        <w:t>屋建筑面积合计</w:t>
      </w:r>
      <w:r>
        <w:rPr>
          <w:rFonts w:hint="eastAsia" w:eastAsia="仿宋_GB2312"/>
          <w:color w:val="000000"/>
          <w:sz w:val="28"/>
          <w:szCs w:val="28"/>
          <w:lang w:val="en-US" w:eastAsia="zh-CN"/>
        </w:rPr>
        <w:t>134.6㎡，其中确权房屋建筑面积96.00㎡，未确权房屋建筑面积约38.60㎡。</w:t>
      </w:r>
    </w:p>
    <w:p>
      <w:pPr>
        <w:ind w:firstLine="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（3）房屋用途：</w:t>
      </w:r>
      <w:r>
        <w:rPr>
          <w:rFonts w:hint="eastAsia" w:ascii="仿宋_GB2312" w:hAnsi="仿宋_GB2312" w:eastAsia="仿宋_GB2312" w:cs="仿宋_GB2312"/>
          <w:color w:val="000000"/>
          <w:sz w:val="28"/>
          <w:szCs w:val="28"/>
          <w:lang w:eastAsia="zh-CN"/>
        </w:rPr>
        <w:t>住宅</w:t>
      </w:r>
      <w:r>
        <w:rPr>
          <w:rFonts w:hint="eastAsia" w:ascii="仿宋_GB2312" w:hAnsi="仿宋_GB2312" w:eastAsia="仿宋_GB2312" w:cs="仿宋_GB2312"/>
          <w:color w:val="000000"/>
          <w:sz w:val="28"/>
          <w:szCs w:val="28"/>
        </w:rPr>
        <w:t>。</w:t>
      </w:r>
    </w:p>
    <w:p>
      <w:pPr>
        <w:ind w:firstLine="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（4）建筑结构及层数：</w:t>
      </w:r>
      <w:r>
        <w:rPr>
          <w:rFonts w:hint="eastAsia" w:ascii="仿宋_GB2312" w:hAnsi="仿宋_GB2312" w:eastAsia="仿宋_GB2312" w:cs="仿宋_GB2312"/>
          <w:color w:val="000000"/>
          <w:sz w:val="28"/>
          <w:szCs w:val="28"/>
          <w:lang w:eastAsia="zh-CN"/>
        </w:rPr>
        <w:t>混合</w:t>
      </w:r>
      <w:r>
        <w:rPr>
          <w:rFonts w:hint="eastAsia" w:ascii="仿宋_GB2312" w:hAnsi="仿宋_GB2312" w:eastAsia="仿宋_GB2312" w:cs="仿宋_GB2312"/>
          <w:color w:val="000000"/>
          <w:sz w:val="28"/>
          <w:szCs w:val="28"/>
        </w:rPr>
        <w:t>结构</w:t>
      </w:r>
      <w:r>
        <w:rPr>
          <w:rFonts w:hint="eastAsia" w:ascii="仿宋_GB2312" w:hAnsi="仿宋_GB2312" w:eastAsia="仿宋_GB2312" w:cs="仿宋_GB2312"/>
          <w:color w:val="000000"/>
          <w:sz w:val="28"/>
          <w:szCs w:val="28"/>
          <w:lang w:eastAsia="zh-CN"/>
        </w:rPr>
        <w:t>，总层数</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层</w:t>
      </w:r>
      <w:r>
        <w:rPr>
          <w:rFonts w:hint="eastAsia" w:ascii="仿宋_GB2312" w:hAnsi="仿宋_GB2312" w:eastAsia="仿宋_GB2312" w:cs="仿宋_GB2312"/>
          <w:color w:val="000000"/>
          <w:sz w:val="28"/>
          <w:szCs w:val="28"/>
          <w:lang w:eastAsia="zh-CN"/>
        </w:rPr>
        <w:t>，所在层为</w:t>
      </w:r>
      <w:r>
        <w:rPr>
          <w:rFonts w:hint="eastAsia" w:ascii="仿宋_GB2312" w:hAnsi="仿宋_GB2312" w:eastAsia="仿宋_GB2312" w:cs="仿宋_GB2312"/>
          <w:color w:val="000000"/>
          <w:sz w:val="28"/>
          <w:szCs w:val="28"/>
          <w:lang w:val="en-US" w:eastAsia="zh-CN"/>
        </w:rPr>
        <w:t>1-2层</w:t>
      </w:r>
      <w:r>
        <w:rPr>
          <w:rFonts w:hint="eastAsia" w:ascii="仿宋_GB2312" w:hAnsi="仿宋_GB2312" w:eastAsia="仿宋_GB2312" w:cs="仿宋_GB2312"/>
          <w:color w:val="000000"/>
          <w:sz w:val="28"/>
          <w:szCs w:val="28"/>
        </w:rPr>
        <w:t>。</w:t>
      </w:r>
    </w:p>
    <w:p>
      <w:pPr>
        <w:ind w:firstLine="56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rPr>
        <w:t>（5）设备设施：</w:t>
      </w:r>
      <w:r>
        <w:rPr>
          <w:rFonts w:hint="eastAsia" w:ascii="仿宋_GB2312" w:hAnsi="仿宋_GB2312" w:eastAsia="仿宋_GB2312" w:cs="仿宋_GB2312"/>
          <w:color w:val="000000"/>
          <w:sz w:val="28"/>
          <w:szCs w:val="28"/>
          <w:highlight w:val="none"/>
          <w:lang w:eastAsia="zh-CN"/>
        </w:rPr>
        <w:t>水、电、卫设施齐全</w:t>
      </w:r>
      <w:r>
        <w:rPr>
          <w:rFonts w:hint="eastAsia" w:ascii="仿宋_GB2312" w:hAnsi="仿宋_GB2312" w:eastAsia="仿宋_GB2312" w:cs="仿宋_GB2312"/>
          <w:color w:val="000000"/>
          <w:sz w:val="28"/>
          <w:szCs w:val="28"/>
          <w:highlight w:val="none"/>
        </w:rPr>
        <w:t>。</w:t>
      </w:r>
    </w:p>
    <w:p>
      <w:pPr>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（6）装饰装修：估价对象</w:t>
      </w:r>
      <w:r>
        <w:rPr>
          <w:rFonts w:hint="eastAsia" w:ascii="仿宋_GB2312" w:hAnsi="仿宋_GB2312" w:eastAsia="仿宋_GB2312" w:cs="仿宋_GB2312"/>
          <w:color w:val="000000"/>
          <w:sz w:val="28"/>
          <w:szCs w:val="28"/>
          <w:lang w:eastAsia="zh-CN"/>
        </w:rPr>
        <w:t>外部装修情况：</w:t>
      </w:r>
      <w:r>
        <w:rPr>
          <w:rFonts w:hint="eastAsia" w:ascii="仿宋_GB2312" w:hAnsi="仿宋_GB2312" w:eastAsia="仿宋_GB2312" w:cs="仿宋_GB2312"/>
          <w:color w:val="000000"/>
          <w:sz w:val="28"/>
          <w:szCs w:val="28"/>
        </w:rPr>
        <w:t>外墙</w:t>
      </w:r>
      <w:r>
        <w:rPr>
          <w:rFonts w:hint="eastAsia" w:ascii="仿宋_GB2312" w:hAnsi="仿宋_GB2312" w:eastAsia="仿宋_GB2312" w:cs="仿宋_GB2312"/>
          <w:color w:val="000000"/>
          <w:sz w:val="28"/>
          <w:szCs w:val="28"/>
          <w:lang w:eastAsia="zh-CN"/>
        </w:rPr>
        <w:t>部分贴面砖、部分</w:t>
      </w:r>
      <w:r>
        <w:rPr>
          <w:rFonts w:hint="eastAsia" w:ascii="仿宋_GB2312" w:hAnsi="仿宋_GB2312" w:eastAsia="仿宋_GB2312" w:cs="仿宋_GB2312"/>
          <w:color w:val="000000"/>
          <w:sz w:val="28"/>
          <w:szCs w:val="28"/>
          <w:lang w:val="en-US" w:eastAsia="zh-CN"/>
        </w:rPr>
        <w:t>水刷石</w:t>
      </w:r>
      <w:r>
        <w:rPr>
          <w:rFonts w:hint="eastAsia" w:ascii="仿宋_GB2312" w:hAnsi="仿宋_GB2312" w:eastAsia="仿宋_GB2312" w:cs="仿宋_GB2312"/>
          <w:color w:val="000000"/>
          <w:sz w:val="28"/>
          <w:szCs w:val="28"/>
          <w:lang w:eastAsia="zh-CN"/>
        </w:rPr>
        <w:t>，整幢楼外观一般。估价对象</w:t>
      </w:r>
      <w:r>
        <w:rPr>
          <w:rFonts w:hint="eastAsia" w:ascii="仿宋_GB2312" w:hAnsi="仿宋_GB2312" w:eastAsia="仿宋_GB2312" w:cs="仿宋_GB2312"/>
          <w:color w:val="000000"/>
          <w:sz w:val="28"/>
          <w:szCs w:val="28"/>
        </w:rPr>
        <w:t>内部装修情况</w:t>
      </w:r>
      <w:r>
        <w:rPr>
          <w:rFonts w:hint="eastAsia" w:ascii="仿宋_GB2312" w:hAnsi="仿宋_GB2312" w:eastAsia="仿宋_GB2312" w:cs="仿宋_GB2312"/>
          <w:color w:val="000000"/>
          <w:sz w:val="28"/>
          <w:szCs w:val="28"/>
          <w:lang w:eastAsia="zh-CN"/>
        </w:rPr>
        <w:t>见表</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w:t>
      </w:r>
    </w:p>
    <w:p>
      <w:pPr>
        <w:ind w:firstLine="560"/>
        <w:jc w:val="righ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表</w:t>
      </w:r>
      <w:r>
        <w:rPr>
          <w:rFonts w:hint="eastAsia" w:ascii="仿宋_GB2312" w:hAnsi="仿宋_GB2312" w:eastAsia="仿宋_GB2312" w:cs="仿宋_GB2312"/>
          <w:color w:val="000000"/>
          <w:sz w:val="28"/>
          <w:szCs w:val="28"/>
          <w:lang w:val="en-US" w:eastAsia="zh-CN"/>
        </w:rPr>
        <w:t>-3</w:t>
      </w:r>
    </w:p>
    <w:tbl>
      <w:tblPr>
        <w:tblStyle w:val="6"/>
        <w:tblpPr w:leftFromText="180" w:rightFromText="180" w:vertAnchor="text" w:horzAnchor="page" w:tblpX="2039" w:tblpY="333"/>
        <w:tblOverlap w:val="never"/>
        <w:tblW w:w="870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854"/>
        <w:gridCol w:w="1487"/>
        <w:gridCol w:w="1541"/>
        <w:gridCol w:w="2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62"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rPr>
            </w:pPr>
          </w:p>
        </w:tc>
        <w:tc>
          <w:tcPr>
            <w:tcW w:w="1854"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地面</w:t>
            </w:r>
          </w:p>
        </w:tc>
        <w:tc>
          <w:tcPr>
            <w:tcW w:w="1487"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墙面</w:t>
            </w:r>
          </w:p>
        </w:tc>
        <w:tc>
          <w:tcPr>
            <w:tcW w:w="1541"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天棚</w:t>
            </w:r>
          </w:p>
        </w:tc>
        <w:tc>
          <w:tcPr>
            <w:tcW w:w="2863"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2"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一层</w:t>
            </w:r>
          </w:p>
        </w:tc>
        <w:tc>
          <w:tcPr>
            <w:tcW w:w="1854"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水磨石</w:t>
            </w:r>
          </w:p>
        </w:tc>
        <w:tc>
          <w:tcPr>
            <w:tcW w:w="1487"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局部面砖</w:t>
            </w:r>
          </w:p>
        </w:tc>
        <w:tc>
          <w:tcPr>
            <w:tcW w:w="1541"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涂料</w:t>
            </w:r>
          </w:p>
        </w:tc>
        <w:tc>
          <w:tcPr>
            <w:tcW w:w="2863" w:type="dxa"/>
            <w:tcBorders>
              <w:tl2br w:val="nil"/>
              <w:tr2bl w:val="nil"/>
            </w:tcBorders>
            <w:noWrap w:val="0"/>
            <w:vAlign w:val="top"/>
          </w:tcPr>
          <w:p>
            <w:pPr>
              <w:spacing w:line="360" w:lineRule="auto"/>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设有厨房和卫生间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62"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二层</w:t>
            </w:r>
          </w:p>
        </w:tc>
        <w:tc>
          <w:tcPr>
            <w:tcW w:w="1854" w:type="dxa"/>
            <w:tcBorders>
              <w:tl2br w:val="nil"/>
              <w:tr2bl w:val="nil"/>
            </w:tcBorders>
            <w:noWrap w:val="0"/>
            <w:vAlign w:val="top"/>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地板砖</w:t>
            </w:r>
          </w:p>
        </w:tc>
        <w:tc>
          <w:tcPr>
            <w:tcW w:w="1487"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涂料</w:t>
            </w:r>
          </w:p>
        </w:tc>
        <w:tc>
          <w:tcPr>
            <w:tcW w:w="1541"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石膏板</w:t>
            </w:r>
          </w:p>
        </w:tc>
        <w:tc>
          <w:tcPr>
            <w:tcW w:w="2863"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卧室有衣柜、设有卫生间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2"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其他</w:t>
            </w:r>
          </w:p>
        </w:tc>
        <w:tc>
          <w:tcPr>
            <w:tcW w:w="4882" w:type="dxa"/>
            <w:gridSpan w:val="3"/>
            <w:tcBorders>
              <w:tl2br w:val="nil"/>
              <w:tr2bl w:val="nil"/>
            </w:tcBorders>
            <w:noWrap w:val="0"/>
            <w:vAlign w:val="top"/>
          </w:tcPr>
          <w:p>
            <w:pPr>
              <w:spacing w:line="360" w:lineRule="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入户门为</w:t>
            </w:r>
            <w:r>
              <w:rPr>
                <w:rFonts w:hint="eastAsia" w:ascii="仿宋_GB2312" w:hAnsi="仿宋_GB2312" w:eastAsia="仿宋_GB2312" w:cs="仿宋_GB2312"/>
                <w:kern w:val="0"/>
                <w:sz w:val="24"/>
                <w:szCs w:val="24"/>
                <w:lang w:eastAsia="zh-CN"/>
              </w:rPr>
              <w:t>铝合金玻璃门</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CN"/>
              </w:rPr>
              <w:t>室</w:t>
            </w:r>
            <w:r>
              <w:rPr>
                <w:rFonts w:hint="eastAsia" w:ascii="仿宋_GB2312" w:hAnsi="仿宋_GB2312" w:eastAsia="仿宋_GB2312" w:cs="仿宋_GB2312"/>
                <w:kern w:val="0"/>
                <w:sz w:val="24"/>
                <w:szCs w:val="24"/>
              </w:rPr>
              <w:t>内为木门</w:t>
            </w:r>
            <w:r>
              <w:rPr>
                <w:rFonts w:hint="eastAsia" w:ascii="仿宋_GB2312" w:hAnsi="仿宋_GB2312" w:eastAsia="仿宋_GB2312" w:cs="仿宋_GB2312"/>
                <w:kern w:val="0"/>
                <w:sz w:val="24"/>
                <w:szCs w:val="24"/>
                <w:lang w:eastAsia="zh-CN"/>
              </w:rPr>
              <w:t>、铝合金窗</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CN"/>
              </w:rPr>
              <w:t>水、电、卫齐全；</w:t>
            </w:r>
          </w:p>
        </w:tc>
        <w:tc>
          <w:tcPr>
            <w:tcW w:w="2863" w:type="dxa"/>
            <w:tcBorders>
              <w:tl2br w:val="nil"/>
              <w:tr2bl w:val="nil"/>
            </w:tcBorders>
            <w:noWrap w:val="0"/>
            <w:vAlign w:val="center"/>
          </w:tcPr>
          <w:p>
            <w:pPr>
              <w:spacing w:line="360" w:lineRule="auto"/>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w:t>
            </w:r>
          </w:p>
        </w:tc>
      </w:tr>
    </w:tbl>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（7）层高：</w:t>
      </w:r>
      <w:r>
        <w:rPr>
          <w:rFonts w:hint="eastAsia" w:ascii="仿宋_GB2312" w:hAnsi="仿宋_GB2312" w:eastAsia="仿宋_GB2312" w:cs="仿宋_GB2312"/>
          <w:color w:val="000000"/>
          <w:sz w:val="28"/>
          <w:szCs w:val="28"/>
          <w:lang w:val="en-US" w:eastAsia="zh-CN"/>
        </w:rPr>
        <w:t>主体二层；</w:t>
      </w:r>
      <w:r>
        <w:rPr>
          <w:rFonts w:hint="eastAsia" w:ascii="仿宋_GB2312" w:hAnsi="仿宋_GB2312" w:eastAsia="仿宋_GB2312" w:cs="仿宋_GB2312"/>
          <w:color w:val="000000"/>
          <w:sz w:val="28"/>
          <w:szCs w:val="28"/>
          <w:lang w:eastAsia="zh-CN"/>
        </w:rPr>
        <w:t>一层层高</w:t>
      </w:r>
      <w:r>
        <w:rPr>
          <w:rFonts w:hint="eastAsia" w:ascii="仿宋_GB2312" w:hAnsi="仿宋_GB2312" w:eastAsia="仿宋_GB2312" w:cs="仿宋_GB2312"/>
          <w:color w:val="000000"/>
          <w:sz w:val="28"/>
          <w:szCs w:val="28"/>
        </w:rPr>
        <w:t>约</w:t>
      </w:r>
      <w:r>
        <w:rPr>
          <w:rFonts w:hint="eastAsia" w:ascii="仿宋_GB2312" w:hAnsi="仿宋_GB2312" w:eastAsia="仿宋_GB2312" w:cs="仿宋_GB2312"/>
          <w:color w:val="000000"/>
          <w:sz w:val="28"/>
          <w:szCs w:val="28"/>
          <w:lang w:val="en-US" w:eastAsia="zh-CN"/>
        </w:rPr>
        <w:t>3.5</w:t>
      </w:r>
      <w:r>
        <w:rPr>
          <w:rFonts w:hint="eastAsia" w:ascii="仿宋_GB2312" w:hAnsi="仿宋_GB2312" w:eastAsia="仿宋_GB2312" w:cs="仿宋_GB2312"/>
          <w:color w:val="000000"/>
          <w:sz w:val="28"/>
          <w:szCs w:val="28"/>
        </w:rPr>
        <w:t>m</w:t>
      </w:r>
      <w:r>
        <w:rPr>
          <w:rFonts w:hint="eastAsia" w:ascii="仿宋_GB2312" w:hAnsi="仿宋_GB2312" w:eastAsia="仿宋_GB2312" w:cs="仿宋_GB2312"/>
          <w:color w:val="000000"/>
          <w:sz w:val="28"/>
          <w:szCs w:val="28"/>
          <w:lang w:eastAsia="zh-CN"/>
        </w:rPr>
        <w:t>，二层层高约</w:t>
      </w:r>
      <w:r>
        <w:rPr>
          <w:rFonts w:hint="eastAsia" w:ascii="仿宋_GB2312" w:hAnsi="仿宋_GB2312" w:eastAsia="仿宋_GB2312" w:cs="仿宋_GB2312"/>
          <w:color w:val="000000"/>
          <w:sz w:val="28"/>
          <w:szCs w:val="28"/>
          <w:lang w:val="en-US" w:eastAsia="zh-CN"/>
        </w:rPr>
        <w:t>3.0m</w:t>
      </w:r>
      <w:r>
        <w:rPr>
          <w:rFonts w:hint="eastAsia" w:ascii="仿宋_GB2312" w:hAnsi="仿宋_GB2312" w:eastAsia="仿宋_GB2312" w:cs="仿宋_GB2312"/>
          <w:color w:val="000000"/>
          <w:sz w:val="28"/>
          <w:szCs w:val="28"/>
        </w:rPr>
        <w:t>。</w:t>
      </w:r>
    </w:p>
    <w:p>
      <w:pPr>
        <w:ind w:firstLine="560" w:firstLineChars="200"/>
        <w:rPr>
          <w:rFonts w:hint="eastAsia" w:ascii="仿宋_GB2312" w:hAnsi="仿宋_GB2312" w:eastAsia="仿宋_GB2312" w:cs="仿宋_GB2312"/>
          <w:kern w:val="0"/>
          <w:sz w:val="28"/>
          <w:szCs w:val="28"/>
          <w:lang w:val="zh-CN" w:eastAsia="zh-CN"/>
        </w:rPr>
      </w:pPr>
      <w:r>
        <w:rPr>
          <w:rFonts w:hint="eastAsia" w:ascii="仿宋_GB2312" w:hAnsi="仿宋_GB2312" w:eastAsia="仿宋_GB2312" w:cs="仿宋_GB2312"/>
          <w:color w:val="000000"/>
          <w:sz w:val="28"/>
          <w:szCs w:val="28"/>
        </w:rPr>
        <w:t>（8）空间布局：</w:t>
      </w:r>
      <w:r>
        <w:rPr>
          <w:rFonts w:hint="eastAsia" w:ascii="仿宋_GB2312" w:hAnsi="仿宋_GB2312" w:eastAsia="仿宋_GB2312" w:cs="仿宋_GB2312"/>
          <w:color w:val="000000"/>
          <w:sz w:val="28"/>
          <w:szCs w:val="28"/>
          <w:lang w:eastAsia="zh-CN"/>
        </w:rPr>
        <w:t>空间布局一般</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0"/>
          <w:sz w:val="28"/>
          <w:szCs w:val="28"/>
          <w:lang w:val="zh-CN"/>
        </w:rPr>
        <w:t>通风、采光、日照一般。</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）使用及维护状况：</w:t>
      </w:r>
      <w:r>
        <w:rPr>
          <w:rFonts w:hint="eastAsia" w:ascii="仿宋_GB2312" w:hAnsi="仿宋_GB2312" w:eastAsia="仿宋_GB2312" w:cs="仿宋_GB2312"/>
          <w:color w:val="000000"/>
          <w:sz w:val="28"/>
          <w:szCs w:val="28"/>
          <w:lang w:eastAsia="zh-CN"/>
        </w:rPr>
        <w:t>至价值时点，估价对象处于空置状态，维护及保养状况一般</w:t>
      </w:r>
      <w:r>
        <w:rPr>
          <w:rFonts w:hint="eastAsia" w:ascii="仿宋_GB2312" w:hAnsi="仿宋_GB2312" w:eastAsia="仿宋_GB2312" w:cs="仿宋_GB2312"/>
          <w:color w:val="000000"/>
          <w:sz w:val="28"/>
          <w:szCs w:val="28"/>
        </w:rPr>
        <w:t>。</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10</w:t>
      </w:r>
      <w:r>
        <w:rPr>
          <w:rFonts w:hint="eastAsia" w:ascii="仿宋_GB2312" w:hAnsi="仿宋_GB2312" w:eastAsia="仿宋_GB2312" w:cs="仿宋_GB2312"/>
          <w:color w:val="000000"/>
          <w:sz w:val="28"/>
          <w:szCs w:val="28"/>
        </w:rPr>
        <w:t>）完损状态：</w:t>
      </w:r>
      <w:r>
        <w:rPr>
          <w:rFonts w:hint="eastAsia" w:ascii="仿宋_GB2312" w:hAnsi="仿宋_GB2312" w:eastAsia="仿宋_GB2312" w:cs="仿宋_GB2312"/>
          <w:kern w:val="0"/>
          <w:sz w:val="28"/>
          <w:szCs w:val="28"/>
          <w:lang w:val="zh-CN"/>
        </w:rPr>
        <w:t>经房地产估价师实地地查勘，估价对象房屋</w:t>
      </w:r>
      <w:r>
        <w:rPr>
          <w:rFonts w:hint="eastAsia" w:ascii="仿宋_GB2312" w:hAnsi="仿宋_GB2312" w:eastAsia="仿宋_GB2312" w:cs="仿宋_GB2312"/>
          <w:kern w:val="0"/>
          <w:sz w:val="28"/>
          <w:szCs w:val="28"/>
          <w:lang w:val="en-US" w:eastAsia="zh-CN"/>
        </w:rPr>
        <w:t>基</w:t>
      </w:r>
      <w:r>
        <w:rPr>
          <w:rFonts w:hint="eastAsia" w:ascii="仿宋_GB2312" w:hAnsi="仿宋_GB2312" w:eastAsia="仿宋_GB2312" w:cs="仿宋_GB2312"/>
          <w:kern w:val="0"/>
          <w:sz w:val="28"/>
          <w:szCs w:val="28"/>
          <w:lang w:val="zh-CN"/>
        </w:rPr>
        <w:t>础有足够承载力，无超过允许范围的不均匀沉降，承重结构部件及非承重墙体完好，门窗完整，为完好房</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zh-CN"/>
        </w:rPr>
        <w:t>未见有明显影响质量安全的问题。</w:t>
      </w:r>
    </w:p>
    <w:p>
      <w:pPr>
        <w:spacing w:line="480" w:lineRule="exact"/>
        <w:ind w:firstLine="560" w:firstLineChars="200"/>
        <w:outlineLvl w:val="0"/>
        <w:rPr>
          <w:rFonts w:hint="eastAsia" w:ascii="仿宋_GB2312" w:hAnsi="仿宋_GB2312" w:eastAsia="仿宋_GB2312" w:cs="仿宋_GB2312"/>
          <w:kern w:val="0"/>
          <w:sz w:val="28"/>
          <w:szCs w:val="28"/>
          <w:lang w:val="zh-CN"/>
        </w:rPr>
      </w:pPr>
      <w:bookmarkStart w:id="16" w:name="_Toc1541"/>
      <w:bookmarkStart w:id="17" w:name="_Toc26378"/>
      <w:r>
        <w:rPr>
          <w:rFonts w:hint="eastAsia" w:ascii="黑体" w:eastAsia="黑体"/>
          <w:color w:val="000000"/>
          <w:sz w:val="28"/>
          <w:szCs w:val="28"/>
        </w:rPr>
        <w:t>五、</w:t>
      </w:r>
      <w:r>
        <w:rPr>
          <w:rFonts w:hint="eastAsia" w:ascii="黑体" w:eastAsia="黑体"/>
          <w:color w:val="000000"/>
          <w:sz w:val="28"/>
          <w:szCs w:val="28"/>
          <w:lang w:eastAsia="zh-CN"/>
        </w:rPr>
        <w:t>价值</w:t>
      </w:r>
      <w:r>
        <w:rPr>
          <w:rFonts w:hint="eastAsia" w:ascii="黑体" w:eastAsia="黑体"/>
          <w:color w:val="000000"/>
          <w:sz w:val="28"/>
          <w:szCs w:val="28"/>
        </w:rPr>
        <w:t>时点：</w:t>
      </w:r>
      <w:r>
        <w:rPr>
          <w:rFonts w:hint="eastAsia" w:ascii="仿宋_GB2312" w:hAnsi="仿宋_GB2312" w:eastAsia="仿宋_GB2312" w:cs="仿宋_GB2312"/>
          <w:color w:val="000000"/>
          <w:sz w:val="28"/>
          <w:szCs w:val="28"/>
          <w:lang w:val="zh-CN" w:eastAsia="zh-CN"/>
        </w:rPr>
        <w:t>根据委托方要求，价值时点为委托人和注册房地产估价师现场查勘之日，即</w:t>
      </w:r>
      <w:bookmarkEnd w:id="16"/>
      <w:bookmarkEnd w:id="17"/>
      <w:r>
        <w:rPr>
          <w:rFonts w:hint="eastAsia" w:ascii="仿宋_GB2312" w:hAnsi="仿宋_GB2312" w:eastAsia="仿宋_GB2312" w:cs="仿宋_GB2312"/>
          <w:color w:val="000000"/>
          <w:sz w:val="28"/>
          <w:szCs w:val="28"/>
          <w:lang w:val="zh-CN" w:eastAsia="zh-CN"/>
        </w:rPr>
        <w:t>2022年08月18日。</w:t>
      </w:r>
    </w:p>
    <w:p>
      <w:pPr>
        <w:spacing w:line="480" w:lineRule="exact"/>
        <w:ind w:firstLine="509" w:firstLineChars="182"/>
        <w:outlineLvl w:val="0"/>
        <w:rPr>
          <w:rFonts w:hint="eastAsia" w:ascii="黑体" w:eastAsia="黑体"/>
          <w:color w:val="000000"/>
          <w:sz w:val="28"/>
          <w:szCs w:val="28"/>
        </w:rPr>
      </w:pPr>
      <w:bookmarkStart w:id="18" w:name="_Toc28411"/>
      <w:bookmarkStart w:id="19" w:name="_Toc25189"/>
      <w:r>
        <w:rPr>
          <w:rFonts w:hint="eastAsia" w:ascii="黑体" w:eastAsia="黑体"/>
          <w:color w:val="000000"/>
          <w:sz w:val="28"/>
          <w:szCs w:val="28"/>
        </w:rPr>
        <w:t>六、价值</w:t>
      </w:r>
      <w:r>
        <w:rPr>
          <w:rFonts w:hint="eastAsia" w:ascii="黑体" w:eastAsia="黑体"/>
          <w:color w:val="000000"/>
          <w:sz w:val="28"/>
          <w:szCs w:val="28"/>
          <w:lang w:eastAsia="zh-CN"/>
        </w:rPr>
        <w:t>类型</w:t>
      </w:r>
      <w:r>
        <w:rPr>
          <w:rFonts w:hint="eastAsia" w:ascii="黑体" w:eastAsia="黑体"/>
          <w:color w:val="000000"/>
          <w:sz w:val="28"/>
          <w:szCs w:val="28"/>
        </w:rPr>
        <w:t>：</w:t>
      </w:r>
      <w:bookmarkEnd w:id="18"/>
      <w:bookmarkEnd w:id="19"/>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本报告估价结果是估价对象在价值时点的</w:t>
      </w:r>
      <w:r>
        <w:rPr>
          <w:rFonts w:hint="eastAsia" w:ascii="仿宋_GB2312" w:hAnsi="仿宋_GB2312" w:eastAsia="仿宋_GB2312" w:cs="仿宋_GB2312"/>
          <w:color w:val="000000"/>
          <w:sz w:val="28"/>
          <w:szCs w:val="28"/>
          <w:lang w:val="en-US" w:eastAsia="zh-CN"/>
        </w:rPr>
        <w:t>房地产</w:t>
      </w:r>
      <w:r>
        <w:rPr>
          <w:rFonts w:hint="eastAsia" w:ascii="仿宋_GB2312" w:hAnsi="仿宋_GB2312" w:eastAsia="仿宋_GB2312" w:cs="仿宋_GB2312"/>
          <w:color w:val="000000"/>
          <w:sz w:val="28"/>
          <w:szCs w:val="28"/>
          <w:lang w:eastAsia="zh-CN"/>
        </w:rPr>
        <w:t>市场价值。即估价对象经适当营销后，由熟悉情况、符合条件、谨慎行事且不受强迫的交易双方，以公平交易方式在价值时点自愿进行交易的金额。</w:t>
      </w:r>
    </w:p>
    <w:p>
      <w:pPr>
        <w:spacing w:line="440" w:lineRule="exact"/>
        <w:ind w:firstLine="560" w:firstLineChars="200"/>
        <w:outlineLvl w:val="0"/>
        <w:rPr>
          <w:rFonts w:hint="eastAsia" w:ascii="黑体" w:eastAsia="黑体"/>
          <w:color w:val="000000"/>
          <w:sz w:val="28"/>
          <w:szCs w:val="28"/>
        </w:rPr>
      </w:pPr>
      <w:bookmarkStart w:id="20" w:name="_Toc238"/>
      <w:bookmarkStart w:id="21" w:name="_Toc22801"/>
      <w:r>
        <w:rPr>
          <w:rFonts w:hint="eastAsia" w:ascii="黑体" w:eastAsia="黑体"/>
          <w:color w:val="000000"/>
          <w:sz w:val="28"/>
          <w:szCs w:val="28"/>
          <w:lang w:eastAsia="zh-CN"/>
        </w:rPr>
        <w:t>七</w:t>
      </w:r>
      <w:r>
        <w:rPr>
          <w:rFonts w:hint="eastAsia" w:ascii="黑体" w:eastAsia="黑体"/>
          <w:color w:val="000000"/>
          <w:sz w:val="28"/>
          <w:szCs w:val="28"/>
        </w:rPr>
        <w:t>、估价原则：</w:t>
      </w:r>
      <w:bookmarkEnd w:id="20"/>
      <w:bookmarkEnd w:id="21"/>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本估价报告在遵循客观、公正、科学、合理的基本原则下，结合估价目的对估价对象进行估价。具体依据如下原则：合法原则、最高最佳使用原则、替代原则、价值时点原则。</w:t>
      </w:r>
    </w:p>
    <w:p>
      <w:pPr>
        <w:spacing w:line="500" w:lineRule="exact"/>
        <w:ind w:firstLine="560" w:firstLineChars="200"/>
        <w:rPr>
          <w:rFonts w:eastAsia="仿宋_GB2312"/>
          <w:color w:val="000000"/>
          <w:sz w:val="28"/>
          <w:szCs w:val="28"/>
        </w:rPr>
      </w:pPr>
      <w:bookmarkStart w:id="22" w:name="_Toc14408"/>
      <w:r>
        <w:rPr>
          <w:rFonts w:eastAsia="仿宋_GB2312"/>
          <w:color w:val="000000"/>
          <w:sz w:val="28"/>
          <w:szCs w:val="28"/>
        </w:rPr>
        <w:t>（一）合法原则</w:t>
      </w:r>
    </w:p>
    <w:p>
      <w:pPr>
        <w:spacing w:line="500" w:lineRule="exact"/>
        <w:ind w:firstLine="560" w:firstLineChars="200"/>
        <w:rPr>
          <w:rFonts w:eastAsia="仿宋_GB2312"/>
          <w:color w:val="000000"/>
          <w:sz w:val="28"/>
          <w:szCs w:val="28"/>
        </w:rPr>
      </w:pPr>
      <w:r>
        <w:rPr>
          <w:rFonts w:eastAsia="仿宋_GB2312"/>
          <w:color w:val="000000"/>
          <w:sz w:val="28"/>
          <w:szCs w:val="28"/>
        </w:rPr>
        <w:t>房地产估价应遵循合法原则，即房地产估价应以估价对象的合法产权、合法使用、合法处分为前提估价，所谓合法，是指符合国家的法律、法规和当地政府的有关规定。</w:t>
      </w:r>
    </w:p>
    <w:p>
      <w:pPr>
        <w:spacing w:line="500" w:lineRule="exact"/>
        <w:ind w:firstLine="560" w:firstLineChars="200"/>
        <w:rPr>
          <w:rFonts w:eastAsia="仿宋_GB2312"/>
          <w:color w:val="000000"/>
          <w:sz w:val="28"/>
          <w:szCs w:val="28"/>
        </w:rPr>
      </w:pPr>
      <w:r>
        <w:rPr>
          <w:rFonts w:eastAsia="仿宋_GB2312"/>
          <w:color w:val="000000"/>
          <w:sz w:val="28"/>
          <w:szCs w:val="28"/>
        </w:rPr>
        <w:t>（二）替代原则</w:t>
      </w:r>
    </w:p>
    <w:p>
      <w:pPr>
        <w:spacing w:line="500" w:lineRule="exact"/>
        <w:ind w:firstLine="560" w:firstLineChars="200"/>
        <w:rPr>
          <w:rFonts w:eastAsia="仿宋_GB2312"/>
          <w:color w:val="000000"/>
          <w:sz w:val="28"/>
          <w:szCs w:val="28"/>
        </w:rPr>
      </w:pPr>
      <w:r>
        <w:rPr>
          <w:rFonts w:eastAsia="仿宋_GB2312"/>
          <w:color w:val="000000"/>
          <w:sz w:val="28"/>
          <w:szCs w:val="28"/>
        </w:rPr>
        <w:t>遵循替代原则，要求估价结果不得明显偏离类似房地产在同等条件下的正常价格。</w:t>
      </w:r>
    </w:p>
    <w:p>
      <w:pPr>
        <w:spacing w:line="500" w:lineRule="exact"/>
        <w:ind w:firstLine="560" w:firstLineChars="200"/>
        <w:rPr>
          <w:rFonts w:eastAsia="仿宋_GB2312"/>
          <w:color w:val="000000"/>
          <w:sz w:val="28"/>
          <w:szCs w:val="28"/>
        </w:rPr>
      </w:pPr>
      <w:r>
        <w:rPr>
          <w:rFonts w:eastAsia="仿宋_GB2312"/>
          <w:color w:val="000000"/>
          <w:sz w:val="28"/>
          <w:szCs w:val="28"/>
        </w:rPr>
        <w:t>替代原则的理论依据是同一市场上相同物品具有相同的市场价值的经济学原理。替代原则是保证房地产估价能够通过运用市场资料进行和完成的重要理论前提：只有承认同一市场上相同的物品具有相同市场价值，才能可能根据市场资料对估价对象进行估价。</w:t>
      </w:r>
    </w:p>
    <w:p>
      <w:pPr>
        <w:spacing w:line="500" w:lineRule="exact"/>
        <w:ind w:firstLine="560" w:firstLineChars="200"/>
        <w:rPr>
          <w:rFonts w:eastAsia="仿宋_GB2312"/>
          <w:color w:val="000000"/>
          <w:sz w:val="28"/>
          <w:szCs w:val="28"/>
        </w:rPr>
      </w:pPr>
      <w:r>
        <w:rPr>
          <w:rFonts w:eastAsia="仿宋_GB2312"/>
          <w:color w:val="000000"/>
          <w:sz w:val="28"/>
          <w:szCs w:val="28"/>
        </w:rPr>
        <w:t>替代原则也反映了房地产估价的基本原理和最一般的估价过程：房地产估价所要确定的估价结论是估价对象的客观合理价格或价值。对于房地产交易目的而言，该客观合理价格或价值应当是在公开市场上最可能形成或者确定的价格，房地产估价就是参照公开市场上足够数量的类似房地产的近期成交价格来确定估价对象的客观合理价格或价值。</w:t>
      </w:r>
    </w:p>
    <w:p>
      <w:pPr>
        <w:spacing w:line="500" w:lineRule="exact"/>
        <w:ind w:firstLine="560" w:firstLineChars="200"/>
        <w:rPr>
          <w:rFonts w:eastAsia="仿宋_GB2312"/>
          <w:color w:val="000000"/>
          <w:sz w:val="28"/>
          <w:szCs w:val="28"/>
        </w:rPr>
      </w:pPr>
      <w:r>
        <w:rPr>
          <w:rFonts w:eastAsia="仿宋_GB2312"/>
          <w:color w:val="000000"/>
          <w:sz w:val="28"/>
          <w:szCs w:val="28"/>
        </w:rPr>
        <w:t>（三）最高最佳利用原则</w:t>
      </w:r>
    </w:p>
    <w:p>
      <w:pPr>
        <w:spacing w:line="500" w:lineRule="exact"/>
        <w:ind w:firstLine="560" w:firstLineChars="200"/>
        <w:rPr>
          <w:rFonts w:eastAsia="仿宋_GB2312"/>
          <w:color w:val="000000"/>
          <w:sz w:val="28"/>
          <w:szCs w:val="28"/>
        </w:rPr>
      </w:pPr>
      <w:r>
        <w:rPr>
          <w:rFonts w:eastAsia="仿宋_GB2312"/>
          <w:color w:val="000000"/>
          <w:sz w:val="28"/>
          <w:szCs w:val="28"/>
        </w:rPr>
        <w:t>最高最佳利用原则是指在合法前提下的最高最价使用，其要求法律上允许、技术上可能，财务上可行，其主要的表现是以获利最大的使用方式来衡量房地产的价值。</w:t>
      </w:r>
    </w:p>
    <w:p>
      <w:pPr>
        <w:spacing w:line="500" w:lineRule="exact"/>
        <w:ind w:firstLine="560" w:firstLineChars="200"/>
        <w:rPr>
          <w:rFonts w:eastAsia="仿宋_GB2312"/>
          <w:color w:val="000000"/>
          <w:sz w:val="28"/>
          <w:szCs w:val="28"/>
        </w:rPr>
      </w:pPr>
      <w:r>
        <w:rPr>
          <w:rFonts w:eastAsia="仿宋_GB2312"/>
          <w:color w:val="000000"/>
          <w:sz w:val="28"/>
          <w:szCs w:val="28"/>
        </w:rPr>
        <w:t>针对该处房地产所处的特殊地理位置及外部环境条件，结合本估价机构掌握的该处地块的绝大多数用途，确定该处房地产的最高最佳用途为：</w:t>
      </w:r>
      <w:r>
        <w:rPr>
          <w:rFonts w:hint="eastAsia" w:eastAsia="仿宋_GB2312"/>
          <w:b/>
          <w:color w:val="000000"/>
          <w:sz w:val="28"/>
          <w:szCs w:val="28"/>
          <w:lang w:eastAsia="zh-CN"/>
        </w:rPr>
        <w:t>住宅用房地产</w:t>
      </w:r>
      <w:r>
        <w:rPr>
          <w:rFonts w:eastAsia="仿宋_GB2312"/>
          <w:color w:val="000000"/>
          <w:sz w:val="28"/>
          <w:szCs w:val="28"/>
        </w:rPr>
        <w:t>。</w:t>
      </w:r>
    </w:p>
    <w:p>
      <w:pPr>
        <w:spacing w:line="500" w:lineRule="exact"/>
        <w:ind w:firstLine="560" w:firstLineChars="200"/>
        <w:rPr>
          <w:rFonts w:eastAsia="仿宋_GB2312"/>
          <w:color w:val="000000"/>
          <w:sz w:val="28"/>
          <w:szCs w:val="28"/>
        </w:rPr>
      </w:pPr>
      <w:r>
        <w:rPr>
          <w:rFonts w:eastAsia="仿宋_GB2312"/>
          <w:color w:val="000000"/>
          <w:sz w:val="28"/>
          <w:szCs w:val="28"/>
        </w:rPr>
        <w:t>（四）</w:t>
      </w:r>
      <w:r>
        <w:rPr>
          <w:rFonts w:hint="eastAsia" w:eastAsia="仿宋_GB2312"/>
          <w:color w:val="000000"/>
          <w:sz w:val="28"/>
          <w:szCs w:val="28"/>
          <w:lang w:eastAsia="zh-CN"/>
        </w:rPr>
        <w:t>价值时点</w:t>
      </w:r>
      <w:r>
        <w:rPr>
          <w:rFonts w:eastAsia="仿宋_GB2312"/>
          <w:color w:val="000000"/>
          <w:sz w:val="28"/>
          <w:szCs w:val="28"/>
        </w:rPr>
        <w:t>原则</w:t>
      </w:r>
    </w:p>
    <w:p>
      <w:pPr>
        <w:spacing w:line="500" w:lineRule="exact"/>
        <w:ind w:firstLine="560" w:firstLineChars="200"/>
        <w:rPr>
          <w:rFonts w:eastAsia="仿宋_GB2312"/>
          <w:color w:val="000000"/>
          <w:sz w:val="28"/>
          <w:szCs w:val="28"/>
        </w:rPr>
      </w:pPr>
      <w:r>
        <w:rPr>
          <w:rFonts w:eastAsia="仿宋_GB2312"/>
          <w:color w:val="000000"/>
          <w:sz w:val="28"/>
          <w:szCs w:val="28"/>
        </w:rPr>
        <w:t>房地产市场是不断变化的，影响房地产价格的因素是不断变化的，房地产价格自然也是不断变化的。在不同的时间，同一宗房地产往往有不同的价格，因此房地产价格具有很强的时间性，每一个价格都对应着一个具体的时间。如果失去了时间，价格也就失去了意义。</w:t>
      </w:r>
    </w:p>
    <w:p>
      <w:pPr>
        <w:spacing w:line="500" w:lineRule="exact"/>
        <w:ind w:firstLine="560" w:firstLineChars="200"/>
        <w:rPr>
          <w:rFonts w:eastAsia="仿宋_GB2312"/>
          <w:color w:val="000000"/>
          <w:sz w:val="28"/>
          <w:szCs w:val="28"/>
        </w:rPr>
      </w:pPr>
      <w:r>
        <w:rPr>
          <w:rFonts w:eastAsia="仿宋_GB2312"/>
          <w:color w:val="000000"/>
          <w:sz w:val="28"/>
          <w:szCs w:val="28"/>
        </w:rPr>
        <w:t>确定</w:t>
      </w:r>
      <w:r>
        <w:rPr>
          <w:rFonts w:hint="eastAsia" w:eastAsia="仿宋_GB2312"/>
          <w:color w:val="000000"/>
          <w:sz w:val="28"/>
          <w:szCs w:val="28"/>
          <w:lang w:eastAsia="zh-CN"/>
        </w:rPr>
        <w:t>价值时点</w:t>
      </w:r>
      <w:r>
        <w:rPr>
          <w:rFonts w:eastAsia="仿宋_GB2312"/>
          <w:color w:val="000000"/>
          <w:sz w:val="28"/>
          <w:szCs w:val="28"/>
        </w:rPr>
        <w:t>原则的意义在于：</w:t>
      </w:r>
      <w:r>
        <w:rPr>
          <w:rFonts w:hint="eastAsia" w:eastAsia="仿宋_GB2312"/>
          <w:color w:val="000000"/>
          <w:sz w:val="28"/>
          <w:szCs w:val="28"/>
          <w:lang w:eastAsia="zh-CN"/>
        </w:rPr>
        <w:t>价值时点</w:t>
      </w:r>
      <w:r>
        <w:rPr>
          <w:rFonts w:eastAsia="仿宋_GB2312"/>
          <w:color w:val="000000"/>
          <w:sz w:val="28"/>
          <w:szCs w:val="28"/>
        </w:rPr>
        <w:t>是评估房地产价格的时间界限，例如，政府有关房地产的法律、法规、政策、标准、税收等的发布、变更、实施日期之前的还是之后的，就应根据</w:t>
      </w:r>
      <w:r>
        <w:rPr>
          <w:rFonts w:hint="eastAsia" w:eastAsia="仿宋_GB2312"/>
          <w:color w:val="000000"/>
          <w:sz w:val="28"/>
          <w:szCs w:val="28"/>
          <w:lang w:eastAsia="zh-CN"/>
        </w:rPr>
        <w:t>价值时点</w:t>
      </w:r>
      <w:r>
        <w:rPr>
          <w:rFonts w:eastAsia="仿宋_GB2312"/>
          <w:color w:val="000000"/>
          <w:sz w:val="28"/>
          <w:szCs w:val="28"/>
        </w:rPr>
        <w:t>来确定。再如，运用市场比较法评估房地产价格时，如果选用的不是</w:t>
      </w:r>
      <w:r>
        <w:rPr>
          <w:rFonts w:hint="eastAsia" w:eastAsia="仿宋_GB2312"/>
          <w:color w:val="000000"/>
          <w:sz w:val="28"/>
          <w:szCs w:val="28"/>
          <w:lang w:eastAsia="zh-CN"/>
        </w:rPr>
        <w:t>价值时点</w:t>
      </w:r>
      <w:r>
        <w:rPr>
          <w:rFonts w:eastAsia="仿宋_GB2312"/>
          <w:color w:val="000000"/>
          <w:sz w:val="28"/>
          <w:szCs w:val="28"/>
        </w:rPr>
        <w:t>的交易实例（通常都是这种情况），由于这些交易实例价格的成交日期与</w:t>
      </w:r>
      <w:r>
        <w:rPr>
          <w:rFonts w:hint="eastAsia" w:eastAsia="仿宋_GB2312"/>
          <w:color w:val="000000"/>
          <w:sz w:val="28"/>
          <w:szCs w:val="28"/>
          <w:lang w:eastAsia="zh-CN"/>
        </w:rPr>
        <w:t>价值时点</w:t>
      </w:r>
      <w:r>
        <w:rPr>
          <w:rFonts w:eastAsia="仿宋_GB2312"/>
          <w:color w:val="000000"/>
          <w:sz w:val="28"/>
          <w:szCs w:val="28"/>
        </w:rPr>
        <w:t>不同，就需要把它们调整到某个统一的时间上，这个统一的时间便是</w:t>
      </w:r>
      <w:r>
        <w:rPr>
          <w:rFonts w:hint="eastAsia" w:eastAsia="仿宋_GB2312"/>
          <w:color w:val="000000"/>
          <w:sz w:val="28"/>
          <w:szCs w:val="28"/>
          <w:lang w:eastAsia="zh-CN"/>
        </w:rPr>
        <w:t>价值时点</w:t>
      </w:r>
      <w:r>
        <w:rPr>
          <w:rFonts w:eastAsia="仿宋_GB2312"/>
          <w:color w:val="000000"/>
          <w:sz w:val="28"/>
          <w:szCs w:val="28"/>
        </w:rPr>
        <w:t>，如此，这些交易实例的价格才能作为估价对象的价格。</w:t>
      </w:r>
    </w:p>
    <w:p>
      <w:pPr>
        <w:numPr>
          <w:ilvl w:val="0"/>
          <w:numId w:val="5"/>
        </w:numPr>
        <w:spacing w:line="480" w:lineRule="exact"/>
        <w:ind w:firstLine="560" w:firstLineChars="200"/>
        <w:outlineLvl w:val="0"/>
        <w:rPr>
          <w:rFonts w:hint="eastAsia" w:ascii="黑体" w:eastAsia="黑体"/>
          <w:color w:val="000000"/>
          <w:sz w:val="28"/>
          <w:szCs w:val="28"/>
        </w:rPr>
      </w:pPr>
      <w:bookmarkStart w:id="23" w:name="_Toc18178"/>
      <w:r>
        <w:rPr>
          <w:rFonts w:hint="eastAsia" w:ascii="黑体" w:eastAsia="黑体"/>
          <w:color w:val="000000"/>
          <w:sz w:val="28"/>
          <w:szCs w:val="28"/>
        </w:rPr>
        <w:t>估价依据：</w:t>
      </w:r>
      <w:bookmarkEnd w:id="23"/>
    </w:p>
    <w:p>
      <w:pPr>
        <w:keepNext w:val="0"/>
        <w:keepLines w:val="0"/>
        <w:pageBreakBefore w:val="0"/>
        <w:widowControl w:val="0"/>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bookmarkStart w:id="24" w:name="_Toc6571"/>
      <w:r>
        <w:rPr>
          <w:rFonts w:hint="eastAsia" w:ascii="仿宋_GB2312" w:hAnsi="仿宋_GB2312" w:eastAsia="仿宋_GB2312" w:cs="仿宋_GB2312"/>
          <w:color w:val="000000"/>
          <w:sz w:val="28"/>
          <w:szCs w:val="28"/>
          <w:lang w:val="en-US" w:eastAsia="zh-CN"/>
        </w:rPr>
        <w:t>1、委托方提供的</w:t>
      </w:r>
      <w:bookmarkEnd w:id="24"/>
      <w:r>
        <w:rPr>
          <w:rFonts w:hint="eastAsia" w:ascii="仿宋_GB2312" w:hAnsi="仿宋_GB2312" w:eastAsia="仿宋_GB2312" w:cs="仿宋_GB2312"/>
          <w:color w:val="000000"/>
          <w:sz w:val="28"/>
          <w:szCs w:val="28"/>
          <w:lang w:val="en-US" w:eastAsia="zh-CN"/>
        </w:rPr>
        <w:t>《</w:t>
      </w:r>
      <w:r>
        <w:rPr>
          <w:rFonts w:hint="eastAsia" w:ascii="仿宋" w:hAnsi="仿宋" w:eastAsia="仿宋" w:cs="仿宋"/>
          <w:color w:val="000000"/>
          <w:sz w:val="28"/>
          <w:szCs w:val="28"/>
          <w:lang w:val="en-US" w:eastAsia="zh-CN"/>
        </w:rPr>
        <w:t>射阳县人民法院司法鉴定委托书》</w:t>
      </w:r>
      <w:r>
        <w:rPr>
          <w:rFonts w:hint="eastAsia" w:ascii="仿宋_GB2312" w:hAnsi="仿宋_GB2312" w:eastAsia="仿宋_GB2312" w:cs="仿宋_GB2312"/>
          <w:color w:val="000000"/>
          <w:sz w:val="28"/>
          <w:szCs w:val="28"/>
          <w:lang w:val="en-US" w:eastAsia="zh-CN"/>
        </w:rPr>
        <w:t>[（2022）苏0924法鉴委字第73号]</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25" w:name="_Toc10483"/>
      <w:bookmarkStart w:id="26" w:name="_Toc28979"/>
      <w:r>
        <w:rPr>
          <w:rFonts w:hint="eastAsia" w:ascii="仿宋_GB2312" w:hAnsi="仿宋_GB2312" w:eastAsia="仿宋_GB2312" w:cs="仿宋_GB2312"/>
          <w:color w:val="000000"/>
          <w:sz w:val="28"/>
          <w:szCs w:val="28"/>
          <w:lang w:val="en-US" w:eastAsia="zh-CN"/>
        </w:rPr>
        <w:t>2、全国人大、国务院及有关部门、最高人民法院颁布的有关法律、法规</w:t>
      </w:r>
      <w:bookmarkEnd w:id="25"/>
      <w:r>
        <w:rPr>
          <w:rFonts w:hint="eastAsia" w:ascii="仿宋_GB2312" w:hAnsi="仿宋_GB2312" w:eastAsia="仿宋_GB2312" w:cs="仿宋_GB2312"/>
          <w:color w:val="000000"/>
          <w:sz w:val="28"/>
          <w:szCs w:val="28"/>
          <w:lang w:val="en-US" w:eastAsia="zh-CN"/>
        </w:rPr>
        <w:t>及规章</w:t>
      </w:r>
    </w:p>
    <w:p>
      <w:pPr>
        <w:ind w:firstLine="560" w:firstLineChars="200"/>
        <w:rPr>
          <w:rFonts w:hint="eastAsia" w:ascii="仿宋_GB2312" w:hAnsi="仿宋_GB2312" w:eastAsia="仿宋_GB2312" w:cs="仿宋_GB2312"/>
          <w:sz w:val="28"/>
          <w:szCs w:val="28"/>
          <w:lang w:eastAsia="zh-CN"/>
        </w:rPr>
      </w:pPr>
      <w:bookmarkStart w:id="27" w:name="_Toc17284"/>
      <w:bookmarkStart w:id="28" w:name="_Toc9599"/>
      <w:r>
        <w:rPr>
          <w:rFonts w:hint="eastAsia" w:ascii="仿宋_GB2312" w:hAnsi="仿宋_GB2312" w:eastAsia="仿宋_GB2312" w:cs="仿宋_GB2312"/>
          <w:sz w:val="28"/>
          <w:szCs w:val="28"/>
        </w:rPr>
        <w:t>2.1《中华人民共和国民法典》（2020年5月28日，十三届全国人大三次会议表决通过了，自2021年1月1日起施行）</w:t>
      </w:r>
      <w:r>
        <w:rPr>
          <w:rFonts w:hint="eastAsia" w:ascii="仿宋_GB2312" w:hAnsi="仿宋_GB2312" w:eastAsia="仿宋_GB2312" w:cs="仿宋_GB2312"/>
          <w:sz w:val="28"/>
          <w:szCs w:val="28"/>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《中华人民共和国资产评估法》（中华人民共和国第十二届全国人民代表大会常务委员会第二十一次会议于2016年7月2日通过，自2016年12月1日起施行）</w:t>
      </w:r>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《中华人民共和国城市房地产管理法》（</w:t>
      </w:r>
      <w:r>
        <w:rPr>
          <w:rFonts w:hint="eastAsia" w:ascii="仿宋_GB2312" w:hAnsi="仿宋_GB2312" w:eastAsia="仿宋_GB2312" w:cs="仿宋_GB2312"/>
          <w:sz w:val="28"/>
          <w:szCs w:val="28"/>
          <w:highlight w:val="none"/>
          <w:lang w:eastAsia="zh-CN"/>
        </w:rPr>
        <w:t>根据</w:t>
      </w:r>
      <w:r>
        <w:rPr>
          <w:rFonts w:hint="eastAsia" w:ascii="仿宋_GB2312" w:hAnsi="仿宋_GB2312" w:eastAsia="仿宋_GB2312" w:cs="仿宋_GB2312"/>
          <w:sz w:val="28"/>
          <w:szCs w:val="28"/>
          <w:highlight w:val="none"/>
        </w:rPr>
        <w:t>2019年8月26日第十三届全国人民代表大会常务委员会第十二次会议关于修改《中华人民共和国城市房地产管理法》的决定第三次修订</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自2020年1月1日起施行）</w:t>
      </w:r>
      <w:bookmarkEnd w:id="27"/>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bookmarkStart w:id="29" w:name="_Toc16385"/>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《中华人民共和国土地管理法》（根据2019年8月26日第十三届全国人民代表大会常务委员会第十二次会议关于修改《中华人民共和国土地管理法》的决定第三次修订</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自2020年1月1日起施行）</w:t>
      </w:r>
      <w:bookmarkEnd w:id="29"/>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bookmarkStart w:id="30" w:name="_Toc30455"/>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《中华人民共和国土地管理法实施条例》（2021年4月21日，国务院第132次会议修订通过，自2021年9月1日起施行）</w:t>
      </w:r>
      <w:bookmarkEnd w:id="30"/>
      <w:r>
        <w:rPr>
          <w:rFonts w:hint="eastAsia" w:ascii="仿宋_GB2312" w:hAnsi="仿宋_GB2312" w:eastAsia="仿宋_GB2312" w:cs="仿宋_GB2312"/>
          <w:sz w:val="28"/>
          <w:szCs w:val="28"/>
          <w:highlight w:val="none"/>
          <w:lang w:eastAsia="zh-CN"/>
        </w:rPr>
        <w:t>；</w:t>
      </w:r>
    </w:p>
    <w:p>
      <w:pPr>
        <w:numPr>
          <w:ilvl w:val="0"/>
          <w:numId w:val="0"/>
        </w:numPr>
        <w:spacing w:line="480" w:lineRule="exact"/>
        <w:ind w:firstLine="56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000000"/>
          <w:sz w:val="28"/>
          <w:szCs w:val="28"/>
          <w:highlight w:val="none"/>
          <w:lang w:val="en-US" w:eastAsia="zh-CN"/>
        </w:rPr>
        <w:t>2.6《中华人民共和国城乡规划法》（2007年10月28日第十届全国人民代表大会第三十次会议通过，2008年1月1日施行；根据2019年4月23日第十三届全国人民代表大会常务委员会第十次会议《关于修改〈中华人民共和国建筑法〉等八部法律的决定》第二次修正）；</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《中华人民共和国城镇国有土地使用权出让和转让暂行条例》（1990年5月19日国务院令第55号，1990年5月19日施行</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color w:val="000000"/>
          <w:sz w:val="28"/>
          <w:szCs w:val="28"/>
          <w:highlight w:val="none"/>
          <w:lang w:val="en-US" w:eastAsia="zh-CN"/>
        </w:rPr>
        <w:t>根据2020年11月29日《国务院关于修改和废止部分行政法规的决定》修订</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bookmarkStart w:id="31" w:name="_Toc11506"/>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《最高人民法院关于人民法院民事执行中拍卖、变卖财产的规定》（2020年12月23日，最高人民法院审判委员会第1823次会议</w:t>
      </w:r>
      <w:r>
        <w:rPr>
          <w:rFonts w:hint="eastAsia" w:ascii="仿宋_GB2312" w:hAnsi="仿宋_GB2312" w:eastAsia="仿宋_GB2312" w:cs="仿宋_GB2312"/>
          <w:sz w:val="28"/>
          <w:szCs w:val="28"/>
          <w:highlight w:val="none"/>
          <w:lang w:eastAsia="zh-CN"/>
        </w:rPr>
        <w:t>通过</w:t>
      </w:r>
      <w:r>
        <w:rPr>
          <w:rFonts w:hint="eastAsia" w:ascii="仿宋_GB2312" w:hAnsi="仿宋_GB2312" w:eastAsia="仿宋_GB2312" w:cs="仿宋_GB2312"/>
          <w:sz w:val="28"/>
          <w:szCs w:val="28"/>
          <w:highlight w:val="none"/>
        </w:rPr>
        <w:t>最高人民法院关于修改《最高人民法院关于人民法院扣押铁路运输货物若干问题的规定》等十八件执行类司法解释的决定自2021年1月1日起施行）</w:t>
      </w:r>
      <w:bookmarkEnd w:id="31"/>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bookmarkStart w:id="32" w:name="_Toc13927"/>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9</w:t>
      </w:r>
      <w:r>
        <w:rPr>
          <w:rFonts w:hint="eastAsia" w:ascii="仿宋_GB2312" w:hAnsi="仿宋_GB2312" w:eastAsia="仿宋_GB2312" w:cs="仿宋_GB2312"/>
          <w:sz w:val="28"/>
          <w:szCs w:val="28"/>
          <w:highlight w:val="none"/>
        </w:rPr>
        <w:t>《最高人民法院关于人民法院委托评估、拍卖和变卖工作的若干规定》（2009年11月12日发布）</w:t>
      </w:r>
      <w:bookmarkEnd w:id="32"/>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000000"/>
          <w:sz w:val="28"/>
          <w:szCs w:val="28"/>
          <w:highlight w:val="none"/>
          <w:lang w:val="en-US" w:eastAsia="zh-CN"/>
        </w:rPr>
        <w:t>2.10《最高人民法院关于人民法院确定财产处置参考价若干问题的规定》（2018年9月1日起施行）；</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bookmarkStart w:id="33" w:name="_Toc28623"/>
      <w:r>
        <w:rPr>
          <w:rFonts w:hint="eastAsia"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《司法鉴定程序通则》（司法部令第107号经2007年7月18日司法部部务会议审议通过</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司法部令第</w:t>
      </w:r>
      <w:r>
        <w:rPr>
          <w:rFonts w:hint="eastAsia" w:ascii="仿宋_GB2312" w:hAnsi="仿宋_GB2312" w:eastAsia="仿宋_GB2312" w:cs="仿宋_GB2312"/>
          <w:sz w:val="28"/>
          <w:szCs w:val="28"/>
          <w:highlight w:val="none"/>
          <w:lang w:val="en-US" w:eastAsia="zh-CN"/>
        </w:rPr>
        <w:t>132</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eastAsia="zh-CN"/>
        </w:rPr>
        <w:t>经</w:t>
      </w:r>
      <w:r>
        <w:rPr>
          <w:rFonts w:hint="eastAsia" w:ascii="仿宋_GB2312" w:hAnsi="仿宋_GB2312" w:eastAsia="仿宋_GB2312" w:cs="仿宋_GB2312"/>
          <w:sz w:val="28"/>
          <w:szCs w:val="28"/>
          <w:highlight w:val="none"/>
        </w:rPr>
        <w:t>2015年12月24日司法部部务会议修订通过</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2016年5月1日施行</w:t>
      </w:r>
      <w:r>
        <w:rPr>
          <w:rFonts w:hint="eastAsia" w:ascii="仿宋_GB2312" w:hAnsi="仿宋_GB2312" w:eastAsia="仿宋_GB2312" w:cs="仿宋_GB2312"/>
          <w:sz w:val="28"/>
          <w:szCs w:val="28"/>
          <w:highlight w:val="none"/>
        </w:rPr>
        <w:t>）</w:t>
      </w:r>
      <w:bookmarkEnd w:id="33"/>
      <w:r>
        <w:rPr>
          <w:rFonts w:hint="eastAsia" w:ascii="仿宋_GB2312" w:hAnsi="仿宋_GB2312" w:eastAsia="仿宋_GB2312" w:cs="仿宋_GB2312"/>
          <w:sz w:val="28"/>
          <w:szCs w:val="28"/>
          <w:highlight w:val="none"/>
          <w:lang w:eastAsia="zh-CN"/>
        </w:rPr>
        <w:t>；</w:t>
      </w:r>
    </w:p>
    <w:p>
      <w:pPr>
        <w:numPr>
          <w:ilvl w:val="0"/>
          <w:numId w:val="0"/>
        </w:numPr>
        <w:spacing w:line="480" w:lineRule="exact"/>
        <w:ind w:firstLine="56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000000"/>
          <w:sz w:val="28"/>
          <w:szCs w:val="28"/>
          <w:highlight w:val="none"/>
          <w:lang w:val="en-US" w:eastAsia="zh-CN"/>
        </w:rPr>
        <w:t>2.12《关于全面推开营业税改征增值税试点的通知》（根据财政部、国家税务总局3月23日联合下发，财税〔2016〕36号，自2016年5月1日起施行）；</w:t>
      </w:r>
    </w:p>
    <w:p>
      <w:pPr>
        <w:spacing w:line="500" w:lineRule="exact"/>
        <w:ind w:firstLine="560" w:firstLineChars="200"/>
        <w:outlineLvl w:val="0"/>
        <w:rPr>
          <w:rFonts w:ascii="仿宋_GB2312" w:hAnsi="仿宋_GB2312" w:eastAsia="仿宋_GB2312" w:cs="仿宋_GB2312"/>
          <w:sz w:val="28"/>
          <w:szCs w:val="28"/>
          <w:highlight w:val="none"/>
        </w:rPr>
      </w:pPr>
      <w:bookmarkStart w:id="34" w:name="_Toc15790"/>
      <w:r>
        <w:rPr>
          <w:rFonts w:hint="eastAsia" w:ascii="仿宋_GB2312" w:hAnsi="仿宋_GB2312" w:eastAsia="仿宋_GB2312" w:cs="仿宋_GB2312"/>
          <w:sz w:val="28"/>
          <w:szCs w:val="28"/>
          <w:highlight w:val="none"/>
        </w:rPr>
        <w:t>2.1</w:t>
      </w:r>
      <w:bookmarkEnd w:id="34"/>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color w:val="000000"/>
          <w:sz w:val="28"/>
          <w:szCs w:val="28"/>
          <w:highlight w:val="none"/>
          <w:lang w:val="en-US" w:eastAsia="zh-CN"/>
        </w:rPr>
        <w:t>《关于发布&lt;纳税人转让不动产增值税征收管理暂行办法&gt;的公告》（国家税务总局2016年3月31日发布，自2016年5月1日起施行）；</w:t>
      </w:r>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bookmarkStart w:id="35" w:name="_Toc13179"/>
      <w:r>
        <w:rPr>
          <w:rFonts w:hint="eastAsia"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《中华人民共和国城市</w:t>
      </w:r>
      <w:r>
        <w:rPr>
          <w:rFonts w:hint="eastAsia" w:ascii="仿宋_GB2312" w:hAnsi="仿宋_GB2312" w:eastAsia="仿宋_GB2312" w:cs="仿宋_GB2312"/>
          <w:sz w:val="28"/>
          <w:szCs w:val="28"/>
          <w:highlight w:val="none"/>
          <w:lang w:eastAsia="zh-CN"/>
        </w:rPr>
        <w:t>维护</w:t>
      </w:r>
      <w:r>
        <w:rPr>
          <w:rFonts w:hint="eastAsia" w:ascii="仿宋_GB2312" w:hAnsi="仿宋_GB2312" w:eastAsia="仿宋_GB2312" w:cs="仿宋_GB2312"/>
          <w:sz w:val="28"/>
          <w:szCs w:val="28"/>
          <w:highlight w:val="none"/>
        </w:rPr>
        <w:t>建设税法》</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中华人民共和国第十三届全国人民代表大会常务委员会第二十一次会议通过，</w:t>
      </w:r>
      <w:r>
        <w:rPr>
          <w:rFonts w:hint="eastAsia" w:ascii="仿宋_GB2312" w:hAnsi="仿宋_GB2312" w:eastAsia="仿宋_GB2312" w:cs="仿宋_GB2312"/>
          <w:sz w:val="28"/>
          <w:szCs w:val="28"/>
          <w:highlight w:val="none"/>
          <w:lang w:eastAsia="zh-CN"/>
        </w:rPr>
        <w:t>自</w:t>
      </w:r>
      <w:r>
        <w:rPr>
          <w:rFonts w:hint="eastAsia" w:ascii="仿宋_GB2312" w:hAnsi="仿宋_GB2312" w:eastAsia="仿宋_GB2312" w:cs="仿宋_GB2312"/>
          <w:sz w:val="28"/>
          <w:szCs w:val="28"/>
          <w:highlight w:val="none"/>
          <w:lang w:val="en-US" w:eastAsia="zh-CN"/>
        </w:rPr>
        <w:t>2021</w:t>
      </w:r>
      <w:r>
        <w:rPr>
          <w:rFonts w:hint="eastAsia" w:ascii="仿宋_GB2312" w:hAnsi="仿宋_GB2312" w:eastAsia="仿宋_GB2312" w:cs="仿宋_GB2312"/>
          <w:sz w:val="28"/>
          <w:szCs w:val="28"/>
          <w:highlight w:val="none"/>
        </w:rPr>
        <w:t>年9月1日起施行）</w:t>
      </w:r>
      <w:bookmarkEnd w:id="35"/>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color w:val="000000"/>
          <w:sz w:val="28"/>
          <w:szCs w:val="28"/>
          <w:highlight w:val="none"/>
          <w:lang w:val="en-US" w:eastAsia="zh-CN"/>
        </w:rPr>
      </w:pPr>
      <w:bookmarkStart w:id="36" w:name="_Toc2759"/>
      <w:r>
        <w:rPr>
          <w:rFonts w:hint="eastAsia" w:ascii="仿宋_GB2312" w:hAnsi="仿宋_GB2312" w:eastAsia="仿宋_GB2312" w:cs="仿宋_GB2312"/>
          <w:sz w:val="28"/>
          <w:szCs w:val="28"/>
          <w:highlight w:val="none"/>
        </w:rPr>
        <w:t>2.1</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《国务院关于修改&lt;征收教育费附加暂行规定&gt;的决定》（</w:t>
      </w:r>
      <w:r>
        <w:rPr>
          <w:rFonts w:hint="eastAsia" w:ascii="仿宋_GB2312" w:hAnsi="仿宋_GB2312" w:eastAsia="仿宋_GB2312" w:cs="仿宋_GB2312"/>
          <w:color w:val="000000"/>
          <w:sz w:val="28"/>
          <w:szCs w:val="28"/>
          <w:highlight w:val="none"/>
          <w:lang w:val="en-US" w:eastAsia="zh-CN"/>
        </w:rPr>
        <w:t>国务院关于修改&lt;征收教育费附加暂行规定&gt;的决定》（1986年4月28日国务院发布；根据1990年6月7日《国务院关于修改〈征收教育费附加的暂行规定〉的决定》第一次修订；根据2005年8月20日《国务院关于修改〈征收教育费附加的暂行规定〉的决定》第二次修订；根据2011年1月8日《国务院关于废止和修改部分行政法规的决定》第三次修订）；</w:t>
      </w:r>
      <w:bookmarkEnd w:id="36"/>
    </w:p>
    <w:p>
      <w:pPr>
        <w:spacing w:line="500" w:lineRule="exact"/>
        <w:ind w:firstLine="560" w:firstLineChars="200"/>
        <w:outlineLvl w:val="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2.16</w:t>
      </w:r>
      <w:r>
        <w:rPr>
          <w:rFonts w:hint="eastAsia" w:ascii="仿宋_GB2312" w:hAnsi="仿宋_GB2312" w:eastAsia="仿宋_GB2312" w:cs="仿宋_GB2312"/>
          <w:sz w:val="28"/>
          <w:szCs w:val="28"/>
          <w:highlight w:val="none"/>
        </w:rPr>
        <w:t>《中华人民共和国契税法》</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由中华人民共和国第十三届全国人民代表大会常务委员会第二十一次会议于2020年8月11日通过，自2021年9月1日起施行</w:t>
      </w:r>
      <w:r>
        <w:rPr>
          <w:rFonts w:hint="eastAsia" w:ascii="仿宋_GB2312" w:hAnsi="仿宋_GB2312" w:eastAsia="仿宋_GB2312" w:cs="仿宋_GB2312"/>
          <w:sz w:val="28"/>
          <w:szCs w:val="28"/>
          <w:highlight w:val="none"/>
          <w:lang w:eastAsia="zh-CN"/>
        </w:rPr>
        <w:t>）；</w:t>
      </w:r>
    </w:p>
    <w:p>
      <w:pPr>
        <w:spacing w:line="500" w:lineRule="exact"/>
        <w:ind w:firstLine="560" w:firstLineChars="200"/>
        <w:outlineLvl w:val="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2.17《中华人民共和国土地增值税暂行条例》（1993年12月13日国务院令第138号，自1994年1月1日施行；根据2011年1月8日《国务院关于废止和修改部分行政法规的决定》修订）；</w:t>
      </w:r>
    </w:p>
    <w:p>
      <w:pPr>
        <w:spacing w:line="500" w:lineRule="exact"/>
        <w:ind w:firstLine="560" w:firstLineChars="200"/>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《江苏省人民法院委托鉴定、拍卖工作补充规定（试行）》（2008年4月18日发布）</w:t>
      </w:r>
      <w:r>
        <w:rPr>
          <w:rFonts w:hint="eastAsia" w:ascii="仿宋_GB2312" w:hAnsi="仿宋_GB2312" w:eastAsia="仿宋_GB2312" w:cs="仿宋_GB2312"/>
          <w:sz w:val="28"/>
          <w:szCs w:val="28"/>
          <w:lang w:eastAsia="zh-CN"/>
        </w:rPr>
        <w:t>；</w:t>
      </w:r>
    </w:p>
    <w:p>
      <w:pPr>
        <w:spacing w:line="500" w:lineRule="exact"/>
        <w:ind w:firstLine="546" w:firstLineChars="195"/>
        <w:outlineLvl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《江苏省高级人民法院关于确定委托鉴定机构的意见》（2014年3月28日印发）</w:t>
      </w:r>
      <w:r>
        <w:rPr>
          <w:rFonts w:hint="eastAsia" w:ascii="仿宋_GB2312" w:hAnsi="仿宋_GB2312" w:eastAsia="仿宋_GB2312" w:cs="仿宋_GB2312"/>
          <w:sz w:val="28"/>
          <w:szCs w:val="28"/>
          <w:lang w:eastAsia="zh-CN"/>
        </w:rPr>
        <w:t>。</w:t>
      </w:r>
    </w:p>
    <w:p>
      <w:pPr>
        <w:numPr>
          <w:ilvl w:val="0"/>
          <w:numId w:val="6"/>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地方人民政府及有关部门、江苏省高级人民法院颁布的有关法规、条例、文件、通知</w:t>
      </w:r>
    </w:p>
    <w:p>
      <w:pPr>
        <w:numPr>
          <w:ilvl w:val="0"/>
          <w:numId w:val="0"/>
        </w:numPr>
        <w:spacing w:line="480" w:lineRule="exact"/>
        <w:ind w:firstLine="560"/>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3.1《江苏省土地管理条例》（司法部令第107号经2007年7月18日司法部部务会议审议通过，自2007年10月1日起施行）</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3.2《江苏省城乡规划条例》（2010年3月26日江苏省第十一届人民代表大会常务委员会第十四次会议通过修正，2010年7月1日起施行）</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3.3《江苏省城镇国有土地使用权出让和转让实施办法》（1995年4月13日江苏省人民政府令第58号发布，1995年4月13日起施行）</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3.4《江苏省城镇国有土地使用权出让和转让实施办法（修正）》（根据1997年12月15日发布的江苏省人民政府令第129号修正，1997年12月15日起施行）》</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3.5《江苏省不动产登记条例》（2019年1月9日江苏省第十三届人民代表大会常务委员会第七次会议通过，自2019年5月1日起施行）</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3.6《江苏省省政府关于调整地方教育附加等政府性基金有关政策的通知》（苏政发〔2011〕3号，自2011年2月1日执行）</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3.7《江苏省城市房地产交易管理条例》（2002年2月5日江苏省第九届人民代表大会常务委员会第二十八次会议通过，自2002年5月1日起施行）</w:t>
      </w:r>
    </w:p>
    <w:p>
      <w:pPr>
        <w:numPr>
          <w:ilvl w:val="0"/>
          <w:numId w:val="0"/>
        </w:numPr>
        <w:spacing w:line="480" w:lineRule="exact"/>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3.8江苏省人民政府、江苏省自然资源厅及江苏省住房和城乡建设厅的有关文件</w:t>
      </w:r>
    </w:p>
    <w:p>
      <w:pPr>
        <w:numPr>
          <w:ilvl w:val="0"/>
          <w:numId w:val="0"/>
        </w:numPr>
        <w:spacing w:line="480" w:lineRule="exact"/>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3.9盐城市人民政府、盐城市自然资源和规划局、盐城市住房和城乡建设局颁布的有关文件</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bookmarkStart w:id="37" w:name="_Toc5620"/>
      <w:r>
        <w:rPr>
          <w:rFonts w:hint="eastAsia" w:ascii="仿宋_GB2312" w:hAnsi="仿宋_GB2312" w:eastAsia="仿宋_GB2312" w:cs="仿宋_GB2312"/>
          <w:color w:val="000000"/>
          <w:sz w:val="28"/>
          <w:szCs w:val="28"/>
          <w:lang w:val="en-US" w:eastAsia="zh-CN"/>
        </w:rPr>
        <w:t>10《江苏省人民法院委托鉴定、拍卖工作补充规定（试行）》（2008年4月18日发布）</w:t>
      </w:r>
      <w:bookmarkEnd w:id="37"/>
    </w:p>
    <w:p>
      <w:pPr>
        <w:numPr>
          <w:ilvl w:val="0"/>
          <w:numId w:val="0"/>
        </w:numPr>
        <w:spacing w:line="480" w:lineRule="exact"/>
        <w:ind w:firstLine="560"/>
        <w:outlineLvl w:val="0"/>
        <w:rPr>
          <w:rFonts w:hint="default" w:ascii="仿宋_GB2312" w:hAnsi="仿宋_GB2312" w:eastAsia="仿宋_GB2312" w:cs="仿宋_GB2312"/>
          <w:color w:val="000000"/>
          <w:sz w:val="28"/>
          <w:szCs w:val="28"/>
          <w:lang w:val="en-US" w:eastAsia="zh-CN"/>
        </w:rPr>
      </w:pPr>
      <w:bookmarkStart w:id="38" w:name="_Toc20395"/>
      <w:r>
        <w:rPr>
          <w:rFonts w:hint="eastAsia" w:ascii="仿宋_GB2312" w:hAnsi="仿宋_GB2312" w:eastAsia="仿宋_GB2312" w:cs="仿宋_GB2312"/>
          <w:color w:val="000000"/>
          <w:sz w:val="28"/>
          <w:szCs w:val="28"/>
          <w:lang w:val="en-US" w:eastAsia="zh-CN"/>
        </w:rPr>
        <w:t>3.11《江苏省高级人民法院关于确定委托鉴定机构的意见》（2014年3月28日印发）</w:t>
      </w:r>
      <w:bookmarkEnd w:id="38"/>
    </w:p>
    <w:p>
      <w:pPr>
        <w:numPr>
          <w:ilvl w:val="0"/>
          <w:numId w:val="6"/>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技术</w:t>
      </w:r>
      <w:bookmarkEnd w:id="28"/>
      <w:r>
        <w:rPr>
          <w:rFonts w:hint="eastAsia" w:ascii="仿宋_GB2312" w:hAnsi="仿宋_GB2312" w:eastAsia="仿宋_GB2312" w:cs="仿宋_GB2312"/>
          <w:color w:val="000000"/>
          <w:sz w:val="28"/>
          <w:szCs w:val="28"/>
          <w:lang w:val="en-US" w:eastAsia="zh-CN"/>
        </w:rPr>
        <w:t>标准</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39" w:name="_Toc7435"/>
      <w:r>
        <w:rPr>
          <w:rFonts w:hint="eastAsia" w:ascii="仿宋_GB2312" w:hAnsi="仿宋_GB2312" w:eastAsia="仿宋_GB2312" w:cs="仿宋_GB2312"/>
          <w:color w:val="000000"/>
          <w:sz w:val="28"/>
          <w:szCs w:val="28"/>
          <w:lang w:val="en-US" w:eastAsia="zh-CN"/>
        </w:rPr>
        <w:t>4.1中华人民共和国国家标准GB/T50291-2015《房地产估价规范》</w:t>
      </w:r>
      <w:bookmarkEnd w:id="39"/>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0" w:name="_Toc28760"/>
      <w:r>
        <w:rPr>
          <w:rFonts w:hint="eastAsia" w:ascii="仿宋_GB2312" w:hAnsi="仿宋_GB2312" w:eastAsia="仿宋_GB2312" w:cs="仿宋_GB2312"/>
          <w:color w:val="000000"/>
          <w:sz w:val="28"/>
          <w:szCs w:val="28"/>
          <w:lang w:val="en-US" w:eastAsia="zh-CN"/>
        </w:rPr>
        <w:t>4.2中华人民共和国住房和城乡建设部、中华人民共和国国家质量监督检验检疫总局联合发布的《房地产估价基本术语标准》（GB/T50899-2013）</w:t>
      </w:r>
      <w:bookmarkEnd w:id="40"/>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1" w:name="_Toc1404"/>
      <w:r>
        <w:rPr>
          <w:rFonts w:hint="eastAsia" w:ascii="仿宋_GB2312" w:hAnsi="仿宋_GB2312" w:eastAsia="仿宋_GB2312" w:cs="仿宋_GB2312"/>
          <w:color w:val="000000"/>
          <w:sz w:val="28"/>
          <w:szCs w:val="28"/>
          <w:lang w:val="en-US" w:eastAsia="zh-CN"/>
        </w:rPr>
        <w:t>4.3中华人民共和国国家质量监督检验检疫总局发布的国家标准《城镇土地估价规程》（GB/T18508-2014）</w:t>
      </w:r>
      <w:bookmarkEnd w:id="41"/>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4.4中华人民共和国国家质量监督检验检疫总局发布的国家标准《城镇土地分等定级规程》（GB/T18507-2014）</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4.5中华人民共和国国家质量监督检验检疫总局、中国国家标准化管理委员会发布的国家标准《土地利用现状分类》（GB/T21010-2017）</w:t>
      </w:r>
    </w:p>
    <w:p>
      <w:pPr>
        <w:numPr>
          <w:ilvl w:val="0"/>
          <w:numId w:val="0"/>
        </w:numPr>
        <w:spacing w:line="480" w:lineRule="exact"/>
        <w:ind w:firstLine="560"/>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4.6《国土资源部办公厅关于公布&lt;国有建设用地使用权出让地价评估技术规范&gt;的通知》（国土资厅发〔2018）04号）</w:t>
      </w:r>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4.7《江苏省城市规划管理技术规定》（苏建规〔2004）228号）</w:t>
      </w:r>
    </w:p>
    <w:p>
      <w:pPr>
        <w:numPr>
          <w:ilvl w:val="0"/>
          <w:numId w:val="0"/>
        </w:numPr>
        <w:spacing w:line="480" w:lineRule="exact"/>
        <w:ind w:firstLine="560"/>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4.8《房屋完损等级评定标准（试行）》（城住字〔1984）第678号）</w:t>
      </w:r>
    </w:p>
    <w:p>
      <w:pPr>
        <w:numPr>
          <w:ilvl w:val="0"/>
          <w:numId w:val="6"/>
        </w:numPr>
        <w:spacing w:line="480" w:lineRule="exact"/>
        <w:ind w:firstLine="560" w:firstLineChars="0"/>
        <w:outlineLvl w:val="0"/>
        <w:rPr>
          <w:rFonts w:hint="eastAsia" w:ascii="仿宋_GB2312" w:hAnsi="仿宋_GB2312" w:eastAsia="仿宋_GB2312" w:cs="仿宋_GB2312"/>
          <w:color w:val="000000"/>
          <w:sz w:val="28"/>
          <w:szCs w:val="28"/>
          <w:lang w:val="en-US" w:eastAsia="zh-CN"/>
        </w:rPr>
      </w:pPr>
      <w:bookmarkStart w:id="42" w:name="_Toc20199"/>
      <w:r>
        <w:rPr>
          <w:rFonts w:hint="eastAsia" w:ascii="仿宋_GB2312" w:hAnsi="仿宋_GB2312" w:eastAsia="仿宋_GB2312" w:cs="仿宋_GB2312"/>
          <w:color w:val="000000"/>
          <w:sz w:val="28"/>
          <w:szCs w:val="28"/>
          <w:lang w:val="en-US" w:eastAsia="zh-CN"/>
        </w:rPr>
        <w:t>委托方提供的有关资料</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560" w:firstLineChars="200"/>
        <w:jc w:val="both"/>
        <w:textAlignment w:val="auto"/>
        <w:outlineLvl w:val="9"/>
        <w:rPr>
          <w:rFonts w:hint="eastAsia" w:eastAsia="仿宋_GB2312"/>
          <w:color w:val="000000"/>
          <w:sz w:val="28"/>
          <w:szCs w:val="28"/>
          <w:lang w:val="en-US" w:eastAsia="zh-CN"/>
        </w:rPr>
      </w:pPr>
      <w:bookmarkStart w:id="43" w:name="_Toc29380"/>
      <w:r>
        <w:rPr>
          <w:rFonts w:hint="eastAsia" w:ascii="仿宋_GB2312" w:hAnsi="仿宋_GB2312" w:eastAsia="仿宋_GB2312" w:cs="仿宋_GB2312"/>
          <w:color w:val="000000"/>
          <w:sz w:val="28"/>
          <w:szCs w:val="28"/>
          <w:lang w:val="en-US" w:eastAsia="zh-CN"/>
        </w:rPr>
        <w:t>5.1</w:t>
      </w:r>
      <w:bookmarkEnd w:id="43"/>
      <w:r>
        <w:rPr>
          <w:rFonts w:hint="eastAsia" w:ascii="仿宋_GB2312" w:hAnsi="仿宋_GB2312" w:eastAsia="仿宋_GB2312" w:cs="仿宋_GB2312"/>
          <w:color w:val="000000"/>
          <w:sz w:val="28"/>
          <w:szCs w:val="28"/>
          <w:lang w:val="en-US" w:eastAsia="zh-CN"/>
        </w:rPr>
        <w:t>《射阳县不动产登记信息查询结果证明》、《射阳县不动产登记土地信息查询结果证明》</w:t>
      </w:r>
    </w:p>
    <w:p>
      <w:pPr>
        <w:numPr>
          <w:ilvl w:val="0"/>
          <w:numId w:val="0"/>
        </w:numPr>
        <w:spacing w:line="480" w:lineRule="exact"/>
        <w:ind w:firstLine="560" w:firstLineChars="200"/>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5.2委托方提供的其他相关资料</w:t>
      </w:r>
    </w:p>
    <w:p>
      <w:pPr>
        <w:numPr>
          <w:ilvl w:val="0"/>
          <w:numId w:val="0"/>
        </w:numPr>
        <w:spacing w:line="480" w:lineRule="exact"/>
        <w:ind w:firstLine="560" w:firstLineChars="200"/>
        <w:outlineLvl w:val="0"/>
        <w:rPr>
          <w:rFonts w:hint="eastAsia" w:ascii="仿宋_GB2312" w:hAnsi="仿宋_GB2312" w:eastAsia="仿宋_GB2312" w:cs="仿宋_GB2312"/>
          <w:color w:val="000000"/>
          <w:sz w:val="28"/>
          <w:szCs w:val="28"/>
          <w:lang w:val="en-US" w:eastAsia="zh-CN"/>
        </w:rPr>
      </w:pPr>
      <w:bookmarkStart w:id="44" w:name="_Toc12738"/>
      <w:r>
        <w:rPr>
          <w:rFonts w:hint="eastAsia" w:ascii="仿宋_GB2312" w:hAnsi="仿宋_GB2312" w:eastAsia="仿宋_GB2312" w:cs="仿宋_GB2312"/>
          <w:color w:val="000000"/>
          <w:sz w:val="28"/>
          <w:szCs w:val="28"/>
          <w:lang w:val="en-US" w:eastAsia="zh-CN"/>
        </w:rPr>
        <w:t>6、受托估价方掌握的有关资料</w:t>
      </w:r>
      <w:bookmarkEnd w:id="44"/>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5" w:name="_Toc31094"/>
      <w:r>
        <w:rPr>
          <w:rFonts w:hint="eastAsia" w:ascii="仿宋_GB2312" w:hAnsi="仿宋_GB2312" w:eastAsia="仿宋_GB2312" w:cs="仿宋_GB2312"/>
          <w:color w:val="000000"/>
          <w:sz w:val="28"/>
          <w:szCs w:val="28"/>
          <w:lang w:val="en-US" w:eastAsia="zh-CN"/>
        </w:rPr>
        <w:t>6.1估价对象所在地自然条件、社会经济条件、行政区划人口等方面的基本情况资料</w:t>
      </w:r>
      <w:bookmarkEnd w:id="45"/>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6" w:name="_Toc18179"/>
      <w:r>
        <w:rPr>
          <w:rFonts w:hint="eastAsia" w:ascii="仿宋_GB2312" w:hAnsi="仿宋_GB2312" w:eastAsia="仿宋_GB2312" w:cs="仿宋_GB2312"/>
          <w:color w:val="000000"/>
          <w:sz w:val="28"/>
          <w:szCs w:val="28"/>
          <w:lang w:val="en-US" w:eastAsia="zh-CN"/>
        </w:rPr>
        <w:t>6.2估价对象所在地统计资料</w:t>
      </w:r>
      <w:bookmarkEnd w:id="46"/>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7" w:name="_Toc6225"/>
      <w:r>
        <w:rPr>
          <w:rFonts w:hint="eastAsia" w:ascii="仿宋_GB2312" w:hAnsi="仿宋_GB2312" w:eastAsia="仿宋_GB2312" w:cs="仿宋_GB2312"/>
          <w:color w:val="000000"/>
          <w:sz w:val="28"/>
          <w:szCs w:val="28"/>
          <w:lang w:val="en-US" w:eastAsia="zh-CN"/>
        </w:rPr>
        <w:t>6.3估价对象所在地城市规划资料</w:t>
      </w:r>
      <w:bookmarkEnd w:id="47"/>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8" w:name="_Toc16056"/>
      <w:r>
        <w:rPr>
          <w:rFonts w:hint="eastAsia" w:ascii="仿宋_GB2312" w:hAnsi="仿宋_GB2312" w:eastAsia="仿宋_GB2312" w:cs="仿宋_GB2312"/>
          <w:color w:val="000000"/>
          <w:sz w:val="28"/>
          <w:szCs w:val="28"/>
          <w:lang w:val="en-US" w:eastAsia="zh-CN"/>
        </w:rPr>
        <w:t>6.4估价对象所在地城市基础设施基本资料</w:t>
      </w:r>
      <w:bookmarkEnd w:id="48"/>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49" w:name="_Toc25595"/>
      <w:r>
        <w:rPr>
          <w:rFonts w:hint="eastAsia" w:ascii="仿宋_GB2312" w:hAnsi="仿宋_GB2312" w:eastAsia="仿宋_GB2312" w:cs="仿宋_GB2312"/>
          <w:color w:val="000000"/>
          <w:sz w:val="28"/>
          <w:szCs w:val="28"/>
          <w:lang w:val="en-US" w:eastAsia="zh-CN"/>
        </w:rPr>
        <w:t>6.5估价人员实地勘察、调查所获取的资料</w:t>
      </w:r>
      <w:bookmarkEnd w:id="49"/>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50" w:name="_Toc13437"/>
      <w:r>
        <w:rPr>
          <w:rFonts w:hint="eastAsia" w:ascii="仿宋_GB2312" w:hAnsi="仿宋_GB2312" w:eastAsia="仿宋_GB2312" w:cs="仿宋_GB2312"/>
          <w:color w:val="000000"/>
          <w:sz w:val="28"/>
          <w:szCs w:val="28"/>
          <w:lang w:val="en-US" w:eastAsia="zh-CN"/>
        </w:rPr>
        <w:t>6.5.1估价人员实地踏勘和调查收集的有关估价对象权属、基础设施、宗地条件方面的资料</w:t>
      </w:r>
      <w:bookmarkEnd w:id="50"/>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51" w:name="_Toc9475"/>
      <w:r>
        <w:rPr>
          <w:rFonts w:hint="eastAsia" w:ascii="仿宋_GB2312" w:hAnsi="仿宋_GB2312" w:eastAsia="仿宋_GB2312" w:cs="仿宋_GB2312"/>
          <w:color w:val="000000"/>
          <w:sz w:val="28"/>
          <w:szCs w:val="28"/>
          <w:lang w:val="en-US" w:eastAsia="zh-CN"/>
        </w:rPr>
        <w:t>6.5.2估价人员实地踏勘和调查收集的有关估价对象建筑物状况资料</w:t>
      </w:r>
      <w:bookmarkEnd w:id="51"/>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52" w:name="_Toc1150"/>
      <w:r>
        <w:rPr>
          <w:rFonts w:hint="eastAsia" w:ascii="仿宋_GB2312" w:hAnsi="仿宋_GB2312" w:eastAsia="仿宋_GB2312" w:cs="仿宋_GB2312"/>
          <w:color w:val="000000"/>
          <w:sz w:val="28"/>
          <w:szCs w:val="28"/>
          <w:lang w:val="en-US" w:eastAsia="zh-CN"/>
        </w:rPr>
        <w:t>6.5.3估价人员实地拍摄的有关估价对象土地利用、建筑物状况、周边环境的资料</w:t>
      </w:r>
      <w:bookmarkEnd w:id="52"/>
    </w:p>
    <w:p>
      <w:pPr>
        <w:numPr>
          <w:ilvl w:val="0"/>
          <w:numId w:val="0"/>
        </w:numPr>
        <w:spacing w:line="480" w:lineRule="exact"/>
        <w:ind w:firstLine="560"/>
        <w:outlineLvl w:val="0"/>
        <w:rPr>
          <w:rFonts w:hint="eastAsia" w:ascii="仿宋_GB2312" w:hAnsi="仿宋_GB2312" w:eastAsia="仿宋_GB2312" w:cs="仿宋_GB2312"/>
          <w:color w:val="000000"/>
          <w:sz w:val="28"/>
          <w:szCs w:val="28"/>
          <w:lang w:val="en-US" w:eastAsia="zh-CN"/>
        </w:rPr>
      </w:pPr>
      <w:bookmarkStart w:id="53" w:name="_Toc3418"/>
      <w:r>
        <w:rPr>
          <w:rFonts w:hint="eastAsia" w:ascii="仿宋_GB2312" w:hAnsi="仿宋_GB2312" w:eastAsia="仿宋_GB2312" w:cs="仿宋_GB2312"/>
          <w:color w:val="000000"/>
          <w:sz w:val="28"/>
          <w:szCs w:val="28"/>
          <w:lang w:val="en-US" w:eastAsia="zh-CN"/>
        </w:rPr>
        <w:t>6.5.4估价人员实地踏勘和调查收集的估价对象所在地房地产市场等方面的资料</w:t>
      </w:r>
      <w:bookmarkEnd w:id="53"/>
    </w:p>
    <w:p>
      <w:pPr>
        <w:spacing w:line="500" w:lineRule="exact"/>
        <w:ind w:firstLine="560" w:firstLineChars="200"/>
        <w:outlineLvl w:val="0"/>
        <w:rPr>
          <w:rFonts w:hint="eastAsia" w:ascii="仿宋_GB2312" w:hAnsi="仿宋_GB2312" w:eastAsia="仿宋_GB2312" w:cs="仿宋_GB2312"/>
          <w:color w:val="000000"/>
          <w:sz w:val="28"/>
          <w:szCs w:val="28"/>
          <w:lang w:val="en-US" w:eastAsia="zh-CN"/>
        </w:rPr>
      </w:pPr>
      <w:bookmarkStart w:id="54" w:name="_Toc19071"/>
      <w:r>
        <w:rPr>
          <w:rFonts w:hint="eastAsia" w:ascii="仿宋_GB2312" w:hAnsi="仿宋_GB2312" w:eastAsia="仿宋_GB2312" w:cs="仿宋_GB2312"/>
          <w:color w:val="000000"/>
          <w:sz w:val="28"/>
          <w:szCs w:val="28"/>
          <w:lang w:val="en-US" w:eastAsia="zh-CN"/>
        </w:rPr>
        <w:t>6.5.5国家、省、市有关部门发布的建筑工程造价资料</w:t>
      </w:r>
      <w:bookmarkEnd w:id="54"/>
    </w:p>
    <w:p>
      <w:pPr>
        <w:numPr>
          <w:ilvl w:val="0"/>
          <w:numId w:val="5"/>
        </w:numPr>
        <w:spacing w:line="500" w:lineRule="exact"/>
        <w:ind w:left="0" w:leftChars="0" w:firstLine="560" w:firstLineChars="200"/>
        <w:outlineLvl w:val="0"/>
        <w:rPr>
          <w:rFonts w:hint="eastAsia" w:ascii="黑体" w:eastAsia="黑体"/>
          <w:color w:val="000000"/>
          <w:sz w:val="28"/>
          <w:szCs w:val="28"/>
        </w:rPr>
      </w:pPr>
      <w:r>
        <w:rPr>
          <w:rFonts w:hint="eastAsia" w:ascii="黑体" w:eastAsia="黑体"/>
          <w:color w:val="000000"/>
          <w:sz w:val="28"/>
          <w:szCs w:val="28"/>
        </w:rPr>
        <w:t>估价方法：</w:t>
      </w:r>
      <w:bookmarkEnd w:id="22"/>
      <w:bookmarkEnd w:id="26"/>
    </w:p>
    <w:p>
      <w:pPr>
        <w:spacing w:line="468" w:lineRule="atLeast"/>
        <w:ind w:firstLine="560"/>
        <w:rPr>
          <w:rFonts w:hint="eastAsia" w:ascii="仿宋_GB2312" w:hAnsi="仿宋_GB2312" w:eastAsia="仿宋_GB2312" w:cs="仿宋_GB2312"/>
          <w:sz w:val="28"/>
          <w:szCs w:val="28"/>
          <w:lang w:eastAsia="zh-CN"/>
        </w:rPr>
      </w:pPr>
      <w:bookmarkStart w:id="55" w:name="_Toc6963"/>
      <w:bookmarkStart w:id="56" w:name="_Toc25092"/>
      <w:r>
        <w:rPr>
          <w:rFonts w:hint="eastAsia" w:ascii="仿宋_GB2312" w:hAnsi="仿宋_GB2312" w:eastAsia="仿宋_GB2312" w:cs="仿宋_GB2312"/>
          <w:sz w:val="28"/>
          <w:szCs w:val="28"/>
        </w:rPr>
        <w:t>根据《房地产估价规范》房地产市场</w:t>
      </w:r>
      <w:r>
        <w:rPr>
          <w:rFonts w:hint="eastAsia" w:ascii="仿宋_GB2312" w:hAnsi="仿宋_GB2312" w:eastAsia="仿宋_GB2312" w:cs="仿宋_GB2312"/>
          <w:sz w:val="28"/>
          <w:szCs w:val="28"/>
          <w:lang w:eastAsia="zh-CN"/>
        </w:rPr>
        <w:t>价值</w:t>
      </w:r>
      <w:r>
        <w:rPr>
          <w:rFonts w:hint="eastAsia" w:ascii="仿宋_GB2312" w:hAnsi="仿宋_GB2312" w:eastAsia="仿宋_GB2312" w:cs="仿宋_GB2312"/>
          <w:sz w:val="28"/>
          <w:szCs w:val="28"/>
        </w:rPr>
        <w:t>估</w:t>
      </w:r>
      <w:r>
        <w:rPr>
          <w:rFonts w:hint="eastAsia" w:ascii="仿宋_GB2312" w:hAnsi="仿宋_GB2312" w:eastAsia="仿宋_GB2312" w:cs="仿宋_GB2312"/>
          <w:sz w:val="28"/>
          <w:szCs w:val="28"/>
          <w:lang w:eastAsia="zh-CN"/>
        </w:rPr>
        <w:t>价</w:t>
      </w:r>
      <w:r>
        <w:rPr>
          <w:rFonts w:hint="eastAsia" w:ascii="仿宋_GB2312" w:hAnsi="仿宋_GB2312" w:eastAsia="仿宋_GB2312" w:cs="仿宋_GB2312"/>
          <w:sz w:val="28"/>
          <w:szCs w:val="28"/>
        </w:rPr>
        <w:t>通常使用的估价方法有比较法、收益法、成本法</w:t>
      </w:r>
      <w:r>
        <w:rPr>
          <w:rFonts w:hint="eastAsia" w:ascii="仿宋_GB2312" w:hAnsi="仿宋_GB2312" w:eastAsia="仿宋_GB2312" w:cs="仿宋_GB2312"/>
          <w:sz w:val="28"/>
          <w:szCs w:val="28"/>
          <w:lang w:eastAsia="zh-CN"/>
        </w:rPr>
        <w:t>、假设开发法</w:t>
      </w:r>
      <w:r>
        <w:rPr>
          <w:rFonts w:hint="eastAsia" w:ascii="仿宋_GB2312" w:hAnsi="仿宋_GB2312" w:eastAsia="仿宋_GB2312" w:cs="仿宋_GB2312"/>
          <w:sz w:val="28"/>
          <w:szCs w:val="28"/>
        </w:rPr>
        <w:t>等估价方法。</w: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page">
                  <wp:posOffset>-2147483648</wp:posOffset>
                </wp:positionH>
                <wp:positionV relativeFrom="page">
                  <wp:posOffset>-2147483648</wp:posOffset>
                </wp:positionV>
                <wp:extent cx="1699260" cy="208915"/>
                <wp:effectExtent l="4445" t="4445" r="10795" b="15240"/>
                <wp:wrapNone/>
                <wp:docPr id="9" name="圆角矩形 9"/>
                <wp:cNvGraphicFramePr/>
                <a:graphic xmlns:a="http://schemas.openxmlformats.org/drawingml/2006/main">
                  <a:graphicData uri="http://schemas.microsoft.com/office/word/2010/wordprocessingShape">
                    <wps:wsp>
                      <wps:cNvSpPr/>
                      <wps:spPr>
                        <a:xfrm>
                          <a:off x="0" y="0"/>
                          <a:ext cx="1699260" cy="208915"/>
                        </a:xfrm>
                        <a:prstGeom prst="roundRect">
                          <a:avLst>
                            <a:gd name="adj" fmla="val 10593"/>
                          </a:avLst>
                        </a:prstGeom>
                        <a:noFill/>
                        <a:ln w="7200"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07374182.4pt;margin-top:-107374182.4pt;height:16.45pt;width:133.8pt;mso-position-horizontal-relative:page;mso-position-vertical-relative:page;z-index:251660288;mso-width-relative:page;mso-height-relative:page;" filled="f" stroked="t" coordsize="21600,21600" arcsize="0.105925925925926" o:gfxdata="UEsDBAoAAAAAAIdO4kAAAAAAAAAAAAAAAAAEAAAAZHJzL1BLAwQUAAAACACHTuJAM5xV+uAAAAAn&#10;AQAADwAAAGRycy9kb3ducmV2LnhtbF2PyU7DMBRF90j8g/WQ2LV2BrVpiFOpoO5JoVLZufFrEoif&#10;Q+wO/D1GQoBYHt2rOxTLi+nZCUfXWZIQTQUwpNrqjhoJz0/rSQbMeUVa9ZZQwgc6WJbXV4XKtT1T&#10;haeNb1gIIZcrCa33Q865q1s0yk3tgBS0gx2N8gHHhutRnUO46XksxIwb1VFoaNWA9y3Wb5ujkVCt&#10;VPIu4u12PNBu/fL6sMp2j5WUtzeRuAPm8eJ/zfA1P0yHMmza2yNpx3oJkzhK52mWzNLwwP/j4P/W&#10;xWIeA9v/cJJEC+Blwf/+Kz8BUEsDBBQAAAAIAIdO4kDrQ2TeFgIAACIEAAAOAAAAZHJzL2Uyb0Rv&#10;Yy54bWytU82O0zAQviPxDpbvNEnRLpuo6R4oywXBioUHmNpOYuQ/2W7TvgAPwBkJiQvah+BxVvAY&#10;jN3QheXSAzk4Y8/4m/m+GS8ud1qRrfBBWtPSalZSIgyzXJq+pe/fXT25oCREMByUNaKlexHo5fLx&#10;o8XoGjG3g1VceIIgJjSja+kQo2uKIrBBaAgz64RBZ2e9hohb3xfcw4joWhXzsjwvRuu585aJEPB0&#10;dXDSCdGfAmi7TjKxsmyjhYkHVC8URKQUBukCXeZqu06w+KbrgohEtRSZxrxiErTXaS2WC2h6D26Q&#10;bCoBTinhAScN0mDSI9QKIpCNl/9Aacm8DbaLM2Z1cSCSFUEWVflAm5sBnMhcUOrgjqKH/wfLXm+v&#10;PZG8pTUlBjQ2/O7zx5/fPv34cnv3/Supk0KjCw0G3rhrP+0CmonurvM6/ZEI2WVV90dVxS4ShofV&#10;eV3Pz1Fwhr55eVFXZwm0uL/tfIgvhdUkGS31dmP4W2xdVhS2r0LM0vKpQOAfKOm0wkZtQZGqPKuf&#10;TohTMGL/xkw3jb2SSuVWK0PGlj7DQcR6AMe3w7FBUzuUIJg+pwxWSZ6upMvB9+vnyhNMhdTyNyX7&#10;KyzlW0EYDnHZlcKgGQTwF4aTuHcorsE3RVMJWnBKlMAnmKwcGUGqUyKRnTIoYGrLoRHJWlu+x1Zu&#10;nJf9gCpWucrkwdHJck9jnmbzz31Gun/ay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znFX64AAA&#10;ACcBAAAPAAAAAAAAAAEAIAAAACIAAABkcnMvZG93bnJldi54bWxQSwECFAAUAAAACACHTuJA60Nk&#10;3hYCAAAiBAAADgAAAAAAAAABACAAAAAvAQAAZHJzL2Uyb0RvYy54bWxQSwUGAAAAAAYABgBZAQAA&#10;twUAAAAA&#10;">
                <v:path/>
                <v:fill on="f" focussize="0,0"/>
                <v:stroke weight="0.566929133858268pt"/>
                <v:imagedata o:title=""/>
                <o:lock v:ext="edit" aspectratio="f"/>
              </v:roundrect>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page">
                  <wp:posOffset>-2147483648</wp:posOffset>
                </wp:positionH>
                <wp:positionV relativeFrom="page">
                  <wp:posOffset>-2147483648</wp:posOffset>
                </wp:positionV>
                <wp:extent cx="1656080" cy="320675"/>
                <wp:effectExtent l="0" t="0" r="0" b="0"/>
                <wp:wrapNone/>
                <wp:docPr id="7" name="矩形 7"/>
                <wp:cNvGraphicFramePr/>
                <a:graphic xmlns:a="http://schemas.openxmlformats.org/drawingml/2006/main">
                  <a:graphicData uri="http://schemas.microsoft.com/office/word/2010/wordprocessingShape">
                    <wps:wsp>
                      <wps:cNvSpPr/>
                      <wps:spPr>
                        <a:xfrm>
                          <a:off x="0" y="0"/>
                          <a:ext cx="1656080" cy="320675"/>
                        </a:xfrm>
                        <a:prstGeom prst="rect">
                          <a:avLst/>
                        </a:prstGeom>
                        <a:noFill/>
                        <a:ln>
                          <a:noFill/>
                        </a:ln>
                      </wps:spPr>
                      <wps:txbx>
                        <w:txbxContent>
                          <w:p>
                            <w:pPr>
                              <w:spacing w:line="0" w:lineRule="atLeast"/>
                              <w:ind w:left="0"/>
                              <w:jc w:val="center"/>
                              <w:textAlignment w:val="center"/>
                              <w:rPr>
                                <w:rFonts w:hint="eastAsia" w:eastAsia="黑体"/>
                                <w:i/>
                                <w:color w:val="000000"/>
                                <w:sz w:val="21"/>
                              </w:rPr>
                            </w:pPr>
                            <w:r>
                              <w:rPr>
                                <w:rFonts w:hint="eastAsia" w:eastAsia="黑体"/>
                                <w:i/>
                                <w:color w:val="000000"/>
                                <w:sz w:val="21"/>
                              </w:rPr>
                              <w:t>万方源房地产评估测绘</w:t>
                            </w:r>
                          </w:p>
                        </w:txbxContent>
                      </wps:txbx>
                      <wps:bodyPr lIns="0" tIns="0" rIns="0" bIns="0" upright="1"/>
                    </wps:wsp>
                  </a:graphicData>
                </a:graphic>
              </wp:anchor>
            </w:drawing>
          </mc:Choice>
          <mc:Fallback>
            <w:pict>
              <v:rect id="_x0000_s1026" o:spid="_x0000_s1026" o:spt="1" style="position:absolute;left:0pt;margin-left:-107374182.4pt;margin-top:-107374182.4pt;height:25.25pt;width:130.4pt;mso-position-horizontal-relative:page;mso-position-vertical-relative:page;z-index:251661312;mso-width-relative:page;mso-height-relative:page;" filled="f" stroked="f" coordsize="21600,21600" o:gfxdata="UEsDBAoAAAAAAIdO4kAAAAAAAAAAAAAAAAAEAAAAZHJzL1BLAwQUAAAACACHTuJAkQH8+OEAAAAn&#10;AQAADwAAAGRycy9kb3ducmV2LnhtbF2PXUvDMBiF7wX/Q3gF77Yka5hdbTrED+albsL0Lmte22I+&#10;SpOt019vBFHx8nAO5zynXB6tIQccQuedBD5lQNDVXneukfC0uZvkQEJUTivjHUp4xwDL6vSkVIX2&#10;o3vEwzo2JJW4UCgJbYx9QWmoW7QqTH2PLnmvfrAqJjk0VA9qTOXW0Bljc2pV59JCq3q8brF+W++t&#10;hFXeXz3f+4+xMbcvq+3DdnGzWUQpz884uwQS8Rh/w/CFn9ChSkw7v3c6ECNhMuPiQuTZXKQH8Z9O&#10;+W+fM5Eu7350xkUGtCrp33/VJ1BLAwQUAAAACACHTuJAVDgK3LABAABlAwAADgAAAGRycy9lMm9E&#10;b2MueG1srVNLbtswFNwX6B0I7mvKLmIHguVsjBQFijZA0gPQFGkR4A+PtCWfpkB3OUSOU/QaeaRk&#10;p003WXRDDR+peTNDcn0zWEOOEqL2rqHzWUWJdMK32u0b+v3h9sM1JTFx13LjnWzoSUZ6s3n/bt2H&#10;Wi58500rgSCJi3UfGtqlFGrGouik5XHmg3S4qDxYnnAKe9YC75HdGraoqiXrPbQBvJAxYnU7LtKJ&#10;Ed5C6JXSQm69OFjp0sgK0vCElmKnQ6SbolYpKdI3paJMxDQUnaYyYhPEuzyyzZrXe+Ch02KSwN8i&#10;4ZUny7XDpheqLU+cHED/Q2W1AB+9SjPhLRuNlETQxbx6lc19x4MsXjDqGC6hx/9HK74e74DotqEr&#10;Shy3eOC/fzz+evpJVjmbPsQat9yHO5hmEWE2Oiiw+YsWyFDyPF3ylEMiAovz5dWyusaoBa59XFTL&#10;1VUmZS9/B4jpk/SWZNBQwPMqMfLjl5jGrectuZnzt9oYrPPauL8KyJkrLAseJWaUht0w6d759oRO&#10;zWeH6eWbcAZwBrszOATQ+w7lzIvaTITpF93TTcnH++e8NH55HZ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QH8+OEAAAAnAQAADwAAAAAAAAABACAAAAAiAAAAZHJzL2Rvd25yZXYueG1sUEsBAhQA&#10;FAAAAAgAh07iQFQ4CtywAQAAZQMAAA4AAAAAAAAAAQAgAAAAMAEAAGRycy9lMm9Eb2MueG1sUEsF&#10;BgAAAAAGAAYAWQEAAFIFAAAAAA==&#10;">
                <v:path/>
                <v:fill on="f" focussize="0,0"/>
                <v:stroke on="f"/>
                <v:imagedata o:title=""/>
                <o:lock v:ext="edit" aspectratio="f"/>
                <v:textbox inset="0mm,0mm,0mm,0mm">
                  <w:txbxContent>
                    <w:p>
                      <w:pPr>
                        <w:spacing w:line="0" w:lineRule="atLeast"/>
                        <w:ind w:left="0"/>
                        <w:jc w:val="center"/>
                        <w:textAlignment w:val="center"/>
                        <w:rPr>
                          <w:rFonts w:hint="eastAsia" w:eastAsia="黑体"/>
                          <w:i/>
                          <w:color w:val="000000"/>
                          <w:sz w:val="21"/>
                        </w:rPr>
                      </w:pPr>
                      <w:r>
                        <w:rPr>
                          <w:rFonts w:hint="eastAsia" w:eastAsia="黑体"/>
                          <w:i/>
                          <w:color w:val="000000"/>
                          <w:sz w:val="21"/>
                        </w:rPr>
                        <w:t>万方源房地产评估测绘</w:t>
                      </w:r>
                    </w:p>
                  </w:txbxContent>
                </v:textbox>
              </v:rect>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page">
                  <wp:posOffset>-2147483648</wp:posOffset>
                </wp:positionH>
                <wp:positionV relativeFrom="page">
                  <wp:posOffset>-2147483648</wp:posOffset>
                </wp:positionV>
                <wp:extent cx="4363085" cy="917575"/>
                <wp:effectExtent l="4445" t="4445" r="13970" b="11430"/>
                <wp:wrapNone/>
                <wp:docPr id="5" name="文本框 5"/>
                <wp:cNvGraphicFramePr/>
                <a:graphic xmlns:a="http://schemas.openxmlformats.org/drawingml/2006/main">
                  <a:graphicData uri="http://schemas.microsoft.com/office/word/2010/wordprocessingShape">
                    <wps:wsp>
                      <wps:cNvSpPr txBox="1"/>
                      <wps:spPr>
                        <a:xfrm>
                          <a:off x="0" y="0"/>
                          <a:ext cx="4363085" cy="917575"/>
                        </a:xfrm>
                        <a:prstGeom prst="rect">
                          <a:avLst/>
                        </a:prstGeom>
                        <a:noFill/>
                        <a:ln w="9525" cap="flat" cmpd="sng">
                          <a:solidFill>
                            <a:srgbClr val="000000"/>
                          </a:solidFill>
                          <a:prstDash val="solid"/>
                          <a:miter/>
                          <a:headEnd type="none" w="med" len="med"/>
                          <a:tailEnd type="none" w="med" len="med"/>
                        </a:ln>
                      </wps:spPr>
                      <wps:txbx>
                        <w:txbxContent>
                          <w:tbl>
                            <w:tblPr>
                              <w:tblStyle w:val="6"/>
                              <w:tblpPr w:vertAnchor="page" w:horzAnchor="page" w:tblpX="2647" w:tblpY="12325"/>
                              <w:tblW w:w="0" w:type="auto"/>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924"/>
                              <w:gridCol w:w="1286"/>
                              <w:gridCol w:w="929"/>
                              <w:gridCol w:w="884"/>
                              <w:gridCol w:w="1394"/>
                              <w:gridCol w:w="145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63" w:hRule="exact"/>
                              </w:trPr>
                              <w:tc>
                                <w:tcPr>
                                  <w:tcW w:w="924"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幢号</w:t>
                                  </w:r>
                                </w:p>
                              </w:tc>
                              <w:tc>
                                <w:tcPr>
                                  <w:tcW w:w="1286"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利用</w:t>
                                  </w:r>
                                </w:p>
                                <w:p>
                                  <w:pPr>
                                    <w:pStyle w:val="9"/>
                                    <w:spacing w:line="308" w:lineRule="atLeast"/>
                                    <w:jc w:val="center"/>
                                    <w:textAlignment w:val="center"/>
                                    <w:rPr>
                                      <w:rFonts w:eastAsia="仿宋_GB2312"/>
                                      <w:color w:val="000000"/>
                                      <w:sz w:val="24"/>
                                    </w:rPr>
                                  </w:pPr>
                                  <w:r>
                                    <w:rPr>
                                      <w:rFonts w:eastAsia="仿宋_GB2312"/>
                                      <w:color w:val="000000"/>
                                      <w:sz w:val="24"/>
                                    </w:rPr>
                                    <w:t>现状</w:t>
                                  </w:r>
                                </w:p>
                              </w:tc>
                              <w:tc>
                                <w:tcPr>
                                  <w:tcW w:w="929"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结构</w:t>
                                  </w:r>
                                </w:p>
                                <w:p>
                                  <w:pPr>
                                    <w:pStyle w:val="9"/>
                                    <w:spacing w:line="308" w:lineRule="atLeast"/>
                                    <w:jc w:val="center"/>
                                    <w:textAlignment w:val="center"/>
                                    <w:rPr>
                                      <w:rFonts w:eastAsia="仿宋_GB2312"/>
                                      <w:color w:val="000000"/>
                                      <w:sz w:val="24"/>
                                    </w:rPr>
                                  </w:pPr>
                                  <w:r>
                                    <w:rPr>
                                      <w:rFonts w:eastAsia="仿宋_GB2312"/>
                                      <w:color w:val="000000"/>
                                      <w:sz w:val="24"/>
                                    </w:rPr>
                                    <w:t>形式</w:t>
                                  </w:r>
                                </w:p>
                              </w:tc>
                              <w:tc>
                                <w:tcPr>
                                  <w:tcW w:w="884"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建成</w:t>
                                  </w:r>
                                </w:p>
                                <w:p>
                                  <w:pPr>
                                    <w:pStyle w:val="9"/>
                                    <w:spacing w:line="308" w:lineRule="atLeast"/>
                                    <w:jc w:val="center"/>
                                    <w:textAlignment w:val="center"/>
                                    <w:rPr>
                                      <w:rFonts w:eastAsia="仿宋_GB2312"/>
                                      <w:color w:val="000000"/>
                                      <w:sz w:val="24"/>
                                    </w:rPr>
                                  </w:pPr>
                                  <w:r>
                                    <w:rPr>
                                      <w:rFonts w:eastAsia="仿宋_GB2312"/>
                                      <w:color w:val="000000"/>
                                      <w:sz w:val="24"/>
                                    </w:rPr>
                                    <w:t>年代</w:t>
                                  </w:r>
                                </w:p>
                              </w:tc>
                              <w:tc>
                                <w:tcPr>
                                  <w:tcW w:w="1394"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建筑面积</w:t>
                                  </w:r>
                                </w:p>
                                <w:p>
                                  <w:pPr>
                                    <w:pStyle w:val="9"/>
                                    <w:spacing w:line="308" w:lineRule="atLeast"/>
                                    <w:jc w:val="center"/>
                                    <w:textAlignment w:val="center"/>
                                    <w:rPr>
                                      <w:rFonts w:eastAsia="仿宋_GB2312"/>
                                      <w:color w:val="000000"/>
                                      <w:sz w:val="24"/>
                                    </w:rPr>
                                  </w:pPr>
                                  <w:r>
                                    <w:rPr>
                                      <w:rFonts w:eastAsia="仿宋_GB2312"/>
                                      <w:color w:val="000000"/>
                                      <w:sz w:val="24"/>
                                    </w:rPr>
                                    <w:t>（m</w:t>
                                  </w:r>
                                  <w:r>
                                    <w:rPr>
                                      <w:rFonts w:eastAsia="仿宋_GB2312"/>
                                      <w:color w:val="000000"/>
                                      <w:sz w:val="24"/>
                                      <w:vertAlign w:val="superscript"/>
                                    </w:rPr>
                                    <w:t>2</w:t>
                                  </w:r>
                                  <w:r>
                                    <w:rPr>
                                      <w:rFonts w:eastAsia="仿宋_GB2312"/>
                                      <w:color w:val="000000"/>
                                      <w:sz w:val="24"/>
                                    </w:rPr>
                                    <w:t>）</w:t>
                                  </w:r>
                                </w:p>
                              </w:tc>
                              <w:tc>
                                <w:tcPr>
                                  <w:tcW w:w="1451" w:type="dxa"/>
                                  <w:tcBorders>
                                    <w:bottom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房地产总价精确至元</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82" w:hRule="exact"/>
                              </w:trPr>
                              <w:tc>
                                <w:tcPr>
                                  <w:tcW w:w="924"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28</w:t>
                                  </w:r>
                                </w:p>
                              </w:tc>
                              <w:tc>
                                <w:tcPr>
                                  <w:tcW w:w="1286"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住宅用房</w:t>
                                  </w:r>
                                </w:p>
                              </w:tc>
                              <w:tc>
                                <w:tcPr>
                                  <w:tcW w:w="929"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钢筋混凝土</w:t>
                                  </w:r>
                                </w:p>
                              </w:tc>
                              <w:tc>
                                <w:tcPr>
                                  <w:tcW w:w="884"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2009</w:t>
                                  </w:r>
                                </w:p>
                              </w:tc>
                              <w:tc>
                                <w:tcPr>
                                  <w:tcW w:w="1394"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106.60</w:t>
                                  </w:r>
                                </w:p>
                              </w:tc>
                              <w:tc>
                                <w:tcPr>
                                  <w:tcW w:w="1451" w:type="dxa"/>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430000.00</w:t>
                                  </w:r>
                                </w:p>
                              </w:tc>
                            </w:tr>
                          </w:tbl>
                          <w:p>
                            <w:pPr>
                              <w:rPr>
                                <w:rFonts w:eastAsia="仿宋_GB2312"/>
                                <w:color w:val="000000"/>
                                <w:sz w:val="24"/>
                              </w:rPr>
                            </w:pPr>
                          </w:p>
                        </w:txbxContent>
                      </wps:txbx>
                      <wps:bodyPr lIns="0" tIns="0" rIns="0" bIns="0" upright="1"/>
                    </wps:wsp>
                  </a:graphicData>
                </a:graphic>
              </wp:anchor>
            </w:drawing>
          </mc:Choice>
          <mc:Fallback>
            <w:pict>
              <v:shape id="_x0000_s1026" o:spid="_x0000_s1026" o:spt="202" type="#_x0000_t202" style="position:absolute;left:0pt;margin-left:-107374182.4pt;margin-top:-107374182.4pt;height:72.25pt;width:343.55pt;mso-position-horizontal-relative:page;mso-position-vertical-relative:page;z-index:251662336;mso-width-relative:page;mso-height-relative:page;" filled="f" stroked="t" coordsize="21600,21600" o:gfxdata="UEsDBAoAAAAAAIdO4kAAAAAAAAAAAAAAAAAEAAAAZHJzL1BLAwQUAAAACACHTuJAQoZLYuIAAAAn&#10;AQAADwAAAGRycy9kb3ducmV2LnhtbF2PT0vDMBjG74LfIbyCF9mSdqUptekOQ28ibjq2Y9a8tqVN&#10;Upps3b69ERmKxx/Pw/OnWJ51T044utYaAdGcAUFTWdWaWsDH+/MsA+K8NEr21qCACzpYlrc3hcyV&#10;ncwaTxtfkxBiXC4FNN4POaWualBLN7cDmqB92lFLH3CsqRrlFMJ1T2PGUqpla0JDIwdcNVh1m6MW&#10;0L02b+vdy2pfPVDs6mnLdtnlSYj7u4g9AvF49r9m+J4fpkMZNh3s0ShHegGzOEp4ki3SJDzw/zj4&#10;f3Secs6BHK6cxTFbAC0L+vdf+QVQSwMEFAAAAAgAh07iQMCEdxoUAgAAMQQAAA4AAABkcnMvZTJv&#10;RG9jLnhtbK1TzY7TMBC+I/EOlu80bZfuT9R0JSiLkBAgLfsAju0klvwnj9ukLwBvwIkL932uPgdj&#10;p+3CcumBHJKJPf5mvm8+L28Ho8lWBlDOVnQ2mVIiLXdC2baiD1/vXl1TApFZwbSzsqI7CfR29fLF&#10;svelnLvOaSEDQRALZe8r2sXoy6IA3knDYOK8tLjZuGBYxN/QFiKwHtGNLubT6WXRuyB8cFwC4Op6&#10;3KQHxHAOoGsaxeXa8Y2RNo6oQWoWkRJ0ygNd5W6bRvL4uWlARqIrikxjfmMRjOv0LlZLVraB+U7x&#10;QwvsnBaecTJMWSx6glqzyMgmqH+gjOLBgWvihDtTjESyIshiNn2mzX3HvMxcUGrwJ9Hh/8HyT9sv&#10;gShR0QUllhkc+P7H9/3Px/2vb2SR5Ok9lJh17zEvDm/cgKY5rgMuJtZDE0z6Ih+C+yju7iSuHCLh&#10;uPj64vJieo1VOO7dzK4WVxm+eDrtA8T30hmSgooGHF7WlG0/QsROMPWYkopZd6e0zgPUlvQIupgn&#10;eIambNAMGBqPxMC2GQacViIdSYchtPVbHciWJWPkJ5HCEn+lpXprBt2Yl7dGyxgVZci1O8nEOytI&#10;3HkUz+KdoakZIwUlWuIVS1HOjEzpczKxCW2xl6T8qHCK4lAPCJPC2okdTkN/sOiE5OpjEI5BfQw2&#10;Pqi2QzXzzDIkOikTPbg+WfXP/1z46aa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Chkti4gAA&#10;ACcBAAAPAAAAAAAAAAEAIAAAACIAAABkcnMvZG93bnJldi54bWxQSwECFAAUAAAACACHTuJAwIR3&#10;GhQCAAAxBAAADgAAAAAAAAABACAAAAAxAQAAZHJzL2Uyb0RvYy54bWxQSwUGAAAAAAYABgBZAQAA&#10;twUAAAAA&#10;">
                <v:path/>
                <v:fill on="f" focussize="0,0"/>
                <v:stroke joinstyle="miter"/>
                <v:imagedata o:title=""/>
                <o:lock v:ext="edit" aspectratio="f"/>
                <v:textbox inset="0mm,0mm,0mm,0mm">
                  <w:txbxContent>
                    <w:tbl>
                      <w:tblPr>
                        <w:tblStyle w:val="6"/>
                        <w:tblpPr w:vertAnchor="page" w:horzAnchor="page" w:tblpX="2647" w:tblpY="12325"/>
                        <w:tblW w:w="0" w:type="auto"/>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924"/>
                        <w:gridCol w:w="1286"/>
                        <w:gridCol w:w="929"/>
                        <w:gridCol w:w="884"/>
                        <w:gridCol w:w="1394"/>
                        <w:gridCol w:w="1451"/>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63" w:hRule="exact"/>
                        </w:trPr>
                        <w:tc>
                          <w:tcPr>
                            <w:tcW w:w="924"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幢号</w:t>
                            </w:r>
                          </w:p>
                        </w:tc>
                        <w:tc>
                          <w:tcPr>
                            <w:tcW w:w="1286"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利用</w:t>
                            </w:r>
                          </w:p>
                          <w:p>
                            <w:pPr>
                              <w:pStyle w:val="9"/>
                              <w:spacing w:line="308" w:lineRule="atLeast"/>
                              <w:jc w:val="center"/>
                              <w:textAlignment w:val="center"/>
                              <w:rPr>
                                <w:rFonts w:eastAsia="仿宋_GB2312"/>
                                <w:color w:val="000000"/>
                                <w:sz w:val="24"/>
                              </w:rPr>
                            </w:pPr>
                            <w:r>
                              <w:rPr>
                                <w:rFonts w:eastAsia="仿宋_GB2312"/>
                                <w:color w:val="000000"/>
                                <w:sz w:val="24"/>
                              </w:rPr>
                              <w:t>现状</w:t>
                            </w:r>
                          </w:p>
                        </w:tc>
                        <w:tc>
                          <w:tcPr>
                            <w:tcW w:w="929"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结构</w:t>
                            </w:r>
                          </w:p>
                          <w:p>
                            <w:pPr>
                              <w:pStyle w:val="9"/>
                              <w:spacing w:line="308" w:lineRule="atLeast"/>
                              <w:jc w:val="center"/>
                              <w:textAlignment w:val="center"/>
                              <w:rPr>
                                <w:rFonts w:eastAsia="仿宋_GB2312"/>
                                <w:color w:val="000000"/>
                                <w:sz w:val="24"/>
                              </w:rPr>
                            </w:pPr>
                            <w:r>
                              <w:rPr>
                                <w:rFonts w:eastAsia="仿宋_GB2312"/>
                                <w:color w:val="000000"/>
                                <w:sz w:val="24"/>
                              </w:rPr>
                              <w:t>形式</w:t>
                            </w:r>
                          </w:p>
                        </w:tc>
                        <w:tc>
                          <w:tcPr>
                            <w:tcW w:w="884"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建成</w:t>
                            </w:r>
                          </w:p>
                          <w:p>
                            <w:pPr>
                              <w:pStyle w:val="9"/>
                              <w:spacing w:line="308" w:lineRule="atLeast"/>
                              <w:jc w:val="center"/>
                              <w:textAlignment w:val="center"/>
                              <w:rPr>
                                <w:rFonts w:eastAsia="仿宋_GB2312"/>
                                <w:color w:val="000000"/>
                                <w:sz w:val="24"/>
                              </w:rPr>
                            </w:pPr>
                            <w:r>
                              <w:rPr>
                                <w:rFonts w:eastAsia="仿宋_GB2312"/>
                                <w:color w:val="000000"/>
                                <w:sz w:val="24"/>
                              </w:rPr>
                              <w:t>年代</w:t>
                            </w:r>
                          </w:p>
                        </w:tc>
                        <w:tc>
                          <w:tcPr>
                            <w:tcW w:w="1394" w:type="dxa"/>
                            <w:tcBorders>
                              <w:bottom w:val="single" w:color="000000" w:sz="4" w:space="0"/>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建筑面积</w:t>
                            </w:r>
                          </w:p>
                          <w:p>
                            <w:pPr>
                              <w:pStyle w:val="9"/>
                              <w:spacing w:line="308" w:lineRule="atLeast"/>
                              <w:jc w:val="center"/>
                              <w:textAlignment w:val="center"/>
                              <w:rPr>
                                <w:rFonts w:eastAsia="仿宋_GB2312"/>
                                <w:color w:val="000000"/>
                                <w:sz w:val="24"/>
                              </w:rPr>
                            </w:pPr>
                            <w:r>
                              <w:rPr>
                                <w:rFonts w:eastAsia="仿宋_GB2312"/>
                                <w:color w:val="000000"/>
                                <w:sz w:val="24"/>
                              </w:rPr>
                              <w:t>（m</w:t>
                            </w:r>
                            <w:r>
                              <w:rPr>
                                <w:rFonts w:eastAsia="仿宋_GB2312"/>
                                <w:color w:val="000000"/>
                                <w:sz w:val="24"/>
                                <w:vertAlign w:val="superscript"/>
                              </w:rPr>
                              <w:t>2</w:t>
                            </w:r>
                            <w:r>
                              <w:rPr>
                                <w:rFonts w:eastAsia="仿宋_GB2312"/>
                                <w:color w:val="000000"/>
                                <w:sz w:val="24"/>
                              </w:rPr>
                              <w:t>）</w:t>
                            </w:r>
                          </w:p>
                        </w:tc>
                        <w:tc>
                          <w:tcPr>
                            <w:tcW w:w="1451" w:type="dxa"/>
                            <w:tcBorders>
                              <w:bottom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房地产总价精确至元</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782" w:hRule="exact"/>
                        </w:trPr>
                        <w:tc>
                          <w:tcPr>
                            <w:tcW w:w="924"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28</w:t>
                            </w:r>
                          </w:p>
                        </w:tc>
                        <w:tc>
                          <w:tcPr>
                            <w:tcW w:w="1286"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住宅用房</w:t>
                            </w:r>
                          </w:p>
                        </w:tc>
                        <w:tc>
                          <w:tcPr>
                            <w:tcW w:w="929"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钢筋混凝土</w:t>
                            </w:r>
                          </w:p>
                        </w:tc>
                        <w:tc>
                          <w:tcPr>
                            <w:tcW w:w="884"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2009</w:t>
                            </w:r>
                          </w:p>
                        </w:tc>
                        <w:tc>
                          <w:tcPr>
                            <w:tcW w:w="1394" w:type="dxa"/>
                            <w:tcBorders>
                              <w:right w:val="single" w:color="000000" w:sz="4" w:space="0"/>
                            </w:tcBorders>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106.60</w:t>
                            </w:r>
                          </w:p>
                        </w:tc>
                        <w:tc>
                          <w:tcPr>
                            <w:tcW w:w="1451" w:type="dxa"/>
                            <w:noWrap w:val="0"/>
                            <w:vAlign w:val="center"/>
                          </w:tcPr>
                          <w:p>
                            <w:pPr>
                              <w:pStyle w:val="9"/>
                              <w:spacing w:line="308" w:lineRule="atLeast"/>
                              <w:jc w:val="center"/>
                              <w:textAlignment w:val="center"/>
                              <w:rPr>
                                <w:rFonts w:eastAsia="仿宋_GB2312"/>
                                <w:color w:val="000000"/>
                                <w:sz w:val="24"/>
                              </w:rPr>
                            </w:pPr>
                            <w:r>
                              <w:rPr>
                                <w:rFonts w:eastAsia="仿宋_GB2312"/>
                                <w:color w:val="000000"/>
                                <w:sz w:val="24"/>
                              </w:rPr>
                              <w:t>430000.00</w:t>
                            </w:r>
                          </w:p>
                        </w:tc>
                      </w:tr>
                    </w:tbl>
                    <w:p>
                      <w:pPr>
                        <w:rPr>
                          <w:rFonts w:eastAsia="仿宋_GB2312"/>
                          <w:color w:val="000000"/>
                          <w:sz w:val="24"/>
                        </w:rPr>
                      </w:pPr>
                    </w:p>
                  </w:txbxContent>
                </v:textbox>
              </v:shape>
            </w:pict>
          </mc:Fallback>
        </mc:AlternateContent>
      </w:r>
    </w:p>
    <w:p>
      <w:pPr>
        <w:spacing w:line="468" w:lineRule="atLeas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比较法是在同一供求圈内选取三个以上与估价对象条件相似的成交案例并与之比较，对案例成交价格进行交易情况、交易日期、</w:t>
      </w:r>
      <w:r>
        <w:rPr>
          <w:rFonts w:hint="eastAsia" w:ascii="仿宋_GB2312" w:hAnsi="仿宋_GB2312" w:eastAsia="仿宋_GB2312" w:cs="仿宋_GB2312"/>
          <w:color w:val="000000"/>
          <w:sz w:val="28"/>
          <w:szCs w:val="28"/>
          <w:lang w:eastAsia="zh-CN"/>
        </w:rPr>
        <w:t>区位</w:t>
      </w:r>
      <w:r>
        <w:rPr>
          <w:rFonts w:hint="eastAsia" w:ascii="仿宋_GB2312" w:hAnsi="仿宋_GB2312" w:eastAsia="仿宋_GB2312" w:cs="仿宋_GB2312"/>
          <w:color w:val="000000"/>
          <w:sz w:val="28"/>
          <w:szCs w:val="28"/>
        </w:rPr>
        <w:t>因素、</w:t>
      </w:r>
      <w:r>
        <w:rPr>
          <w:rFonts w:hint="eastAsia" w:ascii="仿宋_GB2312" w:hAnsi="仿宋_GB2312" w:eastAsia="仿宋_GB2312" w:cs="仿宋_GB2312"/>
          <w:color w:val="000000"/>
          <w:sz w:val="28"/>
          <w:szCs w:val="28"/>
          <w:lang w:eastAsia="zh-CN"/>
        </w:rPr>
        <w:t>实物</w:t>
      </w:r>
      <w:r>
        <w:rPr>
          <w:rFonts w:hint="eastAsia" w:ascii="仿宋_GB2312" w:hAnsi="仿宋_GB2312" w:eastAsia="仿宋_GB2312" w:cs="仿宋_GB2312"/>
          <w:color w:val="000000"/>
          <w:sz w:val="28"/>
          <w:szCs w:val="28"/>
        </w:rPr>
        <w:t>因素</w:t>
      </w:r>
      <w:r>
        <w:rPr>
          <w:rFonts w:hint="eastAsia" w:ascii="仿宋_GB2312" w:hAnsi="仿宋_GB2312" w:eastAsia="仿宋_GB2312" w:cs="仿宋_GB2312"/>
          <w:color w:val="000000"/>
          <w:sz w:val="28"/>
          <w:szCs w:val="28"/>
          <w:lang w:eastAsia="zh-CN"/>
        </w:rPr>
        <w:t>、权益因素</w:t>
      </w:r>
      <w:r>
        <w:rPr>
          <w:rFonts w:hint="eastAsia" w:ascii="仿宋_GB2312" w:hAnsi="仿宋_GB2312" w:eastAsia="仿宋_GB2312" w:cs="仿宋_GB2312"/>
          <w:color w:val="000000"/>
          <w:sz w:val="28"/>
          <w:szCs w:val="28"/>
        </w:rPr>
        <w:t>修正，以此估算估价对象的客观合理价格或价值。</w:t>
      </w:r>
    </w:p>
    <w:p>
      <w:pPr>
        <w:spacing w:line="468" w:lineRule="atLeast"/>
        <w:ind w:firstLine="56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收益法是预测估价对象的未来收益，利用合适的报酬率或资本化率、收益乘数，将未来收益转换为价值得到估价对象价值或价格的方法。</w:t>
      </w:r>
    </w:p>
    <w:p>
      <w:pPr>
        <w:spacing w:line="468" w:lineRule="atLeas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成本法是首先估算重新建造全新状态的估价对象所需的各项必要成本费用、应纳税金、和正常开发利润并求和，再结合成新率（综合考虑年限、实体性、功能性和经济性贬值求取）估算出估价对象的市场价格。 　</w:t>
      </w:r>
    </w:p>
    <w:p>
      <w:pPr>
        <w:spacing w:line="468" w:lineRule="atLeas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假设开发法是</w:t>
      </w:r>
      <w:r>
        <w:rPr>
          <w:rFonts w:hint="eastAsia" w:ascii="仿宋_GB2312" w:hAnsi="仿宋_GB2312" w:eastAsia="仿宋_GB2312" w:cs="仿宋_GB2312"/>
          <w:color w:val="000000"/>
          <w:sz w:val="28"/>
          <w:szCs w:val="28"/>
        </w:rPr>
        <w:t>根据估价对象预期开发完成后的价值,来求取估价对象价值或价格的方法。它是求得估价对象开发完成后的价值和后续开发的必要支出及折现率或后续开发的必要支出及应得利润，将开发完成后的价值和后续开发的必要支出折现到价值时点后相减，或将开发完成后的价值减去后续开发的必要支出及应得利润得到估价对象价值或价格的方法。　</w:t>
      </w:r>
    </w:p>
    <w:p>
      <w:pPr>
        <w:spacing w:line="468" w:lineRule="atLeas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sz w:val="28"/>
          <w:szCs w:val="28"/>
          <w:lang w:eastAsia="zh-CN"/>
        </w:rPr>
        <w:t>估价人员深入细致地分析了项目的特点和实际状况，并研究了委托方提供的及本公司所掌握的资料，在实地查勘和调研的基础上认为</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估价对象法定批准用途为住宅，已建成投入，不属于待开发房地产，可再开发能力较低，因此不适宜选用假设开发法进行评估；</w:t>
      </w:r>
      <w:r>
        <w:rPr>
          <w:rFonts w:hint="eastAsia" w:ascii="仿宋_GB2312" w:hAnsi="仿宋_GB2312" w:eastAsia="仿宋_GB2312" w:cs="仿宋_GB2312"/>
          <w:color w:val="000000"/>
          <w:sz w:val="28"/>
          <w:szCs w:val="28"/>
          <w:lang w:val="en-US" w:eastAsia="zh-CN"/>
        </w:rPr>
        <w:t>估价对象为集体土地房屋，周边区域内类似住宅</w:t>
      </w:r>
      <w:r>
        <w:rPr>
          <w:rFonts w:hint="eastAsia" w:ascii="仿宋_GB2312" w:hAnsi="仿宋_GB2312" w:eastAsia="仿宋_GB2312" w:cs="仿宋_GB2312"/>
          <w:color w:val="000000"/>
          <w:sz w:val="28"/>
          <w:szCs w:val="28"/>
          <w:lang w:eastAsia="zh-CN"/>
        </w:rPr>
        <w:t>较难找到</w:t>
      </w:r>
      <w:r>
        <w:rPr>
          <w:rFonts w:hint="eastAsia" w:ascii="仿宋_GB2312" w:hAnsi="仿宋_GB2312" w:eastAsia="仿宋_GB2312" w:cs="仿宋_GB2312"/>
          <w:color w:val="000000"/>
          <w:sz w:val="28"/>
          <w:szCs w:val="28"/>
          <w:lang w:val="en-US" w:eastAsia="zh-CN"/>
        </w:rPr>
        <w:t>出租和交易案例，故不选用收益法和比较法。</w:t>
      </w:r>
      <w:r>
        <w:rPr>
          <w:rFonts w:hint="eastAsia" w:ascii="仿宋_GB2312" w:hAnsi="仿宋_GB2312" w:eastAsia="仿宋_GB2312" w:cs="仿宋_GB2312"/>
          <w:kern w:val="0"/>
          <w:sz w:val="28"/>
          <w:szCs w:val="28"/>
        </w:rPr>
        <w:t>由于可以收集到估价对象土地及建筑物的各种开发或建设费用，故选用成本法。</w:t>
      </w:r>
    </w:p>
    <w:p>
      <w:pPr>
        <w:spacing w:line="468" w:lineRule="atLeast"/>
        <w:ind w:firstLine="560"/>
        <w:rPr>
          <w:rFonts w:hint="eastAsia" w:ascii="黑体" w:eastAsia="黑体"/>
          <w:color w:val="000000"/>
          <w:sz w:val="28"/>
          <w:szCs w:val="28"/>
          <w:lang w:val="en-US" w:eastAsia="zh-CN"/>
        </w:rPr>
      </w:pPr>
      <w:r>
        <w:rPr>
          <w:rFonts w:hint="eastAsia" w:ascii="仿宋_GB2312" w:hAnsi="仿宋_GB2312" w:eastAsia="仿宋_GB2312" w:cs="仿宋_GB2312"/>
          <w:color w:val="000000"/>
          <w:sz w:val="28"/>
          <w:szCs w:val="28"/>
          <w:lang w:eastAsia="zh-CN"/>
        </w:rPr>
        <w:t>综合以上分析为了使估价结果更具科学性、准确性、客观性，本报告确定选用成本法进行估价。</w:t>
      </w:r>
    </w:p>
    <w:p>
      <w:pPr>
        <w:numPr>
          <w:ilvl w:val="0"/>
          <w:numId w:val="0"/>
        </w:numPr>
        <w:spacing w:line="500" w:lineRule="exact"/>
        <w:ind w:firstLine="560" w:firstLineChars="200"/>
        <w:rPr>
          <w:rFonts w:hint="eastAsia" w:ascii="黑体" w:eastAsia="黑体"/>
          <w:color w:val="000000"/>
          <w:sz w:val="28"/>
          <w:szCs w:val="28"/>
        </w:rPr>
      </w:pPr>
      <w:r>
        <w:rPr>
          <w:rFonts w:hint="eastAsia" w:ascii="黑体" w:eastAsia="黑体"/>
          <w:color w:val="000000"/>
          <w:sz w:val="28"/>
          <w:szCs w:val="28"/>
          <w:lang w:val="en-US" w:eastAsia="zh-CN"/>
        </w:rPr>
        <w:t xml:space="preserve"> </w:t>
      </w:r>
      <w:r>
        <w:rPr>
          <w:rFonts w:hint="eastAsia" w:ascii="黑体" w:eastAsia="黑体"/>
          <w:color w:val="000000"/>
          <w:sz w:val="28"/>
          <w:szCs w:val="28"/>
        </w:rPr>
        <w:t>十、估价结果：</w:t>
      </w:r>
      <w:bookmarkEnd w:id="55"/>
      <w:bookmarkEnd w:id="56"/>
    </w:p>
    <w:p>
      <w:pPr>
        <w:numPr>
          <w:ilvl w:val="0"/>
          <w:numId w:val="0"/>
        </w:numPr>
        <w:spacing w:line="500" w:lineRule="exact"/>
        <w:ind w:firstLine="560" w:firstLineChars="200"/>
        <w:rPr>
          <w:rFonts w:hint="eastAsia" w:ascii="仿宋_GB2312" w:hAnsi="仿宋_GB2312" w:eastAsia="仿宋_GB2312" w:cs="仿宋_GB2312"/>
          <w:b/>
          <w:bCs/>
          <w:color w:val="000000"/>
          <w:sz w:val="28"/>
          <w:szCs w:val="28"/>
          <w:lang w:val="en-US" w:eastAsia="zh-CN"/>
        </w:rPr>
      </w:pPr>
      <w:bookmarkStart w:id="57" w:name="_Toc23855"/>
      <w:r>
        <w:rPr>
          <w:rFonts w:hint="eastAsia" w:eastAsia="仿宋_GB2312"/>
          <w:color w:val="000000"/>
          <w:sz w:val="28"/>
          <w:szCs w:val="28"/>
          <w:lang w:val="en-US" w:eastAsia="zh-CN"/>
        </w:rPr>
        <w:t>注册房地产估价师梁杰、苗玉龙对估价对象权利、实体、区位状况进行了实地查勘和市场调查，遵照《城市房地产管理法》、《房地产估价规范》等法律法规、政策及国家技术标准，遵循独立、客观、公正、合法的原则，采用成本法，对委估房地产的市场价值进行了分析、测算和判断，在设定的价值类型与假设限制条件下，确定估价对象于价值时点的市场价值为</w:t>
      </w:r>
      <w:r>
        <w:rPr>
          <w:rFonts w:hint="eastAsia" w:eastAsia="仿宋_GB2312"/>
          <w:b/>
          <w:bCs/>
          <w:color w:val="000000"/>
          <w:sz w:val="28"/>
          <w:szCs w:val="28"/>
          <w:lang w:val="en-US" w:eastAsia="zh-CN"/>
        </w:rPr>
        <w:t>¥22.71</w:t>
      </w:r>
      <w:r>
        <w:rPr>
          <w:rFonts w:hint="eastAsia" w:eastAsia="仿宋_GB2312"/>
          <w:color w:val="000000"/>
          <w:sz w:val="28"/>
          <w:szCs w:val="28"/>
          <w:lang w:val="en-US" w:eastAsia="zh-CN"/>
        </w:rPr>
        <w:t>万元（其中房地产评估价值为¥22.41万元，室内可移动物品评估价值为¥0.30万元）（大写）人民币</w:t>
      </w:r>
      <w:r>
        <w:rPr>
          <w:rFonts w:hint="eastAsia" w:eastAsia="仿宋_GB2312"/>
          <w:b/>
          <w:bCs/>
          <w:color w:val="000000"/>
          <w:sz w:val="28"/>
          <w:szCs w:val="28"/>
          <w:lang w:val="en-US" w:eastAsia="zh-CN"/>
        </w:rPr>
        <w:t>贰拾贰万柒仟壹佰</w:t>
      </w:r>
      <w:r>
        <w:rPr>
          <w:rFonts w:hint="eastAsia" w:eastAsia="仿宋_GB2312"/>
          <w:color w:val="000000"/>
          <w:sz w:val="28"/>
          <w:szCs w:val="28"/>
          <w:lang w:val="en-US" w:eastAsia="zh-CN"/>
        </w:rPr>
        <w:t>元整。</w:t>
      </w:r>
      <w:r>
        <w:rPr>
          <w:rFonts w:hint="eastAsia" w:eastAsia="仿宋_GB2312"/>
          <w:color w:val="000000"/>
          <w:sz w:val="28"/>
          <w:szCs w:val="28"/>
          <w:vertAlign w:val="baseline"/>
          <w:lang w:val="en-US" w:eastAsia="zh-CN"/>
        </w:rPr>
        <w:t>估价结果详见表-4、表-5。</w:t>
      </w:r>
    </w:p>
    <w:p>
      <w:pPr>
        <w:spacing w:line="500" w:lineRule="exact"/>
        <w:ind w:firstLine="562" w:firstLineChars="200"/>
        <w:jc w:val="center"/>
        <w:rPr>
          <w:rFonts w:hint="eastAsia" w:eastAsia="仿宋_GB2312"/>
          <w:color w:val="000000"/>
          <w:sz w:val="22"/>
          <w:szCs w:val="22"/>
          <w:lang w:eastAsia="zh-CN"/>
        </w:rPr>
      </w:pPr>
      <w:bookmarkStart w:id="58" w:name="_Toc10357"/>
      <w:r>
        <w:rPr>
          <w:rFonts w:hint="eastAsia" w:ascii="仿宋_GB2312" w:hAnsi="仿宋_GB2312" w:eastAsia="仿宋_GB2312" w:cs="仿宋_GB2312"/>
          <w:b/>
          <w:bCs/>
          <w:color w:val="000000"/>
          <w:sz w:val="28"/>
          <w:szCs w:val="28"/>
          <w:lang w:val="en-US" w:eastAsia="zh-CN"/>
        </w:rPr>
        <w:t>房地产估价结果一览表</w:t>
      </w:r>
    </w:p>
    <w:p>
      <w:pPr>
        <w:spacing w:line="500" w:lineRule="exact"/>
        <w:ind w:firstLine="560" w:firstLineChars="200"/>
        <w:jc w:val="righ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表</w:t>
      </w:r>
      <w:r>
        <w:rPr>
          <w:rFonts w:hint="eastAsia" w:ascii="仿宋" w:hAnsi="仿宋" w:eastAsia="仿宋" w:cs="仿宋"/>
          <w:color w:val="000000"/>
          <w:sz w:val="28"/>
          <w:szCs w:val="28"/>
          <w:lang w:val="en-US" w:eastAsia="zh-CN"/>
        </w:rPr>
        <w:t>-4</w:t>
      </w:r>
    </w:p>
    <w:p>
      <w:pPr>
        <w:spacing w:line="500" w:lineRule="exact"/>
        <w:ind w:firstLine="560" w:firstLineChars="200"/>
        <w:jc w:val="right"/>
        <w:rPr>
          <w:rFonts w:hint="eastAsia" w:ascii="仿宋" w:hAnsi="仿宋" w:eastAsia="仿宋" w:cs="仿宋"/>
          <w:color w:val="000000"/>
          <w:sz w:val="28"/>
          <w:szCs w:val="28"/>
          <w:lang w:val="en-US" w:eastAsia="zh-CN"/>
        </w:rPr>
      </w:pPr>
    </w:p>
    <w:p>
      <w:pPr>
        <w:spacing w:line="500" w:lineRule="exact"/>
        <w:ind w:firstLine="560" w:firstLineChars="200"/>
        <w:jc w:val="right"/>
        <w:rPr>
          <w:rFonts w:hint="eastAsia" w:ascii="仿宋" w:hAnsi="仿宋" w:eastAsia="仿宋" w:cs="仿宋"/>
          <w:color w:val="000000"/>
          <w:sz w:val="28"/>
          <w:szCs w:val="28"/>
          <w:lang w:val="en-US" w:eastAsia="zh-CN"/>
        </w:rPr>
      </w:pPr>
    </w:p>
    <w:tbl>
      <w:tblPr>
        <w:tblStyle w:val="7"/>
        <w:tblW w:w="87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077"/>
        <w:gridCol w:w="1964"/>
        <w:gridCol w:w="1255"/>
        <w:gridCol w:w="1329"/>
        <w:gridCol w:w="23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7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序号</w:t>
            </w:r>
          </w:p>
        </w:tc>
        <w:tc>
          <w:tcPr>
            <w:tcW w:w="107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名称</w:t>
            </w:r>
          </w:p>
        </w:tc>
        <w:tc>
          <w:tcPr>
            <w:tcW w:w="196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面积(㎡)</w:t>
            </w:r>
          </w:p>
        </w:tc>
        <w:tc>
          <w:tcPr>
            <w:tcW w:w="125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评估</w:t>
            </w:r>
            <w:r>
              <w:rPr>
                <w:rFonts w:hint="eastAsia" w:ascii="仿宋_GB2312" w:hAnsi="仿宋_GB2312" w:eastAsia="仿宋_GB2312" w:cs="仿宋_GB2312"/>
                <w:color w:val="000000"/>
                <w:sz w:val="24"/>
                <w:szCs w:val="24"/>
              </w:rPr>
              <w:t>单价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（元</w:t>
            </w:r>
            <w:r>
              <w:rPr>
                <w:rFonts w:hint="eastAsia" w:ascii="仿宋_GB2312" w:hAnsi="仿宋_GB2312" w:eastAsia="仿宋_GB2312" w:cs="仿宋_GB2312"/>
                <w:color w:val="000000"/>
                <w:sz w:val="24"/>
                <w:szCs w:val="24"/>
                <w:lang w:val="en-US" w:eastAsia="zh-CN"/>
              </w:rPr>
              <w:t>/㎡）</w:t>
            </w:r>
          </w:p>
        </w:tc>
        <w:tc>
          <w:tcPr>
            <w:tcW w:w="1329"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评估</w:t>
            </w:r>
            <w:r>
              <w:rPr>
                <w:rFonts w:hint="eastAsia" w:ascii="仿宋_GB2312" w:hAnsi="仿宋_GB2312" w:eastAsia="仿宋_GB2312" w:cs="仿宋_GB2312"/>
                <w:color w:val="000000"/>
                <w:sz w:val="24"/>
                <w:szCs w:val="24"/>
              </w:rPr>
              <w:t>总价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万</w:t>
            </w:r>
            <w:r>
              <w:rPr>
                <w:rFonts w:hint="eastAsia" w:ascii="仿宋_GB2312" w:hAnsi="仿宋_GB2312" w:eastAsia="仿宋_GB2312" w:cs="仿宋_GB2312"/>
                <w:color w:val="000000"/>
                <w:sz w:val="24"/>
                <w:szCs w:val="24"/>
              </w:rPr>
              <w:t>元）</w:t>
            </w:r>
          </w:p>
        </w:tc>
        <w:tc>
          <w:tcPr>
            <w:tcW w:w="2333"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72" w:type="dxa"/>
            <w:tcBorders>
              <w:tl2br w:val="nil"/>
              <w:tr2bl w:val="nil"/>
            </w:tcBorders>
            <w:noWrap w:val="0"/>
            <w:vAlign w:val="center"/>
          </w:tcPr>
          <w:p>
            <w:pPr>
              <w:spacing w:line="32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1077" w:type="dxa"/>
            <w:tcBorders>
              <w:tl2br w:val="nil"/>
              <w:tr2bl w:val="nil"/>
            </w:tcBorders>
            <w:noWrap w:val="0"/>
            <w:vAlign w:val="center"/>
          </w:tcPr>
          <w:p>
            <w:pPr>
              <w:spacing w:line="32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房屋</w:t>
            </w:r>
          </w:p>
        </w:tc>
        <w:tc>
          <w:tcPr>
            <w:tcW w:w="1964"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96.00</w:t>
            </w:r>
          </w:p>
        </w:tc>
        <w:tc>
          <w:tcPr>
            <w:tcW w:w="1255"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2150.00</w:t>
            </w:r>
          </w:p>
        </w:tc>
        <w:tc>
          <w:tcPr>
            <w:tcW w:w="1329"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20.64</w:t>
            </w:r>
          </w:p>
        </w:tc>
        <w:tc>
          <w:tcPr>
            <w:tcW w:w="2333" w:type="dxa"/>
            <w:vMerge w:val="restart"/>
            <w:tcBorders>
              <w:tl2br w:val="nil"/>
              <w:tr2bl w:val="nil"/>
            </w:tcBorders>
            <w:noWrap w:val="0"/>
            <w:vAlign w:val="center"/>
          </w:tcPr>
          <w:p>
            <w:pPr>
              <w:spacing w:line="480" w:lineRule="exact"/>
              <w:jc w:val="center"/>
              <w:rPr>
                <w:rFonts w:hint="default" w:ascii="仿宋_GB2312" w:hAnsi="仿宋_GB2312" w:eastAsia="仿宋_GB2312" w:cs="仿宋_GB2312"/>
                <w:color w:val="000000"/>
                <w:sz w:val="18"/>
                <w:szCs w:val="18"/>
                <w:lang w:val="en-US" w:eastAsia="zh-CN"/>
              </w:rPr>
            </w:pPr>
            <w:r>
              <w:rPr>
                <w:rFonts w:hint="default" w:ascii="仿宋_GB2312" w:hAnsi="仿宋_GB2312" w:eastAsia="仿宋_GB2312" w:cs="仿宋_GB2312"/>
                <w:color w:val="000000"/>
                <w:sz w:val="18"/>
                <w:szCs w:val="18"/>
                <w:lang w:val="en-US" w:eastAsia="zh-CN"/>
              </w:rPr>
              <w:t>财产范围包括估价对象的房屋所有权（含未确权房屋</w:t>
            </w:r>
            <w:r>
              <w:rPr>
                <w:rFonts w:hint="eastAsia" w:ascii="仿宋_GB2312" w:hAnsi="仿宋_GB2312" w:eastAsia="仿宋_GB2312" w:cs="仿宋_GB2312"/>
                <w:color w:val="000000"/>
                <w:sz w:val="18"/>
                <w:szCs w:val="18"/>
                <w:lang w:val="en-US" w:eastAsia="zh-CN"/>
              </w:rPr>
              <w:t>、阳光房</w:t>
            </w:r>
            <w:r>
              <w:rPr>
                <w:rFonts w:hint="default" w:ascii="仿宋_GB2312" w:hAnsi="仿宋_GB2312" w:eastAsia="仿宋_GB2312" w:cs="仿宋_GB2312"/>
                <w:color w:val="000000"/>
                <w:sz w:val="18"/>
                <w:szCs w:val="18"/>
                <w:lang w:val="en-US" w:eastAsia="zh-CN"/>
              </w:rPr>
              <w:t>）、集体土地使用权、室内装饰装修、估价对象可享有的配套设施及基础设施等地上附着物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1077" w:type="dxa"/>
            <w:tcBorders>
              <w:tl2br w:val="nil"/>
              <w:tr2bl w:val="nil"/>
            </w:tcBorders>
            <w:noWrap w:val="0"/>
            <w:vAlign w:val="center"/>
          </w:tcPr>
          <w:p>
            <w:pPr>
              <w:spacing w:line="32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宅基地使用权</w:t>
            </w:r>
          </w:p>
        </w:tc>
        <w:tc>
          <w:tcPr>
            <w:tcW w:w="1964"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70.90</w:t>
            </w:r>
          </w:p>
        </w:tc>
        <w:tc>
          <w:tcPr>
            <w:tcW w:w="1255"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250.00</w:t>
            </w:r>
          </w:p>
        </w:tc>
        <w:tc>
          <w:tcPr>
            <w:tcW w:w="1329"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1.77</w:t>
            </w:r>
          </w:p>
        </w:tc>
        <w:tc>
          <w:tcPr>
            <w:tcW w:w="2333" w:type="dxa"/>
            <w:vMerge w:val="continue"/>
            <w:tcBorders>
              <w:tl2br w:val="nil"/>
              <w:tr2bl w:val="nil"/>
            </w:tcBorders>
            <w:noWrap w:val="0"/>
            <w:vAlign w:val="center"/>
          </w:tcPr>
          <w:p>
            <w:pPr>
              <w:spacing w:line="480" w:lineRule="exact"/>
              <w:jc w:val="center"/>
              <w:rPr>
                <w:rFonts w:hint="eastAsia" w:ascii="仿宋_GB2312" w:hAnsi="仿宋_GB2312" w:eastAsia="仿宋_GB2312" w:cs="仿宋_GB2312"/>
                <w:color w:val="00000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49" w:type="dxa"/>
            <w:gridSpan w:val="2"/>
            <w:tcBorders>
              <w:tl2br w:val="nil"/>
              <w:tr2bl w:val="nil"/>
            </w:tcBorders>
            <w:noWrap w:val="0"/>
            <w:vAlign w:val="center"/>
          </w:tcPr>
          <w:p>
            <w:pPr>
              <w:spacing w:line="4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合计</w:t>
            </w:r>
          </w:p>
        </w:tc>
        <w:tc>
          <w:tcPr>
            <w:tcW w:w="1964" w:type="dxa"/>
            <w:tcBorders>
              <w:tl2br w:val="nil"/>
              <w:tr2bl w:val="nil"/>
            </w:tcBorders>
            <w:noWrap w:val="0"/>
            <w:vAlign w:val="center"/>
          </w:tcPr>
          <w:p>
            <w:pPr>
              <w:jc w:val="center"/>
              <w:rPr>
                <w:rFonts w:hint="default" w:ascii="仿宋_GB2312" w:hAnsi="仿宋_GB2312" w:eastAsia="仿宋_GB2312" w:cs="仿宋_GB2312"/>
                <w:b/>
                <w:bCs/>
                <w:color w:val="000000"/>
                <w:sz w:val="24"/>
                <w:szCs w:val="24"/>
                <w:lang w:val="en-US" w:eastAsia="zh-CN"/>
              </w:rPr>
            </w:pPr>
          </w:p>
        </w:tc>
        <w:tc>
          <w:tcPr>
            <w:tcW w:w="1255" w:type="dxa"/>
            <w:tcBorders>
              <w:tl2br w:val="nil"/>
              <w:tr2bl w:val="nil"/>
            </w:tcBorders>
            <w:noWrap w:val="0"/>
            <w:vAlign w:val="center"/>
          </w:tcPr>
          <w:p>
            <w:pPr>
              <w:jc w:val="center"/>
              <w:rPr>
                <w:rFonts w:hint="eastAsia" w:ascii="仿宋_GB2312" w:hAnsi="仿宋_GB2312" w:eastAsia="仿宋_GB2312" w:cs="仿宋_GB2312"/>
                <w:b/>
                <w:bCs/>
                <w:color w:val="000000"/>
                <w:sz w:val="24"/>
                <w:szCs w:val="24"/>
                <w:lang w:val="en-US" w:eastAsia="zh-CN"/>
              </w:rPr>
            </w:pPr>
          </w:p>
        </w:tc>
        <w:tc>
          <w:tcPr>
            <w:tcW w:w="1329"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22.41</w:t>
            </w:r>
          </w:p>
        </w:tc>
        <w:tc>
          <w:tcPr>
            <w:tcW w:w="23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13" w:rightChars="-6" w:firstLine="0" w:firstLineChars="0"/>
              <w:jc w:val="center"/>
              <w:textAlignment w:val="auto"/>
              <w:outlineLvl w:val="9"/>
              <w:rPr>
                <w:rFonts w:hint="eastAsia" w:ascii="仿宋_GB2312" w:hAnsi="仿宋_GB2312" w:eastAsia="仿宋_GB2312" w:cs="仿宋_GB2312"/>
                <w:color w:val="000000"/>
                <w:sz w:val="24"/>
                <w:szCs w:val="24"/>
                <w:lang w:val="en-US" w:eastAsia="zh-CN"/>
              </w:rPr>
            </w:pPr>
          </w:p>
        </w:tc>
      </w:tr>
    </w:tbl>
    <w:p>
      <w:pPr>
        <w:spacing w:line="500" w:lineRule="exact"/>
        <w:ind w:firstLine="562" w:firstLineChars="200"/>
        <w:jc w:val="center"/>
        <w:rPr>
          <w:rFonts w:hint="eastAsia"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室内可移动物品评估结果一览表</w:t>
      </w:r>
    </w:p>
    <w:p>
      <w:pPr>
        <w:numPr>
          <w:ilvl w:val="0"/>
          <w:numId w:val="0"/>
        </w:numPr>
        <w:spacing w:line="520" w:lineRule="exact"/>
        <w:jc w:val="right"/>
        <w:outlineLvl w:val="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表</w:t>
      </w:r>
      <w:r>
        <w:rPr>
          <w:rFonts w:hint="eastAsia" w:ascii="仿宋" w:hAnsi="仿宋" w:eastAsia="仿宋" w:cs="仿宋"/>
          <w:color w:val="000000"/>
          <w:sz w:val="28"/>
          <w:szCs w:val="28"/>
          <w:lang w:val="en-US" w:eastAsia="zh-CN"/>
        </w:rPr>
        <w:t>-5</w:t>
      </w:r>
    </w:p>
    <w:p>
      <w:pPr>
        <w:numPr>
          <w:ilvl w:val="0"/>
          <w:numId w:val="0"/>
        </w:numPr>
        <w:spacing w:line="520" w:lineRule="exact"/>
        <w:jc w:val="right"/>
        <w:outlineLvl w:val="0"/>
        <w:rPr>
          <w:rFonts w:hint="eastAsia" w:ascii="仿宋" w:hAnsi="仿宋" w:eastAsia="仿宋" w:cs="仿宋"/>
          <w:color w:val="000000"/>
          <w:sz w:val="28"/>
          <w:szCs w:val="28"/>
          <w:lang w:val="en-US" w:eastAsia="zh-CN"/>
        </w:rPr>
      </w:pPr>
    </w:p>
    <w:p>
      <w:pPr>
        <w:numPr>
          <w:ilvl w:val="0"/>
          <w:numId w:val="0"/>
        </w:numPr>
        <w:spacing w:line="520" w:lineRule="exact"/>
        <w:jc w:val="right"/>
        <w:outlineLvl w:val="0"/>
        <w:rPr>
          <w:rFonts w:hint="eastAsia" w:ascii="仿宋" w:hAnsi="仿宋" w:eastAsia="仿宋" w:cs="仿宋"/>
          <w:color w:val="000000"/>
          <w:sz w:val="28"/>
          <w:szCs w:val="28"/>
          <w:lang w:val="en-US" w:eastAsia="zh-CN"/>
        </w:rPr>
      </w:pPr>
    </w:p>
    <w:p>
      <w:pPr>
        <w:numPr>
          <w:ilvl w:val="0"/>
          <w:numId w:val="0"/>
        </w:numPr>
        <w:spacing w:line="520" w:lineRule="exact"/>
        <w:jc w:val="right"/>
        <w:outlineLvl w:val="0"/>
        <w:rPr>
          <w:rFonts w:hint="eastAsia" w:ascii="仿宋" w:hAnsi="仿宋" w:eastAsia="仿宋" w:cs="仿宋"/>
          <w:color w:val="000000"/>
          <w:sz w:val="28"/>
          <w:szCs w:val="28"/>
          <w:lang w:val="en-US" w:eastAsia="zh-CN"/>
        </w:rPr>
      </w:pPr>
    </w:p>
    <w:tbl>
      <w:tblPr>
        <w:tblStyle w:val="6"/>
        <w:tblpPr w:leftFromText="180" w:rightFromText="180" w:vertAnchor="text" w:horzAnchor="page" w:tblpXSpec="center" w:tblpY="515"/>
        <w:tblOverlap w:val="never"/>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432"/>
        <w:gridCol w:w="709"/>
        <w:gridCol w:w="737"/>
        <w:gridCol w:w="736"/>
        <w:gridCol w:w="1909"/>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名称</w:t>
            </w:r>
          </w:p>
        </w:tc>
        <w:tc>
          <w:tcPr>
            <w:tcW w:w="709"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品牌</w:t>
            </w:r>
          </w:p>
        </w:tc>
        <w:tc>
          <w:tcPr>
            <w:tcW w:w="73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736"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1909"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评估总价（万元）</w:t>
            </w:r>
          </w:p>
        </w:tc>
        <w:tc>
          <w:tcPr>
            <w:tcW w:w="204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桌子</w:t>
            </w:r>
          </w:p>
        </w:tc>
        <w:tc>
          <w:tcPr>
            <w:tcW w:w="709"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73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w:t>
            </w:r>
          </w:p>
        </w:tc>
        <w:tc>
          <w:tcPr>
            <w:tcW w:w="736"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张</w:t>
            </w:r>
          </w:p>
        </w:tc>
        <w:tc>
          <w:tcPr>
            <w:tcW w:w="1909" w:type="dxa"/>
            <w:vMerge w:val="restart"/>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0.30</w:t>
            </w:r>
          </w:p>
        </w:tc>
        <w:tc>
          <w:tcPr>
            <w:tcW w:w="2044" w:type="dxa"/>
            <w:noWrap/>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eastAsia="zh-CN"/>
              </w:rPr>
              <w:t>含</w:t>
            </w:r>
            <w:r>
              <w:rPr>
                <w:rFonts w:hint="eastAsia" w:ascii="仿宋" w:hAnsi="仿宋" w:eastAsia="仿宋" w:cs="仿宋"/>
                <w:i w:val="0"/>
                <w:iCs w:val="0"/>
                <w:color w:val="000000"/>
                <w:sz w:val="24"/>
                <w:szCs w:val="24"/>
                <w:u w:val="none"/>
                <w:lang w:val="en-US" w:eastAsia="zh-CN"/>
              </w:rPr>
              <w:t>4张椅子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电视柜</w:t>
            </w:r>
          </w:p>
        </w:tc>
        <w:tc>
          <w:tcPr>
            <w:tcW w:w="709" w:type="dxa"/>
            <w:noWrap/>
            <w:vAlign w:val="center"/>
          </w:tcPr>
          <w:p>
            <w:pPr>
              <w:jc w:val="center"/>
              <w:rPr>
                <w:rFonts w:hint="eastAsia" w:ascii="仿宋" w:hAnsi="仿宋" w:eastAsia="仿宋" w:cs="仿宋"/>
                <w:i w:val="0"/>
                <w:iCs w:val="0"/>
                <w:color w:val="000000"/>
                <w:sz w:val="24"/>
                <w:szCs w:val="24"/>
                <w:u w:val="none"/>
              </w:rPr>
            </w:pPr>
          </w:p>
        </w:tc>
        <w:tc>
          <w:tcPr>
            <w:tcW w:w="73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36"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909" w:type="dxa"/>
            <w:vMerge w:val="continue"/>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44" w:type="dxa"/>
            <w:noWrap/>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单人木沙发</w:t>
            </w:r>
          </w:p>
        </w:tc>
        <w:tc>
          <w:tcPr>
            <w:tcW w:w="709" w:type="dxa"/>
            <w:noWrap/>
            <w:vAlign w:val="center"/>
          </w:tcPr>
          <w:p>
            <w:pPr>
              <w:jc w:val="center"/>
              <w:rPr>
                <w:rFonts w:hint="eastAsia" w:ascii="仿宋" w:hAnsi="仿宋" w:eastAsia="仿宋" w:cs="仿宋"/>
                <w:i w:val="0"/>
                <w:iCs w:val="0"/>
                <w:color w:val="000000"/>
                <w:sz w:val="24"/>
                <w:szCs w:val="24"/>
                <w:u w:val="none"/>
              </w:rPr>
            </w:pPr>
          </w:p>
        </w:tc>
        <w:tc>
          <w:tcPr>
            <w:tcW w:w="73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w:t>
            </w:r>
          </w:p>
        </w:tc>
        <w:tc>
          <w:tcPr>
            <w:tcW w:w="736"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909" w:type="dxa"/>
            <w:vMerge w:val="continue"/>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44" w:type="dxa"/>
            <w:noWrap/>
            <w:vAlign w:val="center"/>
          </w:tcPr>
          <w:p>
            <w:pPr>
              <w:jc w:val="center"/>
              <w:rPr>
                <w:rFonts w:hint="eastAsia" w:ascii="仿宋" w:hAnsi="仿宋" w:eastAsia="仿宋" w:cs="仿宋"/>
                <w:i w:val="0"/>
                <w:iCs w:val="0"/>
                <w:color w:val="00000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茶几</w:t>
            </w:r>
          </w:p>
        </w:tc>
        <w:tc>
          <w:tcPr>
            <w:tcW w:w="709"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73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36"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909" w:type="dxa"/>
            <w:vMerge w:val="continue"/>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44" w:type="dxa"/>
            <w:noWrap/>
            <w:vAlign w:val="center"/>
          </w:tcPr>
          <w:p>
            <w:pPr>
              <w:jc w:val="center"/>
              <w:rPr>
                <w:rFonts w:hint="eastAsia" w:ascii="仿宋" w:hAnsi="仿宋" w:eastAsia="仿宋" w:cs="仿宋"/>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大床</w:t>
            </w:r>
          </w:p>
        </w:tc>
        <w:tc>
          <w:tcPr>
            <w:tcW w:w="709" w:type="dxa"/>
            <w:noWrap/>
            <w:vAlign w:val="center"/>
          </w:tcPr>
          <w:p>
            <w:pPr>
              <w:jc w:val="center"/>
              <w:rPr>
                <w:rFonts w:hint="eastAsia" w:ascii="仿宋" w:hAnsi="仿宋" w:eastAsia="仿宋" w:cs="仿宋"/>
                <w:i w:val="0"/>
                <w:iCs w:val="0"/>
                <w:color w:val="000000"/>
                <w:sz w:val="24"/>
                <w:szCs w:val="24"/>
                <w:u w:val="none"/>
              </w:rPr>
            </w:pPr>
          </w:p>
        </w:tc>
        <w:tc>
          <w:tcPr>
            <w:tcW w:w="737" w:type="dxa"/>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736"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张</w:t>
            </w:r>
          </w:p>
        </w:tc>
        <w:tc>
          <w:tcPr>
            <w:tcW w:w="1909" w:type="dxa"/>
            <w:vMerge w:val="continu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p>
        </w:tc>
        <w:tc>
          <w:tcPr>
            <w:tcW w:w="2044"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含垫子、床头柜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3"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432"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陶瓷水池</w:t>
            </w:r>
          </w:p>
        </w:tc>
        <w:tc>
          <w:tcPr>
            <w:tcW w:w="709" w:type="dxa"/>
            <w:noWrap/>
            <w:vAlign w:val="center"/>
          </w:tcPr>
          <w:p>
            <w:pPr>
              <w:jc w:val="center"/>
              <w:rPr>
                <w:rFonts w:hint="eastAsia" w:ascii="仿宋" w:hAnsi="仿宋" w:eastAsia="仿宋" w:cs="仿宋"/>
                <w:i w:val="0"/>
                <w:iCs w:val="0"/>
                <w:color w:val="000000"/>
                <w:sz w:val="24"/>
                <w:szCs w:val="24"/>
                <w:u w:val="none"/>
              </w:rPr>
            </w:pPr>
          </w:p>
        </w:tc>
        <w:tc>
          <w:tcPr>
            <w:tcW w:w="737"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w:t>
            </w:r>
          </w:p>
        </w:tc>
        <w:tc>
          <w:tcPr>
            <w:tcW w:w="736" w:type="dxa"/>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个</w:t>
            </w:r>
          </w:p>
        </w:tc>
        <w:tc>
          <w:tcPr>
            <w:tcW w:w="1909" w:type="dxa"/>
            <w:vMerge w:val="continu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p>
        </w:tc>
        <w:tc>
          <w:tcPr>
            <w:tcW w:w="2044" w:type="dxa"/>
            <w:noWrap/>
            <w:vAlign w:val="center"/>
          </w:tcPr>
          <w:p>
            <w:pPr>
              <w:jc w:val="center"/>
              <w:rPr>
                <w:rFonts w:hint="eastAsia" w:ascii="仿宋" w:hAnsi="仿宋" w:eastAsia="仿宋" w:cs="仿宋"/>
                <w:i w:val="0"/>
                <w:iCs w:val="0"/>
                <w:color w:val="000000"/>
                <w:sz w:val="24"/>
                <w:szCs w:val="24"/>
                <w:u w:val="none"/>
              </w:rPr>
            </w:pPr>
          </w:p>
        </w:tc>
      </w:tr>
    </w:tbl>
    <w:p>
      <w:pPr>
        <w:numPr>
          <w:ilvl w:val="0"/>
          <w:numId w:val="0"/>
        </w:numPr>
        <w:spacing w:line="520" w:lineRule="exact"/>
        <w:ind w:firstLine="560" w:firstLineChars="200"/>
        <w:outlineLvl w:val="0"/>
        <w:rPr>
          <w:rFonts w:hint="eastAsia" w:ascii="黑体" w:eastAsia="黑体"/>
          <w:color w:val="000000"/>
          <w:sz w:val="28"/>
          <w:szCs w:val="28"/>
          <w:lang w:eastAsia="zh-CN"/>
        </w:rPr>
      </w:pPr>
    </w:p>
    <w:p>
      <w:pPr>
        <w:numPr>
          <w:ilvl w:val="0"/>
          <w:numId w:val="0"/>
        </w:numPr>
        <w:spacing w:line="520" w:lineRule="exact"/>
        <w:ind w:firstLine="560" w:firstLineChars="200"/>
        <w:outlineLvl w:val="0"/>
        <w:rPr>
          <w:rFonts w:hint="eastAsia" w:ascii="黑体" w:eastAsia="黑体"/>
          <w:color w:val="000000"/>
          <w:sz w:val="28"/>
          <w:szCs w:val="28"/>
        </w:rPr>
      </w:pPr>
      <w:r>
        <w:rPr>
          <w:rFonts w:hint="eastAsia" w:ascii="黑体" w:eastAsia="黑体"/>
          <w:color w:val="000000"/>
          <w:sz w:val="28"/>
          <w:szCs w:val="28"/>
          <w:lang w:eastAsia="zh-CN"/>
        </w:rPr>
        <w:t>十一、</w:t>
      </w:r>
      <w:r>
        <w:rPr>
          <w:rFonts w:hint="eastAsia" w:ascii="黑体" w:eastAsia="黑体"/>
          <w:color w:val="000000"/>
          <w:sz w:val="28"/>
          <w:szCs w:val="28"/>
        </w:rPr>
        <w:t>注册房地产估价师</w:t>
      </w:r>
      <w:r>
        <w:rPr>
          <w:rFonts w:ascii="黑体" w:eastAsia="黑体"/>
          <w:color w:val="000000"/>
          <w:sz w:val="28"/>
          <w:szCs w:val="28"/>
        </w:rPr>
        <w:t>：</w:t>
      </w:r>
      <w:bookmarkEnd w:id="57"/>
      <w:bookmarkEnd w:id="58"/>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2256"/>
        <w:gridCol w:w="3029"/>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exact"/>
          <w:jc w:val="center"/>
        </w:trPr>
        <w:tc>
          <w:tcPr>
            <w:tcW w:w="1330" w:type="dxa"/>
            <w:noWrap w:val="0"/>
            <w:vAlign w:val="center"/>
          </w:tcPr>
          <w:p>
            <w:pPr>
              <w:spacing w:line="500" w:lineRule="exact"/>
              <w:jc w:val="center"/>
              <w:rPr>
                <w:rFonts w:hAnsi="仿宋" w:eastAsia="仿宋"/>
                <w:sz w:val="28"/>
                <w:szCs w:val="28"/>
              </w:rPr>
            </w:pPr>
            <w:r>
              <w:rPr>
                <w:rFonts w:hint="eastAsia" w:hAnsi="仿宋" w:eastAsia="仿宋"/>
                <w:sz w:val="28"/>
                <w:szCs w:val="28"/>
              </w:rPr>
              <w:t>姓名</w:t>
            </w:r>
          </w:p>
        </w:tc>
        <w:tc>
          <w:tcPr>
            <w:tcW w:w="2256" w:type="dxa"/>
            <w:noWrap w:val="0"/>
            <w:vAlign w:val="center"/>
          </w:tcPr>
          <w:p>
            <w:pPr>
              <w:spacing w:line="500" w:lineRule="exact"/>
              <w:jc w:val="center"/>
              <w:rPr>
                <w:rFonts w:hAnsi="仿宋" w:eastAsia="仿宋"/>
                <w:sz w:val="28"/>
                <w:szCs w:val="28"/>
              </w:rPr>
            </w:pPr>
            <w:r>
              <w:rPr>
                <w:rFonts w:hint="eastAsia" w:hAnsi="仿宋" w:eastAsia="仿宋"/>
                <w:sz w:val="28"/>
                <w:szCs w:val="28"/>
              </w:rPr>
              <w:t>注册号</w:t>
            </w:r>
          </w:p>
        </w:tc>
        <w:tc>
          <w:tcPr>
            <w:tcW w:w="3029" w:type="dxa"/>
            <w:noWrap w:val="0"/>
            <w:vAlign w:val="center"/>
          </w:tcPr>
          <w:p>
            <w:pPr>
              <w:spacing w:line="500" w:lineRule="exact"/>
              <w:jc w:val="center"/>
              <w:rPr>
                <w:rFonts w:hAnsi="仿宋" w:eastAsia="仿宋"/>
                <w:sz w:val="28"/>
                <w:szCs w:val="28"/>
              </w:rPr>
            </w:pPr>
            <w:r>
              <w:rPr>
                <w:rFonts w:hint="eastAsia" w:hAnsi="仿宋" w:eastAsia="仿宋"/>
                <w:sz w:val="28"/>
                <w:szCs w:val="28"/>
              </w:rPr>
              <w:t>签名</w:t>
            </w:r>
          </w:p>
        </w:tc>
        <w:tc>
          <w:tcPr>
            <w:tcW w:w="1843" w:type="dxa"/>
            <w:noWrap w:val="0"/>
            <w:vAlign w:val="center"/>
          </w:tcPr>
          <w:p>
            <w:pPr>
              <w:spacing w:line="500" w:lineRule="exact"/>
              <w:jc w:val="center"/>
              <w:rPr>
                <w:rFonts w:hAnsi="仿宋" w:eastAsia="仿宋"/>
                <w:sz w:val="28"/>
                <w:szCs w:val="28"/>
              </w:rPr>
            </w:pPr>
            <w:r>
              <w:rPr>
                <w:rFonts w:hint="eastAsia" w:hAnsi="仿宋" w:eastAsia="仿宋"/>
                <w:sz w:val="28"/>
                <w:szCs w:val="28"/>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exact"/>
          <w:jc w:val="center"/>
        </w:trPr>
        <w:tc>
          <w:tcPr>
            <w:tcW w:w="1330" w:type="dxa"/>
            <w:noWrap w:val="0"/>
            <w:vAlign w:val="center"/>
          </w:tcPr>
          <w:p>
            <w:pPr>
              <w:spacing w:line="500" w:lineRule="exact"/>
              <w:jc w:val="center"/>
              <w:rPr>
                <w:rFonts w:hint="eastAsia" w:hAnsi="仿宋" w:eastAsia="仿宋"/>
                <w:sz w:val="28"/>
                <w:szCs w:val="28"/>
                <w:lang w:eastAsia="zh-CN"/>
              </w:rPr>
            </w:pPr>
            <w:r>
              <w:rPr>
                <w:rFonts w:hint="eastAsia" w:hAnsi="仿宋" w:eastAsia="仿宋"/>
                <w:sz w:val="28"/>
                <w:szCs w:val="28"/>
                <w:lang w:eastAsia="zh-CN"/>
              </w:rPr>
              <w:t>梁</w:t>
            </w:r>
            <w:r>
              <w:rPr>
                <w:rFonts w:hint="eastAsia" w:hAnsi="仿宋" w:eastAsia="仿宋"/>
                <w:sz w:val="28"/>
                <w:szCs w:val="28"/>
                <w:lang w:val="en-US" w:eastAsia="zh-CN"/>
              </w:rPr>
              <w:t xml:space="preserve">  </w:t>
            </w:r>
            <w:r>
              <w:rPr>
                <w:rFonts w:hint="eastAsia" w:hAnsi="仿宋" w:eastAsia="仿宋"/>
                <w:sz w:val="28"/>
                <w:szCs w:val="28"/>
                <w:lang w:eastAsia="zh-CN"/>
              </w:rPr>
              <w:t>杰</w:t>
            </w:r>
          </w:p>
        </w:tc>
        <w:tc>
          <w:tcPr>
            <w:tcW w:w="2256" w:type="dxa"/>
            <w:noWrap w:val="0"/>
            <w:vAlign w:val="center"/>
          </w:tcPr>
          <w:p>
            <w:pPr>
              <w:spacing w:line="500" w:lineRule="exact"/>
              <w:jc w:val="center"/>
              <w:rPr>
                <w:rFonts w:hint="eastAsia" w:hAnsi="仿宋" w:eastAsia="仿宋"/>
                <w:sz w:val="28"/>
                <w:szCs w:val="28"/>
                <w:lang w:val="en-US" w:eastAsia="zh-CN"/>
              </w:rPr>
            </w:pPr>
            <w:r>
              <w:rPr>
                <w:rFonts w:eastAsia="仿宋"/>
                <w:sz w:val="28"/>
                <w:szCs w:val="28"/>
              </w:rPr>
              <w:t>322</w:t>
            </w:r>
            <w:r>
              <w:rPr>
                <w:rFonts w:hint="eastAsia" w:eastAsia="仿宋"/>
                <w:sz w:val="28"/>
                <w:szCs w:val="28"/>
                <w:lang w:val="en-US" w:eastAsia="zh-CN"/>
              </w:rPr>
              <w:t>0180226</w:t>
            </w:r>
          </w:p>
        </w:tc>
        <w:tc>
          <w:tcPr>
            <w:tcW w:w="3029" w:type="dxa"/>
            <w:noWrap w:val="0"/>
            <w:vAlign w:val="top"/>
          </w:tcPr>
          <w:p>
            <w:pPr>
              <w:spacing w:line="500" w:lineRule="exact"/>
              <w:rPr>
                <w:rFonts w:hAnsi="仿宋" w:eastAsia="仿宋"/>
                <w:sz w:val="28"/>
                <w:szCs w:val="28"/>
              </w:rPr>
            </w:pPr>
          </w:p>
        </w:tc>
        <w:tc>
          <w:tcPr>
            <w:tcW w:w="1843" w:type="dxa"/>
            <w:noWrap w:val="0"/>
            <w:vAlign w:val="center"/>
          </w:tcPr>
          <w:p>
            <w:pPr>
              <w:spacing w:line="500" w:lineRule="exact"/>
              <w:jc w:val="center"/>
              <w:rPr>
                <w:rFonts w:hint="default" w:hAnsi="仿宋" w:eastAsia="仿宋"/>
                <w:color w:val="auto"/>
                <w:sz w:val="28"/>
                <w:szCs w:val="28"/>
                <w:highlight w:val="none"/>
                <w:lang w:val="en-US" w:eastAsia="zh-CN"/>
              </w:rPr>
            </w:pPr>
            <w:r>
              <w:rPr>
                <w:rFonts w:hint="eastAsia" w:hAnsi="仿宋" w:eastAsia="仿宋"/>
                <w:color w:val="auto"/>
                <w:sz w:val="28"/>
                <w:szCs w:val="28"/>
                <w:highlight w:val="none"/>
                <w:lang w:val="en-US" w:eastAsia="zh-CN"/>
              </w:rPr>
              <w:t>2022.09.06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1" w:hRule="exact"/>
          <w:jc w:val="center"/>
        </w:trPr>
        <w:tc>
          <w:tcPr>
            <w:tcW w:w="1330" w:type="dxa"/>
            <w:noWrap w:val="0"/>
            <w:vAlign w:val="center"/>
          </w:tcPr>
          <w:p>
            <w:pPr>
              <w:spacing w:line="500" w:lineRule="exact"/>
              <w:jc w:val="center"/>
              <w:rPr>
                <w:rFonts w:hint="eastAsia" w:hAnsi="仿宋" w:eastAsia="仿宋"/>
                <w:sz w:val="28"/>
                <w:szCs w:val="28"/>
              </w:rPr>
            </w:pPr>
            <w:r>
              <w:rPr>
                <w:rFonts w:hint="eastAsia" w:hAnsi="仿宋" w:eastAsia="仿宋"/>
                <w:sz w:val="28"/>
                <w:szCs w:val="28"/>
                <w:lang w:eastAsia="zh-CN"/>
              </w:rPr>
              <w:t>苗玉龙</w:t>
            </w:r>
          </w:p>
        </w:tc>
        <w:tc>
          <w:tcPr>
            <w:tcW w:w="2256" w:type="dxa"/>
            <w:noWrap w:val="0"/>
            <w:vAlign w:val="center"/>
          </w:tcPr>
          <w:p>
            <w:pPr>
              <w:spacing w:line="500" w:lineRule="exact"/>
              <w:jc w:val="center"/>
              <w:rPr>
                <w:rFonts w:hint="eastAsia" w:hAnsi="仿宋" w:eastAsia="仿宋"/>
                <w:sz w:val="28"/>
                <w:szCs w:val="28"/>
              </w:rPr>
            </w:pPr>
            <w:r>
              <w:rPr>
                <w:rFonts w:eastAsia="仿宋"/>
                <w:sz w:val="28"/>
                <w:szCs w:val="28"/>
              </w:rPr>
              <w:t>32201</w:t>
            </w:r>
            <w:r>
              <w:rPr>
                <w:rFonts w:hint="eastAsia" w:eastAsia="仿宋"/>
                <w:sz w:val="28"/>
                <w:szCs w:val="28"/>
                <w:lang w:val="en-US" w:eastAsia="zh-CN"/>
              </w:rPr>
              <w:t>7</w:t>
            </w:r>
            <w:r>
              <w:rPr>
                <w:rFonts w:hint="eastAsia" w:eastAsia="仿宋"/>
                <w:sz w:val="28"/>
                <w:szCs w:val="28"/>
              </w:rPr>
              <w:t>01</w:t>
            </w:r>
            <w:r>
              <w:rPr>
                <w:rFonts w:hint="eastAsia" w:eastAsia="仿宋"/>
                <w:sz w:val="28"/>
                <w:szCs w:val="28"/>
                <w:lang w:val="en-US" w:eastAsia="zh-CN"/>
              </w:rPr>
              <w:t>20</w:t>
            </w:r>
          </w:p>
        </w:tc>
        <w:tc>
          <w:tcPr>
            <w:tcW w:w="3029" w:type="dxa"/>
            <w:noWrap w:val="0"/>
            <w:vAlign w:val="top"/>
          </w:tcPr>
          <w:p>
            <w:pPr>
              <w:spacing w:line="500" w:lineRule="exact"/>
              <w:rPr>
                <w:rFonts w:hAnsi="仿宋" w:eastAsia="仿宋"/>
                <w:sz w:val="28"/>
                <w:szCs w:val="28"/>
              </w:rPr>
            </w:pPr>
          </w:p>
        </w:tc>
        <w:tc>
          <w:tcPr>
            <w:tcW w:w="1843" w:type="dxa"/>
            <w:noWrap w:val="0"/>
            <w:vAlign w:val="center"/>
          </w:tcPr>
          <w:p>
            <w:pPr>
              <w:spacing w:line="500" w:lineRule="exact"/>
              <w:jc w:val="center"/>
              <w:rPr>
                <w:rFonts w:hint="default" w:hAnsi="仿宋" w:eastAsia="仿宋"/>
                <w:color w:val="auto"/>
                <w:sz w:val="28"/>
                <w:szCs w:val="28"/>
                <w:highlight w:val="none"/>
                <w:lang w:val="en-US"/>
              </w:rPr>
            </w:pPr>
            <w:r>
              <w:rPr>
                <w:rFonts w:hint="eastAsia" w:hAnsi="仿宋" w:eastAsia="仿宋"/>
                <w:color w:val="auto"/>
                <w:sz w:val="28"/>
                <w:szCs w:val="28"/>
                <w:highlight w:val="none"/>
                <w:lang w:val="en-US" w:eastAsia="zh-CN"/>
              </w:rPr>
              <w:t>2022.09.06</w:t>
            </w:r>
          </w:p>
        </w:tc>
      </w:tr>
    </w:tbl>
    <w:p>
      <w:pPr>
        <w:spacing w:line="580" w:lineRule="exact"/>
        <w:ind w:firstLine="560" w:firstLineChars="200"/>
        <w:outlineLvl w:val="0"/>
        <w:rPr>
          <w:rFonts w:hint="eastAsia" w:eastAsia="仿宋"/>
          <w:sz w:val="28"/>
          <w:szCs w:val="28"/>
          <w:lang w:eastAsia="zh-CN"/>
        </w:rPr>
      </w:pPr>
      <w:bookmarkStart w:id="59" w:name="_Toc29539"/>
      <w:bookmarkStart w:id="60" w:name="_Toc20912"/>
      <w:r>
        <w:rPr>
          <w:rFonts w:eastAsia="黑体"/>
          <w:sz w:val="28"/>
          <w:szCs w:val="28"/>
        </w:rPr>
        <w:t>十二、</w:t>
      </w:r>
      <w:r>
        <w:rPr>
          <w:rFonts w:hint="eastAsia" w:ascii="黑体" w:hAnsi="黑体" w:eastAsia="黑体"/>
          <w:sz w:val="28"/>
          <w:szCs w:val="28"/>
        </w:rPr>
        <w:t>实地查勘期</w:t>
      </w:r>
      <w:r>
        <w:rPr>
          <w:rFonts w:eastAsia="黑体"/>
          <w:sz w:val="28"/>
          <w:szCs w:val="28"/>
        </w:rPr>
        <w:t>：</w:t>
      </w:r>
      <w:bookmarkEnd w:id="59"/>
      <w:bookmarkEnd w:id="60"/>
      <w:r>
        <w:rPr>
          <w:rFonts w:hint="eastAsia" w:eastAsia="仿宋"/>
          <w:sz w:val="28"/>
          <w:szCs w:val="28"/>
          <w:lang w:eastAsia="zh-CN"/>
        </w:rPr>
        <w:t>2022年08月18日</w:t>
      </w:r>
      <w:r>
        <w:rPr>
          <w:rFonts w:hAnsi="仿宋" w:eastAsia="仿宋"/>
          <w:sz w:val="28"/>
          <w:szCs w:val="28"/>
        </w:rPr>
        <w:t>至</w:t>
      </w:r>
      <w:r>
        <w:rPr>
          <w:rFonts w:hint="eastAsia" w:hAnsi="仿宋" w:eastAsia="仿宋"/>
          <w:sz w:val="28"/>
          <w:szCs w:val="28"/>
          <w:lang w:eastAsia="zh-CN"/>
        </w:rPr>
        <w:t>2022年08月18日</w:t>
      </w:r>
    </w:p>
    <w:p>
      <w:pPr>
        <w:spacing w:line="580" w:lineRule="exact"/>
        <w:ind w:firstLine="560" w:firstLineChars="200"/>
        <w:outlineLvl w:val="0"/>
        <w:rPr>
          <w:rFonts w:hint="eastAsia" w:eastAsia="仿宋"/>
          <w:color w:val="000000"/>
          <w:sz w:val="28"/>
          <w:szCs w:val="28"/>
          <w:lang w:eastAsia="zh-CN"/>
        </w:rPr>
      </w:pPr>
      <w:bookmarkStart w:id="61" w:name="_Toc15627"/>
      <w:bookmarkStart w:id="62" w:name="_Toc5313"/>
      <w:r>
        <w:rPr>
          <w:rFonts w:eastAsia="黑体"/>
          <w:sz w:val="28"/>
          <w:szCs w:val="28"/>
        </w:rPr>
        <w:t>十三、</w:t>
      </w:r>
      <w:r>
        <w:rPr>
          <w:rFonts w:ascii="黑体" w:hAnsi="黑体" w:eastAsia="黑体"/>
          <w:sz w:val="28"/>
          <w:szCs w:val="28"/>
        </w:rPr>
        <w:t>估价作业期：</w:t>
      </w:r>
      <w:r>
        <w:rPr>
          <w:rFonts w:hint="eastAsia" w:eastAsia="仿宋"/>
          <w:sz w:val="28"/>
          <w:szCs w:val="28"/>
          <w:lang w:eastAsia="zh-CN"/>
        </w:rPr>
        <w:t>2022年08月18日</w:t>
      </w:r>
      <w:r>
        <w:rPr>
          <w:rFonts w:hAnsi="仿宋" w:eastAsia="仿宋"/>
          <w:sz w:val="28"/>
          <w:szCs w:val="28"/>
        </w:rPr>
        <w:t>至</w:t>
      </w:r>
      <w:bookmarkEnd w:id="61"/>
      <w:bookmarkEnd w:id="62"/>
      <w:r>
        <w:rPr>
          <w:rFonts w:hint="eastAsia" w:hAnsi="仿宋" w:eastAsia="仿宋"/>
          <w:sz w:val="28"/>
          <w:szCs w:val="28"/>
          <w:lang w:eastAsia="zh-CN"/>
        </w:rPr>
        <w:t>2022年</w:t>
      </w:r>
      <w:r>
        <w:rPr>
          <w:rFonts w:hint="eastAsia" w:hAnsi="仿宋" w:eastAsia="仿宋"/>
          <w:sz w:val="28"/>
          <w:szCs w:val="28"/>
          <w:lang w:val="en-US" w:eastAsia="zh-CN"/>
        </w:rPr>
        <w:t>0</w:t>
      </w:r>
      <w:r>
        <w:rPr>
          <w:rFonts w:hint="eastAsia" w:hAnsi="仿宋" w:eastAsia="仿宋"/>
          <w:sz w:val="28"/>
          <w:szCs w:val="28"/>
          <w:lang w:eastAsia="zh-CN"/>
        </w:rPr>
        <w:t>9月</w:t>
      </w:r>
      <w:r>
        <w:rPr>
          <w:rFonts w:hint="eastAsia" w:hAnsi="仿宋" w:eastAsia="仿宋"/>
          <w:sz w:val="28"/>
          <w:szCs w:val="28"/>
          <w:lang w:val="en-US" w:eastAsia="zh-CN"/>
        </w:rPr>
        <w:t>06</w:t>
      </w:r>
      <w:r>
        <w:rPr>
          <w:rFonts w:hint="eastAsia" w:hAnsi="仿宋" w:eastAsia="仿宋"/>
          <w:sz w:val="28"/>
          <w:szCs w:val="28"/>
          <w:lang w:eastAsia="zh-CN"/>
        </w:rPr>
        <w:t>日</w:t>
      </w:r>
    </w:p>
    <w:p>
      <w:bookmarkStart w:id="63" w:name="_GoBack"/>
      <w:bookmarkEnd w:id="63"/>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1"/>
      </w:pBdr>
      <w:rPr>
        <w:rFonts w:hint="eastAsia"/>
      </w:rPr>
    </w:pPr>
  </w:p>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i/>
                            </w:rPr>
                            <w:t>JIANGSU</w:t>
                          </w:r>
                          <w:r>
                            <w:rPr>
                              <w:i/>
                            </w:rPr>
                            <w:t xml:space="preserve">  WANFANGYUAN  </w:t>
                          </w:r>
                          <w:r>
                            <w:rPr>
                              <w:rFonts w:hint="eastAsia"/>
                              <w:i/>
                            </w:rPr>
                            <w:t>TUDI</w:t>
                          </w:r>
                          <w:r>
                            <w:rPr>
                              <w:i/>
                            </w:rPr>
                            <w:t>FANGDICHAN   PINGGUCEHUI</w:t>
                          </w:r>
                          <w:r>
                            <w:rPr>
                              <w:rFonts w:hint="eastAsia"/>
                              <w:i/>
                            </w:rPr>
                            <w:t>ZIXUN</w:t>
                          </w:r>
                          <w:r>
                            <w:rPr>
                              <w:i/>
                            </w:rPr>
                            <w:t xml:space="preserve">   YOUXIANGONGSI</w:t>
                          </w:r>
                          <w:r>
                            <w:tab/>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v:imagedata o:title=""/>
              <o:lock v:ext="edit" aspectratio="f"/>
              <v:textbox inset="0mm,0mm,0mm,0mm" style="mso-fit-shape-to-text:t;">
                <w:txbxContent>
                  <w:p>
                    <w:pPr>
                      <w:pStyle w:val="2"/>
                    </w:pPr>
                    <w:r>
                      <w:rPr>
                        <w:rFonts w:hint="eastAsia"/>
                        <w:i/>
                      </w:rPr>
                      <w:t>JIANGSU</w:t>
                    </w:r>
                    <w:r>
                      <w:rPr>
                        <w:i/>
                      </w:rPr>
                      <w:t xml:space="preserve">  WANFANGYUAN  </w:t>
                    </w:r>
                    <w:r>
                      <w:rPr>
                        <w:rFonts w:hint="eastAsia"/>
                        <w:i/>
                      </w:rPr>
                      <w:t>TUDI</w:t>
                    </w:r>
                    <w:r>
                      <w:rPr>
                        <w:i/>
                      </w:rPr>
                      <w:t>FANGDICHAN   PINGGUCEHUI</w:t>
                    </w:r>
                    <w:r>
                      <w:rPr>
                        <w:rFonts w:hint="eastAsia"/>
                        <w:i/>
                      </w:rPr>
                      <w:t>ZIXUN</w:t>
                    </w:r>
                    <w:r>
                      <w:rPr>
                        <w:i/>
                      </w:rPr>
                      <w:t xml:space="preserve">   YOUXIANGONGSI</w:t>
                    </w:r>
                    <w:r>
                      <w:tab/>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1"/>
      </w:pBdr>
      <w:rPr>
        <w:rFonts w:hint="eastAsia"/>
      </w:rPr>
    </w:pPr>
  </w:p>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i/>
                            </w:rPr>
                            <w:t>JIANGSU</w:t>
                          </w:r>
                          <w:r>
                            <w:rPr>
                              <w:i/>
                            </w:rPr>
                            <w:t xml:space="preserve">  WANFANGYUAN  </w:t>
                          </w:r>
                          <w:r>
                            <w:rPr>
                              <w:rFonts w:hint="eastAsia"/>
                              <w:i/>
                            </w:rPr>
                            <w:t>TUDI</w:t>
                          </w:r>
                          <w:r>
                            <w:rPr>
                              <w:i/>
                            </w:rPr>
                            <w:t>FANGDICHAN   PINGGUCEHUI</w:t>
                          </w:r>
                          <w:r>
                            <w:rPr>
                              <w:rFonts w:hint="eastAsia"/>
                              <w:i/>
                            </w:rPr>
                            <w:t>ZIXUN</w:t>
                          </w:r>
                          <w:r>
                            <w:rPr>
                              <w:i/>
                            </w:rPr>
                            <w:t xml:space="preserve">   YOUXIANGONGSI</w:t>
                          </w:r>
                          <w:r>
                            <w:tab/>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pPr>
                    <w:r>
                      <w:rPr>
                        <w:rFonts w:hint="eastAsia"/>
                        <w:i/>
                      </w:rPr>
                      <w:t>JIANGSU</w:t>
                    </w:r>
                    <w:r>
                      <w:rPr>
                        <w:i/>
                      </w:rPr>
                      <w:t xml:space="preserve">  WANFANGYUAN  </w:t>
                    </w:r>
                    <w:r>
                      <w:rPr>
                        <w:rFonts w:hint="eastAsia"/>
                        <w:i/>
                      </w:rPr>
                      <w:t>TUDI</w:t>
                    </w:r>
                    <w:r>
                      <w:rPr>
                        <w:i/>
                      </w:rPr>
                      <w:t>FANGDICHAN   PINGGUCEHUI</w:t>
                    </w:r>
                    <w:r>
                      <w:rPr>
                        <w:rFonts w:hint="eastAsia"/>
                        <w:i/>
                      </w:rPr>
                      <w:t>ZIXUN</w:t>
                    </w:r>
                    <w:r>
                      <w:rPr>
                        <w:i/>
                      </w:rPr>
                      <w:t xml:space="preserve">   YOUXIANGONGSI</w:t>
                    </w:r>
                    <w:r>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1"/>
      </w:pBd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153035</wp:posOffset>
              </wp:positionV>
              <wp:extent cx="524065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40655" cy="131445"/>
                      </a:xfrm>
                      <a:prstGeom prst="rect">
                        <a:avLst/>
                      </a:prstGeom>
                      <a:noFill/>
                      <a:ln>
                        <a:noFill/>
                      </a:ln>
                    </wps:spPr>
                    <wps:txbx>
                      <w:txbxContent>
                        <w:p>
                          <w:pPr>
                            <w:pStyle w:val="2"/>
                            <w:jc w:val="center"/>
                          </w:pPr>
                          <w:r>
                            <w:rPr>
                              <w:rFonts w:hint="eastAsia"/>
                              <w:i/>
                            </w:rPr>
                            <w:t>JIANGSU</w:t>
                          </w:r>
                          <w:r>
                            <w:rPr>
                              <w:i/>
                            </w:rPr>
                            <w:t xml:space="preserve">  WANFANGYUAN  </w:t>
                          </w:r>
                          <w:r>
                            <w:rPr>
                              <w:rFonts w:hint="eastAsia"/>
                              <w:i/>
                            </w:rPr>
                            <w:t>TUDI</w:t>
                          </w:r>
                          <w:r>
                            <w:rPr>
                              <w:i/>
                            </w:rPr>
                            <w:t>FANGDICHAN   PINGGUCEHUI</w:t>
                          </w:r>
                          <w:r>
                            <w:rPr>
                              <w:rFonts w:hint="eastAsia"/>
                              <w:i/>
                            </w:rPr>
                            <w:t>ZIXUN</w:t>
                          </w:r>
                          <w:r>
                            <w:rPr>
                              <w:i/>
                            </w:rPr>
                            <w:t xml:space="preserve">   YOUXIANGONGSI</w:t>
                          </w:r>
                        </w:p>
                      </w:txbxContent>
                    </wps:txbx>
                    <wps:bodyPr lIns="0" tIns="0" rIns="0" bIns="0" upright="0"/>
                  </wps:wsp>
                </a:graphicData>
              </a:graphic>
            </wp:anchor>
          </w:drawing>
        </mc:Choice>
        <mc:Fallback>
          <w:pict>
            <v:shape id="_x0000_s1026" o:spid="_x0000_s1026" o:spt="202" type="#_x0000_t202" style="position:absolute;left:0pt;margin-left:0pt;margin-top:12.05pt;height:10.35pt;width:412.65pt;mso-position-horizontal-relative:margin;z-index:251661312;mso-width-relative:page;mso-height-relative:page;" filled="f" stroked="f" coordsize="21600,21600" o:gfxdata="UEsDBAoAAAAAAIdO4kAAAAAAAAAAAAAAAAAEAAAAZHJzL1BLAwQUAAAACACHTuJAYQkHvNYAAAAG&#10;AQAADwAAAGRycy9kb3ducmV2LnhtbE2PT0+EMBTE7yZ+h+aZeHNbEDeIPDbG6MnEyOLBY6FvgSx9&#10;Rdr947e3nvQ4mcnMb8rN2U7iSIsfHSMkKwWCuHNm5B7ho3m5yUH4oNnoyTEhfJOHTXV5UerCuBPX&#10;dNyGXsQS9oVGGEKYCyl9N5DVfuVm4ujt3GJ1iHLppVn0KZbbSaZKraXVI8eFQc/0NFC33x4swuMn&#10;18/j11v7Xu/qsWnuFb+u94jXV4l6ABHoHP7C8Isf0aGKTK07sPFiQohHAkKaJSCim6d3tyBahCzL&#10;QVal/I9f/QBQSwMEFAAAAAgAh07iQCo2irO8AQAAcgMAAA4AAABkcnMvZTJvRG9jLnhtbK1TS27b&#10;MBDdF8gdCO5jya5tFILlAIWRIEDRFkhzAJoiLQL8gUNb8gXaG3TVTfc9l8/RIWU5bbLJIhtqNDN6&#10;fO/NaHXTG00OIoBytqbTSUmJsNw1yu5q+vjt9voDJRCZbZh2VtT0KIDerK/erTpfiZlrnW5EIAhi&#10;oep8TdsYfVUUwFthGEycFxaL0gXDIr6GXdEE1iG60cWsLJdF50Ljg+MCALOboUjPiOE1gE5KxcXG&#10;8b0RNg6oQWgWURK0ygNdZ7ZSCh6/SAkiEl1TVBrziZdgvE1nsV6xaheYbxU/U2CvofBMk2HK4qUX&#10;qA2LjOyDegFlFA8OnIwT7kwxCMmOoIpp+cybh5Z5kbWg1eAvpsPbwfLPh6+BqKamS0osMzjw088f&#10;p19/Tr+/k2Wyp/NQYdeDx77Yf3Q9Ls2YB0wm1b0MJj1RD8E6mnu8mCv6SDgmF7N5uVwsKOFYm76f&#10;zueLBFM8fe0DxDvhDElBTQMOL3vKDp8gDq1jS7rMululdR6gtv8lEDNlikR9oJii2G/7s56ta44o&#10;R99btDKtxRiEMdiOwd4HtWvz3iQKCQhHkXmf1ybN+t/33PX0q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EJB7zWAAAABgEAAA8AAAAAAAAAAQAgAAAAIgAAAGRycy9kb3ducmV2LnhtbFBLAQIU&#10;ABQAAAAIAIdO4kAqNoqzvAEAAHIDAAAOAAAAAAAAAAEAIAAAACUBAABkcnMvZTJvRG9jLnhtbFBL&#10;BQYAAAAABgAGAFkBAABTBQAAAAA=&#10;">
              <v:path/>
              <v:fill on="f" focussize="0,0"/>
              <v:stroke on="f"/>
              <v:imagedata o:title=""/>
              <o:lock v:ext="edit" aspectratio="f"/>
              <v:textbox inset="0mm,0mm,0mm,0mm">
                <w:txbxContent>
                  <w:p>
                    <w:pPr>
                      <w:pStyle w:val="2"/>
                      <w:jc w:val="center"/>
                    </w:pPr>
                    <w:r>
                      <w:rPr>
                        <w:rFonts w:hint="eastAsia"/>
                        <w:i/>
                      </w:rPr>
                      <w:t>JIANGSU</w:t>
                    </w:r>
                    <w:r>
                      <w:rPr>
                        <w:i/>
                      </w:rPr>
                      <w:t xml:space="preserve">  WANFANGYUAN  </w:t>
                    </w:r>
                    <w:r>
                      <w:rPr>
                        <w:rFonts w:hint="eastAsia"/>
                        <w:i/>
                      </w:rPr>
                      <w:t>TUDI</w:t>
                    </w:r>
                    <w:r>
                      <w:rPr>
                        <w:i/>
                      </w:rPr>
                      <w:t>FANGDICHAN   PINGGUCEHUI</w:t>
                    </w:r>
                    <w:r>
                      <w:rPr>
                        <w:rFonts w:hint="eastAsia"/>
                        <w:i/>
                      </w:rPr>
                      <w:t>ZIXUN</w:t>
                    </w:r>
                    <w:r>
                      <w:rPr>
                        <w:i/>
                      </w:rPr>
                      <w:t xml:space="preserve">   YOUXIANGONGSI</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eastAsia="zh-CN"/>
      </w:rPr>
      <w:tab/>
    </w:r>
  </w:p>
  <w:p>
    <w:pPr>
      <w:pStyle w:val="2"/>
    </w:pP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drawing>
        <wp:anchor distT="0" distB="0" distL="114300" distR="114300" simplePos="0" relativeHeight="251659264" behindDoc="0" locked="0" layoutInCell="1" allowOverlap="1">
          <wp:simplePos x="0" y="0"/>
          <wp:positionH relativeFrom="column">
            <wp:posOffset>2971800</wp:posOffset>
          </wp:positionH>
          <wp:positionV relativeFrom="paragraph">
            <wp:posOffset>-22225</wp:posOffset>
          </wp:positionV>
          <wp:extent cx="1722755" cy="297180"/>
          <wp:effectExtent l="0" t="0" r="10795" b="762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722755" cy="297180"/>
                  </a:xfrm>
                  <a:prstGeom prst="rect">
                    <a:avLst/>
                  </a:prstGeom>
                  <a:noFill/>
                  <a:ln>
                    <a:noFill/>
                  </a:ln>
                </pic:spPr>
              </pic:pic>
            </a:graphicData>
          </a:graphic>
        </wp:anchor>
      </w:drawing>
    </w:r>
    <w:r>
      <w:pict>
        <v:shape id="_x0000_s2050" o:spid="_x0000_s2050" o:spt="136" type="#_x0000_t136" style="position:absolute;left:0pt;margin-left:252pt;margin-top:6.05pt;height:9.75pt;width:97.5pt;z-index:251660288;mso-width-relative:page;mso-height-relative:page;" fillcolor="#FFFFFF" filled="t" stroked="t" coordsize="21600,21600">
          <v:path/>
          <v:fill on="t" focussize="0,0"/>
          <v:stroke/>
          <v:imagedata o:title=""/>
          <o:lock v:ext="edit"/>
          <v:textpath on="t" fitshape="t" fitpath="t" trim="t" xscale="f" string="万方源房地产评估测绘" style="font-family:华文新魏;font-size:10pt;font-style:italic;v-rotate-letters:f;v-same-letter-heights:f;v-text-align:center;"/>
        </v:shape>
      </w:pic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10144"/>
    <w:multiLevelType w:val="singleLevel"/>
    <w:tmpl w:val="59310144"/>
    <w:lvl w:ilvl="0" w:tentative="0">
      <w:start w:val="1"/>
      <w:numFmt w:val="decimal"/>
      <w:suff w:val="nothing"/>
      <w:lvlText w:val="%1、"/>
      <w:lvlJc w:val="left"/>
    </w:lvl>
  </w:abstractNum>
  <w:abstractNum w:abstractNumId="1">
    <w:nsid w:val="59311DBB"/>
    <w:multiLevelType w:val="singleLevel"/>
    <w:tmpl w:val="59311DBB"/>
    <w:lvl w:ilvl="0" w:tentative="0">
      <w:start w:val="1"/>
      <w:numFmt w:val="decimal"/>
      <w:suff w:val="nothing"/>
      <w:lvlText w:val="%1、"/>
      <w:lvlJc w:val="left"/>
    </w:lvl>
  </w:abstractNum>
  <w:abstractNum w:abstractNumId="2">
    <w:nsid w:val="593133FB"/>
    <w:multiLevelType w:val="singleLevel"/>
    <w:tmpl w:val="593133FB"/>
    <w:lvl w:ilvl="0" w:tentative="0">
      <w:start w:val="4"/>
      <w:numFmt w:val="chineseCounting"/>
      <w:suff w:val="nothing"/>
      <w:lvlText w:val="%1、"/>
      <w:lvlJc w:val="left"/>
    </w:lvl>
  </w:abstractNum>
  <w:abstractNum w:abstractNumId="3">
    <w:nsid w:val="5931490F"/>
    <w:multiLevelType w:val="singleLevel"/>
    <w:tmpl w:val="5931490F"/>
    <w:lvl w:ilvl="0" w:tentative="0">
      <w:start w:val="3"/>
      <w:numFmt w:val="chineseCounting"/>
      <w:suff w:val="nothing"/>
      <w:lvlText w:val="%1、"/>
      <w:lvlJc w:val="left"/>
    </w:lvl>
  </w:abstractNum>
  <w:abstractNum w:abstractNumId="4">
    <w:nsid w:val="5931759A"/>
    <w:multiLevelType w:val="singleLevel"/>
    <w:tmpl w:val="5931759A"/>
    <w:lvl w:ilvl="0" w:tentative="0">
      <w:start w:val="8"/>
      <w:numFmt w:val="chineseCounting"/>
      <w:suff w:val="nothing"/>
      <w:lvlText w:val="%1、"/>
      <w:lvlJc w:val="left"/>
    </w:lvl>
  </w:abstractNum>
  <w:abstractNum w:abstractNumId="5">
    <w:nsid w:val="59317C06"/>
    <w:multiLevelType w:val="singleLevel"/>
    <w:tmpl w:val="59317C06"/>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ZTdiNGE1MmMzYTgyODI5NjM0MDEzYmMxNjVjNDUifQ=="/>
  </w:docVars>
  <w:rsids>
    <w:rsidRoot w:val="3CC90FAB"/>
    <w:rsid w:val="3CC9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 Plain"/>
    <w:qFormat/>
    <w:uiPriority w:val="0"/>
    <w:rPr>
      <w:rFonts w:ascii="Times New Roman" w:hAnsi="Times New Roman" w:eastAsia="宋体" w:cs="Times New Roman"/>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2022-09-24T05:21:00Z</dcterms:created>
  <dc:creator>Administrator</dc:creator>
  <cp:lastModifiedBy>Administrator</cp:lastModifiedBy>
  <dcterms:modified xsi:type="dcterms:W3CDTF">2022-09-24T05:22:35Z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8684757C9E644AAB999478F9DAF045C7</vt:lpwstr>
  </property>
</Properties>
</file>