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 w:leftChars="-1" w:firstLine="2"/>
        <w:rPr>
          <w:sz w:val="48"/>
        </w:rPr>
      </w:pPr>
    </w:p>
    <w:p>
      <w:pPr>
        <w:rPr>
          <w:sz w:val="48"/>
        </w:rPr>
      </w:pPr>
    </w:p>
    <w:p>
      <w:pPr>
        <w:jc w:val="distribute"/>
        <w:rPr>
          <w:sz w:val="84"/>
        </w:rPr>
      </w:pPr>
      <w:r>
        <w:rPr>
          <w:rFonts w:hint="default" w:ascii="Times New Roman" w:hAnsi="Times New Roman" w:cs="Times New Roman"/>
          <w:spacing w:val="-20"/>
          <w:sz w:val="72"/>
          <w:lang w:val="en-US" w:eastAsia="zh-CN"/>
        </w:rPr>
        <w:t>涉执</w:t>
      </w:r>
      <w:r>
        <w:rPr>
          <w:rFonts w:hint="default" w:ascii="Times New Roman" w:hAnsi="Times New Roman" w:cs="Times New Roman"/>
          <w:spacing w:val="-20"/>
          <w:sz w:val="72"/>
        </w:rPr>
        <w:t>房地产</w:t>
      </w:r>
      <w:r>
        <w:rPr>
          <w:rFonts w:hint="default" w:ascii="Times New Roman" w:hAnsi="Times New Roman" w:cs="Times New Roman"/>
          <w:spacing w:val="-20"/>
          <w:sz w:val="72"/>
          <w:lang w:val="en-US" w:eastAsia="zh-CN"/>
        </w:rPr>
        <w:t>处置司法评估</w:t>
      </w:r>
      <w:r>
        <w:rPr>
          <w:rFonts w:hint="default" w:ascii="Times New Roman" w:hAnsi="Times New Roman" w:cs="Times New Roman"/>
          <w:spacing w:val="-20"/>
          <w:sz w:val="72"/>
        </w:rPr>
        <w:t>报告</w:t>
      </w:r>
    </w:p>
    <w:p>
      <w:pPr>
        <w:jc w:val="distribute"/>
        <w:rPr>
          <w:sz w:val="48"/>
        </w:rPr>
      </w:pPr>
    </w:p>
    <w:p>
      <w:pPr>
        <w:jc w:val="distribute"/>
        <w:rPr>
          <w:sz w:val="48"/>
        </w:rPr>
      </w:pPr>
    </w:p>
    <w:p>
      <w:pPr>
        <w:jc w:val="distribute"/>
        <w:rPr>
          <w:sz w:val="48"/>
        </w:rPr>
      </w:pPr>
    </w:p>
    <w:p>
      <w:pPr>
        <w:jc w:val="distribute"/>
        <w:rPr>
          <w:sz w:val="48"/>
        </w:rPr>
      </w:pPr>
    </w:p>
    <w:p>
      <w:pPr>
        <w:jc w:val="distribute"/>
        <w:rPr>
          <w:sz w:val="48"/>
        </w:rPr>
      </w:pPr>
    </w:p>
    <w:p>
      <w:pPr>
        <w:jc w:val="distribute"/>
        <w:rPr>
          <w:sz w:val="48"/>
        </w:rPr>
      </w:pPr>
    </w:p>
    <w:p>
      <w:pPr>
        <w:jc w:val="distribute"/>
        <w:rPr>
          <w:sz w:val="48"/>
        </w:rPr>
      </w:pPr>
    </w:p>
    <w:p>
      <w:pPr>
        <w:jc w:val="distribute"/>
        <w:rPr>
          <w:sz w:val="48"/>
        </w:rPr>
      </w:pPr>
    </w:p>
    <w:p>
      <w:pPr>
        <w:jc w:val="distribute"/>
        <w:rPr>
          <w:sz w:val="48"/>
        </w:rPr>
      </w:pPr>
    </w:p>
    <w:p>
      <w:pPr>
        <w:jc w:val="distribute"/>
        <w:rPr>
          <w:sz w:val="48"/>
        </w:rPr>
      </w:pPr>
    </w:p>
    <w:p>
      <w:pPr>
        <w:jc w:val="distribute"/>
        <w:rPr>
          <w:sz w:val="36"/>
        </w:rPr>
      </w:pPr>
    </w:p>
    <w:p>
      <w:pPr>
        <w:jc w:val="distribute"/>
        <w:rPr>
          <w:sz w:val="36"/>
        </w:rPr>
      </w:pPr>
    </w:p>
    <w:p>
      <w:pPr>
        <w:jc w:val="distribute"/>
        <w:rPr>
          <w:b/>
          <w:bCs/>
          <w:sz w:val="36"/>
        </w:rPr>
      </w:pPr>
    </w:p>
    <w:p>
      <w:pPr>
        <w:jc w:val="distribute"/>
        <w:rPr>
          <w:b/>
          <w:bCs/>
          <w:sz w:val="36"/>
        </w:rPr>
      </w:pPr>
    </w:p>
    <w:p>
      <w:pPr>
        <w:jc w:val="distribute"/>
        <w:rPr>
          <w:b/>
          <w:bCs/>
          <w:sz w:val="36"/>
        </w:rPr>
      </w:pPr>
      <w:r>
        <w:rPr>
          <w:sz w:val="36"/>
        </w:rPr>
        <w:t>江苏瑞地土地房地产评估有限公司</w:t>
      </w:r>
    </w:p>
    <w:p>
      <w:pPr>
        <w:jc w:val="distribute"/>
        <w:rPr>
          <w:b/>
          <w:bCs/>
          <w:sz w:val="48"/>
        </w:rPr>
      </w:pPr>
    </w:p>
    <w:p>
      <w:pPr>
        <w:rPr>
          <w:b/>
          <w:sz w:val="44"/>
        </w:rPr>
      </w:pPr>
    </w:p>
    <w:p>
      <w:pPr>
        <w:jc w:val="center"/>
        <w:rPr>
          <w:sz w:val="44"/>
        </w:rPr>
      </w:pPr>
    </w:p>
    <w:p>
      <w:pPr>
        <w:jc w:val="center"/>
        <w:rPr>
          <w:sz w:val="44"/>
        </w:rPr>
      </w:pPr>
    </w:p>
    <w:p>
      <w:pPr>
        <w:jc w:val="center"/>
        <w:rPr>
          <w:rFonts w:hint="default" w:ascii="Times New Roman" w:hAnsi="Times New Roman" w:cs="Times New Roman"/>
          <w:spacing w:val="20"/>
          <w:sz w:val="44"/>
          <w:lang w:val="en-US" w:eastAsia="zh-CN"/>
        </w:rPr>
      </w:pPr>
    </w:p>
    <w:p>
      <w:pPr>
        <w:jc w:val="center"/>
        <w:rPr>
          <w:rFonts w:hint="default" w:ascii="Times New Roman" w:hAnsi="Times New Roman" w:cs="Times New Roman"/>
          <w:spacing w:val="20"/>
          <w:sz w:val="44"/>
        </w:rPr>
      </w:pPr>
      <w:r>
        <w:rPr>
          <w:rFonts w:hint="default" w:ascii="Times New Roman" w:hAnsi="Times New Roman" w:cs="Times New Roman"/>
          <w:spacing w:val="20"/>
          <w:sz w:val="44"/>
          <w:lang w:val="en-US" w:eastAsia="zh-CN"/>
        </w:rPr>
        <w:t>涉执</w:t>
      </w:r>
      <w:r>
        <w:rPr>
          <w:rFonts w:hint="default" w:ascii="Times New Roman" w:hAnsi="Times New Roman" w:cs="Times New Roman"/>
          <w:spacing w:val="20"/>
          <w:sz w:val="44"/>
        </w:rPr>
        <w:t>房地产</w:t>
      </w:r>
      <w:r>
        <w:rPr>
          <w:rFonts w:hint="default" w:ascii="Times New Roman" w:hAnsi="Times New Roman" w:cs="Times New Roman"/>
          <w:spacing w:val="20"/>
          <w:sz w:val="44"/>
          <w:lang w:val="en-US" w:eastAsia="zh-CN"/>
        </w:rPr>
        <w:t>处置司法评估</w:t>
      </w:r>
      <w:r>
        <w:rPr>
          <w:rFonts w:hint="default" w:ascii="Times New Roman" w:hAnsi="Times New Roman" w:cs="Times New Roman"/>
          <w:spacing w:val="20"/>
          <w:sz w:val="44"/>
        </w:rPr>
        <w:t>报告</w:t>
      </w:r>
    </w:p>
    <w:p>
      <w:pPr>
        <w:jc w:val="center"/>
        <w:rPr>
          <w:sz w:val="44"/>
        </w:rPr>
      </w:pPr>
    </w:p>
    <w:p>
      <w:pPr>
        <w:jc w:val="center"/>
        <w:rPr>
          <w:sz w:val="44"/>
        </w:rPr>
      </w:pPr>
    </w:p>
    <w:p>
      <w:pPr>
        <w:spacing w:line="420" w:lineRule="auto"/>
        <w:ind w:left="2274" w:leftChars="16" w:hanging="2240" w:hangingChars="700"/>
        <w:rPr>
          <w:rFonts w:eastAsia="楷体_GB2312"/>
          <w:sz w:val="32"/>
          <w:szCs w:val="32"/>
        </w:rPr>
      </w:pPr>
      <w:r>
        <w:rPr>
          <w:rFonts w:hAnsi="楷体_GB2312" w:eastAsia="楷体_GB2312"/>
          <w:sz w:val="32"/>
          <w:szCs w:val="32"/>
        </w:rPr>
        <w:t>估</w:t>
      </w:r>
      <w:r>
        <w:rPr>
          <w:rFonts w:hint="eastAsia" w:hAnsi="楷体_GB2312" w:eastAsia="楷体_GB2312"/>
          <w:sz w:val="32"/>
          <w:szCs w:val="32"/>
        </w:rPr>
        <w:t xml:space="preserve"> </w:t>
      </w:r>
      <w:r>
        <w:rPr>
          <w:rFonts w:hAnsi="楷体_GB2312" w:eastAsia="楷体_GB2312"/>
          <w:sz w:val="32"/>
          <w:szCs w:val="32"/>
        </w:rPr>
        <w:t>价</w:t>
      </w:r>
      <w:r>
        <w:rPr>
          <w:rFonts w:hint="eastAsia" w:hAnsi="楷体_GB2312" w:eastAsia="楷体_GB2312"/>
          <w:sz w:val="32"/>
          <w:szCs w:val="32"/>
        </w:rPr>
        <w:t xml:space="preserve"> </w:t>
      </w:r>
      <w:r>
        <w:rPr>
          <w:rFonts w:hAnsi="楷体_GB2312" w:eastAsia="楷体_GB2312"/>
          <w:sz w:val="32"/>
          <w:szCs w:val="32"/>
        </w:rPr>
        <w:t>项</w:t>
      </w:r>
      <w:r>
        <w:rPr>
          <w:rFonts w:hint="eastAsia" w:hAnsi="楷体_GB2312" w:eastAsia="楷体_GB2312"/>
          <w:sz w:val="32"/>
          <w:szCs w:val="32"/>
        </w:rPr>
        <w:t xml:space="preserve"> </w:t>
      </w:r>
      <w:r>
        <w:rPr>
          <w:rFonts w:hAnsi="楷体_GB2312" w:eastAsia="楷体_GB2312"/>
          <w:sz w:val="32"/>
          <w:szCs w:val="32"/>
        </w:rPr>
        <w:t>目:</w:t>
      </w:r>
      <w:r>
        <w:rPr>
          <w:rFonts w:hint="eastAsia" w:hAnsi="楷体_GB2312" w:eastAsia="楷体_GB2312"/>
          <w:sz w:val="32"/>
          <w:szCs w:val="32"/>
        </w:rPr>
        <w:t xml:space="preserve">  </w:t>
      </w:r>
      <w:r>
        <w:rPr>
          <w:rFonts w:hint="eastAsia" w:hAnsi="楷体_GB2312" w:eastAsia="楷体_GB2312"/>
          <w:sz w:val="32"/>
          <w:szCs w:val="32"/>
          <w:lang w:eastAsia="zh-CN"/>
        </w:rPr>
        <w:t>市区开华夏绿城A9幢505室、22室</w:t>
      </w:r>
      <w:r>
        <w:rPr>
          <w:rFonts w:hint="eastAsia" w:hAnsi="楷体_GB2312" w:eastAsia="楷体_GB2312"/>
          <w:sz w:val="32"/>
          <w:szCs w:val="32"/>
          <w:lang w:val="en-US" w:eastAsia="zh-CN"/>
        </w:rPr>
        <w:t>房地产</w:t>
      </w:r>
      <w:r>
        <w:rPr>
          <w:rFonts w:hint="eastAsia" w:hAnsi="楷体_GB2312" w:eastAsia="楷体_GB2312"/>
          <w:sz w:val="32"/>
          <w:szCs w:val="32"/>
          <w:lang w:eastAsia="zh-CN"/>
        </w:rPr>
        <w:t>市场</w:t>
      </w:r>
      <w:r>
        <w:rPr>
          <w:rFonts w:hint="eastAsia" w:hAnsi="楷体_GB2312" w:eastAsia="楷体_GB2312"/>
          <w:sz w:val="32"/>
          <w:szCs w:val="32"/>
          <w:lang w:val="en-US" w:eastAsia="zh-CN"/>
        </w:rPr>
        <w:t>价值</w:t>
      </w:r>
      <w:r>
        <w:rPr>
          <w:rFonts w:hint="eastAsia" w:eastAsia="楷体_GB2312"/>
          <w:sz w:val="32"/>
          <w:szCs w:val="32"/>
          <w:lang w:eastAsia="zh-CN"/>
        </w:rPr>
        <w:t>（含装潢及</w:t>
      </w:r>
      <w:r>
        <w:rPr>
          <w:rFonts w:hint="eastAsia" w:eastAsia="楷体_GB2312"/>
          <w:sz w:val="32"/>
          <w:szCs w:val="32"/>
          <w:lang w:val="en-US" w:eastAsia="zh-CN"/>
        </w:rPr>
        <w:t>室内</w:t>
      </w:r>
      <w:r>
        <w:rPr>
          <w:rFonts w:hint="eastAsia" w:eastAsia="楷体_GB2312"/>
          <w:sz w:val="32"/>
          <w:szCs w:val="32"/>
          <w:lang w:eastAsia="zh-CN"/>
        </w:rPr>
        <w:t>物品）</w:t>
      </w:r>
      <w:r>
        <w:rPr>
          <w:rFonts w:hAnsi="楷体_GB2312" w:eastAsia="楷体_GB2312"/>
          <w:sz w:val="32"/>
          <w:szCs w:val="32"/>
        </w:rPr>
        <w:t>评估</w:t>
      </w:r>
    </w:p>
    <w:p>
      <w:pPr>
        <w:spacing w:line="420" w:lineRule="auto"/>
        <w:ind w:left="2108" w:hanging="2108"/>
        <w:rPr>
          <w:rFonts w:eastAsia="楷体_GB2312"/>
          <w:sz w:val="32"/>
          <w:szCs w:val="32"/>
        </w:rPr>
      </w:pPr>
    </w:p>
    <w:p>
      <w:pPr>
        <w:spacing w:line="420" w:lineRule="auto"/>
        <w:ind w:left="2108" w:hanging="2108"/>
        <w:rPr>
          <w:rFonts w:hint="eastAsia" w:eastAsia="楷体_GB2312"/>
          <w:sz w:val="32"/>
          <w:szCs w:val="32"/>
          <w:lang w:eastAsia="zh-CN"/>
        </w:rPr>
      </w:pPr>
      <w:r>
        <w:rPr>
          <w:rFonts w:eastAsia="楷体_GB2312"/>
          <w:bCs/>
          <w:sz w:val="32"/>
        </w:rPr>
        <w:t>估价委托人</w:t>
      </w:r>
      <w:r>
        <w:rPr>
          <w:rFonts w:hAnsi="楷体_GB2312" w:eastAsia="楷体_GB2312"/>
          <w:sz w:val="32"/>
          <w:szCs w:val="32"/>
        </w:rPr>
        <w:t>：</w:t>
      </w:r>
      <w:r>
        <w:rPr>
          <w:rFonts w:hint="eastAsia" w:hAnsi="楷体_GB2312" w:eastAsia="楷体_GB2312"/>
          <w:sz w:val="32"/>
          <w:szCs w:val="32"/>
          <w:lang w:eastAsia="zh-CN"/>
        </w:rPr>
        <w:t>盐城市亭湖区人民法院</w:t>
      </w:r>
    </w:p>
    <w:p>
      <w:pPr>
        <w:spacing w:line="420" w:lineRule="auto"/>
        <w:rPr>
          <w:rFonts w:eastAsia="楷体_GB2312"/>
          <w:sz w:val="32"/>
          <w:szCs w:val="32"/>
        </w:rPr>
      </w:pPr>
    </w:p>
    <w:p>
      <w:pPr>
        <w:spacing w:line="420" w:lineRule="auto"/>
        <w:rPr>
          <w:rFonts w:eastAsia="楷体_GB2312"/>
          <w:sz w:val="32"/>
          <w:szCs w:val="32"/>
        </w:rPr>
      </w:pPr>
      <w:r>
        <w:rPr>
          <w:rFonts w:eastAsia="楷体_GB2312"/>
          <w:sz w:val="32"/>
        </w:rPr>
        <w:t>房地产估价机构</w:t>
      </w:r>
      <w:r>
        <w:rPr>
          <w:rFonts w:hAnsi="楷体_GB2312" w:eastAsia="楷体_GB2312"/>
          <w:sz w:val="32"/>
          <w:szCs w:val="32"/>
        </w:rPr>
        <w:t>：江苏瑞地土地房地产评估有限公司</w:t>
      </w:r>
    </w:p>
    <w:p>
      <w:pPr>
        <w:spacing w:line="420" w:lineRule="auto"/>
        <w:rPr>
          <w:rFonts w:eastAsia="楷体_GB2312"/>
          <w:sz w:val="32"/>
          <w:szCs w:val="32"/>
        </w:rPr>
      </w:pPr>
    </w:p>
    <w:p>
      <w:pPr>
        <w:spacing w:line="700" w:lineRule="exact"/>
        <w:rPr>
          <w:rFonts w:hAnsi="楷体_GB2312" w:eastAsia="楷体_GB2312"/>
          <w:sz w:val="32"/>
          <w:szCs w:val="32"/>
        </w:rPr>
      </w:pPr>
      <w:r>
        <w:rPr>
          <w:rFonts w:eastAsia="楷体_GB2312"/>
          <w:color w:val="000000"/>
          <w:sz w:val="32"/>
        </w:rPr>
        <w:t>注册房地产估价师</w:t>
      </w:r>
      <w:r>
        <w:rPr>
          <w:rFonts w:hint="eastAsia" w:eastAsia="楷体_GB2312"/>
          <w:color w:val="000000"/>
          <w:sz w:val="32"/>
        </w:rPr>
        <w:t>：</w:t>
      </w:r>
      <w:r>
        <w:rPr>
          <w:rFonts w:eastAsia="楷体_GB2312"/>
          <w:sz w:val="32"/>
          <w:szCs w:val="32"/>
        </w:rPr>
        <w:t xml:space="preserve"> </w:t>
      </w:r>
      <w:r>
        <w:rPr>
          <w:rFonts w:hAnsi="楷体_GB2312" w:eastAsia="楷体_GB2312"/>
          <w:sz w:val="32"/>
          <w:szCs w:val="32"/>
        </w:rPr>
        <w:t>蔡志国</w:t>
      </w:r>
      <w:r>
        <w:rPr>
          <w:rFonts w:hint="eastAsia" w:hAnsi="楷体_GB2312" w:eastAsia="楷体_GB2312"/>
          <w:sz w:val="32"/>
          <w:szCs w:val="32"/>
        </w:rPr>
        <w:t xml:space="preserve">   注册号：</w:t>
      </w:r>
      <w:r>
        <w:rPr>
          <w:rFonts w:hAnsi="楷体_GB2312" w:eastAsia="楷体_GB2312"/>
          <w:sz w:val="32"/>
          <w:szCs w:val="32"/>
        </w:rPr>
        <w:t>3220040399</w:t>
      </w:r>
    </w:p>
    <w:p>
      <w:pPr>
        <w:spacing w:line="700" w:lineRule="exact"/>
        <w:ind w:firstLine="2880" w:firstLineChars="900"/>
        <w:rPr>
          <w:rFonts w:hAnsi="楷体_GB2312" w:eastAsia="楷体_GB2312"/>
          <w:sz w:val="32"/>
          <w:szCs w:val="32"/>
        </w:rPr>
      </w:pPr>
      <w:r>
        <w:rPr>
          <w:rFonts w:hint="eastAsia" w:hAnsi="楷体_GB2312" w:eastAsia="楷体_GB2312"/>
          <w:sz w:val="32"/>
          <w:szCs w:val="32"/>
        </w:rPr>
        <w:t xml:space="preserve"> 严小利   注册号：3220170125</w:t>
      </w:r>
    </w:p>
    <w:p>
      <w:pPr>
        <w:spacing w:line="420" w:lineRule="auto"/>
        <w:rPr>
          <w:rFonts w:eastAsia="楷体_GB2312"/>
          <w:sz w:val="32"/>
          <w:szCs w:val="32"/>
        </w:rPr>
      </w:pPr>
    </w:p>
    <w:p>
      <w:pPr>
        <w:spacing w:line="420" w:lineRule="auto"/>
        <w:ind w:left="2240" w:hanging="2240" w:hangingChars="700"/>
        <w:rPr>
          <w:rFonts w:eastAsia="楷体_GB2312"/>
          <w:sz w:val="32"/>
          <w:szCs w:val="32"/>
        </w:rPr>
      </w:pPr>
      <w:r>
        <w:rPr>
          <w:rFonts w:hAnsi="楷体_GB2312" w:eastAsia="楷体_GB2312"/>
          <w:sz w:val="32"/>
          <w:szCs w:val="32"/>
        </w:rPr>
        <w:t>估价</w:t>
      </w:r>
      <w:r>
        <w:rPr>
          <w:rFonts w:hint="eastAsia" w:hAnsi="楷体_GB2312" w:eastAsia="楷体_GB2312"/>
          <w:sz w:val="32"/>
          <w:szCs w:val="32"/>
        </w:rPr>
        <w:t>报告出具日期：</w:t>
      </w:r>
      <w:r>
        <w:rPr>
          <w:rFonts w:hint="eastAsia" w:eastAsia="楷体_GB2312"/>
          <w:sz w:val="32"/>
          <w:szCs w:val="32"/>
          <w:lang w:eastAsia="zh-CN"/>
        </w:rPr>
        <w:t>二○二二年十月二十八日</w:t>
      </w:r>
    </w:p>
    <w:p>
      <w:pPr>
        <w:spacing w:line="420" w:lineRule="auto"/>
        <w:rPr>
          <w:rFonts w:hAnsi="楷体_GB2312" w:eastAsia="楷体_GB2312"/>
          <w:sz w:val="32"/>
          <w:szCs w:val="32"/>
        </w:rPr>
      </w:pPr>
    </w:p>
    <w:p>
      <w:pPr>
        <w:spacing w:line="420" w:lineRule="auto"/>
        <w:rPr>
          <w:rFonts w:hint="eastAsia" w:eastAsia="楷体_GB2312"/>
          <w:color w:val="000000"/>
          <w:sz w:val="32"/>
          <w:szCs w:val="32"/>
          <w:lang w:eastAsia="zh-CN"/>
        </w:rPr>
      </w:pPr>
      <w:r>
        <w:rPr>
          <w:rFonts w:hAnsi="楷体_GB2312" w:eastAsia="楷体_GB2312"/>
          <w:sz w:val="32"/>
          <w:szCs w:val="32"/>
        </w:rPr>
        <w:t>估价报告编号</w:t>
      </w:r>
      <w:r>
        <w:rPr>
          <w:rFonts w:hAnsi="楷体_GB2312" w:eastAsia="楷体_GB2312"/>
          <w:color w:val="000000"/>
          <w:sz w:val="32"/>
          <w:szCs w:val="32"/>
        </w:rPr>
        <w:t>：</w:t>
      </w:r>
      <w:r>
        <w:rPr>
          <w:rFonts w:hint="eastAsia" w:hAnsi="楷体_GB2312" w:eastAsia="楷体_GB2312"/>
          <w:color w:val="000000"/>
          <w:sz w:val="32"/>
          <w:szCs w:val="32"/>
          <w:lang w:eastAsia="zh-CN"/>
        </w:rPr>
        <w:t>(江苏)瑞地房估[2022]字第XYC012号</w:t>
      </w:r>
    </w:p>
    <w:p>
      <w:pPr>
        <w:jc w:val="distribute"/>
        <w:rPr>
          <w:sz w:val="30"/>
        </w:rPr>
      </w:pPr>
    </w:p>
    <w:p>
      <w:pPr>
        <w:jc w:val="distribute"/>
        <w:rPr>
          <w:sz w:val="30"/>
        </w:rPr>
      </w:pPr>
    </w:p>
    <w:p>
      <w:pPr>
        <w:rPr>
          <w:sz w:val="30"/>
        </w:rPr>
      </w:pPr>
    </w:p>
    <w:p>
      <w:pPr>
        <w:rPr>
          <w:b/>
          <w:sz w:val="32"/>
        </w:rPr>
      </w:pPr>
    </w:p>
    <w:p>
      <w:pPr>
        <w:jc w:val="center"/>
        <w:rPr>
          <w:sz w:val="36"/>
        </w:rPr>
      </w:pPr>
    </w:p>
    <w:p>
      <w:pPr>
        <w:jc w:val="center"/>
        <w:rPr>
          <w:bCs/>
          <w:sz w:val="36"/>
          <w:szCs w:val="36"/>
        </w:rPr>
      </w:pPr>
      <w:bookmarkStart w:id="0" w:name="_Toc379966899"/>
      <w:r>
        <w:rPr>
          <w:bCs/>
          <w:sz w:val="36"/>
          <w:szCs w:val="36"/>
        </w:rPr>
        <w:t>致 估 价 委 托 人 函</w:t>
      </w:r>
      <w:bookmarkEnd w:id="0"/>
    </w:p>
    <w:p>
      <w:pPr>
        <w:keepNext w:val="0"/>
        <w:keepLines w:val="0"/>
        <w:pageBreakBefore w:val="0"/>
        <w:widowControl w:val="0"/>
        <w:kinsoku/>
        <w:wordWrap/>
        <w:overflowPunct/>
        <w:topLinePunct w:val="0"/>
        <w:autoSpaceDE/>
        <w:autoSpaceDN/>
        <w:bidi w:val="0"/>
        <w:adjustRightInd/>
        <w:spacing w:line="420" w:lineRule="exact"/>
        <w:textAlignment w:val="auto"/>
        <w:rPr>
          <w:rFonts w:eastAsia="仿宋_GB2312"/>
          <w:bCs/>
          <w:sz w:val="28"/>
        </w:rPr>
      </w:pPr>
      <w:r>
        <w:rPr>
          <w:rFonts w:hint="eastAsia" w:eastAsia="仿宋_GB2312"/>
          <w:bCs/>
          <w:sz w:val="28"/>
          <w:lang w:eastAsia="zh-CN"/>
        </w:rPr>
        <w:t>盐城市亭湖区人民法院</w:t>
      </w:r>
      <w:r>
        <w:rPr>
          <w:rFonts w:eastAsia="仿宋_GB2312"/>
          <w:bCs/>
          <w:sz w:val="28"/>
        </w:rPr>
        <w:t>：</w:t>
      </w:r>
    </w:p>
    <w:p>
      <w:pPr>
        <w:keepNext w:val="0"/>
        <w:keepLines w:val="0"/>
        <w:pageBreakBefore w:val="0"/>
        <w:widowControl w:val="0"/>
        <w:kinsoku/>
        <w:wordWrap/>
        <w:overflowPunct/>
        <w:topLinePunct w:val="0"/>
        <w:autoSpaceDE/>
        <w:autoSpaceDN/>
        <w:bidi w:val="0"/>
        <w:adjustRightInd/>
        <w:snapToGrid w:val="0"/>
        <w:spacing w:line="420" w:lineRule="exact"/>
        <w:ind w:right="-13" w:rightChars="-6"/>
        <w:textAlignment w:val="auto"/>
        <w:rPr>
          <w:rFonts w:eastAsia="仿宋_GB2312"/>
          <w:sz w:val="28"/>
          <w:szCs w:val="28"/>
        </w:rPr>
      </w:pPr>
      <w:r>
        <w:rPr>
          <w:rFonts w:hint="eastAsia" w:eastAsia="仿宋_GB2312"/>
          <w:sz w:val="28"/>
        </w:rPr>
        <w:t xml:space="preserve">  </w:t>
      </w:r>
      <w:r>
        <w:rPr>
          <w:rFonts w:eastAsia="仿宋_GB2312"/>
          <w:sz w:val="28"/>
        </w:rPr>
        <w:t xml:space="preserve"> </w:t>
      </w:r>
      <w:r>
        <w:rPr>
          <w:rFonts w:hint="eastAsia" w:eastAsia="仿宋_GB2312"/>
          <w:sz w:val="28"/>
        </w:rPr>
        <w:t xml:space="preserve"> </w:t>
      </w:r>
      <w:r>
        <w:rPr>
          <w:rFonts w:eastAsia="仿宋_GB2312"/>
          <w:sz w:val="28"/>
        </w:rPr>
        <w:t>受贵院的委托，本公司秉着独立、客</w:t>
      </w:r>
      <w:r>
        <w:rPr>
          <w:rFonts w:eastAsia="仿宋_GB2312"/>
          <w:sz w:val="28"/>
          <w:szCs w:val="28"/>
        </w:rPr>
        <w:t>观、公正的原则，对</w:t>
      </w:r>
      <w:r>
        <w:rPr>
          <w:rFonts w:eastAsia="仿宋_GB2312"/>
          <w:sz w:val="28"/>
        </w:rPr>
        <w:t>位于</w:t>
      </w:r>
      <w:r>
        <w:rPr>
          <w:rFonts w:hint="eastAsia" w:eastAsia="仿宋_GB2312"/>
          <w:sz w:val="28"/>
          <w:lang w:eastAsia="zh-CN"/>
        </w:rPr>
        <w:t>市区开华夏绿城A9幢505室、22室</w:t>
      </w:r>
      <w:r>
        <w:rPr>
          <w:rFonts w:hint="eastAsia" w:eastAsia="仿宋_GB2312"/>
          <w:sz w:val="28"/>
          <w:lang w:val="en-US" w:eastAsia="zh-CN"/>
        </w:rPr>
        <w:t>房地产</w:t>
      </w:r>
      <w:r>
        <w:rPr>
          <w:rFonts w:hint="eastAsia" w:eastAsia="仿宋_GB2312"/>
          <w:sz w:val="28"/>
          <w:lang w:eastAsia="zh-CN"/>
        </w:rPr>
        <w:t>市场价格</w:t>
      </w:r>
      <w:r>
        <w:rPr>
          <w:rFonts w:hint="eastAsia" w:eastAsia="仿宋_GB2312"/>
          <w:sz w:val="28"/>
        </w:rPr>
        <w:t>进行评估</w:t>
      </w:r>
      <w:r>
        <w:rPr>
          <w:rFonts w:eastAsia="仿宋_GB2312"/>
          <w:sz w:val="28"/>
          <w:szCs w:val="28"/>
        </w:rPr>
        <w:t>，价值时点为</w:t>
      </w:r>
      <w:r>
        <w:rPr>
          <w:rFonts w:hint="eastAsia" w:eastAsia="仿宋_GB2312"/>
          <w:sz w:val="28"/>
          <w:szCs w:val="28"/>
          <w:lang w:eastAsia="zh-CN"/>
        </w:rPr>
        <w:t>二〇二二年十月二十一日</w:t>
      </w:r>
      <w:r>
        <w:rPr>
          <w:rFonts w:eastAsia="仿宋_GB2312"/>
          <w:sz w:val="28"/>
          <w:szCs w:val="28"/>
        </w:rPr>
        <w:t>，估价目的：为</w:t>
      </w:r>
      <w:r>
        <w:rPr>
          <w:rFonts w:hint="eastAsia" w:eastAsia="仿宋_GB2312"/>
          <w:sz w:val="28"/>
          <w:szCs w:val="28"/>
          <w:lang w:eastAsia="zh-CN"/>
        </w:rPr>
        <w:t>盐城市亭湖区人民法院</w:t>
      </w:r>
      <w:r>
        <w:rPr>
          <w:rFonts w:hint="default" w:ascii="Times New Roman" w:hAnsi="Times New Roman" w:eastAsia="仿宋_GB2312" w:cs="Times New Roman"/>
          <w:sz w:val="28"/>
          <w:szCs w:val="28"/>
          <w:lang w:eastAsia="zh-CN"/>
        </w:rPr>
        <w:t>确定财产处置参考价提供参考依据</w:t>
      </w:r>
      <w:r>
        <w:rPr>
          <w:rFonts w:hint="eastAsia" w:eastAsia="仿宋_GB2312"/>
          <w:sz w:val="28"/>
          <w:szCs w:val="28"/>
        </w:rPr>
        <w:t>，</w:t>
      </w:r>
      <w:r>
        <w:rPr>
          <w:rFonts w:eastAsia="仿宋_GB2312"/>
          <w:sz w:val="28"/>
          <w:szCs w:val="28"/>
        </w:rPr>
        <w:t>价值类型是：估价对象的</w:t>
      </w:r>
      <w:r>
        <w:rPr>
          <w:rFonts w:hint="eastAsia" w:eastAsia="仿宋_GB2312"/>
          <w:sz w:val="28"/>
          <w:szCs w:val="28"/>
          <w:lang w:eastAsia="zh-CN"/>
        </w:rPr>
        <w:t>市场价格</w:t>
      </w:r>
      <w:r>
        <w:rPr>
          <w:rFonts w:eastAsia="仿宋_GB2312"/>
          <w:sz w:val="28"/>
          <w:szCs w:val="28"/>
        </w:rPr>
        <w:t>，</w:t>
      </w:r>
      <w:r>
        <w:rPr>
          <w:rFonts w:hint="eastAsia" w:eastAsia="仿宋_GB2312"/>
          <w:sz w:val="28"/>
          <w:szCs w:val="28"/>
        </w:rPr>
        <w:t>是</w:t>
      </w:r>
      <w:r>
        <w:rPr>
          <w:rFonts w:hint="eastAsia" w:eastAsia="仿宋_GB2312"/>
          <w:sz w:val="28"/>
          <w:szCs w:val="28"/>
          <w:lang w:val="en-US" w:eastAsia="zh-CN"/>
        </w:rPr>
        <w:t>估价对象在市场上的平均交易价格</w:t>
      </w:r>
      <w:r>
        <w:rPr>
          <w:rFonts w:eastAsia="仿宋_GB2312"/>
          <w:color w:val="000000" w:themeColor="text1"/>
          <w:sz w:val="28"/>
          <w:szCs w:val="28"/>
          <w14:textFill>
            <w14:solidFill>
              <w14:schemeClr w14:val="tx1"/>
            </w14:solidFill>
          </w14:textFill>
        </w:rPr>
        <w:t>。</w:t>
      </w:r>
      <w:r>
        <w:rPr>
          <w:rFonts w:hint="eastAsia" w:eastAsia="仿宋_GB2312"/>
          <w:color w:val="000000" w:themeColor="text1"/>
          <w:sz w:val="28"/>
          <w:szCs w:val="28"/>
          <w14:textFill>
            <w14:solidFill>
              <w14:schemeClr w14:val="tx1"/>
            </w14:solidFill>
          </w14:textFill>
        </w:rPr>
        <w:t>本</w:t>
      </w:r>
      <w:r>
        <w:rPr>
          <w:rFonts w:hint="eastAsia" w:eastAsia="仿宋_GB2312"/>
          <w:sz w:val="28"/>
          <w:szCs w:val="28"/>
        </w:rPr>
        <w:t>报告评估的估价对象为地上建筑物及其土地使用权</w:t>
      </w:r>
      <w:r>
        <w:rPr>
          <w:rFonts w:hint="eastAsia" w:eastAsia="仿宋_GB2312"/>
          <w:sz w:val="28"/>
          <w:lang w:eastAsia="zh-CN"/>
        </w:rPr>
        <w:t>（含装潢及</w:t>
      </w:r>
      <w:r>
        <w:rPr>
          <w:rFonts w:hint="eastAsia" w:eastAsia="仿宋_GB2312"/>
          <w:sz w:val="28"/>
          <w:lang w:val="en-US" w:eastAsia="zh-CN"/>
        </w:rPr>
        <w:t>室内</w:t>
      </w:r>
      <w:r>
        <w:rPr>
          <w:rFonts w:hint="eastAsia" w:eastAsia="仿宋_GB2312"/>
          <w:sz w:val="28"/>
          <w:lang w:eastAsia="zh-CN"/>
        </w:rPr>
        <w:t>物品）</w:t>
      </w:r>
      <w:r>
        <w:rPr>
          <w:rFonts w:hint="eastAsia"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420" w:lineRule="exact"/>
        <w:ind w:right="-13" w:rightChars="-6"/>
        <w:textAlignment w:val="auto"/>
        <w:rPr>
          <w:rFonts w:eastAsia="仿宋_GB2312"/>
          <w:color w:val="000000"/>
          <w:sz w:val="28"/>
          <w:szCs w:val="20"/>
        </w:rPr>
      </w:pPr>
      <w:r>
        <w:rPr>
          <w:rFonts w:hint="eastAsia" w:eastAsia="仿宋_GB2312"/>
          <w:sz w:val="28"/>
        </w:rPr>
        <w:t xml:space="preserve">    </w:t>
      </w:r>
      <w:r>
        <w:rPr>
          <w:rFonts w:eastAsia="仿宋_GB2312"/>
          <w:sz w:val="28"/>
        </w:rPr>
        <w:t>根据贵方提供的有关资料，本公司估价师依据国家标准GB/T 50291-2015《房地产估价规范》</w:t>
      </w:r>
      <w:r>
        <w:rPr>
          <w:rFonts w:hint="eastAsia" w:eastAsia="仿宋_GB2312"/>
          <w:sz w:val="28"/>
        </w:rPr>
        <w:t>、国家标准GB/T50899-2013《房地产估价基本术语标准》</w:t>
      </w:r>
      <w:r>
        <w:rPr>
          <w:rFonts w:eastAsia="仿宋_GB2312"/>
          <w:sz w:val="28"/>
        </w:rPr>
        <w:t>及国家相关法律、法规和政策规定，在了解和分析估价对象实际情况的基础上，本着</w:t>
      </w:r>
      <w:r>
        <w:rPr>
          <w:rFonts w:hint="eastAsia" w:eastAsia="仿宋_GB2312"/>
          <w:sz w:val="28"/>
        </w:rPr>
        <w:t>独立、客观、公正</w:t>
      </w:r>
      <w:r>
        <w:rPr>
          <w:rFonts w:eastAsia="仿宋_GB2312"/>
          <w:sz w:val="28"/>
        </w:rPr>
        <w:t>的原则，遵循必要的估价程序，结合估价人员的经验和对影响房地产价值因素的分析、采用科学合理的估价方法</w:t>
      </w:r>
      <w:r>
        <w:rPr>
          <w:rFonts w:hint="eastAsia" w:eastAsia="仿宋_GB2312"/>
          <w:sz w:val="28"/>
        </w:rPr>
        <w:t>（比较法）</w:t>
      </w:r>
      <w:r>
        <w:rPr>
          <w:rFonts w:eastAsia="仿宋_GB2312"/>
          <w:sz w:val="28"/>
        </w:rPr>
        <w:t>，在认真分析现有资料的基础上，经过测算，结合估价经验与对影响房地产</w:t>
      </w:r>
      <w:r>
        <w:rPr>
          <w:rFonts w:hint="eastAsia" w:eastAsia="仿宋_GB2312"/>
          <w:sz w:val="28"/>
          <w:lang w:eastAsia="zh-CN"/>
        </w:rPr>
        <w:t>市场价格</w:t>
      </w:r>
      <w:r>
        <w:rPr>
          <w:rFonts w:eastAsia="仿宋_GB2312"/>
          <w:sz w:val="28"/>
        </w:rPr>
        <w:t>因素的分析，确定估价对象于价值时点的</w:t>
      </w:r>
      <w:r>
        <w:rPr>
          <w:rFonts w:hint="eastAsia" w:eastAsia="仿宋_GB2312"/>
          <w:sz w:val="28"/>
          <w:lang w:eastAsia="zh-CN"/>
        </w:rPr>
        <w:t>市场</w:t>
      </w:r>
      <w:r>
        <w:rPr>
          <w:rFonts w:hint="eastAsia" w:eastAsia="仿宋_GB2312"/>
          <w:sz w:val="28"/>
          <w:lang w:val="en-US" w:eastAsia="zh-CN"/>
        </w:rPr>
        <w:t>价值</w:t>
      </w:r>
      <w:r>
        <w:rPr>
          <w:rFonts w:hint="eastAsia" w:eastAsia="仿宋_GB2312"/>
          <w:sz w:val="28"/>
          <w:lang w:eastAsia="zh-CN"/>
        </w:rPr>
        <w:t>（含装潢及</w:t>
      </w:r>
      <w:r>
        <w:rPr>
          <w:rFonts w:hint="eastAsia" w:eastAsia="仿宋_GB2312"/>
          <w:sz w:val="28"/>
          <w:lang w:val="en-US" w:eastAsia="zh-CN"/>
        </w:rPr>
        <w:t>室内</w:t>
      </w:r>
      <w:r>
        <w:rPr>
          <w:rFonts w:hint="eastAsia" w:eastAsia="仿宋_GB2312"/>
          <w:sz w:val="28"/>
          <w:lang w:eastAsia="zh-CN"/>
        </w:rPr>
        <w:t>物品）</w:t>
      </w:r>
      <w:r>
        <w:rPr>
          <w:rFonts w:hint="eastAsia" w:eastAsia="仿宋_GB2312"/>
          <w:sz w:val="28"/>
        </w:rPr>
        <w:t>为：房地产总价值</w:t>
      </w:r>
      <w:r>
        <w:rPr>
          <w:rFonts w:hint="eastAsia" w:eastAsia="仿宋_GB2312"/>
          <w:sz w:val="28"/>
          <w:lang w:eastAsia="zh-CN"/>
        </w:rPr>
        <w:t>（含装潢及</w:t>
      </w:r>
      <w:r>
        <w:rPr>
          <w:rFonts w:hint="eastAsia" w:eastAsia="仿宋_GB2312"/>
          <w:sz w:val="28"/>
          <w:lang w:val="en-US" w:eastAsia="zh-CN"/>
        </w:rPr>
        <w:t>室内</w:t>
      </w:r>
      <w:r>
        <w:rPr>
          <w:rFonts w:hint="eastAsia" w:eastAsia="仿宋_GB2312"/>
          <w:sz w:val="28"/>
          <w:lang w:eastAsia="zh-CN"/>
        </w:rPr>
        <w:t>物品）</w:t>
      </w:r>
      <w:r>
        <w:rPr>
          <w:rFonts w:hint="eastAsia" w:eastAsia="仿宋_GB2312"/>
          <w:sz w:val="28"/>
          <w:lang w:val="en-US" w:eastAsia="zh-CN"/>
        </w:rPr>
        <w:t>人民</w:t>
      </w:r>
      <w:r>
        <w:rPr>
          <w:rFonts w:hint="eastAsia" w:eastAsia="仿宋_GB2312"/>
          <w:sz w:val="28"/>
          <w:highlight w:val="none"/>
          <w:lang w:val="en-US" w:eastAsia="zh-CN"/>
        </w:rPr>
        <w:t>币215.39万</w:t>
      </w:r>
      <w:r>
        <w:rPr>
          <w:rFonts w:hint="eastAsia" w:eastAsia="仿宋_GB2312"/>
          <w:sz w:val="28"/>
          <w:highlight w:val="none"/>
          <w:lang w:eastAsia="zh-CN"/>
        </w:rPr>
        <w:t>元</w:t>
      </w:r>
      <w:r>
        <w:rPr>
          <w:rFonts w:hint="eastAsia" w:eastAsia="仿宋_GB2312"/>
          <w:sz w:val="28"/>
          <w:highlight w:val="none"/>
        </w:rPr>
        <w:t>,</w:t>
      </w:r>
      <w:r>
        <w:rPr>
          <w:rFonts w:eastAsia="仿宋_GB2312"/>
          <w:sz w:val="28"/>
          <w:highlight w:val="none"/>
        </w:rPr>
        <w:t>人民币大写：</w:t>
      </w:r>
      <w:r>
        <w:rPr>
          <w:rFonts w:hint="eastAsia" w:eastAsia="仿宋_GB2312"/>
          <w:b/>
          <w:bCs/>
          <w:sz w:val="28"/>
          <w:highlight w:val="none"/>
        </w:rPr>
        <w:fldChar w:fldCharType="begin"/>
      </w:r>
      <w:r>
        <w:rPr>
          <w:rFonts w:hint="eastAsia" w:eastAsia="仿宋_GB2312"/>
          <w:b/>
          <w:bCs/>
          <w:sz w:val="28"/>
          <w:highlight w:val="none"/>
        </w:rPr>
        <w:instrText xml:space="preserve"> = 778600 \* CHINESENUM2 \* MERGEFORMAT </w:instrText>
      </w:r>
      <w:r>
        <w:rPr>
          <w:rFonts w:hint="eastAsia" w:eastAsia="仿宋_GB2312"/>
          <w:b/>
          <w:bCs/>
          <w:sz w:val="28"/>
          <w:highlight w:val="none"/>
        </w:rPr>
        <w:fldChar w:fldCharType="separate"/>
      </w:r>
      <w:r>
        <w:rPr>
          <w:rFonts w:hint="eastAsia" w:eastAsia="仿宋_GB2312"/>
          <w:b/>
          <w:bCs/>
          <w:sz w:val="28"/>
          <w:highlight w:val="none"/>
          <w:lang w:eastAsia="zh-CN"/>
        </w:rPr>
        <w:t>贰佰壹拾伍万叁仟玖佰</w:t>
      </w:r>
      <w:r>
        <w:rPr>
          <w:rFonts w:hint="eastAsia" w:eastAsia="仿宋_GB2312"/>
          <w:b/>
          <w:bCs/>
          <w:sz w:val="28"/>
          <w:highlight w:val="none"/>
        </w:rPr>
        <w:fldChar w:fldCharType="end"/>
      </w:r>
      <w:r>
        <w:rPr>
          <w:rFonts w:hint="eastAsia" w:eastAsia="仿宋_GB2312"/>
          <w:sz w:val="28"/>
          <w:highlight w:val="none"/>
        </w:rPr>
        <w:t>元整</w:t>
      </w:r>
      <w:r>
        <w:rPr>
          <w:rFonts w:eastAsia="仿宋_GB2312"/>
          <w:sz w:val="28"/>
          <w:highlight w:val="none"/>
        </w:rPr>
        <w:t>（四舍五入，取整至</w:t>
      </w:r>
      <w:r>
        <w:rPr>
          <w:rFonts w:hint="eastAsia" w:eastAsia="仿宋_GB2312"/>
          <w:sz w:val="28"/>
          <w:highlight w:val="none"/>
          <w:lang w:val="en-US" w:eastAsia="zh-CN"/>
        </w:rPr>
        <w:t>佰</w:t>
      </w:r>
      <w:r>
        <w:rPr>
          <w:rFonts w:eastAsia="仿宋_GB2312"/>
          <w:sz w:val="28"/>
          <w:highlight w:val="none"/>
        </w:rPr>
        <w:t>元）</w:t>
      </w:r>
      <w:r>
        <w:rPr>
          <w:rFonts w:hint="eastAsia" w:eastAsia="仿宋_GB2312"/>
          <w:sz w:val="28"/>
          <w:highlight w:val="none"/>
        </w:rPr>
        <w:t>具体见表</w:t>
      </w:r>
      <w:r>
        <w:rPr>
          <w:rFonts w:hint="eastAsia" w:eastAsia="仿宋_GB2312"/>
          <w:color w:val="000000"/>
          <w:sz w:val="28"/>
          <w:szCs w:val="20"/>
          <w:highlight w:val="none"/>
        </w:rPr>
        <w:t xml:space="preserve">1： </w:t>
      </w:r>
      <w:r>
        <w:rPr>
          <w:rFonts w:hint="eastAsia" w:eastAsia="仿宋_GB2312"/>
          <w:color w:val="000000"/>
          <w:sz w:val="28"/>
          <w:szCs w:val="20"/>
        </w:rPr>
        <w:t xml:space="preserve">         </w:t>
      </w:r>
    </w:p>
    <w:p>
      <w:pPr>
        <w:jc w:val="center"/>
        <w:rPr>
          <w:rFonts w:hint="eastAsia" w:ascii="仿宋_GB2312" w:hAnsi="仿宋_GB2312" w:eastAsia="仿宋_GB2312" w:cs="仿宋_GB2312"/>
          <w:szCs w:val="21"/>
        </w:rPr>
      </w:pPr>
      <w:r>
        <w:rPr>
          <w:rFonts w:hint="eastAsia" w:ascii="仿宋_GB2312" w:hAnsi="仿宋_GB2312" w:eastAsia="仿宋_GB2312" w:cs="仿宋_GB2312"/>
          <w:color w:val="000000"/>
          <w:sz w:val="28"/>
          <w:szCs w:val="20"/>
        </w:rPr>
        <w:t xml:space="preserve">表1  </w:t>
      </w:r>
      <w:r>
        <w:rPr>
          <w:rFonts w:hint="eastAsia" w:ascii="仿宋_GB2312" w:hAnsi="仿宋_GB2312" w:eastAsia="仿宋_GB2312" w:cs="仿宋_GB2312"/>
          <w:sz w:val="28"/>
          <w:szCs w:val="20"/>
        </w:rPr>
        <w:t>房地产估价结果一览表</w:t>
      </w:r>
    </w:p>
    <w:tbl>
      <w:tblPr>
        <w:tblStyle w:val="17"/>
        <w:tblW w:w="53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9"/>
        <w:gridCol w:w="863"/>
        <w:gridCol w:w="1222"/>
        <w:gridCol w:w="1131"/>
        <w:gridCol w:w="956"/>
        <w:gridCol w:w="1076"/>
        <w:gridCol w:w="1076"/>
        <w:gridCol w:w="1076"/>
        <w:gridCol w:w="1131"/>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80" w:type="pct"/>
            <w:noWrap w:val="0"/>
            <w:vAlign w:val="center"/>
          </w:tcPr>
          <w:p>
            <w:pPr>
              <w:widowControl/>
              <w:jc w:val="center"/>
              <w:rPr>
                <w:rFonts w:ascii="宋体" w:cs="宋体"/>
                <w:kern w:val="0"/>
                <w:sz w:val="18"/>
                <w:szCs w:val="18"/>
              </w:rPr>
            </w:pPr>
            <w:r>
              <w:rPr>
                <w:rFonts w:hint="eastAsia" w:ascii="宋体" w:hAnsi="宋体" w:cs="宋体"/>
                <w:kern w:val="0"/>
                <w:sz w:val="18"/>
                <w:szCs w:val="18"/>
              </w:rPr>
              <w:t>序号</w:t>
            </w:r>
          </w:p>
        </w:tc>
        <w:tc>
          <w:tcPr>
            <w:tcW w:w="425" w:type="pct"/>
            <w:noWrap w:val="0"/>
            <w:vAlign w:val="center"/>
          </w:tcPr>
          <w:p>
            <w:pPr>
              <w:widowControl/>
              <w:jc w:val="center"/>
              <w:rPr>
                <w:rFonts w:ascii="宋体" w:cs="宋体"/>
                <w:kern w:val="0"/>
                <w:sz w:val="18"/>
                <w:szCs w:val="18"/>
              </w:rPr>
            </w:pPr>
            <w:r>
              <w:rPr>
                <w:rFonts w:hint="eastAsia" w:ascii="宋体" w:hAnsi="宋体" w:cs="宋体"/>
                <w:kern w:val="0"/>
                <w:sz w:val="18"/>
                <w:szCs w:val="18"/>
              </w:rPr>
              <w:t>权利人</w:t>
            </w:r>
          </w:p>
        </w:tc>
        <w:tc>
          <w:tcPr>
            <w:tcW w:w="602" w:type="pct"/>
            <w:noWrap w:val="0"/>
            <w:vAlign w:val="center"/>
          </w:tcPr>
          <w:p>
            <w:pPr>
              <w:widowControl/>
              <w:jc w:val="center"/>
              <w:rPr>
                <w:rFonts w:ascii="宋体" w:cs="宋体"/>
                <w:kern w:val="0"/>
                <w:sz w:val="18"/>
                <w:szCs w:val="18"/>
              </w:rPr>
            </w:pPr>
            <w:r>
              <w:rPr>
                <w:rFonts w:hint="eastAsia" w:ascii="宋体" w:hAnsi="宋体" w:cs="宋体"/>
                <w:kern w:val="0"/>
                <w:sz w:val="18"/>
                <w:szCs w:val="18"/>
              </w:rPr>
              <w:t>房屋坐落</w:t>
            </w:r>
          </w:p>
        </w:tc>
        <w:tc>
          <w:tcPr>
            <w:tcW w:w="557" w:type="pct"/>
            <w:noWrap w:val="0"/>
            <w:vAlign w:val="center"/>
          </w:tcPr>
          <w:p>
            <w:pPr>
              <w:widowControl/>
              <w:jc w:val="center"/>
              <w:rPr>
                <w:rFonts w:ascii="宋体" w:cs="宋体"/>
                <w:kern w:val="0"/>
                <w:sz w:val="18"/>
                <w:szCs w:val="18"/>
              </w:rPr>
            </w:pPr>
            <w:r>
              <w:rPr>
                <w:rFonts w:hint="eastAsia" w:ascii="宋体" w:hAnsi="宋体" w:cs="宋体"/>
                <w:kern w:val="0"/>
                <w:sz w:val="18"/>
                <w:szCs w:val="18"/>
              </w:rPr>
              <w:t>房号</w:t>
            </w:r>
          </w:p>
        </w:tc>
        <w:tc>
          <w:tcPr>
            <w:tcW w:w="471" w:type="pct"/>
            <w:noWrap w:val="0"/>
            <w:vAlign w:val="center"/>
          </w:tcPr>
          <w:p>
            <w:pPr>
              <w:widowControl/>
              <w:jc w:val="center"/>
              <w:rPr>
                <w:rFonts w:ascii="宋体" w:cs="宋体"/>
                <w:kern w:val="0"/>
                <w:sz w:val="18"/>
                <w:szCs w:val="18"/>
              </w:rPr>
            </w:pPr>
            <w:r>
              <w:rPr>
                <w:rFonts w:hint="eastAsia" w:ascii="宋体" w:hAnsi="宋体" w:cs="宋体"/>
                <w:kern w:val="0"/>
                <w:sz w:val="18"/>
                <w:szCs w:val="18"/>
              </w:rPr>
              <w:t>现状用途</w:t>
            </w:r>
          </w:p>
        </w:tc>
        <w:tc>
          <w:tcPr>
            <w:tcW w:w="530" w:type="pct"/>
            <w:noWrap w:val="0"/>
            <w:vAlign w:val="center"/>
          </w:tcPr>
          <w:p>
            <w:pPr>
              <w:widowControl/>
              <w:jc w:val="center"/>
              <w:rPr>
                <w:rFonts w:ascii="宋体" w:cs="宋体"/>
                <w:kern w:val="0"/>
                <w:sz w:val="18"/>
                <w:szCs w:val="18"/>
              </w:rPr>
            </w:pPr>
            <w:r>
              <w:rPr>
                <w:rFonts w:hint="eastAsia" w:ascii="宋体" w:hAnsi="宋体" w:cs="宋体"/>
                <w:kern w:val="0"/>
                <w:sz w:val="18"/>
                <w:szCs w:val="18"/>
              </w:rPr>
              <w:t>所在层数</w:t>
            </w:r>
            <w:r>
              <w:rPr>
                <w:rFonts w:ascii="宋体" w:hAnsi="宋体" w:cs="宋体"/>
                <w:kern w:val="0"/>
                <w:sz w:val="18"/>
                <w:szCs w:val="18"/>
              </w:rPr>
              <w:t>/</w:t>
            </w:r>
            <w:r>
              <w:rPr>
                <w:rFonts w:hint="eastAsia" w:ascii="宋体" w:hAnsi="宋体" w:cs="宋体"/>
                <w:kern w:val="0"/>
                <w:sz w:val="18"/>
                <w:szCs w:val="18"/>
              </w:rPr>
              <w:t>总层数</w:t>
            </w:r>
          </w:p>
        </w:tc>
        <w:tc>
          <w:tcPr>
            <w:tcW w:w="530" w:type="pct"/>
            <w:noWrap w:val="0"/>
            <w:vAlign w:val="center"/>
          </w:tcPr>
          <w:p>
            <w:pPr>
              <w:widowControl/>
              <w:jc w:val="center"/>
              <w:rPr>
                <w:rFonts w:ascii="宋体" w:cs="宋体"/>
                <w:kern w:val="0"/>
                <w:sz w:val="18"/>
                <w:szCs w:val="18"/>
              </w:rPr>
            </w:pPr>
            <w:r>
              <w:rPr>
                <w:rFonts w:hint="eastAsia" w:ascii="宋体" w:hAnsi="宋体" w:cs="宋体"/>
                <w:kern w:val="0"/>
                <w:sz w:val="18"/>
                <w:szCs w:val="18"/>
              </w:rPr>
              <w:t>建筑面积（㎡）</w:t>
            </w:r>
          </w:p>
        </w:tc>
        <w:tc>
          <w:tcPr>
            <w:tcW w:w="530" w:type="pct"/>
            <w:noWrap w:val="0"/>
            <w:vAlign w:val="center"/>
          </w:tcPr>
          <w:p>
            <w:pPr>
              <w:widowControl/>
              <w:jc w:val="center"/>
              <w:rPr>
                <w:rFonts w:ascii="宋体" w:cs="宋体"/>
                <w:kern w:val="0"/>
                <w:sz w:val="18"/>
                <w:szCs w:val="18"/>
              </w:rPr>
            </w:pPr>
            <w:r>
              <w:rPr>
                <w:rFonts w:hint="eastAsia" w:ascii="宋体" w:hAnsi="宋体" w:cs="宋体"/>
                <w:kern w:val="0"/>
                <w:sz w:val="18"/>
                <w:szCs w:val="18"/>
              </w:rPr>
              <w:t>评估单价</w:t>
            </w:r>
          </w:p>
          <w:p>
            <w:pPr>
              <w:widowControl/>
              <w:jc w:val="center"/>
              <w:rPr>
                <w:rFonts w:ascii="宋体" w:cs="宋体"/>
                <w:b/>
                <w:bCs/>
                <w:kern w:val="0"/>
                <w:sz w:val="18"/>
                <w:szCs w:val="18"/>
              </w:rPr>
            </w:pPr>
            <w:r>
              <w:rPr>
                <w:rFonts w:hint="eastAsia" w:ascii="宋体" w:hAnsi="宋体" w:cs="宋体"/>
                <w:kern w:val="0"/>
                <w:sz w:val="18"/>
                <w:szCs w:val="18"/>
              </w:rPr>
              <w:t>（元</w:t>
            </w:r>
            <w:r>
              <w:rPr>
                <w:rFonts w:ascii="宋体" w:hAnsi="宋体" w:cs="宋体"/>
                <w:kern w:val="0"/>
                <w:sz w:val="18"/>
                <w:szCs w:val="18"/>
              </w:rPr>
              <w:t>/</w:t>
            </w:r>
            <w:r>
              <w:rPr>
                <w:rFonts w:hint="eastAsia" w:ascii="宋体" w:hAnsi="宋体" w:cs="宋体"/>
                <w:kern w:val="0"/>
                <w:sz w:val="18"/>
                <w:szCs w:val="18"/>
              </w:rPr>
              <w:t>㎡）</w:t>
            </w:r>
          </w:p>
        </w:tc>
        <w:tc>
          <w:tcPr>
            <w:tcW w:w="557" w:type="pct"/>
            <w:noWrap w:val="0"/>
            <w:vAlign w:val="center"/>
          </w:tcPr>
          <w:p>
            <w:pPr>
              <w:widowControl/>
              <w:jc w:val="center"/>
              <w:rPr>
                <w:rFonts w:ascii="宋体" w:cs="宋体"/>
                <w:kern w:val="0"/>
                <w:sz w:val="18"/>
                <w:szCs w:val="18"/>
              </w:rPr>
            </w:pPr>
            <w:r>
              <w:rPr>
                <w:rFonts w:hint="eastAsia" w:ascii="宋体" w:hAnsi="宋体" w:cs="宋体"/>
                <w:kern w:val="0"/>
                <w:sz w:val="18"/>
                <w:szCs w:val="18"/>
              </w:rPr>
              <w:t>评估总价（</w:t>
            </w:r>
            <w:r>
              <w:rPr>
                <w:rFonts w:hint="eastAsia" w:ascii="宋体" w:hAnsi="宋体" w:cs="宋体"/>
                <w:kern w:val="0"/>
                <w:sz w:val="18"/>
                <w:szCs w:val="18"/>
                <w:lang w:val="en-US" w:eastAsia="zh-CN"/>
              </w:rPr>
              <w:t>万</w:t>
            </w:r>
            <w:r>
              <w:rPr>
                <w:rFonts w:hint="eastAsia" w:ascii="宋体" w:hAnsi="宋体" w:cs="宋体"/>
                <w:kern w:val="0"/>
                <w:sz w:val="18"/>
                <w:szCs w:val="18"/>
              </w:rPr>
              <w:t>元）</w:t>
            </w:r>
          </w:p>
        </w:tc>
        <w:tc>
          <w:tcPr>
            <w:tcW w:w="519" w:type="pct"/>
            <w:noWrap w:val="0"/>
            <w:vAlign w:val="center"/>
          </w:tcPr>
          <w:p>
            <w:pPr>
              <w:widowControl/>
              <w:jc w:val="center"/>
              <w:rPr>
                <w:rFonts w:asci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80" w:type="pct"/>
            <w:noWrap w:val="0"/>
            <w:vAlign w:val="center"/>
          </w:tcPr>
          <w:p>
            <w:pPr>
              <w:widowControl/>
              <w:jc w:val="center"/>
              <w:rPr>
                <w:rFonts w:ascii="宋体" w:cs="宋体"/>
                <w:kern w:val="0"/>
                <w:sz w:val="18"/>
                <w:szCs w:val="18"/>
              </w:rPr>
            </w:pPr>
            <w:r>
              <w:rPr>
                <w:rFonts w:ascii="宋体" w:hAnsi="宋体" w:cs="宋体"/>
                <w:kern w:val="0"/>
                <w:sz w:val="18"/>
                <w:szCs w:val="18"/>
              </w:rPr>
              <w:t>1</w:t>
            </w:r>
          </w:p>
        </w:tc>
        <w:tc>
          <w:tcPr>
            <w:tcW w:w="425" w:type="pct"/>
            <w:vMerge w:val="restart"/>
            <w:noWrap w:val="0"/>
            <w:vAlign w:val="center"/>
          </w:tcPr>
          <w:p>
            <w:pPr>
              <w:jc w:val="center"/>
              <w:rPr>
                <w:rFonts w:hint="eastAsia" w:ascii="宋体" w:eastAsia="宋体" w:cs="宋体"/>
                <w:kern w:val="0"/>
                <w:sz w:val="18"/>
                <w:szCs w:val="18"/>
                <w:lang w:eastAsia="zh-CN"/>
              </w:rPr>
            </w:pPr>
            <w:r>
              <w:rPr>
                <w:rFonts w:hint="eastAsia" w:ascii="宋体" w:hAnsi="宋体" w:cs="宋体"/>
                <w:kern w:val="0"/>
                <w:sz w:val="18"/>
                <w:szCs w:val="18"/>
                <w:lang w:eastAsia="zh-CN"/>
              </w:rPr>
              <w:t>郑寿光</w:t>
            </w:r>
          </w:p>
        </w:tc>
        <w:tc>
          <w:tcPr>
            <w:tcW w:w="602" w:type="pct"/>
            <w:vMerge w:val="restart"/>
            <w:noWrap w:val="0"/>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市区开华夏绿城</w:t>
            </w:r>
          </w:p>
        </w:tc>
        <w:tc>
          <w:tcPr>
            <w:tcW w:w="557" w:type="pct"/>
            <w:noWrap w:val="0"/>
            <w:vAlign w:val="center"/>
          </w:tcPr>
          <w:p>
            <w:pPr>
              <w:widowControl/>
              <w:jc w:val="center"/>
              <w:rPr>
                <w:rFonts w:hint="eastAsia" w:ascii="宋体" w:eastAsia="宋体" w:cs="宋体"/>
                <w:kern w:val="0"/>
                <w:sz w:val="18"/>
                <w:szCs w:val="18"/>
                <w:lang w:eastAsia="zh-CN"/>
              </w:rPr>
            </w:pPr>
            <w:r>
              <w:rPr>
                <w:rFonts w:hint="eastAsia" w:ascii="宋体" w:hAnsi="宋体" w:cs="宋体"/>
                <w:kern w:val="0"/>
                <w:sz w:val="18"/>
                <w:szCs w:val="18"/>
                <w:lang w:eastAsia="zh-CN"/>
              </w:rPr>
              <w:t>A9幢505室</w:t>
            </w:r>
          </w:p>
        </w:tc>
        <w:tc>
          <w:tcPr>
            <w:tcW w:w="471" w:type="pct"/>
            <w:noWrap w:val="0"/>
            <w:vAlign w:val="center"/>
          </w:tcPr>
          <w:p>
            <w:pPr>
              <w:widowControl/>
              <w:jc w:val="center"/>
              <w:rPr>
                <w:rFonts w:ascii="宋体" w:cs="宋体"/>
                <w:kern w:val="0"/>
                <w:sz w:val="18"/>
                <w:szCs w:val="18"/>
              </w:rPr>
            </w:pPr>
            <w:r>
              <w:rPr>
                <w:rFonts w:hint="eastAsia" w:ascii="宋体" w:hAnsi="宋体" w:cs="宋体"/>
                <w:kern w:val="0"/>
                <w:sz w:val="18"/>
                <w:szCs w:val="18"/>
              </w:rPr>
              <w:t>住宅</w:t>
            </w:r>
          </w:p>
        </w:tc>
        <w:tc>
          <w:tcPr>
            <w:tcW w:w="530" w:type="pct"/>
            <w:noWrap w:val="0"/>
            <w:vAlign w:val="center"/>
          </w:tcPr>
          <w:p>
            <w:pPr>
              <w:widowControl/>
              <w:jc w:val="center"/>
              <w:rPr>
                <w:rFonts w:hint="eastAsia" w:ascii="宋体" w:eastAsia="宋体" w:cs="宋体"/>
                <w:kern w:val="0"/>
                <w:sz w:val="18"/>
                <w:szCs w:val="18"/>
                <w:lang w:eastAsia="zh-CN"/>
              </w:rPr>
            </w:pPr>
            <w:r>
              <w:rPr>
                <w:rFonts w:hint="eastAsia" w:ascii="宋体" w:hAnsi="宋体" w:cs="宋体"/>
                <w:kern w:val="0"/>
                <w:sz w:val="18"/>
                <w:szCs w:val="18"/>
                <w:lang w:val="en-US" w:eastAsia="zh-CN"/>
              </w:rPr>
              <w:t>5/6</w:t>
            </w:r>
          </w:p>
        </w:tc>
        <w:tc>
          <w:tcPr>
            <w:tcW w:w="530" w:type="pct"/>
            <w:noWrap w:val="0"/>
            <w:vAlign w:val="center"/>
          </w:tcPr>
          <w:p>
            <w:pPr>
              <w:widowControl/>
              <w:jc w:val="center"/>
              <w:rPr>
                <w:rFonts w:hint="default" w:ascii="宋体" w:eastAsia="宋体" w:cs="宋体"/>
                <w:kern w:val="0"/>
                <w:sz w:val="18"/>
                <w:szCs w:val="18"/>
                <w:lang w:val="en-US" w:eastAsia="zh-CN"/>
              </w:rPr>
            </w:pPr>
            <w:r>
              <w:rPr>
                <w:rFonts w:hint="eastAsia" w:ascii="宋体" w:cs="宋体"/>
                <w:kern w:val="0"/>
                <w:sz w:val="18"/>
                <w:szCs w:val="18"/>
                <w:lang w:val="en-US" w:eastAsia="zh-CN"/>
              </w:rPr>
              <w:t>152.9</w:t>
            </w:r>
          </w:p>
        </w:tc>
        <w:tc>
          <w:tcPr>
            <w:tcW w:w="530" w:type="pct"/>
            <w:noWrap w:val="0"/>
            <w:vAlign w:val="center"/>
          </w:tcPr>
          <w:p>
            <w:pPr>
              <w:widowControl/>
              <w:jc w:val="center"/>
              <w:rPr>
                <w:rFonts w:hint="eastAsia" w:ascii="宋体" w:eastAsia="宋体" w:cs="宋体"/>
                <w:kern w:val="0"/>
                <w:sz w:val="18"/>
                <w:szCs w:val="18"/>
                <w:lang w:eastAsia="zh-CN"/>
              </w:rPr>
            </w:pPr>
            <w:r>
              <w:rPr>
                <w:rFonts w:hint="eastAsia" w:ascii="宋体" w:cs="宋体"/>
                <w:kern w:val="0"/>
                <w:sz w:val="18"/>
                <w:szCs w:val="18"/>
                <w:lang w:eastAsia="zh-CN"/>
              </w:rPr>
              <w:t>13600</w:t>
            </w:r>
          </w:p>
        </w:tc>
        <w:tc>
          <w:tcPr>
            <w:tcW w:w="557" w:type="pct"/>
            <w:noWrap w:val="0"/>
            <w:vAlign w:val="center"/>
          </w:tcPr>
          <w:p>
            <w:pPr>
              <w:widowControl/>
              <w:jc w:val="center"/>
              <w:rPr>
                <w:rFonts w:hint="eastAsia" w:ascii="宋体" w:eastAsia="宋体" w:cs="宋体"/>
                <w:kern w:val="0"/>
                <w:sz w:val="18"/>
                <w:szCs w:val="18"/>
                <w:lang w:eastAsia="zh-CN"/>
              </w:rPr>
            </w:pPr>
            <w:r>
              <w:rPr>
                <w:rFonts w:hint="eastAsia" w:ascii="宋体" w:cs="宋体"/>
                <w:kern w:val="0"/>
                <w:sz w:val="18"/>
                <w:szCs w:val="18"/>
                <w:lang w:eastAsia="zh-CN"/>
              </w:rPr>
              <w:t>207.94</w:t>
            </w:r>
          </w:p>
        </w:tc>
        <w:tc>
          <w:tcPr>
            <w:tcW w:w="519" w:type="pct"/>
            <w:noWrap w:val="0"/>
            <w:vAlign w:val="center"/>
          </w:tcPr>
          <w:p>
            <w:pPr>
              <w:widowControl/>
              <w:jc w:val="center"/>
              <w:rPr>
                <w:rFonts w:ascii="宋体" w:cs="宋体"/>
                <w:kern w:val="0"/>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80" w:type="pct"/>
            <w:noWrap w:val="0"/>
            <w:vAlign w:val="center"/>
          </w:tcPr>
          <w:p>
            <w:pPr>
              <w:widowControl/>
              <w:jc w:val="center"/>
              <w:rPr>
                <w:rFonts w:ascii="宋体" w:cs="宋体"/>
                <w:kern w:val="0"/>
                <w:sz w:val="18"/>
                <w:szCs w:val="18"/>
              </w:rPr>
            </w:pPr>
            <w:r>
              <w:rPr>
                <w:rFonts w:ascii="宋体" w:hAnsi="宋体" w:cs="宋体"/>
                <w:kern w:val="0"/>
                <w:sz w:val="18"/>
                <w:szCs w:val="18"/>
              </w:rPr>
              <w:t>2</w:t>
            </w:r>
          </w:p>
        </w:tc>
        <w:tc>
          <w:tcPr>
            <w:tcW w:w="425" w:type="pct"/>
            <w:vMerge w:val="continue"/>
            <w:noWrap w:val="0"/>
            <w:vAlign w:val="center"/>
          </w:tcPr>
          <w:p>
            <w:pPr>
              <w:widowControl/>
              <w:jc w:val="center"/>
              <w:rPr>
                <w:rFonts w:ascii="宋体" w:cs="宋体"/>
                <w:kern w:val="0"/>
                <w:sz w:val="18"/>
                <w:szCs w:val="18"/>
              </w:rPr>
            </w:pPr>
          </w:p>
        </w:tc>
        <w:tc>
          <w:tcPr>
            <w:tcW w:w="602" w:type="pct"/>
            <w:vMerge w:val="continue"/>
            <w:noWrap w:val="0"/>
            <w:vAlign w:val="center"/>
          </w:tcPr>
          <w:p>
            <w:pPr>
              <w:widowControl/>
              <w:jc w:val="center"/>
              <w:rPr>
                <w:rFonts w:ascii="宋体" w:cs="宋体"/>
                <w:kern w:val="0"/>
                <w:sz w:val="18"/>
                <w:szCs w:val="18"/>
              </w:rPr>
            </w:pPr>
          </w:p>
        </w:tc>
        <w:tc>
          <w:tcPr>
            <w:tcW w:w="557" w:type="pct"/>
            <w:noWrap w:val="0"/>
            <w:vAlign w:val="center"/>
          </w:tcPr>
          <w:p>
            <w:pPr>
              <w:widowControl/>
              <w:jc w:val="center"/>
              <w:rPr>
                <w:rFonts w:hint="eastAsia" w:ascii="宋体" w:eastAsia="宋体" w:cs="宋体"/>
                <w:kern w:val="0"/>
                <w:sz w:val="18"/>
                <w:szCs w:val="18"/>
                <w:lang w:eastAsia="zh-CN"/>
              </w:rPr>
            </w:pPr>
            <w:r>
              <w:rPr>
                <w:rFonts w:hint="eastAsia" w:ascii="宋体" w:hAnsi="宋体" w:cs="宋体"/>
                <w:kern w:val="0"/>
                <w:sz w:val="18"/>
                <w:szCs w:val="18"/>
                <w:lang w:eastAsia="zh-CN"/>
              </w:rPr>
              <w:t>A9幢22室</w:t>
            </w:r>
          </w:p>
        </w:tc>
        <w:tc>
          <w:tcPr>
            <w:tcW w:w="471" w:type="pct"/>
            <w:noWrap w:val="0"/>
            <w:vAlign w:val="center"/>
          </w:tcPr>
          <w:p>
            <w:pPr>
              <w:widowControl/>
              <w:jc w:val="center"/>
              <w:rPr>
                <w:rFonts w:ascii="宋体" w:cs="宋体"/>
                <w:kern w:val="0"/>
                <w:sz w:val="18"/>
                <w:szCs w:val="18"/>
              </w:rPr>
            </w:pPr>
            <w:r>
              <w:rPr>
                <w:rFonts w:hint="eastAsia" w:ascii="宋体" w:hAnsi="宋体" w:cs="宋体"/>
                <w:kern w:val="0"/>
                <w:sz w:val="18"/>
                <w:szCs w:val="18"/>
              </w:rPr>
              <w:t>车库</w:t>
            </w:r>
          </w:p>
        </w:tc>
        <w:tc>
          <w:tcPr>
            <w:tcW w:w="530" w:type="pct"/>
            <w:noWrap w:val="0"/>
            <w:vAlign w:val="center"/>
          </w:tcPr>
          <w:p>
            <w:pPr>
              <w:widowControl/>
              <w:jc w:val="center"/>
              <w:rPr>
                <w:rFonts w:hint="eastAsia" w:ascii="宋体" w:eastAsia="宋体" w:cs="宋体"/>
                <w:kern w:val="0"/>
                <w:sz w:val="18"/>
                <w:szCs w:val="18"/>
                <w:lang w:eastAsia="zh-CN"/>
              </w:rPr>
            </w:pPr>
            <w:r>
              <w:rPr>
                <w:rFonts w:hint="eastAsia"/>
                <w:color w:val="FF0000"/>
                <w:sz w:val="18"/>
                <w:szCs w:val="18"/>
              </w:rPr>
              <w:t>半地上半地下</w:t>
            </w:r>
            <w:r>
              <w:rPr>
                <w:rFonts w:hint="eastAsia" w:ascii="宋体" w:hAnsi="宋体" w:cs="宋体"/>
                <w:color w:val="FF0000"/>
                <w:kern w:val="0"/>
                <w:sz w:val="18"/>
                <w:szCs w:val="18"/>
                <w:lang w:val="en-US" w:eastAsia="zh-CN"/>
              </w:rPr>
              <w:t>/6</w:t>
            </w:r>
          </w:p>
        </w:tc>
        <w:tc>
          <w:tcPr>
            <w:tcW w:w="530" w:type="pct"/>
            <w:noWrap w:val="0"/>
            <w:vAlign w:val="center"/>
          </w:tcPr>
          <w:p>
            <w:pPr>
              <w:widowControl/>
              <w:jc w:val="center"/>
              <w:rPr>
                <w:rFonts w:hint="default" w:ascii="宋体" w:eastAsia="宋体" w:cs="宋体"/>
                <w:kern w:val="0"/>
                <w:sz w:val="18"/>
                <w:szCs w:val="18"/>
                <w:lang w:val="en-US" w:eastAsia="zh-CN"/>
              </w:rPr>
            </w:pPr>
            <w:r>
              <w:rPr>
                <w:rFonts w:hint="eastAsia" w:ascii="宋体" w:cs="宋体"/>
                <w:kern w:val="0"/>
                <w:sz w:val="18"/>
                <w:szCs w:val="18"/>
                <w:lang w:val="en-US" w:eastAsia="zh-CN"/>
              </w:rPr>
              <w:t>9.79</w:t>
            </w:r>
          </w:p>
        </w:tc>
        <w:tc>
          <w:tcPr>
            <w:tcW w:w="530" w:type="pct"/>
            <w:noWrap w:val="0"/>
            <w:vAlign w:val="center"/>
          </w:tcPr>
          <w:p>
            <w:pPr>
              <w:widowControl/>
              <w:jc w:val="center"/>
              <w:rPr>
                <w:rFonts w:hint="eastAsia" w:ascii="宋体" w:eastAsia="宋体" w:cs="宋体"/>
                <w:kern w:val="0"/>
                <w:sz w:val="18"/>
                <w:szCs w:val="18"/>
                <w:lang w:eastAsia="zh-CN"/>
              </w:rPr>
            </w:pPr>
            <w:r>
              <w:rPr>
                <w:rFonts w:hint="eastAsia" w:ascii="宋体" w:cs="宋体"/>
                <w:kern w:val="0"/>
                <w:sz w:val="18"/>
                <w:szCs w:val="18"/>
                <w:lang w:eastAsia="zh-CN"/>
              </w:rPr>
              <w:t>4600</w:t>
            </w:r>
          </w:p>
        </w:tc>
        <w:tc>
          <w:tcPr>
            <w:tcW w:w="557" w:type="pct"/>
            <w:noWrap w:val="0"/>
            <w:vAlign w:val="center"/>
          </w:tcPr>
          <w:p>
            <w:pPr>
              <w:widowControl/>
              <w:jc w:val="center"/>
              <w:rPr>
                <w:rFonts w:hint="eastAsia" w:ascii="宋体" w:eastAsia="宋体" w:cs="宋体"/>
                <w:kern w:val="0"/>
                <w:sz w:val="18"/>
                <w:szCs w:val="18"/>
                <w:lang w:eastAsia="zh-CN"/>
              </w:rPr>
            </w:pPr>
            <w:r>
              <w:rPr>
                <w:rFonts w:hint="eastAsia" w:ascii="宋体" w:cs="宋体"/>
                <w:kern w:val="0"/>
                <w:sz w:val="18"/>
                <w:szCs w:val="18"/>
                <w:lang w:eastAsia="zh-CN"/>
              </w:rPr>
              <w:t>4.50</w:t>
            </w:r>
          </w:p>
        </w:tc>
        <w:tc>
          <w:tcPr>
            <w:tcW w:w="519" w:type="pct"/>
            <w:noWrap w:val="0"/>
            <w:vAlign w:val="center"/>
          </w:tcPr>
          <w:p>
            <w:pPr>
              <w:widowControl/>
              <w:jc w:val="center"/>
              <w:rPr>
                <w:rFonts w:hint="default" w:ascii="宋体" w:eastAsia="宋体" w:cs="宋体"/>
                <w:kern w:val="0"/>
                <w:sz w:val="18"/>
                <w:szCs w:val="18"/>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863" w:type="pct"/>
            <w:gridSpan w:val="4"/>
            <w:noWrap w:val="0"/>
            <w:vAlign w:val="center"/>
          </w:tcPr>
          <w:p>
            <w:pPr>
              <w:widowControl/>
              <w:jc w:val="center"/>
              <w:rPr>
                <w:rFonts w:hint="eastAsia" w:ascii="宋体" w:hAnsi="宋体" w:eastAsia="宋体" w:cs="宋体"/>
                <w:kern w:val="0"/>
                <w:sz w:val="18"/>
                <w:szCs w:val="18"/>
                <w:lang w:eastAsia="zh-CN"/>
              </w:rPr>
            </w:pPr>
            <w:r>
              <w:rPr>
                <w:rFonts w:hint="eastAsia" w:ascii="宋体" w:cs="宋体"/>
                <w:kern w:val="0"/>
                <w:sz w:val="18"/>
                <w:szCs w:val="18"/>
                <w:lang w:val="en-US" w:eastAsia="zh-CN"/>
              </w:rPr>
              <w:t>移动物品</w:t>
            </w:r>
          </w:p>
        </w:tc>
        <w:tc>
          <w:tcPr>
            <w:tcW w:w="471" w:type="pct"/>
            <w:noWrap w:val="0"/>
            <w:vAlign w:val="center"/>
          </w:tcPr>
          <w:p>
            <w:pPr>
              <w:widowControl/>
              <w:jc w:val="center"/>
              <w:rPr>
                <w:rFonts w:hint="eastAsia" w:ascii="宋体" w:hAnsi="宋体" w:cs="宋体"/>
                <w:kern w:val="0"/>
                <w:sz w:val="18"/>
                <w:szCs w:val="18"/>
              </w:rPr>
            </w:pPr>
          </w:p>
        </w:tc>
        <w:tc>
          <w:tcPr>
            <w:tcW w:w="530" w:type="pct"/>
            <w:noWrap w:val="0"/>
            <w:vAlign w:val="center"/>
          </w:tcPr>
          <w:p>
            <w:pPr>
              <w:widowControl/>
              <w:jc w:val="center"/>
              <w:rPr>
                <w:rFonts w:hint="eastAsia" w:ascii="宋体" w:hAnsi="宋体" w:cs="宋体"/>
                <w:kern w:val="0"/>
                <w:sz w:val="18"/>
                <w:szCs w:val="18"/>
              </w:rPr>
            </w:pPr>
          </w:p>
        </w:tc>
        <w:tc>
          <w:tcPr>
            <w:tcW w:w="530" w:type="pct"/>
            <w:noWrap w:val="0"/>
            <w:vAlign w:val="center"/>
          </w:tcPr>
          <w:p>
            <w:pPr>
              <w:widowControl/>
              <w:jc w:val="center"/>
              <w:rPr>
                <w:rFonts w:ascii="宋体" w:hAnsi="宋体" w:cs="宋体"/>
                <w:kern w:val="0"/>
                <w:sz w:val="18"/>
                <w:szCs w:val="18"/>
              </w:rPr>
            </w:pPr>
          </w:p>
        </w:tc>
        <w:tc>
          <w:tcPr>
            <w:tcW w:w="530" w:type="pct"/>
            <w:noWrap w:val="0"/>
            <w:vAlign w:val="center"/>
          </w:tcPr>
          <w:p>
            <w:pPr>
              <w:widowControl/>
              <w:jc w:val="center"/>
              <w:rPr>
                <w:rFonts w:hint="eastAsia" w:ascii="宋体" w:cs="宋体"/>
                <w:kern w:val="0"/>
                <w:sz w:val="18"/>
                <w:szCs w:val="18"/>
              </w:rPr>
            </w:pPr>
          </w:p>
        </w:tc>
        <w:tc>
          <w:tcPr>
            <w:tcW w:w="557" w:type="pct"/>
            <w:noWrap w:val="0"/>
            <w:vAlign w:val="center"/>
          </w:tcPr>
          <w:p>
            <w:pPr>
              <w:widowControl/>
              <w:jc w:val="center"/>
              <w:rPr>
                <w:rFonts w:hint="eastAsia" w:ascii="宋体" w:eastAsia="宋体" w:cs="宋体"/>
                <w:kern w:val="0"/>
                <w:sz w:val="18"/>
                <w:szCs w:val="18"/>
                <w:lang w:eastAsia="zh-CN"/>
              </w:rPr>
            </w:pPr>
            <w:r>
              <w:rPr>
                <w:rFonts w:hint="eastAsia" w:ascii="宋体" w:cs="宋体"/>
                <w:kern w:val="0"/>
                <w:sz w:val="18"/>
                <w:szCs w:val="18"/>
                <w:lang w:eastAsia="zh-CN"/>
              </w:rPr>
              <w:t>2.95</w:t>
            </w:r>
          </w:p>
        </w:tc>
        <w:tc>
          <w:tcPr>
            <w:tcW w:w="519" w:type="pct"/>
            <w:noWrap w:val="0"/>
            <w:vAlign w:val="center"/>
          </w:tcPr>
          <w:p>
            <w:pPr>
              <w:widowControl/>
              <w:jc w:val="center"/>
              <w:rPr>
                <w:rFonts w:hint="eastAsia" w:ascii="宋体" w:hAnsi="宋体" w:cs="宋体"/>
                <w:kern w:val="0"/>
                <w:sz w:val="18"/>
                <w:szCs w:val="18"/>
                <w:highlight w:val="yellow"/>
              </w:rPr>
            </w:pPr>
            <w:r>
              <w:rPr>
                <w:rFonts w:hint="eastAsia" w:ascii="宋体" w:hAnsi="宋体" w:cs="宋体"/>
                <w:kern w:val="0"/>
                <w:sz w:val="18"/>
                <w:szCs w:val="18"/>
              </w:rPr>
              <w:t>详见报告后附表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863" w:type="pct"/>
            <w:gridSpan w:val="4"/>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471" w:type="pct"/>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530" w:type="pct"/>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w:t>
            </w:r>
          </w:p>
        </w:tc>
        <w:tc>
          <w:tcPr>
            <w:tcW w:w="530" w:type="pct"/>
            <w:noWrap w:val="0"/>
            <w:vAlign w:val="center"/>
          </w:tcPr>
          <w:p>
            <w:pPr>
              <w:widowControl/>
              <w:jc w:val="center"/>
              <w:rPr>
                <w:rFonts w:ascii="宋体" w:hAnsi="宋体" w:cs="宋体"/>
                <w:kern w:val="0"/>
                <w:sz w:val="18"/>
                <w:szCs w:val="18"/>
              </w:rPr>
            </w:pPr>
          </w:p>
        </w:tc>
        <w:tc>
          <w:tcPr>
            <w:tcW w:w="530" w:type="pct"/>
            <w:noWrap w:val="0"/>
            <w:vAlign w:val="center"/>
          </w:tcPr>
          <w:p>
            <w:pPr>
              <w:widowControl/>
              <w:jc w:val="center"/>
              <w:rPr>
                <w:rFonts w:hint="eastAsia" w:ascii="宋体" w:cs="宋体"/>
                <w:kern w:val="0"/>
                <w:sz w:val="18"/>
                <w:szCs w:val="18"/>
              </w:rPr>
            </w:pPr>
          </w:p>
        </w:tc>
        <w:tc>
          <w:tcPr>
            <w:tcW w:w="557" w:type="pct"/>
            <w:noWrap w:val="0"/>
            <w:vAlign w:val="center"/>
          </w:tcPr>
          <w:p>
            <w:pPr>
              <w:widowControl/>
              <w:jc w:val="center"/>
              <w:rPr>
                <w:rFonts w:hint="eastAsia" w:ascii="宋体" w:eastAsia="宋体" w:cs="宋体"/>
                <w:kern w:val="0"/>
                <w:sz w:val="18"/>
                <w:szCs w:val="18"/>
                <w:lang w:eastAsia="zh-CN"/>
              </w:rPr>
            </w:pPr>
            <w:r>
              <w:rPr>
                <w:rFonts w:hint="eastAsia" w:ascii="宋体" w:cs="宋体"/>
                <w:kern w:val="0"/>
                <w:sz w:val="18"/>
                <w:szCs w:val="18"/>
                <w:lang w:eastAsia="zh-CN"/>
              </w:rPr>
              <w:t>215.39</w:t>
            </w:r>
          </w:p>
        </w:tc>
        <w:tc>
          <w:tcPr>
            <w:tcW w:w="519" w:type="pct"/>
            <w:noWrap w:val="0"/>
            <w:vAlign w:val="center"/>
          </w:tcPr>
          <w:p>
            <w:pPr>
              <w:widowControl/>
              <w:jc w:val="center"/>
              <w:rPr>
                <w:rFonts w:hint="eastAsia" w:ascii="宋体" w:hAnsi="宋体" w:cs="宋体"/>
                <w:kern w:val="0"/>
                <w:sz w:val="18"/>
                <w:szCs w:val="18"/>
                <w:highlight w:val="yellow"/>
              </w:rPr>
            </w:pPr>
          </w:p>
        </w:tc>
      </w:tr>
    </w:tbl>
    <w:p>
      <w:pPr>
        <w:spacing w:line="440" w:lineRule="exact"/>
        <w:ind w:firstLine="560" w:firstLineChars="200"/>
        <w:rPr>
          <w:rFonts w:eastAsia="仿宋_GB2312"/>
          <w:sz w:val="28"/>
          <w:szCs w:val="28"/>
        </w:rPr>
      </w:pPr>
      <w:r>
        <w:rPr>
          <w:rFonts w:hint="eastAsia" w:eastAsia="仿宋_GB2312"/>
          <w:sz w:val="28"/>
          <w:szCs w:val="28"/>
        </w:rPr>
        <w:t>特别提示：估价委托人在使用本报告时，务请注意本评估结果报告中的估价的假设和限制条件，并且报告的全文作为一个不可分割的整体，仅有部分内容则不能成为有效的评估报告。</w:t>
      </w:r>
    </w:p>
    <w:p>
      <w:pPr>
        <w:spacing w:line="460" w:lineRule="exact"/>
        <w:ind w:firstLine="2679" w:firstLineChars="957"/>
        <w:jc w:val="right"/>
        <w:rPr>
          <w:rFonts w:eastAsia="仿宋_GB2312"/>
          <w:sz w:val="28"/>
        </w:rPr>
      </w:pPr>
      <w:r>
        <w:rPr>
          <w:rFonts w:eastAsia="仿宋_GB2312"/>
          <w:sz w:val="28"/>
        </w:rPr>
        <w:t xml:space="preserve">江苏瑞地土地房地产评估有限公司                </w:t>
      </w:r>
    </w:p>
    <w:p>
      <w:pPr>
        <w:spacing w:line="460" w:lineRule="exact"/>
        <w:jc w:val="right"/>
        <w:rPr>
          <w:rFonts w:hint="eastAsia" w:eastAsia="仿宋_GB2312"/>
          <w:sz w:val="30"/>
          <w:lang w:eastAsia="zh-CN"/>
        </w:rPr>
      </w:pPr>
      <w:r>
        <w:rPr>
          <w:rFonts w:eastAsia="仿宋_GB2312"/>
          <w:sz w:val="28"/>
        </w:rPr>
        <w:t xml:space="preserve">             </w:t>
      </w:r>
      <w:r>
        <w:rPr>
          <w:rFonts w:hint="eastAsia" w:eastAsia="仿宋_GB2312"/>
          <w:sz w:val="28"/>
          <w:lang w:eastAsia="zh-CN"/>
        </w:rPr>
        <w:t xml:space="preserve">  二○二二年十月二十八日</w:t>
      </w:r>
    </w:p>
    <w:p>
      <w:pPr>
        <w:jc w:val="center"/>
        <w:rPr>
          <w:sz w:val="36"/>
        </w:rPr>
      </w:pPr>
    </w:p>
    <w:p>
      <w:pPr>
        <w:jc w:val="both"/>
        <w:rPr>
          <w:sz w:val="36"/>
        </w:rPr>
      </w:pPr>
    </w:p>
    <w:p>
      <w:pPr>
        <w:jc w:val="center"/>
        <w:rPr>
          <w:sz w:val="36"/>
        </w:rPr>
      </w:pPr>
      <w:r>
        <w:rPr>
          <w:sz w:val="36"/>
        </w:rPr>
        <w:t>目   录</w:t>
      </w:r>
    </w:p>
    <w:p>
      <w:pPr>
        <w:rPr>
          <w:sz w:val="30"/>
        </w:rPr>
      </w:pPr>
    </w:p>
    <w:p>
      <w:pPr>
        <w:pStyle w:val="16"/>
        <w:tabs>
          <w:tab w:val="right" w:leader="dot" w:pos="8408"/>
        </w:tabs>
        <w:spacing w:line="460" w:lineRule="exact"/>
      </w:pPr>
      <w:r>
        <w:rPr>
          <w:rFonts w:hint="eastAsia" w:ascii="宋体" w:hAnsi="宋体" w:cs="宋体"/>
          <w:szCs w:val="21"/>
        </w:rPr>
        <w:fldChar w:fldCharType="begin"/>
      </w:r>
      <w:r>
        <w:rPr>
          <w:rFonts w:hint="eastAsia" w:ascii="宋体" w:hAnsi="宋体" w:cs="宋体"/>
          <w:szCs w:val="21"/>
        </w:rPr>
        <w:instrText xml:space="preserve">TOC \o "1-3" \h \u </w:instrText>
      </w:r>
      <w:r>
        <w:rPr>
          <w:rFonts w:hint="eastAsia" w:ascii="宋体" w:hAnsi="宋体" w:cs="宋体"/>
          <w:szCs w:val="21"/>
        </w:rPr>
        <w:fldChar w:fldCharType="separate"/>
      </w:r>
      <w:r>
        <w:fldChar w:fldCharType="begin"/>
      </w:r>
      <w:r>
        <w:instrText xml:space="preserve"> HYPERLINK \l "_Toc2936" </w:instrText>
      </w:r>
      <w:r>
        <w:fldChar w:fldCharType="separate"/>
      </w:r>
      <w:r>
        <w:rPr>
          <w:rFonts w:hint="eastAsia" w:ascii="宋体" w:hAnsi="宋体" w:cs="宋体"/>
          <w:szCs w:val="36"/>
        </w:rPr>
        <w:t>估 价 师 声 明</w:t>
      </w:r>
      <w:r>
        <w:tab/>
      </w:r>
      <w:r>
        <w:fldChar w:fldCharType="begin"/>
      </w:r>
      <w:r>
        <w:instrText xml:space="preserve"> PAGEREF _Toc2936 </w:instrText>
      </w:r>
      <w:r>
        <w:fldChar w:fldCharType="separate"/>
      </w:r>
      <w:r>
        <w:t>4</w:t>
      </w:r>
      <w:r>
        <w:fldChar w:fldCharType="end"/>
      </w:r>
      <w:r>
        <w:fldChar w:fldCharType="end"/>
      </w:r>
    </w:p>
    <w:p>
      <w:pPr>
        <w:pStyle w:val="16"/>
        <w:tabs>
          <w:tab w:val="right" w:leader="dot" w:pos="8408"/>
        </w:tabs>
        <w:spacing w:line="460" w:lineRule="exact"/>
      </w:pPr>
      <w:r>
        <w:fldChar w:fldCharType="begin"/>
      </w:r>
      <w:r>
        <w:instrText xml:space="preserve"> HYPERLINK \l "_Toc8744" </w:instrText>
      </w:r>
      <w:r>
        <w:fldChar w:fldCharType="separate"/>
      </w:r>
      <w:r>
        <w:rPr>
          <w:rFonts w:hint="eastAsia" w:ascii="宋体" w:hAnsi="宋体" w:cs="宋体"/>
          <w:szCs w:val="36"/>
        </w:rPr>
        <w:t>估价的假设和限制条件</w:t>
      </w:r>
      <w:r>
        <w:tab/>
      </w:r>
      <w:r>
        <w:fldChar w:fldCharType="begin"/>
      </w:r>
      <w:r>
        <w:instrText xml:space="preserve"> PAGEREF _Toc8744 </w:instrText>
      </w:r>
      <w:r>
        <w:fldChar w:fldCharType="separate"/>
      </w:r>
      <w:r>
        <w:t>5</w:t>
      </w:r>
      <w:r>
        <w:fldChar w:fldCharType="end"/>
      </w:r>
      <w:r>
        <w:fldChar w:fldCharType="end"/>
      </w:r>
    </w:p>
    <w:p>
      <w:pPr>
        <w:pStyle w:val="16"/>
        <w:tabs>
          <w:tab w:val="right" w:leader="dot" w:pos="8408"/>
        </w:tabs>
        <w:spacing w:line="460" w:lineRule="exact"/>
      </w:pPr>
      <w:r>
        <w:fldChar w:fldCharType="begin"/>
      </w:r>
      <w:r>
        <w:instrText xml:space="preserve"> HYPERLINK \l "_Toc32260" </w:instrText>
      </w:r>
      <w:r>
        <w:fldChar w:fldCharType="separate"/>
      </w:r>
      <w:r>
        <w:rPr>
          <w:rFonts w:hint="eastAsia" w:ascii="宋体" w:hAnsi="宋体" w:cs="宋体"/>
          <w:szCs w:val="36"/>
        </w:rPr>
        <w:t>房地产估价司法鉴定评估结果报告</w:t>
      </w:r>
      <w:r>
        <w:tab/>
      </w:r>
      <w:r>
        <w:fldChar w:fldCharType="begin"/>
      </w:r>
      <w:r>
        <w:instrText xml:space="preserve"> PAGEREF _Toc32260 </w:instrText>
      </w:r>
      <w:r>
        <w:fldChar w:fldCharType="separate"/>
      </w:r>
      <w:r>
        <w:t>8</w:t>
      </w:r>
      <w:r>
        <w:fldChar w:fldCharType="end"/>
      </w:r>
      <w:r>
        <w:fldChar w:fldCharType="end"/>
      </w:r>
    </w:p>
    <w:p>
      <w:pPr>
        <w:pStyle w:val="8"/>
        <w:tabs>
          <w:tab w:val="right" w:leader="dot" w:pos="8408"/>
        </w:tabs>
        <w:spacing w:line="460" w:lineRule="exact"/>
      </w:pPr>
      <w:r>
        <w:fldChar w:fldCharType="begin"/>
      </w:r>
      <w:r>
        <w:instrText xml:space="preserve"> HYPERLINK \l "_Toc10332" </w:instrText>
      </w:r>
      <w:r>
        <w:fldChar w:fldCharType="separate"/>
      </w:r>
      <w:r>
        <w:rPr>
          <w:szCs w:val="30"/>
        </w:rPr>
        <w:t>一、估价委托人</w:t>
      </w:r>
      <w:r>
        <w:tab/>
      </w:r>
      <w:r>
        <w:fldChar w:fldCharType="begin"/>
      </w:r>
      <w:r>
        <w:instrText xml:space="preserve"> PAGEREF _Toc10332 </w:instrText>
      </w:r>
      <w:r>
        <w:fldChar w:fldCharType="separate"/>
      </w:r>
      <w:r>
        <w:t>8</w:t>
      </w:r>
      <w:r>
        <w:fldChar w:fldCharType="end"/>
      </w:r>
      <w:r>
        <w:fldChar w:fldCharType="end"/>
      </w:r>
    </w:p>
    <w:p>
      <w:pPr>
        <w:pStyle w:val="8"/>
        <w:tabs>
          <w:tab w:val="right" w:leader="dot" w:pos="8408"/>
        </w:tabs>
        <w:spacing w:line="460" w:lineRule="exact"/>
      </w:pPr>
      <w:r>
        <w:fldChar w:fldCharType="begin"/>
      </w:r>
      <w:r>
        <w:instrText xml:space="preserve"> HYPERLINK \l "_Toc22140" </w:instrText>
      </w:r>
      <w:r>
        <w:fldChar w:fldCharType="separate"/>
      </w:r>
      <w:r>
        <w:rPr>
          <w:rFonts w:hint="eastAsia"/>
          <w:szCs w:val="30"/>
        </w:rPr>
        <w:t>二</w:t>
      </w:r>
      <w:r>
        <w:rPr>
          <w:szCs w:val="30"/>
        </w:rPr>
        <w:t>、</w:t>
      </w:r>
      <w:r>
        <w:rPr>
          <w:rFonts w:hint="eastAsia"/>
          <w:szCs w:val="30"/>
        </w:rPr>
        <w:t>房地产估价机构</w:t>
      </w:r>
      <w:r>
        <w:tab/>
      </w:r>
      <w:r>
        <w:fldChar w:fldCharType="begin"/>
      </w:r>
      <w:r>
        <w:instrText xml:space="preserve"> PAGEREF _Toc22140 </w:instrText>
      </w:r>
      <w:r>
        <w:fldChar w:fldCharType="separate"/>
      </w:r>
      <w:r>
        <w:t>8</w:t>
      </w:r>
      <w:r>
        <w:fldChar w:fldCharType="end"/>
      </w:r>
      <w:r>
        <w:fldChar w:fldCharType="end"/>
      </w:r>
    </w:p>
    <w:p>
      <w:pPr>
        <w:pStyle w:val="8"/>
        <w:tabs>
          <w:tab w:val="right" w:leader="dot" w:pos="8408"/>
        </w:tabs>
        <w:spacing w:line="460" w:lineRule="exact"/>
      </w:pPr>
      <w:r>
        <w:fldChar w:fldCharType="begin"/>
      </w:r>
      <w:r>
        <w:instrText xml:space="preserve"> HYPERLINK \l "_Toc20432" </w:instrText>
      </w:r>
      <w:r>
        <w:fldChar w:fldCharType="separate"/>
      </w:r>
      <w:r>
        <w:rPr>
          <w:rFonts w:hint="eastAsia"/>
          <w:szCs w:val="30"/>
        </w:rPr>
        <w:t>三、估价目的</w:t>
      </w:r>
      <w:r>
        <w:tab/>
      </w:r>
      <w:r>
        <w:fldChar w:fldCharType="begin"/>
      </w:r>
      <w:r>
        <w:instrText xml:space="preserve"> PAGEREF _Toc20432 </w:instrText>
      </w:r>
      <w:r>
        <w:fldChar w:fldCharType="separate"/>
      </w:r>
      <w:r>
        <w:t>8</w:t>
      </w:r>
      <w:r>
        <w:fldChar w:fldCharType="end"/>
      </w:r>
      <w:r>
        <w:fldChar w:fldCharType="end"/>
      </w:r>
    </w:p>
    <w:p>
      <w:pPr>
        <w:pStyle w:val="8"/>
        <w:tabs>
          <w:tab w:val="right" w:leader="dot" w:pos="8408"/>
        </w:tabs>
        <w:spacing w:line="460" w:lineRule="exact"/>
      </w:pPr>
      <w:r>
        <w:fldChar w:fldCharType="begin"/>
      </w:r>
      <w:r>
        <w:instrText xml:space="preserve"> HYPERLINK \l "_Toc30502" </w:instrText>
      </w:r>
      <w:r>
        <w:fldChar w:fldCharType="separate"/>
      </w:r>
      <w:r>
        <w:rPr>
          <w:rFonts w:hint="eastAsia"/>
          <w:szCs w:val="30"/>
        </w:rPr>
        <w:t>四、估价对象</w:t>
      </w:r>
      <w:r>
        <w:tab/>
      </w:r>
      <w:r>
        <w:fldChar w:fldCharType="begin"/>
      </w:r>
      <w:r>
        <w:instrText xml:space="preserve"> PAGEREF _Toc30502 </w:instrText>
      </w:r>
      <w:r>
        <w:fldChar w:fldCharType="separate"/>
      </w:r>
      <w:r>
        <w:t>8</w:t>
      </w:r>
      <w:r>
        <w:fldChar w:fldCharType="end"/>
      </w:r>
      <w:r>
        <w:fldChar w:fldCharType="end"/>
      </w:r>
    </w:p>
    <w:p>
      <w:pPr>
        <w:pStyle w:val="8"/>
        <w:tabs>
          <w:tab w:val="right" w:leader="dot" w:pos="8408"/>
        </w:tabs>
        <w:spacing w:line="460" w:lineRule="exact"/>
      </w:pPr>
      <w:r>
        <w:fldChar w:fldCharType="begin"/>
      </w:r>
      <w:r>
        <w:instrText xml:space="preserve"> HYPERLINK \l "_Toc11233" </w:instrText>
      </w:r>
      <w:r>
        <w:fldChar w:fldCharType="separate"/>
      </w:r>
      <w:r>
        <w:rPr>
          <w:rFonts w:hint="eastAsia"/>
          <w:szCs w:val="30"/>
        </w:rPr>
        <w:t>五、价值时点</w:t>
      </w:r>
      <w:r>
        <w:tab/>
      </w:r>
      <w:r>
        <w:fldChar w:fldCharType="begin"/>
      </w:r>
      <w:r>
        <w:instrText xml:space="preserve"> PAGEREF _Toc11233 </w:instrText>
      </w:r>
      <w:r>
        <w:fldChar w:fldCharType="separate"/>
      </w:r>
      <w:r>
        <w:t>11</w:t>
      </w:r>
      <w:r>
        <w:fldChar w:fldCharType="end"/>
      </w:r>
      <w:r>
        <w:fldChar w:fldCharType="end"/>
      </w:r>
    </w:p>
    <w:p>
      <w:pPr>
        <w:pStyle w:val="8"/>
        <w:tabs>
          <w:tab w:val="right" w:leader="dot" w:pos="8408"/>
        </w:tabs>
        <w:spacing w:line="460" w:lineRule="exact"/>
      </w:pPr>
      <w:r>
        <w:fldChar w:fldCharType="begin"/>
      </w:r>
      <w:r>
        <w:instrText xml:space="preserve"> HYPERLINK \l "_Toc8045" </w:instrText>
      </w:r>
      <w:r>
        <w:fldChar w:fldCharType="separate"/>
      </w:r>
      <w:r>
        <w:rPr>
          <w:rFonts w:hint="eastAsia"/>
          <w:szCs w:val="30"/>
        </w:rPr>
        <w:t>六、价值类型</w:t>
      </w:r>
      <w:r>
        <w:tab/>
      </w:r>
      <w:r>
        <w:fldChar w:fldCharType="begin"/>
      </w:r>
      <w:r>
        <w:instrText xml:space="preserve"> PAGEREF _Toc8045 </w:instrText>
      </w:r>
      <w:r>
        <w:fldChar w:fldCharType="separate"/>
      </w:r>
      <w:r>
        <w:t>11</w:t>
      </w:r>
      <w:r>
        <w:fldChar w:fldCharType="end"/>
      </w:r>
      <w:r>
        <w:fldChar w:fldCharType="end"/>
      </w:r>
    </w:p>
    <w:p>
      <w:pPr>
        <w:pStyle w:val="8"/>
        <w:tabs>
          <w:tab w:val="right" w:leader="dot" w:pos="8408"/>
        </w:tabs>
        <w:spacing w:line="460" w:lineRule="exact"/>
      </w:pPr>
      <w:r>
        <w:fldChar w:fldCharType="begin"/>
      </w:r>
      <w:r>
        <w:instrText xml:space="preserve"> HYPERLINK \l "_Toc6594" </w:instrText>
      </w:r>
      <w:r>
        <w:fldChar w:fldCharType="separate"/>
      </w:r>
      <w:r>
        <w:rPr>
          <w:rFonts w:hint="eastAsia"/>
          <w:szCs w:val="30"/>
        </w:rPr>
        <w:t>七、估价依据</w:t>
      </w:r>
      <w:r>
        <w:tab/>
      </w:r>
      <w:r>
        <w:fldChar w:fldCharType="begin"/>
      </w:r>
      <w:r>
        <w:instrText xml:space="preserve"> PAGEREF _Toc6594 </w:instrText>
      </w:r>
      <w:r>
        <w:fldChar w:fldCharType="separate"/>
      </w:r>
      <w:r>
        <w:t>11</w:t>
      </w:r>
      <w:r>
        <w:fldChar w:fldCharType="end"/>
      </w:r>
      <w:r>
        <w:fldChar w:fldCharType="end"/>
      </w:r>
    </w:p>
    <w:p>
      <w:pPr>
        <w:pStyle w:val="8"/>
        <w:tabs>
          <w:tab w:val="right" w:leader="dot" w:pos="8408"/>
        </w:tabs>
        <w:spacing w:line="460" w:lineRule="exact"/>
      </w:pPr>
      <w:r>
        <w:fldChar w:fldCharType="begin"/>
      </w:r>
      <w:r>
        <w:instrText xml:space="preserve"> HYPERLINK \l "_Toc19783" </w:instrText>
      </w:r>
      <w:r>
        <w:fldChar w:fldCharType="separate"/>
      </w:r>
      <w:r>
        <w:rPr>
          <w:rFonts w:hint="eastAsia"/>
          <w:szCs w:val="30"/>
        </w:rPr>
        <w:t>八、估价原则</w:t>
      </w:r>
      <w:r>
        <w:tab/>
      </w:r>
      <w:r>
        <w:fldChar w:fldCharType="begin"/>
      </w:r>
      <w:r>
        <w:instrText xml:space="preserve"> PAGEREF _Toc19783 </w:instrText>
      </w:r>
      <w:r>
        <w:fldChar w:fldCharType="separate"/>
      </w:r>
      <w:r>
        <w:t>13</w:t>
      </w:r>
      <w:r>
        <w:fldChar w:fldCharType="end"/>
      </w:r>
      <w:r>
        <w:fldChar w:fldCharType="end"/>
      </w:r>
    </w:p>
    <w:p>
      <w:pPr>
        <w:pStyle w:val="8"/>
        <w:tabs>
          <w:tab w:val="right" w:leader="dot" w:pos="8408"/>
        </w:tabs>
        <w:spacing w:line="460" w:lineRule="exact"/>
      </w:pPr>
      <w:r>
        <w:fldChar w:fldCharType="begin"/>
      </w:r>
      <w:r>
        <w:instrText xml:space="preserve"> HYPERLINK \l "_Toc9949" </w:instrText>
      </w:r>
      <w:r>
        <w:fldChar w:fldCharType="separate"/>
      </w:r>
      <w:r>
        <w:rPr>
          <w:rFonts w:hint="eastAsia"/>
          <w:szCs w:val="30"/>
        </w:rPr>
        <w:t>九、估价方法</w:t>
      </w:r>
      <w:r>
        <w:tab/>
      </w:r>
      <w:r>
        <w:fldChar w:fldCharType="begin"/>
      </w:r>
      <w:r>
        <w:instrText xml:space="preserve"> PAGEREF _Toc9949 </w:instrText>
      </w:r>
      <w:r>
        <w:fldChar w:fldCharType="separate"/>
      </w:r>
      <w:r>
        <w:t>13</w:t>
      </w:r>
      <w:r>
        <w:fldChar w:fldCharType="end"/>
      </w:r>
      <w:r>
        <w:fldChar w:fldCharType="end"/>
      </w:r>
    </w:p>
    <w:p>
      <w:pPr>
        <w:pStyle w:val="8"/>
        <w:tabs>
          <w:tab w:val="right" w:leader="dot" w:pos="8408"/>
        </w:tabs>
        <w:spacing w:line="460" w:lineRule="exact"/>
        <w:rPr>
          <w:rFonts w:hint="eastAsia" w:eastAsia="宋体"/>
          <w:lang w:val="en-US" w:eastAsia="zh-CN"/>
        </w:rPr>
      </w:pPr>
      <w:r>
        <w:fldChar w:fldCharType="begin"/>
      </w:r>
      <w:r>
        <w:instrText xml:space="preserve"> HYPERLINK \l "_Toc27288" </w:instrText>
      </w:r>
      <w:r>
        <w:fldChar w:fldCharType="separate"/>
      </w:r>
      <w:r>
        <w:rPr>
          <w:rFonts w:hint="eastAsia"/>
          <w:szCs w:val="30"/>
        </w:rPr>
        <w:t>十、估价结果</w:t>
      </w:r>
      <w:r>
        <w:tab/>
      </w:r>
      <w:r>
        <w:rPr>
          <w:rFonts w:hint="eastAsia"/>
          <w:lang w:val="en-US" w:eastAsia="zh-CN"/>
        </w:rPr>
        <w:t>1</w:t>
      </w:r>
      <w:r>
        <w:fldChar w:fldCharType="end"/>
      </w:r>
      <w:r>
        <w:rPr>
          <w:rFonts w:hint="eastAsia"/>
          <w:lang w:val="en-US" w:eastAsia="zh-CN"/>
        </w:rPr>
        <w:t>5</w:t>
      </w:r>
    </w:p>
    <w:p>
      <w:pPr>
        <w:pStyle w:val="8"/>
        <w:tabs>
          <w:tab w:val="right" w:leader="dot" w:pos="8408"/>
        </w:tabs>
        <w:spacing w:line="460" w:lineRule="exact"/>
      </w:pPr>
      <w:r>
        <w:fldChar w:fldCharType="begin"/>
      </w:r>
      <w:r>
        <w:instrText xml:space="preserve"> HYPERLINK \l "_Toc26402" </w:instrText>
      </w:r>
      <w:r>
        <w:fldChar w:fldCharType="separate"/>
      </w:r>
      <w:r>
        <w:rPr>
          <w:rFonts w:hint="eastAsia"/>
          <w:szCs w:val="30"/>
        </w:rPr>
        <w:t>十一、注册房估价师</w:t>
      </w:r>
      <w:r>
        <w:tab/>
      </w:r>
      <w:r>
        <w:fldChar w:fldCharType="begin"/>
      </w:r>
      <w:r>
        <w:instrText xml:space="preserve"> PAGEREF _Toc26402 </w:instrText>
      </w:r>
      <w:r>
        <w:fldChar w:fldCharType="separate"/>
      </w:r>
      <w:r>
        <w:t>15</w:t>
      </w:r>
      <w:r>
        <w:fldChar w:fldCharType="end"/>
      </w:r>
      <w:r>
        <w:fldChar w:fldCharType="end"/>
      </w:r>
    </w:p>
    <w:p>
      <w:pPr>
        <w:pStyle w:val="8"/>
        <w:tabs>
          <w:tab w:val="right" w:leader="dot" w:pos="8408"/>
        </w:tabs>
        <w:spacing w:line="460" w:lineRule="exact"/>
      </w:pPr>
      <w:r>
        <w:fldChar w:fldCharType="begin"/>
      </w:r>
      <w:r>
        <w:instrText xml:space="preserve"> HYPERLINK \l "_Toc11971" </w:instrText>
      </w:r>
      <w:r>
        <w:fldChar w:fldCharType="separate"/>
      </w:r>
      <w:r>
        <w:rPr>
          <w:rFonts w:hint="eastAsia"/>
          <w:szCs w:val="30"/>
        </w:rPr>
        <w:t>十二、实地查勘期</w:t>
      </w:r>
      <w:r>
        <w:tab/>
      </w:r>
      <w:r>
        <w:fldChar w:fldCharType="begin"/>
      </w:r>
      <w:r>
        <w:instrText xml:space="preserve"> PAGEREF _Toc11971 </w:instrText>
      </w:r>
      <w:r>
        <w:fldChar w:fldCharType="separate"/>
      </w:r>
      <w:r>
        <w:t>15</w:t>
      </w:r>
      <w:r>
        <w:fldChar w:fldCharType="end"/>
      </w:r>
      <w:r>
        <w:fldChar w:fldCharType="end"/>
      </w:r>
    </w:p>
    <w:p>
      <w:pPr>
        <w:pStyle w:val="8"/>
        <w:tabs>
          <w:tab w:val="right" w:leader="dot" w:pos="8408"/>
        </w:tabs>
        <w:spacing w:line="460" w:lineRule="exact"/>
      </w:pPr>
      <w:r>
        <w:fldChar w:fldCharType="begin"/>
      </w:r>
      <w:r>
        <w:instrText xml:space="preserve"> HYPERLINK \l "_Toc8910" </w:instrText>
      </w:r>
      <w:r>
        <w:fldChar w:fldCharType="separate"/>
      </w:r>
      <w:r>
        <w:rPr>
          <w:rFonts w:hint="eastAsia"/>
          <w:szCs w:val="30"/>
        </w:rPr>
        <w:t>十三、估价作业期</w:t>
      </w:r>
      <w:r>
        <w:tab/>
      </w:r>
      <w:r>
        <w:fldChar w:fldCharType="begin"/>
      </w:r>
      <w:r>
        <w:instrText xml:space="preserve"> PAGEREF _Toc8910 </w:instrText>
      </w:r>
      <w:r>
        <w:fldChar w:fldCharType="separate"/>
      </w:r>
      <w:r>
        <w:t>15</w:t>
      </w:r>
      <w:r>
        <w:fldChar w:fldCharType="end"/>
      </w:r>
      <w:r>
        <w:fldChar w:fldCharType="end"/>
      </w:r>
    </w:p>
    <w:p>
      <w:pPr>
        <w:pStyle w:val="8"/>
        <w:tabs>
          <w:tab w:val="right" w:leader="dot" w:pos="8408"/>
        </w:tabs>
        <w:spacing w:line="460" w:lineRule="exact"/>
      </w:pPr>
      <w:r>
        <w:fldChar w:fldCharType="begin"/>
      </w:r>
      <w:r>
        <w:instrText xml:space="preserve"> HYPERLINK \l "_Toc7639" </w:instrText>
      </w:r>
      <w:r>
        <w:fldChar w:fldCharType="separate"/>
      </w:r>
      <w:r>
        <w:rPr>
          <w:rFonts w:hint="eastAsia"/>
          <w:szCs w:val="30"/>
        </w:rPr>
        <w:t>十四、房地产估价报告使用提示</w:t>
      </w:r>
      <w:r>
        <w:tab/>
      </w:r>
      <w:r>
        <w:fldChar w:fldCharType="begin"/>
      </w:r>
      <w:r>
        <w:instrText xml:space="preserve"> PAGEREF _Toc7639 </w:instrText>
      </w:r>
      <w:r>
        <w:fldChar w:fldCharType="separate"/>
      </w:r>
      <w:r>
        <w:t>15</w:t>
      </w:r>
      <w:r>
        <w:fldChar w:fldCharType="end"/>
      </w:r>
      <w:r>
        <w:fldChar w:fldCharType="end"/>
      </w:r>
    </w:p>
    <w:p>
      <w:pPr>
        <w:pStyle w:val="8"/>
        <w:tabs>
          <w:tab w:val="right" w:leader="dot" w:pos="8408"/>
        </w:tabs>
        <w:spacing w:line="460" w:lineRule="exact"/>
        <w:rPr>
          <w:rFonts w:hint="eastAsia" w:eastAsia="宋体"/>
          <w:lang w:val="en-US" w:eastAsia="zh-CN"/>
        </w:rPr>
      </w:pPr>
      <w:r>
        <w:fldChar w:fldCharType="begin"/>
      </w:r>
      <w:r>
        <w:instrText xml:space="preserve"> HYPERLINK \l "_Toc16241" </w:instrText>
      </w:r>
      <w:r>
        <w:fldChar w:fldCharType="separate"/>
      </w:r>
      <w:r>
        <w:rPr>
          <w:rFonts w:hint="eastAsia"/>
          <w:szCs w:val="30"/>
        </w:rPr>
        <w:t>附　件</w:t>
      </w:r>
      <w:r>
        <w:tab/>
      </w:r>
      <w:r>
        <w:rPr>
          <w:rFonts w:hint="eastAsia"/>
          <w:lang w:val="en-US" w:eastAsia="zh-CN"/>
        </w:rPr>
        <w:t>1</w:t>
      </w:r>
      <w:r>
        <w:fldChar w:fldCharType="end"/>
      </w:r>
      <w:r>
        <w:rPr>
          <w:rFonts w:hint="eastAsia"/>
          <w:lang w:val="en-US" w:eastAsia="zh-CN"/>
        </w:rPr>
        <w:t>7</w:t>
      </w:r>
    </w:p>
    <w:p>
      <w:pPr>
        <w:autoSpaceDE w:val="0"/>
        <w:autoSpaceDN w:val="0"/>
        <w:snapToGrid w:val="0"/>
        <w:spacing w:line="520" w:lineRule="exact"/>
        <w:ind w:left="1677" w:leftChars="582" w:right="-340" w:hanging="455" w:hangingChars="217"/>
        <w:jc w:val="left"/>
        <w:textAlignment w:val="bottom"/>
        <w:rPr>
          <w:rFonts w:ascii="宋体" w:hAnsi="宋体" w:cs="宋体"/>
          <w:szCs w:val="21"/>
        </w:rPr>
      </w:pPr>
      <w:r>
        <w:rPr>
          <w:rFonts w:hint="eastAsia" w:ascii="宋体" w:hAnsi="宋体" w:cs="宋体"/>
          <w:szCs w:val="21"/>
        </w:rPr>
        <w:fldChar w:fldCharType="end"/>
      </w:r>
      <w:r>
        <w:rPr>
          <w:rFonts w:hint="eastAsia" w:ascii="宋体" w:hAnsi="宋体" w:cs="宋体"/>
          <w:szCs w:val="21"/>
        </w:rPr>
        <w:t>1、</w:t>
      </w:r>
      <w:r>
        <w:rPr>
          <w:rFonts w:hint="eastAsia" w:ascii="宋体" w:hAnsi="宋体" w:cs="宋体"/>
          <w:szCs w:val="21"/>
          <w:lang w:eastAsia="zh-CN"/>
        </w:rPr>
        <w:t>（2022）苏0902法委鉴字第0</w:t>
      </w:r>
      <w:r>
        <w:rPr>
          <w:rFonts w:hint="eastAsia" w:ascii="宋体" w:hAnsi="宋体" w:cs="宋体"/>
          <w:szCs w:val="21"/>
          <w:lang w:val="en-US" w:eastAsia="zh-CN"/>
        </w:rPr>
        <w:t>575</w:t>
      </w:r>
      <w:r>
        <w:rPr>
          <w:rFonts w:hint="eastAsia" w:ascii="宋体" w:hAnsi="宋体" w:cs="宋体"/>
          <w:szCs w:val="21"/>
          <w:lang w:eastAsia="zh-CN"/>
        </w:rPr>
        <w:t>号司法鉴定委托书复印件</w:t>
      </w:r>
    </w:p>
    <w:p>
      <w:pPr>
        <w:autoSpaceDE w:val="0"/>
        <w:autoSpaceDN w:val="0"/>
        <w:snapToGrid w:val="0"/>
        <w:spacing w:line="520" w:lineRule="exact"/>
        <w:ind w:left="1677" w:leftChars="582" w:right="-340" w:hanging="455" w:hangingChars="217"/>
        <w:jc w:val="left"/>
        <w:textAlignment w:val="bottom"/>
        <w:rPr>
          <w:rFonts w:ascii="宋体" w:hAnsi="宋体" w:cs="宋体"/>
          <w:szCs w:val="21"/>
        </w:rPr>
      </w:pPr>
      <w:r>
        <w:rPr>
          <w:rFonts w:hint="eastAsia" w:ascii="宋体" w:hAnsi="宋体" w:cs="宋体"/>
          <w:szCs w:val="21"/>
        </w:rPr>
        <w:t>2、</w:t>
      </w:r>
      <w:r>
        <w:rPr>
          <w:rFonts w:hint="eastAsia" w:ascii="宋体" w:hAnsi="宋体" w:cs="宋体"/>
          <w:szCs w:val="21"/>
          <w:lang w:eastAsia="zh-CN"/>
        </w:rPr>
        <w:t>《房地产权结果信息一览表》</w:t>
      </w:r>
      <w:r>
        <w:rPr>
          <w:rFonts w:hint="eastAsia" w:ascii="宋体" w:hAnsi="宋体" w:cs="宋体"/>
          <w:szCs w:val="21"/>
        </w:rPr>
        <w:t>复印件</w:t>
      </w:r>
    </w:p>
    <w:p>
      <w:pPr>
        <w:autoSpaceDE w:val="0"/>
        <w:autoSpaceDN w:val="0"/>
        <w:snapToGrid w:val="0"/>
        <w:spacing w:line="520" w:lineRule="exact"/>
        <w:ind w:left="1677" w:leftChars="582" w:right="-340" w:hanging="455" w:hangingChars="217"/>
        <w:jc w:val="left"/>
        <w:textAlignment w:val="bottom"/>
        <w:rPr>
          <w:rFonts w:ascii="宋体" w:hAnsi="宋体" w:cs="宋体"/>
          <w:szCs w:val="21"/>
        </w:rPr>
      </w:pPr>
      <w:r>
        <w:rPr>
          <w:rFonts w:hint="eastAsia" w:ascii="宋体" w:hAnsi="宋体" w:cs="宋体"/>
          <w:szCs w:val="21"/>
        </w:rPr>
        <w:t>3、估价对象现状照片</w:t>
      </w:r>
    </w:p>
    <w:p>
      <w:pPr>
        <w:autoSpaceDE w:val="0"/>
        <w:autoSpaceDN w:val="0"/>
        <w:snapToGrid w:val="0"/>
        <w:spacing w:line="520" w:lineRule="exact"/>
        <w:ind w:left="1677" w:leftChars="582" w:right="-340" w:hanging="455" w:hangingChars="217"/>
        <w:jc w:val="left"/>
        <w:textAlignment w:val="bottom"/>
        <w:rPr>
          <w:rFonts w:ascii="宋体" w:hAnsi="宋体" w:cs="宋体"/>
          <w:szCs w:val="21"/>
        </w:rPr>
      </w:pPr>
      <w:r>
        <w:rPr>
          <w:rFonts w:hint="eastAsia" w:ascii="宋体" w:hAnsi="宋体" w:cs="宋体"/>
          <w:szCs w:val="21"/>
        </w:rPr>
        <w:t>4、估价对象区域位置示意图</w:t>
      </w:r>
    </w:p>
    <w:p>
      <w:pPr>
        <w:autoSpaceDE w:val="0"/>
        <w:autoSpaceDN w:val="0"/>
        <w:snapToGrid w:val="0"/>
        <w:spacing w:line="520" w:lineRule="exact"/>
        <w:ind w:left="1677" w:leftChars="582" w:right="-340" w:hanging="455" w:hangingChars="217"/>
        <w:jc w:val="left"/>
        <w:textAlignment w:val="bottom"/>
        <w:rPr>
          <w:rFonts w:ascii="宋体" w:hAnsi="宋体" w:cs="宋体"/>
          <w:szCs w:val="21"/>
        </w:rPr>
      </w:pPr>
      <w:r>
        <w:rPr>
          <w:rFonts w:hint="eastAsia" w:ascii="宋体" w:hAnsi="宋体" w:cs="宋体"/>
          <w:szCs w:val="21"/>
        </w:rPr>
        <w:t>5、房地产估价机构营业执照复印件</w:t>
      </w:r>
    </w:p>
    <w:p>
      <w:pPr>
        <w:autoSpaceDE w:val="0"/>
        <w:autoSpaceDN w:val="0"/>
        <w:snapToGrid w:val="0"/>
        <w:spacing w:line="520" w:lineRule="exact"/>
        <w:ind w:left="1677" w:leftChars="582" w:right="-340" w:hanging="455" w:hangingChars="217"/>
        <w:jc w:val="left"/>
        <w:textAlignment w:val="bottom"/>
        <w:rPr>
          <w:rFonts w:ascii="宋体" w:hAnsi="宋体" w:cs="宋体"/>
          <w:szCs w:val="21"/>
        </w:rPr>
      </w:pPr>
      <w:r>
        <w:rPr>
          <w:rFonts w:hint="eastAsia" w:ascii="宋体" w:hAnsi="宋体" w:cs="宋体"/>
          <w:szCs w:val="21"/>
        </w:rPr>
        <w:t>6、房地产估价机构资质证书复印件</w:t>
      </w:r>
    </w:p>
    <w:p>
      <w:pPr>
        <w:autoSpaceDE w:val="0"/>
        <w:autoSpaceDN w:val="0"/>
        <w:snapToGrid w:val="0"/>
        <w:spacing w:line="520" w:lineRule="exact"/>
        <w:ind w:left="1677" w:leftChars="582" w:right="-340" w:hanging="455" w:hangingChars="217"/>
        <w:jc w:val="left"/>
        <w:textAlignment w:val="bottom"/>
        <w:rPr>
          <w:rFonts w:hint="eastAsia" w:ascii="宋体" w:hAnsi="宋体" w:cs="宋体"/>
          <w:szCs w:val="21"/>
        </w:rPr>
      </w:pPr>
      <w:r>
        <w:rPr>
          <w:rFonts w:hint="eastAsia" w:ascii="宋体" w:hAnsi="宋体" w:cs="宋体"/>
          <w:szCs w:val="21"/>
        </w:rPr>
        <w:t>7、注册房地产估价师资格证书复印件</w:t>
      </w:r>
    </w:p>
    <w:p>
      <w:pPr>
        <w:autoSpaceDE w:val="0"/>
        <w:autoSpaceDN w:val="0"/>
        <w:snapToGrid w:val="0"/>
        <w:spacing w:line="520" w:lineRule="exact"/>
        <w:ind w:left="1677" w:leftChars="582" w:right="-340" w:hanging="455" w:hangingChars="217"/>
        <w:jc w:val="left"/>
        <w:textAlignment w:val="bottom"/>
        <w:rPr>
          <w:rFonts w:hint="default" w:ascii="宋体" w:hAnsi="宋体" w:cs="宋体"/>
          <w:szCs w:val="21"/>
          <w:lang w:val="en-US" w:eastAsia="zh-CN"/>
        </w:rPr>
      </w:pPr>
      <w:r>
        <w:rPr>
          <w:rFonts w:hint="eastAsia" w:ascii="宋体" w:hAnsi="宋体" w:cs="宋体"/>
          <w:szCs w:val="21"/>
          <w:lang w:val="en-US" w:eastAsia="zh-CN"/>
        </w:rPr>
        <w:t>8、可移动物品评估明细表</w:t>
      </w:r>
    </w:p>
    <w:p>
      <w:pPr>
        <w:pStyle w:val="3"/>
        <w:jc w:val="center"/>
        <w:rPr>
          <w:rFonts w:ascii="宋体" w:hAnsi="宋体" w:eastAsia="宋体" w:cs="宋体"/>
          <w:sz w:val="36"/>
          <w:szCs w:val="36"/>
        </w:rPr>
      </w:pPr>
      <w:bookmarkStart w:id="1" w:name="_Toc2936"/>
      <w:r>
        <w:rPr>
          <w:rFonts w:hint="eastAsia" w:ascii="宋体" w:hAnsi="宋体" w:eastAsia="宋体" w:cs="宋体"/>
          <w:sz w:val="36"/>
          <w:szCs w:val="36"/>
        </w:rPr>
        <w:t>估 价 师 声 明</w:t>
      </w:r>
      <w:bookmarkEnd w:id="1"/>
    </w:p>
    <w:p>
      <w:pPr>
        <w:rPr>
          <w:sz w:val="30"/>
        </w:rPr>
      </w:pPr>
    </w:p>
    <w:p>
      <w:pPr>
        <w:spacing w:line="560" w:lineRule="exact"/>
        <w:rPr>
          <w:rFonts w:eastAsia="仿宋_GB2312"/>
          <w:sz w:val="28"/>
        </w:rPr>
      </w:pPr>
      <w:r>
        <w:rPr>
          <w:rFonts w:eastAsia="仿宋_GB2312"/>
          <w:sz w:val="28"/>
        </w:rPr>
        <w:t>我们郑重声明：</w:t>
      </w:r>
    </w:p>
    <w:p>
      <w:pPr>
        <w:spacing w:line="560" w:lineRule="exact"/>
        <w:rPr>
          <w:rFonts w:eastAsia="仿宋_GB2312"/>
          <w:sz w:val="28"/>
        </w:rPr>
      </w:pPr>
      <w:r>
        <w:rPr>
          <w:rFonts w:eastAsia="仿宋_GB2312"/>
          <w:sz w:val="28"/>
        </w:rPr>
        <w:t xml:space="preserve">    1、我们在本估价报告中陈述的事实是真实的和准确的。</w:t>
      </w:r>
    </w:p>
    <w:p>
      <w:pPr>
        <w:spacing w:line="560" w:lineRule="exact"/>
        <w:ind w:firstLine="600"/>
        <w:rPr>
          <w:rFonts w:eastAsia="仿宋_GB2312"/>
          <w:sz w:val="28"/>
        </w:rPr>
      </w:pPr>
      <w:r>
        <w:rPr>
          <w:rFonts w:eastAsia="仿宋_GB2312"/>
          <w:sz w:val="28"/>
        </w:rPr>
        <w:t>2、本估价报告中的分析、意见和结论是我们自己公正的专业分析、意见和结论，但受本估价报告中已说明的假设和限制条件的限制。</w:t>
      </w:r>
    </w:p>
    <w:p>
      <w:pPr>
        <w:spacing w:line="560" w:lineRule="exact"/>
        <w:ind w:firstLine="600"/>
        <w:rPr>
          <w:rFonts w:eastAsia="仿宋_GB2312"/>
          <w:sz w:val="28"/>
        </w:rPr>
      </w:pPr>
      <w:r>
        <w:rPr>
          <w:rFonts w:eastAsia="仿宋_GB2312"/>
          <w:sz w:val="28"/>
        </w:rPr>
        <w:t>3、我们与本次估价的估价对象没有利害关系，也与有关当事人没有个人利害关系或偏见。</w:t>
      </w:r>
    </w:p>
    <w:p>
      <w:pPr>
        <w:spacing w:line="560" w:lineRule="exact"/>
        <w:ind w:firstLine="600"/>
        <w:rPr>
          <w:rFonts w:eastAsia="仿宋_GB2312"/>
          <w:sz w:val="28"/>
        </w:rPr>
      </w:pPr>
      <w:r>
        <w:rPr>
          <w:rFonts w:eastAsia="仿宋_GB2312"/>
          <w:sz w:val="28"/>
        </w:rPr>
        <w:t>4、我们依照中华人民共和国国家标准GB/T50291-</w:t>
      </w:r>
      <w:r>
        <w:rPr>
          <w:rFonts w:hint="eastAsia" w:eastAsia="仿宋_GB2312"/>
          <w:sz w:val="28"/>
        </w:rPr>
        <w:t>2015</w:t>
      </w:r>
      <w:r>
        <w:rPr>
          <w:rFonts w:eastAsia="仿宋_GB2312"/>
          <w:sz w:val="28"/>
        </w:rPr>
        <w:t>《房地产估价规范》的要求进行分析，形成意见和结论，撰写本估价报告。</w:t>
      </w:r>
    </w:p>
    <w:p>
      <w:pPr>
        <w:spacing w:line="560" w:lineRule="exact"/>
        <w:ind w:firstLine="600"/>
        <w:rPr>
          <w:rFonts w:eastAsia="仿宋_GB2312"/>
          <w:sz w:val="28"/>
        </w:rPr>
      </w:pPr>
      <w:r>
        <w:rPr>
          <w:rFonts w:eastAsia="仿宋_GB2312"/>
          <w:sz w:val="28"/>
        </w:rPr>
        <w:t>5、我们已对本估价报告中的估价对象进行了实地勘察，并对勘察的客观性、真实性、公正性承担责任，我们对估价对象的现场勘察仅限于其外观和使用状况，对被遮盖、未暴露及难以接触到的部分 ，依据估价委托人提供的合法资料进行评估。除非另有协议，我们不承担对估价对象建筑结构质量进行调查的责任。</w:t>
      </w:r>
    </w:p>
    <w:p>
      <w:pPr>
        <w:spacing w:line="560" w:lineRule="exact"/>
        <w:ind w:firstLine="600"/>
        <w:rPr>
          <w:rFonts w:eastAsia="仿宋_GB2312"/>
          <w:sz w:val="28"/>
        </w:rPr>
      </w:pPr>
      <w:r>
        <w:rPr>
          <w:rFonts w:eastAsia="仿宋_GB2312"/>
          <w:sz w:val="28"/>
        </w:rPr>
        <w:t>6、没有人对本估价报告提供重要专业帮助。</w:t>
      </w:r>
    </w:p>
    <w:p>
      <w:pPr>
        <w:spacing w:line="560" w:lineRule="exact"/>
        <w:ind w:firstLine="600"/>
        <w:rPr>
          <w:rFonts w:eastAsia="仿宋_GB2312"/>
          <w:sz w:val="28"/>
        </w:rPr>
      </w:pPr>
      <w:r>
        <w:rPr>
          <w:rFonts w:eastAsia="仿宋_GB2312"/>
          <w:sz w:val="28"/>
        </w:rPr>
        <w:t>7、本估价报告依据了估价委托人提供的相关资料，估价委托人对资料的真实性负责。因资料失实造成估价结果有误的，</w:t>
      </w:r>
      <w:r>
        <w:rPr>
          <w:rFonts w:hint="eastAsia" w:eastAsia="仿宋_GB2312"/>
          <w:sz w:val="28"/>
        </w:rPr>
        <w:t>房地产</w:t>
      </w:r>
      <w:r>
        <w:rPr>
          <w:rFonts w:eastAsia="仿宋_GB2312"/>
          <w:sz w:val="28"/>
        </w:rPr>
        <w:t>估价机构和</w:t>
      </w:r>
      <w:r>
        <w:rPr>
          <w:rFonts w:hint="eastAsia" w:eastAsia="仿宋_GB2312"/>
          <w:sz w:val="28"/>
        </w:rPr>
        <w:t>房地产估价师</w:t>
      </w:r>
      <w:r>
        <w:rPr>
          <w:rFonts w:eastAsia="仿宋_GB2312"/>
          <w:sz w:val="28"/>
        </w:rPr>
        <w:t>不承担相应的责任。</w:t>
      </w:r>
    </w:p>
    <w:p>
      <w:pPr>
        <w:spacing w:line="560" w:lineRule="exact"/>
        <w:ind w:firstLine="600"/>
        <w:rPr>
          <w:rFonts w:eastAsia="仿宋_GB2312"/>
          <w:sz w:val="28"/>
        </w:rPr>
      </w:pPr>
      <w:r>
        <w:rPr>
          <w:rFonts w:eastAsia="仿宋_GB2312"/>
          <w:sz w:val="28"/>
        </w:rPr>
        <w:t>8、报告结果仅作为估价委托人在本次估价特定的目的下使用，不得作其他用途。未经本估价机构和</w:t>
      </w:r>
      <w:r>
        <w:rPr>
          <w:rFonts w:hint="eastAsia" w:eastAsia="仿宋_GB2312"/>
          <w:sz w:val="28"/>
        </w:rPr>
        <w:t>房地产估价师</w:t>
      </w:r>
      <w:r>
        <w:rPr>
          <w:rFonts w:eastAsia="仿宋_GB2312"/>
          <w:sz w:val="28"/>
        </w:rPr>
        <w:t>同意，估价报告不得向估价委托人及报告审查部门以外的单位及个人提供，凡因估价委托人使用估价报告不当而引起的后果，估价机构和</w:t>
      </w:r>
      <w:r>
        <w:rPr>
          <w:rFonts w:hint="eastAsia" w:eastAsia="仿宋_GB2312"/>
          <w:sz w:val="28"/>
        </w:rPr>
        <w:t>房地产估价师</w:t>
      </w:r>
      <w:r>
        <w:rPr>
          <w:rFonts w:eastAsia="仿宋_GB2312"/>
          <w:sz w:val="28"/>
        </w:rPr>
        <w:t>不承担相应的责任。</w:t>
      </w:r>
    </w:p>
    <w:p>
      <w:pPr>
        <w:spacing w:line="560" w:lineRule="exact"/>
        <w:ind w:firstLine="600"/>
        <w:rPr>
          <w:rFonts w:eastAsia="仿宋_GB2312"/>
          <w:sz w:val="28"/>
        </w:rPr>
      </w:pPr>
      <w:r>
        <w:rPr>
          <w:rFonts w:eastAsia="仿宋_GB2312"/>
          <w:sz w:val="28"/>
        </w:rPr>
        <w:t>9、本估价报告的全部或其部分内容不发表于任何公开媒体上，报告解释权为本评估机构所有。</w:t>
      </w:r>
    </w:p>
    <w:p>
      <w:pPr>
        <w:pStyle w:val="3"/>
        <w:jc w:val="center"/>
        <w:rPr>
          <w:rFonts w:hint="default" w:ascii="Times New Roman" w:hAnsi="Times New Roman" w:eastAsia="宋体" w:cs="Times New Roman"/>
          <w:sz w:val="36"/>
          <w:szCs w:val="36"/>
        </w:rPr>
      </w:pPr>
      <w:bookmarkStart w:id="2" w:name="_Toc8744"/>
      <w:r>
        <w:rPr>
          <w:rFonts w:hint="default" w:ascii="Times New Roman" w:hAnsi="Times New Roman" w:eastAsia="宋体" w:cs="Times New Roman"/>
          <w:sz w:val="36"/>
          <w:szCs w:val="36"/>
        </w:rPr>
        <w:t>估价的假设和限制条件</w:t>
      </w:r>
      <w:bookmarkEnd w:id="2"/>
    </w:p>
    <w:p>
      <w:pPr>
        <w:spacing w:line="460" w:lineRule="exact"/>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一、一般假设</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1、产权方面的假设</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对于估价对象产权，以估价委托人提供的</w:t>
      </w:r>
      <w:r>
        <w:rPr>
          <w:rFonts w:hint="eastAsia" w:eastAsia="仿宋_GB2312" w:cs="Times New Roman"/>
          <w:sz w:val="28"/>
          <w:szCs w:val="28"/>
          <w:lang w:eastAsia="zh-CN"/>
        </w:rPr>
        <w:t>《房地产权结果信息一览表》</w:t>
      </w:r>
      <w:r>
        <w:rPr>
          <w:rFonts w:hint="default" w:ascii="Times New Roman" w:hAnsi="Times New Roman" w:eastAsia="仿宋_GB2312" w:cs="Times New Roman"/>
          <w:sz w:val="28"/>
          <w:szCs w:val="28"/>
        </w:rPr>
        <w:t>为依据，我们并未到有关主管部门对</w:t>
      </w:r>
      <w:r>
        <w:rPr>
          <w:rFonts w:hint="eastAsia" w:eastAsia="仿宋_GB2312" w:cs="Times New Roman"/>
          <w:sz w:val="28"/>
          <w:szCs w:val="28"/>
          <w:lang w:eastAsia="zh-CN"/>
        </w:rPr>
        <w:t>《房地产权结果信息一览表》</w:t>
      </w:r>
      <w:r>
        <w:rPr>
          <w:rFonts w:hint="default" w:ascii="Times New Roman" w:hAnsi="Times New Roman" w:eastAsia="仿宋_GB2312" w:cs="Times New Roman"/>
          <w:sz w:val="28"/>
          <w:szCs w:val="28"/>
        </w:rPr>
        <w:t>记载内容的真实性进行核实，由估价委托人保证其产权的真实性、合法性。</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对于估价对象建筑面积、用途等影响估价结果的数据资料，以委托人提供的</w:t>
      </w:r>
      <w:r>
        <w:rPr>
          <w:rFonts w:hint="eastAsia" w:eastAsia="仿宋_GB2312" w:cs="Times New Roman"/>
          <w:sz w:val="28"/>
          <w:szCs w:val="28"/>
          <w:lang w:eastAsia="zh-CN"/>
        </w:rPr>
        <w:t>《房地产权结果信息一览表》</w:t>
      </w:r>
      <w:r>
        <w:rPr>
          <w:rFonts w:hint="default" w:ascii="Times New Roman" w:hAnsi="Times New Roman" w:eastAsia="仿宋_GB2312" w:cs="Times New Roman"/>
          <w:sz w:val="28"/>
          <w:szCs w:val="28"/>
        </w:rPr>
        <w:t>记载为准，本次估价假设上述数据资料于价值时点合法、有效。</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2、房屋安全的假设</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估价人员对估价对象进行了实地勘察，并对实地勘察的客观性、真实性、公正性承担责任。但估价师对估价对象的勘察，仅限于估价对象的外</w:t>
      </w:r>
      <w:r>
        <w:rPr>
          <w:rFonts w:hint="eastAsia" w:eastAsia="仿宋_GB2312" w:cs="Times New Roman"/>
          <w:sz w:val="28"/>
          <w:szCs w:val="28"/>
          <w:lang w:val="en-US" w:eastAsia="zh-CN"/>
        </w:rPr>
        <w:t>围</w:t>
      </w:r>
      <w:r>
        <w:rPr>
          <w:rFonts w:hint="default" w:ascii="Times New Roman" w:hAnsi="Times New Roman" w:eastAsia="仿宋_GB2312" w:cs="Times New Roman"/>
          <w:sz w:val="28"/>
          <w:szCs w:val="28"/>
        </w:rPr>
        <w:t>和使用状况，无法核实被遮盖、未暴露及难以接触到的部分，也未对其进行结构测试，不能确定其结构是否存在内部安全隐患。本次设定估价对象不存在建筑物隐蔽性质量问题并且建筑质量符合安全标准，可以长期持续使用。</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3、公开市场假设</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谓公开市场，是指以个竞争性的市场，在该市场上交易各方进行交易的目的在于最大限度地追求经济利益，并且他们都掌握了必要的市场信息，有比较充裕的时间进行交易，对交易对象具有必要的专业知识。此外，市场交易条件公开，不具有排他性，即所以市场主体都可以平等自由地参与交易，并同时满足以下条件：</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①交易双方都是自愿进行交易，交易目的是最求自身利益最大化；</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②交易双方具有必要的房地产专业知识，了解估价对象，掌握必要的市场信息，并有一段合理的洽谈交易时间，可以通盘考虑房地产性质和市场情形进行议价；</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③在此期间房地产</w:t>
      </w:r>
      <w:r>
        <w:rPr>
          <w:rFonts w:hint="eastAsia" w:eastAsia="仿宋_GB2312" w:cs="Times New Roman"/>
          <w:sz w:val="28"/>
          <w:szCs w:val="28"/>
          <w:lang w:eastAsia="zh-CN"/>
        </w:rPr>
        <w:t>市场价格</w:t>
      </w:r>
      <w:r>
        <w:rPr>
          <w:rFonts w:hint="default" w:ascii="Times New Roman" w:hAnsi="Times New Roman" w:eastAsia="仿宋_GB2312" w:cs="Times New Roman"/>
          <w:sz w:val="28"/>
          <w:szCs w:val="28"/>
        </w:rPr>
        <w:t>保持稳定；</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④该房地产可以在公开市场上自由转让，任何有关估价对象的运作方式、程序均符合国家、地方的有关法律、法规；</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⑤不考虑特殊买家的额外出价，交易双方各自负担应负担的税费。</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4、其他影响房地产价格因素的假设</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本次评估未考虑国家宏观经济政策发生重大变化及遇有自然力和其他不可抗力对估价结果的影响。也未考虑强制处置，要求在短期内变现的特殊情况等未来处置风险。</w:t>
      </w:r>
    </w:p>
    <w:p>
      <w:pPr>
        <w:spacing w:line="460" w:lineRule="exact"/>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二、未定事项假设</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估价对象</w:t>
      </w:r>
      <w:r>
        <w:rPr>
          <w:rFonts w:hint="eastAsia" w:ascii="Times New Roman" w:hAnsi="Times New Roman" w:eastAsia="仿宋_GB2312" w:cs="Times New Roman"/>
          <w:sz w:val="28"/>
          <w:szCs w:val="28"/>
          <w:lang w:val="en-US" w:eastAsia="zh-CN"/>
        </w:rPr>
        <w:t>现</w:t>
      </w:r>
      <w:r>
        <w:rPr>
          <w:rFonts w:hint="eastAsia" w:eastAsia="仿宋_GB2312" w:cs="Times New Roman"/>
          <w:sz w:val="28"/>
          <w:szCs w:val="28"/>
          <w:lang w:val="en-US" w:eastAsia="zh-CN"/>
        </w:rPr>
        <w:t>现状、</w:t>
      </w:r>
      <w:r>
        <w:rPr>
          <w:rFonts w:hint="eastAsia" w:ascii="Times New Roman" w:hAnsi="Times New Roman" w:eastAsia="仿宋_GB2312" w:cs="Times New Roman"/>
          <w:sz w:val="28"/>
          <w:szCs w:val="28"/>
          <w:lang w:val="en-US" w:eastAsia="zh-CN"/>
        </w:rPr>
        <w:t>产权证</w:t>
      </w:r>
      <w:r>
        <w:rPr>
          <w:rFonts w:hint="default" w:ascii="Times New Roman" w:hAnsi="Times New Roman" w:eastAsia="仿宋_GB2312" w:cs="Times New Roman"/>
          <w:sz w:val="28"/>
          <w:szCs w:val="28"/>
        </w:rPr>
        <w:t>用途</w:t>
      </w:r>
      <w:r>
        <w:rPr>
          <w:rFonts w:hint="eastAsia" w:ascii="Times New Roman" w:hAnsi="Times New Roman" w:eastAsia="仿宋_GB2312" w:cs="Times New Roman"/>
          <w:sz w:val="28"/>
          <w:szCs w:val="28"/>
          <w:lang w:val="en-US" w:eastAsia="zh-CN"/>
        </w:rPr>
        <w:t>为住宅</w:t>
      </w:r>
      <w:r>
        <w:rPr>
          <w:rFonts w:hint="default" w:ascii="Times New Roman" w:hAnsi="Times New Roman" w:eastAsia="仿宋_GB2312" w:cs="Times New Roman"/>
          <w:sz w:val="28"/>
          <w:szCs w:val="28"/>
        </w:rPr>
        <w:t>、用地规划条件明晰。</w:t>
      </w:r>
    </w:p>
    <w:p>
      <w:pPr>
        <w:spacing w:line="460" w:lineRule="exact"/>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三、背离事实假设</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在价值时点，估价对象已存在</w:t>
      </w:r>
      <w:r>
        <w:rPr>
          <w:rFonts w:hint="eastAsia" w:eastAsia="仿宋_GB2312" w:cs="Times New Roman"/>
          <w:sz w:val="28"/>
          <w:szCs w:val="28"/>
          <w:lang w:val="en-US" w:eastAsia="zh-CN"/>
        </w:rPr>
        <w:t>抵押</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查封</w:t>
      </w:r>
      <w:r>
        <w:rPr>
          <w:rFonts w:hint="eastAsia" w:eastAsia="仿宋_GB2312" w:cs="Times New Roman"/>
          <w:sz w:val="28"/>
          <w:szCs w:val="28"/>
          <w:lang w:eastAsia="zh-CN"/>
        </w:rPr>
        <w:t>、</w:t>
      </w:r>
      <w:r>
        <w:rPr>
          <w:rFonts w:hint="eastAsia" w:eastAsia="仿宋_GB2312" w:cs="Times New Roman"/>
          <w:sz w:val="28"/>
          <w:szCs w:val="28"/>
          <w:lang w:val="en-US" w:eastAsia="zh-CN"/>
        </w:rPr>
        <w:t>轮候</w:t>
      </w:r>
      <w:r>
        <w:rPr>
          <w:rFonts w:hint="default" w:ascii="Times New Roman" w:hAnsi="Times New Roman" w:eastAsia="仿宋_GB2312" w:cs="Times New Roman"/>
          <w:sz w:val="28"/>
          <w:szCs w:val="28"/>
        </w:rPr>
        <w:t>查封，本次对评估房地产的</w:t>
      </w:r>
      <w:r>
        <w:rPr>
          <w:rFonts w:hint="eastAsia" w:eastAsia="仿宋_GB2312" w:cs="Times New Roman"/>
          <w:sz w:val="28"/>
          <w:szCs w:val="28"/>
          <w:lang w:val="en-US" w:eastAsia="zh-CN"/>
        </w:rPr>
        <w:t>市场</w:t>
      </w:r>
      <w:r>
        <w:rPr>
          <w:rFonts w:hint="default" w:ascii="Times New Roman" w:hAnsi="Times New Roman" w:eastAsia="仿宋_GB2312" w:cs="Times New Roman"/>
          <w:sz w:val="28"/>
          <w:szCs w:val="28"/>
        </w:rPr>
        <w:t>价</w:t>
      </w:r>
      <w:r>
        <w:rPr>
          <w:rFonts w:hint="eastAsia" w:eastAsia="仿宋_GB2312" w:cs="Times New Roman"/>
          <w:sz w:val="28"/>
          <w:szCs w:val="28"/>
          <w:lang w:val="en-US" w:eastAsia="zh-CN"/>
        </w:rPr>
        <w:t>格</w:t>
      </w:r>
      <w:r>
        <w:rPr>
          <w:rFonts w:hint="default" w:ascii="Times New Roman" w:hAnsi="Times New Roman" w:eastAsia="仿宋_GB2312" w:cs="Times New Roman"/>
          <w:sz w:val="28"/>
          <w:szCs w:val="28"/>
        </w:rPr>
        <w:t>进行评估，不考虑房地产</w:t>
      </w:r>
      <w:r>
        <w:rPr>
          <w:rFonts w:hint="default" w:ascii="Times New Roman" w:hAnsi="Times New Roman" w:eastAsia="仿宋_GB2312" w:cs="Times New Roman"/>
          <w:sz w:val="28"/>
          <w:szCs w:val="28"/>
          <w:lang w:val="en-US" w:eastAsia="zh-CN"/>
        </w:rPr>
        <w:t>出租、</w:t>
      </w:r>
      <w:r>
        <w:rPr>
          <w:rFonts w:hint="default" w:ascii="Times New Roman" w:hAnsi="Times New Roman" w:eastAsia="仿宋_GB2312" w:cs="Times New Roman"/>
          <w:sz w:val="28"/>
          <w:szCs w:val="28"/>
        </w:rPr>
        <w:t>抵押、查封等因素的影响。</w:t>
      </w:r>
    </w:p>
    <w:p>
      <w:pPr>
        <w:spacing w:line="460" w:lineRule="exact"/>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四、不相一致假设</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估价对象</w:t>
      </w:r>
      <w:r>
        <w:rPr>
          <w:rFonts w:hint="eastAsia" w:eastAsia="仿宋_GB2312" w:cs="Times New Roman"/>
          <w:sz w:val="28"/>
          <w:szCs w:val="28"/>
          <w:lang w:eastAsia="zh-CN"/>
        </w:rPr>
        <w:t>现状</w:t>
      </w:r>
      <w:r>
        <w:rPr>
          <w:rFonts w:hint="default" w:ascii="Times New Roman" w:hAnsi="Times New Roman" w:eastAsia="仿宋_GB2312" w:cs="Times New Roman"/>
          <w:sz w:val="28"/>
          <w:szCs w:val="28"/>
        </w:rPr>
        <w:t>用途</w:t>
      </w:r>
      <w:r>
        <w:rPr>
          <w:rFonts w:hint="eastAsia" w:eastAsia="仿宋_GB2312" w:cs="Times New Roman"/>
          <w:sz w:val="28"/>
          <w:szCs w:val="28"/>
          <w:lang w:val="en-US" w:eastAsia="zh-CN"/>
        </w:rPr>
        <w:t>住宅</w:t>
      </w:r>
      <w:r>
        <w:rPr>
          <w:rFonts w:hint="default" w:ascii="Times New Roman" w:hAnsi="Times New Roman" w:eastAsia="仿宋_GB2312" w:cs="Times New Roman"/>
          <w:sz w:val="28"/>
          <w:szCs w:val="28"/>
        </w:rPr>
        <w:t>、登记用途</w:t>
      </w:r>
      <w:r>
        <w:rPr>
          <w:rFonts w:hint="eastAsia" w:eastAsia="仿宋_GB2312" w:cs="Times New Roman"/>
          <w:sz w:val="28"/>
          <w:szCs w:val="28"/>
          <w:lang w:val="en-US" w:eastAsia="zh-CN"/>
        </w:rPr>
        <w:t>住宅</w:t>
      </w:r>
      <w:r>
        <w:rPr>
          <w:rFonts w:hint="eastAsia" w:eastAsia="仿宋_GB2312" w:cs="Times New Roman"/>
          <w:sz w:val="28"/>
          <w:szCs w:val="28"/>
          <w:lang w:eastAsia="zh-CN"/>
        </w:rPr>
        <w:t>，现状</w:t>
      </w:r>
      <w:r>
        <w:rPr>
          <w:rFonts w:hint="default" w:ascii="Times New Roman" w:hAnsi="Times New Roman" w:eastAsia="仿宋_GB2312" w:cs="Times New Roman"/>
          <w:sz w:val="28"/>
          <w:szCs w:val="28"/>
        </w:rPr>
        <w:t>用途与</w:t>
      </w:r>
      <w:r>
        <w:rPr>
          <w:rFonts w:hint="eastAsia" w:eastAsia="仿宋_GB2312" w:cs="Times New Roman"/>
          <w:sz w:val="28"/>
          <w:szCs w:val="28"/>
          <w:lang w:eastAsia="zh-CN"/>
        </w:rPr>
        <w:t>登记</w:t>
      </w:r>
      <w:r>
        <w:rPr>
          <w:rFonts w:hint="default" w:ascii="Times New Roman" w:hAnsi="Times New Roman" w:eastAsia="仿宋_GB2312" w:cs="Times New Roman"/>
          <w:sz w:val="28"/>
          <w:szCs w:val="28"/>
        </w:rPr>
        <w:t>用途一致</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rPr>
        <w:t>权属证明上权利人、名称、地址</w:t>
      </w:r>
      <w:r>
        <w:rPr>
          <w:rFonts w:hint="eastAsia" w:eastAsia="仿宋_GB2312" w:cs="Times New Roman"/>
          <w:sz w:val="28"/>
          <w:szCs w:val="28"/>
          <w:lang w:eastAsia="zh-CN"/>
        </w:rPr>
        <w:t>、</w:t>
      </w:r>
      <w:r>
        <w:rPr>
          <w:rFonts w:ascii="仿宋" w:eastAsia="仿宋"/>
          <w:sz w:val="28"/>
        </w:rPr>
        <w:t>面积均一致</w:t>
      </w:r>
      <w:r>
        <w:rPr>
          <w:rFonts w:hint="default" w:ascii="Times New Roman" w:hAnsi="Times New Roman" w:eastAsia="仿宋_GB2312" w:cs="Times New Roman"/>
          <w:sz w:val="28"/>
          <w:szCs w:val="28"/>
        </w:rPr>
        <w:t>，无不一致情况。</w:t>
      </w:r>
    </w:p>
    <w:p>
      <w:pPr>
        <w:spacing w:line="460" w:lineRule="exact"/>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五、依据不足假设</w:t>
      </w:r>
    </w:p>
    <w:p>
      <w:pPr>
        <w:spacing w:line="460" w:lineRule="exact"/>
        <w:ind w:firstLine="560" w:firstLineChars="200"/>
        <w:rPr>
          <w:rFonts w:hint="default" w:ascii="Times New Roman" w:hAnsi="Times New Roman" w:eastAsia="仿宋_GB2312" w:cs="Times New Roman"/>
          <w:color w:val="FF00FF"/>
          <w:sz w:val="28"/>
          <w:szCs w:val="28"/>
          <w:lang w:val="en-US" w:eastAsia="zh-CN"/>
        </w:rPr>
      </w:pPr>
      <w:r>
        <w:rPr>
          <w:rFonts w:hint="default" w:ascii="Times New Roman" w:hAnsi="Times New Roman" w:eastAsia="仿宋_GB2312" w:cs="Times New Roman"/>
          <w:sz w:val="28"/>
          <w:szCs w:val="28"/>
        </w:rPr>
        <w:t>估价委托人已提供反映估价对象权属资料，注册估价师亦对估价对象</w:t>
      </w:r>
      <w:r>
        <w:rPr>
          <w:rFonts w:hint="eastAsia" w:eastAsia="仿宋_GB2312" w:cs="Times New Roman"/>
          <w:sz w:val="28"/>
          <w:szCs w:val="28"/>
          <w:lang w:val="en-US" w:eastAsia="zh-CN"/>
        </w:rPr>
        <w:t>住宅</w:t>
      </w:r>
      <w:r>
        <w:rPr>
          <w:rFonts w:hint="default" w:ascii="Times New Roman" w:hAnsi="Times New Roman" w:eastAsia="仿宋_GB2312" w:cs="Times New Roman"/>
          <w:sz w:val="28"/>
          <w:szCs w:val="28"/>
        </w:rPr>
        <w:t>室内、室外</w:t>
      </w:r>
      <w:r>
        <w:rPr>
          <w:rFonts w:hint="eastAsia" w:eastAsia="仿宋_GB2312" w:cs="Times New Roman"/>
          <w:sz w:val="28"/>
          <w:szCs w:val="28"/>
          <w:lang w:eastAsia="zh-CN"/>
        </w:rPr>
        <w:t>，</w:t>
      </w:r>
      <w:r>
        <w:rPr>
          <w:rFonts w:hint="eastAsia" w:eastAsia="仿宋_GB2312" w:cs="Times New Roman"/>
          <w:sz w:val="28"/>
          <w:szCs w:val="28"/>
          <w:lang w:val="en-US" w:eastAsia="zh-CN"/>
        </w:rPr>
        <w:t>车库</w:t>
      </w:r>
      <w:r>
        <w:rPr>
          <w:rFonts w:hint="default" w:ascii="Times New Roman" w:hAnsi="Times New Roman" w:eastAsia="仿宋_GB2312" w:cs="Times New Roman"/>
          <w:sz w:val="28"/>
          <w:szCs w:val="28"/>
        </w:rPr>
        <w:t>进行了现场勘查</w:t>
      </w:r>
      <w:r>
        <w:rPr>
          <w:rFonts w:hint="eastAsia" w:eastAsia="仿宋_GB2312" w:cs="Times New Roman"/>
          <w:sz w:val="28"/>
          <w:szCs w:val="28"/>
          <w:lang w:eastAsia="zh-CN"/>
        </w:rPr>
        <w:t>，</w:t>
      </w:r>
      <w:r>
        <w:rPr>
          <w:rFonts w:hint="default" w:ascii="Times New Roman" w:hAnsi="Times New Roman" w:eastAsia="仿宋_GB2312" w:cs="Times New Roman"/>
          <w:sz w:val="28"/>
          <w:szCs w:val="28"/>
        </w:rPr>
        <w:t>估价对象产权明晰，实物现状明确。</w:t>
      </w:r>
    </w:p>
    <w:p>
      <w:pPr>
        <w:spacing w:line="460" w:lineRule="exact"/>
        <w:ind w:firstLine="562" w:firstLineChars="200"/>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六、估价报告使用限制</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1、本估价报告仅为本估价目的所使用，不得挪作他用。</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2、本次评估是基于上述假设和限制条件成立，如上述假设和限制条件发生变化，本报告结果必须作相应调整。</w:t>
      </w:r>
    </w:p>
    <w:p>
      <w:pPr>
        <w:spacing w:line="460" w:lineRule="exact"/>
        <w:ind w:firstLine="560" w:firstLineChars="200"/>
        <w:rPr>
          <w:rFonts w:hint="default" w:ascii="Times New Roman" w:hAnsi="Times New Roman" w:eastAsia="仿宋_GB2312" w:cs="Times New Roman"/>
          <w:sz w:val="28"/>
        </w:rPr>
      </w:pPr>
      <w:r>
        <w:rPr>
          <w:rFonts w:hint="default" w:ascii="Times New Roman" w:hAnsi="Times New Roman" w:eastAsia="仿宋_GB2312" w:cs="Times New Roman"/>
          <w:sz w:val="28"/>
          <w:szCs w:val="28"/>
        </w:rPr>
        <w:t>3、</w:t>
      </w:r>
      <w:r>
        <w:rPr>
          <w:rFonts w:hint="default" w:ascii="Times New Roman" w:hAnsi="Times New Roman" w:eastAsia="仿宋_GB2312" w:cs="Times New Roman"/>
          <w:sz w:val="28"/>
        </w:rPr>
        <w:t>本报告出具的房地产价格为公开</w:t>
      </w:r>
      <w:r>
        <w:rPr>
          <w:rFonts w:hint="eastAsia" w:eastAsia="仿宋_GB2312" w:cs="Times New Roman"/>
          <w:sz w:val="28"/>
          <w:lang w:eastAsia="zh-CN"/>
        </w:rPr>
        <w:t>市场价格</w:t>
      </w:r>
      <w:r>
        <w:rPr>
          <w:rFonts w:hint="default" w:ascii="Times New Roman" w:hAnsi="Times New Roman" w:eastAsia="仿宋_GB2312" w:cs="Times New Roman"/>
          <w:sz w:val="28"/>
        </w:rPr>
        <w:t>。如至价值时点止，产权人尚有任何有关估价对象的应缴未缴税费，应按照规定缴纳，或从评估价值中响应扣减。</w:t>
      </w:r>
    </w:p>
    <w:p>
      <w:pPr>
        <w:spacing w:line="480" w:lineRule="exact"/>
        <w:ind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rPr>
        <w:t>4、</w:t>
      </w:r>
      <w:r>
        <w:rPr>
          <w:rFonts w:hint="default" w:ascii="Times New Roman" w:hAnsi="Times New Roman" w:eastAsia="仿宋_GB2312" w:cs="Times New Roman"/>
          <w:sz w:val="28"/>
          <w:szCs w:val="28"/>
        </w:rPr>
        <w:t>本报告估价结果中包含房产、土地使用权及与建筑物不可分割的必须满足其使用功能的水、电、网络、通讯等配套设施，以及室内</w:t>
      </w:r>
      <w:r>
        <w:rPr>
          <w:rFonts w:hint="eastAsia" w:eastAsia="仿宋_GB2312" w:cs="Times New Roman"/>
          <w:sz w:val="28"/>
          <w:szCs w:val="28"/>
          <w:lang w:eastAsia="zh-CN"/>
        </w:rPr>
        <w:t>装饰装潢及</w:t>
      </w:r>
      <w:r>
        <w:rPr>
          <w:rFonts w:hint="default" w:ascii="Times New Roman" w:hAnsi="Times New Roman" w:eastAsia="仿宋_GB2312" w:cs="Times New Roman"/>
          <w:sz w:val="28"/>
          <w:szCs w:val="28"/>
        </w:rPr>
        <w:t>附属设施价格</w:t>
      </w:r>
      <w:r>
        <w:rPr>
          <w:rFonts w:hint="eastAsia" w:eastAsia="仿宋_GB2312" w:cs="Times New Roman"/>
          <w:sz w:val="28"/>
          <w:szCs w:val="28"/>
          <w:lang w:val="en-US" w:eastAsia="zh-CN"/>
        </w:rPr>
        <w:t>和可移动的物品价格。</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5、本报告有效期自本估价报告出具之日起一年内有效（即</w:t>
      </w:r>
      <w:r>
        <w:rPr>
          <w:rFonts w:hint="eastAsia" w:eastAsia="仿宋_GB2312" w:cs="Times New Roman"/>
          <w:sz w:val="28"/>
          <w:szCs w:val="28"/>
          <w:lang w:eastAsia="zh-CN"/>
        </w:rPr>
        <w:t>2022年10月28日至2023年10月27日</w:t>
      </w:r>
      <w:r>
        <w:rPr>
          <w:rFonts w:hint="default" w:ascii="Times New Roman" w:hAnsi="Times New Roman" w:eastAsia="仿宋_GB2312" w:cs="Times New Roman"/>
          <w:sz w:val="28"/>
          <w:szCs w:val="28"/>
        </w:rPr>
        <w:t>），逾期未使用本估价报告的，本估价报告失效。</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在有效期限内，如果房屋数量、维护程度、价值标准以及房地产市场行情等可能影响房地产价值的因素发生重大的变化，并且对房地产评估价值产生明显影响时，应对评估值进行调整或重新评估。</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6、本估价报告分为“房地产估价结果报告”和“房地产估价技术报告”两部分。“房地产估价结果报告”提供给委托方，“房地产估价技术报告”由估价机构存档备查。</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7、本估价报告需经注册房地产估价师签名并加盖估价机构公章，并作为一个整体时有效，对仅使用报告中的部分内容所导致的有关损失，受托估价机构不承担责任。</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8、未经估价机构书面同意，本估价报告的全部或部分及任何参考资料均不允许在任何公开发表的文件、通告或声明中引用，亦不得以其他任何方式公开发表。</w:t>
      </w:r>
    </w:p>
    <w:p>
      <w:pPr>
        <w:spacing w:line="460" w:lineRule="exact"/>
        <w:ind w:firstLine="560"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9、本次估价计价币种及单位为：人民币元。</w:t>
      </w:r>
    </w:p>
    <w:p>
      <w:pPr>
        <w:ind w:firstLine="560" w:firstLineChars="200"/>
        <w:rPr>
          <w:rFonts w:hint="default" w:ascii="Times New Roman" w:hAnsi="Times New Roman" w:cs="Times New Roman"/>
          <w:sz w:val="32"/>
        </w:rPr>
      </w:pPr>
      <w:r>
        <w:rPr>
          <w:rFonts w:hint="default" w:ascii="Times New Roman" w:hAnsi="Times New Roman" w:eastAsia="仿宋_GB2312" w:cs="Times New Roman"/>
          <w:sz w:val="28"/>
          <w:szCs w:val="28"/>
        </w:rPr>
        <w:t>10、本报告书含若干附件，与报告书正文具同等效力，不可分割。</w:t>
      </w:r>
    </w:p>
    <w:p>
      <w:pPr>
        <w:ind w:firstLine="560" w:firstLineChars="200"/>
        <w:rPr>
          <w:rFonts w:hint="eastAsia" w:eastAsia="仿宋_GB2312"/>
          <w:sz w:val="28"/>
          <w:szCs w:val="28"/>
        </w:rPr>
      </w:pPr>
      <w:r>
        <w:rPr>
          <w:rFonts w:hint="eastAsia" w:eastAsia="仿宋_GB2312"/>
          <w:sz w:val="28"/>
          <w:szCs w:val="28"/>
        </w:rPr>
        <w:t>11.报告使用需要注意的其他事项</w:t>
      </w:r>
    </w:p>
    <w:p>
      <w:pPr>
        <w:spacing w:line="460" w:lineRule="exact"/>
        <w:ind w:firstLine="560" w:firstLineChars="200"/>
        <w:rPr>
          <w:rFonts w:hint="eastAsia" w:eastAsia="仿宋_GB2312"/>
          <w:sz w:val="28"/>
          <w:szCs w:val="28"/>
        </w:rPr>
      </w:pPr>
      <w:r>
        <w:rPr>
          <w:rFonts w:hint="eastAsia" w:eastAsia="仿宋_GB2312"/>
          <w:sz w:val="28"/>
          <w:szCs w:val="28"/>
        </w:rPr>
        <w:t>本次估价专业意见是交易税费按照国家有关规定正常负担状况下的价格，假定不存在交易过程中税费转嫁的影响。</w:t>
      </w:r>
    </w:p>
    <w:p>
      <w:pPr>
        <w:spacing w:line="460" w:lineRule="exact"/>
        <w:ind w:firstLine="560" w:firstLineChars="200"/>
        <w:rPr>
          <w:rFonts w:hint="eastAsia" w:eastAsia="仿宋_GB2312"/>
          <w:sz w:val="28"/>
          <w:szCs w:val="28"/>
        </w:rPr>
      </w:pPr>
      <w:r>
        <w:rPr>
          <w:rFonts w:hint="eastAsia" w:eastAsia="仿宋_GB2312"/>
          <w:sz w:val="28"/>
          <w:szCs w:val="28"/>
        </w:rPr>
        <w:t>需提醒估价委托人注意的是，根据盐城市区有关交易税费政策规定， 转让方需缴纳增值税及附加、印花税、个人所得税、土地增值税等，具体数额应根据当地税务部门核定数额确定。该部分税费属于估价对象司法处置（或公开拍卖）时应当由转让方缴纳的税费，属于公开</w:t>
      </w:r>
      <w:r>
        <w:rPr>
          <w:rFonts w:hint="eastAsia" w:eastAsia="仿宋_GB2312"/>
          <w:sz w:val="28"/>
          <w:szCs w:val="28"/>
          <w:lang w:eastAsia="zh-CN"/>
        </w:rPr>
        <w:t>市场价值</w:t>
      </w:r>
      <w:r>
        <w:rPr>
          <w:rFonts w:hint="eastAsia" w:eastAsia="仿宋_GB2312"/>
          <w:sz w:val="28"/>
          <w:szCs w:val="28"/>
        </w:rPr>
        <w:t>的有机组成部分。本次估价目的为司法鉴定，根据最高人民法院相关规定及惯例做法，转让方需缴纳的税费不属于公开</w:t>
      </w:r>
      <w:r>
        <w:rPr>
          <w:rFonts w:hint="eastAsia" w:eastAsia="仿宋_GB2312"/>
          <w:sz w:val="28"/>
          <w:szCs w:val="28"/>
          <w:lang w:eastAsia="zh-CN"/>
        </w:rPr>
        <w:t>市场价值</w:t>
      </w:r>
      <w:r>
        <w:rPr>
          <w:rFonts w:hint="eastAsia" w:eastAsia="仿宋_GB2312"/>
          <w:sz w:val="28"/>
          <w:szCs w:val="28"/>
        </w:rPr>
        <w:t>应扣除税费款项。需特别提醒估价委托人注意的是：估价对象司法处置（或公开拍卖） 后存在转让方不按照规定缴纳上述税费的可能性，导致由受让方代为转让方缴纳上述税费情形。因此报告使用人在确定拍卖底价时应当充分考虑估价对象处置时税费转嫁的影响，也应当提醒参拍人尤其是受让人要充分考虑估价对象处置时税费转嫁的负担。</w:t>
      </w:r>
    </w:p>
    <w:p>
      <w:pPr>
        <w:spacing w:line="460" w:lineRule="exact"/>
        <w:ind w:firstLine="560" w:firstLineChars="200"/>
        <w:rPr>
          <w:rFonts w:hint="eastAsia" w:eastAsia="仿宋_GB2312"/>
          <w:sz w:val="28"/>
          <w:szCs w:val="28"/>
        </w:rPr>
      </w:pPr>
    </w:p>
    <w:p>
      <w:pPr>
        <w:ind w:firstLine="600"/>
        <w:jc w:val="center"/>
        <w:rPr>
          <w:rFonts w:hint="default" w:ascii="Times New Roman" w:hAnsi="Times New Roman" w:cs="Times New Roman"/>
          <w:sz w:val="32"/>
        </w:rPr>
      </w:pPr>
    </w:p>
    <w:p>
      <w:pPr>
        <w:ind w:firstLine="600"/>
        <w:jc w:val="center"/>
        <w:rPr>
          <w:rFonts w:hint="default" w:ascii="Times New Roman" w:hAnsi="Times New Roman" w:cs="Times New Roman"/>
          <w:sz w:val="32"/>
        </w:rPr>
      </w:pPr>
    </w:p>
    <w:p>
      <w:pPr>
        <w:ind w:firstLine="600"/>
        <w:jc w:val="center"/>
        <w:rPr>
          <w:rFonts w:hint="default" w:ascii="Times New Roman" w:hAnsi="Times New Roman" w:cs="Times New Roman"/>
          <w:sz w:val="32"/>
        </w:rPr>
      </w:pPr>
    </w:p>
    <w:p>
      <w:pPr>
        <w:ind w:firstLine="600"/>
        <w:jc w:val="center"/>
        <w:rPr>
          <w:rFonts w:hint="default" w:ascii="Times New Roman" w:hAnsi="Times New Roman" w:cs="Times New Roman"/>
          <w:sz w:val="32"/>
        </w:rPr>
      </w:pPr>
    </w:p>
    <w:p>
      <w:pPr>
        <w:pStyle w:val="3"/>
        <w:jc w:val="center"/>
        <w:rPr>
          <w:rFonts w:hint="default" w:ascii="Times New Roman" w:hAnsi="Times New Roman" w:eastAsia="宋体" w:cs="Times New Roman"/>
          <w:sz w:val="36"/>
          <w:szCs w:val="36"/>
        </w:rPr>
      </w:pPr>
      <w:bookmarkStart w:id="3" w:name="_Toc32260"/>
      <w:r>
        <w:rPr>
          <w:rFonts w:hint="default" w:ascii="Times New Roman" w:hAnsi="Times New Roman" w:eastAsia="宋体" w:cs="Times New Roman"/>
          <w:sz w:val="36"/>
          <w:szCs w:val="36"/>
          <w:lang w:eastAsia="zh-CN"/>
        </w:rPr>
        <w:t>涉执房地产处置司法评估</w:t>
      </w:r>
      <w:r>
        <w:rPr>
          <w:rFonts w:hint="default" w:ascii="Times New Roman" w:hAnsi="Times New Roman" w:eastAsia="宋体" w:cs="Times New Roman"/>
          <w:sz w:val="36"/>
          <w:szCs w:val="36"/>
        </w:rPr>
        <w:t>评估结果报告</w:t>
      </w:r>
      <w:bookmarkEnd w:id="3"/>
    </w:p>
    <w:p>
      <w:pPr>
        <w:ind w:firstLine="465"/>
        <w:jc w:val="center"/>
        <w:rPr>
          <w:rFonts w:hint="eastAsia" w:hAnsi="宋体" w:eastAsia="宋体"/>
          <w:bCs/>
          <w:color w:val="000000"/>
          <w:sz w:val="24"/>
          <w:lang w:eastAsia="zh-CN"/>
        </w:rPr>
      </w:pPr>
      <w:r>
        <w:rPr>
          <w:rFonts w:hint="eastAsia" w:hAnsi="宋体"/>
          <w:bCs/>
          <w:sz w:val="24"/>
          <w:lang w:eastAsia="zh-CN"/>
        </w:rPr>
        <w:t>(江苏)瑞地房估[2022]字第XYC012号</w:t>
      </w:r>
    </w:p>
    <w:p>
      <w:pPr>
        <w:pageBreakBefore w:val="0"/>
        <w:widowControl w:val="0"/>
        <w:kinsoku/>
        <w:wordWrap/>
        <w:overflowPunct/>
        <w:topLinePunct w:val="0"/>
        <w:autoSpaceDE/>
        <w:autoSpaceDN/>
        <w:bidi w:val="0"/>
        <w:adjustRightInd/>
        <w:snapToGrid/>
        <w:spacing w:line="460" w:lineRule="exact"/>
        <w:ind w:firstLine="465"/>
        <w:jc w:val="center"/>
        <w:textAlignment w:val="auto"/>
        <w:rPr>
          <w:bCs/>
          <w:sz w:val="24"/>
        </w:rPr>
      </w:pPr>
    </w:p>
    <w:p>
      <w:pPr>
        <w:pStyle w:val="4"/>
        <w:pageBreakBefore w:val="0"/>
        <w:widowControl w:val="0"/>
        <w:kinsoku/>
        <w:wordWrap/>
        <w:overflowPunct/>
        <w:topLinePunct w:val="0"/>
        <w:autoSpaceDE/>
        <w:autoSpaceDN/>
        <w:bidi w:val="0"/>
        <w:adjustRightInd/>
        <w:snapToGrid/>
        <w:spacing w:before="0" w:after="0" w:line="460" w:lineRule="exact"/>
        <w:textAlignment w:val="auto"/>
        <w:rPr>
          <w:sz w:val="30"/>
          <w:szCs w:val="30"/>
        </w:rPr>
      </w:pPr>
      <w:bookmarkStart w:id="4" w:name="_Toc10332"/>
      <w:r>
        <w:rPr>
          <w:sz w:val="30"/>
          <w:szCs w:val="30"/>
        </w:rPr>
        <w:t>一、估价委托人</w:t>
      </w:r>
      <w:bookmarkEnd w:id="4"/>
    </w:p>
    <w:p>
      <w:pPr>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eastAsia="仿宋_GB2312"/>
          <w:sz w:val="28"/>
          <w:lang w:eastAsia="zh-CN"/>
        </w:rPr>
      </w:pPr>
      <w:r>
        <w:rPr>
          <w:rFonts w:eastAsia="仿宋_GB2312"/>
          <w:sz w:val="28"/>
        </w:rPr>
        <w:t>估价委托人：</w:t>
      </w:r>
      <w:r>
        <w:rPr>
          <w:rFonts w:hint="eastAsia" w:eastAsia="仿宋_GB2312"/>
          <w:sz w:val="28"/>
          <w:lang w:eastAsia="zh-CN"/>
        </w:rPr>
        <w:t>盐城市亭湖区人民法院</w:t>
      </w:r>
    </w:p>
    <w:p>
      <w:pPr>
        <w:pStyle w:val="9"/>
        <w:pageBreakBefore w:val="0"/>
        <w:widowControl w:val="0"/>
        <w:kinsoku/>
        <w:wordWrap/>
        <w:overflowPunct/>
        <w:topLinePunct w:val="0"/>
        <w:autoSpaceDE/>
        <w:autoSpaceDN/>
        <w:bidi w:val="0"/>
        <w:adjustRightInd/>
        <w:snapToGrid/>
        <w:spacing w:line="460" w:lineRule="exact"/>
        <w:ind w:firstLine="560"/>
        <w:textAlignment w:val="auto"/>
        <w:rPr>
          <w:rFonts w:hint="default" w:ascii="Times New Roman" w:hAnsi="Times New Roman" w:eastAsia="仿宋_GB2312"/>
          <w:lang w:val="en-US" w:eastAsia="zh-CN"/>
        </w:rPr>
      </w:pPr>
      <w:r>
        <w:rPr>
          <w:rFonts w:ascii="Times New Roman" w:hAnsi="Times New Roman" w:eastAsia="仿宋_GB2312"/>
        </w:rPr>
        <w:t>联系电话：0515－</w:t>
      </w:r>
      <w:r>
        <w:rPr>
          <w:rFonts w:hint="eastAsia" w:ascii="Times New Roman" w:hAnsi="Times New Roman" w:eastAsia="仿宋_GB2312"/>
          <w:lang w:val="en-US" w:eastAsia="zh-CN"/>
        </w:rPr>
        <w:t>68558171</w:t>
      </w:r>
    </w:p>
    <w:p>
      <w:pPr>
        <w:pStyle w:val="4"/>
        <w:pageBreakBefore w:val="0"/>
        <w:widowControl w:val="0"/>
        <w:kinsoku/>
        <w:wordWrap/>
        <w:overflowPunct/>
        <w:topLinePunct w:val="0"/>
        <w:autoSpaceDE/>
        <w:autoSpaceDN/>
        <w:bidi w:val="0"/>
        <w:adjustRightInd/>
        <w:snapToGrid/>
        <w:spacing w:before="0" w:after="0" w:line="460" w:lineRule="exact"/>
        <w:textAlignment w:val="auto"/>
        <w:rPr>
          <w:sz w:val="30"/>
          <w:szCs w:val="30"/>
        </w:rPr>
      </w:pPr>
      <w:bookmarkStart w:id="5" w:name="_Toc22140"/>
      <w:r>
        <w:rPr>
          <w:rFonts w:hint="eastAsia"/>
          <w:sz w:val="30"/>
          <w:szCs w:val="30"/>
        </w:rPr>
        <w:t>二</w:t>
      </w:r>
      <w:r>
        <w:rPr>
          <w:sz w:val="30"/>
          <w:szCs w:val="30"/>
        </w:rPr>
        <w:t>、</w:t>
      </w:r>
      <w:r>
        <w:rPr>
          <w:rFonts w:hint="eastAsia"/>
          <w:sz w:val="30"/>
          <w:szCs w:val="30"/>
        </w:rPr>
        <w:t>房地产估价机构</w:t>
      </w:r>
      <w:bookmarkEnd w:id="5"/>
    </w:p>
    <w:p>
      <w:pPr>
        <w:pStyle w:val="9"/>
        <w:pageBreakBefore w:val="0"/>
        <w:widowControl w:val="0"/>
        <w:kinsoku/>
        <w:wordWrap/>
        <w:overflowPunct/>
        <w:topLinePunct w:val="0"/>
        <w:autoSpaceDE/>
        <w:autoSpaceDN/>
        <w:bidi w:val="0"/>
        <w:adjustRightInd/>
        <w:snapToGrid/>
        <w:spacing w:line="460" w:lineRule="exact"/>
        <w:ind w:firstLine="560"/>
        <w:textAlignment w:val="auto"/>
        <w:rPr>
          <w:rFonts w:ascii="Times New Roman" w:hAnsi="Times New Roman" w:eastAsia="仿宋_GB2312"/>
        </w:rPr>
      </w:pPr>
      <w:r>
        <w:rPr>
          <w:rFonts w:hint="eastAsia" w:ascii="Times New Roman" w:hAnsi="Times New Roman" w:eastAsia="仿宋_GB2312"/>
        </w:rPr>
        <w:t>房地产估价机构</w:t>
      </w:r>
      <w:r>
        <w:rPr>
          <w:rFonts w:ascii="Times New Roman" w:hAnsi="Times New Roman" w:eastAsia="仿宋_GB2312"/>
        </w:rPr>
        <w:t>：江苏瑞地土地房地产评估有限公司</w:t>
      </w:r>
    </w:p>
    <w:p>
      <w:pPr>
        <w:pStyle w:val="9"/>
        <w:pageBreakBefore w:val="0"/>
        <w:widowControl w:val="0"/>
        <w:kinsoku/>
        <w:wordWrap/>
        <w:overflowPunct/>
        <w:topLinePunct w:val="0"/>
        <w:autoSpaceDE/>
        <w:autoSpaceDN/>
        <w:bidi w:val="0"/>
        <w:adjustRightInd/>
        <w:snapToGrid/>
        <w:spacing w:line="460" w:lineRule="exact"/>
        <w:ind w:firstLine="560"/>
        <w:textAlignment w:val="auto"/>
        <w:rPr>
          <w:rFonts w:ascii="Times New Roman" w:hAnsi="Times New Roman" w:eastAsia="仿宋_GB2312"/>
        </w:rPr>
      </w:pPr>
      <w:r>
        <w:rPr>
          <w:rFonts w:hint="eastAsia" w:ascii="Times New Roman" w:hAnsi="Times New Roman" w:eastAsia="仿宋_GB2312"/>
        </w:rPr>
        <w:t>房地产估价机构</w:t>
      </w:r>
      <w:r>
        <w:rPr>
          <w:rFonts w:ascii="Times New Roman" w:hAnsi="Times New Roman" w:eastAsia="仿宋_GB2312"/>
        </w:rPr>
        <w:t>地址：盐城市毓龙东路57号新阜大厦东3楼</w:t>
      </w:r>
    </w:p>
    <w:p>
      <w:pPr>
        <w:pStyle w:val="9"/>
        <w:pageBreakBefore w:val="0"/>
        <w:widowControl w:val="0"/>
        <w:kinsoku/>
        <w:wordWrap/>
        <w:overflowPunct/>
        <w:topLinePunct w:val="0"/>
        <w:autoSpaceDE/>
        <w:autoSpaceDN/>
        <w:bidi w:val="0"/>
        <w:adjustRightInd/>
        <w:snapToGrid/>
        <w:spacing w:line="460" w:lineRule="exact"/>
        <w:ind w:firstLine="560"/>
        <w:textAlignment w:val="auto"/>
        <w:rPr>
          <w:rFonts w:ascii="Times New Roman" w:hAnsi="Times New Roman" w:eastAsia="仿宋_GB2312"/>
        </w:rPr>
      </w:pPr>
      <w:r>
        <w:rPr>
          <w:rFonts w:hint="eastAsia" w:ascii="Times New Roman" w:hAnsi="Times New Roman" w:eastAsia="仿宋_GB2312"/>
        </w:rPr>
        <w:t>房地产</w:t>
      </w:r>
      <w:r>
        <w:rPr>
          <w:rFonts w:hint="eastAsia" w:ascii="Times New Roman" w:hAnsi="Times New Roman" w:eastAsia="仿宋_GB2312"/>
          <w:lang w:eastAsia="zh-CN"/>
        </w:rPr>
        <w:t>备案</w:t>
      </w:r>
      <w:r>
        <w:rPr>
          <w:rFonts w:ascii="Times New Roman" w:hAnsi="Times New Roman" w:eastAsia="仿宋_GB2312"/>
        </w:rPr>
        <w:t>等级：贰级</w:t>
      </w:r>
    </w:p>
    <w:p>
      <w:pPr>
        <w:pStyle w:val="9"/>
        <w:pageBreakBefore w:val="0"/>
        <w:widowControl w:val="0"/>
        <w:kinsoku/>
        <w:wordWrap/>
        <w:overflowPunct/>
        <w:topLinePunct w:val="0"/>
        <w:autoSpaceDE/>
        <w:autoSpaceDN/>
        <w:bidi w:val="0"/>
        <w:adjustRightInd/>
        <w:snapToGrid/>
        <w:spacing w:line="460" w:lineRule="exact"/>
        <w:ind w:firstLine="560"/>
        <w:textAlignment w:val="auto"/>
        <w:rPr>
          <w:rFonts w:hint="eastAsia" w:ascii="Times New Roman" w:hAnsi="Times New Roman" w:eastAsia="仿宋_GB2312"/>
          <w:lang w:val="en-US" w:eastAsia="zh-CN"/>
        </w:rPr>
      </w:pPr>
      <w:r>
        <w:rPr>
          <w:rFonts w:hint="eastAsia" w:ascii="Times New Roman" w:hAnsi="Times New Roman" w:eastAsia="仿宋_GB2312"/>
        </w:rPr>
        <w:t>房地产</w:t>
      </w:r>
      <w:r>
        <w:rPr>
          <w:rFonts w:hint="eastAsia" w:ascii="Times New Roman" w:hAnsi="Times New Roman" w:eastAsia="仿宋_GB2312"/>
          <w:lang w:eastAsia="zh-CN"/>
        </w:rPr>
        <w:t>备案</w:t>
      </w:r>
      <w:r>
        <w:rPr>
          <w:rFonts w:ascii="Times New Roman" w:hAnsi="Times New Roman" w:eastAsia="仿宋_GB2312"/>
        </w:rPr>
        <w:t>证书编号：</w:t>
      </w:r>
      <w:r>
        <w:rPr>
          <w:rFonts w:hint="eastAsia" w:ascii="Times New Roman" w:hAnsi="Times New Roman" w:eastAsia="仿宋_GB2312"/>
        </w:rPr>
        <w:t>苏建房估（贰）</w:t>
      </w:r>
      <w:r>
        <w:rPr>
          <w:rFonts w:ascii="Times New Roman" w:hAnsi="Times New Roman" w:eastAsia="仿宋_GB2312"/>
        </w:rPr>
        <w:t>盐城</w:t>
      </w:r>
      <w:r>
        <w:rPr>
          <w:rFonts w:hint="eastAsia" w:ascii="Times New Roman" w:hAnsi="Times New Roman" w:eastAsia="仿宋_GB2312"/>
        </w:rPr>
        <w:t>00</w:t>
      </w:r>
      <w:r>
        <w:rPr>
          <w:rFonts w:hint="eastAsia" w:ascii="Times New Roman" w:hAnsi="Times New Roman" w:eastAsia="仿宋_GB2312"/>
          <w:lang w:val="en-US" w:eastAsia="zh-CN"/>
        </w:rPr>
        <w:t>012</w:t>
      </w:r>
    </w:p>
    <w:p>
      <w:pPr>
        <w:pStyle w:val="9"/>
        <w:pageBreakBefore w:val="0"/>
        <w:widowControl w:val="0"/>
        <w:kinsoku/>
        <w:wordWrap/>
        <w:overflowPunct/>
        <w:topLinePunct w:val="0"/>
        <w:autoSpaceDE/>
        <w:autoSpaceDN/>
        <w:bidi w:val="0"/>
        <w:adjustRightInd/>
        <w:snapToGrid/>
        <w:spacing w:line="460" w:lineRule="exact"/>
        <w:ind w:firstLine="560"/>
        <w:textAlignment w:val="auto"/>
        <w:rPr>
          <w:rFonts w:ascii="Times New Roman" w:hAnsi="Times New Roman" w:eastAsia="仿宋_GB2312"/>
        </w:rPr>
      </w:pPr>
      <w:r>
        <w:rPr>
          <w:rFonts w:ascii="Times New Roman" w:hAnsi="Times New Roman" w:eastAsia="仿宋_GB2312"/>
        </w:rPr>
        <w:t>联系人：胡 跃</w:t>
      </w:r>
    </w:p>
    <w:p>
      <w:pPr>
        <w:pStyle w:val="9"/>
        <w:pageBreakBefore w:val="0"/>
        <w:widowControl w:val="0"/>
        <w:kinsoku/>
        <w:wordWrap/>
        <w:overflowPunct/>
        <w:topLinePunct w:val="0"/>
        <w:autoSpaceDE/>
        <w:autoSpaceDN/>
        <w:bidi w:val="0"/>
        <w:adjustRightInd/>
        <w:snapToGrid/>
        <w:spacing w:line="460" w:lineRule="exact"/>
        <w:ind w:firstLine="560"/>
        <w:textAlignment w:val="auto"/>
        <w:rPr>
          <w:rFonts w:ascii="Times New Roman" w:hAnsi="Times New Roman" w:eastAsia="仿宋_GB2312"/>
        </w:rPr>
      </w:pPr>
      <w:r>
        <w:rPr>
          <w:rFonts w:ascii="Times New Roman" w:hAnsi="Times New Roman" w:eastAsia="仿宋_GB2312"/>
        </w:rPr>
        <w:t>联系电话：0515－88333999    13390689599</w:t>
      </w:r>
    </w:p>
    <w:p>
      <w:pPr>
        <w:pStyle w:val="9"/>
        <w:pageBreakBefore w:val="0"/>
        <w:widowControl w:val="0"/>
        <w:kinsoku/>
        <w:wordWrap/>
        <w:overflowPunct/>
        <w:topLinePunct w:val="0"/>
        <w:autoSpaceDE/>
        <w:autoSpaceDN/>
        <w:bidi w:val="0"/>
        <w:adjustRightInd/>
        <w:snapToGrid/>
        <w:spacing w:line="460" w:lineRule="exact"/>
        <w:ind w:firstLine="560" w:firstLineChars="200"/>
        <w:textAlignment w:val="auto"/>
        <w:rPr>
          <w:rFonts w:ascii="Times New Roman" w:hAnsi="Times New Roman" w:eastAsia="仿宋_GB2312"/>
        </w:rPr>
      </w:pPr>
      <w:r>
        <w:rPr>
          <w:rFonts w:ascii="Times New Roman" w:hAnsi="Times New Roman" w:eastAsia="仿宋_GB2312"/>
        </w:rPr>
        <w:t>邮政编码：224000</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bCs/>
          <w:sz w:val="28"/>
        </w:rPr>
      </w:pPr>
      <w:r>
        <w:rPr>
          <w:rFonts w:eastAsia="仿宋_GB2312"/>
          <w:bCs/>
          <w:sz w:val="28"/>
        </w:rPr>
        <w:t>公司网址：</w:t>
      </w:r>
      <w:r>
        <w:rPr>
          <w:rFonts w:hint="eastAsia" w:eastAsia="仿宋_GB2312"/>
          <w:bCs/>
          <w:sz w:val="28"/>
        </w:rPr>
        <w:t>www</w:t>
      </w:r>
      <w:r>
        <w:rPr>
          <w:rFonts w:eastAsia="仿宋_GB2312"/>
          <w:bCs/>
          <w:sz w:val="28"/>
        </w:rPr>
        <w:t>.ycfdcpg.com</w:t>
      </w:r>
    </w:p>
    <w:p>
      <w:pPr>
        <w:pStyle w:val="4"/>
        <w:pageBreakBefore w:val="0"/>
        <w:widowControl w:val="0"/>
        <w:kinsoku/>
        <w:wordWrap/>
        <w:overflowPunct/>
        <w:topLinePunct w:val="0"/>
        <w:autoSpaceDE/>
        <w:autoSpaceDN/>
        <w:bidi w:val="0"/>
        <w:adjustRightInd/>
        <w:snapToGrid/>
        <w:spacing w:before="0" w:after="0" w:line="460" w:lineRule="exact"/>
        <w:textAlignment w:val="auto"/>
        <w:rPr>
          <w:sz w:val="30"/>
          <w:szCs w:val="30"/>
        </w:rPr>
      </w:pPr>
      <w:bookmarkStart w:id="6" w:name="_Toc20432"/>
      <w:r>
        <w:rPr>
          <w:rFonts w:hint="eastAsia"/>
          <w:sz w:val="30"/>
          <w:szCs w:val="30"/>
        </w:rPr>
        <w:t>三、估价目的</w:t>
      </w:r>
      <w:bookmarkEnd w:id="6"/>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w:hAnsi="Times New Roman" w:eastAsia="仿宋_GB2312" w:cs="Times New Roman"/>
          <w:sz w:val="28"/>
        </w:rPr>
      </w:pPr>
      <w:r>
        <w:rPr>
          <w:rFonts w:eastAsia="仿宋_GB2312"/>
          <w:sz w:val="28"/>
          <w:szCs w:val="28"/>
        </w:rPr>
        <w:t>为</w:t>
      </w:r>
      <w:r>
        <w:rPr>
          <w:rFonts w:hint="eastAsia" w:eastAsia="仿宋_GB2312"/>
          <w:sz w:val="28"/>
          <w:szCs w:val="28"/>
          <w:lang w:eastAsia="zh-CN"/>
        </w:rPr>
        <w:t>盐城市亭湖区人民法院</w:t>
      </w:r>
      <w:r>
        <w:rPr>
          <w:rFonts w:hint="default" w:ascii="Times New Roman" w:hAnsi="Times New Roman" w:eastAsia="仿宋_GB2312" w:cs="Times New Roman"/>
          <w:sz w:val="28"/>
          <w:szCs w:val="28"/>
          <w:lang w:eastAsia="zh-CN"/>
        </w:rPr>
        <w:t>确定财产处置参考价提供参考依据</w:t>
      </w:r>
      <w:r>
        <w:rPr>
          <w:rFonts w:hint="default" w:ascii="Times New Roman" w:hAnsi="Times New Roman" w:eastAsia="仿宋_GB2312" w:cs="Times New Roman"/>
          <w:sz w:val="28"/>
        </w:rPr>
        <w:t>。</w:t>
      </w:r>
    </w:p>
    <w:p>
      <w:pPr>
        <w:pStyle w:val="4"/>
        <w:pageBreakBefore w:val="0"/>
        <w:widowControl w:val="0"/>
        <w:kinsoku/>
        <w:wordWrap/>
        <w:overflowPunct/>
        <w:topLinePunct w:val="0"/>
        <w:autoSpaceDE/>
        <w:autoSpaceDN/>
        <w:bidi w:val="0"/>
        <w:adjustRightInd/>
        <w:snapToGrid/>
        <w:spacing w:before="0" w:after="0" w:line="460" w:lineRule="exact"/>
        <w:textAlignment w:val="auto"/>
        <w:rPr>
          <w:sz w:val="30"/>
          <w:szCs w:val="30"/>
        </w:rPr>
      </w:pPr>
      <w:bookmarkStart w:id="7" w:name="_Toc30502"/>
      <w:r>
        <w:rPr>
          <w:rFonts w:hint="eastAsia"/>
          <w:sz w:val="30"/>
          <w:szCs w:val="30"/>
        </w:rPr>
        <w:t>四、估价对象</w:t>
      </w:r>
      <w:bookmarkEnd w:id="7"/>
    </w:p>
    <w:p>
      <w:pPr>
        <w:pageBreakBefore w:val="0"/>
        <w:widowControl w:val="0"/>
        <w:kinsoku/>
        <w:wordWrap/>
        <w:overflowPunct/>
        <w:topLinePunct w:val="0"/>
        <w:autoSpaceDE/>
        <w:autoSpaceDN/>
        <w:bidi w:val="0"/>
        <w:adjustRightInd/>
        <w:snapToGrid/>
        <w:spacing w:line="460" w:lineRule="exact"/>
        <w:ind w:firstLine="280" w:firstLineChars="100"/>
        <w:textAlignment w:val="auto"/>
        <w:rPr>
          <w:rFonts w:eastAsia="仿宋_GB2312"/>
          <w:bCs/>
          <w:sz w:val="28"/>
        </w:rPr>
      </w:pPr>
      <w:r>
        <w:rPr>
          <w:rFonts w:eastAsia="仿宋_GB2312"/>
          <w:sz w:val="28"/>
          <w:szCs w:val="28"/>
        </w:rPr>
        <w:t>（一）</w:t>
      </w:r>
      <w:r>
        <w:rPr>
          <w:rFonts w:eastAsia="仿宋_GB2312"/>
          <w:bCs/>
          <w:sz w:val="28"/>
        </w:rPr>
        <w:t>估价对象范围</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rPr>
      </w:pPr>
      <w:r>
        <w:rPr>
          <w:rFonts w:eastAsia="仿宋_GB2312"/>
          <w:sz w:val="28"/>
        </w:rPr>
        <w:t>价估对象为位于</w:t>
      </w:r>
      <w:r>
        <w:rPr>
          <w:rFonts w:hint="eastAsia" w:eastAsia="仿宋_GB2312"/>
          <w:sz w:val="28"/>
          <w:lang w:eastAsia="zh-CN"/>
        </w:rPr>
        <w:t>市区开华夏绿城A9幢505室、22室房地产</w:t>
      </w:r>
      <w:r>
        <w:rPr>
          <w:rFonts w:hint="eastAsia" w:eastAsia="仿宋_GB2312"/>
          <w:sz w:val="28"/>
        </w:rPr>
        <w:t>建筑面积为</w:t>
      </w:r>
      <w:r>
        <w:rPr>
          <w:rFonts w:hint="eastAsia" w:eastAsia="仿宋_GB2312"/>
          <w:sz w:val="28"/>
          <w:lang w:eastAsia="zh-CN"/>
        </w:rPr>
        <w:t>152.9㎡、</w:t>
      </w:r>
      <w:r>
        <w:rPr>
          <w:rFonts w:hint="eastAsia" w:eastAsia="仿宋_GB2312"/>
          <w:sz w:val="28"/>
          <w:lang w:val="en-US" w:eastAsia="zh-CN"/>
        </w:rPr>
        <w:t>9.79㎡</w:t>
      </w:r>
      <w:r>
        <w:rPr>
          <w:rFonts w:hint="eastAsia" w:eastAsia="仿宋_GB2312"/>
          <w:sz w:val="28"/>
          <w:lang w:eastAsia="zh-CN"/>
        </w:rPr>
        <w:t>。</w:t>
      </w:r>
      <w:r>
        <w:rPr>
          <w:rFonts w:hint="eastAsia" w:eastAsia="仿宋_GB2312"/>
          <w:sz w:val="28"/>
          <w:szCs w:val="28"/>
        </w:rPr>
        <w:t>本次评估的范围为</w:t>
      </w:r>
      <w:r>
        <w:rPr>
          <w:rFonts w:eastAsia="仿宋_GB2312"/>
          <w:sz w:val="28"/>
          <w:szCs w:val="28"/>
        </w:rPr>
        <w:t>国有出让土地使用权及</w:t>
      </w:r>
      <w:r>
        <w:rPr>
          <w:rFonts w:hint="eastAsia" w:eastAsia="仿宋_GB2312"/>
          <w:sz w:val="28"/>
          <w:szCs w:val="28"/>
        </w:rPr>
        <w:t>地上建筑物以及</w:t>
      </w:r>
      <w:r>
        <w:rPr>
          <w:rFonts w:eastAsia="仿宋_GB2312"/>
          <w:sz w:val="28"/>
          <w:szCs w:val="28"/>
        </w:rPr>
        <w:t>与估价对象不可分割的必须满足其使用功能的水、电、消防、通讯等配套设施。不包含动产、债权债务、特许经营权等其他财产或者权益</w:t>
      </w:r>
      <w:r>
        <w:rPr>
          <w:rFonts w:hint="eastAsia" w:eastAsia="仿宋_GB2312"/>
          <w:sz w:val="28"/>
          <w:szCs w:val="28"/>
        </w:rPr>
        <w:t>。</w:t>
      </w:r>
    </w:p>
    <w:p>
      <w:pPr>
        <w:pageBreakBefore w:val="0"/>
        <w:widowControl w:val="0"/>
        <w:kinsoku/>
        <w:wordWrap/>
        <w:overflowPunct/>
        <w:topLinePunct w:val="0"/>
        <w:autoSpaceDE/>
        <w:autoSpaceDN/>
        <w:bidi w:val="0"/>
        <w:adjustRightInd/>
        <w:snapToGrid/>
        <w:spacing w:line="460" w:lineRule="exact"/>
        <w:ind w:firstLine="280" w:firstLineChars="100"/>
        <w:textAlignment w:val="auto"/>
        <w:rPr>
          <w:rFonts w:eastAsia="仿宋_GB2312"/>
          <w:sz w:val="28"/>
          <w:szCs w:val="28"/>
        </w:rPr>
      </w:pPr>
      <w:r>
        <w:rPr>
          <w:rFonts w:eastAsia="仿宋_GB2312"/>
          <w:sz w:val="28"/>
          <w:szCs w:val="28"/>
        </w:rPr>
        <w:t>（二）估价对象实物状况</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bCs/>
          <w:sz w:val="28"/>
        </w:rPr>
      </w:pPr>
      <w:r>
        <w:rPr>
          <w:rFonts w:eastAsia="仿宋_GB2312"/>
          <w:bCs/>
          <w:sz w:val="28"/>
        </w:rPr>
        <w:t>1.估价对象基本状况</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szCs w:val="28"/>
        </w:rPr>
      </w:pPr>
      <w:r>
        <w:rPr>
          <w:rFonts w:eastAsia="仿宋_GB2312"/>
          <w:sz w:val="28"/>
          <w:szCs w:val="28"/>
        </w:rPr>
        <w:t>（1）名称及坐落：</w:t>
      </w:r>
      <w:r>
        <w:rPr>
          <w:rFonts w:hint="eastAsia" w:eastAsia="仿宋_GB2312"/>
          <w:sz w:val="28"/>
          <w:szCs w:val="28"/>
          <w:lang w:eastAsia="zh-CN"/>
        </w:rPr>
        <w:t>市区开华夏绿城A9幢505室、22室</w:t>
      </w:r>
      <w:r>
        <w:rPr>
          <w:rFonts w:eastAsia="仿宋_GB2312"/>
          <w:sz w:val="28"/>
          <w:szCs w:val="28"/>
        </w:rPr>
        <w:t>。</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szCs w:val="28"/>
        </w:rPr>
      </w:pPr>
      <w:r>
        <w:rPr>
          <w:rFonts w:eastAsia="仿宋_GB2312"/>
          <w:sz w:val="28"/>
          <w:szCs w:val="28"/>
        </w:rPr>
        <w:t>（2）</w:t>
      </w:r>
      <w:r>
        <w:rPr>
          <w:rFonts w:hint="eastAsia" w:eastAsia="仿宋_GB2312"/>
          <w:sz w:val="28"/>
          <w:szCs w:val="28"/>
          <w:lang w:eastAsia="zh-CN"/>
        </w:rPr>
        <w:t>现状</w:t>
      </w:r>
      <w:r>
        <w:rPr>
          <w:rFonts w:eastAsia="仿宋_GB2312"/>
          <w:sz w:val="28"/>
          <w:szCs w:val="28"/>
        </w:rPr>
        <w:t>用途：住宅。</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szCs w:val="28"/>
        </w:rPr>
      </w:pPr>
      <w:r>
        <w:rPr>
          <w:rFonts w:eastAsia="仿宋_GB2312"/>
          <w:sz w:val="28"/>
          <w:szCs w:val="28"/>
        </w:rPr>
        <w:t>（3）建筑面积（规模）：</w:t>
      </w:r>
      <w:r>
        <w:rPr>
          <w:rFonts w:hint="eastAsia" w:eastAsia="仿宋_GB2312"/>
          <w:sz w:val="28"/>
          <w:szCs w:val="28"/>
          <w:lang w:val="en-US" w:eastAsia="zh-CN"/>
        </w:rPr>
        <w:t>152.9㎡</w:t>
      </w:r>
      <w:r>
        <w:rPr>
          <w:rFonts w:hint="eastAsia" w:eastAsia="仿宋_GB2312"/>
          <w:sz w:val="28"/>
          <w:szCs w:val="28"/>
          <w:lang w:eastAsia="zh-CN"/>
        </w:rPr>
        <w:t>、</w:t>
      </w:r>
      <w:r>
        <w:rPr>
          <w:rFonts w:hint="eastAsia" w:eastAsia="仿宋_GB2312"/>
          <w:sz w:val="28"/>
          <w:szCs w:val="28"/>
          <w:lang w:val="en-US" w:eastAsia="zh-CN"/>
        </w:rPr>
        <w:t>9.79㎡</w:t>
      </w:r>
      <w:r>
        <w:rPr>
          <w:rFonts w:eastAsia="仿宋_GB2312"/>
          <w:sz w:val="28"/>
          <w:szCs w:val="28"/>
        </w:rPr>
        <w:t>。</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szCs w:val="28"/>
        </w:rPr>
      </w:pPr>
      <w:r>
        <w:rPr>
          <w:rFonts w:eastAsia="仿宋_GB2312"/>
          <w:sz w:val="28"/>
          <w:szCs w:val="28"/>
        </w:rPr>
        <w:t>（4）房屋所有权人：</w:t>
      </w:r>
      <w:r>
        <w:rPr>
          <w:rFonts w:hint="eastAsia" w:eastAsia="仿宋_GB2312"/>
          <w:sz w:val="28"/>
          <w:lang w:val="en-US" w:eastAsia="zh-CN"/>
        </w:rPr>
        <w:t>郑寿光</w:t>
      </w:r>
      <w:r>
        <w:rPr>
          <w:rFonts w:eastAsia="仿宋_GB2312"/>
          <w:sz w:val="28"/>
          <w:szCs w:val="28"/>
        </w:rPr>
        <w:t>。</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szCs w:val="28"/>
        </w:rPr>
      </w:pPr>
      <w:r>
        <w:rPr>
          <w:rFonts w:eastAsia="仿宋_GB2312"/>
          <w:sz w:val="28"/>
          <w:szCs w:val="28"/>
        </w:rPr>
        <w:t>（5）使用现状：</w:t>
      </w:r>
      <w:r>
        <w:rPr>
          <w:rFonts w:hint="eastAsia" w:eastAsia="仿宋_GB2312"/>
          <w:color w:val="000000"/>
          <w:sz w:val="28"/>
        </w:rPr>
        <w:t>正常使用</w:t>
      </w:r>
      <w:r>
        <w:rPr>
          <w:rFonts w:eastAsia="仿宋_GB2312"/>
          <w:sz w:val="28"/>
          <w:szCs w:val="28"/>
        </w:rPr>
        <w:t>。</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szCs w:val="28"/>
        </w:rPr>
      </w:pPr>
      <w:r>
        <w:rPr>
          <w:rFonts w:eastAsia="仿宋_GB2312"/>
          <w:sz w:val="28"/>
          <w:szCs w:val="28"/>
        </w:rPr>
        <w:t>2. 土地基本状况</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szCs w:val="28"/>
        </w:rPr>
      </w:pPr>
      <w:r>
        <w:rPr>
          <w:rFonts w:eastAsia="仿宋_GB2312"/>
          <w:sz w:val="28"/>
          <w:szCs w:val="28"/>
        </w:rPr>
        <w:t>（1）名称：</w:t>
      </w:r>
      <w:r>
        <w:rPr>
          <w:rFonts w:hint="eastAsia" w:eastAsia="仿宋_GB2312"/>
          <w:sz w:val="28"/>
          <w:lang w:eastAsia="zh-CN"/>
        </w:rPr>
        <w:t>市区开华夏绿城A9幢505室、22室</w:t>
      </w:r>
      <w:r>
        <w:rPr>
          <w:rFonts w:eastAsia="仿宋_GB2312"/>
          <w:sz w:val="28"/>
          <w:szCs w:val="28"/>
        </w:rPr>
        <w:t>所属宗地。</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szCs w:val="28"/>
        </w:rPr>
      </w:pPr>
      <w:r>
        <w:rPr>
          <w:rFonts w:eastAsia="仿宋_GB2312"/>
          <w:sz w:val="28"/>
          <w:szCs w:val="28"/>
        </w:rPr>
        <w:t>（2）土地四至：</w:t>
      </w:r>
      <w:r>
        <w:rPr>
          <w:rFonts w:hint="eastAsia" w:eastAsia="仿宋_GB2312"/>
          <w:sz w:val="28"/>
          <w:szCs w:val="28"/>
          <w:lang w:val="en-US" w:eastAsia="zh-CN"/>
        </w:rPr>
        <w:t>-</w:t>
      </w:r>
      <w:r>
        <w:rPr>
          <w:rFonts w:eastAsia="仿宋_GB2312"/>
          <w:sz w:val="28"/>
          <w:szCs w:val="28"/>
        </w:rPr>
        <w:t>。</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sz w:val="28"/>
          <w:lang w:eastAsia="zh-CN"/>
        </w:rPr>
      </w:pPr>
      <w:r>
        <w:rPr>
          <w:rFonts w:eastAsia="仿宋_GB2312"/>
          <w:sz w:val="28"/>
          <w:szCs w:val="28"/>
        </w:rPr>
        <w:t>（3）土地面积：</w:t>
      </w:r>
      <w:r>
        <w:rPr>
          <w:rFonts w:hint="eastAsia" w:eastAsia="仿宋_GB2312"/>
          <w:sz w:val="28"/>
          <w:lang w:val="en-US" w:eastAsia="zh-CN"/>
        </w:rPr>
        <w:t>-</w:t>
      </w:r>
      <w:r>
        <w:rPr>
          <w:rFonts w:hint="eastAsia" w:eastAsia="仿宋_GB2312"/>
          <w:sz w:val="28"/>
          <w:lang w:eastAsia="zh-CN"/>
        </w:rPr>
        <w:t>。</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sz w:val="28"/>
          <w:lang w:eastAsia="zh-CN"/>
        </w:rPr>
      </w:pPr>
      <w:r>
        <w:rPr>
          <w:rFonts w:hint="eastAsia" w:eastAsia="仿宋_GB2312"/>
          <w:sz w:val="28"/>
          <w:lang w:eastAsia="zh-CN"/>
        </w:rPr>
        <w:t>（4）使用期限 ：</w:t>
      </w:r>
      <w:r>
        <w:rPr>
          <w:rFonts w:hint="eastAsia" w:eastAsia="仿宋_GB2312"/>
          <w:sz w:val="28"/>
          <w:lang w:val="en-US" w:eastAsia="zh-CN"/>
        </w:rPr>
        <w:t>2076年5月10日</w:t>
      </w:r>
      <w:r>
        <w:rPr>
          <w:rFonts w:hint="eastAsia" w:eastAsia="仿宋_GB2312"/>
          <w:sz w:val="28"/>
          <w:lang w:eastAsia="zh-CN"/>
        </w:rPr>
        <w:t>止。</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sz w:val="28"/>
          <w:lang w:eastAsia="zh-CN"/>
        </w:rPr>
      </w:pPr>
      <w:r>
        <w:rPr>
          <w:rFonts w:hint="eastAsia" w:eastAsia="仿宋_GB2312"/>
          <w:sz w:val="28"/>
          <w:lang w:eastAsia="zh-CN"/>
        </w:rPr>
        <w:t>（5）用途 ：</w:t>
      </w:r>
      <w:r>
        <w:rPr>
          <w:rFonts w:hint="eastAsia" w:eastAsia="仿宋_GB2312"/>
          <w:sz w:val="28"/>
          <w:lang w:val="en-US" w:eastAsia="zh-CN"/>
        </w:rPr>
        <w:t>-</w:t>
      </w:r>
      <w:r>
        <w:rPr>
          <w:rFonts w:hint="eastAsia" w:eastAsia="仿宋_GB2312"/>
          <w:sz w:val="28"/>
          <w:lang w:eastAsia="zh-CN"/>
        </w:rPr>
        <w:t>。</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szCs w:val="28"/>
        </w:rPr>
      </w:pPr>
      <w:r>
        <w:rPr>
          <w:rFonts w:eastAsia="仿宋_GB2312"/>
          <w:sz w:val="28"/>
          <w:szCs w:val="28"/>
        </w:rPr>
        <w:t>（6）土地形状：估价对象所在宗地近似矩形，较规则。</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szCs w:val="28"/>
        </w:rPr>
      </w:pPr>
      <w:r>
        <w:rPr>
          <w:rFonts w:eastAsia="仿宋_GB2312"/>
          <w:sz w:val="28"/>
          <w:szCs w:val="28"/>
        </w:rPr>
        <w:t>（7）地形：地形平坦、无坡度。</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szCs w:val="28"/>
        </w:rPr>
      </w:pPr>
      <w:r>
        <w:rPr>
          <w:rFonts w:eastAsia="仿宋_GB2312"/>
          <w:sz w:val="28"/>
          <w:szCs w:val="28"/>
        </w:rPr>
        <w:t>（8）地势：与相邻土地、道路高低一致，被洪水淹没可能性小。</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szCs w:val="28"/>
        </w:rPr>
      </w:pPr>
      <w:r>
        <w:rPr>
          <w:rFonts w:eastAsia="仿宋_GB2312"/>
          <w:sz w:val="28"/>
          <w:szCs w:val="28"/>
        </w:rPr>
        <w:t>（9）土壤：该宗地未受过污染，可直接生产使用。</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szCs w:val="28"/>
        </w:rPr>
      </w:pPr>
      <w:r>
        <w:rPr>
          <w:rFonts w:eastAsia="仿宋_GB2312"/>
          <w:sz w:val="28"/>
          <w:szCs w:val="28"/>
        </w:rPr>
        <w:t>（10）地基、水文状况：待估宗地土质较好，承载力较好，建筑建设时需作较简单的基础处理，地基条件较优。水文地质无重大地质灾害隐患。</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szCs w:val="28"/>
        </w:rPr>
      </w:pPr>
      <w:r>
        <w:rPr>
          <w:rFonts w:eastAsia="仿宋_GB2312"/>
          <w:sz w:val="28"/>
          <w:szCs w:val="28"/>
        </w:rPr>
        <w:t>（11）土地开发程度：估价对象所在宗地达到红线外通路、通上水、通下水、通电、通讯、通气“六通”和宗地内达到通路、通上水、通下水、通电、通讯、通气及场地平整“六通一平”的开发水平。</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szCs w:val="28"/>
        </w:rPr>
      </w:pPr>
      <w:r>
        <w:rPr>
          <w:rFonts w:eastAsia="仿宋_GB2312"/>
          <w:sz w:val="28"/>
          <w:szCs w:val="28"/>
        </w:rPr>
        <w:t>3.建筑物基本状况</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szCs w:val="28"/>
        </w:rPr>
      </w:pPr>
      <w:r>
        <w:rPr>
          <w:rFonts w:eastAsia="仿宋_GB2312"/>
          <w:sz w:val="28"/>
          <w:szCs w:val="28"/>
        </w:rPr>
        <w:t>（1）建筑结构：</w:t>
      </w:r>
      <w:r>
        <w:rPr>
          <w:rFonts w:hint="eastAsia" w:eastAsia="仿宋_GB2312"/>
          <w:sz w:val="28"/>
          <w:szCs w:val="28"/>
          <w:lang w:val="en-US" w:eastAsia="zh-CN"/>
        </w:rPr>
        <w:t>钢混</w:t>
      </w:r>
      <w:r>
        <w:rPr>
          <w:rFonts w:eastAsia="仿宋_GB2312"/>
          <w:sz w:val="28"/>
          <w:szCs w:val="28"/>
        </w:rPr>
        <w:t>。</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szCs w:val="28"/>
        </w:rPr>
      </w:pPr>
      <w:r>
        <w:rPr>
          <w:rFonts w:eastAsia="仿宋_GB2312"/>
          <w:sz w:val="28"/>
          <w:szCs w:val="28"/>
        </w:rPr>
        <w:t>（2）层高：</w:t>
      </w:r>
      <w:r>
        <w:rPr>
          <w:rFonts w:hint="eastAsia" w:eastAsia="仿宋_GB2312"/>
          <w:sz w:val="28"/>
          <w:szCs w:val="28"/>
          <w:lang w:val="en-US" w:eastAsia="zh-CN"/>
        </w:rPr>
        <w:t>2.8</w:t>
      </w:r>
      <w:r>
        <w:rPr>
          <w:rFonts w:eastAsia="仿宋_GB2312"/>
          <w:sz w:val="28"/>
          <w:szCs w:val="28"/>
        </w:rPr>
        <w:t>米。</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sz w:val="28"/>
          <w:szCs w:val="28"/>
        </w:rPr>
      </w:pPr>
      <w:r>
        <w:rPr>
          <w:rFonts w:eastAsia="仿宋_GB2312"/>
          <w:sz w:val="28"/>
          <w:szCs w:val="28"/>
        </w:rPr>
        <w:t>（3）建成时间：20</w:t>
      </w:r>
      <w:r>
        <w:rPr>
          <w:rFonts w:hint="eastAsia" w:eastAsia="仿宋_GB2312"/>
          <w:sz w:val="28"/>
          <w:szCs w:val="28"/>
          <w:lang w:val="en-US" w:eastAsia="zh-CN"/>
        </w:rPr>
        <w:t>07</w:t>
      </w:r>
      <w:r>
        <w:rPr>
          <w:rFonts w:eastAsia="仿宋_GB2312"/>
          <w:sz w:val="28"/>
          <w:szCs w:val="28"/>
        </w:rPr>
        <w:t>年</w:t>
      </w:r>
      <w:r>
        <w:rPr>
          <w:rFonts w:hint="eastAsia" w:eastAsia="仿宋_GB2312"/>
          <w:sz w:val="28"/>
          <w:szCs w:val="28"/>
          <w:lang w:val="en-US" w:eastAsia="zh-CN"/>
        </w:rPr>
        <w:t>左右</w:t>
      </w:r>
      <w:r>
        <w:rPr>
          <w:rFonts w:eastAsia="仿宋_GB2312"/>
          <w:sz w:val="28"/>
          <w:szCs w:val="28"/>
        </w:rPr>
        <w:t>。</w:t>
      </w:r>
    </w:p>
    <w:p>
      <w:pPr>
        <w:pStyle w:val="9"/>
        <w:pageBreakBefore w:val="0"/>
        <w:widowControl w:val="0"/>
        <w:kinsoku/>
        <w:wordWrap/>
        <w:overflowPunct/>
        <w:topLinePunct w:val="0"/>
        <w:autoSpaceDE/>
        <w:autoSpaceDN/>
        <w:bidi w:val="0"/>
        <w:adjustRightInd/>
        <w:snapToGrid/>
        <w:spacing w:line="460" w:lineRule="exact"/>
        <w:ind w:firstLine="560" w:firstLineChars="200"/>
        <w:textAlignment w:val="auto"/>
        <w:rPr>
          <w:rFonts w:ascii="Times New Roman" w:hAnsi="Times New Roman" w:eastAsia="仿宋_GB2312"/>
          <w:sz w:val="28"/>
          <w:szCs w:val="28"/>
          <w:highlight w:val="none"/>
        </w:rPr>
      </w:pPr>
      <w:r>
        <w:rPr>
          <w:rFonts w:ascii="Times New Roman" w:hAnsi="Times New Roman" w:eastAsia="仿宋_GB2312"/>
          <w:sz w:val="28"/>
          <w:szCs w:val="28"/>
          <w:highlight w:val="none"/>
        </w:rPr>
        <w:t>（4）平面布置：估价对象为成套住宅，</w:t>
      </w:r>
      <w:r>
        <w:rPr>
          <w:rFonts w:hint="eastAsia" w:ascii="Times New Roman" w:hAnsi="Times New Roman" w:eastAsia="仿宋_GB2312"/>
          <w:sz w:val="28"/>
          <w:szCs w:val="28"/>
          <w:highlight w:val="none"/>
          <w:lang w:val="en-US" w:eastAsia="zh-CN"/>
        </w:rPr>
        <w:t>三</w:t>
      </w:r>
      <w:r>
        <w:rPr>
          <w:rFonts w:ascii="Times New Roman" w:hAnsi="Times New Roman" w:eastAsia="仿宋_GB2312"/>
          <w:sz w:val="28"/>
          <w:szCs w:val="28"/>
          <w:highlight w:val="none"/>
        </w:rPr>
        <w:t>室</w:t>
      </w:r>
      <w:r>
        <w:rPr>
          <w:rFonts w:hint="eastAsia" w:ascii="Times New Roman" w:hAnsi="Times New Roman" w:eastAsia="仿宋_GB2312"/>
          <w:sz w:val="28"/>
          <w:szCs w:val="28"/>
          <w:highlight w:val="none"/>
          <w:lang w:val="en-US" w:eastAsia="zh-CN"/>
        </w:rPr>
        <w:t>二</w:t>
      </w:r>
      <w:r>
        <w:rPr>
          <w:rFonts w:ascii="Times New Roman" w:hAnsi="Times New Roman" w:eastAsia="仿宋_GB2312"/>
          <w:sz w:val="28"/>
          <w:szCs w:val="28"/>
          <w:highlight w:val="none"/>
        </w:rPr>
        <w:t>厅一厨一卫，南北通透，户型较方正，平面布置</w:t>
      </w:r>
      <w:r>
        <w:rPr>
          <w:rFonts w:hint="eastAsia" w:ascii="Times New Roman" w:hAnsi="Times New Roman" w:eastAsia="仿宋_GB2312"/>
          <w:sz w:val="28"/>
          <w:szCs w:val="28"/>
          <w:highlight w:val="none"/>
          <w:lang w:val="en-US" w:eastAsia="zh-CN"/>
        </w:rPr>
        <w:t>一般</w:t>
      </w:r>
      <w:r>
        <w:rPr>
          <w:rFonts w:ascii="Times New Roman" w:hAnsi="Times New Roman" w:eastAsia="仿宋_GB2312"/>
          <w:sz w:val="28"/>
          <w:szCs w:val="28"/>
          <w:highlight w:val="none"/>
        </w:rPr>
        <w:t>。</w:t>
      </w:r>
    </w:p>
    <w:p>
      <w:pPr>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olor w:val="000000"/>
          <w:sz w:val="28"/>
          <w:highlight w:val="none"/>
        </w:rPr>
      </w:pPr>
      <w:r>
        <w:rPr>
          <w:rFonts w:ascii="Times New Roman" w:hAnsi="Times New Roman" w:eastAsia="仿宋_GB2312"/>
          <w:sz w:val="28"/>
          <w:szCs w:val="28"/>
          <w:highlight w:val="none"/>
        </w:rPr>
        <w:t>（5）保养及装修装饰情况：房产保养</w:t>
      </w:r>
      <w:r>
        <w:rPr>
          <w:rFonts w:hint="eastAsia" w:eastAsia="仿宋_GB2312"/>
          <w:sz w:val="28"/>
          <w:szCs w:val="28"/>
          <w:highlight w:val="none"/>
          <w:lang w:val="en-US" w:eastAsia="zh-CN"/>
        </w:rPr>
        <w:t>较好</w:t>
      </w:r>
      <w:r>
        <w:rPr>
          <w:rFonts w:ascii="Times New Roman" w:hAnsi="Times New Roman" w:eastAsia="仿宋_GB2312"/>
          <w:sz w:val="28"/>
          <w:szCs w:val="28"/>
          <w:highlight w:val="none"/>
        </w:rPr>
        <w:t>，</w:t>
      </w:r>
      <w:r>
        <w:rPr>
          <w:rFonts w:hint="eastAsia" w:eastAsia="仿宋_GB2312"/>
          <w:color w:val="000000"/>
          <w:sz w:val="28"/>
          <w:highlight w:val="none"/>
        </w:rPr>
        <w:t>主体结构为</w:t>
      </w:r>
      <w:r>
        <w:rPr>
          <w:rFonts w:hint="eastAsia" w:eastAsia="仿宋_GB2312"/>
          <w:color w:val="000000"/>
          <w:sz w:val="28"/>
          <w:highlight w:val="none"/>
          <w:lang w:val="en-US" w:eastAsia="zh-CN"/>
        </w:rPr>
        <w:t>混合</w:t>
      </w:r>
      <w:r>
        <w:rPr>
          <w:rFonts w:hint="eastAsia" w:eastAsia="仿宋_GB2312"/>
          <w:color w:val="000000"/>
          <w:sz w:val="28"/>
          <w:highlight w:val="none"/>
        </w:rPr>
        <w:t>，其中</w:t>
      </w:r>
      <w:r>
        <w:rPr>
          <w:rFonts w:hint="eastAsia" w:eastAsia="仿宋_GB2312"/>
          <w:color w:val="000000"/>
          <w:sz w:val="28"/>
          <w:highlight w:val="none"/>
          <w:lang w:val="en-US" w:eastAsia="zh-CN"/>
        </w:rPr>
        <w:t>A9幢505室</w:t>
      </w:r>
      <w:r>
        <w:rPr>
          <w:rFonts w:hint="eastAsia" w:eastAsia="仿宋_GB2312"/>
          <w:color w:val="000000"/>
          <w:sz w:val="28"/>
          <w:highlight w:val="none"/>
        </w:rPr>
        <w:t>为住宅</w:t>
      </w:r>
      <w:r>
        <w:rPr>
          <w:rFonts w:hint="eastAsia" w:eastAsia="仿宋_GB2312"/>
          <w:color w:val="000000"/>
          <w:sz w:val="28"/>
          <w:highlight w:val="none"/>
          <w:lang w:eastAsia="zh-CN"/>
        </w:rPr>
        <w:t>，</w:t>
      </w:r>
      <w:r>
        <w:rPr>
          <w:rFonts w:hint="eastAsia" w:eastAsia="仿宋_GB2312"/>
          <w:color w:val="000000"/>
          <w:sz w:val="28"/>
          <w:highlight w:val="none"/>
        </w:rPr>
        <w:t>入户</w:t>
      </w:r>
      <w:r>
        <w:rPr>
          <w:rFonts w:hint="eastAsia" w:eastAsia="仿宋_GB2312"/>
          <w:color w:val="000000"/>
          <w:sz w:val="28"/>
          <w:highlight w:val="none"/>
          <w:lang w:eastAsia="zh-CN"/>
        </w:rPr>
        <w:t>成品</w:t>
      </w:r>
      <w:r>
        <w:rPr>
          <w:rFonts w:hint="eastAsia" w:eastAsia="仿宋_GB2312"/>
          <w:color w:val="000000"/>
          <w:sz w:val="28"/>
          <w:highlight w:val="none"/>
        </w:rPr>
        <w:t>防盗门</w:t>
      </w:r>
      <w:r>
        <w:rPr>
          <w:rFonts w:hint="eastAsia" w:eastAsia="仿宋_GB2312"/>
          <w:color w:val="000000"/>
          <w:sz w:val="28"/>
          <w:highlight w:val="none"/>
          <w:lang w:eastAsia="zh-CN"/>
        </w:rPr>
        <w:t>，</w:t>
      </w:r>
      <w:r>
        <w:rPr>
          <w:rFonts w:hint="eastAsia" w:eastAsia="仿宋_GB2312"/>
          <w:color w:val="000000"/>
          <w:sz w:val="28"/>
          <w:highlight w:val="none"/>
          <w:lang w:val="en-US" w:eastAsia="zh-CN"/>
        </w:rPr>
        <w:t>塑钢窗，</w:t>
      </w:r>
      <w:r>
        <w:rPr>
          <w:rFonts w:hint="eastAsia" w:eastAsia="仿宋_GB2312"/>
          <w:color w:val="000000"/>
          <w:sz w:val="28"/>
          <w:highlight w:val="none"/>
        </w:rPr>
        <w:t>地面地板砖</w:t>
      </w:r>
      <w:r>
        <w:rPr>
          <w:rFonts w:hint="eastAsia" w:eastAsia="仿宋_GB2312"/>
          <w:color w:val="000000"/>
          <w:sz w:val="28"/>
          <w:highlight w:val="none"/>
          <w:lang w:eastAsia="zh-CN"/>
        </w:rPr>
        <w:t>、</w:t>
      </w:r>
      <w:r>
        <w:rPr>
          <w:rFonts w:hint="eastAsia" w:eastAsia="仿宋_GB2312"/>
          <w:color w:val="000000"/>
          <w:sz w:val="28"/>
          <w:highlight w:val="none"/>
          <w:lang w:val="en-US" w:eastAsia="zh-CN"/>
        </w:rPr>
        <w:t>实木地板</w:t>
      </w:r>
      <w:r>
        <w:rPr>
          <w:rFonts w:eastAsia="仿宋_GB2312"/>
          <w:color w:val="000000"/>
          <w:sz w:val="28"/>
          <w:highlight w:val="none"/>
        </w:rPr>
        <w:t>,</w:t>
      </w:r>
      <w:r>
        <w:rPr>
          <w:rFonts w:hint="eastAsia" w:eastAsia="仿宋_GB2312"/>
          <w:color w:val="000000"/>
          <w:sz w:val="28"/>
          <w:highlight w:val="none"/>
        </w:rPr>
        <w:t>墙面立邦漆</w:t>
      </w:r>
      <w:r>
        <w:rPr>
          <w:rFonts w:hint="eastAsia" w:eastAsia="仿宋_GB2312"/>
          <w:color w:val="000000"/>
          <w:sz w:val="28"/>
          <w:highlight w:val="none"/>
          <w:lang w:eastAsia="zh-CN"/>
        </w:rPr>
        <w:t>、</w:t>
      </w:r>
      <w:r>
        <w:rPr>
          <w:rFonts w:hint="eastAsia" w:eastAsia="仿宋_GB2312"/>
          <w:color w:val="000000"/>
          <w:sz w:val="28"/>
          <w:highlight w:val="none"/>
          <w:lang w:val="en-US" w:eastAsia="zh-CN"/>
        </w:rPr>
        <w:t>墙布</w:t>
      </w:r>
      <w:r>
        <w:rPr>
          <w:rFonts w:hint="eastAsia" w:eastAsia="仿宋_GB2312"/>
          <w:color w:val="000000"/>
          <w:sz w:val="28"/>
          <w:highlight w:val="none"/>
        </w:rPr>
        <w:t>，石膏板</w:t>
      </w:r>
      <w:r>
        <w:rPr>
          <w:rFonts w:hint="eastAsia" w:eastAsia="仿宋_GB2312"/>
          <w:color w:val="000000"/>
          <w:sz w:val="28"/>
          <w:highlight w:val="none"/>
          <w:lang w:val="en-US" w:eastAsia="zh-CN"/>
        </w:rPr>
        <w:t>造型</w:t>
      </w:r>
      <w:r>
        <w:rPr>
          <w:rFonts w:hint="eastAsia" w:eastAsia="仿宋_GB2312"/>
          <w:color w:val="000000"/>
          <w:sz w:val="28"/>
          <w:highlight w:val="none"/>
        </w:rPr>
        <w:t>吊顶；</w:t>
      </w:r>
      <w:r>
        <w:rPr>
          <w:rFonts w:hint="eastAsia" w:eastAsia="仿宋_GB2312"/>
          <w:color w:val="000000"/>
          <w:sz w:val="28"/>
          <w:highlight w:val="none"/>
          <w:lang w:val="en-US" w:eastAsia="zh-CN"/>
        </w:rPr>
        <w:t>A9幢22室</w:t>
      </w:r>
      <w:r>
        <w:rPr>
          <w:rFonts w:hint="eastAsia" w:eastAsia="仿宋_GB2312"/>
          <w:color w:val="000000"/>
          <w:sz w:val="28"/>
          <w:highlight w:val="none"/>
        </w:rPr>
        <w:t>为车库，内墙涂料粉刷。</w:t>
      </w:r>
    </w:p>
    <w:p>
      <w:pPr>
        <w:pStyle w:val="9"/>
        <w:pageBreakBefore w:val="0"/>
        <w:widowControl w:val="0"/>
        <w:kinsoku/>
        <w:wordWrap/>
        <w:overflowPunct/>
        <w:topLinePunct w:val="0"/>
        <w:autoSpaceDE/>
        <w:autoSpaceDN/>
        <w:bidi w:val="0"/>
        <w:adjustRightInd/>
        <w:snapToGrid/>
        <w:spacing w:line="4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（6）设备设施：</w:t>
      </w:r>
      <w:r>
        <w:rPr>
          <w:rFonts w:hint="eastAsia" w:ascii="Times New Roman" w:hAnsi="Times New Roman" w:eastAsia="仿宋_GB2312"/>
          <w:sz w:val="28"/>
          <w:szCs w:val="28"/>
          <w:lang w:val="en-US" w:eastAsia="zh-CN"/>
        </w:rPr>
        <w:t>-</w:t>
      </w:r>
      <w:r>
        <w:rPr>
          <w:rFonts w:ascii="Times New Roman" w:hAnsi="Times New Roman" w:eastAsia="仿宋_GB2312"/>
          <w:sz w:val="28"/>
          <w:szCs w:val="28"/>
        </w:rPr>
        <w:t>。</w:t>
      </w:r>
    </w:p>
    <w:p>
      <w:pPr>
        <w:pStyle w:val="9"/>
        <w:pageBreakBefore w:val="0"/>
        <w:widowControl w:val="0"/>
        <w:kinsoku/>
        <w:wordWrap/>
        <w:overflowPunct/>
        <w:topLinePunct w:val="0"/>
        <w:autoSpaceDE/>
        <w:autoSpaceDN/>
        <w:bidi w:val="0"/>
        <w:adjustRightInd/>
        <w:snapToGrid/>
        <w:spacing w:line="4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（7）室外公共配套设施完备程度：估价对象所在小区</w:t>
      </w:r>
      <w:r>
        <w:rPr>
          <w:rFonts w:hint="eastAsia" w:ascii="Times New Roman" w:hAnsi="Times New Roman" w:eastAsia="仿宋_GB2312"/>
          <w:sz w:val="28"/>
          <w:szCs w:val="28"/>
          <w:lang w:val="en-US" w:eastAsia="zh-CN"/>
        </w:rPr>
        <w:t>有</w:t>
      </w:r>
      <w:r>
        <w:rPr>
          <w:rFonts w:ascii="Times New Roman" w:hAnsi="Times New Roman" w:eastAsia="仿宋_GB2312"/>
          <w:sz w:val="28"/>
          <w:szCs w:val="28"/>
        </w:rPr>
        <w:t>门禁、</w:t>
      </w:r>
      <w:r>
        <w:rPr>
          <w:rFonts w:hint="eastAsia" w:ascii="Times New Roman" w:hAnsi="Times New Roman" w:eastAsia="仿宋_GB2312"/>
          <w:sz w:val="28"/>
          <w:szCs w:val="28"/>
          <w:lang w:val="en-US" w:eastAsia="zh-CN"/>
        </w:rPr>
        <w:t>有</w:t>
      </w:r>
      <w:r>
        <w:rPr>
          <w:rFonts w:ascii="Times New Roman" w:hAnsi="Times New Roman" w:eastAsia="仿宋_GB2312"/>
          <w:sz w:val="28"/>
          <w:szCs w:val="28"/>
        </w:rPr>
        <w:t>安防及监控系统</w:t>
      </w:r>
      <w:r>
        <w:rPr>
          <w:rFonts w:hint="eastAsia" w:ascii="Times New Roman" w:hAnsi="Times New Roman" w:eastAsia="仿宋_GB2312"/>
          <w:sz w:val="28"/>
          <w:szCs w:val="28"/>
          <w:lang w:eastAsia="zh-CN"/>
        </w:rPr>
        <w:t>，</w:t>
      </w:r>
      <w:r>
        <w:rPr>
          <w:rFonts w:ascii="Times New Roman" w:hAnsi="Times New Roman" w:eastAsia="仿宋_GB2312"/>
          <w:sz w:val="28"/>
          <w:szCs w:val="28"/>
        </w:rPr>
        <w:t>室外公共配套设施完备程度</w:t>
      </w:r>
      <w:r>
        <w:rPr>
          <w:rFonts w:hint="eastAsia" w:ascii="Times New Roman" w:hAnsi="Times New Roman" w:eastAsia="仿宋_GB2312"/>
          <w:sz w:val="28"/>
          <w:szCs w:val="28"/>
          <w:lang w:val="en-US" w:eastAsia="zh-CN"/>
        </w:rPr>
        <w:t>较好</w:t>
      </w:r>
      <w:r>
        <w:rPr>
          <w:rFonts w:ascii="Times New Roman" w:hAnsi="Times New Roman" w:eastAsia="仿宋_GB2312"/>
          <w:sz w:val="28"/>
          <w:szCs w:val="28"/>
        </w:rPr>
        <w:t>。</w:t>
      </w:r>
    </w:p>
    <w:p>
      <w:pPr>
        <w:pStyle w:val="9"/>
        <w:pageBreakBefore w:val="0"/>
        <w:widowControl w:val="0"/>
        <w:kinsoku/>
        <w:wordWrap/>
        <w:overflowPunct/>
        <w:topLinePunct w:val="0"/>
        <w:autoSpaceDE/>
        <w:autoSpaceDN/>
        <w:bidi w:val="0"/>
        <w:adjustRightInd/>
        <w:snapToGrid/>
        <w:spacing w:line="4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（8）维护使用状况：估价对象所在建筑工程质量较好，基础有足够承载力，无不均匀沉降；承重结构稳定，建筑物整体维护、保养情况</w:t>
      </w:r>
      <w:r>
        <w:rPr>
          <w:rFonts w:hint="eastAsia" w:ascii="Times New Roman" w:hAnsi="Times New Roman" w:eastAsia="仿宋_GB2312"/>
          <w:sz w:val="28"/>
          <w:szCs w:val="28"/>
          <w:lang w:val="en-US" w:eastAsia="zh-CN"/>
        </w:rPr>
        <w:t>较好</w:t>
      </w:r>
      <w:r>
        <w:rPr>
          <w:rFonts w:ascii="Times New Roman" w:hAnsi="Times New Roman" w:eastAsia="仿宋_GB2312"/>
          <w:sz w:val="28"/>
          <w:szCs w:val="28"/>
        </w:rPr>
        <w:t>，成新度约为</w:t>
      </w:r>
      <w:r>
        <w:rPr>
          <w:rFonts w:hint="eastAsia" w:ascii="Times New Roman" w:hAnsi="Times New Roman" w:eastAsia="仿宋_GB2312"/>
          <w:sz w:val="28"/>
          <w:szCs w:val="28"/>
          <w:lang w:val="en-US" w:eastAsia="zh-CN"/>
        </w:rPr>
        <w:t>八</w:t>
      </w:r>
      <w:r>
        <w:rPr>
          <w:rFonts w:ascii="Times New Roman" w:hAnsi="Times New Roman" w:eastAsia="仿宋_GB2312"/>
          <w:sz w:val="28"/>
          <w:szCs w:val="28"/>
        </w:rPr>
        <w:t>成。</w:t>
      </w:r>
    </w:p>
    <w:p>
      <w:pPr>
        <w:pStyle w:val="9"/>
        <w:pageBreakBefore w:val="0"/>
        <w:widowControl w:val="0"/>
        <w:kinsoku/>
        <w:wordWrap/>
        <w:overflowPunct/>
        <w:topLinePunct w:val="0"/>
        <w:autoSpaceDE/>
        <w:autoSpaceDN/>
        <w:bidi w:val="0"/>
        <w:adjustRightInd/>
        <w:snapToGrid/>
        <w:spacing w:line="4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（9）总层数：</w:t>
      </w:r>
      <w:r>
        <w:rPr>
          <w:rFonts w:hint="eastAsia" w:ascii="Times New Roman" w:hAnsi="Times New Roman" w:eastAsia="仿宋_GB2312"/>
          <w:sz w:val="28"/>
          <w:szCs w:val="28"/>
          <w:lang w:val="en-US" w:eastAsia="zh-CN"/>
        </w:rPr>
        <w:t>6</w:t>
      </w:r>
      <w:r>
        <w:rPr>
          <w:rFonts w:ascii="Times New Roman" w:hAnsi="Times New Roman" w:eastAsia="仿宋_GB2312"/>
          <w:sz w:val="28"/>
          <w:szCs w:val="28"/>
        </w:rPr>
        <w:t>层。</w:t>
      </w:r>
    </w:p>
    <w:p>
      <w:pPr>
        <w:pStyle w:val="9"/>
        <w:pageBreakBefore w:val="0"/>
        <w:widowControl w:val="0"/>
        <w:kinsoku/>
        <w:wordWrap/>
        <w:overflowPunct/>
        <w:topLinePunct w:val="0"/>
        <w:autoSpaceDE/>
        <w:autoSpaceDN/>
        <w:bidi w:val="0"/>
        <w:adjustRightInd/>
        <w:snapToGrid/>
        <w:spacing w:line="4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（10）所在楼层：</w:t>
      </w:r>
      <w:r>
        <w:rPr>
          <w:rFonts w:hint="eastAsia" w:ascii="Times New Roman" w:hAnsi="Times New Roman" w:eastAsia="仿宋_GB2312"/>
          <w:sz w:val="28"/>
          <w:szCs w:val="28"/>
          <w:lang w:val="en-US" w:eastAsia="zh-CN"/>
        </w:rPr>
        <w:t>5</w:t>
      </w:r>
      <w:r>
        <w:rPr>
          <w:rFonts w:ascii="Times New Roman" w:hAnsi="Times New Roman" w:eastAsia="仿宋_GB2312"/>
          <w:sz w:val="28"/>
          <w:szCs w:val="28"/>
        </w:rPr>
        <w:t>层。</w:t>
      </w:r>
    </w:p>
    <w:p>
      <w:pPr>
        <w:pStyle w:val="9"/>
        <w:pageBreakBefore w:val="0"/>
        <w:widowControl w:val="0"/>
        <w:kinsoku/>
        <w:wordWrap/>
        <w:overflowPunct/>
        <w:topLinePunct w:val="0"/>
        <w:autoSpaceDE/>
        <w:autoSpaceDN/>
        <w:bidi w:val="0"/>
        <w:adjustRightInd/>
        <w:snapToGrid/>
        <w:spacing w:line="460" w:lineRule="exact"/>
        <w:ind w:firstLine="560" w:firstLineChars="200"/>
        <w:textAlignment w:val="auto"/>
        <w:rPr>
          <w:rFonts w:ascii="Times New Roman" w:hAnsi="Times New Roman" w:eastAsia="仿宋_GB2312"/>
          <w:sz w:val="28"/>
          <w:szCs w:val="28"/>
        </w:rPr>
      </w:pPr>
      <w:r>
        <w:rPr>
          <w:rFonts w:ascii="Times New Roman" w:hAnsi="Times New Roman" w:eastAsia="仿宋_GB2312"/>
          <w:sz w:val="28"/>
          <w:szCs w:val="28"/>
        </w:rPr>
        <w:t>（11）其他因素： 无。</w:t>
      </w:r>
    </w:p>
    <w:p>
      <w:pPr>
        <w:pStyle w:val="9"/>
        <w:pageBreakBefore w:val="0"/>
        <w:widowControl w:val="0"/>
        <w:kinsoku/>
        <w:wordWrap/>
        <w:overflowPunct/>
        <w:topLinePunct w:val="0"/>
        <w:autoSpaceDE/>
        <w:autoSpaceDN/>
        <w:bidi w:val="0"/>
        <w:adjustRightInd/>
        <w:snapToGrid/>
        <w:spacing w:line="460" w:lineRule="exact"/>
        <w:textAlignment w:val="auto"/>
        <w:rPr>
          <w:rFonts w:ascii="Times New Roman" w:hAnsi="Times New Roman" w:eastAsia="仿宋_GB2312"/>
          <w:sz w:val="28"/>
          <w:szCs w:val="28"/>
        </w:rPr>
      </w:pPr>
      <w:r>
        <w:rPr>
          <w:rFonts w:ascii="Times New Roman" w:hAnsi="Times New Roman" w:eastAsia="仿宋_GB2312"/>
          <w:bCs/>
          <w:sz w:val="28"/>
          <w:szCs w:val="28"/>
        </w:rPr>
        <w:t>3、</w:t>
      </w:r>
      <w:r>
        <w:rPr>
          <w:rFonts w:ascii="Times New Roman" w:hAnsi="Times New Roman" w:eastAsia="仿宋_GB2312"/>
          <w:sz w:val="28"/>
          <w:szCs w:val="28"/>
        </w:rPr>
        <w:t>估价对象权益状况</w:t>
      </w:r>
      <w:r>
        <w:rPr>
          <w:rFonts w:hint="eastAsia" w:ascii="Times New Roman" w:hAnsi="Times New Roman" w:eastAsia="仿宋_GB2312"/>
          <w:sz w:val="28"/>
          <w:szCs w:val="28"/>
          <w:lang w:eastAsia="zh-CN"/>
        </w:rPr>
        <w:t>（</w:t>
      </w:r>
      <w:r>
        <w:rPr>
          <w:rFonts w:ascii="Times New Roman" w:hAnsi="Times New Roman" w:eastAsia="仿宋_GB2312"/>
          <w:sz w:val="28"/>
          <w:szCs w:val="28"/>
        </w:rPr>
        <w:t>详见表</w:t>
      </w:r>
      <w:r>
        <w:rPr>
          <w:rFonts w:hint="eastAsia" w:ascii="Times New Roman" w:hAnsi="Times New Roman" w:eastAsia="仿宋_GB2312"/>
          <w:sz w:val="28"/>
          <w:szCs w:val="28"/>
          <w:lang w:val="en-US" w:eastAsia="zh-CN"/>
        </w:rPr>
        <w:t>2）</w:t>
      </w:r>
    </w:p>
    <w:p>
      <w:pPr>
        <w:pStyle w:val="9"/>
        <w:spacing w:line="480" w:lineRule="exact"/>
        <w:ind w:firstLine="560" w:firstLineChars="200"/>
        <w:jc w:val="center"/>
        <w:rPr>
          <w:rFonts w:ascii="Times New Roman" w:hAnsi="Times New Roman" w:eastAsia="仿宋_GB2312"/>
          <w:sz w:val="28"/>
          <w:szCs w:val="28"/>
        </w:rPr>
      </w:pPr>
      <w:r>
        <w:rPr>
          <w:rFonts w:hint="eastAsia" w:ascii="Times New Roman" w:hAnsi="Times New Roman" w:eastAsia="仿宋_GB2312"/>
          <w:sz w:val="28"/>
          <w:szCs w:val="28"/>
          <w:lang w:val="en-US" w:eastAsia="zh-CN"/>
        </w:rPr>
        <w:t>表2</w:t>
      </w:r>
      <w:r>
        <w:rPr>
          <w:rFonts w:ascii="Times New Roman" w:hAnsi="Times New Roman" w:eastAsia="仿宋_GB2312"/>
          <w:sz w:val="28"/>
          <w:szCs w:val="28"/>
        </w:rPr>
        <w:t xml:space="preserve"> 估价对象</w:t>
      </w:r>
      <w:r>
        <w:rPr>
          <w:rFonts w:hint="eastAsia" w:ascii="Times New Roman" w:hAnsi="Times New Roman" w:eastAsia="仿宋_GB2312"/>
          <w:sz w:val="28"/>
          <w:szCs w:val="28"/>
          <w:lang w:val="en-US" w:eastAsia="zh-CN"/>
        </w:rPr>
        <w:t>登记</w:t>
      </w:r>
      <w:r>
        <w:rPr>
          <w:rFonts w:ascii="Times New Roman" w:hAnsi="Times New Roman" w:eastAsia="仿宋_GB2312"/>
          <w:sz w:val="28"/>
          <w:szCs w:val="28"/>
        </w:rPr>
        <w:t>权属状况表</w:t>
      </w:r>
    </w:p>
    <w:tbl>
      <w:tblPr>
        <w:tblStyle w:val="17"/>
        <w:tblpPr w:leftFromText="180" w:rightFromText="180" w:vertAnchor="text" w:horzAnchor="page" w:tblpX="1648" w:tblpY="499"/>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1260"/>
        <w:gridCol w:w="1440"/>
        <w:gridCol w:w="705"/>
        <w:gridCol w:w="1214"/>
        <w:gridCol w:w="1033"/>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828" w:type="dxa"/>
            <w:noWrap w:val="0"/>
            <w:vAlign w:val="center"/>
          </w:tcPr>
          <w:p>
            <w:pPr>
              <w:widowControl/>
              <w:jc w:val="center"/>
              <w:rPr>
                <w:rFonts w:ascii="宋体" w:cs="宋体"/>
                <w:kern w:val="0"/>
                <w:sz w:val="18"/>
                <w:szCs w:val="18"/>
              </w:rPr>
            </w:pPr>
            <w:r>
              <w:rPr>
                <w:rFonts w:hint="eastAsia" w:ascii="宋体" w:hAnsi="宋体" w:cs="宋体"/>
                <w:kern w:val="0"/>
                <w:sz w:val="18"/>
                <w:szCs w:val="18"/>
              </w:rPr>
              <w:t>权利人</w:t>
            </w:r>
          </w:p>
        </w:tc>
        <w:tc>
          <w:tcPr>
            <w:tcW w:w="1260" w:type="dxa"/>
            <w:noWrap w:val="0"/>
            <w:vAlign w:val="center"/>
          </w:tcPr>
          <w:p>
            <w:pPr>
              <w:widowControl/>
              <w:jc w:val="center"/>
              <w:rPr>
                <w:rFonts w:ascii="宋体" w:cs="宋体"/>
                <w:kern w:val="0"/>
                <w:sz w:val="18"/>
                <w:szCs w:val="18"/>
              </w:rPr>
            </w:pPr>
            <w:r>
              <w:rPr>
                <w:rFonts w:hint="eastAsia" w:ascii="宋体" w:hAnsi="宋体" w:cs="宋体"/>
                <w:kern w:val="0"/>
                <w:sz w:val="18"/>
                <w:szCs w:val="18"/>
              </w:rPr>
              <w:t>房屋坐落</w:t>
            </w:r>
          </w:p>
        </w:tc>
        <w:tc>
          <w:tcPr>
            <w:tcW w:w="1260" w:type="dxa"/>
            <w:noWrap w:val="0"/>
            <w:vAlign w:val="center"/>
          </w:tcPr>
          <w:p>
            <w:pPr>
              <w:widowControl/>
              <w:jc w:val="center"/>
              <w:rPr>
                <w:rFonts w:ascii="宋体" w:cs="宋体"/>
                <w:kern w:val="0"/>
                <w:sz w:val="18"/>
                <w:szCs w:val="18"/>
              </w:rPr>
            </w:pPr>
            <w:r>
              <w:rPr>
                <w:rFonts w:hint="eastAsia" w:ascii="宋体" w:hAnsi="宋体" w:cs="宋体"/>
                <w:kern w:val="0"/>
                <w:sz w:val="18"/>
                <w:szCs w:val="18"/>
              </w:rPr>
              <w:t>房号</w:t>
            </w:r>
          </w:p>
        </w:tc>
        <w:tc>
          <w:tcPr>
            <w:tcW w:w="1440" w:type="dxa"/>
            <w:noWrap w:val="0"/>
            <w:vAlign w:val="center"/>
          </w:tcPr>
          <w:p>
            <w:pPr>
              <w:widowControl/>
              <w:jc w:val="center"/>
              <w:rPr>
                <w:rFonts w:ascii="宋体" w:cs="宋体"/>
                <w:kern w:val="0"/>
                <w:sz w:val="18"/>
                <w:szCs w:val="18"/>
              </w:rPr>
            </w:pPr>
            <w:r>
              <w:rPr>
                <w:rFonts w:hint="eastAsia" w:ascii="宋体" w:cs="宋体"/>
                <w:kern w:val="0"/>
                <w:sz w:val="18"/>
                <w:szCs w:val="18"/>
              </w:rPr>
              <w:t>产权证号</w:t>
            </w:r>
          </w:p>
        </w:tc>
        <w:tc>
          <w:tcPr>
            <w:tcW w:w="705" w:type="dxa"/>
            <w:noWrap w:val="0"/>
            <w:vAlign w:val="center"/>
          </w:tcPr>
          <w:p>
            <w:pPr>
              <w:widowControl/>
              <w:jc w:val="center"/>
              <w:rPr>
                <w:rFonts w:ascii="宋体" w:cs="宋体"/>
                <w:kern w:val="0"/>
                <w:sz w:val="18"/>
                <w:szCs w:val="18"/>
              </w:rPr>
            </w:pPr>
            <w:r>
              <w:rPr>
                <w:rFonts w:hint="eastAsia" w:ascii="宋体" w:hAnsi="宋体" w:cs="宋体"/>
                <w:kern w:val="0"/>
                <w:sz w:val="18"/>
                <w:szCs w:val="18"/>
              </w:rPr>
              <w:t>建筑</w:t>
            </w:r>
            <w:r>
              <w:rPr>
                <w:rFonts w:ascii="宋体" w:hAnsi="宋体" w:cs="宋体"/>
                <w:kern w:val="0"/>
                <w:sz w:val="18"/>
                <w:szCs w:val="18"/>
              </w:rPr>
              <w:t xml:space="preserve">  </w:t>
            </w:r>
            <w:r>
              <w:rPr>
                <w:rFonts w:hint="eastAsia" w:ascii="宋体" w:hAnsi="宋体" w:cs="宋体"/>
                <w:kern w:val="0"/>
                <w:sz w:val="18"/>
                <w:szCs w:val="18"/>
              </w:rPr>
              <w:t>结构</w:t>
            </w:r>
          </w:p>
        </w:tc>
        <w:tc>
          <w:tcPr>
            <w:tcW w:w="1214" w:type="dxa"/>
            <w:noWrap w:val="0"/>
            <w:vAlign w:val="center"/>
          </w:tcPr>
          <w:p>
            <w:pPr>
              <w:widowControl/>
              <w:jc w:val="center"/>
              <w:rPr>
                <w:rFonts w:ascii="宋体" w:cs="宋体"/>
                <w:kern w:val="0"/>
                <w:sz w:val="18"/>
                <w:szCs w:val="18"/>
              </w:rPr>
            </w:pPr>
            <w:r>
              <w:rPr>
                <w:rFonts w:hint="eastAsia" w:ascii="宋体" w:hAnsi="宋体" w:cs="宋体"/>
                <w:kern w:val="0"/>
                <w:sz w:val="18"/>
                <w:szCs w:val="18"/>
              </w:rPr>
              <w:t>所在层数</w:t>
            </w:r>
            <w:r>
              <w:rPr>
                <w:rFonts w:ascii="宋体" w:hAnsi="宋体" w:cs="宋体"/>
                <w:kern w:val="0"/>
                <w:sz w:val="18"/>
                <w:szCs w:val="18"/>
              </w:rPr>
              <w:t xml:space="preserve"> /</w:t>
            </w:r>
            <w:r>
              <w:rPr>
                <w:rFonts w:hint="eastAsia" w:ascii="宋体" w:hAnsi="宋体" w:cs="宋体"/>
                <w:kern w:val="0"/>
                <w:sz w:val="18"/>
                <w:szCs w:val="18"/>
              </w:rPr>
              <w:t>总层数</w:t>
            </w:r>
          </w:p>
        </w:tc>
        <w:tc>
          <w:tcPr>
            <w:tcW w:w="1033" w:type="dxa"/>
            <w:noWrap w:val="0"/>
            <w:vAlign w:val="center"/>
          </w:tcPr>
          <w:p>
            <w:pPr>
              <w:widowControl/>
              <w:jc w:val="center"/>
              <w:rPr>
                <w:rFonts w:ascii="宋体" w:cs="宋体"/>
                <w:kern w:val="0"/>
                <w:sz w:val="18"/>
                <w:szCs w:val="18"/>
              </w:rPr>
            </w:pPr>
            <w:r>
              <w:rPr>
                <w:rFonts w:hint="eastAsia" w:ascii="宋体" w:hAnsi="宋体" w:cs="宋体"/>
                <w:kern w:val="0"/>
                <w:sz w:val="18"/>
                <w:szCs w:val="18"/>
              </w:rPr>
              <w:t>建筑面积（㎡）</w:t>
            </w:r>
          </w:p>
        </w:tc>
        <w:tc>
          <w:tcPr>
            <w:tcW w:w="720" w:type="dxa"/>
            <w:noWrap w:val="0"/>
            <w:vAlign w:val="center"/>
          </w:tcPr>
          <w:p>
            <w:pPr>
              <w:widowControl/>
              <w:jc w:val="center"/>
              <w:rPr>
                <w:rFonts w:ascii="宋体" w:cs="宋体"/>
                <w:kern w:val="0"/>
                <w:sz w:val="18"/>
                <w:szCs w:val="18"/>
              </w:rPr>
            </w:pPr>
            <w:r>
              <w:rPr>
                <w:rFonts w:hint="eastAsia" w:ascii="宋体" w:hAnsi="宋体" w:cs="宋体"/>
                <w:kern w:val="0"/>
                <w:sz w:val="18"/>
                <w:szCs w:val="18"/>
              </w:rPr>
              <w:t>用途</w:t>
            </w:r>
          </w:p>
        </w:tc>
        <w:tc>
          <w:tcPr>
            <w:tcW w:w="720" w:type="dxa"/>
            <w:noWrap w:val="0"/>
            <w:vAlign w:val="center"/>
          </w:tcPr>
          <w:p>
            <w:pPr>
              <w:widowControl/>
              <w:jc w:val="center"/>
              <w:rPr>
                <w:rFonts w:ascii="宋体" w:cs="宋体"/>
                <w:kern w:val="0"/>
                <w:sz w:val="18"/>
                <w:szCs w:val="18"/>
              </w:rPr>
            </w:pPr>
            <w:r>
              <w:rPr>
                <w:rFonts w:hint="eastAsia" w:ascii="宋体" w:hAnsi="宋体" w:cs="宋体"/>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828" w:type="dxa"/>
            <w:vMerge w:val="restart"/>
            <w:shd w:val="clear" w:color="auto" w:fill="auto"/>
            <w:noWrap w:val="0"/>
            <w:vAlign w:val="center"/>
          </w:tcPr>
          <w:p>
            <w:pPr>
              <w:widowControl/>
              <w:jc w:val="center"/>
              <w:rPr>
                <w:rFonts w:ascii="宋体" w:cs="宋体"/>
                <w:kern w:val="0"/>
                <w:sz w:val="18"/>
                <w:szCs w:val="18"/>
              </w:rPr>
            </w:pPr>
            <w:r>
              <w:rPr>
                <w:rFonts w:hint="eastAsia" w:ascii="宋体" w:hAnsi="宋体" w:cs="宋体"/>
                <w:kern w:val="0"/>
                <w:sz w:val="18"/>
                <w:szCs w:val="18"/>
                <w:lang w:val="en-US" w:eastAsia="zh-CN"/>
              </w:rPr>
              <w:t>郑寿光</w:t>
            </w:r>
          </w:p>
        </w:tc>
        <w:tc>
          <w:tcPr>
            <w:tcW w:w="1260" w:type="dxa"/>
            <w:vMerge w:val="restart"/>
            <w:shd w:val="clear" w:color="auto" w:fill="auto"/>
            <w:noWrap w:val="0"/>
            <w:vAlign w:val="center"/>
          </w:tcPr>
          <w:p>
            <w:pPr>
              <w:widowControl/>
              <w:jc w:val="center"/>
              <w:rPr>
                <w:rFonts w:ascii="宋体" w:cs="宋体"/>
                <w:kern w:val="0"/>
                <w:sz w:val="18"/>
                <w:szCs w:val="18"/>
              </w:rPr>
            </w:pPr>
            <w:r>
              <w:rPr>
                <w:rFonts w:hint="eastAsia" w:ascii="宋体" w:hAnsi="宋体" w:cs="宋体"/>
                <w:kern w:val="0"/>
                <w:sz w:val="18"/>
                <w:szCs w:val="18"/>
                <w:lang w:eastAsia="zh-CN"/>
              </w:rPr>
              <w:t>市区开华夏绿城</w:t>
            </w:r>
          </w:p>
        </w:tc>
        <w:tc>
          <w:tcPr>
            <w:tcW w:w="1260" w:type="dxa"/>
            <w:shd w:val="clear" w:color="auto" w:fill="auto"/>
            <w:noWrap w:val="0"/>
            <w:vAlign w:val="center"/>
          </w:tcPr>
          <w:p>
            <w:pPr>
              <w:widowControl/>
              <w:jc w:val="center"/>
              <w:rPr>
                <w:rFonts w:hint="eastAsia" w:ascii="宋体" w:cs="宋体"/>
                <w:kern w:val="0"/>
                <w:sz w:val="18"/>
                <w:szCs w:val="18"/>
              </w:rPr>
            </w:pPr>
            <w:r>
              <w:rPr>
                <w:rFonts w:hint="eastAsia" w:ascii="宋体" w:cs="宋体"/>
                <w:kern w:val="0"/>
                <w:sz w:val="18"/>
                <w:szCs w:val="18"/>
                <w:lang w:val="en-US" w:eastAsia="zh-CN"/>
              </w:rPr>
              <w:t>A9幢505室</w:t>
            </w:r>
          </w:p>
        </w:tc>
        <w:tc>
          <w:tcPr>
            <w:tcW w:w="1440" w:type="dxa"/>
            <w:shd w:val="clear" w:color="auto" w:fill="auto"/>
            <w:noWrap w:val="0"/>
            <w:vAlign w:val="center"/>
          </w:tcPr>
          <w:p>
            <w:pPr>
              <w:widowControl/>
              <w:jc w:val="both"/>
              <w:rPr>
                <w:rFonts w:hint="default" w:ascii="宋体" w:eastAsia="宋体" w:cs="宋体"/>
                <w:kern w:val="0"/>
                <w:sz w:val="18"/>
                <w:szCs w:val="18"/>
                <w:lang w:val="en-US" w:eastAsia="zh-CN"/>
              </w:rPr>
            </w:pPr>
            <w:r>
              <w:rPr>
                <w:rFonts w:hint="eastAsia" w:ascii="宋体" w:cs="宋体"/>
                <w:kern w:val="0"/>
                <w:sz w:val="18"/>
                <w:szCs w:val="18"/>
                <w:lang w:val="en-US" w:eastAsia="zh-CN"/>
              </w:rPr>
              <w:t>苏（2016）盐城市不动产权第0044211号</w:t>
            </w:r>
          </w:p>
        </w:tc>
        <w:tc>
          <w:tcPr>
            <w:tcW w:w="705" w:type="dxa"/>
            <w:shd w:val="clear" w:color="auto" w:fill="auto"/>
            <w:noWrap w:val="0"/>
            <w:vAlign w:val="center"/>
          </w:tcPr>
          <w:p>
            <w:pPr>
              <w:widowControl/>
              <w:jc w:val="center"/>
              <w:rPr>
                <w:rFonts w:hint="eastAsia" w:ascii="宋体" w:eastAsia="宋体" w:cs="宋体"/>
                <w:kern w:val="0"/>
                <w:sz w:val="18"/>
                <w:szCs w:val="18"/>
                <w:lang w:eastAsia="zh-CN"/>
              </w:rPr>
            </w:pPr>
            <w:r>
              <w:rPr>
                <w:rFonts w:hint="eastAsia" w:ascii="宋体" w:hAnsi="宋体" w:cs="宋体"/>
                <w:kern w:val="0"/>
                <w:sz w:val="18"/>
                <w:szCs w:val="18"/>
                <w:lang w:val="en-US" w:eastAsia="zh-CN"/>
              </w:rPr>
              <w:t>混合</w:t>
            </w:r>
          </w:p>
        </w:tc>
        <w:tc>
          <w:tcPr>
            <w:tcW w:w="1214" w:type="dxa"/>
            <w:shd w:val="clear" w:color="auto" w:fill="auto"/>
            <w:noWrap w:val="0"/>
            <w:vAlign w:val="center"/>
          </w:tcPr>
          <w:p>
            <w:pPr>
              <w:widowControl/>
              <w:jc w:val="center"/>
              <w:rPr>
                <w:rFonts w:hint="eastAsia" w:ascii="宋体" w:eastAsia="宋体" w:cs="宋体"/>
                <w:kern w:val="0"/>
                <w:sz w:val="18"/>
                <w:szCs w:val="18"/>
                <w:lang w:eastAsia="zh-CN"/>
              </w:rPr>
            </w:pPr>
            <w:r>
              <w:rPr>
                <w:rFonts w:hint="eastAsia" w:ascii="宋体" w:hAnsi="宋体" w:cs="宋体"/>
                <w:kern w:val="0"/>
                <w:sz w:val="18"/>
                <w:szCs w:val="18"/>
                <w:lang w:val="en-US" w:eastAsia="zh-CN"/>
              </w:rPr>
              <w:t>5/6</w:t>
            </w:r>
          </w:p>
        </w:tc>
        <w:tc>
          <w:tcPr>
            <w:tcW w:w="1033" w:type="dxa"/>
            <w:shd w:val="clear" w:color="auto" w:fill="auto"/>
            <w:noWrap w:val="0"/>
            <w:vAlign w:val="center"/>
          </w:tcPr>
          <w:p>
            <w:pPr>
              <w:widowControl/>
              <w:jc w:val="center"/>
              <w:rPr>
                <w:rFonts w:hint="default" w:ascii="宋体" w:eastAsia="宋体" w:cs="宋体"/>
                <w:kern w:val="0"/>
                <w:sz w:val="18"/>
                <w:szCs w:val="18"/>
                <w:lang w:val="en-US" w:eastAsia="zh-CN"/>
              </w:rPr>
            </w:pPr>
            <w:r>
              <w:rPr>
                <w:rFonts w:hint="eastAsia" w:ascii="宋体" w:hAnsi="宋体" w:cs="宋体"/>
                <w:kern w:val="0"/>
                <w:sz w:val="18"/>
                <w:szCs w:val="18"/>
                <w:lang w:val="en-US" w:eastAsia="zh-CN"/>
              </w:rPr>
              <w:t>152.9</w:t>
            </w:r>
          </w:p>
        </w:tc>
        <w:tc>
          <w:tcPr>
            <w:tcW w:w="720" w:type="dxa"/>
            <w:shd w:val="clear" w:color="auto" w:fill="auto"/>
            <w:noWrap w:val="0"/>
            <w:vAlign w:val="center"/>
          </w:tcPr>
          <w:p>
            <w:pPr>
              <w:widowControl/>
              <w:jc w:val="center"/>
              <w:rPr>
                <w:rFonts w:hint="eastAsia" w:ascii="宋体" w:cs="宋体"/>
                <w:kern w:val="0"/>
                <w:sz w:val="18"/>
                <w:szCs w:val="18"/>
              </w:rPr>
            </w:pPr>
            <w:r>
              <w:rPr>
                <w:rFonts w:hint="eastAsia" w:ascii="宋体" w:cs="宋体"/>
                <w:kern w:val="0"/>
                <w:sz w:val="18"/>
                <w:szCs w:val="18"/>
              </w:rPr>
              <w:t>住宅</w:t>
            </w:r>
          </w:p>
        </w:tc>
        <w:tc>
          <w:tcPr>
            <w:tcW w:w="720" w:type="dxa"/>
            <w:noWrap w:val="0"/>
            <w:vAlign w:val="center"/>
          </w:tcPr>
          <w:p>
            <w:pPr>
              <w:widowControl/>
              <w:jc w:val="center"/>
              <w:rPr>
                <w:rFonts w:ascii="宋体" w:cs="宋体"/>
                <w:kern w:val="0"/>
                <w:sz w:val="18"/>
                <w:szCs w:val="18"/>
              </w:rPr>
            </w:pPr>
            <w:r>
              <w:rPr>
                <w:rFonts w:ascii="宋体"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828" w:type="dxa"/>
            <w:vMerge w:val="continue"/>
            <w:shd w:val="clear" w:color="auto" w:fill="auto"/>
            <w:noWrap w:val="0"/>
            <w:vAlign w:val="center"/>
          </w:tcPr>
          <w:p>
            <w:pPr>
              <w:widowControl/>
              <w:jc w:val="center"/>
              <w:rPr>
                <w:rFonts w:ascii="宋体" w:cs="宋体"/>
                <w:kern w:val="0"/>
                <w:sz w:val="18"/>
                <w:szCs w:val="18"/>
              </w:rPr>
            </w:pPr>
          </w:p>
        </w:tc>
        <w:tc>
          <w:tcPr>
            <w:tcW w:w="1260" w:type="dxa"/>
            <w:vMerge w:val="continue"/>
            <w:shd w:val="clear" w:color="auto" w:fill="auto"/>
            <w:noWrap w:val="0"/>
            <w:vAlign w:val="center"/>
          </w:tcPr>
          <w:p>
            <w:pPr>
              <w:widowControl/>
              <w:jc w:val="center"/>
              <w:rPr>
                <w:rFonts w:ascii="宋体" w:cs="宋体"/>
                <w:kern w:val="0"/>
                <w:sz w:val="18"/>
                <w:szCs w:val="18"/>
              </w:rPr>
            </w:pPr>
          </w:p>
        </w:tc>
        <w:tc>
          <w:tcPr>
            <w:tcW w:w="1260" w:type="dxa"/>
            <w:shd w:val="clear" w:color="auto" w:fill="auto"/>
            <w:noWrap w:val="0"/>
            <w:vAlign w:val="center"/>
          </w:tcPr>
          <w:p>
            <w:pPr>
              <w:widowControl/>
              <w:jc w:val="center"/>
              <w:rPr>
                <w:rFonts w:hint="eastAsia" w:ascii="宋体" w:cs="宋体"/>
                <w:kern w:val="0"/>
                <w:sz w:val="18"/>
                <w:szCs w:val="18"/>
              </w:rPr>
            </w:pPr>
            <w:r>
              <w:rPr>
                <w:rFonts w:hint="eastAsia" w:ascii="宋体" w:cs="宋体"/>
                <w:kern w:val="0"/>
                <w:sz w:val="18"/>
                <w:szCs w:val="18"/>
                <w:lang w:val="en-US" w:eastAsia="zh-CN"/>
              </w:rPr>
              <w:t>A9幢22室</w:t>
            </w:r>
          </w:p>
        </w:tc>
        <w:tc>
          <w:tcPr>
            <w:tcW w:w="1440" w:type="dxa"/>
            <w:shd w:val="clear" w:color="auto" w:fill="auto"/>
            <w:noWrap w:val="0"/>
            <w:vAlign w:val="center"/>
          </w:tcPr>
          <w:p>
            <w:pPr>
              <w:widowControl/>
              <w:jc w:val="both"/>
              <w:rPr>
                <w:rFonts w:ascii="宋体" w:cs="宋体"/>
                <w:kern w:val="0"/>
                <w:sz w:val="18"/>
                <w:szCs w:val="18"/>
              </w:rPr>
            </w:pPr>
            <w:r>
              <w:rPr>
                <w:rFonts w:hint="eastAsia" w:ascii="宋体" w:cs="宋体"/>
                <w:kern w:val="0"/>
                <w:sz w:val="18"/>
                <w:szCs w:val="18"/>
                <w:lang w:val="en-US" w:eastAsia="zh-CN"/>
              </w:rPr>
              <w:t>苏（2016）盐城市不动产权第0044209号</w:t>
            </w:r>
          </w:p>
        </w:tc>
        <w:tc>
          <w:tcPr>
            <w:tcW w:w="705" w:type="dxa"/>
            <w:shd w:val="clear" w:color="auto" w:fill="auto"/>
            <w:noWrap w:val="0"/>
            <w:vAlign w:val="center"/>
          </w:tcPr>
          <w:p>
            <w:pPr>
              <w:widowControl/>
              <w:jc w:val="center"/>
              <w:rPr>
                <w:rFonts w:hint="eastAsia" w:ascii="宋体" w:eastAsia="宋体" w:cs="宋体"/>
                <w:kern w:val="0"/>
                <w:sz w:val="18"/>
                <w:szCs w:val="18"/>
                <w:lang w:eastAsia="zh-CN"/>
              </w:rPr>
            </w:pPr>
            <w:r>
              <w:rPr>
                <w:rFonts w:hint="eastAsia" w:ascii="宋体" w:hAnsi="宋体" w:cs="宋体"/>
                <w:kern w:val="0"/>
                <w:sz w:val="18"/>
                <w:szCs w:val="18"/>
                <w:lang w:val="en-US" w:eastAsia="zh-CN"/>
              </w:rPr>
              <w:t>混合</w:t>
            </w:r>
          </w:p>
        </w:tc>
        <w:tc>
          <w:tcPr>
            <w:tcW w:w="1214" w:type="dxa"/>
            <w:shd w:val="clear" w:color="auto" w:fill="auto"/>
            <w:noWrap w:val="0"/>
            <w:vAlign w:val="center"/>
          </w:tcPr>
          <w:p>
            <w:pPr>
              <w:widowControl/>
              <w:jc w:val="center"/>
              <w:rPr>
                <w:rFonts w:hint="eastAsia" w:ascii="宋体" w:eastAsia="宋体" w:cs="宋体"/>
                <w:kern w:val="0"/>
                <w:sz w:val="18"/>
                <w:szCs w:val="18"/>
                <w:lang w:eastAsia="zh-CN"/>
              </w:rPr>
            </w:pPr>
            <w:r>
              <w:rPr>
                <w:rFonts w:hint="eastAsia"/>
                <w:color w:val="FF0000"/>
                <w:sz w:val="18"/>
                <w:szCs w:val="18"/>
              </w:rPr>
              <w:t>半地上半地下</w:t>
            </w:r>
            <w:r>
              <w:rPr>
                <w:rFonts w:hint="eastAsia" w:ascii="宋体" w:hAnsi="宋体" w:cs="宋体"/>
                <w:color w:val="FF0000"/>
                <w:kern w:val="0"/>
                <w:sz w:val="18"/>
                <w:szCs w:val="18"/>
                <w:lang w:val="en-US" w:eastAsia="zh-CN"/>
              </w:rPr>
              <w:t>/6</w:t>
            </w:r>
          </w:p>
        </w:tc>
        <w:tc>
          <w:tcPr>
            <w:tcW w:w="1033" w:type="dxa"/>
            <w:shd w:val="clear" w:color="auto" w:fill="auto"/>
            <w:noWrap w:val="0"/>
            <w:vAlign w:val="center"/>
          </w:tcPr>
          <w:p>
            <w:pPr>
              <w:widowControl/>
              <w:jc w:val="center"/>
              <w:rPr>
                <w:rFonts w:hint="default" w:ascii="宋体" w:eastAsia="宋体" w:cs="宋体"/>
                <w:kern w:val="0"/>
                <w:sz w:val="18"/>
                <w:szCs w:val="18"/>
                <w:lang w:val="en-US" w:eastAsia="zh-CN"/>
              </w:rPr>
            </w:pPr>
            <w:r>
              <w:rPr>
                <w:rFonts w:hint="eastAsia" w:ascii="宋体" w:hAnsi="宋体" w:cs="宋体"/>
                <w:kern w:val="0"/>
                <w:sz w:val="18"/>
                <w:szCs w:val="18"/>
                <w:lang w:val="en-US" w:eastAsia="zh-CN"/>
              </w:rPr>
              <w:t>9.79</w:t>
            </w:r>
          </w:p>
        </w:tc>
        <w:tc>
          <w:tcPr>
            <w:tcW w:w="720" w:type="dxa"/>
            <w:shd w:val="clear" w:color="auto" w:fill="auto"/>
            <w:noWrap w:val="0"/>
            <w:vAlign w:val="center"/>
          </w:tcPr>
          <w:p>
            <w:pPr>
              <w:widowControl/>
              <w:jc w:val="center"/>
              <w:rPr>
                <w:rFonts w:hint="eastAsia" w:ascii="宋体" w:cs="宋体"/>
                <w:kern w:val="0"/>
                <w:sz w:val="18"/>
                <w:szCs w:val="18"/>
              </w:rPr>
            </w:pPr>
            <w:r>
              <w:rPr>
                <w:rFonts w:hint="eastAsia" w:ascii="宋体" w:cs="宋体"/>
                <w:kern w:val="0"/>
                <w:sz w:val="18"/>
                <w:szCs w:val="18"/>
              </w:rPr>
              <w:t>车库</w:t>
            </w:r>
          </w:p>
        </w:tc>
        <w:tc>
          <w:tcPr>
            <w:tcW w:w="720" w:type="dxa"/>
            <w:noWrap w:val="0"/>
            <w:vAlign w:val="center"/>
          </w:tcPr>
          <w:p>
            <w:pPr>
              <w:widowControl/>
              <w:jc w:val="center"/>
              <w:rPr>
                <w:rFonts w:hint="default" w:ascii="宋体" w:eastAsia="宋体" w:cs="宋体"/>
                <w:kern w:val="0"/>
                <w:sz w:val="18"/>
                <w:szCs w:val="18"/>
                <w:lang w:val="en-US" w:eastAsia="zh-CN"/>
              </w:rPr>
            </w:pPr>
            <w:r>
              <w:rPr>
                <w:rFonts w:hint="eastAsia" w:ascii="宋体" w:cs="宋体"/>
                <w:kern w:val="0"/>
                <w:sz w:val="18"/>
                <w:szCs w:val="18"/>
                <w:lang w:val="en-US" w:eastAsia="zh-CN"/>
              </w:rPr>
              <w:t>-</w:t>
            </w:r>
          </w:p>
        </w:tc>
      </w:tr>
    </w:tbl>
    <w:p>
      <w:pPr>
        <w:pStyle w:val="9"/>
        <w:spacing w:line="480" w:lineRule="exact"/>
        <w:ind w:firstLine="560" w:firstLineChars="200"/>
        <w:jc w:val="center"/>
        <w:rPr>
          <w:rFonts w:ascii="Times New Roman" w:hAnsi="Times New Roman" w:eastAsia="仿宋_GB2312"/>
          <w:sz w:val="28"/>
          <w:szCs w:val="28"/>
        </w:rPr>
      </w:pPr>
    </w:p>
    <w:p>
      <w:pPr>
        <w:pageBreakBefore w:val="0"/>
        <w:widowControl w:val="0"/>
        <w:kinsoku/>
        <w:wordWrap/>
        <w:topLinePunct w:val="0"/>
        <w:bidi w:val="0"/>
        <w:spacing w:line="440" w:lineRule="exact"/>
        <w:rPr>
          <w:rFonts w:eastAsia="仿宋_GB2312"/>
          <w:color w:val="000000"/>
          <w:sz w:val="28"/>
        </w:rPr>
      </w:pPr>
      <w:r>
        <w:rPr>
          <w:rFonts w:hint="eastAsia" w:eastAsia="仿宋_GB2312"/>
          <w:sz w:val="28"/>
        </w:rPr>
        <w:t xml:space="preserve">    </w:t>
      </w:r>
      <w:r>
        <w:rPr>
          <w:rFonts w:hint="eastAsia" w:eastAsia="仿宋_GB2312"/>
          <w:sz w:val="28"/>
          <w:lang w:val="en-US" w:eastAsia="zh-CN"/>
        </w:rPr>
        <w:t>3.2</w:t>
      </w:r>
      <w:r>
        <w:rPr>
          <w:rFonts w:hint="eastAsia" w:eastAsia="仿宋_GB2312"/>
          <w:color w:val="000000"/>
          <w:sz w:val="28"/>
        </w:rPr>
        <w:t>他项权利状况及查封情况</w:t>
      </w:r>
    </w:p>
    <w:p>
      <w:pPr>
        <w:pageBreakBefore w:val="0"/>
        <w:widowControl w:val="0"/>
        <w:kinsoku/>
        <w:wordWrap/>
        <w:topLinePunct w:val="0"/>
        <w:bidi w:val="0"/>
        <w:spacing w:line="440" w:lineRule="exact"/>
        <w:ind w:firstLine="560" w:firstLineChars="200"/>
        <w:rPr>
          <w:rFonts w:hint="default" w:eastAsia="仿宋_GB2312"/>
          <w:color w:val="000000"/>
          <w:sz w:val="28"/>
          <w:highlight w:val="none"/>
          <w:lang w:val="en-US" w:eastAsia="zh-CN"/>
        </w:rPr>
      </w:pPr>
      <w:r>
        <w:rPr>
          <w:rFonts w:ascii="Calibri" w:hAnsi="Calibri" w:eastAsia="仿宋_GB2312" w:cs="Calibri"/>
          <w:color w:val="000000"/>
          <w:sz w:val="28"/>
          <w:highlight w:val="none"/>
        </w:rPr>
        <w:t>①</w:t>
      </w:r>
      <w:r>
        <w:rPr>
          <w:rFonts w:hint="eastAsia" w:eastAsia="仿宋_GB2312"/>
          <w:color w:val="000000"/>
          <w:sz w:val="28"/>
          <w:highlight w:val="none"/>
        </w:rPr>
        <w:t>他项权利信息：</w:t>
      </w:r>
      <w:r>
        <w:rPr>
          <w:rFonts w:hint="eastAsia" w:eastAsia="仿宋_GB2312"/>
          <w:color w:val="000000"/>
          <w:sz w:val="28"/>
          <w:highlight w:val="none"/>
          <w:lang w:val="en-US" w:eastAsia="zh-CN"/>
        </w:rPr>
        <w:t>盐城市亭湖区人民法院、盐城经济技术开发区人民法院</w:t>
      </w:r>
      <w:r>
        <w:rPr>
          <w:rFonts w:hint="eastAsia" w:eastAsia="仿宋_GB2312"/>
          <w:color w:val="000000"/>
          <w:sz w:val="28"/>
          <w:highlight w:val="none"/>
        </w:rPr>
        <w:t>查封</w:t>
      </w:r>
      <w:r>
        <w:rPr>
          <w:rFonts w:hint="eastAsia" w:eastAsia="仿宋_GB2312"/>
          <w:color w:val="000000"/>
          <w:sz w:val="28"/>
          <w:highlight w:val="none"/>
          <w:lang w:val="en-US" w:eastAsia="zh-CN"/>
        </w:rPr>
        <w:t>；中国银行股份有限公司盐城亭湖支行最高额抵押。</w:t>
      </w:r>
    </w:p>
    <w:p>
      <w:pPr>
        <w:pStyle w:val="9"/>
        <w:pageBreakBefore w:val="0"/>
        <w:widowControl w:val="0"/>
        <w:kinsoku/>
        <w:wordWrap/>
        <w:topLinePunct w:val="0"/>
        <w:bidi w:val="0"/>
        <w:spacing w:line="440" w:lineRule="exact"/>
        <w:rPr>
          <w:rFonts w:ascii="Times New Roman" w:hAnsi="Times New Roman" w:eastAsia="仿宋_GB2312"/>
          <w:bCs/>
          <w:sz w:val="28"/>
          <w:szCs w:val="28"/>
        </w:rPr>
      </w:pPr>
      <w:r>
        <w:rPr>
          <w:rFonts w:ascii="Times New Roman" w:hAnsi="Times New Roman" w:eastAsia="仿宋_GB2312"/>
          <w:bCs/>
          <w:sz w:val="28"/>
          <w:szCs w:val="28"/>
        </w:rPr>
        <w:t>4、估价对象区位状况</w:t>
      </w:r>
    </w:p>
    <w:p>
      <w:pPr>
        <w:pStyle w:val="9"/>
        <w:pageBreakBefore w:val="0"/>
        <w:widowControl w:val="0"/>
        <w:kinsoku/>
        <w:wordWrap/>
        <w:topLinePunct w:val="0"/>
        <w:bidi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（1）小区状况</w:t>
      </w:r>
    </w:p>
    <w:p>
      <w:pPr>
        <w:pStyle w:val="9"/>
        <w:pageBreakBefore w:val="0"/>
        <w:widowControl w:val="0"/>
        <w:kinsoku/>
        <w:wordWrap/>
        <w:topLinePunct w:val="0"/>
        <w:bidi w:val="0"/>
        <w:spacing w:line="440" w:lineRule="exact"/>
        <w:ind w:firstLine="560" w:firstLineChars="200"/>
        <w:rPr>
          <w:rFonts w:ascii="Times New Roman" w:hAnsi="Times New Roman" w:eastAsia="仿宋_GB2312"/>
          <w:sz w:val="28"/>
          <w:szCs w:val="28"/>
        </w:rPr>
      </w:pPr>
      <w:r>
        <w:rPr>
          <w:rFonts w:hint="eastAsia" w:ascii="Times New Roman" w:hAnsi="Times New Roman" w:eastAsia="仿宋_GB2312"/>
          <w:sz w:val="28"/>
          <w:szCs w:val="28"/>
          <w:lang w:val="en-US" w:eastAsia="zh-CN"/>
        </w:rPr>
        <w:t>华夏绿城</w:t>
      </w:r>
      <w:r>
        <w:rPr>
          <w:rFonts w:ascii="Times New Roman" w:hAnsi="Times New Roman" w:eastAsia="仿宋_GB2312"/>
          <w:sz w:val="28"/>
          <w:szCs w:val="28"/>
        </w:rPr>
        <w:t>是一个现代风格住宅社区，建筑结构为</w:t>
      </w:r>
      <w:r>
        <w:rPr>
          <w:rFonts w:hint="eastAsia" w:ascii="Times New Roman" w:hAnsi="Times New Roman" w:eastAsia="仿宋_GB2312"/>
          <w:sz w:val="28"/>
          <w:szCs w:val="28"/>
          <w:lang w:val="en-US" w:eastAsia="zh-CN"/>
        </w:rPr>
        <w:t>混合、钢混</w:t>
      </w:r>
      <w:r>
        <w:rPr>
          <w:rFonts w:ascii="Times New Roman" w:hAnsi="Times New Roman" w:eastAsia="仿宋_GB2312"/>
          <w:sz w:val="28"/>
          <w:szCs w:val="28"/>
        </w:rPr>
        <w:t>结构，总体成新度</w:t>
      </w:r>
      <w:r>
        <w:rPr>
          <w:rFonts w:hint="eastAsia" w:ascii="Times New Roman" w:hAnsi="Times New Roman" w:eastAsia="仿宋_GB2312"/>
          <w:sz w:val="28"/>
          <w:szCs w:val="28"/>
          <w:lang w:val="en-US" w:eastAsia="zh-CN"/>
        </w:rPr>
        <w:t>较好</w:t>
      </w:r>
      <w:r>
        <w:rPr>
          <w:rFonts w:ascii="Times New Roman" w:hAnsi="Times New Roman" w:eastAsia="仿宋_GB2312"/>
          <w:sz w:val="28"/>
          <w:szCs w:val="28"/>
        </w:rPr>
        <w:t>。</w:t>
      </w:r>
    </w:p>
    <w:p>
      <w:pPr>
        <w:pStyle w:val="9"/>
        <w:pageBreakBefore w:val="0"/>
        <w:widowControl w:val="0"/>
        <w:kinsoku/>
        <w:wordWrap/>
        <w:topLinePunct w:val="0"/>
        <w:bidi w:val="0"/>
        <w:spacing w:line="440" w:lineRule="exact"/>
        <w:ind w:firstLine="560" w:firstLineChars="200"/>
        <w:rPr>
          <w:rFonts w:ascii="Times New Roman" w:hAnsi="Times New Roman" w:eastAsia="仿宋_GB2312"/>
          <w:b/>
          <w:bCs/>
          <w:sz w:val="28"/>
          <w:szCs w:val="28"/>
        </w:rPr>
      </w:pPr>
      <w:r>
        <w:rPr>
          <w:rFonts w:ascii="Times New Roman" w:hAnsi="Times New Roman" w:eastAsia="仿宋_GB2312"/>
          <w:sz w:val="28"/>
          <w:szCs w:val="28"/>
        </w:rPr>
        <w:t>（2）位置状况</w:t>
      </w:r>
    </w:p>
    <w:p>
      <w:pPr>
        <w:pageBreakBefore w:val="0"/>
        <w:widowControl w:val="0"/>
        <w:kinsoku/>
        <w:wordWrap/>
        <w:overflowPunct/>
        <w:bidi w:val="0"/>
        <w:spacing w:line="540" w:lineRule="exact"/>
        <w:ind w:right="0" w:rightChars="0" w:firstLine="560" w:firstLineChars="200"/>
        <w:rPr>
          <w:rFonts w:ascii="Times New Roman" w:hAnsi="Times New Roman" w:eastAsia="仿宋_GB2312" w:cs="Times New Roman"/>
          <w:kern w:val="2"/>
          <w:sz w:val="28"/>
          <w:szCs w:val="28"/>
          <w:lang w:val="en-US" w:eastAsia="zh-CN" w:bidi="ar-SA"/>
        </w:rPr>
      </w:pPr>
      <w:r>
        <w:rPr>
          <w:rFonts w:ascii="Times New Roman" w:hAnsi="Times New Roman" w:eastAsia="仿宋_GB2312" w:cs="Times New Roman"/>
          <w:kern w:val="2"/>
          <w:sz w:val="28"/>
          <w:szCs w:val="28"/>
          <w:lang w:val="en-US" w:eastAsia="zh-CN" w:bidi="ar-SA"/>
        </w:rPr>
        <w:t>①坐落方位：估价对象位</w:t>
      </w:r>
      <w:r>
        <w:rPr>
          <w:rFonts w:hint="eastAsia" w:ascii="Times New Roman" w:hAnsi="Times New Roman" w:eastAsia="仿宋_GB2312" w:cs="Times New Roman"/>
          <w:kern w:val="2"/>
          <w:sz w:val="28"/>
          <w:szCs w:val="28"/>
          <w:lang w:val="en-US" w:eastAsia="zh-CN" w:bidi="ar-SA"/>
        </w:rPr>
        <w:t>于</w:t>
      </w:r>
      <w:r>
        <w:rPr>
          <w:rFonts w:hint="eastAsia" w:eastAsia="仿宋_GB2312" w:cs="Times New Roman"/>
          <w:kern w:val="2"/>
          <w:sz w:val="28"/>
          <w:szCs w:val="28"/>
          <w:lang w:val="en-US" w:eastAsia="zh-CN" w:bidi="ar-SA"/>
        </w:rPr>
        <w:t>市区华夏绿城</w:t>
      </w:r>
      <w:r>
        <w:rPr>
          <w:rFonts w:ascii="Times New Roman" w:hAnsi="Times New Roman" w:eastAsia="仿宋_GB2312" w:cs="Times New Roman"/>
          <w:kern w:val="2"/>
          <w:sz w:val="28"/>
          <w:szCs w:val="28"/>
          <w:lang w:val="en-US" w:eastAsia="zh-CN" w:bidi="ar-SA"/>
        </w:rPr>
        <w:t>，</w:t>
      </w:r>
      <w:r>
        <w:rPr>
          <w:rFonts w:hint="eastAsia" w:ascii="Times New Roman" w:hAnsi="Times New Roman" w:eastAsia="仿宋_GB2312" w:cs="Times New Roman"/>
          <w:kern w:val="2"/>
          <w:sz w:val="28"/>
          <w:szCs w:val="28"/>
          <w:lang w:val="en-US" w:eastAsia="zh-CN" w:bidi="ar-SA"/>
        </w:rPr>
        <w:t>该小区</w:t>
      </w:r>
      <w:r>
        <w:rPr>
          <w:rFonts w:hint="eastAsia" w:eastAsia="仿宋_GB2312" w:cs="Times New Roman"/>
          <w:kern w:val="2"/>
          <w:sz w:val="28"/>
          <w:szCs w:val="28"/>
          <w:lang w:val="en-US" w:eastAsia="zh-CN" w:bidi="ar-SA"/>
        </w:rPr>
        <w:t>西临人民南路,南</w:t>
      </w:r>
      <w:r>
        <w:rPr>
          <w:rFonts w:hint="eastAsia" w:ascii="Times New Roman" w:hAnsi="Times New Roman" w:eastAsia="仿宋_GB2312" w:cs="Times New Roman"/>
          <w:kern w:val="2"/>
          <w:sz w:val="28"/>
          <w:szCs w:val="28"/>
          <w:lang w:val="en-US" w:eastAsia="zh-CN" w:bidi="ar-SA"/>
        </w:rPr>
        <w:t>临</w:t>
      </w:r>
      <w:r>
        <w:rPr>
          <w:rFonts w:hint="eastAsia" w:eastAsia="仿宋_GB2312" w:cs="Times New Roman"/>
          <w:kern w:val="2"/>
          <w:sz w:val="28"/>
          <w:szCs w:val="28"/>
          <w:lang w:val="en-US" w:eastAsia="zh-CN" w:bidi="ar-SA"/>
        </w:rPr>
        <w:t>南港</w:t>
      </w:r>
      <w:r>
        <w:rPr>
          <w:rFonts w:hint="eastAsia" w:ascii="Times New Roman" w:hAnsi="Times New Roman" w:eastAsia="仿宋_GB2312" w:cs="Times New Roman"/>
          <w:kern w:val="2"/>
          <w:sz w:val="28"/>
          <w:szCs w:val="28"/>
          <w:lang w:val="en-US" w:eastAsia="zh-CN" w:bidi="ar-SA"/>
        </w:rPr>
        <w:t>路，对外交通方便；周围基础设施及公用设施配套</w:t>
      </w:r>
      <w:r>
        <w:rPr>
          <w:rFonts w:hint="eastAsia" w:eastAsia="仿宋_GB2312" w:cs="Times New Roman"/>
          <w:kern w:val="2"/>
          <w:sz w:val="28"/>
          <w:szCs w:val="28"/>
          <w:lang w:val="en-US" w:eastAsia="zh-CN" w:bidi="ar-SA"/>
        </w:rPr>
        <w:t>较全</w:t>
      </w:r>
      <w:r>
        <w:rPr>
          <w:rFonts w:hint="eastAsia" w:ascii="Times New Roman" w:hAnsi="Times New Roman" w:eastAsia="仿宋_GB2312" w:cs="Times New Roman"/>
          <w:kern w:val="2"/>
          <w:sz w:val="28"/>
          <w:szCs w:val="28"/>
          <w:lang w:val="en-US" w:eastAsia="zh-CN" w:bidi="ar-SA"/>
        </w:rPr>
        <w:t>，委估房屋附近1000米辐射范围内公共配套设施</w:t>
      </w:r>
      <w:r>
        <w:rPr>
          <w:rFonts w:hint="eastAsia" w:eastAsia="仿宋_GB2312" w:cs="Times New Roman"/>
          <w:kern w:val="2"/>
          <w:sz w:val="28"/>
          <w:szCs w:val="28"/>
          <w:lang w:val="en-US" w:eastAsia="zh-CN" w:bidi="ar-SA"/>
        </w:rPr>
        <w:t>较多</w:t>
      </w:r>
      <w:r>
        <w:rPr>
          <w:rFonts w:hint="eastAsia" w:ascii="Times New Roman" w:hAnsi="Times New Roman" w:eastAsia="仿宋_GB2312" w:cs="Times New Roman"/>
          <w:kern w:val="2"/>
          <w:sz w:val="28"/>
          <w:szCs w:val="28"/>
          <w:lang w:val="en-US" w:eastAsia="zh-CN" w:bidi="ar-SA"/>
        </w:rPr>
        <w:t>，综合环境质量</w:t>
      </w:r>
      <w:r>
        <w:rPr>
          <w:rFonts w:hint="eastAsia" w:eastAsia="仿宋_GB2312" w:cs="Times New Roman"/>
          <w:kern w:val="2"/>
          <w:sz w:val="28"/>
          <w:szCs w:val="28"/>
          <w:lang w:val="en-US" w:eastAsia="zh-CN" w:bidi="ar-SA"/>
        </w:rPr>
        <w:t>较优</w:t>
      </w:r>
      <w:r>
        <w:rPr>
          <w:rFonts w:hint="eastAsia" w:ascii="Times New Roman" w:hAnsi="Times New Roman" w:eastAsia="仿宋_GB2312" w:cs="Times New Roman"/>
          <w:kern w:val="2"/>
          <w:sz w:val="28"/>
          <w:szCs w:val="28"/>
          <w:lang w:val="en-US" w:eastAsia="zh-CN" w:bidi="ar-SA"/>
        </w:rPr>
        <w:t>。</w:t>
      </w:r>
    </w:p>
    <w:p>
      <w:pPr>
        <w:pStyle w:val="9"/>
        <w:pageBreakBefore w:val="0"/>
        <w:widowControl w:val="0"/>
        <w:kinsoku/>
        <w:wordWrap/>
        <w:topLinePunct w:val="0"/>
        <w:bidi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②距商服中心距离：约</w:t>
      </w:r>
      <w:r>
        <w:rPr>
          <w:rFonts w:hint="eastAsia" w:ascii="Times New Roman" w:hAnsi="Times New Roman" w:eastAsia="仿宋_GB2312"/>
          <w:sz w:val="28"/>
          <w:szCs w:val="28"/>
          <w:lang w:val="en-US" w:eastAsia="zh-CN"/>
        </w:rPr>
        <w:t>0.5km</w:t>
      </w:r>
      <w:r>
        <w:rPr>
          <w:rFonts w:ascii="Times New Roman" w:hAnsi="Times New Roman" w:eastAsia="仿宋_GB2312"/>
          <w:sz w:val="28"/>
          <w:szCs w:val="28"/>
        </w:rPr>
        <w:t>。</w:t>
      </w:r>
    </w:p>
    <w:p>
      <w:pPr>
        <w:pStyle w:val="9"/>
        <w:pageBreakBefore w:val="0"/>
        <w:widowControl w:val="0"/>
        <w:kinsoku/>
        <w:wordWrap/>
        <w:topLinePunct w:val="0"/>
        <w:bidi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③临路状况：小区</w:t>
      </w:r>
      <w:r>
        <w:rPr>
          <w:rFonts w:hint="eastAsia" w:eastAsia="仿宋_GB2312" w:cs="Times New Roman"/>
          <w:kern w:val="2"/>
          <w:sz w:val="28"/>
          <w:szCs w:val="28"/>
          <w:lang w:val="en-US" w:eastAsia="zh-CN" w:bidi="ar-SA"/>
        </w:rPr>
        <w:t>西临人民南路,南</w:t>
      </w:r>
      <w:r>
        <w:rPr>
          <w:rFonts w:hint="eastAsia" w:ascii="Times New Roman" w:hAnsi="Times New Roman" w:eastAsia="仿宋_GB2312" w:cs="Times New Roman"/>
          <w:kern w:val="2"/>
          <w:sz w:val="28"/>
          <w:szCs w:val="28"/>
          <w:lang w:val="en-US" w:eastAsia="zh-CN" w:bidi="ar-SA"/>
        </w:rPr>
        <w:t>临</w:t>
      </w:r>
      <w:r>
        <w:rPr>
          <w:rFonts w:hint="eastAsia" w:eastAsia="仿宋_GB2312" w:cs="Times New Roman"/>
          <w:kern w:val="2"/>
          <w:sz w:val="28"/>
          <w:szCs w:val="28"/>
          <w:lang w:val="en-US" w:eastAsia="zh-CN" w:bidi="ar-SA"/>
        </w:rPr>
        <w:t>南港</w:t>
      </w:r>
      <w:r>
        <w:rPr>
          <w:rFonts w:hint="eastAsia" w:ascii="Times New Roman" w:hAnsi="Times New Roman" w:eastAsia="仿宋_GB2312" w:cs="Times New Roman"/>
          <w:kern w:val="2"/>
          <w:sz w:val="28"/>
          <w:szCs w:val="28"/>
          <w:lang w:val="en-US" w:eastAsia="zh-CN" w:bidi="ar-SA"/>
        </w:rPr>
        <w:t>路</w:t>
      </w:r>
      <w:r>
        <w:rPr>
          <w:rFonts w:hint="eastAsia" w:ascii="Times New Roman" w:hAnsi="Times New Roman" w:eastAsia="仿宋_GB2312"/>
          <w:sz w:val="28"/>
          <w:szCs w:val="28"/>
          <w:lang w:val="en-US" w:eastAsia="zh-CN"/>
        </w:rPr>
        <w:t>，临路状况较好</w:t>
      </w:r>
      <w:r>
        <w:rPr>
          <w:rFonts w:ascii="Times New Roman" w:hAnsi="Times New Roman" w:eastAsia="仿宋_GB2312"/>
          <w:sz w:val="28"/>
          <w:szCs w:val="28"/>
        </w:rPr>
        <w:t>。</w:t>
      </w:r>
    </w:p>
    <w:p>
      <w:pPr>
        <w:pStyle w:val="9"/>
        <w:pageBreakBefore w:val="0"/>
        <w:widowControl w:val="0"/>
        <w:kinsoku/>
        <w:wordWrap/>
        <w:topLinePunct w:val="0"/>
        <w:bidi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④房屋朝向：南北朝向。</w:t>
      </w:r>
    </w:p>
    <w:p>
      <w:pPr>
        <w:pStyle w:val="9"/>
        <w:pageBreakBefore w:val="0"/>
        <w:widowControl w:val="0"/>
        <w:kinsoku/>
        <w:wordWrap/>
        <w:topLinePunct w:val="0"/>
        <w:bidi w:val="0"/>
        <w:spacing w:line="440" w:lineRule="exact"/>
        <w:ind w:firstLine="560" w:firstLineChars="200"/>
        <w:rPr>
          <w:rFonts w:ascii="Times New Roman" w:hAnsi="Times New Roman" w:eastAsia="仿宋_GB2312"/>
          <w:b/>
          <w:bCs/>
          <w:sz w:val="28"/>
          <w:szCs w:val="28"/>
        </w:rPr>
      </w:pPr>
      <w:r>
        <w:rPr>
          <w:rFonts w:ascii="Times New Roman" w:hAnsi="Times New Roman" w:eastAsia="仿宋_GB2312"/>
          <w:sz w:val="28"/>
          <w:szCs w:val="28"/>
        </w:rPr>
        <w:t>⑤所在楼层/总楼层：</w:t>
      </w:r>
      <w:r>
        <w:rPr>
          <w:rFonts w:hint="eastAsia" w:ascii="Times New Roman" w:hAnsi="Times New Roman" w:eastAsia="仿宋_GB2312"/>
          <w:sz w:val="28"/>
          <w:szCs w:val="28"/>
          <w:lang w:val="en-US" w:eastAsia="zh-CN"/>
        </w:rPr>
        <w:t>5/6</w:t>
      </w:r>
      <w:r>
        <w:rPr>
          <w:rFonts w:ascii="Times New Roman" w:hAnsi="Times New Roman" w:eastAsia="仿宋_GB2312"/>
          <w:sz w:val="28"/>
          <w:szCs w:val="28"/>
        </w:rPr>
        <w:t>。</w:t>
      </w:r>
    </w:p>
    <w:p>
      <w:pPr>
        <w:pageBreakBefore w:val="0"/>
        <w:widowControl w:val="0"/>
        <w:kinsoku/>
        <w:wordWrap/>
        <w:topLinePunct w:val="0"/>
        <w:bidi w:val="0"/>
        <w:spacing w:line="440" w:lineRule="exact"/>
        <w:ind w:firstLine="560" w:firstLineChars="200"/>
        <w:rPr>
          <w:rFonts w:eastAsia="仿宋_GB2312"/>
          <w:sz w:val="28"/>
          <w:szCs w:val="28"/>
        </w:rPr>
      </w:pPr>
      <w:r>
        <w:rPr>
          <w:rFonts w:eastAsia="仿宋_GB2312"/>
          <w:sz w:val="28"/>
          <w:szCs w:val="28"/>
        </w:rPr>
        <w:t>（3）.交通状况</w:t>
      </w:r>
    </w:p>
    <w:p>
      <w:pPr>
        <w:pStyle w:val="9"/>
        <w:pageBreakBefore w:val="0"/>
        <w:widowControl w:val="0"/>
        <w:kinsoku/>
        <w:wordWrap/>
        <w:topLinePunct w:val="0"/>
        <w:bidi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①道路及交通便利度：估价对象所在区域有</w:t>
      </w:r>
      <w:r>
        <w:rPr>
          <w:rFonts w:hint="eastAsia" w:ascii="Times New Roman" w:hAnsi="Times New Roman" w:eastAsia="仿宋_GB2312"/>
          <w:sz w:val="28"/>
          <w:szCs w:val="28"/>
          <w:lang w:val="en-US" w:eastAsia="zh-CN"/>
        </w:rPr>
        <w:t>人民路、世纪大道</w:t>
      </w:r>
      <w:r>
        <w:rPr>
          <w:rFonts w:ascii="Times New Roman" w:hAnsi="Times New Roman" w:eastAsia="仿宋_GB2312"/>
          <w:sz w:val="28"/>
          <w:szCs w:val="28"/>
        </w:rPr>
        <w:t>等主干道。路面保养维修较好，道路质量较好，道路通达状况一般。有</w:t>
      </w:r>
      <w:r>
        <w:rPr>
          <w:rFonts w:hint="eastAsia" w:ascii="Times New Roman" w:hAnsi="Times New Roman" w:eastAsia="仿宋_GB2312"/>
          <w:sz w:val="28"/>
          <w:szCs w:val="28"/>
          <w:lang w:val="en-US" w:eastAsia="zh-CN"/>
        </w:rPr>
        <w:t>B支2路、39</w:t>
      </w:r>
      <w:r>
        <w:rPr>
          <w:rFonts w:hint="eastAsia" w:ascii="Times New Roman" w:hAnsi="Times New Roman" w:eastAsia="仿宋_GB2312"/>
          <w:sz w:val="28"/>
          <w:szCs w:val="28"/>
          <w:lang w:eastAsia="zh-CN"/>
        </w:rPr>
        <w:t>路</w:t>
      </w:r>
      <w:r>
        <w:rPr>
          <w:rFonts w:hint="eastAsia" w:ascii="Times New Roman" w:hAnsi="Times New Roman" w:eastAsia="仿宋_GB2312"/>
          <w:sz w:val="28"/>
          <w:szCs w:val="28"/>
          <w:lang w:val="en-US" w:eastAsia="zh-CN"/>
        </w:rPr>
        <w:t>60路等</w:t>
      </w:r>
      <w:r>
        <w:rPr>
          <w:rFonts w:ascii="Times New Roman" w:hAnsi="Times New Roman" w:eastAsia="仿宋_GB2312"/>
          <w:sz w:val="28"/>
          <w:szCs w:val="28"/>
        </w:rPr>
        <w:t>公交线路由此经过，小区大门距离最近的公交站台约</w:t>
      </w:r>
      <w:r>
        <w:rPr>
          <w:rFonts w:hint="eastAsia" w:ascii="Times New Roman" w:hAnsi="Times New Roman" w:eastAsia="仿宋_GB2312"/>
          <w:sz w:val="28"/>
          <w:szCs w:val="28"/>
          <w:lang w:val="en-US" w:eastAsia="zh-CN"/>
        </w:rPr>
        <w:t>800</w:t>
      </w:r>
      <w:r>
        <w:rPr>
          <w:rFonts w:ascii="Times New Roman" w:hAnsi="Times New Roman" w:eastAsia="仿宋_GB2312"/>
          <w:sz w:val="28"/>
          <w:szCs w:val="28"/>
        </w:rPr>
        <w:t>M，公交状况</w:t>
      </w:r>
      <w:r>
        <w:rPr>
          <w:rFonts w:hint="eastAsia" w:ascii="Times New Roman" w:hAnsi="Times New Roman" w:eastAsia="仿宋_GB2312"/>
          <w:sz w:val="28"/>
          <w:szCs w:val="28"/>
          <w:lang w:val="en-US" w:eastAsia="zh-CN"/>
        </w:rPr>
        <w:t>较好</w:t>
      </w:r>
      <w:r>
        <w:rPr>
          <w:rFonts w:ascii="Times New Roman" w:hAnsi="Times New Roman" w:eastAsia="仿宋_GB2312"/>
          <w:sz w:val="28"/>
          <w:szCs w:val="28"/>
        </w:rPr>
        <w:t>。</w:t>
      </w:r>
    </w:p>
    <w:p>
      <w:pPr>
        <w:pStyle w:val="9"/>
        <w:pageBreakBefore w:val="0"/>
        <w:widowControl w:val="0"/>
        <w:kinsoku/>
        <w:wordWrap/>
        <w:topLinePunct w:val="0"/>
        <w:bidi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②距对外交通设施距离：估价对象</w:t>
      </w:r>
      <w:r>
        <w:rPr>
          <w:rFonts w:hint="eastAsia" w:ascii="Times New Roman" w:hAnsi="Times New Roman" w:eastAsia="仿宋_GB2312"/>
          <w:sz w:val="28"/>
          <w:szCs w:val="28"/>
          <w:lang w:val="en-US" w:eastAsia="zh-CN"/>
        </w:rPr>
        <w:t>距人民南路</w:t>
      </w:r>
      <w:r>
        <w:rPr>
          <w:rFonts w:ascii="Times New Roman" w:hAnsi="Times New Roman" w:eastAsia="仿宋_GB2312"/>
          <w:sz w:val="28"/>
          <w:szCs w:val="28"/>
        </w:rPr>
        <w:t>约</w:t>
      </w:r>
      <w:r>
        <w:rPr>
          <w:rFonts w:hint="eastAsia" w:ascii="Times New Roman" w:hAnsi="Times New Roman" w:eastAsia="仿宋_GB2312"/>
          <w:sz w:val="28"/>
          <w:szCs w:val="28"/>
          <w:lang w:val="en-US" w:eastAsia="zh-CN"/>
        </w:rPr>
        <w:t>800m</w:t>
      </w:r>
      <w:r>
        <w:rPr>
          <w:rFonts w:hint="eastAsia" w:ascii="Times New Roman" w:hAnsi="Times New Roman" w:eastAsia="仿宋_GB2312"/>
          <w:sz w:val="28"/>
          <w:szCs w:val="28"/>
          <w:lang w:eastAsia="zh-CN"/>
        </w:rPr>
        <w:t>。</w:t>
      </w:r>
    </w:p>
    <w:p>
      <w:pPr>
        <w:pStyle w:val="9"/>
        <w:pageBreakBefore w:val="0"/>
        <w:widowControl w:val="0"/>
        <w:kinsoku/>
        <w:wordWrap/>
        <w:topLinePunct w:val="0"/>
        <w:bidi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③交通管制情况：估价对象所在区域无交通管制。</w:t>
      </w:r>
    </w:p>
    <w:p>
      <w:pPr>
        <w:pStyle w:val="9"/>
        <w:pageBreakBefore w:val="0"/>
        <w:widowControl w:val="0"/>
        <w:kinsoku/>
        <w:wordWrap/>
        <w:topLinePunct w:val="0"/>
        <w:bidi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④停车方便程度：</w:t>
      </w:r>
      <w:r>
        <w:rPr>
          <w:rFonts w:hint="eastAsia" w:ascii="Times New Roman" w:hAnsi="Times New Roman" w:eastAsia="仿宋_GB2312"/>
          <w:sz w:val="28"/>
          <w:szCs w:val="28"/>
          <w:lang w:val="en-US" w:eastAsia="zh-CN"/>
        </w:rPr>
        <w:t>较好</w:t>
      </w:r>
      <w:r>
        <w:rPr>
          <w:rFonts w:ascii="Times New Roman" w:hAnsi="Times New Roman" w:eastAsia="仿宋_GB2312"/>
          <w:sz w:val="28"/>
          <w:szCs w:val="28"/>
        </w:rPr>
        <w:t>。</w:t>
      </w:r>
    </w:p>
    <w:p>
      <w:pPr>
        <w:pStyle w:val="9"/>
        <w:pageBreakBefore w:val="0"/>
        <w:widowControl w:val="0"/>
        <w:kinsoku/>
        <w:wordWrap/>
        <w:topLinePunct w:val="0"/>
        <w:bidi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（4）.基础设施</w:t>
      </w:r>
    </w:p>
    <w:p>
      <w:pPr>
        <w:pStyle w:val="9"/>
        <w:pageBreakBefore w:val="0"/>
        <w:widowControl w:val="0"/>
        <w:kinsoku/>
        <w:wordWrap/>
        <w:topLinePunct w:val="0"/>
        <w:bidi w:val="0"/>
        <w:spacing w:line="440" w:lineRule="exact"/>
        <w:ind w:firstLine="560" w:firstLineChars="200"/>
        <w:rPr>
          <w:rFonts w:ascii="Times New Roman" w:hAnsi="Times New Roman" w:eastAsia="仿宋_GB2312"/>
          <w:b/>
          <w:bCs/>
          <w:sz w:val="28"/>
          <w:szCs w:val="28"/>
        </w:rPr>
      </w:pPr>
      <w:r>
        <w:rPr>
          <w:rFonts w:ascii="Times New Roman" w:hAnsi="Times New Roman" w:eastAsia="仿宋_GB2312"/>
          <w:sz w:val="28"/>
          <w:szCs w:val="28"/>
        </w:rPr>
        <w:t>估价对象所在区域供水、供电、排水、供气状况较好；电话交换方式采用数字程控交换方式，装机容量大，通讯终端多，电讯条件优。基础设施完备，能满足人们日常居住生活需要。</w:t>
      </w:r>
    </w:p>
    <w:p>
      <w:pPr>
        <w:pStyle w:val="9"/>
        <w:pageBreakBefore w:val="0"/>
        <w:widowControl w:val="0"/>
        <w:kinsoku/>
        <w:wordWrap/>
        <w:topLinePunct w:val="0"/>
        <w:bidi w:val="0"/>
        <w:spacing w:line="440" w:lineRule="exact"/>
        <w:ind w:firstLine="560" w:firstLineChars="200"/>
        <w:rPr>
          <w:rFonts w:ascii="Times New Roman" w:hAnsi="Times New Roman" w:eastAsia="仿宋_GB2312"/>
          <w:b/>
          <w:bCs/>
          <w:sz w:val="28"/>
          <w:szCs w:val="28"/>
        </w:rPr>
      </w:pPr>
      <w:r>
        <w:rPr>
          <w:rFonts w:ascii="Times New Roman" w:hAnsi="Times New Roman" w:eastAsia="仿宋_GB2312"/>
          <w:sz w:val="28"/>
          <w:szCs w:val="28"/>
        </w:rPr>
        <w:t>（5）.公共服务设施</w:t>
      </w:r>
    </w:p>
    <w:p>
      <w:pPr>
        <w:pStyle w:val="9"/>
        <w:pageBreakBefore w:val="0"/>
        <w:widowControl w:val="0"/>
        <w:kinsoku/>
        <w:wordWrap/>
        <w:topLinePunct w:val="0"/>
        <w:bidi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估价对象</w:t>
      </w:r>
      <w:r>
        <w:rPr>
          <w:rFonts w:hint="eastAsia" w:ascii="Times New Roman" w:hAnsi="Times New Roman" w:eastAsia="仿宋_GB2312" w:cs="Times New Roman"/>
          <w:kern w:val="2"/>
          <w:sz w:val="28"/>
          <w:szCs w:val="28"/>
          <w:lang w:val="en-US" w:eastAsia="zh-CN" w:bidi="ar-SA"/>
        </w:rPr>
        <w:t>附近1000米辐射范围内公共配套设施较好，</w:t>
      </w:r>
      <w:r>
        <w:rPr>
          <w:rFonts w:ascii="Times New Roman" w:hAnsi="Times New Roman" w:eastAsia="仿宋_GB2312"/>
          <w:sz w:val="28"/>
          <w:szCs w:val="28"/>
        </w:rPr>
        <w:t>公共服务设施</w:t>
      </w:r>
      <w:r>
        <w:rPr>
          <w:rFonts w:hint="eastAsia" w:ascii="Times New Roman" w:hAnsi="Times New Roman" w:eastAsia="仿宋_GB2312"/>
          <w:sz w:val="28"/>
          <w:szCs w:val="28"/>
          <w:lang w:val="en-US" w:eastAsia="zh-CN"/>
        </w:rPr>
        <w:t>较好</w:t>
      </w:r>
      <w:r>
        <w:rPr>
          <w:rFonts w:ascii="Times New Roman" w:hAnsi="Times New Roman" w:eastAsia="仿宋_GB2312"/>
          <w:sz w:val="28"/>
          <w:szCs w:val="28"/>
        </w:rPr>
        <w:t>。</w:t>
      </w:r>
    </w:p>
    <w:p>
      <w:pPr>
        <w:pStyle w:val="9"/>
        <w:pageBreakBefore w:val="0"/>
        <w:widowControl w:val="0"/>
        <w:kinsoku/>
        <w:wordWrap/>
        <w:topLinePunct w:val="0"/>
        <w:bidi w:val="0"/>
        <w:spacing w:line="440" w:lineRule="exact"/>
        <w:ind w:firstLine="560" w:firstLineChars="200"/>
        <w:rPr>
          <w:rFonts w:ascii="Times New Roman" w:hAnsi="Times New Roman" w:eastAsia="仿宋_GB2312"/>
          <w:b/>
          <w:bCs/>
          <w:sz w:val="28"/>
          <w:szCs w:val="28"/>
        </w:rPr>
      </w:pPr>
      <w:r>
        <w:rPr>
          <w:rFonts w:ascii="Times New Roman" w:hAnsi="Times New Roman" w:eastAsia="仿宋_GB2312"/>
          <w:sz w:val="28"/>
          <w:szCs w:val="28"/>
        </w:rPr>
        <w:t>（6）.周围环境与景观</w:t>
      </w:r>
    </w:p>
    <w:p>
      <w:pPr>
        <w:pStyle w:val="9"/>
        <w:pageBreakBefore w:val="0"/>
        <w:widowControl w:val="0"/>
        <w:kinsoku/>
        <w:wordWrap/>
        <w:topLinePunct w:val="0"/>
        <w:bidi w:val="0"/>
        <w:spacing w:line="440" w:lineRule="exact"/>
        <w:ind w:firstLine="560" w:firstLineChars="200"/>
        <w:rPr>
          <w:rFonts w:ascii="Times New Roman" w:hAnsi="Times New Roman" w:eastAsia="仿宋_GB2312"/>
          <w:b/>
          <w:bCs/>
          <w:sz w:val="28"/>
          <w:szCs w:val="28"/>
        </w:rPr>
      </w:pPr>
      <w:r>
        <w:rPr>
          <w:rFonts w:ascii="Times New Roman" w:hAnsi="Times New Roman" w:eastAsia="仿宋_GB2312"/>
          <w:sz w:val="28"/>
          <w:szCs w:val="28"/>
        </w:rPr>
        <w:t>①自然环境：周围环境</w:t>
      </w:r>
      <w:r>
        <w:rPr>
          <w:rFonts w:hint="eastAsia" w:ascii="Times New Roman" w:hAnsi="Times New Roman" w:eastAsia="仿宋_GB2312"/>
          <w:sz w:val="28"/>
          <w:szCs w:val="28"/>
          <w:lang w:val="en-US" w:eastAsia="zh-CN"/>
        </w:rPr>
        <w:t>一般</w:t>
      </w:r>
      <w:r>
        <w:rPr>
          <w:rFonts w:ascii="Times New Roman" w:hAnsi="Times New Roman" w:eastAsia="仿宋_GB2312"/>
          <w:sz w:val="28"/>
          <w:szCs w:val="28"/>
        </w:rPr>
        <w:t>，无空气、辐射、水、固体废物等污染。小区内绿化率</w:t>
      </w:r>
      <w:r>
        <w:rPr>
          <w:rFonts w:hint="eastAsia" w:ascii="Times New Roman" w:hAnsi="Times New Roman" w:eastAsia="仿宋_GB2312"/>
          <w:sz w:val="28"/>
          <w:szCs w:val="28"/>
          <w:lang w:val="en-US" w:eastAsia="zh-CN"/>
        </w:rPr>
        <w:t>一般</w:t>
      </w:r>
      <w:r>
        <w:rPr>
          <w:rFonts w:ascii="Times New Roman" w:hAnsi="Times New Roman" w:eastAsia="仿宋_GB2312"/>
          <w:sz w:val="28"/>
          <w:szCs w:val="28"/>
        </w:rPr>
        <w:t>，环境卫生状况</w:t>
      </w:r>
      <w:r>
        <w:rPr>
          <w:rFonts w:hint="eastAsia" w:ascii="Times New Roman" w:hAnsi="Times New Roman" w:eastAsia="仿宋_GB2312"/>
          <w:sz w:val="28"/>
          <w:szCs w:val="28"/>
          <w:lang w:val="en-US" w:eastAsia="zh-CN"/>
        </w:rPr>
        <w:t>一般</w:t>
      </w:r>
      <w:r>
        <w:rPr>
          <w:rFonts w:ascii="Times New Roman" w:hAnsi="Times New Roman" w:eastAsia="仿宋_GB2312"/>
          <w:sz w:val="28"/>
          <w:szCs w:val="28"/>
        </w:rPr>
        <w:t>。</w:t>
      </w:r>
    </w:p>
    <w:p>
      <w:pPr>
        <w:pStyle w:val="9"/>
        <w:pageBreakBefore w:val="0"/>
        <w:widowControl w:val="0"/>
        <w:kinsoku/>
        <w:wordWrap/>
        <w:topLinePunct w:val="0"/>
        <w:bidi w:val="0"/>
        <w:spacing w:line="440" w:lineRule="exact"/>
        <w:ind w:firstLine="560" w:firstLineChars="200"/>
        <w:rPr>
          <w:rFonts w:ascii="Times New Roman" w:hAnsi="Times New Roman" w:eastAsia="仿宋_GB2312"/>
          <w:b/>
          <w:bCs/>
          <w:sz w:val="28"/>
          <w:szCs w:val="28"/>
        </w:rPr>
      </w:pPr>
      <w:r>
        <w:rPr>
          <w:rFonts w:ascii="Times New Roman" w:hAnsi="Times New Roman" w:eastAsia="仿宋_GB2312"/>
          <w:sz w:val="28"/>
          <w:szCs w:val="28"/>
        </w:rPr>
        <w:t>②人文环境：估价对象所在区域居民受教育程度</w:t>
      </w:r>
      <w:r>
        <w:rPr>
          <w:rFonts w:hint="eastAsia" w:ascii="Times New Roman" w:hAnsi="Times New Roman" w:eastAsia="仿宋_GB2312"/>
          <w:sz w:val="28"/>
          <w:szCs w:val="28"/>
          <w:lang w:val="en-US" w:eastAsia="zh-CN"/>
        </w:rPr>
        <w:t>一般</w:t>
      </w:r>
      <w:r>
        <w:rPr>
          <w:rFonts w:ascii="Times New Roman" w:hAnsi="Times New Roman" w:eastAsia="仿宋_GB2312"/>
          <w:sz w:val="28"/>
          <w:szCs w:val="28"/>
        </w:rPr>
        <w:t>；治安状况较好；相邻房地产以住宅用房为主，人文环境</w:t>
      </w:r>
      <w:r>
        <w:rPr>
          <w:rFonts w:hint="eastAsia" w:ascii="Times New Roman" w:hAnsi="Times New Roman" w:eastAsia="仿宋_GB2312"/>
          <w:sz w:val="28"/>
          <w:szCs w:val="28"/>
          <w:lang w:val="en-US" w:eastAsia="zh-CN"/>
        </w:rPr>
        <w:t>一般</w:t>
      </w:r>
      <w:r>
        <w:rPr>
          <w:rFonts w:ascii="Times New Roman" w:hAnsi="Times New Roman" w:eastAsia="仿宋_GB2312"/>
          <w:sz w:val="28"/>
          <w:szCs w:val="28"/>
        </w:rPr>
        <w:t>。</w:t>
      </w:r>
    </w:p>
    <w:p>
      <w:pPr>
        <w:pageBreakBefore w:val="0"/>
        <w:widowControl w:val="0"/>
        <w:kinsoku/>
        <w:wordWrap/>
        <w:topLinePunct w:val="0"/>
        <w:bidi w:val="0"/>
        <w:spacing w:line="440" w:lineRule="exact"/>
        <w:ind w:firstLine="560" w:firstLineChars="200"/>
        <w:rPr>
          <w:rFonts w:eastAsia="仿宋_GB2312"/>
          <w:sz w:val="28"/>
          <w:szCs w:val="28"/>
        </w:rPr>
      </w:pPr>
      <w:r>
        <w:rPr>
          <w:rFonts w:eastAsia="仿宋_GB2312"/>
          <w:sz w:val="28"/>
          <w:szCs w:val="28"/>
        </w:rPr>
        <w:t>③景观：估价对象所在小区</w:t>
      </w:r>
      <w:r>
        <w:rPr>
          <w:rFonts w:hint="eastAsia" w:eastAsia="仿宋_GB2312"/>
          <w:sz w:val="28"/>
          <w:szCs w:val="28"/>
          <w:lang w:eastAsia="zh-CN"/>
        </w:rPr>
        <w:t>景观条件</w:t>
      </w:r>
      <w:r>
        <w:rPr>
          <w:rFonts w:hint="eastAsia" w:eastAsia="仿宋_GB2312"/>
          <w:sz w:val="28"/>
          <w:szCs w:val="28"/>
          <w:lang w:val="en-US" w:eastAsia="zh-CN"/>
        </w:rPr>
        <w:t>较好</w:t>
      </w:r>
      <w:r>
        <w:rPr>
          <w:rFonts w:eastAsia="仿宋_GB2312"/>
          <w:sz w:val="28"/>
          <w:szCs w:val="28"/>
        </w:rPr>
        <w:t>。</w:t>
      </w:r>
    </w:p>
    <w:p>
      <w:pPr>
        <w:pStyle w:val="9"/>
        <w:pageBreakBefore w:val="0"/>
        <w:widowControl w:val="0"/>
        <w:kinsoku/>
        <w:wordWrap/>
        <w:topLinePunct w:val="0"/>
        <w:bidi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（7）.自然条件</w:t>
      </w:r>
    </w:p>
    <w:p>
      <w:pPr>
        <w:pStyle w:val="9"/>
        <w:pageBreakBefore w:val="0"/>
        <w:widowControl w:val="0"/>
        <w:kinsoku/>
        <w:wordWrap/>
        <w:topLinePunct w:val="0"/>
        <w:bidi w:val="0"/>
        <w:spacing w:line="44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自然条件包括地质地貌，生物资源，水文气候等方面，估价对象所在区域地质地貌，生物资源，水文气候等自然条件均较优。</w:t>
      </w:r>
    </w:p>
    <w:p>
      <w:pPr>
        <w:pStyle w:val="4"/>
        <w:pageBreakBefore w:val="0"/>
        <w:widowControl w:val="0"/>
        <w:kinsoku/>
        <w:wordWrap/>
        <w:topLinePunct w:val="0"/>
        <w:bidi w:val="0"/>
        <w:spacing w:before="0" w:after="0" w:line="440" w:lineRule="exact"/>
        <w:rPr>
          <w:sz w:val="30"/>
          <w:szCs w:val="30"/>
        </w:rPr>
      </w:pPr>
      <w:bookmarkStart w:id="8" w:name="_Toc11233"/>
      <w:r>
        <w:rPr>
          <w:rFonts w:hint="eastAsia"/>
          <w:sz w:val="30"/>
          <w:szCs w:val="30"/>
        </w:rPr>
        <w:t>五、价值时点</w:t>
      </w:r>
      <w:bookmarkEnd w:id="8"/>
    </w:p>
    <w:p>
      <w:pPr>
        <w:pageBreakBefore w:val="0"/>
        <w:widowControl w:val="0"/>
        <w:kinsoku/>
        <w:wordWrap/>
        <w:topLinePunct w:val="0"/>
        <w:bidi w:val="0"/>
        <w:spacing w:line="440" w:lineRule="exact"/>
        <w:ind w:firstLine="560" w:firstLineChars="200"/>
        <w:rPr>
          <w:rFonts w:eastAsia="仿宋_GB2312"/>
          <w:sz w:val="28"/>
        </w:rPr>
      </w:pPr>
      <w:r>
        <w:rPr>
          <w:rFonts w:hint="eastAsia" w:eastAsia="仿宋_GB2312"/>
          <w:sz w:val="28"/>
          <w:lang w:eastAsia="zh-CN"/>
        </w:rPr>
        <w:t>二〇二二年十月二十一日</w:t>
      </w:r>
      <w:r>
        <w:rPr>
          <w:rFonts w:hint="eastAsia" w:eastAsia="仿宋_GB2312"/>
          <w:sz w:val="28"/>
        </w:rPr>
        <w:t>（现场勘查之日）</w:t>
      </w:r>
    </w:p>
    <w:p>
      <w:pPr>
        <w:pStyle w:val="4"/>
        <w:pageBreakBefore w:val="0"/>
        <w:widowControl w:val="0"/>
        <w:kinsoku/>
        <w:wordWrap/>
        <w:topLinePunct w:val="0"/>
        <w:bidi w:val="0"/>
        <w:spacing w:before="0" w:after="0" w:line="440" w:lineRule="exact"/>
        <w:rPr>
          <w:sz w:val="30"/>
          <w:szCs w:val="30"/>
        </w:rPr>
      </w:pPr>
      <w:bookmarkStart w:id="9" w:name="_Toc8045"/>
      <w:r>
        <w:rPr>
          <w:rFonts w:hint="eastAsia"/>
          <w:sz w:val="30"/>
          <w:szCs w:val="30"/>
        </w:rPr>
        <w:t>六、价值类型</w:t>
      </w:r>
      <w:bookmarkEnd w:id="9"/>
    </w:p>
    <w:p>
      <w:pPr>
        <w:pageBreakBefore w:val="0"/>
        <w:widowControl w:val="0"/>
        <w:kinsoku/>
        <w:wordWrap/>
        <w:topLinePunct w:val="0"/>
        <w:bidi w:val="0"/>
        <w:spacing w:line="440" w:lineRule="exact"/>
        <w:ind w:firstLine="560" w:firstLineChars="200"/>
        <w:rPr>
          <w:rFonts w:eastAsia="仿宋_GB2312"/>
          <w:sz w:val="28"/>
        </w:rPr>
      </w:pPr>
      <w:r>
        <w:rPr>
          <w:rFonts w:hint="eastAsia" w:eastAsia="仿宋_GB2312"/>
          <w:sz w:val="28"/>
        </w:rPr>
        <w:t>本次估价采用的</w:t>
      </w:r>
      <w:r>
        <w:rPr>
          <w:rFonts w:hint="eastAsia" w:eastAsia="仿宋_GB2312"/>
          <w:sz w:val="28"/>
          <w:lang w:eastAsia="zh-CN"/>
        </w:rPr>
        <w:t>市场价格</w:t>
      </w:r>
      <w:r>
        <w:rPr>
          <w:rFonts w:hint="eastAsia" w:eastAsia="仿宋_GB2312"/>
          <w:sz w:val="28"/>
        </w:rPr>
        <w:t>标准为估价对象房地产在公开市场上最可能形成的客观合理价格。</w:t>
      </w:r>
    </w:p>
    <w:p>
      <w:pPr>
        <w:pageBreakBefore w:val="0"/>
        <w:widowControl w:val="0"/>
        <w:kinsoku/>
        <w:wordWrap/>
        <w:topLinePunct w:val="0"/>
        <w:bidi w:val="0"/>
        <w:spacing w:line="440" w:lineRule="exact"/>
        <w:ind w:firstLine="560" w:firstLineChars="200"/>
        <w:rPr>
          <w:rFonts w:eastAsia="仿宋_GB2312"/>
          <w:sz w:val="28"/>
        </w:rPr>
      </w:pPr>
      <w:r>
        <w:rPr>
          <w:rFonts w:hint="eastAsia" w:eastAsia="仿宋_GB2312"/>
          <w:sz w:val="28"/>
          <w:szCs w:val="28"/>
        </w:rPr>
        <w:t>所谓</w:t>
      </w:r>
      <w:r>
        <w:rPr>
          <w:rFonts w:hint="eastAsia" w:eastAsia="仿宋_GB2312"/>
          <w:sz w:val="28"/>
          <w:szCs w:val="28"/>
          <w:lang w:eastAsia="zh-CN"/>
        </w:rPr>
        <w:t>市场价格</w:t>
      </w:r>
      <w:r>
        <w:rPr>
          <w:rFonts w:eastAsia="仿宋_GB2312"/>
          <w:sz w:val="28"/>
          <w:szCs w:val="28"/>
        </w:rPr>
        <w:t>，</w:t>
      </w:r>
      <w:r>
        <w:rPr>
          <w:rFonts w:hint="eastAsia" w:eastAsia="仿宋_GB2312"/>
          <w:sz w:val="28"/>
          <w:szCs w:val="28"/>
        </w:rPr>
        <w:t>是估价对象</w:t>
      </w:r>
      <w:r>
        <w:rPr>
          <w:rFonts w:hint="eastAsia" w:eastAsia="仿宋_GB2312"/>
          <w:sz w:val="28"/>
          <w:szCs w:val="28"/>
          <w:lang w:val="en-US" w:eastAsia="zh-CN"/>
        </w:rPr>
        <w:t>在市场上的平均交易价格</w:t>
      </w:r>
      <w:r>
        <w:rPr>
          <w:rFonts w:eastAsia="仿宋_GB2312"/>
          <w:color w:val="auto"/>
          <w:sz w:val="28"/>
          <w:szCs w:val="28"/>
        </w:rPr>
        <w:t>。</w:t>
      </w:r>
    </w:p>
    <w:p>
      <w:pPr>
        <w:pStyle w:val="4"/>
        <w:pageBreakBefore w:val="0"/>
        <w:widowControl w:val="0"/>
        <w:kinsoku/>
        <w:wordWrap/>
        <w:topLinePunct w:val="0"/>
        <w:bidi w:val="0"/>
        <w:spacing w:before="0" w:after="0" w:line="440" w:lineRule="exact"/>
        <w:rPr>
          <w:sz w:val="30"/>
          <w:szCs w:val="30"/>
        </w:rPr>
      </w:pPr>
      <w:bookmarkStart w:id="10" w:name="_Toc6594"/>
      <w:r>
        <w:rPr>
          <w:rFonts w:hint="eastAsia"/>
          <w:sz w:val="30"/>
          <w:szCs w:val="30"/>
        </w:rPr>
        <w:t>七、估价依据</w:t>
      </w:r>
      <w:bookmarkEnd w:id="10"/>
    </w:p>
    <w:p>
      <w:pPr>
        <w:pageBreakBefore w:val="0"/>
        <w:widowControl w:val="0"/>
        <w:kinsoku/>
        <w:wordWrap/>
        <w:topLinePunct w:val="0"/>
        <w:bidi w:val="0"/>
        <w:spacing w:line="440" w:lineRule="exact"/>
        <w:ind w:firstLine="560" w:firstLineChars="200"/>
        <w:rPr>
          <w:rFonts w:eastAsia="仿宋_GB2312"/>
          <w:sz w:val="28"/>
          <w:szCs w:val="28"/>
        </w:rPr>
      </w:pPr>
      <w:bookmarkStart w:id="11" w:name="_Toc363576078"/>
      <w:r>
        <w:rPr>
          <w:rFonts w:eastAsia="仿宋_GB2312"/>
          <w:sz w:val="28"/>
          <w:szCs w:val="28"/>
        </w:rPr>
        <w:t>（一）法律、法规和相关政策性文件</w:t>
      </w:r>
      <w:bookmarkEnd w:id="11"/>
    </w:p>
    <w:p>
      <w:pPr>
        <w:pageBreakBefore w:val="0"/>
        <w:widowControl w:val="0"/>
        <w:kinsoku/>
        <w:wordWrap/>
        <w:topLinePunct w:val="0"/>
        <w:bidi w:val="0"/>
        <w:spacing w:line="440" w:lineRule="exact"/>
        <w:ind w:firstLine="560" w:firstLineChars="200"/>
        <w:rPr>
          <w:rFonts w:eastAsia="仿宋_GB2312"/>
          <w:sz w:val="28"/>
        </w:rPr>
      </w:pPr>
      <w:bookmarkStart w:id="12" w:name="_Toc363576079"/>
      <w:r>
        <w:rPr>
          <w:rFonts w:hint="eastAsia" w:eastAsia="仿宋_GB2312"/>
          <w:sz w:val="28"/>
        </w:rPr>
        <w:t>1、</w:t>
      </w:r>
      <w:r>
        <w:rPr>
          <w:rFonts w:hint="default" w:ascii="Times New Roman" w:hAnsi="Times New Roman" w:eastAsia="仿宋_GB2312" w:cs="Times New Roman"/>
          <w:sz w:val="28"/>
          <w:lang w:val="en-US" w:eastAsia="zh-CN"/>
        </w:rPr>
        <w:t>《中华人民共和国民法典》（2020年5月28日经十三届全国人大三次会议表决通过，2021年1月1日起正式施行）</w:t>
      </w:r>
      <w:r>
        <w:rPr>
          <w:rFonts w:hint="default" w:ascii="Times New Roman" w:hAnsi="Times New Roman" w:eastAsia="仿宋_GB2312" w:cs="Times New Roman"/>
          <w:sz w:val="28"/>
        </w:rPr>
        <w:t>；</w:t>
      </w:r>
    </w:p>
    <w:p>
      <w:pPr>
        <w:pageBreakBefore w:val="0"/>
        <w:widowControl w:val="0"/>
        <w:kinsoku/>
        <w:wordWrap/>
        <w:overflowPunct/>
        <w:topLinePunct w:val="0"/>
        <w:autoSpaceDE/>
        <w:autoSpaceDN/>
        <w:bidi w:val="0"/>
        <w:adjustRightInd/>
        <w:spacing w:line="440" w:lineRule="exact"/>
        <w:ind w:firstLine="560" w:firstLineChars="200"/>
        <w:rPr>
          <w:rFonts w:eastAsia="仿宋_GB2312"/>
          <w:sz w:val="28"/>
        </w:rPr>
      </w:pPr>
      <w:r>
        <w:rPr>
          <w:rFonts w:hint="eastAsia" w:eastAsia="仿宋_GB2312"/>
          <w:sz w:val="28"/>
        </w:rPr>
        <w:t>2、</w:t>
      </w:r>
      <w:r>
        <w:rPr>
          <w:rFonts w:eastAsia="仿宋_GB2312"/>
          <w:sz w:val="28"/>
        </w:rPr>
        <w:t>《中华人民共和国城市房地产管理法》（1994年7月5日第八届全国人民代表大会常务委员会第八次会议通过，1995年1月1日施行</w:t>
      </w:r>
      <w:r>
        <w:rPr>
          <w:rFonts w:hint="eastAsia" w:eastAsia="仿宋_GB2312"/>
          <w:sz w:val="28"/>
        </w:rPr>
        <w:t>，</w:t>
      </w:r>
      <w:r>
        <w:rPr>
          <w:rFonts w:eastAsia="仿宋_GB2312"/>
          <w:sz w:val="28"/>
        </w:rPr>
        <w:t>根据2007年8月30日第十届全国人民代表大会常务委员会第二十九次会议《关于修改〈中华人民共和国城市房地产管理法〉的决定》修正</w:t>
      </w:r>
      <w:r>
        <w:rPr>
          <w:rFonts w:hint="eastAsia" w:eastAsia="仿宋_GB2312"/>
          <w:sz w:val="28"/>
        </w:rPr>
        <w:t>，</w:t>
      </w:r>
      <w:r>
        <w:rPr>
          <w:rFonts w:eastAsia="仿宋_GB2312"/>
          <w:sz w:val="28"/>
        </w:rPr>
        <w:t>2007年8月30日中华人民共和国主席令第七十二号</w:t>
      </w:r>
      <w:r>
        <w:rPr>
          <w:rFonts w:hint="eastAsia" w:eastAsia="仿宋_GB2312"/>
          <w:sz w:val="28"/>
        </w:rPr>
        <w:t>公布</w:t>
      </w:r>
      <w:r>
        <w:rPr>
          <w:rFonts w:eastAsia="仿宋_GB2312"/>
          <w:sz w:val="28"/>
        </w:rPr>
        <w:t>）；</w:t>
      </w:r>
    </w:p>
    <w:p>
      <w:pPr>
        <w:pageBreakBefore w:val="0"/>
        <w:widowControl w:val="0"/>
        <w:kinsoku/>
        <w:wordWrap/>
        <w:overflowPunct/>
        <w:topLinePunct w:val="0"/>
        <w:autoSpaceDE/>
        <w:autoSpaceDN/>
        <w:bidi w:val="0"/>
        <w:adjustRightInd/>
        <w:spacing w:line="440" w:lineRule="exact"/>
        <w:ind w:firstLine="560" w:firstLineChars="200"/>
        <w:rPr>
          <w:rFonts w:eastAsia="仿宋_GB2312"/>
          <w:sz w:val="28"/>
        </w:rPr>
      </w:pPr>
      <w:r>
        <w:rPr>
          <w:rFonts w:hint="eastAsia" w:eastAsia="仿宋_GB2312"/>
          <w:sz w:val="28"/>
        </w:rPr>
        <w:t>3、</w:t>
      </w:r>
      <w:r>
        <w:rPr>
          <w:rFonts w:eastAsia="仿宋_GB2312"/>
          <w:sz w:val="28"/>
        </w:rPr>
        <w:t>《中华人民共和国土地管理法》（第二次修正，2004年8月28日中华人民共和国主席令第28号公布）；</w:t>
      </w:r>
    </w:p>
    <w:p>
      <w:pPr>
        <w:pageBreakBefore w:val="0"/>
        <w:widowControl w:val="0"/>
        <w:kinsoku/>
        <w:wordWrap/>
        <w:overflowPunct/>
        <w:topLinePunct w:val="0"/>
        <w:autoSpaceDE/>
        <w:autoSpaceDN/>
        <w:bidi w:val="0"/>
        <w:adjustRightInd/>
        <w:spacing w:line="440" w:lineRule="exact"/>
        <w:ind w:firstLine="560" w:firstLineChars="200"/>
        <w:rPr>
          <w:rFonts w:hint="eastAsia" w:eastAsia="仿宋_GB2312"/>
          <w:sz w:val="28"/>
          <w:lang w:val="en-US" w:eastAsia="zh-CN"/>
        </w:rPr>
      </w:pPr>
      <w:r>
        <w:rPr>
          <w:rFonts w:hint="eastAsia" w:eastAsia="仿宋_GB2312"/>
          <w:sz w:val="28"/>
        </w:rPr>
        <w:t>4、中华人民共和国资产评估法》已由中华人民共和国第十二届全国人民代表大会常务委员会第二十一次会议于2016年7月2日通过，自2016年12月1日起施行</w:t>
      </w:r>
      <w:r>
        <w:rPr>
          <w:rFonts w:hint="eastAsia" w:eastAsia="仿宋_GB2312"/>
          <w:sz w:val="28"/>
          <w:lang w:val="en-US" w:eastAsia="zh-CN"/>
        </w:rPr>
        <w:t>;</w:t>
      </w:r>
    </w:p>
    <w:p>
      <w:pPr>
        <w:pStyle w:val="9"/>
        <w:pageBreakBefore w:val="0"/>
        <w:widowControl w:val="0"/>
        <w:kinsoku/>
        <w:wordWrap/>
        <w:overflowPunct/>
        <w:topLinePunct w:val="0"/>
        <w:autoSpaceDE/>
        <w:autoSpaceDN/>
        <w:bidi w:val="0"/>
        <w:adjustRightInd/>
        <w:spacing w:line="440" w:lineRule="exact"/>
        <w:ind w:firstLine="573"/>
        <w:rPr>
          <w:rFonts w:ascii="Times New Roman" w:hAnsi="Times New Roman" w:eastAsia="仿宋_GB2312"/>
          <w:szCs w:val="28"/>
        </w:rPr>
      </w:pPr>
      <w:bookmarkStart w:id="13" w:name="_Toc258487710"/>
      <w:bookmarkStart w:id="14" w:name="_Toc286326429"/>
      <w:r>
        <w:rPr>
          <w:rFonts w:hint="eastAsia" w:ascii="Times New Roman" w:hAnsi="Times New Roman" w:eastAsia="仿宋_GB2312"/>
          <w:szCs w:val="28"/>
          <w:lang w:val="en-US" w:eastAsia="zh-CN"/>
        </w:rPr>
        <w:t>5</w:t>
      </w:r>
      <w:r>
        <w:rPr>
          <w:rFonts w:hint="eastAsia" w:ascii="Times New Roman" w:hAnsi="Times New Roman" w:eastAsia="仿宋_GB2312"/>
          <w:szCs w:val="28"/>
        </w:rPr>
        <w:t>、《中华人民共和国城乡规划法》（2007年10月28日第十届全国人民代表大会常务委员会第三十次会议通过，2007年10月28日中华人民共和国主席令第74号公布）；</w:t>
      </w:r>
      <w:bookmarkEnd w:id="13"/>
      <w:bookmarkEnd w:id="14"/>
    </w:p>
    <w:p>
      <w:pPr>
        <w:pageBreakBefore w:val="0"/>
        <w:widowControl w:val="0"/>
        <w:kinsoku/>
        <w:wordWrap/>
        <w:overflowPunct/>
        <w:topLinePunct w:val="0"/>
        <w:autoSpaceDE/>
        <w:autoSpaceDN/>
        <w:bidi w:val="0"/>
        <w:adjustRightInd/>
        <w:spacing w:line="440" w:lineRule="exact"/>
        <w:ind w:firstLine="560" w:firstLineChars="200"/>
        <w:rPr>
          <w:rFonts w:eastAsia="仿宋_GB2312"/>
          <w:sz w:val="28"/>
        </w:rPr>
      </w:pPr>
      <w:r>
        <w:rPr>
          <w:rFonts w:hint="eastAsia" w:eastAsia="仿宋_GB2312"/>
          <w:sz w:val="28"/>
          <w:lang w:val="en-US" w:eastAsia="zh-CN"/>
        </w:rPr>
        <w:t>6</w:t>
      </w:r>
      <w:r>
        <w:rPr>
          <w:rFonts w:hint="eastAsia" w:eastAsia="仿宋_GB2312"/>
          <w:sz w:val="28"/>
        </w:rPr>
        <w:t>、</w:t>
      </w:r>
      <w:r>
        <w:rPr>
          <w:rFonts w:eastAsia="仿宋_GB2312"/>
          <w:sz w:val="28"/>
        </w:rPr>
        <w:t>《中华人民共和国土地管理法实施条例》</w:t>
      </w:r>
      <w:r>
        <w:rPr>
          <w:rFonts w:hint="eastAsia" w:ascii="Times New Roman" w:hAnsi="Times New Roman" w:eastAsia="仿宋_GB2312" w:cs="Times New Roman"/>
          <w:kern w:val="2"/>
          <w:sz w:val="28"/>
          <w:szCs w:val="24"/>
          <w:lang w:val="en-US" w:eastAsia="zh-CN" w:bidi="ar-SA"/>
        </w:rPr>
        <w:t>（中华人民共和国国务院令第256号发布，2021年4月21日，国务院第132次会议修订通过《中华人民共和国土地管理法实施条例》，自2021年9月1日起施行）</w:t>
      </w:r>
      <w:r>
        <w:rPr>
          <w:rFonts w:eastAsia="仿宋_GB2312"/>
          <w:sz w:val="28"/>
        </w:rPr>
        <w:t>；</w:t>
      </w:r>
    </w:p>
    <w:p>
      <w:pPr>
        <w:pStyle w:val="5"/>
        <w:pageBreakBefore w:val="0"/>
        <w:widowControl w:val="0"/>
        <w:kinsoku/>
        <w:wordWrap/>
        <w:overflowPunct/>
        <w:topLinePunct w:val="0"/>
        <w:autoSpaceDE/>
        <w:autoSpaceDN/>
        <w:bidi w:val="0"/>
        <w:adjustRightInd/>
        <w:spacing w:line="440" w:lineRule="exact"/>
        <w:rPr>
          <w:rFonts w:eastAsia="仿宋_GB2312"/>
          <w:color w:val="000000"/>
        </w:rPr>
      </w:pPr>
      <w:r>
        <w:rPr>
          <w:rFonts w:hint="eastAsia" w:eastAsia="仿宋_GB2312"/>
          <w:color w:val="000000"/>
          <w:lang w:val="en-US" w:eastAsia="zh-CN"/>
        </w:rPr>
        <w:t>7</w:t>
      </w:r>
      <w:r>
        <w:rPr>
          <w:rFonts w:hint="eastAsia" w:eastAsia="仿宋_GB2312"/>
          <w:color w:val="000000"/>
        </w:rPr>
        <w:t>.《中华人民共和国城镇国有土地使用权出让和转让暂行条例》（1990年5月19日中华人民共和国国务院令第55号，1990年5月19日施行）；</w:t>
      </w:r>
    </w:p>
    <w:p>
      <w:pPr>
        <w:pageBreakBefore w:val="0"/>
        <w:widowControl w:val="0"/>
        <w:kinsoku/>
        <w:wordWrap/>
        <w:overflowPunct/>
        <w:topLinePunct w:val="0"/>
        <w:autoSpaceDE/>
        <w:autoSpaceDN/>
        <w:bidi w:val="0"/>
        <w:adjustRightInd/>
        <w:spacing w:line="440" w:lineRule="exact"/>
        <w:ind w:firstLine="560" w:firstLineChars="200"/>
        <w:rPr>
          <w:rFonts w:eastAsia="仿宋_GB2312"/>
          <w:sz w:val="28"/>
          <w:szCs w:val="28"/>
        </w:rPr>
      </w:pPr>
      <w:r>
        <w:rPr>
          <w:rFonts w:eastAsia="仿宋_GB2312"/>
          <w:sz w:val="28"/>
          <w:szCs w:val="28"/>
        </w:rPr>
        <w:t>（二）技术标准、规程、规范</w:t>
      </w:r>
      <w:bookmarkEnd w:id="12"/>
    </w:p>
    <w:p>
      <w:pPr>
        <w:pageBreakBefore w:val="0"/>
        <w:widowControl w:val="0"/>
        <w:kinsoku/>
        <w:wordWrap/>
        <w:overflowPunct/>
        <w:topLinePunct w:val="0"/>
        <w:autoSpaceDE/>
        <w:autoSpaceDN/>
        <w:bidi w:val="0"/>
        <w:adjustRightInd/>
        <w:spacing w:line="440" w:lineRule="exact"/>
        <w:ind w:firstLine="560" w:firstLineChars="200"/>
        <w:rPr>
          <w:rFonts w:eastAsia="仿宋_GB2312"/>
          <w:color w:val="000000"/>
          <w:sz w:val="28"/>
        </w:rPr>
      </w:pPr>
      <w:r>
        <w:rPr>
          <w:rFonts w:eastAsia="仿宋_GB2312"/>
          <w:sz w:val="28"/>
        </w:rPr>
        <w:t>1、《房地产估价规范》（GB/T5029</w:t>
      </w:r>
      <w:r>
        <w:rPr>
          <w:rFonts w:eastAsia="仿宋_GB2312"/>
          <w:color w:val="000000"/>
          <w:sz w:val="28"/>
        </w:rPr>
        <w:t>1-</w:t>
      </w:r>
      <w:r>
        <w:rPr>
          <w:rFonts w:hint="eastAsia" w:eastAsia="仿宋_GB2312"/>
          <w:color w:val="000000"/>
          <w:sz w:val="28"/>
        </w:rPr>
        <w:t>2015）</w:t>
      </w:r>
      <w:r>
        <w:rPr>
          <w:rFonts w:eastAsia="仿宋_GB2312"/>
          <w:color w:val="000000"/>
          <w:sz w:val="28"/>
        </w:rPr>
        <w:t>；</w:t>
      </w:r>
    </w:p>
    <w:p>
      <w:pPr>
        <w:pageBreakBefore w:val="0"/>
        <w:widowControl w:val="0"/>
        <w:kinsoku/>
        <w:wordWrap/>
        <w:overflowPunct/>
        <w:topLinePunct w:val="0"/>
        <w:autoSpaceDE/>
        <w:autoSpaceDN/>
        <w:bidi w:val="0"/>
        <w:adjustRightInd/>
        <w:spacing w:line="440" w:lineRule="exact"/>
        <w:ind w:firstLine="560" w:firstLineChars="200"/>
        <w:rPr>
          <w:rFonts w:eastAsia="仿宋_GB2312"/>
          <w:color w:val="000000"/>
          <w:sz w:val="28"/>
        </w:rPr>
      </w:pPr>
      <w:r>
        <w:rPr>
          <w:rFonts w:eastAsia="仿宋_GB2312"/>
          <w:color w:val="000000"/>
          <w:sz w:val="28"/>
        </w:rPr>
        <w:t>2、《城镇土地估价规程》（GB/T18508-20</w:t>
      </w:r>
      <w:r>
        <w:rPr>
          <w:rFonts w:hint="eastAsia" w:eastAsia="仿宋_GB2312"/>
          <w:color w:val="000000"/>
          <w:sz w:val="28"/>
        </w:rPr>
        <w:t>14</w:t>
      </w:r>
      <w:r>
        <w:rPr>
          <w:rFonts w:eastAsia="仿宋_GB2312"/>
          <w:color w:val="000000"/>
          <w:sz w:val="28"/>
        </w:rPr>
        <w:t>）；</w:t>
      </w:r>
    </w:p>
    <w:p>
      <w:pPr>
        <w:pageBreakBefore w:val="0"/>
        <w:widowControl w:val="0"/>
        <w:kinsoku/>
        <w:wordWrap/>
        <w:overflowPunct/>
        <w:topLinePunct w:val="0"/>
        <w:autoSpaceDE/>
        <w:autoSpaceDN/>
        <w:bidi w:val="0"/>
        <w:adjustRightInd/>
        <w:spacing w:line="440" w:lineRule="exact"/>
        <w:ind w:firstLine="560" w:firstLineChars="200"/>
        <w:rPr>
          <w:rFonts w:eastAsia="仿宋_GB2312"/>
          <w:sz w:val="28"/>
        </w:rPr>
      </w:pPr>
      <w:r>
        <w:rPr>
          <w:rFonts w:hint="eastAsia" w:eastAsia="仿宋_GB2312"/>
          <w:sz w:val="28"/>
        </w:rPr>
        <w:t>3、《司法鉴定程序通则》（司法部令第132号）；</w:t>
      </w:r>
    </w:p>
    <w:p>
      <w:pPr>
        <w:pageBreakBefore w:val="0"/>
        <w:widowControl w:val="0"/>
        <w:tabs>
          <w:tab w:val="left" w:pos="3178"/>
        </w:tabs>
        <w:kinsoku/>
        <w:wordWrap/>
        <w:overflowPunct/>
        <w:topLinePunct w:val="0"/>
        <w:autoSpaceDE/>
        <w:autoSpaceDN/>
        <w:bidi w:val="0"/>
        <w:adjustRightInd/>
        <w:spacing w:line="440" w:lineRule="exact"/>
        <w:ind w:firstLine="560" w:firstLineChars="200"/>
        <w:textAlignment w:val="baseline"/>
        <w:rPr>
          <w:rFonts w:eastAsia="仿宋_GB2312"/>
          <w:sz w:val="28"/>
        </w:rPr>
      </w:pPr>
      <w:r>
        <w:rPr>
          <w:rFonts w:hint="eastAsia" w:eastAsia="仿宋_GB2312"/>
          <w:sz w:val="28"/>
        </w:rPr>
        <w:t>4、《江苏省涉案财产价格鉴证条例》；</w:t>
      </w:r>
    </w:p>
    <w:p>
      <w:pPr>
        <w:pageBreakBefore w:val="0"/>
        <w:widowControl w:val="0"/>
        <w:tabs>
          <w:tab w:val="left" w:pos="3178"/>
        </w:tabs>
        <w:kinsoku/>
        <w:wordWrap/>
        <w:overflowPunct/>
        <w:topLinePunct w:val="0"/>
        <w:autoSpaceDE/>
        <w:autoSpaceDN/>
        <w:bidi w:val="0"/>
        <w:adjustRightInd/>
        <w:spacing w:line="440" w:lineRule="exact"/>
        <w:ind w:firstLine="560" w:firstLineChars="200"/>
        <w:textAlignment w:val="baseline"/>
        <w:rPr>
          <w:rFonts w:eastAsia="仿宋_GB2312"/>
          <w:sz w:val="28"/>
        </w:rPr>
      </w:pPr>
      <w:r>
        <w:rPr>
          <w:rFonts w:hint="eastAsia" w:eastAsia="仿宋_GB2312"/>
          <w:sz w:val="28"/>
        </w:rPr>
        <w:t>5、《江苏省涉案财产价格鉴证操作规程（试行）》。</w:t>
      </w:r>
    </w:p>
    <w:p>
      <w:pPr>
        <w:pageBreakBefore w:val="0"/>
        <w:widowControl w:val="0"/>
        <w:kinsoku/>
        <w:wordWrap/>
        <w:overflowPunct/>
        <w:topLinePunct w:val="0"/>
        <w:autoSpaceDE/>
        <w:autoSpaceDN/>
        <w:bidi w:val="0"/>
        <w:adjustRightInd/>
        <w:spacing w:line="440" w:lineRule="exact"/>
        <w:ind w:firstLine="560" w:firstLineChars="200"/>
        <w:rPr>
          <w:rFonts w:eastAsia="仿宋_GB2312"/>
          <w:sz w:val="28"/>
        </w:rPr>
      </w:pPr>
      <w:bookmarkStart w:id="15" w:name="_Toc363576080"/>
      <w:r>
        <w:rPr>
          <w:rFonts w:eastAsia="仿宋_GB2312"/>
          <w:sz w:val="28"/>
        </w:rPr>
        <w:t>（三）估价委托人提供的相关资料</w:t>
      </w:r>
      <w:bookmarkEnd w:id="15"/>
    </w:p>
    <w:p>
      <w:pPr>
        <w:pageBreakBefore w:val="0"/>
        <w:widowControl w:val="0"/>
        <w:kinsoku/>
        <w:wordWrap/>
        <w:overflowPunct/>
        <w:topLinePunct w:val="0"/>
        <w:autoSpaceDE/>
        <w:autoSpaceDN/>
        <w:bidi w:val="0"/>
        <w:adjustRightInd/>
        <w:spacing w:line="440" w:lineRule="exact"/>
        <w:ind w:firstLine="560" w:firstLineChars="200"/>
        <w:rPr>
          <w:rFonts w:eastAsia="仿宋_GB2312"/>
          <w:sz w:val="28"/>
        </w:rPr>
      </w:pPr>
      <w:r>
        <w:rPr>
          <w:rFonts w:eastAsia="仿宋_GB2312"/>
          <w:sz w:val="28"/>
        </w:rPr>
        <w:t>1、</w:t>
      </w:r>
      <w:r>
        <w:rPr>
          <w:rFonts w:hint="eastAsia" w:eastAsia="仿宋_GB2312"/>
          <w:sz w:val="28"/>
        </w:rPr>
        <w:t>鉴定委托书【</w:t>
      </w:r>
      <w:r>
        <w:rPr>
          <w:rFonts w:hint="eastAsia" w:eastAsia="仿宋_GB2312"/>
          <w:sz w:val="28"/>
          <w:lang w:eastAsia="zh-CN"/>
        </w:rPr>
        <w:t>（202</w:t>
      </w:r>
      <w:r>
        <w:rPr>
          <w:rFonts w:hint="eastAsia" w:eastAsia="仿宋_GB2312"/>
          <w:sz w:val="28"/>
          <w:lang w:val="en-US" w:eastAsia="zh-CN"/>
        </w:rPr>
        <w:t>2</w:t>
      </w:r>
      <w:r>
        <w:rPr>
          <w:rFonts w:hint="eastAsia" w:eastAsia="仿宋_GB2312"/>
          <w:sz w:val="28"/>
          <w:lang w:eastAsia="zh-CN"/>
        </w:rPr>
        <w:t>）苏0902法委鉴字第</w:t>
      </w:r>
      <w:bookmarkStart w:id="29" w:name="_GoBack"/>
      <w:bookmarkEnd w:id="29"/>
      <w:r>
        <w:rPr>
          <w:rFonts w:hint="eastAsia" w:eastAsia="仿宋_GB2312"/>
          <w:sz w:val="28"/>
          <w:lang w:eastAsia="zh-CN"/>
        </w:rPr>
        <w:t>0575号</w:t>
      </w:r>
      <w:r>
        <w:rPr>
          <w:rFonts w:hint="eastAsia" w:eastAsia="仿宋_GB2312"/>
          <w:sz w:val="28"/>
        </w:rPr>
        <w:t>】；</w:t>
      </w:r>
    </w:p>
    <w:p>
      <w:pPr>
        <w:pageBreakBefore w:val="0"/>
        <w:widowControl w:val="0"/>
        <w:kinsoku/>
        <w:wordWrap/>
        <w:overflowPunct/>
        <w:topLinePunct w:val="0"/>
        <w:autoSpaceDE/>
        <w:autoSpaceDN/>
        <w:bidi w:val="0"/>
        <w:adjustRightInd/>
        <w:spacing w:line="440" w:lineRule="exact"/>
        <w:ind w:firstLine="560" w:firstLineChars="200"/>
        <w:rPr>
          <w:rFonts w:eastAsia="仿宋_GB2312"/>
          <w:sz w:val="28"/>
        </w:rPr>
      </w:pPr>
      <w:r>
        <w:rPr>
          <w:rFonts w:eastAsia="仿宋_GB2312"/>
          <w:sz w:val="28"/>
        </w:rPr>
        <w:t>2、</w:t>
      </w:r>
      <w:r>
        <w:rPr>
          <w:rFonts w:hint="eastAsia" w:eastAsia="仿宋_GB2312"/>
          <w:sz w:val="28"/>
        </w:rPr>
        <w:t>估价对象证明材料</w:t>
      </w:r>
      <w:r>
        <w:rPr>
          <w:rFonts w:eastAsia="仿宋_GB2312"/>
          <w:sz w:val="28"/>
        </w:rPr>
        <w:t>；</w:t>
      </w:r>
    </w:p>
    <w:p>
      <w:pPr>
        <w:pageBreakBefore w:val="0"/>
        <w:widowControl w:val="0"/>
        <w:kinsoku/>
        <w:wordWrap/>
        <w:overflowPunct/>
        <w:topLinePunct w:val="0"/>
        <w:autoSpaceDE/>
        <w:autoSpaceDN/>
        <w:bidi w:val="0"/>
        <w:adjustRightInd/>
        <w:spacing w:line="440" w:lineRule="exact"/>
        <w:ind w:firstLine="560" w:firstLineChars="200"/>
        <w:rPr>
          <w:rFonts w:eastAsia="仿宋_GB2312"/>
          <w:sz w:val="28"/>
        </w:rPr>
      </w:pPr>
      <w:r>
        <w:rPr>
          <w:rFonts w:eastAsia="仿宋_GB2312"/>
          <w:sz w:val="28"/>
        </w:rPr>
        <w:t>3、估价委托人提供的与本次估价相关的其他资料。</w:t>
      </w:r>
    </w:p>
    <w:p>
      <w:pPr>
        <w:pageBreakBefore w:val="0"/>
        <w:widowControl w:val="0"/>
        <w:kinsoku/>
        <w:wordWrap/>
        <w:overflowPunct/>
        <w:topLinePunct w:val="0"/>
        <w:autoSpaceDE/>
        <w:autoSpaceDN/>
        <w:bidi w:val="0"/>
        <w:adjustRightInd/>
        <w:spacing w:line="440" w:lineRule="exact"/>
        <w:ind w:firstLine="560" w:firstLineChars="200"/>
        <w:rPr>
          <w:rFonts w:eastAsia="仿宋_GB2312"/>
          <w:sz w:val="28"/>
        </w:rPr>
      </w:pPr>
      <w:bookmarkStart w:id="16" w:name="_Toc363576081"/>
      <w:r>
        <w:rPr>
          <w:rFonts w:eastAsia="仿宋_GB2312"/>
          <w:sz w:val="28"/>
        </w:rPr>
        <w:t>（四）估价人员调查收集的相关资料</w:t>
      </w:r>
      <w:bookmarkEnd w:id="16"/>
    </w:p>
    <w:p>
      <w:pPr>
        <w:pageBreakBefore w:val="0"/>
        <w:widowControl w:val="0"/>
        <w:kinsoku/>
        <w:wordWrap/>
        <w:overflowPunct/>
        <w:topLinePunct w:val="0"/>
        <w:autoSpaceDE/>
        <w:autoSpaceDN/>
        <w:bidi w:val="0"/>
        <w:adjustRightInd/>
        <w:spacing w:line="440" w:lineRule="exact"/>
        <w:ind w:firstLine="560" w:firstLineChars="200"/>
        <w:rPr>
          <w:rFonts w:eastAsia="仿宋_GB2312"/>
          <w:sz w:val="28"/>
        </w:rPr>
      </w:pPr>
      <w:r>
        <w:rPr>
          <w:rFonts w:eastAsia="仿宋_GB2312"/>
          <w:sz w:val="28"/>
        </w:rPr>
        <w:t>1、估价人员实地查勘和估价机构掌握的其他相关资料</w:t>
      </w:r>
      <w:r>
        <w:rPr>
          <w:rFonts w:hint="eastAsia" w:eastAsia="仿宋_GB2312"/>
          <w:sz w:val="28"/>
        </w:rPr>
        <w:t>。</w:t>
      </w:r>
    </w:p>
    <w:p>
      <w:pPr>
        <w:pageBreakBefore w:val="0"/>
        <w:widowControl w:val="0"/>
        <w:kinsoku/>
        <w:wordWrap/>
        <w:overflowPunct/>
        <w:topLinePunct w:val="0"/>
        <w:autoSpaceDE/>
        <w:autoSpaceDN/>
        <w:bidi w:val="0"/>
        <w:adjustRightInd/>
        <w:spacing w:line="440" w:lineRule="exact"/>
        <w:ind w:firstLine="560" w:firstLineChars="200"/>
        <w:rPr>
          <w:rFonts w:eastAsia="仿宋_GB2312"/>
          <w:sz w:val="28"/>
        </w:rPr>
      </w:pPr>
      <w:r>
        <w:rPr>
          <w:rFonts w:hint="eastAsia" w:eastAsia="仿宋_GB2312"/>
          <w:sz w:val="28"/>
        </w:rPr>
        <w:t>1</w:t>
      </w:r>
      <w:r>
        <w:rPr>
          <w:rFonts w:eastAsia="仿宋_GB2312"/>
          <w:sz w:val="28"/>
        </w:rPr>
        <w:t>.1估价人员实地踏勘和调查收集的有关估价对象成新、维护和使用方面的资料</w:t>
      </w:r>
      <w:r>
        <w:rPr>
          <w:rFonts w:hint="eastAsia" w:eastAsia="仿宋_GB2312"/>
          <w:sz w:val="28"/>
        </w:rPr>
        <w:t>。</w:t>
      </w:r>
    </w:p>
    <w:p>
      <w:pPr>
        <w:pageBreakBefore w:val="0"/>
        <w:widowControl w:val="0"/>
        <w:kinsoku/>
        <w:wordWrap/>
        <w:overflowPunct/>
        <w:topLinePunct w:val="0"/>
        <w:autoSpaceDE/>
        <w:autoSpaceDN/>
        <w:bidi w:val="0"/>
        <w:adjustRightInd/>
        <w:spacing w:line="440" w:lineRule="exact"/>
        <w:ind w:firstLine="560" w:firstLineChars="200"/>
        <w:rPr>
          <w:rFonts w:eastAsia="仿宋_GB2312"/>
          <w:sz w:val="28"/>
        </w:rPr>
      </w:pPr>
      <w:r>
        <w:rPr>
          <w:rFonts w:hint="eastAsia" w:eastAsia="仿宋_GB2312"/>
          <w:sz w:val="28"/>
        </w:rPr>
        <w:t>1</w:t>
      </w:r>
      <w:r>
        <w:rPr>
          <w:rFonts w:eastAsia="仿宋_GB2312"/>
          <w:sz w:val="28"/>
        </w:rPr>
        <w:t>.2有关估价对象实体及利用状况、周边环境</w:t>
      </w:r>
      <w:r>
        <w:rPr>
          <w:rFonts w:hint="eastAsia" w:eastAsia="仿宋_GB2312"/>
          <w:sz w:val="28"/>
        </w:rPr>
        <w:t>；</w:t>
      </w:r>
    </w:p>
    <w:p>
      <w:pPr>
        <w:pageBreakBefore w:val="0"/>
        <w:widowControl w:val="0"/>
        <w:kinsoku/>
        <w:wordWrap/>
        <w:overflowPunct/>
        <w:topLinePunct w:val="0"/>
        <w:autoSpaceDE/>
        <w:autoSpaceDN/>
        <w:bidi w:val="0"/>
        <w:adjustRightInd/>
        <w:spacing w:line="440" w:lineRule="exact"/>
        <w:ind w:firstLine="560" w:firstLineChars="200"/>
        <w:rPr>
          <w:rFonts w:eastAsia="仿宋_GB2312"/>
          <w:sz w:val="28"/>
        </w:rPr>
      </w:pPr>
      <w:r>
        <w:rPr>
          <w:rFonts w:hint="eastAsia" w:eastAsia="仿宋_GB2312"/>
          <w:sz w:val="28"/>
        </w:rPr>
        <w:t>1</w:t>
      </w:r>
      <w:r>
        <w:rPr>
          <w:rFonts w:eastAsia="仿宋_GB2312"/>
          <w:sz w:val="28"/>
        </w:rPr>
        <w:t>.3涉及</w:t>
      </w:r>
      <w:r>
        <w:rPr>
          <w:rFonts w:hint="eastAsia" w:eastAsia="仿宋_GB2312"/>
          <w:sz w:val="28"/>
        </w:rPr>
        <w:t>盐城市</w:t>
      </w:r>
      <w:r>
        <w:rPr>
          <w:rFonts w:eastAsia="仿宋_GB2312"/>
          <w:sz w:val="28"/>
        </w:rPr>
        <w:t>房屋建设过程中有关规费、税收等资料。</w:t>
      </w:r>
    </w:p>
    <w:p>
      <w:pPr>
        <w:pageBreakBefore w:val="0"/>
        <w:widowControl w:val="0"/>
        <w:kinsoku/>
        <w:wordWrap/>
        <w:overflowPunct/>
        <w:topLinePunct w:val="0"/>
        <w:autoSpaceDE/>
        <w:autoSpaceDN/>
        <w:bidi w:val="0"/>
        <w:adjustRightInd/>
        <w:spacing w:line="440" w:lineRule="exact"/>
        <w:ind w:firstLine="560" w:firstLineChars="200"/>
        <w:rPr>
          <w:rFonts w:eastAsia="仿宋_GB2312"/>
          <w:sz w:val="28"/>
        </w:rPr>
      </w:pPr>
      <w:r>
        <w:rPr>
          <w:rFonts w:hint="eastAsia" w:eastAsia="仿宋_GB2312"/>
          <w:sz w:val="28"/>
        </w:rPr>
        <w:t>1.4</w:t>
      </w:r>
      <w:r>
        <w:rPr>
          <w:rFonts w:eastAsia="仿宋_GB2312"/>
          <w:sz w:val="28"/>
        </w:rPr>
        <w:t>估价对象所在区域的房地产市场状况、同类房地产市场信息等相关数据资料。</w:t>
      </w:r>
    </w:p>
    <w:p>
      <w:pPr>
        <w:pStyle w:val="4"/>
        <w:pageBreakBefore w:val="0"/>
        <w:widowControl w:val="0"/>
        <w:kinsoku/>
        <w:wordWrap/>
        <w:overflowPunct/>
        <w:topLinePunct w:val="0"/>
        <w:autoSpaceDE/>
        <w:autoSpaceDN/>
        <w:bidi w:val="0"/>
        <w:adjustRightInd/>
        <w:spacing w:before="0" w:after="0" w:line="440" w:lineRule="exact"/>
        <w:rPr>
          <w:sz w:val="30"/>
          <w:szCs w:val="30"/>
        </w:rPr>
      </w:pPr>
      <w:bookmarkStart w:id="17" w:name="_Toc19783"/>
      <w:r>
        <w:rPr>
          <w:rFonts w:hint="eastAsia"/>
          <w:sz w:val="30"/>
          <w:szCs w:val="30"/>
        </w:rPr>
        <w:t>八、估价原则</w:t>
      </w:r>
      <w:bookmarkEnd w:id="17"/>
    </w:p>
    <w:p>
      <w:pPr>
        <w:pageBreakBefore w:val="0"/>
        <w:widowControl w:val="0"/>
        <w:kinsoku/>
        <w:wordWrap/>
        <w:overflowPunct/>
        <w:topLinePunct w:val="0"/>
        <w:autoSpaceDE/>
        <w:autoSpaceDN/>
        <w:bidi w:val="0"/>
        <w:adjustRightInd/>
        <w:spacing w:line="440" w:lineRule="exact"/>
        <w:ind w:firstLine="560" w:firstLineChars="200"/>
        <w:rPr>
          <w:rFonts w:eastAsia="仿宋_GB2312"/>
          <w:sz w:val="28"/>
        </w:rPr>
      </w:pPr>
      <w:r>
        <w:rPr>
          <w:rFonts w:hint="eastAsia" w:eastAsia="仿宋_GB2312"/>
          <w:sz w:val="28"/>
        </w:rPr>
        <w:t>本次估价遵守独立、客观、公正、合法的原则及最高最佳使用原则、价值时点原则、替代原则等技术性原则。</w:t>
      </w:r>
    </w:p>
    <w:p>
      <w:pPr>
        <w:pageBreakBefore w:val="0"/>
        <w:widowControl w:val="0"/>
        <w:kinsoku/>
        <w:wordWrap/>
        <w:overflowPunct/>
        <w:topLinePunct w:val="0"/>
        <w:autoSpaceDE/>
        <w:autoSpaceDN/>
        <w:bidi w:val="0"/>
        <w:adjustRightInd/>
        <w:spacing w:line="440" w:lineRule="exact"/>
        <w:ind w:firstLine="560" w:firstLineChars="200"/>
        <w:rPr>
          <w:rFonts w:eastAsia="仿宋_GB2312"/>
          <w:sz w:val="28"/>
        </w:rPr>
      </w:pPr>
      <w:r>
        <w:rPr>
          <w:rFonts w:hint="eastAsia" w:eastAsia="仿宋_GB2312"/>
          <w:sz w:val="28"/>
        </w:rPr>
        <w:t>1合法原则</w:t>
      </w:r>
    </w:p>
    <w:p>
      <w:pPr>
        <w:pageBreakBefore w:val="0"/>
        <w:widowControl w:val="0"/>
        <w:kinsoku/>
        <w:wordWrap/>
        <w:overflowPunct/>
        <w:topLinePunct w:val="0"/>
        <w:autoSpaceDE/>
        <w:autoSpaceDN/>
        <w:bidi w:val="0"/>
        <w:adjustRightInd/>
        <w:spacing w:line="440" w:lineRule="exact"/>
        <w:ind w:firstLine="560" w:firstLineChars="200"/>
        <w:textAlignment w:val="auto"/>
        <w:rPr>
          <w:rFonts w:eastAsia="仿宋_GB2312"/>
          <w:sz w:val="28"/>
        </w:rPr>
      </w:pPr>
      <w:r>
        <w:rPr>
          <w:rFonts w:hint="eastAsia" w:eastAsia="仿宋_GB2312"/>
          <w:sz w:val="28"/>
        </w:rPr>
        <w:t>应以估价对象的合法产权、合法使用、合法处分为前提估价。所谓合法，是指符合国家的法律、法规和当地政府的有关规定，其权益才能受法律保护，并体现其权益价值。</w:t>
      </w:r>
    </w:p>
    <w:p>
      <w:pPr>
        <w:pageBreakBefore w:val="0"/>
        <w:widowControl w:val="0"/>
        <w:kinsoku/>
        <w:wordWrap/>
        <w:overflowPunct/>
        <w:topLinePunct w:val="0"/>
        <w:autoSpaceDE/>
        <w:autoSpaceDN/>
        <w:bidi w:val="0"/>
        <w:adjustRightInd/>
        <w:spacing w:line="440" w:lineRule="exact"/>
        <w:ind w:firstLine="560" w:firstLineChars="200"/>
        <w:textAlignment w:val="auto"/>
        <w:rPr>
          <w:rFonts w:eastAsia="仿宋_GB2312"/>
          <w:sz w:val="28"/>
        </w:rPr>
      </w:pPr>
      <w:r>
        <w:rPr>
          <w:rFonts w:hint="eastAsia" w:eastAsia="仿宋_GB2312"/>
          <w:sz w:val="28"/>
        </w:rPr>
        <w:t>2独立、客观、公正原则</w:t>
      </w:r>
    </w:p>
    <w:p>
      <w:pPr>
        <w:pageBreakBefore w:val="0"/>
        <w:widowControl w:val="0"/>
        <w:kinsoku/>
        <w:wordWrap/>
        <w:overflowPunct/>
        <w:topLinePunct w:val="0"/>
        <w:autoSpaceDE/>
        <w:autoSpaceDN/>
        <w:bidi w:val="0"/>
        <w:adjustRightInd/>
        <w:spacing w:line="440" w:lineRule="exact"/>
        <w:ind w:firstLine="560" w:firstLineChars="200"/>
        <w:textAlignment w:val="auto"/>
        <w:rPr>
          <w:rFonts w:eastAsia="仿宋_GB2312"/>
          <w:sz w:val="28"/>
        </w:rPr>
      </w:pPr>
      <w:r>
        <w:rPr>
          <w:rFonts w:hint="eastAsia" w:eastAsia="仿宋_GB2312"/>
          <w:sz w:val="28"/>
        </w:rPr>
        <w:t>要求估价机构有完全独立性，估价机构和估价人员与估价对象及相关当事人没有利害关系，不受外部干扰因素影响，从实际出发，公平合理地进行估价。</w:t>
      </w:r>
    </w:p>
    <w:p>
      <w:pPr>
        <w:pageBreakBefore w:val="0"/>
        <w:widowControl w:val="0"/>
        <w:kinsoku/>
        <w:wordWrap/>
        <w:overflowPunct/>
        <w:topLinePunct w:val="0"/>
        <w:autoSpaceDE/>
        <w:autoSpaceDN/>
        <w:bidi w:val="0"/>
        <w:adjustRightInd/>
        <w:spacing w:line="440" w:lineRule="exact"/>
        <w:ind w:firstLine="560" w:firstLineChars="200"/>
        <w:textAlignment w:val="auto"/>
        <w:rPr>
          <w:rFonts w:eastAsia="仿宋_GB2312"/>
          <w:sz w:val="28"/>
        </w:rPr>
      </w:pPr>
      <w:r>
        <w:rPr>
          <w:rFonts w:hint="eastAsia" w:eastAsia="仿宋_GB2312"/>
          <w:sz w:val="28"/>
        </w:rPr>
        <w:t>3最高最佳使用原则</w:t>
      </w:r>
    </w:p>
    <w:p>
      <w:pPr>
        <w:pageBreakBefore w:val="0"/>
        <w:widowControl w:val="0"/>
        <w:kinsoku/>
        <w:wordWrap/>
        <w:overflowPunct/>
        <w:topLinePunct w:val="0"/>
        <w:autoSpaceDE/>
        <w:autoSpaceDN/>
        <w:bidi w:val="0"/>
        <w:adjustRightInd/>
        <w:spacing w:line="440" w:lineRule="exact"/>
        <w:ind w:firstLine="560" w:firstLineChars="200"/>
        <w:textAlignment w:val="auto"/>
        <w:rPr>
          <w:rFonts w:eastAsia="仿宋_GB2312"/>
          <w:sz w:val="28"/>
        </w:rPr>
      </w:pPr>
      <w:r>
        <w:rPr>
          <w:rFonts w:hint="eastAsia" w:eastAsia="仿宋_GB2312"/>
          <w:sz w:val="28"/>
        </w:rPr>
        <w:t>应以估价对象的最高最佳使用为前提估价。所谓最高最佳使用，是估价对象的一种最可能的使用，这种最可能的使用，是法律上允许、技术上可能、财务上可行，经过充分合理的论证，并能给估价对象带来最高价值的使用。</w:t>
      </w:r>
    </w:p>
    <w:p>
      <w:pPr>
        <w:pageBreakBefore w:val="0"/>
        <w:widowControl w:val="0"/>
        <w:kinsoku/>
        <w:wordWrap/>
        <w:overflowPunct/>
        <w:topLinePunct w:val="0"/>
        <w:autoSpaceDE/>
        <w:autoSpaceDN/>
        <w:bidi w:val="0"/>
        <w:adjustRightInd/>
        <w:spacing w:line="440" w:lineRule="exact"/>
        <w:ind w:firstLine="560" w:firstLineChars="200"/>
        <w:textAlignment w:val="auto"/>
        <w:rPr>
          <w:rFonts w:eastAsia="仿宋_GB2312"/>
          <w:sz w:val="28"/>
        </w:rPr>
      </w:pPr>
      <w:r>
        <w:rPr>
          <w:rFonts w:hint="eastAsia" w:eastAsia="仿宋_GB2312"/>
          <w:sz w:val="28"/>
        </w:rPr>
        <w:t>4替代原则</w:t>
      </w:r>
    </w:p>
    <w:p>
      <w:pPr>
        <w:pageBreakBefore w:val="0"/>
        <w:widowControl w:val="0"/>
        <w:kinsoku/>
        <w:wordWrap/>
        <w:overflowPunct/>
        <w:topLinePunct w:val="0"/>
        <w:autoSpaceDE/>
        <w:autoSpaceDN/>
        <w:bidi w:val="0"/>
        <w:adjustRightInd/>
        <w:spacing w:line="440" w:lineRule="exact"/>
        <w:ind w:firstLine="560" w:firstLineChars="200"/>
        <w:textAlignment w:val="auto"/>
        <w:rPr>
          <w:rFonts w:eastAsia="仿宋_GB2312"/>
          <w:sz w:val="28"/>
        </w:rPr>
      </w:pPr>
      <w:r>
        <w:rPr>
          <w:rFonts w:hint="eastAsia" w:eastAsia="仿宋_GB2312"/>
          <w:sz w:val="28"/>
        </w:rPr>
        <w:t>要求估价结果不得明显偏离类似房地产在同等条件下的正常价格。</w:t>
      </w:r>
    </w:p>
    <w:p>
      <w:pPr>
        <w:pageBreakBefore w:val="0"/>
        <w:widowControl w:val="0"/>
        <w:kinsoku/>
        <w:wordWrap/>
        <w:overflowPunct/>
        <w:topLinePunct w:val="0"/>
        <w:autoSpaceDE/>
        <w:autoSpaceDN/>
        <w:bidi w:val="0"/>
        <w:adjustRightInd/>
        <w:spacing w:line="440" w:lineRule="exact"/>
        <w:ind w:firstLine="560" w:firstLineChars="200"/>
        <w:textAlignment w:val="auto"/>
        <w:rPr>
          <w:rFonts w:eastAsia="仿宋_GB2312"/>
          <w:sz w:val="28"/>
        </w:rPr>
      </w:pPr>
      <w:r>
        <w:rPr>
          <w:rFonts w:hint="eastAsia" w:eastAsia="仿宋_GB2312"/>
          <w:sz w:val="28"/>
        </w:rPr>
        <w:t>5价值时点原则</w:t>
      </w:r>
    </w:p>
    <w:p>
      <w:pPr>
        <w:pageBreakBefore w:val="0"/>
        <w:widowControl w:val="0"/>
        <w:kinsoku/>
        <w:wordWrap/>
        <w:overflowPunct/>
        <w:topLinePunct w:val="0"/>
        <w:autoSpaceDE/>
        <w:autoSpaceDN/>
        <w:bidi w:val="0"/>
        <w:adjustRightInd/>
        <w:spacing w:line="440" w:lineRule="exact"/>
        <w:ind w:firstLine="560" w:firstLineChars="200"/>
        <w:textAlignment w:val="auto"/>
        <w:rPr>
          <w:rFonts w:eastAsia="仿宋_GB2312"/>
          <w:sz w:val="28"/>
        </w:rPr>
      </w:pPr>
      <w:r>
        <w:rPr>
          <w:rFonts w:hint="eastAsia" w:eastAsia="仿宋_GB2312"/>
          <w:sz w:val="28"/>
        </w:rPr>
        <w:t>要求估价结果应是估价对象在价值时点的客观合理的价值。同一宗房地产在不同时点往往会有不同的价格，所以在评估一宗房地产价格时，必须假定市场情况停止在价值时点上，同时估价对象房地产的状况也是以其在该时点的状况为准</w:t>
      </w:r>
      <w:r>
        <w:rPr>
          <w:rFonts w:eastAsia="仿宋_GB2312"/>
          <w:sz w:val="28"/>
        </w:rPr>
        <w:t>。</w:t>
      </w:r>
    </w:p>
    <w:p>
      <w:pPr>
        <w:pageBreakBefore w:val="0"/>
        <w:widowControl w:val="0"/>
        <w:kinsoku/>
        <w:wordWrap/>
        <w:overflowPunct/>
        <w:topLinePunct w:val="0"/>
        <w:autoSpaceDE/>
        <w:autoSpaceDN/>
        <w:bidi w:val="0"/>
        <w:adjustRightInd/>
        <w:spacing w:line="440" w:lineRule="exact"/>
        <w:ind w:firstLine="560" w:firstLineChars="200"/>
        <w:textAlignment w:val="auto"/>
        <w:rPr>
          <w:rFonts w:eastAsia="仿宋_GB2312"/>
          <w:sz w:val="28"/>
        </w:rPr>
      </w:pPr>
      <w:r>
        <w:rPr>
          <w:rFonts w:hint="eastAsia" w:eastAsia="仿宋_GB2312"/>
          <w:sz w:val="28"/>
        </w:rPr>
        <w:t>总之，在估价过程中，以国家有关法律、法规为依据，坚持真实性、公平性和可行性原则，并严格保守在估价过程中知悉的估价委托人的商业秘密。</w:t>
      </w:r>
    </w:p>
    <w:p>
      <w:pPr>
        <w:pStyle w:val="4"/>
        <w:pageBreakBefore w:val="0"/>
        <w:widowControl w:val="0"/>
        <w:kinsoku/>
        <w:wordWrap/>
        <w:overflowPunct/>
        <w:topLinePunct w:val="0"/>
        <w:autoSpaceDE/>
        <w:autoSpaceDN/>
        <w:bidi w:val="0"/>
        <w:adjustRightInd/>
        <w:spacing w:before="0" w:after="0" w:line="440" w:lineRule="exact"/>
        <w:textAlignment w:val="auto"/>
        <w:rPr>
          <w:rFonts w:hint="eastAsia"/>
          <w:sz w:val="30"/>
          <w:szCs w:val="30"/>
        </w:rPr>
      </w:pPr>
      <w:bookmarkStart w:id="18" w:name="_Toc9949"/>
      <w:r>
        <w:rPr>
          <w:rFonts w:hint="eastAsia"/>
          <w:sz w:val="30"/>
          <w:szCs w:val="30"/>
        </w:rPr>
        <w:t>九、估价方法</w:t>
      </w:r>
      <w:bookmarkEnd w:id="18"/>
    </w:p>
    <w:p>
      <w:pPr>
        <w:pageBreakBefore w:val="0"/>
        <w:widowControl w:val="0"/>
        <w:kinsoku/>
        <w:wordWrap/>
        <w:topLinePunct w:val="0"/>
        <w:bidi w:val="0"/>
        <w:spacing w:line="440" w:lineRule="exact"/>
        <w:ind w:firstLine="560" w:firstLineChars="200"/>
        <w:rPr>
          <w:rFonts w:eastAsia="仿宋_GB2312"/>
          <w:sz w:val="28"/>
          <w:szCs w:val="28"/>
        </w:rPr>
      </w:pPr>
      <w:bookmarkStart w:id="19" w:name="_Toc27288"/>
      <w:r>
        <w:rPr>
          <w:rFonts w:eastAsia="仿宋_GB2312"/>
          <w:sz w:val="28"/>
          <w:szCs w:val="28"/>
        </w:rPr>
        <w:t>根据《房地产估价规范》（GB/T50291-2015）、《房地产估价基本术语标准》（GB/T50899-2013），通行的估价方法有比较法、成本法、收益法、假设开发法等。不同的估价方法从不同的角度反映了房地产在一定权利状态及一定时点的价值水平，只是各种方法的适用条件、特点、对资料的要求有所不同，需根据特定的估价目的、估价对象、市场情况等选择适宜的估价方法。</w:t>
      </w:r>
    </w:p>
    <w:p>
      <w:pPr>
        <w:pageBreakBefore w:val="0"/>
        <w:widowControl w:val="0"/>
        <w:kinsoku/>
        <w:wordWrap/>
        <w:topLinePunct w:val="0"/>
        <w:bidi w:val="0"/>
        <w:spacing w:line="440" w:lineRule="exact"/>
        <w:ind w:firstLine="562" w:firstLineChars="200"/>
        <w:rPr>
          <w:rFonts w:eastAsia="仿宋_GB2312"/>
          <w:sz w:val="28"/>
          <w:szCs w:val="28"/>
        </w:rPr>
      </w:pPr>
      <w:r>
        <w:rPr>
          <w:rFonts w:eastAsia="仿宋_GB2312"/>
          <w:b/>
          <w:sz w:val="28"/>
          <w:szCs w:val="28"/>
        </w:rPr>
        <w:t>估价技术路线：</w:t>
      </w:r>
      <w:r>
        <w:rPr>
          <w:rFonts w:eastAsia="仿宋_GB2312"/>
          <w:sz w:val="28"/>
          <w:szCs w:val="28"/>
        </w:rPr>
        <w:t>估价对象</w:t>
      </w:r>
      <w:r>
        <w:rPr>
          <w:rFonts w:hint="eastAsia" w:eastAsia="仿宋_GB2312"/>
          <w:sz w:val="28"/>
          <w:szCs w:val="28"/>
          <w:lang w:eastAsia="zh-CN"/>
        </w:rPr>
        <w:t>现状</w:t>
      </w:r>
      <w:r>
        <w:rPr>
          <w:rFonts w:eastAsia="仿宋_GB2312"/>
          <w:sz w:val="28"/>
          <w:szCs w:val="28"/>
        </w:rPr>
        <w:t>为住宅房地产，土地性质为国有出让用地，根据物业的特点选取两种合理的估价方法分别得出不同的估价结果，在上述选用的估价方法测算结果基础上，结合估价经验和房地产市场分析，综合确定其客观合理</w:t>
      </w:r>
      <w:r>
        <w:rPr>
          <w:rFonts w:hint="eastAsia" w:eastAsia="仿宋_GB2312"/>
          <w:sz w:val="28"/>
          <w:szCs w:val="28"/>
          <w:lang w:eastAsia="zh-CN"/>
        </w:rPr>
        <w:t>市场价格</w:t>
      </w:r>
      <w:r>
        <w:rPr>
          <w:rFonts w:eastAsia="仿宋_GB2312"/>
          <w:sz w:val="28"/>
          <w:szCs w:val="28"/>
        </w:rPr>
        <w:t>，具体分析如下：</w:t>
      </w:r>
    </w:p>
    <w:p>
      <w:pPr>
        <w:pageBreakBefore w:val="0"/>
        <w:widowControl w:val="0"/>
        <w:kinsoku/>
        <w:wordWrap/>
        <w:overflowPunct w:val="0"/>
        <w:topLinePunct w:val="0"/>
        <w:autoSpaceDE w:val="0"/>
        <w:autoSpaceDN w:val="0"/>
        <w:bidi w:val="0"/>
        <w:adjustRightInd w:val="0"/>
        <w:spacing w:line="440" w:lineRule="exact"/>
        <w:ind w:right="68" w:firstLine="546" w:firstLineChars="200"/>
        <w:jc w:val="left"/>
        <w:rPr>
          <w:rFonts w:eastAsia="仿宋_GB2312"/>
          <w:b/>
          <w:spacing w:val="-4"/>
          <w:sz w:val="28"/>
          <w:szCs w:val="28"/>
        </w:rPr>
      </w:pPr>
      <w:r>
        <w:rPr>
          <w:rFonts w:eastAsia="仿宋_GB2312"/>
          <w:b/>
          <w:spacing w:val="-4"/>
          <w:sz w:val="28"/>
          <w:szCs w:val="28"/>
        </w:rPr>
        <w:t>估价方法分析：</w:t>
      </w:r>
    </w:p>
    <w:p>
      <w:pPr>
        <w:pageBreakBefore w:val="0"/>
        <w:widowControl w:val="0"/>
        <w:kinsoku/>
        <w:wordWrap/>
        <w:overflowPunct w:val="0"/>
        <w:topLinePunct w:val="0"/>
        <w:autoSpaceDE w:val="0"/>
        <w:autoSpaceDN w:val="0"/>
        <w:bidi w:val="0"/>
        <w:adjustRightInd w:val="0"/>
        <w:spacing w:line="440" w:lineRule="exact"/>
        <w:ind w:right="68" w:firstLine="480" w:firstLineChars="200"/>
        <w:jc w:val="left"/>
        <w:rPr>
          <w:rFonts w:eastAsia="仿宋_GB2312"/>
          <w:sz w:val="24"/>
        </w:rPr>
      </w:pPr>
      <w:r>
        <w:rPr>
          <w:rFonts w:eastAsia="仿宋_GB2312"/>
          <w:sz w:val="24"/>
        </w:rPr>
        <w:t>1、</w:t>
      </w:r>
      <w:r>
        <w:rPr>
          <w:rFonts w:eastAsia="仿宋_GB2312"/>
          <w:spacing w:val="-4"/>
          <w:sz w:val="28"/>
          <w:szCs w:val="28"/>
        </w:rPr>
        <w:t>比较法的适用性分析：估价对象为在用住宅房地产，所在区域内类似房地产市场发育较成熟，估价对象所在区域类似房地产的交易案例较多，较易在估价对象所在区域搜集到满足估价要求的类似交易案例，有关数据也能比较客观地反映其客观</w:t>
      </w:r>
      <w:r>
        <w:rPr>
          <w:rFonts w:hint="eastAsia" w:eastAsia="仿宋_GB2312"/>
          <w:spacing w:val="-4"/>
          <w:sz w:val="28"/>
          <w:szCs w:val="28"/>
          <w:lang w:eastAsia="zh-CN"/>
        </w:rPr>
        <w:t>市场价格</w:t>
      </w:r>
      <w:r>
        <w:rPr>
          <w:rFonts w:eastAsia="仿宋_GB2312"/>
          <w:spacing w:val="-4"/>
          <w:sz w:val="28"/>
          <w:szCs w:val="28"/>
        </w:rPr>
        <w:t>，故适宜选用比较法。</w:t>
      </w:r>
    </w:p>
    <w:p>
      <w:pPr>
        <w:pageBreakBefore w:val="0"/>
        <w:widowControl w:val="0"/>
        <w:kinsoku/>
        <w:wordWrap/>
        <w:overflowPunct w:val="0"/>
        <w:topLinePunct w:val="0"/>
        <w:autoSpaceDE w:val="0"/>
        <w:autoSpaceDN w:val="0"/>
        <w:bidi w:val="0"/>
        <w:adjustRightInd w:val="0"/>
        <w:spacing w:line="440" w:lineRule="exact"/>
        <w:ind w:right="68" w:firstLine="544" w:firstLineChars="200"/>
        <w:jc w:val="left"/>
        <w:rPr>
          <w:rFonts w:eastAsia="仿宋_GB2312"/>
          <w:spacing w:val="-4"/>
          <w:sz w:val="28"/>
          <w:szCs w:val="28"/>
        </w:rPr>
      </w:pPr>
      <w:r>
        <w:rPr>
          <w:rFonts w:eastAsia="仿宋_GB2312"/>
          <w:spacing w:val="-4"/>
          <w:sz w:val="28"/>
          <w:szCs w:val="28"/>
        </w:rPr>
        <w:t>2、收益法的适用性分析：收益法是以预期原理为基础的。当前成套住宅房屋租赁市场较为活跃，市场租金案例较易获得，客观市场租金收益可以通过计算求取，收益法适用对象是收益性房地产。不限于其本身目前是否有收益（实际收益），只要其类似房地产有收益（客观收益）即可，估价对象目前为自用，虽未出租，但类似房地产有收益（客观收益），</w:t>
      </w:r>
      <w:r>
        <w:rPr>
          <w:rFonts w:hint="eastAsia" w:eastAsia="仿宋_GB2312"/>
          <w:spacing w:val="-4"/>
          <w:sz w:val="28"/>
          <w:szCs w:val="28"/>
        </w:rPr>
        <w:t>也</w:t>
      </w:r>
      <w:r>
        <w:rPr>
          <w:rFonts w:eastAsia="仿宋_GB2312"/>
          <w:spacing w:val="-4"/>
          <w:sz w:val="28"/>
          <w:szCs w:val="28"/>
        </w:rPr>
        <w:t>应可以采用收益法进行估价；但目前市场上租售比远远低于国际标准（1:200到1:300），</w:t>
      </w:r>
      <w:r>
        <w:rPr>
          <w:rFonts w:hint="eastAsia" w:eastAsia="仿宋_GB2312"/>
          <w:spacing w:val="-4"/>
          <w:sz w:val="28"/>
          <w:szCs w:val="28"/>
        </w:rPr>
        <w:t>租售比严重背离，</w:t>
      </w:r>
      <w:r>
        <w:rPr>
          <w:rFonts w:eastAsia="仿宋_GB2312"/>
          <w:spacing w:val="-4"/>
          <w:sz w:val="28"/>
          <w:szCs w:val="28"/>
        </w:rPr>
        <w:t>估价结果较难反映其客观</w:t>
      </w:r>
      <w:r>
        <w:rPr>
          <w:rFonts w:hint="eastAsia" w:eastAsia="仿宋_GB2312"/>
          <w:spacing w:val="-4"/>
          <w:sz w:val="28"/>
          <w:szCs w:val="28"/>
          <w:lang w:eastAsia="zh-CN"/>
        </w:rPr>
        <w:t>市场价格</w:t>
      </w:r>
      <w:r>
        <w:rPr>
          <w:rFonts w:hint="eastAsia" w:eastAsia="仿宋_GB2312"/>
          <w:spacing w:val="-4"/>
          <w:sz w:val="28"/>
          <w:szCs w:val="28"/>
        </w:rPr>
        <w:t>，</w:t>
      </w:r>
      <w:r>
        <w:rPr>
          <w:rFonts w:eastAsia="仿宋_GB2312"/>
          <w:spacing w:val="-4"/>
          <w:sz w:val="28"/>
          <w:szCs w:val="28"/>
        </w:rPr>
        <w:t>因此收益法测算的结果与实际市场价格存在一定差距。故不宜采用</w:t>
      </w:r>
      <w:r>
        <w:rPr>
          <w:rFonts w:hint="eastAsia" w:eastAsia="仿宋_GB2312"/>
          <w:spacing w:val="-4"/>
          <w:sz w:val="28"/>
          <w:szCs w:val="28"/>
        </w:rPr>
        <w:t>收</w:t>
      </w:r>
      <w:r>
        <w:rPr>
          <w:rFonts w:eastAsia="仿宋_GB2312"/>
          <w:spacing w:val="-4"/>
          <w:sz w:val="28"/>
          <w:szCs w:val="28"/>
        </w:rPr>
        <w:t>益法。</w:t>
      </w:r>
    </w:p>
    <w:p>
      <w:pPr>
        <w:pageBreakBefore w:val="0"/>
        <w:widowControl w:val="0"/>
        <w:kinsoku/>
        <w:wordWrap/>
        <w:overflowPunct w:val="0"/>
        <w:topLinePunct w:val="0"/>
        <w:autoSpaceDE w:val="0"/>
        <w:autoSpaceDN w:val="0"/>
        <w:bidi w:val="0"/>
        <w:adjustRightInd w:val="0"/>
        <w:spacing w:line="440" w:lineRule="exact"/>
        <w:ind w:right="68" w:firstLine="544" w:firstLineChars="200"/>
        <w:jc w:val="left"/>
        <w:rPr>
          <w:rFonts w:eastAsia="仿宋_GB2312"/>
          <w:spacing w:val="-4"/>
          <w:sz w:val="28"/>
          <w:szCs w:val="28"/>
        </w:rPr>
      </w:pPr>
      <w:r>
        <w:rPr>
          <w:rFonts w:eastAsia="仿宋_GB2312"/>
          <w:spacing w:val="-4"/>
          <w:sz w:val="28"/>
          <w:szCs w:val="28"/>
        </w:rPr>
        <w:t>3、成本法的适用性分析：成本法是以生产费用价值论、重新开发建筑成本为导向，适用对象为：独立开发建设项目进行重新开发建设的、很少发生交易的房地产、没有收益或没有潜在收益的房地产。估价对象的法定用途和实际用途均为住宅，考虑到该类似房地产的土地成本和开发商利润等较难预测，估价结果较难反映其客观</w:t>
      </w:r>
      <w:r>
        <w:rPr>
          <w:rFonts w:hint="eastAsia" w:eastAsia="仿宋_GB2312"/>
          <w:spacing w:val="-4"/>
          <w:sz w:val="28"/>
          <w:szCs w:val="28"/>
          <w:lang w:eastAsia="zh-CN"/>
        </w:rPr>
        <w:t>市场价格</w:t>
      </w:r>
      <w:r>
        <w:rPr>
          <w:rFonts w:eastAsia="仿宋_GB2312"/>
          <w:spacing w:val="-4"/>
          <w:sz w:val="28"/>
          <w:szCs w:val="28"/>
        </w:rPr>
        <w:t>，故不宜采用成本法。</w:t>
      </w:r>
    </w:p>
    <w:p>
      <w:pPr>
        <w:pageBreakBefore w:val="0"/>
        <w:widowControl w:val="0"/>
        <w:kinsoku/>
        <w:wordWrap/>
        <w:overflowPunct w:val="0"/>
        <w:topLinePunct w:val="0"/>
        <w:autoSpaceDE w:val="0"/>
        <w:autoSpaceDN w:val="0"/>
        <w:bidi w:val="0"/>
        <w:adjustRightInd w:val="0"/>
        <w:spacing w:line="440" w:lineRule="exact"/>
        <w:ind w:right="68" w:firstLine="544" w:firstLineChars="200"/>
        <w:jc w:val="left"/>
        <w:rPr>
          <w:rFonts w:eastAsia="仿宋_GB2312"/>
          <w:spacing w:val="-4"/>
          <w:sz w:val="28"/>
          <w:szCs w:val="28"/>
        </w:rPr>
      </w:pPr>
      <w:r>
        <w:rPr>
          <w:rFonts w:eastAsia="仿宋_GB2312"/>
          <w:spacing w:val="-4"/>
          <w:sz w:val="28"/>
          <w:szCs w:val="28"/>
        </w:rPr>
        <w:t>4、假设开发法的适用性分析：假设开发法是预测估价对象开发完成后的价值，扣除预计的正常开发成本、税费和利润，以此估算估价对象的客观合理价格或价值的方法。假设开发法适用于具有投资开发或再开发潜力的房地产估价项目。估价对象为正常使用中的房地产，其开发或再开发为同种类型房地产的潜力不大，故不宜采用假设开发法进行评估。</w:t>
      </w:r>
    </w:p>
    <w:p>
      <w:pPr>
        <w:pageBreakBefore w:val="0"/>
        <w:widowControl w:val="0"/>
        <w:kinsoku/>
        <w:wordWrap/>
        <w:topLinePunct w:val="0"/>
        <w:bidi w:val="0"/>
        <w:spacing w:line="440" w:lineRule="exact"/>
        <w:ind w:firstLine="546" w:firstLineChars="200"/>
        <w:rPr>
          <w:rFonts w:eastAsia="仿宋_GB2312"/>
          <w:sz w:val="28"/>
          <w:szCs w:val="28"/>
        </w:rPr>
      </w:pPr>
      <w:r>
        <w:rPr>
          <w:rFonts w:eastAsia="仿宋_GB2312"/>
          <w:b/>
          <w:spacing w:val="-4"/>
          <w:sz w:val="28"/>
          <w:szCs w:val="28"/>
        </w:rPr>
        <w:t>比较法原理</w:t>
      </w:r>
      <w:r>
        <w:rPr>
          <w:rFonts w:eastAsia="仿宋_GB2312"/>
          <w:spacing w:val="-4"/>
          <w:sz w:val="28"/>
          <w:szCs w:val="28"/>
        </w:rPr>
        <w:t>：比较法，是指选取一定数量的可比实例，将他们与估价对象进行比较，根据其间的差异对可比实例成交价格进行处理后得到估价对象价值或价格的方法。</w:t>
      </w:r>
    </w:p>
    <w:p>
      <w:pPr>
        <w:pageBreakBefore w:val="0"/>
        <w:widowControl w:val="0"/>
        <w:kinsoku/>
        <w:wordWrap/>
        <w:topLinePunct w:val="0"/>
        <w:bidi w:val="0"/>
        <w:spacing w:line="440" w:lineRule="exact"/>
        <w:ind w:firstLine="280" w:firstLineChars="100"/>
        <w:rPr>
          <w:rFonts w:eastAsia="仿宋_GB2312"/>
          <w:sz w:val="28"/>
          <w:szCs w:val="28"/>
        </w:rPr>
      </w:pPr>
      <w:r>
        <w:rPr>
          <w:rFonts w:eastAsia="仿宋_GB2312"/>
          <w:sz w:val="28"/>
          <w:szCs w:val="28"/>
        </w:rPr>
        <w:t>比较法具体步骤：</w:t>
      </w:r>
    </w:p>
    <w:p>
      <w:pPr>
        <w:pageBreakBefore w:val="0"/>
        <w:widowControl w:val="0"/>
        <w:kinsoku/>
        <w:wordWrap/>
        <w:topLinePunct w:val="0"/>
        <w:bidi w:val="0"/>
        <w:spacing w:line="440" w:lineRule="exact"/>
        <w:ind w:firstLine="560" w:firstLineChars="200"/>
        <w:rPr>
          <w:rFonts w:eastAsia="仿宋_GB2312"/>
          <w:sz w:val="28"/>
          <w:szCs w:val="28"/>
        </w:rPr>
      </w:pPr>
      <w:r>
        <w:rPr>
          <w:rFonts w:eastAsia="仿宋_GB2312"/>
          <w:sz w:val="28"/>
          <w:szCs w:val="28"/>
        </w:rPr>
        <w:t>(1) 收集交易实例 → (2) 选取可比案例 → (3) 建立比较基础 → (4)进行交易情况修正 → (5)进行市场状况修正 → (6) 进行房地产状况修正（区域状况修正、实物状况修正、权益状况调整）→(7) 计算比较价值。</w:t>
      </w:r>
    </w:p>
    <w:p>
      <w:pPr>
        <w:pageBreakBefore w:val="0"/>
        <w:widowControl w:val="0"/>
        <w:kinsoku/>
        <w:wordWrap/>
        <w:topLinePunct w:val="0"/>
        <w:bidi w:val="0"/>
        <w:spacing w:line="460" w:lineRule="exact"/>
        <w:ind w:firstLine="523" w:firstLineChars="187"/>
        <w:rPr>
          <w:rFonts w:eastAsia="仿宋_GB2312"/>
          <w:sz w:val="28"/>
          <w:szCs w:val="28"/>
        </w:rPr>
      </w:pPr>
      <w:r>
        <w:rPr>
          <w:rFonts w:eastAsia="仿宋_GB2312"/>
          <w:sz w:val="28"/>
          <w:szCs w:val="28"/>
        </w:rPr>
        <w:t>比较法计算公式为：</w:t>
      </w:r>
    </w:p>
    <w:p>
      <w:pPr>
        <w:pStyle w:val="9"/>
        <w:snapToGrid w:val="0"/>
        <w:spacing w:line="360" w:lineRule="auto"/>
        <w:rPr>
          <w:rFonts w:ascii="Times New Roman" w:hAnsi="Times New Roman" w:eastAsia="仿宋_GB2312"/>
          <w:sz w:val="28"/>
          <w:szCs w:val="24"/>
        </w:rPr>
      </w:pPr>
      <w:r>
        <w:rPr>
          <w:rFonts w:ascii="Times New Roman" w:hAnsi="Times New Roman" w:eastAsia="仿宋_GB2312"/>
          <w:sz w:val="28"/>
          <w:szCs w:val="24"/>
        </w:rPr>
        <w:t xml:space="preserve">  估价对象比较价格=可比实例价格</w:t>
      </w:r>
      <w:r>
        <w:rPr>
          <w:rFonts w:ascii="Times New Roman" w:hAnsi="Times New Roman" w:eastAsia="仿宋_GB2312"/>
          <w:sz w:val="28"/>
          <w:szCs w:val="28"/>
        </w:rPr>
        <w:t>×</w:t>
      </w:r>
      <w:r>
        <w:rPr>
          <w:rFonts w:ascii="Times New Roman" w:hAnsi="Times New Roman" w:eastAsia="仿宋_GB2312"/>
          <w:position w:val="-26"/>
          <w:sz w:val="28"/>
        </w:rPr>
        <w:object>
          <v:shape id="_x0000_i1025" o:spt="75" type="#_x0000_t75" style="height:32pt;width:137pt;" o:ole="t" filled="f" o:preferrelative="t" stroked="f" coordsize="21600,21600">
            <v:path/>
            <v:fill on="f" focussize="0,0"/>
            <v:stroke on="f"/>
            <v:imagedata r:id="rId8" o:title=""/>
            <o:lock v:ext="edit" aspectratio="t"/>
            <w10:wrap type="none"/>
            <w10:anchorlock/>
          </v:shape>
          <o:OLEObject Type="Embed" ProgID="Equation.3" ShapeID="_x0000_i1025" DrawAspect="Content" ObjectID="_1468075725" r:id="rId7">
            <o:LockedField>false</o:LockedField>
          </o:OLEObject>
        </w:object>
      </w:r>
    </w:p>
    <w:p>
      <w:pPr>
        <w:pStyle w:val="9"/>
        <w:snapToGrid w:val="0"/>
        <w:spacing w:line="360" w:lineRule="auto"/>
        <w:ind w:firstLine="1400" w:firstLineChars="500"/>
        <w:rPr>
          <w:rFonts w:ascii="Times New Roman" w:hAnsi="Times New Roman" w:eastAsia="仿宋_GB2312"/>
          <w:sz w:val="24"/>
        </w:rPr>
      </w:pPr>
      <w:r>
        <w:rPr>
          <w:rFonts w:ascii="Times New Roman" w:hAnsi="Times New Roman" w:eastAsia="仿宋_GB2312"/>
          <w:sz w:val="28"/>
          <w:szCs w:val="28"/>
        </w:rPr>
        <w:t>×</w:t>
      </w:r>
      <w:r>
        <w:rPr>
          <w:rFonts w:ascii="Times New Roman" w:hAnsi="Times New Roman" w:eastAsia="仿宋_GB2312"/>
          <w:position w:val="-26"/>
          <w:sz w:val="28"/>
        </w:rPr>
        <w:object>
          <v:shape id="_x0000_i1026" o:spt="75" type="#_x0000_t75" style="height:32pt;width:138.55pt;" o:ole="t" filled="f" o:preferrelative="t" stroked="f" coordsize="21600,21600">
            <v:path/>
            <v:fill on="f" focussize="0,0"/>
            <v:stroke on="f"/>
            <v:imagedata r:id="rId10" o:title=""/>
            <o:lock v:ext="edit" aspectratio="t"/>
            <w10:wrap type="none"/>
            <w10:anchorlock/>
          </v:shape>
          <o:OLEObject Type="Embed" ProgID="Equation.3" ShapeID="_x0000_i1026" DrawAspect="Content" ObjectID="_1468075726" r:id="rId9">
            <o:LockedField>false</o:LockedField>
          </o:OLEObject>
        </w:object>
      </w:r>
      <w:r>
        <w:rPr>
          <w:rFonts w:ascii="Times New Roman" w:hAnsi="Times New Roman" w:eastAsia="仿宋_GB2312"/>
          <w:sz w:val="28"/>
        </w:rPr>
        <w:t>×</w:t>
      </w:r>
      <w:r>
        <w:rPr>
          <w:rFonts w:ascii="Times New Roman" w:hAnsi="Times New Roman" w:eastAsia="仿宋_GB2312"/>
          <w:position w:val="-26"/>
          <w:sz w:val="28"/>
        </w:rPr>
        <w:object>
          <v:shape id="_x0000_i1027" o:spt="75" type="#_x0000_t75" style="height:32pt;width:137pt;" o:ole="t" filled="f" o:preferrelative="t" stroked="f" coordsize="21600,21600">
            <v:path/>
            <v:fill on="f" focussize="0,0"/>
            <v:stroke on="f"/>
            <v:imagedata r:id="rId12" o:title=""/>
            <o:lock v:ext="edit" aspectratio="t"/>
            <w10:wrap type="none"/>
            <w10:anchorlock/>
          </v:shape>
          <o:OLEObject Type="Embed" ProgID="Equation.3" ShapeID="_x0000_i1027" DrawAspect="Content" ObjectID="_1468075727" r:id="rId11">
            <o:LockedField>false</o:LockedField>
          </o:OLEObject>
        </w:object>
      </w:r>
    </w:p>
    <w:p>
      <w:pPr>
        <w:pStyle w:val="9"/>
        <w:snapToGrid w:val="0"/>
        <w:spacing w:line="360" w:lineRule="auto"/>
        <w:ind w:firstLine="1400" w:firstLineChars="500"/>
        <w:rPr>
          <w:rFonts w:ascii="Times New Roman" w:hAnsi="Times New Roman" w:eastAsia="仿宋_GB2312"/>
          <w:sz w:val="28"/>
        </w:rPr>
      </w:pPr>
      <w:r>
        <w:rPr>
          <w:rFonts w:ascii="Times New Roman" w:hAnsi="Times New Roman" w:eastAsia="仿宋_GB2312"/>
          <w:sz w:val="28"/>
        </w:rPr>
        <w:t>×</w:t>
      </w:r>
      <w:r>
        <w:rPr>
          <w:rFonts w:ascii="Times New Roman" w:hAnsi="Times New Roman" w:eastAsia="仿宋_GB2312"/>
          <w:position w:val="-26"/>
          <w:sz w:val="28"/>
        </w:rPr>
        <w:object>
          <v:shape id="_x0000_i1028" o:spt="75" type="#_x0000_t75" style="height:32pt;width:138.55pt;" o:ole="t" filled="f" o:preferrelative="t" stroked="f" coordsize="21600,21600">
            <v:path/>
            <v:fill on="f" focussize="0,0"/>
            <v:stroke on="f"/>
            <v:imagedata r:id="rId14" o:title=""/>
            <o:lock v:ext="edit" aspectratio="t"/>
            <w10:wrap type="none"/>
            <w10:anchorlock/>
          </v:shape>
          <o:OLEObject Type="Embed" ProgID="Equation.3" ShapeID="_x0000_i1028" DrawAspect="Content" ObjectID="_1468075728" r:id="rId13">
            <o:LockedField>false</o:LockedField>
          </o:OLEObject>
        </w:object>
      </w:r>
      <w:r>
        <w:rPr>
          <w:rFonts w:ascii="Times New Roman" w:hAnsi="Times New Roman" w:eastAsia="仿宋_GB2312"/>
          <w:sz w:val="28"/>
        </w:rPr>
        <w:t>×</w:t>
      </w:r>
      <w:r>
        <w:rPr>
          <w:rFonts w:ascii="Times New Roman" w:hAnsi="Times New Roman" w:eastAsia="仿宋_GB2312"/>
          <w:position w:val="-26"/>
          <w:sz w:val="28"/>
        </w:rPr>
        <w:object>
          <v:shape id="_x0000_i1029" o:spt="75" type="#_x0000_t75" style="height:32pt;width:138.55pt;" o:ole="t" filled="f" o:preferrelative="t" stroked="f" coordsize="21600,21600">
            <v:path/>
            <v:fill on="f" focussize="0,0"/>
            <v:stroke on="f"/>
            <v:imagedata r:id="rId16" o:title=""/>
            <o:lock v:ext="edit" aspectratio="t"/>
            <w10:wrap type="none"/>
            <w10:anchorlock/>
          </v:shape>
          <o:OLEObject Type="Embed" ProgID="Equation.3" ShapeID="_x0000_i1029" DrawAspect="Content" ObjectID="_1468075729" r:id="rId15">
            <o:LockedField>false</o:LockedField>
          </o:OLEObject>
        </w:object>
      </w:r>
    </w:p>
    <w:p>
      <w:pPr>
        <w:pStyle w:val="4"/>
        <w:pageBreakBefore w:val="0"/>
        <w:widowControl w:val="0"/>
        <w:kinsoku/>
        <w:wordWrap/>
        <w:overflowPunct/>
        <w:topLinePunct w:val="0"/>
        <w:autoSpaceDE/>
        <w:autoSpaceDN/>
        <w:bidi w:val="0"/>
        <w:adjustRightInd/>
        <w:spacing w:before="0" w:after="0" w:line="500" w:lineRule="exact"/>
        <w:textAlignment w:val="auto"/>
        <w:rPr>
          <w:sz w:val="30"/>
          <w:szCs w:val="30"/>
        </w:rPr>
      </w:pPr>
      <w:r>
        <w:rPr>
          <w:rFonts w:hint="eastAsia"/>
          <w:sz w:val="30"/>
          <w:szCs w:val="30"/>
        </w:rPr>
        <w:t>十、估价结果</w:t>
      </w:r>
      <w:bookmarkEnd w:id="19"/>
    </w:p>
    <w:p>
      <w:pPr>
        <w:keepNext w:val="0"/>
        <w:keepLines w:val="0"/>
        <w:pageBreakBefore w:val="0"/>
        <w:widowControl w:val="0"/>
        <w:kinsoku/>
        <w:wordWrap/>
        <w:overflowPunct/>
        <w:topLinePunct w:val="0"/>
        <w:autoSpaceDE/>
        <w:autoSpaceDN/>
        <w:bidi w:val="0"/>
        <w:adjustRightInd/>
        <w:snapToGrid w:val="0"/>
        <w:spacing w:line="460" w:lineRule="exact"/>
        <w:ind w:right="-13" w:rightChars="-6" w:firstLine="560" w:firstLineChars="200"/>
        <w:textAlignment w:val="auto"/>
        <w:rPr>
          <w:rFonts w:eastAsia="仿宋_GB2312"/>
          <w:sz w:val="28"/>
        </w:rPr>
      </w:pPr>
      <w:r>
        <w:rPr>
          <w:rFonts w:eastAsia="仿宋_GB2312"/>
          <w:sz w:val="28"/>
        </w:rPr>
        <w:t>本估价机构根据估价目的，遵循估价原则，按照估价程序，采用科学合理的估价方法，在认真分析现有资料的基础上，经过测算，结合估价经验与对影响房地产</w:t>
      </w:r>
      <w:r>
        <w:rPr>
          <w:rFonts w:hint="eastAsia" w:eastAsia="仿宋_GB2312"/>
          <w:sz w:val="28"/>
          <w:lang w:eastAsia="zh-CN"/>
        </w:rPr>
        <w:t>市场价格</w:t>
      </w:r>
      <w:r>
        <w:rPr>
          <w:rFonts w:eastAsia="仿宋_GB2312"/>
          <w:sz w:val="28"/>
        </w:rPr>
        <w:t>因素的分析，确定估价对象于价值时点的</w:t>
      </w:r>
      <w:r>
        <w:rPr>
          <w:rFonts w:hint="eastAsia" w:eastAsia="仿宋_GB2312"/>
          <w:sz w:val="28"/>
        </w:rPr>
        <w:t>房地产</w:t>
      </w:r>
      <w:r>
        <w:rPr>
          <w:rFonts w:eastAsia="仿宋_GB2312"/>
          <w:sz w:val="28"/>
        </w:rPr>
        <w:t>评估价值</w:t>
      </w:r>
      <w:r>
        <w:rPr>
          <w:rFonts w:hint="eastAsia" w:eastAsia="仿宋_GB2312"/>
          <w:sz w:val="28"/>
          <w:lang w:eastAsia="zh-CN"/>
        </w:rPr>
        <w:t>（含装潢及</w:t>
      </w:r>
      <w:r>
        <w:rPr>
          <w:rFonts w:hint="eastAsia" w:eastAsia="仿宋_GB2312"/>
          <w:sz w:val="28"/>
          <w:lang w:val="en-US" w:eastAsia="zh-CN"/>
        </w:rPr>
        <w:t>室内</w:t>
      </w:r>
      <w:r>
        <w:rPr>
          <w:rFonts w:hint="eastAsia" w:eastAsia="仿宋_GB2312"/>
          <w:sz w:val="28"/>
          <w:lang w:eastAsia="zh-CN"/>
        </w:rPr>
        <w:t>物品）</w:t>
      </w:r>
      <w:r>
        <w:rPr>
          <w:rFonts w:eastAsia="仿宋_GB2312"/>
          <w:sz w:val="28"/>
        </w:rPr>
        <w:t>为</w:t>
      </w:r>
      <w:r>
        <w:rPr>
          <w:rFonts w:hint="eastAsia" w:eastAsia="仿宋_GB2312"/>
          <w:sz w:val="28"/>
          <w:lang w:val="en-US" w:eastAsia="zh-CN"/>
        </w:rPr>
        <w:t>人民币215.39万</w:t>
      </w:r>
      <w:r>
        <w:rPr>
          <w:rFonts w:hint="eastAsia" w:eastAsia="仿宋_GB2312"/>
          <w:sz w:val="28"/>
          <w:lang w:eastAsia="zh-CN"/>
        </w:rPr>
        <w:t>元</w:t>
      </w:r>
      <w:r>
        <w:rPr>
          <w:rFonts w:eastAsia="仿宋_GB2312"/>
          <w:sz w:val="28"/>
        </w:rPr>
        <w:t>（四舍五入，取整至</w:t>
      </w:r>
      <w:r>
        <w:rPr>
          <w:rFonts w:hint="eastAsia" w:eastAsia="仿宋_GB2312"/>
          <w:sz w:val="28"/>
          <w:lang w:val="en-US" w:eastAsia="zh-CN"/>
        </w:rPr>
        <w:t>佰</w:t>
      </w:r>
      <w:r>
        <w:rPr>
          <w:rFonts w:eastAsia="仿宋_GB2312"/>
          <w:sz w:val="28"/>
        </w:rPr>
        <w:t>元），人民币大写：</w:t>
      </w:r>
      <w:r>
        <w:rPr>
          <w:rFonts w:hint="eastAsia" w:eastAsia="仿宋_GB2312"/>
          <w:b/>
          <w:bCs/>
          <w:sz w:val="28"/>
          <w:lang w:eastAsia="zh-CN"/>
        </w:rPr>
        <w:fldChar w:fldCharType="begin"/>
      </w:r>
      <w:r>
        <w:rPr>
          <w:rFonts w:hint="eastAsia" w:eastAsia="仿宋_GB2312"/>
          <w:b/>
          <w:bCs/>
          <w:sz w:val="28"/>
          <w:lang w:eastAsia="zh-CN"/>
        </w:rPr>
        <w:instrText xml:space="preserve"> = 778600 \* CHINESENUM2 \* MERGEFORMAT </w:instrText>
      </w:r>
      <w:r>
        <w:rPr>
          <w:rFonts w:hint="eastAsia" w:eastAsia="仿宋_GB2312"/>
          <w:b/>
          <w:bCs/>
          <w:sz w:val="28"/>
          <w:lang w:eastAsia="zh-CN"/>
        </w:rPr>
        <w:fldChar w:fldCharType="separate"/>
      </w:r>
      <w:r>
        <w:rPr>
          <w:rFonts w:hint="eastAsia" w:eastAsia="仿宋_GB2312"/>
          <w:b/>
          <w:bCs/>
          <w:sz w:val="28"/>
          <w:lang w:eastAsia="zh-CN"/>
        </w:rPr>
        <w:t>贰佰壹拾伍万叁仟玖佰</w:t>
      </w:r>
      <w:r>
        <w:rPr>
          <w:rFonts w:hint="eastAsia" w:eastAsia="仿宋_GB2312"/>
          <w:b/>
          <w:bCs/>
          <w:sz w:val="28"/>
          <w:lang w:eastAsia="zh-CN"/>
        </w:rPr>
        <w:fldChar w:fldCharType="end"/>
      </w:r>
      <w:r>
        <w:rPr>
          <w:rFonts w:eastAsia="仿宋_GB2312"/>
          <w:sz w:val="28"/>
        </w:rPr>
        <w:t>元整。</w:t>
      </w:r>
    </w:p>
    <w:p>
      <w:pPr>
        <w:pStyle w:val="4"/>
        <w:spacing w:before="0" w:after="0" w:line="480" w:lineRule="exact"/>
        <w:rPr>
          <w:sz w:val="30"/>
          <w:szCs w:val="30"/>
        </w:rPr>
      </w:pPr>
      <w:bookmarkStart w:id="20" w:name="_Toc26402"/>
      <w:r>
        <w:rPr>
          <w:rFonts w:hint="eastAsia"/>
          <w:sz w:val="30"/>
          <w:szCs w:val="30"/>
        </w:rPr>
        <w:t>十一、注册房估价师</w:t>
      </w:r>
      <w:bookmarkEnd w:id="20"/>
    </w:p>
    <w:p>
      <w:pPr>
        <w:tabs>
          <w:tab w:val="center" w:pos="4484"/>
        </w:tabs>
        <w:spacing w:line="480" w:lineRule="exact"/>
        <w:ind w:firstLine="560" w:firstLineChars="200"/>
        <w:jc w:val="center"/>
        <w:rPr>
          <w:rFonts w:hAnsi="楷体_GB2312" w:eastAsia="楷体_GB2312"/>
          <w:sz w:val="28"/>
          <w:szCs w:val="28"/>
        </w:rPr>
      </w:pPr>
      <w:bookmarkStart w:id="21" w:name="_Toc444868266"/>
      <w:bookmarkStart w:id="22" w:name="_Toc444266614"/>
      <w:r>
        <w:rPr>
          <w:rFonts w:hint="eastAsia" w:eastAsia="仿宋_GB2312"/>
          <w:sz w:val="28"/>
        </w:rPr>
        <w:t>注册房地产估价师签名</w:t>
      </w:r>
    </w:p>
    <w:tbl>
      <w:tblPr>
        <w:tblStyle w:val="17"/>
        <w:tblW w:w="48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8"/>
        <w:gridCol w:w="2339"/>
        <w:gridCol w:w="2552"/>
        <w:gridCol w:w="2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7" w:type="pct"/>
            <w:vAlign w:val="center"/>
          </w:tcPr>
          <w:p>
            <w:pPr>
              <w:spacing w:line="480" w:lineRule="exact"/>
              <w:jc w:val="center"/>
              <w:rPr>
                <w:rFonts w:eastAsia="仿宋_GB2312"/>
                <w:sz w:val="28"/>
              </w:rPr>
            </w:pPr>
            <w:r>
              <w:rPr>
                <w:rFonts w:hint="eastAsia" w:eastAsia="仿宋_GB2312"/>
                <w:sz w:val="28"/>
              </w:rPr>
              <w:t>姓名</w:t>
            </w:r>
          </w:p>
        </w:tc>
        <w:tc>
          <w:tcPr>
            <w:tcW w:w="1249" w:type="pct"/>
            <w:vAlign w:val="center"/>
          </w:tcPr>
          <w:p>
            <w:pPr>
              <w:spacing w:line="480" w:lineRule="exact"/>
              <w:jc w:val="center"/>
              <w:rPr>
                <w:rFonts w:eastAsia="仿宋_GB2312"/>
                <w:sz w:val="28"/>
              </w:rPr>
            </w:pPr>
            <w:r>
              <w:rPr>
                <w:rFonts w:hint="eastAsia" w:eastAsia="仿宋_GB2312"/>
                <w:sz w:val="28"/>
              </w:rPr>
              <w:t>注册号</w:t>
            </w:r>
          </w:p>
        </w:tc>
        <w:tc>
          <w:tcPr>
            <w:tcW w:w="1363" w:type="pct"/>
            <w:vAlign w:val="center"/>
          </w:tcPr>
          <w:p>
            <w:pPr>
              <w:tabs>
                <w:tab w:val="center" w:pos="4484"/>
              </w:tabs>
              <w:spacing w:line="480" w:lineRule="exact"/>
              <w:ind w:firstLine="560" w:firstLineChars="200"/>
              <w:rPr>
                <w:rFonts w:eastAsia="仿宋_GB2312"/>
                <w:sz w:val="28"/>
              </w:rPr>
            </w:pPr>
            <w:r>
              <w:rPr>
                <w:rFonts w:hint="eastAsia" w:eastAsia="仿宋_GB2312"/>
                <w:sz w:val="28"/>
              </w:rPr>
              <w:t>签 名</w:t>
            </w:r>
          </w:p>
        </w:tc>
        <w:tc>
          <w:tcPr>
            <w:tcW w:w="1478" w:type="pct"/>
            <w:vAlign w:val="center"/>
          </w:tcPr>
          <w:p>
            <w:pPr>
              <w:spacing w:line="480" w:lineRule="exact"/>
              <w:jc w:val="center"/>
              <w:rPr>
                <w:rFonts w:eastAsia="仿宋_GB2312"/>
                <w:sz w:val="28"/>
              </w:rPr>
            </w:pPr>
            <w:r>
              <w:rPr>
                <w:rFonts w:hint="eastAsia" w:eastAsia="仿宋_GB2312"/>
                <w:sz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907" w:type="pct"/>
            <w:vAlign w:val="center"/>
          </w:tcPr>
          <w:p>
            <w:pPr>
              <w:spacing w:line="480" w:lineRule="exact"/>
              <w:jc w:val="center"/>
              <w:rPr>
                <w:rFonts w:eastAsia="仿宋_GB2312"/>
                <w:sz w:val="28"/>
              </w:rPr>
            </w:pPr>
            <w:r>
              <w:rPr>
                <w:rFonts w:eastAsia="仿宋_GB2312"/>
                <w:sz w:val="28"/>
              </w:rPr>
              <w:t>蔡志国</w:t>
            </w:r>
          </w:p>
        </w:tc>
        <w:tc>
          <w:tcPr>
            <w:tcW w:w="1249" w:type="pct"/>
            <w:vAlign w:val="center"/>
          </w:tcPr>
          <w:p>
            <w:pPr>
              <w:spacing w:line="480" w:lineRule="exact"/>
              <w:jc w:val="center"/>
              <w:rPr>
                <w:rFonts w:hAnsi="楷体_GB2312" w:eastAsia="楷体_GB2312"/>
                <w:sz w:val="32"/>
                <w:szCs w:val="32"/>
              </w:rPr>
            </w:pPr>
            <w:r>
              <w:rPr>
                <w:rFonts w:eastAsia="仿宋_GB2312"/>
                <w:color w:val="000000"/>
                <w:sz w:val="28"/>
              </w:rPr>
              <w:t>3220040399</w:t>
            </w:r>
          </w:p>
        </w:tc>
        <w:tc>
          <w:tcPr>
            <w:tcW w:w="1363" w:type="pct"/>
            <w:vAlign w:val="center"/>
          </w:tcPr>
          <w:p>
            <w:pPr>
              <w:spacing w:line="480" w:lineRule="exact"/>
              <w:jc w:val="center"/>
              <w:rPr>
                <w:rFonts w:eastAsia="仿宋_GB2312"/>
                <w:color w:val="auto"/>
                <w:sz w:val="28"/>
              </w:rPr>
            </w:pPr>
          </w:p>
        </w:tc>
        <w:tc>
          <w:tcPr>
            <w:tcW w:w="1478" w:type="pct"/>
            <w:vAlign w:val="center"/>
          </w:tcPr>
          <w:p>
            <w:pPr>
              <w:spacing w:line="480" w:lineRule="exact"/>
              <w:jc w:val="center"/>
              <w:rPr>
                <w:rFonts w:hint="eastAsia" w:eastAsia="仿宋_GB2312"/>
                <w:color w:val="auto"/>
                <w:sz w:val="28"/>
                <w:lang w:eastAsia="zh-CN"/>
              </w:rPr>
            </w:pPr>
            <w:r>
              <w:rPr>
                <w:rFonts w:hint="eastAsia" w:eastAsia="仿宋_GB2312"/>
                <w:color w:val="auto"/>
                <w:sz w:val="28"/>
                <w:lang w:eastAsia="zh-CN"/>
              </w:rPr>
              <w:t>2022年10月28日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907" w:type="pct"/>
            <w:vAlign w:val="center"/>
          </w:tcPr>
          <w:p>
            <w:pPr>
              <w:spacing w:line="480" w:lineRule="exact"/>
              <w:jc w:val="center"/>
              <w:rPr>
                <w:rFonts w:eastAsia="仿宋_GB2312"/>
                <w:sz w:val="28"/>
              </w:rPr>
            </w:pPr>
            <w:r>
              <w:rPr>
                <w:rFonts w:hint="eastAsia" w:eastAsia="仿宋_GB2312"/>
                <w:sz w:val="28"/>
              </w:rPr>
              <w:t>严小利</w:t>
            </w:r>
          </w:p>
        </w:tc>
        <w:tc>
          <w:tcPr>
            <w:tcW w:w="1249" w:type="pct"/>
            <w:vAlign w:val="center"/>
          </w:tcPr>
          <w:p>
            <w:pPr>
              <w:spacing w:line="480" w:lineRule="exact"/>
              <w:jc w:val="center"/>
              <w:rPr>
                <w:rFonts w:eastAsia="仿宋_GB2312"/>
                <w:sz w:val="28"/>
              </w:rPr>
            </w:pPr>
            <w:r>
              <w:rPr>
                <w:rFonts w:hint="eastAsia" w:eastAsia="仿宋_GB2312"/>
                <w:color w:val="000000"/>
                <w:sz w:val="28"/>
              </w:rPr>
              <w:t>32201</w:t>
            </w:r>
            <w:r>
              <w:rPr>
                <w:rFonts w:hint="eastAsia" w:eastAsia="仿宋_GB2312"/>
                <w:color w:val="000000"/>
                <w:sz w:val="28"/>
                <w:lang w:val="en-US" w:eastAsia="zh-CN"/>
              </w:rPr>
              <w:t>7</w:t>
            </w:r>
            <w:r>
              <w:rPr>
                <w:rFonts w:hint="eastAsia" w:eastAsia="仿宋_GB2312"/>
                <w:color w:val="000000"/>
                <w:sz w:val="28"/>
              </w:rPr>
              <w:t>0125</w:t>
            </w:r>
          </w:p>
        </w:tc>
        <w:tc>
          <w:tcPr>
            <w:tcW w:w="1363" w:type="pct"/>
            <w:vAlign w:val="center"/>
          </w:tcPr>
          <w:p>
            <w:pPr>
              <w:spacing w:line="480" w:lineRule="exact"/>
              <w:jc w:val="center"/>
              <w:rPr>
                <w:rFonts w:eastAsia="仿宋_GB2312"/>
                <w:color w:val="auto"/>
                <w:sz w:val="28"/>
              </w:rPr>
            </w:pPr>
          </w:p>
        </w:tc>
        <w:tc>
          <w:tcPr>
            <w:tcW w:w="1478" w:type="pct"/>
            <w:vAlign w:val="center"/>
          </w:tcPr>
          <w:p>
            <w:pPr>
              <w:spacing w:line="480" w:lineRule="exact"/>
              <w:jc w:val="center"/>
              <w:rPr>
                <w:rFonts w:hint="eastAsia" w:eastAsia="仿宋_GB2312"/>
                <w:color w:val="auto"/>
                <w:sz w:val="28"/>
                <w:lang w:eastAsia="zh-CN"/>
              </w:rPr>
            </w:pPr>
            <w:r>
              <w:rPr>
                <w:rFonts w:hint="eastAsia" w:eastAsia="仿宋_GB2312"/>
                <w:color w:val="auto"/>
                <w:sz w:val="28"/>
                <w:lang w:eastAsia="zh-CN"/>
              </w:rPr>
              <w:t>202</w:t>
            </w:r>
            <w:r>
              <w:rPr>
                <w:rFonts w:hint="eastAsia" w:eastAsia="仿宋_GB2312"/>
                <w:color w:val="auto"/>
                <w:sz w:val="28"/>
                <w:lang w:val="en-US" w:eastAsia="zh-CN"/>
              </w:rPr>
              <w:t>2</w:t>
            </w:r>
            <w:r>
              <w:rPr>
                <w:rFonts w:hint="eastAsia" w:eastAsia="仿宋_GB2312"/>
                <w:color w:val="auto"/>
                <w:sz w:val="28"/>
                <w:lang w:eastAsia="zh-CN"/>
              </w:rPr>
              <w:t>年</w:t>
            </w:r>
            <w:r>
              <w:rPr>
                <w:rFonts w:hint="eastAsia" w:eastAsia="仿宋_GB2312"/>
                <w:color w:val="auto"/>
                <w:sz w:val="28"/>
                <w:lang w:val="en-US" w:eastAsia="zh-CN"/>
              </w:rPr>
              <w:t>10</w:t>
            </w:r>
            <w:r>
              <w:rPr>
                <w:rFonts w:hint="eastAsia" w:eastAsia="仿宋_GB2312"/>
                <w:color w:val="auto"/>
                <w:sz w:val="28"/>
                <w:lang w:eastAsia="zh-CN"/>
              </w:rPr>
              <w:t>月</w:t>
            </w:r>
            <w:r>
              <w:rPr>
                <w:rFonts w:hint="eastAsia" w:eastAsia="仿宋_GB2312"/>
                <w:color w:val="auto"/>
                <w:sz w:val="28"/>
                <w:lang w:val="en-US" w:eastAsia="zh-CN"/>
              </w:rPr>
              <w:t>28</w:t>
            </w:r>
            <w:r>
              <w:rPr>
                <w:rFonts w:hint="eastAsia" w:eastAsia="仿宋_GB2312"/>
                <w:color w:val="auto"/>
                <w:sz w:val="28"/>
                <w:lang w:eastAsia="zh-CN"/>
              </w:rPr>
              <w:t>日</w:t>
            </w:r>
          </w:p>
        </w:tc>
      </w:tr>
    </w:tbl>
    <w:p>
      <w:pPr>
        <w:pStyle w:val="4"/>
        <w:pageBreakBefore w:val="0"/>
        <w:widowControl w:val="0"/>
        <w:kinsoku/>
        <w:wordWrap/>
        <w:overflowPunct/>
        <w:topLinePunct w:val="0"/>
        <w:autoSpaceDE/>
        <w:autoSpaceDN/>
        <w:bidi w:val="0"/>
        <w:adjustRightInd/>
        <w:spacing w:before="0" w:after="0" w:line="460" w:lineRule="exact"/>
        <w:textAlignment w:val="auto"/>
        <w:rPr>
          <w:sz w:val="30"/>
          <w:szCs w:val="30"/>
        </w:rPr>
      </w:pPr>
      <w:bookmarkStart w:id="23" w:name="_Toc11971"/>
      <w:r>
        <w:rPr>
          <w:rFonts w:hint="eastAsia"/>
          <w:sz w:val="30"/>
          <w:szCs w:val="30"/>
        </w:rPr>
        <w:t>十二、实地查勘期</w:t>
      </w:r>
      <w:bookmarkEnd w:id="21"/>
      <w:bookmarkEnd w:id="22"/>
      <w:bookmarkEnd w:id="23"/>
    </w:p>
    <w:p>
      <w:pPr>
        <w:pStyle w:val="4"/>
        <w:pageBreakBefore w:val="0"/>
        <w:widowControl w:val="0"/>
        <w:kinsoku/>
        <w:wordWrap/>
        <w:overflowPunct/>
        <w:topLinePunct w:val="0"/>
        <w:autoSpaceDE/>
        <w:autoSpaceDN/>
        <w:bidi w:val="0"/>
        <w:adjustRightInd/>
        <w:spacing w:before="0" w:after="0" w:line="460" w:lineRule="exact"/>
        <w:ind w:firstLine="560" w:firstLineChars="200"/>
        <w:textAlignment w:val="auto"/>
        <w:rPr>
          <w:rFonts w:hint="eastAsia" w:ascii="Times New Roman" w:hAnsi="Times New Roman" w:eastAsia="仿宋_GB2312" w:cs="Times New Roman"/>
          <w:b w:val="0"/>
          <w:kern w:val="2"/>
          <w:sz w:val="28"/>
          <w:szCs w:val="28"/>
          <w:lang w:val="en-US" w:eastAsia="zh-CN" w:bidi="ar-SA"/>
        </w:rPr>
      </w:pPr>
      <w:bookmarkStart w:id="24" w:name="_Toc444868267"/>
      <w:bookmarkStart w:id="25" w:name="_Toc444266615"/>
      <w:bookmarkStart w:id="26" w:name="_Toc8910"/>
      <w:r>
        <w:rPr>
          <w:rFonts w:hint="eastAsia" w:eastAsia="仿宋_GB2312" w:cs="Times New Roman"/>
          <w:b w:val="0"/>
          <w:kern w:val="2"/>
          <w:sz w:val="28"/>
          <w:szCs w:val="28"/>
          <w:lang w:val="en-US" w:eastAsia="zh-CN" w:bidi="ar-SA"/>
        </w:rPr>
        <w:t>2022年10月21日</w:t>
      </w:r>
    </w:p>
    <w:p>
      <w:pPr>
        <w:pStyle w:val="4"/>
        <w:pageBreakBefore w:val="0"/>
        <w:widowControl w:val="0"/>
        <w:kinsoku/>
        <w:wordWrap/>
        <w:overflowPunct/>
        <w:topLinePunct w:val="0"/>
        <w:autoSpaceDE/>
        <w:autoSpaceDN/>
        <w:bidi w:val="0"/>
        <w:adjustRightInd/>
        <w:spacing w:before="0" w:after="0" w:line="460" w:lineRule="exact"/>
        <w:textAlignment w:val="auto"/>
        <w:rPr>
          <w:sz w:val="30"/>
          <w:szCs w:val="30"/>
        </w:rPr>
      </w:pPr>
      <w:r>
        <w:rPr>
          <w:rFonts w:hint="eastAsia"/>
          <w:sz w:val="30"/>
          <w:szCs w:val="30"/>
        </w:rPr>
        <w:t>十三、估价作业期</w:t>
      </w:r>
      <w:bookmarkEnd w:id="24"/>
      <w:bookmarkEnd w:id="25"/>
      <w:bookmarkEnd w:id="26"/>
    </w:p>
    <w:p>
      <w:pPr>
        <w:pageBreakBefore w:val="0"/>
        <w:widowControl w:val="0"/>
        <w:kinsoku/>
        <w:wordWrap/>
        <w:overflowPunct/>
        <w:topLinePunct w:val="0"/>
        <w:autoSpaceDE/>
        <w:autoSpaceDN/>
        <w:bidi w:val="0"/>
        <w:adjustRightInd/>
        <w:snapToGrid w:val="0"/>
        <w:spacing w:line="460" w:lineRule="exact"/>
        <w:ind w:right="-13" w:rightChars="-6" w:firstLine="560" w:firstLineChars="200"/>
        <w:textAlignment w:val="auto"/>
        <w:rPr>
          <w:rFonts w:hint="eastAsia" w:eastAsia="仿宋_GB2312"/>
          <w:sz w:val="28"/>
          <w:szCs w:val="28"/>
          <w:lang w:eastAsia="zh-CN"/>
        </w:rPr>
      </w:pPr>
      <w:r>
        <w:rPr>
          <w:rFonts w:hint="eastAsia" w:eastAsia="仿宋_GB2312"/>
          <w:sz w:val="28"/>
          <w:szCs w:val="28"/>
          <w:lang w:eastAsia="zh-CN"/>
        </w:rPr>
        <w:t>202</w:t>
      </w:r>
      <w:r>
        <w:rPr>
          <w:rFonts w:hint="eastAsia" w:eastAsia="仿宋_GB2312"/>
          <w:sz w:val="28"/>
          <w:szCs w:val="28"/>
          <w:lang w:val="en-US" w:eastAsia="zh-CN"/>
        </w:rPr>
        <w:t>2</w:t>
      </w:r>
      <w:r>
        <w:rPr>
          <w:rFonts w:hint="eastAsia" w:eastAsia="仿宋_GB2312"/>
          <w:sz w:val="28"/>
          <w:szCs w:val="28"/>
          <w:lang w:eastAsia="zh-CN"/>
        </w:rPr>
        <w:t>年</w:t>
      </w:r>
      <w:r>
        <w:rPr>
          <w:rFonts w:hint="eastAsia" w:eastAsia="仿宋_GB2312"/>
          <w:sz w:val="28"/>
          <w:szCs w:val="28"/>
          <w:lang w:val="en-US" w:eastAsia="zh-CN"/>
        </w:rPr>
        <w:t>10</w:t>
      </w:r>
      <w:r>
        <w:rPr>
          <w:rFonts w:hint="eastAsia" w:eastAsia="仿宋_GB2312"/>
          <w:sz w:val="28"/>
          <w:szCs w:val="28"/>
          <w:lang w:eastAsia="zh-CN"/>
        </w:rPr>
        <w:t>月</w:t>
      </w:r>
      <w:r>
        <w:rPr>
          <w:rFonts w:hint="eastAsia" w:eastAsia="仿宋_GB2312"/>
          <w:sz w:val="28"/>
          <w:szCs w:val="28"/>
          <w:lang w:val="en-US" w:eastAsia="zh-CN"/>
        </w:rPr>
        <w:t>21</w:t>
      </w:r>
      <w:r>
        <w:rPr>
          <w:rFonts w:hint="eastAsia" w:eastAsia="仿宋_GB2312"/>
          <w:sz w:val="28"/>
          <w:szCs w:val="28"/>
          <w:lang w:eastAsia="zh-CN"/>
        </w:rPr>
        <w:t>日</w:t>
      </w:r>
      <w:r>
        <w:rPr>
          <w:rFonts w:eastAsia="仿宋_GB2312"/>
          <w:sz w:val="28"/>
          <w:szCs w:val="28"/>
        </w:rPr>
        <w:t>-</w:t>
      </w:r>
      <w:r>
        <w:rPr>
          <w:rFonts w:hint="eastAsia" w:eastAsia="仿宋_GB2312"/>
          <w:sz w:val="28"/>
          <w:szCs w:val="28"/>
          <w:lang w:eastAsia="zh-CN"/>
        </w:rPr>
        <w:t>2022年10月28日</w:t>
      </w:r>
    </w:p>
    <w:p>
      <w:pPr>
        <w:pStyle w:val="4"/>
        <w:pageBreakBefore w:val="0"/>
        <w:widowControl w:val="0"/>
        <w:kinsoku/>
        <w:wordWrap/>
        <w:overflowPunct/>
        <w:topLinePunct w:val="0"/>
        <w:autoSpaceDE/>
        <w:autoSpaceDN/>
        <w:bidi w:val="0"/>
        <w:adjustRightInd/>
        <w:snapToGrid/>
        <w:spacing w:before="0" w:after="0" w:line="460" w:lineRule="exact"/>
        <w:textAlignment w:val="auto"/>
        <w:rPr>
          <w:rFonts w:hint="default" w:ascii="Times New Roman" w:hAnsi="Times New Roman" w:cs="Times New Roman"/>
          <w:sz w:val="30"/>
          <w:szCs w:val="30"/>
        </w:rPr>
      </w:pPr>
      <w:bookmarkStart w:id="27" w:name="_Toc7639"/>
      <w:r>
        <w:rPr>
          <w:rFonts w:hint="default" w:ascii="Times New Roman" w:hAnsi="Times New Roman" w:cs="Times New Roman"/>
          <w:sz w:val="30"/>
          <w:szCs w:val="30"/>
        </w:rPr>
        <w:t>十四、房地产估价报告使用</w:t>
      </w:r>
      <w:r>
        <w:rPr>
          <w:rFonts w:hint="default" w:ascii="Times New Roman" w:hAnsi="Times New Roman" w:cs="Times New Roman"/>
          <w:sz w:val="30"/>
          <w:szCs w:val="30"/>
          <w:lang w:val="en-US" w:eastAsia="zh-CN"/>
        </w:rPr>
        <w:t>特别</w:t>
      </w:r>
      <w:r>
        <w:rPr>
          <w:rFonts w:hint="default" w:ascii="Times New Roman" w:hAnsi="Times New Roman" w:cs="Times New Roman"/>
          <w:sz w:val="30"/>
          <w:szCs w:val="30"/>
        </w:rPr>
        <w:t>提示</w:t>
      </w:r>
      <w:bookmarkEnd w:id="27"/>
    </w:p>
    <w:p>
      <w:pPr>
        <w:keepNext w:val="0"/>
        <w:keepLines w:val="0"/>
        <w:pageBreakBefore w:val="0"/>
        <w:widowControl w:val="0"/>
        <w:kinsoku/>
        <w:wordWrap/>
        <w:overflowPunct/>
        <w:topLinePunct w:val="0"/>
        <w:autoSpaceDE/>
        <w:autoSpaceDN/>
        <w:bidi w:val="0"/>
        <w:adjustRightInd/>
        <w:snapToGrid/>
        <w:spacing w:line="420" w:lineRule="exact"/>
        <w:ind w:left="279" w:leftChars="133" w:firstLine="280" w:firstLineChars="10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1、当事人应当按照法律规定和评估报告载明的用途、使用人、使用期限等使用范围使用评估报告。否则，房地产估价机构和注册房地产估价师依法不承担责任；</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2、</w:t>
      </w:r>
      <w:r>
        <w:rPr>
          <w:rFonts w:hint="default" w:ascii="Times New Roman" w:hAnsi="Times New Roman" w:eastAsia="仿宋_GB2312" w:cs="Times New Roman"/>
          <w:sz w:val="28"/>
        </w:rPr>
        <w:t>评估结果仅为人民法院确定财产处置参考价服务，不是评估对象处</w:t>
      </w:r>
    </w:p>
    <w:p>
      <w:pPr>
        <w:keepNext w:val="0"/>
        <w:keepLines w:val="0"/>
        <w:pageBreakBefore w:val="0"/>
        <w:widowControl w:val="0"/>
        <w:kinsoku/>
        <w:wordWrap/>
        <w:overflowPunct/>
        <w:topLinePunct w:val="0"/>
        <w:autoSpaceDE/>
        <w:autoSpaceDN/>
        <w:bidi w:val="0"/>
        <w:adjustRightInd/>
        <w:snapToGrid/>
        <w:spacing w:line="420" w:lineRule="exact"/>
        <w:ind w:firstLine="280" w:firstLineChars="100"/>
        <w:jc w:val="left"/>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置可实现的成交价格，也不应当被视为对评估对象处置成交价格的保证；</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3、</w:t>
      </w:r>
      <w:r>
        <w:rPr>
          <w:rFonts w:hint="default" w:ascii="Times New Roman" w:hAnsi="Times New Roman" w:eastAsia="仿宋_GB2312" w:cs="Times New Roman"/>
          <w:sz w:val="28"/>
        </w:rPr>
        <w:t>财产拍卖或者变卖之日与价值时点不一致，可能导致评估结果对应</w:t>
      </w:r>
    </w:p>
    <w:p>
      <w:pPr>
        <w:keepNext w:val="0"/>
        <w:keepLines w:val="0"/>
        <w:pageBreakBefore w:val="0"/>
        <w:widowControl w:val="0"/>
        <w:kinsoku/>
        <w:wordWrap/>
        <w:overflowPunct/>
        <w:topLinePunct w:val="0"/>
        <w:autoSpaceDE/>
        <w:autoSpaceDN/>
        <w:bidi w:val="0"/>
        <w:adjustRightInd/>
        <w:snapToGrid/>
        <w:spacing w:line="420" w:lineRule="exact"/>
        <w:ind w:left="279" w:leftChars="133" w:firstLine="0" w:firstLineChars="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的评估对象状况、房地产市场状况、欠缴税费状况等与财产拍卖或者变卖时的相应状况不一致，发生明显变化的，评估结果应当进行相应调整后才可使用；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4、</w:t>
      </w:r>
      <w:r>
        <w:rPr>
          <w:rFonts w:hint="default" w:ascii="Times New Roman" w:hAnsi="Times New Roman" w:eastAsia="仿宋_GB2312" w:cs="Times New Roman"/>
          <w:sz w:val="28"/>
        </w:rPr>
        <w:t>在评估报告使用期限或者评估结果有效期内，评估报告或者评估结</w:t>
      </w:r>
    </w:p>
    <w:p>
      <w:pPr>
        <w:keepNext w:val="0"/>
        <w:keepLines w:val="0"/>
        <w:pageBreakBefore w:val="0"/>
        <w:widowControl w:val="0"/>
        <w:kinsoku/>
        <w:wordWrap/>
        <w:overflowPunct/>
        <w:topLinePunct w:val="0"/>
        <w:autoSpaceDE/>
        <w:autoSpaceDN/>
        <w:bidi w:val="0"/>
        <w:adjustRightInd/>
        <w:snapToGrid/>
        <w:spacing w:line="420" w:lineRule="exact"/>
        <w:ind w:left="279" w:leftChars="133" w:firstLine="0" w:firstLineChars="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rPr>
        <w:t>果未使用之前，如果评估对象状况或者房地产市场状况发生明显变化的，评估结果应当进行相应调整后才可使用；</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default" w:ascii="Times New Roman" w:hAnsi="Times New Roman" w:eastAsia="仿宋_GB2312" w:cs="Times New Roman"/>
          <w:sz w:val="28"/>
        </w:rPr>
      </w:pPr>
      <w:r>
        <w:rPr>
          <w:rFonts w:hint="default" w:ascii="Times New Roman" w:hAnsi="Times New Roman" w:eastAsia="仿宋_GB2312" w:cs="Times New Roman"/>
          <w:sz w:val="28"/>
          <w:lang w:val="en-US" w:eastAsia="zh-CN"/>
        </w:rPr>
        <w:t>5、</w:t>
      </w:r>
      <w:r>
        <w:rPr>
          <w:rFonts w:hint="default" w:ascii="Times New Roman" w:hAnsi="Times New Roman" w:eastAsia="仿宋_GB2312" w:cs="Times New Roman"/>
          <w:sz w:val="28"/>
        </w:rPr>
        <w:t>当事人、利害关系人收到评估报告后五日内可对评估报告的参照标</w:t>
      </w:r>
    </w:p>
    <w:p>
      <w:pPr>
        <w:keepNext w:val="0"/>
        <w:keepLines w:val="0"/>
        <w:pageBreakBefore w:val="0"/>
        <w:widowControl w:val="0"/>
        <w:kinsoku/>
        <w:wordWrap/>
        <w:overflowPunct/>
        <w:topLinePunct w:val="0"/>
        <w:autoSpaceDE/>
        <w:autoSpaceDN/>
        <w:bidi w:val="0"/>
        <w:adjustRightInd/>
        <w:snapToGrid/>
        <w:spacing w:line="420" w:lineRule="exact"/>
        <w:ind w:firstLine="560" w:firstLineChars="200"/>
        <w:textAlignment w:val="auto"/>
        <w:rPr>
          <w:rFonts w:hint="eastAsia" w:eastAsia="仿宋_GB2312"/>
          <w:sz w:val="28"/>
          <w:szCs w:val="28"/>
          <w:lang w:eastAsia="zh-CN"/>
        </w:rPr>
      </w:pPr>
      <w:r>
        <w:rPr>
          <w:rFonts w:hint="default" w:ascii="Times New Roman" w:hAnsi="Times New Roman" w:eastAsia="仿宋_GB2312" w:cs="Times New Roman"/>
          <w:sz w:val="28"/>
        </w:rPr>
        <w:t>准、计算方法或者评估结果等向人民法院提出书面异议；当事人、利害关系人对评估机构作出的说明仍有异议的，可以提请人民法院委托评估行业组织进行专业技术评审</w:t>
      </w:r>
      <w:r>
        <w:rPr>
          <w:rFonts w:hint="eastAsia" w:eastAsia="仿宋_GB2312" w:cs="Times New Roman"/>
          <w:sz w:val="28"/>
          <w:lang w:eastAsia="zh-CN"/>
        </w:rPr>
        <w:t>。</w:t>
      </w:r>
    </w:p>
    <w:p>
      <w:bookmarkStart w:id="28" w:name="_Toc16241"/>
    </w:p>
    <w:p/>
    <w:p>
      <w:pPr>
        <w:rPr>
          <w:rFonts w:hint="eastAsia"/>
        </w:rPr>
      </w:pPr>
    </w:p>
    <w:p>
      <w:pPr>
        <w:pStyle w:val="4"/>
        <w:spacing w:before="0" w:after="0" w:line="400" w:lineRule="exact"/>
        <w:jc w:val="center"/>
        <w:rPr>
          <w:rFonts w:hint="eastAsia"/>
          <w:sz w:val="30"/>
          <w:szCs w:val="30"/>
        </w:rPr>
      </w:pPr>
    </w:p>
    <w:p>
      <w:pPr>
        <w:pStyle w:val="4"/>
        <w:spacing w:before="0" w:after="0" w:line="400" w:lineRule="exact"/>
        <w:jc w:val="center"/>
        <w:rPr>
          <w:rFonts w:hint="eastAsia"/>
          <w:sz w:val="30"/>
          <w:szCs w:val="30"/>
        </w:rPr>
      </w:pPr>
    </w:p>
    <w:p>
      <w:pPr>
        <w:pStyle w:val="4"/>
        <w:spacing w:before="0" w:after="0" w:line="400" w:lineRule="exact"/>
        <w:jc w:val="center"/>
        <w:rPr>
          <w:rFonts w:hint="eastAsia"/>
          <w:sz w:val="30"/>
          <w:szCs w:val="30"/>
        </w:rPr>
      </w:pPr>
    </w:p>
    <w:p>
      <w:pPr>
        <w:pStyle w:val="4"/>
        <w:spacing w:before="0" w:after="0" w:line="400" w:lineRule="exact"/>
        <w:jc w:val="cente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pStyle w:val="4"/>
        <w:spacing w:before="0" w:after="0" w:line="400" w:lineRule="exact"/>
        <w:jc w:val="center"/>
        <w:rPr>
          <w:rFonts w:hint="eastAsia"/>
          <w:sz w:val="30"/>
          <w:szCs w:val="30"/>
        </w:rPr>
      </w:pPr>
    </w:p>
    <w:p>
      <w:pPr>
        <w:pStyle w:val="4"/>
        <w:spacing w:before="0" w:after="0" w:line="240" w:lineRule="auto"/>
        <w:jc w:val="center"/>
        <w:rPr>
          <w:rFonts w:hint="eastAsia"/>
          <w:sz w:val="30"/>
          <w:szCs w:val="30"/>
        </w:rPr>
      </w:pPr>
    </w:p>
    <w:p>
      <w:pPr>
        <w:rPr>
          <w:rFonts w:hint="eastAsia"/>
          <w:sz w:val="30"/>
          <w:szCs w:val="30"/>
        </w:rPr>
      </w:pPr>
    </w:p>
    <w:p>
      <w:pPr>
        <w:rPr>
          <w:rFonts w:hint="eastAsia"/>
          <w:sz w:val="30"/>
          <w:szCs w:val="30"/>
        </w:rPr>
      </w:pPr>
    </w:p>
    <w:p>
      <w:pPr>
        <w:rPr>
          <w:rFonts w:hint="eastAsia"/>
          <w:sz w:val="30"/>
          <w:szCs w:val="30"/>
        </w:rPr>
      </w:pPr>
    </w:p>
    <w:p>
      <w:pPr>
        <w:pStyle w:val="4"/>
        <w:spacing w:before="0" w:after="0" w:line="400" w:lineRule="exact"/>
        <w:jc w:val="center"/>
        <w:rPr>
          <w:rFonts w:hint="eastAsia"/>
          <w:sz w:val="30"/>
          <w:szCs w:val="30"/>
        </w:rPr>
      </w:pPr>
    </w:p>
    <w:p>
      <w:pPr>
        <w:rPr>
          <w:rFonts w:hint="eastAsia"/>
        </w:rPr>
      </w:pPr>
    </w:p>
    <w:p>
      <w:pPr>
        <w:rPr>
          <w:rFonts w:hint="eastAsia"/>
        </w:rPr>
      </w:pPr>
    </w:p>
    <w:p>
      <w:pPr>
        <w:rPr>
          <w:rFonts w:hint="eastAsia"/>
        </w:rPr>
      </w:pPr>
    </w:p>
    <w:p>
      <w:pPr>
        <w:pStyle w:val="4"/>
        <w:spacing w:before="0" w:after="0" w:line="400" w:lineRule="exact"/>
        <w:jc w:val="center"/>
        <w:rPr>
          <w:rFonts w:hint="eastAsia"/>
          <w:sz w:val="30"/>
          <w:szCs w:val="30"/>
        </w:rPr>
      </w:pPr>
    </w:p>
    <w:p>
      <w:pPr>
        <w:pStyle w:val="4"/>
        <w:spacing w:before="0" w:after="0" w:line="400" w:lineRule="exact"/>
        <w:jc w:val="center"/>
        <w:rPr>
          <w:sz w:val="30"/>
          <w:szCs w:val="30"/>
        </w:rPr>
      </w:pPr>
      <w:r>
        <w:rPr>
          <w:rFonts w:hint="eastAsia"/>
          <w:sz w:val="30"/>
          <w:szCs w:val="30"/>
        </w:rPr>
        <w:t>附　</w:t>
      </w:r>
      <w:r>
        <w:rPr>
          <w:rFonts w:hint="eastAsia"/>
          <w:sz w:val="30"/>
          <w:szCs w:val="30"/>
          <w:lang w:val="en-US" w:eastAsia="zh-CN"/>
        </w:rPr>
        <w:t xml:space="preserve"> </w:t>
      </w:r>
      <w:r>
        <w:rPr>
          <w:rFonts w:hint="eastAsia"/>
          <w:sz w:val="30"/>
          <w:szCs w:val="30"/>
        </w:rPr>
        <w:t>件</w:t>
      </w:r>
      <w:bookmarkEnd w:id="28"/>
    </w:p>
    <w:p/>
    <w:p>
      <w:pPr>
        <w:autoSpaceDE w:val="0"/>
        <w:autoSpaceDN w:val="0"/>
        <w:snapToGrid w:val="0"/>
        <w:spacing w:line="520" w:lineRule="exact"/>
        <w:ind w:left="601" w:leftChars="286" w:right="-340"/>
        <w:textAlignment w:val="bottom"/>
        <w:rPr>
          <w:rFonts w:eastAsia="仿宋_GB2312"/>
          <w:sz w:val="28"/>
        </w:rPr>
      </w:pPr>
      <w:r>
        <w:rPr>
          <w:rFonts w:eastAsia="仿宋_GB2312"/>
          <w:sz w:val="28"/>
        </w:rPr>
        <w:t>1、</w:t>
      </w:r>
      <w:r>
        <w:rPr>
          <w:rFonts w:hint="eastAsia" w:eastAsia="仿宋_GB2312"/>
          <w:sz w:val="28"/>
          <w:lang w:eastAsia="zh-CN"/>
        </w:rPr>
        <w:t>（2022）苏0902法委鉴字第0</w:t>
      </w:r>
      <w:r>
        <w:rPr>
          <w:rFonts w:hint="eastAsia" w:eastAsia="仿宋_GB2312"/>
          <w:sz w:val="28"/>
          <w:lang w:val="en-US" w:eastAsia="zh-CN"/>
        </w:rPr>
        <w:t>575</w:t>
      </w:r>
      <w:r>
        <w:rPr>
          <w:rFonts w:hint="eastAsia" w:eastAsia="仿宋_GB2312"/>
          <w:sz w:val="28"/>
          <w:lang w:eastAsia="zh-CN"/>
        </w:rPr>
        <w:t>号司法鉴定委托书复印件</w:t>
      </w:r>
    </w:p>
    <w:p>
      <w:pPr>
        <w:autoSpaceDE w:val="0"/>
        <w:autoSpaceDN w:val="0"/>
        <w:snapToGrid w:val="0"/>
        <w:spacing w:line="520" w:lineRule="exact"/>
        <w:ind w:left="601" w:leftChars="286" w:right="-340"/>
        <w:textAlignment w:val="bottom"/>
        <w:rPr>
          <w:rFonts w:eastAsia="仿宋_GB2312"/>
          <w:sz w:val="28"/>
        </w:rPr>
      </w:pPr>
      <w:r>
        <w:rPr>
          <w:rFonts w:hint="eastAsia" w:eastAsia="仿宋_GB2312"/>
          <w:sz w:val="28"/>
        </w:rPr>
        <w:t>2、</w:t>
      </w:r>
      <w:r>
        <w:rPr>
          <w:rFonts w:hint="eastAsia" w:eastAsia="仿宋_GB2312"/>
          <w:sz w:val="28"/>
          <w:lang w:eastAsia="zh-CN"/>
        </w:rPr>
        <w:t>《房地产权结果信息一览表》</w:t>
      </w:r>
      <w:r>
        <w:rPr>
          <w:rFonts w:eastAsia="仿宋_GB2312"/>
          <w:sz w:val="28"/>
        </w:rPr>
        <w:t>复印件</w:t>
      </w:r>
    </w:p>
    <w:p>
      <w:pPr>
        <w:autoSpaceDE w:val="0"/>
        <w:autoSpaceDN w:val="0"/>
        <w:snapToGrid w:val="0"/>
        <w:spacing w:line="520" w:lineRule="exact"/>
        <w:ind w:left="601" w:leftChars="286" w:right="-340"/>
        <w:textAlignment w:val="bottom"/>
        <w:rPr>
          <w:rFonts w:eastAsia="仿宋_GB2312"/>
          <w:sz w:val="28"/>
        </w:rPr>
      </w:pPr>
      <w:r>
        <w:rPr>
          <w:rFonts w:hint="eastAsia" w:eastAsia="仿宋_GB2312"/>
          <w:sz w:val="28"/>
        </w:rPr>
        <w:t>3、估价对象现状照片</w:t>
      </w:r>
    </w:p>
    <w:p>
      <w:pPr>
        <w:autoSpaceDE w:val="0"/>
        <w:autoSpaceDN w:val="0"/>
        <w:snapToGrid w:val="0"/>
        <w:spacing w:line="520" w:lineRule="exact"/>
        <w:ind w:left="601" w:leftChars="286" w:right="-340"/>
        <w:textAlignment w:val="bottom"/>
        <w:rPr>
          <w:rFonts w:eastAsia="仿宋_GB2312"/>
          <w:sz w:val="28"/>
        </w:rPr>
      </w:pPr>
      <w:r>
        <w:rPr>
          <w:rFonts w:hint="eastAsia" w:eastAsia="仿宋_GB2312"/>
          <w:sz w:val="28"/>
        </w:rPr>
        <w:t>4、估价对象区域位置示意图</w:t>
      </w:r>
    </w:p>
    <w:p>
      <w:pPr>
        <w:autoSpaceDE w:val="0"/>
        <w:autoSpaceDN w:val="0"/>
        <w:snapToGrid w:val="0"/>
        <w:spacing w:line="520" w:lineRule="exact"/>
        <w:ind w:left="601" w:leftChars="286" w:right="-340"/>
        <w:textAlignment w:val="bottom"/>
        <w:rPr>
          <w:rFonts w:eastAsia="仿宋_GB2312"/>
          <w:sz w:val="28"/>
        </w:rPr>
      </w:pPr>
      <w:r>
        <w:rPr>
          <w:rFonts w:hint="eastAsia" w:eastAsia="仿宋_GB2312"/>
          <w:sz w:val="28"/>
        </w:rPr>
        <w:t>5</w:t>
      </w:r>
      <w:r>
        <w:rPr>
          <w:rFonts w:eastAsia="仿宋_GB2312"/>
          <w:sz w:val="28"/>
        </w:rPr>
        <w:t>、</w:t>
      </w:r>
      <w:r>
        <w:rPr>
          <w:rFonts w:hint="eastAsia" w:eastAsia="仿宋_GB2312"/>
          <w:sz w:val="28"/>
        </w:rPr>
        <w:t>房地产</w:t>
      </w:r>
      <w:r>
        <w:rPr>
          <w:rFonts w:eastAsia="仿宋_GB2312"/>
          <w:sz w:val="28"/>
        </w:rPr>
        <w:t>估价机构营业执照复印件</w:t>
      </w:r>
    </w:p>
    <w:p>
      <w:pPr>
        <w:autoSpaceDE w:val="0"/>
        <w:autoSpaceDN w:val="0"/>
        <w:snapToGrid w:val="0"/>
        <w:spacing w:line="520" w:lineRule="exact"/>
        <w:ind w:left="1129" w:leftChars="271" w:right="-340" w:hanging="560" w:hangingChars="200"/>
        <w:textAlignment w:val="bottom"/>
        <w:rPr>
          <w:rFonts w:eastAsia="仿宋_GB2312"/>
          <w:sz w:val="28"/>
        </w:rPr>
      </w:pPr>
      <w:r>
        <w:rPr>
          <w:rFonts w:hint="eastAsia" w:eastAsia="仿宋_GB2312"/>
          <w:sz w:val="28"/>
        </w:rPr>
        <w:t>6</w:t>
      </w:r>
      <w:r>
        <w:rPr>
          <w:rFonts w:eastAsia="仿宋_GB2312"/>
          <w:sz w:val="28"/>
        </w:rPr>
        <w:t>、</w:t>
      </w:r>
      <w:r>
        <w:rPr>
          <w:rFonts w:hint="eastAsia" w:eastAsia="仿宋_GB2312"/>
          <w:sz w:val="28"/>
        </w:rPr>
        <w:t>房地产</w:t>
      </w:r>
      <w:r>
        <w:rPr>
          <w:rFonts w:eastAsia="仿宋_GB2312"/>
          <w:sz w:val="28"/>
        </w:rPr>
        <w:t>估价机构</w:t>
      </w:r>
      <w:r>
        <w:rPr>
          <w:rFonts w:hint="eastAsia" w:eastAsia="仿宋_GB2312"/>
          <w:sz w:val="28"/>
          <w:lang w:eastAsia="zh-CN"/>
        </w:rPr>
        <w:t>备案</w:t>
      </w:r>
      <w:r>
        <w:rPr>
          <w:rFonts w:eastAsia="仿宋_GB2312"/>
          <w:sz w:val="28"/>
        </w:rPr>
        <w:t>证书复印件</w:t>
      </w:r>
    </w:p>
    <w:p>
      <w:pPr>
        <w:autoSpaceDE w:val="0"/>
        <w:autoSpaceDN w:val="0"/>
        <w:snapToGrid w:val="0"/>
        <w:spacing w:line="520" w:lineRule="exact"/>
        <w:ind w:left="1129" w:leftChars="271" w:right="-340" w:hanging="560" w:hangingChars="200"/>
        <w:textAlignment w:val="bottom"/>
        <w:rPr>
          <w:rFonts w:eastAsia="仿宋_GB2312"/>
          <w:sz w:val="28"/>
        </w:rPr>
      </w:pPr>
      <w:r>
        <w:rPr>
          <w:rFonts w:hint="eastAsia" w:eastAsia="仿宋_GB2312"/>
          <w:sz w:val="28"/>
        </w:rPr>
        <w:t>7</w:t>
      </w:r>
      <w:r>
        <w:rPr>
          <w:rFonts w:eastAsia="仿宋_GB2312"/>
          <w:sz w:val="28"/>
        </w:rPr>
        <w:t>、</w:t>
      </w:r>
      <w:r>
        <w:rPr>
          <w:rFonts w:hint="eastAsia" w:eastAsia="仿宋_GB2312"/>
          <w:sz w:val="28"/>
        </w:rPr>
        <w:t>注册</w:t>
      </w:r>
      <w:r>
        <w:rPr>
          <w:rFonts w:eastAsia="仿宋_GB2312"/>
          <w:sz w:val="28"/>
        </w:rPr>
        <w:t>房地产估价师资格证书复印件</w:t>
      </w:r>
    </w:p>
    <w:p>
      <w:pPr>
        <w:autoSpaceDE w:val="0"/>
        <w:autoSpaceDN w:val="0"/>
        <w:snapToGrid w:val="0"/>
        <w:spacing w:line="520" w:lineRule="exact"/>
        <w:ind w:left="1129" w:leftChars="271" w:right="-340" w:hanging="560" w:hangingChars="200"/>
        <w:textAlignment w:val="bottom"/>
        <w:rPr>
          <w:rFonts w:hint="default" w:eastAsia="仿宋_GB2312"/>
          <w:sz w:val="28"/>
          <w:lang w:val="en-US" w:eastAsia="zh-CN"/>
        </w:rPr>
      </w:pPr>
      <w:r>
        <w:rPr>
          <w:rFonts w:hint="eastAsia" w:eastAsia="仿宋_GB2312"/>
          <w:sz w:val="28"/>
          <w:lang w:val="en-US" w:eastAsia="zh-CN"/>
        </w:rPr>
        <w:t>8、可移动物品评估明细表</w:t>
      </w: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eastAsia="仿宋_GB2312"/>
          <w:sz w:val="32"/>
          <w:szCs w:val="32"/>
        </w:rPr>
      </w:pPr>
    </w:p>
    <w:p>
      <w:pPr>
        <w:jc w:val="center"/>
        <w:rPr>
          <w:rFonts w:hint="eastAsia" w:eastAsia="仿宋_GB2312"/>
          <w:sz w:val="32"/>
          <w:szCs w:val="32"/>
        </w:rPr>
      </w:pPr>
    </w:p>
    <w:p>
      <w:pPr>
        <w:jc w:val="center"/>
        <w:rPr>
          <w:rFonts w:hint="eastAsia" w:eastAsia="仿宋_GB2312"/>
          <w:sz w:val="32"/>
          <w:szCs w:val="32"/>
        </w:rPr>
      </w:pPr>
    </w:p>
    <w:p>
      <w:pPr>
        <w:jc w:val="center"/>
        <w:rPr>
          <w:rFonts w:hint="eastAsia" w:eastAsia="仿宋_GB2312"/>
          <w:sz w:val="32"/>
          <w:szCs w:val="32"/>
        </w:rPr>
      </w:pPr>
    </w:p>
    <w:p>
      <w:pPr>
        <w:jc w:val="center"/>
        <w:rPr>
          <w:rFonts w:eastAsia="仿宋_GB2312"/>
          <w:sz w:val="32"/>
          <w:szCs w:val="32"/>
        </w:rPr>
      </w:pPr>
      <w:r>
        <w:rPr>
          <w:rFonts w:hint="eastAsia" w:eastAsia="仿宋_GB2312"/>
          <w:sz w:val="32"/>
          <w:szCs w:val="32"/>
        </w:rPr>
        <w:t>估价对象位置示意图</w:t>
      </w:r>
    </w:p>
    <w:p>
      <w:pPr>
        <w:autoSpaceDE w:val="0"/>
        <w:autoSpaceDN w:val="0"/>
        <w:snapToGrid w:val="0"/>
        <w:spacing w:line="520" w:lineRule="exact"/>
        <w:ind w:left="1129" w:leftChars="271" w:right="-340" w:hanging="560" w:hangingChars="200"/>
        <w:textAlignment w:val="bottom"/>
        <w:rPr>
          <w:rFonts w:eastAsia="仿宋_GB2312"/>
          <w:sz w:val="28"/>
        </w:rPr>
      </w:pPr>
    </w:p>
    <w:p>
      <w:pPr>
        <w:rPr>
          <w:rFonts w:hint="eastAsia" w:eastAsia="仿宋_GB2312"/>
          <w:b/>
          <w:bCs/>
          <w:sz w:val="32"/>
          <w:lang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2687955</wp:posOffset>
                </wp:positionH>
                <wp:positionV relativeFrom="paragraph">
                  <wp:posOffset>1536700</wp:posOffset>
                </wp:positionV>
                <wp:extent cx="1029970" cy="478155"/>
                <wp:effectExtent l="72390" t="12700" r="25400" b="255905"/>
                <wp:wrapNone/>
                <wp:docPr id="14" name="圆角矩形标注 14"/>
                <wp:cNvGraphicFramePr/>
                <a:graphic xmlns:a="http://schemas.openxmlformats.org/drawingml/2006/main">
                  <a:graphicData uri="http://schemas.microsoft.com/office/word/2010/wordprocessingShape">
                    <wps:wsp>
                      <wps:cNvSpPr/>
                      <wps:spPr>
                        <a:xfrm>
                          <a:off x="3596005" y="3899535"/>
                          <a:ext cx="1029970" cy="478155"/>
                        </a:xfrm>
                        <a:prstGeom prst="wedgeRoundRectCallout">
                          <a:avLst>
                            <a:gd name="adj1" fmla="val -55820"/>
                            <a:gd name="adj2" fmla="val 100711"/>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default" w:eastAsia="宋体"/>
                                <w:lang w:val="en-US" w:eastAsia="zh-CN"/>
                              </w:rPr>
                            </w:pPr>
                            <w:r>
                              <w:rPr>
                                <w:rFonts w:hint="eastAsia"/>
                                <w:lang w:val="en-US" w:eastAsia="zh-CN"/>
                              </w:rPr>
                              <w:t>估价对象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211.65pt;margin-top:121pt;height:37.65pt;width:81.1pt;z-index:251660288;v-text-anchor:middle;mso-width-relative:page;mso-height-relative:page;" fillcolor="#4F81BD [3204]" filled="t" stroked="t" coordsize="21600,21600" o:gfxdata="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" adj="-1257,32554,14400">
                <v:fill on="t" focussize="0,0"/>
                <v:stroke weight="2pt" color="#385D8A [3204]" joinstyle="round"/>
                <v:imagedata o:title=""/>
                <o:lock v:ext="edit" aspectratio="f"/>
                <v:textbox>
                  <w:txbxContent>
                    <w:p>
                      <w:pPr>
                        <w:jc w:val="center"/>
                        <w:rPr>
                          <w:rFonts w:hint="default" w:eastAsia="宋体"/>
                          <w:lang w:val="en-US" w:eastAsia="zh-CN"/>
                        </w:rPr>
                      </w:pPr>
                      <w:r>
                        <w:rPr>
                          <w:rFonts w:hint="eastAsia"/>
                          <w:lang w:val="en-US" w:eastAsia="zh-CN"/>
                        </w:rPr>
                        <w:t>估价对象</w:t>
                      </w:r>
                    </w:p>
                  </w:txbxContent>
                </v:textbox>
              </v:shape>
            </w:pict>
          </mc:Fallback>
        </mc:AlternateContent>
      </w:r>
      <w:r>
        <w:rPr>
          <w:rFonts w:eastAsia="仿宋_GB2312"/>
          <w:sz w:val="32"/>
          <w:szCs w:val="32"/>
        </w:rPr>
        <w:drawing>
          <wp:inline distT="0" distB="0" distL="114300" distR="114300">
            <wp:extent cx="5554980" cy="4290060"/>
            <wp:effectExtent l="0" t="0" r="7620" b="7620"/>
            <wp:docPr id="2" name="图片 2" descr="1666691154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66691154529"/>
                    <pic:cNvPicPr>
                      <a:picLocks noChangeAspect="1"/>
                    </pic:cNvPicPr>
                  </pic:nvPicPr>
                  <pic:blipFill>
                    <a:blip r:embed="rId17"/>
                    <a:stretch>
                      <a:fillRect/>
                    </a:stretch>
                  </pic:blipFill>
                  <pic:spPr>
                    <a:xfrm>
                      <a:off x="0" y="0"/>
                      <a:ext cx="5554980" cy="4290060"/>
                    </a:xfrm>
                    <a:prstGeom prst="rect">
                      <a:avLst/>
                    </a:prstGeom>
                  </pic:spPr>
                </pic:pic>
              </a:graphicData>
            </a:graphic>
          </wp:inline>
        </w:drawing>
      </w:r>
      <w:r>
        <w:rPr>
          <w:rFonts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3928110</wp:posOffset>
                </wp:positionH>
                <wp:positionV relativeFrom="paragraph">
                  <wp:posOffset>-3288030</wp:posOffset>
                </wp:positionV>
                <wp:extent cx="1238250" cy="428625"/>
                <wp:effectExtent l="299085" t="3175" r="5715" b="63500"/>
                <wp:wrapNone/>
                <wp:docPr id="1" name="自选图形 29"/>
                <wp:cNvGraphicFramePr/>
                <a:graphic xmlns:a="http://schemas.openxmlformats.org/drawingml/2006/main">
                  <a:graphicData uri="http://schemas.microsoft.com/office/word/2010/wordprocessingShape">
                    <wps:wsp>
                      <wps:cNvSpPr/>
                      <wps:spPr>
                        <a:xfrm>
                          <a:off x="0" y="0"/>
                          <a:ext cx="1238250" cy="428625"/>
                        </a:xfrm>
                        <a:prstGeom prst="cloudCallout">
                          <a:avLst>
                            <a:gd name="adj1" fmla="val -72819"/>
                            <a:gd name="adj2" fmla="val 57111"/>
                          </a:avLst>
                        </a:prstGeom>
                        <a:solidFill>
                          <a:srgbClr val="FFFFFF"/>
                        </a:solidFill>
                        <a:ln w="9525" cap="flat" cmpd="sng">
                          <a:solidFill>
                            <a:srgbClr val="000000"/>
                          </a:solidFill>
                          <a:prstDash val="solid"/>
                          <a:headEnd type="none" w="med" len="med"/>
                          <a:tailEnd type="none" w="med" len="med"/>
                        </a:ln>
                      </wps:spPr>
                      <wps:txbx>
                        <w:txbxContent>
                          <w:p>
                            <w:pPr>
                              <w:rPr>
                                <w:b/>
                              </w:rPr>
                            </w:pPr>
                            <w:r>
                              <w:rPr>
                                <w:rFonts w:hint="eastAsia"/>
                                <w:b/>
                                <w:sz w:val="15"/>
                                <w:szCs w:val="15"/>
                              </w:rPr>
                              <w:t>估价对象位置</w:t>
                            </w:r>
                          </w:p>
                        </w:txbxContent>
                      </wps:txbx>
                      <wps:bodyPr upright="1"/>
                    </wps:wsp>
                  </a:graphicData>
                </a:graphic>
              </wp:anchor>
            </w:drawing>
          </mc:Choice>
          <mc:Fallback>
            <w:pict>
              <v:shape id="自选图形 29" o:spid="_x0000_s1026" o:spt="106" type="#_x0000_t106" style="position:absolute;left:0pt;margin-left:309.3pt;margin-top:-258.9pt;height:33.75pt;width:97.5pt;z-index:251659264;mso-width-relative:page;mso-height-relative:page;" fillcolor="#FFFFFF" filled="t" stroked="t" coordsize="21600,21600" o:gfxdata="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glqWBdoAAAANAQAADwAAAAAAAAABACAAAAAiAAAAZHJzL2Rvd25yZXYu&#10;eG1sUEsBAhQAFAAAAAgAh07iQMQqGjAyAgAAgAQAAA4AAAAAAAAAAQAgAAAAKQEAAGRycy9lMm9E&#10;b2MueG1sUEsFBgAAAAAGAAYAWQEAAM0FAAAAAA==&#10;" adj="-4929,23136">
                <v:fill on="t" focussize="0,0"/>
                <v:stroke color="#000000" joinstyle="round"/>
                <v:imagedata o:title=""/>
                <o:lock v:ext="edit" aspectratio="f"/>
                <v:textbox>
                  <w:txbxContent>
                    <w:p>
                      <w:pPr>
                        <w:rPr>
                          <w:b/>
                        </w:rPr>
                      </w:pPr>
                      <w:r>
                        <w:rPr>
                          <w:rFonts w:hint="eastAsia"/>
                          <w:b/>
                          <w:sz w:val="15"/>
                          <w:szCs w:val="15"/>
                        </w:rPr>
                        <w:t>估价对象位置</w:t>
                      </w:r>
                    </w:p>
                  </w:txbxContent>
                </v:textbox>
              </v:shape>
            </w:pict>
          </mc:Fallback>
        </mc:AlternateContent>
      </w:r>
    </w:p>
    <w:p>
      <w:pPr>
        <w:autoSpaceDE w:val="0"/>
        <w:autoSpaceDN w:val="0"/>
        <w:snapToGrid w:val="0"/>
        <w:spacing w:line="520" w:lineRule="exact"/>
        <w:ind w:right="-340"/>
        <w:textAlignment w:val="bottom"/>
        <w:rPr>
          <w:rFonts w:eastAsia="仿宋_GB2312"/>
          <w:sz w:val="28"/>
        </w:rPr>
      </w:pPr>
    </w:p>
    <w:p>
      <w:pPr>
        <w:tabs>
          <w:tab w:val="left" w:pos="3984"/>
        </w:tabs>
        <w:autoSpaceDE w:val="0"/>
        <w:autoSpaceDN w:val="0"/>
        <w:snapToGrid w:val="0"/>
        <w:spacing w:line="520" w:lineRule="exact"/>
        <w:ind w:right="-340"/>
        <w:textAlignment w:val="bottom"/>
        <w:rPr>
          <w:rFonts w:eastAsia="仿宋_GB2312"/>
          <w:sz w:val="28"/>
        </w:rPr>
      </w:pPr>
      <w:r>
        <w:rPr>
          <w:rFonts w:eastAsia="仿宋_GB2312"/>
          <w:sz w:val="28"/>
        </w:rPr>
        <w:tab/>
      </w:r>
    </w:p>
    <w:p>
      <w:pPr>
        <w:autoSpaceDE w:val="0"/>
        <w:autoSpaceDN w:val="0"/>
        <w:snapToGrid w:val="0"/>
        <w:spacing w:line="520" w:lineRule="exact"/>
        <w:ind w:right="-340"/>
        <w:textAlignment w:val="bottom"/>
        <w:rPr>
          <w:rFonts w:eastAsia="仿宋_GB2312"/>
          <w:sz w:val="28"/>
        </w:rPr>
      </w:pPr>
    </w:p>
    <w:p>
      <w:pPr>
        <w:autoSpaceDE w:val="0"/>
        <w:autoSpaceDN w:val="0"/>
        <w:snapToGrid w:val="0"/>
        <w:spacing w:line="520" w:lineRule="exact"/>
        <w:ind w:right="-340"/>
        <w:textAlignment w:val="bottom"/>
        <w:rPr>
          <w:rFonts w:eastAsia="仿宋_GB2312"/>
          <w:sz w:val="28"/>
        </w:rPr>
      </w:pPr>
    </w:p>
    <w:p>
      <w:pPr>
        <w:autoSpaceDE w:val="0"/>
        <w:autoSpaceDN w:val="0"/>
        <w:snapToGrid w:val="0"/>
        <w:spacing w:line="520" w:lineRule="exact"/>
        <w:ind w:right="-340"/>
        <w:textAlignment w:val="bottom"/>
        <w:rPr>
          <w:rFonts w:eastAsia="仿宋_GB2312"/>
          <w:sz w:val="28"/>
        </w:rPr>
      </w:pPr>
    </w:p>
    <w:p>
      <w:pPr>
        <w:autoSpaceDE w:val="0"/>
        <w:autoSpaceDN w:val="0"/>
        <w:snapToGrid w:val="0"/>
        <w:spacing w:line="520" w:lineRule="exact"/>
        <w:ind w:right="-340"/>
        <w:textAlignment w:val="bottom"/>
        <w:rPr>
          <w:rFonts w:eastAsia="仿宋_GB2312"/>
          <w:sz w:val="28"/>
        </w:rPr>
      </w:pPr>
    </w:p>
    <w:p>
      <w:pPr>
        <w:autoSpaceDE w:val="0"/>
        <w:autoSpaceDN w:val="0"/>
        <w:snapToGrid w:val="0"/>
        <w:spacing w:line="520" w:lineRule="exact"/>
        <w:ind w:right="-340"/>
        <w:textAlignment w:val="bottom"/>
        <w:rPr>
          <w:rFonts w:eastAsia="仿宋_GB2312"/>
          <w:sz w:val="28"/>
        </w:rPr>
      </w:pPr>
    </w:p>
    <w:p>
      <w:pPr>
        <w:autoSpaceDE w:val="0"/>
        <w:autoSpaceDN w:val="0"/>
        <w:snapToGrid w:val="0"/>
        <w:spacing w:line="520" w:lineRule="exact"/>
        <w:ind w:right="-340"/>
        <w:textAlignment w:val="bottom"/>
        <w:rPr>
          <w:rFonts w:eastAsia="仿宋_GB2312"/>
          <w:sz w:val="28"/>
        </w:rPr>
      </w:pPr>
    </w:p>
    <w:p>
      <w:pPr>
        <w:jc w:val="center"/>
        <w:rPr>
          <w:rFonts w:eastAsia="仿宋_GB2312"/>
          <w:b/>
          <w:bCs/>
          <w:sz w:val="32"/>
          <w:szCs w:val="32"/>
        </w:rPr>
      </w:pPr>
      <w:r>
        <w:rPr>
          <w:rFonts w:hint="eastAsia" w:eastAsia="仿宋_GB2312"/>
          <w:b/>
          <w:bCs/>
          <w:sz w:val="32"/>
          <w:szCs w:val="32"/>
        </w:rPr>
        <w:t>估价对象现状照片</w:t>
      </w:r>
    </w:p>
    <w:p>
      <w:pPr>
        <w:jc w:val="left"/>
        <w:rPr>
          <w:rFonts w:hint="eastAsia" w:eastAsia="仿宋_GB2312"/>
          <w:b/>
          <w:bCs/>
          <w:sz w:val="24"/>
          <w:lang w:eastAsia="zh-CN"/>
        </w:rPr>
      </w:pPr>
      <w:r>
        <w:rPr>
          <w:rFonts w:hint="eastAsia" w:eastAsia="仿宋_GB2312"/>
          <w:b/>
          <w:bCs/>
          <w:sz w:val="24"/>
        </w:rPr>
        <w:t>坐落：</w:t>
      </w:r>
      <w:r>
        <w:rPr>
          <w:rFonts w:hint="eastAsia" w:eastAsia="仿宋_GB2312"/>
          <w:b/>
          <w:bCs/>
          <w:sz w:val="24"/>
          <w:lang w:eastAsia="zh-CN"/>
        </w:rPr>
        <w:t>市区开华夏绿城A9幢505室、22室</w:t>
      </w:r>
    </w:p>
    <w:tbl>
      <w:tblPr>
        <w:tblStyle w:val="17"/>
        <w:tblW w:w="104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441"/>
        <w:gridCol w:w="3515"/>
        <w:gridCol w:w="35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4" w:hRule="atLeast"/>
          <w:jc w:val="center"/>
        </w:trPr>
        <w:tc>
          <w:tcPr>
            <w:tcW w:w="3441" w:type="dxa"/>
            <w:tcBorders>
              <w:tl2br w:val="nil"/>
              <w:tr2bl w:val="nil"/>
            </w:tcBorders>
            <w:vAlign w:val="center"/>
          </w:tcPr>
          <w:p>
            <w:pPr>
              <w:rPr>
                <w:rFonts w:hint="eastAsia" w:eastAsia="仿宋_GB2312"/>
                <w:b/>
                <w:bCs/>
                <w:sz w:val="32"/>
                <w:szCs w:val="32"/>
                <w:lang w:eastAsia="zh-CN"/>
              </w:rPr>
            </w:pPr>
            <w:r>
              <w:rPr>
                <w:rFonts w:hint="eastAsia" w:eastAsia="仿宋_GB2312"/>
                <w:b/>
                <w:bCs/>
                <w:sz w:val="32"/>
                <w:szCs w:val="32"/>
                <w:lang w:eastAsia="zh-CN"/>
              </w:rPr>
              <w:drawing>
                <wp:inline distT="0" distB="0" distL="114300" distR="114300">
                  <wp:extent cx="1926590" cy="2056765"/>
                  <wp:effectExtent l="0" t="0" r="8890" b="635"/>
                  <wp:docPr id="3" name="图片 3" descr="1666694693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66694693677"/>
                          <pic:cNvPicPr>
                            <a:picLocks noChangeAspect="1"/>
                          </pic:cNvPicPr>
                        </pic:nvPicPr>
                        <pic:blipFill>
                          <a:blip r:embed="rId18"/>
                          <a:stretch>
                            <a:fillRect/>
                          </a:stretch>
                        </pic:blipFill>
                        <pic:spPr>
                          <a:xfrm>
                            <a:off x="0" y="0"/>
                            <a:ext cx="1926590" cy="2056765"/>
                          </a:xfrm>
                          <a:prstGeom prst="rect">
                            <a:avLst/>
                          </a:prstGeom>
                        </pic:spPr>
                      </pic:pic>
                    </a:graphicData>
                  </a:graphic>
                </wp:inline>
              </w:drawing>
            </w:r>
          </w:p>
        </w:tc>
        <w:tc>
          <w:tcPr>
            <w:tcW w:w="3515" w:type="dxa"/>
            <w:tcBorders>
              <w:tl2br w:val="nil"/>
              <w:tr2bl w:val="nil"/>
            </w:tcBorders>
            <w:vAlign w:val="center"/>
          </w:tcPr>
          <w:p>
            <w:pPr>
              <w:jc w:val="center"/>
              <w:rPr>
                <w:rFonts w:hint="eastAsia" w:eastAsia="仿宋_GB2312"/>
                <w:b/>
                <w:bCs/>
                <w:sz w:val="32"/>
                <w:szCs w:val="32"/>
                <w:lang w:eastAsia="zh-CN"/>
              </w:rPr>
            </w:pPr>
            <w:r>
              <w:rPr>
                <w:rFonts w:hint="eastAsia" w:eastAsia="仿宋_GB2312"/>
                <w:b/>
                <w:bCs/>
                <w:sz w:val="32"/>
                <w:szCs w:val="32"/>
                <w:lang w:eastAsia="zh-CN"/>
              </w:rPr>
              <w:drawing>
                <wp:inline distT="0" distB="0" distL="114300" distR="114300">
                  <wp:extent cx="2048510" cy="1536065"/>
                  <wp:effectExtent l="0" t="0" r="3175" b="8890"/>
                  <wp:docPr id="4" name="图片 4" descr="IMG_0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0538"/>
                          <pic:cNvPicPr>
                            <a:picLocks noChangeAspect="1"/>
                          </pic:cNvPicPr>
                        </pic:nvPicPr>
                        <pic:blipFill>
                          <a:blip r:embed="rId19"/>
                          <a:stretch>
                            <a:fillRect/>
                          </a:stretch>
                        </pic:blipFill>
                        <pic:spPr>
                          <a:xfrm rot="5400000">
                            <a:off x="0" y="0"/>
                            <a:ext cx="2048510" cy="1536065"/>
                          </a:xfrm>
                          <a:prstGeom prst="rect">
                            <a:avLst/>
                          </a:prstGeom>
                        </pic:spPr>
                      </pic:pic>
                    </a:graphicData>
                  </a:graphic>
                </wp:inline>
              </w:drawing>
            </w:r>
          </w:p>
        </w:tc>
        <w:tc>
          <w:tcPr>
            <w:tcW w:w="3515" w:type="dxa"/>
            <w:tcBorders>
              <w:tl2br w:val="nil"/>
              <w:tr2bl w:val="nil"/>
            </w:tcBorders>
            <w:vAlign w:val="center"/>
          </w:tcPr>
          <w:p>
            <w:pPr>
              <w:tabs>
                <w:tab w:val="left" w:pos="1041"/>
              </w:tabs>
              <w:jc w:val="center"/>
              <w:rPr>
                <w:rFonts w:hint="eastAsia" w:eastAsia="仿宋_GB2312"/>
                <w:b/>
                <w:bCs/>
                <w:sz w:val="32"/>
                <w:szCs w:val="32"/>
                <w:lang w:eastAsia="zh-CN"/>
              </w:rPr>
            </w:pPr>
            <w:r>
              <w:rPr>
                <w:rFonts w:hint="eastAsia" w:eastAsia="仿宋_GB2312"/>
                <w:b/>
                <w:bCs/>
                <w:sz w:val="32"/>
                <w:szCs w:val="32"/>
                <w:lang w:eastAsia="zh-CN"/>
              </w:rPr>
              <w:drawing>
                <wp:inline distT="0" distB="0" distL="114300" distR="114300">
                  <wp:extent cx="2048510" cy="1536065"/>
                  <wp:effectExtent l="0" t="0" r="3175" b="8890"/>
                  <wp:docPr id="5" name="图片 5" descr="IMG_0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0536"/>
                          <pic:cNvPicPr>
                            <a:picLocks noChangeAspect="1"/>
                          </pic:cNvPicPr>
                        </pic:nvPicPr>
                        <pic:blipFill>
                          <a:blip r:embed="rId20"/>
                          <a:stretch>
                            <a:fillRect/>
                          </a:stretch>
                        </pic:blipFill>
                        <pic:spPr>
                          <a:xfrm rot="5400000">
                            <a:off x="0" y="0"/>
                            <a:ext cx="2048510" cy="153606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jc w:val="center"/>
        </w:trPr>
        <w:tc>
          <w:tcPr>
            <w:tcW w:w="3441" w:type="dxa"/>
            <w:tcBorders>
              <w:tl2br w:val="nil"/>
              <w:tr2bl w:val="nil"/>
            </w:tcBorders>
          </w:tcPr>
          <w:p>
            <w:pPr>
              <w:jc w:val="center"/>
              <w:rPr>
                <w:rFonts w:hint="default" w:eastAsia="宋体"/>
                <w:szCs w:val="21"/>
                <w:lang w:val="en-US" w:eastAsia="zh-CN"/>
              </w:rPr>
            </w:pPr>
            <w:r>
              <w:rPr>
                <w:rFonts w:hint="eastAsia"/>
                <w:szCs w:val="21"/>
              </w:rPr>
              <w:t>估价对象</w:t>
            </w:r>
            <w:r>
              <w:rPr>
                <w:rFonts w:hint="eastAsia"/>
                <w:szCs w:val="21"/>
                <w:lang w:val="en-US" w:eastAsia="zh-CN"/>
              </w:rPr>
              <w:t>小区</w:t>
            </w:r>
          </w:p>
        </w:tc>
        <w:tc>
          <w:tcPr>
            <w:tcW w:w="3515" w:type="dxa"/>
            <w:tcBorders>
              <w:tl2br w:val="nil"/>
              <w:tr2bl w:val="nil"/>
            </w:tcBorders>
          </w:tcPr>
          <w:p>
            <w:pPr>
              <w:jc w:val="center"/>
              <w:rPr>
                <w:rFonts w:hint="eastAsia" w:eastAsia="宋体"/>
                <w:szCs w:val="21"/>
                <w:lang w:val="en-US" w:eastAsia="zh-CN"/>
              </w:rPr>
            </w:pPr>
            <w:r>
              <w:rPr>
                <w:rFonts w:hint="eastAsia"/>
                <w:szCs w:val="21"/>
              </w:rPr>
              <w:t>估价对象楼幢外观</w:t>
            </w:r>
            <w:r>
              <w:rPr>
                <w:rFonts w:hint="eastAsia"/>
                <w:szCs w:val="21"/>
                <w:lang w:val="en-US" w:eastAsia="zh-CN"/>
              </w:rPr>
              <w:t>1</w:t>
            </w:r>
          </w:p>
        </w:tc>
        <w:tc>
          <w:tcPr>
            <w:tcW w:w="3515" w:type="dxa"/>
            <w:tcBorders>
              <w:tl2br w:val="nil"/>
              <w:tr2bl w:val="nil"/>
            </w:tcBorders>
          </w:tcPr>
          <w:p>
            <w:pPr>
              <w:jc w:val="center"/>
              <w:rPr>
                <w:rFonts w:hint="eastAsia" w:eastAsia="宋体"/>
                <w:szCs w:val="21"/>
                <w:lang w:val="en-US" w:eastAsia="zh-CN"/>
              </w:rPr>
            </w:pPr>
            <w:r>
              <w:rPr>
                <w:rFonts w:hint="eastAsia"/>
                <w:szCs w:val="21"/>
              </w:rPr>
              <w:t>估价对象楼幢外观</w:t>
            </w:r>
            <w:r>
              <w:rPr>
                <w:rFonts w:hint="eastAsia"/>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4" w:hRule="atLeast"/>
          <w:jc w:val="center"/>
        </w:trPr>
        <w:tc>
          <w:tcPr>
            <w:tcW w:w="3441" w:type="dxa"/>
            <w:tcBorders>
              <w:tl2br w:val="nil"/>
              <w:tr2bl w:val="nil"/>
            </w:tcBorders>
            <w:vAlign w:val="center"/>
          </w:tcPr>
          <w:p>
            <w:pPr>
              <w:jc w:val="center"/>
              <w:rPr>
                <w:rFonts w:hint="eastAsia" w:eastAsia="宋体"/>
                <w:lang w:eastAsia="zh-CN"/>
              </w:rPr>
            </w:pPr>
            <w:r>
              <w:rPr>
                <w:rFonts w:hint="eastAsia" w:eastAsia="宋体"/>
                <w:lang w:eastAsia="zh-CN"/>
              </w:rPr>
              <w:drawing>
                <wp:inline distT="0" distB="0" distL="114300" distR="114300">
                  <wp:extent cx="2720340" cy="1992630"/>
                  <wp:effectExtent l="0" t="0" r="3810" b="7620"/>
                  <wp:docPr id="6" name="图片 6" descr="IMG_0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0539"/>
                          <pic:cNvPicPr>
                            <a:picLocks noChangeAspect="1"/>
                          </pic:cNvPicPr>
                        </pic:nvPicPr>
                        <pic:blipFill>
                          <a:blip r:embed="rId21"/>
                          <a:stretch>
                            <a:fillRect/>
                          </a:stretch>
                        </pic:blipFill>
                        <pic:spPr>
                          <a:xfrm rot="5400000">
                            <a:off x="0" y="0"/>
                            <a:ext cx="2720340" cy="1992630"/>
                          </a:xfrm>
                          <a:prstGeom prst="rect">
                            <a:avLst/>
                          </a:prstGeom>
                        </pic:spPr>
                      </pic:pic>
                    </a:graphicData>
                  </a:graphic>
                </wp:inline>
              </w:drawing>
            </w:r>
          </w:p>
        </w:tc>
        <w:tc>
          <w:tcPr>
            <w:tcW w:w="3515" w:type="dxa"/>
            <w:tcBorders>
              <w:tl2br w:val="nil"/>
              <w:tr2bl w:val="nil"/>
            </w:tcBorders>
            <w:vAlign w:val="center"/>
          </w:tcPr>
          <w:p>
            <w:pPr>
              <w:jc w:val="center"/>
              <w:rPr>
                <w:rFonts w:hint="eastAsia" w:eastAsia="宋体"/>
                <w:lang w:eastAsia="zh-CN"/>
              </w:rPr>
            </w:pPr>
            <w:r>
              <w:rPr>
                <w:rFonts w:hint="eastAsia" w:eastAsia="宋体"/>
                <w:lang w:eastAsia="zh-CN"/>
              </w:rPr>
              <w:drawing>
                <wp:inline distT="0" distB="0" distL="114300" distR="114300">
                  <wp:extent cx="2080895" cy="2740660"/>
                  <wp:effectExtent l="0" t="0" r="6985" b="2540"/>
                  <wp:docPr id="7" name="图片 7" descr="IMG_20221018_09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0221018_091901"/>
                          <pic:cNvPicPr>
                            <a:picLocks noChangeAspect="1"/>
                          </pic:cNvPicPr>
                        </pic:nvPicPr>
                        <pic:blipFill>
                          <a:blip r:embed="rId22"/>
                          <a:stretch>
                            <a:fillRect/>
                          </a:stretch>
                        </pic:blipFill>
                        <pic:spPr>
                          <a:xfrm>
                            <a:off x="0" y="0"/>
                            <a:ext cx="2080895" cy="2740660"/>
                          </a:xfrm>
                          <a:prstGeom prst="rect">
                            <a:avLst/>
                          </a:prstGeom>
                        </pic:spPr>
                      </pic:pic>
                    </a:graphicData>
                  </a:graphic>
                </wp:inline>
              </w:drawing>
            </w:r>
          </w:p>
        </w:tc>
        <w:tc>
          <w:tcPr>
            <w:tcW w:w="3515" w:type="dxa"/>
            <w:tcBorders>
              <w:tl2br w:val="nil"/>
              <w:tr2bl w:val="nil"/>
            </w:tcBorders>
            <w:vAlign w:val="center"/>
          </w:tcPr>
          <w:p>
            <w:pPr>
              <w:jc w:val="center"/>
              <w:rPr>
                <w:rFonts w:hint="eastAsia" w:eastAsia="宋体"/>
                <w:lang w:eastAsia="zh-CN"/>
              </w:rPr>
            </w:pPr>
            <w:r>
              <w:rPr>
                <w:rFonts w:hint="eastAsia" w:eastAsia="宋体"/>
                <w:lang w:eastAsia="zh-CN"/>
              </w:rPr>
              <w:drawing>
                <wp:inline distT="0" distB="0" distL="114300" distR="114300">
                  <wp:extent cx="2067560" cy="2757170"/>
                  <wp:effectExtent l="0" t="0" r="5080" b="1270"/>
                  <wp:docPr id="16" name="图片 16" descr="IMG_20221018_09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IMG_20221018_092010"/>
                          <pic:cNvPicPr>
                            <a:picLocks noChangeAspect="1"/>
                          </pic:cNvPicPr>
                        </pic:nvPicPr>
                        <pic:blipFill>
                          <a:blip r:embed="rId23"/>
                          <a:stretch>
                            <a:fillRect/>
                          </a:stretch>
                        </pic:blipFill>
                        <pic:spPr>
                          <a:xfrm>
                            <a:off x="0" y="0"/>
                            <a:ext cx="2067560" cy="275717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jc w:val="center"/>
        </w:trPr>
        <w:tc>
          <w:tcPr>
            <w:tcW w:w="3441" w:type="dxa"/>
            <w:tcBorders>
              <w:tl2br w:val="nil"/>
              <w:tr2bl w:val="nil"/>
            </w:tcBorders>
          </w:tcPr>
          <w:p>
            <w:pPr>
              <w:jc w:val="center"/>
              <w:rPr>
                <w:rFonts w:hint="eastAsia" w:eastAsia="宋体"/>
                <w:b/>
                <w:bCs/>
                <w:sz w:val="32"/>
                <w:szCs w:val="32"/>
                <w:lang w:eastAsia="zh-CN"/>
              </w:rPr>
            </w:pPr>
            <w:r>
              <w:rPr>
                <w:rFonts w:hint="eastAsia"/>
                <w:szCs w:val="21"/>
              </w:rPr>
              <w:t>估价对象</w:t>
            </w:r>
            <w:r>
              <w:rPr>
                <w:rFonts w:hint="eastAsia"/>
                <w:szCs w:val="21"/>
                <w:lang w:val="en-US" w:eastAsia="zh-CN"/>
              </w:rPr>
              <w:t>A9幢505室</w:t>
            </w:r>
          </w:p>
        </w:tc>
        <w:tc>
          <w:tcPr>
            <w:tcW w:w="3515" w:type="dxa"/>
            <w:tcBorders>
              <w:tl2br w:val="nil"/>
              <w:tr2bl w:val="nil"/>
            </w:tcBorders>
          </w:tcPr>
          <w:p>
            <w:pPr>
              <w:jc w:val="center"/>
              <w:rPr>
                <w:rFonts w:hint="eastAsia" w:eastAsia="宋体"/>
                <w:b/>
                <w:bCs/>
                <w:sz w:val="32"/>
                <w:szCs w:val="32"/>
                <w:lang w:eastAsia="zh-CN"/>
              </w:rPr>
            </w:pPr>
            <w:r>
              <w:rPr>
                <w:rFonts w:hint="eastAsia"/>
              </w:rPr>
              <w:t>估价对象</w:t>
            </w:r>
            <w:r>
              <w:rPr>
                <w:rFonts w:hint="eastAsia"/>
                <w:lang w:val="en-US" w:eastAsia="zh-CN"/>
              </w:rPr>
              <w:t>室内</w:t>
            </w:r>
          </w:p>
        </w:tc>
        <w:tc>
          <w:tcPr>
            <w:tcW w:w="3515" w:type="dxa"/>
            <w:tcBorders>
              <w:tl2br w:val="nil"/>
              <w:tr2bl w:val="nil"/>
            </w:tcBorders>
          </w:tcPr>
          <w:p>
            <w:pPr>
              <w:jc w:val="center"/>
              <w:rPr>
                <w:rFonts w:hint="eastAsia" w:eastAsia="宋体"/>
                <w:b/>
                <w:bCs/>
                <w:sz w:val="32"/>
                <w:szCs w:val="32"/>
                <w:lang w:val="en-US" w:eastAsia="zh-CN"/>
              </w:rPr>
            </w:pPr>
            <w:r>
              <w:rPr>
                <w:rFonts w:hint="eastAsia"/>
              </w:rPr>
              <w:t>估价对象</w:t>
            </w:r>
            <w:r>
              <w:rPr>
                <w:rFonts w:hint="eastAsia"/>
                <w:lang w:val="en-US" w:eastAsia="zh-CN"/>
              </w:rPr>
              <w:t>室内</w:t>
            </w:r>
          </w:p>
        </w:tc>
      </w:tr>
    </w:tbl>
    <w:p>
      <w:pPr>
        <w:autoSpaceDE w:val="0"/>
        <w:autoSpaceDN w:val="0"/>
        <w:snapToGrid w:val="0"/>
        <w:spacing w:line="300" w:lineRule="exact"/>
        <w:ind w:right="-340"/>
        <w:jc w:val="left"/>
        <w:textAlignment w:val="bottom"/>
        <w:rPr>
          <w:rFonts w:eastAsia="仿宋_GB2312"/>
          <w:sz w:val="28"/>
        </w:rPr>
      </w:pPr>
    </w:p>
    <w:sectPr>
      <w:headerReference r:id="rId3" w:type="default"/>
      <w:footerReference r:id="rId4" w:type="default"/>
      <w:footerReference r:id="rId5" w:type="even"/>
      <w:pgSz w:w="11906" w:h="16838"/>
      <w:pgMar w:top="1440" w:right="1134" w:bottom="1134" w:left="1417" w:header="851" w:footer="992" w:gutter="0"/>
      <w:pgBorders>
        <w:top w:val="none" w:sz="0" w:space="0"/>
        <w:left w:val="none" w:sz="0" w:space="0"/>
        <w:bottom w:val="none" w:sz="0" w:space="0"/>
        <w:right w:val="none" w:sz="0" w:space="0"/>
      </w:pgBorders>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page" w:x="5398" w:y="25"/>
      <w:rPr>
        <w:rStyle w:val="21"/>
      </w:rPr>
    </w:pPr>
    <w:r>
      <w:rPr>
        <w:rStyle w:val="21"/>
        <w:rFonts w:hint="eastAsia"/>
      </w:rPr>
      <w:t>第</w:t>
    </w:r>
    <w:r>
      <w:rPr>
        <w:rStyle w:val="21"/>
      </w:rPr>
      <w:t xml:space="preserve"> </w:t>
    </w:r>
    <w:r>
      <w:fldChar w:fldCharType="begin"/>
    </w:r>
    <w:r>
      <w:rPr>
        <w:rStyle w:val="21"/>
      </w:rPr>
      <w:instrText xml:space="preserve"> PAGE </w:instrText>
    </w:r>
    <w:r>
      <w:fldChar w:fldCharType="separate"/>
    </w:r>
    <w:r>
      <w:rPr>
        <w:rStyle w:val="21"/>
      </w:rPr>
      <w:t>18</w:t>
    </w:r>
    <w:r>
      <w:fldChar w:fldCharType="end"/>
    </w:r>
    <w:r>
      <w:rPr>
        <w:rStyle w:val="21"/>
      </w:rPr>
      <w:t xml:space="preserve"> </w:t>
    </w:r>
    <w:r>
      <w:rPr>
        <w:rStyle w:val="21"/>
        <w:rFonts w:hint="eastAsia"/>
      </w:rPr>
      <w:t>页</w:t>
    </w:r>
    <w:r>
      <w:rPr>
        <w:rStyle w:val="21"/>
      </w:rPr>
      <w:t xml:space="preserve"> </w:t>
    </w:r>
    <w:r>
      <w:rPr>
        <w:rStyle w:val="21"/>
        <w:rFonts w:hint="eastAsia"/>
      </w:rPr>
      <w:t>共</w:t>
    </w:r>
    <w:r>
      <w:rPr>
        <w:rStyle w:val="21"/>
        <w:rFonts w:hint="eastAsia"/>
        <w:lang w:val="en-US" w:eastAsia="zh-CN"/>
      </w:rPr>
      <w:t>19</w:t>
    </w:r>
    <w:r>
      <w:rPr>
        <w:rStyle w:val="21"/>
        <w:rFonts w:hint="eastAsia"/>
      </w:rPr>
      <w:t>页</w:t>
    </w:r>
  </w:p>
  <w:p>
    <w:pPr>
      <w:pStyle w:val="13"/>
      <w:ind w:right="360"/>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1"/>
      </w:rPr>
    </w:pPr>
    <w:r>
      <w:fldChar w:fldCharType="begin"/>
    </w:r>
    <w:r>
      <w:rPr>
        <w:rStyle w:val="21"/>
      </w:rPr>
      <w:instrText xml:space="preserve">PAGE  </w:instrText>
    </w:r>
    <w: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pPr>
    <w:r>
      <w:rPr>
        <w:rFonts w:hint="eastAsia" w:ascii="楷体_GB2312" w:eastAsia="仿宋_GB2312"/>
        <w:b/>
        <w:spacing w:val="88"/>
        <w:kern w:val="0"/>
        <w:u w:val="double"/>
      </w:rPr>
      <w:t>江苏瑞地土地房地产评估有限公司房地产价值评估报</w:t>
    </w:r>
    <w:r>
      <w:rPr>
        <w:rFonts w:hint="eastAsia" w:ascii="楷体_GB2312" w:eastAsia="仿宋_GB2312"/>
        <w:b/>
        <w:spacing w:val="14"/>
        <w:kern w:val="0"/>
        <w:u w:val="double"/>
      </w:rPr>
      <w:t>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hNGJiMWVmZTg4ZjFhYWZhYWFiMzBkODkwYWRkZmUifQ=="/>
  </w:docVars>
  <w:rsids>
    <w:rsidRoot w:val="006E6C40"/>
    <w:rsid w:val="00005C64"/>
    <w:rsid w:val="00006CF4"/>
    <w:rsid w:val="00013B1A"/>
    <w:rsid w:val="000150A8"/>
    <w:rsid w:val="00023CC3"/>
    <w:rsid w:val="00030E79"/>
    <w:rsid w:val="00034DC2"/>
    <w:rsid w:val="00040077"/>
    <w:rsid w:val="00041FAB"/>
    <w:rsid w:val="00044E56"/>
    <w:rsid w:val="00052C5C"/>
    <w:rsid w:val="00053CA4"/>
    <w:rsid w:val="000566BD"/>
    <w:rsid w:val="000567E0"/>
    <w:rsid w:val="000624B3"/>
    <w:rsid w:val="00066218"/>
    <w:rsid w:val="0007313D"/>
    <w:rsid w:val="00073A16"/>
    <w:rsid w:val="000742F1"/>
    <w:rsid w:val="00081620"/>
    <w:rsid w:val="00081D78"/>
    <w:rsid w:val="00085729"/>
    <w:rsid w:val="000A3555"/>
    <w:rsid w:val="000A65C7"/>
    <w:rsid w:val="000A6FAD"/>
    <w:rsid w:val="000A7365"/>
    <w:rsid w:val="000B05C7"/>
    <w:rsid w:val="000B0637"/>
    <w:rsid w:val="000B38F7"/>
    <w:rsid w:val="000B3BFB"/>
    <w:rsid w:val="000B5353"/>
    <w:rsid w:val="000C038E"/>
    <w:rsid w:val="000C2349"/>
    <w:rsid w:val="000C271D"/>
    <w:rsid w:val="000C3EB3"/>
    <w:rsid w:val="000C4449"/>
    <w:rsid w:val="000C628F"/>
    <w:rsid w:val="000D250F"/>
    <w:rsid w:val="000D2AD4"/>
    <w:rsid w:val="000D4DDC"/>
    <w:rsid w:val="000D5A9D"/>
    <w:rsid w:val="000D6DB5"/>
    <w:rsid w:val="000D7415"/>
    <w:rsid w:val="000E0407"/>
    <w:rsid w:val="000E1740"/>
    <w:rsid w:val="000F1159"/>
    <w:rsid w:val="000F23F2"/>
    <w:rsid w:val="000F5783"/>
    <w:rsid w:val="00101479"/>
    <w:rsid w:val="00101552"/>
    <w:rsid w:val="0011332E"/>
    <w:rsid w:val="00113C83"/>
    <w:rsid w:val="0011783D"/>
    <w:rsid w:val="00127EFE"/>
    <w:rsid w:val="00134177"/>
    <w:rsid w:val="001356CE"/>
    <w:rsid w:val="00140E6E"/>
    <w:rsid w:val="00144AB2"/>
    <w:rsid w:val="00144C92"/>
    <w:rsid w:val="0014505C"/>
    <w:rsid w:val="00150C04"/>
    <w:rsid w:val="00152728"/>
    <w:rsid w:val="00154F90"/>
    <w:rsid w:val="00155F2D"/>
    <w:rsid w:val="0015706A"/>
    <w:rsid w:val="00157B72"/>
    <w:rsid w:val="00160320"/>
    <w:rsid w:val="00164FA1"/>
    <w:rsid w:val="001651DA"/>
    <w:rsid w:val="0017055D"/>
    <w:rsid w:val="00172D58"/>
    <w:rsid w:val="00176C4F"/>
    <w:rsid w:val="00193B04"/>
    <w:rsid w:val="00196C2C"/>
    <w:rsid w:val="0019722E"/>
    <w:rsid w:val="001A6E3F"/>
    <w:rsid w:val="001C3EE4"/>
    <w:rsid w:val="001C5F1D"/>
    <w:rsid w:val="001D3A32"/>
    <w:rsid w:val="001D6B4B"/>
    <w:rsid w:val="001E0A0B"/>
    <w:rsid w:val="001E144D"/>
    <w:rsid w:val="001E1629"/>
    <w:rsid w:val="001F1B30"/>
    <w:rsid w:val="001F278A"/>
    <w:rsid w:val="001F2EC9"/>
    <w:rsid w:val="001F3EBD"/>
    <w:rsid w:val="001F64B2"/>
    <w:rsid w:val="001F6817"/>
    <w:rsid w:val="00207834"/>
    <w:rsid w:val="002211B1"/>
    <w:rsid w:val="002215EA"/>
    <w:rsid w:val="002223BB"/>
    <w:rsid w:val="0022470E"/>
    <w:rsid w:val="00225BA3"/>
    <w:rsid w:val="002306A3"/>
    <w:rsid w:val="002339EE"/>
    <w:rsid w:val="00251EB5"/>
    <w:rsid w:val="0025332C"/>
    <w:rsid w:val="002573AA"/>
    <w:rsid w:val="00260726"/>
    <w:rsid w:val="002701AB"/>
    <w:rsid w:val="00271C58"/>
    <w:rsid w:val="0027308F"/>
    <w:rsid w:val="00273A99"/>
    <w:rsid w:val="002753CF"/>
    <w:rsid w:val="0027673B"/>
    <w:rsid w:val="0029379C"/>
    <w:rsid w:val="00295BA0"/>
    <w:rsid w:val="0029606B"/>
    <w:rsid w:val="0029685D"/>
    <w:rsid w:val="00296934"/>
    <w:rsid w:val="00297AC5"/>
    <w:rsid w:val="002A11EC"/>
    <w:rsid w:val="002A3BAA"/>
    <w:rsid w:val="002B0C3B"/>
    <w:rsid w:val="002B23EF"/>
    <w:rsid w:val="002C0FDF"/>
    <w:rsid w:val="002C4BBC"/>
    <w:rsid w:val="002C4E30"/>
    <w:rsid w:val="002C504B"/>
    <w:rsid w:val="002C7985"/>
    <w:rsid w:val="002D3B8A"/>
    <w:rsid w:val="002D5DCC"/>
    <w:rsid w:val="002E2194"/>
    <w:rsid w:val="002E50AC"/>
    <w:rsid w:val="002E547B"/>
    <w:rsid w:val="002F1B7C"/>
    <w:rsid w:val="002F6013"/>
    <w:rsid w:val="002F7527"/>
    <w:rsid w:val="00304347"/>
    <w:rsid w:val="003076EC"/>
    <w:rsid w:val="00320282"/>
    <w:rsid w:val="003215CD"/>
    <w:rsid w:val="00323963"/>
    <w:rsid w:val="00337142"/>
    <w:rsid w:val="00340EA6"/>
    <w:rsid w:val="003443AE"/>
    <w:rsid w:val="003506E9"/>
    <w:rsid w:val="003564B2"/>
    <w:rsid w:val="00360130"/>
    <w:rsid w:val="00361F82"/>
    <w:rsid w:val="00366F96"/>
    <w:rsid w:val="003672D7"/>
    <w:rsid w:val="00367C5C"/>
    <w:rsid w:val="003823FD"/>
    <w:rsid w:val="00384699"/>
    <w:rsid w:val="003962DB"/>
    <w:rsid w:val="00397A8A"/>
    <w:rsid w:val="003A716D"/>
    <w:rsid w:val="003A7E8C"/>
    <w:rsid w:val="003B2446"/>
    <w:rsid w:val="003B3B36"/>
    <w:rsid w:val="003B6FF6"/>
    <w:rsid w:val="003B7B0F"/>
    <w:rsid w:val="003B7CEF"/>
    <w:rsid w:val="003C0DAA"/>
    <w:rsid w:val="003C1BF3"/>
    <w:rsid w:val="003C3593"/>
    <w:rsid w:val="003C3F0F"/>
    <w:rsid w:val="003C5217"/>
    <w:rsid w:val="003C5BBA"/>
    <w:rsid w:val="003C6AA4"/>
    <w:rsid w:val="003C6EDF"/>
    <w:rsid w:val="003D00CB"/>
    <w:rsid w:val="003D3B98"/>
    <w:rsid w:val="003E28FA"/>
    <w:rsid w:val="003E54D7"/>
    <w:rsid w:val="003E795B"/>
    <w:rsid w:val="003F540E"/>
    <w:rsid w:val="003F7818"/>
    <w:rsid w:val="003F7C06"/>
    <w:rsid w:val="004020F8"/>
    <w:rsid w:val="004029A3"/>
    <w:rsid w:val="004072AF"/>
    <w:rsid w:val="00407FDB"/>
    <w:rsid w:val="00411713"/>
    <w:rsid w:val="004135BF"/>
    <w:rsid w:val="00416C33"/>
    <w:rsid w:val="0041765B"/>
    <w:rsid w:val="00417942"/>
    <w:rsid w:val="0042118F"/>
    <w:rsid w:val="00421B4E"/>
    <w:rsid w:val="00424240"/>
    <w:rsid w:val="00425BD5"/>
    <w:rsid w:val="0042691F"/>
    <w:rsid w:val="00430E51"/>
    <w:rsid w:val="00432111"/>
    <w:rsid w:val="00436091"/>
    <w:rsid w:val="00440E57"/>
    <w:rsid w:val="00444BEC"/>
    <w:rsid w:val="00452FE4"/>
    <w:rsid w:val="00455AF0"/>
    <w:rsid w:val="00456950"/>
    <w:rsid w:val="00456E74"/>
    <w:rsid w:val="00457FE7"/>
    <w:rsid w:val="0046563E"/>
    <w:rsid w:val="0047360E"/>
    <w:rsid w:val="00476497"/>
    <w:rsid w:val="0048217F"/>
    <w:rsid w:val="00490433"/>
    <w:rsid w:val="004945EC"/>
    <w:rsid w:val="004958B8"/>
    <w:rsid w:val="004A0A97"/>
    <w:rsid w:val="004A4B06"/>
    <w:rsid w:val="004A7A80"/>
    <w:rsid w:val="004B0786"/>
    <w:rsid w:val="004B2322"/>
    <w:rsid w:val="004B71F1"/>
    <w:rsid w:val="004C1C33"/>
    <w:rsid w:val="004C4F74"/>
    <w:rsid w:val="004E11EA"/>
    <w:rsid w:val="004E3AB4"/>
    <w:rsid w:val="004E428D"/>
    <w:rsid w:val="004E4ADA"/>
    <w:rsid w:val="004F2A0C"/>
    <w:rsid w:val="004F5C46"/>
    <w:rsid w:val="004F5D61"/>
    <w:rsid w:val="004F65A1"/>
    <w:rsid w:val="00500AE2"/>
    <w:rsid w:val="005014B2"/>
    <w:rsid w:val="00501DC9"/>
    <w:rsid w:val="00503036"/>
    <w:rsid w:val="00504560"/>
    <w:rsid w:val="00506E60"/>
    <w:rsid w:val="00510542"/>
    <w:rsid w:val="00524933"/>
    <w:rsid w:val="00532B7A"/>
    <w:rsid w:val="00537112"/>
    <w:rsid w:val="00540A32"/>
    <w:rsid w:val="00550A51"/>
    <w:rsid w:val="00557933"/>
    <w:rsid w:val="0056256D"/>
    <w:rsid w:val="005635EC"/>
    <w:rsid w:val="00565326"/>
    <w:rsid w:val="005656F5"/>
    <w:rsid w:val="0056763E"/>
    <w:rsid w:val="005758A1"/>
    <w:rsid w:val="00580475"/>
    <w:rsid w:val="0058135A"/>
    <w:rsid w:val="00585FBB"/>
    <w:rsid w:val="00590F70"/>
    <w:rsid w:val="005A18E0"/>
    <w:rsid w:val="005A252C"/>
    <w:rsid w:val="005B164F"/>
    <w:rsid w:val="005C7C7D"/>
    <w:rsid w:val="005D78E5"/>
    <w:rsid w:val="005E153D"/>
    <w:rsid w:val="005E315A"/>
    <w:rsid w:val="005E36FC"/>
    <w:rsid w:val="005E5409"/>
    <w:rsid w:val="005E5A7B"/>
    <w:rsid w:val="005E70CF"/>
    <w:rsid w:val="005F00C1"/>
    <w:rsid w:val="005F2902"/>
    <w:rsid w:val="005F301E"/>
    <w:rsid w:val="005F4BDF"/>
    <w:rsid w:val="005F787F"/>
    <w:rsid w:val="006207C0"/>
    <w:rsid w:val="00624826"/>
    <w:rsid w:val="00626265"/>
    <w:rsid w:val="006323FE"/>
    <w:rsid w:val="00633A3C"/>
    <w:rsid w:val="00642601"/>
    <w:rsid w:val="00645A19"/>
    <w:rsid w:val="00652B0B"/>
    <w:rsid w:val="00654216"/>
    <w:rsid w:val="006556F4"/>
    <w:rsid w:val="00663B3D"/>
    <w:rsid w:val="006657FC"/>
    <w:rsid w:val="00665BFC"/>
    <w:rsid w:val="00667158"/>
    <w:rsid w:val="00677E64"/>
    <w:rsid w:val="006806FB"/>
    <w:rsid w:val="0068230C"/>
    <w:rsid w:val="0068342B"/>
    <w:rsid w:val="00683DD8"/>
    <w:rsid w:val="0069480F"/>
    <w:rsid w:val="00696C8E"/>
    <w:rsid w:val="006A1887"/>
    <w:rsid w:val="006B08BE"/>
    <w:rsid w:val="006B1E7D"/>
    <w:rsid w:val="006B6359"/>
    <w:rsid w:val="006C2163"/>
    <w:rsid w:val="006D1573"/>
    <w:rsid w:val="006D1F2C"/>
    <w:rsid w:val="006D6AEF"/>
    <w:rsid w:val="006E0AF7"/>
    <w:rsid w:val="006E573A"/>
    <w:rsid w:val="006E6C40"/>
    <w:rsid w:val="006E7968"/>
    <w:rsid w:val="006F1B3F"/>
    <w:rsid w:val="006F5304"/>
    <w:rsid w:val="007023B1"/>
    <w:rsid w:val="007030C2"/>
    <w:rsid w:val="007062D7"/>
    <w:rsid w:val="00707981"/>
    <w:rsid w:val="0071474B"/>
    <w:rsid w:val="00716771"/>
    <w:rsid w:val="00717165"/>
    <w:rsid w:val="007206B5"/>
    <w:rsid w:val="00721D94"/>
    <w:rsid w:val="00721E18"/>
    <w:rsid w:val="00725640"/>
    <w:rsid w:val="00732BF3"/>
    <w:rsid w:val="00734663"/>
    <w:rsid w:val="00746352"/>
    <w:rsid w:val="00746F7B"/>
    <w:rsid w:val="00753084"/>
    <w:rsid w:val="007662EA"/>
    <w:rsid w:val="00776EB6"/>
    <w:rsid w:val="00780D55"/>
    <w:rsid w:val="00782FD7"/>
    <w:rsid w:val="00790C12"/>
    <w:rsid w:val="007A4196"/>
    <w:rsid w:val="007A51B4"/>
    <w:rsid w:val="007B37DB"/>
    <w:rsid w:val="007B3AEA"/>
    <w:rsid w:val="007C0539"/>
    <w:rsid w:val="007C33E0"/>
    <w:rsid w:val="007D356F"/>
    <w:rsid w:val="007D6190"/>
    <w:rsid w:val="007D629D"/>
    <w:rsid w:val="007E22FD"/>
    <w:rsid w:val="007E3610"/>
    <w:rsid w:val="007E3769"/>
    <w:rsid w:val="007E4017"/>
    <w:rsid w:val="007E6D72"/>
    <w:rsid w:val="007F3BE7"/>
    <w:rsid w:val="007F4BE0"/>
    <w:rsid w:val="007F6995"/>
    <w:rsid w:val="007F6E50"/>
    <w:rsid w:val="00805B02"/>
    <w:rsid w:val="008137A1"/>
    <w:rsid w:val="00814301"/>
    <w:rsid w:val="00822747"/>
    <w:rsid w:val="0083511B"/>
    <w:rsid w:val="00837B2C"/>
    <w:rsid w:val="0084391B"/>
    <w:rsid w:val="00851D53"/>
    <w:rsid w:val="00854692"/>
    <w:rsid w:val="0085669C"/>
    <w:rsid w:val="00862174"/>
    <w:rsid w:val="00872E98"/>
    <w:rsid w:val="00882B45"/>
    <w:rsid w:val="00892800"/>
    <w:rsid w:val="0089651E"/>
    <w:rsid w:val="00897E07"/>
    <w:rsid w:val="008A14A9"/>
    <w:rsid w:val="008A241F"/>
    <w:rsid w:val="008A7AAF"/>
    <w:rsid w:val="008B231E"/>
    <w:rsid w:val="008B4ED6"/>
    <w:rsid w:val="008B5A81"/>
    <w:rsid w:val="008B6AF3"/>
    <w:rsid w:val="008C0F45"/>
    <w:rsid w:val="008C1123"/>
    <w:rsid w:val="008D1378"/>
    <w:rsid w:val="008D393C"/>
    <w:rsid w:val="008E010D"/>
    <w:rsid w:val="008E2AE3"/>
    <w:rsid w:val="008E777C"/>
    <w:rsid w:val="008F0580"/>
    <w:rsid w:val="008F2DDE"/>
    <w:rsid w:val="008F6699"/>
    <w:rsid w:val="00900E49"/>
    <w:rsid w:val="00907C85"/>
    <w:rsid w:val="009109F3"/>
    <w:rsid w:val="00911C19"/>
    <w:rsid w:val="00913F61"/>
    <w:rsid w:val="00923583"/>
    <w:rsid w:val="009322C8"/>
    <w:rsid w:val="00944781"/>
    <w:rsid w:val="00946DD3"/>
    <w:rsid w:val="00950EF7"/>
    <w:rsid w:val="009545D0"/>
    <w:rsid w:val="00967081"/>
    <w:rsid w:val="009721F5"/>
    <w:rsid w:val="00975F4A"/>
    <w:rsid w:val="00980468"/>
    <w:rsid w:val="00980D64"/>
    <w:rsid w:val="00983C6D"/>
    <w:rsid w:val="00986C44"/>
    <w:rsid w:val="00992AE6"/>
    <w:rsid w:val="00994E2F"/>
    <w:rsid w:val="009A05FA"/>
    <w:rsid w:val="009A1151"/>
    <w:rsid w:val="009A1E3E"/>
    <w:rsid w:val="009A3F08"/>
    <w:rsid w:val="009A63B2"/>
    <w:rsid w:val="009B4AB6"/>
    <w:rsid w:val="009B745A"/>
    <w:rsid w:val="009B785D"/>
    <w:rsid w:val="009C27F5"/>
    <w:rsid w:val="009C4257"/>
    <w:rsid w:val="009C6618"/>
    <w:rsid w:val="009D6417"/>
    <w:rsid w:val="009D6F34"/>
    <w:rsid w:val="009E05A9"/>
    <w:rsid w:val="009E22FC"/>
    <w:rsid w:val="009E294E"/>
    <w:rsid w:val="009F31BC"/>
    <w:rsid w:val="009F70B9"/>
    <w:rsid w:val="00A06C21"/>
    <w:rsid w:val="00A11B24"/>
    <w:rsid w:val="00A11BA1"/>
    <w:rsid w:val="00A11D54"/>
    <w:rsid w:val="00A16E9D"/>
    <w:rsid w:val="00A20815"/>
    <w:rsid w:val="00A2188C"/>
    <w:rsid w:val="00A241A0"/>
    <w:rsid w:val="00A265E6"/>
    <w:rsid w:val="00A31FFF"/>
    <w:rsid w:val="00A412D6"/>
    <w:rsid w:val="00A44A12"/>
    <w:rsid w:val="00A47465"/>
    <w:rsid w:val="00A52786"/>
    <w:rsid w:val="00A56CB7"/>
    <w:rsid w:val="00A572B8"/>
    <w:rsid w:val="00A577F3"/>
    <w:rsid w:val="00A6469B"/>
    <w:rsid w:val="00A65304"/>
    <w:rsid w:val="00A6550F"/>
    <w:rsid w:val="00A712DC"/>
    <w:rsid w:val="00A7781B"/>
    <w:rsid w:val="00A81EBD"/>
    <w:rsid w:val="00A83408"/>
    <w:rsid w:val="00A84AF9"/>
    <w:rsid w:val="00A93918"/>
    <w:rsid w:val="00A942AC"/>
    <w:rsid w:val="00A96CEB"/>
    <w:rsid w:val="00AA6DB2"/>
    <w:rsid w:val="00AB0A1D"/>
    <w:rsid w:val="00AC0133"/>
    <w:rsid w:val="00AC1246"/>
    <w:rsid w:val="00AD59D4"/>
    <w:rsid w:val="00AD6732"/>
    <w:rsid w:val="00AE0E84"/>
    <w:rsid w:val="00AE1F98"/>
    <w:rsid w:val="00AE31B9"/>
    <w:rsid w:val="00AE526B"/>
    <w:rsid w:val="00AE7783"/>
    <w:rsid w:val="00AF206C"/>
    <w:rsid w:val="00B04F92"/>
    <w:rsid w:val="00B0620A"/>
    <w:rsid w:val="00B07A15"/>
    <w:rsid w:val="00B201CC"/>
    <w:rsid w:val="00B2178D"/>
    <w:rsid w:val="00B31355"/>
    <w:rsid w:val="00B43C7F"/>
    <w:rsid w:val="00B444DF"/>
    <w:rsid w:val="00B51CFE"/>
    <w:rsid w:val="00B52709"/>
    <w:rsid w:val="00B57A2E"/>
    <w:rsid w:val="00B600D6"/>
    <w:rsid w:val="00B662AB"/>
    <w:rsid w:val="00B74B60"/>
    <w:rsid w:val="00B80537"/>
    <w:rsid w:val="00B8206C"/>
    <w:rsid w:val="00B83859"/>
    <w:rsid w:val="00B95104"/>
    <w:rsid w:val="00B9567D"/>
    <w:rsid w:val="00BA1C52"/>
    <w:rsid w:val="00BA5648"/>
    <w:rsid w:val="00BA6E2E"/>
    <w:rsid w:val="00BA6EB6"/>
    <w:rsid w:val="00BA7430"/>
    <w:rsid w:val="00BB1FE6"/>
    <w:rsid w:val="00BB5F6E"/>
    <w:rsid w:val="00BB6174"/>
    <w:rsid w:val="00BB6AC4"/>
    <w:rsid w:val="00BC0AA4"/>
    <w:rsid w:val="00BC25C5"/>
    <w:rsid w:val="00BC45C7"/>
    <w:rsid w:val="00BD1005"/>
    <w:rsid w:val="00BD2AE1"/>
    <w:rsid w:val="00BD6A66"/>
    <w:rsid w:val="00BE07C2"/>
    <w:rsid w:val="00BE532D"/>
    <w:rsid w:val="00BF1925"/>
    <w:rsid w:val="00BF5FC8"/>
    <w:rsid w:val="00C06F71"/>
    <w:rsid w:val="00C27379"/>
    <w:rsid w:val="00C348F0"/>
    <w:rsid w:val="00C357DC"/>
    <w:rsid w:val="00C42DBA"/>
    <w:rsid w:val="00C53B2B"/>
    <w:rsid w:val="00C545BB"/>
    <w:rsid w:val="00C55661"/>
    <w:rsid w:val="00C60723"/>
    <w:rsid w:val="00C64EBA"/>
    <w:rsid w:val="00C6543D"/>
    <w:rsid w:val="00C703D9"/>
    <w:rsid w:val="00C73856"/>
    <w:rsid w:val="00C840A7"/>
    <w:rsid w:val="00CA17D3"/>
    <w:rsid w:val="00CA296B"/>
    <w:rsid w:val="00CA3198"/>
    <w:rsid w:val="00CA34FF"/>
    <w:rsid w:val="00CA64D3"/>
    <w:rsid w:val="00CA6E8A"/>
    <w:rsid w:val="00CB4EA6"/>
    <w:rsid w:val="00CC5E68"/>
    <w:rsid w:val="00CC7E49"/>
    <w:rsid w:val="00CD1DC4"/>
    <w:rsid w:val="00CD5E5F"/>
    <w:rsid w:val="00CE1545"/>
    <w:rsid w:val="00CE3D86"/>
    <w:rsid w:val="00CE5385"/>
    <w:rsid w:val="00CF15EC"/>
    <w:rsid w:val="00CF4BD9"/>
    <w:rsid w:val="00CF51AE"/>
    <w:rsid w:val="00CF7034"/>
    <w:rsid w:val="00CF7940"/>
    <w:rsid w:val="00CF7DBA"/>
    <w:rsid w:val="00D11887"/>
    <w:rsid w:val="00D11FED"/>
    <w:rsid w:val="00D1288E"/>
    <w:rsid w:val="00D12D10"/>
    <w:rsid w:val="00D148CE"/>
    <w:rsid w:val="00D166B4"/>
    <w:rsid w:val="00D2190B"/>
    <w:rsid w:val="00D21D31"/>
    <w:rsid w:val="00D23ABB"/>
    <w:rsid w:val="00D254B9"/>
    <w:rsid w:val="00D261A1"/>
    <w:rsid w:val="00D26DD3"/>
    <w:rsid w:val="00D31BDF"/>
    <w:rsid w:val="00D31EE5"/>
    <w:rsid w:val="00D325E6"/>
    <w:rsid w:val="00D32B4F"/>
    <w:rsid w:val="00D33B90"/>
    <w:rsid w:val="00D445E4"/>
    <w:rsid w:val="00D45108"/>
    <w:rsid w:val="00D53F54"/>
    <w:rsid w:val="00D55A37"/>
    <w:rsid w:val="00D56614"/>
    <w:rsid w:val="00D61775"/>
    <w:rsid w:val="00D63E25"/>
    <w:rsid w:val="00D71927"/>
    <w:rsid w:val="00D74A04"/>
    <w:rsid w:val="00D75383"/>
    <w:rsid w:val="00D80D27"/>
    <w:rsid w:val="00D81644"/>
    <w:rsid w:val="00D82A91"/>
    <w:rsid w:val="00D842D1"/>
    <w:rsid w:val="00D849A2"/>
    <w:rsid w:val="00D84D38"/>
    <w:rsid w:val="00D9292E"/>
    <w:rsid w:val="00DB3716"/>
    <w:rsid w:val="00DB37A5"/>
    <w:rsid w:val="00DC20AE"/>
    <w:rsid w:val="00DC2314"/>
    <w:rsid w:val="00DC2641"/>
    <w:rsid w:val="00DC3773"/>
    <w:rsid w:val="00DC3E30"/>
    <w:rsid w:val="00DC4359"/>
    <w:rsid w:val="00DC4E1A"/>
    <w:rsid w:val="00DC7358"/>
    <w:rsid w:val="00DE1DC1"/>
    <w:rsid w:val="00DE3472"/>
    <w:rsid w:val="00DF3D4C"/>
    <w:rsid w:val="00E02F64"/>
    <w:rsid w:val="00E033A3"/>
    <w:rsid w:val="00E21BF4"/>
    <w:rsid w:val="00E2323F"/>
    <w:rsid w:val="00E23E7D"/>
    <w:rsid w:val="00E241BB"/>
    <w:rsid w:val="00E269C1"/>
    <w:rsid w:val="00E3028B"/>
    <w:rsid w:val="00E338FA"/>
    <w:rsid w:val="00E40161"/>
    <w:rsid w:val="00E4184E"/>
    <w:rsid w:val="00E43C4B"/>
    <w:rsid w:val="00E444DB"/>
    <w:rsid w:val="00E463DF"/>
    <w:rsid w:val="00E51409"/>
    <w:rsid w:val="00E52A54"/>
    <w:rsid w:val="00E57B55"/>
    <w:rsid w:val="00E63CF9"/>
    <w:rsid w:val="00E65189"/>
    <w:rsid w:val="00E67F33"/>
    <w:rsid w:val="00E708EF"/>
    <w:rsid w:val="00E70F8E"/>
    <w:rsid w:val="00E725FB"/>
    <w:rsid w:val="00E73ECA"/>
    <w:rsid w:val="00E811A9"/>
    <w:rsid w:val="00E82FB5"/>
    <w:rsid w:val="00E90BC6"/>
    <w:rsid w:val="00E92672"/>
    <w:rsid w:val="00E930F0"/>
    <w:rsid w:val="00E947F2"/>
    <w:rsid w:val="00E97420"/>
    <w:rsid w:val="00E97F29"/>
    <w:rsid w:val="00EA5DD4"/>
    <w:rsid w:val="00EB15EC"/>
    <w:rsid w:val="00EB6147"/>
    <w:rsid w:val="00EB6DA6"/>
    <w:rsid w:val="00EC15FD"/>
    <w:rsid w:val="00EC3CBF"/>
    <w:rsid w:val="00ED3292"/>
    <w:rsid w:val="00ED3B14"/>
    <w:rsid w:val="00EF0178"/>
    <w:rsid w:val="00EF5680"/>
    <w:rsid w:val="00EF6066"/>
    <w:rsid w:val="00F0141A"/>
    <w:rsid w:val="00F01AF9"/>
    <w:rsid w:val="00F01DB4"/>
    <w:rsid w:val="00F13115"/>
    <w:rsid w:val="00F13DFD"/>
    <w:rsid w:val="00F174A6"/>
    <w:rsid w:val="00F23EB3"/>
    <w:rsid w:val="00F27EDE"/>
    <w:rsid w:val="00F35294"/>
    <w:rsid w:val="00F40C14"/>
    <w:rsid w:val="00F42C70"/>
    <w:rsid w:val="00F52724"/>
    <w:rsid w:val="00F539F6"/>
    <w:rsid w:val="00F5429B"/>
    <w:rsid w:val="00F54B41"/>
    <w:rsid w:val="00F5527E"/>
    <w:rsid w:val="00F57957"/>
    <w:rsid w:val="00F62BD2"/>
    <w:rsid w:val="00F723D2"/>
    <w:rsid w:val="00F73F70"/>
    <w:rsid w:val="00F771B6"/>
    <w:rsid w:val="00F81AE9"/>
    <w:rsid w:val="00F84965"/>
    <w:rsid w:val="00F9410A"/>
    <w:rsid w:val="00F94E2A"/>
    <w:rsid w:val="00F96BB5"/>
    <w:rsid w:val="00FA1779"/>
    <w:rsid w:val="00FA200B"/>
    <w:rsid w:val="00FA3659"/>
    <w:rsid w:val="00FB016F"/>
    <w:rsid w:val="00FB39C0"/>
    <w:rsid w:val="00FB4A13"/>
    <w:rsid w:val="00FB5F48"/>
    <w:rsid w:val="00FB7C8C"/>
    <w:rsid w:val="00FC2DD9"/>
    <w:rsid w:val="00FC4C84"/>
    <w:rsid w:val="00FC56C2"/>
    <w:rsid w:val="00FD2A17"/>
    <w:rsid w:val="00FD4AA8"/>
    <w:rsid w:val="00FD4FCF"/>
    <w:rsid w:val="00FE2C45"/>
    <w:rsid w:val="00FE39BB"/>
    <w:rsid w:val="00FF07FD"/>
    <w:rsid w:val="016C1D66"/>
    <w:rsid w:val="01A1783A"/>
    <w:rsid w:val="02A023EB"/>
    <w:rsid w:val="02FB2420"/>
    <w:rsid w:val="0456022B"/>
    <w:rsid w:val="04CA6A00"/>
    <w:rsid w:val="05332EFA"/>
    <w:rsid w:val="062023FD"/>
    <w:rsid w:val="06293FEA"/>
    <w:rsid w:val="06CA2BB9"/>
    <w:rsid w:val="07291EEF"/>
    <w:rsid w:val="07452CD6"/>
    <w:rsid w:val="093E24CE"/>
    <w:rsid w:val="0A480B9C"/>
    <w:rsid w:val="0A4C5067"/>
    <w:rsid w:val="0B297F03"/>
    <w:rsid w:val="0C897776"/>
    <w:rsid w:val="0CD57363"/>
    <w:rsid w:val="0D942755"/>
    <w:rsid w:val="0EA14EB4"/>
    <w:rsid w:val="0EBE39CF"/>
    <w:rsid w:val="0F5172EA"/>
    <w:rsid w:val="100131FC"/>
    <w:rsid w:val="1084239A"/>
    <w:rsid w:val="111C4610"/>
    <w:rsid w:val="112063C0"/>
    <w:rsid w:val="113E28C5"/>
    <w:rsid w:val="11CE31DC"/>
    <w:rsid w:val="12BE0B69"/>
    <w:rsid w:val="12CF3D5F"/>
    <w:rsid w:val="12F742E8"/>
    <w:rsid w:val="13DE2412"/>
    <w:rsid w:val="14746DC1"/>
    <w:rsid w:val="148B237A"/>
    <w:rsid w:val="14B24AC5"/>
    <w:rsid w:val="14B85141"/>
    <w:rsid w:val="15F37A23"/>
    <w:rsid w:val="168831D2"/>
    <w:rsid w:val="1758180F"/>
    <w:rsid w:val="187A6B41"/>
    <w:rsid w:val="18A2602C"/>
    <w:rsid w:val="18DA44C2"/>
    <w:rsid w:val="199A25DE"/>
    <w:rsid w:val="1A0365C6"/>
    <w:rsid w:val="1A342A7C"/>
    <w:rsid w:val="1A4321C7"/>
    <w:rsid w:val="1A9F789A"/>
    <w:rsid w:val="1B2F2DD9"/>
    <w:rsid w:val="1B884018"/>
    <w:rsid w:val="1CB474EF"/>
    <w:rsid w:val="1D64562E"/>
    <w:rsid w:val="1DF631DF"/>
    <w:rsid w:val="1E395D75"/>
    <w:rsid w:val="1ECA6C12"/>
    <w:rsid w:val="1F1E7EC7"/>
    <w:rsid w:val="1F753D2D"/>
    <w:rsid w:val="1FB46AE2"/>
    <w:rsid w:val="20422539"/>
    <w:rsid w:val="20695492"/>
    <w:rsid w:val="20851A36"/>
    <w:rsid w:val="20971FF8"/>
    <w:rsid w:val="215D2074"/>
    <w:rsid w:val="219E3356"/>
    <w:rsid w:val="22CC496C"/>
    <w:rsid w:val="2371314D"/>
    <w:rsid w:val="238A15C9"/>
    <w:rsid w:val="24185553"/>
    <w:rsid w:val="241A0DC4"/>
    <w:rsid w:val="24AA2F7B"/>
    <w:rsid w:val="26104500"/>
    <w:rsid w:val="27652DCF"/>
    <w:rsid w:val="283F4D1E"/>
    <w:rsid w:val="28D46607"/>
    <w:rsid w:val="29DC5D43"/>
    <w:rsid w:val="2A4100E4"/>
    <w:rsid w:val="2AB033FD"/>
    <w:rsid w:val="2AD810FA"/>
    <w:rsid w:val="2C1613AE"/>
    <w:rsid w:val="2C4A238B"/>
    <w:rsid w:val="2C994AED"/>
    <w:rsid w:val="2C9B2839"/>
    <w:rsid w:val="2CE7129E"/>
    <w:rsid w:val="2D1756A9"/>
    <w:rsid w:val="2E1B67E3"/>
    <w:rsid w:val="2E813320"/>
    <w:rsid w:val="2EB84623"/>
    <w:rsid w:val="2F424D0B"/>
    <w:rsid w:val="2F722793"/>
    <w:rsid w:val="30907F59"/>
    <w:rsid w:val="30AD1AF7"/>
    <w:rsid w:val="322C45E5"/>
    <w:rsid w:val="332365AB"/>
    <w:rsid w:val="33D51F58"/>
    <w:rsid w:val="34360E17"/>
    <w:rsid w:val="34E26913"/>
    <w:rsid w:val="35165311"/>
    <w:rsid w:val="361360CA"/>
    <w:rsid w:val="386B5754"/>
    <w:rsid w:val="387A3124"/>
    <w:rsid w:val="392E12BD"/>
    <w:rsid w:val="397874E2"/>
    <w:rsid w:val="39A41909"/>
    <w:rsid w:val="39E91DC4"/>
    <w:rsid w:val="3A1C786B"/>
    <w:rsid w:val="3A7E1C79"/>
    <w:rsid w:val="3BAB2FBC"/>
    <w:rsid w:val="3C2B7DAC"/>
    <w:rsid w:val="3C3C4A9D"/>
    <w:rsid w:val="3CD20558"/>
    <w:rsid w:val="3D6E4204"/>
    <w:rsid w:val="3D751547"/>
    <w:rsid w:val="3DA50A6E"/>
    <w:rsid w:val="3E244DBB"/>
    <w:rsid w:val="3EE25744"/>
    <w:rsid w:val="3F5153EB"/>
    <w:rsid w:val="3F5B3000"/>
    <w:rsid w:val="3FBA358E"/>
    <w:rsid w:val="40177E5E"/>
    <w:rsid w:val="403E14E7"/>
    <w:rsid w:val="404F60E0"/>
    <w:rsid w:val="4069416A"/>
    <w:rsid w:val="40E63A5E"/>
    <w:rsid w:val="43623BB8"/>
    <w:rsid w:val="439772E2"/>
    <w:rsid w:val="439A1B5B"/>
    <w:rsid w:val="43A01A29"/>
    <w:rsid w:val="43F52A78"/>
    <w:rsid w:val="43FB163B"/>
    <w:rsid w:val="4446175B"/>
    <w:rsid w:val="450305D5"/>
    <w:rsid w:val="46D6779A"/>
    <w:rsid w:val="46EE2ECC"/>
    <w:rsid w:val="475D6695"/>
    <w:rsid w:val="48FD2088"/>
    <w:rsid w:val="49BC016E"/>
    <w:rsid w:val="4A103CE7"/>
    <w:rsid w:val="4B3C1788"/>
    <w:rsid w:val="4B984D71"/>
    <w:rsid w:val="4CA23096"/>
    <w:rsid w:val="4CA26EAE"/>
    <w:rsid w:val="4DC84946"/>
    <w:rsid w:val="4E8C368A"/>
    <w:rsid w:val="4F035919"/>
    <w:rsid w:val="4FE335DB"/>
    <w:rsid w:val="501B2DB2"/>
    <w:rsid w:val="50221751"/>
    <w:rsid w:val="50B44667"/>
    <w:rsid w:val="51006AB5"/>
    <w:rsid w:val="513907DF"/>
    <w:rsid w:val="519351DF"/>
    <w:rsid w:val="5248002B"/>
    <w:rsid w:val="529A49E9"/>
    <w:rsid w:val="52BB325E"/>
    <w:rsid w:val="52F30E62"/>
    <w:rsid w:val="52F47953"/>
    <w:rsid w:val="53126681"/>
    <w:rsid w:val="53882FD8"/>
    <w:rsid w:val="53E173D7"/>
    <w:rsid w:val="54700D38"/>
    <w:rsid w:val="5530567F"/>
    <w:rsid w:val="577216B2"/>
    <w:rsid w:val="577834B6"/>
    <w:rsid w:val="578F6397"/>
    <w:rsid w:val="59953DA4"/>
    <w:rsid w:val="59B640E8"/>
    <w:rsid w:val="5A4106CD"/>
    <w:rsid w:val="5C401E3B"/>
    <w:rsid w:val="5CB45DBF"/>
    <w:rsid w:val="5DCF70DA"/>
    <w:rsid w:val="5EF211D2"/>
    <w:rsid w:val="622404F3"/>
    <w:rsid w:val="623C1A98"/>
    <w:rsid w:val="637052B4"/>
    <w:rsid w:val="64610CE9"/>
    <w:rsid w:val="65441451"/>
    <w:rsid w:val="655B29E6"/>
    <w:rsid w:val="65B67C05"/>
    <w:rsid w:val="666217F9"/>
    <w:rsid w:val="667C100B"/>
    <w:rsid w:val="676A3909"/>
    <w:rsid w:val="678A07B4"/>
    <w:rsid w:val="686C02F9"/>
    <w:rsid w:val="68C533C3"/>
    <w:rsid w:val="68CD0C4F"/>
    <w:rsid w:val="6946143F"/>
    <w:rsid w:val="69AD4CCE"/>
    <w:rsid w:val="6ACB4E83"/>
    <w:rsid w:val="6AF67120"/>
    <w:rsid w:val="6B9A6560"/>
    <w:rsid w:val="6BB51E98"/>
    <w:rsid w:val="6E144E6E"/>
    <w:rsid w:val="6E7377FE"/>
    <w:rsid w:val="702C2120"/>
    <w:rsid w:val="712869B3"/>
    <w:rsid w:val="717A6635"/>
    <w:rsid w:val="718B6804"/>
    <w:rsid w:val="72621DA3"/>
    <w:rsid w:val="726B6D7A"/>
    <w:rsid w:val="729F3F97"/>
    <w:rsid w:val="73107FB9"/>
    <w:rsid w:val="732A1B34"/>
    <w:rsid w:val="7338355D"/>
    <w:rsid w:val="73E3796C"/>
    <w:rsid w:val="75EF68A6"/>
    <w:rsid w:val="7677158A"/>
    <w:rsid w:val="76A94AD9"/>
    <w:rsid w:val="76D229E5"/>
    <w:rsid w:val="777803BF"/>
    <w:rsid w:val="77BB65D8"/>
    <w:rsid w:val="78097E81"/>
    <w:rsid w:val="784328A9"/>
    <w:rsid w:val="796F60AA"/>
    <w:rsid w:val="7A284148"/>
    <w:rsid w:val="7A372F0B"/>
    <w:rsid w:val="7AC4562F"/>
    <w:rsid w:val="7CC200F4"/>
    <w:rsid w:val="7DEB2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line="600" w:lineRule="exact"/>
      <w:jc w:val="left"/>
      <w:outlineLvl w:val="1"/>
    </w:pPr>
    <w:rPr>
      <w:rFonts w:ascii="Arial" w:hAnsi="Arial" w:eastAsia="仿宋_GB2312"/>
      <w:b/>
      <w:bCs/>
      <w:sz w:val="28"/>
      <w:szCs w:val="32"/>
    </w:rPr>
  </w:style>
  <w:style w:type="paragraph" w:styleId="4">
    <w:name w:val="heading 3"/>
    <w:basedOn w:val="1"/>
    <w:next w:val="1"/>
    <w:qFormat/>
    <w:uiPriority w:val="0"/>
    <w:pPr>
      <w:keepNext/>
      <w:keepLines/>
      <w:spacing w:before="260" w:after="260" w:line="413" w:lineRule="auto"/>
      <w:outlineLvl w:val="2"/>
    </w:pPr>
    <w:rPr>
      <w:b/>
      <w:sz w:val="32"/>
    </w:rPr>
  </w:style>
  <w:style w:type="character" w:default="1" w:styleId="19">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5">
    <w:name w:val="Normal Indent"/>
    <w:basedOn w:val="1"/>
    <w:link w:val="23"/>
    <w:qFormat/>
    <w:uiPriority w:val="0"/>
    <w:pPr>
      <w:snapToGrid w:val="0"/>
      <w:spacing w:line="360" w:lineRule="auto"/>
      <w:ind w:firstLine="567"/>
    </w:pPr>
    <w:rPr>
      <w:sz w:val="28"/>
      <w:szCs w:val="20"/>
    </w:rPr>
  </w:style>
  <w:style w:type="paragraph" w:styleId="6">
    <w:name w:val="Body Text"/>
    <w:basedOn w:val="1"/>
    <w:qFormat/>
    <w:uiPriority w:val="0"/>
    <w:pPr>
      <w:spacing w:after="120"/>
    </w:pPr>
  </w:style>
  <w:style w:type="paragraph" w:styleId="7">
    <w:name w:val="Body Text Indent"/>
    <w:basedOn w:val="1"/>
    <w:qFormat/>
    <w:uiPriority w:val="0"/>
    <w:pPr>
      <w:ind w:firstLine="600" w:firstLineChars="200"/>
    </w:pPr>
    <w:rPr>
      <w:rFonts w:ascii="仿宋_GB2312" w:eastAsia="仿宋_GB2312"/>
      <w:sz w:val="30"/>
    </w:rPr>
  </w:style>
  <w:style w:type="paragraph" w:styleId="8">
    <w:name w:val="toc 3"/>
    <w:basedOn w:val="1"/>
    <w:next w:val="1"/>
    <w:qFormat/>
    <w:uiPriority w:val="0"/>
    <w:pPr>
      <w:ind w:left="840" w:leftChars="400"/>
    </w:pPr>
  </w:style>
  <w:style w:type="paragraph" w:styleId="9">
    <w:name w:val="Plain Text"/>
    <w:basedOn w:val="1"/>
    <w:link w:val="24"/>
    <w:qFormat/>
    <w:uiPriority w:val="0"/>
    <w:rPr>
      <w:rFonts w:ascii="宋体" w:hAnsi="Courier New"/>
      <w:sz w:val="28"/>
      <w:szCs w:val="20"/>
    </w:rPr>
  </w:style>
  <w:style w:type="paragraph" w:styleId="10">
    <w:name w:val="Date"/>
    <w:basedOn w:val="1"/>
    <w:next w:val="1"/>
    <w:qFormat/>
    <w:uiPriority w:val="0"/>
    <w:pPr>
      <w:ind w:left="100" w:leftChars="2500"/>
    </w:pPr>
    <w:rPr>
      <w:rFonts w:ascii="仿宋_GB2312" w:eastAsia="仿宋_GB2312"/>
      <w:color w:val="000000"/>
      <w:sz w:val="28"/>
    </w:rPr>
  </w:style>
  <w:style w:type="paragraph" w:styleId="11">
    <w:name w:val="Body Text Indent 2"/>
    <w:basedOn w:val="1"/>
    <w:qFormat/>
    <w:uiPriority w:val="0"/>
    <w:pPr>
      <w:ind w:left="600"/>
    </w:pPr>
    <w:rPr>
      <w:sz w:val="30"/>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adjustRightInd w:val="0"/>
      <w:spacing w:line="240" w:lineRule="atLeast"/>
      <w:jc w:val="left"/>
      <w:textAlignment w:val="baseline"/>
    </w:pPr>
    <w:rPr>
      <w:kern w:val="0"/>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ind w:firstLine="600"/>
    </w:pPr>
    <w:rPr>
      <w:rFonts w:ascii="仿宋_GB2312" w:hAnsi="宋体" w:eastAsia="仿宋_GB2312"/>
      <w:b/>
      <w:bCs/>
      <w:sz w:val="32"/>
    </w:rPr>
  </w:style>
  <w:style w:type="paragraph" w:styleId="16">
    <w:name w:val="toc 2"/>
    <w:basedOn w:val="1"/>
    <w:next w:val="1"/>
    <w:qFormat/>
    <w:uiPriority w:val="0"/>
    <w:pPr>
      <w:ind w:left="420" w:left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0"/>
    <w:rPr>
      <w:b/>
    </w:rPr>
  </w:style>
  <w:style w:type="character" w:styleId="21">
    <w:name w:val="page number"/>
    <w:basedOn w:val="19"/>
    <w:qFormat/>
    <w:uiPriority w:val="0"/>
  </w:style>
  <w:style w:type="character" w:customStyle="1" w:styleId="22">
    <w:name w:val="普通文字 Char Char"/>
    <w:basedOn w:val="19"/>
    <w:semiHidden/>
    <w:qFormat/>
    <w:locked/>
    <w:uiPriority w:val="0"/>
    <w:rPr>
      <w:rFonts w:ascii="宋体" w:hAnsi="Courier New" w:eastAsia="宋体"/>
      <w:kern w:val="2"/>
      <w:sz w:val="21"/>
      <w:lang w:val="en-US" w:eastAsia="zh-CN" w:bidi="ar-SA"/>
    </w:rPr>
  </w:style>
  <w:style w:type="character" w:customStyle="1" w:styleId="23">
    <w:name w:val="正文缩进 Char"/>
    <w:link w:val="5"/>
    <w:qFormat/>
    <w:uiPriority w:val="0"/>
    <w:rPr>
      <w:kern w:val="2"/>
      <w:sz w:val="28"/>
    </w:rPr>
  </w:style>
  <w:style w:type="character" w:customStyle="1" w:styleId="24">
    <w:name w:val="纯文本 Char"/>
    <w:basedOn w:val="19"/>
    <w:link w:val="9"/>
    <w:qFormat/>
    <w:uiPriority w:val="0"/>
    <w:rPr>
      <w:rFonts w:ascii="宋体" w:hAnsi="Courier New" w:eastAsia="宋体"/>
      <w:kern w:val="2"/>
      <w:sz w:val="28"/>
      <w:lang w:val="en-US" w:eastAsia="zh-CN" w:bidi="ar-SA"/>
    </w:rPr>
  </w:style>
  <w:style w:type="character" w:customStyle="1" w:styleId="25">
    <w:name w:val="纯文本 Char Char"/>
    <w:basedOn w:val="19"/>
    <w:qFormat/>
    <w:uiPriority w:val="0"/>
    <w:rPr>
      <w:rFonts w:ascii="宋体" w:hAnsi="Courier New" w:eastAsia="宋体"/>
      <w:kern w:val="2"/>
      <w:sz w:val="21"/>
      <w:lang w:val="en-US" w:eastAsia="zh-CN" w:bidi="ar-SA"/>
    </w:rPr>
  </w:style>
  <w:style w:type="paragraph" w:customStyle="1" w:styleId="26">
    <w:name w:val="Char Char Char1 Char Char Char Char"/>
    <w:basedOn w:val="1"/>
    <w:qFormat/>
    <w:uiPriority w:val="0"/>
    <w:rPr>
      <w:rFonts w:ascii="宋体" w:hAnsi="宋体" w:cs="Courier New"/>
      <w:sz w:val="32"/>
      <w:szCs w:val="32"/>
    </w:rPr>
  </w:style>
  <w:style w:type="paragraph" w:customStyle="1" w:styleId="27">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customXml" Target="../customXml/item2.xml"/><Relationship Id="rId24" Type="http://schemas.openxmlformats.org/officeDocument/2006/relationships/customXml" Target="../customXml/item1.xml"/><Relationship Id="rId23" Type="http://schemas.openxmlformats.org/officeDocument/2006/relationships/image" Target="media/image12.jpeg"/><Relationship Id="rId22" Type="http://schemas.openxmlformats.org/officeDocument/2006/relationships/image" Target="media/image11.jpeg"/><Relationship Id="rId21" Type="http://schemas.openxmlformats.org/officeDocument/2006/relationships/image" Target="media/image10.jpeg"/><Relationship Id="rId20" Type="http://schemas.openxmlformats.org/officeDocument/2006/relationships/image" Target="media/image9.jpeg"/><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8BB5D9-39AA-4EBD-AB38-C78C0341545F}">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1</Pages>
  <Words>0</Words>
  <Characters>0</Characters>
  <Lines>0</Lines>
  <Paragraphs>0</Paragraphs>
  <TotalTime>6</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2019-12-12T12:44:00Z</dcterms:created>
  <dc:creator>咕咕</dc:creator>
  <cp:lastModifiedBy>莲子心</cp:lastModifiedBy>
  <cp:lastPrinted>2022-06-20T10:15:00Z</cp:lastPrinted>
  <dcterms:modified xsi:type="dcterms:W3CDTF">2022-10-27T03:45:53Z</dcterms:modified>
  <dc:title>房地产评估报告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756B6653A3C240AC96912927E6278512</vt:lpwstr>
  </property>
</Properties>
</file>