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28"/>
          <w:szCs w:val="28"/>
        </w:rPr>
      </w:pPr>
      <w:bookmarkStart w:id="0" w:name="_Toc155258951"/>
      <w:r>
        <w:drawing>
          <wp:anchor distT="0" distB="0" distL="114300" distR="114300" simplePos="0" relativeHeight="251667456" behindDoc="0" locked="0" layoutInCell="1" allowOverlap="1">
            <wp:simplePos x="0" y="0"/>
            <wp:positionH relativeFrom="column">
              <wp:posOffset>4615180</wp:posOffset>
            </wp:positionH>
            <wp:positionV relativeFrom="paragraph">
              <wp:posOffset>-177165</wp:posOffset>
            </wp:positionV>
            <wp:extent cx="899795" cy="892810"/>
            <wp:effectExtent l="0" t="0" r="14605" b="254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899795" cy="892810"/>
                    </a:xfrm>
                    <a:prstGeom prst="rect">
                      <a:avLst/>
                    </a:prstGeom>
                    <a:noFill/>
                    <a:ln>
                      <a:noFill/>
                    </a:ln>
                  </pic:spPr>
                </pic:pic>
              </a:graphicData>
            </a:graphic>
          </wp:anchor>
        </w:drawing>
      </w:r>
    </w:p>
    <w:p>
      <w:pPr>
        <w:rPr>
          <w:rFonts w:eastAsia="仿宋_GB2312"/>
          <w:b/>
          <w:sz w:val="28"/>
          <w:szCs w:val="28"/>
        </w:rPr>
      </w:pPr>
    </w:p>
    <w:p>
      <w:pPr>
        <w:tabs>
          <w:tab w:val="left" w:pos="7495"/>
        </w:tabs>
        <w:rPr>
          <w:rFonts w:eastAsia="仿宋_GB2312"/>
          <w:b/>
          <w:sz w:val="44"/>
          <w:szCs w:val="44"/>
        </w:rPr>
      </w:pPr>
      <w:r>
        <w:rPr>
          <w:rFonts w:eastAsia="仿宋_GB2312"/>
          <w:b/>
          <w:sz w:val="28"/>
          <w:szCs w:val="28"/>
        </w:rPr>
        <w:tab/>
      </w:r>
      <w:bookmarkStart w:id="1" w:name="_Toc382493596"/>
      <w:bookmarkStart w:id="2" w:name="_Toc387827675"/>
      <w:bookmarkStart w:id="3" w:name="_Toc383068114"/>
      <w:bookmarkStart w:id="4" w:name="_Toc384813564"/>
    </w:p>
    <w:p>
      <w:pPr>
        <w:tabs>
          <w:tab w:val="left" w:pos="709"/>
        </w:tabs>
        <w:adjustRightInd w:val="0"/>
        <w:snapToGrid w:val="0"/>
        <w:spacing w:line="480" w:lineRule="auto"/>
        <w:jc w:val="center"/>
        <w:rPr>
          <w:rFonts w:eastAsia="仿宋_GB2312"/>
          <w:b/>
          <w:sz w:val="24"/>
          <w:szCs w:val="24"/>
        </w:rPr>
      </w:pPr>
      <w:r>
        <w:rPr>
          <w:rFonts w:hint="eastAsia" w:eastAsia="仿宋_GB2312"/>
          <w:b/>
          <w:sz w:val="24"/>
          <w:szCs w:val="24"/>
        </w:rPr>
        <w:t xml:space="preserve">                                                           防伪二维码</w:t>
      </w:r>
    </w:p>
    <w:p>
      <w:pPr>
        <w:tabs>
          <w:tab w:val="left" w:pos="709"/>
        </w:tabs>
        <w:adjustRightInd w:val="0"/>
        <w:snapToGrid w:val="0"/>
        <w:spacing w:line="480" w:lineRule="auto"/>
        <w:jc w:val="center"/>
        <w:rPr>
          <w:rFonts w:eastAsia="仿宋_GB2312"/>
          <w:b/>
          <w:sz w:val="44"/>
          <w:szCs w:val="44"/>
        </w:rPr>
      </w:pPr>
      <w:r>
        <w:rPr>
          <w:rFonts w:eastAsia="仿宋_GB2312"/>
          <w:b/>
          <w:sz w:val="44"/>
          <w:szCs w:val="44"/>
        </w:rPr>
        <w:t>涉执房地产处置司法评估报告</w:t>
      </w:r>
      <w:bookmarkEnd w:id="0"/>
      <w:bookmarkEnd w:id="1"/>
      <w:bookmarkEnd w:id="2"/>
      <w:bookmarkEnd w:id="3"/>
      <w:bookmarkEnd w:id="4"/>
    </w:p>
    <w:p>
      <w:pPr>
        <w:tabs>
          <w:tab w:val="left" w:pos="540"/>
        </w:tabs>
        <w:snapToGrid w:val="0"/>
        <w:spacing w:line="480" w:lineRule="auto"/>
        <w:ind w:firstLine="630" w:firstLineChars="196"/>
        <w:rPr>
          <w:rFonts w:hint="eastAsia" w:eastAsia="仿宋_GB2312"/>
          <w:sz w:val="32"/>
          <w:szCs w:val="22"/>
          <w:lang w:eastAsia="zh-CN"/>
        </w:rPr>
      </w:pPr>
      <w:bookmarkStart w:id="5" w:name="_Toc155258952"/>
      <w:r>
        <w:rPr>
          <w:rFonts w:eastAsia="仿宋_GB2312"/>
          <w:b/>
          <w:sz w:val="32"/>
        </w:rPr>
        <w:t>估价报告编号</w:t>
      </w:r>
      <w:r>
        <w:rPr>
          <w:rFonts w:eastAsia="仿宋_GB2312"/>
          <w:sz w:val="32"/>
        </w:rPr>
        <w:t>：</w:t>
      </w:r>
      <w:r>
        <w:rPr>
          <w:rFonts w:hint="eastAsia" w:eastAsia="仿宋_GB2312"/>
          <w:sz w:val="32"/>
          <w:szCs w:val="22"/>
          <w:lang w:eastAsia="zh-CN"/>
        </w:rPr>
        <w:t>苏国衡泰州评房字(2022）第0021号</w:t>
      </w:r>
    </w:p>
    <w:p>
      <w:pPr>
        <w:tabs>
          <w:tab w:val="left" w:pos="540"/>
        </w:tabs>
        <w:snapToGrid w:val="0"/>
        <w:spacing w:line="480" w:lineRule="auto"/>
        <w:ind w:firstLine="630" w:firstLineChars="196"/>
        <w:rPr>
          <w:rFonts w:eastAsia="仿宋_GB2312"/>
          <w:caps/>
        </w:rPr>
      </w:pPr>
      <w:r>
        <w:rPr>
          <w:rFonts w:eastAsia="仿宋_GB2312"/>
          <w:b/>
          <w:sz w:val="32"/>
        </w:rPr>
        <w:t>估价项目名称</w:t>
      </w:r>
      <w:r>
        <w:rPr>
          <w:rFonts w:eastAsia="仿宋_GB2312"/>
          <w:sz w:val="32"/>
        </w:rPr>
        <w:t>：</w:t>
      </w:r>
      <w:r>
        <w:rPr>
          <w:rFonts w:hint="eastAsia" w:eastAsia="仿宋_GB2312"/>
          <w:sz w:val="32"/>
          <w:lang w:eastAsia="zh-CN"/>
        </w:rPr>
        <w:t>泰州市高港区中建锦绣珑湾43号楼205室</w:t>
      </w:r>
      <w:r>
        <w:rPr>
          <w:rFonts w:hint="eastAsia" w:eastAsia="仿宋_GB2312"/>
          <w:sz w:val="32"/>
        </w:rPr>
        <w:t>住宅</w:t>
      </w:r>
      <w:r>
        <w:rPr>
          <w:rFonts w:eastAsia="仿宋_GB2312"/>
          <w:sz w:val="32"/>
        </w:rPr>
        <w:t>房地产市场价格评估</w:t>
      </w:r>
    </w:p>
    <w:p>
      <w:pPr>
        <w:tabs>
          <w:tab w:val="left" w:pos="709"/>
          <w:tab w:val="left" w:pos="851"/>
          <w:tab w:val="left" w:pos="993"/>
          <w:tab w:val="left" w:pos="1560"/>
        </w:tabs>
        <w:adjustRightInd w:val="0"/>
        <w:snapToGrid w:val="0"/>
        <w:spacing w:line="480" w:lineRule="auto"/>
        <w:ind w:firstLine="630" w:firstLineChars="196"/>
        <w:rPr>
          <w:rFonts w:hint="eastAsia" w:eastAsia="仿宋_GB2312"/>
          <w:sz w:val="32"/>
          <w:lang w:eastAsia="zh-CN"/>
        </w:rPr>
      </w:pPr>
      <w:r>
        <w:rPr>
          <w:rFonts w:eastAsia="仿宋_GB2312"/>
          <w:b/>
          <w:sz w:val="32"/>
        </w:rPr>
        <w:t>估价委托人</w:t>
      </w:r>
      <w:r>
        <w:rPr>
          <w:rFonts w:eastAsia="仿宋_GB2312"/>
          <w:sz w:val="32"/>
        </w:rPr>
        <w:t>：</w:t>
      </w:r>
      <w:r>
        <w:rPr>
          <w:rFonts w:hint="eastAsia" w:eastAsia="仿宋_GB2312"/>
          <w:sz w:val="32"/>
          <w:lang w:eastAsia="zh-CN"/>
        </w:rPr>
        <w:t>江苏省泰州市海陵区人民法院</w:t>
      </w:r>
    </w:p>
    <w:p>
      <w:pPr>
        <w:tabs>
          <w:tab w:val="left" w:pos="709"/>
        </w:tabs>
        <w:adjustRightInd w:val="0"/>
        <w:snapToGrid w:val="0"/>
        <w:spacing w:line="480" w:lineRule="auto"/>
        <w:ind w:firstLine="630" w:firstLineChars="196"/>
        <w:rPr>
          <w:rFonts w:eastAsia="仿宋_GB2312"/>
          <w:sz w:val="32"/>
        </w:rPr>
      </w:pPr>
      <w:r>
        <w:rPr>
          <w:rFonts w:eastAsia="仿宋_GB2312"/>
          <w:b/>
          <w:sz w:val="32"/>
        </w:rPr>
        <w:t>房地产估价机构</w:t>
      </w:r>
      <w:r>
        <w:rPr>
          <w:rFonts w:eastAsia="仿宋_GB2312"/>
          <w:sz w:val="32"/>
        </w:rPr>
        <w:t>：江苏国衡中测土地房地产资产评估咨询有限公司</w:t>
      </w:r>
    </w:p>
    <w:p>
      <w:pPr>
        <w:tabs>
          <w:tab w:val="left" w:pos="2520"/>
        </w:tabs>
        <w:adjustRightInd w:val="0"/>
        <w:snapToGrid w:val="0"/>
        <w:spacing w:line="480" w:lineRule="auto"/>
        <w:ind w:firstLine="630" w:firstLineChars="196"/>
        <w:rPr>
          <w:rFonts w:eastAsia="仿宋_GB2312"/>
          <w:sz w:val="32"/>
        </w:rPr>
      </w:pPr>
      <w:r>
        <w:rPr>
          <w:rFonts w:eastAsia="仿宋_GB2312"/>
          <w:b/>
          <w:sz w:val="32"/>
        </w:rPr>
        <w:t>注册房地产估价师</w:t>
      </w:r>
      <w:r>
        <w:rPr>
          <w:rFonts w:eastAsia="仿宋_GB2312"/>
          <w:sz w:val="32"/>
        </w:rPr>
        <w:t>：</w:t>
      </w:r>
      <w:r>
        <w:rPr>
          <w:rFonts w:hint="eastAsia" w:eastAsia="仿宋_GB2312"/>
          <w:sz w:val="32"/>
        </w:rPr>
        <w:t xml:space="preserve"> 李  慧</w:t>
      </w:r>
      <w:r>
        <w:rPr>
          <w:rFonts w:eastAsia="仿宋_GB2312"/>
          <w:sz w:val="32"/>
        </w:rPr>
        <w:t xml:space="preserve">    注册号：</w:t>
      </w:r>
      <w:r>
        <w:rPr>
          <w:rFonts w:hint="eastAsia" w:eastAsia="仿宋_GB2312"/>
          <w:sz w:val="32"/>
        </w:rPr>
        <w:t>3220140092</w:t>
      </w:r>
    </w:p>
    <w:p>
      <w:pPr>
        <w:tabs>
          <w:tab w:val="left" w:pos="2520"/>
        </w:tabs>
        <w:adjustRightInd w:val="0"/>
        <w:snapToGrid w:val="0"/>
        <w:spacing w:line="480" w:lineRule="auto"/>
        <w:ind w:firstLine="3680" w:firstLineChars="1150"/>
        <w:rPr>
          <w:rFonts w:eastAsia="仿宋_GB2312"/>
          <w:sz w:val="32"/>
        </w:rPr>
      </w:pPr>
      <w:r>
        <w:rPr>
          <w:rFonts w:hint="eastAsia" w:eastAsia="仿宋_GB2312"/>
          <w:sz w:val="32"/>
        </w:rPr>
        <w:t>田树军</w:t>
      </w:r>
      <w:r>
        <w:rPr>
          <w:rFonts w:eastAsia="仿宋_GB2312"/>
          <w:sz w:val="32"/>
        </w:rPr>
        <w:t xml:space="preserve"> </w:t>
      </w:r>
      <w:r>
        <w:rPr>
          <w:rFonts w:eastAsia="楷体_GB2312"/>
          <w:sz w:val="32"/>
        </w:rPr>
        <w:t xml:space="preserve"> </w:t>
      </w:r>
      <w:r>
        <w:rPr>
          <w:rFonts w:hint="eastAsia" w:eastAsia="楷体_GB2312"/>
          <w:sz w:val="32"/>
        </w:rPr>
        <w:t xml:space="preserve"> </w:t>
      </w:r>
      <w:r>
        <w:rPr>
          <w:rFonts w:eastAsia="楷体_GB2312"/>
          <w:sz w:val="32"/>
        </w:rPr>
        <w:t xml:space="preserve"> </w:t>
      </w:r>
      <w:r>
        <w:rPr>
          <w:rFonts w:eastAsia="仿宋_GB2312"/>
          <w:sz w:val="32"/>
        </w:rPr>
        <w:t>注册号：</w:t>
      </w:r>
      <w:r>
        <w:rPr>
          <w:rFonts w:hint="eastAsia" w:eastAsia="仿宋_GB2312"/>
          <w:sz w:val="32"/>
        </w:rPr>
        <w:t>3220070188</w:t>
      </w:r>
    </w:p>
    <w:p>
      <w:pPr>
        <w:tabs>
          <w:tab w:val="left" w:pos="2520"/>
        </w:tabs>
        <w:adjustRightInd w:val="0"/>
        <w:snapToGrid w:val="0"/>
        <w:spacing w:line="480" w:lineRule="auto"/>
        <w:ind w:firstLine="630" w:firstLineChars="196"/>
        <w:rPr>
          <w:rFonts w:hint="eastAsia" w:eastAsia="仿宋_GB2312"/>
          <w:sz w:val="32"/>
          <w:szCs w:val="32"/>
          <w:lang w:eastAsia="zh-CN"/>
        </w:rPr>
      </w:pPr>
      <w:r>
        <w:rPr>
          <w:rFonts w:eastAsia="仿宋_GB2312"/>
          <w:b/>
          <w:sz w:val="32"/>
        </w:rPr>
        <w:t>估价报告出具日期：</w:t>
      </w:r>
      <w:r>
        <w:rPr>
          <w:rFonts w:hint="eastAsia" w:eastAsia="仿宋_GB2312"/>
          <w:sz w:val="32"/>
          <w:szCs w:val="32"/>
          <w:lang w:eastAsia="zh-CN"/>
        </w:rPr>
        <w:t>2022年11月02日</w:t>
      </w:r>
    </w:p>
    <w:bookmarkEnd w:id="5"/>
    <w:p>
      <w:pPr>
        <w:tabs>
          <w:tab w:val="left" w:pos="0"/>
        </w:tabs>
        <w:snapToGrid w:val="0"/>
        <w:spacing w:line="480" w:lineRule="auto"/>
        <w:ind w:firstLine="709"/>
        <w:rPr>
          <w:rFonts w:eastAsia="仿宋_GB2312"/>
          <w:b/>
          <w:snapToGrid w:val="0"/>
          <w:sz w:val="32"/>
          <w:szCs w:val="32"/>
        </w:rPr>
      </w:pPr>
    </w:p>
    <w:p>
      <w:pPr>
        <w:tabs>
          <w:tab w:val="left" w:pos="1331"/>
        </w:tabs>
        <w:rPr>
          <w:rFonts w:eastAsia="仿宋_GB2312"/>
          <w:sz w:val="32"/>
          <w:szCs w:val="32"/>
        </w:rPr>
      </w:pPr>
    </w:p>
    <w:p>
      <w:pPr>
        <w:rPr>
          <w:rFonts w:eastAsia="仿宋_GB2312"/>
          <w:sz w:val="32"/>
          <w:szCs w:val="32"/>
        </w:rPr>
      </w:pPr>
    </w:p>
    <w:p>
      <w:pPr>
        <w:rPr>
          <w:rFonts w:eastAsia="仿宋_GB2312"/>
          <w:sz w:val="32"/>
          <w:szCs w:val="32"/>
        </w:rPr>
        <w:sectPr>
          <w:headerReference r:id="rId4" w:type="first"/>
          <w:headerReference r:id="rId3" w:type="default"/>
          <w:footerReference r:id="rId5" w:type="default"/>
          <w:pgSz w:w="11906" w:h="16838"/>
          <w:pgMar w:top="1814" w:right="1276" w:bottom="1418" w:left="1701" w:header="1417" w:footer="737" w:gutter="0"/>
          <w:pgNumType w:start="0"/>
          <w:cols w:space="425" w:num="1"/>
          <w:titlePg/>
          <w:docGrid w:linePitch="312" w:charSpace="0"/>
        </w:sectPr>
      </w:pPr>
    </w:p>
    <w:p>
      <w:pPr>
        <w:snapToGrid w:val="0"/>
        <w:spacing w:line="360" w:lineRule="auto"/>
        <w:jc w:val="center"/>
        <w:rPr>
          <w:b/>
          <w:sz w:val="26"/>
          <w:szCs w:val="26"/>
        </w:rPr>
      </w:pPr>
      <w:r>
        <w:rPr>
          <w:rFonts w:eastAsia="仿宋_GB2312"/>
          <w:b/>
          <w:snapToGrid w:val="0"/>
          <w:sz w:val="36"/>
          <w:szCs w:val="36"/>
        </w:rPr>
        <w:t>致估价委托人函</w:t>
      </w:r>
      <w:r>
        <w:rPr>
          <w:b/>
          <w:sz w:val="26"/>
          <w:szCs w:val="26"/>
        </w:rPr>
        <w:fldChar w:fldCharType="begin"/>
      </w:r>
      <w:r>
        <w:rPr>
          <w:b/>
          <w:sz w:val="26"/>
          <w:szCs w:val="26"/>
        </w:rPr>
        <w:instrText xml:space="preserve"> TC "</w:instrText>
      </w:r>
      <w:bookmarkStart w:id="6" w:name="_Toc288212013"/>
      <w:bookmarkStart w:id="7" w:name="_Toc289260244"/>
      <w:r>
        <w:rPr>
          <w:b/>
          <w:sz w:val="26"/>
          <w:szCs w:val="26"/>
        </w:rPr>
        <w:instrText xml:space="preserve">一、致估价委托人函</w:instrText>
      </w:r>
      <w:bookmarkEnd w:id="6"/>
      <w:bookmarkEnd w:id="7"/>
      <w:r>
        <w:rPr>
          <w:b/>
          <w:sz w:val="26"/>
          <w:szCs w:val="26"/>
        </w:rPr>
        <w:instrText xml:space="preserve">" \f C \l "1" </w:instrText>
      </w:r>
      <w:r>
        <w:rPr>
          <w:b/>
          <w:sz w:val="26"/>
          <w:szCs w:val="26"/>
        </w:rPr>
        <w:fldChar w:fldCharType="end"/>
      </w:r>
    </w:p>
    <w:p>
      <w:pPr>
        <w:snapToGrid w:val="0"/>
        <w:spacing w:line="480" w:lineRule="exact"/>
        <w:jc w:val="both"/>
        <w:rPr>
          <w:rFonts w:eastAsia="仿宋_GB2312"/>
          <w:sz w:val="28"/>
          <w:szCs w:val="28"/>
        </w:rPr>
      </w:pPr>
      <w:bookmarkStart w:id="8" w:name="_Toc155258954"/>
      <w:bookmarkStart w:id="9" w:name="_Toc382493600"/>
      <w:bookmarkStart w:id="10" w:name="_Toc387827679"/>
      <w:bookmarkStart w:id="11" w:name="_Toc384813568"/>
      <w:bookmarkStart w:id="12" w:name="_Toc383068119"/>
      <w:r>
        <w:rPr>
          <w:rFonts w:hint="eastAsia" w:eastAsia="仿宋_GB2312"/>
          <w:sz w:val="28"/>
          <w:szCs w:val="28"/>
          <w:lang w:eastAsia="zh-CN"/>
        </w:rPr>
        <w:t>江苏省泰州市海陵区人民法院</w:t>
      </w:r>
      <w:r>
        <w:rPr>
          <w:rFonts w:eastAsia="仿宋_GB2312"/>
          <w:sz w:val="28"/>
          <w:szCs w:val="28"/>
        </w:rPr>
        <w:t>：</w:t>
      </w:r>
      <w:bookmarkEnd w:id="8"/>
      <w:bookmarkEnd w:id="9"/>
      <w:bookmarkEnd w:id="10"/>
      <w:bookmarkEnd w:id="11"/>
      <w:bookmarkEnd w:id="12"/>
    </w:p>
    <w:p>
      <w:pPr>
        <w:snapToGrid w:val="0"/>
        <w:spacing w:line="480" w:lineRule="exact"/>
        <w:ind w:firstLine="565" w:firstLineChars="202"/>
        <w:jc w:val="both"/>
        <w:rPr>
          <w:rFonts w:eastAsia="仿宋_GB2312"/>
          <w:sz w:val="28"/>
          <w:szCs w:val="28"/>
        </w:rPr>
      </w:pPr>
      <w:r>
        <w:rPr>
          <w:rFonts w:eastAsia="仿宋_GB2312"/>
          <w:sz w:val="28"/>
          <w:szCs w:val="28"/>
        </w:rPr>
        <w:t>承蒙委托，根据</w:t>
      </w:r>
      <w:r>
        <w:rPr>
          <w:rFonts w:hint="eastAsia" w:eastAsia="仿宋_GB2312"/>
          <w:sz w:val="28"/>
          <w:szCs w:val="28"/>
          <w:lang w:eastAsia="zh-CN"/>
        </w:rPr>
        <w:t>（2022）苏1202法鉴委字第243号</w:t>
      </w:r>
      <w:r>
        <w:rPr>
          <w:rFonts w:hint="eastAsia" w:eastAsia="仿宋_GB2312"/>
          <w:sz w:val="28"/>
          <w:szCs w:val="28"/>
        </w:rPr>
        <w:t>司法评估委托书</w:t>
      </w:r>
      <w:r>
        <w:rPr>
          <w:rFonts w:eastAsia="仿宋_GB2312"/>
          <w:sz w:val="28"/>
          <w:szCs w:val="28"/>
        </w:rPr>
        <w:t>，我公司对</w:t>
      </w:r>
      <w:r>
        <w:rPr>
          <w:rFonts w:hint="eastAsia" w:eastAsia="仿宋_GB2312"/>
          <w:sz w:val="28"/>
          <w:szCs w:val="28"/>
        </w:rPr>
        <w:t>贵单位委托的</w:t>
      </w:r>
      <w:r>
        <w:rPr>
          <w:rFonts w:eastAsia="仿宋_GB2312"/>
          <w:sz w:val="28"/>
          <w:szCs w:val="28"/>
        </w:rPr>
        <w:t>位于</w:t>
      </w:r>
      <w:r>
        <w:rPr>
          <w:rFonts w:hint="eastAsia" w:eastAsia="仿宋_GB2312"/>
          <w:sz w:val="28"/>
          <w:szCs w:val="28"/>
          <w:lang w:eastAsia="zh-CN"/>
        </w:rPr>
        <w:t>泰州市高港区中建锦绣珑湾43号楼205室</w:t>
      </w:r>
      <w:r>
        <w:rPr>
          <w:rFonts w:hint="eastAsia" w:eastAsia="仿宋_GB2312"/>
          <w:sz w:val="28"/>
          <w:szCs w:val="28"/>
        </w:rPr>
        <w:t>住宅房地产市场价格</w:t>
      </w:r>
      <w:r>
        <w:rPr>
          <w:rFonts w:eastAsia="仿宋_GB2312"/>
          <w:sz w:val="28"/>
          <w:szCs w:val="28"/>
        </w:rPr>
        <w:t>进行了估价，</w:t>
      </w:r>
      <w:r>
        <w:rPr>
          <w:rFonts w:hint="eastAsia" w:eastAsia="仿宋_GB2312"/>
          <w:sz w:val="28"/>
          <w:szCs w:val="28"/>
        </w:rPr>
        <w:t>为</w:t>
      </w:r>
      <w:r>
        <w:rPr>
          <w:rFonts w:eastAsia="仿宋_GB2312"/>
          <w:sz w:val="28"/>
          <w:szCs w:val="28"/>
        </w:rPr>
        <w:t>贵</w:t>
      </w:r>
      <w:r>
        <w:rPr>
          <w:rFonts w:hint="eastAsia" w:eastAsia="仿宋_GB2312"/>
          <w:sz w:val="28"/>
          <w:szCs w:val="28"/>
        </w:rPr>
        <w:t>单位确定财产处置参考价提供参考依据。</w:t>
      </w:r>
      <w:r>
        <w:rPr>
          <w:rFonts w:eastAsia="仿宋_GB2312"/>
          <w:sz w:val="28"/>
          <w:szCs w:val="28"/>
        </w:rPr>
        <w:t xml:space="preserve">估价对象基本情况如下： </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3287"/>
        <w:gridCol w:w="169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4"/>
            <w:vAlign w:val="center"/>
          </w:tcPr>
          <w:p>
            <w:pPr>
              <w:spacing w:line="400" w:lineRule="exact"/>
              <w:jc w:val="center"/>
              <w:rPr>
                <w:rFonts w:hint="eastAsia" w:ascii="宋体" w:hAnsi="宋体" w:eastAsia="宋体" w:cs="宋体"/>
                <w:color w:val="000000"/>
                <w:sz w:val="18"/>
                <w:szCs w:val="18"/>
                <w:lang w:eastAsia="zh-CN"/>
              </w:rPr>
            </w:pPr>
            <w:r>
              <w:rPr>
                <w:rFonts w:hint="eastAsia" w:ascii="宋体" w:hAnsi="宋体" w:cs="宋体"/>
                <w:b/>
                <w:bCs/>
                <w:color w:val="000000"/>
                <w:sz w:val="24"/>
                <w:szCs w:val="24"/>
                <w:lang w:eastAsia="zh-CN"/>
              </w:rPr>
              <w:t>房地产权结果信息一览表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被查询人</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坐落</w:t>
            </w:r>
          </w:p>
        </w:tc>
        <w:tc>
          <w:tcPr>
            <w:tcW w:w="4062" w:type="pct"/>
            <w:gridSpan w:val="3"/>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高港区中建锦绣珑湾43号楼205室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不动产单元号</w:t>
            </w:r>
          </w:p>
        </w:tc>
        <w:tc>
          <w:tcPr>
            <w:tcW w:w="4062" w:type="pct"/>
            <w:gridSpan w:val="3"/>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321203001007GB00081F00430205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房屋建筑面积</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126.46</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规划用途</w:t>
            </w:r>
          </w:p>
        </w:tc>
        <w:tc>
          <w:tcPr>
            <w:tcW w:w="1340" w:type="pct"/>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房屋性质</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市场化商品房</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竣工时间</w:t>
            </w:r>
          </w:p>
        </w:tc>
        <w:tc>
          <w:tcPr>
            <w:tcW w:w="1340" w:type="pct"/>
            <w:vAlign w:val="center"/>
          </w:tcPr>
          <w:p>
            <w:pPr>
              <w:spacing w:line="240" w:lineRule="exact"/>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土地使用起止时间</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2013-03-31</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土地使用结束时间</w:t>
            </w:r>
          </w:p>
        </w:tc>
        <w:tc>
          <w:tcPr>
            <w:tcW w:w="1340"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2083-03-30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不动产权证书</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苏（2016）泰州不动产权第0002485号</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登记机构</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泰州市不动产登记中心</w:t>
            </w:r>
          </w:p>
        </w:tc>
      </w:tr>
    </w:tbl>
    <w:p>
      <w:pPr>
        <w:keepNext w:val="0"/>
        <w:keepLines w:val="0"/>
        <w:pageBreakBefore w:val="0"/>
        <w:widowControl/>
        <w:kinsoku/>
        <w:wordWrap/>
        <w:overflowPunct/>
        <w:topLinePunct w:val="0"/>
        <w:autoSpaceDE/>
        <w:autoSpaceDN/>
        <w:bidi w:val="0"/>
        <w:adjustRightInd w:val="0"/>
        <w:snapToGrid w:val="0"/>
        <w:spacing w:line="240" w:lineRule="exact"/>
        <w:ind w:firstLine="560" w:firstLineChars="200"/>
        <w:textAlignment w:val="auto"/>
        <w:rPr>
          <w:rFonts w:eastAsia="仿宋_GB2312"/>
          <w:sz w:val="28"/>
          <w:szCs w:val="28"/>
        </w:rPr>
      </w:pP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2006"/>
        <w:gridCol w:w="1280"/>
        <w:gridCol w:w="1690"/>
        <w:gridCol w:w="135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vAlign w:val="center"/>
          </w:tcPr>
          <w:p>
            <w:pPr>
              <w:spacing w:line="400" w:lineRule="exact"/>
              <w:jc w:val="center"/>
              <w:rPr>
                <w:rFonts w:hint="default" w:ascii="宋体" w:hAnsi="宋体" w:eastAsia="宋体" w:cs="宋体"/>
                <w:color w:val="000000"/>
                <w:sz w:val="18"/>
                <w:szCs w:val="18"/>
                <w:lang w:val="en-US" w:eastAsia="zh-CN"/>
              </w:rPr>
            </w:pPr>
            <w:r>
              <w:rPr>
                <w:rFonts w:hint="eastAsia" w:ascii="宋体" w:hAnsi="宋体" w:cs="宋体"/>
                <w:b/>
                <w:bCs/>
                <w:color w:val="000000"/>
                <w:sz w:val="24"/>
                <w:szCs w:val="24"/>
                <w:lang w:val="en-US" w:eastAsia="zh-CN"/>
              </w:rPr>
              <w:t>房屋分户面积测量报告书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房屋</w:t>
            </w:r>
            <w:r>
              <w:rPr>
                <w:rFonts w:hint="eastAsia" w:ascii="宋体" w:hAnsi="宋体" w:cs="宋体"/>
                <w:color w:val="000000"/>
                <w:sz w:val="18"/>
                <w:szCs w:val="18"/>
              </w:rPr>
              <w:t>坐落</w:t>
            </w:r>
          </w:p>
        </w:tc>
        <w:tc>
          <w:tcPr>
            <w:tcW w:w="4062" w:type="pct"/>
            <w:gridSpan w:val="5"/>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高港区中建</w:t>
            </w:r>
            <w:r>
              <w:rPr>
                <w:rFonts w:hint="eastAsia" w:ascii="微软雅黑" w:hAnsi="微软雅黑" w:eastAsia="微软雅黑" w:cs="微软雅黑"/>
                <w:color w:val="000000"/>
                <w:sz w:val="18"/>
                <w:szCs w:val="18"/>
                <w:lang w:eastAsia="zh-CN"/>
              </w:rPr>
              <w:t>･</w:t>
            </w:r>
            <w:r>
              <w:rPr>
                <w:rFonts w:hint="eastAsia" w:ascii="宋体" w:hAnsi="宋体" w:cs="宋体"/>
                <w:color w:val="000000"/>
                <w:sz w:val="18"/>
                <w:szCs w:val="18"/>
                <w:lang w:eastAsia="zh-CN"/>
              </w:rPr>
              <w:t>锦绣珑湾43号楼205室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丘号</w:t>
            </w:r>
          </w:p>
        </w:tc>
        <w:tc>
          <w:tcPr>
            <w:tcW w:w="1797" w:type="pct"/>
            <w:gridSpan w:val="2"/>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3212030010070000106</w:t>
            </w:r>
          </w:p>
        </w:tc>
        <w:tc>
          <w:tcPr>
            <w:tcW w:w="924"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结构</w:t>
            </w:r>
          </w:p>
        </w:tc>
        <w:tc>
          <w:tcPr>
            <w:tcW w:w="1340" w:type="pct"/>
            <w:gridSpan w:val="2"/>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规划用途</w:t>
            </w:r>
          </w:p>
        </w:tc>
        <w:tc>
          <w:tcPr>
            <w:tcW w:w="10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住宅</w:t>
            </w:r>
          </w:p>
        </w:tc>
        <w:tc>
          <w:tcPr>
            <w:tcW w:w="7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总层次</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739"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所在层次</w:t>
            </w:r>
          </w:p>
        </w:tc>
        <w:tc>
          <w:tcPr>
            <w:tcW w:w="6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建成年代</w:t>
            </w:r>
          </w:p>
        </w:tc>
        <w:tc>
          <w:tcPr>
            <w:tcW w:w="10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2015年</w:t>
            </w:r>
          </w:p>
        </w:tc>
        <w:tc>
          <w:tcPr>
            <w:tcW w:w="7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总建筑面积</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126.46</w:t>
            </w:r>
          </w:p>
        </w:tc>
        <w:tc>
          <w:tcPr>
            <w:tcW w:w="739"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填制日期</w:t>
            </w:r>
          </w:p>
        </w:tc>
        <w:tc>
          <w:tcPr>
            <w:tcW w:w="600"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2016-2-16</w:t>
            </w:r>
          </w:p>
        </w:tc>
      </w:tr>
    </w:tbl>
    <w:p>
      <w:pPr>
        <w:adjustRightInd w:val="0"/>
        <w:snapToGrid w:val="0"/>
        <w:spacing w:line="480" w:lineRule="exact"/>
        <w:ind w:firstLine="560" w:firstLineChars="200"/>
        <w:rPr>
          <w:rFonts w:hint="eastAsia" w:eastAsia="仿宋_GB2312"/>
          <w:sz w:val="28"/>
          <w:szCs w:val="28"/>
        </w:rPr>
      </w:pPr>
      <w:r>
        <w:rPr>
          <w:rFonts w:hint="eastAsia" w:eastAsia="仿宋_GB2312"/>
          <w:sz w:val="28"/>
          <w:szCs w:val="28"/>
        </w:rPr>
        <w:t>根据现场勘察，室内</w:t>
      </w:r>
      <w:r>
        <w:rPr>
          <w:rFonts w:hint="eastAsia" w:eastAsia="仿宋_GB2312"/>
          <w:sz w:val="28"/>
          <w:szCs w:val="28"/>
          <w:lang w:val="en-US" w:eastAsia="zh-CN"/>
        </w:rPr>
        <w:t>附属装潢</w:t>
      </w:r>
      <w:r>
        <w:rPr>
          <w:rFonts w:hint="eastAsia" w:eastAsia="仿宋_GB2312"/>
          <w:sz w:val="28"/>
          <w:szCs w:val="28"/>
        </w:rPr>
        <w:t>情况如下：</w:t>
      </w:r>
    </w:p>
    <w:tbl>
      <w:tblPr>
        <w:tblStyle w:val="47"/>
        <w:tblW w:w="4998" w:type="pct"/>
        <w:tblInd w:w="0" w:type="dxa"/>
        <w:shd w:val="clear" w:color="auto" w:fill="auto"/>
        <w:tblLayout w:type="autofit"/>
        <w:tblCellMar>
          <w:top w:w="0" w:type="dxa"/>
          <w:left w:w="0" w:type="dxa"/>
          <w:bottom w:w="0" w:type="dxa"/>
          <w:right w:w="0" w:type="dxa"/>
        </w:tblCellMar>
      </w:tblPr>
      <w:tblGrid>
        <w:gridCol w:w="2352"/>
        <w:gridCol w:w="858"/>
        <w:gridCol w:w="3575"/>
        <w:gridCol w:w="837"/>
        <w:gridCol w:w="1333"/>
      </w:tblGrid>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室号</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项目名称</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单位</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厨房</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24.01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餐厅</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7.47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7.47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4.16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4.16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3号-东北房间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8.25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8.25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水泥搁</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卫生间1</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同质砖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15.18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排风扇</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座便器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水嘴（三联）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不锈钢毛巾架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副</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卫生间1外洗手台</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石膏板天棚</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整体洗脸池</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5.50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1号房-东南房间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23.61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23.61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4.44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卫生间2-东南房内卫生间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同质砖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4.77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4.77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浴霸</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磨砂玻璃移门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3.89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0.70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整体洗脸池</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不锈钢毛巾架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副</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水嘴（三联）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座便器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22.59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客厅及门厅</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25.20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52.50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7.35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电视背景墙</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阳台</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4.34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6.27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13.64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水嘴（单联）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6.70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钢化玻璃雨篷（不锈钢龙骨）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2号房-西房间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10.89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10.89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3.25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33.66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装修水电工料补差</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126.46 </w:t>
            </w:r>
          </w:p>
        </w:tc>
      </w:tr>
    </w:tbl>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sz w:val="28"/>
        </w:rPr>
      </w:pPr>
      <w:r>
        <w:rPr>
          <w:rFonts w:eastAsia="仿宋_GB2312"/>
          <w:sz w:val="28"/>
          <w:szCs w:val="28"/>
        </w:rPr>
        <w:t>价值时点：</w:t>
      </w:r>
      <w:r>
        <w:rPr>
          <w:rFonts w:hint="eastAsia" w:eastAsia="仿宋_GB2312"/>
          <w:sz w:val="28"/>
          <w:lang w:eastAsia="zh-CN"/>
        </w:rPr>
        <w:t>2022年09月29日</w:t>
      </w:r>
      <w:r>
        <w:rPr>
          <w:rFonts w:eastAsia="仿宋_GB2312"/>
          <w:sz w:val="28"/>
        </w:rPr>
        <w:t>。</w:t>
      </w:r>
    </w:p>
    <w:p>
      <w:pPr>
        <w:keepNext w:val="0"/>
        <w:keepLines w:val="0"/>
        <w:pageBreakBefore w:val="0"/>
        <w:widowControl/>
        <w:kinsoku/>
        <w:wordWrap/>
        <w:overflowPunct/>
        <w:topLinePunct w:val="0"/>
        <w:autoSpaceDE/>
        <w:autoSpaceDN/>
        <w:bidi w:val="0"/>
        <w:snapToGrid w:val="0"/>
        <w:spacing w:line="460" w:lineRule="exact"/>
        <w:ind w:firstLine="560" w:firstLineChars="200"/>
        <w:jc w:val="both"/>
        <w:textAlignment w:val="auto"/>
        <w:rPr>
          <w:rFonts w:eastAsia="仿宋_GB2312"/>
          <w:sz w:val="28"/>
          <w:szCs w:val="28"/>
        </w:rPr>
      </w:pPr>
      <w:r>
        <w:rPr>
          <w:rFonts w:eastAsia="仿宋_GB2312"/>
          <w:sz w:val="28"/>
        </w:rPr>
        <w:t>价值</w:t>
      </w:r>
      <w:r>
        <w:rPr>
          <w:rFonts w:eastAsia="仿宋_GB2312"/>
          <w:sz w:val="28"/>
          <w:szCs w:val="28"/>
        </w:rPr>
        <w:t>类型：市场</w:t>
      </w:r>
      <w:r>
        <w:rPr>
          <w:rFonts w:hint="eastAsia" w:eastAsia="仿宋_GB2312"/>
          <w:sz w:val="28"/>
          <w:szCs w:val="28"/>
        </w:rPr>
        <w:t>价格</w:t>
      </w:r>
      <w:r>
        <w:rPr>
          <w:rFonts w:eastAsia="仿宋_GB2312"/>
          <w:sz w:val="28"/>
          <w:szCs w:val="28"/>
        </w:rPr>
        <w:t>。</w:t>
      </w:r>
    </w:p>
    <w:p>
      <w:pPr>
        <w:keepNext w:val="0"/>
        <w:keepLines w:val="0"/>
        <w:pageBreakBefore w:val="0"/>
        <w:widowControl/>
        <w:kinsoku/>
        <w:wordWrap/>
        <w:overflowPunct/>
        <w:topLinePunct w:val="0"/>
        <w:autoSpaceDE/>
        <w:autoSpaceDN/>
        <w:bidi w:val="0"/>
        <w:snapToGrid w:val="0"/>
        <w:spacing w:line="460" w:lineRule="exact"/>
        <w:ind w:firstLine="565" w:firstLineChars="202"/>
        <w:jc w:val="both"/>
        <w:textAlignment w:val="auto"/>
        <w:rPr>
          <w:rFonts w:eastAsia="仿宋_GB2312"/>
          <w:sz w:val="28"/>
          <w:szCs w:val="28"/>
        </w:rPr>
      </w:pPr>
      <w:r>
        <w:rPr>
          <w:rFonts w:eastAsia="仿宋_GB2312"/>
          <w:sz w:val="28"/>
          <w:szCs w:val="28"/>
        </w:rPr>
        <w:t>估价人员遵循各项估价原则，根据估价目的和国家有关房地产估价的规范、规定，按照估价程序，经过实地查勘与市场调查，</w:t>
      </w:r>
      <w:r>
        <w:rPr>
          <w:rFonts w:hint="eastAsia" w:eastAsia="仿宋_GB2312"/>
          <w:color w:val="000000"/>
          <w:sz w:val="28"/>
          <w:szCs w:val="28"/>
        </w:rPr>
        <w:t>房地产</w:t>
      </w:r>
      <w:r>
        <w:rPr>
          <w:rFonts w:eastAsia="仿宋_GB2312"/>
          <w:color w:val="000000"/>
          <w:sz w:val="28"/>
          <w:szCs w:val="28"/>
        </w:rPr>
        <w:t>选用比较法</w:t>
      </w:r>
      <w:r>
        <w:rPr>
          <w:rFonts w:hint="eastAsia" w:eastAsia="仿宋_GB2312"/>
          <w:color w:val="000000"/>
          <w:sz w:val="28"/>
          <w:szCs w:val="28"/>
        </w:rPr>
        <w:t>、</w:t>
      </w:r>
      <w:r>
        <w:rPr>
          <w:rFonts w:hint="eastAsia" w:eastAsia="仿宋_GB2312"/>
          <w:color w:val="000000"/>
          <w:sz w:val="28"/>
          <w:szCs w:val="28"/>
          <w:lang w:val="en-US" w:eastAsia="zh-CN"/>
        </w:rPr>
        <w:t>附属装潢</w:t>
      </w:r>
      <w:r>
        <w:rPr>
          <w:rFonts w:hint="eastAsia" w:eastAsia="仿宋_GB2312"/>
          <w:color w:val="000000"/>
          <w:sz w:val="28"/>
          <w:szCs w:val="28"/>
        </w:rPr>
        <w:t>选用重置成本法，</w:t>
      </w:r>
      <w:r>
        <w:rPr>
          <w:rFonts w:eastAsia="仿宋_GB2312"/>
          <w:sz w:val="28"/>
          <w:szCs w:val="28"/>
        </w:rPr>
        <w:t>对估价对象进行了测算，确定估价对象在满足全部假设和限制条件下于价值时点</w:t>
      </w:r>
      <w:r>
        <w:rPr>
          <w:rFonts w:hint="eastAsia" w:eastAsia="仿宋_GB2312"/>
          <w:sz w:val="28"/>
          <w:szCs w:val="28"/>
          <w:lang w:eastAsia="zh-CN"/>
        </w:rPr>
        <w:t>2022年09月29日</w:t>
      </w:r>
      <w:r>
        <w:rPr>
          <w:rFonts w:eastAsia="仿宋_GB2312"/>
          <w:sz w:val="28"/>
          <w:szCs w:val="28"/>
        </w:rPr>
        <w:t>的估价结果如下：（币种：人民币）</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60" w:lineRule="exact"/>
        <w:ind w:firstLine="562" w:firstLineChars="200"/>
        <w:textAlignment w:val="auto"/>
        <w:rPr>
          <w:rFonts w:eastAsia="仿宋_GB2312"/>
          <w:b/>
          <w:sz w:val="28"/>
          <w:szCs w:val="28"/>
          <w:highlight w:val="none"/>
        </w:rPr>
      </w:pPr>
      <w:r>
        <w:rPr>
          <w:rFonts w:hint="eastAsia" w:eastAsia="仿宋_GB2312"/>
          <w:b/>
          <w:sz w:val="28"/>
          <w:szCs w:val="28"/>
          <w:highlight w:val="none"/>
        </w:rPr>
        <w:t>价值总价：</w:t>
      </w:r>
      <w:r>
        <w:rPr>
          <w:rFonts w:hint="eastAsia" w:eastAsia="仿宋_GB2312"/>
          <w:b/>
          <w:sz w:val="28"/>
          <w:szCs w:val="28"/>
          <w:highlight w:val="none"/>
          <w:lang w:val="en-US" w:eastAsia="zh-CN"/>
        </w:rPr>
        <w:t>172.23</w:t>
      </w:r>
      <w:r>
        <w:rPr>
          <w:rFonts w:hint="eastAsia" w:eastAsia="仿宋_GB2312"/>
          <w:b/>
          <w:sz w:val="28"/>
          <w:szCs w:val="28"/>
          <w:highlight w:val="none"/>
          <w:lang w:eastAsia="zh-CN"/>
        </w:rPr>
        <w:t>万</w:t>
      </w:r>
      <w:r>
        <w:rPr>
          <w:rFonts w:hint="eastAsia" w:eastAsia="仿宋_GB2312"/>
          <w:b/>
          <w:sz w:val="28"/>
          <w:szCs w:val="28"/>
          <w:highlight w:val="none"/>
        </w:rPr>
        <w:t>元</w:t>
      </w:r>
      <w:r>
        <w:rPr>
          <w:rFonts w:hint="eastAsia" w:eastAsia="仿宋_GB2312"/>
          <w:b/>
          <w:sz w:val="28"/>
          <w:szCs w:val="28"/>
          <w:highlight w:val="none"/>
          <w:lang w:eastAsia="zh-CN"/>
        </w:rPr>
        <w:t>，</w:t>
      </w:r>
      <w:r>
        <w:rPr>
          <w:rFonts w:hint="eastAsia" w:eastAsia="仿宋_GB2312"/>
          <w:b/>
          <w:sz w:val="28"/>
          <w:szCs w:val="28"/>
          <w:highlight w:val="none"/>
        </w:rPr>
        <w:t>大写金额：</w:t>
      </w:r>
      <w:r>
        <w:rPr>
          <w:rFonts w:hint="eastAsia" w:eastAsia="仿宋_GB2312"/>
          <w:b/>
          <w:sz w:val="28"/>
          <w:szCs w:val="28"/>
          <w:highlight w:val="none"/>
          <w:lang w:val="en-US" w:eastAsia="zh-CN"/>
        </w:rPr>
        <w:t>壹佰柒拾贰万贰仟叁佰</w:t>
      </w:r>
      <w:r>
        <w:rPr>
          <w:rFonts w:hint="eastAsia" w:eastAsia="仿宋_GB2312"/>
          <w:b/>
          <w:sz w:val="28"/>
          <w:szCs w:val="28"/>
          <w:highlight w:val="none"/>
        </w:rPr>
        <w:t>元整</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60" w:lineRule="exact"/>
        <w:ind w:firstLine="562" w:firstLineChars="200"/>
        <w:textAlignment w:val="auto"/>
        <w:rPr>
          <w:rFonts w:hint="eastAsia" w:eastAsia="仿宋_GB2312"/>
          <w:b/>
          <w:sz w:val="28"/>
          <w:szCs w:val="28"/>
          <w:highlight w:val="none"/>
          <w:lang w:val="en-US" w:eastAsia="zh-CN"/>
        </w:rPr>
      </w:pPr>
      <w:r>
        <w:rPr>
          <w:rFonts w:hint="eastAsia" w:eastAsia="仿宋_GB2312"/>
          <w:b/>
          <w:sz w:val="28"/>
          <w:szCs w:val="28"/>
          <w:highlight w:val="none"/>
          <w:lang w:val="en-US" w:eastAsia="zh-CN"/>
        </w:rPr>
        <w:t>其中：房地产价值</w:t>
      </w:r>
      <w:r>
        <w:rPr>
          <w:rFonts w:hint="eastAsia" w:eastAsia="仿宋_GB2312"/>
          <w:b/>
          <w:sz w:val="28"/>
          <w:szCs w:val="28"/>
          <w:highlight w:val="none"/>
        </w:rPr>
        <w:t>（</w:t>
      </w:r>
      <w:r>
        <w:rPr>
          <w:rFonts w:hint="eastAsia" w:eastAsia="仿宋_GB2312"/>
          <w:b/>
          <w:sz w:val="28"/>
          <w:szCs w:val="28"/>
          <w:highlight w:val="none"/>
          <w:lang w:val="en-US" w:eastAsia="zh-CN"/>
        </w:rPr>
        <w:t>毛坯</w:t>
      </w:r>
      <w:r>
        <w:rPr>
          <w:rFonts w:hint="eastAsia" w:eastAsia="仿宋_GB2312"/>
          <w:b/>
          <w:sz w:val="28"/>
          <w:szCs w:val="28"/>
          <w:highlight w:val="none"/>
        </w:rPr>
        <w:t>）</w:t>
      </w:r>
      <w:r>
        <w:rPr>
          <w:rFonts w:hint="eastAsia" w:eastAsia="仿宋_GB2312"/>
          <w:b/>
          <w:sz w:val="28"/>
          <w:szCs w:val="28"/>
          <w:highlight w:val="none"/>
          <w:lang w:val="en-US" w:eastAsia="zh-CN"/>
        </w:rPr>
        <w:t>：158.56万元，附属装潢价值：13.67万元。</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562" w:firstLineChars="200"/>
        <w:textAlignment w:val="auto"/>
        <w:rPr>
          <w:rFonts w:hint="eastAsia" w:eastAsia="仿宋_GB2312"/>
          <w:b/>
          <w:sz w:val="28"/>
          <w:szCs w:val="28"/>
          <w:highlight w:val="none"/>
          <w:lang w:val="en-US" w:eastAsia="zh-CN"/>
        </w:rPr>
      </w:pPr>
      <w:r>
        <w:rPr>
          <w:rFonts w:hint="eastAsia" w:eastAsia="仿宋_GB2312"/>
          <w:b/>
          <w:sz w:val="28"/>
          <w:szCs w:val="28"/>
          <w:highlight w:val="none"/>
          <w:lang w:val="en-US" w:eastAsia="zh-CN"/>
        </w:rPr>
        <w:t>详细结果见下表：</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482" w:firstLineChars="200"/>
        <w:textAlignment w:val="auto"/>
        <w:rPr>
          <w:rFonts w:hint="default" w:eastAsia="仿宋_GB2312"/>
          <w:b/>
          <w:sz w:val="24"/>
          <w:szCs w:val="24"/>
          <w:highlight w:val="none"/>
          <w:lang w:val="en-US" w:eastAsia="zh-CN"/>
        </w:rPr>
      </w:pPr>
      <w:r>
        <w:rPr>
          <w:rFonts w:hint="eastAsia" w:eastAsia="仿宋_GB2312"/>
          <w:b/>
          <w:sz w:val="24"/>
          <w:szCs w:val="24"/>
          <w:highlight w:val="none"/>
          <w:lang w:val="en-US" w:eastAsia="zh-CN"/>
        </w:rPr>
        <w:t>房地产价值：</w:t>
      </w:r>
    </w:p>
    <w:tbl>
      <w:tblPr>
        <w:tblStyle w:val="47"/>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08"/>
        <w:gridCol w:w="1717"/>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6" w:hRule="atLeast"/>
          <w:tblHeader/>
          <w:jc w:val="center"/>
        </w:trPr>
        <w:tc>
          <w:tcPr>
            <w:tcW w:w="1957" w:type="pct"/>
            <w:gridSpan w:val="2"/>
            <w:tcBorders>
              <w:tl2br w:val="single" w:color="auto" w:sz="4" w:space="0"/>
            </w:tcBorders>
            <w:shd w:val="clear" w:color="auto" w:fill="auto"/>
            <w:vAlign w:val="center"/>
          </w:tcPr>
          <w:p>
            <w:pPr>
              <w:spacing w:line="240" w:lineRule="exact"/>
              <w:jc w:val="righ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估价方法</w:t>
            </w:r>
          </w:p>
          <w:p>
            <w:pPr>
              <w:spacing w:line="24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相关结果</w:t>
            </w:r>
          </w:p>
        </w:tc>
        <w:tc>
          <w:tcPr>
            <w:tcW w:w="3042"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3" w:hRule="atLeast"/>
          <w:jc w:val="center"/>
        </w:trPr>
        <w:tc>
          <w:tcPr>
            <w:tcW w:w="1004" w:type="pct"/>
            <w:vMerge w:val="restar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测算结果</w:t>
            </w:r>
          </w:p>
        </w:tc>
        <w:tc>
          <w:tcPr>
            <w:tcW w:w="952"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单价(元/m</w:t>
            </w:r>
            <w:r>
              <w:rPr>
                <w:rFonts w:hint="eastAsia" w:asciiTheme="minorEastAsia" w:hAnsiTheme="minorEastAsia" w:eastAsiaTheme="minorEastAsia" w:cstheme="minorEastAsia"/>
                <w:sz w:val="18"/>
                <w:szCs w:val="18"/>
                <w:highlight w:val="none"/>
                <w:vertAlign w:val="superscript"/>
              </w:rPr>
              <w:t>2</w:t>
            </w:r>
            <w:r>
              <w:rPr>
                <w:rFonts w:hint="eastAsia" w:asciiTheme="minorEastAsia" w:hAnsiTheme="minorEastAsia" w:eastAsiaTheme="minorEastAsia" w:cstheme="minorEastAsia"/>
                <w:sz w:val="18"/>
                <w:szCs w:val="18"/>
                <w:highlight w:val="none"/>
              </w:rPr>
              <w:t>)</w:t>
            </w:r>
          </w:p>
        </w:tc>
        <w:tc>
          <w:tcPr>
            <w:tcW w:w="3042" w:type="pct"/>
            <w:shd w:val="clear" w:color="auto" w:fill="auto"/>
            <w:vAlign w:val="center"/>
          </w:tcPr>
          <w:p>
            <w:pPr>
              <w:pStyle w:val="86"/>
              <w:spacing w:line="30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atLeast"/>
          <w:jc w:val="center"/>
        </w:trPr>
        <w:tc>
          <w:tcPr>
            <w:tcW w:w="1004" w:type="pct"/>
            <w:vMerge w:val="continue"/>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p>
        </w:tc>
        <w:tc>
          <w:tcPr>
            <w:tcW w:w="952"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总额(万元)</w:t>
            </w:r>
          </w:p>
        </w:tc>
        <w:tc>
          <w:tcPr>
            <w:tcW w:w="3042"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158.56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atLeast"/>
          <w:jc w:val="center"/>
        </w:trPr>
        <w:tc>
          <w:tcPr>
            <w:tcW w:w="1004" w:type="pct"/>
            <w:vMerge w:val="restar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评估价值</w:t>
            </w:r>
          </w:p>
        </w:tc>
        <w:tc>
          <w:tcPr>
            <w:tcW w:w="952"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单价(元/m</w:t>
            </w:r>
            <w:r>
              <w:rPr>
                <w:rFonts w:hint="eastAsia" w:asciiTheme="minorEastAsia" w:hAnsiTheme="minorEastAsia" w:eastAsiaTheme="minorEastAsia" w:cstheme="minorEastAsia"/>
                <w:sz w:val="18"/>
                <w:szCs w:val="18"/>
                <w:highlight w:val="none"/>
                <w:vertAlign w:val="superscript"/>
              </w:rPr>
              <w:t>2</w:t>
            </w:r>
            <w:r>
              <w:rPr>
                <w:rFonts w:hint="eastAsia" w:asciiTheme="minorEastAsia" w:hAnsiTheme="minorEastAsia" w:eastAsiaTheme="minorEastAsia" w:cstheme="minorEastAsia"/>
                <w:sz w:val="18"/>
                <w:szCs w:val="18"/>
                <w:highlight w:val="none"/>
              </w:rPr>
              <w:t>)</w:t>
            </w:r>
          </w:p>
        </w:tc>
        <w:tc>
          <w:tcPr>
            <w:tcW w:w="3042"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09" w:hRule="atLeast"/>
          <w:jc w:val="center"/>
        </w:trPr>
        <w:tc>
          <w:tcPr>
            <w:tcW w:w="1004" w:type="pct"/>
            <w:vMerge w:val="continue"/>
            <w:shd w:val="clear" w:color="auto" w:fill="auto"/>
            <w:vAlign w:val="center"/>
          </w:tcPr>
          <w:p>
            <w:pPr>
              <w:spacing w:line="240" w:lineRule="exact"/>
              <w:ind w:firstLine="90" w:firstLineChars="50"/>
              <w:jc w:val="center"/>
              <w:rPr>
                <w:rFonts w:hint="eastAsia" w:asciiTheme="minorEastAsia" w:hAnsiTheme="minorEastAsia" w:eastAsiaTheme="minorEastAsia" w:cstheme="minorEastAsia"/>
                <w:sz w:val="18"/>
                <w:szCs w:val="18"/>
                <w:highlight w:val="none"/>
              </w:rPr>
            </w:pPr>
          </w:p>
        </w:tc>
        <w:tc>
          <w:tcPr>
            <w:tcW w:w="952"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总额(万元)</w:t>
            </w:r>
          </w:p>
        </w:tc>
        <w:tc>
          <w:tcPr>
            <w:tcW w:w="3042"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158.56</w:t>
            </w:r>
          </w:p>
        </w:tc>
      </w:tr>
    </w:tbl>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482" w:firstLineChars="200"/>
        <w:textAlignment w:val="auto"/>
        <w:rPr>
          <w:rFonts w:hint="eastAsia" w:eastAsia="仿宋_GB2312"/>
          <w:b/>
          <w:sz w:val="24"/>
          <w:szCs w:val="24"/>
          <w:highlight w:val="none"/>
          <w:lang w:val="en-US" w:eastAsia="zh-CN"/>
        </w:rPr>
      </w:pPr>
      <w:r>
        <w:rPr>
          <w:rFonts w:hint="eastAsia" w:eastAsia="仿宋_GB2312"/>
          <w:b/>
          <w:sz w:val="24"/>
          <w:szCs w:val="24"/>
          <w:highlight w:val="none"/>
          <w:lang w:val="en-US" w:eastAsia="zh-CN"/>
        </w:rPr>
        <w:t>附属装潢价值：</w:t>
      </w:r>
    </w:p>
    <w:tbl>
      <w:tblPr>
        <w:tblStyle w:val="47"/>
        <w:tblW w:w="4997" w:type="pct"/>
        <w:tblInd w:w="0" w:type="dxa"/>
        <w:shd w:val="clear" w:color="auto" w:fill="auto"/>
        <w:tblLayout w:type="autofit"/>
        <w:tblCellMar>
          <w:top w:w="0" w:type="dxa"/>
          <w:left w:w="0" w:type="dxa"/>
          <w:bottom w:w="0" w:type="dxa"/>
          <w:right w:w="0" w:type="dxa"/>
        </w:tblCellMar>
      </w:tblPr>
      <w:tblGrid>
        <w:gridCol w:w="2020"/>
        <w:gridCol w:w="720"/>
        <w:gridCol w:w="3086"/>
        <w:gridCol w:w="700"/>
        <w:gridCol w:w="1132"/>
        <w:gridCol w:w="1296"/>
      </w:tblGrid>
      <w:tr>
        <w:tblPrEx>
          <w:shd w:val="clear" w:color="auto" w:fill="auto"/>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室号</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序号</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项目名称</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单位</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数量</w:t>
            </w:r>
          </w:p>
        </w:tc>
        <w:tc>
          <w:tcPr>
            <w:tcW w:w="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评估价值（元）</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厨房</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1421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24.01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4538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餐厅</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7.47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1882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7.47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941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1685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3号-东北房间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1667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311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389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1166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水泥搁</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1265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卫生间1</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同质砖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2869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排风扇</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座便器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水嘴（三联）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不锈钢毛巾架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0.85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344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卫生间1外洗手台</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353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石膏板天棚</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1206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整体洗脸池</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1号房-东南房间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23.61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4769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23.61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4155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4.44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1798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424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2643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4900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卫生间2-东南房内卫生间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同质砖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浴霸</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磨砂玻璃移门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910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0.70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整体洗脸池</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不锈钢毛巾架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水嘴（三联）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座便器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22.59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客厅及门厅</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9420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6579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25.20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2310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7.35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647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电视背景墙</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3308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阳台</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4.34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1094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6.27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2539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水嘴（单联）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钢化玻璃雨篷（不锈钢龙骨）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653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2号房-西房间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2200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1917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1499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367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33.66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1481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其他</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装修水电工料补差</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126.46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12393 </w:t>
            </w:r>
          </w:p>
        </w:tc>
      </w:tr>
      <w:tr>
        <w:tblPrEx>
          <w:shd w:val="clear" w:color="auto" w:fill="auto"/>
          <w:tblCellMar>
            <w:top w:w="0" w:type="dxa"/>
            <w:left w:w="0" w:type="dxa"/>
            <w:bottom w:w="0" w:type="dxa"/>
            <w:right w:w="0" w:type="dxa"/>
          </w:tblCellMar>
        </w:tblPrEx>
        <w:trPr>
          <w:trHeight w:val="255" w:hRule="atLeast"/>
        </w:trPr>
        <w:tc>
          <w:tcPr>
            <w:tcW w:w="4276" w:type="pct"/>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合计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136723 </w:t>
            </w:r>
          </w:p>
        </w:tc>
      </w:tr>
    </w:tbl>
    <w:p>
      <w:pPr>
        <w:widowControl w:val="0"/>
        <w:spacing w:line="480" w:lineRule="exact"/>
        <w:ind w:left="420" w:right="17"/>
        <w:jc w:val="both"/>
        <w:rPr>
          <w:rFonts w:eastAsia="仿宋_GB2312"/>
          <w:bCs/>
          <w:sz w:val="28"/>
          <w:szCs w:val="28"/>
        </w:rPr>
      </w:pPr>
      <w:r>
        <w:rPr>
          <w:rFonts w:eastAsia="仿宋_GB2312"/>
          <w:bCs/>
          <w:sz w:val="28"/>
          <w:szCs w:val="28"/>
        </w:rPr>
        <w:t>特别提示</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本报告仅限于</w:t>
      </w:r>
      <w:r>
        <w:rPr>
          <w:rFonts w:hint="eastAsia" w:eastAsia="仿宋_GB2312"/>
          <w:sz w:val="28"/>
          <w:szCs w:val="28"/>
        </w:rPr>
        <w:t>为人民法院确定财产处置参考价提供参考依据</w:t>
      </w:r>
      <w:r>
        <w:rPr>
          <w:rFonts w:eastAsia="仿宋_GB2312"/>
          <w:sz w:val="28"/>
          <w:szCs w:val="28"/>
        </w:rPr>
        <w:t>，不</w:t>
      </w:r>
      <w:r>
        <w:rPr>
          <w:rFonts w:hint="eastAsia" w:eastAsia="仿宋_GB2312"/>
          <w:sz w:val="28"/>
          <w:szCs w:val="28"/>
        </w:rPr>
        <w:t>作他用；</w:t>
      </w:r>
    </w:p>
    <w:p>
      <w:pPr>
        <w:numPr>
          <w:ilvl w:val="0"/>
          <w:numId w:val="1"/>
        </w:numPr>
        <w:tabs>
          <w:tab w:val="left" w:pos="993"/>
        </w:tabs>
        <w:adjustRightInd w:val="0"/>
        <w:snapToGrid w:val="0"/>
        <w:spacing w:line="480" w:lineRule="exact"/>
        <w:ind w:firstLine="560" w:firstLineChars="200"/>
        <w:jc w:val="both"/>
        <w:rPr>
          <w:rFonts w:eastAsia="仿宋_GB2312"/>
          <w:sz w:val="28"/>
          <w:szCs w:val="28"/>
          <w:highlight w:val="none"/>
        </w:rPr>
      </w:pPr>
      <w:r>
        <w:rPr>
          <w:rFonts w:hint="eastAsia" w:eastAsia="仿宋_GB2312"/>
          <w:sz w:val="28"/>
          <w:szCs w:val="28"/>
        </w:rPr>
        <w:t>至价值时点，委托方未能提供估价对象的《不动产权证》，</w:t>
      </w:r>
      <w:r>
        <w:rPr>
          <w:rFonts w:hint="eastAsia" w:eastAsia="仿宋_GB2312"/>
          <w:sz w:val="28"/>
          <w:szCs w:val="28"/>
          <w:lang w:eastAsia="zh-CN"/>
        </w:rPr>
        <w:t>本次评估的房屋信息依据委托方提供的《房地产权结果信息一览表》、《房屋分户面</w:t>
      </w:r>
      <w:r>
        <w:rPr>
          <w:rFonts w:hint="eastAsia" w:eastAsia="仿宋_GB2312"/>
          <w:sz w:val="28"/>
          <w:szCs w:val="28"/>
          <w:highlight w:val="none"/>
          <w:lang w:eastAsia="zh-CN"/>
        </w:rPr>
        <w:t>积测量报告书》</w:t>
      </w:r>
      <w:r>
        <w:rPr>
          <w:rFonts w:hint="eastAsia" w:eastAsia="仿宋_GB2312"/>
          <w:sz w:val="28"/>
          <w:szCs w:val="28"/>
          <w:highlight w:val="none"/>
        </w:rPr>
        <w:t>，根据估价委托人要求：以估价对象合法拥有《不动产权证》为前提，土地</w:t>
      </w:r>
      <w:r>
        <w:rPr>
          <w:rFonts w:hint="eastAsia" w:eastAsia="仿宋_GB2312"/>
          <w:sz w:val="28"/>
          <w:szCs w:val="28"/>
          <w:highlight w:val="none"/>
          <w:lang w:val="en-US" w:eastAsia="zh-CN"/>
        </w:rPr>
        <w:t>权利性质按出让、</w:t>
      </w:r>
      <w:r>
        <w:rPr>
          <w:rFonts w:hint="eastAsia" w:eastAsia="仿宋_GB2312"/>
          <w:sz w:val="28"/>
          <w:szCs w:val="28"/>
          <w:highlight w:val="none"/>
        </w:rPr>
        <w:t>用途按住宅进行评估；</w:t>
      </w:r>
    </w:p>
    <w:p>
      <w:pPr>
        <w:numPr>
          <w:ilvl w:val="0"/>
          <w:numId w:val="1"/>
        </w:numPr>
        <w:tabs>
          <w:tab w:val="left" w:pos="993"/>
        </w:tabs>
        <w:adjustRightInd w:val="0"/>
        <w:snapToGrid w:val="0"/>
        <w:spacing w:line="480" w:lineRule="exact"/>
        <w:ind w:firstLine="560" w:firstLineChars="200"/>
        <w:jc w:val="both"/>
        <w:rPr>
          <w:rFonts w:eastAsia="仿宋_GB2312"/>
          <w:sz w:val="28"/>
          <w:szCs w:val="28"/>
          <w:highlight w:val="none"/>
        </w:rPr>
      </w:pPr>
      <w:r>
        <w:rPr>
          <w:rFonts w:hint="eastAsia" w:eastAsia="仿宋_GB2312"/>
          <w:color w:val="000000"/>
          <w:sz w:val="28"/>
          <w:highlight w:val="none"/>
          <w:lang w:val="en-US" w:eastAsia="zh-CN"/>
        </w:rPr>
        <w:t>附属装潢</w:t>
      </w:r>
      <w:r>
        <w:rPr>
          <w:rFonts w:hint="eastAsia" w:eastAsia="仿宋_GB2312"/>
          <w:color w:val="000000"/>
          <w:sz w:val="28"/>
          <w:highlight w:val="none"/>
        </w:rPr>
        <w:t>的数量由估价人员现场勘察、测量确定，若与实际不符，估价结果需作相应调整。</w:t>
      </w:r>
    </w:p>
    <w:p>
      <w:pPr>
        <w:numPr>
          <w:ilvl w:val="0"/>
          <w:numId w:val="1"/>
        </w:numPr>
        <w:tabs>
          <w:tab w:val="left" w:pos="993"/>
        </w:tabs>
        <w:adjustRightInd w:val="0"/>
        <w:snapToGrid w:val="0"/>
        <w:spacing w:line="480" w:lineRule="exact"/>
        <w:ind w:firstLine="560" w:firstLineChars="200"/>
        <w:jc w:val="both"/>
        <w:rPr>
          <w:rFonts w:eastAsia="仿宋_GB2312"/>
          <w:sz w:val="28"/>
          <w:szCs w:val="28"/>
          <w:highlight w:val="none"/>
        </w:rPr>
      </w:pPr>
      <w:r>
        <w:rPr>
          <w:rFonts w:hint="eastAsia" w:eastAsia="仿宋_GB2312"/>
          <w:color w:val="000000"/>
          <w:sz w:val="28"/>
          <w:szCs w:val="22"/>
          <w:highlight w:val="none"/>
        </w:rPr>
        <w:t>本次评估</w:t>
      </w:r>
      <w:r>
        <w:rPr>
          <w:rFonts w:hint="eastAsia" w:eastAsia="仿宋_GB2312"/>
          <w:color w:val="000000"/>
          <w:sz w:val="28"/>
          <w:szCs w:val="22"/>
          <w:highlight w:val="none"/>
          <w:lang w:val="en-US" w:eastAsia="zh-CN"/>
        </w:rPr>
        <w:t>的</w:t>
      </w:r>
      <w:r>
        <w:rPr>
          <w:rFonts w:hint="eastAsia" w:eastAsia="仿宋_GB2312"/>
          <w:color w:val="000000"/>
          <w:sz w:val="28"/>
          <w:highlight w:val="none"/>
        </w:rPr>
        <w:t>附属装潢</w:t>
      </w:r>
      <w:r>
        <w:rPr>
          <w:rFonts w:hint="eastAsia" w:eastAsia="仿宋_GB2312"/>
          <w:color w:val="000000"/>
          <w:sz w:val="28"/>
          <w:szCs w:val="22"/>
          <w:highlight w:val="none"/>
          <w:lang w:val="en-US" w:eastAsia="zh-CN"/>
        </w:rPr>
        <w:t>价值是</w:t>
      </w:r>
      <w:r>
        <w:rPr>
          <w:rFonts w:hint="eastAsia" w:eastAsia="仿宋_GB2312"/>
          <w:color w:val="000000"/>
          <w:sz w:val="28"/>
          <w:szCs w:val="22"/>
          <w:highlight w:val="none"/>
        </w:rPr>
        <w:t>采用价值时点的市场综合价格，</w:t>
      </w:r>
      <w:r>
        <w:rPr>
          <w:rFonts w:hint="eastAsia" w:eastAsia="仿宋_GB2312"/>
          <w:color w:val="000000"/>
          <w:sz w:val="28"/>
          <w:szCs w:val="22"/>
          <w:highlight w:val="none"/>
          <w:lang w:val="en-US" w:eastAsia="zh-CN"/>
        </w:rPr>
        <w:t>若</w:t>
      </w:r>
      <w:r>
        <w:rPr>
          <w:rFonts w:hint="eastAsia" w:eastAsia="仿宋_GB2312"/>
          <w:color w:val="000000"/>
          <w:sz w:val="28"/>
          <w:szCs w:val="22"/>
          <w:highlight w:val="none"/>
        </w:rPr>
        <w:t>材料特殊，提供真实证明材料后可据实进行调整。</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估价报告应用的有效期为自</w:t>
      </w:r>
      <w:r>
        <w:rPr>
          <w:rFonts w:hint="eastAsia" w:eastAsia="仿宋_GB2312"/>
          <w:sz w:val="28"/>
          <w:szCs w:val="28"/>
          <w:lang w:eastAsia="zh-CN"/>
        </w:rPr>
        <w:t>2022年11月02日</w:t>
      </w:r>
      <w:r>
        <w:rPr>
          <w:rFonts w:eastAsia="仿宋_GB2312"/>
          <w:sz w:val="28"/>
          <w:szCs w:val="28"/>
        </w:rPr>
        <w:t> 至</w:t>
      </w:r>
      <w:r>
        <w:rPr>
          <w:rFonts w:hint="eastAsia" w:eastAsia="仿宋_GB2312"/>
          <w:sz w:val="28"/>
          <w:szCs w:val="28"/>
        </w:rPr>
        <w:t>2023年</w:t>
      </w:r>
      <w:r>
        <w:rPr>
          <w:rFonts w:hint="eastAsia" w:eastAsia="仿宋_GB2312"/>
          <w:sz w:val="28"/>
          <w:szCs w:val="28"/>
          <w:lang w:val="en-US" w:eastAsia="zh-CN"/>
        </w:rPr>
        <w:t>11</w:t>
      </w:r>
      <w:r>
        <w:rPr>
          <w:rFonts w:hint="eastAsia" w:eastAsia="仿宋_GB2312"/>
          <w:sz w:val="28"/>
          <w:szCs w:val="28"/>
        </w:rPr>
        <w:t>月</w:t>
      </w:r>
      <w:r>
        <w:rPr>
          <w:rFonts w:hint="eastAsia" w:eastAsia="仿宋_GB2312"/>
          <w:sz w:val="28"/>
          <w:szCs w:val="28"/>
          <w:lang w:val="en-US" w:eastAsia="zh-CN"/>
        </w:rPr>
        <w:t>01</w:t>
      </w:r>
      <w:r>
        <w:rPr>
          <w:rFonts w:hint="eastAsia" w:eastAsia="仿宋_GB2312"/>
          <w:sz w:val="28"/>
          <w:szCs w:val="28"/>
        </w:rPr>
        <w:t>日；</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本估价报告的全文为一个不可分割的整体，报告使用者请详细查阅本报告的估价师声明、估价的假设与限制条件、房地产估价结果报告，以对本报告有一个全面正确的了解</w:t>
      </w:r>
      <w:r>
        <w:rPr>
          <w:rFonts w:hint="eastAsia" w:eastAsia="仿宋_GB2312"/>
          <w:sz w:val="28"/>
          <w:szCs w:val="28"/>
        </w:rPr>
        <w:t>；</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本报告应当按照法律规定和评估报告载明的用途、使用人、使用期限等使用范围使用评估报告。否则，房地产估价机构和注册房地产估价师依法不承担责任</w:t>
      </w:r>
      <w:r>
        <w:rPr>
          <w:rFonts w:hint="eastAsia" w:eastAsia="仿宋_GB2312"/>
          <w:sz w:val="28"/>
          <w:szCs w:val="28"/>
        </w:rPr>
        <w:t>；</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评估结果仅为人民法院确定财产处置参考价服务，不是评估对象处置可实现的成交价格，也不应当被视为对评估对象处置成交价格的保证；</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1"/>
        </w:num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在评估报告使用期限或者评估结果有效期内，评估报告或者评估结果未使用之前，如果评估对象状况或者房地产市场状况发生明显变化的，评估结果应当进行相应调整后才可使用</w:t>
      </w:r>
      <w:r>
        <w:rPr>
          <w:rFonts w:hint="eastAsia" w:eastAsia="仿宋_GB2312"/>
          <w:sz w:val="28"/>
          <w:szCs w:val="28"/>
        </w:rPr>
        <w:t>。</w:t>
      </w:r>
    </w:p>
    <w:p>
      <w:pPr>
        <w:snapToGrid w:val="0"/>
        <w:spacing w:line="480" w:lineRule="exact"/>
        <w:jc w:val="right"/>
        <w:rPr>
          <w:rFonts w:eastAsia="仿宋_GB2312"/>
          <w:sz w:val="28"/>
          <w:szCs w:val="28"/>
        </w:rPr>
      </w:pPr>
    </w:p>
    <w:p>
      <w:pPr>
        <w:snapToGrid w:val="0"/>
        <w:spacing w:line="480" w:lineRule="exact"/>
        <w:jc w:val="right"/>
        <w:rPr>
          <w:rFonts w:eastAsia="仿宋_GB2312"/>
          <w:sz w:val="28"/>
          <w:szCs w:val="28"/>
        </w:rPr>
      </w:pPr>
      <w:bookmarkStart w:id="104" w:name="_GoBack"/>
      <w:bookmarkEnd w:id="104"/>
      <w:r>
        <w:rPr>
          <w:rFonts w:eastAsia="仿宋_GB2312"/>
          <w:sz w:val="28"/>
          <w:szCs w:val="28"/>
        </w:rPr>
        <w:t>江苏国衡中测土地房地产资产评估咨询有限公司</w:t>
      </w:r>
    </w:p>
    <w:p>
      <w:pPr>
        <w:tabs>
          <w:tab w:val="left" w:pos="1835"/>
          <w:tab w:val="center" w:pos="4184"/>
          <w:tab w:val="left" w:pos="4253"/>
        </w:tabs>
        <w:snapToGrid w:val="0"/>
        <w:spacing w:line="480" w:lineRule="exact"/>
        <w:jc w:val="center"/>
        <w:rPr>
          <w:rFonts w:eastAsia="仿宋_GB2312"/>
          <w:sz w:val="28"/>
          <w:szCs w:val="28"/>
        </w:rPr>
      </w:pPr>
      <w:bookmarkStart w:id="13" w:name="_Toc384813569"/>
      <w:bookmarkStart w:id="14" w:name="_Toc155258955"/>
      <w:bookmarkStart w:id="15" w:name="_Toc382493601"/>
      <w:bookmarkStart w:id="16" w:name="_Toc383068120"/>
      <w:bookmarkStart w:id="17" w:name="_Toc387827680"/>
      <w:r>
        <w:rPr>
          <w:rFonts w:hint="eastAsia" w:eastAsia="仿宋_GB2312"/>
          <w:sz w:val="28"/>
          <w:szCs w:val="28"/>
        </w:rPr>
        <w:t xml:space="preserve">                                                                                         </w:t>
      </w:r>
    </w:p>
    <w:p>
      <w:pPr>
        <w:tabs>
          <w:tab w:val="left" w:pos="1835"/>
          <w:tab w:val="center" w:pos="4184"/>
          <w:tab w:val="left" w:pos="4253"/>
        </w:tabs>
        <w:snapToGrid w:val="0"/>
        <w:spacing w:line="480" w:lineRule="exact"/>
        <w:jc w:val="center"/>
        <w:rPr>
          <w:rFonts w:eastAsia="仿宋_GB2312"/>
          <w:sz w:val="28"/>
          <w:szCs w:val="28"/>
        </w:rPr>
      </w:pPr>
      <w:r>
        <w:rPr>
          <w:rFonts w:eastAsia="仿宋_GB2312"/>
          <w:sz w:val="28"/>
          <w:szCs w:val="28"/>
        </w:rPr>
        <w:t>法定代表人：</w:t>
      </w:r>
      <w:bookmarkEnd w:id="13"/>
      <w:bookmarkEnd w:id="14"/>
      <w:bookmarkEnd w:id="15"/>
      <w:bookmarkEnd w:id="16"/>
      <w:bookmarkEnd w:id="17"/>
    </w:p>
    <w:p>
      <w:pPr>
        <w:snapToGrid w:val="0"/>
        <w:spacing w:line="480" w:lineRule="exact"/>
        <w:ind w:right="560" w:firstLine="5180" w:firstLineChars="1850"/>
        <w:rPr>
          <w:rFonts w:eastAsia="仿宋_GB2312"/>
          <w:sz w:val="28"/>
          <w:szCs w:val="28"/>
        </w:rPr>
      </w:pPr>
    </w:p>
    <w:p>
      <w:pPr>
        <w:snapToGrid w:val="0"/>
        <w:spacing w:line="480" w:lineRule="exact"/>
        <w:ind w:right="560" w:firstLine="5180" w:firstLineChars="1850"/>
        <w:rPr>
          <w:rFonts w:eastAsia="仿宋_GB2312"/>
          <w:sz w:val="28"/>
          <w:szCs w:val="28"/>
        </w:rPr>
      </w:pPr>
      <w:r>
        <w:rPr>
          <w:rFonts w:eastAsia="仿宋_GB2312"/>
          <w:sz w:val="28"/>
          <w:szCs w:val="28"/>
        </w:rPr>
        <w:t>二</w:t>
      </w:r>
      <w:r>
        <w:rPr>
          <w:rFonts w:hint="eastAsia" w:eastAsia="仿宋_GB2312"/>
          <w:sz w:val="28"/>
          <w:szCs w:val="28"/>
        </w:rPr>
        <w:t>0</w:t>
      </w:r>
      <w:r>
        <w:rPr>
          <w:rFonts w:eastAsia="仿宋_GB2312"/>
          <w:sz w:val="28"/>
          <w:szCs w:val="28"/>
        </w:rPr>
        <w:t>二</w:t>
      </w:r>
      <w:r>
        <w:rPr>
          <w:rFonts w:hint="eastAsia" w:eastAsia="仿宋_GB2312"/>
          <w:sz w:val="28"/>
          <w:szCs w:val="28"/>
        </w:rPr>
        <w:t>二</w:t>
      </w:r>
      <w:r>
        <w:rPr>
          <w:rFonts w:eastAsia="仿宋_GB2312"/>
          <w:sz w:val="28"/>
          <w:szCs w:val="28"/>
        </w:rPr>
        <w:t>年</w:t>
      </w:r>
      <w:r>
        <w:rPr>
          <w:rFonts w:hint="eastAsia" w:eastAsia="仿宋_GB2312"/>
          <w:sz w:val="28"/>
          <w:szCs w:val="28"/>
        </w:rPr>
        <w:t>十</w:t>
      </w:r>
      <w:r>
        <w:rPr>
          <w:rFonts w:hint="eastAsia" w:eastAsia="仿宋_GB2312"/>
          <w:sz w:val="28"/>
          <w:szCs w:val="28"/>
          <w:lang w:val="en-US" w:eastAsia="zh-CN"/>
        </w:rPr>
        <w:t>一</w:t>
      </w:r>
      <w:r>
        <w:rPr>
          <w:rFonts w:eastAsia="仿宋_GB2312"/>
          <w:sz w:val="28"/>
          <w:szCs w:val="28"/>
        </w:rPr>
        <w:t>月</w:t>
      </w:r>
      <w:r>
        <w:rPr>
          <w:rFonts w:hint="eastAsia" w:eastAsia="仿宋_GB2312"/>
          <w:sz w:val="28"/>
          <w:szCs w:val="28"/>
          <w:lang w:val="en-US" w:eastAsia="zh-CN"/>
        </w:rPr>
        <w:t>二</w:t>
      </w:r>
      <w:r>
        <w:rPr>
          <w:rFonts w:eastAsia="仿宋_GB2312"/>
          <w:sz w:val="28"/>
          <w:szCs w:val="28"/>
        </w:rPr>
        <w:t>日</w:t>
      </w:r>
    </w:p>
    <w:p>
      <w:pPr>
        <w:snapToGrid w:val="0"/>
        <w:spacing w:line="480" w:lineRule="exact"/>
        <w:sectPr>
          <w:headerReference r:id="rId6" w:type="default"/>
          <w:pgSz w:w="11906" w:h="16838"/>
          <w:pgMar w:top="1814" w:right="1276" w:bottom="1418" w:left="1701" w:header="1418" w:footer="737" w:gutter="0"/>
          <w:pgNumType w:start="1"/>
          <w:cols w:space="425" w:num="1"/>
          <w:docGrid w:linePitch="312" w:charSpace="0"/>
        </w:sectPr>
      </w:pPr>
    </w:p>
    <w:p>
      <w:pPr>
        <w:pStyle w:val="81"/>
        <w:jc w:val="center"/>
        <w:rPr>
          <w:rFonts w:ascii="Times New Roman" w:hAnsi="Times New Roman"/>
          <w:color w:val="auto"/>
        </w:rPr>
      </w:pPr>
      <w:r>
        <w:rPr>
          <w:rFonts w:ascii="Times New Roman" w:hAnsi="Times New Roman" w:eastAsia="仿宋_GB2312"/>
          <w:snapToGrid w:val="0"/>
          <w:color w:val="auto"/>
          <w:sz w:val="36"/>
          <w:szCs w:val="36"/>
        </w:rPr>
        <w:t>目录</w:t>
      </w:r>
    </w:p>
    <w:p>
      <w:pPr>
        <w:pStyle w:val="33"/>
        <w:spacing w:before="156"/>
        <w:rPr>
          <w:rFonts w:asciiTheme="minorHAnsi" w:hAnsiTheme="minorHAnsi" w:eastAsiaTheme="minorEastAsia" w:cstheme="minorBidi"/>
          <w:b w:val="0"/>
          <w:snapToGrid/>
          <w:kern w:val="2"/>
          <w:sz w:val="21"/>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"_Toc77858017" </w:instrText>
      </w:r>
      <w:r>
        <w:fldChar w:fldCharType="separate"/>
      </w:r>
      <w:r>
        <w:rPr>
          <w:rStyle w:val="54"/>
          <w:rFonts w:hint="eastAsia" w:eastAsia="仿宋_GB2312"/>
          <w:color w:val="auto"/>
        </w:rPr>
        <w:t>估价师声明</w:t>
      </w:r>
      <w:r>
        <w:tab/>
      </w:r>
      <w:r>
        <w:fldChar w:fldCharType="begin"/>
      </w:r>
      <w:r>
        <w:instrText xml:space="preserve"> PAGEREF _Toc77858017 \h </w:instrText>
      </w:r>
      <w:r>
        <w:fldChar w:fldCharType="separate"/>
      </w:r>
      <w:r>
        <w:t>9</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"_Toc77858018" </w:instrText>
      </w:r>
      <w:r>
        <w:fldChar w:fldCharType="separate"/>
      </w:r>
      <w:r>
        <w:rPr>
          <w:rStyle w:val="54"/>
          <w:rFonts w:hint="eastAsia" w:eastAsia="仿宋_GB2312"/>
          <w:color w:val="auto"/>
        </w:rPr>
        <w:t>估价假设和限制条件</w:t>
      </w:r>
      <w:r>
        <w:tab/>
      </w:r>
      <w:r>
        <w:fldChar w:fldCharType="begin"/>
      </w:r>
      <w:r>
        <w:instrText xml:space="preserve"> PAGEREF _Toc77858018 \h </w:instrText>
      </w:r>
      <w:r>
        <w:fldChar w:fldCharType="separate"/>
      </w:r>
      <w:r>
        <w:t>10</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"_Toc77858019" </w:instrText>
      </w:r>
      <w:r>
        <w:fldChar w:fldCharType="separate"/>
      </w:r>
      <w:r>
        <w:rPr>
          <w:rStyle w:val="54"/>
          <w:rFonts w:hint="eastAsia" w:eastAsia="仿宋_GB2312"/>
          <w:bCs/>
          <w:color w:val="auto"/>
        </w:rPr>
        <w:t>估价结果报告</w:t>
      </w:r>
      <w:r>
        <w:tab/>
      </w:r>
      <w:r>
        <w:fldChar w:fldCharType="begin"/>
      </w:r>
      <w:r>
        <w:instrText xml:space="preserve"> PAGEREF _Toc77858019 \h </w:instrText>
      </w:r>
      <w:r>
        <w:fldChar w:fldCharType="separate"/>
      </w:r>
      <w:r>
        <w:t>13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"_Toc77858020" </w:instrText>
      </w:r>
      <w:r>
        <w:fldChar w:fldCharType="separate"/>
      </w:r>
      <w:r>
        <w:rPr>
          <w:rStyle w:val="54"/>
          <w:rFonts w:hint="eastAsia" w:ascii="Times New Roman" w:hAnsi="Times New Roman"/>
          <w:color w:val="auto"/>
        </w:rPr>
        <w:t>一、</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估价委托人</w:t>
      </w:r>
      <w:r>
        <w:tab/>
      </w:r>
      <w:r>
        <w:fldChar w:fldCharType="begin"/>
      </w:r>
      <w:r>
        <w:instrText xml:space="preserve"> PAGEREF _Toc77858020 \h </w:instrText>
      </w:r>
      <w:r>
        <w:fldChar w:fldCharType="separate"/>
      </w:r>
      <w:r>
        <w:t>13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"_Toc77858021" </w:instrText>
      </w:r>
      <w:r>
        <w:fldChar w:fldCharType="separate"/>
      </w:r>
      <w:r>
        <w:rPr>
          <w:rStyle w:val="54"/>
          <w:rFonts w:hint="eastAsia" w:ascii="Times New Roman" w:hAnsi="Times New Roman"/>
          <w:color w:val="auto"/>
        </w:rPr>
        <w:t>二、</w:t>
      </w:r>
      <w:r>
        <w:rPr>
          <w:rFonts w:asciiTheme="minorHAnsi" w:hAnsiTheme="minorHAnsi" w:eastAsiaTheme="minorEastAsia" w:cstheme="minorBidi"/>
          <w:kern w:val="2"/>
          <w:sz w:val="21"/>
          <w:szCs w:val="22"/>
        </w:rPr>
        <w:tab/>
      </w:r>
      <w:r>
        <w:rPr>
          <w:rStyle w:val="54"/>
          <w:rFonts w:hint="eastAsia" w:ascii="Times New Roman" w:hAnsi="Times New Roman"/>
          <w:color w:val="auto"/>
        </w:rPr>
        <w:t>房地产估价机构</w:t>
      </w:r>
      <w:r>
        <w:tab/>
      </w:r>
      <w:r>
        <w:fldChar w:fldCharType="begin"/>
      </w:r>
      <w:r>
        <w:instrText xml:space="preserve"> PAGEREF _Toc77858021 \h </w:instrText>
      </w:r>
      <w:r>
        <w:fldChar w:fldCharType="separate"/>
      </w:r>
      <w:r>
        <w:t>13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"_Toc77858022" </w:instrText>
      </w:r>
      <w:r>
        <w:fldChar w:fldCharType="separate"/>
      </w:r>
      <w:r>
        <w:rPr>
          <w:rStyle w:val="54"/>
          <w:rFonts w:hint="eastAsia" w:ascii="Times New Roman" w:hAnsi="Times New Roman"/>
          <w:color w:val="auto"/>
        </w:rPr>
        <w:t>三、</w:t>
      </w:r>
      <w:r>
        <w:rPr>
          <w:rFonts w:asciiTheme="minorHAnsi" w:hAnsiTheme="minorHAnsi" w:eastAsiaTheme="minorEastAsia" w:cstheme="minorBidi"/>
          <w:kern w:val="2"/>
          <w:sz w:val="21"/>
          <w:szCs w:val="22"/>
        </w:rPr>
        <w:tab/>
      </w:r>
      <w:r>
        <w:rPr>
          <w:rStyle w:val="54"/>
          <w:rFonts w:hint="eastAsia" w:ascii="Times New Roman" w:hAnsi="Times New Roman"/>
          <w:color w:val="auto"/>
        </w:rPr>
        <w:t>估价目的</w:t>
      </w:r>
      <w:r>
        <w:tab/>
      </w:r>
      <w:r>
        <w:fldChar w:fldCharType="begin"/>
      </w:r>
      <w:r>
        <w:instrText xml:space="preserve"> PAGEREF _Toc77858022 \h </w:instrText>
      </w:r>
      <w:r>
        <w:fldChar w:fldCharType="separate"/>
      </w:r>
      <w:r>
        <w:t>13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"_Toc77858023" </w:instrText>
      </w:r>
      <w:r>
        <w:fldChar w:fldCharType="separate"/>
      </w:r>
      <w:r>
        <w:rPr>
          <w:rStyle w:val="54"/>
          <w:rFonts w:hint="eastAsia" w:ascii="Times New Roman" w:hAnsi="Times New Roman"/>
          <w:color w:val="auto"/>
        </w:rPr>
        <w:t>四、</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估价对象</w:t>
      </w:r>
      <w:r>
        <w:tab/>
      </w:r>
      <w:r>
        <w:fldChar w:fldCharType="begin"/>
      </w:r>
      <w:r>
        <w:instrText xml:space="preserve"> PAGEREF _Toc77858023 \h </w:instrText>
      </w:r>
      <w:r>
        <w:fldChar w:fldCharType="separate"/>
      </w:r>
      <w:r>
        <w:t>13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"_Toc77858024" </w:instrText>
      </w:r>
      <w:r>
        <w:fldChar w:fldCharType="separate"/>
      </w:r>
      <w:r>
        <w:rPr>
          <w:rStyle w:val="54"/>
          <w:rFonts w:hint="eastAsia" w:ascii="Times New Roman" w:hAnsi="Times New Roman"/>
          <w:color w:val="auto"/>
        </w:rPr>
        <w:t>五、</w:t>
      </w:r>
      <w:r>
        <w:rPr>
          <w:rFonts w:asciiTheme="minorHAnsi" w:hAnsiTheme="minorHAnsi" w:eastAsiaTheme="minorEastAsia" w:cstheme="minorBidi"/>
          <w:kern w:val="2"/>
          <w:sz w:val="21"/>
          <w:szCs w:val="22"/>
        </w:rPr>
        <w:tab/>
      </w:r>
      <w:r>
        <w:rPr>
          <w:rStyle w:val="54"/>
          <w:rFonts w:hint="eastAsia" w:ascii="Times New Roman" w:hAnsi="Times New Roman"/>
          <w:color w:val="auto"/>
        </w:rPr>
        <w:t>价值时点</w:t>
      </w:r>
      <w:r>
        <w:tab/>
      </w:r>
      <w:r>
        <w:fldChar w:fldCharType="begin"/>
      </w:r>
      <w:r>
        <w:instrText xml:space="preserve"> PAGEREF _Toc77858024 \h </w:instrText>
      </w:r>
      <w:r>
        <w:fldChar w:fldCharType="separate"/>
      </w:r>
      <w:r>
        <w:t>19</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"_Toc77858025" </w:instrText>
      </w:r>
      <w:r>
        <w:fldChar w:fldCharType="separate"/>
      </w:r>
      <w:r>
        <w:rPr>
          <w:rStyle w:val="54"/>
          <w:rFonts w:hint="eastAsia" w:ascii="Times New Roman" w:hAnsi="Times New Roman"/>
          <w:color w:val="auto"/>
        </w:rPr>
        <w:t>六、</w:t>
      </w:r>
      <w:r>
        <w:rPr>
          <w:rFonts w:asciiTheme="minorHAnsi" w:hAnsiTheme="minorHAnsi" w:eastAsiaTheme="minorEastAsia" w:cstheme="minorBidi"/>
          <w:kern w:val="2"/>
          <w:sz w:val="21"/>
          <w:szCs w:val="22"/>
        </w:rPr>
        <w:tab/>
      </w:r>
      <w:r>
        <w:rPr>
          <w:rStyle w:val="54"/>
          <w:rFonts w:hint="eastAsia" w:ascii="Times New Roman" w:hAnsi="Times New Roman"/>
          <w:color w:val="auto"/>
        </w:rPr>
        <w:t>价值类型</w:t>
      </w:r>
      <w:r>
        <w:tab/>
      </w:r>
      <w:r>
        <w:fldChar w:fldCharType="begin"/>
      </w:r>
      <w:r>
        <w:instrText xml:space="preserve"> PAGEREF _Toc77858025 \h </w:instrText>
      </w:r>
      <w:r>
        <w:fldChar w:fldCharType="separate"/>
      </w:r>
      <w:r>
        <w:t>19</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"_Toc77858026" </w:instrText>
      </w:r>
      <w:r>
        <w:fldChar w:fldCharType="separate"/>
      </w:r>
      <w:r>
        <w:rPr>
          <w:rStyle w:val="54"/>
          <w:rFonts w:hint="eastAsia" w:ascii="Times New Roman" w:hAnsi="Times New Roman"/>
          <w:color w:val="auto"/>
        </w:rPr>
        <w:t>七、</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估价原则</w:t>
      </w:r>
      <w:r>
        <w:tab/>
      </w:r>
      <w:r>
        <w:fldChar w:fldCharType="begin"/>
      </w:r>
      <w:r>
        <w:instrText xml:space="preserve"> PAGEREF _Toc77858026 \h </w:instrText>
      </w:r>
      <w:r>
        <w:fldChar w:fldCharType="separate"/>
      </w:r>
      <w:r>
        <w:t>19</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"_Toc77858027" </w:instrText>
      </w:r>
      <w:r>
        <w:fldChar w:fldCharType="separate"/>
      </w:r>
      <w:r>
        <w:rPr>
          <w:rStyle w:val="54"/>
          <w:rFonts w:hint="eastAsia" w:ascii="Times New Roman" w:hAnsi="Times New Roman"/>
          <w:color w:val="auto"/>
        </w:rPr>
        <w:t>八、</w:t>
      </w:r>
      <w:r>
        <w:rPr>
          <w:rFonts w:asciiTheme="minorHAnsi" w:hAnsiTheme="minorHAnsi" w:eastAsiaTheme="minorEastAsia" w:cstheme="minorBidi"/>
          <w:kern w:val="2"/>
          <w:sz w:val="21"/>
          <w:szCs w:val="22"/>
        </w:rPr>
        <w:tab/>
      </w:r>
      <w:r>
        <w:rPr>
          <w:rStyle w:val="54"/>
          <w:rFonts w:hint="eastAsia" w:ascii="Times New Roman" w:hAnsi="Times New Roman"/>
          <w:color w:val="auto"/>
        </w:rPr>
        <w:t>估价依据</w:t>
      </w:r>
      <w:r>
        <w:tab/>
      </w:r>
      <w:r>
        <w:fldChar w:fldCharType="begin"/>
      </w:r>
      <w:r>
        <w:instrText xml:space="preserve"> PAGEREF _Toc77858027 \h </w:instrText>
      </w:r>
      <w:r>
        <w:fldChar w:fldCharType="separate"/>
      </w:r>
      <w:r>
        <w:t>23</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"_Toc77858028" </w:instrText>
      </w:r>
      <w:r>
        <w:fldChar w:fldCharType="separate"/>
      </w:r>
      <w:r>
        <w:rPr>
          <w:rStyle w:val="54"/>
          <w:rFonts w:hint="eastAsia" w:hAnsi="Times New Roman"/>
          <w:color w:val="auto"/>
        </w:rPr>
        <w:t>九、</w:t>
      </w:r>
      <w:r>
        <w:rPr>
          <w:rFonts w:asciiTheme="minorHAnsi" w:hAnsiTheme="minorHAnsi" w:eastAsiaTheme="minorEastAsia" w:cstheme="minorBidi"/>
          <w:kern w:val="2"/>
          <w:sz w:val="21"/>
          <w:szCs w:val="22"/>
        </w:rPr>
        <w:tab/>
      </w:r>
      <w:r>
        <w:rPr>
          <w:rStyle w:val="54"/>
          <w:rFonts w:hint="eastAsia" w:hAnsi="Times New Roman"/>
          <w:color w:val="auto"/>
        </w:rPr>
        <w:t>估价方法</w:t>
      </w:r>
      <w:r>
        <w:tab/>
      </w:r>
      <w:r>
        <w:fldChar w:fldCharType="begin"/>
      </w:r>
      <w:r>
        <w:instrText xml:space="preserve"> PAGEREF _Toc77858028 \h </w:instrText>
      </w:r>
      <w:r>
        <w:fldChar w:fldCharType="separate"/>
      </w:r>
      <w:r>
        <w:t>25</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"_Toc77858029" </w:instrText>
      </w:r>
      <w:r>
        <w:fldChar w:fldCharType="separate"/>
      </w:r>
      <w:r>
        <w:rPr>
          <w:rStyle w:val="54"/>
          <w:rFonts w:hint="eastAsia" w:hAnsi="Times New Roman"/>
          <w:color w:val="auto"/>
        </w:rPr>
        <w:t>十、</w:t>
      </w:r>
      <w:r>
        <w:rPr>
          <w:rFonts w:asciiTheme="minorHAnsi" w:hAnsiTheme="minorHAnsi" w:eastAsiaTheme="minorEastAsia" w:cstheme="minorBidi"/>
          <w:kern w:val="2"/>
          <w:sz w:val="21"/>
          <w:szCs w:val="22"/>
        </w:rPr>
        <w:tab/>
      </w:r>
      <w:r>
        <w:rPr>
          <w:rStyle w:val="54"/>
          <w:rFonts w:hint="eastAsia" w:hAnsi="Times New Roman"/>
          <w:color w:val="auto"/>
        </w:rPr>
        <w:t>估价结果</w:t>
      </w:r>
      <w:r>
        <w:tab/>
      </w:r>
      <w:r>
        <w:fldChar w:fldCharType="begin"/>
      </w:r>
      <w:r>
        <w:instrText xml:space="preserve"> PAGEREF _Toc77858029 \h </w:instrText>
      </w:r>
      <w:r>
        <w:fldChar w:fldCharType="separate"/>
      </w:r>
      <w:r>
        <w:t>26</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"_Toc77858030" </w:instrText>
      </w:r>
      <w:r>
        <w:fldChar w:fldCharType="separate"/>
      </w:r>
      <w:r>
        <w:rPr>
          <w:rStyle w:val="54"/>
          <w:rFonts w:hint="eastAsia" w:ascii="Times New Roman" w:hAnsi="Times New Roman"/>
          <w:color w:val="auto"/>
        </w:rPr>
        <w:t>十一、</w:t>
      </w:r>
      <w:r>
        <w:rPr>
          <w:rFonts w:asciiTheme="minorHAnsi" w:hAnsiTheme="minorHAnsi" w:eastAsiaTheme="minorEastAsia" w:cstheme="minorBidi"/>
          <w:kern w:val="2"/>
          <w:sz w:val="21"/>
          <w:szCs w:val="22"/>
        </w:rPr>
        <w:tab/>
      </w:r>
      <w:r>
        <w:rPr>
          <w:rStyle w:val="54"/>
          <w:rFonts w:hint="eastAsia" w:ascii="Times New Roman" w:hAnsi="Times New Roman"/>
          <w:color w:val="auto"/>
        </w:rPr>
        <w:t>注册房地产估价师</w:t>
      </w:r>
      <w:r>
        <w:tab/>
      </w:r>
      <w:r>
        <w:fldChar w:fldCharType="begin"/>
      </w:r>
      <w:r>
        <w:instrText xml:space="preserve"> PAGEREF _Toc77858030 \h </w:instrText>
      </w:r>
      <w:r>
        <w:fldChar w:fldCharType="separate"/>
      </w:r>
      <w:r>
        <w:t>26</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"_Toc77858031" </w:instrText>
      </w:r>
      <w:r>
        <w:fldChar w:fldCharType="separate"/>
      </w:r>
      <w:r>
        <w:rPr>
          <w:rStyle w:val="54"/>
          <w:rFonts w:hint="eastAsia" w:ascii="Times New Roman" w:hAnsi="Times New Roman"/>
          <w:color w:val="auto"/>
        </w:rPr>
        <w:t>十二、</w:t>
      </w:r>
      <w:r>
        <w:rPr>
          <w:rFonts w:asciiTheme="minorHAnsi" w:hAnsiTheme="minorHAnsi" w:eastAsiaTheme="minorEastAsia" w:cstheme="minorBidi"/>
          <w:kern w:val="2"/>
          <w:sz w:val="21"/>
          <w:szCs w:val="22"/>
        </w:rPr>
        <w:tab/>
      </w:r>
      <w:r>
        <w:rPr>
          <w:rStyle w:val="54"/>
          <w:rFonts w:hint="eastAsia" w:ascii="Times New Roman" w:hAnsi="Times New Roman"/>
          <w:color w:val="auto"/>
        </w:rPr>
        <w:t>实地查勘期</w:t>
      </w:r>
      <w:r>
        <w:tab/>
      </w:r>
      <w:r>
        <w:fldChar w:fldCharType="begin"/>
      </w:r>
      <w:r>
        <w:instrText xml:space="preserve"> PAGEREF _Toc77858031 \h </w:instrText>
      </w:r>
      <w:r>
        <w:fldChar w:fldCharType="separate"/>
      </w:r>
      <w:r>
        <w:t>30</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"_Toc77858032" </w:instrText>
      </w:r>
      <w:r>
        <w:fldChar w:fldCharType="separate"/>
      </w:r>
      <w:r>
        <w:rPr>
          <w:rStyle w:val="54"/>
          <w:rFonts w:hint="eastAsia" w:ascii="Times New Roman" w:hAnsi="Times New Roman"/>
          <w:color w:val="auto"/>
        </w:rPr>
        <w:t>十三、</w:t>
      </w:r>
      <w:r>
        <w:rPr>
          <w:rFonts w:asciiTheme="minorHAnsi" w:hAnsiTheme="minorHAnsi" w:eastAsiaTheme="minorEastAsia" w:cstheme="minorBidi"/>
          <w:kern w:val="2"/>
          <w:sz w:val="21"/>
          <w:szCs w:val="22"/>
        </w:rPr>
        <w:tab/>
      </w:r>
      <w:r>
        <w:rPr>
          <w:rStyle w:val="54"/>
          <w:rFonts w:hint="eastAsia" w:ascii="Times New Roman" w:hAnsi="Times New Roman"/>
          <w:color w:val="auto"/>
        </w:rPr>
        <w:t>估价作业期</w:t>
      </w:r>
      <w:r>
        <w:tab/>
      </w:r>
      <w:r>
        <w:fldChar w:fldCharType="begin"/>
      </w:r>
      <w:r>
        <w:instrText xml:space="preserve"> PAGEREF _Toc77858032 \h </w:instrText>
      </w:r>
      <w:r>
        <w:fldChar w:fldCharType="separate"/>
      </w:r>
      <w:r>
        <w:t>30</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"_Toc77858042" </w:instrText>
      </w:r>
      <w:r>
        <w:fldChar w:fldCharType="separate"/>
      </w:r>
      <w:r>
        <w:rPr>
          <w:rStyle w:val="54"/>
          <w:rFonts w:hint="eastAsia" w:eastAsia="仿宋_GB2312"/>
          <w:color w:val="auto"/>
        </w:rPr>
        <w:t>附件</w:t>
      </w:r>
      <w:r>
        <w:tab/>
      </w:r>
      <w:r>
        <w:fldChar w:fldCharType="begin"/>
      </w:r>
      <w:r>
        <w:instrText xml:space="preserve"> PAGEREF _Toc77858042 \h </w:instrText>
      </w:r>
      <w:r>
        <w:fldChar w:fldCharType="separate"/>
      </w:r>
      <w:r>
        <w:t>31</w:t>
      </w:r>
      <w:r>
        <w:fldChar w:fldCharType="end"/>
      </w:r>
      <w:r>
        <w:fldChar w:fldCharType="end"/>
      </w:r>
    </w:p>
    <w:p>
      <w:r>
        <w:fldChar w:fldCharType="end"/>
      </w:r>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18" w:name="_Toc10163"/>
      <w:r>
        <w:rPr>
          <w:rFonts w:eastAsia="仿宋_GB2312"/>
          <w:color w:val="000000"/>
          <w:sz w:val="28"/>
          <w:szCs w:val="28"/>
        </w:rPr>
        <w:t>1、</w:t>
      </w:r>
      <w:r>
        <w:rPr>
          <w:rFonts w:eastAsia="仿宋_GB2312"/>
          <w:caps/>
          <w:color w:val="000000"/>
          <w:sz w:val="28"/>
          <w:szCs w:val="28"/>
        </w:rPr>
        <w:t>《</w:t>
      </w:r>
      <w:r>
        <w:rPr>
          <w:rFonts w:hint="eastAsia" w:eastAsia="仿宋_GB2312"/>
          <w:caps/>
          <w:color w:val="000000"/>
          <w:sz w:val="28"/>
          <w:szCs w:val="28"/>
        </w:rPr>
        <w:t>司法评估委托书</w:t>
      </w:r>
      <w:r>
        <w:rPr>
          <w:rFonts w:eastAsia="仿宋_GB2312"/>
          <w:caps/>
          <w:color w:val="000000"/>
          <w:sz w:val="28"/>
          <w:szCs w:val="28"/>
        </w:rPr>
        <w:t>》</w:t>
      </w:r>
      <w:r>
        <w:rPr>
          <w:rStyle w:val="54"/>
          <w:rFonts w:eastAsia="仿宋_GB2312"/>
          <w:caps/>
          <w:color w:val="000000"/>
          <w:sz w:val="28"/>
          <w:szCs w:val="28"/>
          <w:u w:val="none"/>
        </w:rPr>
        <w:t>复印件；</w:t>
      </w:r>
      <w:bookmarkEnd w:id="18"/>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19" w:name="_Toc4717"/>
      <w:r>
        <w:rPr>
          <w:rFonts w:eastAsia="仿宋_GB2312"/>
          <w:color w:val="000000"/>
          <w:sz w:val="28"/>
          <w:szCs w:val="28"/>
        </w:rPr>
        <w:t>2、估价对象位置图；</w:t>
      </w:r>
      <w:bookmarkEnd w:id="19"/>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20" w:name="_Toc27294"/>
      <w:r>
        <w:rPr>
          <w:rFonts w:eastAsia="仿宋_GB2312"/>
          <w:color w:val="000000"/>
          <w:sz w:val="28"/>
          <w:szCs w:val="28"/>
        </w:rPr>
        <w:t>3、估价对象实地查勘情况和相关照片；</w:t>
      </w:r>
      <w:bookmarkEnd w:id="20"/>
    </w:p>
    <w:p>
      <w:pPr>
        <w:pStyle w:val="79"/>
        <w:adjustRightInd w:val="0"/>
        <w:snapToGrid w:val="0"/>
        <w:spacing w:line="480" w:lineRule="exact"/>
        <w:ind w:left="400" w:leftChars="200" w:firstLine="0" w:firstLineChars="0"/>
        <w:outlineLvl w:val="0"/>
        <w:rPr>
          <w:rFonts w:eastAsia="仿宋_GB2312"/>
          <w:color w:val="000000"/>
          <w:sz w:val="28"/>
          <w:szCs w:val="28"/>
        </w:rPr>
      </w:pPr>
      <w:r>
        <w:rPr>
          <w:rFonts w:hint="eastAsia" w:eastAsia="仿宋_GB2312"/>
          <w:color w:val="000000"/>
          <w:sz w:val="28"/>
          <w:szCs w:val="28"/>
        </w:rPr>
        <w:t>4、</w:t>
      </w:r>
      <w:bookmarkStart w:id="21" w:name="_Toc17755"/>
      <w:r>
        <w:rPr>
          <w:rStyle w:val="54"/>
          <w:rFonts w:eastAsia="仿宋_GB2312"/>
          <w:caps/>
          <w:color w:val="000000"/>
          <w:sz w:val="28"/>
          <w:szCs w:val="28"/>
          <w:u w:val="none"/>
        </w:rPr>
        <w:t>估价对象</w:t>
      </w:r>
      <w:r>
        <w:rPr>
          <w:rFonts w:hint="eastAsia" w:eastAsia="仿宋_GB2312"/>
          <w:sz w:val="28"/>
          <w:szCs w:val="28"/>
        </w:rPr>
        <w:t>《</w:t>
      </w:r>
      <w:r>
        <w:rPr>
          <w:rFonts w:hint="eastAsia" w:eastAsia="仿宋_GB2312"/>
          <w:sz w:val="28"/>
          <w:szCs w:val="28"/>
          <w:lang w:eastAsia="zh-CN"/>
        </w:rPr>
        <w:t>房地产权结果信息一览表</w:t>
      </w:r>
      <w:r>
        <w:rPr>
          <w:rFonts w:hint="eastAsia" w:eastAsia="仿宋_GB2312"/>
          <w:sz w:val="28"/>
          <w:szCs w:val="28"/>
        </w:rPr>
        <w:t>》</w:t>
      </w:r>
      <w:r>
        <w:rPr>
          <w:rStyle w:val="54"/>
          <w:rFonts w:eastAsia="仿宋_GB2312"/>
          <w:caps/>
          <w:color w:val="000000"/>
          <w:sz w:val="28"/>
          <w:szCs w:val="28"/>
          <w:u w:val="none"/>
        </w:rPr>
        <w:t>复印件</w:t>
      </w:r>
      <w:r>
        <w:rPr>
          <w:rFonts w:eastAsia="仿宋_GB2312"/>
          <w:color w:val="000000"/>
          <w:sz w:val="28"/>
          <w:szCs w:val="28"/>
        </w:rPr>
        <w:t>；</w:t>
      </w:r>
      <w:bookmarkEnd w:id="21"/>
    </w:p>
    <w:p>
      <w:pPr>
        <w:pStyle w:val="79"/>
        <w:adjustRightInd w:val="0"/>
        <w:snapToGrid w:val="0"/>
        <w:spacing w:line="480" w:lineRule="exact"/>
        <w:ind w:left="400" w:leftChars="200" w:firstLine="0" w:firstLineChars="0"/>
        <w:outlineLvl w:val="0"/>
        <w:rPr>
          <w:rFonts w:eastAsia="仿宋_GB2312"/>
          <w:color w:val="000000"/>
          <w:sz w:val="28"/>
          <w:szCs w:val="28"/>
        </w:rPr>
      </w:pPr>
      <w:r>
        <w:rPr>
          <w:rFonts w:hint="eastAsia" w:eastAsia="仿宋_GB2312"/>
          <w:sz w:val="28"/>
          <w:szCs w:val="28"/>
          <w:lang w:val="en-US" w:eastAsia="zh-CN"/>
        </w:rPr>
        <w:t>5、</w:t>
      </w:r>
      <w:r>
        <w:rPr>
          <w:rStyle w:val="54"/>
          <w:rFonts w:eastAsia="仿宋_GB2312"/>
          <w:caps/>
          <w:color w:val="000000"/>
          <w:sz w:val="28"/>
          <w:szCs w:val="28"/>
          <w:u w:val="none"/>
        </w:rPr>
        <w:t>估价对象</w:t>
      </w:r>
      <w:r>
        <w:rPr>
          <w:rFonts w:hint="eastAsia" w:eastAsia="仿宋_GB2312"/>
          <w:sz w:val="28"/>
          <w:szCs w:val="28"/>
          <w:lang w:eastAsia="zh-CN"/>
        </w:rPr>
        <w:t>《房屋分户面积测量报告书》</w:t>
      </w:r>
      <w:r>
        <w:rPr>
          <w:rStyle w:val="54"/>
          <w:rFonts w:eastAsia="仿宋_GB2312"/>
          <w:caps/>
          <w:color w:val="000000"/>
          <w:sz w:val="28"/>
          <w:szCs w:val="28"/>
          <w:u w:val="none"/>
        </w:rPr>
        <w:t>复印件</w:t>
      </w:r>
      <w:r>
        <w:rPr>
          <w:rFonts w:eastAsia="仿宋_GB2312"/>
          <w:color w:val="000000"/>
          <w:sz w:val="28"/>
          <w:szCs w:val="28"/>
        </w:rPr>
        <w:t>；</w:t>
      </w:r>
    </w:p>
    <w:p>
      <w:pPr>
        <w:pStyle w:val="79"/>
        <w:adjustRightInd w:val="0"/>
        <w:snapToGrid w:val="0"/>
        <w:spacing w:line="480" w:lineRule="exact"/>
        <w:ind w:left="400" w:leftChars="200" w:firstLine="0" w:firstLineChars="0"/>
        <w:outlineLvl w:val="0"/>
        <w:rPr>
          <w:rFonts w:eastAsia="仿宋_GB2312"/>
          <w:caps/>
          <w:color w:val="000000"/>
          <w:sz w:val="28"/>
          <w:szCs w:val="28"/>
        </w:rPr>
      </w:pPr>
      <w:bookmarkStart w:id="22" w:name="_Toc17896"/>
      <w:r>
        <w:rPr>
          <w:rFonts w:hint="eastAsia" w:eastAsia="仿宋_GB2312"/>
          <w:color w:val="000000"/>
          <w:sz w:val="28"/>
          <w:szCs w:val="28"/>
          <w:lang w:val="en-US" w:eastAsia="zh-CN"/>
        </w:rPr>
        <w:t>6</w:t>
      </w:r>
      <w:r>
        <w:rPr>
          <w:rFonts w:hint="eastAsia" w:eastAsia="仿宋_GB2312"/>
          <w:color w:val="000000"/>
          <w:sz w:val="28"/>
          <w:szCs w:val="28"/>
        </w:rPr>
        <w:t>、</w:t>
      </w:r>
      <w:bookmarkEnd w:id="22"/>
      <w:bookmarkStart w:id="23" w:name="_Toc8677"/>
      <w:r>
        <w:rPr>
          <w:rFonts w:eastAsia="仿宋_GB2312"/>
          <w:caps/>
          <w:color w:val="000000"/>
          <w:sz w:val="28"/>
          <w:szCs w:val="28"/>
        </w:rPr>
        <w:t>房地产估价机构营业执照和房地产估价机构资质证书复印件；</w:t>
      </w:r>
      <w:bookmarkEnd w:id="23"/>
    </w:p>
    <w:p>
      <w:pPr>
        <w:spacing w:line="480" w:lineRule="exact"/>
        <w:ind w:left="400" w:leftChars="200"/>
        <w:outlineLvl w:val="0"/>
        <w:rPr>
          <w:rFonts w:eastAsia="仿宋_GB2312"/>
          <w:caps/>
          <w:color w:val="000000"/>
          <w:sz w:val="28"/>
          <w:szCs w:val="28"/>
        </w:rPr>
      </w:pPr>
      <w:bookmarkStart w:id="24" w:name="_Toc1323"/>
      <w:r>
        <w:rPr>
          <w:rFonts w:hint="eastAsia" w:eastAsia="仿宋_GB2312"/>
          <w:caps/>
          <w:color w:val="000000"/>
          <w:sz w:val="28"/>
          <w:szCs w:val="28"/>
          <w:lang w:val="en-US" w:eastAsia="zh-CN"/>
        </w:rPr>
        <w:t>7</w:t>
      </w:r>
      <w:r>
        <w:rPr>
          <w:rFonts w:eastAsia="仿宋_GB2312"/>
          <w:caps/>
          <w:color w:val="000000"/>
          <w:sz w:val="28"/>
          <w:szCs w:val="28"/>
        </w:rPr>
        <w:t>、注册房地产估价师注册证书复印件。</w:t>
      </w:r>
      <w:bookmarkEnd w:id="24"/>
    </w:p>
    <w:p>
      <w:pPr>
        <w:pStyle w:val="2"/>
        <w:snapToGrid w:val="0"/>
        <w:spacing w:before="120" w:after="120" w:line="360" w:lineRule="auto"/>
        <w:jc w:val="center"/>
        <w:rPr>
          <w:sz w:val="36"/>
          <w:szCs w:val="36"/>
        </w:rPr>
      </w:pPr>
      <w:r>
        <w:rPr>
          <w:rFonts w:eastAsia="仿宋_GB2312"/>
          <w:snapToGrid w:val="0"/>
          <w:sz w:val="32"/>
          <w:szCs w:val="32"/>
        </w:rPr>
        <w:br w:type="page"/>
      </w:r>
      <w:bookmarkStart w:id="25" w:name="_Toc77858017"/>
      <w:bookmarkStart w:id="26" w:name="_Toc297122050"/>
      <w:bookmarkStart w:id="27" w:name="_Toc367869492"/>
      <w:bookmarkStart w:id="28" w:name="_Toc382493606"/>
      <w:bookmarkStart w:id="29" w:name="_Toc301369710"/>
      <w:bookmarkStart w:id="30" w:name="_Toc297196345"/>
      <w:r>
        <w:rPr>
          <w:rFonts w:eastAsia="仿宋_GB2312"/>
          <w:snapToGrid w:val="0"/>
          <w:kern w:val="0"/>
          <w:sz w:val="36"/>
          <w:szCs w:val="36"/>
        </w:rPr>
        <w:t>估价师声明</w:t>
      </w:r>
      <w:bookmarkEnd w:id="25"/>
      <w:bookmarkEnd w:id="26"/>
      <w:bookmarkEnd w:id="27"/>
      <w:bookmarkEnd w:id="28"/>
      <w:bookmarkEnd w:id="29"/>
      <w:bookmarkEnd w:id="30"/>
      <w:r>
        <w:rPr>
          <w:sz w:val="36"/>
          <w:szCs w:val="36"/>
        </w:rPr>
        <w:fldChar w:fldCharType="begin"/>
      </w:r>
      <w:r>
        <w:instrText xml:space="preserve"> TC "</w:instrText>
      </w:r>
      <w:bookmarkStart w:id="31" w:name="_Toc289260246"/>
      <w:bookmarkStart w:id="32" w:name="_Toc288212015"/>
      <w:r>
        <w:rPr>
          <w:sz w:val="36"/>
          <w:szCs w:val="36"/>
        </w:rPr>
        <w:instrText xml:space="preserve">三、注册房地产估价师声明</w:instrText>
      </w:r>
      <w:bookmarkEnd w:id="31"/>
      <w:bookmarkEnd w:id="32"/>
      <w:r>
        <w:instrText xml:space="preserve">" \f C \l "1" </w:instrText>
      </w:r>
      <w:r>
        <w:rPr>
          <w:sz w:val="36"/>
          <w:szCs w:val="36"/>
        </w:rPr>
        <w:fldChar w:fldCharType="end"/>
      </w:r>
    </w:p>
    <w:p>
      <w:pPr>
        <w:spacing w:line="360" w:lineRule="auto"/>
        <w:rPr>
          <w:rFonts w:eastAsia="仿宋_GB2312"/>
          <w:b/>
          <w:sz w:val="28"/>
          <w:szCs w:val="28"/>
        </w:rPr>
      </w:pPr>
      <w:bookmarkStart w:id="33" w:name="_Toc362509711"/>
      <w:r>
        <w:rPr>
          <w:rFonts w:eastAsia="仿宋_GB2312"/>
          <w:b/>
          <w:sz w:val="28"/>
          <w:szCs w:val="28"/>
        </w:rPr>
        <w:t>我们郑重声明：</w:t>
      </w:r>
      <w:bookmarkEnd w:id="33"/>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 xml:space="preserve">注册房地产估价师在本估价报告中对事实的说明是真实和准确的，没有虚假记载、误导性陈述和重大遗漏。 </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本估价报告中的分析、意见和结论是注册房地产估价师独立、客观、公正的专业分析、意见和结论，但受到本估价报告中已说明的估价假设和限制条件的限制。</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注册房地产估价师与本估价报告中的估价对象没有现实或潜在的利益，与估价委托人及估价利害关系人没有利害关系，也对估价对象、估价委托人及估价利害关系人没有偏见。</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注册房地产估价师是按照中华人民共和国国家标准《房地产估价规范》【GB/T 50291-2015】、《房地产估价基本术语标准》【GB/T 50899-2013】的规定进行估价工作，撰写本估价报告。</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rPr>
        <w:t>没有人对本估价报告提供了重要专业帮助。</w:t>
      </w:r>
    </w:p>
    <w:p>
      <w:pPr>
        <w:pStyle w:val="79"/>
        <w:numPr>
          <w:ilvl w:val="0"/>
          <w:numId w:val="2"/>
        </w:numPr>
        <w:adjustRightInd w:val="0"/>
        <w:snapToGrid w:val="0"/>
        <w:spacing w:line="480" w:lineRule="exact"/>
        <w:ind w:left="0" w:firstLine="560"/>
        <w:rPr>
          <w:rFonts w:eastAsia="仿宋_GB2312"/>
          <w:sz w:val="28"/>
          <w:szCs w:val="28"/>
        </w:rPr>
      </w:pPr>
      <w:r>
        <w:rPr>
          <w:rFonts w:hint="eastAsia" w:eastAsia="仿宋_GB2312"/>
          <w:sz w:val="28"/>
          <w:szCs w:val="28"/>
        </w:rPr>
        <w:t>我公司房地产估价师李慧、田树军承诺遵守估价职业道德，具备专业胜任能力，能勤勉尽责地完成估价工作。</w:t>
      </w:r>
    </w:p>
    <w:p>
      <w:pPr>
        <w:pStyle w:val="2"/>
        <w:snapToGrid w:val="0"/>
        <w:spacing w:before="120" w:after="120" w:line="360" w:lineRule="auto"/>
        <w:jc w:val="center"/>
        <w:rPr>
          <w:szCs w:val="36"/>
        </w:rPr>
      </w:pPr>
      <w:r>
        <w:br w:type="page"/>
      </w:r>
      <w:bookmarkStart w:id="34" w:name="_Toc77858018"/>
      <w:bookmarkStart w:id="35" w:name="_Toc382493607"/>
      <w:r>
        <w:rPr>
          <w:rFonts w:eastAsia="仿宋_GB2312"/>
          <w:snapToGrid w:val="0"/>
          <w:kern w:val="0"/>
          <w:sz w:val="36"/>
          <w:szCs w:val="36"/>
        </w:rPr>
        <w:t>估价假设和限制条件</w:t>
      </w:r>
      <w:bookmarkEnd w:id="34"/>
      <w:bookmarkEnd w:id="35"/>
      <w:r>
        <w:rPr>
          <w:szCs w:val="36"/>
        </w:rPr>
        <w:fldChar w:fldCharType="begin"/>
      </w:r>
      <w:r>
        <w:instrText xml:space="preserve"> TC "</w:instrText>
      </w:r>
      <w:bookmarkStart w:id="36" w:name="_Toc288212016"/>
      <w:bookmarkStart w:id="37" w:name="_Toc289260247"/>
      <w:r>
        <w:rPr>
          <w:szCs w:val="36"/>
        </w:rPr>
        <w:instrText xml:space="preserve">四、估价的假设和限制条件</w:instrText>
      </w:r>
      <w:bookmarkEnd w:id="36"/>
      <w:bookmarkEnd w:id="37"/>
      <w:r>
        <w:instrText xml:space="preserve">" \f C \l "1" </w:instrText>
      </w:r>
      <w:r>
        <w:rPr>
          <w:szCs w:val="36"/>
        </w:rPr>
        <w:fldChar w:fldCharType="end"/>
      </w:r>
    </w:p>
    <w:p>
      <w:pPr>
        <w:spacing w:line="480" w:lineRule="exact"/>
        <w:ind w:firstLine="562" w:firstLineChars="200"/>
        <w:rPr>
          <w:rFonts w:eastAsia="仿宋_GB2312"/>
          <w:b/>
          <w:sz w:val="28"/>
          <w:szCs w:val="28"/>
        </w:rPr>
      </w:pPr>
      <w:r>
        <w:rPr>
          <w:rFonts w:eastAsia="仿宋_GB2312"/>
          <w:b/>
          <w:sz w:val="28"/>
          <w:szCs w:val="28"/>
        </w:rPr>
        <w:t>1.一般假设</w:t>
      </w:r>
    </w:p>
    <w:p>
      <w:pPr>
        <w:spacing w:line="480" w:lineRule="exact"/>
        <w:ind w:firstLine="560" w:firstLineChars="200"/>
        <w:jc w:val="both"/>
        <w:rPr>
          <w:rFonts w:eastAsia="仿宋_GB2312"/>
          <w:sz w:val="28"/>
          <w:szCs w:val="28"/>
        </w:rPr>
      </w:pPr>
      <w:r>
        <w:rPr>
          <w:rFonts w:eastAsia="仿宋_GB2312"/>
          <w:sz w:val="28"/>
          <w:szCs w:val="28"/>
        </w:rPr>
        <w:t>（1）在价值时点的房地产市场为公开、平等、自愿的交易市场。</w:t>
      </w:r>
    </w:p>
    <w:p>
      <w:pPr>
        <w:spacing w:line="480" w:lineRule="exact"/>
        <w:ind w:firstLine="560" w:firstLineChars="200"/>
        <w:jc w:val="both"/>
        <w:rPr>
          <w:rFonts w:eastAsia="仿宋_GB2312"/>
          <w:sz w:val="28"/>
          <w:szCs w:val="28"/>
        </w:rPr>
      </w:pPr>
      <w:r>
        <w:rPr>
          <w:rFonts w:eastAsia="仿宋_GB2312"/>
          <w:sz w:val="28"/>
          <w:szCs w:val="28"/>
        </w:rPr>
        <w:t>（2）估价对象产权明晰，手续齐全，可在公开市场上自由转让。</w:t>
      </w:r>
    </w:p>
    <w:p>
      <w:pPr>
        <w:spacing w:line="480" w:lineRule="exact"/>
        <w:ind w:firstLine="560" w:firstLineChars="200"/>
        <w:jc w:val="both"/>
        <w:rPr>
          <w:rFonts w:eastAsia="仿宋_GB2312"/>
          <w:sz w:val="28"/>
          <w:szCs w:val="28"/>
        </w:rPr>
      </w:pPr>
      <w:r>
        <w:rPr>
          <w:rFonts w:eastAsia="仿宋_GB2312"/>
          <w:sz w:val="28"/>
          <w:szCs w:val="28"/>
        </w:rPr>
        <w:t>（3）任何有关估价对象的运作方式、程序均符合国家、地方的有关法律、法规。</w:t>
      </w:r>
    </w:p>
    <w:p>
      <w:pPr>
        <w:spacing w:line="480" w:lineRule="exact"/>
        <w:ind w:firstLine="560" w:firstLineChars="200"/>
        <w:jc w:val="both"/>
        <w:rPr>
          <w:rFonts w:eastAsia="仿宋_GB2312"/>
          <w:sz w:val="28"/>
          <w:szCs w:val="28"/>
        </w:rPr>
      </w:pPr>
      <w:r>
        <w:rPr>
          <w:rFonts w:eastAsia="仿宋_GB2312"/>
          <w:sz w:val="28"/>
          <w:szCs w:val="28"/>
        </w:rPr>
        <w:t>（4）本次估价结果未考虑国家宏观经济政策发生重大变化以及遇有自然力和其他不可抗力对估价结论的影响。</w:t>
      </w:r>
    </w:p>
    <w:p>
      <w:pPr>
        <w:spacing w:line="480" w:lineRule="exact"/>
        <w:ind w:firstLine="560" w:firstLineChars="200"/>
        <w:jc w:val="both"/>
        <w:rPr>
          <w:rFonts w:eastAsia="仿宋_GB2312"/>
          <w:sz w:val="28"/>
          <w:szCs w:val="28"/>
        </w:rPr>
      </w:pPr>
      <w:r>
        <w:rPr>
          <w:rFonts w:eastAsia="仿宋_GB2312"/>
          <w:sz w:val="28"/>
          <w:szCs w:val="28"/>
        </w:rPr>
        <w:t>（5）本报告以估价对象在价值时点时的状况为依据进行的，且以该状况在估价报告使用期限内无重大变化为前提。</w:t>
      </w:r>
    </w:p>
    <w:p>
      <w:pPr>
        <w:spacing w:line="480" w:lineRule="exact"/>
        <w:ind w:firstLine="560" w:firstLineChars="200"/>
        <w:jc w:val="both"/>
        <w:rPr>
          <w:rFonts w:eastAsia="仿宋_GB2312"/>
          <w:sz w:val="28"/>
          <w:szCs w:val="28"/>
        </w:rPr>
      </w:pPr>
      <w:r>
        <w:rPr>
          <w:rFonts w:eastAsia="仿宋_GB2312"/>
          <w:sz w:val="28"/>
          <w:szCs w:val="28"/>
        </w:rPr>
        <w:t>（6）本次估价未考虑除已披露事项外可能与估价对象产权人有关的债权及债务情况对估价结果的影响。</w:t>
      </w:r>
    </w:p>
    <w:p>
      <w:pPr>
        <w:spacing w:line="480" w:lineRule="exact"/>
        <w:ind w:firstLine="560" w:firstLineChars="200"/>
        <w:jc w:val="both"/>
        <w:rPr>
          <w:rFonts w:eastAsia="仿宋_GB2312"/>
          <w:sz w:val="28"/>
          <w:szCs w:val="28"/>
        </w:rPr>
      </w:pPr>
      <w:r>
        <w:rPr>
          <w:rFonts w:eastAsia="仿宋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480" w:lineRule="exact"/>
        <w:ind w:firstLine="560" w:firstLineChars="200"/>
        <w:rPr>
          <w:rFonts w:eastAsia="仿宋_GB2312"/>
          <w:sz w:val="28"/>
          <w:szCs w:val="28"/>
        </w:rPr>
      </w:pPr>
      <w:r>
        <w:rPr>
          <w:rFonts w:eastAsia="仿宋_GB2312"/>
          <w:sz w:val="28"/>
          <w:szCs w:val="28"/>
        </w:rPr>
        <w:t>（8）本次估价对象的</w:t>
      </w:r>
      <w:r>
        <w:rPr>
          <w:rFonts w:hint="eastAsia" w:eastAsia="仿宋_GB2312"/>
          <w:sz w:val="28"/>
          <w:szCs w:val="28"/>
          <w:lang w:eastAsia="zh-CN"/>
        </w:rPr>
        <w:t>房屋信息依据委托方提供的《房地产权结果信息一览表》、《房屋分户面积测量报告书》</w:t>
      </w:r>
      <w:r>
        <w:rPr>
          <w:rFonts w:eastAsia="仿宋_GB2312"/>
          <w:sz w:val="28"/>
          <w:szCs w:val="28"/>
        </w:rPr>
        <w:t>为依据。如上述情况发生变化，估价结果需做相应调整。</w:t>
      </w:r>
    </w:p>
    <w:p>
      <w:pPr>
        <w:spacing w:line="48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9</w:t>
      </w:r>
      <w:r>
        <w:rPr>
          <w:rFonts w:eastAsia="仿宋_GB2312"/>
          <w:sz w:val="28"/>
          <w:szCs w:val="28"/>
        </w:rPr>
        <w:t>）报告以估价委托人领勘准确性为估价前提。</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10</w:t>
      </w:r>
      <w:r>
        <w:rPr>
          <w:rFonts w:eastAsia="仿宋_GB2312"/>
          <w:sz w:val="28"/>
          <w:szCs w:val="28"/>
        </w:rPr>
        <w:t>）估价委托人未能按照估价人员要求出具</w:t>
      </w:r>
      <w:r>
        <w:rPr>
          <w:rFonts w:hint="eastAsia" w:eastAsia="仿宋_GB2312"/>
          <w:sz w:val="28"/>
          <w:szCs w:val="28"/>
        </w:rPr>
        <w:t>《不动产权证》</w:t>
      </w:r>
      <w:r>
        <w:rPr>
          <w:rFonts w:eastAsia="仿宋_GB2312"/>
          <w:sz w:val="28"/>
          <w:szCs w:val="28"/>
        </w:rPr>
        <w:t>原件，估价人员无法核对原件与其所提供的产权资料复印件的一致性。且受</w:t>
      </w:r>
      <w:r>
        <w:rPr>
          <w:rFonts w:hint="eastAsia" w:eastAsia="仿宋_GB2312"/>
          <w:sz w:val="28"/>
          <w:szCs w:val="28"/>
        </w:rPr>
        <w:t>不动产</w:t>
      </w:r>
      <w:r>
        <w:rPr>
          <w:rFonts w:eastAsia="仿宋_GB2312"/>
          <w:sz w:val="28"/>
          <w:szCs w:val="28"/>
        </w:rPr>
        <w:t>管理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11</w:t>
      </w:r>
      <w:r>
        <w:rPr>
          <w:rFonts w:eastAsia="仿宋_GB2312"/>
          <w:sz w:val="28"/>
          <w:szCs w:val="28"/>
        </w:rPr>
        <w:t>）估价人员曾于</w:t>
      </w:r>
      <w:r>
        <w:rPr>
          <w:rFonts w:hint="eastAsia" w:eastAsia="仿宋_GB2312"/>
          <w:sz w:val="28"/>
          <w:szCs w:val="28"/>
          <w:lang w:eastAsia="zh-CN"/>
        </w:rPr>
        <w:t>2022年09月29日</w:t>
      </w:r>
      <w:r>
        <w:rPr>
          <w:rFonts w:eastAsia="仿宋_GB2312"/>
          <w:sz w:val="28"/>
          <w:szCs w:val="28"/>
        </w:rPr>
        <w:t>对估价对象进行了实地查勘，</w:t>
      </w:r>
      <w:r>
        <w:rPr>
          <w:rFonts w:hint="eastAsia" w:eastAsia="仿宋_GB2312"/>
          <w:sz w:val="28"/>
          <w:szCs w:val="28"/>
        </w:rPr>
        <w:t>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12</w:t>
      </w:r>
      <w:r>
        <w:rPr>
          <w:rFonts w:eastAsia="仿宋_GB2312"/>
          <w:sz w:val="28"/>
          <w:szCs w:val="28"/>
        </w:rPr>
        <w:t>）</w:t>
      </w:r>
      <w:r>
        <w:rPr>
          <w:rFonts w:hint="eastAsia" w:eastAsia="仿宋_GB2312"/>
          <w:sz w:val="28"/>
          <w:szCs w:val="28"/>
        </w:rPr>
        <w:t>根据人民法院提供的资料</w:t>
      </w:r>
      <w:r>
        <w:rPr>
          <w:rFonts w:eastAsia="仿宋_GB2312"/>
          <w:sz w:val="28"/>
          <w:szCs w:val="28"/>
        </w:rPr>
        <w:t>未明确存在租赁权、用益物权及占有使用情况</w:t>
      </w:r>
      <w:r>
        <w:rPr>
          <w:rFonts w:hint="eastAsia" w:eastAsia="仿宋_GB2312"/>
          <w:sz w:val="28"/>
          <w:szCs w:val="28"/>
        </w:rPr>
        <w:t>，房地产估价机构经过调查也未发现</w:t>
      </w:r>
      <w:r>
        <w:rPr>
          <w:rFonts w:eastAsia="仿宋_GB2312"/>
          <w:sz w:val="28"/>
          <w:szCs w:val="28"/>
        </w:rPr>
        <w:t>租赁权、用益物权及占有使用情况</w:t>
      </w:r>
      <w:r>
        <w:rPr>
          <w:rFonts w:hint="eastAsia" w:eastAsia="仿宋_GB2312"/>
          <w:sz w:val="28"/>
          <w:szCs w:val="28"/>
        </w:rPr>
        <w:t>，本次评估假定待估房地产</w:t>
      </w:r>
      <w:r>
        <w:rPr>
          <w:rFonts w:eastAsia="仿宋_GB2312"/>
          <w:sz w:val="28"/>
          <w:szCs w:val="28"/>
        </w:rPr>
        <w:t>不存在租赁权、用益物权及占有使用</w:t>
      </w:r>
      <w:r>
        <w:rPr>
          <w:rFonts w:hint="eastAsia" w:eastAsia="仿宋_GB2312"/>
          <w:sz w:val="28"/>
          <w:szCs w:val="28"/>
        </w:rPr>
        <w:t>。</w:t>
      </w:r>
    </w:p>
    <w:p>
      <w:pPr>
        <w:spacing w:line="480" w:lineRule="exact"/>
        <w:ind w:firstLine="560" w:firstLineChars="200"/>
        <w:jc w:val="both"/>
        <w:rPr>
          <w:rFonts w:eastAsia="仿宋_GB2312"/>
          <w:sz w:val="28"/>
          <w:szCs w:val="28"/>
        </w:rPr>
      </w:pPr>
      <w:r>
        <w:rPr>
          <w:rFonts w:hint="eastAsia" w:eastAsia="仿宋_GB2312"/>
          <w:sz w:val="28"/>
          <w:szCs w:val="28"/>
        </w:rPr>
        <w:t>（13）根据人民法院提供的资料</w:t>
      </w:r>
      <w:r>
        <w:rPr>
          <w:rFonts w:eastAsia="仿宋_GB2312"/>
          <w:sz w:val="28"/>
          <w:szCs w:val="28"/>
        </w:rPr>
        <w:t>未明确存在欠缴税收、物业费、供暖费、水电气费等及其滞纳金</w:t>
      </w:r>
      <w:r>
        <w:rPr>
          <w:rFonts w:hint="eastAsia" w:eastAsia="仿宋_GB2312"/>
          <w:sz w:val="28"/>
          <w:szCs w:val="28"/>
        </w:rPr>
        <w:t>等相关费用，本次评估</w:t>
      </w:r>
      <w:r>
        <w:rPr>
          <w:rFonts w:eastAsia="仿宋_GB2312"/>
          <w:sz w:val="28"/>
          <w:szCs w:val="28"/>
        </w:rPr>
        <w:t>假定评估对象不存在欠缴税收、物业费、供暖费、水电气费等及其滞纳金</w:t>
      </w:r>
      <w:r>
        <w:rPr>
          <w:rFonts w:hint="eastAsia" w:eastAsia="仿宋_GB2312"/>
          <w:sz w:val="28"/>
          <w:szCs w:val="28"/>
        </w:rPr>
        <w:t>等相关费用。</w:t>
      </w:r>
    </w:p>
    <w:p>
      <w:pPr>
        <w:spacing w:line="480" w:lineRule="exact"/>
        <w:ind w:firstLine="700" w:firstLineChars="250"/>
        <w:jc w:val="both"/>
        <w:rPr>
          <w:rFonts w:eastAsia="仿宋_GB2312"/>
          <w:sz w:val="28"/>
          <w:szCs w:val="28"/>
        </w:rPr>
      </w:pPr>
      <w:r>
        <w:rPr>
          <w:rFonts w:hint="eastAsia" w:eastAsia="仿宋_GB2312"/>
          <w:sz w:val="28"/>
          <w:szCs w:val="28"/>
        </w:rPr>
        <w:t>(14) 本次评估人民法院未明确税费负担方式，按照相关法律法规规定，本次按转让人和买受人各自负担税费为前提进行评估。</w:t>
      </w:r>
    </w:p>
    <w:p>
      <w:pPr>
        <w:spacing w:line="480" w:lineRule="exact"/>
        <w:ind w:firstLine="562" w:firstLineChars="200"/>
        <w:rPr>
          <w:rFonts w:eastAsia="仿宋_GB2312"/>
          <w:b/>
          <w:sz w:val="28"/>
          <w:szCs w:val="28"/>
        </w:rPr>
      </w:pPr>
      <w:r>
        <w:rPr>
          <w:rFonts w:eastAsia="仿宋_GB2312"/>
          <w:b/>
          <w:sz w:val="28"/>
          <w:szCs w:val="28"/>
        </w:rPr>
        <w:t>2.未定事项假设</w:t>
      </w:r>
    </w:p>
    <w:p>
      <w:pPr>
        <w:spacing w:line="480" w:lineRule="exact"/>
        <w:ind w:firstLine="560" w:firstLineChars="200"/>
        <w:rPr>
          <w:rFonts w:eastAsia="仿宋_GB2312"/>
          <w:sz w:val="28"/>
          <w:szCs w:val="28"/>
        </w:rPr>
      </w:pPr>
      <w:r>
        <w:rPr>
          <w:rFonts w:hint="eastAsia" w:eastAsia="仿宋_GB2312"/>
          <w:sz w:val="28"/>
          <w:szCs w:val="28"/>
        </w:rPr>
        <w:t>无</w:t>
      </w:r>
      <w:r>
        <w:rPr>
          <w:rFonts w:eastAsia="仿宋_GB2312"/>
          <w:sz w:val="28"/>
          <w:szCs w:val="28"/>
        </w:rPr>
        <w:t>未定事项假设</w:t>
      </w:r>
      <w:r>
        <w:rPr>
          <w:rFonts w:hint="eastAsia" w:eastAsia="仿宋_GB2312"/>
          <w:sz w:val="28"/>
          <w:szCs w:val="28"/>
        </w:rPr>
        <w:t>。</w:t>
      </w:r>
    </w:p>
    <w:p>
      <w:pPr>
        <w:spacing w:line="480" w:lineRule="exact"/>
        <w:ind w:firstLine="562" w:firstLineChars="200"/>
        <w:rPr>
          <w:rFonts w:eastAsia="仿宋_GB2312"/>
          <w:b/>
          <w:sz w:val="28"/>
          <w:szCs w:val="28"/>
        </w:rPr>
      </w:pPr>
      <w:r>
        <w:rPr>
          <w:rFonts w:eastAsia="仿宋_GB2312"/>
          <w:b/>
          <w:sz w:val="28"/>
          <w:szCs w:val="28"/>
        </w:rPr>
        <w:t>3. 背离事实假设</w:t>
      </w:r>
    </w:p>
    <w:p>
      <w:pPr>
        <w:spacing w:line="480" w:lineRule="exact"/>
        <w:ind w:firstLine="560" w:firstLineChars="200"/>
        <w:rPr>
          <w:rFonts w:eastAsia="仿宋_GB2312"/>
          <w:sz w:val="28"/>
          <w:szCs w:val="28"/>
        </w:rPr>
      </w:pPr>
      <w:r>
        <w:rPr>
          <w:rFonts w:hint="eastAsia" w:eastAsia="仿宋_GB2312"/>
          <w:sz w:val="28"/>
          <w:szCs w:val="28"/>
        </w:rPr>
        <w:t>3.1</w:t>
      </w:r>
      <w:r>
        <w:rPr>
          <w:rFonts w:eastAsia="仿宋_GB2312"/>
          <w:sz w:val="28"/>
          <w:szCs w:val="28"/>
        </w:rPr>
        <w:t>根据估价委托人提供的资料和介绍，估价对象已设定抵押他项权利，至价值时点，此项他项权利尚未注销。根据《房地产估价规范》【GB/T 50291-2015】5.4.1-5.4.4，房地产司法拍卖估价不应考虑拍卖房地产被查封以及拍卖房地产上原有的担保物权和其他优先受偿权的影响，故本次估价未考虑可能与估价对象产权人有关的债权及债务情况对估价结果的影响。</w:t>
      </w:r>
    </w:p>
    <w:p>
      <w:pPr>
        <w:adjustRightInd w:val="0"/>
        <w:snapToGrid w:val="0"/>
        <w:spacing w:line="480" w:lineRule="exact"/>
        <w:ind w:firstLine="560" w:firstLineChars="200"/>
        <w:rPr>
          <w:rFonts w:eastAsia="仿宋_GB2312"/>
          <w:sz w:val="28"/>
          <w:szCs w:val="28"/>
        </w:rPr>
      </w:pPr>
      <w:r>
        <w:rPr>
          <w:rFonts w:hint="eastAsia" w:eastAsia="仿宋_GB2312"/>
          <w:sz w:val="28"/>
          <w:szCs w:val="28"/>
        </w:rPr>
        <w:t>3.2</w:t>
      </w:r>
      <w:r>
        <w:rPr>
          <w:rFonts w:eastAsia="仿宋_GB2312"/>
          <w:sz w:val="28"/>
          <w:szCs w:val="28"/>
        </w:rPr>
        <w:t>根据估价委托人提供的资料和介绍，估价对象存在权利限制状况，根据《房地产估价规范》【GB/T 50291-2015】5.4.1-5.4.4，房地产司法拍卖估价不应考虑拍卖房地产被查封以及拍卖房地产上原有的担保物权和其他优先受偿权的影响，故本次评估未考虑该因素对评估价值的影响。</w:t>
      </w:r>
    </w:p>
    <w:p>
      <w:pPr>
        <w:spacing w:line="480" w:lineRule="exact"/>
        <w:ind w:firstLine="562" w:firstLineChars="200"/>
        <w:rPr>
          <w:rFonts w:eastAsia="仿宋_GB2312"/>
          <w:b/>
          <w:sz w:val="28"/>
          <w:szCs w:val="28"/>
        </w:rPr>
      </w:pPr>
      <w:r>
        <w:rPr>
          <w:rFonts w:eastAsia="仿宋_GB2312"/>
          <w:b/>
          <w:sz w:val="28"/>
          <w:szCs w:val="28"/>
        </w:rPr>
        <w:t>4.不相一致假设</w:t>
      </w:r>
    </w:p>
    <w:p>
      <w:pPr>
        <w:adjustRightInd w:val="0"/>
        <w:snapToGrid w:val="0"/>
        <w:spacing w:line="480" w:lineRule="exact"/>
        <w:ind w:firstLine="560" w:firstLineChars="200"/>
        <w:rPr>
          <w:rFonts w:eastAsia="仿宋_GB2312"/>
          <w:sz w:val="28"/>
          <w:szCs w:val="28"/>
        </w:rPr>
      </w:pPr>
      <w:r>
        <w:rPr>
          <w:rFonts w:hint="eastAsia" w:eastAsia="仿宋_GB2312"/>
          <w:sz w:val="28"/>
          <w:szCs w:val="28"/>
        </w:rPr>
        <w:t>无</w:t>
      </w:r>
      <w:r>
        <w:rPr>
          <w:rFonts w:eastAsia="仿宋_GB2312"/>
          <w:sz w:val="28"/>
          <w:szCs w:val="28"/>
        </w:rPr>
        <w:t>不相一致假设</w:t>
      </w:r>
      <w:r>
        <w:rPr>
          <w:rFonts w:hint="eastAsia" w:eastAsia="仿宋_GB2312"/>
          <w:sz w:val="28"/>
          <w:szCs w:val="28"/>
        </w:rPr>
        <w:t>。</w:t>
      </w:r>
    </w:p>
    <w:p>
      <w:pPr>
        <w:spacing w:line="480" w:lineRule="exact"/>
        <w:ind w:firstLine="562" w:firstLineChars="200"/>
        <w:rPr>
          <w:rFonts w:eastAsia="仿宋_GB2312"/>
          <w:b/>
          <w:sz w:val="28"/>
          <w:szCs w:val="28"/>
        </w:rPr>
      </w:pPr>
      <w:r>
        <w:rPr>
          <w:rFonts w:eastAsia="仿宋_GB2312"/>
          <w:b/>
          <w:sz w:val="28"/>
          <w:szCs w:val="28"/>
        </w:rPr>
        <w:t>5. 依据不足假设</w:t>
      </w:r>
    </w:p>
    <w:p>
      <w:pPr>
        <w:spacing w:line="480" w:lineRule="exact"/>
        <w:ind w:firstLine="560" w:firstLineChars="200"/>
        <w:rPr>
          <w:rFonts w:hint="eastAsia"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1</w:t>
      </w:r>
      <w:r>
        <w:rPr>
          <w:rFonts w:hint="eastAsia" w:eastAsia="仿宋_GB2312"/>
          <w:sz w:val="28"/>
          <w:szCs w:val="28"/>
          <w:lang w:eastAsia="zh-CN"/>
        </w:rPr>
        <w:t>）</w:t>
      </w:r>
      <w:r>
        <w:rPr>
          <w:rFonts w:hint="eastAsia" w:eastAsia="仿宋_GB2312"/>
          <w:sz w:val="28"/>
          <w:szCs w:val="28"/>
        </w:rPr>
        <w:t>至价值时点，委托方未能提供估价对象的《不动产权证》，</w:t>
      </w:r>
      <w:r>
        <w:rPr>
          <w:rFonts w:hint="eastAsia" w:eastAsia="仿宋_GB2312"/>
          <w:sz w:val="28"/>
          <w:szCs w:val="28"/>
          <w:lang w:eastAsia="zh-CN"/>
        </w:rPr>
        <w:t>本次评估的房屋信息依据委托方提供的《房地产权结果信息一览表》、《房屋分户面积测量报告书》</w:t>
      </w:r>
      <w:r>
        <w:rPr>
          <w:rFonts w:hint="eastAsia" w:eastAsia="仿宋_GB2312"/>
          <w:sz w:val="28"/>
          <w:szCs w:val="28"/>
        </w:rPr>
        <w:t>，根据估价委托人要求：以估价对象合法拥有《不动产权证》为前提，土地</w:t>
      </w:r>
      <w:r>
        <w:rPr>
          <w:rFonts w:hint="eastAsia" w:eastAsia="仿宋_GB2312"/>
          <w:sz w:val="28"/>
          <w:szCs w:val="28"/>
          <w:lang w:val="en-US" w:eastAsia="zh-CN"/>
        </w:rPr>
        <w:t>权利性质按出让、</w:t>
      </w:r>
      <w:r>
        <w:rPr>
          <w:rFonts w:hint="eastAsia" w:eastAsia="仿宋_GB2312"/>
          <w:sz w:val="28"/>
          <w:szCs w:val="28"/>
        </w:rPr>
        <w:t>用途按住宅进行评估。</w:t>
      </w:r>
    </w:p>
    <w:p>
      <w:pPr>
        <w:spacing w:line="480" w:lineRule="exact"/>
        <w:ind w:firstLine="560" w:firstLineChars="200"/>
        <w:rPr>
          <w:rFonts w:hint="eastAsia" w:eastAsia="仿宋_GB2312"/>
          <w:color w:val="000000"/>
          <w:sz w:val="28"/>
          <w:highlight w:val="none"/>
        </w:rPr>
      </w:pPr>
      <w:r>
        <w:rPr>
          <w:rFonts w:hint="eastAsia" w:eastAsia="仿宋_GB2312"/>
          <w:color w:val="000000"/>
          <w:sz w:val="28"/>
          <w:lang w:eastAsia="zh-CN"/>
        </w:rPr>
        <w:t>（</w:t>
      </w:r>
      <w:r>
        <w:rPr>
          <w:rFonts w:hint="eastAsia" w:eastAsia="仿宋_GB2312"/>
          <w:color w:val="000000"/>
          <w:sz w:val="28"/>
          <w:lang w:val="en-US" w:eastAsia="zh-CN"/>
        </w:rPr>
        <w:t>2</w:t>
      </w:r>
      <w:r>
        <w:rPr>
          <w:rFonts w:hint="eastAsia" w:eastAsia="仿宋_GB2312"/>
          <w:color w:val="000000"/>
          <w:sz w:val="28"/>
          <w:lang w:eastAsia="zh-CN"/>
        </w:rPr>
        <w:t>）</w:t>
      </w:r>
      <w:r>
        <w:rPr>
          <w:rFonts w:hint="eastAsia" w:eastAsia="仿宋_GB2312"/>
          <w:color w:val="000000"/>
          <w:sz w:val="28"/>
          <w:lang w:val="en-US" w:eastAsia="zh-CN"/>
        </w:rPr>
        <w:t>附属装潢</w:t>
      </w:r>
      <w:r>
        <w:rPr>
          <w:rFonts w:hint="eastAsia" w:eastAsia="仿宋_GB2312"/>
          <w:color w:val="000000"/>
          <w:sz w:val="28"/>
        </w:rPr>
        <w:t>的数量由估价人员现场勘察、测量确定，若与实际不符，</w:t>
      </w:r>
      <w:r>
        <w:rPr>
          <w:rFonts w:hint="eastAsia" w:eastAsia="仿宋_GB2312"/>
          <w:color w:val="000000"/>
          <w:sz w:val="28"/>
          <w:highlight w:val="none"/>
        </w:rPr>
        <w:t>估价结果需作相应调整。</w:t>
      </w:r>
    </w:p>
    <w:p>
      <w:pPr>
        <w:spacing w:line="480" w:lineRule="exact"/>
        <w:ind w:firstLine="560" w:firstLineChars="200"/>
        <w:rPr>
          <w:rFonts w:hint="eastAsia" w:eastAsia="仿宋_GB2312"/>
          <w:color w:val="000000"/>
          <w:sz w:val="28"/>
        </w:rPr>
      </w:pPr>
      <w:r>
        <w:rPr>
          <w:rFonts w:hint="eastAsia" w:eastAsia="仿宋_GB2312"/>
          <w:color w:val="000000"/>
          <w:sz w:val="28"/>
          <w:highlight w:val="none"/>
          <w:lang w:eastAsia="zh-CN"/>
        </w:rPr>
        <w:t>（</w:t>
      </w:r>
      <w:r>
        <w:rPr>
          <w:rFonts w:hint="eastAsia" w:eastAsia="仿宋_GB2312"/>
          <w:color w:val="000000"/>
          <w:sz w:val="28"/>
          <w:highlight w:val="none"/>
          <w:lang w:val="en-US" w:eastAsia="zh-CN"/>
        </w:rPr>
        <w:t>3</w:t>
      </w:r>
      <w:r>
        <w:rPr>
          <w:rFonts w:hint="eastAsia" w:eastAsia="仿宋_GB2312"/>
          <w:color w:val="000000"/>
          <w:sz w:val="28"/>
          <w:highlight w:val="none"/>
          <w:lang w:eastAsia="zh-CN"/>
        </w:rPr>
        <w:t>）</w:t>
      </w:r>
      <w:r>
        <w:rPr>
          <w:rFonts w:hint="eastAsia" w:eastAsia="仿宋_GB2312"/>
          <w:color w:val="000000"/>
          <w:sz w:val="28"/>
          <w:szCs w:val="22"/>
          <w:highlight w:val="none"/>
        </w:rPr>
        <w:t>本次评估</w:t>
      </w:r>
      <w:r>
        <w:rPr>
          <w:rFonts w:hint="eastAsia" w:eastAsia="仿宋_GB2312"/>
          <w:color w:val="000000"/>
          <w:sz w:val="28"/>
          <w:szCs w:val="22"/>
          <w:highlight w:val="none"/>
          <w:lang w:val="en-US" w:eastAsia="zh-CN"/>
        </w:rPr>
        <w:t>的</w:t>
      </w:r>
      <w:r>
        <w:rPr>
          <w:rFonts w:hint="eastAsia" w:eastAsia="仿宋_GB2312"/>
          <w:color w:val="000000"/>
          <w:sz w:val="28"/>
          <w:highlight w:val="none"/>
        </w:rPr>
        <w:t>附属装潢</w:t>
      </w:r>
      <w:r>
        <w:rPr>
          <w:rFonts w:hint="eastAsia" w:eastAsia="仿宋_GB2312"/>
          <w:color w:val="000000"/>
          <w:sz w:val="28"/>
          <w:szCs w:val="22"/>
          <w:highlight w:val="none"/>
          <w:lang w:val="en-US" w:eastAsia="zh-CN"/>
        </w:rPr>
        <w:t>价值是</w:t>
      </w:r>
      <w:r>
        <w:rPr>
          <w:rFonts w:hint="eastAsia" w:eastAsia="仿宋_GB2312"/>
          <w:color w:val="000000"/>
          <w:sz w:val="28"/>
          <w:szCs w:val="22"/>
          <w:highlight w:val="none"/>
        </w:rPr>
        <w:t>采用价值时点的市场综合价格，</w:t>
      </w:r>
      <w:r>
        <w:rPr>
          <w:rFonts w:hint="eastAsia" w:eastAsia="仿宋_GB2312"/>
          <w:color w:val="000000"/>
          <w:sz w:val="28"/>
          <w:szCs w:val="22"/>
          <w:highlight w:val="none"/>
          <w:lang w:val="en-US" w:eastAsia="zh-CN"/>
        </w:rPr>
        <w:t>若</w:t>
      </w:r>
      <w:r>
        <w:rPr>
          <w:rFonts w:hint="eastAsia" w:eastAsia="仿宋_GB2312"/>
          <w:color w:val="000000"/>
          <w:sz w:val="28"/>
          <w:szCs w:val="22"/>
          <w:highlight w:val="none"/>
        </w:rPr>
        <w:t>材料特殊，提供真实证明材料后可据实进行调整。</w:t>
      </w:r>
    </w:p>
    <w:p>
      <w:pPr>
        <w:spacing w:line="480" w:lineRule="exact"/>
        <w:ind w:firstLine="562" w:firstLineChars="200"/>
        <w:rPr>
          <w:rFonts w:eastAsia="仿宋_GB2312"/>
          <w:b/>
          <w:sz w:val="28"/>
          <w:szCs w:val="28"/>
        </w:rPr>
      </w:pPr>
      <w:r>
        <w:rPr>
          <w:rFonts w:eastAsia="仿宋_GB2312"/>
          <w:b/>
          <w:sz w:val="28"/>
          <w:szCs w:val="28"/>
        </w:rPr>
        <w:t>6. 估价报告使用限制</w:t>
      </w:r>
    </w:p>
    <w:p>
      <w:pPr>
        <w:spacing w:line="480" w:lineRule="exact"/>
        <w:ind w:firstLine="560" w:firstLineChars="200"/>
        <w:jc w:val="both"/>
        <w:rPr>
          <w:rFonts w:eastAsia="仿宋_GB2312"/>
          <w:sz w:val="28"/>
          <w:szCs w:val="28"/>
        </w:rPr>
      </w:pPr>
      <w:r>
        <w:rPr>
          <w:rFonts w:eastAsia="仿宋_GB2312"/>
          <w:sz w:val="28"/>
          <w:szCs w:val="28"/>
        </w:rPr>
        <w:t>（1）</w:t>
      </w:r>
      <w:r>
        <w:rPr>
          <w:rFonts w:eastAsia="仿宋_GB2312"/>
          <w:sz w:val="28"/>
        </w:rPr>
        <w:t>本报告估价结论仅为估价委托人在上述已有假设条件下，</w:t>
      </w:r>
      <w:r>
        <w:rPr>
          <w:rFonts w:hint="eastAsia" w:eastAsia="仿宋_GB2312"/>
          <w:sz w:val="28"/>
          <w:szCs w:val="28"/>
        </w:rPr>
        <w:t>为人民法院确定财产处置参考价提供参考依据</w:t>
      </w:r>
      <w:r>
        <w:rPr>
          <w:rFonts w:eastAsia="仿宋_GB2312"/>
          <w:sz w:val="28"/>
        </w:rPr>
        <w:t>，不得做其它用途。</w:t>
      </w:r>
    </w:p>
    <w:p>
      <w:pPr>
        <w:spacing w:line="480" w:lineRule="exact"/>
        <w:ind w:firstLine="560" w:firstLineChars="200"/>
        <w:jc w:val="both"/>
        <w:rPr>
          <w:rFonts w:eastAsia="仿宋_GB2312"/>
          <w:sz w:val="28"/>
          <w:szCs w:val="28"/>
        </w:rPr>
      </w:pPr>
      <w:r>
        <w:rPr>
          <w:rFonts w:eastAsia="仿宋_GB2312"/>
          <w:sz w:val="28"/>
          <w:szCs w:val="28"/>
        </w:rPr>
        <w:t>（2）未经本估价机构书面同意，本报告的全部或任何一部分均不得向估价委托人、报告使用者、报告审查部门之外的单位和个人提供，也不得以任何形式公开发表。</w:t>
      </w:r>
    </w:p>
    <w:p>
      <w:pPr>
        <w:spacing w:line="480" w:lineRule="exact"/>
        <w:ind w:firstLine="560" w:firstLineChars="200"/>
        <w:jc w:val="both"/>
        <w:rPr>
          <w:rFonts w:eastAsia="仿宋_GB2312"/>
          <w:sz w:val="28"/>
          <w:szCs w:val="28"/>
        </w:rPr>
      </w:pPr>
      <w:r>
        <w:rPr>
          <w:rFonts w:eastAsia="仿宋_GB2312"/>
          <w:sz w:val="28"/>
          <w:szCs w:val="28"/>
        </w:rPr>
        <w:t>（3）本报告必须完整使用方为有效，对仅使用本报告中部分内容而导致可能的损失，本估价机构不承担责任。</w:t>
      </w:r>
    </w:p>
    <w:p>
      <w:pPr>
        <w:spacing w:line="480" w:lineRule="exact"/>
        <w:ind w:firstLine="560" w:firstLineChars="200"/>
        <w:jc w:val="both"/>
        <w:rPr>
          <w:rFonts w:eastAsia="仿宋_GB2312"/>
          <w:sz w:val="28"/>
          <w:szCs w:val="28"/>
        </w:rPr>
      </w:pPr>
      <w:r>
        <w:rPr>
          <w:rFonts w:eastAsia="仿宋_GB2312"/>
          <w:sz w:val="28"/>
          <w:szCs w:val="28"/>
        </w:rPr>
        <w:t>（4）本次估价结果受价值时点的限制，且本估价报告使用期限自估价报告出具之日</w:t>
      </w:r>
      <w:r>
        <w:rPr>
          <w:rFonts w:hint="eastAsia" w:eastAsia="仿宋_GB2312"/>
          <w:sz w:val="28"/>
          <w:szCs w:val="28"/>
          <w:lang w:eastAsia="zh-CN"/>
        </w:rPr>
        <w:t>2022年11月02日</w:t>
      </w:r>
      <w:r>
        <w:rPr>
          <w:rFonts w:eastAsia="仿宋_GB2312"/>
          <w:sz w:val="28"/>
          <w:szCs w:val="28"/>
        </w:rPr>
        <w:t>起为壹年。若报告使用期限内，房地产市场、建筑市场或估价对象自身状况发生重大变化，估价结果也需做相应调整或委托估价机构重新估价。</w:t>
      </w:r>
    </w:p>
    <w:p>
      <w:pPr>
        <w:tabs>
          <w:tab w:val="left" w:pos="993"/>
        </w:tabs>
        <w:adjustRightInd w:val="0"/>
        <w:snapToGrid w:val="0"/>
        <w:spacing w:line="480" w:lineRule="exact"/>
        <w:ind w:firstLine="560" w:firstLineChars="200"/>
        <w:jc w:val="both"/>
        <w:rPr>
          <w:rFonts w:eastAsia="仿宋_GB2312"/>
          <w:sz w:val="28"/>
          <w:szCs w:val="28"/>
          <w:highlight w:val="none"/>
        </w:rPr>
      </w:pPr>
      <w:r>
        <w:rPr>
          <w:rFonts w:eastAsia="仿宋_GB2312"/>
          <w:sz w:val="28"/>
          <w:szCs w:val="28"/>
          <w:highlight w:val="none"/>
        </w:rPr>
        <w:t>（5）</w:t>
      </w:r>
      <w:r>
        <w:rPr>
          <w:rFonts w:eastAsia="仿宋_GB2312"/>
          <w:caps/>
          <w:kern w:val="2"/>
          <w:sz w:val="28"/>
          <w:szCs w:val="28"/>
          <w:highlight w:val="none"/>
        </w:rPr>
        <w:t>本次估价结果是指在目前房地产市场状况下、估价对象在规划利用条件下的房地产价值，包括国有</w:t>
      </w:r>
      <w:r>
        <w:rPr>
          <w:rFonts w:eastAsia="仿宋_GB2312"/>
          <w:sz w:val="28"/>
          <w:szCs w:val="28"/>
          <w:highlight w:val="none"/>
        </w:rPr>
        <w:t>出让</w:t>
      </w:r>
      <w:r>
        <w:rPr>
          <w:rFonts w:eastAsia="仿宋_GB2312"/>
          <w:caps/>
          <w:kern w:val="2"/>
          <w:sz w:val="28"/>
          <w:szCs w:val="28"/>
          <w:highlight w:val="none"/>
        </w:rPr>
        <w:t>土地使用权价值和与房屋有关的土建、安装</w:t>
      </w:r>
      <w:r>
        <w:rPr>
          <w:rFonts w:hint="eastAsia" w:eastAsia="仿宋_GB2312"/>
          <w:caps/>
          <w:kern w:val="2"/>
          <w:sz w:val="28"/>
          <w:szCs w:val="28"/>
          <w:highlight w:val="none"/>
        </w:rPr>
        <w:t>、不可移动的附属装潢、</w:t>
      </w:r>
      <w:r>
        <w:rPr>
          <w:rFonts w:eastAsia="仿宋_GB2312"/>
          <w:caps/>
          <w:kern w:val="2"/>
          <w:sz w:val="28"/>
          <w:szCs w:val="28"/>
          <w:highlight w:val="none"/>
        </w:rPr>
        <w:t>室外附属工程价值</w:t>
      </w:r>
      <w:r>
        <w:rPr>
          <w:rFonts w:hint="eastAsia" w:eastAsia="仿宋_GB2312"/>
          <w:caps/>
          <w:kern w:val="2"/>
          <w:sz w:val="28"/>
          <w:szCs w:val="28"/>
          <w:highlight w:val="none"/>
        </w:rPr>
        <w:t>。</w:t>
      </w:r>
    </w:p>
    <w:p>
      <w:pPr>
        <w:pStyle w:val="79"/>
        <w:tabs>
          <w:tab w:val="left" w:pos="0"/>
        </w:tabs>
        <w:adjustRightInd w:val="0"/>
        <w:snapToGrid w:val="0"/>
        <w:spacing w:line="360" w:lineRule="auto"/>
        <w:ind w:left="567" w:firstLine="0" w:firstLineChars="0"/>
        <w:rPr>
          <w:rFonts w:eastAsia="仿宋_GB2312"/>
          <w:sz w:val="26"/>
          <w:szCs w:val="26"/>
        </w:rPr>
      </w:pPr>
    </w:p>
    <w:p>
      <w:pPr>
        <w:snapToGrid w:val="0"/>
        <w:spacing w:beforeLines="100" w:afterLines="100" w:line="360" w:lineRule="auto"/>
        <w:jc w:val="center"/>
        <w:outlineLvl w:val="0"/>
        <w:rPr>
          <w:rFonts w:eastAsia="仿宋_GB2312"/>
          <w:b/>
          <w:bCs/>
          <w:sz w:val="36"/>
        </w:rPr>
      </w:pPr>
      <w:bookmarkStart w:id="38" w:name="_Toc155258961"/>
      <w:r>
        <w:rPr>
          <w:rFonts w:eastAsia="仿宋_GB2312"/>
          <w:b/>
          <w:bCs/>
          <w:sz w:val="36"/>
        </w:rPr>
        <w:br w:type="page"/>
      </w:r>
      <w:bookmarkStart w:id="39" w:name="_Toc382493615"/>
      <w:bookmarkStart w:id="40" w:name="_Toc77858019"/>
      <w:r>
        <w:rPr>
          <w:rFonts w:eastAsia="仿宋_GB2312"/>
          <w:b/>
          <w:bCs/>
          <w:sz w:val="36"/>
        </w:rPr>
        <w:t>涉执房地产处置司法评估结果报告</w:t>
      </w:r>
      <w:bookmarkEnd w:id="38"/>
      <w:bookmarkEnd w:id="39"/>
      <w:bookmarkEnd w:id="40"/>
      <w:r>
        <w:rPr>
          <w:rFonts w:eastAsia="仿宋_GB2312"/>
          <w:b/>
          <w:bCs/>
          <w:sz w:val="36"/>
        </w:rPr>
        <w:fldChar w:fldCharType="begin"/>
      </w:r>
      <w:r>
        <w:rPr>
          <w:rFonts w:eastAsia="仿宋_GB2312"/>
          <w:b/>
          <w:bCs/>
          <w:sz w:val="36"/>
        </w:rPr>
        <w:instrText xml:space="preserve"> TC "</w:instrText>
      </w:r>
      <w:bookmarkStart w:id="41" w:name="_Toc289260248"/>
      <w:bookmarkStart w:id="42" w:name="_Toc288212017"/>
      <w:r>
        <w:rPr>
          <w:rFonts w:eastAsia="仿宋_GB2312"/>
          <w:b/>
          <w:bCs/>
          <w:sz w:val="36"/>
        </w:rPr>
        <w:instrText xml:space="preserve">五、估价结果报告</w:instrText>
      </w:r>
      <w:bookmarkEnd w:id="41"/>
      <w:bookmarkEnd w:id="42"/>
      <w:r>
        <w:rPr>
          <w:rFonts w:eastAsia="仿宋_GB2312"/>
          <w:b/>
          <w:bCs/>
          <w:sz w:val="36"/>
        </w:rPr>
        <w:instrText xml:space="preserve">" \f C \l "1" </w:instrText>
      </w:r>
      <w:r>
        <w:rPr>
          <w:rFonts w:eastAsia="仿宋_GB2312"/>
          <w:b/>
          <w:bCs/>
          <w:sz w:val="36"/>
        </w:rPr>
        <w:fldChar w:fldCharType="end"/>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43" w:name="_Toc382493616"/>
      <w:bookmarkStart w:id="44" w:name="_Toc77858020"/>
      <w:bookmarkStart w:id="45" w:name="_Toc155258962"/>
      <w:r>
        <w:rPr>
          <w:rFonts w:ascii="Times New Roman" w:hAnsi="Times New Roman" w:eastAsia="仿宋_GB2312"/>
          <w:sz w:val="28"/>
          <w:szCs w:val="28"/>
        </w:rPr>
        <w:t>估价委托人</w:t>
      </w:r>
      <w:bookmarkEnd w:id="43"/>
      <w:bookmarkEnd w:id="44"/>
      <w:bookmarkEnd w:id="4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46" w:name="_Toc289260249"/>
      <w:bookmarkStart w:id="47" w:name="_Toc288212018"/>
      <w:r>
        <w:rPr>
          <w:rFonts w:ascii="Times New Roman" w:hAnsi="Times New Roman" w:eastAsia="仿宋_GB2312"/>
          <w:sz w:val="28"/>
          <w:szCs w:val="28"/>
        </w:rPr>
        <w:instrText xml:space="preserve">1、估价委托人</w:instrText>
      </w:r>
      <w:bookmarkEnd w:id="46"/>
      <w:bookmarkEnd w:id="47"/>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spacing w:line="480" w:lineRule="exact"/>
        <w:ind w:right="-340" w:firstLine="560" w:firstLineChars="200"/>
        <w:rPr>
          <w:rFonts w:hint="eastAsia" w:eastAsia="仿宋_GB2312"/>
          <w:caps/>
          <w:sz w:val="28"/>
          <w:lang w:eastAsia="zh-CN"/>
        </w:rPr>
      </w:pPr>
      <w:bookmarkStart w:id="48" w:name="_Toc155258963"/>
      <w:r>
        <w:rPr>
          <w:rFonts w:hint="eastAsia" w:eastAsia="仿宋_GB2312"/>
          <w:caps/>
          <w:sz w:val="28"/>
        </w:rPr>
        <w:t>名   称</w:t>
      </w:r>
      <w:r>
        <w:rPr>
          <w:rFonts w:eastAsia="仿宋_GB2312"/>
          <w:caps/>
          <w:sz w:val="28"/>
        </w:rPr>
        <w:t>：</w:t>
      </w:r>
      <w:r>
        <w:rPr>
          <w:rFonts w:hint="eastAsia" w:eastAsia="仿宋_GB2312"/>
          <w:sz w:val="28"/>
          <w:lang w:eastAsia="zh-CN"/>
        </w:rPr>
        <w:t>江苏省泰州市海陵区人民法院</w:t>
      </w:r>
    </w:p>
    <w:p>
      <w:pPr>
        <w:pStyle w:val="3"/>
        <w:widowControl w:val="0"/>
        <w:numPr>
          <w:ilvl w:val="1"/>
          <w:numId w:val="3"/>
        </w:numPr>
        <w:snapToGrid w:val="0"/>
        <w:spacing w:before="240" w:after="120" w:line="360" w:lineRule="auto"/>
        <w:ind w:left="567" w:hanging="6"/>
        <w:rPr>
          <w:rFonts w:ascii="Times New Roman" w:hAnsi="Times New Roman" w:eastAsia="仿宋_GB2312"/>
          <w:b w:val="0"/>
          <w:bCs w:val="0"/>
          <w:sz w:val="28"/>
          <w:szCs w:val="28"/>
        </w:rPr>
      </w:pPr>
      <w:bookmarkStart w:id="49" w:name="_Toc77858021"/>
      <w:bookmarkStart w:id="50" w:name="_Toc382493617"/>
      <w:r>
        <w:rPr>
          <w:rFonts w:ascii="Times New Roman" w:hAnsi="Times New Roman" w:eastAsia="仿宋_GB2312"/>
          <w:sz w:val="28"/>
          <w:szCs w:val="28"/>
        </w:rPr>
        <w:t>房地产估价机构</w:t>
      </w:r>
      <w:bookmarkEnd w:id="48"/>
      <w:bookmarkEnd w:id="49"/>
      <w:bookmarkEnd w:id="50"/>
      <w:r>
        <w:rPr>
          <w:rFonts w:ascii="Times New Roman" w:hAnsi="Times New Roman" w:eastAsia="仿宋_GB2312"/>
          <w:b w:val="0"/>
          <w:bCs w:val="0"/>
          <w:sz w:val="28"/>
          <w:szCs w:val="28"/>
        </w:rPr>
        <w:fldChar w:fldCharType="begin"/>
      </w:r>
      <w:r>
        <w:rPr>
          <w:rFonts w:ascii="Times New Roman" w:hAnsi="Times New Roman" w:eastAsia="仿宋_GB2312"/>
          <w:b w:val="0"/>
          <w:bCs w:val="0"/>
          <w:sz w:val="28"/>
          <w:szCs w:val="28"/>
        </w:rPr>
        <w:instrText xml:space="preserve"> TC "</w:instrText>
      </w:r>
      <w:bookmarkStart w:id="51" w:name="_Toc289260250"/>
      <w:bookmarkStart w:id="52" w:name="_Toc288212019"/>
      <w:r>
        <w:rPr>
          <w:rFonts w:ascii="Times New Roman" w:hAnsi="Times New Roman" w:eastAsia="仿宋_GB2312"/>
          <w:b w:val="0"/>
          <w:bCs w:val="0"/>
          <w:sz w:val="28"/>
          <w:szCs w:val="28"/>
        </w:rPr>
        <w:instrText xml:space="preserve">2、估价机构</w:instrText>
      </w:r>
      <w:bookmarkEnd w:id="51"/>
      <w:bookmarkEnd w:id="52"/>
      <w:r>
        <w:rPr>
          <w:rFonts w:ascii="Times New Roman" w:hAnsi="Times New Roman" w:eastAsia="仿宋_GB2312"/>
          <w:b w:val="0"/>
          <w:bCs w:val="0"/>
          <w:sz w:val="28"/>
          <w:szCs w:val="28"/>
        </w:rPr>
        <w:instrText xml:space="preserve">" \f C \l "2" </w:instrText>
      </w:r>
      <w:r>
        <w:rPr>
          <w:rFonts w:ascii="Times New Roman" w:hAnsi="Times New Roman" w:eastAsia="仿宋_GB2312"/>
          <w:b w:val="0"/>
          <w:bCs w:val="0"/>
          <w:sz w:val="28"/>
          <w:szCs w:val="28"/>
        </w:rPr>
        <w:fldChar w:fldCharType="end"/>
      </w:r>
    </w:p>
    <w:p>
      <w:pPr>
        <w:spacing w:line="480" w:lineRule="exact"/>
        <w:ind w:right="-340" w:firstLine="560" w:firstLineChars="200"/>
        <w:rPr>
          <w:rFonts w:eastAsia="仿宋_GB2312"/>
          <w:caps/>
          <w:sz w:val="28"/>
        </w:rPr>
      </w:pPr>
      <w:r>
        <w:rPr>
          <w:rFonts w:eastAsia="仿宋_GB2312"/>
          <w:sz w:val="28"/>
          <w:szCs w:val="28"/>
        </w:rPr>
        <w:t>单位名称：江苏国衡中测土地房地产资产评估咨询有限公司</w:t>
      </w:r>
    </w:p>
    <w:p>
      <w:pPr>
        <w:spacing w:line="480" w:lineRule="exact"/>
        <w:ind w:right="-340" w:firstLine="560" w:firstLineChars="200"/>
        <w:rPr>
          <w:rFonts w:eastAsia="仿宋_GB2312"/>
          <w:caps/>
          <w:sz w:val="28"/>
        </w:rPr>
      </w:pPr>
      <w:r>
        <w:rPr>
          <w:rFonts w:eastAsia="仿宋_GB2312"/>
          <w:caps/>
          <w:sz w:val="28"/>
        </w:rPr>
        <w:t>住所：南京市浦口区星甸镇</w:t>
      </w:r>
      <w:r>
        <w:rPr>
          <w:rFonts w:hint="eastAsia" w:eastAsia="仿宋_GB2312"/>
          <w:caps/>
          <w:sz w:val="28"/>
        </w:rPr>
        <w:t>育才北路20号-58</w:t>
      </w:r>
    </w:p>
    <w:p>
      <w:pPr>
        <w:spacing w:line="480" w:lineRule="exact"/>
        <w:ind w:right="-340" w:firstLine="560" w:firstLineChars="200"/>
        <w:rPr>
          <w:rFonts w:eastAsia="仿宋_GB2312"/>
          <w:caps/>
          <w:sz w:val="28"/>
        </w:rPr>
      </w:pPr>
      <w:r>
        <w:rPr>
          <w:rFonts w:eastAsia="仿宋_GB2312"/>
          <w:caps/>
          <w:sz w:val="28"/>
        </w:rPr>
        <w:t>房地产估价机构资质证书编号：苏建房估</w:t>
      </w:r>
      <w:r>
        <w:rPr>
          <w:rFonts w:hint="eastAsia" w:eastAsia="仿宋_GB2312"/>
          <w:caps/>
          <w:sz w:val="28"/>
        </w:rPr>
        <w:t>备</w:t>
      </w:r>
      <w:r>
        <w:rPr>
          <w:rFonts w:eastAsia="仿宋_GB2312"/>
          <w:caps/>
          <w:sz w:val="28"/>
        </w:rPr>
        <w:t>（壹）南京00</w:t>
      </w:r>
      <w:r>
        <w:rPr>
          <w:rFonts w:hint="eastAsia" w:eastAsia="仿宋_GB2312"/>
          <w:caps/>
          <w:sz w:val="28"/>
        </w:rPr>
        <w:t>086</w:t>
      </w:r>
    </w:p>
    <w:p>
      <w:pPr>
        <w:spacing w:line="480" w:lineRule="exact"/>
        <w:ind w:right="-340" w:firstLine="560" w:firstLineChars="200"/>
        <w:rPr>
          <w:rFonts w:eastAsia="仿宋_GB2312"/>
          <w:caps/>
          <w:sz w:val="28"/>
        </w:rPr>
      </w:pPr>
      <w:r>
        <w:rPr>
          <w:rFonts w:eastAsia="仿宋_GB2312"/>
          <w:caps/>
          <w:sz w:val="28"/>
        </w:rPr>
        <w:t>资质等级：壹级</w:t>
      </w:r>
    </w:p>
    <w:p>
      <w:pPr>
        <w:spacing w:line="480" w:lineRule="exact"/>
        <w:ind w:right="-340" w:firstLine="560" w:firstLineChars="200"/>
        <w:rPr>
          <w:rFonts w:eastAsia="仿宋_GB2312"/>
          <w:sz w:val="28"/>
          <w:szCs w:val="28"/>
        </w:rPr>
      </w:pPr>
      <w:r>
        <w:rPr>
          <w:rFonts w:eastAsia="仿宋_GB2312"/>
          <w:sz w:val="28"/>
          <w:szCs w:val="28"/>
        </w:rPr>
        <w:t>资质证书有效期：2015年04月08日至20</w:t>
      </w:r>
      <w:r>
        <w:rPr>
          <w:rFonts w:hint="eastAsia" w:eastAsia="仿宋_GB2312"/>
          <w:sz w:val="28"/>
          <w:szCs w:val="28"/>
        </w:rPr>
        <w:t>24</w:t>
      </w:r>
      <w:r>
        <w:rPr>
          <w:rFonts w:eastAsia="仿宋_GB2312"/>
          <w:sz w:val="28"/>
          <w:szCs w:val="28"/>
        </w:rPr>
        <w:t>年06月25日</w:t>
      </w:r>
    </w:p>
    <w:p>
      <w:pPr>
        <w:spacing w:line="480" w:lineRule="exact"/>
        <w:ind w:right="-340" w:firstLine="560" w:firstLineChars="200"/>
        <w:rPr>
          <w:rFonts w:eastAsia="仿宋_GB2312"/>
          <w:sz w:val="28"/>
          <w:szCs w:val="28"/>
        </w:rPr>
      </w:pPr>
      <w:r>
        <w:rPr>
          <w:rFonts w:eastAsia="仿宋_GB2312"/>
          <w:sz w:val="28"/>
          <w:szCs w:val="28"/>
        </w:rPr>
        <w:t>法定代表人：</w:t>
      </w:r>
      <w:r>
        <w:rPr>
          <w:rFonts w:hint="eastAsia" w:eastAsia="仿宋_GB2312"/>
          <w:sz w:val="28"/>
          <w:szCs w:val="28"/>
        </w:rPr>
        <w:t>刘清军</w:t>
      </w:r>
    </w:p>
    <w:p>
      <w:pPr>
        <w:spacing w:line="480" w:lineRule="exact"/>
        <w:ind w:right="-340" w:firstLine="560" w:firstLineChars="200"/>
        <w:rPr>
          <w:rFonts w:eastAsia="仿宋_GB2312"/>
          <w:sz w:val="28"/>
          <w:szCs w:val="28"/>
        </w:rPr>
      </w:pPr>
      <w:r>
        <w:rPr>
          <w:rFonts w:eastAsia="仿宋_GB2312"/>
          <w:sz w:val="28"/>
          <w:szCs w:val="28"/>
        </w:rPr>
        <w:t>泰州分公司负责人：田树军</w:t>
      </w:r>
    </w:p>
    <w:p>
      <w:pPr>
        <w:spacing w:line="480" w:lineRule="exact"/>
        <w:ind w:right="-340" w:firstLine="560" w:firstLineChars="200"/>
        <w:rPr>
          <w:rFonts w:eastAsia="仿宋_GB2312"/>
          <w:sz w:val="28"/>
          <w:szCs w:val="28"/>
        </w:rPr>
      </w:pPr>
      <w:r>
        <w:rPr>
          <w:rFonts w:eastAsia="仿宋_GB2312"/>
          <w:sz w:val="28"/>
          <w:szCs w:val="28"/>
        </w:rPr>
        <w:t>泰州分公司住所：</w:t>
      </w:r>
      <w:r>
        <w:rPr>
          <w:rFonts w:hint="eastAsia" w:eastAsia="仿宋_GB2312"/>
          <w:sz w:val="28"/>
          <w:szCs w:val="28"/>
        </w:rPr>
        <w:t>泰州市鼓楼南路288-5号</w:t>
      </w:r>
    </w:p>
    <w:p>
      <w:pPr>
        <w:spacing w:line="480" w:lineRule="exact"/>
        <w:ind w:right="-340" w:firstLine="560" w:firstLineChars="200"/>
        <w:rPr>
          <w:rFonts w:eastAsia="仿宋_GB2312"/>
          <w:sz w:val="28"/>
          <w:szCs w:val="28"/>
        </w:rPr>
      </w:pPr>
      <w:r>
        <w:rPr>
          <w:rFonts w:eastAsia="仿宋_GB2312"/>
          <w:sz w:val="28"/>
          <w:szCs w:val="28"/>
        </w:rPr>
        <w:t>联系电话：0523-86885792   13337784288</w:t>
      </w:r>
    </w:p>
    <w:p>
      <w:pPr>
        <w:spacing w:line="480" w:lineRule="exact"/>
        <w:ind w:right="-340" w:firstLine="560" w:firstLineChars="200"/>
        <w:rPr>
          <w:rFonts w:eastAsia="仿宋_GB2312"/>
          <w:sz w:val="28"/>
          <w:szCs w:val="28"/>
        </w:rPr>
      </w:pPr>
      <w:r>
        <w:rPr>
          <w:rFonts w:eastAsia="仿宋_GB2312"/>
          <w:sz w:val="28"/>
          <w:szCs w:val="28"/>
        </w:rPr>
        <w:t>邮政编码：225300</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53" w:name="_Toc77858022"/>
      <w:bookmarkStart w:id="54" w:name="_Toc382493619"/>
      <w:bookmarkStart w:id="55" w:name="_Toc155258964"/>
      <w:r>
        <w:rPr>
          <w:rFonts w:ascii="Times New Roman" w:hAnsi="Times New Roman" w:eastAsia="仿宋_GB2312"/>
          <w:sz w:val="28"/>
          <w:szCs w:val="28"/>
        </w:rPr>
        <w:t>估价目的</w:t>
      </w:r>
      <w:bookmarkEnd w:id="53"/>
    </w:p>
    <w:p>
      <w:pPr>
        <w:tabs>
          <w:tab w:val="left" w:pos="993"/>
        </w:tabs>
        <w:snapToGrid w:val="0"/>
        <w:spacing w:line="480" w:lineRule="exact"/>
        <w:ind w:firstLine="582" w:firstLineChars="208"/>
        <w:jc w:val="both"/>
        <w:rPr>
          <w:rFonts w:eastAsia="仿宋_GB2312"/>
          <w:sz w:val="28"/>
          <w:szCs w:val="28"/>
        </w:rPr>
      </w:pPr>
      <w:r>
        <w:rPr>
          <w:rFonts w:hint="eastAsia" w:eastAsia="仿宋_GB2312"/>
          <w:sz w:val="28"/>
          <w:szCs w:val="28"/>
        </w:rPr>
        <w:t>为人民法院确定财产处置参考价提供参考依据。</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56" w:name="_Toc77858023"/>
      <w:r>
        <w:rPr>
          <w:rFonts w:ascii="Times New Roman" w:hAnsi="Times New Roman" w:eastAsia="仿宋_GB2312"/>
          <w:sz w:val="28"/>
          <w:szCs w:val="28"/>
        </w:rPr>
        <w:t>估价对象</w:t>
      </w:r>
      <w:bookmarkEnd w:id="54"/>
      <w:bookmarkEnd w:id="56"/>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57" w:name="_Toc288212021"/>
      <w:bookmarkStart w:id="58" w:name="_Toc289260252"/>
      <w:r>
        <w:rPr>
          <w:rFonts w:ascii="Times New Roman" w:hAnsi="Times New Roman" w:eastAsia="仿宋_GB2312"/>
          <w:sz w:val="28"/>
          <w:szCs w:val="28"/>
        </w:rPr>
        <w:instrText xml:space="preserve">4、估价对象</w:instrText>
      </w:r>
      <w:bookmarkEnd w:id="57"/>
      <w:bookmarkEnd w:id="58"/>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adjustRightInd w:val="0"/>
        <w:snapToGrid w:val="0"/>
        <w:spacing w:line="480" w:lineRule="exact"/>
        <w:ind w:firstLine="562" w:firstLineChars="200"/>
        <w:rPr>
          <w:rFonts w:eastAsia="仿宋_GB2312"/>
          <w:sz w:val="28"/>
          <w:szCs w:val="28"/>
        </w:rPr>
      </w:pPr>
      <w:bookmarkStart w:id="59" w:name="_Toc383068139"/>
      <w:bookmarkStart w:id="60" w:name="_Toc382493620"/>
      <w:bookmarkStart w:id="61" w:name="_Toc387827692"/>
      <w:bookmarkStart w:id="62" w:name="_Toc384813581"/>
      <w:r>
        <w:rPr>
          <w:rFonts w:eastAsia="仿宋_GB2312"/>
          <w:b/>
          <w:sz w:val="28"/>
          <w:szCs w:val="28"/>
        </w:rPr>
        <w:t>1.估价对象范围及基本状况</w:t>
      </w:r>
    </w:p>
    <w:p>
      <w:pPr>
        <w:tabs>
          <w:tab w:val="left" w:pos="993"/>
        </w:tabs>
        <w:snapToGrid w:val="0"/>
        <w:spacing w:line="480" w:lineRule="exact"/>
        <w:ind w:firstLine="582" w:firstLineChars="208"/>
        <w:jc w:val="both"/>
        <w:rPr>
          <w:rFonts w:eastAsia="仿宋_GB2312"/>
          <w:sz w:val="28"/>
          <w:szCs w:val="28"/>
        </w:rPr>
      </w:pPr>
      <w:r>
        <w:rPr>
          <w:rFonts w:eastAsia="仿宋_GB2312"/>
          <w:sz w:val="28"/>
          <w:szCs w:val="28"/>
        </w:rPr>
        <w:t>估价对象位于</w:t>
      </w:r>
      <w:r>
        <w:rPr>
          <w:rFonts w:hint="eastAsia" w:eastAsia="仿宋_GB2312"/>
          <w:sz w:val="28"/>
          <w:szCs w:val="28"/>
          <w:lang w:eastAsia="zh-CN"/>
        </w:rPr>
        <w:t>泰州市高港区中建锦绣珑湾43号楼205室</w:t>
      </w:r>
      <w:r>
        <w:rPr>
          <w:rFonts w:eastAsia="仿宋_GB2312"/>
          <w:sz w:val="28"/>
          <w:szCs w:val="28"/>
        </w:rPr>
        <w:t>。</w:t>
      </w:r>
    </w:p>
    <w:p>
      <w:pPr>
        <w:shd w:val="clear"/>
        <w:snapToGrid w:val="0"/>
        <w:spacing w:line="480" w:lineRule="exact"/>
        <w:ind w:firstLine="582" w:firstLineChars="208"/>
        <w:jc w:val="both"/>
        <w:rPr>
          <w:rFonts w:eastAsia="仿宋_GB2312"/>
          <w:sz w:val="28"/>
          <w:szCs w:val="28"/>
          <w:highlight w:val="none"/>
        </w:rPr>
      </w:pPr>
      <w:r>
        <w:rPr>
          <w:rFonts w:eastAsia="仿宋_GB2312"/>
          <w:sz w:val="28"/>
          <w:szCs w:val="28"/>
          <w:highlight w:val="none"/>
        </w:rPr>
        <w:t>根据委托人提供的</w:t>
      </w:r>
      <w:r>
        <w:rPr>
          <w:rFonts w:hint="eastAsia" w:eastAsia="仿宋_GB2312"/>
          <w:sz w:val="28"/>
          <w:szCs w:val="28"/>
          <w:highlight w:val="none"/>
        </w:rPr>
        <w:t>《</w:t>
      </w:r>
      <w:r>
        <w:rPr>
          <w:rFonts w:hint="eastAsia" w:eastAsia="仿宋_GB2312"/>
          <w:sz w:val="28"/>
          <w:szCs w:val="28"/>
          <w:highlight w:val="none"/>
          <w:lang w:eastAsia="zh-CN"/>
        </w:rPr>
        <w:t>房地产权结果信息一览表</w:t>
      </w:r>
      <w:r>
        <w:rPr>
          <w:rFonts w:hint="eastAsia" w:eastAsia="仿宋_GB2312"/>
          <w:sz w:val="28"/>
          <w:szCs w:val="28"/>
          <w:highlight w:val="none"/>
        </w:rPr>
        <w:t>》</w:t>
      </w:r>
      <w:r>
        <w:rPr>
          <w:rFonts w:hint="eastAsia" w:eastAsia="仿宋_GB2312"/>
          <w:sz w:val="28"/>
          <w:szCs w:val="28"/>
          <w:highlight w:val="none"/>
          <w:lang w:val="en-US" w:eastAsia="zh-CN"/>
        </w:rPr>
        <w:t>和</w:t>
      </w:r>
      <w:r>
        <w:rPr>
          <w:rFonts w:hint="eastAsia" w:eastAsia="仿宋_GB2312"/>
          <w:sz w:val="28"/>
          <w:szCs w:val="28"/>
          <w:lang w:eastAsia="zh-CN"/>
        </w:rPr>
        <w:t>《房屋分户面积测量报告书》</w:t>
      </w:r>
      <w:r>
        <w:rPr>
          <w:rFonts w:hint="eastAsia" w:eastAsia="仿宋_GB2312"/>
          <w:sz w:val="28"/>
          <w:szCs w:val="28"/>
          <w:highlight w:val="none"/>
        </w:rPr>
        <w:t>，</w:t>
      </w:r>
      <w:r>
        <w:rPr>
          <w:rFonts w:hint="eastAsia" w:eastAsia="仿宋_GB2312"/>
          <w:color w:val="000000"/>
          <w:sz w:val="28"/>
          <w:szCs w:val="28"/>
          <w:highlight w:val="none"/>
        </w:rPr>
        <w:t>房屋建筑面积为</w:t>
      </w:r>
      <w:r>
        <w:rPr>
          <w:rFonts w:hint="eastAsia" w:eastAsia="仿宋_GB2312"/>
          <w:color w:val="000000"/>
          <w:sz w:val="28"/>
          <w:szCs w:val="28"/>
          <w:highlight w:val="none"/>
          <w:lang w:val="en-US" w:eastAsia="zh-CN"/>
        </w:rPr>
        <w:t>126.46</w:t>
      </w:r>
      <w:r>
        <w:rPr>
          <w:rFonts w:hint="eastAsia" w:eastAsia="仿宋_GB2312"/>
          <w:color w:val="000000"/>
          <w:sz w:val="28"/>
          <w:szCs w:val="28"/>
          <w:highlight w:val="none"/>
        </w:rPr>
        <w:t>平方米。</w:t>
      </w:r>
      <w:r>
        <w:rPr>
          <w:rFonts w:eastAsia="仿宋_GB2312"/>
          <w:sz w:val="28"/>
          <w:szCs w:val="28"/>
          <w:highlight w:val="none"/>
        </w:rPr>
        <w:t>规划用途为</w:t>
      </w:r>
      <w:r>
        <w:rPr>
          <w:rFonts w:hint="eastAsia" w:eastAsia="仿宋_GB2312"/>
          <w:sz w:val="28"/>
          <w:szCs w:val="28"/>
          <w:highlight w:val="none"/>
        </w:rPr>
        <w:t>住宅</w:t>
      </w:r>
      <w:r>
        <w:rPr>
          <w:rFonts w:eastAsia="仿宋_GB2312"/>
          <w:sz w:val="28"/>
          <w:szCs w:val="28"/>
          <w:highlight w:val="none"/>
        </w:rPr>
        <w:t>，实际用途为</w:t>
      </w:r>
      <w:r>
        <w:rPr>
          <w:rFonts w:hint="eastAsia" w:eastAsia="仿宋_GB2312"/>
          <w:sz w:val="28"/>
          <w:szCs w:val="28"/>
          <w:highlight w:val="none"/>
        </w:rPr>
        <w:t>住宅。</w:t>
      </w:r>
    </w:p>
    <w:p>
      <w:pPr>
        <w:snapToGrid w:val="0"/>
        <w:spacing w:line="480" w:lineRule="exact"/>
        <w:ind w:firstLine="582" w:firstLineChars="208"/>
        <w:jc w:val="both"/>
        <w:rPr>
          <w:rFonts w:eastAsia="仿宋_GB2312"/>
          <w:sz w:val="28"/>
          <w:szCs w:val="28"/>
        </w:rPr>
      </w:pPr>
    </w:p>
    <w:p>
      <w:pPr>
        <w:snapToGrid w:val="0"/>
        <w:spacing w:line="480" w:lineRule="exact"/>
        <w:ind w:firstLine="582" w:firstLineChars="208"/>
        <w:jc w:val="both"/>
        <w:rPr>
          <w:rFonts w:hint="eastAsia" w:eastAsia="仿宋_GB2312"/>
          <w:sz w:val="28"/>
          <w:szCs w:val="28"/>
          <w:lang w:val="en-US" w:eastAsia="zh-CN"/>
        </w:rPr>
      </w:pPr>
      <w:r>
        <w:rPr>
          <w:rFonts w:hint="eastAsia" w:eastAsia="仿宋_GB2312"/>
          <w:sz w:val="28"/>
          <w:szCs w:val="28"/>
          <w:lang w:val="en-US" w:eastAsia="zh-CN"/>
        </w:rPr>
        <w:t>具体估价范围如下：</w:t>
      </w:r>
    </w:p>
    <w:p>
      <w:pPr>
        <w:snapToGrid w:val="0"/>
        <w:spacing w:line="480" w:lineRule="exact"/>
        <w:ind w:firstLine="582" w:firstLineChars="208"/>
        <w:jc w:val="both"/>
        <w:rPr>
          <w:rFonts w:eastAsia="仿宋_GB2312"/>
          <w:sz w:val="28"/>
          <w:szCs w:val="28"/>
        </w:rPr>
      </w:pPr>
      <w:r>
        <w:rPr>
          <w:rFonts w:hint="eastAsia" w:eastAsia="仿宋_GB2312"/>
          <w:sz w:val="28"/>
          <w:szCs w:val="28"/>
          <w:lang w:val="en-US" w:eastAsia="zh-CN"/>
        </w:rPr>
        <w:t>（1）住宅房地产：</w:t>
      </w:r>
    </w:p>
    <w:tbl>
      <w:tblPr>
        <w:tblStyle w:val="4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2096"/>
        <w:gridCol w:w="1476"/>
        <w:gridCol w:w="195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77"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坐落</w:t>
            </w:r>
          </w:p>
        </w:tc>
        <w:tc>
          <w:tcPr>
            <w:tcW w:w="1146"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规划用途</w:t>
            </w:r>
          </w:p>
        </w:tc>
        <w:tc>
          <w:tcPr>
            <w:tcW w:w="807" w:type="pct"/>
            <w:shd w:val="clear" w:color="auto" w:fill="auto"/>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所在楼层/总楼层</w:t>
            </w:r>
          </w:p>
        </w:tc>
        <w:tc>
          <w:tcPr>
            <w:tcW w:w="1068"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建筑面积（㎡）</w:t>
            </w:r>
          </w:p>
        </w:tc>
        <w:tc>
          <w:tcPr>
            <w:tcW w:w="799" w:type="pct"/>
            <w:shd w:val="clear" w:color="auto" w:fill="auto"/>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土地终止日期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77"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泰州市高港区中建锦绣珑湾43号楼205室</w:t>
            </w:r>
          </w:p>
        </w:tc>
        <w:tc>
          <w:tcPr>
            <w:tcW w:w="1146"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住宅</w:t>
            </w:r>
          </w:p>
        </w:tc>
        <w:tc>
          <w:tcPr>
            <w:tcW w:w="807" w:type="pct"/>
            <w:shd w:val="clear" w:color="auto" w:fill="auto"/>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1068"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126.46</w:t>
            </w:r>
          </w:p>
        </w:tc>
        <w:tc>
          <w:tcPr>
            <w:tcW w:w="799" w:type="pct"/>
            <w:shd w:val="clear" w:color="auto" w:fill="auto"/>
            <w:vAlign w:val="center"/>
          </w:tcPr>
          <w:p>
            <w:pPr>
              <w:spacing w:line="240" w:lineRule="exact"/>
              <w:jc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2083-03-30</w:t>
            </w:r>
          </w:p>
        </w:tc>
      </w:tr>
      <w:bookmarkEnd w:id="55"/>
      <w:bookmarkEnd w:id="59"/>
      <w:bookmarkEnd w:id="60"/>
      <w:bookmarkEnd w:id="61"/>
      <w:bookmarkEnd w:id="62"/>
    </w:tbl>
    <w:p>
      <w:pPr>
        <w:snapToGrid w:val="0"/>
        <w:spacing w:line="480" w:lineRule="exact"/>
        <w:ind w:firstLine="560" w:firstLineChars="200"/>
        <w:jc w:val="both"/>
        <w:rPr>
          <w:rFonts w:hint="default" w:eastAsia="仿宋_GB2312"/>
          <w:sz w:val="28"/>
          <w:szCs w:val="28"/>
          <w:highlight w:val="none"/>
          <w:lang w:val="en-US" w:eastAsia="zh-CN"/>
        </w:rPr>
      </w:pPr>
      <w:bookmarkStart w:id="63" w:name="_Toc155258965"/>
      <w:r>
        <w:rPr>
          <w:rFonts w:hint="eastAsia" w:eastAsia="仿宋_GB2312"/>
          <w:sz w:val="28"/>
          <w:szCs w:val="28"/>
          <w:highlight w:val="none"/>
          <w:lang w:eastAsia="zh-CN"/>
        </w:rPr>
        <w:t>（</w:t>
      </w:r>
      <w:r>
        <w:rPr>
          <w:rFonts w:hint="eastAsia" w:eastAsia="仿宋_GB2312"/>
          <w:sz w:val="28"/>
          <w:szCs w:val="28"/>
          <w:highlight w:val="none"/>
          <w:lang w:val="en-US" w:eastAsia="zh-CN"/>
        </w:rPr>
        <w:t>2</w:t>
      </w:r>
      <w:r>
        <w:rPr>
          <w:rFonts w:hint="eastAsia" w:eastAsia="仿宋_GB2312"/>
          <w:sz w:val="28"/>
          <w:szCs w:val="28"/>
          <w:highlight w:val="none"/>
          <w:lang w:eastAsia="zh-CN"/>
        </w:rPr>
        <w:t>）</w:t>
      </w:r>
      <w:r>
        <w:rPr>
          <w:rFonts w:hint="eastAsia" w:eastAsia="仿宋_GB2312"/>
          <w:sz w:val="28"/>
          <w:szCs w:val="28"/>
          <w:highlight w:val="none"/>
          <w:lang w:val="en-US" w:eastAsia="zh-CN"/>
        </w:rPr>
        <w:t>附属装潢：</w:t>
      </w:r>
    </w:p>
    <w:tbl>
      <w:tblPr>
        <w:tblStyle w:val="47"/>
        <w:tblW w:w="4998" w:type="pct"/>
        <w:tblInd w:w="0" w:type="dxa"/>
        <w:shd w:val="clear" w:color="auto" w:fill="auto"/>
        <w:tblLayout w:type="autofit"/>
        <w:tblCellMar>
          <w:top w:w="0" w:type="dxa"/>
          <w:left w:w="0" w:type="dxa"/>
          <w:bottom w:w="0" w:type="dxa"/>
          <w:right w:w="0" w:type="dxa"/>
        </w:tblCellMar>
      </w:tblPr>
      <w:tblGrid>
        <w:gridCol w:w="2353"/>
        <w:gridCol w:w="858"/>
        <w:gridCol w:w="3575"/>
        <w:gridCol w:w="837"/>
        <w:gridCol w:w="1333"/>
      </w:tblGrid>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室号</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项目名称</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单位</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厨房</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24.01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餐厅</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7.47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7.47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8.55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4.16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4.16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3号-东北房间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8.25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8.25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防盗栏（不锈钢）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水泥搁</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卫生间1</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同质砖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2.71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15.18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排风扇</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座便器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水嘴（三联）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不锈钢毛巾架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副</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卫生间1外洗手台</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石膏板天棚</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整体洗脸池</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5.50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1号房-东南房间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23.61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23.61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4.44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2.40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卫生间2-东南房内卫生间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同质砖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4.77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集成吊顶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4.77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浴霸</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磨砂玻璃移门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3.89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0.70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整体洗脸池</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不锈钢毛巾架</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副</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水嘴（三联）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座便器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座</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花瓷砖贴面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22.59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客厅及门厅</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37.38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26.00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25.20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52.50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7.35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防盗门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电视背景墙</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风管送风式空调机组</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阳台</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抛光砖</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4.34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6.27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13.64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水嘴（单联）</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瓷砖踢脚线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6.70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钢化玻璃雨篷（不锈钢龙骨）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1.85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2号房-西房间</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复合木地板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10.89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凹凸吊顶（石膏板）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10.89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94</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吸顶灯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筒灯</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断桥铝窗</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大理石窗台板</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落地窗帘</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3.25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实木门</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樘</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木门、窗套（双面）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6.00 </w:t>
            </w:r>
          </w:p>
        </w:tc>
      </w:tr>
      <w:tr>
        <w:tblPrEx>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101</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乳胶漆墙面</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33.66 </w:t>
            </w:r>
          </w:p>
        </w:tc>
      </w:tr>
      <w:tr>
        <w:tblPrEx>
          <w:shd w:val="clear" w:color="auto" w:fill="auto"/>
          <w:tblCellMar>
            <w:top w:w="0" w:type="dxa"/>
            <w:left w:w="0" w:type="dxa"/>
            <w:bottom w:w="0" w:type="dxa"/>
            <w:right w:w="0" w:type="dxa"/>
          </w:tblCellMar>
        </w:tblPrEx>
        <w:trPr>
          <w:trHeight w:val="255" w:hRule="atLeast"/>
        </w:trPr>
        <w:tc>
          <w:tcPr>
            <w:tcW w:w="1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102</w:t>
            </w:r>
          </w:p>
        </w:tc>
        <w:tc>
          <w:tcPr>
            <w:tcW w:w="19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装修水电工料补差</w:t>
            </w:r>
          </w:p>
        </w:tc>
        <w:tc>
          <w:tcPr>
            <w:tcW w:w="4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m²</w:t>
            </w:r>
          </w:p>
        </w:tc>
        <w:tc>
          <w:tcPr>
            <w:tcW w:w="74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126.46 </w:t>
            </w:r>
          </w:p>
        </w:tc>
      </w:tr>
    </w:tbl>
    <w:p>
      <w:pPr>
        <w:snapToGrid w:val="0"/>
        <w:spacing w:line="480" w:lineRule="exact"/>
        <w:ind w:firstLine="562" w:firstLineChars="200"/>
        <w:jc w:val="both"/>
        <w:rPr>
          <w:rFonts w:eastAsia="仿宋_GB2312"/>
          <w:b/>
          <w:caps/>
          <w:sz w:val="28"/>
          <w:szCs w:val="28"/>
        </w:rPr>
      </w:pPr>
      <w:r>
        <w:rPr>
          <w:rFonts w:eastAsia="仿宋_GB2312"/>
          <w:b/>
          <w:caps/>
          <w:sz w:val="28"/>
          <w:szCs w:val="28"/>
        </w:rPr>
        <w:t>2.土地基本状况</w:t>
      </w:r>
    </w:p>
    <w:tbl>
      <w:tblPr>
        <w:tblStyle w:val="47"/>
        <w:tblW w:w="50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1669"/>
        <w:gridCol w:w="1196"/>
        <w:gridCol w:w="1559"/>
        <w:gridCol w:w="774"/>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22"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bCs/>
                <w:sz w:val="18"/>
                <w:szCs w:val="18"/>
              </w:rPr>
              <w:t>估价对象地址</w:t>
            </w:r>
          </w:p>
        </w:tc>
        <w:tc>
          <w:tcPr>
            <w:tcW w:w="899"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土地座落</w:t>
            </w:r>
          </w:p>
        </w:tc>
        <w:tc>
          <w:tcPr>
            <w:tcW w:w="644"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设定土地用途</w:t>
            </w:r>
          </w:p>
        </w:tc>
        <w:tc>
          <w:tcPr>
            <w:tcW w:w="840"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土地使用年限</w:t>
            </w:r>
          </w:p>
        </w:tc>
        <w:tc>
          <w:tcPr>
            <w:tcW w:w="417"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宗地形状</w:t>
            </w:r>
          </w:p>
        </w:tc>
        <w:tc>
          <w:tcPr>
            <w:tcW w:w="1275"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土地开发程度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22" w:type="pct"/>
            <w:shd w:val="clear" w:color="auto" w:fill="auto"/>
            <w:vAlign w:val="center"/>
          </w:tcPr>
          <w:p>
            <w:pPr>
              <w:adjustRightInd w:val="0"/>
              <w:snapToGrid w:val="0"/>
              <w:spacing w:line="240" w:lineRule="exact"/>
              <w:jc w:val="center"/>
              <w:rPr>
                <w:rFonts w:hint="eastAsia" w:ascii="宋体" w:hAnsi="宋体" w:eastAsia="宋体" w:cs="宋体"/>
                <w:caps/>
                <w:sz w:val="18"/>
                <w:szCs w:val="18"/>
                <w:lang w:eastAsia="zh-CN"/>
              </w:rPr>
            </w:pPr>
            <w:r>
              <w:rPr>
                <w:rFonts w:hint="eastAsia" w:ascii="宋体" w:hAnsi="宋体" w:cs="宋体"/>
                <w:caps/>
                <w:sz w:val="18"/>
                <w:szCs w:val="18"/>
                <w:lang w:eastAsia="zh-CN"/>
              </w:rPr>
              <w:t>泰州市高港区中建锦绣珑湾43号楼205室</w:t>
            </w:r>
          </w:p>
        </w:tc>
        <w:tc>
          <w:tcPr>
            <w:tcW w:w="899" w:type="pct"/>
            <w:shd w:val="clear" w:color="auto" w:fill="auto"/>
            <w:vAlign w:val="center"/>
          </w:tcPr>
          <w:p>
            <w:pPr>
              <w:adjustRightInd w:val="0"/>
              <w:snapToGrid w:val="0"/>
              <w:spacing w:line="240" w:lineRule="exact"/>
              <w:jc w:val="center"/>
              <w:rPr>
                <w:rFonts w:hint="eastAsia" w:ascii="宋体" w:hAnsi="宋体" w:eastAsia="宋体" w:cs="宋体"/>
                <w:caps/>
                <w:sz w:val="18"/>
                <w:szCs w:val="18"/>
                <w:lang w:eastAsia="zh-CN"/>
              </w:rPr>
            </w:pPr>
            <w:r>
              <w:rPr>
                <w:rFonts w:hint="eastAsia" w:ascii="宋体" w:hAnsi="宋体" w:cs="宋体"/>
                <w:sz w:val="18"/>
                <w:szCs w:val="18"/>
              </w:rPr>
              <w:t>所在小区</w:t>
            </w:r>
            <w:r>
              <w:rPr>
                <w:rFonts w:hint="eastAsia" w:ascii="宋体" w:hAnsi="宋体" w:cs="宋体"/>
                <w:sz w:val="18"/>
                <w:szCs w:val="18"/>
                <w:lang w:eastAsia="zh-CN"/>
              </w:rPr>
              <w:t>北至道路、南至河流、西至扬子江北路、东至王营路</w:t>
            </w:r>
          </w:p>
        </w:tc>
        <w:tc>
          <w:tcPr>
            <w:tcW w:w="644" w:type="pct"/>
            <w:shd w:val="clear" w:color="auto" w:fill="auto"/>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住宅</w:t>
            </w:r>
          </w:p>
        </w:tc>
        <w:tc>
          <w:tcPr>
            <w:tcW w:w="840" w:type="pct"/>
            <w:shd w:val="clear" w:color="auto" w:fill="auto"/>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lang w:eastAsia="zh-CN"/>
              </w:rPr>
              <w:t>2083-03-30</w:t>
            </w:r>
            <w:r>
              <w:rPr>
                <w:rFonts w:hint="eastAsia" w:ascii="宋体" w:hAnsi="宋体" w:cs="宋体"/>
                <w:sz w:val="18"/>
                <w:szCs w:val="18"/>
              </w:rPr>
              <w:t>日止</w:t>
            </w:r>
          </w:p>
        </w:tc>
        <w:tc>
          <w:tcPr>
            <w:tcW w:w="417"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caps/>
                <w:sz w:val="18"/>
                <w:szCs w:val="18"/>
              </w:rPr>
              <w:t>较规则</w:t>
            </w:r>
          </w:p>
        </w:tc>
        <w:tc>
          <w:tcPr>
            <w:tcW w:w="1275"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caps/>
                <w:sz w:val="18"/>
                <w:szCs w:val="18"/>
              </w:rPr>
              <w:t>宗地</w:t>
            </w:r>
            <w:r>
              <w:rPr>
                <w:rFonts w:hint="eastAsia" w:ascii="宋体" w:hAnsi="宋体" w:cs="宋体"/>
                <w:caps/>
                <w:sz w:val="18"/>
                <w:szCs w:val="18"/>
                <w:shd w:val="clear"/>
              </w:rPr>
              <w:t>红线内外“</w:t>
            </w:r>
            <w:r>
              <w:rPr>
                <w:rFonts w:hint="eastAsia" w:ascii="宋体" w:hAnsi="宋体" w:cs="宋体"/>
                <w:caps/>
                <w:sz w:val="18"/>
                <w:szCs w:val="18"/>
                <w:shd w:val="clear"/>
                <w:lang w:eastAsia="zh-CN"/>
              </w:rPr>
              <w:t>六通</w:t>
            </w:r>
            <w:r>
              <w:rPr>
                <w:rFonts w:hint="eastAsia" w:ascii="宋体" w:hAnsi="宋体" w:cs="宋体"/>
                <w:caps/>
                <w:sz w:val="18"/>
                <w:szCs w:val="18"/>
                <w:shd w:val="clear"/>
              </w:rPr>
              <w:t>”及红线内场地平整，宗地内建有估价对象建筑物</w:t>
            </w:r>
          </w:p>
        </w:tc>
      </w:tr>
    </w:tbl>
    <w:p>
      <w:pPr>
        <w:snapToGrid w:val="0"/>
        <w:spacing w:line="480" w:lineRule="exact"/>
        <w:ind w:firstLine="562" w:firstLineChars="200"/>
        <w:jc w:val="both"/>
        <w:rPr>
          <w:rFonts w:eastAsia="仿宋_GB2312"/>
          <w:b/>
          <w:caps/>
          <w:sz w:val="28"/>
          <w:szCs w:val="28"/>
        </w:rPr>
      </w:pPr>
      <w:r>
        <w:rPr>
          <w:rFonts w:hint="eastAsia" w:eastAsia="仿宋_GB2312"/>
          <w:b/>
          <w:caps/>
          <w:sz w:val="28"/>
          <w:szCs w:val="28"/>
        </w:rPr>
        <w:t>3.</w:t>
      </w:r>
      <w:r>
        <w:rPr>
          <w:rFonts w:eastAsia="仿宋_GB2312"/>
          <w:b/>
          <w:caps/>
          <w:sz w:val="28"/>
          <w:szCs w:val="28"/>
        </w:rPr>
        <w:t>建筑物基本情况</w:t>
      </w:r>
    </w:p>
    <w:tbl>
      <w:tblPr>
        <w:tblStyle w:val="47"/>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14"/>
        <w:gridCol w:w="1380"/>
        <w:gridCol w:w="3641"/>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r>
              <w:rPr>
                <w:rFonts w:hint="eastAsia" w:ascii="宋体" w:hAnsi="宋体" w:cs="宋体"/>
                <w:b/>
                <w:bCs/>
                <w:color w:val="000000"/>
                <w:sz w:val="18"/>
                <w:szCs w:val="18"/>
              </w:rPr>
              <w:t>地址</w:t>
            </w:r>
          </w:p>
        </w:tc>
        <w:tc>
          <w:tcPr>
            <w:tcW w:w="7459" w:type="dxa"/>
            <w:gridSpan w:val="3"/>
            <w:shd w:val="clear" w:color="auto" w:fill="auto"/>
            <w:vAlign w:val="center"/>
          </w:tcPr>
          <w:p>
            <w:pPr>
              <w:adjustRightInd w:val="0"/>
              <w:snapToGrid w:val="0"/>
              <w:jc w:val="center"/>
              <w:rPr>
                <w:rFonts w:hint="eastAsia" w:ascii="宋体" w:hAnsi="宋体" w:eastAsia="宋体" w:cs="宋体"/>
                <w:b/>
                <w:caps/>
                <w:color w:val="000000"/>
                <w:sz w:val="18"/>
                <w:szCs w:val="18"/>
                <w:lang w:eastAsia="zh-CN"/>
              </w:rPr>
            </w:pPr>
            <w:r>
              <w:rPr>
                <w:rFonts w:hint="eastAsia" w:ascii="宋体" w:hAnsi="宋体" w:cs="宋体"/>
                <w:caps/>
                <w:sz w:val="18"/>
                <w:szCs w:val="18"/>
                <w:lang w:eastAsia="zh-CN"/>
              </w:rPr>
              <w:t>泰州市高港区中建锦绣珑湾43号楼205室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2"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建筑面积</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lang w:val="en-US" w:eastAsia="zh-CN"/>
              </w:rPr>
              <w:t>126.46</w:t>
            </w:r>
            <w:r>
              <w:rPr>
                <w:rFonts w:hint="eastAsia" w:ascii="宋体" w:hAnsi="宋体" w:cs="宋体"/>
                <w:color w:val="00000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实际用途</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目前使用状况</w:t>
            </w:r>
          </w:p>
        </w:tc>
        <w:tc>
          <w:tcPr>
            <w:tcW w:w="7459" w:type="dxa"/>
            <w:gridSpan w:val="3"/>
            <w:shd w:val="clear" w:color="auto" w:fill="auto"/>
            <w:vAlign w:val="center"/>
          </w:tcPr>
          <w:p>
            <w:pPr>
              <w:adjustRightInd w:val="0"/>
              <w:snapToGrid w:val="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建筑结构及层数</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lang w:val="en-US" w:eastAsia="zh-CN"/>
              </w:rPr>
              <w:t>钢混</w:t>
            </w:r>
            <w:r>
              <w:rPr>
                <w:rFonts w:hint="eastAsia" w:ascii="宋体" w:hAnsi="宋体" w:cs="宋体"/>
                <w:color w:val="000000"/>
                <w:sz w:val="18"/>
                <w:szCs w:val="18"/>
              </w:rPr>
              <w:t>，</w:t>
            </w:r>
            <w:r>
              <w:rPr>
                <w:rFonts w:hint="eastAsia" w:ascii="宋体" w:hAnsi="宋体" w:cs="宋体"/>
                <w:color w:val="000000"/>
                <w:sz w:val="18"/>
                <w:szCs w:val="18"/>
                <w:lang w:val="en-US" w:eastAsia="zh-CN"/>
              </w:rPr>
              <w:t>6</w:t>
            </w:r>
            <w:r>
              <w:rPr>
                <w:rFonts w:hint="eastAsia" w:ascii="宋体" w:hAnsi="宋体" w:cs="宋体"/>
                <w:color w:val="000000"/>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2"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层高（净高）</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约</w:t>
            </w:r>
            <w:r>
              <w:rPr>
                <w:rFonts w:hint="eastAsia" w:ascii="宋体" w:hAnsi="宋体" w:cs="宋体"/>
                <w:color w:val="000000"/>
                <w:sz w:val="18"/>
                <w:szCs w:val="18"/>
                <w:lang w:val="en-US" w:eastAsia="zh-CN"/>
              </w:rPr>
              <w:t>2.75</w:t>
            </w:r>
            <w:r>
              <w:rPr>
                <w:rFonts w:hint="eastAsia" w:ascii="宋体" w:hAnsi="宋体" w:cs="宋体"/>
                <w:color w:val="00000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814" w:type="dxa"/>
            <w:shd w:val="clear" w:color="auto" w:fill="auto"/>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空间布局</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设施设备</w:t>
            </w:r>
          </w:p>
        </w:tc>
        <w:tc>
          <w:tcPr>
            <w:tcW w:w="7459" w:type="dxa"/>
            <w:gridSpan w:val="3"/>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水</w:t>
            </w:r>
            <w:r>
              <w:rPr>
                <w:rFonts w:hint="eastAsia" w:ascii="宋体" w:hAnsi="宋体" w:cs="宋体"/>
                <w:color w:val="000000"/>
                <w:sz w:val="18"/>
                <w:szCs w:val="18"/>
                <w:lang w:eastAsia="zh-CN"/>
              </w:rPr>
              <w:t>、</w:t>
            </w:r>
            <w:r>
              <w:rPr>
                <w:rFonts w:hint="eastAsia" w:ascii="宋体" w:hAnsi="宋体" w:cs="宋体"/>
                <w:color w:val="000000"/>
                <w:sz w:val="18"/>
                <w:szCs w:val="18"/>
              </w:rPr>
              <w:t>电</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电梯</w:t>
            </w:r>
            <w:r>
              <w:rPr>
                <w:rFonts w:hint="eastAsia" w:ascii="宋体" w:hAnsi="宋体" w:cs="宋体"/>
                <w:color w:val="000000"/>
                <w:sz w:val="18"/>
                <w:szCs w:val="18"/>
              </w:rPr>
              <w:t>等设施设备齐全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1814" w:type="dxa"/>
            <w:vMerge w:val="restart"/>
            <w:shd w:val="clear" w:color="auto" w:fill="auto"/>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室内格局及装饰装修情况</w:t>
            </w:r>
          </w:p>
        </w:tc>
        <w:tc>
          <w:tcPr>
            <w:tcW w:w="5021" w:type="dxa"/>
            <w:gridSpan w:val="2"/>
            <w:shd w:val="clear" w:color="auto" w:fill="auto"/>
            <w:vAlign w:val="center"/>
          </w:tcPr>
          <w:p>
            <w:pPr>
              <w:adjustRightInd w:val="0"/>
              <w:snapToGrid w:val="0"/>
              <w:jc w:val="center"/>
              <w:rPr>
                <w:rFonts w:hint="eastAsia" w:ascii="宋体" w:hAnsi="宋体" w:eastAsia="宋体" w:cs="宋体"/>
                <w:b/>
                <w:bCs/>
                <w:color w:val="000000"/>
                <w:sz w:val="18"/>
                <w:szCs w:val="18"/>
                <w:highlight w:val="red"/>
                <w:lang w:val="en-US" w:eastAsia="zh-CN"/>
              </w:rPr>
            </w:pPr>
            <w:r>
              <w:rPr>
                <w:rFonts w:hint="eastAsia" w:ascii="宋体" w:hAnsi="宋体" w:cs="宋体"/>
                <w:b/>
                <w:bCs/>
                <w:color w:val="000000"/>
                <w:sz w:val="18"/>
                <w:szCs w:val="18"/>
                <w:highlight w:val="none"/>
              </w:rPr>
              <w:t>格局：</w:t>
            </w:r>
            <w:r>
              <w:rPr>
                <w:rFonts w:hint="eastAsia" w:ascii="宋体" w:hAnsi="宋体" w:cs="宋体"/>
                <w:b/>
                <w:bCs/>
                <w:color w:val="000000"/>
                <w:sz w:val="18"/>
                <w:szCs w:val="18"/>
                <w:highlight w:val="none"/>
                <w:lang w:val="en-US" w:eastAsia="zh-CN"/>
              </w:rPr>
              <w:t>三</w:t>
            </w:r>
            <w:r>
              <w:rPr>
                <w:rFonts w:hint="eastAsia" w:ascii="宋体" w:hAnsi="宋体" w:cs="宋体"/>
                <w:b/>
                <w:bCs/>
                <w:color w:val="000000"/>
                <w:sz w:val="18"/>
                <w:szCs w:val="18"/>
                <w:highlight w:val="none"/>
              </w:rPr>
              <w:t>室二厅一厨</w:t>
            </w:r>
            <w:r>
              <w:rPr>
                <w:rFonts w:hint="eastAsia" w:ascii="宋体" w:hAnsi="宋体" w:cs="宋体"/>
                <w:b/>
                <w:bCs/>
                <w:color w:val="000000"/>
                <w:sz w:val="18"/>
                <w:szCs w:val="18"/>
                <w:highlight w:val="none"/>
                <w:lang w:val="en-US" w:eastAsia="zh-CN"/>
              </w:rPr>
              <w:t>二</w:t>
            </w:r>
            <w:r>
              <w:rPr>
                <w:rFonts w:hint="eastAsia" w:ascii="宋体" w:hAnsi="宋体" w:cs="宋体"/>
                <w:b/>
                <w:bCs/>
                <w:color w:val="000000"/>
                <w:sz w:val="18"/>
                <w:szCs w:val="18"/>
                <w:highlight w:val="none"/>
              </w:rPr>
              <w:t>卫（其中</w:t>
            </w:r>
            <w:r>
              <w:rPr>
                <w:rFonts w:hint="eastAsia" w:ascii="宋体" w:hAnsi="宋体" w:cs="宋体"/>
                <w:b/>
                <w:bCs/>
                <w:color w:val="000000"/>
                <w:sz w:val="18"/>
                <w:szCs w:val="18"/>
                <w:highlight w:val="none"/>
                <w:lang w:val="en-US" w:eastAsia="zh-CN"/>
              </w:rPr>
              <w:t>二</w:t>
            </w:r>
            <w:r>
              <w:rPr>
                <w:rFonts w:hint="eastAsia" w:ascii="宋体" w:hAnsi="宋体" w:cs="宋体"/>
                <w:b/>
                <w:bCs/>
                <w:color w:val="000000"/>
                <w:sz w:val="18"/>
                <w:szCs w:val="18"/>
                <w:highlight w:val="none"/>
              </w:rPr>
              <w:t>室</w:t>
            </w:r>
            <w:r>
              <w:rPr>
                <w:rFonts w:hint="eastAsia" w:ascii="宋体" w:hAnsi="宋体" w:cs="宋体"/>
                <w:b/>
                <w:bCs/>
                <w:color w:val="000000"/>
                <w:sz w:val="18"/>
                <w:szCs w:val="18"/>
                <w:highlight w:val="none"/>
                <w:lang w:val="en-US" w:eastAsia="zh-CN"/>
              </w:rPr>
              <w:t>一</w:t>
            </w:r>
            <w:r>
              <w:rPr>
                <w:rFonts w:hint="eastAsia" w:ascii="宋体" w:hAnsi="宋体" w:cs="宋体"/>
                <w:b/>
                <w:bCs/>
                <w:color w:val="000000"/>
                <w:sz w:val="18"/>
                <w:szCs w:val="18"/>
                <w:highlight w:val="none"/>
              </w:rPr>
              <w:t>厅朝南）</w:t>
            </w:r>
          </w:p>
        </w:tc>
        <w:tc>
          <w:tcPr>
            <w:tcW w:w="2438" w:type="dxa"/>
            <w:shd w:val="clear" w:color="auto" w:fill="auto"/>
            <w:vAlign w:val="center"/>
          </w:tcPr>
          <w:p>
            <w:pPr>
              <w:adjustRightInd w:val="0"/>
              <w:snapToGrid w:val="0"/>
              <w:jc w:val="center"/>
              <w:rPr>
                <w:rFonts w:hint="eastAsia" w:ascii="宋体" w:hAnsi="宋体" w:eastAsia="宋体" w:cs="宋体"/>
                <w:b/>
                <w:bCs/>
                <w:color w:val="000000"/>
                <w:sz w:val="18"/>
                <w:szCs w:val="18"/>
                <w:highlight w:val="none"/>
                <w:lang w:val="en-US" w:eastAsia="zh-CN"/>
              </w:rPr>
            </w:pPr>
            <w:r>
              <w:rPr>
                <w:rFonts w:hint="eastAsia" w:ascii="宋体" w:hAnsi="宋体" w:cs="宋体"/>
                <w:b/>
                <w:bCs/>
                <w:color w:val="000000"/>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1814" w:type="dxa"/>
            <w:vMerge w:val="continue"/>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室1（主卧）</w:t>
            </w:r>
          </w:p>
        </w:tc>
        <w:tc>
          <w:tcPr>
            <w:tcW w:w="3641" w:type="dxa"/>
            <w:shd w:val="clear" w:color="auto" w:fill="auto"/>
            <w:vAlign w:val="center"/>
          </w:tcPr>
          <w:p>
            <w:pPr>
              <w:adjustRightInd w:val="0"/>
              <w:snapToGrid w:val="0"/>
              <w:jc w:val="both"/>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rPr>
              <w:t>朝</w:t>
            </w:r>
            <w:r>
              <w:rPr>
                <w:rFonts w:hint="eastAsia" w:ascii="宋体" w:hAnsi="宋体" w:cs="宋体"/>
                <w:color w:val="000000"/>
                <w:sz w:val="18"/>
                <w:szCs w:val="18"/>
                <w:highlight w:val="none"/>
                <w:lang w:val="en-US" w:eastAsia="zh-CN"/>
              </w:rPr>
              <w:t>南，地面铺地板，墙面刷乳胶漆，石膏板吊顶。配卫生间。</w:t>
            </w:r>
          </w:p>
        </w:tc>
        <w:tc>
          <w:tcPr>
            <w:tcW w:w="2438" w:type="dxa"/>
            <w:vMerge w:val="restart"/>
            <w:shd w:val="clear" w:color="auto" w:fill="auto"/>
            <w:vAlign w:val="center"/>
          </w:tcPr>
          <w:p>
            <w:pPr>
              <w:adjustRightInd w:val="0"/>
              <w:snapToGrid w:val="0"/>
              <w:jc w:val="both"/>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根据委托方要求，室内附属装潢单独评估。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814" w:type="dxa"/>
            <w:vMerge w:val="continue"/>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室2</w:t>
            </w:r>
          </w:p>
        </w:tc>
        <w:tc>
          <w:tcPr>
            <w:tcW w:w="3641" w:type="dxa"/>
            <w:shd w:val="clear" w:color="auto" w:fill="auto"/>
            <w:vAlign w:val="center"/>
          </w:tcPr>
          <w:p>
            <w:pPr>
              <w:adjustRightInd w:val="0"/>
              <w:snapToGrid w:val="0"/>
              <w:rPr>
                <w:rFonts w:hint="default"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朝南，地面铺地板，墙面刷乳胶漆，石膏板吊顶。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814" w:type="dxa"/>
            <w:vMerge w:val="continue"/>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室3</w:t>
            </w:r>
          </w:p>
        </w:tc>
        <w:tc>
          <w:tcPr>
            <w:tcW w:w="3641" w:type="dxa"/>
            <w:shd w:val="clear" w:color="auto" w:fill="auto"/>
            <w:vAlign w:val="center"/>
          </w:tcPr>
          <w:p>
            <w:pPr>
              <w:adjustRightInd w:val="0"/>
              <w:snapToGrid w:val="0"/>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朝北，地面铺地板，墙面刷乳胶漆，石膏板吊顶。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814" w:type="dxa"/>
            <w:vMerge w:val="continue"/>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eastAsia"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客厅</w:t>
            </w:r>
          </w:p>
        </w:tc>
        <w:tc>
          <w:tcPr>
            <w:tcW w:w="3641" w:type="dxa"/>
            <w:shd w:val="clear" w:color="auto" w:fill="auto"/>
            <w:vAlign w:val="center"/>
          </w:tcPr>
          <w:p>
            <w:pPr>
              <w:adjustRightInd w:val="0"/>
              <w:snapToGrid w:val="0"/>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朝南，地面铺瓷砖，墙面刷乳胶漆，石膏板吊顶。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55"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卫生间</w:t>
            </w:r>
          </w:p>
        </w:tc>
        <w:tc>
          <w:tcPr>
            <w:tcW w:w="3641" w:type="dxa"/>
            <w:shd w:val="clear" w:color="auto" w:fill="auto"/>
            <w:vAlign w:val="center"/>
          </w:tcPr>
          <w:p>
            <w:pPr>
              <w:adjustRightInd w:val="0"/>
              <w:snapToGrid w:val="0"/>
              <w:rPr>
                <w:rFonts w:hint="default" w:ascii="宋体" w:hAnsi="宋体" w:cs="宋体"/>
                <w:color w:val="000000"/>
                <w:sz w:val="18"/>
                <w:szCs w:val="18"/>
                <w:highlight w:val="none"/>
                <w:lang w:val="en-US"/>
              </w:rPr>
            </w:pPr>
            <w:r>
              <w:rPr>
                <w:rFonts w:hint="eastAsia" w:ascii="宋体" w:hAnsi="宋体" w:cs="宋体"/>
                <w:color w:val="000000"/>
                <w:sz w:val="18"/>
                <w:szCs w:val="18"/>
                <w:highlight w:val="none"/>
                <w:lang w:val="en-US" w:eastAsia="zh-CN"/>
              </w:rPr>
              <w:t>朝东，地面铺瓷砖，墙面贴面砖，吊顶。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55"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餐厅</w:t>
            </w:r>
          </w:p>
        </w:tc>
        <w:tc>
          <w:tcPr>
            <w:tcW w:w="3641" w:type="dxa"/>
            <w:shd w:val="clear" w:color="auto" w:fill="auto"/>
            <w:vAlign w:val="center"/>
          </w:tcPr>
          <w:p>
            <w:pPr>
              <w:adjustRightInd w:val="0"/>
              <w:snapToGrid w:val="0"/>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朝北，地面铺瓷砖，墙面刷乳胶漆，吊顶。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p>
        </w:tc>
        <w:tc>
          <w:tcPr>
            <w:tcW w:w="1380" w:type="dxa"/>
            <w:shd w:val="clear" w:color="auto" w:fill="auto"/>
            <w:vAlign w:val="center"/>
          </w:tcPr>
          <w:p>
            <w:pPr>
              <w:adjustRightInd w:val="0"/>
              <w:snapToGrid w:val="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厨房</w:t>
            </w:r>
          </w:p>
        </w:tc>
        <w:tc>
          <w:tcPr>
            <w:tcW w:w="3641" w:type="dxa"/>
            <w:shd w:val="clear" w:color="auto" w:fill="auto"/>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lang w:val="en-US" w:eastAsia="zh-CN"/>
              </w:rPr>
              <w:t>朝北，</w:t>
            </w:r>
            <w:r>
              <w:rPr>
                <w:rFonts w:hint="eastAsia" w:ascii="宋体" w:hAnsi="宋体" w:cs="宋体"/>
                <w:color w:val="000000"/>
                <w:sz w:val="18"/>
                <w:szCs w:val="18"/>
                <w:highlight w:val="none"/>
                <w:lang w:val="en-US" w:eastAsia="zh-CN"/>
              </w:rPr>
              <w:t>地面铺瓷砖，墙面贴面砖，吊顶。</w:t>
            </w:r>
          </w:p>
        </w:tc>
        <w:tc>
          <w:tcPr>
            <w:tcW w:w="2438" w:type="dxa"/>
            <w:vMerge w:val="continue"/>
            <w:shd w:val="clear" w:color="auto" w:fill="auto"/>
            <w:vAlign w:val="center"/>
          </w:tcPr>
          <w:p>
            <w:pPr>
              <w:adjustRightInd w:val="0"/>
              <w:snapToGrid w:val="0"/>
              <w:rPr>
                <w:rFonts w:hint="eastAsia" w:ascii="宋体" w:hAnsi="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84"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使用及维护状况</w:t>
            </w:r>
          </w:p>
        </w:tc>
        <w:tc>
          <w:tcPr>
            <w:tcW w:w="7459" w:type="dxa"/>
            <w:gridSpan w:val="3"/>
            <w:shd w:val="clear" w:color="auto" w:fill="auto"/>
            <w:vAlign w:val="center"/>
          </w:tcPr>
          <w:p>
            <w:pPr>
              <w:adjustRightInd w:val="0"/>
              <w:snapToGrid w:val="0"/>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维护保养优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9" w:hRule="atLeast"/>
        </w:trPr>
        <w:tc>
          <w:tcPr>
            <w:tcW w:w="1814" w:type="dxa"/>
            <w:shd w:val="clear" w:color="auto" w:fill="auto"/>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成新率</w:t>
            </w:r>
          </w:p>
        </w:tc>
        <w:tc>
          <w:tcPr>
            <w:tcW w:w="7459" w:type="dxa"/>
            <w:gridSpan w:val="3"/>
            <w:shd w:val="clear" w:color="auto" w:fill="auto"/>
            <w:vAlign w:val="center"/>
          </w:tcPr>
          <w:p>
            <w:pPr>
              <w:adjustRightInd w:val="0"/>
              <w:snapToGrid w:val="0"/>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成新率90%</w:t>
            </w:r>
          </w:p>
        </w:tc>
      </w:tr>
    </w:tbl>
    <w:p>
      <w:pPr>
        <w:snapToGrid w:val="0"/>
        <w:spacing w:line="480" w:lineRule="exact"/>
        <w:ind w:firstLine="562" w:firstLineChars="200"/>
        <w:jc w:val="both"/>
        <w:rPr>
          <w:rFonts w:eastAsia="仿宋_GB2312"/>
          <w:b/>
          <w:caps/>
          <w:sz w:val="28"/>
          <w:szCs w:val="28"/>
        </w:rPr>
      </w:pPr>
      <w:r>
        <w:rPr>
          <w:rFonts w:hint="eastAsia" w:eastAsia="仿宋_GB2312"/>
          <w:b/>
          <w:caps/>
          <w:sz w:val="28"/>
          <w:szCs w:val="28"/>
        </w:rPr>
        <w:t>4.估价对象权益状况</w:t>
      </w:r>
    </w:p>
    <w:p>
      <w:pPr>
        <w:snapToGrid w:val="0"/>
        <w:spacing w:line="480" w:lineRule="exact"/>
        <w:ind w:firstLine="562" w:firstLineChars="200"/>
        <w:jc w:val="both"/>
        <w:rPr>
          <w:rFonts w:eastAsia="仿宋_GB2312"/>
          <w:sz w:val="28"/>
          <w:szCs w:val="28"/>
        </w:rPr>
      </w:pPr>
      <w:r>
        <w:rPr>
          <w:rFonts w:hint="eastAsia" w:eastAsia="仿宋_GB2312"/>
          <w:b/>
          <w:caps/>
          <w:sz w:val="28"/>
          <w:szCs w:val="28"/>
        </w:rPr>
        <w:t>4.1不动产</w:t>
      </w:r>
      <w:r>
        <w:rPr>
          <w:rFonts w:eastAsia="仿宋_GB2312"/>
          <w:b/>
          <w:caps/>
          <w:sz w:val="28"/>
          <w:szCs w:val="28"/>
        </w:rPr>
        <w:t>权属</w:t>
      </w:r>
      <w:r>
        <w:rPr>
          <w:rFonts w:hint="eastAsia" w:eastAsia="仿宋_GB2312"/>
          <w:b/>
          <w:caps/>
          <w:sz w:val="28"/>
          <w:szCs w:val="28"/>
        </w:rPr>
        <w:t>登记</w:t>
      </w:r>
      <w:r>
        <w:rPr>
          <w:rFonts w:eastAsia="仿宋_GB2312"/>
          <w:b/>
          <w:caps/>
          <w:sz w:val="28"/>
          <w:szCs w:val="28"/>
        </w:rPr>
        <w:t>状况</w:t>
      </w:r>
      <w:r>
        <w:rPr>
          <w:rFonts w:eastAsia="仿宋_GB2312"/>
          <w:sz w:val="28"/>
          <w:szCs w:val="28"/>
        </w:rPr>
        <w:t xml:space="preserve"> </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3287"/>
        <w:gridCol w:w="169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4"/>
            <w:vAlign w:val="center"/>
          </w:tcPr>
          <w:p>
            <w:pPr>
              <w:spacing w:line="400" w:lineRule="exact"/>
              <w:jc w:val="center"/>
              <w:rPr>
                <w:rFonts w:hint="eastAsia" w:ascii="宋体" w:hAnsi="宋体" w:eastAsia="宋体" w:cs="宋体"/>
                <w:color w:val="000000"/>
                <w:sz w:val="18"/>
                <w:szCs w:val="18"/>
                <w:lang w:eastAsia="zh-CN"/>
              </w:rPr>
            </w:pPr>
            <w:r>
              <w:rPr>
                <w:rFonts w:hint="eastAsia" w:ascii="宋体" w:hAnsi="宋体" w:cs="宋体"/>
                <w:b/>
                <w:bCs/>
                <w:color w:val="000000"/>
                <w:sz w:val="24"/>
                <w:szCs w:val="24"/>
                <w:lang w:eastAsia="zh-CN"/>
              </w:rPr>
              <w:t>房地产权结果信息一览表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被查询人</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坐落</w:t>
            </w:r>
          </w:p>
        </w:tc>
        <w:tc>
          <w:tcPr>
            <w:tcW w:w="4062" w:type="pct"/>
            <w:gridSpan w:val="3"/>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高港区中建锦绣珑湾43号楼205室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不动产单元号</w:t>
            </w:r>
          </w:p>
        </w:tc>
        <w:tc>
          <w:tcPr>
            <w:tcW w:w="4062" w:type="pct"/>
            <w:gridSpan w:val="3"/>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321203001007GB00081F00430205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房屋建筑面积</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126.46</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规划用途</w:t>
            </w:r>
          </w:p>
        </w:tc>
        <w:tc>
          <w:tcPr>
            <w:tcW w:w="1340" w:type="pct"/>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房屋性质</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市场化商品房</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竣工时间</w:t>
            </w:r>
          </w:p>
        </w:tc>
        <w:tc>
          <w:tcPr>
            <w:tcW w:w="1340" w:type="pct"/>
            <w:vAlign w:val="center"/>
          </w:tcPr>
          <w:p>
            <w:pPr>
              <w:spacing w:line="240" w:lineRule="exact"/>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土地使用起止时间</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2013-03-31</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土地使用结束时间</w:t>
            </w:r>
          </w:p>
        </w:tc>
        <w:tc>
          <w:tcPr>
            <w:tcW w:w="1340"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2083-03-30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不动产权证书</w:t>
            </w:r>
          </w:p>
        </w:tc>
        <w:tc>
          <w:tcPr>
            <w:tcW w:w="17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苏（2016）泰州不动产权第0002485号</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登记机构</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泰州市不动产登记中心</w:t>
            </w:r>
          </w:p>
        </w:tc>
      </w:tr>
    </w:tbl>
    <w:p>
      <w:pPr>
        <w:keepNext w:val="0"/>
        <w:keepLines w:val="0"/>
        <w:pageBreakBefore w:val="0"/>
        <w:widowControl/>
        <w:kinsoku/>
        <w:wordWrap/>
        <w:overflowPunct/>
        <w:topLinePunct w:val="0"/>
        <w:autoSpaceDE/>
        <w:autoSpaceDN/>
        <w:bidi w:val="0"/>
        <w:adjustRightInd w:val="0"/>
        <w:snapToGrid w:val="0"/>
        <w:spacing w:line="240" w:lineRule="exact"/>
        <w:ind w:firstLine="560" w:firstLineChars="200"/>
        <w:textAlignment w:val="auto"/>
        <w:rPr>
          <w:rFonts w:eastAsia="仿宋_GB2312"/>
          <w:sz w:val="28"/>
          <w:szCs w:val="28"/>
        </w:rPr>
      </w:pP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2007"/>
        <w:gridCol w:w="1280"/>
        <w:gridCol w:w="1690"/>
        <w:gridCol w:w="135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vAlign w:val="center"/>
          </w:tcPr>
          <w:p>
            <w:pPr>
              <w:spacing w:line="400" w:lineRule="exact"/>
              <w:jc w:val="center"/>
              <w:rPr>
                <w:rFonts w:hint="default" w:ascii="宋体" w:hAnsi="宋体" w:eastAsia="宋体" w:cs="宋体"/>
                <w:color w:val="000000"/>
                <w:sz w:val="18"/>
                <w:szCs w:val="18"/>
                <w:lang w:val="en-US" w:eastAsia="zh-CN"/>
              </w:rPr>
            </w:pPr>
            <w:r>
              <w:rPr>
                <w:rFonts w:hint="eastAsia" w:ascii="宋体" w:hAnsi="宋体" w:cs="宋体"/>
                <w:b/>
                <w:bCs/>
                <w:color w:val="000000"/>
                <w:sz w:val="24"/>
                <w:szCs w:val="24"/>
                <w:lang w:val="en-US" w:eastAsia="zh-CN"/>
              </w:rPr>
              <w:t>房屋分户面积测量报告书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lang w:val="en-US" w:eastAsia="zh-CN"/>
              </w:rPr>
              <w:t>房屋</w:t>
            </w:r>
            <w:r>
              <w:rPr>
                <w:rFonts w:hint="eastAsia" w:ascii="宋体" w:hAnsi="宋体" w:cs="宋体"/>
                <w:color w:val="000000"/>
                <w:sz w:val="18"/>
                <w:szCs w:val="18"/>
              </w:rPr>
              <w:t>坐落</w:t>
            </w:r>
          </w:p>
        </w:tc>
        <w:tc>
          <w:tcPr>
            <w:tcW w:w="4062" w:type="pct"/>
            <w:gridSpan w:val="5"/>
            <w:vAlign w:val="center"/>
          </w:tcPr>
          <w:p>
            <w:pPr>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高港区中建</w:t>
            </w:r>
            <w:r>
              <w:rPr>
                <w:rFonts w:hint="eastAsia" w:ascii="微软雅黑" w:hAnsi="微软雅黑" w:eastAsia="微软雅黑" w:cs="微软雅黑"/>
                <w:color w:val="000000"/>
                <w:sz w:val="18"/>
                <w:szCs w:val="18"/>
                <w:lang w:eastAsia="zh-CN"/>
              </w:rPr>
              <w:t>･</w:t>
            </w:r>
            <w:r>
              <w:rPr>
                <w:rFonts w:hint="eastAsia" w:ascii="宋体" w:hAnsi="宋体" w:cs="宋体"/>
                <w:color w:val="000000"/>
                <w:sz w:val="18"/>
                <w:szCs w:val="18"/>
                <w:lang w:eastAsia="zh-CN"/>
              </w:rPr>
              <w:t>锦绣珑湾43号楼205室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丘号</w:t>
            </w:r>
          </w:p>
        </w:tc>
        <w:tc>
          <w:tcPr>
            <w:tcW w:w="1797" w:type="pct"/>
            <w:gridSpan w:val="2"/>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3212030010070000106</w:t>
            </w:r>
          </w:p>
        </w:tc>
        <w:tc>
          <w:tcPr>
            <w:tcW w:w="924"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结构</w:t>
            </w:r>
          </w:p>
        </w:tc>
        <w:tc>
          <w:tcPr>
            <w:tcW w:w="1340" w:type="pct"/>
            <w:gridSpan w:val="2"/>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规划用途</w:t>
            </w:r>
          </w:p>
        </w:tc>
        <w:tc>
          <w:tcPr>
            <w:tcW w:w="10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住宅</w:t>
            </w:r>
          </w:p>
        </w:tc>
        <w:tc>
          <w:tcPr>
            <w:tcW w:w="7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总层次</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739"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所在层次</w:t>
            </w:r>
          </w:p>
        </w:tc>
        <w:tc>
          <w:tcPr>
            <w:tcW w:w="6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建成年代</w:t>
            </w:r>
          </w:p>
        </w:tc>
        <w:tc>
          <w:tcPr>
            <w:tcW w:w="1097"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2015年</w:t>
            </w:r>
          </w:p>
        </w:tc>
        <w:tc>
          <w:tcPr>
            <w:tcW w:w="700" w:type="pct"/>
            <w:vAlign w:val="center"/>
          </w:tcPr>
          <w:p>
            <w:pPr>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总建筑面积</w:t>
            </w:r>
          </w:p>
        </w:tc>
        <w:tc>
          <w:tcPr>
            <w:tcW w:w="924"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126.46</w:t>
            </w:r>
          </w:p>
        </w:tc>
        <w:tc>
          <w:tcPr>
            <w:tcW w:w="739"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填制日期</w:t>
            </w:r>
          </w:p>
        </w:tc>
        <w:tc>
          <w:tcPr>
            <w:tcW w:w="600" w:type="pct"/>
            <w:vAlign w:val="center"/>
          </w:tcPr>
          <w:p>
            <w:pPr>
              <w:spacing w:line="24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2016-2-16</w:t>
            </w:r>
          </w:p>
        </w:tc>
      </w:tr>
    </w:tbl>
    <w:p>
      <w:pPr>
        <w:adjustRightInd w:val="0"/>
        <w:snapToGrid w:val="0"/>
        <w:spacing w:line="480" w:lineRule="exact"/>
        <w:ind w:firstLine="562" w:firstLineChars="200"/>
        <w:rPr>
          <w:rFonts w:eastAsia="仿宋_GB2312"/>
          <w:b/>
          <w:snapToGrid w:val="0"/>
          <w:sz w:val="28"/>
          <w:szCs w:val="28"/>
        </w:rPr>
      </w:pPr>
      <w:r>
        <w:rPr>
          <w:rFonts w:hint="eastAsia" w:eastAsia="仿宋_GB2312"/>
          <w:b/>
          <w:snapToGrid w:val="0"/>
          <w:sz w:val="28"/>
          <w:szCs w:val="28"/>
        </w:rPr>
        <w:t>4.2 他项权利状况</w:t>
      </w:r>
    </w:p>
    <w:p>
      <w:pPr>
        <w:spacing w:line="480" w:lineRule="exact"/>
        <w:ind w:firstLine="560" w:firstLineChars="200"/>
        <w:rPr>
          <w:rFonts w:eastAsia="仿宋_GB2312"/>
          <w:sz w:val="28"/>
          <w:szCs w:val="28"/>
        </w:rPr>
      </w:pPr>
      <w:r>
        <w:rPr>
          <w:rFonts w:eastAsia="仿宋_GB2312"/>
          <w:sz w:val="28"/>
          <w:szCs w:val="28"/>
        </w:rPr>
        <w:t>根据估价委托人提供的资料和介绍，估价对象已设定抵押他项权利，至价值时点，此项他项权利尚未注销。根据《房地产估价规范》【GB/T 50291-2015】5.4.1-5.4.4，房地产司法拍卖估价不应考虑拍卖房地产被查封以及拍卖房地产上原有的担保物权和其他优先受偿权的影响，故本次估价未考虑可能与估价对象产权人有关的债权及债务情况对估价结果的影响。</w:t>
      </w:r>
    </w:p>
    <w:p>
      <w:pPr>
        <w:adjustRightInd w:val="0"/>
        <w:snapToGrid w:val="0"/>
        <w:spacing w:line="480" w:lineRule="exact"/>
        <w:ind w:firstLine="562" w:firstLineChars="200"/>
        <w:rPr>
          <w:rFonts w:eastAsia="仿宋_GB2312"/>
          <w:b/>
          <w:snapToGrid w:val="0"/>
          <w:sz w:val="28"/>
          <w:szCs w:val="28"/>
        </w:rPr>
      </w:pPr>
      <w:r>
        <w:rPr>
          <w:rFonts w:hint="eastAsia" w:eastAsia="仿宋_GB2312"/>
          <w:b/>
          <w:snapToGrid w:val="0"/>
          <w:sz w:val="28"/>
          <w:szCs w:val="28"/>
        </w:rPr>
        <w:t>4.3限制状况</w:t>
      </w:r>
    </w:p>
    <w:p>
      <w:pPr>
        <w:adjustRightInd w:val="0"/>
        <w:snapToGrid w:val="0"/>
        <w:spacing w:line="480" w:lineRule="exact"/>
        <w:ind w:firstLine="560" w:firstLineChars="200"/>
        <w:rPr>
          <w:rFonts w:eastAsia="仿宋_GB2312"/>
          <w:sz w:val="28"/>
          <w:szCs w:val="28"/>
        </w:rPr>
      </w:pPr>
      <w:r>
        <w:rPr>
          <w:rFonts w:eastAsia="仿宋_GB2312"/>
          <w:sz w:val="28"/>
          <w:szCs w:val="28"/>
        </w:rPr>
        <w:t>根据估价委托人提供的资料和介绍，估价对象存在权利限制状况，根据《房地产估价规范》【GB/T 50291-2015】5.4.1-5.4.4，房地产司法拍卖估价不应考虑拍卖房地产被查封以及拍卖房地产上原有的担保物权和其他优先受偿权的影响，故本次评估未考虑该因素对评估价值的影响。</w:t>
      </w:r>
    </w:p>
    <w:p>
      <w:pPr>
        <w:adjustRightInd w:val="0"/>
        <w:snapToGrid w:val="0"/>
        <w:spacing w:beforeLines="50" w:afterLines="50" w:line="480" w:lineRule="exact"/>
        <w:ind w:firstLine="562" w:firstLineChars="200"/>
        <w:rPr>
          <w:rFonts w:eastAsia="仿宋_GB2312"/>
          <w:snapToGrid w:val="0"/>
          <w:sz w:val="28"/>
          <w:szCs w:val="28"/>
        </w:rPr>
      </w:pPr>
      <w:r>
        <w:rPr>
          <w:rFonts w:eastAsia="仿宋_GB2312"/>
          <w:b/>
          <w:snapToGrid w:val="0"/>
          <w:sz w:val="28"/>
          <w:szCs w:val="28"/>
        </w:rPr>
        <w:t>5.区位状况描述与分析</w:t>
      </w:r>
    </w:p>
    <w:p>
      <w:pPr>
        <w:spacing w:line="480" w:lineRule="exact"/>
        <w:ind w:firstLine="560" w:firstLineChars="200"/>
        <w:rPr>
          <w:rFonts w:eastAsia="仿宋_GB2312"/>
          <w:sz w:val="28"/>
          <w:szCs w:val="28"/>
        </w:rPr>
      </w:pPr>
      <w:r>
        <w:rPr>
          <w:rFonts w:eastAsia="仿宋_GB2312"/>
          <w:sz w:val="28"/>
          <w:szCs w:val="28"/>
        </w:rPr>
        <w:t>区位状况主要包括位置状况、交通状况、环境状况、外部配套设施状况、区位状况及规划条件、区位状况分析等，本次主要分析如下：</w:t>
      </w:r>
    </w:p>
    <w:p>
      <w:pPr>
        <w:spacing w:line="360" w:lineRule="auto"/>
        <w:ind w:firstLine="560" w:firstLineChars="200"/>
        <w:rPr>
          <w:rFonts w:eastAsia="仿宋_GB2312"/>
          <w:color w:val="000000"/>
          <w:kern w:val="2"/>
        </w:rPr>
      </w:pPr>
      <w:r>
        <w:rPr>
          <w:rFonts w:eastAsia="仿宋_GB2312"/>
          <w:color w:val="000000"/>
          <w:sz w:val="28"/>
          <w:szCs w:val="28"/>
        </w:rPr>
        <w:t>（1）位置状况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坐落</w:t>
            </w:r>
          </w:p>
        </w:tc>
        <w:tc>
          <w:tcPr>
            <w:tcW w:w="8017" w:type="dxa"/>
            <w:tcBorders>
              <w:top w:val="single" w:color="auto" w:sz="4" w:space="0"/>
              <w:left w:val="single" w:color="auto" w:sz="4" w:space="0"/>
              <w:bottom w:val="single" w:color="auto" w:sz="4" w:space="0"/>
              <w:right w:val="single" w:color="auto" w:sz="4" w:space="0"/>
            </w:tcBorders>
            <w:vAlign w:val="center"/>
          </w:tcPr>
          <w:p>
            <w:pPr>
              <w:rPr>
                <w:rFonts w:hint="eastAsia"/>
                <w:caps/>
                <w:sz w:val="20"/>
                <w:szCs w:val="20"/>
              </w:rPr>
            </w:pPr>
            <w:r>
              <w:rPr>
                <w:rFonts w:hint="eastAsia"/>
                <w:caps/>
                <w:sz w:val="20"/>
                <w:szCs w:val="20"/>
                <w:lang w:eastAsia="zh-CN"/>
              </w:rPr>
              <w:t>泰州市高港区中建锦绣珑湾43号楼205室</w:t>
            </w:r>
            <w:r>
              <w:rPr>
                <w:rFonts w:hint="eastAsia"/>
                <w:cap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方位</w:t>
            </w:r>
          </w:p>
        </w:tc>
        <w:tc>
          <w:tcPr>
            <w:tcW w:w="8017" w:type="dxa"/>
            <w:tcBorders>
              <w:top w:val="single" w:color="auto" w:sz="4" w:space="0"/>
              <w:left w:val="single" w:color="auto" w:sz="4" w:space="0"/>
              <w:bottom w:val="single" w:color="auto" w:sz="4" w:space="0"/>
              <w:right w:val="single" w:color="auto" w:sz="4" w:space="0"/>
            </w:tcBorders>
            <w:vAlign w:val="center"/>
          </w:tcPr>
          <w:p>
            <w:pPr>
              <w:rPr>
                <w:rFonts w:hint="eastAsia"/>
                <w:caps/>
                <w:sz w:val="20"/>
                <w:szCs w:val="20"/>
              </w:rPr>
            </w:pPr>
            <w:r>
              <w:rPr>
                <w:rFonts w:hint="eastAsia"/>
                <w:caps/>
                <w:sz w:val="20"/>
                <w:szCs w:val="20"/>
                <w:lang w:eastAsia="zh-CN"/>
              </w:rPr>
              <w:t>中建锦绣珑湾</w:t>
            </w:r>
            <w:r>
              <w:rPr>
                <w:rFonts w:hint="eastAsia"/>
                <w:caps/>
                <w:sz w:val="20"/>
                <w:szCs w:val="20"/>
              </w:rPr>
              <w:t>小区</w:t>
            </w:r>
            <w:r>
              <w:rPr>
                <w:rFonts w:hint="eastAsia"/>
                <w:caps/>
                <w:sz w:val="20"/>
                <w:szCs w:val="20"/>
                <w:lang w:eastAsia="zh-CN"/>
              </w:rPr>
              <w:t>北至道路、南至河流、西至扬子江北路、东至王营路</w:t>
            </w:r>
            <w:r>
              <w:rPr>
                <w:rFonts w:hint="eastAsia"/>
                <w:cap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距离</w:t>
            </w:r>
          </w:p>
        </w:tc>
        <w:tc>
          <w:tcPr>
            <w:tcW w:w="8017" w:type="dxa"/>
            <w:tcBorders>
              <w:top w:val="single" w:color="auto" w:sz="4" w:space="0"/>
              <w:left w:val="single" w:color="auto" w:sz="4" w:space="0"/>
              <w:bottom w:val="single" w:color="auto" w:sz="4" w:space="0"/>
              <w:right w:val="single" w:color="auto" w:sz="4" w:space="0"/>
            </w:tcBorders>
            <w:vAlign w:val="center"/>
          </w:tcPr>
          <w:p>
            <w:pPr>
              <w:rPr>
                <w:rFonts w:hint="eastAsia"/>
                <w:caps/>
                <w:sz w:val="20"/>
                <w:szCs w:val="20"/>
              </w:rPr>
            </w:pPr>
            <w:r>
              <w:rPr>
                <w:rFonts w:hint="eastAsia"/>
                <w:caps/>
                <w:sz w:val="20"/>
                <w:szCs w:val="20"/>
              </w:rPr>
              <w:t>估价对象位于</w:t>
            </w:r>
            <w:r>
              <w:rPr>
                <w:rFonts w:hint="eastAsia"/>
                <w:caps/>
                <w:sz w:val="20"/>
                <w:szCs w:val="20"/>
                <w:lang w:eastAsia="zh-CN"/>
              </w:rPr>
              <w:t>泰州市高港区中建锦绣珑湾43号楼205室</w:t>
            </w:r>
            <w:r>
              <w:rPr>
                <w:rFonts w:hint="eastAsia"/>
                <w:caps/>
                <w:sz w:val="20"/>
                <w:szCs w:val="20"/>
              </w:rPr>
              <w:t>，距离高港时代广场</w:t>
            </w:r>
            <w:r>
              <w:rPr>
                <w:rFonts w:hint="eastAsia"/>
                <w:caps/>
                <w:sz w:val="20"/>
                <w:szCs w:val="20"/>
                <w:lang w:val="en-US" w:eastAsia="zh-CN"/>
              </w:rPr>
              <w:t>商业中心</w:t>
            </w:r>
            <w:r>
              <w:rPr>
                <w:rFonts w:hint="eastAsia"/>
                <w:caps/>
                <w:sz w:val="20"/>
                <w:szCs w:val="20"/>
              </w:rPr>
              <w:t>交通距离约</w:t>
            </w:r>
            <w:r>
              <w:rPr>
                <w:rFonts w:hint="eastAsia"/>
                <w:caps/>
                <w:sz w:val="20"/>
                <w:szCs w:val="20"/>
                <w:lang w:val="en-US" w:eastAsia="zh-CN"/>
              </w:rPr>
              <w:t>2.8</w:t>
            </w:r>
            <w:r>
              <w:rPr>
                <w:rFonts w:hint="eastAsia"/>
                <w:caps/>
                <w:sz w:val="20"/>
                <w:szCs w:val="20"/>
              </w:rPr>
              <w:t>KM，所处区域的商服繁华度较优，周边有</w:t>
            </w:r>
            <w:r>
              <w:rPr>
                <w:rFonts w:hint="eastAsia"/>
                <w:caps/>
                <w:sz w:val="20"/>
                <w:szCs w:val="20"/>
                <w:lang w:eastAsia="zh-CN"/>
              </w:rPr>
              <w:t>扬子江北路、通港东路、王营路</w:t>
            </w:r>
            <w:r>
              <w:rPr>
                <w:rFonts w:hint="eastAsia"/>
                <w:caps/>
                <w:sz w:val="20"/>
                <w:szCs w:val="20"/>
              </w:rPr>
              <w:t>等主次干道交汇，道路通达度较优；周边有多条公交车途经，交通便捷度较优；附近商业、餐饮等配套较优。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楼层</w:t>
            </w:r>
          </w:p>
        </w:tc>
        <w:tc>
          <w:tcPr>
            <w:tcW w:w="8017" w:type="dxa"/>
            <w:tcBorders>
              <w:top w:val="single" w:color="auto" w:sz="4" w:space="0"/>
              <w:left w:val="single" w:color="auto" w:sz="4" w:space="0"/>
              <w:right w:val="single" w:color="auto" w:sz="4" w:space="0"/>
            </w:tcBorders>
            <w:vAlign w:val="center"/>
          </w:tcPr>
          <w:p>
            <w:pPr>
              <w:rPr>
                <w:color w:val="000000"/>
                <w:sz w:val="20"/>
                <w:szCs w:val="20"/>
                <w:lang w:bidi="ta-IN"/>
              </w:rPr>
            </w:pPr>
            <w:r>
              <w:rPr>
                <w:color w:val="000000"/>
                <w:sz w:val="20"/>
                <w:szCs w:val="20"/>
                <w:lang w:bidi="ta-IN"/>
              </w:rPr>
              <w:t>所在建筑物</w:t>
            </w:r>
            <w:r>
              <w:rPr>
                <w:rFonts w:hint="eastAsia"/>
                <w:color w:val="000000"/>
                <w:sz w:val="20"/>
                <w:szCs w:val="20"/>
                <w:lang w:bidi="ta-IN"/>
              </w:rPr>
              <w:t>共</w:t>
            </w:r>
            <w:r>
              <w:rPr>
                <w:rFonts w:hint="eastAsia"/>
                <w:color w:val="000000"/>
                <w:sz w:val="20"/>
                <w:szCs w:val="20"/>
                <w:lang w:val="en-US" w:eastAsia="zh-CN" w:bidi="ta-IN"/>
              </w:rPr>
              <w:t>6</w:t>
            </w:r>
            <w:r>
              <w:rPr>
                <w:color w:val="000000"/>
                <w:sz w:val="20"/>
                <w:szCs w:val="20"/>
                <w:lang w:bidi="ta-IN"/>
              </w:rPr>
              <w:t>层，估价对象位于</w:t>
            </w:r>
            <w:r>
              <w:rPr>
                <w:rFonts w:hint="eastAsia"/>
                <w:color w:val="000000"/>
                <w:sz w:val="20"/>
                <w:szCs w:val="20"/>
                <w:lang w:val="en-US" w:eastAsia="zh-CN" w:bidi="ta-IN"/>
              </w:rPr>
              <w:t>其中</w:t>
            </w:r>
            <w:r>
              <w:rPr>
                <w:rFonts w:hint="eastAsia"/>
                <w:color w:val="000000"/>
                <w:sz w:val="20"/>
                <w:szCs w:val="20"/>
                <w:lang w:bidi="ta-IN"/>
              </w:rPr>
              <w:t>第</w:t>
            </w:r>
            <w:r>
              <w:rPr>
                <w:rFonts w:hint="eastAsia"/>
                <w:color w:val="000000"/>
                <w:sz w:val="20"/>
                <w:szCs w:val="20"/>
                <w:lang w:val="en-US" w:eastAsia="zh-CN" w:bidi="ta-IN"/>
              </w:rPr>
              <w:t>2</w:t>
            </w:r>
            <w:r>
              <w:rPr>
                <w:color w:val="000000"/>
                <w:sz w:val="20"/>
                <w:szCs w:val="20"/>
                <w:lang w:bidi="ta-I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朝向</w:t>
            </w:r>
          </w:p>
        </w:tc>
        <w:tc>
          <w:tcPr>
            <w:tcW w:w="8017" w:type="dxa"/>
            <w:tcBorders>
              <w:left w:val="single" w:color="auto" w:sz="4" w:space="0"/>
              <w:right w:val="single" w:color="auto" w:sz="4" w:space="0"/>
            </w:tcBorders>
            <w:vAlign w:val="center"/>
          </w:tcPr>
          <w:p>
            <w:pPr>
              <w:rPr>
                <w:color w:val="000000"/>
                <w:sz w:val="20"/>
                <w:szCs w:val="20"/>
                <w:lang w:bidi="ta-IN"/>
              </w:rPr>
            </w:pPr>
            <w:r>
              <w:rPr>
                <w:color w:val="000000"/>
                <w:sz w:val="20"/>
                <w:szCs w:val="20"/>
                <w:lang w:bidi="ta-IN"/>
              </w:rPr>
              <w:t>南北</w:t>
            </w:r>
            <w:r>
              <w:rPr>
                <w:rFonts w:hint="eastAsia"/>
                <w:color w:val="000000"/>
                <w:sz w:val="20"/>
                <w:szCs w:val="20"/>
                <w:lang w:bidi="ta-IN"/>
              </w:rPr>
              <w:t>朝向</w:t>
            </w:r>
            <w:r>
              <w:rPr>
                <w:color w:val="000000"/>
                <w:sz w:val="20"/>
                <w:szCs w:val="20"/>
                <w:lang w:bidi="ta-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lang w:bidi="ta-IN"/>
              </w:rPr>
            </w:pPr>
            <w:r>
              <w:rPr>
                <w:color w:val="000000"/>
                <w:sz w:val="20"/>
                <w:szCs w:val="20"/>
                <w:lang w:bidi="ta-IN"/>
              </w:rPr>
              <w:t>临路状况</w:t>
            </w:r>
          </w:p>
        </w:tc>
        <w:tc>
          <w:tcPr>
            <w:tcW w:w="8017" w:type="dxa"/>
            <w:tcBorders>
              <w:left w:val="single" w:color="auto" w:sz="4" w:space="0"/>
              <w:bottom w:val="single" w:color="auto" w:sz="4" w:space="0"/>
              <w:right w:val="single" w:color="auto" w:sz="4" w:space="0"/>
            </w:tcBorders>
            <w:vAlign w:val="center"/>
          </w:tcPr>
          <w:p>
            <w:pPr>
              <w:rPr>
                <w:color w:val="000000"/>
                <w:sz w:val="20"/>
                <w:szCs w:val="20"/>
                <w:lang w:bidi="ta-IN"/>
              </w:rPr>
            </w:pPr>
            <w:r>
              <w:rPr>
                <w:rFonts w:hint="eastAsia"/>
                <w:caps/>
                <w:sz w:val="20"/>
                <w:szCs w:val="20"/>
              </w:rPr>
              <w:t>估价对象所在小区</w:t>
            </w:r>
            <w:r>
              <w:rPr>
                <w:rFonts w:hint="eastAsia"/>
                <w:caps/>
                <w:sz w:val="20"/>
                <w:szCs w:val="20"/>
                <w:lang w:eastAsia="zh-CN"/>
              </w:rPr>
              <w:t>西临扬子江北路</w:t>
            </w:r>
            <w:r>
              <w:rPr>
                <w:rFonts w:hint="eastAsia"/>
                <w:caps/>
                <w:sz w:val="20"/>
                <w:szCs w:val="20"/>
              </w:rPr>
              <w:t>，</w:t>
            </w:r>
            <w:r>
              <w:rPr>
                <w:color w:val="000000"/>
                <w:sz w:val="20"/>
                <w:szCs w:val="20"/>
                <w:lang w:bidi="ta-IN"/>
              </w:rPr>
              <w:t>临路状况</w:t>
            </w:r>
            <w:r>
              <w:rPr>
                <w:rFonts w:hint="eastAsia"/>
                <w:color w:val="000000"/>
                <w:sz w:val="20"/>
                <w:szCs w:val="20"/>
                <w:lang w:bidi="ta-IN"/>
              </w:rPr>
              <w:t>较优</w:t>
            </w:r>
            <w:r>
              <w:rPr>
                <w:color w:val="000000"/>
                <w:sz w:val="20"/>
                <w:szCs w:val="2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（2）交通状况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道路</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caps/>
                <w:szCs w:val="21"/>
              </w:rPr>
              <w:t>估价对象小区</w:t>
            </w:r>
            <w:r>
              <w:rPr>
                <w:rFonts w:hint="eastAsia"/>
                <w:color w:val="000000"/>
                <w:lang w:bidi="ta-IN"/>
              </w:rPr>
              <w:t>周边有</w:t>
            </w:r>
            <w:r>
              <w:rPr>
                <w:rFonts w:hint="eastAsia"/>
                <w:color w:val="000000"/>
                <w:lang w:eastAsia="zh-CN" w:bidi="ta-IN"/>
              </w:rPr>
              <w:t>扬子江北路、通港东路、王营路</w:t>
            </w:r>
            <w:r>
              <w:rPr>
                <w:rFonts w:hint="eastAsia"/>
                <w:color w:val="000000"/>
                <w:lang w:bidi="ta-IN"/>
              </w:rPr>
              <w:t>等主次干道交汇，道路通达度较优</w:t>
            </w:r>
            <w:r>
              <w:rPr>
                <w:color w:val="000000"/>
                <w:lang w:bidi="ta-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公共交通</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ascii="宋体" w:hAnsi="宋体" w:cs="宋体"/>
                <w:color w:val="000000"/>
                <w:lang w:bidi="ta-IN"/>
              </w:rPr>
              <w:t>估价对象周边有</w:t>
            </w:r>
            <w:r>
              <w:rPr>
                <w:rFonts w:hint="eastAsia" w:ascii="宋体" w:hAnsi="宋体" w:cs="宋体"/>
                <w:color w:val="000000"/>
                <w:lang w:eastAsia="zh-CN" w:bidi="ta-IN"/>
              </w:rPr>
              <w:t>H1路、51路</w:t>
            </w:r>
            <w:r>
              <w:rPr>
                <w:rFonts w:hint="eastAsia" w:ascii="宋体" w:hAnsi="宋体" w:cs="宋体"/>
                <w:color w:val="000000"/>
                <w:lang w:bidi="ta-IN"/>
              </w:rPr>
              <w:t>等多条公交车途经，交通便捷度较优。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交通管制</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基本无交通管制。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停车便利度</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停车便利度</w:t>
            </w:r>
            <w:r>
              <w:rPr>
                <w:rFonts w:hint="eastAsia"/>
                <w:color w:val="000000"/>
                <w:lang w:bidi="ta-IN"/>
              </w:rPr>
              <w:t>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（3）周围环境状况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自然环境</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周边环境较整洁，无空气、噪声、辐射、水、固体废物等污染，环境卫生状况较优。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人文环境</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估价对象所在区域居民受教育程度较好；治安状况较好；人文环境较优。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景观</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w:t>
            </w:r>
            <w:r>
              <w:rPr>
                <w:rFonts w:hint="eastAsia"/>
                <w:color w:val="000000"/>
                <w:lang w:bidi="ta-IN"/>
              </w:rPr>
              <w:t>所在区域</w:t>
            </w:r>
            <w:r>
              <w:rPr>
                <w:color w:val="000000"/>
                <w:lang w:bidi="ta-IN"/>
              </w:rPr>
              <w:t>景观条件</w:t>
            </w:r>
            <w:r>
              <w:rPr>
                <w:rFonts w:hint="eastAsia"/>
                <w:color w:val="000000"/>
                <w:lang w:bidi="ta-IN"/>
              </w:rPr>
              <w:t>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（4）外部配套设施状况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基础设施</w:t>
            </w:r>
          </w:p>
        </w:tc>
        <w:tc>
          <w:tcPr>
            <w:tcW w:w="7291"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color w:val="000000"/>
                <w:lang w:bidi="ta-IN"/>
              </w:rPr>
              <w:t>区域</w:t>
            </w:r>
            <w:r>
              <w:rPr>
                <w:color w:val="000000"/>
                <w:lang w:bidi="ta-IN"/>
              </w:rPr>
              <w:t>内通上下水、通电、</w:t>
            </w:r>
            <w:r>
              <w:rPr>
                <w:rFonts w:hint="eastAsia"/>
                <w:color w:val="000000"/>
                <w:lang w:bidi="ta-IN"/>
              </w:rPr>
              <w:t>通气、</w:t>
            </w:r>
            <w:r>
              <w:rPr>
                <w:color w:val="000000"/>
                <w:lang w:bidi="ta-IN"/>
              </w:rPr>
              <w:t>通讯等各项基础配套设施较齐备，保障率</w:t>
            </w:r>
            <w:r>
              <w:rPr>
                <w:rFonts w:hint="eastAsia"/>
                <w:color w:val="000000"/>
                <w:lang w:bidi="ta-IN"/>
              </w:rPr>
              <w:t>较</w:t>
            </w:r>
            <w:r>
              <w:rPr>
                <w:color w:val="000000"/>
                <w:lang w:bidi="ta-IN"/>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公共配套设施</w:t>
            </w:r>
          </w:p>
        </w:tc>
        <w:tc>
          <w:tcPr>
            <w:tcW w:w="7291"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w:t>
            </w:r>
            <w:r>
              <w:rPr>
                <w:rFonts w:hint="eastAsia"/>
                <w:color w:val="000000"/>
                <w:lang w:bidi="ta-IN"/>
              </w:rPr>
              <w:t>所在区域有学校、医院、银行、农贸市场等</w:t>
            </w:r>
            <w:r>
              <w:rPr>
                <w:color w:val="000000"/>
                <w:lang w:bidi="ta-IN"/>
              </w:rPr>
              <w:t>公共配套设施</w:t>
            </w:r>
            <w:r>
              <w:rPr>
                <w:rFonts w:hint="eastAsia"/>
                <w:color w:val="000000"/>
                <w:lang w:bidi="ta-IN"/>
              </w:rPr>
              <w:t>，周边</w:t>
            </w:r>
            <w:r>
              <w:rPr>
                <w:color w:val="000000"/>
                <w:lang w:bidi="ta-IN"/>
              </w:rPr>
              <w:t>公共配套</w:t>
            </w:r>
            <w:r>
              <w:rPr>
                <w:rFonts w:hint="eastAsia"/>
                <w:color w:val="000000"/>
                <w:lang w:bidi="ta-IN"/>
              </w:rPr>
              <w:t>状况较优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（5）区位状况分析</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515" w:type="dxa"/>
            <w:vAlign w:val="center"/>
          </w:tcPr>
          <w:p>
            <w:pPr>
              <w:jc w:val="center"/>
              <w:rPr>
                <w:szCs w:val="21"/>
                <w:lang w:bidi="ta-IN"/>
              </w:rPr>
            </w:pPr>
            <w:r>
              <w:rPr>
                <w:szCs w:val="21"/>
                <w:lang w:bidi="ta-IN"/>
              </w:rPr>
              <w:t>区位状况优劣性分析</w:t>
            </w:r>
          </w:p>
        </w:tc>
        <w:tc>
          <w:tcPr>
            <w:tcW w:w="7631" w:type="dxa"/>
            <w:vAlign w:val="center"/>
          </w:tcPr>
          <w:p>
            <w:pPr>
              <w:rPr>
                <w:szCs w:val="21"/>
                <w:lang w:bidi="ta-IN"/>
              </w:rPr>
            </w:pPr>
            <w:r>
              <w:rPr>
                <w:color w:val="000000"/>
                <w:lang w:bidi="ta-IN"/>
              </w:rPr>
              <w:t>估价对象位于</w:t>
            </w:r>
            <w:r>
              <w:rPr>
                <w:rFonts w:hint="eastAsia"/>
                <w:color w:val="000000"/>
                <w:lang w:eastAsia="zh-CN" w:bidi="ta-IN"/>
              </w:rPr>
              <w:t>泰州市高港区中建锦绣珑湾43号楼205室</w:t>
            </w:r>
            <w:r>
              <w:rPr>
                <w:color w:val="000000"/>
                <w:lang w:bidi="ta-IN"/>
              </w:rPr>
              <w:t>，</w:t>
            </w:r>
            <w:r>
              <w:rPr>
                <w:rFonts w:hint="eastAsia" w:ascii="宋体" w:hAnsi="宋体" w:cs="宋体"/>
                <w:lang w:bidi="ta-IN"/>
              </w:rPr>
              <w:t>该区段楼盘因开发规模相对较大，环境营造较佳，居住密度相对较低，生活配套设施较齐全，有利于估价对象作为住宅使用。</w:t>
            </w:r>
          </w:p>
        </w:tc>
      </w:tr>
      <w:bookmarkEnd w:id="63"/>
    </w:tbl>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64" w:name="_Toc382493624"/>
      <w:bookmarkStart w:id="65" w:name="_Toc77858024"/>
      <w:bookmarkStart w:id="66" w:name="_Toc155258967"/>
      <w:r>
        <w:rPr>
          <w:rFonts w:ascii="Times New Roman" w:hAnsi="Times New Roman" w:eastAsia="仿宋_GB2312"/>
          <w:sz w:val="28"/>
          <w:szCs w:val="28"/>
        </w:rPr>
        <w:t>价值时点</w:t>
      </w:r>
      <w:bookmarkEnd w:id="64"/>
      <w:bookmarkEnd w:id="6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67" w:name="_Toc288212022"/>
      <w:bookmarkStart w:id="68" w:name="_Toc289260253"/>
      <w:r>
        <w:rPr>
          <w:rFonts w:ascii="Times New Roman" w:hAnsi="Times New Roman" w:eastAsia="仿宋_GB2312"/>
          <w:sz w:val="28"/>
          <w:szCs w:val="28"/>
        </w:rPr>
        <w:instrText xml:space="preserve">5、估价时点</w:instrText>
      </w:r>
      <w:bookmarkEnd w:id="67"/>
      <w:bookmarkEnd w:id="68"/>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bookmarkEnd w:id="66"/>
    <w:p>
      <w:pPr>
        <w:pStyle w:val="39"/>
        <w:snapToGrid w:val="0"/>
        <w:spacing w:line="480" w:lineRule="exact"/>
        <w:ind w:firstLine="560" w:firstLineChars="200"/>
        <w:rPr>
          <w:rFonts w:hint="eastAsia" w:ascii="Times New Roman" w:eastAsia="仿宋_GB2312"/>
          <w:szCs w:val="28"/>
          <w:lang w:eastAsia="zh-CN"/>
        </w:rPr>
      </w:pPr>
      <w:r>
        <w:rPr>
          <w:rFonts w:hint="eastAsia" w:ascii="Times New Roman"/>
          <w:szCs w:val="28"/>
          <w:lang w:eastAsia="zh-CN"/>
        </w:rPr>
        <w:t>2022年09月29日</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69" w:name="_Toc382493625"/>
      <w:bookmarkStart w:id="70" w:name="_Toc77858025"/>
      <w:r>
        <w:rPr>
          <w:rFonts w:ascii="Times New Roman" w:hAnsi="Times New Roman" w:eastAsia="仿宋_GB2312"/>
          <w:sz w:val="28"/>
          <w:szCs w:val="28"/>
        </w:rPr>
        <w:t>价值类型</w:t>
      </w:r>
      <w:bookmarkEnd w:id="69"/>
      <w:bookmarkEnd w:id="70"/>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71" w:name="_Toc289260254"/>
      <w:bookmarkStart w:id="72" w:name="_Toc288212023"/>
      <w:r>
        <w:rPr>
          <w:rFonts w:ascii="Times New Roman" w:hAnsi="Times New Roman" w:eastAsia="仿宋_GB2312"/>
          <w:sz w:val="28"/>
          <w:szCs w:val="28"/>
        </w:rPr>
        <w:instrText xml:space="preserve">6、价值类型</w:instrText>
      </w:r>
      <w:bookmarkEnd w:id="71"/>
      <w:bookmarkEnd w:id="72"/>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adjustRightInd w:val="0"/>
        <w:snapToGrid w:val="0"/>
        <w:spacing w:line="480" w:lineRule="exact"/>
        <w:ind w:firstLine="560" w:firstLineChars="200"/>
        <w:rPr>
          <w:rFonts w:eastAsia="仿宋_GB2312"/>
          <w:sz w:val="28"/>
          <w:szCs w:val="28"/>
        </w:rPr>
      </w:pPr>
      <w:r>
        <w:rPr>
          <w:rFonts w:eastAsia="仿宋_GB2312"/>
          <w:sz w:val="28"/>
          <w:szCs w:val="28"/>
        </w:rPr>
        <w:t>1.</w:t>
      </w:r>
      <w:r>
        <w:t xml:space="preserve"> </w:t>
      </w:r>
      <w:r>
        <w:rPr>
          <w:rFonts w:eastAsia="仿宋_GB2312"/>
          <w:sz w:val="28"/>
          <w:szCs w:val="28"/>
        </w:rPr>
        <w:t>本报告的估价结果是指估价对象在价值时点</w:t>
      </w:r>
      <w:r>
        <w:rPr>
          <w:rFonts w:hint="eastAsia" w:eastAsia="仿宋_GB2312"/>
          <w:sz w:val="28"/>
          <w:szCs w:val="28"/>
          <w:lang w:eastAsia="zh-CN"/>
        </w:rPr>
        <w:t>二О二二年九月二十九日</w:t>
      </w:r>
      <w:r>
        <w:rPr>
          <w:rFonts w:eastAsia="仿宋_GB2312"/>
          <w:sz w:val="28"/>
          <w:szCs w:val="28"/>
        </w:rPr>
        <w:t>正常使用的条件下、土地开发程度为宗地红线内、外通路、通电、通讯、通上水、通下水、通气和宗地红线内场地平整、土地使用权剩余年限为</w:t>
      </w:r>
      <w:r>
        <w:rPr>
          <w:rFonts w:hint="eastAsia" w:eastAsia="仿宋_GB2312"/>
          <w:sz w:val="28"/>
          <w:szCs w:val="28"/>
          <w:lang w:eastAsia="zh-CN"/>
        </w:rPr>
        <w:t>60.54年</w:t>
      </w:r>
      <w:r>
        <w:rPr>
          <w:rFonts w:eastAsia="仿宋_GB2312"/>
          <w:sz w:val="28"/>
          <w:szCs w:val="28"/>
        </w:rPr>
        <w:t>（</w:t>
      </w:r>
      <w:r>
        <w:rPr>
          <w:rFonts w:hint="eastAsia" w:eastAsia="仿宋_GB2312"/>
          <w:sz w:val="28"/>
          <w:szCs w:val="28"/>
          <w:lang w:eastAsia="zh-CN"/>
        </w:rPr>
        <w:t>2022年09月29日</w:t>
      </w:r>
      <w:r>
        <w:rPr>
          <w:rFonts w:eastAsia="仿宋_GB2312"/>
          <w:sz w:val="28"/>
          <w:szCs w:val="28"/>
        </w:rPr>
        <w:t>至</w:t>
      </w:r>
      <w:r>
        <w:rPr>
          <w:rFonts w:hint="eastAsia" w:eastAsia="仿宋_GB2312"/>
          <w:sz w:val="28"/>
          <w:szCs w:val="28"/>
          <w:lang w:eastAsia="zh-CN"/>
        </w:rPr>
        <w:t>2083-03-30</w:t>
      </w:r>
      <w:r>
        <w:rPr>
          <w:rFonts w:hint="eastAsia" w:eastAsia="仿宋_GB2312"/>
          <w:sz w:val="28"/>
          <w:szCs w:val="28"/>
        </w:rPr>
        <w:t>日</w:t>
      </w:r>
      <w:r>
        <w:rPr>
          <w:rFonts w:eastAsia="仿宋_GB2312"/>
          <w:sz w:val="28"/>
          <w:szCs w:val="28"/>
        </w:rPr>
        <w:t>）、出让条件下的</w:t>
      </w:r>
      <w:r>
        <w:rPr>
          <w:rFonts w:hint="eastAsia" w:eastAsia="仿宋_GB2312"/>
          <w:sz w:val="28"/>
          <w:szCs w:val="28"/>
        </w:rPr>
        <w:t>住宅</w:t>
      </w:r>
      <w:r>
        <w:rPr>
          <w:rFonts w:eastAsia="仿宋_GB2312"/>
          <w:sz w:val="28"/>
          <w:szCs w:val="28"/>
        </w:rPr>
        <w:t>用途房地产市场价格。</w:t>
      </w:r>
    </w:p>
    <w:p>
      <w:pPr>
        <w:adjustRightInd w:val="0"/>
        <w:snapToGrid w:val="0"/>
        <w:spacing w:line="480" w:lineRule="exact"/>
        <w:ind w:firstLine="560" w:firstLineChars="200"/>
        <w:rPr>
          <w:rFonts w:eastAsia="仿宋_GB2312"/>
          <w:sz w:val="28"/>
          <w:szCs w:val="28"/>
        </w:rPr>
      </w:pPr>
      <w:r>
        <w:rPr>
          <w:rFonts w:eastAsia="仿宋_GB2312"/>
          <w:sz w:val="28"/>
          <w:szCs w:val="28"/>
        </w:rPr>
        <w:t>2.市场价格：</w:t>
      </w:r>
      <w:r>
        <w:rPr>
          <w:rFonts w:hint="eastAsia" w:eastAsia="仿宋_GB2312"/>
          <w:sz w:val="28"/>
          <w:szCs w:val="28"/>
        </w:rPr>
        <w:t>是指该种房地产在该时间的现实市场上的平均交易价格。</w:t>
      </w:r>
      <w:r>
        <w:rPr>
          <w:rFonts w:eastAsia="仿宋_GB2312"/>
          <w:sz w:val="28"/>
          <w:szCs w:val="28"/>
        </w:rPr>
        <w:t xml:space="preserve"> </w:t>
      </w:r>
    </w:p>
    <w:p>
      <w:pPr>
        <w:adjustRightInd w:val="0"/>
        <w:snapToGrid w:val="0"/>
        <w:spacing w:line="480" w:lineRule="exact"/>
        <w:ind w:firstLine="560" w:firstLineChars="200"/>
        <w:rPr>
          <w:rFonts w:eastAsia="仿宋_GB2312"/>
          <w:sz w:val="28"/>
          <w:szCs w:val="28"/>
        </w:rPr>
      </w:pPr>
      <w:r>
        <w:rPr>
          <w:rFonts w:eastAsia="仿宋_GB2312"/>
          <w:sz w:val="28"/>
          <w:szCs w:val="28"/>
        </w:rPr>
        <w:t>3.本报告价格货币单位均为人民币。</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73" w:name="_Toc155258970"/>
      <w:bookmarkStart w:id="74" w:name="_Toc77858026"/>
      <w:bookmarkStart w:id="75" w:name="_Toc382493627"/>
      <w:r>
        <w:rPr>
          <w:rFonts w:ascii="Times New Roman" w:hAnsi="Times New Roman" w:eastAsia="仿宋_GB2312"/>
          <w:sz w:val="28"/>
          <w:szCs w:val="28"/>
        </w:rPr>
        <w:t>估价原则</w:t>
      </w:r>
      <w:bookmarkEnd w:id="73"/>
      <w:bookmarkEnd w:id="74"/>
      <w:bookmarkEnd w:id="7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76" w:name="_Toc289260256"/>
      <w:bookmarkStart w:id="77" w:name="_Toc288212025"/>
      <w:r>
        <w:rPr>
          <w:rFonts w:ascii="Times New Roman" w:hAnsi="Times New Roman" w:eastAsia="仿宋_GB2312"/>
          <w:sz w:val="28"/>
          <w:szCs w:val="28"/>
        </w:rPr>
        <w:instrText xml:space="preserve">8、估价原则</w:instrText>
      </w:r>
      <w:bookmarkEnd w:id="76"/>
      <w:bookmarkEnd w:id="77"/>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pStyle w:val="39"/>
        <w:snapToGrid w:val="0"/>
        <w:spacing w:line="480" w:lineRule="exact"/>
        <w:ind w:firstLine="560" w:firstLineChars="200"/>
        <w:rPr>
          <w:rFonts w:ascii="Times New Roman"/>
          <w:szCs w:val="28"/>
        </w:rPr>
      </w:pPr>
      <w:r>
        <w:rPr>
          <w:rFonts w:ascii="Times New Roman"/>
          <w:szCs w:val="28"/>
        </w:rPr>
        <w:t>我们在本次估价时遵循了以下原则：</w:t>
      </w:r>
    </w:p>
    <w:p>
      <w:pPr>
        <w:pStyle w:val="39"/>
        <w:snapToGrid w:val="0"/>
        <w:spacing w:line="480" w:lineRule="exact"/>
        <w:ind w:firstLine="560" w:firstLineChars="200"/>
        <w:rPr>
          <w:rFonts w:ascii="Times New Roman"/>
          <w:szCs w:val="28"/>
        </w:rPr>
      </w:pPr>
      <w:r>
        <w:rPr>
          <w:rFonts w:hint="eastAsia" w:ascii="Times New Roman"/>
          <w:szCs w:val="28"/>
        </w:rPr>
        <w:t>1.</w:t>
      </w:r>
      <w:r>
        <w:rPr>
          <w:rFonts w:ascii="Times New Roman"/>
          <w:szCs w:val="28"/>
        </w:rPr>
        <w:t>独立、客观、公正原则</w:t>
      </w:r>
    </w:p>
    <w:p>
      <w:pPr>
        <w:pStyle w:val="39"/>
        <w:snapToGrid w:val="0"/>
        <w:spacing w:line="480" w:lineRule="exact"/>
        <w:ind w:firstLine="560" w:firstLineChars="200"/>
        <w:rPr>
          <w:rFonts w:ascii="Times New Roman"/>
          <w:szCs w:val="28"/>
        </w:rPr>
      </w:pPr>
      <w:r>
        <w:rPr>
          <w:rFonts w:ascii="Times New Roman"/>
          <w:szCs w:val="28"/>
        </w:rPr>
        <w:t>要求站在中立的立场上，实事求是、公平正直地评估出对各方估价利害关系人均是公平合理的价值或价格的原则。</w:t>
      </w:r>
    </w:p>
    <w:p>
      <w:pPr>
        <w:pStyle w:val="39"/>
        <w:snapToGrid w:val="0"/>
        <w:spacing w:line="480" w:lineRule="exact"/>
        <w:ind w:firstLine="560" w:firstLineChars="200"/>
        <w:rPr>
          <w:rFonts w:ascii="Times New Roman"/>
          <w:szCs w:val="28"/>
        </w:rPr>
      </w:pPr>
      <w:r>
        <w:rPr>
          <w:rFonts w:ascii="Times New Roman"/>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480" w:lineRule="exact"/>
        <w:ind w:firstLine="560" w:firstLineChars="200"/>
        <w:jc w:val="both"/>
        <w:rPr>
          <w:rFonts w:eastAsia="仿宋_GB2312"/>
          <w:sz w:val="28"/>
          <w:szCs w:val="28"/>
        </w:rPr>
      </w:pPr>
      <w:r>
        <w:rPr>
          <w:rFonts w:eastAsia="仿宋_GB2312"/>
          <w:sz w:val="28"/>
          <w:szCs w:val="28"/>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snapToGrid w:val="0"/>
        <w:spacing w:line="480" w:lineRule="exact"/>
        <w:ind w:firstLine="560" w:firstLineChars="200"/>
        <w:jc w:val="both"/>
        <w:rPr>
          <w:rFonts w:eastAsia="仿宋_GB2312"/>
          <w:sz w:val="28"/>
          <w:szCs w:val="28"/>
        </w:rPr>
      </w:pPr>
      <w:r>
        <w:rPr>
          <w:rFonts w:hint="eastAsia" w:eastAsia="仿宋_GB2312"/>
          <w:sz w:val="28"/>
          <w:szCs w:val="28"/>
        </w:rPr>
        <w:t>2.</w:t>
      </w:r>
      <w:r>
        <w:rPr>
          <w:rFonts w:eastAsia="仿宋_GB2312"/>
          <w:sz w:val="28"/>
          <w:szCs w:val="28"/>
        </w:rPr>
        <w:t>合法原则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要求估价结果是在依法判定的估价对象状况下的价值或价格的原则。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widowControl w:val="0"/>
        <w:snapToGrid w:val="0"/>
        <w:spacing w:line="480" w:lineRule="exact"/>
        <w:ind w:firstLine="560" w:firstLineChars="200"/>
        <w:jc w:val="both"/>
        <w:rPr>
          <w:rFonts w:eastAsia="仿宋_GB2312"/>
          <w:sz w:val="28"/>
          <w:szCs w:val="28"/>
        </w:rPr>
      </w:pPr>
      <w:r>
        <w:rPr>
          <w:rFonts w:eastAsia="仿宋_GB2312"/>
          <w:sz w:val="28"/>
          <w:szCs w:val="28"/>
        </w:rPr>
        <w:t>遵循合法原则并不意味着只有合法的房地产才能成为估价对象，而是指依法判定估价对象是哪种状况的房地产，就应将其作为那种状况的房地产来估价。</w:t>
      </w:r>
    </w:p>
    <w:p>
      <w:pPr>
        <w:widowControl w:val="0"/>
        <w:snapToGrid w:val="0"/>
        <w:spacing w:line="480" w:lineRule="exact"/>
        <w:ind w:firstLine="560" w:firstLineChars="200"/>
        <w:jc w:val="both"/>
        <w:rPr>
          <w:rFonts w:eastAsia="仿宋_GB2312"/>
          <w:sz w:val="28"/>
          <w:szCs w:val="28"/>
        </w:rPr>
      </w:pPr>
      <w:r>
        <w:rPr>
          <w:rFonts w:eastAsia="仿宋_GB2312"/>
          <w:kern w:val="2"/>
          <w:sz w:val="28"/>
          <w:szCs w:val="28"/>
        </w:rPr>
        <w:t>本次估价以估价对象合法用途为前提，根据估价委托人提供的合法权属证明等资料进行评估。</w:t>
      </w:r>
    </w:p>
    <w:p>
      <w:pPr>
        <w:snapToGrid w:val="0"/>
        <w:spacing w:line="480" w:lineRule="exact"/>
        <w:ind w:firstLine="560" w:firstLineChars="200"/>
        <w:rPr>
          <w:rFonts w:eastAsia="仿宋_GB2312"/>
          <w:sz w:val="28"/>
          <w:szCs w:val="28"/>
        </w:rPr>
      </w:pPr>
      <w:r>
        <w:rPr>
          <w:rFonts w:eastAsia="仿宋_GB2312"/>
          <w:sz w:val="28"/>
          <w:szCs w:val="28"/>
        </w:rPr>
        <w:t>3.价值时点原则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要求估价结果是在根据估价目的确定的某一特定时间的价值或价格的原则。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480" w:lineRule="exact"/>
        <w:ind w:firstLine="560" w:firstLineChars="200"/>
        <w:jc w:val="both"/>
        <w:rPr>
          <w:rFonts w:eastAsia="仿宋_GB2312"/>
          <w:caps/>
          <w:sz w:val="28"/>
          <w:szCs w:val="28"/>
        </w:rPr>
      </w:pPr>
      <w:r>
        <w:rPr>
          <w:rFonts w:eastAsia="仿宋_GB2312"/>
          <w:caps/>
          <w:sz w:val="28"/>
          <w:szCs w:val="28"/>
        </w:rPr>
        <w:t>本次估价以价值时点原则为前提，根据价值时点原则确定政府有关房地产的法律、法规、税收政策、估价标准等的发布、变更、实施日期等估价依据。估价结果是根据估价目的确定的价值时点对应的市场价格。</w:t>
      </w:r>
    </w:p>
    <w:p>
      <w:pPr>
        <w:snapToGrid w:val="0"/>
        <w:spacing w:line="480" w:lineRule="exact"/>
        <w:ind w:firstLine="560" w:firstLineChars="200"/>
        <w:rPr>
          <w:rFonts w:eastAsia="仿宋_GB2312"/>
          <w:sz w:val="28"/>
          <w:szCs w:val="28"/>
        </w:rPr>
      </w:pPr>
      <w:r>
        <w:rPr>
          <w:rFonts w:eastAsia="仿宋_GB2312"/>
          <w:sz w:val="28"/>
          <w:szCs w:val="28"/>
        </w:rPr>
        <w:t>4.替代原则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要求估价结果与估价对象的类似房地产在同等条件下的价值或价格偏差在合理范围内的原则。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widowControl w:val="0"/>
        <w:snapToGrid w:val="0"/>
        <w:spacing w:line="480" w:lineRule="exact"/>
        <w:ind w:firstLine="560" w:firstLineChars="200"/>
        <w:jc w:val="both"/>
        <w:rPr>
          <w:rFonts w:eastAsia="仿宋_GB2312"/>
          <w:sz w:val="28"/>
          <w:szCs w:val="28"/>
        </w:rPr>
      </w:pPr>
      <w:r>
        <w:rPr>
          <w:rFonts w:eastAsia="仿宋_GB2312"/>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480" w:lineRule="exact"/>
        <w:ind w:firstLine="560" w:firstLineChars="200"/>
        <w:rPr>
          <w:rFonts w:eastAsia="仿宋_GB2312"/>
          <w:sz w:val="28"/>
          <w:szCs w:val="28"/>
        </w:rPr>
      </w:pPr>
      <w:r>
        <w:rPr>
          <w:rFonts w:eastAsia="仿宋_GB2312"/>
          <w:sz w:val="28"/>
          <w:szCs w:val="28"/>
        </w:rPr>
        <w:t>5.最高最佳利用原则</w:t>
      </w:r>
    </w:p>
    <w:p>
      <w:pPr>
        <w:widowControl w:val="0"/>
        <w:snapToGrid w:val="0"/>
        <w:spacing w:line="480" w:lineRule="exact"/>
        <w:ind w:firstLine="528"/>
        <w:jc w:val="both"/>
        <w:rPr>
          <w:rFonts w:eastAsia="仿宋_GB2312"/>
          <w:sz w:val="28"/>
          <w:szCs w:val="28"/>
        </w:rPr>
      </w:pPr>
      <w:r>
        <w:rPr>
          <w:rFonts w:eastAsia="仿宋_GB2312"/>
          <w:sz w:val="28"/>
          <w:szCs w:val="28"/>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pPr>
        <w:widowControl w:val="0"/>
        <w:snapToGrid w:val="0"/>
        <w:spacing w:line="480" w:lineRule="exact"/>
        <w:ind w:firstLine="528"/>
        <w:jc w:val="both"/>
        <w:rPr>
          <w:rFonts w:eastAsia="仿宋_GB2312"/>
          <w:sz w:val="28"/>
          <w:szCs w:val="28"/>
        </w:rPr>
      </w:pPr>
      <w:r>
        <w:rPr>
          <w:rFonts w:eastAsia="仿宋_GB2312"/>
          <w:sz w:val="28"/>
          <w:szCs w:val="28"/>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pPr>
        <w:widowControl w:val="0"/>
        <w:snapToGrid w:val="0"/>
        <w:spacing w:line="480" w:lineRule="exact"/>
        <w:ind w:firstLine="528"/>
        <w:jc w:val="both"/>
        <w:rPr>
          <w:rFonts w:eastAsia="仿宋_GB2312"/>
          <w:sz w:val="28"/>
          <w:szCs w:val="28"/>
        </w:rPr>
      </w:pPr>
      <w:r>
        <w:rPr>
          <w:rFonts w:eastAsia="仿宋_GB2312"/>
          <w:sz w:val="28"/>
          <w:szCs w:val="28"/>
        </w:rPr>
        <w:t>（1）以维持现状、继续利用最为合理的，应选择该前提进行估价；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（2）以更新改造再予以利用最为合理的，应选择该前提进行估价；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（3）以改变用途再予以利用最为合理的，应选择该前提进行估价；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（4）以改变规模再予以利用最为合理的，应选择该前提进行估价；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（5）以重新开发再予以利用最为合理的，应选择该前提进行估价；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（6）其他情况，应采用上述前提的组合或其他特殊利用前提进行估价。</w:t>
      </w:r>
    </w:p>
    <w:p>
      <w:pPr>
        <w:widowControl w:val="0"/>
        <w:snapToGrid w:val="0"/>
        <w:spacing w:line="480" w:lineRule="exact"/>
        <w:ind w:firstLine="528"/>
        <w:jc w:val="both"/>
        <w:rPr>
          <w:rFonts w:eastAsia="仿宋_GB2312"/>
          <w:sz w:val="28"/>
          <w:szCs w:val="28"/>
        </w:rPr>
      </w:pPr>
      <w:r>
        <w:rPr>
          <w:rFonts w:eastAsia="仿宋_GB2312"/>
          <w:sz w:val="28"/>
          <w:szCs w:val="28"/>
        </w:rPr>
        <w:t>经研究分析，我们认为估价对象维持现状、继续利用为其最高最佳利用方式。这是因为：</w:t>
      </w:r>
    </w:p>
    <w:p>
      <w:pPr>
        <w:widowControl w:val="0"/>
        <w:snapToGrid w:val="0"/>
        <w:spacing w:line="480" w:lineRule="exact"/>
        <w:ind w:firstLine="528"/>
        <w:jc w:val="both"/>
        <w:rPr>
          <w:rFonts w:eastAsia="仿宋_GB2312"/>
          <w:sz w:val="28"/>
          <w:szCs w:val="28"/>
        </w:rPr>
      </w:pPr>
      <w:r>
        <w:rPr>
          <w:rFonts w:eastAsia="仿宋_GB2312"/>
          <w:sz w:val="28"/>
          <w:szCs w:val="28"/>
        </w:rPr>
        <w:t>（1）法律上允许。</w:t>
      </w:r>
      <w:r>
        <w:rPr>
          <w:rFonts w:hint="eastAsia" w:eastAsia="仿宋_GB2312"/>
          <w:sz w:val="28"/>
          <w:szCs w:val="28"/>
        </w:rPr>
        <w:t>根据估价委托人提供的《</w:t>
      </w:r>
      <w:r>
        <w:rPr>
          <w:rFonts w:hint="eastAsia" w:eastAsia="仿宋_GB2312"/>
          <w:sz w:val="28"/>
          <w:szCs w:val="28"/>
          <w:lang w:eastAsia="zh-CN"/>
        </w:rPr>
        <w:t>房地产权结果信息一览表</w:t>
      </w:r>
      <w:r>
        <w:rPr>
          <w:rFonts w:hint="eastAsia" w:eastAsia="仿宋_GB2312"/>
          <w:sz w:val="28"/>
          <w:szCs w:val="28"/>
        </w:rPr>
        <w:t>》</w:t>
      </w:r>
      <w:r>
        <w:rPr>
          <w:rFonts w:eastAsia="仿宋_GB2312"/>
          <w:sz w:val="28"/>
          <w:szCs w:val="28"/>
        </w:rPr>
        <w:t>，证载用途为</w:t>
      </w:r>
      <w:r>
        <w:rPr>
          <w:rFonts w:hint="eastAsia" w:eastAsia="仿宋_GB2312"/>
          <w:sz w:val="28"/>
          <w:szCs w:val="28"/>
        </w:rPr>
        <w:t>住宅</w:t>
      </w:r>
      <w:r>
        <w:rPr>
          <w:rFonts w:eastAsia="仿宋_GB2312"/>
          <w:sz w:val="28"/>
          <w:szCs w:val="28"/>
        </w:rPr>
        <w:t>，用途及建设规模已经确定；本次估价目的是为了解估价对象市场价格提供参考依据而评估房地产市场价格，应以合法原则为基础，从现有权属资料上看，估价对象从法律上暂时不具备更新改造、改变用途、规模或者重新开发再利用的可能。故维持现状、持续使用在法律上是允许的，符合合法原则；</w:t>
      </w:r>
    </w:p>
    <w:p>
      <w:pPr>
        <w:widowControl w:val="0"/>
        <w:snapToGrid w:val="0"/>
        <w:spacing w:line="480" w:lineRule="exact"/>
        <w:ind w:firstLine="528"/>
        <w:jc w:val="both"/>
        <w:rPr>
          <w:rFonts w:eastAsia="仿宋_GB2312"/>
          <w:sz w:val="28"/>
          <w:szCs w:val="28"/>
        </w:rPr>
      </w:pPr>
      <w:r>
        <w:rPr>
          <w:rFonts w:eastAsia="仿宋_GB2312"/>
          <w:sz w:val="28"/>
          <w:szCs w:val="28"/>
        </w:rPr>
        <w:t>（2）技术上可能。估价对象规划用途为</w:t>
      </w:r>
      <w:r>
        <w:rPr>
          <w:rFonts w:hint="eastAsia" w:eastAsia="仿宋_GB2312"/>
          <w:sz w:val="28"/>
          <w:szCs w:val="28"/>
        </w:rPr>
        <w:t>住宅</w:t>
      </w:r>
      <w:r>
        <w:rPr>
          <w:rFonts w:eastAsia="仿宋_GB2312"/>
          <w:sz w:val="28"/>
          <w:szCs w:val="28"/>
        </w:rPr>
        <w:t>，形状较规则、建筑规模及层高合理、维护保养情况较好。从实地查勘的情况来看，估价对象维持现状利用在技术上是非常适宜和可行的；</w:t>
      </w:r>
    </w:p>
    <w:p>
      <w:pPr>
        <w:widowControl w:val="0"/>
        <w:snapToGrid w:val="0"/>
        <w:spacing w:line="480" w:lineRule="exact"/>
        <w:ind w:firstLine="528"/>
        <w:jc w:val="both"/>
        <w:rPr>
          <w:rFonts w:eastAsia="仿宋_GB2312"/>
          <w:sz w:val="28"/>
          <w:szCs w:val="28"/>
        </w:rPr>
      </w:pPr>
      <w:r>
        <w:rPr>
          <w:rFonts w:eastAsia="仿宋_GB2312"/>
          <w:sz w:val="28"/>
          <w:szCs w:val="28"/>
        </w:rPr>
        <w:t>（3）财务上可行。估价对象已经投入使用，其产生的收益能够支持项目的正常运营，因此，本次估价采用维持现状用途来实现估价对象最高最佳价值在经济上是可行的；</w:t>
      </w:r>
    </w:p>
    <w:p>
      <w:pPr>
        <w:widowControl w:val="0"/>
        <w:snapToGrid w:val="0"/>
        <w:spacing w:line="480" w:lineRule="exact"/>
        <w:ind w:firstLine="528"/>
        <w:jc w:val="both"/>
        <w:rPr>
          <w:rFonts w:eastAsia="仿宋_GB2312"/>
          <w:sz w:val="28"/>
          <w:szCs w:val="28"/>
        </w:rPr>
      </w:pPr>
      <w:r>
        <w:rPr>
          <w:rFonts w:eastAsia="仿宋_GB2312"/>
          <w:sz w:val="28"/>
          <w:szCs w:val="28"/>
        </w:rPr>
        <w:t>（4）价值最大化。估价对象已取得相关权属资料，用途、规模已经确定，故维持现状、持续使用能在合法原则的前提下，使估价对象产生最高经济收益。</w:t>
      </w:r>
    </w:p>
    <w:p>
      <w:pPr>
        <w:snapToGrid w:val="0"/>
        <w:spacing w:line="480" w:lineRule="exact"/>
        <w:ind w:firstLine="560" w:firstLineChars="200"/>
        <w:rPr>
          <w:rFonts w:eastAsia="仿宋_GB2312"/>
          <w:sz w:val="28"/>
          <w:szCs w:val="28"/>
        </w:rPr>
      </w:pPr>
      <w:r>
        <w:rPr>
          <w:rFonts w:eastAsia="仿宋_GB2312"/>
          <w:sz w:val="28"/>
          <w:szCs w:val="28"/>
        </w:rPr>
        <w:t>综合以上分析，估价对象按其合法用途</w:t>
      </w:r>
      <w:r>
        <w:rPr>
          <w:rFonts w:hint="eastAsia" w:eastAsia="仿宋_GB2312"/>
          <w:sz w:val="28"/>
          <w:szCs w:val="28"/>
        </w:rPr>
        <w:t>住宅</w:t>
      </w:r>
      <w:r>
        <w:rPr>
          <w:rFonts w:eastAsia="仿宋_GB2312"/>
          <w:sz w:val="28"/>
          <w:szCs w:val="28"/>
        </w:rPr>
        <w:t>，维持现状利用为其法律上允许、技术上可能、经济上可行、价值最大化的最高最佳用途。</w:t>
      </w:r>
    </w:p>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78" w:name="_Toc77858027"/>
      <w:r>
        <w:rPr>
          <w:rFonts w:ascii="Times New Roman" w:hAnsi="Times New Roman" w:eastAsia="仿宋_GB2312"/>
          <w:sz w:val="28"/>
          <w:szCs w:val="28"/>
        </w:rPr>
        <w:t>估价依据</w:t>
      </w:r>
      <w:bookmarkEnd w:id="78"/>
      <w:r>
        <w:rPr>
          <w:rFonts w:ascii="Times New Roman" w:hAnsi="Times New Roman" w:eastAsia="仿宋_GB2312"/>
          <w:kern w:val="2"/>
          <w:sz w:val="28"/>
          <w:szCs w:val="28"/>
        </w:rPr>
        <w:fldChar w:fldCharType="begin"/>
      </w:r>
      <w:r>
        <w:rPr>
          <w:rFonts w:ascii="Times New Roman" w:hAnsi="Times New Roman" w:eastAsia="仿宋_GB2312"/>
          <w:kern w:val="2"/>
          <w:sz w:val="28"/>
          <w:szCs w:val="28"/>
        </w:rPr>
        <w:instrText xml:space="preserve"> TC "</w:instrText>
      </w:r>
      <w:bookmarkStart w:id="79" w:name="_Toc289260255"/>
      <w:bookmarkStart w:id="80" w:name="_Toc288212024"/>
      <w:r>
        <w:rPr>
          <w:rFonts w:ascii="Times New Roman" w:hAnsi="Times New Roman" w:eastAsia="仿宋_GB2312"/>
          <w:kern w:val="2"/>
          <w:sz w:val="28"/>
          <w:szCs w:val="28"/>
        </w:rPr>
        <w:instrText xml:space="preserve">7、估价依据</w:instrText>
      </w:r>
      <w:bookmarkEnd w:id="79"/>
      <w:bookmarkEnd w:id="80"/>
      <w:r>
        <w:rPr>
          <w:rFonts w:ascii="Times New Roman" w:hAnsi="Times New Roman" w:eastAsia="仿宋_GB2312"/>
          <w:kern w:val="2"/>
          <w:sz w:val="28"/>
          <w:szCs w:val="28"/>
        </w:rPr>
        <w:instrText xml:space="preserve">" \f C \l "2" </w:instrText>
      </w:r>
      <w:r>
        <w:rPr>
          <w:rFonts w:ascii="Times New Roman" w:hAnsi="Times New Roman" w:eastAsia="仿宋_GB2312"/>
          <w:kern w:val="2"/>
          <w:sz w:val="28"/>
          <w:szCs w:val="28"/>
        </w:rPr>
        <w:fldChar w:fldCharType="end"/>
      </w:r>
    </w:p>
    <w:p>
      <w:pPr>
        <w:numPr>
          <w:ilvl w:val="1"/>
          <w:numId w:val="4"/>
        </w:numPr>
        <w:snapToGrid w:val="0"/>
        <w:spacing w:line="480" w:lineRule="exact"/>
        <w:ind w:left="567" w:firstLine="0"/>
        <w:rPr>
          <w:rFonts w:eastAsia="仿宋_GB2312"/>
          <w:sz w:val="28"/>
          <w:szCs w:val="28"/>
        </w:rPr>
      </w:pPr>
      <w:r>
        <w:rPr>
          <w:rFonts w:eastAsia="仿宋_GB2312"/>
          <w:caps/>
          <w:sz w:val="28"/>
        </w:rPr>
        <w:t>法律、法规和政策性文件</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w:t>
      </w:r>
      <w:r>
        <w:rPr>
          <w:rFonts w:eastAsia="仿宋_GB2312"/>
          <w:sz w:val="28"/>
          <w:szCs w:val="28"/>
        </w:rPr>
        <w:t>《中华人民共和国</w:t>
      </w:r>
      <w:r>
        <w:rPr>
          <w:rFonts w:hint="eastAsia" w:eastAsia="仿宋_GB2312"/>
          <w:sz w:val="28"/>
          <w:szCs w:val="28"/>
        </w:rPr>
        <w:t>民法典</w:t>
      </w:r>
      <w:r>
        <w:rPr>
          <w:rFonts w:eastAsia="仿宋_GB2312"/>
          <w:sz w:val="28"/>
          <w:szCs w:val="28"/>
        </w:rPr>
        <w:t>》（中华人民共和国主席令第</w:t>
      </w:r>
      <w:r>
        <w:rPr>
          <w:rFonts w:hint="eastAsia" w:eastAsia="仿宋_GB2312"/>
          <w:sz w:val="28"/>
          <w:szCs w:val="28"/>
        </w:rPr>
        <w:t>45</w:t>
      </w:r>
      <w:r>
        <w:rPr>
          <w:rFonts w:eastAsia="仿宋_GB2312"/>
          <w:sz w:val="28"/>
          <w:szCs w:val="28"/>
        </w:rPr>
        <w:t>号、20</w:t>
      </w:r>
      <w:r>
        <w:rPr>
          <w:rFonts w:hint="eastAsia" w:eastAsia="仿宋_GB2312"/>
          <w:sz w:val="28"/>
          <w:szCs w:val="28"/>
        </w:rPr>
        <w:t>21</w:t>
      </w:r>
      <w:r>
        <w:rPr>
          <w:rFonts w:eastAsia="仿宋_GB2312"/>
          <w:sz w:val="28"/>
          <w:szCs w:val="28"/>
        </w:rPr>
        <w:t>年</w:t>
      </w:r>
      <w:r>
        <w:rPr>
          <w:rFonts w:hint="eastAsia" w:eastAsia="仿宋_GB2312"/>
          <w:sz w:val="28"/>
          <w:szCs w:val="28"/>
        </w:rPr>
        <w:t>1</w:t>
      </w:r>
      <w:r>
        <w:rPr>
          <w:rFonts w:eastAsia="仿宋_GB2312"/>
          <w:sz w:val="28"/>
          <w:szCs w:val="28"/>
        </w:rPr>
        <w:t xml:space="preserve">月1日起施行）； </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1.2</w:t>
      </w:r>
      <w:r>
        <w:rPr>
          <w:rFonts w:eastAsia="仿宋_GB2312"/>
          <w:sz w:val="28"/>
        </w:rPr>
        <w:t>《中华人民共和国城市房地产管理法》（2019年8月26日第十三届全国人民代表大会常务委员会第十二次会议修订，2020年01月01日施行）</w:t>
      </w:r>
      <w:r>
        <w:rPr>
          <w:rFonts w:eastAsia="仿宋_GB2312"/>
          <w:sz w:val="28"/>
          <w:szCs w:val="28"/>
        </w:rPr>
        <w:t>；</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1.3</w:t>
      </w:r>
      <w:r>
        <w:rPr>
          <w:rFonts w:eastAsia="仿宋_GB2312"/>
          <w:sz w:val="28"/>
        </w:rPr>
        <w:t>《中华人民共和国土地管理法》（2019年8月26日第十三届全国人民代表大会常务委员会第十二次会议修订，2020年01月01日施行）</w:t>
      </w:r>
      <w:r>
        <w:rPr>
          <w:rFonts w:eastAsia="仿宋_GB2312"/>
          <w:sz w:val="28"/>
          <w:szCs w:val="28"/>
        </w:rPr>
        <w:t>；</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1.4</w:t>
      </w:r>
      <w:r>
        <w:rPr>
          <w:rFonts w:eastAsia="仿宋_GB2312"/>
          <w:sz w:val="28"/>
        </w:rPr>
        <w:t>《中华人民共和国土地管理法实施条例》（2021年4月21日，国务院第132次会议修订通过</w:t>
      </w:r>
      <w:r>
        <w:rPr>
          <w:rFonts w:hint="eastAsia" w:eastAsia="仿宋_GB2312"/>
          <w:sz w:val="28"/>
        </w:rPr>
        <w:t>,</w:t>
      </w:r>
      <w:r>
        <w:rPr>
          <w:rFonts w:eastAsia="仿宋_GB2312"/>
          <w:sz w:val="28"/>
        </w:rPr>
        <w:t xml:space="preserve"> 自2021年9月1日起施行）；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1.5</w:t>
      </w:r>
      <w:r>
        <w:rPr>
          <w:rFonts w:eastAsia="仿宋_GB2312"/>
          <w:sz w:val="28"/>
          <w:szCs w:val="28"/>
        </w:rPr>
        <w:t>《中华人民共和国城镇国有土地使用权出让和转让暂行条例》（国务院[90]55号令、1990年5月19日起施行），《国务院关于修改和废止部分行政法规的决定》（2020年11月29日修订）；</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1.6</w:t>
      </w:r>
      <w:r>
        <w:rPr>
          <w:rFonts w:eastAsia="仿宋_GB2312"/>
          <w:sz w:val="28"/>
          <w:szCs w:val="28"/>
        </w:rPr>
        <w:t>《全国人民代表大会常务委员会关于</w:t>
      </w:r>
      <w:r>
        <w:fldChar w:fldCharType="begin"/>
      </w:r>
      <w:r>
        <w:instrText xml:space="preserve"> HYPERLINK "http://www.lawtime.cn/info/zhuanti/2010071543481.html" \t "_blank" </w:instrText>
      </w:r>
      <w:r>
        <w:fldChar w:fldCharType="separate"/>
      </w:r>
      <w:r>
        <w:rPr>
          <w:rFonts w:eastAsia="仿宋_GB2312"/>
          <w:sz w:val="28"/>
          <w:szCs w:val="28"/>
        </w:rPr>
        <w:t>司法鉴定</w:t>
      </w:r>
      <w:r>
        <w:rPr>
          <w:rFonts w:eastAsia="仿宋_GB2312"/>
          <w:sz w:val="28"/>
          <w:szCs w:val="28"/>
        </w:rPr>
        <w:fldChar w:fldCharType="end"/>
      </w:r>
      <w:r>
        <w:rPr>
          <w:rFonts w:eastAsia="仿宋_GB2312"/>
          <w:sz w:val="28"/>
          <w:szCs w:val="28"/>
        </w:rPr>
        <w:t>管理问题的决定》（2005年2月28日第十届全国人民代表大会常务委员会第十四次会议通过，自2005年10月1日起施行）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1.7《司法鉴定程序通则》（中华人民共和国司法部令第132号，2015年12月24日司法部部务会议修订通过，自2016年05月01日起施行）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1.8</w:t>
      </w:r>
      <w:r>
        <w:rPr>
          <w:rFonts w:hint="eastAsia" w:eastAsia="仿宋_GB2312"/>
          <w:sz w:val="28"/>
        </w:rPr>
        <w:t>《最高人民法院关于人民法院确定财产处置参考价若干问题的规定》（2018年8月28日最高人民法院法释[2018]15号公布，自2018年9月1日起施行）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1.9</w:t>
      </w:r>
      <w:r>
        <w:rPr>
          <w:rFonts w:eastAsia="仿宋_GB2312"/>
          <w:sz w:val="28"/>
          <w:szCs w:val="28"/>
        </w:rPr>
        <w:t>《最高人民法院关于人民法院委托评估、拍卖和变卖工作的若干规定》（法释[2009]16号，2009年8月24日最高人民法院审判委员会第1472次会议通过，自2009年11月20日起施行）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1.10《人民法院委托评估工作规范》（法办[2018]273号） 国务院、住建部以及国土资源部颁布的有关法律法规文件国务院、住建部以及国土资源部颁布的有关法律法规文件</w:t>
      </w:r>
      <w:r>
        <w:rPr>
          <w:rFonts w:eastAsia="仿宋_GB2312"/>
          <w:sz w:val="28"/>
          <w:szCs w:val="28"/>
        </w:rPr>
        <w:t xml:space="preserve"> 国务院、住建部以及国土资源部颁布的有关法律法规文件</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1.11</w:t>
      </w:r>
      <w:r>
        <w:rPr>
          <w:rFonts w:eastAsia="仿宋_GB2312"/>
          <w:sz w:val="28"/>
          <w:szCs w:val="28"/>
        </w:rPr>
        <w:t>涉执房地产处置司法评估指导意见（试行）</w:t>
      </w:r>
      <w:r>
        <w:rPr>
          <w:rFonts w:hint="eastAsia" w:eastAsia="仿宋_GB2312"/>
          <w:sz w:val="28"/>
          <w:szCs w:val="28"/>
        </w:rPr>
        <w:t>中房学[2021]37号</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1.12</w:t>
      </w:r>
      <w:r>
        <w:rPr>
          <w:rFonts w:eastAsia="仿宋_GB2312"/>
          <w:sz w:val="28"/>
          <w:szCs w:val="28"/>
        </w:rPr>
        <w:t>《中华人民共和国资产评估法》（2016年12月1日施行）；</w:t>
      </w:r>
    </w:p>
    <w:p>
      <w:pPr>
        <w:numPr>
          <w:ilvl w:val="1"/>
          <w:numId w:val="4"/>
        </w:numPr>
        <w:snapToGrid w:val="0"/>
        <w:spacing w:line="480" w:lineRule="exact"/>
        <w:ind w:left="567" w:firstLine="0"/>
        <w:rPr>
          <w:rFonts w:eastAsia="仿宋_GB2312"/>
          <w:caps/>
          <w:sz w:val="28"/>
        </w:rPr>
      </w:pPr>
      <w:r>
        <w:rPr>
          <w:rFonts w:eastAsia="仿宋_GB2312"/>
          <w:caps/>
          <w:sz w:val="28"/>
        </w:rPr>
        <w:t>技术标准、规程、规范</w:t>
      </w:r>
    </w:p>
    <w:p>
      <w:pPr>
        <w:widowControl w:val="0"/>
        <w:numPr>
          <w:ilvl w:val="0"/>
          <w:numId w:val="5"/>
        </w:numPr>
        <w:snapToGrid w:val="0"/>
        <w:spacing w:line="480" w:lineRule="exact"/>
        <w:jc w:val="both"/>
        <w:rPr>
          <w:rFonts w:eastAsia="仿宋_GB2312"/>
          <w:caps/>
          <w:sz w:val="28"/>
        </w:rPr>
      </w:pPr>
      <w:r>
        <w:rPr>
          <w:rFonts w:eastAsia="仿宋_GB2312"/>
          <w:caps/>
          <w:sz w:val="28"/>
          <w:szCs w:val="28"/>
        </w:rPr>
        <w:t>《房地产估价基本术语标准》（GB/T50899-2013、中华人民共和国住房和城乡建设部、中华人民共和国国家质量监督检验检疫总局2013年6月26日联合发布、2014年2月1日实施）</w:t>
      </w:r>
      <w:r>
        <w:rPr>
          <w:rFonts w:eastAsia="仿宋_GB2312"/>
          <w:caps/>
          <w:sz w:val="28"/>
        </w:rPr>
        <w:t>；</w:t>
      </w:r>
    </w:p>
    <w:p>
      <w:pPr>
        <w:widowControl w:val="0"/>
        <w:numPr>
          <w:ilvl w:val="0"/>
          <w:numId w:val="5"/>
        </w:numPr>
        <w:snapToGrid w:val="0"/>
        <w:spacing w:line="480" w:lineRule="exact"/>
        <w:jc w:val="both"/>
        <w:rPr>
          <w:rFonts w:eastAsia="仿宋_GB2312"/>
          <w:caps/>
          <w:sz w:val="28"/>
        </w:rPr>
      </w:pPr>
      <w:r>
        <w:rPr>
          <w:rFonts w:eastAsia="仿宋_GB2312"/>
          <w:caps/>
          <w:sz w:val="28"/>
          <w:szCs w:val="28"/>
        </w:rPr>
        <w:t>《城镇土地估价规程》（GB/T18508-2014、中华人民共和国国家质量监督检验检疫总局、中国国家标准化管理委员会2014年7月24日发布、2014年12月1日实施）</w:t>
      </w:r>
      <w:r>
        <w:rPr>
          <w:rFonts w:eastAsia="仿宋_GB2312"/>
          <w:caps/>
          <w:sz w:val="28"/>
        </w:rPr>
        <w:t>；</w:t>
      </w:r>
    </w:p>
    <w:p>
      <w:pPr>
        <w:widowControl w:val="0"/>
        <w:numPr>
          <w:ilvl w:val="0"/>
          <w:numId w:val="5"/>
        </w:numPr>
        <w:snapToGrid w:val="0"/>
        <w:spacing w:line="480" w:lineRule="exact"/>
        <w:jc w:val="both"/>
        <w:rPr>
          <w:rFonts w:eastAsia="仿宋_GB2312"/>
          <w:caps/>
          <w:sz w:val="28"/>
        </w:rPr>
      </w:pPr>
      <w:r>
        <w:rPr>
          <w:rFonts w:eastAsia="仿宋_GB2312"/>
          <w:caps/>
          <w:sz w:val="28"/>
          <w:szCs w:val="28"/>
        </w:rPr>
        <w:t>《房地产估价规范》（GB/T50291-2015、中华人民共和国住房和城乡建设部、中华人民共和国国家质量监督检验检疫总局联合发布、2015年4月8日发布、2015年12月1日实施）</w:t>
      </w:r>
      <w:r>
        <w:rPr>
          <w:rFonts w:hint="eastAsia" w:eastAsia="仿宋_GB2312"/>
          <w:caps/>
          <w:sz w:val="28"/>
          <w:szCs w:val="28"/>
        </w:rPr>
        <w:t>；</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《国土空间调查、规划、用途管制用地用海分类指南（试行）》（2020）；</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中华人民共和国自然资源部发布的《自然资源分等定级通则》（TD/T 1060-2021）；</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中华人民共和国自然资源部发布的《自然资源价格评估通则》（TD/T 1061-2021）。</w:t>
      </w:r>
    </w:p>
    <w:p>
      <w:pPr>
        <w:numPr>
          <w:ilvl w:val="1"/>
          <w:numId w:val="4"/>
        </w:numPr>
        <w:snapToGrid w:val="0"/>
        <w:spacing w:line="480" w:lineRule="exact"/>
        <w:ind w:left="567" w:firstLine="0"/>
        <w:rPr>
          <w:rFonts w:eastAsia="仿宋_GB2312"/>
          <w:caps/>
          <w:sz w:val="28"/>
        </w:rPr>
      </w:pPr>
      <w:r>
        <w:rPr>
          <w:rFonts w:eastAsia="仿宋_GB2312"/>
          <w:caps/>
          <w:sz w:val="28"/>
        </w:rPr>
        <w:t>估价委托人提供的有关资料</w:t>
      </w:r>
    </w:p>
    <w:p>
      <w:pPr>
        <w:widowControl w:val="0"/>
        <w:numPr>
          <w:ilvl w:val="0"/>
          <w:numId w:val="6"/>
        </w:numPr>
        <w:snapToGrid w:val="0"/>
        <w:spacing w:line="480" w:lineRule="exact"/>
        <w:jc w:val="both"/>
        <w:rPr>
          <w:rFonts w:eastAsia="仿宋_GB2312"/>
          <w:caps/>
          <w:sz w:val="28"/>
        </w:rPr>
      </w:pPr>
      <w:r>
        <w:rPr>
          <w:rFonts w:hint="eastAsia" w:eastAsia="仿宋_GB2312"/>
          <w:caps/>
          <w:sz w:val="28"/>
        </w:rPr>
        <w:t>《司法评估委托书》复印件；</w:t>
      </w:r>
    </w:p>
    <w:p>
      <w:pPr>
        <w:widowControl w:val="0"/>
        <w:numPr>
          <w:ilvl w:val="0"/>
          <w:numId w:val="6"/>
        </w:numPr>
        <w:snapToGrid w:val="0"/>
        <w:spacing w:line="480" w:lineRule="exact"/>
        <w:jc w:val="both"/>
        <w:rPr>
          <w:rFonts w:eastAsia="仿宋_GB2312"/>
          <w:caps/>
          <w:sz w:val="28"/>
        </w:rPr>
      </w:pPr>
      <w:r>
        <w:rPr>
          <w:rFonts w:hint="eastAsia" w:eastAsia="仿宋_GB2312"/>
          <w:caps/>
          <w:sz w:val="28"/>
        </w:rPr>
        <w:t>估价对象</w:t>
      </w:r>
      <w:r>
        <w:rPr>
          <w:rFonts w:eastAsia="仿宋_GB2312"/>
          <w:caps/>
          <w:sz w:val="28"/>
        </w:rPr>
        <w:t>《</w:t>
      </w:r>
      <w:r>
        <w:rPr>
          <w:rFonts w:hint="eastAsia" w:eastAsia="仿宋_GB2312"/>
          <w:caps/>
          <w:sz w:val="28"/>
          <w:lang w:eastAsia="zh-CN"/>
        </w:rPr>
        <w:t>房地产权结果信息一览表</w:t>
      </w:r>
      <w:r>
        <w:rPr>
          <w:rFonts w:eastAsia="仿宋_GB2312"/>
          <w:caps/>
          <w:sz w:val="28"/>
        </w:rPr>
        <w:t>》</w:t>
      </w:r>
      <w:r>
        <w:rPr>
          <w:rFonts w:hint="eastAsia" w:eastAsia="仿宋_GB2312"/>
          <w:caps/>
          <w:sz w:val="28"/>
        </w:rPr>
        <w:t>复印件；</w:t>
      </w:r>
    </w:p>
    <w:p>
      <w:pPr>
        <w:widowControl w:val="0"/>
        <w:numPr>
          <w:ilvl w:val="0"/>
          <w:numId w:val="6"/>
        </w:numPr>
        <w:snapToGrid w:val="0"/>
        <w:spacing w:line="480" w:lineRule="exact"/>
        <w:jc w:val="both"/>
        <w:rPr>
          <w:rFonts w:eastAsia="仿宋_GB2312"/>
          <w:caps/>
          <w:sz w:val="28"/>
        </w:rPr>
      </w:pPr>
      <w:r>
        <w:rPr>
          <w:rStyle w:val="54"/>
          <w:rFonts w:eastAsia="仿宋_GB2312"/>
          <w:caps/>
          <w:color w:val="000000"/>
          <w:sz w:val="28"/>
          <w:szCs w:val="28"/>
          <w:u w:val="none"/>
        </w:rPr>
        <w:t>估价对象</w:t>
      </w:r>
      <w:r>
        <w:rPr>
          <w:rFonts w:hint="eastAsia" w:eastAsia="仿宋_GB2312"/>
          <w:sz w:val="28"/>
          <w:szCs w:val="28"/>
          <w:lang w:eastAsia="zh-CN"/>
        </w:rPr>
        <w:t>《房屋分户面积测量报告书》</w:t>
      </w:r>
      <w:r>
        <w:rPr>
          <w:rStyle w:val="54"/>
          <w:rFonts w:eastAsia="仿宋_GB2312"/>
          <w:caps/>
          <w:color w:val="000000"/>
          <w:sz w:val="28"/>
          <w:szCs w:val="28"/>
          <w:u w:val="none"/>
        </w:rPr>
        <w:t>复印件</w:t>
      </w:r>
      <w:r>
        <w:rPr>
          <w:rStyle w:val="54"/>
          <w:rFonts w:hint="eastAsia" w:eastAsia="仿宋_GB2312"/>
          <w:caps/>
          <w:color w:val="000000"/>
          <w:sz w:val="28"/>
          <w:szCs w:val="28"/>
          <w:u w:val="none"/>
          <w:lang w:val="en-US" w:eastAsia="zh-CN"/>
        </w:rPr>
        <w:t>。</w:t>
      </w:r>
    </w:p>
    <w:p>
      <w:pPr>
        <w:numPr>
          <w:ilvl w:val="1"/>
          <w:numId w:val="4"/>
        </w:numPr>
        <w:snapToGrid w:val="0"/>
        <w:spacing w:line="480" w:lineRule="exact"/>
        <w:ind w:left="567" w:firstLine="0"/>
        <w:rPr>
          <w:rFonts w:eastAsia="仿宋_GB2312"/>
          <w:caps/>
          <w:sz w:val="28"/>
        </w:rPr>
      </w:pPr>
      <w:r>
        <w:rPr>
          <w:rFonts w:eastAsia="仿宋_GB2312"/>
          <w:caps/>
          <w:sz w:val="28"/>
        </w:rPr>
        <w:t>估价机构和估价人员掌握和搜集的有关资料</w:t>
      </w:r>
    </w:p>
    <w:p>
      <w:pPr>
        <w:widowControl w:val="0"/>
        <w:numPr>
          <w:ilvl w:val="0"/>
          <w:numId w:val="7"/>
        </w:numPr>
        <w:snapToGrid w:val="0"/>
        <w:spacing w:line="480" w:lineRule="exact"/>
        <w:jc w:val="both"/>
        <w:rPr>
          <w:rFonts w:eastAsia="仿宋_GB2312"/>
          <w:caps/>
          <w:sz w:val="28"/>
        </w:rPr>
      </w:pPr>
      <w:r>
        <w:rPr>
          <w:rFonts w:eastAsia="仿宋_GB2312"/>
          <w:caps/>
          <w:sz w:val="28"/>
        </w:rPr>
        <w:t>实地查勘、摄影和记录；</w:t>
      </w:r>
    </w:p>
    <w:p>
      <w:pPr>
        <w:widowControl w:val="0"/>
        <w:numPr>
          <w:ilvl w:val="0"/>
          <w:numId w:val="7"/>
        </w:numPr>
        <w:snapToGrid w:val="0"/>
        <w:spacing w:line="480" w:lineRule="exact"/>
        <w:jc w:val="both"/>
        <w:rPr>
          <w:rFonts w:eastAsia="仿宋_GB2312"/>
          <w:caps/>
          <w:sz w:val="28"/>
        </w:rPr>
      </w:pPr>
      <w:r>
        <w:rPr>
          <w:rFonts w:eastAsia="仿宋_GB2312"/>
          <w:caps/>
          <w:sz w:val="28"/>
        </w:rPr>
        <w:t>法定优先受偿权利调查；</w:t>
      </w:r>
    </w:p>
    <w:p>
      <w:pPr>
        <w:widowControl w:val="0"/>
        <w:numPr>
          <w:ilvl w:val="0"/>
          <w:numId w:val="7"/>
        </w:numPr>
        <w:snapToGrid w:val="0"/>
        <w:spacing w:line="480" w:lineRule="exact"/>
        <w:jc w:val="both"/>
        <w:rPr>
          <w:rFonts w:eastAsia="仿宋_GB2312"/>
          <w:caps/>
          <w:sz w:val="28"/>
        </w:rPr>
      </w:pPr>
      <w:r>
        <w:rPr>
          <w:rFonts w:hint="eastAsia" w:eastAsia="仿宋_GB2312"/>
          <w:caps/>
          <w:sz w:val="28"/>
          <w:lang w:val="en-US" w:eastAsia="zh-CN"/>
        </w:rPr>
        <w:t>泰州市高港区</w:t>
      </w:r>
      <w:r>
        <w:rPr>
          <w:rFonts w:eastAsia="仿宋_GB2312"/>
          <w:caps/>
          <w:sz w:val="28"/>
        </w:rPr>
        <w:t>房地产市场信息；</w:t>
      </w:r>
    </w:p>
    <w:p>
      <w:pPr>
        <w:widowControl w:val="0"/>
        <w:numPr>
          <w:ilvl w:val="0"/>
          <w:numId w:val="7"/>
        </w:numPr>
        <w:snapToGrid w:val="0"/>
        <w:spacing w:line="480" w:lineRule="exact"/>
        <w:jc w:val="both"/>
        <w:rPr>
          <w:rFonts w:eastAsia="仿宋_GB2312"/>
          <w:caps/>
          <w:sz w:val="28"/>
        </w:rPr>
      </w:pPr>
      <w:r>
        <w:rPr>
          <w:rFonts w:hint="eastAsia" w:eastAsia="仿宋_GB2312"/>
          <w:caps/>
          <w:sz w:val="28"/>
          <w:lang w:val="en-US" w:eastAsia="zh-CN"/>
        </w:rPr>
        <w:t>泰州市</w:t>
      </w:r>
      <w:r>
        <w:rPr>
          <w:rFonts w:eastAsia="仿宋_GB2312"/>
          <w:caps/>
          <w:sz w:val="28"/>
        </w:rPr>
        <w:t>建筑工程造价信息；</w:t>
      </w:r>
    </w:p>
    <w:p>
      <w:pPr>
        <w:widowControl w:val="0"/>
        <w:numPr>
          <w:ilvl w:val="0"/>
          <w:numId w:val="7"/>
        </w:numPr>
        <w:snapToGrid w:val="0"/>
        <w:spacing w:line="480" w:lineRule="exact"/>
        <w:jc w:val="both"/>
        <w:rPr>
          <w:rFonts w:eastAsia="仿宋_GB2312"/>
          <w:caps/>
          <w:sz w:val="28"/>
        </w:rPr>
      </w:pPr>
      <w:r>
        <w:rPr>
          <w:rFonts w:eastAsia="仿宋_GB2312"/>
          <w:caps/>
          <w:sz w:val="28"/>
        </w:rPr>
        <w:t>人民银行公布的资金存、贷款利率；</w:t>
      </w:r>
    </w:p>
    <w:p>
      <w:pPr>
        <w:widowControl w:val="0"/>
        <w:numPr>
          <w:ilvl w:val="0"/>
          <w:numId w:val="7"/>
        </w:numPr>
        <w:snapToGrid w:val="0"/>
        <w:spacing w:line="480" w:lineRule="exact"/>
        <w:jc w:val="both"/>
        <w:rPr>
          <w:rFonts w:eastAsia="仿宋_GB2312"/>
          <w:caps/>
          <w:sz w:val="28"/>
        </w:rPr>
      </w:pPr>
      <w:r>
        <w:rPr>
          <w:rFonts w:eastAsia="仿宋_GB2312"/>
          <w:caps/>
          <w:sz w:val="28"/>
        </w:rPr>
        <w:t>估价对象附近房地产投资回报状况；</w:t>
      </w:r>
    </w:p>
    <w:p>
      <w:pPr>
        <w:widowControl w:val="0"/>
        <w:numPr>
          <w:ilvl w:val="0"/>
          <w:numId w:val="7"/>
        </w:numPr>
        <w:snapToGrid w:val="0"/>
        <w:spacing w:line="480" w:lineRule="exact"/>
        <w:jc w:val="both"/>
        <w:rPr>
          <w:rFonts w:eastAsia="仿宋_GB2312"/>
          <w:caps/>
          <w:sz w:val="28"/>
        </w:rPr>
      </w:pPr>
      <w:r>
        <w:rPr>
          <w:rFonts w:eastAsia="仿宋_GB2312"/>
          <w:caps/>
          <w:sz w:val="28"/>
        </w:rPr>
        <w:t>估价机构及估价人员掌握的其他相关信息资料。</w:t>
      </w:r>
    </w:p>
    <w:p>
      <w:pPr>
        <w:pStyle w:val="3"/>
        <w:widowControl w:val="0"/>
        <w:numPr>
          <w:ilvl w:val="1"/>
          <w:numId w:val="3"/>
        </w:numPr>
        <w:snapToGrid w:val="0"/>
        <w:spacing w:before="240" w:after="0" w:line="400" w:lineRule="exact"/>
        <w:ind w:left="1791" w:hanging="1083"/>
        <w:rPr>
          <w:rFonts w:ascii="仿宋_GB2312" w:hAnsi="Times New Roman" w:eastAsia="仿宋_GB2312"/>
          <w:sz w:val="28"/>
          <w:szCs w:val="28"/>
        </w:rPr>
      </w:pPr>
      <w:bookmarkStart w:id="81" w:name="_Toc155258971"/>
      <w:bookmarkStart w:id="82" w:name="_Toc77858028"/>
      <w:bookmarkStart w:id="83" w:name="_Toc382493628"/>
      <w:r>
        <w:rPr>
          <w:rFonts w:hint="eastAsia" w:ascii="仿宋_GB2312" w:hAnsi="Times New Roman" w:eastAsia="仿宋_GB2312"/>
          <w:sz w:val="28"/>
          <w:szCs w:val="28"/>
        </w:rPr>
        <w:t>估价方法</w:t>
      </w:r>
      <w:bookmarkEnd w:id="81"/>
      <w:bookmarkEnd w:id="82"/>
      <w:bookmarkEnd w:id="83"/>
      <w:r>
        <w:rPr>
          <w:rFonts w:hint="eastAsia" w:ascii="仿宋_GB2312" w:hAnsi="Times New Roman" w:eastAsia="仿宋_GB2312"/>
          <w:sz w:val="28"/>
          <w:szCs w:val="28"/>
        </w:rPr>
        <w:fldChar w:fldCharType="begin"/>
      </w:r>
      <w:r>
        <w:rPr>
          <w:rFonts w:hint="eastAsia" w:ascii="仿宋_GB2312" w:hAnsi="Times New Roman" w:eastAsia="仿宋_GB2312"/>
          <w:sz w:val="28"/>
          <w:szCs w:val="28"/>
        </w:rPr>
        <w:instrText xml:space="preserve"> TC "</w:instrText>
      </w:r>
      <w:bookmarkStart w:id="84" w:name="_Toc289260257"/>
      <w:bookmarkStart w:id="85" w:name="_Toc288212026"/>
      <w:r>
        <w:rPr>
          <w:rFonts w:hint="eastAsia" w:ascii="仿宋_GB2312" w:hAnsi="Times New Roman" w:eastAsia="仿宋_GB2312"/>
          <w:sz w:val="28"/>
          <w:szCs w:val="28"/>
        </w:rPr>
        <w:instrText xml:space="preserve">9、估价方法</w:instrText>
      </w:r>
      <w:bookmarkEnd w:id="84"/>
      <w:bookmarkEnd w:id="85"/>
      <w:r>
        <w:rPr>
          <w:rFonts w:hint="eastAsia" w:ascii="仿宋_GB2312" w:hAnsi="Times New Roman" w:eastAsia="仿宋_GB2312"/>
          <w:sz w:val="28"/>
          <w:szCs w:val="28"/>
        </w:rPr>
        <w:instrText xml:space="preserve">" \f C \l "2" </w:instrText>
      </w:r>
      <w:r>
        <w:rPr>
          <w:rFonts w:hint="eastAsia" w:ascii="仿宋_GB2312" w:hAnsi="Times New Roman" w:eastAsia="仿宋_GB2312"/>
          <w:sz w:val="28"/>
          <w:szCs w:val="28"/>
        </w:rPr>
        <w:fldChar w:fldCharType="end"/>
      </w:r>
    </w:p>
    <w:p>
      <w:pPr>
        <w:pStyle w:val="39"/>
        <w:snapToGrid w:val="0"/>
        <w:spacing w:line="480" w:lineRule="exact"/>
        <w:ind w:firstLine="590"/>
        <w:rPr>
          <w:rFonts w:ascii="Times New Roman"/>
        </w:rPr>
      </w:pPr>
      <w:bookmarkStart w:id="86" w:name="_Toc155258972"/>
      <w:r>
        <w:rPr>
          <w:rFonts w:hint="eastAsia" w:eastAsia="仿宋_GB2312"/>
          <w:b/>
          <w:caps/>
          <w:sz w:val="28"/>
          <w:szCs w:val="22"/>
        </w:rPr>
        <w:t>（一）房地产估价方法</w:t>
      </w:r>
    </w:p>
    <w:p>
      <w:pPr>
        <w:pStyle w:val="39"/>
        <w:snapToGrid w:val="0"/>
        <w:spacing w:line="480" w:lineRule="exact"/>
        <w:ind w:firstLine="590"/>
        <w:rPr>
          <w:rFonts w:ascii="Times New Roman"/>
          <w:szCs w:val="28"/>
        </w:rPr>
      </w:pPr>
      <w:r>
        <w:rPr>
          <w:rFonts w:ascii="Times New Roman"/>
        </w:rPr>
        <w:t>根据《房地产估价规范》（</w:t>
      </w:r>
      <w:r>
        <w:rPr>
          <w:rFonts w:ascii="Times New Roman"/>
          <w:szCs w:val="28"/>
        </w:rPr>
        <w:t>GB/T 50291-2015</w:t>
      </w:r>
      <w:r>
        <w:rPr>
          <w:rFonts w:ascii="Times New Roman"/>
        </w:rPr>
        <w:t>），通行的估价方法有比较法、收益法、成本法、假设开发法等。</w:t>
      </w:r>
      <w:r>
        <w:rPr>
          <w:rFonts w:ascii="Times New Roman"/>
          <w:szCs w:val="28"/>
        </w:rPr>
        <w:t>估价方法的选择应根据当地房地产市场发育情况并结合估价对象的具体特点及估价目的等，选择适当的估价方法。</w:t>
      </w:r>
    </w:p>
    <w:p>
      <w:pPr>
        <w:adjustRightInd w:val="0"/>
        <w:snapToGrid w:val="0"/>
        <w:spacing w:line="480" w:lineRule="exact"/>
        <w:ind w:firstLine="562" w:firstLineChars="200"/>
        <w:rPr>
          <w:rFonts w:eastAsia="仿宋_GB2312"/>
          <w:b/>
          <w:sz w:val="28"/>
          <w:szCs w:val="28"/>
        </w:rPr>
      </w:pPr>
      <w:r>
        <w:rPr>
          <w:rFonts w:eastAsia="仿宋_GB2312"/>
          <w:b/>
          <w:sz w:val="28"/>
          <w:szCs w:val="28"/>
        </w:rPr>
        <w:t>1、方法选用分析</w:t>
      </w:r>
    </w:p>
    <w:p>
      <w:pPr>
        <w:pStyle w:val="39"/>
        <w:snapToGrid w:val="0"/>
        <w:spacing w:line="480" w:lineRule="exact"/>
        <w:ind w:firstLine="590"/>
        <w:rPr>
          <w:rFonts w:ascii="Times New Roman"/>
          <w:caps/>
          <w:szCs w:val="28"/>
        </w:rPr>
      </w:pPr>
      <w:r>
        <w:rPr>
          <w:rFonts w:ascii="Times New Roman"/>
        </w:rPr>
        <w:t>估价人员在认真分析所掌握的资料，并对估价对象进行了实地查勘以及对周边房地产市场进行调查后，根据《房地产估价规范》（</w:t>
      </w:r>
      <w:r>
        <w:rPr>
          <w:rFonts w:ascii="Times New Roman"/>
          <w:szCs w:val="28"/>
        </w:rPr>
        <w:t>GB/T 50291-2015</w:t>
      </w:r>
      <w:r>
        <w:rPr>
          <w:rFonts w:ascii="Times New Roman"/>
        </w:rPr>
        <w:t>）、</w:t>
      </w:r>
      <w:r>
        <w:rPr>
          <w:rFonts w:ascii="Times New Roman"/>
          <w:caps/>
        </w:rPr>
        <w:t>《房地产估价基本术语标准》（GB/T50899-2013）</w:t>
      </w:r>
      <w:r>
        <w:rPr>
          <w:rFonts w:ascii="Times New Roman"/>
        </w:rPr>
        <w:t>，遵照国家有关法律、法规、估价技术标准，经过反复研究，</w:t>
      </w:r>
      <w:r>
        <w:rPr>
          <w:szCs w:val="28"/>
        </w:rPr>
        <w:t>最终</w:t>
      </w:r>
      <w:r>
        <w:rPr>
          <w:rFonts w:hint="eastAsia"/>
          <w:szCs w:val="28"/>
        </w:rPr>
        <w:t>选取比较法</w:t>
      </w:r>
      <w:r>
        <w:rPr>
          <w:rFonts w:ascii="Times New Roman"/>
        </w:rPr>
        <w:t>对</w:t>
      </w:r>
      <w:r>
        <w:rPr>
          <w:rFonts w:ascii="Times New Roman"/>
          <w:caps/>
          <w:szCs w:val="28"/>
        </w:rPr>
        <w:t>估价对象</w:t>
      </w:r>
      <w:r>
        <w:rPr>
          <w:rFonts w:hint="eastAsia" w:ascii="Times New Roman"/>
          <w:caps/>
          <w:szCs w:val="28"/>
          <w:lang w:eastAsia="zh-CN"/>
        </w:rPr>
        <w:t>泰州市高港区中建锦绣珑湾43号楼205室</w:t>
      </w:r>
      <w:r>
        <w:rPr>
          <w:rFonts w:hint="eastAsia" w:ascii="Times New Roman"/>
          <w:caps/>
          <w:szCs w:val="28"/>
        </w:rPr>
        <w:t>住宅房地产</w:t>
      </w:r>
      <w:r>
        <w:rPr>
          <w:rFonts w:ascii="Times New Roman"/>
        </w:rPr>
        <w:t>进行估价，具体分析如下表：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975"/>
        <w:gridCol w:w="3616"/>
        <w:gridCol w:w="1004"/>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9" w:type="pct"/>
            <w:vAlign w:val="center"/>
          </w:tcPr>
          <w:p>
            <w:pPr>
              <w:pStyle w:val="28"/>
              <w:tabs>
                <w:tab w:val="left" w:pos="630"/>
              </w:tabs>
              <w:spacing w:after="0" w:line="300" w:lineRule="exact"/>
              <w:ind w:left="-26" w:leftChars="-71" w:hanging="116"/>
              <w:jc w:val="center"/>
              <w:rPr>
                <w:rFonts w:eastAsia="仿宋_GB2312"/>
                <w:b/>
                <w:bCs/>
              </w:rPr>
            </w:pPr>
            <w:bookmarkStart w:id="87" w:name="_Toc382493629"/>
            <w:r>
              <w:rPr>
                <w:rFonts w:eastAsia="仿宋_GB2312"/>
                <w:b/>
              </w:rPr>
              <w:t>可选估价方法</w:t>
            </w:r>
          </w:p>
        </w:tc>
        <w:tc>
          <w:tcPr>
            <w:tcW w:w="1625" w:type="pct"/>
            <w:vAlign w:val="center"/>
          </w:tcPr>
          <w:p>
            <w:pPr>
              <w:pStyle w:val="28"/>
              <w:tabs>
                <w:tab w:val="left" w:pos="630"/>
              </w:tabs>
              <w:spacing w:after="0" w:line="300" w:lineRule="exact"/>
              <w:ind w:left="0" w:leftChars="0"/>
              <w:jc w:val="center"/>
              <w:rPr>
                <w:rFonts w:eastAsia="仿宋_GB2312"/>
                <w:b/>
                <w:bCs/>
              </w:rPr>
            </w:pPr>
            <w:r>
              <w:rPr>
                <w:rFonts w:eastAsia="仿宋_GB2312"/>
                <w:b/>
              </w:rPr>
              <w:t>估价方法定义</w:t>
            </w:r>
          </w:p>
        </w:tc>
        <w:tc>
          <w:tcPr>
            <w:tcW w:w="1976" w:type="pct"/>
            <w:vAlign w:val="center"/>
          </w:tcPr>
          <w:p>
            <w:pPr>
              <w:pStyle w:val="28"/>
              <w:tabs>
                <w:tab w:val="left" w:pos="630"/>
              </w:tabs>
              <w:spacing w:after="0" w:line="300" w:lineRule="exact"/>
              <w:ind w:left="-12" w:leftChars="-6" w:firstLine="258"/>
              <w:jc w:val="center"/>
              <w:rPr>
                <w:rFonts w:eastAsia="仿宋_GB2312"/>
                <w:b/>
                <w:bCs/>
              </w:rPr>
            </w:pPr>
            <w:r>
              <w:rPr>
                <w:rFonts w:eastAsia="仿宋_GB2312"/>
                <w:b/>
                <w:bCs/>
              </w:rPr>
              <w:t>估价方法是否选择理由</w:t>
            </w:r>
          </w:p>
        </w:tc>
        <w:tc>
          <w:tcPr>
            <w:tcW w:w="549" w:type="pct"/>
            <w:vAlign w:val="center"/>
          </w:tcPr>
          <w:p>
            <w:pPr>
              <w:pStyle w:val="28"/>
              <w:tabs>
                <w:tab w:val="left" w:pos="630"/>
              </w:tabs>
              <w:spacing w:after="0" w:line="300" w:lineRule="exact"/>
              <w:ind w:left="-118" w:leftChars="-59"/>
              <w:jc w:val="center"/>
              <w:rPr>
                <w:rFonts w:eastAsia="仿宋_GB2312"/>
                <w:b/>
                <w:bCs/>
              </w:rPr>
            </w:pPr>
            <w:r>
              <w:rPr>
                <w:rFonts w:eastAsia="仿宋_GB2312"/>
                <w:b/>
                <w:bCs/>
              </w:rPr>
              <w:t>是否选取</w:t>
            </w:r>
          </w:p>
        </w:tc>
        <w:tc>
          <w:tcPr>
            <w:tcW w:w="348" w:type="pct"/>
            <w:vAlign w:val="center"/>
          </w:tcPr>
          <w:p>
            <w:pPr>
              <w:pStyle w:val="28"/>
              <w:tabs>
                <w:tab w:val="left" w:pos="630"/>
              </w:tabs>
              <w:spacing w:after="0" w:line="300" w:lineRule="exact"/>
              <w:ind w:left="0" w:leftChars="0"/>
              <w:jc w:val="center"/>
              <w:rPr>
                <w:rFonts w:eastAsia="仿宋_GB2312"/>
                <w:b/>
                <w:bCs/>
              </w:rPr>
            </w:pPr>
            <w:r>
              <w:rPr>
                <w:rFonts w:eastAsia="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9" w:type="pct"/>
            <w:vAlign w:val="center"/>
          </w:tcPr>
          <w:p>
            <w:pPr>
              <w:spacing w:line="300" w:lineRule="exact"/>
              <w:jc w:val="center"/>
              <w:rPr>
                <w:rFonts w:eastAsia="仿宋_GB2312"/>
                <w:b/>
                <w:bCs/>
              </w:rPr>
            </w:pPr>
            <w:r>
              <w:rPr>
                <w:rFonts w:eastAsia="仿宋_GB2312"/>
                <w:b/>
                <w:bCs/>
              </w:rPr>
              <w:t>比较法</w:t>
            </w:r>
          </w:p>
        </w:tc>
        <w:tc>
          <w:tcPr>
            <w:tcW w:w="1625" w:type="pct"/>
            <w:vAlign w:val="center"/>
          </w:tcPr>
          <w:p>
            <w:pPr>
              <w:spacing w:line="300" w:lineRule="exact"/>
              <w:jc w:val="center"/>
              <w:rPr>
                <w:rFonts w:eastAsia="仿宋_GB2312"/>
              </w:rPr>
            </w:pPr>
            <w:r>
              <w:rPr>
                <w:rFonts w:eastAsia="仿宋_GB2312"/>
              </w:rPr>
              <w:t>选取一定数量的可比实例，将它们与估价对象进行比较，根据其间的差异对可比实例成交价格进行处理后得到估价对象价值或价格的方法。</w:t>
            </w:r>
          </w:p>
        </w:tc>
        <w:tc>
          <w:tcPr>
            <w:tcW w:w="1976" w:type="pct"/>
            <w:vAlign w:val="center"/>
          </w:tcPr>
          <w:p>
            <w:pPr>
              <w:pStyle w:val="28"/>
              <w:tabs>
                <w:tab w:val="left" w:pos="630"/>
              </w:tabs>
              <w:spacing w:after="0" w:line="300" w:lineRule="exact"/>
              <w:ind w:left="-12" w:leftChars="-6" w:firstLine="258"/>
              <w:jc w:val="center"/>
              <w:rPr>
                <w:rFonts w:eastAsia="仿宋_GB2312"/>
              </w:rPr>
            </w:pPr>
            <w:r>
              <w:rPr>
                <w:rFonts w:eastAsia="仿宋_GB2312"/>
              </w:rPr>
              <w:t>估价对象规划用途为</w:t>
            </w:r>
            <w:r>
              <w:rPr>
                <w:rFonts w:hint="eastAsia" w:eastAsia="仿宋_GB2312"/>
              </w:rPr>
              <w:t>住宅</w:t>
            </w:r>
            <w:r>
              <w:rPr>
                <w:rFonts w:eastAsia="仿宋_GB2312"/>
              </w:rPr>
              <w:t>，所在区域与估价对象相似的</w:t>
            </w:r>
            <w:r>
              <w:rPr>
                <w:rFonts w:hint="eastAsia" w:eastAsia="仿宋_GB2312"/>
              </w:rPr>
              <w:t>出</w:t>
            </w:r>
            <w:r>
              <w:rPr>
                <w:rFonts w:eastAsia="仿宋_GB2312"/>
              </w:rPr>
              <w:t>售可比案例（同一供需圈内、用途一致、邻近区域）较多，故本次评估选取比较法对估价对象进行估价。</w:t>
            </w:r>
          </w:p>
        </w:tc>
        <w:tc>
          <w:tcPr>
            <w:tcW w:w="549" w:type="pct"/>
            <w:vAlign w:val="center"/>
          </w:tcPr>
          <w:p>
            <w:pPr>
              <w:spacing w:line="300" w:lineRule="exact"/>
              <w:jc w:val="center"/>
              <w:rPr>
                <w:rFonts w:eastAsia="仿宋_GB2312"/>
                <w:bCs/>
              </w:rPr>
            </w:pPr>
            <w:r>
              <w:rPr>
                <w:rFonts w:eastAsia="仿宋_GB2312"/>
                <w:bCs/>
              </w:rPr>
              <w:t>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9" w:type="pct"/>
            <w:vAlign w:val="center"/>
          </w:tcPr>
          <w:p>
            <w:pPr>
              <w:spacing w:line="300" w:lineRule="exact"/>
              <w:jc w:val="center"/>
              <w:rPr>
                <w:rFonts w:eastAsia="仿宋_GB2312"/>
                <w:b/>
                <w:bCs/>
              </w:rPr>
            </w:pPr>
            <w:r>
              <w:rPr>
                <w:rFonts w:eastAsia="仿宋_GB2312"/>
                <w:b/>
                <w:bCs/>
              </w:rPr>
              <w:t>收益法</w:t>
            </w:r>
          </w:p>
        </w:tc>
        <w:tc>
          <w:tcPr>
            <w:tcW w:w="1625" w:type="pct"/>
            <w:vAlign w:val="center"/>
          </w:tcPr>
          <w:p>
            <w:pPr>
              <w:spacing w:line="300" w:lineRule="exact"/>
              <w:jc w:val="center"/>
              <w:rPr>
                <w:rFonts w:eastAsia="仿宋_GB2312"/>
              </w:rPr>
            </w:pPr>
            <w:r>
              <w:rPr>
                <w:rFonts w:eastAsia="仿宋_GB2312"/>
              </w:rPr>
              <w:t>预测估价对象的未来收益，利用报酬率或资本化率、收益乘数将未来收益转换为价值得到估价对象价值或价格的方法。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估价对象用途为</w:t>
            </w:r>
            <w:r>
              <w:rPr>
                <w:rFonts w:hint="eastAsia" w:eastAsia="仿宋_GB2312"/>
              </w:rPr>
              <w:t>住宅用房，所在区域此类型房屋存在一定租赁案例，但客观收益的确定存在一定难度，估价对象所在区域住宅价格增长速度远高于其租金增长幅度，租售比率极低，此外，资本化率的取值尚无可靠的数据来源，其取值的弹性对评估价值影响极大，故不宜采用收益法评估其市场价值</w:t>
            </w:r>
            <w:r>
              <w:rPr>
                <w:rFonts w:eastAsia="仿宋_GB2312"/>
              </w:rPr>
              <w:t>。</w:t>
            </w:r>
          </w:p>
        </w:tc>
        <w:tc>
          <w:tcPr>
            <w:tcW w:w="549" w:type="pct"/>
            <w:vAlign w:val="center"/>
          </w:tcPr>
          <w:p>
            <w:pPr>
              <w:spacing w:line="300" w:lineRule="exact"/>
              <w:jc w:val="center"/>
              <w:rPr>
                <w:rFonts w:eastAsia="仿宋_GB2312"/>
                <w:bCs/>
              </w:rPr>
            </w:pPr>
            <w:r>
              <w:rPr>
                <w:rFonts w:hint="eastAsia" w:eastAsia="仿宋_GB2312"/>
                <w:bCs/>
              </w:rPr>
              <w:t>不</w:t>
            </w:r>
            <w:r>
              <w:rPr>
                <w:rFonts w:eastAsia="仿宋_GB2312"/>
                <w:bCs/>
              </w:rPr>
              <w:t>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9" w:type="pct"/>
            <w:vAlign w:val="center"/>
          </w:tcPr>
          <w:p>
            <w:pPr>
              <w:spacing w:line="300" w:lineRule="exact"/>
              <w:jc w:val="center"/>
              <w:rPr>
                <w:rFonts w:eastAsia="仿宋_GB2312"/>
                <w:b/>
                <w:bCs/>
              </w:rPr>
            </w:pPr>
            <w:r>
              <w:rPr>
                <w:rFonts w:eastAsia="仿宋_GB2312"/>
                <w:b/>
                <w:bCs/>
              </w:rPr>
              <w:t>假设开发法</w:t>
            </w:r>
          </w:p>
        </w:tc>
        <w:tc>
          <w:tcPr>
            <w:tcW w:w="1625" w:type="pct"/>
            <w:vAlign w:val="center"/>
          </w:tcPr>
          <w:p>
            <w:pPr>
              <w:spacing w:line="300" w:lineRule="exact"/>
              <w:jc w:val="center"/>
              <w:rPr>
                <w:rFonts w:eastAsia="仿宋_GB2312"/>
              </w:rPr>
            </w:pPr>
            <w:r>
              <w:rPr>
                <w:rFonts w:eastAsia="仿宋_GB2312"/>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假设开发法适用于评估具有投资开发价值或再开发潜力的房地产，估价对象为已完成开发的</w:t>
            </w:r>
            <w:r>
              <w:rPr>
                <w:rFonts w:hint="eastAsia" w:eastAsia="仿宋_GB2312"/>
              </w:rPr>
              <w:t>住宅</w:t>
            </w:r>
            <w:r>
              <w:rPr>
                <w:rFonts w:eastAsia="仿宋_GB2312"/>
              </w:rPr>
              <w:t>物业，故本次评估不选取假设开发法作为估价方法。</w:t>
            </w:r>
          </w:p>
        </w:tc>
        <w:tc>
          <w:tcPr>
            <w:tcW w:w="549" w:type="pct"/>
            <w:vAlign w:val="center"/>
          </w:tcPr>
          <w:p>
            <w:pPr>
              <w:spacing w:line="300" w:lineRule="exact"/>
              <w:jc w:val="center"/>
              <w:rPr>
                <w:rFonts w:eastAsia="仿宋_GB2312"/>
                <w:bCs/>
              </w:rPr>
            </w:pPr>
            <w:r>
              <w:rPr>
                <w:rFonts w:eastAsia="仿宋_GB2312"/>
                <w:bCs/>
              </w:rPr>
              <w:t>不选取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99" w:type="pct"/>
            <w:vAlign w:val="center"/>
          </w:tcPr>
          <w:p>
            <w:pPr>
              <w:spacing w:line="300" w:lineRule="exact"/>
              <w:jc w:val="center"/>
              <w:rPr>
                <w:rFonts w:eastAsia="仿宋_GB2312"/>
                <w:b/>
                <w:bCs/>
              </w:rPr>
            </w:pPr>
            <w:r>
              <w:rPr>
                <w:rFonts w:eastAsia="仿宋_GB2312"/>
                <w:b/>
                <w:bCs/>
              </w:rPr>
              <w:t>成本法</w:t>
            </w:r>
          </w:p>
        </w:tc>
        <w:tc>
          <w:tcPr>
            <w:tcW w:w="1625" w:type="pct"/>
            <w:vAlign w:val="center"/>
          </w:tcPr>
          <w:p>
            <w:pPr>
              <w:spacing w:line="300" w:lineRule="exact"/>
              <w:jc w:val="center"/>
              <w:rPr>
                <w:rFonts w:eastAsia="仿宋_GB2312"/>
              </w:rPr>
            </w:pPr>
            <w:r>
              <w:rPr>
                <w:rFonts w:eastAsia="仿宋_GB2312"/>
              </w:rPr>
              <w:t>测算估价对象在价值时点的重置成本或重建成本和折旧，将重置成本或重建成本减去折旧得到估价对象价值或价格的方法。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运用成本法测算的结果不能较好反映估价对象市场价格，故不选取成本法进行评估。</w:t>
            </w:r>
          </w:p>
        </w:tc>
        <w:tc>
          <w:tcPr>
            <w:tcW w:w="549" w:type="pct"/>
            <w:vAlign w:val="center"/>
          </w:tcPr>
          <w:p>
            <w:pPr>
              <w:spacing w:line="300" w:lineRule="exact"/>
              <w:jc w:val="center"/>
              <w:rPr>
                <w:rFonts w:eastAsia="仿宋_GB2312"/>
                <w:bCs/>
              </w:rPr>
            </w:pPr>
            <w:r>
              <w:rPr>
                <w:rFonts w:eastAsia="仿宋_GB2312"/>
                <w:bCs/>
              </w:rPr>
              <w:t>不选取</w:t>
            </w:r>
          </w:p>
        </w:tc>
        <w:tc>
          <w:tcPr>
            <w:tcW w:w="348" w:type="pct"/>
            <w:vAlign w:val="center"/>
          </w:tcPr>
          <w:p>
            <w:pPr>
              <w:spacing w:line="300" w:lineRule="exact"/>
              <w:jc w:val="center"/>
              <w:rPr>
                <w:rFonts w:eastAsia="仿宋_GB2312"/>
                <w:bCs/>
              </w:rPr>
            </w:pPr>
          </w:p>
        </w:tc>
      </w:tr>
    </w:tbl>
    <w:p>
      <w:pPr>
        <w:snapToGrid w:val="0"/>
        <w:spacing w:beforeLines="50" w:line="360" w:lineRule="auto"/>
        <w:ind w:firstLine="567"/>
        <w:rPr>
          <w:rFonts w:eastAsia="仿宋_GB2312"/>
          <w:b/>
          <w:sz w:val="28"/>
          <w:szCs w:val="28"/>
        </w:rPr>
      </w:pPr>
      <w:r>
        <w:rPr>
          <w:rFonts w:eastAsia="仿宋_GB2312"/>
          <w:b/>
          <w:sz w:val="28"/>
          <w:szCs w:val="28"/>
        </w:rPr>
        <w:t>2.本次选用估价方法定义及基本公式</w:t>
      </w:r>
    </w:p>
    <w:p>
      <w:pPr>
        <w:snapToGrid w:val="0"/>
        <w:spacing w:line="480" w:lineRule="exact"/>
        <w:ind w:firstLine="560" w:firstLineChars="200"/>
        <w:rPr>
          <w:rFonts w:eastAsia="仿宋_GB2312"/>
          <w:sz w:val="28"/>
        </w:rPr>
      </w:pPr>
      <w:r>
        <w:rPr>
          <w:rFonts w:eastAsia="仿宋_GB2312"/>
          <w:sz w:val="28"/>
        </w:rPr>
        <w:t>比较法是选取一定数量的可比实例，将它们与估价对象进行比较，根据其间的差异对可比实例成交价格进行处理后得到估价对象价值或价格的方法。</w:t>
      </w:r>
    </w:p>
    <w:p>
      <w:pPr>
        <w:snapToGrid w:val="0"/>
        <w:spacing w:line="480" w:lineRule="exact"/>
        <w:ind w:firstLine="537" w:firstLineChars="192"/>
        <w:rPr>
          <w:rFonts w:eastAsia="仿宋_GB2312"/>
          <w:sz w:val="28"/>
        </w:rPr>
      </w:pPr>
      <w:r>
        <w:rPr>
          <w:rFonts w:eastAsia="仿宋_GB2312"/>
          <w:sz w:val="28"/>
        </w:rPr>
        <w:t>运用比较法求取估价对象的比较价值，基本公式如下：</w:t>
      </w:r>
    </w:p>
    <w:p>
      <w:pPr>
        <w:adjustRightInd w:val="0"/>
        <w:snapToGrid w:val="0"/>
        <w:spacing w:line="480" w:lineRule="exact"/>
        <w:ind w:firstLine="560" w:firstLineChars="200"/>
        <w:rPr>
          <w:rFonts w:eastAsia="仿宋_GB2312"/>
          <w:sz w:val="28"/>
        </w:rPr>
      </w:pPr>
      <w:r>
        <w:rPr>
          <w:rFonts w:eastAsia="仿宋_GB2312"/>
          <w:sz w:val="28"/>
        </w:rPr>
        <w:t>比较价值＝可比实例成交价格×交易情况修正系数×市场状况调整系数×房地产状况调整系数</w:t>
      </w:r>
    </w:p>
    <w:p>
      <w:pPr>
        <w:keepNext w:val="0"/>
        <w:keepLines w:val="0"/>
        <w:pageBreakBefore w:val="0"/>
        <w:widowControl w:val="0"/>
        <w:kinsoku/>
        <w:wordWrap/>
        <w:overflowPunct/>
        <w:topLinePunct w:val="0"/>
        <w:autoSpaceDE/>
        <w:autoSpaceDN/>
        <w:bidi w:val="0"/>
        <w:adjustRightInd/>
        <w:snapToGrid w:val="0"/>
        <w:spacing w:line="600" w:lineRule="exact"/>
        <w:ind w:firstLine="551" w:firstLineChars="196"/>
        <w:jc w:val="both"/>
        <w:textAlignment w:val="auto"/>
        <w:rPr>
          <w:rFonts w:eastAsia="仿宋_GB2312"/>
          <w:b/>
          <w:caps/>
          <w:sz w:val="28"/>
        </w:rPr>
      </w:pPr>
      <w:r>
        <w:rPr>
          <w:rFonts w:hint="eastAsia" w:eastAsia="仿宋_GB2312"/>
          <w:b/>
          <w:caps/>
          <w:sz w:val="28"/>
        </w:rPr>
        <w:t>（二）</w:t>
      </w:r>
      <w:r>
        <w:rPr>
          <w:rFonts w:hint="eastAsia" w:eastAsia="仿宋_GB2312"/>
          <w:b/>
          <w:caps/>
          <w:sz w:val="28"/>
          <w:lang w:val="en-US" w:eastAsia="zh-CN"/>
        </w:rPr>
        <w:t>附属装潢</w:t>
      </w:r>
      <w:r>
        <w:rPr>
          <w:rFonts w:eastAsia="仿宋_GB2312"/>
          <w:b/>
          <w:caps/>
          <w:sz w:val="28"/>
        </w:rPr>
        <w:t>采用</w:t>
      </w:r>
      <w:r>
        <w:rPr>
          <w:rFonts w:hint="eastAsia" w:eastAsia="仿宋_GB2312"/>
          <w:b/>
          <w:caps/>
          <w:sz w:val="28"/>
        </w:rPr>
        <w:t>重置成本法</w:t>
      </w:r>
    </w:p>
    <w:p>
      <w:pPr>
        <w:adjustRightInd w:val="0"/>
        <w:snapToGrid w:val="0"/>
        <w:spacing w:line="480" w:lineRule="exact"/>
        <w:ind w:firstLine="560" w:firstLineChars="200"/>
        <w:rPr>
          <w:rFonts w:hint="eastAsia" w:eastAsia="仿宋_GB2312"/>
          <w:sz w:val="28"/>
          <w:lang w:eastAsia="zh-CN"/>
        </w:rPr>
      </w:pPr>
      <w:r>
        <w:rPr>
          <w:rFonts w:eastAsia="仿宋_GB2312"/>
          <w:color w:val="000000"/>
          <w:sz w:val="28"/>
          <w:szCs w:val="22"/>
        </w:rPr>
        <w:t>重置成本法即首先用现时条件下重新购建一个全新状态被评估资产所需的全部成本得出重置价值；然后将被评估资产与其全新状态相比，求出成新率；再用重置价值与成新率相乘作为评估价值。</w:t>
      </w:r>
    </w:p>
    <w:p>
      <w:pPr>
        <w:pStyle w:val="3"/>
        <w:widowControl w:val="0"/>
        <w:numPr>
          <w:ilvl w:val="1"/>
          <w:numId w:val="3"/>
        </w:numPr>
        <w:snapToGrid w:val="0"/>
        <w:spacing w:before="120" w:after="120" w:line="400" w:lineRule="exact"/>
        <w:ind w:left="1791" w:hanging="1083"/>
        <w:rPr>
          <w:rFonts w:ascii="仿宋_GB2312" w:hAnsi="Times New Roman" w:eastAsia="仿宋_GB2312"/>
          <w:sz w:val="28"/>
          <w:szCs w:val="28"/>
        </w:rPr>
      </w:pPr>
      <w:bookmarkStart w:id="88" w:name="_Toc77858029"/>
      <w:r>
        <w:rPr>
          <w:rFonts w:ascii="仿宋_GB2312" w:hAnsi="Times New Roman" w:eastAsia="仿宋_GB2312"/>
          <w:sz w:val="28"/>
          <w:szCs w:val="28"/>
        </w:rPr>
        <w:t>估价结果</w:t>
      </w:r>
      <w:bookmarkEnd w:id="86"/>
      <w:bookmarkEnd w:id="87"/>
      <w:bookmarkEnd w:id="88"/>
      <w:r>
        <w:rPr>
          <w:rFonts w:ascii="仿宋_GB2312" w:hAnsi="Times New Roman" w:eastAsia="仿宋_GB2312"/>
          <w:sz w:val="28"/>
          <w:szCs w:val="28"/>
        </w:rPr>
        <w:fldChar w:fldCharType="begin"/>
      </w:r>
      <w:r>
        <w:rPr>
          <w:rFonts w:ascii="仿宋_GB2312" w:hAnsi="Times New Roman" w:eastAsia="仿宋_GB2312"/>
          <w:sz w:val="28"/>
          <w:szCs w:val="28"/>
        </w:rPr>
        <w:instrText xml:space="preserve"> TC "</w:instrText>
      </w:r>
      <w:bookmarkStart w:id="89" w:name="_Toc289260258"/>
      <w:bookmarkStart w:id="90" w:name="_Toc288212027"/>
      <w:r>
        <w:rPr>
          <w:rFonts w:ascii="仿宋_GB2312" w:hAnsi="Times New Roman" w:eastAsia="仿宋_GB2312"/>
          <w:sz w:val="28"/>
          <w:szCs w:val="28"/>
        </w:rPr>
        <w:instrText xml:space="preserve">10、估价结果</w:instrText>
      </w:r>
      <w:bookmarkEnd w:id="89"/>
      <w:bookmarkEnd w:id="90"/>
      <w:r>
        <w:rPr>
          <w:rFonts w:ascii="仿宋_GB2312" w:hAnsi="Times New Roman" w:eastAsia="仿宋_GB2312"/>
          <w:sz w:val="28"/>
          <w:szCs w:val="28"/>
        </w:rPr>
        <w:instrText xml:space="preserve">" \f C \l "2" </w:instrText>
      </w:r>
      <w:r>
        <w:rPr>
          <w:rFonts w:ascii="仿宋_GB2312" w:hAnsi="Times New Roman" w:eastAsia="仿宋_GB2312"/>
          <w:sz w:val="28"/>
          <w:szCs w:val="28"/>
        </w:rPr>
        <w:fldChar w:fldCharType="end"/>
      </w:r>
    </w:p>
    <w:p>
      <w:pPr>
        <w:keepNext w:val="0"/>
        <w:keepLines w:val="0"/>
        <w:pageBreakBefore w:val="0"/>
        <w:widowControl/>
        <w:kinsoku/>
        <w:wordWrap/>
        <w:overflowPunct/>
        <w:topLinePunct w:val="0"/>
        <w:autoSpaceDE/>
        <w:autoSpaceDN/>
        <w:bidi w:val="0"/>
        <w:snapToGrid w:val="0"/>
        <w:spacing w:line="460" w:lineRule="exact"/>
        <w:ind w:firstLine="565" w:firstLineChars="202"/>
        <w:jc w:val="both"/>
        <w:textAlignment w:val="auto"/>
        <w:rPr>
          <w:rFonts w:eastAsia="仿宋_GB2312"/>
          <w:sz w:val="28"/>
          <w:szCs w:val="28"/>
        </w:rPr>
      </w:pPr>
      <w:bookmarkStart w:id="91" w:name="_Toc77858030"/>
      <w:bookmarkStart w:id="92" w:name="_Toc155258973"/>
      <w:r>
        <w:rPr>
          <w:rFonts w:eastAsia="仿宋_GB2312"/>
          <w:sz w:val="28"/>
          <w:szCs w:val="28"/>
        </w:rPr>
        <w:t>估价人员遵循各项估价原则，根据估价目的和国家有关房地产估价的规范、规定，按照估价程序，经过实地查勘与市场调查，</w:t>
      </w:r>
      <w:r>
        <w:rPr>
          <w:rFonts w:hint="eastAsia" w:eastAsia="仿宋_GB2312"/>
          <w:color w:val="000000"/>
          <w:sz w:val="28"/>
          <w:szCs w:val="28"/>
        </w:rPr>
        <w:t>房地产</w:t>
      </w:r>
      <w:r>
        <w:rPr>
          <w:rFonts w:eastAsia="仿宋_GB2312"/>
          <w:color w:val="000000"/>
          <w:sz w:val="28"/>
          <w:szCs w:val="28"/>
        </w:rPr>
        <w:t>选用比较法</w:t>
      </w:r>
      <w:r>
        <w:rPr>
          <w:rFonts w:hint="eastAsia" w:eastAsia="仿宋_GB2312"/>
          <w:color w:val="000000"/>
          <w:sz w:val="28"/>
          <w:szCs w:val="28"/>
        </w:rPr>
        <w:t>、</w:t>
      </w:r>
      <w:r>
        <w:rPr>
          <w:rFonts w:hint="eastAsia" w:eastAsia="仿宋_GB2312"/>
          <w:color w:val="000000"/>
          <w:sz w:val="28"/>
          <w:szCs w:val="28"/>
          <w:lang w:val="en-US" w:eastAsia="zh-CN"/>
        </w:rPr>
        <w:t>附属装潢</w:t>
      </w:r>
      <w:r>
        <w:rPr>
          <w:rFonts w:hint="eastAsia" w:eastAsia="仿宋_GB2312"/>
          <w:color w:val="000000"/>
          <w:sz w:val="28"/>
          <w:szCs w:val="28"/>
        </w:rPr>
        <w:t>选用重置成本法，</w:t>
      </w:r>
      <w:r>
        <w:rPr>
          <w:rFonts w:eastAsia="仿宋_GB2312"/>
          <w:sz w:val="28"/>
          <w:szCs w:val="28"/>
        </w:rPr>
        <w:t>对估价对象进行了测算，确定估价对象在满足全部假设和限制条件下于价值时点</w:t>
      </w:r>
      <w:r>
        <w:rPr>
          <w:rFonts w:hint="eastAsia" w:eastAsia="仿宋_GB2312"/>
          <w:sz w:val="28"/>
          <w:szCs w:val="28"/>
          <w:lang w:eastAsia="zh-CN"/>
        </w:rPr>
        <w:t>2022年09月29日</w:t>
      </w:r>
      <w:r>
        <w:rPr>
          <w:rFonts w:eastAsia="仿宋_GB2312"/>
          <w:sz w:val="28"/>
          <w:szCs w:val="28"/>
        </w:rPr>
        <w:t>的估价结果如下：（币种：人民币）</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60" w:lineRule="exact"/>
        <w:ind w:firstLine="562" w:firstLineChars="200"/>
        <w:textAlignment w:val="auto"/>
        <w:rPr>
          <w:rFonts w:eastAsia="仿宋_GB2312"/>
          <w:b/>
          <w:sz w:val="28"/>
          <w:szCs w:val="28"/>
          <w:highlight w:val="none"/>
        </w:rPr>
      </w:pPr>
      <w:r>
        <w:rPr>
          <w:rFonts w:hint="eastAsia" w:eastAsia="仿宋_GB2312"/>
          <w:b/>
          <w:sz w:val="28"/>
          <w:szCs w:val="28"/>
          <w:highlight w:val="none"/>
        </w:rPr>
        <w:t>价值总价：</w:t>
      </w:r>
      <w:r>
        <w:rPr>
          <w:rFonts w:hint="eastAsia" w:eastAsia="仿宋_GB2312"/>
          <w:b/>
          <w:sz w:val="28"/>
          <w:szCs w:val="28"/>
          <w:highlight w:val="none"/>
          <w:lang w:val="en-US" w:eastAsia="zh-CN"/>
        </w:rPr>
        <w:t>172.23</w:t>
      </w:r>
      <w:r>
        <w:rPr>
          <w:rFonts w:hint="eastAsia" w:eastAsia="仿宋_GB2312"/>
          <w:b/>
          <w:sz w:val="28"/>
          <w:szCs w:val="28"/>
          <w:highlight w:val="none"/>
          <w:lang w:eastAsia="zh-CN"/>
        </w:rPr>
        <w:t>万</w:t>
      </w:r>
      <w:r>
        <w:rPr>
          <w:rFonts w:hint="eastAsia" w:eastAsia="仿宋_GB2312"/>
          <w:b/>
          <w:sz w:val="28"/>
          <w:szCs w:val="28"/>
          <w:highlight w:val="none"/>
        </w:rPr>
        <w:t>元</w:t>
      </w:r>
      <w:r>
        <w:rPr>
          <w:rFonts w:hint="eastAsia" w:eastAsia="仿宋_GB2312"/>
          <w:b/>
          <w:sz w:val="28"/>
          <w:szCs w:val="28"/>
          <w:highlight w:val="none"/>
          <w:lang w:eastAsia="zh-CN"/>
        </w:rPr>
        <w:t>，</w:t>
      </w:r>
      <w:r>
        <w:rPr>
          <w:rFonts w:hint="eastAsia" w:eastAsia="仿宋_GB2312"/>
          <w:b/>
          <w:sz w:val="28"/>
          <w:szCs w:val="28"/>
          <w:highlight w:val="none"/>
        </w:rPr>
        <w:t>大写金额：</w:t>
      </w:r>
      <w:r>
        <w:rPr>
          <w:rFonts w:hint="eastAsia" w:eastAsia="仿宋_GB2312"/>
          <w:b/>
          <w:sz w:val="28"/>
          <w:szCs w:val="28"/>
          <w:highlight w:val="none"/>
          <w:lang w:val="en-US" w:eastAsia="zh-CN"/>
        </w:rPr>
        <w:t>壹佰柒拾贰万贰仟叁佰</w:t>
      </w:r>
      <w:r>
        <w:rPr>
          <w:rFonts w:hint="eastAsia" w:eastAsia="仿宋_GB2312"/>
          <w:b/>
          <w:sz w:val="28"/>
          <w:szCs w:val="28"/>
          <w:highlight w:val="none"/>
        </w:rPr>
        <w:t>元整</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60" w:lineRule="exact"/>
        <w:ind w:firstLine="562" w:firstLineChars="200"/>
        <w:textAlignment w:val="auto"/>
        <w:rPr>
          <w:rFonts w:hint="eastAsia" w:eastAsia="仿宋_GB2312"/>
          <w:b/>
          <w:sz w:val="28"/>
          <w:szCs w:val="28"/>
          <w:highlight w:val="none"/>
          <w:lang w:val="en-US" w:eastAsia="zh-CN"/>
        </w:rPr>
      </w:pPr>
      <w:r>
        <w:rPr>
          <w:rFonts w:hint="eastAsia" w:eastAsia="仿宋_GB2312"/>
          <w:b/>
          <w:sz w:val="28"/>
          <w:szCs w:val="28"/>
          <w:highlight w:val="none"/>
          <w:lang w:val="en-US" w:eastAsia="zh-CN"/>
        </w:rPr>
        <w:t>其中：房地产价值</w:t>
      </w:r>
      <w:r>
        <w:rPr>
          <w:rFonts w:hint="eastAsia" w:eastAsia="仿宋_GB2312"/>
          <w:b/>
          <w:sz w:val="28"/>
          <w:szCs w:val="28"/>
          <w:highlight w:val="none"/>
        </w:rPr>
        <w:t>（</w:t>
      </w:r>
      <w:r>
        <w:rPr>
          <w:rFonts w:hint="eastAsia" w:eastAsia="仿宋_GB2312"/>
          <w:b/>
          <w:sz w:val="28"/>
          <w:szCs w:val="28"/>
          <w:highlight w:val="none"/>
          <w:lang w:val="en-US" w:eastAsia="zh-CN"/>
        </w:rPr>
        <w:t>毛坯</w:t>
      </w:r>
      <w:r>
        <w:rPr>
          <w:rFonts w:hint="eastAsia" w:eastAsia="仿宋_GB2312"/>
          <w:b/>
          <w:sz w:val="28"/>
          <w:szCs w:val="28"/>
          <w:highlight w:val="none"/>
        </w:rPr>
        <w:t>）</w:t>
      </w:r>
      <w:r>
        <w:rPr>
          <w:rFonts w:hint="eastAsia" w:eastAsia="仿宋_GB2312"/>
          <w:b/>
          <w:sz w:val="28"/>
          <w:szCs w:val="28"/>
          <w:highlight w:val="none"/>
          <w:lang w:val="en-US" w:eastAsia="zh-CN"/>
        </w:rPr>
        <w:t>：158.56万元，附属装潢价值：13.67万元。</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562" w:firstLineChars="200"/>
        <w:textAlignment w:val="auto"/>
        <w:rPr>
          <w:rFonts w:hint="eastAsia" w:eastAsia="仿宋_GB2312"/>
          <w:b/>
          <w:sz w:val="28"/>
          <w:szCs w:val="28"/>
          <w:highlight w:val="none"/>
          <w:lang w:val="en-US" w:eastAsia="zh-CN"/>
        </w:rPr>
      </w:pPr>
      <w:r>
        <w:rPr>
          <w:rFonts w:hint="eastAsia" w:eastAsia="仿宋_GB2312"/>
          <w:b/>
          <w:sz w:val="28"/>
          <w:szCs w:val="28"/>
          <w:highlight w:val="none"/>
          <w:lang w:val="en-US" w:eastAsia="zh-CN"/>
        </w:rPr>
        <w:t>详细结果见下表：</w:t>
      </w:r>
    </w:p>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482" w:firstLineChars="200"/>
        <w:textAlignment w:val="auto"/>
        <w:rPr>
          <w:rFonts w:hint="default" w:eastAsia="仿宋_GB2312"/>
          <w:b/>
          <w:sz w:val="24"/>
          <w:szCs w:val="24"/>
          <w:highlight w:val="none"/>
          <w:lang w:val="en-US" w:eastAsia="zh-CN"/>
        </w:rPr>
      </w:pPr>
      <w:r>
        <w:rPr>
          <w:rFonts w:hint="eastAsia" w:eastAsia="仿宋_GB2312"/>
          <w:b/>
          <w:sz w:val="24"/>
          <w:szCs w:val="24"/>
          <w:highlight w:val="none"/>
          <w:lang w:val="en-US" w:eastAsia="zh-CN"/>
        </w:rPr>
        <w:t>房地产价值：</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50"/>
        <w:gridCol w:w="1716"/>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6" w:hRule="atLeast"/>
          <w:tblHeader/>
          <w:jc w:val="center"/>
        </w:trPr>
        <w:tc>
          <w:tcPr>
            <w:tcW w:w="2004" w:type="pct"/>
            <w:gridSpan w:val="2"/>
            <w:tcBorders>
              <w:tl2br w:val="single" w:color="auto" w:sz="4" w:space="0"/>
            </w:tcBorders>
            <w:shd w:val="clear" w:color="auto" w:fill="auto"/>
            <w:vAlign w:val="center"/>
          </w:tcPr>
          <w:p>
            <w:pPr>
              <w:spacing w:line="240" w:lineRule="exact"/>
              <w:jc w:val="righ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估价方法</w:t>
            </w:r>
          </w:p>
          <w:p>
            <w:pPr>
              <w:spacing w:line="240" w:lineRule="exac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相关结果</w:t>
            </w:r>
          </w:p>
        </w:tc>
        <w:tc>
          <w:tcPr>
            <w:tcW w:w="2995"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3" w:hRule="atLeast"/>
          <w:jc w:val="center"/>
        </w:trPr>
        <w:tc>
          <w:tcPr>
            <w:tcW w:w="1066" w:type="pct"/>
            <w:vMerge w:val="restar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测算结果</w:t>
            </w:r>
          </w:p>
        </w:tc>
        <w:tc>
          <w:tcPr>
            <w:tcW w:w="938"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单价(元/m</w:t>
            </w:r>
            <w:r>
              <w:rPr>
                <w:rFonts w:hint="eastAsia" w:asciiTheme="minorEastAsia" w:hAnsiTheme="minorEastAsia" w:eastAsiaTheme="minorEastAsia" w:cstheme="minorEastAsia"/>
                <w:sz w:val="18"/>
                <w:szCs w:val="18"/>
                <w:highlight w:val="none"/>
                <w:vertAlign w:val="superscript"/>
              </w:rPr>
              <w:t>2</w:t>
            </w:r>
            <w:r>
              <w:rPr>
                <w:rFonts w:hint="eastAsia" w:asciiTheme="minorEastAsia" w:hAnsiTheme="minorEastAsia" w:eastAsiaTheme="minorEastAsia" w:cstheme="minorEastAsia"/>
                <w:sz w:val="18"/>
                <w:szCs w:val="18"/>
                <w:highlight w:val="none"/>
              </w:rPr>
              <w:t>)</w:t>
            </w:r>
          </w:p>
        </w:tc>
        <w:tc>
          <w:tcPr>
            <w:tcW w:w="2995" w:type="pct"/>
            <w:shd w:val="clear" w:color="auto" w:fill="auto"/>
            <w:vAlign w:val="center"/>
          </w:tcPr>
          <w:p>
            <w:pPr>
              <w:pStyle w:val="86"/>
              <w:spacing w:line="30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atLeast"/>
          <w:jc w:val="center"/>
        </w:trPr>
        <w:tc>
          <w:tcPr>
            <w:tcW w:w="1066" w:type="pct"/>
            <w:vMerge w:val="continue"/>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p>
        </w:tc>
        <w:tc>
          <w:tcPr>
            <w:tcW w:w="938"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总额(万元)</w:t>
            </w:r>
          </w:p>
        </w:tc>
        <w:tc>
          <w:tcPr>
            <w:tcW w:w="2995"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158.56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atLeast"/>
          <w:jc w:val="center"/>
        </w:trPr>
        <w:tc>
          <w:tcPr>
            <w:tcW w:w="1066" w:type="pct"/>
            <w:vMerge w:val="restar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评估价值</w:t>
            </w:r>
          </w:p>
        </w:tc>
        <w:tc>
          <w:tcPr>
            <w:tcW w:w="938"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单价(元/m</w:t>
            </w:r>
            <w:r>
              <w:rPr>
                <w:rFonts w:hint="eastAsia" w:asciiTheme="minorEastAsia" w:hAnsiTheme="minorEastAsia" w:eastAsiaTheme="minorEastAsia" w:cstheme="minorEastAsia"/>
                <w:sz w:val="18"/>
                <w:szCs w:val="18"/>
                <w:highlight w:val="none"/>
                <w:vertAlign w:val="superscript"/>
              </w:rPr>
              <w:t>2</w:t>
            </w:r>
            <w:r>
              <w:rPr>
                <w:rFonts w:hint="eastAsia" w:asciiTheme="minorEastAsia" w:hAnsiTheme="minorEastAsia" w:eastAsiaTheme="minorEastAsia" w:cstheme="minorEastAsia"/>
                <w:sz w:val="18"/>
                <w:szCs w:val="18"/>
                <w:highlight w:val="none"/>
              </w:rPr>
              <w:t>)</w:t>
            </w:r>
          </w:p>
        </w:tc>
        <w:tc>
          <w:tcPr>
            <w:tcW w:w="2995"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09" w:hRule="atLeast"/>
          <w:jc w:val="center"/>
        </w:trPr>
        <w:tc>
          <w:tcPr>
            <w:tcW w:w="1066" w:type="pct"/>
            <w:vMerge w:val="continue"/>
            <w:shd w:val="clear" w:color="auto" w:fill="auto"/>
            <w:vAlign w:val="center"/>
          </w:tcPr>
          <w:p>
            <w:pPr>
              <w:spacing w:line="240" w:lineRule="exact"/>
              <w:ind w:firstLine="90" w:firstLineChars="50"/>
              <w:jc w:val="center"/>
              <w:rPr>
                <w:rFonts w:hint="eastAsia" w:asciiTheme="minorEastAsia" w:hAnsiTheme="minorEastAsia" w:eastAsiaTheme="minorEastAsia" w:cstheme="minorEastAsia"/>
                <w:sz w:val="18"/>
                <w:szCs w:val="18"/>
                <w:highlight w:val="none"/>
              </w:rPr>
            </w:pPr>
          </w:p>
        </w:tc>
        <w:tc>
          <w:tcPr>
            <w:tcW w:w="938" w:type="pct"/>
            <w:shd w:val="clear" w:color="auto" w:fill="auto"/>
            <w:vAlign w:val="center"/>
          </w:tcPr>
          <w:p>
            <w:pPr>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总额(万元)</w:t>
            </w:r>
          </w:p>
        </w:tc>
        <w:tc>
          <w:tcPr>
            <w:tcW w:w="2995" w:type="pct"/>
            <w:shd w:val="clear" w:color="auto" w:fill="auto"/>
            <w:vAlign w:val="center"/>
          </w:tcPr>
          <w:p>
            <w:pPr>
              <w:pStyle w:val="86"/>
              <w:spacing w:line="300" w:lineRule="exact"/>
              <w:jc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158.56</w:t>
            </w:r>
          </w:p>
        </w:tc>
      </w:tr>
    </w:tbl>
    <w:p>
      <w:pPr>
        <w:keepNext w:val="0"/>
        <w:keepLines w:val="0"/>
        <w:pageBreakBefore w:val="0"/>
        <w:widowControl/>
        <w:tabs>
          <w:tab w:val="left" w:pos="993"/>
          <w:tab w:val="left" w:pos="1276"/>
        </w:tabs>
        <w:kinsoku/>
        <w:wordWrap/>
        <w:overflowPunct/>
        <w:topLinePunct w:val="0"/>
        <w:autoSpaceDE/>
        <w:autoSpaceDN/>
        <w:bidi w:val="0"/>
        <w:adjustRightInd w:val="0"/>
        <w:snapToGrid w:val="0"/>
        <w:spacing w:line="400" w:lineRule="atLeast"/>
        <w:ind w:firstLine="482" w:firstLineChars="200"/>
        <w:textAlignment w:val="auto"/>
        <w:rPr>
          <w:rFonts w:hint="eastAsia" w:eastAsia="仿宋_GB2312"/>
          <w:b/>
          <w:sz w:val="24"/>
          <w:szCs w:val="24"/>
          <w:highlight w:val="none"/>
          <w:lang w:val="en-US" w:eastAsia="zh-CN"/>
        </w:rPr>
      </w:pPr>
      <w:r>
        <w:rPr>
          <w:rFonts w:hint="eastAsia" w:eastAsia="仿宋_GB2312"/>
          <w:b/>
          <w:sz w:val="24"/>
          <w:szCs w:val="24"/>
          <w:highlight w:val="none"/>
          <w:lang w:val="en-US" w:eastAsia="zh-CN"/>
        </w:rPr>
        <w:t>附属装潢价值：</w:t>
      </w:r>
    </w:p>
    <w:tbl>
      <w:tblPr>
        <w:tblStyle w:val="47"/>
        <w:tblW w:w="4997" w:type="pct"/>
        <w:tblInd w:w="0" w:type="dxa"/>
        <w:shd w:val="clear" w:color="auto" w:fill="auto"/>
        <w:tblLayout w:type="autofit"/>
        <w:tblCellMar>
          <w:top w:w="0" w:type="dxa"/>
          <w:left w:w="0" w:type="dxa"/>
          <w:bottom w:w="0" w:type="dxa"/>
          <w:right w:w="0" w:type="dxa"/>
        </w:tblCellMar>
      </w:tblPr>
      <w:tblGrid>
        <w:gridCol w:w="2020"/>
        <w:gridCol w:w="720"/>
        <w:gridCol w:w="3087"/>
        <w:gridCol w:w="700"/>
        <w:gridCol w:w="1132"/>
        <w:gridCol w:w="1296"/>
      </w:tblGrid>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室号</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序号</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项目名称</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单位</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数量</w:t>
            </w:r>
          </w:p>
        </w:tc>
        <w:tc>
          <w:tcPr>
            <w:tcW w:w="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评估价值（元）</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厨房</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1421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24.01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4538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餐厅</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7.47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1882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7.47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941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8.55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1685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3号-东北房间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1667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311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防盗栏（不锈钢）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389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1166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水泥搁</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1265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卫生间1</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同质砖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2869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排风扇</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座便器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水嘴（三联）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不锈钢毛巾架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39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0.85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344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卫生间1外洗手台</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353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石膏板天棚</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1206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整体洗脸池</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1号房-东南房间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49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23.61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4769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23.61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4155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4.44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1798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424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2.40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2643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59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4900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卫生间2-东南房内卫生间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同质砖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集成吊顶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浴霸</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磨砂玻璃移门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910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0.70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整体洗脸池</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69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不锈钢毛巾架</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216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水嘴（三联）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座便器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座</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花瓷砖贴面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22.59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4270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客厅及门厅</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9420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37.38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6579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25.20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479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2310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79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452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7.35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647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防盗门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2700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电视背景墙</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10.50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3308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风管送风式空调机组</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套</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5950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阳台</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抛光砖</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4.34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1094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6.27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2539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162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13.64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89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水嘴（单联）</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瓷砖踢脚线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钢化玻璃雨篷（不锈钢龙骨）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653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2号房-西房间</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复合木地板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2200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93</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凹凸吊顶（石膏板）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10.89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1917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94</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吸顶灯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90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95</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筒灯</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8.00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184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96</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断桥铝窗</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3.70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1499 </w:t>
            </w:r>
          </w:p>
        </w:tc>
      </w:tr>
      <w:tr>
        <w:tblPrEx>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97</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大理石窗台板</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114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98</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落地窗帘</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3.25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367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99</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实木门</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樘</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1512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100</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木门、窗套（双面）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6.00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528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val="0"/>
                <w:bCs/>
                <w:i w:val="0"/>
                <w:color w:val="000000"/>
                <w:sz w:val="18"/>
                <w:szCs w:val="18"/>
                <w:highlight w:val="none"/>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101</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乳胶漆墙面</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33.66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1481 </w:t>
            </w:r>
          </w:p>
        </w:tc>
      </w:tr>
      <w:tr>
        <w:tblPrEx>
          <w:shd w:val="clear" w:color="auto" w:fill="auto"/>
          <w:tblCellMar>
            <w:top w:w="0" w:type="dxa"/>
            <w:left w:w="0" w:type="dxa"/>
            <w:bottom w:w="0" w:type="dxa"/>
            <w:right w:w="0" w:type="dxa"/>
          </w:tblCellMar>
        </w:tblPrEx>
        <w:trPr>
          <w:trHeight w:val="255" w:hRule="atLeast"/>
        </w:trPr>
        <w:tc>
          <w:tcPr>
            <w:tcW w:w="11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其他</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102</w:t>
            </w:r>
          </w:p>
        </w:tc>
        <w:tc>
          <w:tcPr>
            <w:tcW w:w="17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装修水电工料补差</w:t>
            </w:r>
          </w:p>
        </w:tc>
        <w:tc>
          <w:tcPr>
            <w:tcW w:w="3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m²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sz w:val="18"/>
                <w:szCs w:val="18"/>
                <w:highlight w:val="none"/>
                <w:u w:val="none"/>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126.46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12393 </w:t>
            </w:r>
          </w:p>
        </w:tc>
      </w:tr>
      <w:tr>
        <w:tblPrEx>
          <w:shd w:val="clear" w:color="auto" w:fill="auto"/>
          <w:tblCellMar>
            <w:top w:w="0" w:type="dxa"/>
            <w:left w:w="0" w:type="dxa"/>
            <w:bottom w:w="0" w:type="dxa"/>
            <w:right w:w="0" w:type="dxa"/>
          </w:tblCellMar>
        </w:tblPrEx>
        <w:trPr>
          <w:trHeight w:val="255" w:hRule="atLeast"/>
        </w:trPr>
        <w:tc>
          <w:tcPr>
            <w:tcW w:w="4276" w:type="pct"/>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合计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b w:val="0"/>
                <w:bCs/>
                <w:i w:val="0"/>
                <w:color w:val="000000"/>
                <w:kern w:val="0"/>
                <w:sz w:val="18"/>
                <w:szCs w:val="18"/>
                <w:highlight w:val="none"/>
                <w:u w:val="none"/>
                <w:lang w:val="en-US" w:eastAsia="zh-CN" w:bidi="ar"/>
              </w:rPr>
            </w:pPr>
            <w:r>
              <w:rPr>
                <w:rFonts w:hint="eastAsia" w:asciiTheme="minorEastAsia" w:hAnsiTheme="minorEastAsia" w:eastAsiaTheme="minorEastAsia" w:cstheme="minorEastAsia"/>
                <w:b w:val="0"/>
                <w:bCs/>
                <w:i w:val="0"/>
                <w:color w:val="000000"/>
                <w:kern w:val="0"/>
                <w:sz w:val="18"/>
                <w:szCs w:val="18"/>
                <w:highlight w:val="none"/>
                <w:u w:val="none"/>
                <w:lang w:val="en-US" w:eastAsia="zh-CN" w:bidi="ar"/>
              </w:rPr>
              <w:t xml:space="preserve">136723 </w:t>
            </w:r>
          </w:p>
        </w:tc>
      </w:tr>
    </w:tbl>
    <w:p>
      <w:pPr>
        <w:pStyle w:val="3"/>
        <w:widowControl w:val="0"/>
        <w:numPr>
          <w:ilvl w:val="1"/>
          <w:numId w:val="3"/>
        </w:numPr>
        <w:snapToGrid w:val="0"/>
        <w:spacing w:before="240" w:after="120" w:line="360" w:lineRule="auto"/>
        <w:rPr>
          <w:rFonts w:ascii="Times New Roman" w:hAnsi="Times New Roman" w:eastAsia="仿宋_GB2312"/>
          <w:sz w:val="28"/>
          <w:szCs w:val="28"/>
        </w:rPr>
      </w:pPr>
      <w:r>
        <w:rPr>
          <w:rFonts w:ascii="Times New Roman" w:hAnsi="Times New Roman" w:eastAsia="仿宋_GB2312"/>
          <w:sz w:val="28"/>
          <w:szCs w:val="28"/>
        </w:rPr>
        <w:t>注册房地产估价师</w:t>
      </w:r>
      <w:bookmarkEnd w:id="91"/>
    </w:p>
    <w:p>
      <w:pPr>
        <w:rPr>
          <w:rFonts w:eastAsia="仿宋_GB2312"/>
          <w:sz w:val="26"/>
          <w:szCs w:val="26"/>
        </w:rPr>
      </w:pPr>
      <w:r>
        <w:rPr>
          <w:rFonts w:eastAsia="仿宋_GB2312"/>
          <w:sz w:val="28"/>
          <w:szCs w:val="28"/>
        </w:rPr>
        <w:t>参加本次估价的注册房地产估价师为</w:t>
      </w:r>
      <w:r>
        <w:rPr>
          <w:rFonts w:eastAsia="仿宋_GB2312"/>
          <w:sz w:val="26"/>
          <w:szCs w:val="26"/>
        </w:rPr>
        <w:t>：</w:t>
      </w:r>
    </w:p>
    <w:p>
      <w:pPr>
        <w:rPr>
          <w:rFonts w:eastAsia="仿宋_GB2312"/>
          <w:sz w:val="26"/>
          <w:szCs w:val="26"/>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2219"/>
        <w:gridCol w:w="2235"/>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040" w:type="dxa"/>
            <w:vAlign w:val="center"/>
          </w:tcPr>
          <w:p>
            <w:pPr>
              <w:tabs>
                <w:tab w:val="left" w:pos="735"/>
              </w:tabs>
              <w:overflowPunct w:val="0"/>
              <w:spacing w:line="312" w:lineRule="auto"/>
              <w:jc w:val="center"/>
              <w:rPr>
                <w:rFonts w:eastAsia="仿宋_GB2312"/>
                <w:sz w:val="28"/>
              </w:rPr>
            </w:pPr>
            <w:r>
              <w:rPr>
                <w:rFonts w:eastAsia="仿宋_GB2312"/>
                <w:sz w:val="28"/>
              </w:rPr>
              <w:t>姓名</w:t>
            </w:r>
          </w:p>
        </w:tc>
        <w:tc>
          <w:tcPr>
            <w:tcW w:w="2219" w:type="dxa"/>
            <w:vAlign w:val="center"/>
          </w:tcPr>
          <w:p>
            <w:pPr>
              <w:tabs>
                <w:tab w:val="left" w:pos="735"/>
              </w:tabs>
              <w:wordWrap w:val="0"/>
              <w:overflowPunct w:val="0"/>
              <w:spacing w:line="312" w:lineRule="auto"/>
              <w:jc w:val="center"/>
              <w:rPr>
                <w:rFonts w:eastAsia="仿宋_GB2312"/>
                <w:sz w:val="28"/>
              </w:rPr>
            </w:pPr>
            <w:r>
              <w:rPr>
                <w:rFonts w:eastAsia="仿宋_GB2312"/>
                <w:sz w:val="28"/>
              </w:rPr>
              <w:t>注册号</w:t>
            </w:r>
          </w:p>
        </w:tc>
        <w:tc>
          <w:tcPr>
            <w:tcW w:w="2235" w:type="dxa"/>
            <w:vAlign w:val="center"/>
          </w:tcPr>
          <w:p>
            <w:pPr>
              <w:tabs>
                <w:tab w:val="left" w:pos="735"/>
              </w:tabs>
              <w:wordWrap w:val="0"/>
              <w:overflowPunct w:val="0"/>
              <w:spacing w:line="312" w:lineRule="auto"/>
              <w:jc w:val="center"/>
              <w:rPr>
                <w:rFonts w:eastAsia="仿宋_GB2312"/>
                <w:sz w:val="28"/>
              </w:rPr>
            </w:pPr>
            <w:r>
              <w:rPr>
                <w:rFonts w:eastAsia="仿宋_GB2312"/>
                <w:sz w:val="28"/>
              </w:rPr>
              <w:t>签名</w:t>
            </w:r>
          </w:p>
        </w:tc>
        <w:tc>
          <w:tcPr>
            <w:tcW w:w="2524" w:type="dxa"/>
            <w:vAlign w:val="center"/>
          </w:tcPr>
          <w:p>
            <w:pPr>
              <w:tabs>
                <w:tab w:val="left" w:pos="735"/>
              </w:tabs>
              <w:wordWrap w:val="0"/>
              <w:overflowPunct w:val="0"/>
              <w:spacing w:line="312" w:lineRule="auto"/>
              <w:jc w:val="center"/>
              <w:rPr>
                <w:rFonts w:eastAsia="仿宋"/>
                <w:sz w:val="28"/>
              </w:rPr>
            </w:pPr>
            <w:r>
              <w:rPr>
                <w:rFonts w:hint="eastAsia" w:eastAsia="仿宋"/>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040" w:type="dxa"/>
            <w:vAlign w:val="center"/>
          </w:tcPr>
          <w:p>
            <w:pPr>
              <w:tabs>
                <w:tab w:val="left" w:pos="735"/>
              </w:tabs>
              <w:wordWrap w:val="0"/>
              <w:overflowPunct w:val="0"/>
              <w:spacing w:line="312" w:lineRule="auto"/>
              <w:jc w:val="center"/>
              <w:rPr>
                <w:rFonts w:eastAsia="仿宋"/>
                <w:sz w:val="28"/>
              </w:rPr>
            </w:pPr>
            <w:r>
              <w:rPr>
                <w:rFonts w:hint="eastAsia" w:eastAsia="仿宋"/>
                <w:sz w:val="28"/>
              </w:rPr>
              <w:t>李  慧</w:t>
            </w:r>
          </w:p>
        </w:tc>
        <w:tc>
          <w:tcPr>
            <w:tcW w:w="2219" w:type="dxa"/>
            <w:vAlign w:val="center"/>
          </w:tcPr>
          <w:p>
            <w:pPr>
              <w:tabs>
                <w:tab w:val="left" w:pos="735"/>
              </w:tabs>
              <w:wordWrap w:val="0"/>
              <w:overflowPunct w:val="0"/>
              <w:spacing w:line="312" w:lineRule="auto"/>
              <w:jc w:val="center"/>
              <w:rPr>
                <w:rFonts w:eastAsia="仿宋"/>
                <w:sz w:val="28"/>
              </w:rPr>
            </w:pPr>
            <w:r>
              <w:rPr>
                <w:rFonts w:hint="eastAsia" w:eastAsia="仿宋"/>
                <w:sz w:val="28"/>
              </w:rPr>
              <w:t>3220140092</w:t>
            </w:r>
          </w:p>
        </w:tc>
        <w:tc>
          <w:tcPr>
            <w:tcW w:w="2235" w:type="dxa"/>
            <w:vAlign w:val="center"/>
          </w:tcPr>
          <w:p>
            <w:pPr>
              <w:tabs>
                <w:tab w:val="left" w:pos="735"/>
              </w:tabs>
              <w:wordWrap w:val="0"/>
              <w:overflowPunct w:val="0"/>
              <w:spacing w:line="312" w:lineRule="auto"/>
              <w:jc w:val="center"/>
              <w:rPr>
                <w:rFonts w:eastAsia="仿宋"/>
              </w:rPr>
            </w:pPr>
          </w:p>
        </w:tc>
        <w:tc>
          <w:tcPr>
            <w:tcW w:w="2524" w:type="dxa"/>
            <w:vAlign w:val="center"/>
          </w:tcPr>
          <w:p>
            <w:pPr>
              <w:tabs>
                <w:tab w:val="left" w:pos="735"/>
              </w:tabs>
              <w:wordWrap w:val="0"/>
              <w:overflowPunct w:val="0"/>
              <w:spacing w:line="312" w:lineRule="auto"/>
              <w:jc w:val="center"/>
              <w:rPr>
                <w:rFonts w:hint="eastAsia" w:eastAsia="仿宋"/>
                <w:sz w:val="28"/>
                <w:lang w:eastAsia="zh-CN"/>
              </w:rPr>
            </w:pPr>
            <w:r>
              <w:rPr>
                <w:rFonts w:hint="eastAsia" w:eastAsia="仿宋"/>
                <w:sz w:val="28"/>
                <w:lang w:eastAsia="zh-CN"/>
              </w:rPr>
              <w:t>2022年11月02日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2040" w:type="dxa"/>
            <w:vAlign w:val="center"/>
          </w:tcPr>
          <w:p>
            <w:pPr>
              <w:tabs>
                <w:tab w:val="left" w:pos="735"/>
              </w:tabs>
              <w:wordWrap w:val="0"/>
              <w:overflowPunct w:val="0"/>
              <w:spacing w:line="312" w:lineRule="auto"/>
              <w:jc w:val="center"/>
              <w:rPr>
                <w:rFonts w:eastAsia="仿宋"/>
                <w:sz w:val="28"/>
              </w:rPr>
            </w:pPr>
            <w:r>
              <w:rPr>
                <w:rFonts w:hint="eastAsia" w:eastAsia="仿宋"/>
                <w:sz w:val="28"/>
              </w:rPr>
              <w:t>田树军</w:t>
            </w:r>
          </w:p>
        </w:tc>
        <w:tc>
          <w:tcPr>
            <w:tcW w:w="2219" w:type="dxa"/>
            <w:vAlign w:val="center"/>
          </w:tcPr>
          <w:p>
            <w:pPr>
              <w:tabs>
                <w:tab w:val="left" w:pos="735"/>
              </w:tabs>
              <w:wordWrap w:val="0"/>
              <w:overflowPunct w:val="0"/>
              <w:spacing w:line="312" w:lineRule="auto"/>
              <w:jc w:val="center"/>
              <w:rPr>
                <w:rFonts w:eastAsia="仿宋"/>
                <w:sz w:val="28"/>
              </w:rPr>
            </w:pPr>
            <w:r>
              <w:rPr>
                <w:rFonts w:hint="eastAsia" w:eastAsia="仿宋"/>
                <w:sz w:val="28"/>
              </w:rPr>
              <w:t>3220070188</w:t>
            </w:r>
          </w:p>
        </w:tc>
        <w:tc>
          <w:tcPr>
            <w:tcW w:w="2235" w:type="dxa"/>
            <w:vAlign w:val="center"/>
          </w:tcPr>
          <w:p>
            <w:pPr>
              <w:tabs>
                <w:tab w:val="left" w:pos="735"/>
              </w:tabs>
              <w:wordWrap w:val="0"/>
              <w:overflowPunct w:val="0"/>
              <w:spacing w:line="312" w:lineRule="auto"/>
              <w:jc w:val="center"/>
              <w:rPr>
                <w:rFonts w:eastAsia="仿宋"/>
              </w:rPr>
            </w:pPr>
          </w:p>
        </w:tc>
        <w:tc>
          <w:tcPr>
            <w:tcW w:w="2524" w:type="dxa"/>
            <w:vAlign w:val="center"/>
          </w:tcPr>
          <w:p>
            <w:pPr>
              <w:tabs>
                <w:tab w:val="left" w:pos="735"/>
              </w:tabs>
              <w:wordWrap w:val="0"/>
              <w:overflowPunct w:val="0"/>
              <w:spacing w:line="312" w:lineRule="auto"/>
              <w:jc w:val="center"/>
              <w:rPr>
                <w:rFonts w:hint="eastAsia" w:eastAsia="仿宋"/>
                <w:sz w:val="28"/>
                <w:lang w:eastAsia="zh-CN"/>
              </w:rPr>
            </w:pPr>
            <w:r>
              <w:rPr>
                <w:rFonts w:hint="eastAsia" w:eastAsia="仿宋"/>
                <w:sz w:val="28"/>
                <w:lang w:eastAsia="zh-CN"/>
              </w:rPr>
              <w:t>2022年11月02日</w:t>
            </w:r>
          </w:p>
        </w:tc>
      </w:tr>
    </w:tbl>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93" w:name="_Toc382493631"/>
      <w:bookmarkStart w:id="94" w:name="_Toc77858031"/>
      <w:bookmarkStart w:id="95" w:name="_Toc155258974"/>
      <w:r>
        <w:rPr>
          <w:rFonts w:ascii="Times New Roman" w:hAnsi="Times New Roman" w:eastAsia="仿宋_GB2312"/>
          <w:sz w:val="28"/>
          <w:szCs w:val="28"/>
        </w:rPr>
        <w:t>实地查勘期</w:t>
      </w:r>
      <w:bookmarkEnd w:id="93"/>
      <w:bookmarkEnd w:id="94"/>
      <w:bookmarkEnd w:id="9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96" w:name="_Toc288212029"/>
      <w:bookmarkStart w:id="97" w:name="_Toc289260260"/>
      <w:r>
        <w:rPr>
          <w:rFonts w:ascii="Times New Roman" w:hAnsi="Times New Roman" w:eastAsia="仿宋_GB2312"/>
          <w:sz w:val="28"/>
          <w:szCs w:val="28"/>
        </w:rPr>
        <w:instrText xml:space="preserve">12、估价作业日期</w:instrText>
      </w:r>
      <w:bookmarkEnd w:id="96"/>
      <w:bookmarkEnd w:id="97"/>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pStyle w:val="27"/>
        <w:spacing w:line="360" w:lineRule="auto"/>
        <w:ind w:firstLine="700" w:firstLineChars="250"/>
        <w:rPr>
          <w:rFonts w:hint="eastAsia" w:eastAsia="仿宋_GB2312"/>
          <w:szCs w:val="28"/>
          <w:lang w:eastAsia="zh-CN"/>
        </w:rPr>
      </w:pPr>
      <w:r>
        <w:rPr>
          <w:rFonts w:hint="eastAsia" w:eastAsia="仿宋_GB2312"/>
          <w:szCs w:val="28"/>
          <w:lang w:eastAsia="zh-CN"/>
        </w:rPr>
        <w:t>2022年09月29日</w:t>
      </w:r>
      <w:r>
        <w:rPr>
          <w:rFonts w:eastAsia="仿宋_GB2312"/>
          <w:szCs w:val="28"/>
        </w:rPr>
        <w:t>至</w:t>
      </w:r>
      <w:r>
        <w:rPr>
          <w:rFonts w:hint="eastAsia" w:eastAsia="仿宋_GB2312"/>
          <w:szCs w:val="28"/>
          <w:lang w:eastAsia="zh-CN"/>
        </w:rPr>
        <w:t>2022年09月29日</w:t>
      </w:r>
    </w:p>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98" w:name="_Toc382493632"/>
      <w:bookmarkStart w:id="99" w:name="_Toc77858032"/>
      <w:r>
        <w:rPr>
          <w:rFonts w:ascii="Times New Roman" w:hAnsi="Times New Roman" w:eastAsia="仿宋_GB2312"/>
          <w:sz w:val="28"/>
          <w:szCs w:val="28"/>
        </w:rPr>
        <w:t>估价作业期</w:t>
      </w:r>
      <w:bookmarkEnd w:id="98"/>
      <w:bookmarkEnd w:id="99"/>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100" w:name="_Toc289260261"/>
      <w:bookmarkStart w:id="101" w:name="_Toc288212030"/>
      <w:r>
        <w:rPr>
          <w:rFonts w:ascii="Times New Roman" w:hAnsi="Times New Roman" w:eastAsia="仿宋_GB2312"/>
          <w:sz w:val="28"/>
          <w:szCs w:val="28"/>
        </w:rPr>
        <w:instrText xml:space="preserve">13、估价报告使用期限</w:instrText>
      </w:r>
      <w:bookmarkEnd w:id="100"/>
      <w:bookmarkEnd w:id="101"/>
      <w:r>
        <w:rPr>
          <w:rFonts w:ascii="Times New Roman" w:hAnsi="Times New Roman" w:eastAsia="仿宋_GB2312"/>
          <w:sz w:val="28"/>
          <w:szCs w:val="28"/>
        </w:rPr>
        <w:instrText xml:space="preserve">" \f C \l "2" </w:instrText>
      </w:r>
      <w:r>
        <w:rPr>
          <w:rFonts w:ascii="Times New Roman" w:hAnsi="Times New Roman" w:eastAsia="仿宋_GB2312"/>
          <w:sz w:val="28"/>
          <w:szCs w:val="28"/>
        </w:rPr>
        <w:fldChar w:fldCharType="end"/>
      </w:r>
    </w:p>
    <w:p>
      <w:pPr>
        <w:pStyle w:val="27"/>
        <w:spacing w:line="360" w:lineRule="auto"/>
        <w:ind w:firstLine="700" w:firstLineChars="250"/>
        <w:rPr>
          <w:rFonts w:hint="eastAsia" w:eastAsia="仿宋_GB2312"/>
          <w:szCs w:val="28"/>
          <w:lang w:eastAsia="zh-CN"/>
        </w:rPr>
      </w:pPr>
      <w:r>
        <w:rPr>
          <w:rFonts w:hint="eastAsia" w:eastAsia="仿宋_GB2312"/>
          <w:szCs w:val="28"/>
          <w:lang w:eastAsia="zh-CN"/>
        </w:rPr>
        <w:t>2022年09月29日</w:t>
      </w:r>
      <w:r>
        <w:rPr>
          <w:rFonts w:hint="eastAsia" w:eastAsia="仿宋_GB2312"/>
          <w:szCs w:val="28"/>
        </w:rPr>
        <w:t>至</w:t>
      </w:r>
      <w:r>
        <w:rPr>
          <w:rFonts w:hint="eastAsia" w:eastAsia="仿宋_GB2312"/>
          <w:szCs w:val="28"/>
          <w:lang w:eastAsia="zh-CN"/>
        </w:rPr>
        <w:t>2022年11月02日</w:t>
      </w:r>
    </w:p>
    <w:p>
      <w:pPr>
        <w:rPr>
          <w:rFonts w:eastAsia="仿宋_GB2312"/>
          <w:kern w:val="2"/>
          <w:sz w:val="28"/>
          <w:szCs w:val="28"/>
        </w:rPr>
      </w:pPr>
      <w:r>
        <w:rPr>
          <w:rFonts w:eastAsia="仿宋_GB2312"/>
          <w:kern w:val="2"/>
          <w:sz w:val="28"/>
          <w:szCs w:val="28"/>
        </w:rPr>
        <w:br w:type="page"/>
      </w:r>
    </w:p>
    <w:bookmarkEnd w:id="92"/>
    <w:p>
      <w:pPr>
        <w:rPr>
          <w:rFonts w:eastAsia="仿宋_GB2312"/>
          <w:kern w:val="2"/>
          <w:sz w:val="28"/>
          <w:szCs w:val="28"/>
        </w:rPr>
      </w:pPr>
    </w:p>
    <w:p>
      <w:pPr>
        <w:snapToGrid w:val="0"/>
        <w:ind w:firstLine="560" w:firstLineChars="200"/>
        <w:rPr>
          <w:rFonts w:eastAsia="仿宋_GB2312"/>
          <w:kern w:val="2"/>
          <w:sz w:val="28"/>
          <w:szCs w:val="28"/>
        </w:rPr>
      </w:pPr>
    </w:p>
    <w:p>
      <w:pPr>
        <w:pStyle w:val="2"/>
        <w:snapToGrid w:val="0"/>
        <w:spacing w:before="120" w:after="120" w:line="360" w:lineRule="auto"/>
        <w:jc w:val="center"/>
        <w:rPr>
          <w:rFonts w:eastAsia="仿宋_GB2312"/>
          <w:sz w:val="28"/>
          <w:szCs w:val="28"/>
        </w:rPr>
      </w:pPr>
      <w:bookmarkStart w:id="102" w:name="_Toc382493637"/>
      <w:bookmarkStart w:id="103" w:name="_Toc77858042"/>
      <w:r>
        <w:rPr>
          <w:rFonts w:eastAsia="仿宋_GB2312"/>
          <w:snapToGrid w:val="0"/>
          <w:kern w:val="0"/>
          <w:sz w:val="36"/>
          <w:szCs w:val="36"/>
        </w:rPr>
        <w:t>附件</w:t>
      </w:r>
      <w:bookmarkEnd w:id="102"/>
      <w:bookmarkEnd w:id="103"/>
    </w:p>
    <w:p>
      <w:pPr>
        <w:snapToGrid w:val="0"/>
        <w:jc w:val="center"/>
        <w:rPr>
          <w:rFonts w:eastAsia="仿宋_GB2312"/>
          <w:snapToGrid w:val="0"/>
          <w:sz w:val="36"/>
          <w:szCs w:val="36"/>
        </w:rPr>
      </w:pP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1</w:t>
      </w:r>
      <w:r>
        <w:rPr>
          <w:rFonts w:eastAsia="仿宋_GB2312"/>
          <w:sz w:val="28"/>
          <w:szCs w:val="28"/>
        </w:rPr>
        <w:t>、</w:t>
      </w:r>
      <w:r>
        <w:rPr>
          <w:rFonts w:eastAsia="仿宋_GB2312"/>
          <w:caps/>
          <w:color w:val="000000"/>
          <w:sz w:val="28"/>
          <w:szCs w:val="28"/>
        </w:rPr>
        <w:t>《</w:t>
      </w:r>
      <w:r>
        <w:rPr>
          <w:rFonts w:hint="eastAsia" w:eastAsia="仿宋_GB2312"/>
          <w:caps/>
          <w:color w:val="000000"/>
          <w:sz w:val="28"/>
          <w:szCs w:val="28"/>
        </w:rPr>
        <w:t>司法评估委托书</w:t>
      </w:r>
      <w:r>
        <w:rPr>
          <w:rFonts w:eastAsia="仿宋_GB2312"/>
          <w:caps/>
          <w:color w:val="000000"/>
          <w:sz w:val="28"/>
          <w:szCs w:val="28"/>
        </w:rPr>
        <w:t>》</w:t>
      </w:r>
      <w:r>
        <w:rPr>
          <w:rStyle w:val="54"/>
          <w:rFonts w:eastAsia="仿宋_GB2312"/>
          <w:caps/>
          <w:color w:val="000000"/>
          <w:sz w:val="28"/>
          <w:szCs w:val="28"/>
          <w:u w:val="none"/>
        </w:rPr>
        <w:t>复印件</w:t>
      </w:r>
      <w:r>
        <w:rPr>
          <w:rFonts w:hint="eastAsia" w:eastAsia="仿宋_GB2312"/>
          <w:sz w:val="28"/>
          <w:szCs w:val="28"/>
        </w:rPr>
        <w:t>；</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2</w:t>
      </w:r>
      <w:r>
        <w:rPr>
          <w:rFonts w:eastAsia="仿宋_GB2312"/>
          <w:sz w:val="28"/>
          <w:szCs w:val="28"/>
        </w:rPr>
        <w:t>、估价对象位置图；</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3、</w:t>
      </w:r>
      <w:r>
        <w:rPr>
          <w:rFonts w:eastAsia="仿宋_GB2312"/>
          <w:sz w:val="28"/>
          <w:szCs w:val="28"/>
        </w:rPr>
        <w:t>估价对象实地查勘情况和相关照片；</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4</w:t>
      </w:r>
      <w:r>
        <w:rPr>
          <w:rFonts w:eastAsia="仿宋_GB2312"/>
          <w:sz w:val="28"/>
          <w:szCs w:val="28"/>
        </w:rPr>
        <w:t>、估价对象</w:t>
      </w:r>
      <w:r>
        <w:rPr>
          <w:rFonts w:hint="eastAsia" w:eastAsia="仿宋_GB2312"/>
          <w:sz w:val="28"/>
          <w:szCs w:val="28"/>
        </w:rPr>
        <w:t>《</w:t>
      </w:r>
      <w:r>
        <w:rPr>
          <w:rFonts w:hint="eastAsia" w:eastAsia="仿宋_GB2312"/>
          <w:sz w:val="28"/>
          <w:szCs w:val="28"/>
          <w:lang w:eastAsia="zh-CN"/>
        </w:rPr>
        <w:t>房地产权结果信息一览表</w:t>
      </w:r>
      <w:r>
        <w:rPr>
          <w:rFonts w:hint="eastAsia" w:eastAsia="仿宋_GB2312"/>
          <w:sz w:val="28"/>
          <w:szCs w:val="28"/>
        </w:rPr>
        <w:t>》</w:t>
      </w:r>
      <w:r>
        <w:rPr>
          <w:rFonts w:eastAsia="仿宋_GB2312"/>
          <w:sz w:val="28"/>
          <w:szCs w:val="28"/>
        </w:rPr>
        <w:t>复印件；</w:t>
      </w:r>
    </w:p>
    <w:p>
      <w:pPr>
        <w:pStyle w:val="79"/>
        <w:adjustRightInd w:val="0"/>
        <w:snapToGrid w:val="0"/>
        <w:spacing w:line="360" w:lineRule="auto"/>
        <w:ind w:left="674" w:leftChars="337" w:firstLine="0" w:firstLineChars="0"/>
        <w:rPr>
          <w:rFonts w:eastAsia="仿宋_GB2312"/>
          <w:sz w:val="28"/>
          <w:szCs w:val="28"/>
        </w:rPr>
      </w:pPr>
      <w:r>
        <w:rPr>
          <w:rStyle w:val="54"/>
          <w:rFonts w:hint="eastAsia" w:eastAsia="仿宋_GB2312"/>
          <w:caps/>
          <w:color w:val="000000"/>
          <w:sz w:val="28"/>
          <w:szCs w:val="28"/>
          <w:u w:val="none"/>
          <w:lang w:val="en-US" w:eastAsia="zh-CN"/>
        </w:rPr>
        <w:t>5、</w:t>
      </w:r>
      <w:r>
        <w:rPr>
          <w:rStyle w:val="54"/>
          <w:rFonts w:eastAsia="仿宋_GB2312"/>
          <w:caps/>
          <w:color w:val="000000"/>
          <w:sz w:val="28"/>
          <w:szCs w:val="28"/>
          <w:u w:val="none"/>
        </w:rPr>
        <w:t>估价对象</w:t>
      </w:r>
      <w:r>
        <w:rPr>
          <w:rFonts w:hint="eastAsia" w:eastAsia="仿宋_GB2312"/>
          <w:sz w:val="28"/>
          <w:szCs w:val="28"/>
          <w:lang w:eastAsia="zh-CN"/>
        </w:rPr>
        <w:t>《房屋分户面积测量报告书》</w:t>
      </w:r>
      <w:r>
        <w:rPr>
          <w:rStyle w:val="54"/>
          <w:rFonts w:eastAsia="仿宋_GB2312"/>
          <w:caps/>
          <w:color w:val="000000"/>
          <w:sz w:val="28"/>
          <w:szCs w:val="28"/>
          <w:u w:val="none"/>
        </w:rPr>
        <w:t>复印件</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lang w:val="en-US" w:eastAsia="zh-CN"/>
        </w:rPr>
        <w:t>6</w:t>
      </w:r>
      <w:r>
        <w:rPr>
          <w:rFonts w:hint="eastAsia" w:eastAsia="仿宋_GB2312"/>
          <w:sz w:val="28"/>
          <w:szCs w:val="28"/>
        </w:rPr>
        <w:t>、</w:t>
      </w:r>
      <w:r>
        <w:rPr>
          <w:rFonts w:eastAsia="仿宋_GB2312"/>
          <w:sz w:val="28"/>
          <w:szCs w:val="28"/>
        </w:rPr>
        <w:t>房地产估价机构营业执照</w:t>
      </w:r>
      <w:r>
        <w:rPr>
          <w:rFonts w:hint="eastAsia" w:eastAsia="仿宋_GB2312"/>
          <w:sz w:val="28"/>
          <w:szCs w:val="28"/>
        </w:rPr>
        <w:t>和</w:t>
      </w:r>
      <w:r>
        <w:rPr>
          <w:rFonts w:eastAsia="仿宋_GB2312"/>
          <w:sz w:val="28"/>
          <w:szCs w:val="28"/>
        </w:rPr>
        <w:t>房地产估价机构资质证书复印件；</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lang w:val="en-US" w:eastAsia="zh-CN"/>
        </w:rPr>
        <w:t>7</w:t>
      </w:r>
      <w:r>
        <w:rPr>
          <w:rFonts w:eastAsia="仿宋_GB2312"/>
          <w:sz w:val="28"/>
          <w:szCs w:val="28"/>
        </w:rPr>
        <w:t>、注册房地产估价师注册证书复印件</w:t>
      </w:r>
      <w:r>
        <w:rPr>
          <w:rFonts w:hint="eastAsia" w:eastAsia="仿宋_GB2312"/>
          <w:sz w:val="28"/>
          <w:szCs w:val="28"/>
        </w:rPr>
        <w:t>；</w:t>
      </w:r>
    </w:p>
    <w:sectPr>
      <w:headerReference r:id="rId7" w:type="default"/>
      <w:footerReference r:id="rId8" w:type="default"/>
      <w:pgSz w:w="11907" w:h="16840"/>
      <w:pgMar w:top="1814" w:right="1276" w:bottom="1418" w:left="1701" w:header="850"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Lines="50"/>
      <w:jc w:val="center"/>
    </w:pPr>
    <w:r>
      <w:pict>
        <v:shape id="_x0000_s1032" o:spid="_x0000_s1032" o:spt="32" type="#_x0000_t32" style="position:absolute;left:0pt;margin-left:1.55pt;margin-top:4.45pt;height:0.05pt;width:456.55pt;z-index:251669504;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ZRtzUAAAABQEAAA8AAAAAAAAA&#10;AQAgAAAAIgAAAGRycy9kb3ducmV2LnhtbFBLAQIUABQAAAAIAIdO4kCs+UDW3AEAAJkDAAAOAAAA&#10;AAAAAAEAIAAAACMBAABkcnMvZTJvRG9jLnhtbFBLBQYAAAAABgAGAFkBAABxBQAAAAA=&#10;">
          <v:path arrowok="t"/>
          <v:fill on="f" focussize="0,0"/>
          <v:stroke/>
          <v:imagedata o:title=""/>
          <o:lock v:ext="edit"/>
        </v:shape>
      </w:pict>
    </w:r>
    <w:r>
      <w:rPr>
        <w:rFonts w:hint="eastAsia" w:ascii="方正姚体" w:eastAsia="方正姚体"/>
      </w:rPr>
      <w:t>地址：泰州市鼓楼南路288-5号                      联系电话/客服电话：0523-86885792  13337784288</w:t>
    </w:r>
    <w:r>
      <w:pict>
        <v:shape id="_x0000_s1031" o:spid="_x0000_s1031" o:spt="32" type="#_x0000_t32" style="position:absolute;left:0pt;margin-left:1.55pt;margin-top:4.45pt;height:0.05pt;width:456.55pt;z-index:251668480;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FlG3NQAAAAFAQAADwAAAAAAAAAB&#10;ACAAAAAiAAAAZHJzL2Rvd25yZXYueG1sUEsBAhQAFAAAAAgAh07iQHSA8YvbAQAAlwMAAA4AAAAA&#10;AAAAAQAgAAAAIwEAAGRycy9lMm9Eb2MueG1sUEsFBgAAAAAGAAYAWQEAAHAFAAAAAA==&#10;">
          <v:path arrowok="t"/>
          <v:fill on="f" focussize="0,0"/>
          <v:stroke/>
          <v:imagedata o:title=""/>
          <o:lock v:ext="edit"/>
        </v:shape>
      </w:pict>
    </w:r>
  </w:p>
  <w:p>
    <w:pPr>
      <w:pStyle w:val="30"/>
      <w:jc w:val="right"/>
      <w:rPr>
        <w:rStyle w:val="52"/>
      </w:rPr>
    </w:pPr>
    <w:r>
      <w:rPr>
        <w:rFonts w:hint="eastAsia" w:ascii="方正姚体" w:eastAsia="方正姚体"/>
      </w:rPr>
      <w:t xml:space="preserve">第 </w:t>
    </w:r>
    <w:r>
      <w:rPr>
        <w:rFonts w:hint="eastAsia" w:ascii="方正姚体" w:eastAsia="方正姚体"/>
      </w:rPr>
      <w:fldChar w:fldCharType="begin"/>
    </w:r>
    <w:r>
      <w:rPr>
        <w:rFonts w:hint="eastAsia" w:ascii="方正姚体" w:eastAsia="方正姚体"/>
      </w:rPr>
      <w:instrText xml:space="preserve"> PAGE   \* MERGEFORMAT </w:instrText>
    </w:r>
    <w:r>
      <w:rPr>
        <w:rFonts w:hint="eastAsia" w:ascii="方正姚体" w:eastAsia="方正姚体"/>
      </w:rPr>
      <w:fldChar w:fldCharType="separate"/>
    </w:r>
    <w:r>
      <w:rPr>
        <w:rFonts w:ascii="方正姚体" w:eastAsia="方正姚体"/>
        <w:lang w:val="zh-CN"/>
      </w:rPr>
      <w:t>2</w:t>
    </w:r>
    <w:r>
      <w:rPr>
        <w:rFonts w:hint="eastAsia" w:ascii="方正姚体" w:eastAsia="方正姚体"/>
      </w:rPr>
      <w:fldChar w:fldCharType="end"/>
    </w:r>
    <w:r>
      <w:rPr>
        <w:rFonts w:hint="eastAsia" w:ascii="方正姚体" w:eastAsia="方正姚体"/>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Lines="50"/>
      <w:jc w:val="center"/>
    </w:pPr>
    <w:r>
      <w:pict>
        <v:shape id="自选图形 11" o:spid="_x0000_s1028" o:spt="32" type="#_x0000_t32" style="position:absolute;left:0pt;margin-left:1.55pt;margin-top:4.45pt;height:0.05pt;width:456.55pt;z-index:251666432;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ZRtzUAAAABQEAAA8AAAAAAAAA&#10;AQAgAAAAIgAAAGRycy9kb3ducmV2LnhtbFBLAQIUABQAAAAIAIdO4kCs+UDW3AEAAJkDAAAOAAAA&#10;AAAAAAEAIAAAACMBAABkcnMvZTJvRG9jLnhtbFBLBQYAAAAABgAGAFkBAABxBQAAAAA=&#10;">
          <v:path arrowok="t"/>
          <v:fill on="f" focussize="0,0"/>
          <v:stroke/>
          <v:imagedata o:title=""/>
          <o:lock v:ext="edit"/>
        </v:shape>
      </w:pict>
    </w:r>
    <w:r>
      <w:rPr>
        <w:rFonts w:hint="eastAsia" w:ascii="方正姚体" w:eastAsia="方正姚体"/>
      </w:rPr>
      <w:t>地址：泰州市鼓楼南路288-5号                      联系电话/客服电话：0523-86885792  13337784288</w:t>
    </w:r>
    <w:r>
      <w:pict>
        <v:shape id="自选图形 7" o:spid="_x0000_s1027" o:spt="32" type="#_x0000_t32" style="position:absolute;left:0pt;margin-left:1.55pt;margin-top:4.45pt;height:0.05pt;width:456.55pt;z-index:251662336;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FlG3NQAAAAFAQAADwAAAAAAAAAB&#10;ACAAAAAiAAAAZHJzL2Rvd25yZXYueG1sUEsBAhQAFAAAAAgAh07iQHSA8YvbAQAAlwMAAA4AAAAA&#10;AAAAAQAgAAAAIwEAAGRycy9lMm9Eb2MueG1sUEsFBgAAAAAGAAYAWQEAAHAFAAAAAA==&#10;">
          <v:path arrowok="t"/>
          <v:fill on="f" focussize="0,0"/>
          <v:stroke/>
          <v:imagedata o:title=""/>
          <o:lock v:ext="edit"/>
        </v:shape>
      </w:pict>
    </w:r>
  </w:p>
  <w:p>
    <w:pPr>
      <w:pStyle w:val="30"/>
      <w:jc w:val="right"/>
    </w:pPr>
    <w:r>
      <w:rPr>
        <w:rFonts w:hint="eastAsia" w:ascii="方正姚体" w:eastAsia="方正姚体"/>
      </w:rPr>
      <w:t xml:space="preserve">第 </w:t>
    </w:r>
    <w:r>
      <w:rPr>
        <w:rFonts w:hint="eastAsia" w:ascii="方正姚体" w:eastAsia="方正姚体"/>
      </w:rPr>
      <w:fldChar w:fldCharType="begin"/>
    </w:r>
    <w:r>
      <w:rPr>
        <w:rFonts w:hint="eastAsia" w:ascii="方正姚体" w:eastAsia="方正姚体"/>
      </w:rPr>
      <w:instrText xml:space="preserve"> PAGE   \* MERGEFORMAT </w:instrText>
    </w:r>
    <w:r>
      <w:rPr>
        <w:rFonts w:hint="eastAsia" w:ascii="方正姚体" w:eastAsia="方正姚体"/>
      </w:rPr>
      <w:fldChar w:fldCharType="separate"/>
    </w:r>
    <w:r>
      <w:rPr>
        <w:rFonts w:ascii="方正姚体" w:eastAsia="方正姚体"/>
        <w:lang w:val="zh-CN"/>
      </w:rPr>
      <w:t>4</w:t>
    </w:r>
    <w:r>
      <w:rPr>
        <w:rFonts w:hint="eastAsia" w:ascii="方正姚体" w:eastAsia="方正姚体"/>
      </w:rPr>
      <w:fldChar w:fldCharType="end"/>
    </w:r>
    <w:r>
      <w:rPr>
        <w:rFonts w:hint="eastAsia" w:ascii="方正姚体" w:eastAsia="方正姚体"/>
      </w:rPr>
      <w:t xml:space="preserve"> 页</w:t>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1026" o:spid="_x0000_s1026" o:spt="202" type="#_x0000_t202" style="position:absolute;left:0pt;margin-left:353pt;margin-top:-17.8pt;height:29.25pt;width:97.95pt;z-index:251661312;mso-width-relative:page;mso-height-relative:page;" stroked="f" coordsize="21600,21600" o:gfxdata="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cmJ7d2AAAAAoBAAAP&#10;AAAAAAAAAAEAIAAAACIAAABkcnMvZG93bnJldi54bWxQSwECFAAUAAAACACHTuJA25bpVKYBAAAp&#10;AwAADgAAAAAAAAABACAAAAAnAQAAZHJzL2Uyb0RvYy54bWxQSwUGAAAAAAYABgBZAQAAPwUAAAAA&#10;">
          <v:path/>
          <v:fill focussize="0,0"/>
          <v:stroke on="f" joinstyle="miter"/>
          <v:imagedata o:title=""/>
          <o:lock v:ext="edit"/>
          <v:textbox>
            <w:txbxContent>
              <w:p>
                <w:pPr>
                  <w:rPr>
                    <w:rFonts w:ascii="楷体" w:hAnsi="楷体" w:eastAsia="楷体"/>
                    <w:b/>
                    <w:color w:val="948A54"/>
                    <w:sz w:val="32"/>
                    <w:szCs w:val="32"/>
                  </w:rPr>
                </w:pPr>
                <w:r>
                  <w:rPr>
                    <w:rFonts w:hint="eastAsia" w:ascii="楷体" w:hAnsi="楷体" w:eastAsia="楷体"/>
                    <w:b/>
                    <w:color w:val="948A54"/>
                    <w:sz w:val="32"/>
                    <w:szCs w:val="32"/>
                  </w:rPr>
                  <w:t>各公司LOGO</w:t>
                </w:r>
              </w:p>
            </w:txbxContent>
          </v:textbox>
        </v:shape>
      </w:pict>
    </w:r>
    <w:r>
      <w:drawing>
        <wp:anchor distT="0" distB="0" distL="114300" distR="114300" simplePos="0" relativeHeight="251659264" behindDoc="1" locked="0" layoutInCell="1" allowOverlap="1">
          <wp:simplePos x="0" y="0"/>
          <wp:positionH relativeFrom="column">
            <wp:posOffset>-76835</wp:posOffset>
          </wp:positionH>
          <wp:positionV relativeFrom="paragraph">
            <wp:posOffset>-292735</wp:posOffset>
          </wp:positionV>
          <wp:extent cx="1325245" cy="400050"/>
          <wp:effectExtent l="0" t="0" r="8255" b="0"/>
          <wp:wrapTight wrapText="bothSides">
            <wp:wrapPolygon>
              <wp:start x="-310" y="0"/>
              <wp:lineTo x="-310" y="20571"/>
              <wp:lineTo x="21735" y="20571"/>
              <wp:lineTo x="21735" y="0"/>
              <wp:lineTo x="-310" y="0"/>
            </wp:wrapPolygon>
          </wp:wrapTight>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1325245" cy="400050"/>
                  </a:xfrm>
                  <a:prstGeom prst="rect">
                    <a:avLst/>
                  </a:prstGeom>
                  <a:noFill/>
                  <a:ln>
                    <a:noFill/>
                  </a:ln>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4384" behindDoc="0" locked="0" layoutInCell="1" allowOverlap="1">
          <wp:simplePos x="0" y="0"/>
          <wp:positionH relativeFrom="column">
            <wp:posOffset>5044440</wp:posOffset>
          </wp:positionH>
          <wp:positionV relativeFrom="paragraph">
            <wp:posOffset>-424180</wp:posOffset>
          </wp:positionV>
          <wp:extent cx="457200" cy="485775"/>
          <wp:effectExtent l="19050" t="0" r="0" b="0"/>
          <wp:wrapNone/>
          <wp:docPr id="1" name="图片 1" descr="微信图片_2018032708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327085435.png"/>
                  <pic:cNvPicPr>
                    <a:picLocks noChangeAspect="1" noChangeArrowheads="1"/>
                  </pic:cNvPicPr>
                </pic:nvPicPr>
                <pic:blipFill>
                  <a:blip r:embed="rId1"/>
                  <a:srcRect/>
                  <a:stretch>
                    <a:fillRect/>
                  </a:stretch>
                </pic:blipFill>
                <pic:spPr>
                  <a:xfrm>
                    <a:off x="0" y="0"/>
                    <a:ext cx="457200" cy="485775"/>
                  </a:xfrm>
                  <a:prstGeom prst="rect">
                    <a:avLst/>
                  </a:prstGeom>
                  <a:noFill/>
                  <a:ln w="9525">
                    <a:noFill/>
                    <a:miter lim="800000"/>
                    <a:headEnd/>
                    <a:tailEnd/>
                  </a:ln>
                </pic:spPr>
              </pic:pic>
            </a:graphicData>
          </a:graphic>
        </wp:anchor>
      </w:drawing>
    </w:r>
    <w:r>
      <w:rPr>
        <w:rFonts w:ascii="宋体" w:hAnsi="宋体" w:cs="宋体"/>
        <w:sz w:val="24"/>
        <w:szCs w:val="24"/>
      </w:rPr>
      <w:drawing>
        <wp:anchor distT="0" distB="0" distL="114300" distR="114300" simplePos="0" relativeHeight="251663360" behindDoc="1" locked="0" layoutInCell="1" allowOverlap="1">
          <wp:simplePos x="0" y="0"/>
          <wp:positionH relativeFrom="column">
            <wp:posOffset>-32385</wp:posOffset>
          </wp:positionH>
          <wp:positionV relativeFrom="paragraph">
            <wp:posOffset>-281305</wp:posOffset>
          </wp:positionV>
          <wp:extent cx="1325245" cy="400050"/>
          <wp:effectExtent l="0" t="0" r="8255" b="0"/>
          <wp:wrapTight wrapText="bothSides">
            <wp:wrapPolygon>
              <wp:start x="-310" y="0"/>
              <wp:lineTo x="-310" y="20571"/>
              <wp:lineTo x="21735" y="20571"/>
              <wp:lineTo x="21735" y="0"/>
              <wp:lineTo x="-310" y="0"/>
            </wp:wrapPolygon>
          </wp:wrapTight>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
                  <a:stretch>
                    <a:fillRect/>
                  </a:stretch>
                </pic:blipFill>
                <pic:spPr>
                  <a:xfrm>
                    <a:off x="0" y="0"/>
                    <a:ext cx="1325245" cy="4000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2"/>
      </w:pBdr>
      <w:jc w:val="left"/>
      <w:rPr>
        <w:rFonts w:ascii="隶书" w:eastAsia="隶书"/>
        <w:color w:val="000000"/>
      </w:rPr>
    </w:pPr>
    <w:r>
      <w:rPr>
        <w:rFonts w:ascii="隶书" w:eastAsia="隶书"/>
        <w:color w:val="000000"/>
      </w:rPr>
      <w:drawing>
        <wp:anchor distT="0" distB="0" distL="114300" distR="114300" simplePos="0" relativeHeight="251665408" behindDoc="0" locked="0" layoutInCell="1" allowOverlap="1">
          <wp:simplePos x="0" y="0"/>
          <wp:positionH relativeFrom="column">
            <wp:posOffset>5101590</wp:posOffset>
          </wp:positionH>
          <wp:positionV relativeFrom="paragraph">
            <wp:posOffset>-234950</wp:posOffset>
          </wp:positionV>
          <wp:extent cx="457200" cy="485775"/>
          <wp:effectExtent l="19050" t="0" r="0" b="0"/>
          <wp:wrapNone/>
          <wp:docPr id="2" name="图片 1" descr="微信图片_2018032708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27085435.png"/>
                  <pic:cNvPicPr>
                    <a:picLocks noChangeAspect="1" noChangeArrowheads="1"/>
                  </pic:cNvPicPr>
                </pic:nvPicPr>
                <pic:blipFill>
                  <a:blip r:embed="rId1"/>
                  <a:srcRect/>
                  <a:stretch>
                    <a:fillRect/>
                  </a:stretch>
                </pic:blipFill>
                <pic:spPr>
                  <a:xfrm>
                    <a:off x="0" y="0"/>
                    <a:ext cx="457200" cy="485775"/>
                  </a:xfrm>
                  <a:prstGeom prst="rect">
                    <a:avLst/>
                  </a:prstGeom>
                  <a:noFill/>
                  <a:ln w="9525">
                    <a:noFill/>
                    <a:miter lim="800000"/>
                    <a:headEnd/>
                    <a:tailEnd/>
                  </a:ln>
                </pic:spPr>
              </pic:pic>
            </a:graphicData>
          </a:graphic>
        </wp:anchor>
      </w:drawing>
    </w:r>
  </w:p>
  <w:p>
    <w:pPr>
      <w:pStyle w:val="31"/>
      <w:pBdr>
        <w:bottom w:val="single" w:color="auto" w:sz="6" w:space="2"/>
      </w:pBdr>
      <w:jc w:val="right"/>
      <w:rPr>
        <w:rFonts w:ascii="隶书" w:eastAsia="隶书"/>
        <w:color w:val="000000"/>
      </w:rPr>
    </w:pPr>
    <w:r>
      <w:rPr>
        <w:rFonts w:ascii="宋体" w:hAnsi="宋体"/>
      </w:rPr>
      <w:drawing>
        <wp:anchor distT="0" distB="0" distL="114300" distR="114300" simplePos="0" relativeHeight="251660288" behindDoc="1" locked="0" layoutInCell="1" allowOverlap="1">
          <wp:simplePos x="0" y="0"/>
          <wp:positionH relativeFrom="column">
            <wp:posOffset>-74930</wp:posOffset>
          </wp:positionH>
          <wp:positionV relativeFrom="paragraph">
            <wp:posOffset>-316230</wp:posOffset>
          </wp:positionV>
          <wp:extent cx="1326515" cy="403225"/>
          <wp:effectExtent l="0" t="0" r="6985" b="15875"/>
          <wp:wrapTight wrapText="bothSides">
            <wp:wrapPolygon>
              <wp:start x="-310" y="0"/>
              <wp:lineTo x="-310" y="20409"/>
              <wp:lineTo x="21714" y="20409"/>
              <wp:lineTo x="21714" y="0"/>
              <wp:lineTo x="-31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stretch>
                    <a:fillRect/>
                  </a:stretch>
                </pic:blipFill>
                <pic:spPr>
                  <a:xfrm>
                    <a:off x="0" y="0"/>
                    <a:ext cx="1326515" cy="403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5B4F2"/>
    <w:multiLevelType w:val="singleLevel"/>
    <w:tmpl w:val="B625B4F2"/>
    <w:lvl w:ilvl="0" w:tentative="0">
      <w:start w:val="1"/>
      <w:numFmt w:val="decimal"/>
      <w:suff w:val="space"/>
      <w:lvlText w:val="%1."/>
      <w:lvlJc w:val="left"/>
    </w:lvl>
  </w:abstractNum>
  <w:abstractNum w:abstractNumId="1">
    <w:nsid w:val="401823F0"/>
    <w:multiLevelType w:val="multilevel"/>
    <w:tmpl w:val="401823F0"/>
    <w:lvl w:ilvl="0" w:tentative="0">
      <w:start w:val="1"/>
      <w:numFmt w:val="decimal"/>
      <w:lvlText w:val="3.%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DF01AE"/>
    <w:multiLevelType w:val="multilevel"/>
    <w:tmpl w:val="4BDF01AE"/>
    <w:lvl w:ilvl="0" w:tentative="0">
      <w:start w:val="1"/>
      <w:numFmt w:val="decimal"/>
      <w:lvlText w:val="2.%1"/>
      <w:lvlJc w:val="left"/>
      <w:pPr>
        <w:ind w:left="980" w:hanging="420"/>
      </w:pPr>
      <w:rPr>
        <w:rFonts w:hint="eastAsia"/>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C146453"/>
    <w:multiLevelType w:val="multilevel"/>
    <w:tmpl w:val="4C146453"/>
    <w:lvl w:ilvl="0" w:tentative="0">
      <w:start w:val="1"/>
      <w:numFmt w:val="decimal"/>
      <w:lvlText w:val="（%1）"/>
      <w:lvlJc w:val="left"/>
      <w:pPr>
        <w:ind w:left="1288" w:hanging="720"/>
      </w:pPr>
      <w:rPr>
        <w:rFonts w:hint="eastAsia"/>
      </w:rPr>
    </w:lvl>
    <w:lvl w:ilvl="1" w:tentative="0">
      <w:start w:val="1"/>
      <w:numFmt w:val="decimal"/>
      <w:lvlText w:val="%2."/>
      <w:lvlJc w:val="left"/>
      <w:pPr>
        <w:ind w:left="1360" w:hanging="360"/>
      </w:pPr>
      <w:rPr>
        <w:rFonts w:hint="eastAsia"/>
      </w:rPr>
    </w:lvl>
    <w:lvl w:ilvl="2" w:tentative="0">
      <w:start w:val="1"/>
      <w:numFmt w:val="lowerRoman"/>
      <w:lvlText w:val="%3."/>
      <w:lvlJc w:val="right"/>
      <w:pPr>
        <w:ind w:left="1960" w:hanging="480"/>
      </w:pPr>
    </w:lvl>
    <w:lvl w:ilvl="3" w:tentative="0">
      <w:start w:val="1"/>
      <w:numFmt w:val="decimal"/>
      <w:lvlText w:val="%4."/>
      <w:lvlJc w:val="left"/>
      <w:pPr>
        <w:ind w:left="2440" w:hanging="480"/>
      </w:p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4">
    <w:nsid w:val="4EDD36DC"/>
    <w:multiLevelType w:val="multilevel"/>
    <w:tmpl w:val="4EDD36DC"/>
    <w:lvl w:ilvl="0" w:tentative="0">
      <w:start w:val="1"/>
      <w:numFmt w:val="decimal"/>
      <w:lvlText w:val="%1."/>
      <w:lvlJc w:val="left"/>
      <w:pPr>
        <w:ind w:left="1048" w:hanging="480"/>
      </w:pPr>
      <w:rPr>
        <w:rFonts w:hint="eastAsia"/>
      </w:rPr>
    </w:lvl>
    <w:lvl w:ilvl="1" w:tentative="0">
      <w:start w:val="1"/>
      <w:numFmt w:val="lowerLetter"/>
      <w:lvlText w:val="%2)"/>
      <w:lvlJc w:val="left"/>
      <w:pPr>
        <w:ind w:left="1528" w:hanging="480"/>
      </w:pPr>
    </w:lvl>
    <w:lvl w:ilvl="2" w:tentative="0">
      <w:start w:val="1"/>
      <w:numFmt w:val="lowerRoman"/>
      <w:lvlText w:val="%3."/>
      <w:lvlJc w:val="right"/>
      <w:pPr>
        <w:ind w:left="2008" w:hanging="480"/>
      </w:pPr>
    </w:lvl>
    <w:lvl w:ilvl="3" w:tentative="0">
      <w:start w:val="1"/>
      <w:numFmt w:val="decimal"/>
      <w:lvlText w:val="%4."/>
      <w:lvlJc w:val="left"/>
      <w:pPr>
        <w:ind w:left="2488" w:hanging="480"/>
      </w:pPr>
    </w:lvl>
    <w:lvl w:ilvl="4" w:tentative="0">
      <w:start w:val="1"/>
      <w:numFmt w:val="lowerLetter"/>
      <w:lvlText w:val="%5)"/>
      <w:lvlJc w:val="left"/>
      <w:pPr>
        <w:ind w:left="2968" w:hanging="480"/>
      </w:pPr>
    </w:lvl>
    <w:lvl w:ilvl="5" w:tentative="0">
      <w:start w:val="1"/>
      <w:numFmt w:val="lowerRoman"/>
      <w:lvlText w:val="%6."/>
      <w:lvlJc w:val="right"/>
      <w:pPr>
        <w:ind w:left="3448" w:hanging="480"/>
      </w:pPr>
    </w:lvl>
    <w:lvl w:ilvl="6" w:tentative="0">
      <w:start w:val="1"/>
      <w:numFmt w:val="decimal"/>
      <w:lvlText w:val="%7."/>
      <w:lvlJc w:val="left"/>
      <w:pPr>
        <w:ind w:left="3928" w:hanging="480"/>
      </w:pPr>
    </w:lvl>
    <w:lvl w:ilvl="7" w:tentative="0">
      <w:start w:val="1"/>
      <w:numFmt w:val="lowerLetter"/>
      <w:lvlText w:val="%8)"/>
      <w:lvlJc w:val="left"/>
      <w:pPr>
        <w:ind w:left="4408" w:hanging="480"/>
      </w:pPr>
    </w:lvl>
    <w:lvl w:ilvl="8" w:tentative="0">
      <w:start w:val="1"/>
      <w:numFmt w:val="lowerRoman"/>
      <w:lvlText w:val="%9."/>
      <w:lvlJc w:val="right"/>
      <w:pPr>
        <w:ind w:left="4888" w:hanging="480"/>
      </w:pPr>
    </w:lvl>
  </w:abstractNum>
  <w:abstractNum w:abstractNumId="5">
    <w:nsid w:val="604A3CA6"/>
    <w:multiLevelType w:val="multilevel"/>
    <w:tmpl w:val="604A3CA6"/>
    <w:lvl w:ilvl="0" w:tentative="0">
      <w:start w:val="1"/>
      <w:numFmt w:val="decimal"/>
      <w:lvlText w:val="（%1）"/>
      <w:lvlJc w:val="left"/>
      <w:pPr>
        <w:ind w:left="987" w:hanging="420"/>
      </w:pPr>
      <w:rPr>
        <w:rFonts w:hint="eastAsia"/>
        <w:lang w:val="en-US"/>
      </w:rPr>
    </w:lvl>
    <w:lvl w:ilvl="1" w:tentative="0">
      <w:start w:val="1"/>
      <w:numFmt w:val="chineseCountingThousand"/>
      <w:lvlText w:val="%2、"/>
      <w:lvlJc w:val="left"/>
      <w:pPr>
        <w:ind w:left="1790" w:hanging="1080"/>
      </w:pPr>
      <w:rPr>
        <w:rFonts w:hint="eastAsia"/>
        <w:b/>
      </w:rPr>
    </w:lvl>
    <w:lvl w:ilvl="2" w:tentative="0">
      <w:start w:val="1"/>
      <w:numFmt w:val="decimal"/>
      <w:lvlText w:val="%3）"/>
      <w:lvlJc w:val="left"/>
      <w:pPr>
        <w:ind w:left="2127" w:hanging="720"/>
      </w:pPr>
      <w:rPr>
        <w:rFonts w:hint="eastAsia"/>
      </w:rPr>
    </w:lvl>
    <w:lvl w:ilvl="3" w:tentative="0">
      <w:start w:val="1"/>
      <w:numFmt w:val="decimal"/>
      <w:lvlText w:val="%4、"/>
      <w:lvlJc w:val="left"/>
      <w:pPr>
        <w:ind w:left="2652" w:hanging="825"/>
      </w:pPr>
      <w:rPr>
        <w:rFonts w:hint="default"/>
      </w:r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66F80B1D"/>
    <w:multiLevelType w:val="multilevel"/>
    <w:tmpl w:val="66F80B1D"/>
    <w:lvl w:ilvl="0" w:tentative="0">
      <w:start w:val="1"/>
      <w:numFmt w:val="decimal"/>
      <w:lvlText w:val="4.%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rules v:ext="edit">
        <o:r id="V:Rule1" type="connector" idref="#自选图形 7"/>
        <o:r id="V:Rule2" type="connector" idref="#自选图形 11"/>
        <o:r id="V:Rule3" type="connector" idref="#_x0000_s1031"/>
        <o:r id="V:Rule4" type="connector" idref="#_x0000_s1032"/>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yY2RhYjQ3YjI0M2Q0ODc2ODA2ZDZlNDZmNjMwZmIifQ=="/>
  </w:docVars>
  <w:rsids>
    <w:rsidRoot w:val="00B924F8"/>
    <w:rsid w:val="00002164"/>
    <w:rsid w:val="00005368"/>
    <w:rsid w:val="00005DCB"/>
    <w:rsid w:val="00015F51"/>
    <w:rsid w:val="000209FA"/>
    <w:rsid w:val="0002222C"/>
    <w:rsid w:val="00026725"/>
    <w:rsid w:val="00030B36"/>
    <w:rsid w:val="0003496C"/>
    <w:rsid w:val="000423A1"/>
    <w:rsid w:val="0004611D"/>
    <w:rsid w:val="000472D1"/>
    <w:rsid w:val="00054640"/>
    <w:rsid w:val="000556EC"/>
    <w:rsid w:val="00061D21"/>
    <w:rsid w:val="00063A42"/>
    <w:rsid w:val="00064AE7"/>
    <w:rsid w:val="00081B50"/>
    <w:rsid w:val="00084DFE"/>
    <w:rsid w:val="000905E4"/>
    <w:rsid w:val="0009067F"/>
    <w:rsid w:val="000925EF"/>
    <w:rsid w:val="00096D01"/>
    <w:rsid w:val="000A2D9D"/>
    <w:rsid w:val="000B573B"/>
    <w:rsid w:val="000B7B7A"/>
    <w:rsid w:val="000C41DC"/>
    <w:rsid w:val="000D3579"/>
    <w:rsid w:val="000D4525"/>
    <w:rsid w:val="000E0CAA"/>
    <w:rsid w:val="000E0DEA"/>
    <w:rsid w:val="000E31EE"/>
    <w:rsid w:val="000F596A"/>
    <w:rsid w:val="000F78B8"/>
    <w:rsid w:val="00101086"/>
    <w:rsid w:val="0010577F"/>
    <w:rsid w:val="0011084D"/>
    <w:rsid w:val="00111091"/>
    <w:rsid w:val="00115157"/>
    <w:rsid w:val="001318C5"/>
    <w:rsid w:val="00131C02"/>
    <w:rsid w:val="0013204D"/>
    <w:rsid w:val="001323FA"/>
    <w:rsid w:val="00141063"/>
    <w:rsid w:val="00143D59"/>
    <w:rsid w:val="00150554"/>
    <w:rsid w:val="00151727"/>
    <w:rsid w:val="00156CF6"/>
    <w:rsid w:val="00163B2E"/>
    <w:rsid w:val="00164FCA"/>
    <w:rsid w:val="00165C21"/>
    <w:rsid w:val="00172055"/>
    <w:rsid w:val="0017314C"/>
    <w:rsid w:val="00173CD7"/>
    <w:rsid w:val="00175A95"/>
    <w:rsid w:val="00176ECF"/>
    <w:rsid w:val="00180F9E"/>
    <w:rsid w:val="00181111"/>
    <w:rsid w:val="00187E19"/>
    <w:rsid w:val="001A336B"/>
    <w:rsid w:val="001A7B7A"/>
    <w:rsid w:val="001B286E"/>
    <w:rsid w:val="001B2D33"/>
    <w:rsid w:val="001C1677"/>
    <w:rsid w:val="001C4283"/>
    <w:rsid w:val="001D4B12"/>
    <w:rsid w:val="001D5EFE"/>
    <w:rsid w:val="001D6156"/>
    <w:rsid w:val="001D645D"/>
    <w:rsid w:val="001E1A2C"/>
    <w:rsid w:val="001E6E09"/>
    <w:rsid w:val="001F4F6B"/>
    <w:rsid w:val="0020019D"/>
    <w:rsid w:val="00202F7C"/>
    <w:rsid w:val="002073F8"/>
    <w:rsid w:val="00210B9E"/>
    <w:rsid w:val="0022193F"/>
    <w:rsid w:val="00222737"/>
    <w:rsid w:val="002229C2"/>
    <w:rsid w:val="002233D8"/>
    <w:rsid w:val="0023523F"/>
    <w:rsid w:val="00237278"/>
    <w:rsid w:val="002373EE"/>
    <w:rsid w:val="002453F3"/>
    <w:rsid w:val="00245E08"/>
    <w:rsid w:val="00251CB1"/>
    <w:rsid w:val="002524AC"/>
    <w:rsid w:val="00252D85"/>
    <w:rsid w:val="00260BA3"/>
    <w:rsid w:val="00261D0E"/>
    <w:rsid w:val="00270BB0"/>
    <w:rsid w:val="002725E9"/>
    <w:rsid w:val="00277488"/>
    <w:rsid w:val="002868C9"/>
    <w:rsid w:val="0029073E"/>
    <w:rsid w:val="0029120E"/>
    <w:rsid w:val="0029191E"/>
    <w:rsid w:val="002955EF"/>
    <w:rsid w:val="00297DE3"/>
    <w:rsid w:val="002A1DA0"/>
    <w:rsid w:val="002A79A5"/>
    <w:rsid w:val="002C0197"/>
    <w:rsid w:val="002C4721"/>
    <w:rsid w:val="002C62CA"/>
    <w:rsid w:val="002C7F23"/>
    <w:rsid w:val="002D7FBD"/>
    <w:rsid w:val="002E098D"/>
    <w:rsid w:val="002E1ACA"/>
    <w:rsid w:val="002F1370"/>
    <w:rsid w:val="002F40A9"/>
    <w:rsid w:val="00301F91"/>
    <w:rsid w:val="00304536"/>
    <w:rsid w:val="00306FCE"/>
    <w:rsid w:val="00312A21"/>
    <w:rsid w:val="00315874"/>
    <w:rsid w:val="00317354"/>
    <w:rsid w:val="003177F2"/>
    <w:rsid w:val="00320685"/>
    <w:rsid w:val="00322D12"/>
    <w:rsid w:val="0033550F"/>
    <w:rsid w:val="00335A41"/>
    <w:rsid w:val="00342743"/>
    <w:rsid w:val="00345D4B"/>
    <w:rsid w:val="003522EF"/>
    <w:rsid w:val="00352BCA"/>
    <w:rsid w:val="00372283"/>
    <w:rsid w:val="003743F0"/>
    <w:rsid w:val="0037588F"/>
    <w:rsid w:val="0038157C"/>
    <w:rsid w:val="00382687"/>
    <w:rsid w:val="0038447D"/>
    <w:rsid w:val="00385FD0"/>
    <w:rsid w:val="00386037"/>
    <w:rsid w:val="00387B46"/>
    <w:rsid w:val="0039077C"/>
    <w:rsid w:val="00391B38"/>
    <w:rsid w:val="003947B2"/>
    <w:rsid w:val="003A0696"/>
    <w:rsid w:val="003A6BCD"/>
    <w:rsid w:val="003A73EE"/>
    <w:rsid w:val="003B0110"/>
    <w:rsid w:val="003B172D"/>
    <w:rsid w:val="003B1765"/>
    <w:rsid w:val="003B543C"/>
    <w:rsid w:val="003B5EAD"/>
    <w:rsid w:val="003B7605"/>
    <w:rsid w:val="003C0496"/>
    <w:rsid w:val="003D1C68"/>
    <w:rsid w:val="003E4E0B"/>
    <w:rsid w:val="003E58C8"/>
    <w:rsid w:val="003E7036"/>
    <w:rsid w:val="003F1C41"/>
    <w:rsid w:val="003F2B85"/>
    <w:rsid w:val="003F40EA"/>
    <w:rsid w:val="003F739D"/>
    <w:rsid w:val="00402A1B"/>
    <w:rsid w:val="00403D17"/>
    <w:rsid w:val="00412F5D"/>
    <w:rsid w:val="00415661"/>
    <w:rsid w:val="00415C31"/>
    <w:rsid w:val="00422EE4"/>
    <w:rsid w:val="00425D3C"/>
    <w:rsid w:val="004270ED"/>
    <w:rsid w:val="0042745B"/>
    <w:rsid w:val="00430694"/>
    <w:rsid w:val="004318BD"/>
    <w:rsid w:val="00431A24"/>
    <w:rsid w:val="00431ABE"/>
    <w:rsid w:val="00435955"/>
    <w:rsid w:val="004379F1"/>
    <w:rsid w:val="00437B91"/>
    <w:rsid w:val="00442AD1"/>
    <w:rsid w:val="00443F4A"/>
    <w:rsid w:val="00447B12"/>
    <w:rsid w:val="00452685"/>
    <w:rsid w:val="00462715"/>
    <w:rsid w:val="004627B7"/>
    <w:rsid w:val="00470089"/>
    <w:rsid w:val="0047172E"/>
    <w:rsid w:val="00473496"/>
    <w:rsid w:val="004773D2"/>
    <w:rsid w:val="00477A79"/>
    <w:rsid w:val="0048165D"/>
    <w:rsid w:val="00483AE5"/>
    <w:rsid w:val="004A483D"/>
    <w:rsid w:val="004A4973"/>
    <w:rsid w:val="004A60CF"/>
    <w:rsid w:val="004B01FA"/>
    <w:rsid w:val="004B2DFE"/>
    <w:rsid w:val="004B3C16"/>
    <w:rsid w:val="004B4A2D"/>
    <w:rsid w:val="004B5F6B"/>
    <w:rsid w:val="004C1E5C"/>
    <w:rsid w:val="004C3024"/>
    <w:rsid w:val="004C6FBD"/>
    <w:rsid w:val="004D1200"/>
    <w:rsid w:val="004D3A9B"/>
    <w:rsid w:val="004D563C"/>
    <w:rsid w:val="004D602A"/>
    <w:rsid w:val="004D6D73"/>
    <w:rsid w:val="004D6F9F"/>
    <w:rsid w:val="004F2E91"/>
    <w:rsid w:val="004F2F1F"/>
    <w:rsid w:val="004F4267"/>
    <w:rsid w:val="00501689"/>
    <w:rsid w:val="005019BA"/>
    <w:rsid w:val="0051706F"/>
    <w:rsid w:val="005307F6"/>
    <w:rsid w:val="005352CC"/>
    <w:rsid w:val="00537A39"/>
    <w:rsid w:val="0054094F"/>
    <w:rsid w:val="005426B4"/>
    <w:rsid w:val="005539AD"/>
    <w:rsid w:val="0055579D"/>
    <w:rsid w:val="00565C67"/>
    <w:rsid w:val="00570228"/>
    <w:rsid w:val="00571134"/>
    <w:rsid w:val="00574434"/>
    <w:rsid w:val="005812F0"/>
    <w:rsid w:val="00581B43"/>
    <w:rsid w:val="00595A4F"/>
    <w:rsid w:val="005A007C"/>
    <w:rsid w:val="005A0435"/>
    <w:rsid w:val="005A14BE"/>
    <w:rsid w:val="005A2706"/>
    <w:rsid w:val="005A5875"/>
    <w:rsid w:val="005B4A47"/>
    <w:rsid w:val="005B7EF9"/>
    <w:rsid w:val="005C116A"/>
    <w:rsid w:val="005C1801"/>
    <w:rsid w:val="005C6266"/>
    <w:rsid w:val="005C75C5"/>
    <w:rsid w:val="005C784D"/>
    <w:rsid w:val="005C7CAD"/>
    <w:rsid w:val="005D19EC"/>
    <w:rsid w:val="005D3C30"/>
    <w:rsid w:val="005D4F77"/>
    <w:rsid w:val="005D5710"/>
    <w:rsid w:val="005D6430"/>
    <w:rsid w:val="005F2AA7"/>
    <w:rsid w:val="005F43B6"/>
    <w:rsid w:val="005F696E"/>
    <w:rsid w:val="006075C8"/>
    <w:rsid w:val="00614E2B"/>
    <w:rsid w:val="00615E78"/>
    <w:rsid w:val="00621433"/>
    <w:rsid w:val="00622C36"/>
    <w:rsid w:val="00630FEF"/>
    <w:rsid w:val="00636038"/>
    <w:rsid w:val="00642DC3"/>
    <w:rsid w:val="00647CF8"/>
    <w:rsid w:val="00651E99"/>
    <w:rsid w:val="0065287F"/>
    <w:rsid w:val="006541EB"/>
    <w:rsid w:val="006568C3"/>
    <w:rsid w:val="00663694"/>
    <w:rsid w:val="0066396C"/>
    <w:rsid w:val="00675AB0"/>
    <w:rsid w:val="006835FB"/>
    <w:rsid w:val="00685605"/>
    <w:rsid w:val="00686920"/>
    <w:rsid w:val="0069025B"/>
    <w:rsid w:val="0069361E"/>
    <w:rsid w:val="00696412"/>
    <w:rsid w:val="00696850"/>
    <w:rsid w:val="006B2E47"/>
    <w:rsid w:val="006B39AD"/>
    <w:rsid w:val="006B5796"/>
    <w:rsid w:val="006B7BA4"/>
    <w:rsid w:val="006C00CC"/>
    <w:rsid w:val="006C4F57"/>
    <w:rsid w:val="006C638A"/>
    <w:rsid w:val="006C6D56"/>
    <w:rsid w:val="006C6F43"/>
    <w:rsid w:val="006C7B66"/>
    <w:rsid w:val="006D5BA5"/>
    <w:rsid w:val="006E5C0E"/>
    <w:rsid w:val="006E657B"/>
    <w:rsid w:val="006F357E"/>
    <w:rsid w:val="006F5CBB"/>
    <w:rsid w:val="006F7329"/>
    <w:rsid w:val="007059DA"/>
    <w:rsid w:val="007243B6"/>
    <w:rsid w:val="00732EF3"/>
    <w:rsid w:val="00732F1D"/>
    <w:rsid w:val="00736200"/>
    <w:rsid w:val="0073733E"/>
    <w:rsid w:val="00741FF3"/>
    <w:rsid w:val="00745606"/>
    <w:rsid w:val="00751D53"/>
    <w:rsid w:val="00754C5D"/>
    <w:rsid w:val="00755AAB"/>
    <w:rsid w:val="00761403"/>
    <w:rsid w:val="00762CA2"/>
    <w:rsid w:val="0076440D"/>
    <w:rsid w:val="0077207C"/>
    <w:rsid w:val="00774373"/>
    <w:rsid w:val="00774EFF"/>
    <w:rsid w:val="007856EA"/>
    <w:rsid w:val="0078574E"/>
    <w:rsid w:val="0079178A"/>
    <w:rsid w:val="00792C3D"/>
    <w:rsid w:val="00796D08"/>
    <w:rsid w:val="0079715C"/>
    <w:rsid w:val="007A0104"/>
    <w:rsid w:val="007A0AC4"/>
    <w:rsid w:val="007A6A34"/>
    <w:rsid w:val="007B0D9E"/>
    <w:rsid w:val="007C3DE6"/>
    <w:rsid w:val="007D4457"/>
    <w:rsid w:val="007D6530"/>
    <w:rsid w:val="00801BF4"/>
    <w:rsid w:val="00806F94"/>
    <w:rsid w:val="008124BC"/>
    <w:rsid w:val="00813B24"/>
    <w:rsid w:val="008148CD"/>
    <w:rsid w:val="0081521C"/>
    <w:rsid w:val="00815879"/>
    <w:rsid w:val="00821A9B"/>
    <w:rsid w:val="0082248B"/>
    <w:rsid w:val="00822E7C"/>
    <w:rsid w:val="0082561A"/>
    <w:rsid w:val="008336B4"/>
    <w:rsid w:val="00833BE3"/>
    <w:rsid w:val="00844877"/>
    <w:rsid w:val="00846657"/>
    <w:rsid w:val="00852EE0"/>
    <w:rsid w:val="0086525C"/>
    <w:rsid w:val="00870228"/>
    <w:rsid w:val="00870A51"/>
    <w:rsid w:val="00874929"/>
    <w:rsid w:val="008760B6"/>
    <w:rsid w:val="00893F58"/>
    <w:rsid w:val="00896E46"/>
    <w:rsid w:val="008A54AE"/>
    <w:rsid w:val="008A632A"/>
    <w:rsid w:val="008B10B7"/>
    <w:rsid w:val="008B13C6"/>
    <w:rsid w:val="008C2683"/>
    <w:rsid w:val="008C50B0"/>
    <w:rsid w:val="008D07AC"/>
    <w:rsid w:val="008D20F2"/>
    <w:rsid w:val="008D6745"/>
    <w:rsid w:val="008E738F"/>
    <w:rsid w:val="008F3628"/>
    <w:rsid w:val="00902593"/>
    <w:rsid w:val="00911319"/>
    <w:rsid w:val="009209D5"/>
    <w:rsid w:val="00921228"/>
    <w:rsid w:val="00923284"/>
    <w:rsid w:val="00923386"/>
    <w:rsid w:val="00924ADC"/>
    <w:rsid w:val="009327A4"/>
    <w:rsid w:val="0093582E"/>
    <w:rsid w:val="0093608D"/>
    <w:rsid w:val="00936209"/>
    <w:rsid w:val="00941692"/>
    <w:rsid w:val="00943C68"/>
    <w:rsid w:val="0095269F"/>
    <w:rsid w:val="009539A5"/>
    <w:rsid w:val="009545F9"/>
    <w:rsid w:val="00955706"/>
    <w:rsid w:val="009566D6"/>
    <w:rsid w:val="00961F39"/>
    <w:rsid w:val="0096726C"/>
    <w:rsid w:val="00970E4E"/>
    <w:rsid w:val="00972964"/>
    <w:rsid w:val="00975781"/>
    <w:rsid w:val="00975C6D"/>
    <w:rsid w:val="00982EA9"/>
    <w:rsid w:val="00996548"/>
    <w:rsid w:val="00997BC7"/>
    <w:rsid w:val="009A2553"/>
    <w:rsid w:val="009A3034"/>
    <w:rsid w:val="009A348D"/>
    <w:rsid w:val="009A3F70"/>
    <w:rsid w:val="009B02C0"/>
    <w:rsid w:val="009B413D"/>
    <w:rsid w:val="009B6DE5"/>
    <w:rsid w:val="009C28A6"/>
    <w:rsid w:val="009D7C33"/>
    <w:rsid w:val="009E6816"/>
    <w:rsid w:val="00A00984"/>
    <w:rsid w:val="00A0099F"/>
    <w:rsid w:val="00A05896"/>
    <w:rsid w:val="00A07CAD"/>
    <w:rsid w:val="00A107FC"/>
    <w:rsid w:val="00A14DEA"/>
    <w:rsid w:val="00A213E3"/>
    <w:rsid w:val="00A238DA"/>
    <w:rsid w:val="00A320FB"/>
    <w:rsid w:val="00A37723"/>
    <w:rsid w:val="00A3783B"/>
    <w:rsid w:val="00A42759"/>
    <w:rsid w:val="00A42B73"/>
    <w:rsid w:val="00A43E8B"/>
    <w:rsid w:val="00A44587"/>
    <w:rsid w:val="00A52261"/>
    <w:rsid w:val="00A53749"/>
    <w:rsid w:val="00A56823"/>
    <w:rsid w:val="00A64E69"/>
    <w:rsid w:val="00A72F75"/>
    <w:rsid w:val="00A804C0"/>
    <w:rsid w:val="00A83671"/>
    <w:rsid w:val="00A86350"/>
    <w:rsid w:val="00A91165"/>
    <w:rsid w:val="00AA000E"/>
    <w:rsid w:val="00AA0BB1"/>
    <w:rsid w:val="00AA1385"/>
    <w:rsid w:val="00AA5865"/>
    <w:rsid w:val="00AB142F"/>
    <w:rsid w:val="00AB1DE4"/>
    <w:rsid w:val="00AB66C8"/>
    <w:rsid w:val="00AC14A6"/>
    <w:rsid w:val="00AC24E3"/>
    <w:rsid w:val="00AC3425"/>
    <w:rsid w:val="00AD1954"/>
    <w:rsid w:val="00AF0209"/>
    <w:rsid w:val="00AF4187"/>
    <w:rsid w:val="00AF4899"/>
    <w:rsid w:val="00B203AE"/>
    <w:rsid w:val="00B23EF0"/>
    <w:rsid w:val="00B24FD5"/>
    <w:rsid w:val="00B26F10"/>
    <w:rsid w:val="00B302FB"/>
    <w:rsid w:val="00B35E67"/>
    <w:rsid w:val="00B36944"/>
    <w:rsid w:val="00B4140A"/>
    <w:rsid w:val="00B445C7"/>
    <w:rsid w:val="00B57782"/>
    <w:rsid w:val="00B60A42"/>
    <w:rsid w:val="00B64B02"/>
    <w:rsid w:val="00B66EFB"/>
    <w:rsid w:val="00B74D41"/>
    <w:rsid w:val="00B760EC"/>
    <w:rsid w:val="00B77787"/>
    <w:rsid w:val="00B77DA5"/>
    <w:rsid w:val="00B820A6"/>
    <w:rsid w:val="00B83177"/>
    <w:rsid w:val="00B84E15"/>
    <w:rsid w:val="00B87E77"/>
    <w:rsid w:val="00B90371"/>
    <w:rsid w:val="00B91CE5"/>
    <w:rsid w:val="00B924F8"/>
    <w:rsid w:val="00B95A03"/>
    <w:rsid w:val="00B95F97"/>
    <w:rsid w:val="00B96F49"/>
    <w:rsid w:val="00BA077B"/>
    <w:rsid w:val="00BA5A88"/>
    <w:rsid w:val="00BB0920"/>
    <w:rsid w:val="00BB21B0"/>
    <w:rsid w:val="00BC12E8"/>
    <w:rsid w:val="00BC2FA5"/>
    <w:rsid w:val="00BC439B"/>
    <w:rsid w:val="00BD013C"/>
    <w:rsid w:val="00BD09C5"/>
    <w:rsid w:val="00BE005D"/>
    <w:rsid w:val="00BE36FA"/>
    <w:rsid w:val="00BE378F"/>
    <w:rsid w:val="00BE74B7"/>
    <w:rsid w:val="00BF2227"/>
    <w:rsid w:val="00C04049"/>
    <w:rsid w:val="00C04F9C"/>
    <w:rsid w:val="00C0702C"/>
    <w:rsid w:val="00C1049E"/>
    <w:rsid w:val="00C17AB1"/>
    <w:rsid w:val="00C20D43"/>
    <w:rsid w:val="00C20DBD"/>
    <w:rsid w:val="00C213AB"/>
    <w:rsid w:val="00C248E8"/>
    <w:rsid w:val="00C27754"/>
    <w:rsid w:val="00C305E0"/>
    <w:rsid w:val="00C36098"/>
    <w:rsid w:val="00C37049"/>
    <w:rsid w:val="00C40263"/>
    <w:rsid w:val="00C4304E"/>
    <w:rsid w:val="00C45A7B"/>
    <w:rsid w:val="00C46574"/>
    <w:rsid w:val="00C47C33"/>
    <w:rsid w:val="00C525F8"/>
    <w:rsid w:val="00C536A9"/>
    <w:rsid w:val="00C5396A"/>
    <w:rsid w:val="00C5738C"/>
    <w:rsid w:val="00C631F8"/>
    <w:rsid w:val="00C6407E"/>
    <w:rsid w:val="00C67E8D"/>
    <w:rsid w:val="00C709C1"/>
    <w:rsid w:val="00C728C4"/>
    <w:rsid w:val="00C7374B"/>
    <w:rsid w:val="00C75129"/>
    <w:rsid w:val="00C80A29"/>
    <w:rsid w:val="00C82518"/>
    <w:rsid w:val="00C840D4"/>
    <w:rsid w:val="00C870BB"/>
    <w:rsid w:val="00C96FA7"/>
    <w:rsid w:val="00CA2E23"/>
    <w:rsid w:val="00CA3927"/>
    <w:rsid w:val="00CA62AA"/>
    <w:rsid w:val="00CB4751"/>
    <w:rsid w:val="00CB71CD"/>
    <w:rsid w:val="00CC0D14"/>
    <w:rsid w:val="00CC1828"/>
    <w:rsid w:val="00CD5D4F"/>
    <w:rsid w:val="00CE0AB9"/>
    <w:rsid w:val="00CE1569"/>
    <w:rsid w:val="00CE5135"/>
    <w:rsid w:val="00CE55FB"/>
    <w:rsid w:val="00CE73BC"/>
    <w:rsid w:val="00CF5297"/>
    <w:rsid w:val="00CF7D00"/>
    <w:rsid w:val="00D00859"/>
    <w:rsid w:val="00D03B66"/>
    <w:rsid w:val="00D03F71"/>
    <w:rsid w:val="00D04A04"/>
    <w:rsid w:val="00D121DD"/>
    <w:rsid w:val="00D1320E"/>
    <w:rsid w:val="00D14C05"/>
    <w:rsid w:val="00D1646E"/>
    <w:rsid w:val="00D169D5"/>
    <w:rsid w:val="00D221C1"/>
    <w:rsid w:val="00D258A0"/>
    <w:rsid w:val="00D326CB"/>
    <w:rsid w:val="00D42938"/>
    <w:rsid w:val="00D4445A"/>
    <w:rsid w:val="00D4674E"/>
    <w:rsid w:val="00D47C5E"/>
    <w:rsid w:val="00D52684"/>
    <w:rsid w:val="00D615B5"/>
    <w:rsid w:val="00D62E79"/>
    <w:rsid w:val="00D80338"/>
    <w:rsid w:val="00D80E92"/>
    <w:rsid w:val="00D875D0"/>
    <w:rsid w:val="00D875E6"/>
    <w:rsid w:val="00D968C3"/>
    <w:rsid w:val="00D96D1B"/>
    <w:rsid w:val="00DA0534"/>
    <w:rsid w:val="00DA18B8"/>
    <w:rsid w:val="00DA2EED"/>
    <w:rsid w:val="00DA67A6"/>
    <w:rsid w:val="00DC0DC0"/>
    <w:rsid w:val="00DC2CDC"/>
    <w:rsid w:val="00DD48F8"/>
    <w:rsid w:val="00DD51A9"/>
    <w:rsid w:val="00DD6F7D"/>
    <w:rsid w:val="00DE678B"/>
    <w:rsid w:val="00DE6B1F"/>
    <w:rsid w:val="00DF568E"/>
    <w:rsid w:val="00DF656E"/>
    <w:rsid w:val="00E07B5F"/>
    <w:rsid w:val="00E15CF2"/>
    <w:rsid w:val="00E16814"/>
    <w:rsid w:val="00E16A05"/>
    <w:rsid w:val="00E23336"/>
    <w:rsid w:val="00E42EBC"/>
    <w:rsid w:val="00E46344"/>
    <w:rsid w:val="00E465C8"/>
    <w:rsid w:val="00E549E7"/>
    <w:rsid w:val="00E569A9"/>
    <w:rsid w:val="00E60503"/>
    <w:rsid w:val="00E65252"/>
    <w:rsid w:val="00E65D4F"/>
    <w:rsid w:val="00E71314"/>
    <w:rsid w:val="00E75744"/>
    <w:rsid w:val="00E75E14"/>
    <w:rsid w:val="00E77766"/>
    <w:rsid w:val="00E86387"/>
    <w:rsid w:val="00E87146"/>
    <w:rsid w:val="00E91CC9"/>
    <w:rsid w:val="00E94E33"/>
    <w:rsid w:val="00E95FFF"/>
    <w:rsid w:val="00E960A5"/>
    <w:rsid w:val="00E97EE0"/>
    <w:rsid w:val="00EA27EB"/>
    <w:rsid w:val="00EA2B30"/>
    <w:rsid w:val="00EA4634"/>
    <w:rsid w:val="00EB0A11"/>
    <w:rsid w:val="00EB0E81"/>
    <w:rsid w:val="00EB6910"/>
    <w:rsid w:val="00EC16C7"/>
    <w:rsid w:val="00EC404F"/>
    <w:rsid w:val="00EC6561"/>
    <w:rsid w:val="00ED51E7"/>
    <w:rsid w:val="00ED56FD"/>
    <w:rsid w:val="00EF0A58"/>
    <w:rsid w:val="00EF2F9D"/>
    <w:rsid w:val="00EF4286"/>
    <w:rsid w:val="00EF6276"/>
    <w:rsid w:val="00F00B53"/>
    <w:rsid w:val="00F00D63"/>
    <w:rsid w:val="00F0181A"/>
    <w:rsid w:val="00F07379"/>
    <w:rsid w:val="00F165D9"/>
    <w:rsid w:val="00F30C30"/>
    <w:rsid w:val="00F3563E"/>
    <w:rsid w:val="00F42AC4"/>
    <w:rsid w:val="00F43CB9"/>
    <w:rsid w:val="00F4517F"/>
    <w:rsid w:val="00F475F1"/>
    <w:rsid w:val="00F507E8"/>
    <w:rsid w:val="00F55965"/>
    <w:rsid w:val="00F569DE"/>
    <w:rsid w:val="00F6049D"/>
    <w:rsid w:val="00F62729"/>
    <w:rsid w:val="00F65CED"/>
    <w:rsid w:val="00F74372"/>
    <w:rsid w:val="00F80588"/>
    <w:rsid w:val="00F81FC2"/>
    <w:rsid w:val="00F825A0"/>
    <w:rsid w:val="00F867DC"/>
    <w:rsid w:val="00FA2332"/>
    <w:rsid w:val="00FA6793"/>
    <w:rsid w:val="00FB1AA0"/>
    <w:rsid w:val="00FB2BF7"/>
    <w:rsid w:val="00FB433D"/>
    <w:rsid w:val="00FB5949"/>
    <w:rsid w:val="00FB76A6"/>
    <w:rsid w:val="00FC0C7E"/>
    <w:rsid w:val="00FC0D9D"/>
    <w:rsid w:val="00FC2B0F"/>
    <w:rsid w:val="00FD1A5F"/>
    <w:rsid w:val="00FE0121"/>
    <w:rsid w:val="00FE1494"/>
    <w:rsid w:val="00FE1EE6"/>
    <w:rsid w:val="00FE2DFD"/>
    <w:rsid w:val="00FE2ED9"/>
    <w:rsid w:val="00FF5416"/>
    <w:rsid w:val="0318202E"/>
    <w:rsid w:val="04B36F93"/>
    <w:rsid w:val="052E23EA"/>
    <w:rsid w:val="059B352C"/>
    <w:rsid w:val="05E91253"/>
    <w:rsid w:val="06355E81"/>
    <w:rsid w:val="0652725C"/>
    <w:rsid w:val="07051C90"/>
    <w:rsid w:val="07B46482"/>
    <w:rsid w:val="08AA644C"/>
    <w:rsid w:val="09745509"/>
    <w:rsid w:val="09DB5CE2"/>
    <w:rsid w:val="0BC91354"/>
    <w:rsid w:val="0C6B1EA6"/>
    <w:rsid w:val="0E5A081F"/>
    <w:rsid w:val="0E5F0FE3"/>
    <w:rsid w:val="0F4E3808"/>
    <w:rsid w:val="134A43B0"/>
    <w:rsid w:val="135E09BE"/>
    <w:rsid w:val="192005BF"/>
    <w:rsid w:val="1AC35144"/>
    <w:rsid w:val="1AE4704C"/>
    <w:rsid w:val="1BE10781"/>
    <w:rsid w:val="1D885D29"/>
    <w:rsid w:val="1DE42C72"/>
    <w:rsid w:val="1E1C41C4"/>
    <w:rsid w:val="1E373B88"/>
    <w:rsid w:val="1F0131D2"/>
    <w:rsid w:val="20225ADC"/>
    <w:rsid w:val="2278663D"/>
    <w:rsid w:val="270A6F85"/>
    <w:rsid w:val="29EA3E19"/>
    <w:rsid w:val="2B814B66"/>
    <w:rsid w:val="2E0751AA"/>
    <w:rsid w:val="2E5B2DAE"/>
    <w:rsid w:val="2EE50BFE"/>
    <w:rsid w:val="2FFC7D82"/>
    <w:rsid w:val="30FD5459"/>
    <w:rsid w:val="31F53A8E"/>
    <w:rsid w:val="326C5BAE"/>
    <w:rsid w:val="346277B3"/>
    <w:rsid w:val="37157C3A"/>
    <w:rsid w:val="378F0313"/>
    <w:rsid w:val="391A49EA"/>
    <w:rsid w:val="39C93FE7"/>
    <w:rsid w:val="3A751A47"/>
    <w:rsid w:val="3CAA46D5"/>
    <w:rsid w:val="416859CE"/>
    <w:rsid w:val="41926959"/>
    <w:rsid w:val="419558D3"/>
    <w:rsid w:val="41EF1F68"/>
    <w:rsid w:val="42451B0C"/>
    <w:rsid w:val="42CF0043"/>
    <w:rsid w:val="438F5B71"/>
    <w:rsid w:val="471A467E"/>
    <w:rsid w:val="47415EF8"/>
    <w:rsid w:val="4A225CB2"/>
    <w:rsid w:val="4B223DAB"/>
    <w:rsid w:val="4B5C3214"/>
    <w:rsid w:val="4B640B8E"/>
    <w:rsid w:val="4E765154"/>
    <w:rsid w:val="4E8E65EB"/>
    <w:rsid w:val="4F035D84"/>
    <w:rsid w:val="500C4661"/>
    <w:rsid w:val="504B4970"/>
    <w:rsid w:val="504E597F"/>
    <w:rsid w:val="50DD4961"/>
    <w:rsid w:val="52CA69CE"/>
    <w:rsid w:val="5341442F"/>
    <w:rsid w:val="54E832AB"/>
    <w:rsid w:val="567531EB"/>
    <w:rsid w:val="571F0B2B"/>
    <w:rsid w:val="57742E23"/>
    <w:rsid w:val="582865DA"/>
    <w:rsid w:val="5A504A67"/>
    <w:rsid w:val="5A5B72C5"/>
    <w:rsid w:val="5A79491C"/>
    <w:rsid w:val="5B9902F9"/>
    <w:rsid w:val="5E5270A7"/>
    <w:rsid w:val="5F3C4668"/>
    <w:rsid w:val="62FB15D5"/>
    <w:rsid w:val="657F075A"/>
    <w:rsid w:val="658A7D03"/>
    <w:rsid w:val="65A05ADD"/>
    <w:rsid w:val="66411F5F"/>
    <w:rsid w:val="66466BEE"/>
    <w:rsid w:val="66A728EA"/>
    <w:rsid w:val="66BB7CB7"/>
    <w:rsid w:val="67694F5F"/>
    <w:rsid w:val="67FD0979"/>
    <w:rsid w:val="6A11177D"/>
    <w:rsid w:val="6A7F6142"/>
    <w:rsid w:val="6BE55D76"/>
    <w:rsid w:val="6BF67609"/>
    <w:rsid w:val="6DA077E8"/>
    <w:rsid w:val="6E3E1D9A"/>
    <w:rsid w:val="6E5F6665"/>
    <w:rsid w:val="7006252D"/>
    <w:rsid w:val="72E04959"/>
    <w:rsid w:val="73912850"/>
    <w:rsid w:val="74212483"/>
    <w:rsid w:val="754D2940"/>
    <w:rsid w:val="756C08EF"/>
    <w:rsid w:val="76527DF2"/>
    <w:rsid w:val="76DA75BC"/>
    <w:rsid w:val="779A2BDE"/>
    <w:rsid w:val="780F06E7"/>
    <w:rsid w:val="793E38CD"/>
    <w:rsid w:val="79B75B8E"/>
    <w:rsid w:val="79E21EC5"/>
    <w:rsid w:val="7BFC7D4F"/>
    <w:rsid w:val="7C2C6871"/>
    <w:rsid w:val="7CBF1083"/>
    <w:rsid w:val="7CFA1B98"/>
    <w:rsid w:val="7D2122E3"/>
    <w:rsid w:val="7DA15B73"/>
    <w:rsid w:val="7E266FC8"/>
    <w:rsid w:val="7E522895"/>
    <w:rsid w:val="7E5F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widowControl w:val="0"/>
      <w:spacing w:before="260" w:after="260" w:line="415" w:lineRule="auto"/>
      <w:jc w:val="both"/>
      <w:outlineLvl w:val="2"/>
    </w:pPr>
    <w:rPr>
      <w:b/>
      <w:bCs/>
      <w:kern w:val="2"/>
      <w:sz w:val="32"/>
      <w:szCs w:val="32"/>
    </w:rPr>
  </w:style>
  <w:style w:type="paragraph" w:styleId="5">
    <w:name w:val="heading 4"/>
    <w:basedOn w:val="1"/>
    <w:next w:val="1"/>
    <w:link w:val="59"/>
    <w:qFormat/>
    <w:uiPriority w:val="0"/>
    <w:pPr>
      <w:keepNext/>
      <w:keepLines/>
      <w:widowControl w:val="0"/>
      <w:spacing w:before="280" w:after="290" w:line="374" w:lineRule="auto"/>
      <w:jc w:val="both"/>
      <w:outlineLvl w:val="3"/>
    </w:pPr>
    <w:rPr>
      <w:rFonts w:ascii="Cambria" w:hAnsi="Cambria"/>
      <w:b/>
      <w:bCs/>
      <w:kern w:val="2"/>
      <w:sz w:val="28"/>
      <w:szCs w:val="28"/>
    </w:rPr>
  </w:style>
  <w:style w:type="paragraph" w:styleId="6">
    <w:name w:val="heading 5"/>
    <w:basedOn w:val="1"/>
    <w:next w:val="1"/>
    <w:link w:val="60"/>
    <w:qFormat/>
    <w:uiPriority w:val="0"/>
    <w:pPr>
      <w:keepNext/>
      <w:keepLines/>
      <w:widowControl w:val="0"/>
      <w:spacing w:before="280" w:after="290" w:line="374" w:lineRule="auto"/>
      <w:jc w:val="both"/>
      <w:outlineLvl w:val="4"/>
    </w:pPr>
    <w:rPr>
      <w:b/>
      <w:bCs/>
      <w:kern w:val="2"/>
      <w:sz w:val="28"/>
      <w:szCs w:val="28"/>
    </w:rPr>
  </w:style>
  <w:style w:type="paragraph" w:styleId="7">
    <w:name w:val="heading 9"/>
    <w:basedOn w:val="1"/>
    <w:next w:val="1"/>
    <w:link w:val="61"/>
    <w:qFormat/>
    <w:uiPriority w:val="0"/>
    <w:pPr>
      <w:keepNext/>
      <w:keepLines/>
      <w:spacing w:before="240" w:after="64" w:line="320" w:lineRule="auto"/>
      <w:outlineLvl w:val="8"/>
    </w:pPr>
    <w:rPr>
      <w:rFonts w:ascii="Calibri" w:hAnsi="Calibri"/>
      <w:sz w:val="21"/>
      <w:szCs w:val="21"/>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0"/>
    <w:pPr>
      <w:widowControl w:val="0"/>
      <w:ind w:left="1260"/>
    </w:pPr>
    <w:rPr>
      <w:kern w:val="2"/>
    </w:rPr>
  </w:style>
  <w:style w:type="paragraph" w:styleId="9">
    <w:name w:val="index 8"/>
    <w:basedOn w:val="1"/>
    <w:next w:val="1"/>
    <w:qFormat/>
    <w:uiPriority w:val="0"/>
    <w:pPr>
      <w:widowControl w:val="0"/>
      <w:ind w:left="1400" w:leftChars="1400"/>
      <w:jc w:val="both"/>
    </w:pPr>
    <w:rPr>
      <w:kern w:val="2"/>
      <w:sz w:val="21"/>
    </w:rPr>
  </w:style>
  <w:style w:type="paragraph" w:styleId="10">
    <w:name w:val="Normal Indent"/>
    <w:basedOn w:val="1"/>
    <w:link w:val="67"/>
    <w:qFormat/>
    <w:uiPriority w:val="0"/>
    <w:pPr>
      <w:ind w:firstLine="420"/>
    </w:pPr>
  </w:style>
  <w:style w:type="paragraph" w:styleId="11">
    <w:name w:val="caption"/>
    <w:basedOn w:val="1"/>
    <w:next w:val="1"/>
    <w:qFormat/>
    <w:uiPriority w:val="0"/>
    <w:pPr>
      <w:widowControl w:val="0"/>
      <w:jc w:val="both"/>
    </w:pPr>
    <w:rPr>
      <w:rFonts w:ascii="Arial" w:hAnsi="Arial" w:eastAsia="黑体" w:cs="Arial"/>
      <w:kern w:val="2"/>
    </w:rPr>
  </w:style>
  <w:style w:type="paragraph" w:styleId="12">
    <w:name w:val="index 5"/>
    <w:basedOn w:val="1"/>
    <w:next w:val="1"/>
    <w:qFormat/>
    <w:uiPriority w:val="0"/>
    <w:pPr>
      <w:widowControl w:val="0"/>
      <w:ind w:left="800" w:leftChars="800"/>
      <w:jc w:val="both"/>
    </w:pPr>
    <w:rPr>
      <w:kern w:val="2"/>
      <w:sz w:val="21"/>
    </w:rPr>
  </w:style>
  <w:style w:type="paragraph" w:styleId="13">
    <w:name w:val="Document Map"/>
    <w:basedOn w:val="1"/>
    <w:link w:val="84"/>
    <w:qFormat/>
    <w:uiPriority w:val="0"/>
    <w:rPr>
      <w:rFonts w:ascii="宋体"/>
      <w:sz w:val="18"/>
      <w:szCs w:val="18"/>
    </w:rPr>
  </w:style>
  <w:style w:type="paragraph" w:styleId="14">
    <w:name w:val="annotation text"/>
    <w:basedOn w:val="1"/>
    <w:link w:val="66"/>
    <w:qFormat/>
    <w:uiPriority w:val="0"/>
    <w:pPr>
      <w:widowControl w:val="0"/>
    </w:pPr>
    <w:rPr>
      <w:kern w:val="2"/>
      <w:sz w:val="21"/>
    </w:rPr>
  </w:style>
  <w:style w:type="paragraph" w:styleId="15">
    <w:name w:val="index 6"/>
    <w:basedOn w:val="1"/>
    <w:next w:val="1"/>
    <w:qFormat/>
    <w:uiPriority w:val="0"/>
    <w:pPr>
      <w:widowControl w:val="0"/>
      <w:ind w:left="1000" w:leftChars="1000"/>
      <w:jc w:val="both"/>
    </w:pPr>
    <w:rPr>
      <w:kern w:val="2"/>
      <w:sz w:val="21"/>
    </w:rPr>
  </w:style>
  <w:style w:type="paragraph" w:styleId="16">
    <w:name w:val="Salutation"/>
    <w:basedOn w:val="1"/>
    <w:next w:val="1"/>
    <w:link w:val="186"/>
    <w:qFormat/>
    <w:uiPriority w:val="0"/>
    <w:pPr>
      <w:widowControl w:val="0"/>
      <w:jc w:val="both"/>
    </w:pPr>
    <w:rPr>
      <w:kern w:val="2"/>
      <w:sz w:val="21"/>
      <w:szCs w:val="24"/>
    </w:rPr>
  </w:style>
  <w:style w:type="paragraph" w:styleId="17">
    <w:name w:val="Closing"/>
    <w:basedOn w:val="1"/>
    <w:link w:val="187"/>
    <w:qFormat/>
    <w:uiPriority w:val="0"/>
    <w:pPr>
      <w:widowControl w:val="0"/>
      <w:ind w:left="100" w:leftChars="2100"/>
      <w:jc w:val="both"/>
    </w:pPr>
    <w:rPr>
      <w:kern w:val="2"/>
      <w:sz w:val="21"/>
      <w:szCs w:val="24"/>
    </w:rPr>
  </w:style>
  <w:style w:type="paragraph" w:styleId="18">
    <w:name w:val="Body Text"/>
    <w:basedOn w:val="1"/>
    <w:link w:val="97"/>
    <w:qFormat/>
    <w:uiPriority w:val="0"/>
    <w:pPr>
      <w:spacing w:after="120"/>
    </w:pPr>
    <w:rPr>
      <w:rFonts w:ascii="宋体" w:hAnsi="宋体" w:cstheme="minorBidi"/>
      <w:spacing w:val="20"/>
      <w:kern w:val="2"/>
      <w:sz w:val="24"/>
      <w:szCs w:val="24"/>
    </w:rPr>
  </w:style>
  <w:style w:type="paragraph" w:styleId="19">
    <w:name w:val="Body Text Indent"/>
    <w:basedOn w:val="1"/>
    <w:link w:val="71"/>
    <w:qFormat/>
    <w:uiPriority w:val="0"/>
    <w:pPr>
      <w:spacing w:after="120"/>
      <w:ind w:left="420" w:leftChars="200"/>
    </w:pPr>
  </w:style>
  <w:style w:type="paragraph" w:styleId="20">
    <w:name w:val="Block Text"/>
    <w:basedOn w:val="1"/>
    <w:qFormat/>
    <w:uiPriority w:val="0"/>
    <w:pPr>
      <w:widowControl w:val="0"/>
      <w:ind w:left="540" w:right="-90" w:firstLine="570"/>
      <w:jc w:val="both"/>
    </w:pPr>
    <w:rPr>
      <w:kern w:val="2"/>
      <w:sz w:val="28"/>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0"/>
    <w:pPr>
      <w:widowControl w:val="0"/>
      <w:ind w:left="840"/>
    </w:pPr>
    <w:rPr>
      <w:kern w:val="2"/>
    </w:rPr>
  </w:style>
  <w:style w:type="paragraph" w:styleId="23">
    <w:name w:val="toc 3"/>
    <w:basedOn w:val="1"/>
    <w:next w:val="1"/>
    <w:unhideWhenUsed/>
    <w:qFormat/>
    <w:uiPriority w:val="39"/>
    <w:pPr>
      <w:spacing w:after="100" w:line="276" w:lineRule="auto"/>
      <w:ind w:left="440"/>
    </w:pPr>
    <w:rPr>
      <w:rFonts w:ascii="Cambria" w:hAnsi="Cambria"/>
      <w:sz w:val="22"/>
      <w:szCs w:val="22"/>
    </w:rPr>
  </w:style>
  <w:style w:type="paragraph" w:styleId="24">
    <w:name w:val="Plain Text"/>
    <w:basedOn w:val="1"/>
    <w:link w:val="69"/>
    <w:qFormat/>
    <w:uiPriority w:val="0"/>
    <w:pPr>
      <w:widowControl w:val="0"/>
      <w:jc w:val="both"/>
    </w:pPr>
    <w:rPr>
      <w:rFonts w:ascii="宋体" w:hAnsi="Courier New"/>
      <w:kern w:val="2"/>
      <w:sz w:val="21"/>
    </w:rPr>
  </w:style>
  <w:style w:type="paragraph" w:styleId="25">
    <w:name w:val="toc 8"/>
    <w:basedOn w:val="1"/>
    <w:next w:val="1"/>
    <w:qFormat/>
    <w:uiPriority w:val="0"/>
    <w:pPr>
      <w:widowControl w:val="0"/>
      <w:ind w:left="1470"/>
    </w:pPr>
    <w:rPr>
      <w:kern w:val="2"/>
    </w:rPr>
  </w:style>
  <w:style w:type="paragraph" w:styleId="26">
    <w:name w:val="index 3"/>
    <w:basedOn w:val="1"/>
    <w:next w:val="1"/>
    <w:qFormat/>
    <w:uiPriority w:val="0"/>
    <w:pPr>
      <w:widowControl w:val="0"/>
      <w:ind w:left="400" w:leftChars="400"/>
      <w:jc w:val="both"/>
    </w:pPr>
    <w:rPr>
      <w:kern w:val="2"/>
      <w:sz w:val="21"/>
    </w:rPr>
  </w:style>
  <w:style w:type="paragraph" w:styleId="27">
    <w:name w:val="Date"/>
    <w:basedOn w:val="1"/>
    <w:next w:val="1"/>
    <w:link w:val="65"/>
    <w:qFormat/>
    <w:uiPriority w:val="0"/>
    <w:pPr>
      <w:widowControl w:val="0"/>
      <w:jc w:val="both"/>
    </w:pPr>
    <w:rPr>
      <w:kern w:val="2"/>
      <w:sz w:val="28"/>
    </w:rPr>
  </w:style>
  <w:style w:type="paragraph" w:styleId="28">
    <w:name w:val="Body Text Indent 2"/>
    <w:basedOn w:val="1"/>
    <w:link w:val="70"/>
    <w:qFormat/>
    <w:uiPriority w:val="0"/>
    <w:pPr>
      <w:spacing w:after="120" w:line="480" w:lineRule="auto"/>
      <w:ind w:left="420" w:leftChars="200"/>
    </w:pPr>
  </w:style>
  <w:style w:type="paragraph" w:styleId="29">
    <w:name w:val="Balloon Text"/>
    <w:basedOn w:val="1"/>
    <w:link w:val="78"/>
    <w:qFormat/>
    <w:uiPriority w:val="0"/>
    <w:rPr>
      <w:sz w:val="18"/>
      <w:szCs w:val="18"/>
    </w:rPr>
  </w:style>
  <w:style w:type="paragraph" w:styleId="30">
    <w:name w:val="footer"/>
    <w:basedOn w:val="1"/>
    <w:link w:val="63"/>
    <w:unhideWhenUsed/>
    <w:qFormat/>
    <w:uiPriority w:val="99"/>
    <w:pPr>
      <w:tabs>
        <w:tab w:val="center" w:pos="4153"/>
        <w:tab w:val="right" w:pos="8306"/>
      </w:tabs>
      <w:snapToGrid w:val="0"/>
    </w:pPr>
    <w:rPr>
      <w:sz w:val="18"/>
      <w:szCs w:val="18"/>
    </w:rPr>
  </w:style>
  <w:style w:type="paragraph" w:styleId="31">
    <w:name w:val="header"/>
    <w:basedOn w:val="1"/>
    <w:link w:val="62"/>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Signature"/>
    <w:basedOn w:val="1"/>
    <w:next w:val="1"/>
    <w:link w:val="188"/>
    <w:qFormat/>
    <w:uiPriority w:val="0"/>
    <w:pPr>
      <w:widowControl w:val="0"/>
      <w:autoSpaceDE w:val="0"/>
      <w:autoSpaceDN w:val="0"/>
      <w:adjustRightInd w:val="0"/>
      <w:spacing w:after="120" w:line="312" w:lineRule="atLeast"/>
      <w:jc w:val="center"/>
      <w:textAlignment w:val="baseline"/>
    </w:pPr>
    <w:rPr>
      <w:rFonts w:ascii="楷体" w:hAnsi="Tms Rmn" w:eastAsia="楷体"/>
      <w:sz w:val="21"/>
    </w:rPr>
  </w:style>
  <w:style w:type="paragraph" w:styleId="33">
    <w:name w:val="toc 1"/>
    <w:basedOn w:val="1"/>
    <w:next w:val="1"/>
    <w:qFormat/>
    <w:uiPriority w:val="39"/>
    <w:pPr>
      <w:tabs>
        <w:tab w:val="right" w:leader="dot" w:pos="9118"/>
      </w:tabs>
      <w:spacing w:beforeLines="50" w:line="320" w:lineRule="exact"/>
      <w:ind w:left="400" w:leftChars="200"/>
    </w:pPr>
    <w:rPr>
      <w:rFonts w:ascii="宋体" w:hAnsi="宋体" w:cs="仿宋_GB2312"/>
      <w:b/>
      <w:snapToGrid w:val="0"/>
      <w:sz w:val="24"/>
      <w:szCs w:val="24"/>
    </w:rPr>
  </w:style>
  <w:style w:type="paragraph" w:styleId="34">
    <w:name w:val="toc 4"/>
    <w:basedOn w:val="1"/>
    <w:next w:val="1"/>
    <w:qFormat/>
    <w:uiPriority w:val="0"/>
    <w:pPr>
      <w:widowControl w:val="0"/>
      <w:ind w:left="630"/>
    </w:pPr>
    <w:rPr>
      <w:kern w:val="2"/>
    </w:rPr>
  </w:style>
  <w:style w:type="paragraph" w:styleId="35">
    <w:name w:val="index heading"/>
    <w:basedOn w:val="1"/>
    <w:next w:val="36"/>
    <w:qFormat/>
    <w:uiPriority w:val="0"/>
    <w:pPr>
      <w:widowControl w:val="0"/>
      <w:jc w:val="both"/>
    </w:pPr>
    <w:rPr>
      <w:kern w:val="2"/>
      <w:sz w:val="21"/>
    </w:rPr>
  </w:style>
  <w:style w:type="paragraph" w:styleId="36">
    <w:name w:val="index 1"/>
    <w:basedOn w:val="1"/>
    <w:next w:val="1"/>
    <w:qFormat/>
    <w:uiPriority w:val="0"/>
  </w:style>
  <w:style w:type="paragraph" w:styleId="37">
    <w:name w:val="Subtitle"/>
    <w:basedOn w:val="1"/>
    <w:link w:val="99"/>
    <w:qFormat/>
    <w:uiPriority w:val="0"/>
    <w:pPr>
      <w:spacing w:before="240" w:after="60" w:line="312" w:lineRule="auto"/>
      <w:jc w:val="center"/>
      <w:outlineLvl w:val="1"/>
    </w:pPr>
    <w:rPr>
      <w:rFonts w:ascii="Cambria" w:hAnsi="Cambria" w:cstheme="minorBidi"/>
      <w:b/>
      <w:bCs/>
      <w:kern w:val="28"/>
      <w:sz w:val="32"/>
      <w:szCs w:val="32"/>
    </w:rPr>
  </w:style>
  <w:style w:type="paragraph" w:styleId="38">
    <w:name w:val="toc 6"/>
    <w:basedOn w:val="1"/>
    <w:next w:val="1"/>
    <w:qFormat/>
    <w:uiPriority w:val="0"/>
    <w:pPr>
      <w:widowControl w:val="0"/>
      <w:ind w:left="1050"/>
    </w:pPr>
    <w:rPr>
      <w:kern w:val="2"/>
    </w:rPr>
  </w:style>
  <w:style w:type="paragraph" w:styleId="39">
    <w:name w:val="Body Text Indent 3"/>
    <w:basedOn w:val="1"/>
    <w:link w:val="68"/>
    <w:qFormat/>
    <w:uiPriority w:val="0"/>
    <w:pPr>
      <w:widowControl w:val="0"/>
      <w:ind w:firstLine="588"/>
      <w:jc w:val="both"/>
    </w:pPr>
    <w:rPr>
      <w:rFonts w:ascii="仿宋_GB2312" w:eastAsia="仿宋_GB2312"/>
      <w:kern w:val="2"/>
      <w:sz w:val="28"/>
    </w:rPr>
  </w:style>
  <w:style w:type="paragraph" w:styleId="40">
    <w:name w:val="index 7"/>
    <w:basedOn w:val="1"/>
    <w:next w:val="1"/>
    <w:qFormat/>
    <w:uiPriority w:val="0"/>
    <w:pPr>
      <w:widowControl w:val="0"/>
      <w:ind w:left="1200" w:leftChars="1200"/>
      <w:jc w:val="both"/>
    </w:pPr>
    <w:rPr>
      <w:kern w:val="2"/>
      <w:sz w:val="21"/>
    </w:rPr>
  </w:style>
  <w:style w:type="paragraph" w:styleId="41">
    <w:name w:val="index 9"/>
    <w:basedOn w:val="1"/>
    <w:next w:val="1"/>
    <w:qFormat/>
    <w:uiPriority w:val="0"/>
    <w:pPr>
      <w:widowControl w:val="0"/>
      <w:ind w:left="1600" w:leftChars="1600"/>
      <w:jc w:val="both"/>
    </w:pPr>
    <w:rPr>
      <w:kern w:val="2"/>
      <w:sz w:val="21"/>
    </w:rPr>
  </w:style>
  <w:style w:type="paragraph" w:styleId="42">
    <w:name w:val="toc 2"/>
    <w:basedOn w:val="1"/>
    <w:next w:val="1"/>
    <w:qFormat/>
    <w:uiPriority w:val="39"/>
    <w:pPr>
      <w:tabs>
        <w:tab w:val="left" w:pos="1560"/>
        <w:tab w:val="left" w:pos="1680"/>
        <w:tab w:val="right" w:leader="dot" w:pos="9118"/>
      </w:tabs>
      <w:spacing w:line="500" w:lineRule="exact"/>
      <w:ind w:left="400" w:leftChars="200"/>
    </w:pPr>
    <w:rPr>
      <w:rFonts w:ascii="仿宋_GB2312" w:hAnsi="仿宋_GB2312" w:eastAsia="仿宋_GB2312" w:cs="仿宋_GB2312"/>
      <w:sz w:val="24"/>
      <w:szCs w:val="24"/>
    </w:rPr>
  </w:style>
  <w:style w:type="paragraph" w:styleId="43">
    <w:name w:val="toc 9"/>
    <w:basedOn w:val="1"/>
    <w:next w:val="1"/>
    <w:qFormat/>
    <w:uiPriority w:val="0"/>
    <w:pPr>
      <w:widowControl w:val="0"/>
      <w:ind w:left="1680"/>
    </w:pPr>
    <w:rPr>
      <w:kern w:val="2"/>
    </w:rPr>
  </w:style>
  <w:style w:type="paragraph" w:styleId="44">
    <w:name w:val="Normal (Web)"/>
    <w:basedOn w:val="1"/>
    <w:qFormat/>
    <w:uiPriority w:val="99"/>
    <w:pPr>
      <w:spacing w:before="100" w:beforeAutospacing="1" w:after="100" w:afterAutospacing="1"/>
    </w:pPr>
    <w:rPr>
      <w:rFonts w:ascii="宋体" w:hAnsi="宋体" w:cs="宋体"/>
      <w:color w:val="000000"/>
      <w:sz w:val="24"/>
      <w:szCs w:val="24"/>
    </w:rPr>
  </w:style>
  <w:style w:type="paragraph" w:styleId="45">
    <w:name w:val="index 2"/>
    <w:basedOn w:val="1"/>
    <w:next w:val="1"/>
    <w:qFormat/>
    <w:uiPriority w:val="0"/>
    <w:pPr>
      <w:widowControl w:val="0"/>
      <w:ind w:left="200" w:leftChars="200"/>
      <w:jc w:val="both"/>
    </w:pPr>
    <w:rPr>
      <w:kern w:val="2"/>
      <w:sz w:val="21"/>
    </w:rPr>
  </w:style>
  <w:style w:type="paragraph" w:styleId="46">
    <w:name w:val="annotation subject"/>
    <w:basedOn w:val="14"/>
    <w:next w:val="14"/>
    <w:link w:val="77"/>
    <w:qFormat/>
    <w:uiPriority w:val="0"/>
    <w:pPr>
      <w:widowControl/>
    </w:pPr>
    <w:rPr>
      <w:b/>
      <w:bCs/>
      <w:kern w:val="0"/>
      <w:sz w:val="20"/>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Theme"/>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0"/>
    <w:rPr>
      <w:b/>
      <w:bCs/>
    </w:rPr>
  </w:style>
  <w:style w:type="character" w:styleId="52">
    <w:name w:val="page number"/>
    <w:basedOn w:val="50"/>
    <w:qFormat/>
    <w:uiPriority w:val="0"/>
  </w:style>
  <w:style w:type="character" w:styleId="53">
    <w:name w:val="FollowedHyperlink"/>
    <w:basedOn w:val="50"/>
    <w:qFormat/>
    <w:uiPriority w:val="99"/>
    <w:rPr>
      <w:color w:val="800080"/>
      <w:u w:val="single"/>
    </w:rPr>
  </w:style>
  <w:style w:type="character" w:styleId="54">
    <w:name w:val="Hyperlink"/>
    <w:basedOn w:val="50"/>
    <w:qFormat/>
    <w:uiPriority w:val="99"/>
    <w:rPr>
      <w:color w:val="0000FF"/>
      <w:u w:val="single"/>
    </w:rPr>
  </w:style>
  <w:style w:type="character" w:styleId="55">
    <w:name w:val="annotation reference"/>
    <w:basedOn w:val="50"/>
    <w:qFormat/>
    <w:uiPriority w:val="0"/>
    <w:rPr>
      <w:sz w:val="21"/>
      <w:szCs w:val="21"/>
    </w:rPr>
  </w:style>
  <w:style w:type="character" w:customStyle="1" w:styleId="56">
    <w:name w:val="标题 1 Char"/>
    <w:basedOn w:val="50"/>
    <w:link w:val="2"/>
    <w:qFormat/>
    <w:uiPriority w:val="0"/>
    <w:rPr>
      <w:rFonts w:ascii="Times New Roman" w:hAnsi="Times New Roman" w:eastAsia="宋体" w:cs="Times New Roman"/>
      <w:b/>
      <w:bCs/>
      <w:kern w:val="44"/>
      <w:sz w:val="44"/>
      <w:szCs w:val="44"/>
    </w:rPr>
  </w:style>
  <w:style w:type="character" w:customStyle="1" w:styleId="57">
    <w:name w:val="标题 2 Char"/>
    <w:basedOn w:val="50"/>
    <w:link w:val="3"/>
    <w:qFormat/>
    <w:uiPriority w:val="0"/>
    <w:rPr>
      <w:rFonts w:ascii="Arial" w:hAnsi="Arial" w:eastAsia="黑体" w:cs="Times New Roman"/>
      <w:b/>
      <w:bCs/>
      <w:kern w:val="0"/>
      <w:sz w:val="32"/>
      <w:szCs w:val="32"/>
    </w:rPr>
  </w:style>
  <w:style w:type="character" w:customStyle="1" w:styleId="58">
    <w:name w:val="标题 3 Char"/>
    <w:basedOn w:val="50"/>
    <w:link w:val="4"/>
    <w:qFormat/>
    <w:uiPriority w:val="0"/>
    <w:rPr>
      <w:rFonts w:ascii="Times New Roman" w:hAnsi="Times New Roman" w:eastAsia="宋体" w:cs="Times New Roman"/>
      <w:b/>
      <w:bCs/>
      <w:sz w:val="32"/>
      <w:szCs w:val="32"/>
    </w:rPr>
  </w:style>
  <w:style w:type="character" w:customStyle="1" w:styleId="59">
    <w:name w:val="标题 4 Char"/>
    <w:basedOn w:val="50"/>
    <w:link w:val="5"/>
    <w:qFormat/>
    <w:uiPriority w:val="0"/>
    <w:rPr>
      <w:rFonts w:ascii="Cambria" w:hAnsi="Cambria" w:eastAsia="宋体" w:cs="Times New Roman"/>
      <w:b/>
      <w:bCs/>
      <w:sz w:val="28"/>
      <w:szCs w:val="28"/>
    </w:rPr>
  </w:style>
  <w:style w:type="character" w:customStyle="1" w:styleId="60">
    <w:name w:val="标题 5 Char"/>
    <w:basedOn w:val="50"/>
    <w:link w:val="6"/>
    <w:qFormat/>
    <w:uiPriority w:val="0"/>
    <w:rPr>
      <w:rFonts w:ascii="Times New Roman" w:hAnsi="Times New Roman" w:eastAsia="宋体" w:cs="Times New Roman"/>
      <w:b/>
      <w:bCs/>
      <w:sz w:val="28"/>
      <w:szCs w:val="28"/>
    </w:rPr>
  </w:style>
  <w:style w:type="character" w:customStyle="1" w:styleId="61">
    <w:name w:val="标题 9 Char"/>
    <w:basedOn w:val="50"/>
    <w:link w:val="7"/>
    <w:qFormat/>
    <w:uiPriority w:val="0"/>
    <w:rPr>
      <w:rFonts w:ascii="Calibri" w:hAnsi="Calibri" w:eastAsia="宋体" w:cs="Times New Roman"/>
      <w:kern w:val="0"/>
      <w:szCs w:val="21"/>
    </w:rPr>
  </w:style>
  <w:style w:type="character" w:customStyle="1" w:styleId="62">
    <w:name w:val="页眉 Char"/>
    <w:basedOn w:val="50"/>
    <w:link w:val="31"/>
    <w:qFormat/>
    <w:uiPriority w:val="99"/>
    <w:rPr>
      <w:sz w:val="18"/>
      <w:szCs w:val="18"/>
    </w:rPr>
  </w:style>
  <w:style w:type="character" w:customStyle="1" w:styleId="63">
    <w:name w:val="页脚 Char"/>
    <w:basedOn w:val="50"/>
    <w:link w:val="30"/>
    <w:qFormat/>
    <w:uiPriority w:val="99"/>
    <w:rPr>
      <w:sz w:val="18"/>
      <w:szCs w:val="18"/>
    </w:rPr>
  </w:style>
  <w:style w:type="paragraph" w:customStyle="1" w:styleId="64">
    <w:name w:val="Char1"/>
    <w:basedOn w:val="1"/>
    <w:qFormat/>
    <w:uiPriority w:val="0"/>
    <w:pPr>
      <w:spacing w:after="160" w:line="240" w:lineRule="exact"/>
    </w:pPr>
    <w:rPr>
      <w:rFonts w:ascii="Verdana" w:hAnsi="Verdana"/>
      <w:lang w:eastAsia="en-US"/>
    </w:rPr>
  </w:style>
  <w:style w:type="character" w:customStyle="1" w:styleId="65">
    <w:name w:val="日期 Char"/>
    <w:basedOn w:val="50"/>
    <w:link w:val="27"/>
    <w:qFormat/>
    <w:uiPriority w:val="0"/>
    <w:rPr>
      <w:rFonts w:ascii="Times New Roman" w:hAnsi="Times New Roman" w:eastAsia="宋体" w:cs="Times New Roman"/>
      <w:sz w:val="28"/>
      <w:szCs w:val="20"/>
    </w:rPr>
  </w:style>
  <w:style w:type="character" w:customStyle="1" w:styleId="66">
    <w:name w:val="批注文字 Char"/>
    <w:basedOn w:val="50"/>
    <w:link w:val="14"/>
    <w:qFormat/>
    <w:uiPriority w:val="0"/>
    <w:rPr>
      <w:rFonts w:ascii="Times New Roman" w:hAnsi="Times New Roman" w:eastAsia="宋体" w:cs="Times New Roman"/>
      <w:szCs w:val="20"/>
    </w:rPr>
  </w:style>
  <w:style w:type="character" w:customStyle="1" w:styleId="67">
    <w:name w:val="正文缩进 Char"/>
    <w:link w:val="10"/>
    <w:qFormat/>
    <w:uiPriority w:val="0"/>
    <w:rPr>
      <w:rFonts w:ascii="Times New Roman" w:hAnsi="Times New Roman" w:eastAsia="宋体" w:cs="Times New Roman"/>
      <w:kern w:val="0"/>
      <w:sz w:val="20"/>
      <w:szCs w:val="20"/>
    </w:rPr>
  </w:style>
  <w:style w:type="character" w:customStyle="1" w:styleId="68">
    <w:name w:val="正文文本缩进 3 Char"/>
    <w:basedOn w:val="50"/>
    <w:link w:val="39"/>
    <w:qFormat/>
    <w:uiPriority w:val="0"/>
    <w:rPr>
      <w:rFonts w:ascii="仿宋_GB2312" w:hAnsi="Times New Roman" w:eastAsia="仿宋_GB2312" w:cs="Times New Roman"/>
      <w:sz w:val="28"/>
      <w:szCs w:val="20"/>
    </w:rPr>
  </w:style>
  <w:style w:type="character" w:customStyle="1" w:styleId="69">
    <w:name w:val="纯文本 Char"/>
    <w:basedOn w:val="50"/>
    <w:link w:val="24"/>
    <w:qFormat/>
    <w:uiPriority w:val="0"/>
    <w:rPr>
      <w:rFonts w:ascii="宋体" w:hAnsi="Courier New" w:eastAsia="宋体" w:cs="Times New Roman"/>
      <w:szCs w:val="20"/>
    </w:rPr>
  </w:style>
  <w:style w:type="character" w:customStyle="1" w:styleId="70">
    <w:name w:val="正文文本缩进 2 Char"/>
    <w:basedOn w:val="50"/>
    <w:link w:val="28"/>
    <w:qFormat/>
    <w:uiPriority w:val="0"/>
    <w:rPr>
      <w:rFonts w:ascii="Times New Roman" w:hAnsi="Times New Roman" w:eastAsia="宋体" w:cs="Times New Roman"/>
      <w:kern w:val="0"/>
      <w:sz w:val="20"/>
      <w:szCs w:val="20"/>
    </w:rPr>
  </w:style>
  <w:style w:type="character" w:customStyle="1" w:styleId="71">
    <w:name w:val="正文文本缩进 Char"/>
    <w:basedOn w:val="50"/>
    <w:link w:val="19"/>
    <w:qFormat/>
    <w:uiPriority w:val="0"/>
    <w:rPr>
      <w:rFonts w:ascii="Times New Roman" w:hAnsi="Times New Roman" w:eastAsia="宋体" w:cs="Times New Roman"/>
      <w:kern w:val="0"/>
      <w:sz w:val="20"/>
      <w:szCs w:val="20"/>
    </w:rPr>
  </w:style>
  <w:style w:type="paragraph" w:customStyle="1" w:styleId="72">
    <w:name w:val="报告正文"/>
    <w:basedOn w:val="1"/>
    <w:qFormat/>
    <w:uiPriority w:val="0"/>
    <w:pPr>
      <w:widowControl w:val="0"/>
      <w:spacing w:line="500" w:lineRule="atLeast"/>
      <w:ind w:firstLine="567"/>
      <w:jc w:val="both"/>
    </w:pPr>
    <w:rPr>
      <w:rFonts w:hint="eastAsia" w:ascii="仿宋_GB2312" w:hAnsi="Courier New" w:eastAsia="仿宋_GB2312"/>
      <w:kern w:val="2"/>
      <w:sz w:val="28"/>
    </w:rPr>
  </w:style>
  <w:style w:type="character" w:customStyle="1" w:styleId="73">
    <w:name w:val="newstitle1"/>
    <w:basedOn w:val="50"/>
    <w:qFormat/>
    <w:uiPriority w:val="0"/>
    <w:rPr>
      <w:rFonts w:hint="default" w:ascii="ˎ̥" w:hAnsi="ˎ̥"/>
      <w:b/>
      <w:bCs/>
      <w:sz w:val="21"/>
      <w:szCs w:val="21"/>
    </w:rPr>
  </w:style>
  <w:style w:type="character" w:customStyle="1" w:styleId="74">
    <w:name w:val="f14b1"/>
    <w:basedOn w:val="50"/>
    <w:qFormat/>
    <w:uiPriority w:val="0"/>
    <w:rPr>
      <w:b/>
      <w:bCs/>
      <w:sz w:val="21"/>
      <w:szCs w:val="21"/>
    </w:rPr>
  </w:style>
  <w:style w:type="character" w:customStyle="1" w:styleId="75">
    <w:name w:val="text_big1"/>
    <w:basedOn w:val="50"/>
    <w:qFormat/>
    <w:uiPriority w:val="0"/>
    <w:rPr>
      <w:color w:val="000000"/>
      <w:sz w:val="21"/>
      <w:szCs w:val="21"/>
    </w:rPr>
  </w:style>
  <w:style w:type="paragraph" w:customStyle="1" w:styleId="76">
    <w:name w:val="c_memo"/>
    <w:basedOn w:val="1"/>
    <w:qFormat/>
    <w:uiPriority w:val="0"/>
    <w:pPr>
      <w:spacing w:before="100" w:beforeAutospacing="1" w:after="100" w:afterAutospacing="1"/>
    </w:pPr>
    <w:rPr>
      <w:rFonts w:ascii="宋体" w:hAnsi="宋体" w:cs="宋体"/>
      <w:color w:val="333333"/>
      <w:sz w:val="24"/>
      <w:szCs w:val="24"/>
    </w:rPr>
  </w:style>
  <w:style w:type="character" w:customStyle="1" w:styleId="77">
    <w:name w:val="批注主题 Char"/>
    <w:basedOn w:val="66"/>
    <w:link w:val="46"/>
    <w:qFormat/>
    <w:uiPriority w:val="0"/>
    <w:rPr>
      <w:b/>
      <w:bCs/>
      <w:kern w:val="0"/>
      <w:sz w:val="20"/>
    </w:rPr>
  </w:style>
  <w:style w:type="character" w:customStyle="1" w:styleId="78">
    <w:name w:val="批注框文本 Char"/>
    <w:basedOn w:val="50"/>
    <w:link w:val="29"/>
    <w:qFormat/>
    <w:uiPriority w:val="0"/>
    <w:rPr>
      <w:rFonts w:ascii="Times New Roman" w:hAnsi="Times New Roman" w:eastAsia="宋体" w:cs="Times New Roman"/>
      <w:kern w:val="0"/>
      <w:sz w:val="18"/>
      <w:szCs w:val="18"/>
    </w:rPr>
  </w:style>
  <w:style w:type="paragraph" w:styleId="79">
    <w:name w:val="List Paragraph"/>
    <w:basedOn w:val="1"/>
    <w:qFormat/>
    <w:uiPriority w:val="34"/>
    <w:pPr>
      <w:widowControl w:val="0"/>
      <w:ind w:firstLine="420" w:firstLineChars="200"/>
      <w:jc w:val="both"/>
    </w:pPr>
    <w:rPr>
      <w:kern w:val="2"/>
      <w:sz w:val="21"/>
      <w:szCs w:val="24"/>
    </w:rPr>
  </w:style>
  <w:style w:type="paragraph" w:customStyle="1" w:styleId="80">
    <w:name w:val="xl28"/>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1">
    <w:name w:val="TOC 标题1"/>
    <w:basedOn w:val="2"/>
    <w:next w:val="1"/>
    <w:qFormat/>
    <w:uiPriority w:val="39"/>
    <w:pPr>
      <w:spacing w:before="480" w:after="0" w:line="276" w:lineRule="auto"/>
      <w:outlineLvl w:val="9"/>
    </w:pPr>
    <w:rPr>
      <w:rFonts w:ascii="Calibri" w:hAnsi="Calibri"/>
      <w:color w:val="365F91"/>
      <w:kern w:val="0"/>
      <w:sz w:val="28"/>
      <w:szCs w:val="28"/>
    </w:rPr>
  </w:style>
  <w:style w:type="paragraph" w:styleId="82">
    <w:name w:val="No Spacing"/>
    <w:link w:val="83"/>
    <w:qFormat/>
    <w:uiPriority w:val="1"/>
    <w:rPr>
      <w:rFonts w:ascii="Cambria" w:hAnsi="Cambria" w:eastAsia="宋体" w:cs="Times New Roman"/>
      <w:sz w:val="22"/>
      <w:szCs w:val="22"/>
      <w:lang w:val="en-US" w:eastAsia="zh-CN" w:bidi="ar-SA"/>
    </w:rPr>
  </w:style>
  <w:style w:type="character" w:customStyle="1" w:styleId="83">
    <w:name w:val="无间隔 Char"/>
    <w:basedOn w:val="50"/>
    <w:link w:val="82"/>
    <w:qFormat/>
    <w:uiPriority w:val="1"/>
    <w:rPr>
      <w:rFonts w:ascii="Cambria" w:hAnsi="Cambria" w:eastAsia="宋体" w:cs="Times New Roman"/>
      <w:kern w:val="0"/>
      <w:sz w:val="22"/>
    </w:rPr>
  </w:style>
  <w:style w:type="character" w:customStyle="1" w:styleId="84">
    <w:name w:val="文档结构图 Char"/>
    <w:basedOn w:val="50"/>
    <w:link w:val="13"/>
    <w:qFormat/>
    <w:uiPriority w:val="0"/>
    <w:rPr>
      <w:rFonts w:ascii="宋体" w:hAnsi="Times New Roman" w:eastAsia="宋体" w:cs="Times New Roman"/>
      <w:kern w:val="0"/>
      <w:sz w:val="18"/>
      <w:szCs w:val="18"/>
    </w:rPr>
  </w:style>
  <w:style w:type="paragraph" w:customStyle="1" w:styleId="85">
    <w:name w:val="列出段落1"/>
    <w:basedOn w:val="1"/>
    <w:qFormat/>
    <w:uiPriority w:val="34"/>
    <w:pPr>
      <w:widowControl w:val="0"/>
      <w:ind w:firstLine="420" w:firstLineChars="200"/>
      <w:jc w:val="both"/>
    </w:pPr>
    <w:rPr>
      <w:kern w:val="2"/>
      <w:sz w:val="21"/>
    </w:rPr>
  </w:style>
  <w:style w:type="paragraph" w:customStyle="1" w:styleId="86">
    <w:name w:val="纯文本1"/>
    <w:basedOn w:val="1"/>
    <w:qFormat/>
    <w:uiPriority w:val="0"/>
    <w:pPr>
      <w:widowControl w:val="0"/>
      <w:adjustRightInd w:val="0"/>
      <w:jc w:val="both"/>
      <w:textAlignment w:val="baseline"/>
    </w:pPr>
    <w:rPr>
      <w:rFonts w:ascii="宋体" w:hAnsi="Courier New"/>
      <w:kern w:val="2"/>
      <w:sz w:val="21"/>
    </w:rPr>
  </w:style>
  <w:style w:type="character" w:customStyle="1" w:styleId="87">
    <w:name w:val="纯文本 Char1"/>
    <w:basedOn w:val="50"/>
    <w:qFormat/>
    <w:uiPriority w:val="0"/>
    <w:rPr>
      <w:rFonts w:ascii="宋体" w:hAnsi="Courier New" w:eastAsia="宋体"/>
      <w:kern w:val="2"/>
      <w:sz w:val="21"/>
      <w:lang w:val="en-US" w:eastAsia="zh-CN" w:bidi="ar-SA"/>
    </w:rPr>
  </w:style>
  <w:style w:type="paragraph" w:customStyle="1" w:styleId="88">
    <w:name w:val="纯文本2"/>
    <w:basedOn w:val="1"/>
    <w:qFormat/>
    <w:uiPriority w:val="0"/>
    <w:pPr>
      <w:widowControl w:val="0"/>
      <w:adjustRightInd w:val="0"/>
      <w:jc w:val="both"/>
      <w:textAlignment w:val="baseline"/>
    </w:pPr>
    <w:rPr>
      <w:rFonts w:ascii="宋体" w:hAnsi="Courier New"/>
      <w:kern w:val="2"/>
      <w:sz w:val="21"/>
    </w:rPr>
  </w:style>
  <w:style w:type="character" w:customStyle="1" w:styleId="89">
    <w:name w:val="clampword generalhead-titlename"/>
    <w:basedOn w:val="50"/>
    <w:qFormat/>
    <w:uiPriority w:val="0"/>
  </w:style>
  <w:style w:type="character" w:customStyle="1" w:styleId="90">
    <w:name w:val="name"/>
    <w:basedOn w:val="50"/>
    <w:qFormat/>
    <w:uiPriority w:val="0"/>
  </w:style>
  <w:style w:type="character" w:customStyle="1" w:styleId="91">
    <w:name w:val="Char Char7"/>
    <w:basedOn w:val="50"/>
    <w:qFormat/>
    <w:locked/>
    <w:uiPriority w:val="0"/>
    <w:rPr>
      <w:rFonts w:ascii="Arial" w:hAnsi="Arial" w:eastAsia="黑体"/>
      <w:b/>
      <w:bCs/>
      <w:sz w:val="32"/>
      <w:szCs w:val="32"/>
      <w:lang w:val="en-US" w:eastAsia="zh-CN" w:bidi="ar-SA"/>
    </w:rPr>
  </w:style>
  <w:style w:type="character" w:customStyle="1" w:styleId="92">
    <w:name w:val="Char Char6"/>
    <w:basedOn w:val="50"/>
    <w:qFormat/>
    <w:locked/>
    <w:uiPriority w:val="0"/>
    <w:rPr>
      <w:rFonts w:ascii="Arial Narrow" w:hAnsi="Arial Narrow" w:eastAsia="黑体"/>
      <w:sz w:val="21"/>
      <w:szCs w:val="21"/>
      <w:lang w:val="en-US" w:eastAsia="zh-CN" w:bidi="ar-SA"/>
    </w:rPr>
  </w:style>
  <w:style w:type="character" w:customStyle="1" w:styleId="93">
    <w:name w:val="Char Char3"/>
    <w:basedOn w:val="50"/>
    <w:qFormat/>
    <w:locked/>
    <w:uiPriority w:val="0"/>
    <w:rPr>
      <w:rFonts w:ascii="宋体" w:hAnsi="宋体" w:eastAsia="宋体"/>
      <w:kern w:val="2"/>
      <w:sz w:val="21"/>
      <w:lang w:val="en-US" w:eastAsia="zh-CN" w:bidi="ar-SA"/>
    </w:rPr>
  </w:style>
  <w:style w:type="character" w:customStyle="1" w:styleId="94">
    <w:name w:val="Char Char5"/>
    <w:basedOn w:val="50"/>
    <w:qFormat/>
    <w:locked/>
    <w:uiPriority w:val="0"/>
    <w:rPr>
      <w:rFonts w:ascii="宋体" w:hAnsi="宋体" w:eastAsia="宋体"/>
      <w:kern w:val="2"/>
      <w:sz w:val="18"/>
      <w:lang w:val="en-US" w:eastAsia="zh-CN" w:bidi="ar-SA"/>
    </w:rPr>
  </w:style>
  <w:style w:type="character" w:customStyle="1" w:styleId="95">
    <w:name w:val="Char Char4"/>
    <w:basedOn w:val="50"/>
    <w:qFormat/>
    <w:locked/>
    <w:uiPriority w:val="0"/>
    <w:rPr>
      <w:rFonts w:ascii="宋体" w:hAnsi="宋体" w:eastAsia="宋体"/>
      <w:kern w:val="2"/>
      <w:sz w:val="18"/>
      <w:lang w:val="en-US" w:eastAsia="zh-CN" w:bidi="ar-SA"/>
    </w:rPr>
  </w:style>
  <w:style w:type="character" w:customStyle="1" w:styleId="96">
    <w:name w:val="正文文本 Char"/>
    <w:basedOn w:val="50"/>
    <w:link w:val="18"/>
    <w:qFormat/>
    <w:locked/>
    <w:uiPriority w:val="0"/>
    <w:rPr>
      <w:rFonts w:ascii="宋体" w:hAnsi="宋体" w:eastAsia="宋体"/>
      <w:spacing w:val="20"/>
      <w:sz w:val="24"/>
      <w:szCs w:val="24"/>
    </w:rPr>
  </w:style>
  <w:style w:type="character" w:customStyle="1" w:styleId="97">
    <w:name w:val="正文文本 Char1"/>
    <w:basedOn w:val="50"/>
    <w:link w:val="18"/>
    <w:semiHidden/>
    <w:qFormat/>
    <w:uiPriority w:val="99"/>
    <w:rPr>
      <w:rFonts w:ascii="Times New Roman" w:hAnsi="Times New Roman" w:eastAsia="宋体" w:cs="Times New Roman"/>
      <w:kern w:val="0"/>
      <w:sz w:val="20"/>
      <w:szCs w:val="20"/>
    </w:rPr>
  </w:style>
  <w:style w:type="character" w:customStyle="1" w:styleId="98">
    <w:name w:val="副标题 Char"/>
    <w:basedOn w:val="50"/>
    <w:link w:val="37"/>
    <w:qFormat/>
    <w:locked/>
    <w:uiPriority w:val="0"/>
    <w:rPr>
      <w:rFonts w:ascii="Cambria" w:hAnsi="Cambria" w:eastAsia="宋体"/>
      <w:b/>
      <w:bCs/>
      <w:kern w:val="28"/>
      <w:sz w:val="32"/>
      <w:szCs w:val="32"/>
    </w:rPr>
  </w:style>
  <w:style w:type="character" w:customStyle="1" w:styleId="99">
    <w:name w:val="副标题 Char1"/>
    <w:basedOn w:val="50"/>
    <w:link w:val="37"/>
    <w:qFormat/>
    <w:uiPriority w:val="11"/>
    <w:rPr>
      <w:rFonts w:eastAsia="宋体" w:asciiTheme="majorHAnsi" w:hAnsiTheme="majorHAnsi" w:cstheme="majorBidi"/>
      <w:b/>
      <w:bCs/>
      <w:kern w:val="28"/>
      <w:sz w:val="32"/>
      <w:szCs w:val="32"/>
    </w:rPr>
  </w:style>
  <w:style w:type="character" w:customStyle="1" w:styleId="100">
    <w:name w:val="Char Char"/>
    <w:basedOn w:val="50"/>
    <w:qFormat/>
    <w:locked/>
    <w:uiPriority w:val="0"/>
    <w:rPr>
      <w:rFonts w:ascii="宋体" w:hAnsi="宋体" w:eastAsia="宋体"/>
      <w:sz w:val="18"/>
      <w:szCs w:val="18"/>
      <w:lang w:val="en-US" w:eastAsia="zh-CN" w:bidi="ar-SA"/>
    </w:rPr>
  </w:style>
  <w:style w:type="character" w:customStyle="1" w:styleId="101">
    <w:name w:val="Char Char2"/>
    <w:basedOn w:val="93"/>
    <w:qFormat/>
    <w:locked/>
    <w:uiPriority w:val="0"/>
    <w:rPr>
      <w:b/>
      <w:bCs/>
    </w:rPr>
  </w:style>
  <w:style w:type="character" w:customStyle="1" w:styleId="102">
    <w:name w:val="Char Char1"/>
    <w:basedOn w:val="50"/>
    <w:qFormat/>
    <w:locked/>
    <w:uiPriority w:val="0"/>
    <w:rPr>
      <w:rFonts w:ascii="宋体" w:hAnsi="宋体" w:eastAsia="宋体"/>
      <w:sz w:val="18"/>
      <w:szCs w:val="18"/>
      <w:lang w:val="en-US" w:eastAsia="zh-CN" w:bidi="ar-SA"/>
    </w:rPr>
  </w:style>
  <w:style w:type="paragraph" w:customStyle="1" w:styleId="103">
    <w:name w:val="font5"/>
    <w:basedOn w:val="1"/>
    <w:qFormat/>
    <w:uiPriority w:val="0"/>
    <w:pPr>
      <w:spacing w:before="100" w:beforeAutospacing="1" w:after="100" w:afterAutospacing="1"/>
    </w:pPr>
    <w:rPr>
      <w:rFonts w:ascii="宋体" w:hAnsi="宋体" w:cs="Arial Unicode MS"/>
      <w:sz w:val="18"/>
      <w:szCs w:val="18"/>
    </w:rPr>
  </w:style>
  <w:style w:type="paragraph" w:customStyle="1" w:styleId="104">
    <w:name w:val="font6"/>
    <w:basedOn w:val="1"/>
    <w:qFormat/>
    <w:uiPriority w:val="0"/>
    <w:pPr>
      <w:spacing w:before="100" w:beforeAutospacing="1" w:after="100" w:afterAutospacing="1"/>
    </w:pPr>
    <w:rPr>
      <w:rFonts w:eastAsia="Arial Unicode MS"/>
      <w:sz w:val="18"/>
      <w:szCs w:val="18"/>
    </w:rPr>
  </w:style>
  <w:style w:type="paragraph" w:customStyle="1" w:styleId="105">
    <w:name w:val="font7"/>
    <w:basedOn w:val="1"/>
    <w:qFormat/>
    <w:uiPriority w:val="0"/>
    <w:pPr>
      <w:spacing w:before="100" w:beforeAutospacing="1" w:after="100" w:afterAutospacing="1"/>
    </w:pPr>
    <w:rPr>
      <w:rFonts w:ascii="宋体" w:hAnsi="宋体" w:cs="Arial Unicode MS"/>
      <w:color w:val="000000"/>
      <w:sz w:val="18"/>
      <w:szCs w:val="18"/>
    </w:rPr>
  </w:style>
  <w:style w:type="paragraph" w:customStyle="1" w:styleId="106">
    <w:name w:val="font8"/>
    <w:basedOn w:val="1"/>
    <w:qFormat/>
    <w:uiPriority w:val="0"/>
    <w:pPr>
      <w:spacing w:before="100" w:beforeAutospacing="1" w:after="100" w:afterAutospacing="1"/>
    </w:pPr>
    <w:rPr>
      <w:rFonts w:ascii="宋体" w:hAnsi="宋体" w:cs="Arial Unicode MS"/>
      <w:sz w:val="16"/>
      <w:szCs w:val="16"/>
    </w:rPr>
  </w:style>
  <w:style w:type="paragraph" w:customStyle="1" w:styleId="107">
    <w:name w:val="font9"/>
    <w:basedOn w:val="1"/>
    <w:qFormat/>
    <w:uiPriority w:val="0"/>
    <w:pPr>
      <w:spacing w:before="100" w:beforeAutospacing="1" w:after="100" w:afterAutospacing="1"/>
    </w:pPr>
    <w:rPr>
      <w:rFonts w:ascii="宋体" w:hAnsi="宋体" w:cs="Arial Unicode MS"/>
      <w:sz w:val="16"/>
      <w:szCs w:val="16"/>
    </w:rPr>
  </w:style>
  <w:style w:type="paragraph" w:customStyle="1" w:styleId="108">
    <w:name w:val="font10"/>
    <w:basedOn w:val="1"/>
    <w:qFormat/>
    <w:uiPriority w:val="0"/>
    <w:pPr>
      <w:spacing w:before="100" w:beforeAutospacing="1" w:after="100" w:afterAutospacing="1"/>
    </w:pPr>
    <w:rPr>
      <w:rFonts w:eastAsia="Arial Unicode MS"/>
      <w:color w:val="000000"/>
      <w:sz w:val="18"/>
      <w:szCs w:val="18"/>
    </w:rPr>
  </w:style>
  <w:style w:type="paragraph" w:customStyle="1" w:styleId="109">
    <w:name w:val="font11"/>
    <w:basedOn w:val="1"/>
    <w:qFormat/>
    <w:uiPriority w:val="0"/>
    <w:pPr>
      <w:spacing w:before="100" w:beforeAutospacing="1" w:after="100" w:afterAutospacing="1"/>
    </w:pPr>
    <w:rPr>
      <w:rFonts w:eastAsia="Arial Unicode MS"/>
      <w:sz w:val="16"/>
      <w:szCs w:val="16"/>
    </w:rPr>
  </w:style>
  <w:style w:type="paragraph" w:customStyle="1" w:styleId="110">
    <w:name w:val="xl2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1">
    <w:name w:val="xl2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2">
    <w:name w:val="xl2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3">
    <w:name w:val="xl2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4">
    <w:name w:val="xl2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5">
    <w:name w:val="xl3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6">
    <w:name w:val="xl3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7">
    <w:name w:val="xl3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8">
    <w:name w:val="xl3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9">
    <w:name w:val="xl3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0">
    <w:name w:val="xl35"/>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1">
    <w:name w:val="xl36"/>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2">
    <w:name w:val="xl37"/>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3">
    <w:name w:val="xl3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4">
    <w:name w:val="xl39"/>
    <w:basedOn w:val="1"/>
    <w:qFormat/>
    <w:uiPriority w:val="0"/>
    <w:pPr>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5">
    <w:name w:val="font1"/>
    <w:basedOn w:val="1"/>
    <w:qFormat/>
    <w:uiPriority w:val="0"/>
    <w:pPr>
      <w:spacing w:before="100" w:beforeAutospacing="1" w:after="100" w:afterAutospacing="1"/>
    </w:pPr>
    <w:rPr>
      <w:rFonts w:ascii="宋体" w:hAnsi="宋体" w:cs="Arial Unicode MS"/>
      <w:b/>
      <w:bCs/>
      <w:sz w:val="24"/>
      <w:szCs w:val="24"/>
    </w:rPr>
  </w:style>
  <w:style w:type="paragraph" w:customStyle="1" w:styleId="126">
    <w:name w:val="xl40"/>
    <w:basedOn w:val="1"/>
    <w:qFormat/>
    <w:uiPriority w:val="0"/>
    <w:pPr>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rPr>
  </w:style>
  <w:style w:type="paragraph" w:customStyle="1" w:styleId="127">
    <w:name w:val="Char1 Char Char Char"/>
    <w:basedOn w:val="1"/>
    <w:qFormat/>
    <w:uiPriority w:val="0"/>
    <w:pPr>
      <w:spacing w:after="160" w:line="240" w:lineRule="exact"/>
    </w:pPr>
    <w:rPr>
      <w:rFonts w:ascii="Tahoma" w:hAnsi="Tahoma"/>
      <w:sz w:val="24"/>
      <w:szCs w:val="24"/>
      <w:lang w:eastAsia="en-US"/>
    </w:rPr>
  </w:style>
  <w:style w:type="paragraph" w:customStyle="1" w:styleId="128">
    <w:name w:val="Char1 Char Char Char1"/>
    <w:basedOn w:val="1"/>
    <w:qFormat/>
    <w:uiPriority w:val="0"/>
    <w:pPr>
      <w:spacing w:after="160" w:line="240" w:lineRule="exact"/>
    </w:pPr>
    <w:rPr>
      <w:rFonts w:ascii="Tahoma" w:hAnsi="Tahoma"/>
      <w:sz w:val="24"/>
      <w:szCs w:val="24"/>
      <w:lang w:eastAsia="en-US"/>
    </w:rPr>
  </w:style>
  <w:style w:type="paragraph" w:customStyle="1" w:styleId="12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30">
    <w:name w:val="Char"/>
    <w:basedOn w:val="1"/>
    <w:qFormat/>
    <w:uiPriority w:val="0"/>
    <w:pPr>
      <w:widowControl w:val="0"/>
      <w:jc w:val="both"/>
    </w:pPr>
    <w:rPr>
      <w:kern w:val="2"/>
      <w:sz w:val="21"/>
      <w:szCs w:val="24"/>
    </w:rPr>
  </w:style>
  <w:style w:type="paragraph" w:customStyle="1" w:styleId="131">
    <w:name w:val="Char2"/>
    <w:basedOn w:val="1"/>
    <w:qFormat/>
    <w:uiPriority w:val="0"/>
    <w:pPr>
      <w:widowControl w:val="0"/>
      <w:jc w:val="both"/>
    </w:pPr>
    <w:rPr>
      <w:kern w:val="2"/>
      <w:sz w:val="21"/>
      <w:szCs w:val="24"/>
    </w:rPr>
  </w:style>
  <w:style w:type="paragraph" w:customStyle="1" w:styleId="132">
    <w:name w:val="Char Char Char Char Char Char"/>
    <w:basedOn w:val="1"/>
    <w:qFormat/>
    <w:uiPriority w:val="0"/>
    <w:pPr>
      <w:spacing w:after="160" w:line="240" w:lineRule="exact"/>
    </w:pPr>
    <w:rPr>
      <w:rFonts w:ascii="Verdana" w:hAnsi="Verdana" w:cs="Verdana"/>
      <w:lang w:eastAsia="en-US"/>
    </w:rPr>
  </w:style>
  <w:style w:type="paragraph" w:customStyle="1" w:styleId="133">
    <w:name w:val="列出段落2"/>
    <w:basedOn w:val="1"/>
    <w:qFormat/>
    <w:uiPriority w:val="0"/>
    <w:pPr>
      <w:widowControl w:val="0"/>
      <w:ind w:firstLine="420" w:firstLineChars="200"/>
      <w:jc w:val="both"/>
    </w:pPr>
    <w:rPr>
      <w:rFonts w:ascii="Calibri" w:hAnsi="Calibri"/>
      <w:kern w:val="2"/>
      <w:sz w:val="21"/>
      <w:szCs w:val="22"/>
    </w:rPr>
  </w:style>
  <w:style w:type="paragraph" w:customStyle="1" w:styleId="134">
    <w:name w:val="reader-word-layer"/>
    <w:basedOn w:val="1"/>
    <w:qFormat/>
    <w:uiPriority w:val="0"/>
    <w:pPr>
      <w:spacing w:before="100" w:beforeAutospacing="1" w:after="100" w:afterAutospacing="1"/>
    </w:pPr>
    <w:rPr>
      <w:rFonts w:ascii="宋体" w:hAnsi="宋体" w:cs="宋体"/>
      <w:sz w:val="24"/>
      <w:szCs w:val="24"/>
    </w:rPr>
  </w:style>
  <w:style w:type="paragraph" w:customStyle="1" w:styleId="135">
    <w:name w:val="默认段落字体 Para Char Char Char Char Char Char Char"/>
    <w:basedOn w:val="1"/>
    <w:qFormat/>
    <w:uiPriority w:val="0"/>
    <w:pPr>
      <w:widowControl w:val="0"/>
      <w:jc w:val="both"/>
    </w:pPr>
    <w:rPr>
      <w:rFonts w:ascii="Tahoma" w:hAnsi="Tahoma"/>
      <w:kern w:val="2"/>
      <w:sz w:val="24"/>
    </w:rPr>
  </w:style>
  <w:style w:type="paragraph" w:customStyle="1" w:styleId="136">
    <w:name w:val="正文文本缩进 21"/>
    <w:basedOn w:val="1"/>
    <w:qFormat/>
    <w:uiPriority w:val="0"/>
    <w:pPr>
      <w:widowControl w:val="0"/>
      <w:spacing w:after="120" w:line="480" w:lineRule="auto"/>
      <w:ind w:left="200" w:leftChars="200"/>
      <w:jc w:val="both"/>
    </w:pPr>
    <w:rPr>
      <w:kern w:val="2"/>
      <w:sz w:val="21"/>
    </w:rPr>
  </w:style>
  <w:style w:type="paragraph" w:customStyle="1" w:styleId="137">
    <w:name w:val="样式1"/>
    <w:basedOn w:val="1"/>
    <w:qFormat/>
    <w:uiPriority w:val="0"/>
    <w:pPr>
      <w:widowControl w:val="0"/>
      <w:spacing w:line="360" w:lineRule="auto"/>
      <w:ind w:firstLine="360" w:firstLineChars="150"/>
      <w:jc w:val="both"/>
    </w:pPr>
    <w:rPr>
      <w:rFonts w:ascii="仿宋_GB2312" w:hAnsi="宋体" w:eastAsia="仿宋_GB2312"/>
      <w:kern w:val="2"/>
      <w:sz w:val="24"/>
      <w:szCs w:val="24"/>
    </w:rPr>
  </w:style>
  <w:style w:type="paragraph" w:customStyle="1" w:styleId="138">
    <w:name w:val="font12"/>
    <w:basedOn w:val="1"/>
    <w:qFormat/>
    <w:uiPriority w:val="0"/>
    <w:pPr>
      <w:spacing w:before="100" w:beforeAutospacing="1" w:after="100" w:afterAutospacing="1"/>
    </w:pPr>
    <w:rPr>
      <w:b/>
      <w:bCs/>
      <w:color w:val="000000"/>
      <w:sz w:val="18"/>
      <w:szCs w:val="18"/>
    </w:rPr>
  </w:style>
  <w:style w:type="paragraph" w:customStyle="1" w:styleId="139">
    <w:name w:val="4"/>
    <w:basedOn w:val="1"/>
    <w:next w:val="39"/>
    <w:qFormat/>
    <w:uiPriority w:val="0"/>
    <w:pPr>
      <w:widowControl w:val="0"/>
      <w:adjustRightInd w:val="0"/>
      <w:spacing w:line="360" w:lineRule="auto"/>
      <w:ind w:left="600" w:firstLine="555"/>
      <w:outlineLvl w:val="0"/>
    </w:pPr>
    <w:rPr>
      <w:rFonts w:ascii="楷体_GB2312" w:eastAsia="楷体_GB2312"/>
      <w:kern w:val="2"/>
      <w:sz w:val="28"/>
    </w:rPr>
  </w:style>
  <w:style w:type="paragraph" w:customStyle="1" w:styleId="140">
    <w:name w:val="3"/>
    <w:basedOn w:val="1"/>
    <w:next w:val="44"/>
    <w:qFormat/>
    <w:uiPriority w:val="0"/>
    <w:pPr>
      <w:spacing w:before="100" w:after="100"/>
    </w:pPr>
    <w:rPr>
      <w:rFonts w:ascii="宋体" w:hAnsi="宋体"/>
      <w:sz w:val="18"/>
    </w:rPr>
  </w:style>
  <w:style w:type="paragraph" w:customStyle="1" w:styleId="141">
    <w:name w:val="2"/>
    <w:basedOn w:val="1"/>
    <w:next w:val="39"/>
    <w:qFormat/>
    <w:uiPriority w:val="0"/>
    <w:pPr>
      <w:widowControl w:val="0"/>
      <w:adjustRightInd w:val="0"/>
      <w:spacing w:line="360" w:lineRule="auto"/>
      <w:ind w:left="600" w:firstLine="555"/>
      <w:outlineLvl w:val="0"/>
    </w:pPr>
    <w:rPr>
      <w:rFonts w:ascii="楷体_GB2312" w:eastAsia="楷体_GB2312"/>
      <w:kern w:val="2"/>
      <w:sz w:val="28"/>
    </w:rPr>
  </w:style>
  <w:style w:type="paragraph" w:customStyle="1" w:styleId="142">
    <w:name w:val="1"/>
    <w:basedOn w:val="1"/>
    <w:next w:val="44"/>
    <w:qFormat/>
    <w:uiPriority w:val="0"/>
    <w:pPr>
      <w:spacing w:before="100" w:after="100"/>
    </w:pPr>
    <w:rPr>
      <w:rFonts w:ascii="宋体" w:hAnsi="宋体"/>
      <w:sz w:val="18"/>
    </w:rPr>
  </w:style>
  <w:style w:type="character" w:customStyle="1" w:styleId="143">
    <w:name w:val="正文 + 宋体 Char"/>
    <w:link w:val="144"/>
    <w:qFormat/>
    <w:locked/>
    <w:uiPriority w:val="0"/>
    <w:rPr>
      <w:rFonts w:ascii="宋体" w:hAnsi="宋体" w:eastAsia="宋体"/>
      <w:sz w:val="26"/>
    </w:rPr>
  </w:style>
  <w:style w:type="paragraph" w:customStyle="1" w:styleId="144">
    <w:name w:val="正文 + 宋体"/>
    <w:basedOn w:val="1"/>
    <w:link w:val="143"/>
    <w:qFormat/>
    <w:uiPriority w:val="0"/>
    <w:pPr>
      <w:widowControl w:val="0"/>
      <w:adjustRightInd w:val="0"/>
      <w:snapToGrid w:val="0"/>
      <w:spacing w:line="360" w:lineRule="auto"/>
      <w:ind w:firstLine="527"/>
      <w:jc w:val="both"/>
    </w:pPr>
    <w:rPr>
      <w:rFonts w:ascii="宋体" w:hAnsi="宋体" w:cstheme="minorBidi"/>
      <w:kern w:val="2"/>
      <w:sz w:val="26"/>
      <w:szCs w:val="22"/>
    </w:rPr>
  </w:style>
  <w:style w:type="paragraph" w:customStyle="1" w:styleId="145">
    <w:name w:val="font0"/>
    <w:basedOn w:val="1"/>
    <w:qFormat/>
    <w:uiPriority w:val="0"/>
    <w:pPr>
      <w:spacing w:before="100" w:beforeAutospacing="1" w:after="100" w:afterAutospacing="1"/>
    </w:pPr>
    <w:rPr>
      <w:rFonts w:ascii="宋体" w:hAnsi="宋体" w:cs="Arial Unicode MS"/>
      <w:sz w:val="24"/>
      <w:szCs w:val="24"/>
    </w:rPr>
  </w:style>
  <w:style w:type="paragraph" w:customStyle="1" w:styleId="146">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7">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8">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9">
    <w:name w:val="xl4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rPr>
  </w:style>
  <w:style w:type="paragraph" w:customStyle="1" w:styleId="150">
    <w:name w:val="xl42"/>
    <w:basedOn w:val="1"/>
    <w:qFormat/>
    <w:uiPriority w:val="0"/>
    <w:pPr>
      <w:pBdr>
        <w:top w:val="single" w:color="auto" w:sz="4" w:space="0"/>
        <w:bottom w:val="single" w:color="auto" w:sz="4" w:space="0"/>
      </w:pBdr>
      <w:spacing w:before="100" w:beforeAutospacing="1" w:after="100" w:afterAutospacing="1"/>
      <w:jc w:val="center"/>
    </w:pPr>
    <w:rPr>
      <w:rFonts w:ascii="Arial Unicode MS" w:hAnsi="Arial Unicode MS"/>
    </w:rPr>
  </w:style>
  <w:style w:type="paragraph" w:customStyle="1" w:styleId="151">
    <w:name w:val="xl4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rPr>
  </w:style>
  <w:style w:type="paragraph" w:customStyle="1" w:styleId="152">
    <w:name w:val="普通(网站)1"/>
    <w:basedOn w:val="1"/>
    <w:qFormat/>
    <w:uiPriority w:val="0"/>
    <w:pPr>
      <w:spacing w:before="100" w:after="100"/>
    </w:pPr>
    <w:rPr>
      <w:rFonts w:ascii="宋体" w:hAnsi="宋体"/>
      <w:sz w:val="18"/>
    </w:rPr>
  </w:style>
  <w:style w:type="paragraph" w:customStyle="1" w:styleId="153">
    <w:name w:val="样式3"/>
    <w:basedOn w:val="1"/>
    <w:qFormat/>
    <w:uiPriority w:val="0"/>
    <w:pPr>
      <w:widowControl w:val="0"/>
      <w:adjustRightInd w:val="0"/>
      <w:spacing w:line="400" w:lineRule="exact"/>
      <w:ind w:firstLine="737"/>
    </w:pPr>
    <w:rPr>
      <w:rFonts w:ascii="仿宋体"/>
      <w:spacing w:val="24"/>
      <w:sz w:val="30"/>
    </w:rPr>
  </w:style>
  <w:style w:type="paragraph" w:customStyle="1" w:styleId="154">
    <w:name w:val="彩色列表 - 强调文字颜色 11"/>
    <w:basedOn w:val="1"/>
    <w:qFormat/>
    <w:uiPriority w:val="0"/>
    <w:pPr>
      <w:widowControl w:val="0"/>
      <w:ind w:firstLine="420" w:firstLineChars="200"/>
      <w:jc w:val="both"/>
    </w:pPr>
    <w:rPr>
      <w:rFonts w:ascii="Calibri" w:hAnsi="Calibri"/>
      <w:kern w:val="2"/>
      <w:sz w:val="21"/>
      <w:szCs w:val="22"/>
    </w:rPr>
  </w:style>
  <w:style w:type="paragraph" w:customStyle="1" w:styleId="155">
    <w:name w:val="Char11"/>
    <w:basedOn w:val="1"/>
    <w:qFormat/>
    <w:uiPriority w:val="0"/>
    <w:pPr>
      <w:spacing w:after="160" w:line="240" w:lineRule="exact"/>
    </w:pPr>
    <w:rPr>
      <w:rFonts w:ascii="Verdana" w:hAnsi="Verdana"/>
      <w:lang w:eastAsia="en-US"/>
    </w:rPr>
  </w:style>
  <w:style w:type="paragraph" w:customStyle="1" w:styleId="156">
    <w:name w:val="正文文本缩进 211"/>
    <w:basedOn w:val="1"/>
    <w:qFormat/>
    <w:uiPriority w:val="0"/>
    <w:pPr>
      <w:widowControl w:val="0"/>
      <w:spacing w:after="120" w:line="480" w:lineRule="auto"/>
      <w:ind w:left="200" w:leftChars="200"/>
      <w:jc w:val="both"/>
    </w:pPr>
    <w:rPr>
      <w:kern w:val="2"/>
      <w:sz w:val="21"/>
    </w:rPr>
  </w:style>
  <w:style w:type="character" w:customStyle="1" w:styleId="157">
    <w:name w:val="Quote Char"/>
    <w:basedOn w:val="50"/>
    <w:link w:val="158"/>
    <w:qFormat/>
    <w:locked/>
    <w:uiPriority w:val="0"/>
    <w:rPr>
      <w:rFonts w:ascii="宋体" w:hAnsi="宋体" w:eastAsia="宋体"/>
      <w:i/>
      <w:iCs/>
      <w:color w:val="000000"/>
    </w:rPr>
  </w:style>
  <w:style w:type="paragraph" w:customStyle="1" w:styleId="158">
    <w:name w:val="引用1"/>
    <w:basedOn w:val="1"/>
    <w:next w:val="1"/>
    <w:link w:val="157"/>
    <w:qFormat/>
    <w:uiPriority w:val="0"/>
    <w:pPr>
      <w:widowControl w:val="0"/>
      <w:jc w:val="both"/>
    </w:pPr>
    <w:rPr>
      <w:rFonts w:ascii="宋体" w:hAnsi="宋体" w:cstheme="minorBidi"/>
      <w:i/>
      <w:iCs/>
      <w:color w:val="000000"/>
      <w:kern w:val="2"/>
      <w:sz w:val="21"/>
      <w:szCs w:val="22"/>
    </w:rPr>
  </w:style>
  <w:style w:type="character" w:customStyle="1" w:styleId="159">
    <w:name w:val="short_text1"/>
    <w:basedOn w:val="50"/>
    <w:qFormat/>
    <w:uiPriority w:val="0"/>
    <w:rPr>
      <w:sz w:val="29"/>
      <w:szCs w:val="29"/>
    </w:rPr>
  </w:style>
  <w:style w:type="character" w:customStyle="1" w:styleId="160">
    <w:name w:val="apple-style-span"/>
    <w:basedOn w:val="50"/>
    <w:qFormat/>
    <w:uiPriority w:val="0"/>
  </w:style>
  <w:style w:type="character" w:customStyle="1" w:styleId="161">
    <w:name w:val="apple-converted-space"/>
    <w:basedOn w:val="50"/>
    <w:qFormat/>
    <w:uiPriority w:val="0"/>
  </w:style>
  <w:style w:type="character" w:customStyle="1" w:styleId="162">
    <w:name w:val="Heading 2 Char"/>
    <w:basedOn w:val="50"/>
    <w:qFormat/>
    <w:locked/>
    <w:uiPriority w:val="0"/>
    <w:rPr>
      <w:rFonts w:hint="default" w:ascii="Arial" w:hAnsi="Arial" w:eastAsia="黑体" w:cs="Times New Roman"/>
      <w:b/>
      <w:bCs/>
      <w:kern w:val="2"/>
      <w:sz w:val="32"/>
      <w:szCs w:val="32"/>
    </w:rPr>
  </w:style>
  <w:style w:type="character" w:customStyle="1" w:styleId="163">
    <w:name w:val="Header Char"/>
    <w:basedOn w:val="50"/>
    <w:qFormat/>
    <w:locked/>
    <w:uiPriority w:val="0"/>
    <w:rPr>
      <w:rFonts w:hint="default" w:ascii="Times New Roman" w:hAnsi="Times New Roman" w:cs="Times New Roman"/>
      <w:kern w:val="2"/>
      <w:sz w:val="18"/>
      <w:szCs w:val="18"/>
    </w:rPr>
  </w:style>
  <w:style w:type="character" w:customStyle="1" w:styleId="164">
    <w:name w:val="Footer Char"/>
    <w:basedOn w:val="50"/>
    <w:qFormat/>
    <w:locked/>
    <w:uiPriority w:val="0"/>
    <w:rPr>
      <w:rFonts w:hint="default" w:ascii="Times New Roman" w:hAnsi="Times New Roman" w:cs="Times New Roman"/>
      <w:kern w:val="2"/>
      <w:sz w:val="18"/>
      <w:szCs w:val="18"/>
    </w:rPr>
  </w:style>
  <w:style w:type="character" w:customStyle="1" w:styleId="165">
    <w:name w:val="Balloon Text Char"/>
    <w:basedOn w:val="50"/>
    <w:qFormat/>
    <w:locked/>
    <w:uiPriority w:val="0"/>
    <w:rPr>
      <w:rFonts w:hint="default" w:ascii="Times New Roman" w:hAnsi="Times New Roman" w:cs="Times New Roman"/>
      <w:kern w:val="2"/>
      <w:sz w:val="18"/>
      <w:szCs w:val="18"/>
    </w:rPr>
  </w:style>
  <w:style w:type="character" w:customStyle="1" w:styleId="166">
    <w:name w:val="Comment Text Char"/>
    <w:basedOn w:val="50"/>
    <w:qFormat/>
    <w:locked/>
    <w:uiPriority w:val="0"/>
    <w:rPr>
      <w:rFonts w:hint="default" w:ascii="Times New Roman" w:hAnsi="Times New Roman" w:cs="Times New Roman"/>
      <w:kern w:val="2"/>
      <w:sz w:val="21"/>
    </w:rPr>
  </w:style>
  <w:style w:type="character" w:customStyle="1" w:styleId="167">
    <w:name w:val="Comment Subject Char"/>
    <w:basedOn w:val="166"/>
    <w:qFormat/>
    <w:locked/>
    <w:uiPriority w:val="0"/>
    <w:rPr>
      <w:b/>
      <w:bCs/>
    </w:rPr>
  </w:style>
  <w:style w:type="character" w:customStyle="1" w:styleId="168">
    <w:name w:val="Plain Text Char"/>
    <w:basedOn w:val="50"/>
    <w:qFormat/>
    <w:locked/>
    <w:uiPriority w:val="0"/>
    <w:rPr>
      <w:rFonts w:hint="eastAsia" w:ascii="宋体" w:hAnsi="Courier New" w:eastAsia="宋体" w:cs="Times New Roman"/>
      <w:kern w:val="2"/>
      <w:sz w:val="21"/>
    </w:rPr>
  </w:style>
  <w:style w:type="character" w:customStyle="1" w:styleId="169">
    <w:name w:val="unnamed11"/>
    <w:qFormat/>
    <w:uiPriority w:val="0"/>
    <w:rPr>
      <w:rFonts w:hint="eastAsia" w:ascii="宋体" w:hAnsi="宋体" w:eastAsia="宋体"/>
      <w:spacing w:val="240"/>
      <w:sz w:val="18"/>
    </w:rPr>
  </w:style>
  <w:style w:type="character" w:customStyle="1" w:styleId="170">
    <w:name w:val="duanl"/>
    <w:basedOn w:val="50"/>
    <w:qFormat/>
    <w:uiPriority w:val="0"/>
    <w:rPr>
      <w:rFonts w:hint="default" w:ascii="Times New Roman" w:hAnsi="Times New Roman" w:cs="Times New Roman"/>
    </w:rPr>
  </w:style>
  <w:style w:type="character" w:customStyle="1" w:styleId="171">
    <w:name w:val="divtxt1"/>
    <w:qFormat/>
    <w:uiPriority w:val="0"/>
    <w:rPr>
      <w:color w:val="000000"/>
      <w:spacing w:val="15"/>
    </w:rPr>
  </w:style>
  <w:style w:type="character" w:customStyle="1" w:styleId="172">
    <w:name w:val="Document Map Char"/>
    <w:basedOn w:val="50"/>
    <w:qFormat/>
    <w:locked/>
    <w:uiPriority w:val="0"/>
    <w:rPr>
      <w:rFonts w:hint="default" w:ascii="Times New Roman" w:hAnsi="Times New Roman" w:cs="Times New Roman"/>
      <w:kern w:val="2"/>
      <w:sz w:val="21"/>
      <w:shd w:val="clear" w:color="auto" w:fill="000080"/>
    </w:rPr>
  </w:style>
  <w:style w:type="character" w:customStyle="1" w:styleId="173">
    <w:name w:val="bb1"/>
    <w:qFormat/>
    <w:uiPriority w:val="0"/>
    <w:rPr>
      <w:sz w:val="24"/>
    </w:rPr>
  </w:style>
  <w:style w:type="character" w:customStyle="1" w:styleId="174">
    <w:name w:val="f101"/>
    <w:qFormat/>
    <w:uiPriority w:val="0"/>
    <w:rPr>
      <w:rFonts w:hint="default" w:ascii="Arial" w:hAnsi="Arial"/>
      <w:spacing w:val="480"/>
      <w:sz w:val="18"/>
    </w:rPr>
  </w:style>
  <w:style w:type="character" w:customStyle="1" w:styleId="175">
    <w:name w:val="f131"/>
    <w:basedOn w:val="50"/>
    <w:qFormat/>
    <w:uiPriority w:val="0"/>
    <w:rPr>
      <w:rFonts w:hint="default" w:ascii="Times New Roman" w:hAnsi="Times New Roman" w:cs="Times New Roman"/>
    </w:rPr>
  </w:style>
  <w:style w:type="character" w:customStyle="1" w:styleId="176">
    <w:name w:val="ts2"/>
    <w:qFormat/>
    <w:uiPriority w:val="0"/>
    <w:rPr>
      <w:rFonts w:hint="eastAsia" w:ascii="楷体" w:hAnsi="楷体" w:eastAsia="楷体"/>
      <w:sz w:val="24"/>
    </w:rPr>
  </w:style>
  <w:style w:type="character" w:customStyle="1" w:styleId="177">
    <w:name w:val="正文 + 宋体 Char1"/>
    <w:qFormat/>
    <w:uiPriority w:val="0"/>
    <w:rPr>
      <w:rFonts w:hint="eastAsia" w:ascii="宋体" w:hAnsi="宋体" w:eastAsia="宋体"/>
      <w:kern w:val="2"/>
      <w:sz w:val="21"/>
      <w:lang w:val="en-US" w:eastAsia="zh-CN"/>
    </w:rPr>
  </w:style>
  <w:style w:type="character" w:customStyle="1" w:styleId="178">
    <w:name w:val="批注引用1"/>
    <w:qFormat/>
    <w:uiPriority w:val="0"/>
    <w:rPr>
      <w:sz w:val="21"/>
    </w:rPr>
  </w:style>
  <w:style w:type="paragraph" w:customStyle="1" w:styleId="179">
    <w:name w:val="纯文本3"/>
    <w:basedOn w:val="1"/>
    <w:qFormat/>
    <w:uiPriority w:val="0"/>
    <w:pPr>
      <w:widowControl w:val="0"/>
      <w:adjustRightInd w:val="0"/>
      <w:jc w:val="both"/>
      <w:textAlignment w:val="baseline"/>
    </w:pPr>
    <w:rPr>
      <w:rFonts w:ascii="宋体" w:hAnsi="Courier New"/>
      <w:kern w:val="2"/>
      <w:sz w:val="21"/>
    </w:rPr>
  </w:style>
  <w:style w:type="paragraph" w:customStyle="1" w:styleId="180">
    <w:name w:val="24磅报告正文"/>
    <w:basedOn w:val="1"/>
    <w:link w:val="181"/>
    <w:qFormat/>
    <w:uiPriority w:val="0"/>
    <w:pPr>
      <w:widowControl w:val="0"/>
      <w:spacing w:line="480" w:lineRule="exact"/>
      <w:ind w:firstLine="200" w:firstLineChars="200"/>
      <w:jc w:val="both"/>
    </w:pPr>
    <w:rPr>
      <w:rFonts w:eastAsia="仿宋_GB2312" w:cs="宋体"/>
      <w:kern w:val="2"/>
      <w:sz w:val="28"/>
    </w:rPr>
  </w:style>
  <w:style w:type="character" w:customStyle="1" w:styleId="181">
    <w:name w:val="24磅报告正文 Char"/>
    <w:basedOn w:val="50"/>
    <w:link w:val="180"/>
    <w:qFormat/>
    <w:uiPriority w:val="0"/>
    <w:rPr>
      <w:rFonts w:ascii="Times New Roman" w:hAnsi="Times New Roman" w:eastAsia="仿宋_GB2312" w:cs="宋体"/>
      <w:sz w:val="28"/>
      <w:szCs w:val="20"/>
    </w:rPr>
  </w:style>
  <w:style w:type="character" w:customStyle="1" w:styleId="182">
    <w:name w:val="普通文字 Char1"/>
    <w:qFormat/>
    <w:uiPriority w:val="0"/>
    <w:rPr>
      <w:rFonts w:ascii="宋体" w:hAnsi="Courier New" w:eastAsia="宋体"/>
      <w:kern w:val="2"/>
      <w:sz w:val="21"/>
      <w:lang w:val="en-US" w:eastAsia="zh-CN" w:bidi="ar-SA"/>
    </w:rPr>
  </w:style>
  <w:style w:type="character" w:customStyle="1" w:styleId="183">
    <w:name w:val="样式 纯文本 + (西文) Times New Roman (中文) 仿宋_GB2312 14 磅 Char"/>
    <w:link w:val="184"/>
    <w:qFormat/>
    <w:uiPriority w:val="0"/>
    <w:rPr>
      <w:rFonts w:ascii="宋体" w:hAnsi="Courier New" w:eastAsia="仿宋_GB2312"/>
      <w:sz w:val="28"/>
    </w:rPr>
  </w:style>
  <w:style w:type="paragraph" w:customStyle="1" w:styleId="184">
    <w:name w:val="样式 纯文本 + (西文) Times New Roman (中文) 仿宋_GB2312 14 磅"/>
    <w:basedOn w:val="24"/>
    <w:link w:val="183"/>
    <w:qFormat/>
    <w:uiPriority w:val="0"/>
    <w:pPr>
      <w:spacing w:line="480" w:lineRule="exact"/>
      <w:ind w:firstLine="200" w:firstLineChars="200"/>
    </w:pPr>
    <w:rPr>
      <w:rFonts w:eastAsia="仿宋_GB2312" w:cstheme="minorBidi"/>
      <w:sz w:val="28"/>
      <w:szCs w:val="22"/>
    </w:rPr>
  </w:style>
  <w:style w:type="character" w:customStyle="1" w:styleId="185">
    <w:name w:val="r_kw1"/>
    <w:qFormat/>
    <w:uiPriority w:val="0"/>
    <w:rPr>
      <w:color w:val="C60A00"/>
    </w:rPr>
  </w:style>
  <w:style w:type="character" w:customStyle="1" w:styleId="186">
    <w:name w:val="称呼 Char"/>
    <w:basedOn w:val="50"/>
    <w:link w:val="16"/>
    <w:qFormat/>
    <w:uiPriority w:val="0"/>
    <w:rPr>
      <w:rFonts w:ascii="Times New Roman" w:hAnsi="Times New Roman" w:eastAsia="宋体" w:cs="Times New Roman"/>
      <w:szCs w:val="24"/>
    </w:rPr>
  </w:style>
  <w:style w:type="character" w:customStyle="1" w:styleId="187">
    <w:name w:val="结束语 Char"/>
    <w:basedOn w:val="50"/>
    <w:link w:val="17"/>
    <w:qFormat/>
    <w:uiPriority w:val="0"/>
    <w:rPr>
      <w:rFonts w:ascii="Times New Roman" w:hAnsi="Times New Roman" w:eastAsia="宋体" w:cs="Times New Roman"/>
      <w:szCs w:val="24"/>
    </w:rPr>
  </w:style>
  <w:style w:type="character" w:customStyle="1" w:styleId="188">
    <w:name w:val="签名 Char"/>
    <w:basedOn w:val="50"/>
    <w:link w:val="32"/>
    <w:qFormat/>
    <w:uiPriority w:val="0"/>
    <w:rPr>
      <w:rFonts w:ascii="楷体" w:hAnsi="Tms Rmn" w:eastAsia="楷体" w:cs="Times New Roman"/>
      <w:kern w:val="0"/>
      <w:szCs w:val="20"/>
    </w:rPr>
  </w:style>
  <w:style w:type="paragraph" w:customStyle="1" w:styleId="189">
    <w:name w:val="样式 纯文本 + (西文) Times New Roman (中文) 仿宋_GB2312 14 磅 行距: 固定值 28 ..."/>
    <w:basedOn w:val="24"/>
    <w:qFormat/>
    <w:uiPriority w:val="0"/>
    <w:pPr>
      <w:spacing w:line="480" w:lineRule="exact"/>
      <w:ind w:firstLine="200" w:firstLineChars="200"/>
    </w:pPr>
    <w:rPr>
      <w:rFonts w:ascii="Times New Roman" w:hAnsi="Times New Roman" w:eastAsia="仿宋_GB2312" w:cs="宋体"/>
      <w:sz w:val="28"/>
    </w:rPr>
  </w:style>
  <w:style w:type="paragraph" w:customStyle="1" w:styleId="190">
    <w:name w:val="Char Char Char"/>
    <w:basedOn w:val="1"/>
    <w:qFormat/>
    <w:uiPriority w:val="0"/>
    <w:pPr>
      <w:widowControl w:val="0"/>
      <w:snapToGrid w:val="0"/>
      <w:spacing w:line="360" w:lineRule="auto"/>
      <w:ind w:firstLine="200" w:firstLineChars="200"/>
      <w:jc w:val="both"/>
    </w:pPr>
    <w:rPr>
      <w:rFonts w:eastAsia="仿宋_GB2312"/>
      <w:kern w:val="2"/>
      <w:sz w:val="24"/>
      <w:szCs w:val="24"/>
    </w:rPr>
  </w:style>
  <w:style w:type="paragraph" w:customStyle="1" w:styleId="191">
    <w:name w:val="Char Char Char1"/>
    <w:basedOn w:val="1"/>
    <w:qFormat/>
    <w:uiPriority w:val="0"/>
    <w:pPr>
      <w:spacing w:after="160" w:line="240" w:lineRule="exact"/>
    </w:pPr>
    <w:rPr>
      <w:rFonts w:ascii="Verdana" w:hAnsi="Verdana" w:eastAsia="Times New Roman"/>
      <w:lang w:eastAsia="en-US"/>
    </w:rPr>
  </w:style>
  <w:style w:type="paragraph" w:customStyle="1" w:styleId="192">
    <w:name w:val="xl4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1"/>
      <w:szCs w:val="21"/>
    </w:rPr>
  </w:style>
  <w:style w:type="paragraph" w:customStyle="1" w:styleId="193">
    <w:name w:val="估价项目名称"/>
    <w:basedOn w:val="1"/>
    <w:qFormat/>
    <w:uiPriority w:val="0"/>
    <w:pPr>
      <w:widowControl w:val="0"/>
      <w:adjustRightInd w:val="0"/>
      <w:spacing w:line="560" w:lineRule="exact"/>
      <w:ind w:firstLine="560" w:firstLineChars="200"/>
      <w:jc w:val="both"/>
      <w:textAlignment w:val="baseline"/>
    </w:pPr>
    <w:rPr>
      <w:rFonts w:eastAsia="仿宋_GB2312"/>
      <w:sz w:val="28"/>
    </w:rPr>
  </w:style>
  <w:style w:type="paragraph" w:customStyle="1" w:styleId="19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6">
    <w:name w:val="xl67"/>
    <w:basedOn w:val="1"/>
    <w:qFormat/>
    <w:uiPriority w:val="0"/>
    <w:pPr>
      <w:spacing w:before="100" w:beforeAutospacing="1" w:after="100" w:afterAutospacing="1"/>
    </w:pPr>
    <w:rPr>
      <w:rFonts w:ascii="宋体" w:hAnsi="宋体" w:cs="宋体"/>
    </w:rPr>
  </w:style>
  <w:style w:type="paragraph" w:customStyle="1" w:styleId="19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8">
    <w:name w:val="xl69"/>
    <w:basedOn w:val="1"/>
    <w:qFormat/>
    <w:uiPriority w:val="0"/>
    <w:pPr>
      <w:pBdr>
        <w:bottom w:val="single" w:color="auto" w:sz="4" w:space="0"/>
      </w:pBdr>
      <w:spacing w:before="100" w:beforeAutospacing="1" w:after="100" w:afterAutospacing="1"/>
      <w:jc w:val="center"/>
    </w:pPr>
    <w:rPr>
      <w:rFonts w:ascii="宋体" w:hAnsi="宋体" w:cs="宋体"/>
    </w:rPr>
  </w:style>
  <w:style w:type="paragraph" w:customStyle="1" w:styleId="199">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character" w:customStyle="1" w:styleId="200">
    <w:name w:val="description"/>
    <w:basedOn w:val="50"/>
    <w:qFormat/>
    <w:uiPriority w:val="0"/>
  </w:style>
  <w:style w:type="paragraph" w:customStyle="1" w:styleId="201">
    <w:name w:val="纯文本4"/>
    <w:basedOn w:val="1"/>
    <w:qFormat/>
    <w:uiPriority w:val="0"/>
    <w:pPr>
      <w:widowControl w:val="0"/>
      <w:adjustRightInd w:val="0"/>
      <w:jc w:val="both"/>
      <w:textAlignment w:val="baseline"/>
    </w:pPr>
    <w:rPr>
      <w:rFonts w:ascii="宋体" w:hAnsi="Courier New"/>
      <w:kern w:val="2"/>
      <w:sz w:val="21"/>
    </w:rPr>
  </w:style>
  <w:style w:type="paragraph" w:customStyle="1" w:styleId="202">
    <w:name w:val="列出段落3"/>
    <w:basedOn w:val="1"/>
    <w:qFormat/>
    <w:uiPriority w:val="0"/>
    <w:pPr>
      <w:widowControl w:val="0"/>
      <w:ind w:firstLine="420" w:firstLineChars="200"/>
      <w:jc w:val="both"/>
    </w:pPr>
    <w:rPr>
      <w:kern w:val="2"/>
      <w:sz w:val="21"/>
      <w:szCs w:val="24"/>
    </w:rPr>
  </w:style>
  <w:style w:type="character" w:customStyle="1" w:styleId="203">
    <w:name w:val="number"/>
    <w:basedOn w:val="50"/>
    <w:qFormat/>
    <w:uiPriority w:val="0"/>
  </w:style>
  <w:style w:type="paragraph" w:customStyle="1" w:styleId="204">
    <w:name w:val="纯文本5"/>
    <w:basedOn w:val="1"/>
    <w:qFormat/>
    <w:uiPriority w:val="0"/>
    <w:pPr>
      <w:widowControl w:val="0"/>
      <w:adjustRightInd w:val="0"/>
      <w:jc w:val="both"/>
      <w:textAlignment w:val="baseline"/>
    </w:pPr>
    <w:rPr>
      <w:rFonts w:ascii="宋体" w:hAnsi="Courier New"/>
      <w:kern w:val="2"/>
      <w:sz w:val="21"/>
    </w:rPr>
  </w:style>
  <w:style w:type="paragraph" w:customStyle="1" w:styleId="205">
    <w:name w:val="TOC 标题11"/>
    <w:basedOn w:val="2"/>
    <w:next w:val="1"/>
    <w:unhideWhenUsed/>
    <w:qFormat/>
    <w:uiPriority w:val="39"/>
    <w:pPr>
      <w:spacing w:before="480" w:after="0" w:line="276" w:lineRule="auto"/>
      <w:outlineLvl w:val="9"/>
    </w:pPr>
    <w:rPr>
      <w:rFonts w:ascii="Cambria" w:hAnsi="Cambria"/>
      <w:color w:val="365F91"/>
      <w:kern w:val="0"/>
      <w:sz w:val="28"/>
      <w:szCs w:val="28"/>
    </w:rPr>
  </w:style>
  <w:style w:type="character" w:styleId="206">
    <w:name w:val="Placeholder Text"/>
    <w:basedOn w:val="50"/>
    <w:qFormat/>
    <w:uiPriority w:val="99"/>
    <w:rPr>
      <w:color w:val="808080"/>
    </w:rPr>
  </w:style>
  <w:style w:type="character" w:customStyle="1" w:styleId="207">
    <w:name w:val="tpc_content1"/>
    <w:qFormat/>
    <w:uiPriority w:val="0"/>
    <w:rPr>
      <w:rFonts w:cs="Times New Roman"/>
      <w:sz w:val="20"/>
      <w:szCs w:val="20"/>
    </w:rPr>
  </w:style>
  <w:style w:type="paragraph" w:customStyle="1" w:styleId="208">
    <w:name w:val="列出段落4"/>
    <w:basedOn w:val="1"/>
    <w:qFormat/>
    <w:uiPriority w:val="0"/>
    <w:pPr>
      <w:widowControl w:val="0"/>
      <w:ind w:firstLine="420" w:firstLineChars="200"/>
      <w:jc w:val="both"/>
    </w:pPr>
    <w:rPr>
      <w:kern w:val="2"/>
      <w:sz w:val="21"/>
      <w:szCs w:val="24"/>
    </w:rPr>
  </w:style>
  <w:style w:type="paragraph" w:customStyle="1" w:styleId="209">
    <w:name w:val="纯文本6"/>
    <w:basedOn w:val="1"/>
    <w:qFormat/>
    <w:uiPriority w:val="0"/>
    <w:pPr>
      <w:widowControl w:val="0"/>
      <w:adjustRightInd w:val="0"/>
      <w:jc w:val="both"/>
      <w:textAlignment w:val="baseline"/>
    </w:pPr>
    <w:rPr>
      <w:rFonts w:ascii="宋体" w:hAnsi="Courier New"/>
      <w:kern w:val="2"/>
      <w:sz w:val="21"/>
    </w:rPr>
  </w:style>
  <w:style w:type="character" w:customStyle="1" w:styleId="210">
    <w:name w:val="clampword"/>
    <w:basedOn w:val="50"/>
    <w:qFormat/>
    <w:uiPriority w:val="0"/>
  </w:style>
  <w:style w:type="character" w:customStyle="1" w:styleId="211">
    <w:name w:val="font51"/>
    <w:basedOn w:val="50"/>
    <w:qFormat/>
    <w:uiPriority w:val="0"/>
    <w:rPr>
      <w:rFonts w:hint="default" w:ascii="仿宋_GB2312" w:eastAsia="仿宋_GB2312" w:cs="仿宋_GB2312"/>
      <w:color w:val="000000"/>
      <w:sz w:val="20"/>
      <w:szCs w:val="20"/>
      <w:u w:val="none"/>
      <w:vertAlign w:val="superscript"/>
    </w:rPr>
  </w:style>
  <w:style w:type="character" w:customStyle="1" w:styleId="212">
    <w:name w:val="font71"/>
    <w:basedOn w:val="50"/>
    <w:qFormat/>
    <w:uiPriority w:val="0"/>
    <w:rPr>
      <w:rFonts w:hint="default" w:ascii="仿宋_GB2312" w:eastAsia="仿宋_GB2312" w:cs="仿宋_GB2312"/>
      <w:color w:val="000000"/>
      <w:sz w:val="20"/>
      <w:szCs w:val="20"/>
      <w:u w:val="none"/>
    </w:rPr>
  </w:style>
  <w:style w:type="character" w:customStyle="1" w:styleId="213">
    <w:name w:val="font31"/>
    <w:basedOn w:val="50"/>
    <w:qFormat/>
    <w:uiPriority w:val="0"/>
    <w:rPr>
      <w:rFonts w:hint="default" w:ascii="仿宋_GB2312" w:eastAsia="仿宋_GB2312" w:cs="仿宋_GB2312"/>
      <w:color w:val="000000"/>
      <w:sz w:val="20"/>
      <w:szCs w:val="20"/>
      <w:u w:val="none"/>
      <w:vertAlign w:val="superscript"/>
    </w:rPr>
  </w:style>
  <w:style w:type="character" w:customStyle="1" w:styleId="214">
    <w:name w:val="font41"/>
    <w:basedOn w:val="50"/>
    <w:qFormat/>
    <w:uiPriority w:val="0"/>
    <w:rPr>
      <w:rFonts w:hint="default" w:ascii="仿宋_GB2312" w:eastAsia="仿宋_GB2312" w:cs="仿宋_GB2312"/>
      <w:color w:val="000000"/>
      <w:sz w:val="20"/>
      <w:szCs w:val="20"/>
      <w:u w:val="none"/>
    </w:rPr>
  </w:style>
  <w:style w:type="character" w:customStyle="1" w:styleId="215">
    <w:name w:val="font01"/>
    <w:basedOn w:val="50"/>
    <w:qFormat/>
    <w:uiPriority w:val="0"/>
    <w:rPr>
      <w:rFonts w:hint="default" w:ascii="仿宋_GB2312" w:eastAsia="仿宋_GB2312" w:cs="仿宋_GB2312"/>
      <w:color w:val="000000"/>
      <w:sz w:val="20"/>
      <w:szCs w:val="20"/>
      <w:u w:val="none"/>
      <w:vertAlign w:val="superscript"/>
    </w:rPr>
  </w:style>
  <w:style w:type="character" w:customStyle="1" w:styleId="216">
    <w:name w:val="font21"/>
    <w:basedOn w:val="50"/>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0633B-1210-4B32-8FDA-EA786E75EC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15421</Words>
  <Characters>18753</Characters>
  <Lines>252</Lines>
  <Paragraphs>71</Paragraphs>
  <TotalTime>2</TotalTime>
  <ScaleCrop>false</ScaleCrop>
  <LinksUpToDate>false</LinksUpToDate>
  <CharactersWithSpaces>19590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2016-06-13T00:05:00Z</dcterms:created>
  <dc:creator>User</dc:creator>
  <cp:lastModifiedBy>大新</cp:lastModifiedBy>
  <cp:lastPrinted>2021-12-03T04:02:00Z</cp:lastPrinted>
  <dcterms:modified xsi:type="dcterms:W3CDTF">2022-12-12T07:27:54Z</dcterms:modified>
  <cp:revision>1614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723CE60BC3C3465197022C1530B000AD</vt:lpwstr>
  </property>
</Properties>
</file>