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20"/>
          <w:rFonts w:hint="eastAsia" w:ascii="仿宋" w:hAnsi="仿宋" w:eastAsia="仿宋" w:cs="仿宋"/>
          <w:b/>
          <w:bCs/>
          <w:color w:val="000000" w:themeColor="text1"/>
          <w:sz w:val="52"/>
          <w:szCs w:val="52"/>
          <w:lang w:val="en-US" w:eastAsia="zh-CN"/>
        </w:rPr>
      </w:pPr>
    </w:p>
    <w:p>
      <w:pPr>
        <w:jc w:val="center"/>
        <w:rPr>
          <w:rStyle w:val="20"/>
          <w:rFonts w:hint="eastAsia" w:ascii="仿宋" w:hAnsi="仿宋" w:eastAsia="仿宋" w:cs="仿宋"/>
          <w:b/>
          <w:bCs/>
          <w:color w:val="000000" w:themeColor="text1"/>
          <w:sz w:val="52"/>
          <w:szCs w:val="52"/>
          <w:lang w:val="en-US" w:eastAsia="zh-CN"/>
        </w:rPr>
      </w:pPr>
    </w:p>
    <w:p>
      <w:pPr>
        <w:jc w:val="center"/>
        <w:rPr>
          <w:rStyle w:val="20"/>
          <w:rFonts w:ascii="仿宋" w:hAnsi="仿宋" w:eastAsia="仿宋" w:cs="仿宋"/>
          <w:b/>
          <w:bCs/>
          <w:color w:val="000000" w:themeColor="text1"/>
          <w:sz w:val="52"/>
          <w:szCs w:val="52"/>
        </w:rPr>
      </w:pPr>
      <w:r>
        <w:rPr>
          <w:rStyle w:val="20"/>
          <w:rFonts w:hint="eastAsia" w:ascii="仿宋" w:hAnsi="仿宋" w:eastAsia="仿宋" w:cs="仿宋"/>
          <w:b/>
          <w:bCs/>
          <w:color w:val="000000" w:themeColor="text1"/>
          <w:sz w:val="52"/>
          <w:szCs w:val="52"/>
          <w:lang w:val="en-US" w:eastAsia="zh-CN"/>
        </w:rPr>
        <w:t>房地产估价</w:t>
      </w:r>
      <w:r>
        <w:rPr>
          <w:rStyle w:val="20"/>
          <w:rFonts w:ascii="仿宋" w:hAnsi="仿宋" w:eastAsia="仿宋" w:cs="仿宋"/>
          <w:b/>
          <w:bCs/>
          <w:color w:val="000000" w:themeColor="text1"/>
          <w:sz w:val="52"/>
          <w:szCs w:val="52"/>
        </w:rPr>
        <w:t>报告</w:t>
      </w:r>
    </w:p>
    <w:p>
      <w:pPr>
        <w:jc w:val="center"/>
        <w:rPr>
          <w:rStyle w:val="20"/>
          <w:rFonts w:ascii="仿宋" w:hAnsi="仿宋" w:eastAsia="仿宋"/>
          <w:color w:val="000000" w:themeColor="text1"/>
        </w:rPr>
      </w:pPr>
    </w:p>
    <w:p>
      <w:pPr>
        <w:jc w:val="center"/>
        <w:rPr>
          <w:rStyle w:val="20"/>
          <w:rFonts w:ascii="仿宋" w:hAnsi="仿宋" w:eastAsia="仿宋"/>
          <w:color w:val="000000" w:themeColor="text1"/>
          <w:szCs w:val="28"/>
        </w:rPr>
      </w:pPr>
    </w:p>
    <w:p>
      <w:pPr>
        <w:jc w:val="both"/>
        <w:rPr>
          <w:rStyle w:val="20"/>
          <w:rFonts w:ascii="仿宋" w:hAnsi="仿宋" w:eastAsia="仿宋"/>
          <w:color w:val="000000" w:themeColor="text1"/>
          <w:szCs w:val="28"/>
        </w:rPr>
      </w:pPr>
    </w:p>
    <w:p>
      <w:pPr>
        <w:pStyle w:val="2"/>
        <w:ind w:firstLine="280"/>
        <w:rPr>
          <w:rStyle w:val="20"/>
          <w:color w:val="000000" w:themeColor="text1"/>
        </w:rPr>
      </w:pPr>
    </w:p>
    <w:p>
      <w:pPr>
        <w:jc w:val="center"/>
        <w:rPr>
          <w:rStyle w:val="20"/>
          <w:rFonts w:ascii="仿宋" w:hAnsi="仿宋" w:eastAsia="仿宋"/>
          <w:color w:val="000000" w:themeColor="text1"/>
          <w:szCs w:val="28"/>
        </w:rPr>
      </w:pPr>
    </w:p>
    <w:p>
      <w:pPr>
        <w:rPr>
          <w:rStyle w:val="20"/>
          <w:rFonts w:ascii="仿宋" w:hAnsi="仿宋" w:eastAsia="仿宋"/>
          <w:color w:val="000000" w:themeColor="text1"/>
          <w:szCs w:val="28"/>
        </w:rPr>
      </w:pPr>
    </w:p>
    <w:p>
      <w:pPr>
        <w:spacing w:line="360" w:lineRule="auto"/>
        <w:ind w:left="2800" w:leftChars="300" w:hanging="1960"/>
        <w:jc w:val="left"/>
        <w:rPr>
          <w:rStyle w:val="20"/>
          <w:rFonts w:ascii="仿宋" w:hAnsi="仿宋" w:eastAsia="仿宋"/>
          <w:color w:val="000000" w:themeColor="text1"/>
          <w:szCs w:val="28"/>
        </w:rPr>
      </w:pPr>
      <w:r>
        <w:rPr>
          <w:rStyle w:val="20"/>
          <w:rFonts w:ascii="仿宋" w:hAnsi="仿宋" w:eastAsia="仿宋"/>
          <w:color w:val="000000" w:themeColor="text1"/>
          <w:szCs w:val="28"/>
        </w:rPr>
        <w:t>估价项目名称：</w:t>
      </w:r>
      <w:r>
        <w:rPr>
          <w:rFonts w:hint="eastAsia" w:ascii="仿宋" w:hAnsi="仿宋" w:eastAsia="仿宋" w:cs="仿宋"/>
          <w:b w:val="0"/>
          <w:bCs w:val="0"/>
          <w:color w:val="auto"/>
          <w:sz w:val="28"/>
          <w:szCs w:val="28"/>
          <w:u w:val="none"/>
          <w:lang w:val="en-US" w:eastAsia="zh-CN"/>
        </w:rPr>
        <w:t>三穗县八弓镇灵山南路鸿地幸福里D栋2-4-2号</w:t>
      </w:r>
      <w:r>
        <w:rPr>
          <w:rStyle w:val="20"/>
          <w:rFonts w:hint="eastAsia" w:ascii="仿宋" w:hAnsi="仿宋" w:eastAsia="仿宋"/>
          <w:color w:val="000000" w:themeColor="text1"/>
          <w:szCs w:val="28"/>
        </w:rPr>
        <w:t>一套</w:t>
      </w:r>
      <w:r>
        <w:rPr>
          <w:rStyle w:val="20"/>
          <w:rFonts w:hint="eastAsia" w:ascii="仿宋" w:hAnsi="仿宋" w:eastAsia="仿宋"/>
          <w:color w:val="000000" w:themeColor="text1"/>
          <w:szCs w:val="28"/>
          <w:lang w:val="en-US" w:eastAsia="zh-CN"/>
        </w:rPr>
        <w:t>住宅用房</w:t>
      </w:r>
      <w:r>
        <w:rPr>
          <w:rStyle w:val="20"/>
          <w:rFonts w:ascii="仿宋" w:hAnsi="仿宋" w:eastAsia="仿宋"/>
          <w:color w:val="000000" w:themeColor="text1"/>
          <w:szCs w:val="28"/>
        </w:rPr>
        <w:t>市场价值评估</w:t>
      </w:r>
    </w:p>
    <w:p>
      <w:pPr>
        <w:spacing w:line="360" w:lineRule="auto"/>
        <w:ind w:left="3729" w:leftChars="304" w:hanging="2878"/>
        <w:rPr>
          <w:rStyle w:val="20"/>
          <w:rFonts w:ascii="仿宋" w:hAnsi="仿宋" w:eastAsia="仿宋"/>
          <w:color w:val="000000" w:themeColor="text1"/>
          <w:szCs w:val="28"/>
        </w:rPr>
      </w:pPr>
      <w:r>
        <w:rPr>
          <w:rStyle w:val="20"/>
          <w:rFonts w:ascii="仿宋" w:hAnsi="仿宋" w:eastAsia="仿宋"/>
          <w:color w:val="000000" w:themeColor="text1"/>
          <w:szCs w:val="28"/>
        </w:rPr>
        <w:t>估价委托人：</w:t>
      </w:r>
      <w:r>
        <w:rPr>
          <w:rStyle w:val="20"/>
          <w:rFonts w:hint="eastAsia" w:ascii="仿宋" w:hAnsi="仿宋" w:eastAsia="仿宋"/>
          <w:color w:val="000000" w:themeColor="text1"/>
          <w:szCs w:val="28"/>
          <w:lang w:eastAsia="zh-CN"/>
        </w:rPr>
        <w:t>三穗县人民法院</w:t>
      </w:r>
    </w:p>
    <w:p>
      <w:pPr>
        <w:spacing w:line="360" w:lineRule="auto"/>
        <w:ind w:left="3729" w:leftChars="304" w:hanging="2878"/>
        <w:rPr>
          <w:rStyle w:val="20"/>
          <w:rFonts w:ascii="仿宋" w:hAnsi="仿宋" w:eastAsia="仿宋"/>
          <w:color w:val="000000" w:themeColor="text1"/>
          <w:szCs w:val="28"/>
        </w:rPr>
      </w:pPr>
      <w:r>
        <w:rPr>
          <w:rStyle w:val="20"/>
          <w:rFonts w:ascii="仿宋" w:hAnsi="仿宋" w:eastAsia="仿宋"/>
          <w:color w:val="000000" w:themeColor="text1"/>
          <w:szCs w:val="28"/>
        </w:rPr>
        <w:t>房地产估价机构：贵州精诚房地产估价有限责任公司</w:t>
      </w:r>
    </w:p>
    <w:p>
      <w:pPr>
        <w:spacing w:line="360" w:lineRule="auto"/>
        <w:ind w:left="3729" w:leftChars="304" w:hanging="2878"/>
        <w:rPr>
          <w:rStyle w:val="20"/>
          <w:rFonts w:ascii="仿宋" w:hAnsi="仿宋" w:eastAsia="仿宋"/>
          <w:color w:val="000000" w:themeColor="text1"/>
        </w:rPr>
      </w:pPr>
      <w:r>
        <w:rPr>
          <w:rStyle w:val="20"/>
          <w:rFonts w:ascii="仿宋" w:hAnsi="仿宋" w:eastAsia="仿宋"/>
          <w:color w:val="000000" w:themeColor="text1"/>
          <w:szCs w:val="28"/>
        </w:rPr>
        <w:t xml:space="preserve">注册房地产估价师: </w:t>
      </w:r>
      <w:r>
        <w:rPr>
          <w:rStyle w:val="20"/>
          <w:rFonts w:hint="eastAsia" w:ascii="仿宋" w:hAnsi="仿宋" w:eastAsia="仿宋"/>
          <w:color w:val="000000" w:themeColor="text1"/>
          <w:szCs w:val="28"/>
          <w:lang w:val="en-US" w:eastAsia="zh-CN"/>
        </w:rPr>
        <w:t>段</w:t>
      </w:r>
      <w:r>
        <w:rPr>
          <w:rStyle w:val="20"/>
          <w:rFonts w:hint="eastAsia" w:ascii="仿宋" w:hAnsi="仿宋" w:eastAsia="仿宋"/>
          <w:color w:val="000000" w:themeColor="text1"/>
          <w:szCs w:val="28"/>
        </w:rPr>
        <w:t>春兰</w:t>
      </w:r>
      <w:r>
        <w:rPr>
          <w:rStyle w:val="20"/>
          <w:rFonts w:ascii="仿宋" w:hAnsi="仿宋" w:eastAsia="仿宋"/>
          <w:color w:val="000000" w:themeColor="text1"/>
        </w:rPr>
        <w:t>（注册号：</w:t>
      </w:r>
      <w:r>
        <w:rPr>
          <w:rStyle w:val="20"/>
          <w:rFonts w:hint="eastAsia" w:ascii="仿宋" w:hAnsi="仿宋" w:eastAsia="仿宋"/>
          <w:color w:val="000000" w:themeColor="text1"/>
          <w:lang w:eastAsia="zh-CN"/>
        </w:rPr>
        <w:t>5220190048</w:t>
      </w:r>
      <w:r>
        <w:rPr>
          <w:rStyle w:val="20"/>
          <w:rFonts w:ascii="仿宋" w:hAnsi="仿宋" w:eastAsia="仿宋"/>
          <w:color w:val="000000" w:themeColor="text1"/>
        </w:rPr>
        <w:t>）</w:t>
      </w:r>
    </w:p>
    <w:p>
      <w:pPr>
        <w:spacing w:line="360" w:lineRule="auto"/>
        <w:ind w:firstLine="3360" w:firstLineChars="1200"/>
        <w:rPr>
          <w:rStyle w:val="20"/>
          <w:rFonts w:ascii="仿宋" w:hAnsi="仿宋" w:eastAsia="仿宋"/>
          <w:color w:val="000000" w:themeColor="text1"/>
        </w:rPr>
      </w:pPr>
      <w:r>
        <w:rPr>
          <w:rStyle w:val="20"/>
          <w:rFonts w:hint="eastAsia" w:ascii="仿宋" w:hAnsi="仿宋" w:eastAsia="仿宋"/>
          <w:color w:val="000000" w:themeColor="text1"/>
        </w:rPr>
        <w:t>张小英</w:t>
      </w:r>
      <w:r>
        <w:rPr>
          <w:rStyle w:val="20"/>
          <w:rFonts w:ascii="仿宋" w:hAnsi="仿宋" w:eastAsia="仿宋"/>
          <w:color w:val="000000" w:themeColor="text1"/>
        </w:rPr>
        <w:t>（注册号：</w:t>
      </w:r>
      <w:r>
        <w:rPr>
          <w:rStyle w:val="20"/>
          <w:rFonts w:hint="eastAsia" w:ascii="仿宋" w:hAnsi="仿宋" w:eastAsia="仿宋"/>
          <w:color w:val="000000" w:themeColor="text1"/>
        </w:rPr>
        <w:t>5220120019</w:t>
      </w:r>
      <w:r>
        <w:rPr>
          <w:rStyle w:val="20"/>
          <w:rFonts w:ascii="仿宋" w:hAnsi="仿宋" w:eastAsia="仿宋"/>
          <w:color w:val="000000" w:themeColor="text1"/>
        </w:rPr>
        <w:t>）</w:t>
      </w:r>
    </w:p>
    <w:p>
      <w:pPr>
        <w:spacing w:line="360" w:lineRule="auto"/>
        <w:ind w:left="3729" w:leftChars="304" w:hanging="2878"/>
        <w:rPr>
          <w:rStyle w:val="20"/>
          <w:rFonts w:hint="eastAsia" w:ascii="仿宋" w:hAnsi="仿宋" w:eastAsia="仿宋"/>
          <w:color w:val="000000" w:themeColor="text1"/>
          <w:szCs w:val="28"/>
          <w:lang w:eastAsia="zh-CN"/>
        </w:rPr>
      </w:pPr>
      <w:r>
        <w:rPr>
          <w:rStyle w:val="20"/>
          <w:rFonts w:ascii="仿宋" w:hAnsi="仿宋" w:eastAsia="仿宋"/>
          <w:color w:val="000000" w:themeColor="text1"/>
          <w:szCs w:val="28"/>
        </w:rPr>
        <w:t>作业时间：</w:t>
      </w:r>
      <w:r>
        <w:rPr>
          <w:rStyle w:val="20"/>
          <w:rFonts w:hint="eastAsia" w:ascii="仿宋" w:hAnsi="仿宋" w:eastAsia="仿宋"/>
          <w:color w:val="000000" w:themeColor="text1"/>
          <w:szCs w:val="28"/>
          <w:lang w:eastAsia="zh-CN"/>
        </w:rPr>
        <w:t>2022年07月15日</w:t>
      </w:r>
      <w:r>
        <w:rPr>
          <w:rStyle w:val="20"/>
          <w:rFonts w:ascii="仿宋" w:hAnsi="仿宋" w:eastAsia="仿宋"/>
          <w:color w:val="000000" w:themeColor="text1"/>
          <w:szCs w:val="28"/>
        </w:rPr>
        <w:t>至</w:t>
      </w:r>
      <w:r>
        <w:rPr>
          <w:rStyle w:val="20"/>
          <w:rFonts w:hint="eastAsia" w:ascii="仿宋" w:hAnsi="仿宋" w:eastAsia="仿宋"/>
          <w:color w:val="000000" w:themeColor="text1"/>
          <w:szCs w:val="28"/>
          <w:lang w:eastAsia="zh-CN"/>
        </w:rPr>
        <w:t>2022年</w:t>
      </w:r>
      <w:r>
        <w:rPr>
          <w:rStyle w:val="20"/>
          <w:rFonts w:hint="eastAsia" w:ascii="仿宋" w:hAnsi="仿宋" w:eastAsia="仿宋"/>
          <w:color w:val="000000" w:themeColor="text1"/>
          <w:szCs w:val="28"/>
          <w:lang w:val="en-US" w:eastAsia="zh-CN"/>
        </w:rPr>
        <w:t>10</w:t>
      </w:r>
      <w:r>
        <w:rPr>
          <w:rStyle w:val="20"/>
          <w:rFonts w:hint="eastAsia" w:ascii="仿宋" w:hAnsi="仿宋" w:eastAsia="仿宋"/>
          <w:color w:val="000000" w:themeColor="text1"/>
          <w:szCs w:val="28"/>
          <w:lang w:eastAsia="zh-CN"/>
        </w:rPr>
        <w:t>月1</w:t>
      </w:r>
      <w:r>
        <w:rPr>
          <w:rStyle w:val="20"/>
          <w:rFonts w:hint="eastAsia" w:ascii="仿宋" w:hAnsi="仿宋" w:eastAsia="仿宋"/>
          <w:color w:val="000000" w:themeColor="text1"/>
          <w:szCs w:val="28"/>
          <w:lang w:val="en-US" w:eastAsia="zh-CN"/>
        </w:rPr>
        <w:t>3</w:t>
      </w:r>
      <w:r>
        <w:rPr>
          <w:rStyle w:val="20"/>
          <w:rFonts w:hint="eastAsia" w:ascii="仿宋" w:hAnsi="仿宋" w:eastAsia="仿宋"/>
          <w:color w:val="000000" w:themeColor="text1"/>
          <w:szCs w:val="28"/>
          <w:lang w:eastAsia="zh-CN"/>
        </w:rPr>
        <w:t>日</w:t>
      </w:r>
    </w:p>
    <w:p>
      <w:pPr>
        <w:pStyle w:val="32"/>
        <w:tabs>
          <w:tab w:val="left" w:pos="7602"/>
        </w:tabs>
        <w:spacing w:line="480" w:lineRule="auto"/>
        <w:ind w:left="3729" w:leftChars="304" w:hanging="2878"/>
        <w:rPr>
          <w:rStyle w:val="20"/>
          <w:rFonts w:ascii="仿宋" w:hAnsi="仿宋" w:eastAsia="仿宋"/>
          <w:b w:val="0"/>
          <w:color w:val="000000" w:themeColor="text1"/>
          <w:szCs w:val="28"/>
          <w:lang w:val="en-US" w:eastAsia="zh-CN"/>
        </w:rPr>
      </w:pPr>
      <w:r>
        <w:rPr>
          <w:rStyle w:val="20"/>
          <w:rFonts w:ascii="仿宋" w:hAnsi="仿宋" w:eastAsia="仿宋"/>
          <w:b w:val="0"/>
          <w:color w:val="000000" w:themeColor="text1"/>
          <w:szCs w:val="28"/>
          <w:lang w:val="en-US" w:eastAsia="zh-CN"/>
        </w:rPr>
        <w:t>报告出具日期：</w:t>
      </w:r>
      <w:r>
        <w:rPr>
          <w:rStyle w:val="20"/>
          <w:rFonts w:hint="eastAsia" w:ascii="仿宋" w:hAnsi="仿宋" w:eastAsia="仿宋"/>
          <w:b w:val="0"/>
          <w:color w:val="000000" w:themeColor="text1"/>
          <w:szCs w:val="28"/>
          <w:lang w:val="en-US" w:eastAsia="zh-CN"/>
        </w:rPr>
        <w:t>2022年10月13日</w:t>
      </w:r>
      <w:r>
        <w:rPr>
          <w:rStyle w:val="20"/>
          <w:rFonts w:hint="eastAsia" w:ascii="仿宋" w:hAnsi="仿宋" w:eastAsia="仿宋"/>
          <w:b w:val="0"/>
          <w:color w:val="000000" w:themeColor="text1"/>
          <w:szCs w:val="28"/>
          <w:lang w:val="en-US" w:eastAsia="zh-CN"/>
        </w:rPr>
        <w:tab/>
      </w:r>
    </w:p>
    <w:p>
      <w:pPr>
        <w:spacing w:line="360" w:lineRule="auto"/>
        <w:ind w:left="3729" w:leftChars="304" w:hanging="2878"/>
        <w:rPr>
          <w:rStyle w:val="20"/>
          <w:rFonts w:ascii="仿宋" w:hAnsi="仿宋" w:eastAsia="仿宋"/>
          <w:color w:val="000000" w:themeColor="text1"/>
          <w:szCs w:val="28"/>
        </w:rPr>
      </w:pPr>
      <w:r>
        <w:rPr>
          <w:rStyle w:val="20"/>
          <w:rFonts w:ascii="仿宋" w:hAnsi="仿宋" w:eastAsia="仿宋"/>
          <w:color w:val="000000" w:themeColor="text1"/>
          <w:szCs w:val="28"/>
        </w:rPr>
        <w:t>估价报告编号：</w:t>
      </w:r>
      <w:r>
        <w:rPr>
          <w:rStyle w:val="20"/>
          <w:rFonts w:hint="eastAsia" w:ascii="仿宋" w:hAnsi="仿宋" w:eastAsia="仿宋"/>
          <w:color w:val="000000" w:themeColor="text1"/>
          <w:szCs w:val="28"/>
        </w:rPr>
        <w:t>黔房精诚估字（</w:t>
      </w:r>
      <w:r>
        <w:rPr>
          <w:rStyle w:val="20"/>
          <w:rFonts w:hint="eastAsia" w:ascii="仿宋" w:hAnsi="仿宋" w:eastAsia="仿宋"/>
          <w:color w:val="000000" w:themeColor="text1"/>
          <w:szCs w:val="28"/>
          <w:lang w:eastAsia="zh-CN"/>
        </w:rPr>
        <w:t>2022</w:t>
      </w:r>
      <w:r>
        <w:rPr>
          <w:rStyle w:val="20"/>
          <w:rFonts w:hint="eastAsia" w:ascii="仿宋" w:hAnsi="仿宋" w:eastAsia="仿宋"/>
          <w:color w:val="000000" w:themeColor="text1"/>
          <w:szCs w:val="28"/>
        </w:rPr>
        <w:t>）第</w:t>
      </w:r>
      <w:r>
        <w:rPr>
          <w:rStyle w:val="20"/>
          <w:rFonts w:hint="eastAsia" w:ascii="仿宋" w:hAnsi="仿宋" w:eastAsia="仿宋"/>
          <w:color w:val="000000" w:themeColor="text1"/>
          <w:szCs w:val="28"/>
          <w:lang w:val="en-US" w:eastAsia="zh-CN"/>
        </w:rPr>
        <w:t>174</w:t>
      </w:r>
      <w:r>
        <w:rPr>
          <w:rStyle w:val="20"/>
          <w:rFonts w:hint="eastAsia" w:ascii="仿宋" w:hAnsi="仿宋" w:eastAsia="仿宋"/>
          <w:color w:val="000000" w:themeColor="text1"/>
          <w:szCs w:val="28"/>
        </w:rPr>
        <w:t>号</w:t>
      </w:r>
    </w:p>
    <w:p>
      <w:pPr>
        <w:pStyle w:val="2"/>
        <w:ind w:firstLine="280"/>
        <w:rPr>
          <w:color w:val="000000" w:themeColor="text1"/>
        </w:rPr>
      </w:pPr>
    </w:p>
    <w:p>
      <w:pPr>
        <w:pStyle w:val="22"/>
        <w:jc w:val="center"/>
        <w:rPr>
          <w:rStyle w:val="20"/>
          <w:rFonts w:ascii="仿宋" w:hAnsi="仿宋" w:eastAsia="仿宋" w:cs="仿宋"/>
          <w:color w:val="000000" w:themeColor="text1"/>
        </w:rPr>
      </w:pPr>
      <w:r>
        <w:rPr>
          <w:rStyle w:val="20"/>
          <w:rFonts w:ascii="仿宋" w:hAnsi="仿宋" w:eastAsia="仿宋" w:cs="仿宋"/>
          <w:color w:val="000000" w:themeColor="text1"/>
        </w:rPr>
        <w:t>致 估 价 委 托 人 函</w:t>
      </w:r>
    </w:p>
    <w:p>
      <w:pPr>
        <w:keepNext w:val="0"/>
        <w:keepLines w:val="0"/>
        <w:pageBreakBefore w:val="0"/>
        <w:kinsoku/>
        <w:wordWrap/>
        <w:overflowPunct/>
        <w:topLinePunct w:val="0"/>
        <w:autoSpaceDE/>
        <w:autoSpaceDN/>
        <w:bidi w:val="0"/>
        <w:spacing w:line="500" w:lineRule="exact"/>
        <w:ind w:firstLine="562" w:firstLineChars="200"/>
        <w:textAlignment w:val="baseline"/>
        <w:rPr>
          <w:rStyle w:val="20"/>
          <w:rFonts w:ascii="仿宋" w:hAnsi="仿宋" w:eastAsia="仿宋"/>
          <w:b/>
          <w:color w:val="000000" w:themeColor="text1"/>
          <w:kern w:val="96"/>
          <w:szCs w:val="28"/>
        </w:rPr>
      </w:pPr>
      <w:r>
        <w:rPr>
          <w:rStyle w:val="20"/>
          <w:rFonts w:hint="eastAsia" w:ascii="仿宋" w:hAnsi="仿宋" w:eastAsia="仿宋"/>
          <w:b/>
          <w:color w:val="000000" w:themeColor="text1"/>
          <w:kern w:val="96"/>
          <w:szCs w:val="28"/>
          <w:lang w:eastAsia="zh-CN"/>
        </w:rPr>
        <w:t>三穗县人民法院</w:t>
      </w:r>
      <w:r>
        <w:rPr>
          <w:rStyle w:val="20"/>
          <w:rFonts w:ascii="仿宋" w:hAnsi="仿宋" w:eastAsia="仿宋"/>
          <w:b/>
          <w:color w:val="000000" w:themeColor="text1"/>
          <w:szCs w:val="28"/>
        </w:rPr>
        <w:t>：</w:t>
      </w:r>
    </w:p>
    <w:p>
      <w:pPr>
        <w:keepNext w:val="0"/>
        <w:keepLines w:val="0"/>
        <w:pageBreakBefore w:val="0"/>
        <w:kinsoku/>
        <w:wordWrap/>
        <w:overflowPunct/>
        <w:topLinePunct w:val="0"/>
        <w:autoSpaceDE/>
        <w:autoSpaceDN/>
        <w:bidi w:val="0"/>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受</w:t>
      </w:r>
      <w:r>
        <w:rPr>
          <w:rStyle w:val="20"/>
          <w:rFonts w:hint="eastAsia" w:ascii="仿宋" w:hAnsi="仿宋" w:eastAsia="仿宋"/>
          <w:color w:val="000000" w:themeColor="text1"/>
          <w:szCs w:val="28"/>
          <w:lang w:val="en-US" w:eastAsia="zh-CN"/>
        </w:rPr>
        <w:t>贵院</w:t>
      </w:r>
      <w:r>
        <w:rPr>
          <w:rStyle w:val="20"/>
          <w:rFonts w:ascii="仿宋" w:hAnsi="仿宋" w:eastAsia="仿宋"/>
          <w:color w:val="000000" w:themeColor="text1"/>
          <w:szCs w:val="28"/>
        </w:rPr>
        <w:t>委托，我公司估价人员对估价对象进行了实地查勘，估价人员根据估价目的，遵循估价原则，按照估价工作程序，利用科学的估价方法，在认真分析现有资料的基础上，详细考虑了影响房地产价格的各项因素，经过周密准确的测算，对估价对象于价值时点</w:t>
      </w:r>
      <w:r>
        <w:rPr>
          <w:rStyle w:val="20"/>
          <w:rFonts w:hint="eastAsia" w:ascii="仿宋" w:hAnsi="仿宋" w:eastAsia="仿宋"/>
          <w:color w:val="000000" w:themeColor="text1"/>
          <w:szCs w:val="28"/>
          <w:lang w:eastAsia="zh-CN"/>
        </w:rPr>
        <w:t>2022</w:t>
      </w:r>
      <w:r>
        <w:rPr>
          <w:rStyle w:val="20"/>
          <w:rFonts w:ascii="仿宋" w:hAnsi="仿宋" w:eastAsia="仿宋"/>
          <w:color w:val="000000" w:themeColor="text1"/>
          <w:szCs w:val="28"/>
        </w:rPr>
        <w:t>年</w:t>
      </w:r>
      <w:r>
        <w:rPr>
          <w:rStyle w:val="20"/>
          <w:rFonts w:hint="eastAsia" w:ascii="仿宋" w:hAnsi="仿宋" w:eastAsia="仿宋"/>
          <w:color w:val="000000" w:themeColor="text1"/>
          <w:szCs w:val="28"/>
        </w:rPr>
        <w:t>0</w:t>
      </w:r>
      <w:r>
        <w:rPr>
          <w:rStyle w:val="20"/>
          <w:rFonts w:hint="eastAsia" w:ascii="仿宋" w:hAnsi="仿宋" w:eastAsia="仿宋"/>
          <w:color w:val="000000" w:themeColor="text1"/>
          <w:szCs w:val="28"/>
          <w:lang w:val="en-US" w:eastAsia="zh-CN"/>
        </w:rPr>
        <w:t>8</w:t>
      </w:r>
      <w:r>
        <w:rPr>
          <w:rStyle w:val="20"/>
          <w:rFonts w:ascii="仿宋" w:hAnsi="仿宋" w:eastAsia="仿宋"/>
          <w:color w:val="000000" w:themeColor="text1"/>
          <w:szCs w:val="28"/>
        </w:rPr>
        <w:t>月</w:t>
      </w:r>
      <w:r>
        <w:rPr>
          <w:rStyle w:val="20"/>
          <w:rFonts w:hint="eastAsia" w:ascii="仿宋" w:hAnsi="仿宋" w:eastAsia="仿宋"/>
          <w:color w:val="000000" w:themeColor="text1"/>
          <w:szCs w:val="28"/>
          <w:lang w:val="en-US" w:eastAsia="zh-CN"/>
        </w:rPr>
        <w:t>19</w:t>
      </w:r>
      <w:r>
        <w:rPr>
          <w:rStyle w:val="20"/>
          <w:rFonts w:ascii="仿宋" w:hAnsi="仿宋" w:eastAsia="仿宋"/>
          <w:color w:val="000000" w:themeColor="text1"/>
          <w:szCs w:val="28"/>
        </w:rPr>
        <w:t>日的市场价值进行了评估。现将估价结果报告如下：</w:t>
      </w:r>
    </w:p>
    <w:p>
      <w:pPr>
        <w:keepNext w:val="0"/>
        <w:keepLines w:val="0"/>
        <w:pageBreakBefore w:val="0"/>
        <w:numPr>
          <w:ilvl w:val="0"/>
          <w:numId w:val="1"/>
        </w:numPr>
        <w:kinsoku/>
        <w:wordWrap/>
        <w:overflowPunct/>
        <w:topLinePunct w:val="0"/>
        <w:autoSpaceDE/>
        <w:autoSpaceDN/>
        <w:bidi w:val="0"/>
        <w:spacing w:line="500" w:lineRule="exact"/>
        <w:ind w:firstLine="562" w:firstLineChars="200"/>
        <w:textAlignment w:val="baseline"/>
        <w:rPr>
          <w:rStyle w:val="20"/>
          <w:rFonts w:hint="eastAsia" w:ascii="仿宋" w:hAnsi="仿宋" w:eastAsia="仿宋"/>
          <w:color w:val="000000" w:themeColor="text1"/>
          <w:szCs w:val="28"/>
        </w:rPr>
      </w:pPr>
      <w:r>
        <w:rPr>
          <w:rStyle w:val="20"/>
          <w:rFonts w:ascii="仿宋" w:hAnsi="仿宋" w:eastAsia="仿宋"/>
          <w:b/>
          <w:color w:val="000000" w:themeColor="text1"/>
          <w:szCs w:val="28"/>
        </w:rPr>
        <w:t>估价对象：</w:t>
      </w:r>
      <w:r>
        <w:rPr>
          <w:rStyle w:val="20"/>
          <w:rFonts w:ascii="仿宋" w:hAnsi="仿宋" w:eastAsia="仿宋"/>
          <w:color w:val="000000" w:themeColor="text1"/>
          <w:szCs w:val="28"/>
        </w:rPr>
        <w:t>本次估价对象为位于</w:t>
      </w:r>
      <w:r>
        <w:rPr>
          <w:rStyle w:val="20"/>
          <w:rFonts w:hint="eastAsia" w:ascii="仿宋" w:hAnsi="仿宋" w:eastAsia="仿宋" w:cs="Times New Roman"/>
          <w:color w:val="auto"/>
          <w:szCs w:val="28"/>
          <w:lang w:val="en-US" w:eastAsia="zh-CN"/>
        </w:rPr>
        <w:t>三穗县八弓镇灵山南路鸿地幸福里D栋2-4-2号</w:t>
      </w:r>
      <w:r>
        <w:rPr>
          <w:rStyle w:val="20"/>
          <w:rFonts w:hint="eastAsia" w:ascii="仿宋" w:hAnsi="仿宋" w:eastAsia="仿宋"/>
          <w:color w:val="000000" w:themeColor="text1"/>
          <w:szCs w:val="28"/>
          <w:lang w:val="en-US" w:eastAsia="zh-CN"/>
        </w:rPr>
        <w:t>一套住宅用房</w:t>
      </w:r>
      <w:r>
        <w:rPr>
          <w:rStyle w:val="20"/>
          <w:rFonts w:hint="eastAsia" w:ascii="仿宋" w:hAnsi="仿宋" w:eastAsia="仿宋"/>
          <w:color w:val="000000" w:themeColor="text1"/>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hint="eastAsia" w:ascii="仿宋" w:hAnsi="仿宋" w:eastAsia="仿宋"/>
          <w:color w:val="000000" w:themeColor="text1"/>
          <w:szCs w:val="28"/>
          <w:lang w:val="en-US" w:eastAsia="zh-CN"/>
        </w:rPr>
        <w:t>估价委托人未提供估价对象的《不动产权证书》，根据估价委托人提供的《</w:t>
      </w:r>
      <w:r>
        <w:rPr>
          <w:rStyle w:val="20"/>
          <w:rFonts w:hint="eastAsia" w:ascii="仿宋" w:hAnsi="仿宋" w:eastAsia="仿宋"/>
          <w:color w:val="auto"/>
          <w:szCs w:val="28"/>
          <w:lang w:eastAsia="zh-CN"/>
        </w:rPr>
        <w:t>贵州省不动产登记查询结果</w:t>
      </w:r>
      <w:r>
        <w:rPr>
          <w:rStyle w:val="20"/>
          <w:rFonts w:hint="eastAsia" w:ascii="仿宋" w:hAnsi="仿宋" w:eastAsia="仿宋"/>
          <w:color w:val="000000" w:themeColor="text1"/>
          <w:szCs w:val="28"/>
          <w:lang w:val="en-US" w:eastAsia="zh-CN"/>
        </w:rPr>
        <w:t>》</w:t>
      </w:r>
      <w:r>
        <w:rPr>
          <w:rStyle w:val="20"/>
          <w:rFonts w:hint="eastAsia" w:ascii="仿宋" w:hAnsi="仿宋" w:eastAsia="仿宋"/>
          <w:color w:val="000000" w:themeColor="text1"/>
          <w:szCs w:val="28"/>
          <w:lang w:eastAsia="zh-CN"/>
        </w:rPr>
        <w:t>、估价委托人提供的房屋信息及估价人员现场查勘</w:t>
      </w:r>
      <w:r>
        <w:rPr>
          <w:rStyle w:val="20"/>
          <w:rFonts w:hint="eastAsia" w:ascii="仿宋" w:hAnsi="仿宋" w:eastAsia="仿宋"/>
          <w:color w:val="000000" w:themeColor="text1"/>
          <w:szCs w:val="28"/>
        </w:rPr>
        <w:t>可知，</w:t>
      </w:r>
      <w:r>
        <w:rPr>
          <w:rStyle w:val="20"/>
          <w:rFonts w:hint="eastAsia" w:ascii="仿宋" w:hAnsi="仿宋" w:eastAsia="仿宋"/>
          <w:color w:val="000000" w:themeColor="text1"/>
          <w:szCs w:val="28"/>
          <w:lang w:eastAsia="zh-CN"/>
        </w:rPr>
        <w:t>房屋坐落于</w:t>
      </w:r>
      <w:r>
        <w:rPr>
          <w:rStyle w:val="20"/>
          <w:rFonts w:hint="eastAsia" w:ascii="仿宋" w:hAnsi="仿宋" w:eastAsia="仿宋" w:cs="Times New Roman"/>
          <w:color w:val="000000" w:themeColor="text1"/>
          <w:szCs w:val="28"/>
          <w:lang w:val="en-US" w:eastAsia="zh-CN"/>
        </w:rPr>
        <w:t>八弓镇灵山南路鸿地幸福里D栋2-4-2，</w:t>
      </w:r>
      <w:r>
        <w:rPr>
          <w:rStyle w:val="20"/>
          <w:rFonts w:hint="eastAsia" w:ascii="仿宋" w:hAnsi="仿宋" w:eastAsia="仿宋"/>
          <w:color w:val="000000" w:themeColor="text1"/>
          <w:szCs w:val="28"/>
          <w:lang w:val="en-US" w:eastAsia="zh-CN"/>
        </w:rPr>
        <w:t>房屋权利人为游顺钊，不动产权证书/证明号为201501552，不动产单元号522624001015GB00220F00010007，房屋</w:t>
      </w:r>
      <w:r>
        <w:rPr>
          <w:rStyle w:val="20"/>
          <w:rFonts w:ascii="仿宋" w:hAnsi="仿宋" w:eastAsia="仿宋"/>
          <w:color w:val="000000" w:themeColor="text1"/>
          <w:szCs w:val="28"/>
        </w:rPr>
        <w:t>用途为</w:t>
      </w:r>
      <w:r>
        <w:rPr>
          <w:rStyle w:val="20"/>
          <w:rFonts w:hint="eastAsia" w:ascii="仿宋" w:hAnsi="仿宋" w:eastAsia="仿宋"/>
          <w:color w:val="000000" w:themeColor="text1"/>
          <w:szCs w:val="28"/>
          <w:lang w:val="en-US" w:eastAsia="zh-CN"/>
        </w:rPr>
        <w:t>成套住宅</w:t>
      </w:r>
      <w:r>
        <w:rPr>
          <w:rStyle w:val="20"/>
          <w:rFonts w:ascii="仿宋" w:hAnsi="仿宋" w:eastAsia="仿宋"/>
          <w:color w:val="000000" w:themeColor="text1"/>
          <w:szCs w:val="28"/>
        </w:rPr>
        <w:t>，建筑面积为</w:t>
      </w:r>
      <w:r>
        <w:rPr>
          <w:rStyle w:val="20"/>
          <w:rFonts w:hint="eastAsia" w:ascii="仿宋" w:hAnsi="仿宋" w:eastAsia="仿宋"/>
          <w:color w:val="000000" w:themeColor="text1"/>
          <w:szCs w:val="28"/>
          <w:lang w:val="en-US" w:eastAsia="zh-CN"/>
        </w:rPr>
        <w:t>119.56</w:t>
      </w:r>
      <w:r>
        <w:rPr>
          <w:rStyle w:val="20"/>
          <w:rFonts w:ascii="仿宋" w:hAnsi="仿宋" w:eastAsia="仿宋"/>
          <w:color w:val="000000" w:themeColor="text1"/>
          <w:szCs w:val="28"/>
        </w:rPr>
        <w:t>平方米</w:t>
      </w:r>
      <w:r>
        <w:rPr>
          <w:rStyle w:val="20"/>
          <w:rFonts w:ascii="仿宋" w:hAnsi="仿宋" w:eastAsia="仿宋"/>
          <w:color w:val="auto"/>
          <w:szCs w:val="28"/>
        </w:rPr>
        <w:t>，户型为</w:t>
      </w:r>
      <w:r>
        <w:rPr>
          <w:rStyle w:val="20"/>
          <w:rFonts w:hint="eastAsia" w:ascii="仿宋" w:hAnsi="仿宋" w:eastAsia="仿宋"/>
          <w:color w:val="auto"/>
          <w:szCs w:val="28"/>
        </w:rPr>
        <w:t>三室</w:t>
      </w:r>
      <w:r>
        <w:rPr>
          <w:rStyle w:val="20"/>
          <w:rFonts w:hint="eastAsia" w:ascii="仿宋" w:hAnsi="仿宋" w:eastAsia="仿宋"/>
          <w:color w:val="auto"/>
          <w:szCs w:val="28"/>
          <w:lang w:eastAsia="zh-CN"/>
        </w:rPr>
        <w:t>一</w:t>
      </w:r>
      <w:r>
        <w:rPr>
          <w:rStyle w:val="20"/>
          <w:rFonts w:hint="eastAsia" w:ascii="仿宋" w:hAnsi="仿宋" w:eastAsia="仿宋"/>
          <w:color w:val="auto"/>
          <w:szCs w:val="28"/>
        </w:rPr>
        <w:t>厅两卫一厨</w:t>
      </w:r>
      <w:r>
        <w:rPr>
          <w:rStyle w:val="20"/>
          <w:rFonts w:ascii="仿宋" w:hAnsi="仿宋" w:eastAsia="仿宋"/>
          <w:color w:val="auto"/>
          <w:szCs w:val="28"/>
        </w:rPr>
        <w:t>，所</w:t>
      </w:r>
      <w:r>
        <w:rPr>
          <w:rStyle w:val="20"/>
          <w:rFonts w:ascii="仿宋" w:hAnsi="仿宋" w:eastAsia="仿宋"/>
          <w:color w:val="000000" w:themeColor="text1"/>
          <w:szCs w:val="28"/>
        </w:rPr>
        <w:t>在楼幢总层数</w:t>
      </w:r>
      <w:r>
        <w:rPr>
          <w:rStyle w:val="20"/>
          <w:rFonts w:hint="eastAsia" w:ascii="仿宋" w:hAnsi="仿宋" w:eastAsia="仿宋"/>
          <w:color w:val="000000" w:themeColor="text1"/>
          <w:szCs w:val="28"/>
          <w:lang w:val="en-US" w:eastAsia="zh-CN"/>
        </w:rPr>
        <w:t>7</w:t>
      </w:r>
      <w:r>
        <w:rPr>
          <w:rStyle w:val="20"/>
          <w:rFonts w:ascii="仿宋" w:hAnsi="仿宋" w:eastAsia="仿宋"/>
          <w:color w:val="000000" w:themeColor="text1"/>
          <w:szCs w:val="28"/>
        </w:rPr>
        <w:t>层（</w:t>
      </w:r>
      <w:r>
        <w:rPr>
          <w:rStyle w:val="20"/>
          <w:rFonts w:hint="eastAsia" w:ascii="仿宋" w:hAnsi="仿宋" w:eastAsia="仿宋"/>
          <w:color w:val="000000" w:themeColor="text1"/>
          <w:szCs w:val="28"/>
          <w:lang w:eastAsia="zh-CN"/>
        </w:rPr>
        <w:t>均为</w:t>
      </w:r>
      <w:r>
        <w:rPr>
          <w:rStyle w:val="20"/>
          <w:rFonts w:ascii="仿宋" w:hAnsi="仿宋" w:eastAsia="仿宋"/>
          <w:color w:val="000000" w:themeColor="text1"/>
          <w:szCs w:val="28"/>
        </w:rPr>
        <w:t>地上），估价对象</w:t>
      </w:r>
      <w:r>
        <w:rPr>
          <w:rStyle w:val="20"/>
          <w:rFonts w:hint="eastAsia" w:ascii="仿宋" w:hAnsi="仿宋" w:eastAsia="仿宋"/>
          <w:color w:val="000000" w:themeColor="text1"/>
          <w:szCs w:val="28"/>
          <w:lang w:eastAsia="zh-CN"/>
        </w:rPr>
        <w:t>位于</w:t>
      </w:r>
      <w:r>
        <w:rPr>
          <w:rStyle w:val="20"/>
          <w:rFonts w:ascii="仿宋" w:hAnsi="仿宋" w:eastAsia="仿宋"/>
          <w:color w:val="000000" w:themeColor="text1"/>
          <w:szCs w:val="28"/>
        </w:rPr>
        <w:t>第</w:t>
      </w:r>
      <w:r>
        <w:rPr>
          <w:rStyle w:val="20"/>
          <w:rFonts w:hint="eastAsia" w:ascii="仿宋" w:hAnsi="仿宋" w:eastAsia="仿宋"/>
          <w:color w:val="000000" w:themeColor="text1"/>
          <w:szCs w:val="28"/>
          <w:lang w:val="en-US" w:eastAsia="zh-CN"/>
        </w:rPr>
        <w:t>4</w:t>
      </w:r>
      <w:r>
        <w:rPr>
          <w:rStyle w:val="20"/>
          <w:rFonts w:ascii="仿宋" w:hAnsi="仿宋" w:eastAsia="仿宋"/>
          <w:color w:val="000000" w:themeColor="text1"/>
          <w:szCs w:val="28"/>
        </w:rPr>
        <w:t>层，建成年代约20</w:t>
      </w:r>
      <w:r>
        <w:rPr>
          <w:rStyle w:val="20"/>
          <w:rFonts w:hint="eastAsia" w:ascii="仿宋" w:hAnsi="仿宋" w:eastAsia="仿宋"/>
          <w:color w:val="000000" w:themeColor="text1"/>
          <w:szCs w:val="28"/>
          <w:lang w:val="en-US" w:eastAsia="zh-CN"/>
        </w:rPr>
        <w:t>05</w:t>
      </w:r>
      <w:r>
        <w:rPr>
          <w:rStyle w:val="20"/>
          <w:rFonts w:ascii="仿宋" w:hAnsi="仿宋" w:eastAsia="仿宋"/>
          <w:color w:val="000000" w:themeColor="text1"/>
          <w:szCs w:val="28"/>
        </w:rPr>
        <w:t>年，</w:t>
      </w:r>
      <w:r>
        <w:rPr>
          <w:rStyle w:val="20"/>
          <w:rFonts w:hint="eastAsia" w:ascii="仿宋" w:hAnsi="仿宋" w:eastAsia="仿宋"/>
          <w:color w:val="000000" w:themeColor="text1"/>
          <w:szCs w:val="28"/>
          <w:lang w:eastAsia="zh-CN"/>
        </w:rPr>
        <w:t>步梯房，</w:t>
      </w:r>
      <w:r>
        <w:rPr>
          <w:rStyle w:val="20"/>
          <w:rFonts w:hint="eastAsia" w:ascii="仿宋" w:hAnsi="仿宋" w:eastAsia="仿宋"/>
          <w:color w:val="000000" w:themeColor="text1"/>
          <w:szCs w:val="28"/>
          <w:lang w:val="en-US" w:eastAsia="zh-CN"/>
        </w:rPr>
        <w:t>房屋结构为</w:t>
      </w:r>
      <w:r>
        <w:rPr>
          <w:rStyle w:val="20"/>
          <w:rFonts w:hint="eastAsia" w:ascii="仿宋" w:hAnsi="仿宋" w:eastAsia="仿宋"/>
          <w:color w:val="000000" w:themeColor="text1"/>
          <w:szCs w:val="28"/>
        </w:rPr>
        <w:t>钢筋混凝土</w:t>
      </w:r>
      <w:r>
        <w:rPr>
          <w:rStyle w:val="20"/>
          <w:rFonts w:ascii="仿宋" w:hAnsi="仿宋" w:eastAsia="仿宋"/>
          <w:color w:val="000000" w:themeColor="text1"/>
          <w:szCs w:val="28"/>
        </w:rPr>
        <w:t>结构。</w:t>
      </w:r>
    </w:p>
    <w:p>
      <w:pPr>
        <w:keepNext w:val="0"/>
        <w:keepLines w:val="0"/>
        <w:pageBreakBefore w:val="0"/>
        <w:widowControl w:val="0"/>
        <w:kinsoku/>
        <w:wordWrap/>
        <w:overflowPunct/>
        <w:topLinePunct w:val="0"/>
        <w:autoSpaceDE/>
        <w:autoSpaceDN/>
        <w:bidi w:val="0"/>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估价范围包括估价对象应分摊的土地使用权</w:t>
      </w:r>
      <w:r>
        <w:rPr>
          <w:rStyle w:val="20"/>
          <w:rFonts w:hint="eastAsia" w:ascii="仿宋" w:hAnsi="仿宋" w:eastAsia="仿宋"/>
          <w:color w:val="000000" w:themeColor="text1"/>
          <w:szCs w:val="28"/>
          <w:lang w:eastAsia="zh-CN"/>
        </w:rPr>
        <w:t>、</w:t>
      </w:r>
      <w:r>
        <w:rPr>
          <w:rStyle w:val="20"/>
          <w:rFonts w:hint="eastAsia" w:ascii="仿宋" w:hAnsi="仿宋" w:eastAsia="仿宋"/>
          <w:color w:val="000000" w:themeColor="text1"/>
          <w:szCs w:val="28"/>
          <w:lang w:val="en-US" w:eastAsia="zh-CN"/>
        </w:rPr>
        <w:t>室内装修</w:t>
      </w:r>
      <w:r>
        <w:rPr>
          <w:rFonts w:hint="eastAsia" w:ascii="仿宋" w:hAnsi="仿宋" w:eastAsia="仿宋" w:cs="仿宋"/>
          <w:color w:val="000000"/>
          <w:szCs w:val="28"/>
          <w:lang w:val="en-US" w:eastAsia="zh-CN"/>
        </w:rPr>
        <w:t>不可移动部分</w:t>
      </w:r>
      <w:r>
        <w:rPr>
          <w:rStyle w:val="20"/>
          <w:rFonts w:ascii="仿宋" w:hAnsi="仿宋" w:eastAsia="仿宋"/>
          <w:color w:val="000000" w:themeColor="text1"/>
          <w:szCs w:val="28"/>
        </w:rPr>
        <w:t>及应享有的所在物业公共配套权益，但不包括</w:t>
      </w:r>
      <w:r>
        <w:rPr>
          <w:rStyle w:val="20"/>
          <w:rFonts w:hint="eastAsia" w:ascii="仿宋" w:hAnsi="仿宋" w:eastAsia="仿宋"/>
          <w:color w:val="000000" w:themeColor="text1"/>
          <w:szCs w:val="28"/>
        </w:rPr>
        <w:t>室内</w:t>
      </w:r>
      <w:r>
        <w:rPr>
          <w:rStyle w:val="20"/>
          <w:rFonts w:ascii="仿宋" w:hAnsi="仿宋" w:eastAsia="仿宋"/>
          <w:color w:val="000000" w:themeColor="text1"/>
          <w:szCs w:val="28"/>
        </w:rPr>
        <w:t>可移动物品</w:t>
      </w:r>
      <w:r>
        <w:rPr>
          <w:rStyle w:val="20"/>
          <w:rFonts w:hint="eastAsia" w:ascii="仿宋" w:hAnsi="仿宋" w:eastAsia="仿宋"/>
          <w:color w:val="000000" w:themeColor="text1"/>
          <w:szCs w:val="28"/>
          <w:lang w:eastAsia="zh-CN"/>
        </w:rPr>
        <w:t>、</w:t>
      </w:r>
      <w:r>
        <w:rPr>
          <w:rStyle w:val="20"/>
          <w:rFonts w:hint="eastAsia" w:ascii="仿宋" w:hAnsi="仿宋" w:eastAsia="仿宋"/>
          <w:color w:val="000000" w:themeColor="text1"/>
          <w:szCs w:val="28"/>
          <w:lang w:val="en-US" w:eastAsia="zh-CN"/>
        </w:rPr>
        <w:t>设备</w:t>
      </w:r>
      <w:r>
        <w:rPr>
          <w:rStyle w:val="20"/>
          <w:rFonts w:ascii="仿宋" w:hAnsi="仿宋" w:eastAsia="仿宋"/>
          <w:color w:val="000000" w:themeColor="text1"/>
          <w:szCs w:val="28"/>
        </w:rPr>
        <w:t>及估价对象所涉及的债权债务。</w:t>
      </w:r>
    </w:p>
    <w:p>
      <w:pPr>
        <w:keepNext w:val="0"/>
        <w:keepLines w:val="0"/>
        <w:pageBreakBefore w:val="0"/>
        <w:widowControl w:val="0"/>
        <w:kinsoku/>
        <w:wordWrap/>
        <w:overflowPunct/>
        <w:topLinePunct w:val="0"/>
        <w:autoSpaceDE/>
        <w:autoSpaceDN/>
        <w:bidi w:val="0"/>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因估价对象涉及司法纠纷，故其</w:t>
      </w:r>
      <w:r>
        <w:rPr>
          <w:rStyle w:val="20"/>
          <w:rFonts w:hint="eastAsia" w:ascii="仿宋" w:hAnsi="仿宋" w:eastAsia="仿宋"/>
          <w:color w:val="000000" w:themeColor="text1"/>
          <w:szCs w:val="28"/>
          <w:lang w:eastAsia="zh-CN"/>
        </w:rPr>
        <w:t>权利</w:t>
      </w:r>
      <w:r>
        <w:rPr>
          <w:rStyle w:val="20"/>
          <w:rFonts w:ascii="仿宋" w:hAnsi="仿宋" w:eastAsia="仿宋"/>
          <w:color w:val="000000" w:themeColor="text1"/>
          <w:szCs w:val="28"/>
        </w:rPr>
        <w:t>状况由估价委托人负责解释。</w:t>
      </w:r>
    </w:p>
    <w:p>
      <w:pPr>
        <w:keepNext w:val="0"/>
        <w:keepLines w:val="0"/>
        <w:pageBreakBefore w:val="0"/>
        <w:numPr>
          <w:ilvl w:val="0"/>
          <w:numId w:val="1"/>
        </w:numPr>
        <w:kinsoku/>
        <w:wordWrap/>
        <w:overflowPunct/>
        <w:topLinePunct w:val="0"/>
        <w:autoSpaceDE/>
        <w:autoSpaceDN/>
        <w:bidi w:val="0"/>
        <w:spacing w:line="500" w:lineRule="exact"/>
        <w:ind w:left="0" w:leftChars="0" w:firstLine="562" w:firstLineChars="200"/>
        <w:textAlignment w:val="baseline"/>
        <w:rPr>
          <w:rStyle w:val="20"/>
          <w:rFonts w:hint="eastAsia" w:ascii="仿宋" w:hAnsi="仿宋" w:eastAsia="仿宋"/>
          <w:color w:val="000000" w:themeColor="text1"/>
          <w:spacing w:val="8"/>
          <w:szCs w:val="28"/>
          <w:lang w:eastAsia="zh-CN"/>
        </w:rPr>
      </w:pPr>
      <w:r>
        <w:rPr>
          <w:rStyle w:val="20"/>
          <w:rFonts w:ascii="仿宋" w:hAnsi="仿宋" w:eastAsia="仿宋"/>
          <w:b/>
          <w:color w:val="000000" w:themeColor="text1"/>
          <w:szCs w:val="28"/>
        </w:rPr>
        <w:t>估价目的：</w:t>
      </w:r>
      <w:r>
        <w:rPr>
          <w:rStyle w:val="20"/>
          <w:rFonts w:hint="eastAsia" w:ascii="仿宋" w:hAnsi="仿宋" w:eastAsia="仿宋"/>
          <w:color w:val="000000" w:themeColor="text1"/>
          <w:spacing w:val="8"/>
          <w:szCs w:val="28"/>
          <w:lang w:eastAsia="zh-CN"/>
        </w:rPr>
        <w:t>为三穗县人民法院执行“龙万海与游顺钊借款合同纠纷一案”确定财产处置参考价提供参考依据。</w:t>
      </w:r>
    </w:p>
    <w:p>
      <w:pPr>
        <w:keepNext w:val="0"/>
        <w:keepLines w:val="0"/>
        <w:pageBreakBefore w:val="0"/>
        <w:numPr>
          <w:ilvl w:val="0"/>
          <w:numId w:val="0"/>
        </w:numPr>
        <w:kinsoku/>
        <w:wordWrap/>
        <w:overflowPunct/>
        <w:topLinePunct w:val="0"/>
        <w:autoSpaceDE/>
        <w:autoSpaceDN/>
        <w:bidi w:val="0"/>
        <w:spacing w:line="500" w:lineRule="exact"/>
        <w:ind w:leftChars="200"/>
        <w:textAlignment w:val="baseline"/>
        <w:rPr>
          <w:rStyle w:val="20"/>
          <w:rFonts w:ascii="仿宋" w:hAnsi="仿宋" w:eastAsia="仿宋"/>
          <w:color w:val="000000" w:themeColor="text1"/>
          <w:spacing w:val="8"/>
          <w:szCs w:val="28"/>
        </w:rPr>
      </w:pPr>
      <w:r>
        <w:rPr>
          <w:rStyle w:val="20"/>
          <w:rFonts w:ascii="仿宋" w:hAnsi="仿宋" w:eastAsia="仿宋"/>
          <w:b/>
          <w:color w:val="000000" w:themeColor="text1"/>
          <w:szCs w:val="28"/>
        </w:rPr>
        <w:t>三、价值时点：</w:t>
      </w:r>
      <w:r>
        <w:rPr>
          <w:rStyle w:val="20"/>
          <w:rFonts w:ascii="仿宋" w:hAnsi="仿宋" w:eastAsia="仿宋"/>
          <w:color w:val="000000" w:themeColor="text1"/>
          <w:spacing w:val="8"/>
          <w:szCs w:val="28"/>
        </w:rPr>
        <w:t>以实地查勘期</w:t>
      </w:r>
      <w:r>
        <w:rPr>
          <w:rStyle w:val="20"/>
          <w:rFonts w:hint="eastAsia" w:ascii="仿宋" w:hAnsi="仿宋" w:eastAsia="仿宋"/>
          <w:color w:val="000000" w:themeColor="text1"/>
          <w:spacing w:val="8"/>
          <w:szCs w:val="28"/>
          <w:lang w:eastAsia="zh-CN"/>
        </w:rPr>
        <w:t>2022</w:t>
      </w:r>
      <w:r>
        <w:rPr>
          <w:rStyle w:val="20"/>
          <w:rFonts w:ascii="仿宋" w:hAnsi="仿宋" w:eastAsia="仿宋"/>
          <w:color w:val="000000" w:themeColor="text1"/>
          <w:spacing w:val="8"/>
          <w:szCs w:val="28"/>
        </w:rPr>
        <w:t>年</w:t>
      </w:r>
      <w:r>
        <w:rPr>
          <w:rStyle w:val="20"/>
          <w:rFonts w:hint="eastAsia" w:ascii="仿宋" w:hAnsi="仿宋" w:eastAsia="仿宋"/>
          <w:color w:val="000000" w:themeColor="text1"/>
          <w:spacing w:val="8"/>
          <w:szCs w:val="28"/>
        </w:rPr>
        <w:t>0</w:t>
      </w:r>
      <w:r>
        <w:rPr>
          <w:rStyle w:val="20"/>
          <w:rFonts w:hint="eastAsia" w:ascii="仿宋" w:hAnsi="仿宋" w:eastAsia="仿宋"/>
          <w:color w:val="000000" w:themeColor="text1"/>
          <w:spacing w:val="8"/>
          <w:szCs w:val="28"/>
          <w:lang w:val="en-US" w:eastAsia="zh-CN"/>
        </w:rPr>
        <w:t>8</w:t>
      </w:r>
      <w:r>
        <w:rPr>
          <w:rStyle w:val="20"/>
          <w:rFonts w:ascii="仿宋" w:hAnsi="仿宋" w:eastAsia="仿宋"/>
          <w:color w:val="000000" w:themeColor="text1"/>
          <w:spacing w:val="8"/>
          <w:szCs w:val="28"/>
        </w:rPr>
        <w:t>月</w:t>
      </w:r>
      <w:r>
        <w:rPr>
          <w:rStyle w:val="20"/>
          <w:rFonts w:hint="eastAsia" w:ascii="仿宋" w:hAnsi="仿宋" w:eastAsia="仿宋"/>
          <w:color w:val="000000" w:themeColor="text1"/>
          <w:spacing w:val="8"/>
          <w:szCs w:val="28"/>
          <w:lang w:val="en-US" w:eastAsia="zh-CN"/>
        </w:rPr>
        <w:t>19</w:t>
      </w:r>
      <w:r>
        <w:rPr>
          <w:rStyle w:val="20"/>
          <w:rFonts w:ascii="仿宋" w:hAnsi="仿宋" w:eastAsia="仿宋"/>
          <w:color w:val="000000" w:themeColor="text1"/>
          <w:spacing w:val="8"/>
          <w:szCs w:val="28"/>
        </w:rPr>
        <w:t>日为价值时点。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62" w:firstLineChars="200"/>
        <w:jc w:val="both"/>
        <w:textAlignment w:val="baseline"/>
        <w:rPr>
          <w:rFonts w:hint="eastAsia" w:ascii="仿宋" w:hAnsi="仿宋" w:eastAsia="仿宋" w:cs="仿宋"/>
          <w:color w:val="FF0000"/>
          <w:szCs w:val="28"/>
        </w:rPr>
      </w:pPr>
      <w:r>
        <w:rPr>
          <w:rStyle w:val="20"/>
          <w:rFonts w:ascii="仿宋" w:hAnsi="仿宋" w:eastAsia="仿宋"/>
          <w:b/>
          <w:color w:val="000000" w:themeColor="text1"/>
          <w:szCs w:val="28"/>
        </w:rPr>
        <w:t>四、价值类型：</w:t>
      </w:r>
      <w:r>
        <w:rPr>
          <w:rStyle w:val="20"/>
          <w:rFonts w:ascii="仿宋" w:hAnsi="仿宋" w:eastAsia="仿宋"/>
          <w:color w:val="000000" w:themeColor="text1"/>
          <w:szCs w:val="28"/>
        </w:rPr>
        <w:t>市场价值</w:t>
      </w:r>
      <w:r>
        <w:rPr>
          <w:rStyle w:val="20"/>
          <w:rFonts w:hint="eastAsia" w:ascii="仿宋" w:hAnsi="仿宋" w:eastAsia="仿宋"/>
          <w:color w:val="000000" w:themeColor="text1"/>
          <w:szCs w:val="28"/>
          <w:lang w:eastAsia="zh-CN"/>
        </w:rPr>
        <w:t>，</w:t>
      </w:r>
      <w:r>
        <w:rPr>
          <w:rStyle w:val="20"/>
          <w:rFonts w:ascii="仿宋_GB2312" w:hAnsi="仿宋_GB2312" w:eastAsia="仿宋_GB2312"/>
          <w:b w:val="0"/>
          <w:i w:val="0"/>
          <w:caps w:val="0"/>
          <w:color w:val="auto"/>
          <w:spacing w:val="0"/>
          <w:w w:val="100"/>
          <w:kern w:val="2"/>
          <w:sz w:val="28"/>
          <w:szCs w:val="28"/>
          <w:lang w:val="en-US" w:eastAsia="zh-CN" w:bidi="ar-SA"/>
        </w:rPr>
        <w:t>是指估价对象在公开市场上经适当营销后</w:t>
      </w:r>
      <w:r>
        <w:rPr>
          <w:rStyle w:val="20"/>
          <w:rFonts w:hint="eastAsia" w:ascii="仿宋" w:hAnsi="仿宋" w:eastAsia="仿宋" w:cs="仿宋"/>
          <w:b w:val="0"/>
          <w:i w:val="0"/>
          <w:caps w:val="0"/>
          <w:color w:val="auto"/>
          <w:spacing w:val="0"/>
          <w:w w:val="100"/>
          <w:kern w:val="2"/>
          <w:sz w:val="28"/>
          <w:szCs w:val="28"/>
          <w:lang w:val="en-US" w:eastAsia="zh-CN" w:bidi="ar-SA"/>
        </w:rPr>
        <w:t>，由</w:t>
      </w:r>
      <w:r>
        <w:rPr>
          <w:rStyle w:val="20"/>
          <w:rFonts w:ascii="仿宋_GB2312" w:hAnsi="仿宋_GB2312" w:eastAsia="仿宋_GB2312"/>
          <w:b w:val="0"/>
          <w:i w:val="0"/>
          <w:caps w:val="0"/>
          <w:color w:val="auto"/>
          <w:spacing w:val="0"/>
          <w:w w:val="100"/>
          <w:kern w:val="2"/>
          <w:sz w:val="28"/>
          <w:szCs w:val="28"/>
          <w:lang w:val="en-US" w:eastAsia="zh-CN" w:bidi="ar-SA"/>
        </w:rPr>
        <w:t>熟悉情况、谨慎行事且不受强迫的交易双方，以公平交易方式在价值时点自愿进行交易的金额。评估值中</w:t>
      </w:r>
      <w:r>
        <w:rPr>
          <w:rStyle w:val="20"/>
          <w:rFonts w:hint="eastAsia" w:ascii="仿宋" w:hAnsi="仿宋" w:eastAsia="仿宋" w:cs="仿宋"/>
          <w:b w:val="0"/>
          <w:i w:val="0"/>
          <w:caps w:val="0"/>
          <w:color w:val="auto"/>
          <w:spacing w:val="0"/>
          <w:w w:val="100"/>
          <w:kern w:val="2"/>
          <w:sz w:val="28"/>
          <w:szCs w:val="28"/>
          <w:lang w:val="en-US" w:eastAsia="zh-CN" w:bidi="ar-SA"/>
        </w:rPr>
        <w:t>包含估价对象应分摊的土地使用权价值及</w:t>
      </w:r>
      <w:r>
        <w:rPr>
          <w:rStyle w:val="20"/>
          <w:rFonts w:hint="eastAsia" w:ascii="仿宋" w:hAnsi="仿宋" w:eastAsia="仿宋" w:cs="仿宋"/>
          <w:b w:val="0"/>
          <w:i w:val="0"/>
          <w:caps w:val="0"/>
          <w:color w:val="auto"/>
          <w:spacing w:val="0"/>
          <w:w w:val="100"/>
          <w:sz w:val="28"/>
          <w:szCs w:val="28"/>
        </w:rPr>
        <w:t>室内装修</w:t>
      </w:r>
      <w:r>
        <w:rPr>
          <w:rStyle w:val="20"/>
          <w:rFonts w:hint="eastAsia" w:ascii="仿宋" w:hAnsi="仿宋" w:eastAsia="仿宋" w:cs="仿宋"/>
          <w:b w:val="0"/>
          <w:i w:val="0"/>
          <w:caps w:val="0"/>
          <w:color w:val="auto"/>
          <w:spacing w:val="0"/>
          <w:w w:val="100"/>
          <w:sz w:val="28"/>
          <w:szCs w:val="28"/>
          <w:lang w:eastAsia="zh-CN"/>
        </w:rPr>
        <w:t>不可移动部分价值。</w:t>
      </w:r>
    </w:p>
    <w:p>
      <w:pPr>
        <w:keepNext w:val="0"/>
        <w:keepLines w:val="0"/>
        <w:pageBreakBefore w:val="0"/>
        <w:kinsoku/>
        <w:wordWrap/>
        <w:overflowPunct/>
        <w:topLinePunct w:val="0"/>
        <w:autoSpaceDE/>
        <w:autoSpaceDN/>
        <w:bidi w:val="0"/>
        <w:spacing w:line="500" w:lineRule="exact"/>
        <w:ind w:firstLine="562" w:firstLineChars="200"/>
        <w:textAlignment w:val="baseline"/>
        <w:rPr>
          <w:rStyle w:val="20"/>
          <w:rFonts w:ascii="仿宋" w:hAnsi="仿宋" w:eastAsia="仿宋"/>
          <w:color w:val="000000" w:themeColor="text1"/>
          <w:szCs w:val="28"/>
        </w:rPr>
      </w:pPr>
      <w:r>
        <w:rPr>
          <w:rStyle w:val="20"/>
          <w:rFonts w:ascii="仿宋" w:hAnsi="仿宋" w:eastAsia="仿宋"/>
          <w:b/>
          <w:color w:val="000000" w:themeColor="text1"/>
          <w:szCs w:val="28"/>
        </w:rPr>
        <w:t>五、估价方法：</w:t>
      </w:r>
      <w:r>
        <w:rPr>
          <w:rStyle w:val="20"/>
          <w:rFonts w:ascii="仿宋" w:hAnsi="仿宋" w:eastAsia="仿宋"/>
          <w:color w:val="000000" w:themeColor="text1"/>
          <w:szCs w:val="28"/>
        </w:rPr>
        <w:t>比较法、收益法。</w:t>
      </w:r>
    </w:p>
    <w:p>
      <w:pPr>
        <w:keepNext w:val="0"/>
        <w:keepLines w:val="0"/>
        <w:pageBreakBefore w:val="0"/>
        <w:widowControl/>
        <w:kinsoku/>
        <w:wordWrap/>
        <w:overflowPunct/>
        <w:topLinePunct w:val="0"/>
        <w:autoSpaceDE/>
        <w:autoSpaceDN/>
        <w:bidi w:val="0"/>
        <w:adjustRightInd w:val="0"/>
        <w:snapToGrid w:val="0"/>
        <w:spacing w:line="500" w:lineRule="exact"/>
        <w:ind w:firstLine="562" w:firstLineChars="200"/>
        <w:textAlignment w:val="auto"/>
        <w:rPr>
          <w:rFonts w:hint="eastAsia" w:ascii="仿宋" w:hAnsi="仿宋" w:eastAsia="仿宋" w:cs="仿宋"/>
          <w:b/>
          <w:color w:val="auto"/>
          <w:kern w:val="96"/>
          <w:szCs w:val="28"/>
          <w:lang w:val="en-US" w:eastAsia="zh-CN"/>
        </w:rPr>
      </w:pPr>
      <w:r>
        <w:rPr>
          <w:rStyle w:val="20"/>
          <w:rFonts w:ascii="仿宋" w:hAnsi="仿宋" w:eastAsia="仿宋"/>
          <w:b/>
          <w:color w:val="000000" w:themeColor="text1"/>
          <w:szCs w:val="28"/>
        </w:rPr>
        <w:t>六、估价结果：</w:t>
      </w:r>
      <w:r>
        <w:rPr>
          <w:rStyle w:val="20"/>
          <w:rFonts w:ascii="仿宋" w:hAnsi="仿宋" w:eastAsia="仿宋"/>
          <w:color w:val="000000" w:themeColor="text1"/>
          <w:szCs w:val="28"/>
        </w:rPr>
        <w:t>估价人员根据估价目的，遵循估价原则，按照估价工作程序，采用科学估价方法，在认真分析现有资料的基础上，经过周密准确的测算，并结合估价经验，综合考虑影响房地产价格的各项因素，确定估价对象于价值时点（</w:t>
      </w:r>
      <w:r>
        <w:rPr>
          <w:rStyle w:val="20"/>
          <w:rFonts w:hint="eastAsia" w:ascii="仿宋" w:hAnsi="仿宋" w:eastAsia="仿宋"/>
          <w:color w:val="000000" w:themeColor="text1"/>
          <w:szCs w:val="28"/>
          <w:lang w:eastAsia="zh-CN"/>
        </w:rPr>
        <w:t>2022年0</w:t>
      </w:r>
      <w:r>
        <w:rPr>
          <w:rStyle w:val="20"/>
          <w:rFonts w:hint="eastAsia" w:ascii="仿宋" w:hAnsi="仿宋" w:eastAsia="仿宋"/>
          <w:color w:val="000000" w:themeColor="text1"/>
          <w:szCs w:val="28"/>
          <w:lang w:val="en-US" w:eastAsia="zh-CN"/>
        </w:rPr>
        <w:t>8</w:t>
      </w:r>
      <w:r>
        <w:rPr>
          <w:rStyle w:val="20"/>
          <w:rFonts w:hint="eastAsia" w:ascii="仿宋" w:hAnsi="仿宋" w:eastAsia="仿宋"/>
          <w:color w:val="000000" w:themeColor="text1"/>
          <w:szCs w:val="28"/>
          <w:lang w:eastAsia="zh-CN"/>
        </w:rPr>
        <w:t>月</w:t>
      </w:r>
      <w:r>
        <w:rPr>
          <w:rStyle w:val="20"/>
          <w:rFonts w:hint="eastAsia" w:ascii="仿宋" w:hAnsi="仿宋" w:eastAsia="仿宋"/>
          <w:color w:val="000000" w:themeColor="text1"/>
          <w:szCs w:val="28"/>
          <w:lang w:val="en-US" w:eastAsia="zh-CN"/>
        </w:rPr>
        <w:t>1</w:t>
      </w:r>
      <w:r>
        <w:rPr>
          <w:rStyle w:val="20"/>
          <w:rFonts w:hint="eastAsia" w:ascii="仿宋" w:hAnsi="仿宋" w:eastAsia="仿宋"/>
          <w:color w:val="000000" w:themeColor="text1"/>
          <w:szCs w:val="28"/>
          <w:lang w:eastAsia="zh-CN"/>
        </w:rPr>
        <w:t>9日</w:t>
      </w:r>
      <w:r>
        <w:rPr>
          <w:rStyle w:val="20"/>
          <w:rFonts w:ascii="仿宋" w:hAnsi="仿宋" w:eastAsia="仿宋"/>
          <w:color w:val="000000" w:themeColor="text1"/>
          <w:szCs w:val="28"/>
        </w:rPr>
        <w:t>）满足各项假设及限制条件下的市场总价值为</w:t>
      </w:r>
      <w:r>
        <w:rPr>
          <w:rFonts w:hint="eastAsia" w:ascii="仿宋" w:hAnsi="仿宋" w:eastAsia="仿宋" w:cs="仿宋"/>
          <w:b/>
          <w:color w:val="auto"/>
          <w:kern w:val="96"/>
          <w:szCs w:val="28"/>
        </w:rPr>
        <w:t>人民币</w:t>
      </w:r>
      <w:r>
        <w:rPr>
          <w:rFonts w:hint="eastAsia" w:ascii="仿宋" w:hAnsi="仿宋" w:eastAsia="仿宋" w:cs="仿宋"/>
          <w:b/>
          <w:color w:val="auto"/>
          <w:kern w:val="96"/>
          <w:szCs w:val="28"/>
          <w:lang w:eastAsia="zh-CN"/>
        </w:rPr>
        <w:t>肆</w:t>
      </w:r>
      <w:r>
        <w:rPr>
          <w:rFonts w:hint="eastAsia" w:ascii="仿宋" w:hAnsi="仿宋" w:eastAsia="仿宋" w:cs="仿宋"/>
          <w:b/>
          <w:color w:val="auto"/>
          <w:kern w:val="96"/>
          <w:szCs w:val="28"/>
        </w:rPr>
        <w:t>拾</w:t>
      </w:r>
      <w:r>
        <w:rPr>
          <w:rFonts w:hint="eastAsia" w:ascii="仿宋" w:hAnsi="仿宋" w:eastAsia="仿宋" w:cs="仿宋"/>
          <w:b/>
          <w:color w:val="auto"/>
          <w:kern w:val="96"/>
          <w:szCs w:val="28"/>
          <w:lang w:eastAsia="zh-CN"/>
        </w:rPr>
        <w:t>肆</w:t>
      </w:r>
      <w:r>
        <w:rPr>
          <w:rFonts w:hint="eastAsia" w:ascii="仿宋" w:hAnsi="仿宋" w:eastAsia="仿宋" w:cs="仿宋"/>
          <w:b/>
          <w:color w:val="auto"/>
          <w:kern w:val="96"/>
          <w:szCs w:val="28"/>
        </w:rPr>
        <w:t>万</w:t>
      </w:r>
      <w:r>
        <w:rPr>
          <w:rFonts w:hint="eastAsia" w:ascii="仿宋" w:hAnsi="仿宋" w:eastAsia="仿宋" w:cs="仿宋"/>
          <w:b/>
          <w:color w:val="auto"/>
          <w:kern w:val="96"/>
          <w:szCs w:val="28"/>
          <w:lang w:eastAsia="zh-CN"/>
        </w:rPr>
        <w:t>叁</w:t>
      </w:r>
      <w:r>
        <w:rPr>
          <w:rFonts w:hint="eastAsia" w:ascii="仿宋" w:hAnsi="仿宋" w:eastAsia="仿宋" w:cs="仿宋"/>
          <w:b/>
          <w:color w:val="auto"/>
          <w:kern w:val="96"/>
          <w:szCs w:val="28"/>
        </w:rPr>
        <w:t>仟</w:t>
      </w:r>
      <w:r>
        <w:rPr>
          <w:rFonts w:hint="eastAsia" w:ascii="仿宋" w:hAnsi="仿宋" w:eastAsia="仿宋" w:cs="仿宋"/>
          <w:b/>
          <w:color w:val="auto"/>
          <w:kern w:val="96"/>
          <w:szCs w:val="28"/>
          <w:lang w:eastAsia="zh-CN"/>
        </w:rPr>
        <w:t>玖</w:t>
      </w:r>
      <w:r>
        <w:rPr>
          <w:rFonts w:hint="eastAsia" w:ascii="仿宋" w:hAnsi="仿宋" w:eastAsia="仿宋" w:cs="仿宋"/>
          <w:b/>
          <w:color w:val="auto"/>
          <w:kern w:val="96"/>
          <w:szCs w:val="28"/>
        </w:rPr>
        <w:t>佰元整（</w:t>
      </w:r>
      <w:r>
        <w:rPr>
          <w:rFonts w:hint="eastAsia" w:ascii="宋体" w:hAnsi="宋体" w:eastAsia="宋体" w:cs="宋体"/>
          <w:b/>
          <w:bCs/>
          <w:color w:val="auto"/>
          <w:szCs w:val="28"/>
        </w:rPr>
        <w:t>¥</w:t>
      </w:r>
      <w:r>
        <w:rPr>
          <w:rFonts w:hint="eastAsia" w:ascii="宋体" w:hAnsi="宋体" w:eastAsia="宋体" w:cs="宋体"/>
          <w:b/>
          <w:bCs/>
          <w:color w:val="auto"/>
          <w:szCs w:val="28"/>
          <w:lang w:val="en-US" w:eastAsia="zh-CN"/>
        </w:rPr>
        <w:t>44.39</w:t>
      </w:r>
      <w:r>
        <w:rPr>
          <w:rFonts w:hint="eastAsia" w:ascii="仿宋" w:hAnsi="仿宋" w:eastAsia="仿宋" w:cs="仿宋"/>
          <w:b/>
          <w:color w:val="auto"/>
          <w:kern w:val="96"/>
          <w:szCs w:val="28"/>
        </w:rPr>
        <w:t>万元）</w:t>
      </w:r>
      <w:r>
        <w:rPr>
          <w:rFonts w:hint="eastAsia" w:ascii="仿宋" w:hAnsi="仿宋" w:eastAsia="仿宋" w:cs="仿宋"/>
          <w:b/>
          <w:color w:val="auto"/>
          <w:kern w:val="96"/>
          <w:szCs w:val="28"/>
          <w:lang w:eastAsia="zh-CN"/>
        </w:rPr>
        <w:t>，单价为</w:t>
      </w:r>
      <w:r>
        <w:rPr>
          <w:rFonts w:hint="eastAsia" w:ascii="仿宋" w:hAnsi="仿宋" w:eastAsia="仿宋" w:cs="仿宋"/>
          <w:b/>
          <w:color w:val="auto"/>
          <w:kern w:val="96"/>
          <w:szCs w:val="28"/>
          <w:lang w:val="en-US" w:eastAsia="zh-CN"/>
        </w:rPr>
        <w:t>3713元/㎡。</w:t>
      </w:r>
    </w:p>
    <w:p>
      <w:pPr>
        <w:keepNext w:val="0"/>
        <w:keepLines w:val="0"/>
        <w:pageBreakBefore w:val="0"/>
        <w:widowControl/>
        <w:kinsoku/>
        <w:wordWrap/>
        <w:overflowPunct/>
        <w:topLinePunct w:val="0"/>
        <w:autoSpaceDE/>
        <w:autoSpaceDN/>
        <w:bidi w:val="0"/>
        <w:adjustRightInd/>
        <w:snapToGrid/>
        <w:spacing w:line="520" w:lineRule="exact"/>
        <w:ind w:firstLine="562" w:firstLineChars="200"/>
        <w:textAlignment w:val="baseline"/>
        <w:rPr>
          <w:rStyle w:val="20"/>
          <w:rFonts w:ascii="仿宋" w:hAnsi="仿宋" w:eastAsia="仿宋"/>
          <w:b/>
          <w:color w:val="000000" w:themeColor="text1"/>
          <w:kern w:val="96"/>
          <w:szCs w:val="28"/>
        </w:rPr>
      </w:pPr>
      <w:r>
        <w:rPr>
          <w:rStyle w:val="20"/>
          <w:rFonts w:ascii="仿宋" w:hAnsi="仿宋" w:eastAsia="仿宋"/>
          <w:b/>
          <w:color w:val="000000" w:themeColor="text1"/>
          <w:kern w:val="96"/>
          <w:szCs w:val="28"/>
        </w:rPr>
        <w:t>特别重要提示：</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baseline"/>
        <w:rPr>
          <w:rStyle w:val="20"/>
          <w:rFonts w:ascii="仿宋" w:hAnsi="仿宋" w:eastAsia="仿宋" w:cs="仿宋"/>
          <w:b/>
          <w:bCs/>
          <w:color w:val="000000" w:themeColor="text1"/>
        </w:rPr>
      </w:pPr>
      <w:r>
        <w:rPr>
          <w:rStyle w:val="20"/>
          <w:rFonts w:ascii="仿宋" w:hAnsi="仿宋" w:eastAsia="仿宋" w:cs="仿宋"/>
          <w:b/>
          <w:bCs/>
          <w:color w:val="000000" w:themeColor="text1"/>
          <w:szCs w:val="28"/>
        </w:rPr>
        <w:t>1、</w:t>
      </w:r>
      <w:r>
        <w:rPr>
          <w:rStyle w:val="20"/>
          <w:rFonts w:ascii="仿宋" w:hAnsi="仿宋" w:eastAsia="仿宋" w:cs="仿宋"/>
          <w:b/>
          <w:bCs/>
          <w:color w:val="000000" w:themeColor="text1"/>
        </w:rPr>
        <w:t>估价委托人及相关当事人未提供估价对象的</w:t>
      </w:r>
      <w:r>
        <w:rPr>
          <w:rStyle w:val="20"/>
          <w:rFonts w:hint="eastAsia" w:ascii="仿宋" w:hAnsi="仿宋" w:eastAsia="仿宋" w:cs="仿宋"/>
          <w:b/>
          <w:bCs/>
          <w:color w:val="000000" w:themeColor="text1"/>
        </w:rPr>
        <w:t>《不动产权证书》</w:t>
      </w:r>
      <w:r>
        <w:rPr>
          <w:rFonts w:hint="eastAsia" w:ascii="仿宋" w:hAnsi="仿宋" w:eastAsia="仿宋" w:cs="仿宋"/>
          <w:b/>
          <w:color w:val="auto"/>
          <w:kern w:val="96"/>
          <w:szCs w:val="28"/>
          <w:lang w:val="en-US" w:eastAsia="zh-CN"/>
        </w:rPr>
        <w:t>以及土地的相关信息等资料</w:t>
      </w:r>
      <w:r>
        <w:rPr>
          <w:rStyle w:val="20"/>
          <w:rFonts w:ascii="仿宋" w:hAnsi="仿宋" w:eastAsia="仿宋" w:cs="仿宋"/>
          <w:b/>
          <w:bCs/>
          <w:color w:val="000000" w:themeColor="text1"/>
        </w:rPr>
        <w:t>，</w:t>
      </w:r>
      <w:r>
        <w:rPr>
          <w:rStyle w:val="20"/>
          <w:rFonts w:hint="eastAsia" w:ascii="仿宋" w:hAnsi="仿宋" w:eastAsia="仿宋" w:cs="仿宋"/>
          <w:b/>
          <w:bCs/>
          <w:color w:val="000000" w:themeColor="text1"/>
          <w:lang w:val="en-US" w:eastAsia="zh-CN"/>
        </w:rPr>
        <w:t>只提供了</w:t>
      </w:r>
      <w:r>
        <w:rPr>
          <w:rStyle w:val="20"/>
          <w:rFonts w:hint="eastAsia" w:ascii="仿宋" w:hAnsi="仿宋" w:eastAsia="仿宋"/>
          <w:b/>
          <w:bCs/>
          <w:color w:val="000000" w:themeColor="text1"/>
          <w:szCs w:val="28"/>
          <w:lang w:val="en-US" w:eastAsia="zh-CN"/>
        </w:rPr>
        <w:t>《</w:t>
      </w:r>
      <w:r>
        <w:rPr>
          <w:rStyle w:val="20"/>
          <w:rFonts w:hint="eastAsia" w:ascii="仿宋" w:hAnsi="仿宋" w:eastAsia="仿宋"/>
          <w:b/>
          <w:bCs/>
          <w:color w:val="000000" w:themeColor="text1"/>
          <w:szCs w:val="28"/>
          <w:lang w:eastAsia="zh-CN"/>
        </w:rPr>
        <w:t>贵州省不动产登记查询结果</w:t>
      </w:r>
      <w:r>
        <w:rPr>
          <w:rStyle w:val="20"/>
          <w:rFonts w:hint="eastAsia" w:ascii="仿宋" w:hAnsi="仿宋" w:eastAsia="仿宋"/>
          <w:b/>
          <w:bCs/>
          <w:color w:val="000000" w:themeColor="text1"/>
          <w:szCs w:val="28"/>
          <w:lang w:val="en-US" w:eastAsia="zh-CN"/>
        </w:rPr>
        <w:t>》。</w:t>
      </w:r>
      <w:r>
        <w:rPr>
          <w:rStyle w:val="20"/>
          <w:rFonts w:ascii="仿宋" w:hAnsi="仿宋" w:eastAsia="仿宋" w:cs="仿宋"/>
          <w:b/>
          <w:bCs/>
          <w:color w:val="000000" w:themeColor="text1"/>
        </w:rPr>
        <w:t>本次估价对象的权属</w:t>
      </w:r>
      <w:r>
        <w:rPr>
          <w:rStyle w:val="20"/>
          <w:rFonts w:hint="eastAsia" w:ascii="仿宋" w:hAnsi="仿宋" w:eastAsia="仿宋" w:cs="仿宋"/>
          <w:b/>
          <w:bCs/>
          <w:color w:val="000000" w:themeColor="text1"/>
        </w:rPr>
        <w:t>等相关</w:t>
      </w:r>
      <w:r>
        <w:rPr>
          <w:rStyle w:val="20"/>
          <w:rFonts w:ascii="仿宋" w:hAnsi="仿宋" w:eastAsia="仿宋" w:cs="仿宋"/>
          <w:b/>
          <w:bCs/>
          <w:color w:val="000000" w:themeColor="text1"/>
        </w:rPr>
        <w:t>信息以估价委托人提供的</w:t>
      </w:r>
      <w:r>
        <w:rPr>
          <w:rStyle w:val="20"/>
          <w:rFonts w:hint="eastAsia" w:ascii="仿宋" w:hAnsi="仿宋" w:eastAsia="仿宋" w:cs="仿宋"/>
          <w:b/>
          <w:bCs/>
          <w:color w:val="000000" w:themeColor="text1"/>
          <w:lang w:eastAsia="zh-CN"/>
        </w:rPr>
        <w:t>《贵州省不动产登记查询结果</w:t>
      </w:r>
      <w:r>
        <w:rPr>
          <w:rStyle w:val="20"/>
          <w:rFonts w:hint="eastAsia" w:ascii="仿宋" w:hAnsi="仿宋" w:eastAsia="仿宋" w:cs="仿宋"/>
          <w:b/>
          <w:bCs/>
          <w:color w:val="000000" w:themeColor="text1"/>
          <w:lang w:val="en-US" w:eastAsia="zh-CN"/>
        </w:rPr>
        <w:t>》中记载的内容</w:t>
      </w:r>
      <w:r>
        <w:rPr>
          <w:rStyle w:val="20"/>
          <w:rFonts w:ascii="仿宋" w:hAnsi="仿宋" w:eastAsia="仿宋" w:cs="仿宋"/>
          <w:b/>
          <w:bCs/>
          <w:color w:val="000000" w:themeColor="text1"/>
        </w:rPr>
        <w:t>为依据，</w:t>
      </w:r>
      <w:r>
        <w:rPr>
          <w:rStyle w:val="20"/>
          <w:rFonts w:hint="eastAsia" w:ascii="仿宋" w:hAnsi="仿宋" w:eastAsia="仿宋" w:cs="仿宋"/>
          <w:b/>
          <w:bCs/>
          <w:color w:val="000000" w:themeColor="text1"/>
        </w:rPr>
        <w:t>如与实际情况不符，估价结果应作相应调整或重新评估</w:t>
      </w:r>
      <w:r>
        <w:rPr>
          <w:rStyle w:val="20"/>
          <w:rFonts w:ascii="仿宋" w:hAnsi="仿宋" w:eastAsia="仿宋" w:cs="仿宋"/>
          <w:b/>
          <w:bCs/>
          <w:color w:val="000000" w:themeColor="text1"/>
        </w:rPr>
        <w:t>；</w:t>
      </w:r>
      <w:r>
        <w:rPr>
          <w:rStyle w:val="20"/>
          <w:rFonts w:hint="eastAsia" w:ascii="仿宋" w:hAnsi="仿宋" w:eastAsia="仿宋" w:cs="仿宋"/>
          <w:b/>
          <w:bCs/>
          <w:color w:val="000000" w:themeColor="text1"/>
        </w:rPr>
        <w:t xml:space="preserve">  </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baseline"/>
        <w:rPr>
          <w:rStyle w:val="20"/>
          <w:rFonts w:hint="eastAsia" w:ascii="仿宋" w:hAnsi="仿宋" w:eastAsia="仿宋" w:cs="仿宋"/>
          <w:b/>
          <w:bCs/>
          <w:color w:val="000000" w:themeColor="text1"/>
          <w:lang w:val="en-US" w:eastAsia="zh-CN"/>
        </w:rPr>
      </w:pPr>
      <w:r>
        <w:rPr>
          <w:rStyle w:val="20"/>
          <w:rFonts w:hint="eastAsia" w:ascii="仿宋" w:hAnsi="仿宋" w:eastAsia="仿宋" w:cs="仿宋"/>
          <w:b/>
          <w:bCs/>
          <w:color w:val="000000" w:themeColor="text1"/>
          <w:lang w:val="en-US" w:eastAsia="zh-CN"/>
        </w:rPr>
        <w:t>2</w:t>
      </w:r>
      <w:r>
        <w:rPr>
          <w:rStyle w:val="20"/>
          <w:rFonts w:ascii="仿宋" w:hAnsi="仿宋" w:eastAsia="仿宋" w:cs="仿宋"/>
          <w:b/>
          <w:bCs/>
          <w:color w:val="000000" w:themeColor="text1"/>
        </w:rPr>
        <w:t>、</w:t>
      </w:r>
      <w:r>
        <w:rPr>
          <w:rStyle w:val="20"/>
          <w:rFonts w:hint="eastAsia" w:ascii="仿宋" w:hAnsi="仿宋" w:eastAsia="仿宋" w:cs="仿宋"/>
          <w:b/>
          <w:bCs/>
          <w:color w:val="000000" w:themeColor="text1"/>
          <w:lang w:val="en-US" w:eastAsia="zh-CN"/>
        </w:rPr>
        <w:t>本次评估估价人员于2022年08月19日对估价对象进行现场勘查时，因当事人未到现场，估价人员未能进入</w:t>
      </w:r>
      <w:r>
        <w:rPr>
          <w:rStyle w:val="20"/>
          <w:rFonts w:hint="eastAsia" w:ascii="仿宋" w:hAnsi="仿宋" w:eastAsia="仿宋" w:cs="仿宋"/>
          <w:b/>
          <w:bCs/>
          <w:color w:val="auto"/>
          <w:lang w:val="en-US" w:eastAsia="zh-CN"/>
        </w:rPr>
        <w:t>房屋所在楼幢单元门内以及其内部</w:t>
      </w:r>
      <w:r>
        <w:rPr>
          <w:rStyle w:val="20"/>
          <w:rFonts w:hint="eastAsia" w:ascii="仿宋" w:hAnsi="仿宋" w:eastAsia="仿宋" w:cs="仿宋"/>
          <w:b/>
          <w:bCs/>
          <w:color w:val="000000" w:themeColor="text1"/>
          <w:lang w:val="en-US" w:eastAsia="zh-CN"/>
        </w:rPr>
        <w:t>进行勘查，故本次评估现场勘查仅限于估价对象楼栋外观及周边环境，应估价委托人要求，估价对象房屋内部布局及装修情况以其提供的照片为依据进行，</w:t>
      </w:r>
      <w:r>
        <w:rPr>
          <w:rStyle w:val="20"/>
          <w:rFonts w:hint="eastAsia" w:ascii="仿宋" w:hAnsi="仿宋" w:eastAsia="仿宋" w:cs="仿宋"/>
          <w:b/>
          <w:bCs/>
          <w:color w:val="000000" w:themeColor="text1"/>
        </w:rPr>
        <w:t>如与实际情况不符，估价结果应作相应调整或重新评估</w:t>
      </w:r>
      <w:r>
        <w:rPr>
          <w:rStyle w:val="20"/>
          <w:rFonts w:hint="eastAsia" w:ascii="仿宋" w:hAnsi="仿宋" w:eastAsia="仿宋" w:cs="仿宋"/>
          <w:b/>
          <w:bCs/>
          <w:color w:val="000000" w:themeColor="text1"/>
          <w:lang w:val="en-US"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s="仿宋"/>
          <w:b/>
          <w:bCs/>
          <w:color w:val="000000" w:themeColor="text1"/>
          <w:szCs w:val="28"/>
        </w:rPr>
      </w:pPr>
      <w:r>
        <w:rPr>
          <w:rStyle w:val="20"/>
          <w:rFonts w:hint="eastAsia" w:ascii="仿宋" w:hAnsi="仿宋" w:eastAsia="仿宋"/>
          <w:color w:val="000000" w:themeColor="text1"/>
          <w:lang w:val="en-US" w:eastAsia="zh-CN"/>
        </w:rPr>
        <w:t>3、</w:t>
      </w:r>
      <w:r>
        <w:rPr>
          <w:rStyle w:val="20"/>
          <w:rFonts w:ascii="仿宋" w:hAnsi="仿宋" w:eastAsia="仿宋" w:cs="仿宋"/>
          <w:b/>
          <w:bCs/>
          <w:color w:val="000000" w:themeColor="text1"/>
          <w:szCs w:val="28"/>
        </w:rPr>
        <w:t>评估结果仅为人民法院确定财产处置参考价服务，不是估价对象处置可实现的成交价格，也不应当被视为对估价对象处置成交价格的保证；</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baseline"/>
        <w:rPr>
          <w:rStyle w:val="20"/>
          <w:rFonts w:ascii="仿宋" w:hAnsi="仿宋" w:eastAsia="仿宋" w:cs="仿宋"/>
          <w:b/>
          <w:bCs/>
          <w:color w:val="000000" w:themeColor="text1"/>
          <w:szCs w:val="28"/>
        </w:rPr>
      </w:pPr>
      <w:r>
        <w:rPr>
          <w:rStyle w:val="20"/>
          <w:rFonts w:hint="eastAsia" w:ascii="仿宋" w:hAnsi="仿宋" w:eastAsia="仿宋" w:cs="仿宋"/>
          <w:b/>
          <w:bCs/>
          <w:color w:val="000000" w:themeColor="text1"/>
          <w:szCs w:val="28"/>
          <w:lang w:val="en-US" w:eastAsia="zh-CN"/>
        </w:rPr>
        <w:t>4</w:t>
      </w:r>
      <w:r>
        <w:rPr>
          <w:rStyle w:val="20"/>
          <w:rFonts w:ascii="仿宋" w:hAnsi="仿宋" w:eastAsia="仿宋" w:cs="仿宋"/>
          <w:b/>
          <w:bCs/>
          <w:color w:val="000000" w:themeColor="text1"/>
          <w:szCs w:val="28"/>
        </w:rPr>
        <w:t>、财产拍卖或者变卖之日与价值时点不一致，可能导致评估结果对应的估价对象状况、房地产市场状况、欠缴税费状况等与财产拍卖或者变卖时的相应状况不一致，发生明显变化的，评估结果应当进行相应调整后才可使用；</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baseline"/>
        <w:rPr>
          <w:rStyle w:val="20"/>
          <w:rFonts w:ascii="仿宋" w:hAnsi="仿宋" w:eastAsia="仿宋" w:cs="仿宋"/>
          <w:b/>
          <w:bCs/>
          <w:color w:val="000000" w:themeColor="text1"/>
          <w:szCs w:val="28"/>
        </w:rPr>
      </w:pPr>
      <w:r>
        <w:rPr>
          <w:rStyle w:val="20"/>
          <w:rFonts w:hint="eastAsia" w:ascii="仿宋" w:hAnsi="仿宋" w:eastAsia="仿宋" w:cs="仿宋"/>
          <w:b/>
          <w:bCs/>
          <w:color w:val="000000" w:themeColor="text1"/>
          <w:szCs w:val="28"/>
          <w:lang w:val="en-US" w:eastAsia="zh-CN"/>
        </w:rPr>
        <w:t>5</w:t>
      </w:r>
      <w:r>
        <w:rPr>
          <w:rStyle w:val="20"/>
          <w:rFonts w:ascii="仿宋" w:hAnsi="仿宋" w:eastAsia="仿宋" w:cs="仿宋"/>
          <w:b/>
          <w:bCs/>
          <w:color w:val="000000" w:themeColor="text1"/>
          <w:szCs w:val="28"/>
        </w:rPr>
        <w:t>、本评估报告出具日期为</w:t>
      </w:r>
      <w:r>
        <w:rPr>
          <w:rStyle w:val="20"/>
          <w:rFonts w:hint="eastAsia" w:ascii="仿宋" w:hAnsi="仿宋" w:eastAsia="仿宋" w:cs="仿宋"/>
          <w:b/>
          <w:bCs/>
          <w:color w:val="000000" w:themeColor="text1"/>
          <w:szCs w:val="28"/>
          <w:lang w:eastAsia="zh-CN"/>
        </w:rPr>
        <w:t>2022</w:t>
      </w:r>
      <w:r>
        <w:rPr>
          <w:rStyle w:val="20"/>
          <w:rFonts w:ascii="仿宋" w:hAnsi="仿宋" w:eastAsia="仿宋" w:cs="仿宋"/>
          <w:b/>
          <w:bCs/>
          <w:color w:val="000000" w:themeColor="text1"/>
          <w:szCs w:val="28"/>
        </w:rPr>
        <w:t>年</w:t>
      </w:r>
      <w:r>
        <w:rPr>
          <w:rStyle w:val="20"/>
          <w:rFonts w:hint="eastAsia" w:ascii="仿宋" w:hAnsi="仿宋" w:eastAsia="仿宋" w:cs="仿宋"/>
          <w:b/>
          <w:bCs/>
          <w:color w:val="000000" w:themeColor="text1"/>
          <w:szCs w:val="28"/>
          <w:lang w:val="en-US" w:eastAsia="zh-CN"/>
        </w:rPr>
        <w:t>10</w:t>
      </w:r>
      <w:r>
        <w:rPr>
          <w:rStyle w:val="20"/>
          <w:rFonts w:hint="eastAsia" w:ascii="仿宋" w:hAnsi="仿宋" w:eastAsia="仿宋" w:cs="仿宋"/>
          <w:b/>
          <w:bCs/>
          <w:color w:val="000000" w:themeColor="text1"/>
          <w:szCs w:val="28"/>
          <w:lang w:eastAsia="zh-CN"/>
        </w:rPr>
        <w:t>月1</w:t>
      </w:r>
      <w:r>
        <w:rPr>
          <w:rStyle w:val="20"/>
          <w:rFonts w:hint="eastAsia" w:ascii="仿宋" w:hAnsi="仿宋" w:eastAsia="仿宋" w:cs="仿宋"/>
          <w:b/>
          <w:bCs/>
          <w:color w:val="000000" w:themeColor="text1"/>
          <w:szCs w:val="28"/>
          <w:lang w:val="en-US" w:eastAsia="zh-CN"/>
        </w:rPr>
        <w:t>3</w:t>
      </w:r>
      <w:r>
        <w:rPr>
          <w:rStyle w:val="20"/>
          <w:rFonts w:hint="eastAsia" w:ascii="仿宋" w:hAnsi="仿宋" w:eastAsia="仿宋" w:cs="仿宋"/>
          <w:b/>
          <w:bCs/>
          <w:color w:val="000000" w:themeColor="text1"/>
          <w:szCs w:val="28"/>
          <w:lang w:eastAsia="zh-CN"/>
        </w:rPr>
        <w:t>日</w:t>
      </w:r>
      <w:r>
        <w:rPr>
          <w:rStyle w:val="20"/>
          <w:rFonts w:ascii="仿宋" w:hAnsi="仿宋" w:eastAsia="仿宋" w:cs="仿宋"/>
          <w:b/>
          <w:bCs/>
          <w:color w:val="000000" w:themeColor="text1"/>
          <w:szCs w:val="28"/>
        </w:rPr>
        <w:t>，</w:t>
      </w:r>
      <w:r>
        <w:rPr>
          <w:rFonts w:hint="eastAsia" w:ascii="仿宋" w:hAnsi="仿宋" w:eastAsia="仿宋" w:cs="仿宋"/>
          <w:b/>
          <w:color w:val="000000" w:themeColor="text1"/>
          <w:kern w:val="96"/>
          <w:szCs w:val="28"/>
        </w:rPr>
        <w:t>估价委托人在收到估价结果报告之日起，至送达给当事人之日后5个工作日期间内，若估价委托人和当事人双方或任意一方对估价报告有异议，可向估价机构提出书面意见，若在此期间内未予书面回复，视为对估价报告无异议；</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baseline"/>
        <w:rPr>
          <w:rStyle w:val="20"/>
          <w:rFonts w:ascii="仿宋" w:hAnsi="仿宋" w:eastAsia="仿宋" w:cs="仿宋"/>
          <w:b/>
          <w:bCs/>
          <w:color w:val="000000" w:themeColor="text1"/>
          <w:szCs w:val="28"/>
        </w:rPr>
      </w:pPr>
      <w:r>
        <w:rPr>
          <w:rStyle w:val="20"/>
          <w:rFonts w:hint="eastAsia" w:ascii="仿宋" w:hAnsi="仿宋" w:eastAsia="仿宋" w:cs="仿宋"/>
          <w:b/>
          <w:bCs/>
          <w:color w:val="000000" w:themeColor="text1"/>
          <w:szCs w:val="28"/>
          <w:lang w:val="en-US" w:eastAsia="zh-CN"/>
        </w:rPr>
        <w:t>6</w:t>
      </w:r>
      <w:r>
        <w:rPr>
          <w:rStyle w:val="20"/>
          <w:rFonts w:ascii="仿宋" w:hAnsi="仿宋" w:eastAsia="仿宋" w:cs="仿宋"/>
          <w:b/>
          <w:bCs/>
          <w:color w:val="000000" w:themeColor="text1"/>
          <w:szCs w:val="28"/>
        </w:rPr>
        <w:t>、报告书使用人在使用本估价结果时，应详细阅读《房地产估价报告》全文及附件。</w:t>
      </w:r>
    </w:p>
    <w:p>
      <w:pPr>
        <w:snapToGrid w:val="0"/>
        <w:spacing w:line="520" w:lineRule="exact"/>
        <w:rPr>
          <w:rStyle w:val="20"/>
          <w:color w:val="000000" w:themeColor="text1"/>
        </w:rPr>
      </w:pPr>
    </w:p>
    <w:p>
      <w:pPr>
        <w:spacing w:line="460" w:lineRule="exact"/>
        <w:ind w:firstLine="562" w:firstLineChars="200"/>
        <w:jc w:val="right"/>
        <w:rPr>
          <w:rStyle w:val="20"/>
          <w:rFonts w:ascii="仿宋" w:hAnsi="仿宋" w:eastAsia="仿宋"/>
          <w:b/>
          <w:color w:val="000000" w:themeColor="text1"/>
          <w:kern w:val="96"/>
          <w:szCs w:val="28"/>
        </w:rPr>
      </w:pPr>
      <w:r>
        <w:rPr>
          <w:rStyle w:val="20"/>
          <w:rFonts w:ascii="仿宋" w:hAnsi="仿宋" w:eastAsia="仿宋"/>
          <w:b/>
          <w:color w:val="000000" w:themeColor="text1"/>
          <w:kern w:val="96"/>
          <w:szCs w:val="28"/>
        </w:rPr>
        <w:t xml:space="preserve">   贵州精诚房地产估价有限责任公司</w:t>
      </w:r>
    </w:p>
    <w:p>
      <w:pPr>
        <w:spacing w:line="460" w:lineRule="exact"/>
        <w:ind w:right="560"/>
        <w:jc w:val="center"/>
        <w:rPr>
          <w:rStyle w:val="20"/>
          <w:rFonts w:ascii="仿宋" w:hAnsi="仿宋" w:eastAsia="仿宋"/>
          <w:b/>
          <w:color w:val="000000" w:themeColor="text1"/>
          <w:kern w:val="96"/>
          <w:szCs w:val="28"/>
        </w:rPr>
      </w:pPr>
      <w:r>
        <w:rPr>
          <w:rStyle w:val="20"/>
          <w:rFonts w:ascii="仿宋" w:hAnsi="仿宋" w:eastAsia="仿宋"/>
          <w:b/>
          <w:color w:val="000000" w:themeColor="text1"/>
          <w:kern w:val="96"/>
          <w:szCs w:val="28"/>
        </w:rPr>
        <w:t xml:space="preserve">                                          法定代表人：                     </w:t>
      </w:r>
    </w:p>
    <w:p>
      <w:pPr>
        <w:spacing w:line="460" w:lineRule="exact"/>
        <w:ind w:right="560"/>
        <w:jc w:val="center"/>
        <w:rPr>
          <w:rStyle w:val="20"/>
          <w:rFonts w:ascii="仿宋" w:hAnsi="仿宋" w:eastAsia="仿宋"/>
          <w:b/>
          <w:color w:val="000000" w:themeColor="text1"/>
          <w:kern w:val="96"/>
          <w:szCs w:val="28"/>
        </w:rPr>
      </w:pPr>
      <w:r>
        <w:rPr>
          <w:rStyle w:val="20"/>
          <w:rFonts w:ascii="仿宋" w:hAnsi="仿宋" w:eastAsia="仿宋"/>
          <w:b/>
          <w:color w:val="000000" w:themeColor="text1"/>
          <w:kern w:val="96"/>
          <w:szCs w:val="28"/>
        </w:rPr>
        <w:t xml:space="preserve">                                        二〇二</w:t>
      </w:r>
      <w:r>
        <w:rPr>
          <w:rStyle w:val="20"/>
          <w:rFonts w:hint="eastAsia" w:ascii="仿宋" w:hAnsi="仿宋" w:eastAsia="仿宋"/>
          <w:b/>
          <w:color w:val="000000" w:themeColor="text1"/>
          <w:kern w:val="96"/>
          <w:szCs w:val="28"/>
        </w:rPr>
        <w:t>二</w:t>
      </w:r>
      <w:r>
        <w:rPr>
          <w:rStyle w:val="20"/>
          <w:rFonts w:ascii="仿宋" w:hAnsi="仿宋" w:eastAsia="仿宋"/>
          <w:b/>
          <w:color w:val="000000" w:themeColor="text1"/>
          <w:kern w:val="96"/>
          <w:szCs w:val="28"/>
        </w:rPr>
        <w:t>年</w:t>
      </w:r>
      <w:r>
        <w:rPr>
          <w:rStyle w:val="20"/>
          <w:rFonts w:hint="eastAsia" w:ascii="仿宋" w:hAnsi="仿宋" w:eastAsia="仿宋"/>
          <w:b/>
          <w:color w:val="000000" w:themeColor="text1"/>
          <w:kern w:val="96"/>
          <w:szCs w:val="28"/>
          <w:lang w:eastAsia="zh-CN"/>
        </w:rPr>
        <w:t>十</w:t>
      </w:r>
      <w:r>
        <w:rPr>
          <w:rStyle w:val="20"/>
          <w:rFonts w:hint="eastAsia" w:ascii="仿宋" w:hAnsi="仿宋" w:eastAsia="仿宋"/>
          <w:b/>
          <w:color w:val="000000" w:themeColor="text1"/>
          <w:kern w:val="96"/>
          <w:szCs w:val="28"/>
          <w:lang w:val="en-US" w:eastAsia="zh-CN"/>
        </w:rPr>
        <w:t>月十三</w:t>
      </w:r>
      <w:r>
        <w:rPr>
          <w:rStyle w:val="20"/>
          <w:rFonts w:ascii="仿宋" w:hAnsi="仿宋" w:eastAsia="仿宋"/>
          <w:b/>
          <w:color w:val="000000" w:themeColor="text1"/>
          <w:kern w:val="96"/>
          <w:szCs w:val="28"/>
        </w:rPr>
        <w:t>日</w:t>
      </w:r>
    </w:p>
    <w:p>
      <w:pPr>
        <w:pageBreakBefore/>
        <w:tabs>
          <w:tab w:val="left" w:pos="1069"/>
          <w:tab w:val="center" w:pos="4878"/>
        </w:tabs>
        <w:jc w:val="center"/>
        <w:rPr>
          <w:rStyle w:val="20"/>
          <w:rFonts w:ascii="仿宋" w:hAnsi="仿宋" w:eastAsia="仿宋"/>
          <w:b/>
          <w:color w:val="000000" w:themeColor="text1"/>
          <w:sz w:val="52"/>
        </w:rPr>
      </w:pPr>
      <w:r>
        <w:rPr>
          <w:rStyle w:val="20"/>
          <w:rFonts w:ascii="仿宋" w:hAnsi="仿宋" w:eastAsia="仿宋"/>
          <w:b/>
          <w:color w:val="000000" w:themeColor="text1"/>
          <w:sz w:val="52"/>
        </w:rPr>
        <w:t>目   录</w:t>
      </w:r>
    </w:p>
    <w:p>
      <w:pPr>
        <w:pStyle w:val="11"/>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b/>
          <w:bCs/>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color w:val="000000" w:themeColor="text1"/>
          <w:sz w:val="28"/>
          <w:szCs w:val="28"/>
        </w:rPr>
        <w:instrText xml:space="preserve">TOC \o "1-3" \h \u </w:instrText>
      </w:r>
      <w:r>
        <w:rPr>
          <w:rFonts w:hint="eastAsia" w:ascii="仿宋" w:hAnsi="仿宋" w:eastAsia="仿宋" w:cs="仿宋"/>
          <w:color w:val="000000" w:themeColor="text1"/>
          <w:sz w:val="28"/>
          <w:szCs w:val="28"/>
        </w:rPr>
        <w:fldChar w:fldCharType="separate"/>
      </w:r>
      <w:r>
        <w:rPr>
          <w:rFonts w:hint="eastAsia" w:ascii="仿宋" w:hAnsi="仿宋" w:eastAsia="仿宋" w:cs="仿宋"/>
          <w:b/>
          <w:bCs/>
          <w:color w:val="000000" w:themeColor="text1"/>
          <w:sz w:val="28"/>
          <w:szCs w:val="28"/>
        </w:rPr>
        <w:fldChar w:fldCharType="begin"/>
      </w:r>
      <w:r>
        <w:rPr>
          <w:rFonts w:hint="eastAsia" w:ascii="仿宋" w:hAnsi="仿宋" w:eastAsia="仿宋" w:cs="仿宋"/>
          <w:b/>
          <w:bCs/>
          <w:sz w:val="28"/>
          <w:szCs w:val="28"/>
        </w:rPr>
        <w:instrText xml:space="preserve"> HYPERLINK \l _Toc30993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估价师声明</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_Toc30993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r>
        <w:rPr>
          <w:rFonts w:hint="eastAsia" w:ascii="仿宋" w:hAnsi="仿宋" w:eastAsia="仿宋" w:cs="仿宋"/>
          <w:b/>
          <w:bCs/>
          <w:color w:val="000000" w:themeColor="text1"/>
          <w:sz w:val="28"/>
          <w:szCs w:val="28"/>
        </w:rPr>
        <w:fldChar w:fldCharType="end"/>
      </w:r>
    </w:p>
    <w:p>
      <w:pPr>
        <w:pStyle w:val="11"/>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b/>
          <w:bCs/>
          <w:sz w:val="28"/>
          <w:szCs w:val="28"/>
        </w:rPr>
      </w:pPr>
      <w:r>
        <w:rPr>
          <w:rFonts w:hint="eastAsia" w:ascii="仿宋" w:hAnsi="仿宋" w:eastAsia="仿宋" w:cs="仿宋"/>
          <w:b/>
          <w:bCs/>
          <w:color w:val="000000" w:themeColor="text1"/>
          <w:sz w:val="28"/>
          <w:szCs w:val="28"/>
        </w:rPr>
        <w:fldChar w:fldCharType="begin"/>
      </w:r>
      <w:r>
        <w:rPr>
          <w:rFonts w:hint="eastAsia" w:ascii="仿宋" w:hAnsi="仿宋" w:eastAsia="仿宋" w:cs="仿宋"/>
          <w:b/>
          <w:bCs/>
          <w:sz w:val="28"/>
          <w:szCs w:val="28"/>
        </w:rPr>
        <w:instrText xml:space="preserve"> HYPERLINK \l _Toc32649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估价的假设和限制条件</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_Toc32649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r>
        <w:rPr>
          <w:rFonts w:hint="eastAsia" w:ascii="仿宋" w:hAnsi="仿宋" w:eastAsia="仿宋" w:cs="仿宋"/>
          <w:b/>
          <w:bCs/>
          <w:color w:val="000000" w:themeColor="text1"/>
          <w:sz w:val="28"/>
          <w:szCs w:val="28"/>
        </w:rPr>
        <w:fldChar w:fldCharType="end"/>
      </w:r>
    </w:p>
    <w:p>
      <w:pPr>
        <w:pStyle w:val="11"/>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b/>
          <w:bCs/>
          <w:color w:val="000000" w:themeColor="text1"/>
          <w:sz w:val="28"/>
          <w:szCs w:val="28"/>
        </w:rPr>
        <w:fldChar w:fldCharType="begin"/>
      </w:r>
      <w:r>
        <w:rPr>
          <w:rFonts w:hint="eastAsia" w:ascii="仿宋" w:hAnsi="仿宋" w:eastAsia="仿宋" w:cs="仿宋"/>
          <w:b/>
          <w:bCs/>
          <w:sz w:val="28"/>
          <w:szCs w:val="28"/>
        </w:rPr>
        <w:instrText xml:space="preserve"> HYPERLINK \l _Toc15068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房地产估价结果报告</w:t>
      </w:r>
      <w:r>
        <w:rPr>
          <w:rFonts w:hint="eastAsia" w:ascii="仿宋" w:hAnsi="仿宋" w:eastAsia="仿宋" w:cs="仿宋"/>
          <w:b/>
          <w:bCs/>
          <w:sz w:val="28"/>
          <w:szCs w:val="28"/>
        </w:rPr>
        <w:tab/>
      </w: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PAGEREF _Toc15068 \h </w:instrText>
      </w:r>
      <w:r>
        <w:rPr>
          <w:rFonts w:hint="eastAsia" w:ascii="仿宋" w:hAnsi="仿宋" w:eastAsia="仿宋" w:cs="仿宋"/>
          <w:b/>
          <w:bCs/>
          <w:sz w:val="28"/>
          <w:szCs w:val="28"/>
        </w:rPr>
        <w:fldChar w:fldCharType="separate"/>
      </w:r>
      <w:r>
        <w:rPr>
          <w:rFonts w:hint="eastAsia" w:ascii="仿宋" w:hAnsi="仿宋" w:eastAsia="仿宋" w:cs="仿宋"/>
          <w:b/>
          <w:bCs/>
          <w:sz w:val="28"/>
          <w:szCs w:val="28"/>
        </w:rPr>
        <w:t>6</w:t>
      </w:r>
      <w:r>
        <w:rPr>
          <w:rFonts w:hint="eastAsia" w:ascii="仿宋" w:hAnsi="仿宋" w:eastAsia="仿宋" w:cs="仿宋"/>
          <w:b/>
          <w:bCs/>
          <w:sz w:val="28"/>
          <w:szCs w:val="28"/>
        </w:rPr>
        <w:fldChar w:fldCharType="end"/>
      </w:r>
      <w:r>
        <w:rPr>
          <w:rFonts w:hint="eastAsia" w:ascii="仿宋" w:hAnsi="仿宋" w:eastAsia="仿宋" w:cs="仿宋"/>
          <w:b/>
          <w:bCs/>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_Toc7262 </w:instrText>
      </w:r>
      <w:r>
        <w:rPr>
          <w:rFonts w:hint="eastAsia" w:ascii="仿宋" w:hAnsi="仿宋" w:eastAsia="仿宋" w:cs="仿宋"/>
          <w:sz w:val="28"/>
          <w:szCs w:val="28"/>
        </w:rPr>
        <w:fldChar w:fldCharType="separate"/>
      </w:r>
      <w:r>
        <w:rPr>
          <w:rFonts w:hint="eastAsia" w:ascii="仿宋" w:hAnsi="仿宋" w:eastAsia="仿宋" w:cs="仿宋"/>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_Toc7262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_Toc32343 </w:instrText>
      </w:r>
      <w:r>
        <w:rPr>
          <w:rFonts w:hint="eastAsia" w:ascii="仿宋" w:hAnsi="仿宋" w:eastAsia="仿宋" w:cs="仿宋"/>
          <w:sz w:val="28"/>
          <w:szCs w:val="28"/>
        </w:rPr>
        <w:fldChar w:fldCharType="separate"/>
      </w:r>
      <w:r>
        <w:rPr>
          <w:rFonts w:hint="eastAsia" w:ascii="仿宋" w:hAnsi="仿宋" w:eastAsia="仿宋" w:cs="仿宋"/>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_Toc32343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_Toc16931 </w:instrText>
      </w:r>
      <w:r>
        <w:rPr>
          <w:rFonts w:hint="eastAsia" w:ascii="仿宋" w:hAnsi="仿宋" w:eastAsia="仿宋" w:cs="仿宋"/>
          <w:sz w:val="28"/>
          <w:szCs w:val="28"/>
        </w:rPr>
        <w:fldChar w:fldCharType="separate"/>
      </w:r>
      <w:r>
        <w:rPr>
          <w:rFonts w:hint="eastAsia" w:ascii="仿宋" w:hAnsi="仿宋" w:eastAsia="仿宋" w:cs="仿宋"/>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_Toc16931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_Toc519 </w:instrText>
      </w:r>
      <w:r>
        <w:rPr>
          <w:rFonts w:hint="eastAsia" w:ascii="仿宋" w:hAnsi="仿宋" w:eastAsia="仿宋" w:cs="仿宋"/>
          <w:sz w:val="28"/>
          <w:szCs w:val="28"/>
        </w:rPr>
        <w:fldChar w:fldCharType="separate"/>
      </w:r>
      <w:r>
        <w:rPr>
          <w:rFonts w:hint="eastAsia" w:ascii="仿宋" w:hAnsi="仿宋" w:eastAsia="仿宋" w:cs="仿宋"/>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_Toc519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_Toc1837 </w:instrText>
      </w:r>
      <w:r>
        <w:rPr>
          <w:rFonts w:hint="eastAsia" w:ascii="仿宋" w:hAnsi="仿宋" w:eastAsia="仿宋" w:cs="仿宋"/>
          <w:sz w:val="28"/>
          <w:szCs w:val="28"/>
        </w:rPr>
        <w:fldChar w:fldCharType="separate"/>
      </w:r>
      <w:r>
        <w:rPr>
          <w:rFonts w:hint="eastAsia" w:ascii="仿宋" w:hAnsi="仿宋" w:eastAsia="仿宋" w:cs="仿宋"/>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_Toc1837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_Toc13622 </w:instrText>
      </w:r>
      <w:r>
        <w:rPr>
          <w:rFonts w:hint="eastAsia" w:ascii="仿宋" w:hAnsi="仿宋" w:eastAsia="仿宋" w:cs="仿宋"/>
          <w:sz w:val="28"/>
          <w:szCs w:val="28"/>
        </w:rPr>
        <w:fldChar w:fldCharType="separate"/>
      </w:r>
      <w:r>
        <w:rPr>
          <w:rFonts w:hint="eastAsia" w:ascii="仿宋" w:hAnsi="仿宋" w:eastAsia="仿宋" w:cs="仿宋"/>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_Toc13622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_Toc3808 </w:instrText>
      </w:r>
      <w:r>
        <w:rPr>
          <w:rFonts w:hint="eastAsia" w:ascii="仿宋" w:hAnsi="仿宋" w:eastAsia="仿宋" w:cs="仿宋"/>
          <w:sz w:val="28"/>
          <w:szCs w:val="28"/>
        </w:rPr>
        <w:fldChar w:fldCharType="separate"/>
      </w:r>
      <w:r>
        <w:rPr>
          <w:rFonts w:hint="eastAsia" w:ascii="仿宋" w:hAnsi="仿宋" w:eastAsia="仿宋" w:cs="仿宋"/>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_Toc3808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_Toc16900 </w:instrText>
      </w:r>
      <w:r>
        <w:rPr>
          <w:rFonts w:hint="eastAsia" w:ascii="仿宋" w:hAnsi="仿宋" w:eastAsia="仿宋" w:cs="仿宋"/>
          <w:sz w:val="28"/>
          <w:szCs w:val="28"/>
        </w:rPr>
        <w:fldChar w:fldCharType="separate"/>
      </w:r>
      <w:r>
        <w:rPr>
          <w:rFonts w:hint="eastAsia" w:ascii="仿宋" w:hAnsi="仿宋" w:eastAsia="仿宋" w:cs="仿宋"/>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_Toc16900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_Toc26077 </w:instrText>
      </w:r>
      <w:r>
        <w:rPr>
          <w:rFonts w:hint="eastAsia" w:ascii="仿宋" w:hAnsi="仿宋" w:eastAsia="仿宋" w:cs="仿宋"/>
          <w:sz w:val="28"/>
          <w:szCs w:val="28"/>
        </w:rPr>
        <w:fldChar w:fldCharType="separate"/>
      </w:r>
      <w:r>
        <w:rPr>
          <w:rFonts w:hint="eastAsia" w:ascii="仿宋" w:hAnsi="仿宋" w:eastAsia="仿宋" w:cs="仿宋"/>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_Toc26077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_Toc2421 </w:instrText>
      </w:r>
      <w:r>
        <w:rPr>
          <w:rFonts w:hint="eastAsia" w:ascii="仿宋" w:hAnsi="仿宋" w:eastAsia="仿宋" w:cs="仿宋"/>
          <w:sz w:val="28"/>
          <w:szCs w:val="28"/>
        </w:rPr>
        <w:fldChar w:fldCharType="separate"/>
      </w:r>
      <w:r>
        <w:rPr>
          <w:rFonts w:hint="eastAsia" w:ascii="仿宋" w:hAnsi="仿宋" w:eastAsia="仿宋" w:cs="仿宋"/>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_Toc2421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_Toc23674 </w:instrText>
      </w:r>
      <w:r>
        <w:rPr>
          <w:rFonts w:hint="eastAsia" w:ascii="仿宋" w:hAnsi="仿宋" w:eastAsia="仿宋" w:cs="仿宋"/>
          <w:sz w:val="28"/>
          <w:szCs w:val="28"/>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_Toc23674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_Toc10356 </w:instrText>
      </w:r>
      <w:r>
        <w:rPr>
          <w:rFonts w:hint="eastAsia" w:ascii="仿宋" w:hAnsi="仿宋" w:eastAsia="仿宋" w:cs="仿宋"/>
          <w:sz w:val="28"/>
          <w:szCs w:val="28"/>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_Toc10356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_Toc14872 </w:instrText>
      </w:r>
      <w:r>
        <w:rPr>
          <w:rFonts w:hint="eastAsia" w:ascii="仿宋" w:hAnsi="仿宋" w:eastAsia="仿宋" w:cs="仿宋"/>
          <w:sz w:val="28"/>
          <w:szCs w:val="28"/>
        </w:rPr>
        <w:fldChar w:fldCharType="separate"/>
      </w:r>
      <w:r>
        <w:rPr>
          <w:rFonts w:hint="eastAsia" w:ascii="仿宋" w:hAnsi="仿宋" w:eastAsia="仿宋" w:cs="仿宋"/>
          <w:sz w:val="28"/>
          <w:szCs w:val="28"/>
        </w:rPr>
        <w:t>十三、估价作业期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_Toc14872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_Toc5728 </w:instrText>
      </w:r>
      <w:r>
        <w:rPr>
          <w:rFonts w:hint="eastAsia" w:ascii="仿宋" w:hAnsi="仿宋" w:eastAsia="仿宋" w:cs="仿宋"/>
          <w:sz w:val="28"/>
          <w:szCs w:val="28"/>
        </w:rPr>
        <w:fldChar w:fldCharType="separate"/>
      </w:r>
      <w:r>
        <w:rPr>
          <w:rFonts w:hint="eastAsia" w:ascii="仿宋" w:hAnsi="仿宋" w:eastAsia="仿宋" w:cs="仿宋"/>
          <w:sz w:val="28"/>
          <w:szCs w:val="28"/>
        </w:rPr>
        <w:t>十四、估价报告的有效期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_Toc5728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pStyle w:val="13"/>
        <w:keepNext w:val="0"/>
        <w:keepLines w:val="0"/>
        <w:pageBreakBefore w:val="0"/>
        <w:widowControl/>
        <w:tabs>
          <w:tab w:val="right" w:leader="dot" w:pos="9638"/>
        </w:tabs>
        <w:kinsoku/>
        <w:wordWrap/>
        <w:overflowPunct/>
        <w:topLinePunct w:val="0"/>
        <w:autoSpaceDE/>
        <w:autoSpaceDN/>
        <w:bidi w:val="0"/>
        <w:adjustRightInd/>
        <w:snapToGrid/>
        <w:spacing w:line="520" w:lineRule="exact"/>
        <w:textAlignment w:val="baseline"/>
        <w:rPr>
          <w:rFonts w:hint="eastAsia" w:ascii="仿宋" w:hAnsi="仿宋" w:eastAsia="仿宋" w:cs="仿宋"/>
          <w:sz w:val="28"/>
          <w:szCs w:val="28"/>
        </w:rPr>
      </w:pPr>
      <w:r>
        <w:rPr>
          <w:rFonts w:hint="eastAsia" w:ascii="仿宋" w:hAnsi="仿宋" w:eastAsia="仿宋" w:cs="仿宋"/>
          <w:color w:val="000000" w:themeColor="text1"/>
          <w:sz w:val="28"/>
          <w:szCs w:val="28"/>
        </w:rPr>
        <w:fldChar w:fldCharType="begin"/>
      </w:r>
      <w:r>
        <w:rPr>
          <w:rFonts w:hint="eastAsia" w:ascii="仿宋" w:hAnsi="仿宋" w:eastAsia="仿宋" w:cs="仿宋"/>
          <w:sz w:val="28"/>
          <w:szCs w:val="28"/>
        </w:rPr>
        <w:instrText xml:space="preserve"> HYPERLINK \l _Toc14362 </w:instrText>
      </w:r>
      <w:r>
        <w:rPr>
          <w:rFonts w:hint="eastAsia" w:ascii="仿宋" w:hAnsi="仿宋" w:eastAsia="仿宋" w:cs="仿宋"/>
          <w:sz w:val="28"/>
          <w:szCs w:val="28"/>
        </w:rPr>
        <w:fldChar w:fldCharType="separate"/>
      </w:r>
      <w:r>
        <w:rPr>
          <w:rFonts w:hint="eastAsia" w:ascii="仿宋" w:hAnsi="仿宋" w:eastAsia="仿宋" w:cs="仿宋"/>
          <w:bCs/>
          <w:kern w:val="96"/>
          <w:sz w:val="28"/>
          <w:szCs w:val="28"/>
        </w:rPr>
        <w:t>十五、</w:t>
      </w:r>
      <w:r>
        <w:rPr>
          <w:rFonts w:hint="eastAsia" w:ascii="仿宋" w:hAnsi="仿宋" w:eastAsia="仿宋" w:cs="仿宋"/>
          <w:bCs/>
          <w:sz w:val="28"/>
          <w:szCs w:val="28"/>
        </w:rPr>
        <w:t>其它需要特别说明的事项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_Toc14362 \h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color w:val="000000" w:themeColor="text1"/>
          <w:sz w:val="28"/>
          <w:szCs w:val="28"/>
        </w:rPr>
        <w:fldChar w:fldCharType="end"/>
      </w:r>
    </w:p>
    <w:p>
      <w:pPr>
        <w:keepNext w:val="0"/>
        <w:keepLines w:val="0"/>
        <w:pageBreakBefore w:val="0"/>
        <w:widowControl/>
        <w:kinsoku/>
        <w:wordWrap/>
        <w:overflowPunct/>
        <w:topLinePunct w:val="0"/>
        <w:autoSpaceDE/>
        <w:autoSpaceDN/>
        <w:bidi w:val="0"/>
        <w:adjustRightInd/>
        <w:snapToGrid/>
        <w:spacing w:line="520" w:lineRule="exact"/>
        <w:textAlignment w:val="baseline"/>
        <w:rPr>
          <w:rStyle w:val="20"/>
          <w:rFonts w:ascii="仿宋" w:hAnsi="仿宋" w:eastAsia="仿宋"/>
          <w:color w:val="000000" w:themeColor="text1"/>
          <w:sz w:val="24"/>
          <w:szCs w:val="24"/>
        </w:rPr>
      </w:pPr>
      <w:r>
        <w:rPr>
          <w:rFonts w:hint="eastAsia" w:ascii="仿宋" w:hAnsi="仿宋" w:eastAsia="仿宋" w:cs="仿宋"/>
          <w:color w:val="000000" w:themeColor="text1"/>
          <w:sz w:val="28"/>
          <w:szCs w:val="28"/>
        </w:rPr>
        <w:fldChar w:fldCharType="end"/>
      </w:r>
      <w:r>
        <w:rPr>
          <w:rStyle w:val="20"/>
          <w:rFonts w:ascii="仿宋" w:hAnsi="仿宋" w:eastAsia="仿宋"/>
          <w:b/>
          <w:color w:val="000000" w:themeColor="text1"/>
          <w:sz w:val="24"/>
          <w:szCs w:val="24"/>
        </w:rPr>
        <w:t>附件资料</w:t>
      </w:r>
      <w:r>
        <w:rPr>
          <w:rStyle w:val="20"/>
          <w:rFonts w:ascii="仿宋" w:hAnsi="仿宋" w:eastAsia="仿宋"/>
          <w:color w:val="000000" w:themeColor="text1"/>
          <w:sz w:val="24"/>
          <w:szCs w:val="24"/>
        </w:rPr>
        <w:tab/>
      </w:r>
    </w:p>
    <w:p>
      <w:pPr>
        <w:pageBreakBefore w:val="0"/>
        <w:widowControl/>
        <w:kinsoku/>
        <w:wordWrap/>
        <w:overflowPunct/>
        <w:topLinePunct w:val="0"/>
        <w:autoSpaceDE/>
        <w:autoSpaceDN/>
        <w:bidi w:val="0"/>
        <w:adjustRightInd/>
        <w:snapToGrid/>
        <w:spacing w:line="400" w:lineRule="exact"/>
        <w:ind w:firstLine="480" w:firstLineChars="200"/>
        <w:textAlignment w:val="baseline"/>
        <w:rPr>
          <w:rStyle w:val="20"/>
          <w:rFonts w:ascii="仿宋" w:hAnsi="仿宋" w:eastAsia="仿宋"/>
          <w:color w:val="000000" w:themeColor="text1"/>
          <w:sz w:val="24"/>
        </w:rPr>
      </w:pPr>
      <w:r>
        <w:rPr>
          <w:rStyle w:val="20"/>
          <w:rFonts w:ascii="仿宋" w:hAnsi="仿宋" w:eastAsia="仿宋"/>
          <w:color w:val="000000" w:themeColor="text1"/>
          <w:sz w:val="24"/>
        </w:rPr>
        <w:t>1、估价对象位置图及现场照片</w:t>
      </w:r>
    </w:p>
    <w:p>
      <w:pPr>
        <w:pageBreakBefore w:val="0"/>
        <w:widowControl/>
        <w:kinsoku/>
        <w:wordWrap/>
        <w:overflowPunct/>
        <w:topLinePunct w:val="0"/>
        <w:autoSpaceDE/>
        <w:autoSpaceDN/>
        <w:bidi w:val="0"/>
        <w:adjustRightInd/>
        <w:snapToGrid/>
        <w:spacing w:line="400" w:lineRule="exact"/>
        <w:ind w:firstLine="480" w:firstLineChars="200"/>
        <w:textAlignment w:val="baseline"/>
        <w:rPr>
          <w:rStyle w:val="20"/>
          <w:rFonts w:ascii="仿宋" w:hAnsi="仿宋" w:eastAsia="仿宋"/>
          <w:color w:val="000000" w:themeColor="text1"/>
          <w:sz w:val="24"/>
        </w:rPr>
      </w:pPr>
      <w:r>
        <w:rPr>
          <w:rStyle w:val="20"/>
          <w:rFonts w:ascii="仿宋" w:hAnsi="仿宋" w:eastAsia="仿宋"/>
          <w:color w:val="000000" w:themeColor="text1"/>
          <w:sz w:val="24"/>
        </w:rPr>
        <w:t>2、</w:t>
      </w:r>
      <w:r>
        <w:rPr>
          <w:rStyle w:val="20"/>
          <w:rFonts w:hint="eastAsia" w:ascii="仿宋" w:hAnsi="仿宋" w:eastAsia="仿宋"/>
          <w:color w:val="000000" w:themeColor="text1"/>
          <w:sz w:val="24"/>
          <w:lang w:eastAsia="zh-CN"/>
        </w:rPr>
        <w:t>《三穗县人民法院司法鉴定委托书》</w:t>
      </w:r>
      <w:r>
        <w:rPr>
          <w:rStyle w:val="20"/>
          <w:rFonts w:ascii="仿宋" w:hAnsi="仿宋" w:eastAsia="仿宋"/>
          <w:color w:val="000000" w:themeColor="text1"/>
          <w:sz w:val="24"/>
        </w:rPr>
        <w:t>【（</w:t>
      </w:r>
      <w:r>
        <w:rPr>
          <w:rStyle w:val="20"/>
          <w:rFonts w:hint="eastAsia" w:ascii="仿宋" w:hAnsi="仿宋" w:eastAsia="仿宋"/>
          <w:color w:val="000000" w:themeColor="text1"/>
          <w:sz w:val="24"/>
          <w:lang w:eastAsia="zh-CN"/>
        </w:rPr>
        <w:t>2022</w:t>
      </w:r>
      <w:r>
        <w:rPr>
          <w:rStyle w:val="20"/>
          <w:rFonts w:ascii="仿宋" w:hAnsi="仿宋" w:eastAsia="仿宋"/>
          <w:color w:val="000000" w:themeColor="text1"/>
          <w:sz w:val="24"/>
        </w:rPr>
        <w:t>）黔</w:t>
      </w:r>
      <w:r>
        <w:rPr>
          <w:rStyle w:val="20"/>
          <w:rFonts w:hint="eastAsia" w:ascii="仿宋" w:hAnsi="仿宋" w:eastAsia="仿宋"/>
          <w:color w:val="000000" w:themeColor="text1"/>
          <w:sz w:val="24"/>
          <w:lang w:val="en-US" w:eastAsia="zh-CN"/>
        </w:rPr>
        <w:t>2624法评38号</w:t>
      </w:r>
      <w:r>
        <w:rPr>
          <w:rStyle w:val="20"/>
          <w:rFonts w:ascii="仿宋" w:hAnsi="仿宋" w:eastAsia="仿宋"/>
          <w:color w:val="000000" w:themeColor="text1"/>
          <w:sz w:val="24"/>
        </w:rPr>
        <w:t>】复印件</w:t>
      </w:r>
    </w:p>
    <w:p>
      <w:pPr>
        <w:pageBreakBefore w:val="0"/>
        <w:widowControl/>
        <w:kinsoku/>
        <w:wordWrap/>
        <w:overflowPunct/>
        <w:topLinePunct w:val="0"/>
        <w:autoSpaceDE/>
        <w:autoSpaceDN/>
        <w:bidi w:val="0"/>
        <w:adjustRightInd/>
        <w:snapToGrid/>
        <w:spacing w:line="400" w:lineRule="exact"/>
        <w:ind w:firstLine="480" w:firstLineChars="200"/>
        <w:textAlignment w:val="baseline"/>
        <w:rPr>
          <w:rStyle w:val="20"/>
          <w:rFonts w:ascii="仿宋" w:hAnsi="仿宋" w:eastAsia="仿宋"/>
          <w:color w:val="000000" w:themeColor="text1"/>
          <w:sz w:val="24"/>
        </w:rPr>
      </w:pPr>
      <w:r>
        <w:rPr>
          <w:rStyle w:val="20"/>
          <w:rFonts w:ascii="仿宋" w:hAnsi="仿宋" w:eastAsia="仿宋"/>
          <w:color w:val="000000" w:themeColor="text1"/>
          <w:sz w:val="24"/>
        </w:rPr>
        <w:t>3、《</w:t>
      </w:r>
      <w:r>
        <w:rPr>
          <w:rStyle w:val="20"/>
          <w:rFonts w:hint="eastAsia" w:ascii="仿宋" w:hAnsi="仿宋" w:eastAsia="仿宋"/>
          <w:color w:val="auto"/>
          <w:sz w:val="24"/>
          <w:szCs w:val="24"/>
          <w:lang w:eastAsia="zh-CN"/>
        </w:rPr>
        <w:t>贵州省不动产登记查询结果</w:t>
      </w:r>
      <w:r>
        <w:rPr>
          <w:rStyle w:val="20"/>
          <w:rFonts w:ascii="仿宋" w:hAnsi="仿宋" w:eastAsia="仿宋"/>
          <w:color w:val="000000" w:themeColor="text1"/>
          <w:sz w:val="24"/>
        </w:rPr>
        <w:t>》复印件</w:t>
      </w:r>
    </w:p>
    <w:p>
      <w:pPr>
        <w:pageBreakBefore w:val="0"/>
        <w:widowControl/>
        <w:kinsoku/>
        <w:wordWrap/>
        <w:overflowPunct/>
        <w:topLinePunct w:val="0"/>
        <w:autoSpaceDE/>
        <w:autoSpaceDN/>
        <w:bidi w:val="0"/>
        <w:adjustRightInd/>
        <w:snapToGrid/>
        <w:spacing w:line="400" w:lineRule="exact"/>
        <w:ind w:firstLine="480" w:firstLineChars="200"/>
        <w:textAlignment w:val="baseline"/>
        <w:rPr>
          <w:rStyle w:val="20"/>
          <w:rFonts w:ascii="仿宋" w:hAnsi="仿宋" w:eastAsia="仿宋"/>
          <w:color w:val="000000" w:themeColor="text1"/>
          <w:sz w:val="24"/>
        </w:rPr>
      </w:pPr>
      <w:r>
        <w:rPr>
          <w:rStyle w:val="20"/>
          <w:rFonts w:hint="eastAsia" w:ascii="仿宋" w:hAnsi="仿宋" w:eastAsia="仿宋"/>
          <w:color w:val="000000" w:themeColor="text1"/>
          <w:sz w:val="24"/>
        </w:rPr>
        <w:t>4</w:t>
      </w:r>
      <w:r>
        <w:rPr>
          <w:rStyle w:val="20"/>
          <w:rFonts w:ascii="仿宋" w:hAnsi="仿宋" w:eastAsia="仿宋"/>
          <w:color w:val="000000" w:themeColor="text1"/>
          <w:sz w:val="24"/>
        </w:rPr>
        <w:t>、《司法鉴定承诺书》</w:t>
      </w:r>
    </w:p>
    <w:p>
      <w:pPr>
        <w:pageBreakBefore w:val="0"/>
        <w:widowControl/>
        <w:tabs>
          <w:tab w:val="left" w:pos="4527"/>
        </w:tabs>
        <w:kinsoku/>
        <w:wordWrap/>
        <w:overflowPunct/>
        <w:topLinePunct w:val="0"/>
        <w:autoSpaceDE/>
        <w:autoSpaceDN/>
        <w:bidi w:val="0"/>
        <w:adjustRightInd/>
        <w:snapToGrid/>
        <w:spacing w:line="400" w:lineRule="exact"/>
        <w:ind w:firstLine="480" w:firstLineChars="200"/>
        <w:textAlignment w:val="baseline"/>
        <w:rPr>
          <w:rStyle w:val="20"/>
          <w:rFonts w:hint="eastAsia" w:ascii="仿宋" w:hAnsi="仿宋" w:eastAsia="仿宋"/>
          <w:color w:val="000000" w:themeColor="text1"/>
          <w:sz w:val="24"/>
          <w:lang w:eastAsia="zh-CN"/>
        </w:rPr>
      </w:pPr>
      <w:r>
        <w:rPr>
          <w:rStyle w:val="20"/>
          <w:rFonts w:hint="eastAsia" w:ascii="仿宋" w:hAnsi="仿宋" w:eastAsia="仿宋"/>
          <w:color w:val="000000" w:themeColor="text1"/>
          <w:sz w:val="24"/>
        </w:rPr>
        <w:t>5</w:t>
      </w:r>
      <w:r>
        <w:rPr>
          <w:rStyle w:val="20"/>
          <w:rFonts w:ascii="仿宋" w:hAnsi="仿宋" w:eastAsia="仿宋"/>
          <w:color w:val="000000" w:themeColor="text1"/>
          <w:sz w:val="24"/>
        </w:rPr>
        <w:t>、估价人员资格证复印件</w:t>
      </w:r>
      <w:r>
        <w:rPr>
          <w:rStyle w:val="20"/>
          <w:rFonts w:hint="eastAsia" w:ascii="仿宋" w:hAnsi="仿宋" w:eastAsia="仿宋"/>
          <w:color w:val="000000" w:themeColor="text1"/>
          <w:sz w:val="24"/>
          <w:lang w:eastAsia="zh-CN"/>
        </w:rPr>
        <w:tab/>
      </w:r>
    </w:p>
    <w:p>
      <w:pPr>
        <w:pageBreakBefore w:val="0"/>
        <w:widowControl/>
        <w:tabs>
          <w:tab w:val="left" w:pos="6537"/>
        </w:tabs>
        <w:kinsoku/>
        <w:wordWrap/>
        <w:overflowPunct/>
        <w:topLinePunct w:val="0"/>
        <w:autoSpaceDE/>
        <w:autoSpaceDN/>
        <w:bidi w:val="0"/>
        <w:adjustRightInd/>
        <w:snapToGrid/>
        <w:spacing w:line="400" w:lineRule="exact"/>
        <w:ind w:firstLine="480" w:firstLineChars="200"/>
        <w:textAlignment w:val="baseline"/>
        <w:rPr>
          <w:rStyle w:val="20"/>
          <w:rFonts w:hint="eastAsia" w:ascii="仿宋" w:hAnsi="仿宋" w:eastAsia="仿宋"/>
          <w:color w:val="000000" w:themeColor="text1"/>
          <w:sz w:val="24"/>
          <w:lang w:eastAsia="zh-CN"/>
        </w:rPr>
      </w:pPr>
      <w:r>
        <w:rPr>
          <w:rStyle w:val="20"/>
          <w:rFonts w:hint="eastAsia" w:ascii="仿宋" w:hAnsi="仿宋" w:eastAsia="仿宋"/>
          <w:color w:val="000000" w:themeColor="text1"/>
          <w:sz w:val="24"/>
        </w:rPr>
        <w:t>6</w:t>
      </w:r>
      <w:r>
        <w:rPr>
          <w:rStyle w:val="20"/>
          <w:rFonts w:ascii="仿宋" w:hAnsi="仿宋" w:eastAsia="仿宋"/>
          <w:color w:val="000000" w:themeColor="text1"/>
          <w:sz w:val="24"/>
        </w:rPr>
        <w:t>、估价机构备案证书复印件</w:t>
      </w:r>
      <w:r>
        <w:rPr>
          <w:rStyle w:val="20"/>
          <w:rFonts w:hint="eastAsia" w:ascii="仿宋" w:hAnsi="仿宋" w:eastAsia="仿宋"/>
          <w:color w:val="000000" w:themeColor="text1"/>
          <w:sz w:val="24"/>
          <w:lang w:eastAsia="zh-CN"/>
        </w:rPr>
        <w:tab/>
      </w:r>
    </w:p>
    <w:p>
      <w:pPr>
        <w:pageBreakBefore w:val="0"/>
        <w:widowControl/>
        <w:kinsoku/>
        <w:wordWrap/>
        <w:overflowPunct/>
        <w:topLinePunct w:val="0"/>
        <w:autoSpaceDE/>
        <w:autoSpaceDN/>
        <w:bidi w:val="0"/>
        <w:adjustRightInd/>
        <w:snapToGrid/>
        <w:spacing w:line="400" w:lineRule="exact"/>
        <w:ind w:firstLine="480" w:firstLineChars="200"/>
        <w:textAlignment w:val="baseline"/>
        <w:rPr>
          <w:rStyle w:val="20"/>
          <w:rFonts w:ascii="仿宋" w:hAnsi="仿宋" w:eastAsia="仿宋"/>
          <w:color w:val="000000" w:themeColor="text1"/>
          <w:sz w:val="24"/>
        </w:rPr>
      </w:pPr>
      <w:r>
        <w:rPr>
          <w:rStyle w:val="20"/>
          <w:rFonts w:hint="eastAsia" w:ascii="仿宋" w:hAnsi="仿宋" w:eastAsia="仿宋"/>
          <w:color w:val="000000" w:themeColor="text1"/>
          <w:sz w:val="24"/>
        </w:rPr>
        <w:t>7</w:t>
      </w:r>
      <w:r>
        <w:rPr>
          <w:rStyle w:val="20"/>
          <w:rFonts w:ascii="仿宋" w:hAnsi="仿宋" w:eastAsia="仿宋"/>
          <w:color w:val="000000" w:themeColor="text1"/>
          <w:sz w:val="24"/>
        </w:rPr>
        <w:t>、估价机构营业执照复印件</w:t>
      </w:r>
    </w:p>
    <w:p>
      <w:pPr>
        <w:pStyle w:val="22"/>
        <w:pageBreakBefore w:val="0"/>
        <w:widowControl/>
        <w:kinsoku/>
        <w:wordWrap/>
        <w:overflowPunct/>
        <w:topLinePunct w:val="0"/>
        <w:autoSpaceDE/>
        <w:autoSpaceDN/>
        <w:bidi w:val="0"/>
        <w:adjustRightInd/>
        <w:snapToGrid/>
        <w:spacing w:line="400" w:lineRule="exact"/>
        <w:textAlignment w:val="baseline"/>
        <w:rPr>
          <w:rStyle w:val="20"/>
          <w:rFonts w:ascii="仿宋" w:hAnsi="仿宋" w:eastAsia="仿宋" w:cs="仿宋"/>
          <w:color w:val="000000" w:themeColor="text1"/>
        </w:rPr>
        <w:sectPr>
          <w:headerReference r:id="rId5" w:type="first"/>
          <w:headerReference r:id="rId3" w:type="default"/>
          <w:footerReference r:id="rId6" w:type="default"/>
          <w:headerReference r:id="rId4" w:type="even"/>
          <w:footerReference r:id="rId7" w:type="even"/>
          <w:pgSz w:w="11906" w:h="16838"/>
          <w:pgMar w:top="1440" w:right="1134" w:bottom="1440" w:left="1134" w:header="851" w:footer="992" w:gutter="0"/>
          <w:cols w:space="425" w:num="1"/>
          <w:titlePg/>
          <w:docGrid w:type="lines" w:linePitch="312" w:charSpace="0"/>
        </w:sectPr>
      </w:pPr>
    </w:p>
    <w:p>
      <w:pPr>
        <w:pStyle w:val="22"/>
        <w:spacing w:line="400" w:lineRule="exact"/>
        <w:jc w:val="center"/>
        <w:outlineLvl w:val="0"/>
        <w:rPr>
          <w:rStyle w:val="20"/>
          <w:rFonts w:ascii="仿宋" w:hAnsi="仿宋" w:eastAsia="仿宋" w:cs="仿宋"/>
          <w:color w:val="000000" w:themeColor="text1"/>
        </w:rPr>
      </w:pPr>
      <w:bookmarkStart w:id="0" w:name="_Toc30993"/>
      <w:r>
        <w:rPr>
          <w:rStyle w:val="20"/>
          <w:rFonts w:ascii="仿宋" w:hAnsi="仿宋" w:eastAsia="仿宋" w:cs="仿宋"/>
          <w:color w:val="000000" w:themeColor="text1"/>
        </w:rPr>
        <w:t>估价师声明</w:t>
      </w:r>
      <w:bookmarkEnd w:id="0"/>
    </w:p>
    <w:p>
      <w:pPr>
        <w:spacing w:line="440" w:lineRule="exact"/>
        <w:rPr>
          <w:rStyle w:val="20"/>
          <w:rFonts w:ascii="仿宋" w:hAnsi="仿宋" w:eastAsia="仿宋" w:cs="仿宋"/>
          <w:bCs/>
          <w:color w:val="000000" w:themeColor="text1"/>
        </w:rPr>
      </w:pPr>
      <w:r>
        <w:rPr>
          <w:rStyle w:val="20"/>
          <w:rFonts w:ascii="仿宋" w:hAnsi="仿宋" w:eastAsia="仿宋" w:cs="仿宋"/>
          <w:bCs/>
          <w:color w:val="000000" w:themeColor="text1"/>
        </w:rPr>
        <w:t>我们郑重声明：</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1、我们在本估价报告中陈述的事实是真实和准确的。</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2、本估价报告中的分析、意见和结果是我们自己公正的专业分析、意见和结果，但受到本估价报告中已说明的假设和限制条件的限制。</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3、我们与本估价报告中的估价对象及相关当事人没有利害关系或偏见。</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4、我们依据中华人民共和国国家标准《房地产估价规范》（GB/T50291-2015）</w:t>
      </w:r>
      <w:r>
        <w:rPr>
          <w:rStyle w:val="20"/>
          <w:rFonts w:ascii="仿宋" w:hAnsi="仿宋" w:eastAsia="仿宋"/>
          <w:color w:val="000000" w:themeColor="text1"/>
          <w:kern w:val="96"/>
          <w:szCs w:val="28"/>
        </w:rPr>
        <w:t>、</w:t>
      </w:r>
      <w:r>
        <w:rPr>
          <w:rStyle w:val="20"/>
          <w:rFonts w:ascii="仿宋" w:hAnsi="仿宋" w:eastAsia="仿宋" w:cs="仿宋"/>
          <w:bCs/>
          <w:color w:val="000000" w:themeColor="text1"/>
        </w:rPr>
        <w:t>《房地产估价基本术语标准》(GB/T50899-2013)进行估价工作，撰写本估价报告。</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5、我公司注册房地产估价师</w:t>
      </w:r>
      <w:r>
        <w:rPr>
          <w:rStyle w:val="20"/>
          <w:rFonts w:hint="eastAsia" w:ascii="仿宋" w:hAnsi="仿宋" w:eastAsia="仿宋" w:cs="仿宋"/>
          <w:bCs/>
          <w:color w:val="000000" w:themeColor="text1"/>
          <w:lang w:val="en-US" w:eastAsia="zh-CN"/>
        </w:rPr>
        <w:t>段</w:t>
      </w:r>
      <w:r>
        <w:rPr>
          <w:rStyle w:val="20"/>
          <w:rFonts w:hint="eastAsia" w:ascii="仿宋" w:hAnsi="仿宋" w:eastAsia="仿宋" w:cs="仿宋"/>
          <w:bCs/>
          <w:color w:val="000000" w:themeColor="text1"/>
        </w:rPr>
        <w:t>春兰</w:t>
      </w:r>
      <w:r>
        <w:rPr>
          <w:rStyle w:val="20"/>
          <w:rFonts w:ascii="仿宋" w:hAnsi="仿宋" w:eastAsia="仿宋" w:cs="仿宋"/>
          <w:bCs/>
          <w:color w:val="000000" w:themeColor="text1"/>
        </w:rPr>
        <w:t>、</w:t>
      </w:r>
      <w:r>
        <w:rPr>
          <w:rStyle w:val="20"/>
          <w:rFonts w:hint="eastAsia" w:ascii="仿宋" w:hAnsi="仿宋" w:eastAsia="仿宋" w:cs="仿宋"/>
          <w:bCs/>
          <w:color w:val="000000" w:themeColor="text1"/>
        </w:rPr>
        <w:t>张小英</w:t>
      </w:r>
      <w:r>
        <w:rPr>
          <w:rStyle w:val="20"/>
          <w:rFonts w:ascii="仿宋" w:hAnsi="仿宋" w:eastAsia="仿宋" w:cs="仿宋"/>
          <w:bCs/>
          <w:color w:val="000000" w:themeColor="text1"/>
        </w:rPr>
        <w:t>，评估助理</w:t>
      </w:r>
      <w:r>
        <w:rPr>
          <w:rStyle w:val="20"/>
          <w:rFonts w:hint="eastAsia" w:ascii="仿宋" w:hAnsi="仿宋" w:eastAsia="仿宋" w:cs="仿宋"/>
          <w:bCs/>
          <w:color w:val="000000" w:themeColor="text1"/>
          <w:lang w:val="en-US" w:eastAsia="zh-CN"/>
        </w:rPr>
        <w:t>湛小霞</w:t>
      </w:r>
      <w:r>
        <w:rPr>
          <w:rStyle w:val="20"/>
          <w:rFonts w:ascii="仿宋" w:hAnsi="仿宋" w:eastAsia="仿宋" w:cs="仿宋"/>
          <w:bCs/>
          <w:color w:val="000000" w:themeColor="text1"/>
        </w:rPr>
        <w:t>已于</w:t>
      </w:r>
      <w:r>
        <w:rPr>
          <w:rStyle w:val="20"/>
          <w:rFonts w:hint="eastAsia" w:ascii="仿宋" w:hAnsi="仿宋" w:eastAsia="仿宋" w:cs="仿宋"/>
          <w:bCs/>
          <w:color w:val="000000" w:themeColor="text1"/>
          <w:lang w:eastAsia="zh-CN"/>
        </w:rPr>
        <w:t>2022</w:t>
      </w:r>
      <w:r>
        <w:rPr>
          <w:rStyle w:val="20"/>
          <w:rFonts w:ascii="仿宋" w:hAnsi="仿宋" w:eastAsia="仿宋" w:cs="仿宋"/>
          <w:bCs/>
          <w:color w:val="000000" w:themeColor="text1"/>
        </w:rPr>
        <w:t>年0</w:t>
      </w:r>
      <w:r>
        <w:rPr>
          <w:rStyle w:val="20"/>
          <w:rFonts w:hint="eastAsia" w:ascii="仿宋" w:hAnsi="仿宋" w:eastAsia="仿宋" w:cs="仿宋"/>
          <w:bCs/>
          <w:color w:val="000000" w:themeColor="text1"/>
          <w:lang w:val="en-US" w:eastAsia="zh-CN"/>
        </w:rPr>
        <w:t>8</w:t>
      </w:r>
      <w:r>
        <w:rPr>
          <w:rStyle w:val="20"/>
          <w:rFonts w:ascii="仿宋" w:hAnsi="仿宋" w:eastAsia="仿宋" w:cs="仿宋"/>
          <w:bCs/>
          <w:color w:val="000000" w:themeColor="text1"/>
        </w:rPr>
        <w:t>月</w:t>
      </w:r>
      <w:r>
        <w:rPr>
          <w:rStyle w:val="20"/>
          <w:rFonts w:hint="eastAsia" w:ascii="仿宋" w:hAnsi="仿宋" w:eastAsia="仿宋" w:cs="仿宋"/>
          <w:bCs/>
          <w:color w:val="000000" w:themeColor="text1"/>
          <w:lang w:val="en-US" w:eastAsia="zh-CN"/>
        </w:rPr>
        <w:t>19</w:t>
      </w:r>
      <w:r>
        <w:rPr>
          <w:rStyle w:val="20"/>
          <w:rFonts w:ascii="仿宋" w:hAnsi="仿宋" w:eastAsia="仿宋" w:cs="仿宋"/>
          <w:bCs/>
          <w:color w:val="000000" w:themeColor="text1"/>
        </w:rPr>
        <w:t>日对估价对象</w:t>
      </w:r>
      <w:r>
        <w:rPr>
          <w:rStyle w:val="20"/>
          <w:rFonts w:hint="eastAsia" w:ascii="仿宋" w:hAnsi="仿宋" w:eastAsia="仿宋" w:cs="仿宋"/>
          <w:bCs/>
          <w:color w:val="000000" w:themeColor="text1"/>
          <w:lang w:eastAsia="zh-CN"/>
        </w:rPr>
        <w:t>周边</w:t>
      </w:r>
      <w:r>
        <w:rPr>
          <w:rStyle w:val="20"/>
          <w:rFonts w:ascii="仿宋" w:hAnsi="仿宋" w:eastAsia="仿宋" w:cs="仿宋"/>
          <w:bCs/>
          <w:color w:val="000000" w:themeColor="text1"/>
        </w:rPr>
        <w:t>进行了实地查勘，我们对勘察的客观性、真实性、公正性承担责任，但我们对估价对象的勘察仅限于其外观和使用状况，对被遮盖、未暴露及难于接触到的部分，依据估价委托人提供的资料进行估价。除非另有协议，我们不承担对估价对象建筑质量进行调查的责任。</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6、本估价报告所依据的有关资料，由估价委托人和当事人提供，估价委托人和当事人应当对资料的真实性、合法性、完整性负责。如估价委托人和当事人以隐瞒、欺骗等不正当手段或者提供的资料不真实、不合法、不完整，致使估价人员在报告书中选用了错误的数据导致估价结果失实，相应责任全部由估价委托人和当事人承担，估价机构和注册房地产估价师不承担相应的责任。</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7、本估价报告由我公司估价人员独立完成，没有其它机构或人士对本报告提供有重要的专业帮助。</w:t>
      </w:r>
    </w:p>
    <w:p>
      <w:pPr>
        <w:spacing w:line="440" w:lineRule="exact"/>
        <w:ind w:firstLine="560" w:firstLineChars="200"/>
        <w:rPr>
          <w:rStyle w:val="20"/>
          <w:rFonts w:ascii="仿宋" w:hAnsi="仿宋" w:eastAsia="仿宋" w:cs="仿宋"/>
          <w:bCs/>
          <w:color w:val="000000" w:themeColor="text1"/>
        </w:rPr>
      </w:pPr>
      <w:r>
        <w:rPr>
          <w:rStyle w:val="20"/>
          <w:rFonts w:ascii="仿宋" w:hAnsi="仿宋" w:eastAsia="仿宋" w:cs="仿宋"/>
          <w:bCs/>
          <w:color w:val="000000" w:themeColor="text1"/>
        </w:rPr>
        <w:t>8、本报告估价结果仅作为估价委托人在本次的估价目的下使用，不得作其他用途。未经本估价机构书面同意，本估价报告不得向委托人、当事人和估价审查部门以外的任何单位和个人提供，亦不得以任何形式公开发表。</w:t>
      </w:r>
    </w:p>
    <w:p>
      <w:pPr>
        <w:spacing w:line="440" w:lineRule="exact"/>
        <w:ind w:firstLine="560" w:firstLineChars="200"/>
        <w:rPr>
          <w:rStyle w:val="20"/>
          <w:rFonts w:ascii="仿宋" w:hAnsi="仿宋" w:eastAsia="仿宋"/>
          <w:color w:val="000000" w:themeColor="text1"/>
        </w:rPr>
      </w:pPr>
      <w:r>
        <w:rPr>
          <w:rStyle w:val="20"/>
          <w:rFonts w:ascii="仿宋" w:hAnsi="仿宋" w:eastAsia="仿宋"/>
          <w:color w:val="000000" w:themeColor="text1"/>
        </w:rPr>
        <w:t>中国注册房地产估价师（注册号：</w:t>
      </w:r>
      <w:r>
        <w:rPr>
          <w:rStyle w:val="20"/>
          <w:rFonts w:hint="eastAsia" w:ascii="仿宋" w:hAnsi="仿宋" w:eastAsia="仿宋"/>
          <w:color w:val="000000" w:themeColor="text1"/>
          <w:lang w:eastAsia="zh-CN"/>
        </w:rPr>
        <w:t>5220190048</w:t>
      </w:r>
      <w:r>
        <w:rPr>
          <w:rStyle w:val="20"/>
          <w:rFonts w:ascii="仿宋" w:hAnsi="仿宋" w:eastAsia="仿宋"/>
          <w:color w:val="000000" w:themeColor="text1"/>
        </w:rPr>
        <w:t>）：</w:t>
      </w:r>
      <w:r>
        <w:rPr>
          <w:rStyle w:val="20"/>
          <w:rFonts w:hint="eastAsia" w:ascii="仿宋" w:hAnsi="仿宋" w:eastAsia="仿宋"/>
          <w:color w:val="000000" w:themeColor="text1"/>
          <w:lang w:val="en-US" w:eastAsia="zh-CN"/>
        </w:rPr>
        <w:t>段</w:t>
      </w:r>
      <w:r>
        <w:rPr>
          <w:rStyle w:val="20"/>
          <w:rFonts w:ascii="仿宋" w:hAnsi="仿宋" w:eastAsia="仿宋"/>
          <w:color w:val="000000" w:themeColor="text1"/>
        </w:rPr>
        <w:t>春兰  签字：</w:t>
      </w:r>
    </w:p>
    <w:p>
      <w:pPr>
        <w:spacing w:line="440" w:lineRule="exact"/>
        <w:ind w:firstLine="560" w:firstLineChars="200"/>
        <w:rPr>
          <w:rStyle w:val="20"/>
          <w:rFonts w:ascii="仿宋" w:hAnsi="仿宋" w:eastAsia="仿宋"/>
          <w:color w:val="000000" w:themeColor="text1"/>
        </w:rPr>
      </w:pPr>
    </w:p>
    <w:p>
      <w:pPr>
        <w:spacing w:line="440" w:lineRule="exact"/>
        <w:ind w:firstLine="560" w:firstLineChars="200"/>
        <w:rPr>
          <w:rStyle w:val="20"/>
          <w:rFonts w:ascii="仿宋" w:hAnsi="仿宋" w:eastAsia="仿宋"/>
          <w:color w:val="000000" w:themeColor="text1"/>
        </w:rPr>
      </w:pPr>
      <w:r>
        <w:rPr>
          <w:rStyle w:val="20"/>
          <w:rFonts w:ascii="仿宋" w:hAnsi="仿宋" w:eastAsia="仿宋"/>
          <w:color w:val="000000" w:themeColor="text1"/>
        </w:rPr>
        <w:t>中国注册房地产估价师（注册号：5220120019）：</w:t>
      </w:r>
      <w:r>
        <w:rPr>
          <w:rStyle w:val="20"/>
          <w:rFonts w:hint="eastAsia" w:ascii="仿宋" w:hAnsi="仿宋" w:eastAsia="仿宋"/>
          <w:color w:val="000000" w:themeColor="text1"/>
        </w:rPr>
        <w:t>张小英</w:t>
      </w:r>
      <w:r>
        <w:rPr>
          <w:rStyle w:val="20"/>
          <w:rFonts w:ascii="仿宋" w:hAnsi="仿宋" w:eastAsia="仿宋"/>
          <w:color w:val="000000" w:themeColor="text1"/>
        </w:rPr>
        <w:t xml:space="preserve">  签字：</w:t>
      </w:r>
    </w:p>
    <w:p>
      <w:pPr>
        <w:spacing w:line="440" w:lineRule="exact"/>
        <w:ind w:firstLine="560" w:firstLineChars="200"/>
        <w:rPr>
          <w:rStyle w:val="20"/>
          <w:rFonts w:ascii="仿宋" w:hAnsi="仿宋" w:eastAsia="仿宋"/>
          <w:color w:val="000000" w:themeColor="text1"/>
        </w:rPr>
      </w:pPr>
    </w:p>
    <w:p>
      <w:pPr>
        <w:spacing w:line="440" w:lineRule="exact"/>
        <w:ind w:firstLine="560" w:firstLineChars="200"/>
        <w:rPr>
          <w:rStyle w:val="20"/>
          <w:rFonts w:ascii="仿宋" w:hAnsi="仿宋" w:eastAsia="仿宋"/>
          <w:color w:val="000000" w:themeColor="text1"/>
        </w:rPr>
      </w:pPr>
      <w:r>
        <w:rPr>
          <w:rStyle w:val="20"/>
          <w:rFonts w:ascii="仿宋" w:hAnsi="仿宋" w:eastAsia="仿宋"/>
          <w:color w:val="000000" w:themeColor="text1"/>
        </w:rPr>
        <w:t xml:space="preserve">评估助理：                                </w:t>
      </w:r>
      <w:r>
        <w:rPr>
          <w:rStyle w:val="20"/>
          <w:rFonts w:hint="eastAsia" w:ascii="仿宋" w:hAnsi="仿宋" w:eastAsia="仿宋"/>
          <w:color w:val="000000" w:themeColor="text1"/>
        </w:rPr>
        <w:t xml:space="preserve"> </w:t>
      </w:r>
      <w:r>
        <w:rPr>
          <w:rStyle w:val="20"/>
          <w:rFonts w:ascii="仿宋" w:hAnsi="仿宋" w:eastAsia="仿宋"/>
          <w:color w:val="000000" w:themeColor="text1"/>
        </w:rPr>
        <w:t xml:space="preserve"> </w:t>
      </w:r>
      <w:r>
        <w:rPr>
          <w:rStyle w:val="20"/>
          <w:rFonts w:hint="eastAsia" w:ascii="仿宋" w:hAnsi="仿宋" w:eastAsia="仿宋"/>
          <w:color w:val="000000" w:themeColor="text1"/>
          <w:lang w:val="en-US" w:eastAsia="zh-CN"/>
        </w:rPr>
        <w:t>湛小霞</w:t>
      </w:r>
      <w:r>
        <w:rPr>
          <w:rStyle w:val="20"/>
          <w:rFonts w:ascii="仿宋" w:hAnsi="仿宋" w:eastAsia="仿宋" w:cs="仿宋"/>
          <w:bCs/>
          <w:color w:val="000000" w:themeColor="text1"/>
        </w:rPr>
        <w:t xml:space="preserve">  </w:t>
      </w:r>
      <w:r>
        <w:rPr>
          <w:rStyle w:val="20"/>
          <w:rFonts w:ascii="仿宋" w:hAnsi="仿宋" w:eastAsia="仿宋"/>
          <w:color w:val="000000" w:themeColor="text1"/>
        </w:rPr>
        <w:t>签字：</w:t>
      </w:r>
    </w:p>
    <w:p>
      <w:pPr>
        <w:pStyle w:val="22"/>
        <w:jc w:val="center"/>
        <w:outlineLvl w:val="0"/>
        <w:rPr>
          <w:rStyle w:val="20"/>
          <w:rFonts w:ascii="仿宋" w:hAnsi="仿宋" w:eastAsia="仿宋" w:cs="仿宋"/>
          <w:color w:val="000000" w:themeColor="text1"/>
        </w:rPr>
      </w:pPr>
      <w:bookmarkStart w:id="1" w:name="_Toc32649"/>
      <w:r>
        <w:rPr>
          <w:rStyle w:val="20"/>
          <w:rFonts w:ascii="仿宋" w:hAnsi="仿宋" w:eastAsia="仿宋" w:cs="仿宋"/>
          <w:color w:val="000000" w:themeColor="text1"/>
        </w:rPr>
        <w:t>估价的假设和限制条件</w:t>
      </w:r>
      <w:bookmarkEnd w:id="1"/>
    </w:p>
    <w:p>
      <w:pPr>
        <w:spacing w:line="540" w:lineRule="exact"/>
        <w:ind w:firstLine="540" w:firstLineChars="192"/>
        <w:rPr>
          <w:rStyle w:val="20"/>
          <w:rFonts w:ascii="仿宋" w:hAnsi="仿宋" w:eastAsia="仿宋" w:cs="仿宋"/>
          <w:b/>
          <w:bCs/>
          <w:color w:val="000000" w:themeColor="text1"/>
        </w:rPr>
      </w:pPr>
      <w:r>
        <w:rPr>
          <w:rStyle w:val="20"/>
          <w:rFonts w:ascii="仿宋" w:hAnsi="仿宋" w:eastAsia="仿宋" w:cs="仿宋"/>
          <w:b/>
          <w:bCs/>
          <w:color w:val="000000" w:themeColor="text1"/>
        </w:rPr>
        <w:t>一、本次估价的各项假设</w:t>
      </w:r>
    </w:p>
    <w:p>
      <w:pPr>
        <w:keepNext w:val="0"/>
        <w:keepLines w:val="0"/>
        <w:pageBreakBefore w:val="0"/>
        <w:widowControl/>
        <w:tabs>
          <w:tab w:val="left" w:pos="6127"/>
        </w:tabs>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（一）一般假设</w:t>
      </w:r>
      <w:r>
        <w:rPr>
          <w:rStyle w:val="20"/>
          <w:rFonts w:ascii="仿宋" w:hAnsi="仿宋" w:eastAsia="仿宋"/>
          <w:color w:val="000000" w:themeColor="text1"/>
        </w:rPr>
        <w:tab/>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1、本次估价假定国家宏观经济政策和所在地区的社会经济环境无重大变化；行业政策、管理制度及相关规定无重大变化；经营业务涉及的税收政策、信贷利率等无重大变化。</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2、本次评估估价对象的权属</w:t>
      </w:r>
      <w:r>
        <w:rPr>
          <w:rStyle w:val="20"/>
          <w:rFonts w:hint="eastAsia" w:ascii="仿宋" w:hAnsi="仿宋" w:eastAsia="仿宋"/>
          <w:color w:val="000000" w:themeColor="text1"/>
        </w:rPr>
        <w:t>等相关</w:t>
      </w:r>
      <w:r>
        <w:rPr>
          <w:rStyle w:val="20"/>
          <w:rFonts w:ascii="仿宋" w:hAnsi="仿宋" w:eastAsia="仿宋"/>
          <w:color w:val="000000" w:themeColor="text1"/>
        </w:rPr>
        <w:t>信息以估价委托人提供的</w:t>
      </w:r>
      <w:r>
        <w:rPr>
          <w:rStyle w:val="20"/>
          <w:rFonts w:hint="eastAsia" w:ascii="仿宋" w:hAnsi="仿宋" w:eastAsia="仿宋"/>
          <w:color w:val="000000" w:themeColor="text1"/>
          <w:lang w:eastAsia="zh-CN"/>
        </w:rPr>
        <w:t>《三穗县人民法院司法鉴定委托书》</w:t>
      </w:r>
      <w:r>
        <w:rPr>
          <w:rStyle w:val="20"/>
          <w:rFonts w:ascii="仿宋" w:hAnsi="仿宋" w:eastAsia="仿宋"/>
          <w:color w:val="000000" w:themeColor="text1"/>
        </w:rPr>
        <w:t>《</w:t>
      </w:r>
      <w:r>
        <w:rPr>
          <w:rStyle w:val="20"/>
          <w:rFonts w:hint="eastAsia" w:ascii="仿宋" w:hAnsi="仿宋" w:eastAsia="仿宋"/>
          <w:color w:val="auto"/>
          <w:szCs w:val="28"/>
          <w:lang w:eastAsia="zh-CN"/>
        </w:rPr>
        <w:t>贵州省不动产登记查询结果</w:t>
      </w:r>
      <w:r>
        <w:rPr>
          <w:rStyle w:val="20"/>
          <w:rFonts w:ascii="仿宋" w:hAnsi="仿宋" w:eastAsia="仿宋"/>
          <w:color w:val="000000" w:themeColor="text1"/>
        </w:rPr>
        <w:t>》复</w:t>
      </w:r>
      <w:r>
        <w:rPr>
          <w:rStyle w:val="20"/>
          <w:rFonts w:ascii="仿宋" w:hAnsi="仿宋" w:eastAsia="仿宋"/>
          <w:color w:val="000000" w:themeColor="text1"/>
          <w:szCs w:val="28"/>
        </w:rPr>
        <w:t>印件记载显示的内容为准</w:t>
      </w:r>
      <w:r>
        <w:rPr>
          <w:rStyle w:val="20"/>
          <w:rFonts w:hint="eastAsia" w:ascii="仿宋" w:hAnsi="仿宋" w:eastAsia="仿宋"/>
          <w:color w:val="000000" w:themeColor="text1"/>
        </w:rPr>
        <w:t>。</w:t>
      </w:r>
      <w:r>
        <w:rPr>
          <w:rStyle w:val="20"/>
          <w:rFonts w:ascii="仿宋" w:hAnsi="仿宋" w:eastAsia="仿宋"/>
          <w:color w:val="000000" w:themeColor="text1"/>
        </w:rPr>
        <w:t>估价</w:t>
      </w:r>
      <w:r>
        <w:rPr>
          <w:rStyle w:val="20"/>
          <w:rFonts w:ascii="仿宋" w:hAnsi="仿宋" w:eastAsia="仿宋"/>
          <w:color w:val="000000" w:themeColor="text1"/>
          <w:szCs w:val="28"/>
        </w:rPr>
        <w:t>委托人为司法机构，在案件的审理、执行过程中，本身</w:t>
      </w:r>
      <w:r>
        <w:rPr>
          <w:rStyle w:val="20"/>
          <w:rFonts w:ascii="仿宋" w:hAnsi="仿宋" w:eastAsia="仿宋"/>
          <w:color w:val="000000" w:themeColor="text1"/>
        </w:rPr>
        <w:t>就需要核验证据的真实性、合法性、完整性。受条件所限，估价人员极难到产权管理部门对估价对象的产权情况进行查询核实，在无理由怀疑其合法性、真实性、准确性和完整性的情况下，假定估价委托人提供的全部资料和陈述的情况是真实、合法、有效和完整的，并且不存在任何法律上的争议或潜在争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3、由于估价委托人未委托专业机构对估价对象房屋安全、环境污染等进行专业鉴定、检测，估价人员无理由怀疑估价对象存在安全隐患，故本次估价假</w:t>
      </w:r>
      <w:r>
        <w:rPr>
          <w:rStyle w:val="20"/>
          <w:rFonts w:hint="eastAsia" w:ascii="仿宋" w:hAnsi="仿宋" w:eastAsia="仿宋"/>
          <w:color w:val="000000" w:themeColor="text1"/>
          <w:lang w:val="en-US" w:eastAsia="zh-CN"/>
        </w:rPr>
        <w:t>定</w:t>
      </w:r>
      <w:r>
        <w:rPr>
          <w:rStyle w:val="20"/>
          <w:rFonts w:ascii="仿宋" w:hAnsi="仿宋" w:eastAsia="仿宋"/>
          <w:color w:val="000000" w:themeColor="text1"/>
        </w:rPr>
        <w:t>估价对象房屋安全、无环境污染问题，通过正常维护，在一定年限内建筑物能够正常持续使用。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4、假定估价委托人和当事人引领估价人员进行实地查勘的房地产是准确和完整的。</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5、</w:t>
      </w:r>
      <w:r>
        <w:rPr>
          <w:rStyle w:val="20"/>
          <w:rFonts w:hint="eastAsia" w:ascii="仿宋" w:hAnsi="仿宋" w:eastAsia="仿宋"/>
          <w:color w:val="000000" w:themeColor="text1"/>
          <w:lang w:val="en-US" w:eastAsia="zh-CN"/>
        </w:rPr>
        <w:t>在运用收益法计算过程中，</w:t>
      </w:r>
      <w:r>
        <w:rPr>
          <w:rStyle w:val="20"/>
          <w:rFonts w:ascii="仿宋" w:hAnsi="仿宋" w:eastAsia="仿宋"/>
          <w:color w:val="000000" w:themeColor="text1"/>
        </w:rPr>
        <w:t>假定报酬率在未来收益年期内不变且大于0。</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6、估价对象在价值时点的房地产市场为公开、平等、自愿的交易市场，即能满足以下条件：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（1）交易双方是自愿地进行交易的；</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（2）交易双方进行交易的目的是追求自身利益的最大化；</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（3）交易双方具有必要的专业知识，并了解交易对象；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（4）交易双方掌握必要的市场信息；</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（5）交易双方有较充裕的时间进行交易；</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（6）不存在特殊买者的附加出价。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hint="eastAsia" w:ascii="仿宋" w:hAnsi="仿宋" w:eastAsia="仿宋"/>
          <w:color w:val="000000" w:themeColor="text1"/>
          <w:lang w:val="en-US" w:eastAsia="zh-CN"/>
        </w:rPr>
        <w:t>7</w:t>
      </w:r>
      <w:r>
        <w:rPr>
          <w:rStyle w:val="20"/>
          <w:rFonts w:ascii="仿宋" w:hAnsi="仿宋" w:eastAsia="仿宋"/>
          <w:color w:val="000000" w:themeColor="text1"/>
        </w:rPr>
        <w:t>、估价委托人未明确存在欠缴税金及相关费用，故本次估价假定估价对象不存在欠缴税金及相关费用，包括税收、物业费、供暖费、水电费等及其滞纳金。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 w:hAnsi="仿宋" w:eastAsia="仿宋" w:cs="仿宋"/>
          <w:color w:val="000000" w:themeColor="text1"/>
        </w:rPr>
      </w:pPr>
      <w:r>
        <w:rPr>
          <w:rFonts w:hint="eastAsia"/>
          <w:color w:val="000000" w:themeColor="text1"/>
          <w:lang w:val="en-US" w:eastAsia="zh-CN"/>
        </w:rPr>
        <w:t>8、</w:t>
      </w:r>
      <w:r>
        <w:rPr>
          <w:rFonts w:hint="eastAsia" w:ascii="仿宋" w:hAnsi="仿宋" w:eastAsia="仿宋" w:cs="仿宋"/>
          <w:color w:val="000000" w:themeColor="text1"/>
          <w:lang w:val="en-US" w:eastAsia="zh-CN"/>
        </w:rPr>
        <w:t>估价委托人未明确估价对象交易税费的负担方式，本次评估假定</w:t>
      </w:r>
      <w:r>
        <w:rPr>
          <w:rFonts w:hint="eastAsia" w:ascii="仿宋" w:hAnsi="仿宋" w:eastAsia="仿宋" w:cs="仿宋"/>
          <w:color w:val="000000" w:themeColor="text1"/>
          <w:sz w:val="28"/>
          <w:szCs w:val="28"/>
        </w:rPr>
        <w:t>产权交易需要缴纳的税费</w:t>
      </w:r>
      <w:r>
        <w:rPr>
          <w:rFonts w:hint="eastAsia" w:ascii="仿宋" w:hAnsi="仿宋" w:eastAsia="仿宋" w:cs="仿宋"/>
          <w:color w:val="000000" w:themeColor="text1"/>
          <w:sz w:val="28"/>
          <w:szCs w:val="28"/>
          <w:lang w:val="en-US" w:eastAsia="zh-CN"/>
        </w:rPr>
        <w:t>由交易双方各自负担。故本次评估</w:t>
      </w:r>
      <w:r>
        <w:rPr>
          <w:rFonts w:hint="eastAsia" w:ascii="仿宋" w:hAnsi="仿宋" w:eastAsia="仿宋" w:cs="仿宋"/>
          <w:color w:val="000000" w:themeColor="text1"/>
          <w:sz w:val="28"/>
          <w:szCs w:val="28"/>
        </w:rPr>
        <w:t>中未考虑产权交易需要缴纳的税费对</w:t>
      </w:r>
      <w:r>
        <w:rPr>
          <w:rFonts w:hint="eastAsia" w:ascii="仿宋" w:hAnsi="仿宋" w:eastAsia="仿宋" w:cs="仿宋"/>
          <w:color w:val="000000" w:themeColor="text1"/>
          <w:sz w:val="28"/>
          <w:szCs w:val="28"/>
          <w:lang w:eastAsia="zh-CN"/>
        </w:rPr>
        <w:t>估价结果</w:t>
      </w:r>
      <w:r>
        <w:rPr>
          <w:rFonts w:hint="eastAsia" w:ascii="仿宋" w:hAnsi="仿宋" w:eastAsia="仿宋" w:cs="仿宋"/>
          <w:color w:val="000000" w:themeColor="text1"/>
          <w:sz w:val="28"/>
          <w:szCs w:val="28"/>
        </w:rPr>
        <w:t>的影响。</w:t>
      </w:r>
    </w:p>
    <w:p>
      <w:pPr>
        <w:spacing w:line="520" w:lineRule="exact"/>
        <w:ind w:firstLine="560" w:firstLineChars="200"/>
        <w:rPr>
          <w:rStyle w:val="20"/>
          <w:rFonts w:ascii="仿宋" w:hAnsi="仿宋" w:eastAsia="仿宋"/>
          <w:color w:val="000000" w:themeColor="text1"/>
        </w:rPr>
      </w:pPr>
      <w:r>
        <w:rPr>
          <w:rStyle w:val="20"/>
          <w:rFonts w:ascii="仿宋" w:hAnsi="仿宋" w:eastAsia="仿宋"/>
          <w:color w:val="000000" w:themeColor="text1"/>
        </w:rPr>
        <w:t>（二）未定事项假设</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default" w:ascii="仿宋" w:hAnsi="仿宋" w:eastAsia="仿宋"/>
          <w:color w:val="000000" w:themeColor="text1"/>
          <w:lang w:val="en-US" w:eastAsia="zh-CN"/>
        </w:rPr>
      </w:pPr>
      <w:r>
        <w:rPr>
          <w:rStyle w:val="20"/>
          <w:rFonts w:hint="eastAsia" w:ascii="仿宋" w:hAnsi="仿宋" w:eastAsia="仿宋"/>
          <w:color w:val="000000" w:themeColor="text1"/>
          <w:lang w:val="en-US" w:eastAsia="zh-CN"/>
        </w:rPr>
        <w:t>估价委托人未提供估价对象《不动产权证书》或土地的相关信息资料，本报告中土地的起止使用年限是根据估价对象所在小区的建筑规模、建筑结构和建成时间等因素推断得出，如与实际情况不一致，估价结果应作相应调整。</w:t>
      </w:r>
    </w:p>
    <w:p>
      <w:pPr>
        <w:spacing w:line="520" w:lineRule="exact"/>
        <w:ind w:firstLine="560" w:firstLineChars="200"/>
        <w:rPr>
          <w:rStyle w:val="20"/>
          <w:rFonts w:ascii="仿宋" w:hAnsi="仿宋" w:eastAsia="仿宋"/>
          <w:color w:val="000000" w:themeColor="text1"/>
        </w:rPr>
      </w:pPr>
      <w:r>
        <w:rPr>
          <w:rStyle w:val="20"/>
          <w:rFonts w:hint="eastAsia" w:ascii="仿宋" w:hAnsi="仿宋" w:eastAsia="仿宋"/>
          <w:color w:val="000000" w:themeColor="text1"/>
        </w:rPr>
        <w:t>（三）</w:t>
      </w:r>
      <w:r>
        <w:rPr>
          <w:rStyle w:val="20"/>
          <w:rFonts w:ascii="仿宋" w:hAnsi="仿宋" w:eastAsia="仿宋"/>
          <w:color w:val="000000" w:themeColor="text1"/>
        </w:rPr>
        <w:t>背离事实假设</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default" w:ascii="仿宋" w:hAnsi="仿宋" w:eastAsia="仿宋"/>
          <w:color w:val="000000" w:themeColor="text1"/>
          <w:lang w:val="en-US" w:eastAsia="zh-CN"/>
        </w:rPr>
      </w:pPr>
      <w:r>
        <w:rPr>
          <w:rStyle w:val="20"/>
          <w:rFonts w:ascii="仿宋" w:hAnsi="仿宋" w:eastAsia="仿宋"/>
          <w:color w:val="000000" w:themeColor="text1"/>
        </w:rPr>
        <w:t>根据估价委托人提供的</w:t>
      </w:r>
      <w:r>
        <w:rPr>
          <w:rStyle w:val="20"/>
          <w:rFonts w:hint="eastAsia" w:ascii="仿宋" w:hAnsi="仿宋" w:eastAsia="仿宋"/>
          <w:color w:val="000000" w:themeColor="text1"/>
          <w:lang w:val="en-US" w:eastAsia="zh-CN"/>
        </w:rPr>
        <w:t>相关资料</w:t>
      </w:r>
      <w:r>
        <w:rPr>
          <w:rStyle w:val="20"/>
          <w:rFonts w:ascii="仿宋" w:hAnsi="仿宋" w:eastAsia="仿宋"/>
          <w:color w:val="000000" w:themeColor="text1"/>
        </w:rPr>
        <w:t>显示</w:t>
      </w:r>
      <w:r>
        <w:rPr>
          <w:rStyle w:val="20"/>
          <w:rFonts w:hint="eastAsia" w:ascii="仿宋" w:hAnsi="仿宋" w:eastAsia="仿宋"/>
          <w:color w:val="000000" w:themeColor="text1"/>
          <w:lang w:eastAsia="zh-CN"/>
        </w:rPr>
        <w:t>，</w:t>
      </w:r>
      <w:r>
        <w:rPr>
          <w:rStyle w:val="20"/>
          <w:rFonts w:ascii="仿宋" w:hAnsi="仿宋" w:eastAsia="仿宋"/>
          <w:color w:val="000000" w:themeColor="text1"/>
        </w:rPr>
        <w:t>估价对象已抵押</w:t>
      </w:r>
      <w:r>
        <w:rPr>
          <w:rStyle w:val="20"/>
          <w:rFonts w:hint="eastAsia" w:ascii="仿宋" w:hAnsi="仿宋" w:eastAsia="仿宋"/>
          <w:color w:val="000000" w:themeColor="text1"/>
        </w:rPr>
        <w:t>、已被查封</w:t>
      </w:r>
      <w:r>
        <w:rPr>
          <w:rStyle w:val="20"/>
          <w:rFonts w:ascii="仿宋" w:hAnsi="仿宋" w:eastAsia="仿宋"/>
          <w:color w:val="000000" w:themeColor="text1"/>
        </w:rPr>
        <w:t>，本次评估未考虑抵押、查封以及原有的担保物权和其他优先受偿权对估价结果的影响。</w:t>
      </w:r>
    </w:p>
    <w:p>
      <w:pPr>
        <w:keepNext w:val="0"/>
        <w:keepLines w:val="0"/>
        <w:pageBreakBefore w:val="0"/>
        <w:numPr>
          <w:ilvl w:val="0"/>
          <w:numId w:val="2"/>
        </w:numPr>
        <w:kinsoku/>
        <w:wordWrap/>
        <w:overflowPunct/>
        <w:topLinePunct w:val="0"/>
        <w:autoSpaceDE/>
        <w:autoSpaceDN/>
        <w:bidi w:val="0"/>
        <w:adjustRightInd/>
        <w:snapToGrid/>
        <w:spacing w:line="520" w:lineRule="exact"/>
        <w:ind w:firstLine="560" w:firstLineChars="200"/>
        <w:rPr>
          <w:rStyle w:val="20"/>
          <w:rFonts w:ascii="仿宋" w:hAnsi="仿宋" w:eastAsia="仿宋"/>
          <w:color w:val="000000" w:themeColor="text1"/>
        </w:rPr>
      </w:pPr>
      <w:r>
        <w:rPr>
          <w:rStyle w:val="20"/>
          <w:rFonts w:ascii="仿宋" w:hAnsi="仿宋" w:eastAsia="仿宋"/>
          <w:color w:val="000000" w:themeColor="text1"/>
        </w:rPr>
        <w:t>不相一致假设</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eastAsiaTheme="minorEastAsia"/>
          <w:lang w:eastAsia="zh-CN"/>
        </w:rPr>
      </w:pPr>
      <w:r>
        <w:rPr>
          <w:rFonts w:hint="eastAsia"/>
          <w:lang w:eastAsia="zh-CN"/>
        </w:rPr>
        <w:t>无。</w:t>
      </w:r>
    </w:p>
    <w:p>
      <w:pPr>
        <w:keepNext w:val="0"/>
        <w:keepLines w:val="0"/>
        <w:pageBreakBefore w:val="0"/>
        <w:kinsoku/>
        <w:wordWrap/>
        <w:overflowPunct/>
        <w:topLinePunct w:val="0"/>
        <w:autoSpaceDE/>
        <w:autoSpaceDN/>
        <w:bidi w:val="0"/>
        <w:adjustRightInd/>
        <w:snapToGrid/>
        <w:spacing w:line="520" w:lineRule="exact"/>
        <w:ind w:firstLine="560" w:firstLineChars="200"/>
        <w:rPr>
          <w:rStyle w:val="20"/>
          <w:rFonts w:ascii="仿宋" w:hAnsi="仿宋" w:eastAsia="仿宋"/>
          <w:color w:val="000000" w:themeColor="text1"/>
        </w:rPr>
      </w:pPr>
      <w:r>
        <w:rPr>
          <w:rStyle w:val="20"/>
          <w:rFonts w:hint="eastAsia" w:ascii="仿宋" w:hAnsi="仿宋" w:eastAsia="仿宋"/>
          <w:color w:val="000000" w:themeColor="text1"/>
        </w:rPr>
        <w:t>（五）</w:t>
      </w:r>
      <w:r>
        <w:rPr>
          <w:rStyle w:val="20"/>
          <w:rFonts w:ascii="仿宋" w:hAnsi="仿宋" w:eastAsia="仿宋"/>
          <w:color w:val="000000" w:themeColor="text1"/>
        </w:rPr>
        <w:t>依据不足假设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lang w:eastAsia="zh-CN"/>
        </w:rPr>
      </w:pPr>
      <w:r>
        <w:rPr>
          <w:rFonts w:hint="eastAsia" w:ascii="仿宋" w:hAnsi="仿宋" w:eastAsia="仿宋" w:cs="仿宋"/>
          <w:b w:val="0"/>
          <w:color w:val="000000" w:themeColor="text1"/>
          <w:kern w:val="2"/>
          <w:szCs w:val="28"/>
          <w:lang w:val="en-US" w:eastAsia="zh-CN"/>
        </w:rPr>
        <w:t>1、</w:t>
      </w:r>
      <w:r>
        <w:rPr>
          <w:rFonts w:hint="eastAsia" w:ascii="仿宋" w:hAnsi="仿宋" w:eastAsia="仿宋" w:cs="仿宋"/>
          <w:b w:val="0"/>
          <w:color w:val="000000" w:themeColor="text1"/>
          <w:kern w:val="2"/>
          <w:szCs w:val="28"/>
        </w:rPr>
        <w:t>估价委托人未提供估价对象</w:t>
      </w:r>
      <w:r>
        <w:rPr>
          <w:rFonts w:hint="eastAsia" w:ascii="仿宋" w:hAnsi="仿宋" w:eastAsia="仿宋" w:cs="仿宋"/>
          <w:b w:val="0"/>
          <w:color w:val="000000" w:themeColor="text1"/>
          <w:kern w:val="2"/>
          <w:szCs w:val="28"/>
          <w:lang w:eastAsia="zh-CN"/>
        </w:rPr>
        <w:t>的《</w:t>
      </w:r>
      <w:r>
        <w:rPr>
          <w:rFonts w:hint="eastAsia" w:ascii="仿宋" w:hAnsi="仿宋" w:eastAsia="仿宋" w:cs="仿宋"/>
          <w:b w:val="0"/>
          <w:color w:val="000000" w:themeColor="text1"/>
          <w:kern w:val="2"/>
          <w:szCs w:val="28"/>
          <w:lang w:val="en-US" w:eastAsia="zh-CN"/>
        </w:rPr>
        <w:t>不动产权证书</w:t>
      </w:r>
      <w:r>
        <w:rPr>
          <w:rFonts w:hint="eastAsia" w:ascii="仿宋" w:hAnsi="仿宋" w:eastAsia="仿宋" w:cs="仿宋"/>
          <w:b w:val="0"/>
          <w:color w:val="000000" w:themeColor="text1"/>
          <w:kern w:val="2"/>
          <w:szCs w:val="28"/>
          <w:lang w:eastAsia="zh-CN"/>
        </w:rPr>
        <w:t>》</w:t>
      </w:r>
      <w:r>
        <w:rPr>
          <w:rFonts w:hint="eastAsia" w:ascii="仿宋" w:hAnsi="仿宋" w:eastAsia="仿宋" w:cs="仿宋"/>
          <w:b w:val="0"/>
          <w:color w:val="000000" w:themeColor="text1"/>
          <w:kern w:val="2"/>
          <w:szCs w:val="28"/>
          <w:lang w:val="en-US" w:eastAsia="zh-CN"/>
        </w:rPr>
        <w:t>或</w:t>
      </w:r>
      <w:r>
        <w:rPr>
          <w:rFonts w:hint="eastAsia" w:ascii="仿宋" w:hAnsi="仿宋" w:eastAsia="仿宋" w:cs="仿宋"/>
          <w:b w:val="0"/>
          <w:color w:val="000000" w:themeColor="text1"/>
          <w:kern w:val="2"/>
          <w:szCs w:val="28"/>
        </w:rPr>
        <w:t>土地</w:t>
      </w:r>
      <w:r>
        <w:rPr>
          <w:rFonts w:hint="eastAsia" w:ascii="仿宋" w:hAnsi="仿宋" w:eastAsia="仿宋" w:cs="仿宋"/>
          <w:b w:val="0"/>
          <w:color w:val="000000" w:themeColor="text1"/>
          <w:kern w:val="2"/>
          <w:szCs w:val="28"/>
          <w:lang w:eastAsia="zh-CN"/>
        </w:rPr>
        <w:t>的</w:t>
      </w:r>
      <w:r>
        <w:rPr>
          <w:rFonts w:hint="eastAsia" w:ascii="仿宋" w:hAnsi="仿宋" w:eastAsia="仿宋" w:cs="仿宋"/>
          <w:b w:val="0"/>
          <w:color w:val="000000" w:themeColor="text1"/>
          <w:kern w:val="2"/>
          <w:szCs w:val="28"/>
          <w:lang w:val="en-US" w:eastAsia="zh-CN"/>
        </w:rPr>
        <w:t>相关</w:t>
      </w:r>
      <w:r>
        <w:rPr>
          <w:rFonts w:hint="eastAsia" w:ascii="仿宋" w:hAnsi="仿宋" w:eastAsia="仿宋" w:cs="仿宋"/>
          <w:b w:val="0"/>
          <w:color w:val="000000" w:themeColor="text1"/>
          <w:kern w:val="2"/>
          <w:szCs w:val="28"/>
        </w:rPr>
        <w:t>信息</w:t>
      </w:r>
      <w:r>
        <w:rPr>
          <w:rFonts w:hint="eastAsia" w:ascii="仿宋" w:hAnsi="仿宋" w:eastAsia="仿宋" w:cs="仿宋"/>
          <w:b w:val="0"/>
          <w:color w:val="000000" w:themeColor="text1"/>
          <w:kern w:val="2"/>
          <w:szCs w:val="28"/>
          <w:lang w:val="en-US" w:eastAsia="zh-CN"/>
        </w:rPr>
        <w:t>资料</w:t>
      </w:r>
      <w:r>
        <w:rPr>
          <w:rFonts w:hint="eastAsia" w:ascii="仿宋" w:hAnsi="仿宋" w:eastAsia="仿宋" w:cs="仿宋"/>
          <w:b w:val="0"/>
          <w:color w:val="000000" w:themeColor="text1"/>
          <w:kern w:val="2"/>
          <w:szCs w:val="28"/>
        </w:rPr>
        <w:t>，本次评估</w:t>
      </w:r>
      <w:r>
        <w:rPr>
          <w:rFonts w:hint="eastAsia" w:ascii="仿宋" w:hAnsi="仿宋" w:eastAsia="仿宋" w:cs="仿宋"/>
          <w:b w:val="0"/>
          <w:color w:val="000000" w:themeColor="text1"/>
          <w:kern w:val="2"/>
          <w:szCs w:val="28"/>
          <w:lang w:val="en-US" w:eastAsia="zh-CN"/>
        </w:rPr>
        <w:t>报告中</w:t>
      </w:r>
      <w:r>
        <w:rPr>
          <w:rFonts w:hint="eastAsia" w:ascii="仿宋" w:hAnsi="仿宋" w:eastAsia="仿宋" w:cs="仿宋"/>
          <w:b w:val="0"/>
          <w:color w:val="000000" w:themeColor="text1"/>
          <w:kern w:val="2"/>
          <w:szCs w:val="28"/>
        </w:rPr>
        <w:t>假</w:t>
      </w:r>
      <w:r>
        <w:rPr>
          <w:rFonts w:hint="eastAsia" w:ascii="仿宋" w:hAnsi="仿宋" w:eastAsia="仿宋" w:cs="仿宋"/>
          <w:b w:val="0"/>
          <w:color w:val="000000" w:themeColor="text1"/>
          <w:kern w:val="2"/>
          <w:szCs w:val="28"/>
          <w:lang w:val="en-US" w:eastAsia="zh-CN"/>
        </w:rPr>
        <w:t>定</w:t>
      </w:r>
      <w:r>
        <w:rPr>
          <w:rFonts w:hint="eastAsia" w:ascii="仿宋" w:hAnsi="仿宋" w:eastAsia="仿宋" w:cs="仿宋"/>
          <w:b w:val="0"/>
          <w:color w:val="000000" w:themeColor="text1"/>
          <w:kern w:val="2"/>
          <w:szCs w:val="28"/>
        </w:rPr>
        <w:t>估价对象土地取得方式为出让，土地所有权属于国家，土地使用权人为相对应的房屋所有权人，用途为相对应的建筑物用途，</w:t>
      </w:r>
      <w:r>
        <w:rPr>
          <w:rFonts w:hint="eastAsia" w:ascii="仿宋" w:hAnsi="仿宋" w:eastAsia="仿宋" w:cs="仿宋"/>
          <w:b w:val="0"/>
          <w:color w:val="000000" w:themeColor="text1"/>
          <w:kern w:val="2"/>
          <w:szCs w:val="28"/>
          <w:lang w:val="en-US" w:eastAsia="zh-CN"/>
        </w:rPr>
        <w:t>如与实际情况不一致，估价结果应作相应调整或重新评估</w:t>
      </w:r>
      <w:r>
        <w:rPr>
          <w:rStyle w:val="20"/>
          <w:rFonts w:hint="eastAsia" w:ascii="仿宋" w:hAnsi="仿宋" w:eastAsia="仿宋"/>
          <w:color w:val="000000" w:themeColor="text1"/>
          <w:lang w:eastAsia="zh-CN"/>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Fonts w:hint="eastAsia" w:ascii="仿宋" w:hAnsi="仿宋" w:eastAsia="仿宋" w:cs="仿宋"/>
          <w:b w:val="0"/>
          <w:color w:val="000000" w:themeColor="text1"/>
          <w:kern w:val="2"/>
          <w:szCs w:val="28"/>
          <w:lang w:val="en-US" w:eastAsia="zh-CN"/>
        </w:rPr>
      </w:pPr>
      <w:r>
        <w:rPr>
          <w:rStyle w:val="20"/>
          <w:rFonts w:hint="eastAsia" w:ascii="仿宋" w:hAnsi="仿宋" w:eastAsia="仿宋"/>
          <w:color w:val="000000" w:themeColor="text1"/>
          <w:lang w:val="en-US" w:eastAsia="zh-CN"/>
        </w:rPr>
        <w:t>2、</w:t>
      </w:r>
      <w:r>
        <w:rPr>
          <w:rFonts w:hint="eastAsia" w:ascii="仿宋" w:hAnsi="仿宋" w:eastAsia="仿宋" w:cs="仿宋"/>
          <w:b w:val="0"/>
          <w:color w:val="000000" w:themeColor="text1"/>
          <w:kern w:val="2"/>
          <w:szCs w:val="28"/>
          <w:lang w:val="en-US" w:eastAsia="zh-CN"/>
        </w:rPr>
        <w:t>本次评估估价人员于2022年08月19日对估价对象进行现场勘查时，因当事人未到现场，</w:t>
      </w:r>
      <w:r>
        <w:rPr>
          <w:rStyle w:val="20"/>
          <w:rFonts w:hint="eastAsia" w:ascii="仿宋" w:hAnsi="仿宋" w:eastAsia="仿宋" w:cs="仿宋"/>
          <w:b w:val="0"/>
          <w:bCs w:val="0"/>
          <w:color w:val="000000" w:themeColor="text1"/>
          <w:lang w:val="en-US" w:eastAsia="zh-CN"/>
        </w:rPr>
        <w:t>估价人员未能进入房屋所在楼幢单元门内以及其内部进行查勘</w:t>
      </w:r>
      <w:r>
        <w:rPr>
          <w:rFonts w:hint="eastAsia" w:ascii="仿宋" w:hAnsi="仿宋" w:eastAsia="仿宋" w:cs="仿宋"/>
          <w:b w:val="0"/>
          <w:bCs w:val="0"/>
          <w:color w:val="000000" w:themeColor="text1"/>
          <w:kern w:val="2"/>
          <w:szCs w:val="28"/>
          <w:lang w:val="en-US" w:eastAsia="zh-CN"/>
        </w:rPr>
        <w:t>，</w:t>
      </w:r>
      <w:r>
        <w:rPr>
          <w:rFonts w:hint="eastAsia" w:ascii="仿宋" w:hAnsi="仿宋" w:eastAsia="仿宋" w:cs="仿宋"/>
          <w:b w:val="0"/>
          <w:color w:val="000000" w:themeColor="text1"/>
          <w:kern w:val="2"/>
          <w:szCs w:val="28"/>
          <w:lang w:val="en-US" w:eastAsia="zh-CN"/>
        </w:rPr>
        <w:t>故本次评估现场勘查仅限于估价对象楼栋外观及周边环境，应估价委托人要求，估价对象房屋内部布局及装修情况以其提供的照片为依据进行。</w:t>
      </w:r>
    </w:p>
    <w:p>
      <w:pPr>
        <w:widowControl w:val="0"/>
        <w:spacing w:line="520" w:lineRule="exact"/>
        <w:ind w:firstLine="281" w:firstLineChars="100"/>
        <w:rPr>
          <w:rStyle w:val="20"/>
          <w:rFonts w:ascii="仿宋" w:hAnsi="仿宋" w:eastAsia="仿宋" w:cs="仿宋"/>
          <w:b/>
          <w:bCs/>
          <w:color w:val="000000" w:themeColor="text1"/>
        </w:rPr>
      </w:pPr>
      <w:r>
        <w:rPr>
          <w:rStyle w:val="20"/>
          <w:rFonts w:ascii="仿宋" w:hAnsi="仿宋" w:eastAsia="仿宋" w:cs="仿宋"/>
          <w:b/>
          <w:bCs/>
          <w:color w:val="000000" w:themeColor="text1"/>
        </w:rPr>
        <w:t>二、</w:t>
      </w:r>
      <w:r>
        <w:rPr>
          <w:rStyle w:val="20"/>
          <w:rFonts w:ascii="仿宋" w:hAnsi="仿宋" w:eastAsia="仿宋"/>
          <w:b/>
          <w:color w:val="000000" w:themeColor="text1"/>
        </w:rPr>
        <w:t>估价报告使用</w:t>
      </w:r>
      <w:r>
        <w:rPr>
          <w:rStyle w:val="20"/>
          <w:rFonts w:ascii="仿宋" w:hAnsi="仿宋" w:eastAsia="仿宋" w:cs="仿宋"/>
          <w:b/>
          <w:bCs/>
          <w:color w:val="000000" w:themeColor="text1"/>
        </w:rPr>
        <w:t>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s="仿宋"/>
          <w:b/>
          <w:bCs/>
          <w:color w:val="000000" w:themeColor="text1"/>
        </w:rPr>
      </w:pPr>
      <w:r>
        <w:rPr>
          <w:rStyle w:val="20"/>
          <w:rFonts w:ascii="仿宋" w:hAnsi="仿宋" w:eastAsia="仿宋"/>
          <w:color w:val="000000" w:themeColor="text1"/>
        </w:rPr>
        <w:t>1、本报告及附件内容仅供估价委托人用于本次委托估价目的时使用，不作其他任何用途使用。非为法律、行政法规规定的需要，报告及附件的全部或部分内容不得向委托人和估价审查部门以外的单位和个人提供，未经本报告出具单位许可，不得见诸于公开媒体或复制或引证。</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2、本估价报告的有效期限自出具报告之日起为一年（即</w:t>
      </w:r>
      <w:r>
        <w:rPr>
          <w:rStyle w:val="20"/>
          <w:rFonts w:hint="eastAsia" w:ascii="仿宋" w:hAnsi="仿宋" w:eastAsia="仿宋"/>
          <w:color w:val="000000" w:themeColor="text1"/>
          <w:lang w:eastAsia="zh-CN"/>
        </w:rPr>
        <w:t>2022</w:t>
      </w:r>
      <w:r>
        <w:rPr>
          <w:rStyle w:val="20"/>
          <w:rFonts w:ascii="仿宋" w:hAnsi="仿宋" w:eastAsia="仿宋"/>
          <w:color w:val="000000" w:themeColor="text1"/>
        </w:rPr>
        <w:t>年</w:t>
      </w:r>
      <w:r>
        <w:rPr>
          <w:rStyle w:val="20"/>
          <w:rFonts w:hint="eastAsia" w:ascii="仿宋" w:hAnsi="仿宋" w:eastAsia="仿宋"/>
          <w:color w:val="000000" w:themeColor="text1"/>
          <w:lang w:val="en-US" w:eastAsia="zh-CN"/>
        </w:rPr>
        <w:t>10</w:t>
      </w:r>
      <w:r>
        <w:rPr>
          <w:rStyle w:val="20"/>
          <w:rFonts w:hint="eastAsia" w:ascii="仿宋" w:hAnsi="仿宋" w:eastAsia="仿宋"/>
          <w:color w:val="000000" w:themeColor="text1"/>
          <w:lang w:eastAsia="zh-CN"/>
        </w:rPr>
        <w:t>月1</w:t>
      </w:r>
      <w:r>
        <w:rPr>
          <w:rStyle w:val="20"/>
          <w:rFonts w:hint="eastAsia" w:ascii="仿宋" w:hAnsi="仿宋" w:eastAsia="仿宋"/>
          <w:color w:val="000000" w:themeColor="text1"/>
          <w:lang w:val="en-US" w:eastAsia="zh-CN"/>
        </w:rPr>
        <w:t>3</w:t>
      </w:r>
      <w:r>
        <w:rPr>
          <w:rStyle w:val="20"/>
          <w:rFonts w:hint="eastAsia" w:ascii="仿宋" w:hAnsi="仿宋" w:eastAsia="仿宋"/>
          <w:color w:val="000000" w:themeColor="text1"/>
          <w:lang w:eastAsia="zh-CN"/>
        </w:rPr>
        <w:t>日</w:t>
      </w:r>
      <w:r>
        <w:rPr>
          <w:rStyle w:val="20"/>
          <w:rFonts w:ascii="仿宋" w:hAnsi="仿宋" w:eastAsia="仿宋"/>
          <w:color w:val="000000" w:themeColor="text1"/>
        </w:rPr>
        <w:t>至</w:t>
      </w:r>
      <w:r>
        <w:rPr>
          <w:rStyle w:val="20"/>
          <w:rFonts w:hint="eastAsia" w:ascii="仿宋" w:hAnsi="仿宋" w:eastAsia="仿宋"/>
          <w:color w:val="000000" w:themeColor="text1"/>
          <w:lang w:eastAsia="zh-CN"/>
        </w:rPr>
        <w:t>2023年</w:t>
      </w:r>
      <w:r>
        <w:rPr>
          <w:rStyle w:val="20"/>
          <w:rFonts w:hint="eastAsia" w:ascii="仿宋" w:hAnsi="仿宋" w:eastAsia="仿宋"/>
          <w:color w:val="000000" w:themeColor="text1"/>
          <w:lang w:val="en-US" w:eastAsia="zh-CN"/>
        </w:rPr>
        <w:t>10</w:t>
      </w:r>
      <w:r>
        <w:rPr>
          <w:rStyle w:val="20"/>
          <w:rFonts w:hint="eastAsia" w:ascii="仿宋" w:hAnsi="仿宋" w:eastAsia="仿宋"/>
          <w:color w:val="000000" w:themeColor="text1"/>
          <w:lang w:eastAsia="zh-CN"/>
        </w:rPr>
        <w:t>月1</w:t>
      </w:r>
      <w:r>
        <w:rPr>
          <w:rStyle w:val="20"/>
          <w:rFonts w:hint="eastAsia" w:ascii="仿宋" w:hAnsi="仿宋" w:eastAsia="仿宋"/>
          <w:color w:val="000000" w:themeColor="text1"/>
          <w:lang w:val="en-US" w:eastAsia="zh-CN"/>
        </w:rPr>
        <w:t>2</w:t>
      </w:r>
      <w:r>
        <w:rPr>
          <w:rStyle w:val="20"/>
          <w:rFonts w:hint="eastAsia" w:ascii="仿宋" w:hAnsi="仿宋" w:eastAsia="仿宋"/>
          <w:color w:val="000000" w:themeColor="text1"/>
          <w:lang w:eastAsia="zh-CN"/>
        </w:rPr>
        <w:t>日</w:t>
      </w:r>
      <w:r>
        <w:rPr>
          <w:rStyle w:val="20"/>
          <w:rFonts w:ascii="仿宋" w:hAnsi="仿宋" w:eastAsia="仿宋"/>
          <w:color w:val="000000" w:themeColor="text1"/>
        </w:rPr>
        <w:t>止），估价委托人应在本报告的有效期内合理使用本报告。超过有效期使用估价报告无效。在价值时点之后、有效期之内估价对象或国家经济形势、城市规划、房地产税费政策等发生变化，对估价结果产生明显影响时，估价委托人应及时聘请房地产估价机构对估价结果作相应调整或重新估价。</w:t>
      </w:r>
    </w:p>
    <w:p>
      <w:pPr>
        <w:pStyle w:val="32"/>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b w:val="0"/>
          <w:color w:val="000000" w:themeColor="text1"/>
          <w:szCs w:val="28"/>
          <w:lang w:eastAsia="zh-CN"/>
        </w:rPr>
      </w:pPr>
      <w:r>
        <w:rPr>
          <w:rStyle w:val="20"/>
          <w:rFonts w:ascii="仿宋" w:hAnsi="仿宋" w:eastAsia="仿宋"/>
          <w:b w:val="0"/>
          <w:color w:val="000000" w:themeColor="text1"/>
          <w:lang w:eastAsia="zh-CN"/>
        </w:rPr>
        <w:t>3、</w:t>
      </w:r>
      <w:r>
        <w:rPr>
          <w:rStyle w:val="20"/>
          <w:rFonts w:ascii="仿宋" w:hAnsi="仿宋" w:eastAsia="仿宋"/>
          <w:b w:val="0"/>
          <w:color w:val="000000" w:themeColor="text1"/>
          <w:szCs w:val="28"/>
          <w:lang w:eastAsia="zh-CN"/>
        </w:rPr>
        <w:t>估价机构是专业的价值鉴证中介服务机构，并非产权界定部门，因此，本估价报告不作为对估价对象权属确认和界定的依据或参考，也不是对其权属确认的保证。估价工作是在估价委托人提供的资料的基础上开展的，估价机构及估价师不承担由于估价委托人及相关当事人提供的资料失实或不完整导致估价结果有失公允的法律责任。由于估价委托人及相关当事人提供的资料失实或不完整导致估价结果有失公允，估价结果无效或者重新评估，估价委托人及相关当事人应对此承担全部法律责任。</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4、估价委托人在使用本估价报告时，应理解本次估价的“价值类型”和“估价假设和限制条件”所载明的内容，严格按照本估价报告全部完整地应用。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5、本报告估价结果的估算是以估价对象在价值时点的状况和本报告对估价对象设定的假设和限制条件为依据进行的。若国家有关政策、市场环境、估价对象的用途和使用方式以及估价中遵循的假设条件发生变化时，估价对象的估价结果也会发生变化，必要时应作相应调整或重新估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6、本估价报告的估价结果，须经本公司盖章及在本公司执业的注册房地产估价师签字，并作为一个整体完整使用时有效。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rPr>
      </w:pPr>
      <w:r>
        <w:rPr>
          <w:rStyle w:val="20"/>
          <w:rFonts w:ascii="仿宋" w:hAnsi="仿宋" w:eastAsia="仿宋"/>
          <w:color w:val="000000" w:themeColor="text1"/>
        </w:rPr>
        <w:t>7、估价结果是反映估价对象在本次估价目的下的参考价值，没有考虑将来特殊的交易方可能追加付出的价格等对其评估价的影响，也未考虑国家宏观经济政策发生变化以及遇有自然力和其它不可抗力对资产价格的影响，当前述条件情况发生时，估价结果一般会失效。</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color w:val="000000" w:themeColor="text1"/>
        </w:rPr>
      </w:pPr>
      <w:r>
        <w:rPr>
          <w:rStyle w:val="20"/>
          <w:rFonts w:hint="eastAsia" w:ascii="仿宋" w:hAnsi="仿宋" w:eastAsia="仿宋"/>
          <w:color w:val="000000" w:themeColor="text1"/>
          <w:lang w:val="en-US" w:eastAsia="zh-CN"/>
        </w:rPr>
        <w:t>8</w:t>
      </w:r>
      <w:r>
        <w:rPr>
          <w:rStyle w:val="20"/>
          <w:rFonts w:ascii="仿宋" w:hAnsi="仿宋" w:eastAsia="仿宋"/>
          <w:color w:val="000000" w:themeColor="text1"/>
        </w:rPr>
        <w:t>、本估价报告分为“估价结果报告”和“估价技术报告”两部分。“估价结果报告”提供给估价委托人，“估价技术报告”根据有关规定由估价机构存档备查。</w:t>
      </w:r>
    </w:p>
    <w:p>
      <w:pPr>
        <w:pStyle w:val="22"/>
        <w:spacing w:before="0" w:after="0"/>
        <w:jc w:val="center"/>
        <w:rPr>
          <w:rStyle w:val="20"/>
          <w:rFonts w:ascii="仿宋" w:hAnsi="仿宋" w:eastAsia="仿宋" w:cs="仿宋"/>
          <w:color w:val="000000" w:themeColor="text1"/>
        </w:rPr>
      </w:pPr>
    </w:p>
    <w:p>
      <w:pPr>
        <w:pStyle w:val="22"/>
        <w:spacing w:before="0" w:after="0"/>
        <w:jc w:val="center"/>
        <w:rPr>
          <w:rStyle w:val="20"/>
          <w:rFonts w:ascii="仿宋" w:hAnsi="仿宋" w:eastAsia="仿宋" w:cs="仿宋"/>
          <w:color w:val="000000" w:themeColor="text1"/>
        </w:rPr>
      </w:pPr>
    </w:p>
    <w:p>
      <w:pPr>
        <w:pStyle w:val="22"/>
        <w:spacing w:before="0" w:after="0"/>
        <w:jc w:val="center"/>
        <w:rPr>
          <w:rStyle w:val="20"/>
          <w:rFonts w:ascii="仿宋" w:hAnsi="仿宋" w:eastAsia="仿宋" w:cs="仿宋"/>
          <w:color w:val="000000" w:themeColor="text1"/>
        </w:rPr>
      </w:pPr>
    </w:p>
    <w:p>
      <w:pPr>
        <w:pStyle w:val="22"/>
        <w:spacing w:before="0" w:after="0"/>
        <w:jc w:val="center"/>
        <w:rPr>
          <w:rStyle w:val="20"/>
          <w:rFonts w:ascii="仿宋" w:hAnsi="仿宋" w:eastAsia="仿宋" w:cs="仿宋"/>
          <w:color w:val="000000" w:themeColor="text1"/>
        </w:rPr>
      </w:pPr>
    </w:p>
    <w:p>
      <w:pPr>
        <w:pStyle w:val="12"/>
        <w:spacing w:line="520" w:lineRule="exact"/>
        <w:jc w:val="left"/>
        <w:rPr>
          <w:rStyle w:val="20"/>
          <w:rFonts w:ascii="仿宋" w:hAnsi="仿宋" w:eastAsia="仿宋" w:cs="仿宋"/>
          <w:color w:val="000000" w:themeColor="text1"/>
          <w:kern w:val="44"/>
          <w:sz w:val="44"/>
          <w:szCs w:val="44"/>
        </w:rPr>
      </w:pPr>
    </w:p>
    <w:p>
      <w:pPr>
        <w:rPr>
          <w:color w:val="000000" w:themeColor="text1"/>
        </w:rPr>
      </w:pPr>
    </w:p>
    <w:p>
      <w:pPr>
        <w:pStyle w:val="2"/>
        <w:ind w:firstLine="280"/>
        <w:rPr>
          <w:color w:val="000000" w:themeColor="text1"/>
        </w:rPr>
      </w:pPr>
    </w:p>
    <w:p>
      <w:pPr>
        <w:pStyle w:val="2"/>
        <w:ind w:firstLine="280"/>
        <w:rPr>
          <w:color w:val="000000" w:themeColor="text1"/>
        </w:rPr>
      </w:pPr>
    </w:p>
    <w:p>
      <w:pPr>
        <w:pStyle w:val="2"/>
        <w:ind w:firstLine="280"/>
        <w:rPr>
          <w:color w:val="000000" w:themeColor="text1"/>
        </w:rPr>
      </w:pPr>
    </w:p>
    <w:p>
      <w:pPr>
        <w:pStyle w:val="2"/>
        <w:ind w:firstLine="280"/>
        <w:rPr>
          <w:color w:val="000000" w:themeColor="text1"/>
        </w:rPr>
      </w:pPr>
    </w:p>
    <w:p>
      <w:pPr>
        <w:pStyle w:val="2"/>
        <w:ind w:firstLine="280"/>
        <w:rPr>
          <w:color w:val="000000" w:themeColor="text1"/>
        </w:rPr>
      </w:pPr>
    </w:p>
    <w:p>
      <w:pPr>
        <w:pStyle w:val="2"/>
        <w:ind w:firstLine="0" w:firstLineChars="0"/>
        <w:rPr>
          <w:color w:val="000000" w:themeColor="text1"/>
        </w:rPr>
      </w:pPr>
    </w:p>
    <w:p>
      <w:pPr>
        <w:pStyle w:val="22"/>
        <w:spacing w:before="0" w:after="0"/>
        <w:jc w:val="center"/>
        <w:outlineLvl w:val="0"/>
        <w:rPr>
          <w:rStyle w:val="20"/>
          <w:rFonts w:ascii="仿宋" w:hAnsi="仿宋" w:eastAsia="仿宋" w:cs="仿宋"/>
          <w:color w:val="000000" w:themeColor="text1"/>
        </w:rPr>
      </w:pPr>
      <w:bookmarkStart w:id="2" w:name="_Toc15068"/>
      <w:r>
        <w:rPr>
          <w:rStyle w:val="20"/>
          <w:rFonts w:ascii="仿宋" w:hAnsi="仿宋" w:eastAsia="仿宋" w:cs="仿宋"/>
          <w:color w:val="000000" w:themeColor="text1"/>
        </w:rPr>
        <w:t>房地产估价结果报告</w:t>
      </w:r>
      <w:bookmarkEnd w:id="2"/>
    </w:p>
    <w:p>
      <w:pPr>
        <w:spacing w:line="360" w:lineRule="auto"/>
        <w:ind w:left="3626" w:leftChars="1102" w:hanging="540" w:hangingChars="225"/>
        <w:jc w:val="both"/>
      </w:pPr>
      <w:r>
        <w:rPr>
          <w:rStyle w:val="20"/>
          <w:rFonts w:hint="eastAsia" w:ascii="仿宋" w:hAnsi="仿宋" w:eastAsia="仿宋"/>
          <w:color w:val="000000" w:themeColor="text1"/>
          <w:sz w:val="24"/>
          <w:szCs w:val="24"/>
        </w:rPr>
        <w:t>黔房精诚估字（</w:t>
      </w:r>
      <w:r>
        <w:rPr>
          <w:rStyle w:val="20"/>
          <w:rFonts w:hint="eastAsia" w:ascii="仿宋" w:hAnsi="仿宋" w:eastAsia="仿宋"/>
          <w:color w:val="000000" w:themeColor="text1"/>
          <w:sz w:val="24"/>
          <w:szCs w:val="24"/>
          <w:lang w:eastAsia="zh-CN"/>
        </w:rPr>
        <w:t>2022</w:t>
      </w:r>
      <w:r>
        <w:rPr>
          <w:rStyle w:val="20"/>
          <w:rFonts w:hint="eastAsia" w:ascii="仿宋" w:hAnsi="仿宋" w:eastAsia="仿宋"/>
          <w:color w:val="000000" w:themeColor="text1"/>
          <w:sz w:val="24"/>
          <w:szCs w:val="24"/>
        </w:rPr>
        <w:t>）第</w:t>
      </w:r>
      <w:r>
        <w:rPr>
          <w:rStyle w:val="20"/>
          <w:rFonts w:hint="eastAsia" w:ascii="仿宋" w:hAnsi="仿宋" w:eastAsia="仿宋"/>
          <w:color w:val="000000" w:themeColor="text1"/>
          <w:sz w:val="24"/>
          <w:szCs w:val="24"/>
          <w:lang w:val="en-US" w:eastAsia="zh-CN"/>
        </w:rPr>
        <w:t>174</w:t>
      </w:r>
      <w:r>
        <w:rPr>
          <w:rStyle w:val="20"/>
          <w:rFonts w:hint="eastAsia" w:ascii="仿宋" w:hAnsi="仿宋" w:eastAsia="仿宋"/>
          <w:color w:val="000000" w:themeColor="text1"/>
          <w:sz w:val="24"/>
          <w:szCs w:val="24"/>
        </w:rPr>
        <w:t>号</w:t>
      </w:r>
    </w:p>
    <w:p>
      <w:pPr>
        <w:pStyle w:val="12"/>
        <w:keepNext w:val="0"/>
        <w:keepLines w:val="0"/>
        <w:pageBreakBefore w:val="0"/>
        <w:widowControl/>
        <w:kinsoku/>
        <w:wordWrap/>
        <w:overflowPunct/>
        <w:topLinePunct w:val="0"/>
        <w:autoSpaceDE/>
        <w:autoSpaceDN/>
        <w:bidi w:val="0"/>
        <w:adjustRightInd/>
        <w:snapToGrid/>
        <w:spacing w:before="0" w:after="0" w:line="52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3" w:name="_Toc7262"/>
      <w:r>
        <w:rPr>
          <w:rStyle w:val="20"/>
          <w:rFonts w:ascii="仿宋" w:hAnsi="仿宋" w:eastAsia="仿宋" w:cs="仿宋"/>
          <w:color w:val="000000" w:themeColor="text1"/>
          <w:sz w:val="28"/>
          <w:szCs w:val="28"/>
        </w:rPr>
        <w:t>一、估价委托人</w:t>
      </w:r>
      <w:bookmarkEnd w:id="3"/>
      <w:bookmarkStart w:id="19" w:name="_GoBack"/>
      <w:bookmarkEnd w:id="19"/>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baseline"/>
        <w:rPr>
          <w:rStyle w:val="20"/>
          <w:rFonts w:ascii="仿宋" w:hAnsi="仿宋" w:eastAsia="仿宋"/>
          <w:color w:val="000000" w:themeColor="text1"/>
          <w:kern w:val="96"/>
          <w:szCs w:val="28"/>
        </w:rPr>
      </w:pPr>
      <w:r>
        <w:rPr>
          <w:rStyle w:val="20"/>
          <w:rFonts w:hint="eastAsia" w:ascii="仿宋" w:hAnsi="仿宋" w:eastAsia="仿宋"/>
          <w:color w:val="000000" w:themeColor="text1"/>
          <w:kern w:val="96"/>
          <w:szCs w:val="28"/>
          <w:lang w:eastAsia="zh-CN"/>
        </w:rPr>
        <w:t>三穗县人民法院</w:t>
      </w:r>
    </w:p>
    <w:p>
      <w:pPr>
        <w:pStyle w:val="12"/>
        <w:keepNext w:val="0"/>
        <w:keepLines w:val="0"/>
        <w:pageBreakBefore w:val="0"/>
        <w:widowControl/>
        <w:kinsoku/>
        <w:wordWrap/>
        <w:overflowPunct/>
        <w:topLinePunct w:val="0"/>
        <w:autoSpaceDE/>
        <w:autoSpaceDN/>
        <w:bidi w:val="0"/>
        <w:adjustRightInd/>
        <w:snapToGrid/>
        <w:spacing w:before="0" w:after="0" w:line="52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4" w:name="_Toc32343"/>
      <w:r>
        <w:rPr>
          <w:rStyle w:val="20"/>
          <w:rFonts w:ascii="仿宋" w:hAnsi="仿宋" w:eastAsia="仿宋" w:cs="仿宋"/>
          <w:color w:val="000000" w:themeColor="text1"/>
          <w:sz w:val="28"/>
          <w:szCs w:val="28"/>
        </w:rPr>
        <w:t>二、房地产估价机构</w:t>
      </w:r>
      <w:bookmarkEnd w:id="4"/>
    </w:p>
    <w:p>
      <w:pPr>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公司名称：贵州精诚房地产估价有限责任公司</w:t>
      </w:r>
    </w:p>
    <w:p>
      <w:pPr>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注册地址：诚信路东侧群升千禧广场05-07B地块19层7号</w:t>
      </w:r>
    </w:p>
    <w:p>
      <w:pPr>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统一社会信用代码：91520100780159986T</w:t>
      </w:r>
    </w:p>
    <w:p>
      <w:pPr>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 xml:space="preserve">法定代表人：徐颖  </w:t>
      </w:r>
    </w:p>
    <w:p>
      <w:pPr>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 xml:space="preserve">资质等级：壹级    </w:t>
      </w:r>
    </w:p>
    <w:p>
      <w:pPr>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备案证书编号：建房估证字Ａ2005001号</w:t>
      </w:r>
    </w:p>
    <w:p>
      <w:pPr>
        <w:spacing w:line="52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联系电话：0851-84614068</w:t>
      </w:r>
    </w:p>
    <w:p>
      <w:pPr>
        <w:pStyle w:val="12"/>
        <w:keepNext w:val="0"/>
        <w:keepLines w:val="0"/>
        <w:pageBreakBefore w:val="0"/>
        <w:widowControl/>
        <w:kinsoku/>
        <w:wordWrap/>
        <w:overflowPunct/>
        <w:topLinePunct w:val="0"/>
        <w:autoSpaceDE/>
        <w:autoSpaceDN/>
        <w:bidi w:val="0"/>
        <w:adjustRightInd/>
        <w:snapToGrid/>
        <w:spacing w:before="0" w:after="0" w:line="52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5" w:name="_Toc16931"/>
      <w:r>
        <w:rPr>
          <w:rStyle w:val="20"/>
          <w:rFonts w:ascii="仿宋" w:hAnsi="仿宋" w:eastAsia="仿宋" w:cs="仿宋"/>
          <w:color w:val="000000" w:themeColor="text1"/>
          <w:sz w:val="28"/>
          <w:szCs w:val="28"/>
        </w:rPr>
        <w:t>三、估价目的</w:t>
      </w:r>
      <w:bookmarkEnd w:id="5"/>
      <w:r>
        <w:rPr>
          <w:rStyle w:val="20"/>
          <w:rFonts w:ascii="仿宋" w:hAnsi="仿宋" w:eastAsia="仿宋" w:cs="仿宋"/>
          <w:color w:val="000000" w:themeColor="text1"/>
          <w:sz w:val="28"/>
          <w:szCs w:val="28"/>
        </w:rPr>
        <w:tab/>
      </w:r>
    </w:p>
    <w:p>
      <w:pPr>
        <w:pStyle w:val="12"/>
        <w:keepNext w:val="0"/>
        <w:keepLines w:val="0"/>
        <w:pageBreakBefore w:val="0"/>
        <w:widowControl/>
        <w:kinsoku/>
        <w:wordWrap/>
        <w:overflowPunct/>
        <w:topLinePunct w:val="0"/>
        <w:autoSpaceDE/>
        <w:autoSpaceDN/>
        <w:bidi w:val="0"/>
        <w:adjustRightInd/>
        <w:snapToGrid/>
        <w:spacing w:before="0" w:after="0" w:line="500" w:lineRule="exact"/>
        <w:ind w:firstLine="592" w:firstLineChars="200"/>
        <w:jc w:val="left"/>
        <w:textAlignment w:val="baseline"/>
        <w:outlineLvl w:val="1"/>
        <w:rPr>
          <w:rStyle w:val="20"/>
          <w:rFonts w:hint="eastAsia" w:ascii="仿宋" w:hAnsi="仿宋" w:eastAsia="仿宋"/>
          <w:b w:val="0"/>
          <w:bCs w:val="0"/>
          <w:color w:val="000000" w:themeColor="text1"/>
          <w:spacing w:val="8"/>
          <w:sz w:val="28"/>
          <w:szCs w:val="28"/>
          <w:lang w:eastAsia="zh-CN"/>
        </w:rPr>
      </w:pPr>
      <w:bookmarkStart w:id="6" w:name="_Toc519"/>
      <w:r>
        <w:rPr>
          <w:rStyle w:val="20"/>
          <w:rFonts w:hint="eastAsia" w:ascii="仿宋" w:hAnsi="仿宋" w:eastAsia="仿宋"/>
          <w:b w:val="0"/>
          <w:bCs w:val="0"/>
          <w:color w:val="000000" w:themeColor="text1"/>
          <w:spacing w:val="8"/>
          <w:sz w:val="28"/>
          <w:szCs w:val="28"/>
          <w:lang w:eastAsia="zh-CN"/>
        </w:rPr>
        <w:t>为三穗县人民法院执行“龙万海与游顺钊借款合同纠纷一案”确定财产处置参考价提供参考依据。</w:t>
      </w:r>
    </w:p>
    <w:p>
      <w:pPr>
        <w:pStyle w:val="12"/>
        <w:keepNext w:val="0"/>
        <w:keepLines w:val="0"/>
        <w:pageBreakBefore w:val="0"/>
        <w:widowControl/>
        <w:kinsoku/>
        <w:wordWrap/>
        <w:overflowPunct/>
        <w:topLinePunct w:val="0"/>
        <w:autoSpaceDE/>
        <w:autoSpaceDN/>
        <w:bidi w:val="0"/>
        <w:adjustRightInd/>
        <w:snapToGrid/>
        <w:spacing w:before="0" w:after="0" w:line="500" w:lineRule="exact"/>
        <w:ind w:firstLine="562" w:firstLineChars="200"/>
        <w:jc w:val="left"/>
        <w:textAlignment w:val="baseline"/>
        <w:outlineLvl w:val="1"/>
        <w:rPr>
          <w:rStyle w:val="20"/>
          <w:rFonts w:ascii="仿宋" w:hAnsi="仿宋" w:eastAsia="仿宋" w:cs="仿宋"/>
          <w:color w:val="000000" w:themeColor="text1"/>
          <w:sz w:val="28"/>
          <w:szCs w:val="28"/>
        </w:rPr>
      </w:pPr>
      <w:r>
        <w:rPr>
          <w:rStyle w:val="20"/>
          <w:rFonts w:ascii="仿宋" w:hAnsi="仿宋" w:eastAsia="仿宋" w:cs="仿宋"/>
          <w:color w:val="000000" w:themeColor="text1"/>
          <w:sz w:val="28"/>
          <w:szCs w:val="28"/>
        </w:rPr>
        <w:t>四、估价对象</w:t>
      </w:r>
      <w:bookmarkEnd w:id="6"/>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92" w:firstLineChars="200"/>
        <w:textAlignment w:val="baseline"/>
        <w:rPr>
          <w:rStyle w:val="20"/>
          <w:rFonts w:ascii="仿宋" w:hAnsi="仿宋" w:eastAsia="仿宋"/>
          <w:color w:val="000000" w:themeColor="text1"/>
          <w:spacing w:val="8"/>
          <w:szCs w:val="28"/>
        </w:rPr>
      </w:pPr>
      <w:r>
        <w:rPr>
          <w:rStyle w:val="20"/>
          <w:rFonts w:hint="eastAsia" w:ascii="仿宋" w:hAnsi="仿宋" w:eastAsia="仿宋"/>
          <w:color w:val="000000" w:themeColor="text1"/>
          <w:spacing w:val="8"/>
          <w:szCs w:val="28"/>
          <w:lang w:eastAsia="zh-CN"/>
        </w:rPr>
        <w:t>（一）</w:t>
      </w:r>
      <w:r>
        <w:rPr>
          <w:rStyle w:val="20"/>
          <w:rFonts w:ascii="仿宋" w:hAnsi="仿宋" w:eastAsia="仿宋"/>
          <w:color w:val="000000" w:themeColor="text1"/>
          <w:spacing w:val="8"/>
          <w:szCs w:val="28"/>
        </w:rPr>
        <w:t>估价对象范围</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szCs w:val="28"/>
        </w:rPr>
      </w:pPr>
      <w:r>
        <w:rPr>
          <w:rStyle w:val="20"/>
          <w:rFonts w:ascii="仿宋" w:hAnsi="仿宋" w:eastAsia="仿宋"/>
          <w:color w:val="000000" w:themeColor="text1"/>
          <w:szCs w:val="28"/>
        </w:rPr>
        <w:t>本次估价对象为位于</w:t>
      </w:r>
      <w:r>
        <w:rPr>
          <w:rStyle w:val="20"/>
          <w:rFonts w:hint="eastAsia" w:ascii="仿宋" w:hAnsi="仿宋" w:eastAsia="仿宋" w:cs="Times New Roman"/>
          <w:color w:val="auto"/>
          <w:szCs w:val="28"/>
          <w:lang w:val="en-US" w:eastAsia="zh-CN"/>
        </w:rPr>
        <w:t>三穗县八弓镇灵山南路鸿地幸福里D栋2-4-2号</w:t>
      </w:r>
      <w:r>
        <w:rPr>
          <w:rStyle w:val="20"/>
          <w:rFonts w:hint="eastAsia" w:ascii="仿宋" w:hAnsi="仿宋" w:eastAsia="仿宋"/>
          <w:color w:val="000000" w:themeColor="text1"/>
          <w:szCs w:val="28"/>
          <w:lang w:val="en-US" w:eastAsia="zh-CN"/>
        </w:rPr>
        <w:t>一套住宅用房</w:t>
      </w:r>
      <w:r>
        <w:rPr>
          <w:rStyle w:val="20"/>
          <w:rFonts w:hint="eastAsia" w:ascii="仿宋" w:hAnsi="仿宋" w:eastAsia="仿宋"/>
          <w:color w:val="000000" w:themeColor="text1"/>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hint="eastAsia" w:ascii="仿宋" w:hAnsi="仿宋" w:eastAsia="仿宋"/>
          <w:color w:val="000000" w:themeColor="text1"/>
          <w:szCs w:val="28"/>
          <w:lang w:val="en-US" w:eastAsia="zh-CN"/>
        </w:rPr>
        <w:t>估价委托人未提供估价对象的《不动产权证书》，根据估价委托人提供的《</w:t>
      </w:r>
      <w:r>
        <w:rPr>
          <w:rStyle w:val="20"/>
          <w:rFonts w:hint="eastAsia" w:ascii="仿宋" w:hAnsi="仿宋" w:eastAsia="仿宋"/>
          <w:color w:val="auto"/>
          <w:szCs w:val="28"/>
          <w:lang w:eastAsia="zh-CN"/>
        </w:rPr>
        <w:t>贵州省不动产登记查询结果</w:t>
      </w:r>
      <w:r>
        <w:rPr>
          <w:rStyle w:val="20"/>
          <w:rFonts w:hint="eastAsia" w:ascii="仿宋" w:hAnsi="仿宋" w:eastAsia="仿宋"/>
          <w:color w:val="000000" w:themeColor="text1"/>
          <w:szCs w:val="28"/>
          <w:lang w:val="en-US" w:eastAsia="zh-CN"/>
        </w:rPr>
        <w:t>》</w:t>
      </w:r>
      <w:r>
        <w:rPr>
          <w:rStyle w:val="20"/>
          <w:rFonts w:hint="eastAsia" w:ascii="仿宋" w:hAnsi="仿宋" w:eastAsia="仿宋"/>
          <w:color w:val="000000" w:themeColor="text1"/>
          <w:szCs w:val="28"/>
          <w:lang w:eastAsia="zh-CN"/>
        </w:rPr>
        <w:t>、估价委托人提供的房屋信息及估价人员现场查勘</w:t>
      </w:r>
      <w:r>
        <w:rPr>
          <w:rStyle w:val="20"/>
          <w:rFonts w:hint="eastAsia" w:ascii="仿宋" w:hAnsi="仿宋" w:eastAsia="仿宋"/>
          <w:color w:val="000000" w:themeColor="text1"/>
          <w:szCs w:val="28"/>
        </w:rPr>
        <w:t>可知，</w:t>
      </w:r>
      <w:r>
        <w:rPr>
          <w:rStyle w:val="20"/>
          <w:rFonts w:hint="eastAsia" w:ascii="仿宋" w:hAnsi="仿宋" w:eastAsia="仿宋"/>
          <w:color w:val="000000" w:themeColor="text1"/>
          <w:szCs w:val="28"/>
          <w:lang w:eastAsia="zh-CN"/>
        </w:rPr>
        <w:t>房屋坐落于</w:t>
      </w:r>
      <w:r>
        <w:rPr>
          <w:rStyle w:val="20"/>
          <w:rFonts w:hint="eastAsia" w:ascii="仿宋" w:hAnsi="仿宋" w:eastAsia="仿宋" w:cs="Times New Roman"/>
          <w:color w:val="auto"/>
          <w:szCs w:val="28"/>
          <w:lang w:val="en-US" w:eastAsia="zh-CN"/>
        </w:rPr>
        <w:t>八弓镇灵山南路鸿地幸福里D栋2-4-2，</w:t>
      </w:r>
      <w:r>
        <w:rPr>
          <w:rStyle w:val="20"/>
          <w:rFonts w:hint="eastAsia" w:ascii="仿宋" w:hAnsi="仿宋" w:eastAsia="仿宋"/>
          <w:color w:val="000000" w:themeColor="text1"/>
          <w:szCs w:val="28"/>
          <w:lang w:val="en-US" w:eastAsia="zh-CN"/>
        </w:rPr>
        <w:t>房屋权利人为游顺钊，不动产权证书/证明号为201501552，不动产单元号522624001015GB00220F00010007，房屋</w:t>
      </w:r>
      <w:r>
        <w:rPr>
          <w:rStyle w:val="20"/>
          <w:rFonts w:ascii="仿宋" w:hAnsi="仿宋" w:eastAsia="仿宋"/>
          <w:color w:val="000000" w:themeColor="text1"/>
          <w:szCs w:val="28"/>
        </w:rPr>
        <w:t>用途为</w:t>
      </w:r>
      <w:r>
        <w:rPr>
          <w:rStyle w:val="20"/>
          <w:rFonts w:hint="eastAsia" w:ascii="仿宋" w:hAnsi="仿宋" w:eastAsia="仿宋"/>
          <w:color w:val="000000" w:themeColor="text1"/>
          <w:szCs w:val="28"/>
          <w:lang w:val="en-US" w:eastAsia="zh-CN"/>
        </w:rPr>
        <w:t>成套住宅</w:t>
      </w:r>
      <w:r>
        <w:rPr>
          <w:rStyle w:val="20"/>
          <w:rFonts w:ascii="仿宋" w:hAnsi="仿宋" w:eastAsia="仿宋"/>
          <w:color w:val="000000" w:themeColor="text1"/>
          <w:szCs w:val="28"/>
        </w:rPr>
        <w:t>，建筑面积为</w:t>
      </w:r>
      <w:r>
        <w:rPr>
          <w:rStyle w:val="20"/>
          <w:rFonts w:hint="eastAsia" w:ascii="仿宋" w:hAnsi="仿宋" w:eastAsia="仿宋"/>
          <w:color w:val="000000" w:themeColor="text1"/>
          <w:szCs w:val="28"/>
          <w:lang w:val="en-US" w:eastAsia="zh-CN"/>
        </w:rPr>
        <w:t>119.56</w:t>
      </w:r>
      <w:r>
        <w:rPr>
          <w:rStyle w:val="20"/>
          <w:rFonts w:ascii="仿宋" w:hAnsi="仿宋" w:eastAsia="仿宋"/>
          <w:color w:val="000000" w:themeColor="text1"/>
          <w:szCs w:val="28"/>
        </w:rPr>
        <w:t>平方米，户型为</w:t>
      </w:r>
      <w:r>
        <w:rPr>
          <w:rStyle w:val="20"/>
          <w:rFonts w:hint="eastAsia" w:ascii="仿宋" w:hAnsi="仿宋" w:eastAsia="仿宋"/>
          <w:color w:val="000000" w:themeColor="text1"/>
          <w:szCs w:val="28"/>
        </w:rPr>
        <w:t>三室</w:t>
      </w:r>
      <w:r>
        <w:rPr>
          <w:rStyle w:val="20"/>
          <w:rFonts w:hint="eastAsia" w:ascii="仿宋" w:hAnsi="仿宋" w:eastAsia="仿宋"/>
          <w:color w:val="000000" w:themeColor="text1"/>
          <w:szCs w:val="28"/>
          <w:lang w:eastAsia="zh-CN"/>
        </w:rPr>
        <w:t>一</w:t>
      </w:r>
      <w:r>
        <w:rPr>
          <w:rStyle w:val="20"/>
          <w:rFonts w:hint="eastAsia" w:ascii="仿宋" w:hAnsi="仿宋" w:eastAsia="仿宋"/>
          <w:color w:val="000000" w:themeColor="text1"/>
          <w:szCs w:val="28"/>
        </w:rPr>
        <w:t>厅两卫一厨</w:t>
      </w:r>
      <w:r>
        <w:rPr>
          <w:rStyle w:val="20"/>
          <w:rFonts w:ascii="仿宋" w:hAnsi="仿宋" w:eastAsia="仿宋"/>
          <w:color w:val="000000" w:themeColor="text1"/>
          <w:szCs w:val="28"/>
        </w:rPr>
        <w:t>，所在楼幢总层数</w:t>
      </w:r>
      <w:r>
        <w:rPr>
          <w:rStyle w:val="20"/>
          <w:rFonts w:hint="eastAsia" w:ascii="仿宋" w:hAnsi="仿宋" w:eastAsia="仿宋"/>
          <w:color w:val="000000" w:themeColor="text1"/>
          <w:szCs w:val="28"/>
          <w:lang w:val="en-US" w:eastAsia="zh-CN"/>
        </w:rPr>
        <w:t>7</w:t>
      </w:r>
      <w:r>
        <w:rPr>
          <w:rStyle w:val="20"/>
          <w:rFonts w:ascii="仿宋" w:hAnsi="仿宋" w:eastAsia="仿宋"/>
          <w:color w:val="000000" w:themeColor="text1"/>
          <w:szCs w:val="28"/>
        </w:rPr>
        <w:t>层（</w:t>
      </w:r>
      <w:r>
        <w:rPr>
          <w:rStyle w:val="20"/>
          <w:rFonts w:hint="eastAsia" w:ascii="仿宋" w:hAnsi="仿宋" w:eastAsia="仿宋"/>
          <w:color w:val="000000" w:themeColor="text1"/>
          <w:szCs w:val="28"/>
          <w:lang w:eastAsia="zh-CN"/>
        </w:rPr>
        <w:t>均为</w:t>
      </w:r>
      <w:r>
        <w:rPr>
          <w:rStyle w:val="20"/>
          <w:rFonts w:ascii="仿宋" w:hAnsi="仿宋" w:eastAsia="仿宋"/>
          <w:color w:val="000000" w:themeColor="text1"/>
          <w:szCs w:val="28"/>
        </w:rPr>
        <w:t>地上），估价对象</w:t>
      </w:r>
      <w:r>
        <w:rPr>
          <w:rStyle w:val="20"/>
          <w:rFonts w:hint="eastAsia" w:ascii="仿宋" w:hAnsi="仿宋" w:eastAsia="仿宋"/>
          <w:color w:val="000000" w:themeColor="text1"/>
          <w:szCs w:val="28"/>
          <w:lang w:eastAsia="zh-CN"/>
        </w:rPr>
        <w:t>位于</w:t>
      </w:r>
      <w:r>
        <w:rPr>
          <w:rStyle w:val="20"/>
          <w:rFonts w:ascii="仿宋" w:hAnsi="仿宋" w:eastAsia="仿宋"/>
          <w:color w:val="000000" w:themeColor="text1"/>
          <w:szCs w:val="28"/>
        </w:rPr>
        <w:t>第</w:t>
      </w:r>
      <w:r>
        <w:rPr>
          <w:rStyle w:val="20"/>
          <w:rFonts w:hint="eastAsia" w:ascii="仿宋" w:hAnsi="仿宋" w:eastAsia="仿宋"/>
          <w:color w:val="000000" w:themeColor="text1"/>
          <w:szCs w:val="28"/>
          <w:lang w:val="en-US" w:eastAsia="zh-CN"/>
        </w:rPr>
        <w:t>4</w:t>
      </w:r>
      <w:r>
        <w:rPr>
          <w:rStyle w:val="20"/>
          <w:rFonts w:ascii="仿宋" w:hAnsi="仿宋" w:eastAsia="仿宋"/>
          <w:color w:val="000000" w:themeColor="text1"/>
          <w:szCs w:val="28"/>
        </w:rPr>
        <w:t>层，建成年代约20</w:t>
      </w:r>
      <w:r>
        <w:rPr>
          <w:rStyle w:val="20"/>
          <w:rFonts w:hint="eastAsia" w:ascii="仿宋" w:hAnsi="仿宋" w:eastAsia="仿宋"/>
          <w:color w:val="000000" w:themeColor="text1"/>
          <w:szCs w:val="28"/>
          <w:lang w:val="en-US" w:eastAsia="zh-CN"/>
        </w:rPr>
        <w:t>05</w:t>
      </w:r>
      <w:r>
        <w:rPr>
          <w:rStyle w:val="20"/>
          <w:rFonts w:ascii="仿宋" w:hAnsi="仿宋" w:eastAsia="仿宋"/>
          <w:color w:val="000000" w:themeColor="text1"/>
          <w:szCs w:val="28"/>
        </w:rPr>
        <w:t>年，</w:t>
      </w:r>
      <w:r>
        <w:rPr>
          <w:rStyle w:val="20"/>
          <w:rFonts w:hint="eastAsia" w:ascii="仿宋" w:hAnsi="仿宋" w:eastAsia="仿宋"/>
          <w:color w:val="000000" w:themeColor="text1"/>
          <w:szCs w:val="28"/>
          <w:lang w:eastAsia="zh-CN"/>
        </w:rPr>
        <w:t>步梯房，</w:t>
      </w:r>
      <w:r>
        <w:rPr>
          <w:rStyle w:val="20"/>
          <w:rFonts w:hint="eastAsia" w:ascii="仿宋" w:hAnsi="仿宋" w:eastAsia="仿宋"/>
          <w:color w:val="000000" w:themeColor="text1"/>
          <w:szCs w:val="28"/>
          <w:lang w:val="en-US" w:eastAsia="zh-CN"/>
        </w:rPr>
        <w:t>房屋结构为</w:t>
      </w:r>
      <w:r>
        <w:rPr>
          <w:rStyle w:val="20"/>
          <w:rFonts w:hint="eastAsia" w:ascii="仿宋" w:hAnsi="仿宋" w:eastAsia="仿宋"/>
          <w:color w:val="000000" w:themeColor="text1"/>
          <w:szCs w:val="28"/>
        </w:rPr>
        <w:t>钢筋混凝土</w:t>
      </w:r>
      <w:r>
        <w:rPr>
          <w:rStyle w:val="20"/>
          <w:rFonts w:ascii="仿宋" w:hAnsi="仿宋" w:eastAsia="仿宋"/>
          <w:color w:val="000000" w:themeColor="text1"/>
          <w:szCs w:val="28"/>
        </w:rPr>
        <w:t>结构。</w:t>
      </w:r>
    </w:p>
    <w:p>
      <w:pPr>
        <w:keepNext w:val="0"/>
        <w:keepLines w:val="0"/>
        <w:pageBreakBefore w:val="0"/>
        <w:widowControl w:val="0"/>
        <w:kinsoku/>
        <w:wordWrap/>
        <w:overflowPunct/>
        <w:topLinePunct w:val="0"/>
        <w:autoSpaceDE/>
        <w:autoSpaceDN/>
        <w:bidi w:val="0"/>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估价范围包括估价对象应分摊的土地使用权</w:t>
      </w:r>
      <w:r>
        <w:rPr>
          <w:rStyle w:val="20"/>
          <w:rFonts w:hint="eastAsia" w:ascii="仿宋" w:hAnsi="仿宋" w:eastAsia="仿宋"/>
          <w:color w:val="000000" w:themeColor="text1"/>
          <w:szCs w:val="28"/>
          <w:lang w:eastAsia="zh-CN"/>
        </w:rPr>
        <w:t>、</w:t>
      </w:r>
      <w:r>
        <w:rPr>
          <w:rStyle w:val="20"/>
          <w:rFonts w:hint="eastAsia" w:ascii="仿宋" w:hAnsi="仿宋" w:eastAsia="仿宋"/>
          <w:color w:val="000000" w:themeColor="text1"/>
          <w:szCs w:val="28"/>
          <w:lang w:val="en-US" w:eastAsia="zh-CN"/>
        </w:rPr>
        <w:t>室内装修</w:t>
      </w:r>
      <w:r>
        <w:rPr>
          <w:rFonts w:hint="eastAsia" w:ascii="仿宋" w:hAnsi="仿宋" w:eastAsia="仿宋" w:cs="仿宋"/>
          <w:color w:val="000000"/>
          <w:szCs w:val="28"/>
          <w:lang w:val="en-US" w:eastAsia="zh-CN"/>
        </w:rPr>
        <w:t>不可移动部分</w:t>
      </w:r>
      <w:r>
        <w:rPr>
          <w:rStyle w:val="20"/>
          <w:rFonts w:ascii="仿宋" w:hAnsi="仿宋" w:eastAsia="仿宋"/>
          <w:color w:val="000000" w:themeColor="text1"/>
          <w:szCs w:val="28"/>
        </w:rPr>
        <w:t>及应享有的所在物业公共配套权益，但不包括</w:t>
      </w:r>
      <w:r>
        <w:rPr>
          <w:rStyle w:val="20"/>
          <w:rFonts w:hint="eastAsia" w:ascii="仿宋" w:hAnsi="仿宋" w:eastAsia="仿宋"/>
          <w:color w:val="000000" w:themeColor="text1"/>
          <w:szCs w:val="28"/>
        </w:rPr>
        <w:t>室内</w:t>
      </w:r>
      <w:r>
        <w:rPr>
          <w:rStyle w:val="20"/>
          <w:rFonts w:ascii="仿宋" w:hAnsi="仿宋" w:eastAsia="仿宋"/>
          <w:color w:val="000000" w:themeColor="text1"/>
          <w:szCs w:val="28"/>
        </w:rPr>
        <w:t>可移动物品</w:t>
      </w:r>
      <w:r>
        <w:rPr>
          <w:rStyle w:val="20"/>
          <w:rFonts w:hint="eastAsia" w:ascii="仿宋" w:hAnsi="仿宋" w:eastAsia="仿宋"/>
          <w:color w:val="000000" w:themeColor="text1"/>
          <w:szCs w:val="28"/>
          <w:lang w:eastAsia="zh-CN"/>
        </w:rPr>
        <w:t>、</w:t>
      </w:r>
      <w:r>
        <w:rPr>
          <w:rStyle w:val="20"/>
          <w:rFonts w:hint="eastAsia" w:ascii="仿宋" w:hAnsi="仿宋" w:eastAsia="仿宋"/>
          <w:color w:val="000000" w:themeColor="text1"/>
          <w:szCs w:val="28"/>
          <w:lang w:val="en-US" w:eastAsia="zh-CN"/>
        </w:rPr>
        <w:t>设备</w:t>
      </w:r>
      <w:r>
        <w:rPr>
          <w:rStyle w:val="20"/>
          <w:rFonts w:ascii="仿宋" w:hAnsi="仿宋" w:eastAsia="仿宋"/>
          <w:color w:val="000000" w:themeColor="text1"/>
          <w:szCs w:val="28"/>
        </w:rPr>
        <w:t>及估价对象所涉及的债权债务。</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hint="eastAsia" w:ascii="仿宋" w:hAnsi="仿宋" w:eastAsia="仿宋"/>
          <w:color w:val="000000" w:themeColor="text1"/>
          <w:szCs w:val="28"/>
          <w:lang w:eastAsia="zh-CN"/>
        </w:rPr>
        <w:t>（二）</w:t>
      </w:r>
      <w:r>
        <w:rPr>
          <w:rStyle w:val="20"/>
          <w:rFonts w:ascii="仿宋" w:hAnsi="仿宋" w:eastAsia="仿宋"/>
          <w:color w:val="000000" w:themeColor="text1"/>
          <w:szCs w:val="28"/>
        </w:rPr>
        <w:t>估价对象基本情况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1、名称、坐落：</w:t>
      </w:r>
      <w:r>
        <w:rPr>
          <w:rStyle w:val="20"/>
          <w:rFonts w:hint="eastAsia" w:ascii="仿宋" w:hAnsi="仿宋" w:eastAsia="仿宋" w:cs="Times New Roman"/>
          <w:color w:val="auto"/>
          <w:szCs w:val="28"/>
          <w:lang w:val="en-US" w:eastAsia="zh-CN"/>
        </w:rPr>
        <w:t>三穗县八弓镇灵山南路鸿地幸福里D栋2-4-2号一套住宅</w:t>
      </w:r>
      <w:r>
        <w:rPr>
          <w:rStyle w:val="20"/>
          <w:rFonts w:ascii="仿宋" w:hAnsi="仿宋" w:eastAsia="仿宋"/>
          <w:color w:val="auto"/>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2、权</w:t>
      </w:r>
      <w:r>
        <w:rPr>
          <w:rStyle w:val="20"/>
          <w:rFonts w:hint="eastAsia" w:ascii="仿宋" w:hAnsi="仿宋" w:eastAsia="仿宋"/>
          <w:color w:val="auto"/>
          <w:szCs w:val="28"/>
          <w:lang w:eastAsia="zh-CN"/>
        </w:rPr>
        <w:t>益</w:t>
      </w:r>
      <w:r>
        <w:rPr>
          <w:rStyle w:val="20"/>
          <w:rFonts w:ascii="仿宋" w:hAnsi="仿宋" w:eastAsia="仿宋"/>
          <w:color w:val="auto"/>
          <w:szCs w:val="28"/>
        </w:rPr>
        <w:t>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根据估价委托人提供的</w:t>
      </w:r>
      <w:r>
        <w:rPr>
          <w:rStyle w:val="20"/>
          <w:rFonts w:hint="eastAsia" w:ascii="仿宋" w:hAnsi="仿宋" w:eastAsia="仿宋"/>
          <w:color w:val="auto"/>
          <w:szCs w:val="28"/>
          <w:lang w:eastAsia="zh-CN"/>
        </w:rPr>
        <w:t>《贵州省不动产登记查询结果》</w:t>
      </w:r>
      <w:r>
        <w:rPr>
          <w:rStyle w:val="20"/>
          <w:rFonts w:ascii="仿宋" w:hAnsi="仿宋" w:eastAsia="仿宋"/>
          <w:color w:val="auto"/>
        </w:rPr>
        <w:t>复</w:t>
      </w:r>
      <w:r>
        <w:rPr>
          <w:rStyle w:val="20"/>
          <w:rFonts w:ascii="仿宋" w:hAnsi="仿宋" w:eastAsia="仿宋"/>
          <w:color w:val="auto"/>
          <w:szCs w:val="28"/>
        </w:rPr>
        <w:t>印件记载的内容</w:t>
      </w:r>
      <w:r>
        <w:rPr>
          <w:rStyle w:val="20"/>
          <w:rFonts w:hint="eastAsia" w:ascii="仿宋" w:hAnsi="仿宋" w:eastAsia="仿宋"/>
          <w:color w:val="auto"/>
          <w:szCs w:val="28"/>
        </w:rPr>
        <w:t>显示</w:t>
      </w:r>
      <w:r>
        <w:rPr>
          <w:rStyle w:val="20"/>
          <w:rFonts w:ascii="仿宋" w:hAnsi="仿宋" w:eastAsia="仿宋"/>
          <w:color w:val="auto"/>
          <w:szCs w:val="28"/>
        </w:rPr>
        <w:t>:</w:t>
      </w:r>
    </w:p>
    <w:p>
      <w:pPr>
        <w:pStyle w:val="15"/>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eastAsia="仿宋"/>
          <w:lang w:eastAsia="zh-CN"/>
        </w:rPr>
      </w:pPr>
      <w:r>
        <w:rPr>
          <w:rStyle w:val="20"/>
          <w:rFonts w:hint="eastAsia" w:ascii="仿宋" w:hAnsi="仿宋" w:eastAsia="仿宋"/>
          <w:color w:val="auto"/>
          <w:szCs w:val="28"/>
          <w:lang w:eastAsia="zh-CN"/>
        </w:rPr>
        <w:t>（</w:t>
      </w:r>
      <w:r>
        <w:rPr>
          <w:rStyle w:val="20"/>
          <w:rFonts w:hint="eastAsia" w:ascii="仿宋" w:hAnsi="仿宋" w:eastAsia="仿宋"/>
          <w:color w:val="auto"/>
          <w:szCs w:val="28"/>
          <w:lang w:val="en-US" w:eastAsia="zh-CN"/>
        </w:rPr>
        <w:t>1</w:t>
      </w:r>
      <w:r>
        <w:rPr>
          <w:rStyle w:val="20"/>
          <w:rFonts w:hint="eastAsia" w:ascii="仿宋" w:hAnsi="仿宋" w:eastAsia="仿宋"/>
          <w:color w:val="auto"/>
          <w:szCs w:val="28"/>
          <w:lang w:eastAsia="zh-CN"/>
        </w:rPr>
        <w:t>）房屋产权信息</w:t>
      </w:r>
    </w:p>
    <w:tbl>
      <w:tblPr>
        <w:tblStyle w:val="16"/>
        <w:tblW w:w="108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3"/>
        <w:gridCol w:w="981"/>
        <w:gridCol w:w="854"/>
        <w:gridCol w:w="1575"/>
        <w:gridCol w:w="1485"/>
        <w:gridCol w:w="1117"/>
        <w:gridCol w:w="768"/>
        <w:gridCol w:w="1239"/>
        <w:gridCol w:w="785"/>
        <w:gridCol w:w="1015"/>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权利人</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证件号码</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不动产权证书/证明号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不动产</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单元号</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坐落</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用途</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面积</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权属状态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登记状态</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登记时间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游顺钊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522624197602070030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201501552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522624001015GB00220F00010007</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八弓镇灵山路鸿地幸福里D栋2-4-2</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成套住宅</w:t>
            </w:r>
          </w:p>
        </w:tc>
        <w:tc>
          <w:tcPr>
            <w:tcW w:w="12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119.56㎡</w:t>
            </w:r>
          </w:p>
        </w:tc>
        <w:tc>
          <w:tcPr>
            <w:tcW w:w="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现势</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权属、抵押</w:t>
            </w:r>
          </w:p>
        </w:tc>
        <w:tc>
          <w:tcPr>
            <w:tcW w:w="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keepNext w:val="0"/>
        <w:keepLines w:val="0"/>
        <w:pageBreakBefore w:val="0"/>
        <w:widowControl w:val="0"/>
        <w:numPr>
          <w:ilvl w:val="0"/>
          <w:numId w:val="0"/>
        </w:numPr>
        <w:tabs>
          <w:tab w:val="left" w:pos="3387"/>
        </w:tabs>
        <w:kinsoku/>
        <w:wordWrap/>
        <w:overflowPunct/>
        <w:topLinePunct w:val="0"/>
        <w:autoSpaceDE/>
        <w:autoSpaceDN/>
        <w:bidi w:val="0"/>
        <w:adjustRightInd/>
        <w:snapToGrid/>
        <w:spacing w:line="500" w:lineRule="exact"/>
        <w:ind w:firstLine="560" w:firstLineChars="200"/>
        <w:textAlignment w:val="auto"/>
        <w:rPr>
          <w:rStyle w:val="20"/>
          <w:rFonts w:hint="eastAsia" w:ascii="仿宋" w:hAnsi="仿宋" w:eastAsia="仿宋"/>
          <w:color w:val="auto"/>
          <w:szCs w:val="28"/>
          <w:lang w:eastAsia="zh-CN"/>
        </w:rPr>
      </w:pPr>
      <w:r>
        <w:rPr>
          <w:rStyle w:val="20"/>
          <w:rFonts w:hint="eastAsia" w:ascii="仿宋" w:hAnsi="仿宋" w:eastAsia="仿宋"/>
          <w:color w:val="auto"/>
          <w:szCs w:val="28"/>
          <w:lang w:eastAsia="zh-CN"/>
        </w:rPr>
        <w:t>（</w:t>
      </w:r>
      <w:r>
        <w:rPr>
          <w:rStyle w:val="20"/>
          <w:rFonts w:hint="eastAsia" w:ascii="仿宋" w:hAnsi="仿宋" w:eastAsia="仿宋"/>
          <w:color w:val="auto"/>
          <w:szCs w:val="28"/>
          <w:lang w:val="en-US" w:eastAsia="zh-CN"/>
        </w:rPr>
        <w:t>2</w:t>
      </w:r>
      <w:r>
        <w:rPr>
          <w:rStyle w:val="20"/>
          <w:rFonts w:hint="eastAsia" w:ascii="仿宋" w:hAnsi="仿宋" w:eastAsia="仿宋"/>
          <w:color w:val="auto"/>
          <w:szCs w:val="28"/>
          <w:lang w:eastAsia="zh-CN"/>
        </w:rPr>
        <w:t>）</w:t>
      </w:r>
      <w:r>
        <w:rPr>
          <w:rStyle w:val="20"/>
          <w:rFonts w:hint="eastAsia" w:ascii="仿宋" w:hAnsi="仿宋" w:eastAsia="仿宋"/>
          <w:color w:val="auto"/>
          <w:szCs w:val="28"/>
        </w:rPr>
        <w:t>他项权利</w:t>
      </w:r>
      <w:r>
        <w:rPr>
          <w:rStyle w:val="20"/>
          <w:rFonts w:ascii="仿宋" w:hAnsi="仿宋" w:eastAsia="仿宋"/>
          <w:color w:val="auto"/>
          <w:szCs w:val="28"/>
        </w:rPr>
        <w:t>状况</w:t>
      </w:r>
      <w:r>
        <w:rPr>
          <w:rStyle w:val="20"/>
          <w:rFonts w:hint="eastAsia" w:ascii="仿宋" w:hAnsi="仿宋" w:eastAsia="仿宋"/>
          <w:color w:val="auto"/>
          <w:szCs w:val="28"/>
          <w:lang w:eastAsia="zh-CN"/>
        </w:rPr>
        <w:tab/>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lang w:eastAsia="zh-CN"/>
        </w:rPr>
      </w:pPr>
      <w:r>
        <w:rPr>
          <w:rStyle w:val="20"/>
          <w:rFonts w:ascii="仿宋" w:hAnsi="仿宋" w:eastAsia="仿宋"/>
          <w:color w:val="auto"/>
          <w:szCs w:val="28"/>
        </w:rPr>
        <w:t>根据估价委托人提供的</w:t>
      </w:r>
      <w:r>
        <w:rPr>
          <w:rStyle w:val="20"/>
          <w:rFonts w:hint="eastAsia" w:ascii="仿宋" w:hAnsi="仿宋" w:eastAsia="仿宋"/>
          <w:color w:val="auto"/>
          <w:szCs w:val="28"/>
          <w:lang w:eastAsia="zh-CN"/>
        </w:rPr>
        <w:t>《贵州省不动产登记查询结果》</w:t>
      </w:r>
      <w:r>
        <w:rPr>
          <w:rStyle w:val="20"/>
          <w:rFonts w:ascii="仿宋" w:hAnsi="仿宋" w:eastAsia="仿宋"/>
          <w:color w:val="auto"/>
        </w:rPr>
        <w:t>复</w:t>
      </w:r>
      <w:r>
        <w:rPr>
          <w:rStyle w:val="20"/>
          <w:rFonts w:ascii="仿宋" w:hAnsi="仿宋" w:eastAsia="仿宋"/>
          <w:color w:val="auto"/>
          <w:szCs w:val="28"/>
        </w:rPr>
        <w:t>印件记载的内容</w:t>
      </w:r>
      <w:r>
        <w:rPr>
          <w:rStyle w:val="20"/>
          <w:rFonts w:hint="eastAsia" w:ascii="仿宋" w:hAnsi="仿宋" w:eastAsia="仿宋"/>
          <w:color w:val="auto"/>
          <w:szCs w:val="28"/>
          <w:lang w:eastAsia="zh-CN"/>
        </w:rPr>
        <w:t>，该房屋</w:t>
      </w:r>
      <w:r>
        <w:rPr>
          <w:rFonts w:hint="eastAsia" w:ascii="仿宋" w:hAnsi="仿宋" w:eastAsia="仿宋" w:cs="仿宋"/>
          <w:lang w:eastAsia="zh-CN"/>
        </w:rPr>
        <w:t>已抵押。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Style w:val="20"/>
          <w:rFonts w:ascii="仿宋" w:hAnsi="仿宋" w:eastAsia="仿宋"/>
          <w:color w:val="auto"/>
          <w:szCs w:val="28"/>
        </w:rPr>
      </w:pPr>
      <w:r>
        <w:rPr>
          <w:rStyle w:val="20"/>
          <w:rFonts w:hint="eastAsia" w:ascii="仿宋" w:hAnsi="仿宋" w:eastAsia="仿宋"/>
          <w:color w:val="auto"/>
          <w:szCs w:val="28"/>
          <w:lang w:eastAsia="zh-CN"/>
        </w:rPr>
        <w:t>（</w:t>
      </w:r>
      <w:r>
        <w:rPr>
          <w:rStyle w:val="20"/>
          <w:rFonts w:hint="eastAsia" w:ascii="仿宋" w:hAnsi="仿宋" w:eastAsia="仿宋"/>
          <w:color w:val="auto"/>
          <w:szCs w:val="28"/>
          <w:lang w:val="en-US" w:eastAsia="zh-CN"/>
        </w:rPr>
        <w:t>3</w:t>
      </w:r>
      <w:r>
        <w:rPr>
          <w:rStyle w:val="20"/>
          <w:rFonts w:hint="eastAsia" w:ascii="仿宋" w:hAnsi="仿宋" w:eastAsia="仿宋"/>
          <w:color w:val="auto"/>
          <w:szCs w:val="28"/>
          <w:lang w:eastAsia="zh-CN"/>
        </w:rPr>
        <w:t>）</w:t>
      </w:r>
      <w:r>
        <w:rPr>
          <w:rStyle w:val="20"/>
          <w:rFonts w:ascii="仿宋" w:hAnsi="仿宋" w:eastAsia="仿宋"/>
          <w:color w:val="auto"/>
          <w:szCs w:val="28"/>
        </w:rPr>
        <w:t>查封情况</w:t>
      </w:r>
    </w:p>
    <w:p>
      <w:pPr>
        <w:pStyle w:val="15"/>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eastAsia="仿宋"/>
          <w:lang w:eastAsia="zh-CN"/>
        </w:rPr>
      </w:pPr>
      <w:r>
        <w:rPr>
          <w:rFonts w:hint="eastAsia" w:eastAsia="仿宋"/>
          <w:lang w:eastAsia="zh-CN"/>
        </w:rPr>
        <w:t>已查封。</w:t>
      </w:r>
    </w:p>
    <w:p>
      <w:pPr>
        <w:pStyle w:val="15"/>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color w:val="000000" w:themeColor="text1"/>
        </w:rPr>
      </w:pPr>
      <w:r>
        <w:rPr>
          <w:rFonts w:hint="eastAsia" w:ascii="仿宋" w:hAnsi="仿宋" w:eastAsia="仿宋" w:cs="仿宋"/>
          <w:color w:val="000000" w:themeColor="text1"/>
          <w:szCs w:val="28"/>
          <w:lang w:val="en-US" w:eastAsia="zh-CN"/>
        </w:rPr>
        <w:t>因</w:t>
      </w:r>
      <w:r>
        <w:rPr>
          <w:rFonts w:hint="eastAsia" w:ascii="仿宋" w:hAnsi="仿宋" w:eastAsia="仿宋" w:cs="仿宋"/>
          <w:color w:val="000000" w:themeColor="text1"/>
          <w:szCs w:val="28"/>
        </w:rPr>
        <w:t>估价对象涉及司法纠纷，故其</w:t>
      </w:r>
      <w:r>
        <w:rPr>
          <w:rFonts w:hint="eastAsia" w:ascii="仿宋" w:hAnsi="仿宋" w:eastAsia="仿宋" w:cs="仿宋"/>
          <w:color w:val="000000" w:themeColor="text1"/>
          <w:szCs w:val="28"/>
          <w:lang w:eastAsia="zh-CN"/>
        </w:rPr>
        <w:t>权利</w:t>
      </w:r>
      <w:r>
        <w:rPr>
          <w:rFonts w:hint="eastAsia" w:ascii="仿宋" w:hAnsi="仿宋" w:eastAsia="仿宋" w:cs="仿宋"/>
          <w:color w:val="000000" w:themeColor="text1"/>
          <w:szCs w:val="28"/>
        </w:rPr>
        <w:t>状况由估价委托人负责解释。</w:t>
      </w:r>
    </w:p>
    <w:p>
      <w:pPr>
        <w:keepNext w:val="0"/>
        <w:keepLines w:val="0"/>
        <w:pageBreakBefore w:val="0"/>
        <w:tabs>
          <w:tab w:val="left" w:pos="8350"/>
        </w:tabs>
        <w:kinsoku/>
        <w:wordWrap/>
        <w:overflowPunct/>
        <w:topLinePunct w:val="0"/>
        <w:autoSpaceDE/>
        <w:autoSpaceDN/>
        <w:bidi w:val="0"/>
        <w:adjustRightInd/>
        <w:snapToGrid/>
        <w:spacing w:line="500" w:lineRule="exact"/>
        <w:ind w:firstLine="560" w:firstLineChars="200"/>
        <w:rPr>
          <w:rStyle w:val="20"/>
          <w:rFonts w:hint="eastAsia" w:ascii="仿宋" w:hAnsi="仿宋" w:eastAsia="仿宋"/>
          <w:color w:val="000000" w:themeColor="text1"/>
          <w:szCs w:val="28"/>
          <w:lang w:eastAsia="zh-CN"/>
        </w:rPr>
      </w:pPr>
      <w:r>
        <w:rPr>
          <w:rStyle w:val="20"/>
          <w:rFonts w:ascii="仿宋" w:hAnsi="仿宋" w:eastAsia="仿宋"/>
          <w:color w:val="000000" w:themeColor="text1"/>
          <w:szCs w:val="28"/>
        </w:rPr>
        <w:t>（三）估价对象实物状况</w:t>
      </w:r>
      <w:r>
        <w:rPr>
          <w:rStyle w:val="20"/>
          <w:rFonts w:hint="eastAsia" w:ascii="仿宋" w:hAnsi="仿宋" w:eastAsia="仿宋"/>
          <w:color w:val="000000" w:themeColor="text1"/>
          <w:szCs w:val="28"/>
          <w:lang w:eastAsia="zh-CN"/>
        </w:rPr>
        <w:tab/>
      </w:r>
    </w:p>
    <w:p>
      <w:pPr>
        <w:keepNext w:val="0"/>
        <w:keepLines w:val="0"/>
        <w:pageBreakBefore w:val="0"/>
        <w:kinsoku/>
        <w:wordWrap/>
        <w:overflowPunct/>
        <w:topLinePunct w:val="0"/>
        <w:autoSpaceDE/>
        <w:autoSpaceDN/>
        <w:bidi w:val="0"/>
        <w:adjustRightInd/>
        <w:snapToGrid/>
        <w:spacing w:line="500" w:lineRule="exact"/>
        <w:ind w:firstLine="560" w:firstLineChars="200"/>
        <w:rPr>
          <w:rFonts w:ascii="仿宋" w:hAnsi="仿宋" w:eastAsia="仿宋" w:cs="仿宋"/>
          <w:color w:val="auto"/>
          <w:szCs w:val="28"/>
        </w:rPr>
      </w:pPr>
      <w:r>
        <w:rPr>
          <w:rFonts w:hint="eastAsia" w:ascii="仿宋" w:hAnsi="仿宋" w:eastAsia="仿宋" w:cs="仿宋"/>
          <w:color w:val="auto"/>
          <w:szCs w:val="28"/>
        </w:rPr>
        <w:t>1、建筑物实物状况描述</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hint="eastAsia" w:ascii="仿宋" w:hAnsi="仿宋" w:eastAsia="仿宋" w:cs="Times New Roman"/>
          <w:color w:val="auto"/>
          <w:szCs w:val="28"/>
          <w:lang w:val="en-US" w:eastAsia="zh-CN"/>
        </w:rPr>
      </w:pPr>
      <w:r>
        <w:rPr>
          <w:rStyle w:val="20"/>
          <w:rFonts w:hint="eastAsia" w:ascii="仿宋" w:hAnsi="仿宋" w:eastAsia="仿宋" w:cs="Times New Roman"/>
          <w:color w:val="auto"/>
          <w:szCs w:val="28"/>
          <w:lang w:eastAsia="zh-CN"/>
        </w:rPr>
        <w:t>（</w:t>
      </w:r>
      <w:r>
        <w:rPr>
          <w:rStyle w:val="20"/>
          <w:rFonts w:ascii="仿宋" w:hAnsi="仿宋" w:eastAsia="仿宋" w:cs="Times New Roman"/>
          <w:color w:val="auto"/>
          <w:szCs w:val="28"/>
        </w:rPr>
        <w:t>1</w:t>
      </w:r>
      <w:r>
        <w:rPr>
          <w:rStyle w:val="20"/>
          <w:rFonts w:hint="eastAsia" w:ascii="仿宋" w:hAnsi="仿宋" w:eastAsia="仿宋" w:cs="Times New Roman"/>
          <w:color w:val="auto"/>
          <w:szCs w:val="28"/>
          <w:lang w:eastAsia="zh-CN"/>
        </w:rPr>
        <w:t>）</w:t>
      </w:r>
      <w:r>
        <w:rPr>
          <w:rStyle w:val="20"/>
          <w:rFonts w:ascii="仿宋" w:hAnsi="仿宋" w:eastAsia="仿宋"/>
          <w:color w:val="auto"/>
          <w:szCs w:val="28"/>
        </w:rPr>
        <w:t>名称、坐落：</w:t>
      </w:r>
      <w:r>
        <w:rPr>
          <w:rStyle w:val="20"/>
          <w:rFonts w:hint="eastAsia" w:ascii="仿宋" w:hAnsi="仿宋" w:eastAsia="仿宋" w:cs="Times New Roman"/>
          <w:color w:val="auto"/>
          <w:szCs w:val="28"/>
          <w:lang w:val="en-US" w:eastAsia="zh-CN"/>
        </w:rPr>
        <w:t>三穗县八弓镇灵山南路鸿地幸福里D栋2-4-2号一套住宅用房。</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（2）规模：建筑面积为</w:t>
      </w:r>
      <w:r>
        <w:rPr>
          <w:rStyle w:val="20"/>
          <w:rFonts w:hint="eastAsia" w:ascii="仿宋" w:hAnsi="仿宋" w:eastAsia="仿宋"/>
          <w:color w:val="auto"/>
          <w:szCs w:val="28"/>
          <w:lang w:val="en-US" w:eastAsia="zh-CN"/>
        </w:rPr>
        <w:t>119.56</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（3）规划用途：住宅。</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（4）层数：所在楼幢总层数</w:t>
      </w:r>
      <w:r>
        <w:rPr>
          <w:rStyle w:val="20"/>
          <w:rFonts w:hint="eastAsia" w:ascii="仿宋" w:hAnsi="仿宋" w:eastAsia="仿宋"/>
          <w:color w:val="auto"/>
          <w:szCs w:val="28"/>
          <w:lang w:val="en-US" w:eastAsia="zh-CN"/>
        </w:rPr>
        <w:t>7</w:t>
      </w:r>
      <w:r>
        <w:rPr>
          <w:rStyle w:val="20"/>
          <w:rFonts w:ascii="仿宋" w:hAnsi="仿宋" w:eastAsia="仿宋"/>
          <w:color w:val="auto"/>
          <w:szCs w:val="28"/>
        </w:rPr>
        <w:t>层（</w:t>
      </w:r>
      <w:r>
        <w:rPr>
          <w:rStyle w:val="20"/>
          <w:rFonts w:hint="eastAsia" w:ascii="仿宋" w:hAnsi="仿宋" w:eastAsia="仿宋"/>
          <w:color w:val="auto"/>
          <w:szCs w:val="28"/>
          <w:lang w:eastAsia="zh-CN"/>
        </w:rPr>
        <w:t>均为</w:t>
      </w:r>
      <w:r>
        <w:rPr>
          <w:rStyle w:val="20"/>
          <w:rFonts w:hint="eastAsia" w:ascii="仿宋" w:hAnsi="仿宋" w:eastAsia="仿宋"/>
          <w:color w:val="auto"/>
          <w:szCs w:val="28"/>
          <w:lang w:val="en-US" w:eastAsia="zh-CN"/>
        </w:rPr>
        <w:t>地上</w:t>
      </w:r>
      <w:r>
        <w:rPr>
          <w:rStyle w:val="20"/>
          <w:rFonts w:ascii="仿宋" w:hAnsi="仿宋" w:eastAsia="仿宋"/>
          <w:color w:val="auto"/>
          <w:szCs w:val="28"/>
        </w:rPr>
        <w:t>），估价对象位于第</w:t>
      </w:r>
      <w:r>
        <w:rPr>
          <w:rStyle w:val="20"/>
          <w:rFonts w:hint="eastAsia" w:ascii="仿宋" w:hAnsi="仿宋" w:eastAsia="仿宋"/>
          <w:color w:val="auto"/>
          <w:szCs w:val="28"/>
          <w:lang w:val="en-US" w:eastAsia="zh-CN"/>
        </w:rPr>
        <w:t>4</w:t>
      </w:r>
      <w:r>
        <w:rPr>
          <w:rStyle w:val="20"/>
          <w:rFonts w:ascii="仿宋" w:hAnsi="仿宋" w:eastAsia="仿宋"/>
          <w:color w:val="auto"/>
          <w:szCs w:val="28"/>
        </w:rPr>
        <w:t>层。</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（5）层高：</w:t>
      </w:r>
      <w:r>
        <w:rPr>
          <w:rStyle w:val="20"/>
          <w:rFonts w:hint="eastAsia" w:ascii="仿宋" w:hAnsi="仿宋" w:eastAsia="仿宋"/>
          <w:color w:val="auto"/>
          <w:szCs w:val="28"/>
          <w:lang w:val="en-US" w:eastAsia="zh-CN"/>
        </w:rPr>
        <w:t>/</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（6）建筑结构：</w:t>
      </w:r>
      <w:r>
        <w:rPr>
          <w:rStyle w:val="20"/>
          <w:rFonts w:hint="eastAsia" w:ascii="仿宋" w:hAnsi="仿宋" w:eastAsia="仿宋"/>
          <w:color w:val="auto"/>
          <w:szCs w:val="28"/>
        </w:rPr>
        <w:t>钢筋混凝土</w:t>
      </w:r>
      <w:r>
        <w:rPr>
          <w:rStyle w:val="20"/>
          <w:rFonts w:ascii="仿宋" w:hAnsi="仿宋" w:eastAsia="仿宋"/>
          <w:color w:val="auto"/>
          <w:szCs w:val="28"/>
        </w:rPr>
        <w:t>结构。</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（7）设施设备：</w:t>
      </w:r>
      <w:r>
        <w:rPr>
          <w:rStyle w:val="20"/>
          <w:rFonts w:hint="eastAsia" w:ascii="仿宋" w:hAnsi="仿宋" w:eastAsia="仿宋"/>
          <w:color w:val="auto"/>
          <w:szCs w:val="28"/>
          <w:lang w:val="en-US" w:eastAsia="zh-CN"/>
        </w:rPr>
        <w:t>步</w:t>
      </w:r>
      <w:r>
        <w:rPr>
          <w:rStyle w:val="20"/>
          <w:rFonts w:ascii="仿宋" w:hAnsi="仿宋" w:eastAsia="仿宋"/>
          <w:color w:val="auto"/>
          <w:szCs w:val="28"/>
        </w:rPr>
        <w:t>梯</w:t>
      </w:r>
      <w:r>
        <w:rPr>
          <w:rStyle w:val="20"/>
          <w:rFonts w:hint="eastAsia" w:ascii="仿宋" w:hAnsi="仿宋" w:eastAsia="仿宋"/>
          <w:color w:val="auto"/>
          <w:szCs w:val="28"/>
          <w:lang w:val="en-US" w:eastAsia="zh-CN"/>
        </w:rPr>
        <w:t>房</w:t>
      </w:r>
      <w:r>
        <w:rPr>
          <w:rStyle w:val="20"/>
          <w:rFonts w:ascii="仿宋" w:hAnsi="仿宋" w:eastAsia="仿宋"/>
          <w:color w:val="auto"/>
          <w:szCs w:val="28"/>
        </w:rPr>
        <w:t>、有水、电、通讯网络</w:t>
      </w:r>
      <w:r>
        <w:rPr>
          <w:rStyle w:val="20"/>
          <w:rFonts w:hint="eastAsia" w:ascii="仿宋" w:hAnsi="仿宋" w:eastAsia="仿宋"/>
          <w:color w:val="auto"/>
          <w:szCs w:val="28"/>
          <w:lang w:val="en-US" w:eastAsia="zh-CN"/>
        </w:rPr>
        <w:t>等</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（8）空间布局和采光通风：</w:t>
      </w:r>
      <w:r>
        <w:rPr>
          <w:rStyle w:val="20"/>
          <w:rFonts w:hint="eastAsia" w:ascii="仿宋" w:hAnsi="仿宋" w:eastAsia="仿宋"/>
          <w:color w:val="auto"/>
          <w:szCs w:val="28"/>
        </w:rPr>
        <w:t>三</w:t>
      </w:r>
      <w:r>
        <w:rPr>
          <w:rStyle w:val="20"/>
          <w:rFonts w:ascii="仿宋" w:hAnsi="仿宋" w:eastAsia="仿宋"/>
          <w:color w:val="auto"/>
          <w:szCs w:val="28"/>
        </w:rPr>
        <w:t>室</w:t>
      </w:r>
      <w:r>
        <w:rPr>
          <w:rStyle w:val="20"/>
          <w:rFonts w:hint="eastAsia" w:ascii="仿宋" w:hAnsi="仿宋" w:eastAsia="仿宋"/>
          <w:color w:val="auto"/>
          <w:szCs w:val="28"/>
          <w:lang w:eastAsia="zh-CN"/>
        </w:rPr>
        <w:t>一</w:t>
      </w:r>
      <w:r>
        <w:rPr>
          <w:rStyle w:val="20"/>
          <w:rFonts w:ascii="仿宋" w:hAnsi="仿宋" w:eastAsia="仿宋"/>
          <w:color w:val="auto"/>
          <w:szCs w:val="28"/>
        </w:rPr>
        <w:t>厅</w:t>
      </w:r>
      <w:r>
        <w:rPr>
          <w:rStyle w:val="20"/>
          <w:rFonts w:hint="eastAsia" w:ascii="仿宋" w:hAnsi="仿宋" w:eastAsia="仿宋"/>
          <w:color w:val="auto"/>
          <w:szCs w:val="28"/>
        </w:rPr>
        <w:t>两</w:t>
      </w:r>
      <w:r>
        <w:rPr>
          <w:rStyle w:val="20"/>
          <w:rFonts w:ascii="仿宋" w:hAnsi="仿宋" w:eastAsia="仿宋"/>
          <w:color w:val="auto"/>
          <w:szCs w:val="28"/>
        </w:rPr>
        <w:t>卫一厨，房屋采光通风</w:t>
      </w:r>
      <w:r>
        <w:rPr>
          <w:rStyle w:val="20"/>
          <w:rFonts w:hint="eastAsia" w:ascii="仿宋" w:hAnsi="仿宋" w:eastAsia="仿宋"/>
          <w:color w:val="auto"/>
          <w:szCs w:val="28"/>
          <w:lang w:val="en-US" w:eastAsia="zh-CN"/>
        </w:rPr>
        <w:t>一般</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（9）建成时间：约20</w:t>
      </w:r>
      <w:r>
        <w:rPr>
          <w:rStyle w:val="20"/>
          <w:rFonts w:hint="eastAsia" w:ascii="仿宋" w:hAnsi="仿宋" w:eastAsia="仿宋"/>
          <w:color w:val="auto"/>
          <w:szCs w:val="28"/>
          <w:lang w:val="en-US" w:eastAsia="zh-CN"/>
        </w:rPr>
        <w:t>05</w:t>
      </w:r>
      <w:r>
        <w:rPr>
          <w:rStyle w:val="20"/>
          <w:rFonts w:ascii="仿宋" w:hAnsi="仿宋" w:eastAsia="仿宋"/>
          <w:color w:val="auto"/>
          <w:szCs w:val="28"/>
        </w:rPr>
        <w:t>年。</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（10）使用情况：</w:t>
      </w:r>
      <w:r>
        <w:rPr>
          <w:rStyle w:val="20"/>
          <w:rFonts w:hint="eastAsia" w:ascii="仿宋" w:hAnsi="仿宋" w:eastAsia="仿宋"/>
          <w:color w:val="auto"/>
          <w:szCs w:val="28"/>
          <w:lang w:eastAsia="zh-CN"/>
        </w:rPr>
        <w:t>自用</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（11）装饰装修：</w:t>
      </w:r>
      <w:r>
        <w:rPr>
          <w:rStyle w:val="20"/>
          <w:rFonts w:hint="eastAsia" w:ascii="仿宋" w:hAnsi="仿宋" w:eastAsia="仿宋"/>
          <w:color w:val="auto"/>
          <w:szCs w:val="28"/>
          <w:lang w:val="en-US" w:eastAsia="zh-CN"/>
        </w:rPr>
        <w:t>所在楼幢临街面外立面墙为贴墙砖。</w:t>
      </w:r>
      <w:r>
        <w:rPr>
          <w:rStyle w:val="20"/>
          <w:rFonts w:ascii="仿宋" w:hAnsi="仿宋" w:eastAsia="仿宋"/>
          <w:color w:val="auto"/>
          <w:szCs w:val="28"/>
        </w:rPr>
        <w:t>客厅地面</w:t>
      </w:r>
      <w:r>
        <w:rPr>
          <w:rStyle w:val="20"/>
          <w:rFonts w:hint="eastAsia" w:ascii="仿宋" w:hAnsi="仿宋" w:eastAsia="仿宋"/>
          <w:color w:val="auto"/>
          <w:szCs w:val="28"/>
        </w:rPr>
        <w:t>铺</w:t>
      </w:r>
      <w:r>
        <w:rPr>
          <w:rStyle w:val="20"/>
          <w:rFonts w:hint="eastAsia" w:ascii="仿宋" w:hAnsi="仿宋" w:eastAsia="仿宋"/>
          <w:color w:val="auto"/>
          <w:szCs w:val="28"/>
          <w:lang w:val="en-US" w:eastAsia="zh-CN"/>
        </w:rPr>
        <w:t>地砖</w:t>
      </w:r>
      <w:r>
        <w:rPr>
          <w:rStyle w:val="20"/>
          <w:rFonts w:ascii="仿宋" w:hAnsi="仿宋" w:eastAsia="仿宋"/>
          <w:color w:val="auto"/>
          <w:szCs w:val="28"/>
        </w:rPr>
        <w:t>、墙面</w:t>
      </w:r>
      <w:r>
        <w:rPr>
          <w:rStyle w:val="20"/>
          <w:rFonts w:hint="eastAsia" w:ascii="仿宋" w:hAnsi="仿宋" w:eastAsia="仿宋"/>
          <w:color w:val="auto"/>
          <w:szCs w:val="28"/>
          <w:lang w:eastAsia="zh-CN"/>
        </w:rPr>
        <w:t>刷瓷粉</w:t>
      </w:r>
      <w:r>
        <w:rPr>
          <w:rStyle w:val="20"/>
          <w:rFonts w:hint="eastAsia" w:ascii="仿宋" w:hAnsi="仿宋" w:eastAsia="仿宋"/>
          <w:color w:val="auto"/>
          <w:szCs w:val="28"/>
        </w:rPr>
        <w:t>、天棚</w:t>
      </w:r>
      <w:r>
        <w:rPr>
          <w:rStyle w:val="20"/>
          <w:rFonts w:hint="eastAsia" w:ascii="仿宋" w:hAnsi="仿宋" w:eastAsia="仿宋"/>
          <w:color w:val="auto"/>
          <w:szCs w:val="28"/>
          <w:lang w:val="en-US" w:eastAsia="zh-CN"/>
        </w:rPr>
        <w:t>装饰</w:t>
      </w:r>
      <w:r>
        <w:rPr>
          <w:rStyle w:val="20"/>
          <w:rFonts w:hint="eastAsia" w:ascii="仿宋" w:hAnsi="仿宋" w:eastAsia="仿宋"/>
          <w:color w:val="auto"/>
          <w:szCs w:val="28"/>
        </w:rPr>
        <w:t>吊顶</w:t>
      </w:r>
      <w:r>
        <w:rPr>
          <w:rStyle w:val="20"/>
          <w:rFonts w:hint="eastAsia" w:ascii="仿宋" w:hAnsi="仿宋" w:eastAsia="仿宋"/>
          <w:color w:val="auto"/>
          <w:szCs w:val="28"/>
          <w:lang w:eastAsia="zh-CN"/>
        </w:rPr>
        <w:t>，</w:t>
      </w:r>
      <w:r>
        <w:rPr>
          <w:rStyle w:val="20"/>
          <w:rFonts w:ascii="仿宋" w:hAnsi="仿宋" w:eastAsia="仿宋"/>
          <w:color w:val="auto"/>
          <w:szCs w:val="28"/>
        </w:rPr>
        <w:t>卧室地面</w:t>
      </w:r>
      <w:r>
        <w:rPr>
          <w:rStyle w:val="20"/>
          <w:rFonts w:hint="eastAsia" w:ascii="仿宋" w:hAnsi="仿宋" w:eastAsia="仿宋"/>
          <w:color w:val="auto"/>
          <w:szCs w:val="28"/>
        </w:rPr>
        <w:t>铺</w:t>
      </w:r>
      <w:r>
        <w:rPr>
          <w:rStyle w:val="20"/>
          <w:rFonts w:hint="eastAsia" w:ascii="仿宋" w:hAnsi="仿宋" w:eastAsia="仿宋"/>
          <w:color w:val="auto"/>
          <w:szCs w:val="28"/>
          <w:lang w:val="en-US" w:eastAsia="zh-CN"/>
        </w:rPr>
        <w:t>复合</w:t>
      </w:r>
      <w:r>
        <w:rPr>
          <w:rStyle w:val="20"/>
          <w:rFonts w:hint="eastAsia" w:ascii="仿宋" w:hAnsi="仿宋" w:eastAsia="仿宋"/>
          <w:color w:val="auto"/>
          <w:szCs w:val="28"/>
        </w:rPr>
        <w:t>地板</w:t>
      </w:r>
      <w:r>
        <w:rPr>
          <w:rStyle w:val="20"/>
          <w:rFonts w:ascii="仿宋" w:hAnsi="仿宋" w:eastAsia="仿宋"/>
          <w:color w:val="auto"/>
          <w:szCs w:val="28"/>
        </w:rPr>
        <w:t>、墙面</w:t>
      </w:r>
      <w:r>
        <w:rPr>
          <w:rStyle w:val="20"/>
          <w:rFonts w:hint="eastAsia" w:ascii="仿宋" w:hAnsi="仿宋" w:eastAsia="仿宋"/>
          <w:color w:val="auto"/>
          <w:szCs w:val="28"/>
          <w:lang w:eastAsia="zh-CN"/>
        </w:rPr>
        <w:t>刷瓷粉</w:t>
      </w:r>
      <w:r>
        <w:rPr>
          <w:rStyle w:val="20"/>
          <w:rFonts w:hint="eastAsia" w:ascii="仿宋" w:hAnsi="仿宋" w:eastAsia="仿宋"/>
          <w:color w:val="auto"/>
          <w:szCs w:val="28"/>
        </w:rPr>
        <w:t>，</w:t>
      </w:r>
      <w:r>
        <w:rPr>
          <w:rStyle w:val="20"/>
          <w:rFonts w:ascii="仿宋" w:hAnsi="仿宋" w:eastAsia="仿宋"/>
          <w:color w:val="auto"/>
          <w:szCs w:val="28"/>
        </w:rPr>
        <w:t>厨房</w:t>
      </w:r>
      <w:r>
        <w:rPr>
          <w:rStyle w:val="20"/>
          <w:rFonts w:hint="eastAsia" w:ascii="仿宋" w:hAnsi="仿宋" w:eastAsia="仿宋"/>
          <w:color w:val="auto"/>
          <w:szCs w:val="28"/>
        </w:rPr>
        <w:t>及卫生间</w:t>
      </w:r>
      <w:r>
        <w:rPr>
          <w:rStyle w:val="20"/>
          <w:rFonts w:ascii="仿宋" w:hAnsi="仿宋" w:eastAsia="仿宋"/>
          <w:color w:val="auto"/>
          <w:szCs w:val="28"/>
        </w:rPr>
        <w:t>地面地</w:t>
      </w:r>
      <w:r>
        <w:rPr>
          <w:rStyle w:val="20"/>
          <w:rFonts w:hint="eastAsia" w:ascii="仿宋" w:hAnsi="仿宋" w:eastAsia="仿宋"/>
          <w:color w:val="auto"/>
          <w:szCs w:val="28"/>
        </w:rPr>
        <w:t>砖</w:t>
      </w:r>
      <w:r>
        <w:rPr>
          <w:rStyle w:val="20"/>
          <w:rFonts w:ascii="仿宋" w:hAnsi="仿宋" w:eastAsia="仿宋"/>
          <w:color w:val="auto"/>
          <w:szCs w:val="28"/>
        </w:rPr>
        <w:t>、墙面墙砖</w:t>
      </w:r>
      <w:r>
        <w:rPr>
          <w:rStyle w:val="20"/>
          <w:rFonts w:hint="eastAsia" w:ascii="仿宋" w:hAnsi="仿宋" w:eastAsia="仿宋"/>
          <w:color w:val="auto"/>
          <w:szCs w:val="28"/>
          <w:lang w:val="en-US" w:eastAsia="zh-CN"/>
        </w:rPr>
        <w:t>贴到顶</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s="Times New Roman"/>
          <w:color w:val="auto"/>
          <w:szCs w:val="28"/>
        </w:rPr>
      </w:pPr>
      <w:r>
        <w:rPr>
          <w:rStyle w:val="20"/>
          <w:rFonts w:ascii="仿宋" w:hAnsi="仿宋" w:eastAsia="仿宋" w:cs="Times New Roman"/>
          <w:color w:val="auto"/>
          <w:szCs w:val="28"/>
        </w:rPr>
        <w:t>（12）完损状况：房屋地基、基础无沉降，楼面、墙体等主要承重构件完好，维护保养较好，成新率较好。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Cs w:val="28"/>
        </w:rPr>
      </w:pPr>
      <w:r>
        <w:rPr>
          <w:rFonts w:hint="eastAsia" w:ascii="仿宋" w:hAnsi="仿宋" w:eastAsia="仿宋" w:cs="仿宋"/>
          <w:color w:val="auto"/>
          <w:szCs w:val="28"/>
        </w:rPr>
        <w:t>2、土地实物状况描述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（1）名称：</w:t>
      </w:r>
      <w:r>
        <w:rPr>
          <w:rStyle w:val="20"/>
          <w:rFonts w:hint="eastAsia" w:ascii="仿宋" w:hAnsi="仿宋" w:eastAsia="仿宋" w:cs="Times New Roman"/>
          <w:color w:val="auto"/>
          <w:szCs w:val="28"/>
          <w:lang w:val="en-US" w:eastAsia="zh-CN"/>
        </w:rPr>
        <w:t>三穗县八弓镇灵山南路鸿地幸福里D栋2-4-2号房屋</w:t>
      </w:r>
      <w:r>
        <w:rPr>
          <w:rStyle w:val="20"/>
          <w:rFonts w:ascii="仿宋" w:hAnsi="仿宋" w:eastAsia="仿宋"/>
          <w:color w:val="auto"/>
          <w:szCs w:val="28"/>
        </w:rPr>
        <w:t>用地。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（2）四至：东临</w:t>
      </w:r>
      <w:r>
        <w:rPr>
          <w:rStyle w:val="20"/>
          <w:rFonts w:hint="eastAsia" w:ascii="仿宋" w:hAnsi="仿宋" w:eastAsia="仿宋"/>
          <w:color w:val="auto"/>
          <w:szCs w:val="28"/>
          <w:lang w:eastAsia="zh-CN"/>
        </w:rPr>
        <w:t>房屋</w:t>
      </w:r>
      <w:r>
        <w:rPr>
          <w:rStyle w:val="20"/>
          <w:rFonts w:ascii="仿宋" w:hAnsi="仿宋" w:eastAsia="仿宋"/>
          <w:color w:val="auto"/>
          <w:szCs w:val="28"/>
        </w:rPr>
        <w:t>，南临</w:t>
      </w:r>
      <w:r>
        <w:rPr>
          <w:rStyle w:val="20"/>
          <w:rFonts w:hint="eastAsia" w:ascii="仿宋" w:hAnsi="仿宋" w:eastAsia="仿宋"/>
          <w:color w:val="auto"/>
          <w:szCs w:val="28"/>
          <w:lang w:eastAsia="zh-CN"/>
        </w:rPr>
        <w:t>林园东路</w:t>
      </w:r>
      <w:r>
        <w:rPr>
          <w:rStyle w:val="20"/>
          <w:rFonts w:ascii="仿宋" w:hAnsi="仿宋" w:eastAsia="仿宋"/>
          <w:color w:val="auto"/>
          <w:szCs w:val="28"/>
        </w:rPr>
        <w:t>，西临</w:t>
      </w:r>
      <w:r>
        <w:rPr>
          <w:rStyle w:val="20"/>
          <w:rFonts w:hint="eastAsia" w:ascii="仿宋" w:hAnsi="仿宋" w:eastAsia="仿宋"/>
          <w:color w:val="auto"/>
          <w:szCs w:val="28"/>
          <w:lang w:eastAsia="zh-CN"/>
        </w:rPr>
        <w:t>支路</w:t>
      </w:r>
      <w:r>
        <w:rPr>
          <w:rStyle w:val="20"/>
          <w:rFonts w:ascii="仿宋" w:hAnsi="仿宋" w:eastAsia="仿宋"/>
          <w:color w:val="auto"/>
          <w:szCs w:val="28"/>
        </w:rPr>
        <w:t>，北临</w:t>
      </w:r>
      <w:r>
        <w:rPr>
          <w:rStyle w:val="20"/>
          <w:rFonts w:hint="eastAsia" w:ascii="仿宋" w:hAnsi="仿宋" w:eastAsia="仿宋"/>
          <w:color w:val="auto"/>
          <w:szCs w:val="28"/>
          <w:lang w:eastAsia="zh-CN"/>
        </w:rPr>
        <w:t>中国南方电网</w:t>
      </w:r>
      <w:r>
        <w:rPr>
          <w:rStyle w:val="20"/>
          <w:rFonts w:ascii="仿宋" w:hAnsi="仿宋" w:eastAsia="仿宋"/>
          <w:color w:val="auto"/>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（3）使用权面积：</w:t>
      </w:r>
      <w:r>
        <w:rPr>
          <w:rStyle w:val="20"/>
          <w:rFonts w:hint="eastAsia" w:ascii="仿宋" w:hAnsi="仿宋" w:eastAsia="仿宋"/>
          <w:color w:val="auto"/>
          <w:szCs w:val="28"/>
          <w:lang w:val="en-US" w:eastAsia="zh-CN"/>
        </w:rPr>
        <w:t>/</w:t>
      </w:r>
      <w:r>
        <w:rPr>
          <w:rStyle w:val="20"/>
          <w:rFonts w:ascii="仿宋" w:hAnsi="仿宋" w:eastAsia="仿宋"/>
          <w:color w:val="auto"/>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（4）规划用途：</w:t>
      </w:r>
      <w:r>
        <w:rPr>
          <w:rStyle w:val="20"/>
          <w:rFonts w:hint="eastAsia" w:ascii="仿宋" w:hAnsi="仿宋" w:eastAsia="仿宋"/>
          <w:color w:val="auto"/>
          <w:szCs w:val="28"/>
        </w:rPr>
        <w:t>住宅</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（5）土地使用权取得方式：</w:t>
      </w:r>
      <w:r>
        <w:rPr>
          <w:rStyle w:val="20"/>
          <w:rFonts w:hint="eastAsia" w:ascii="仿宋" w:hAnsi="仿宋" w:eastAsia="仿宋"/>
          <w:color w:val="auto"/>
          <w:szCs w:val="28"/>
          <w:lang w:val="en-US" w:eastAsia="zh-CN"/>
        </w:rPr>
        <w:t>/</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（6）土地使用日期：</w:t>
      </w:r>
      <w:r>
        <w:rPr>
          <w:rStyle w:val="20"/>
          <w:rFonts w:hint="eastAsia" w:ascii="仿宋" w:hAnsi="仿宋" w:eastAsia="仿宋"/>
          <w:color w:val="auto"/>
          <w:szCs w:val="28"/>
          <w:lang w:val="en-US" w:eastAsia="zh-CN"/>
        </w:rPr>
        <w:t>/</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（7）形状：较规则。</w:t>
      </w:r>
    </w:p>
    <w:p>
      <w:pPr>
        <w:keepNext w:val="0"/>
        <w:keepLines w:val="0"/>
        <w:pageBreakBefore w:val="0"/>
        <w:kinsoku/>
        <w:wordWrap/>
        <w:overflowPunct/>
        <w:topLinePunct w:val="0"/>
        <w:autoSpaceDE/>
        <w:autoSpaceDN/>
        <w:bidi w:val="0"/>
        <w:adjustRightInd/>
        <w:snapToGrid/>
        <w:spacing w:line="500" w:lineRule="exact"/>
        <w:ind w:firstLine="560" w:firstLineChars="200"/>
        <w:jc w:val="both"/>
        <w:rPr>
          <w:rStyle w:val="20"/>
          <w:rFonts w:ascii="仿宋" w:hAnsi="仿宋" w:eastAsia="仿宋"/>
          <w:color w:val="auto"/>
          <w:szCs w:val="28"/>
        </w:rPr>
      </w:pPr>
      <w:r>
        <w:rPr>
          <w:rStyle w:val="20"/>
          <w:rFonts w:ascii="仿宋" w:hAnsi="仿宋" w:eastAsia="仿宋"/>
          <w:color w:val="auto"/>
          <w:szCs w:val="28"/>
        </w:rPr>
        <w:t>（8）地形地势：地形较规则，地势较平缓。地基承载力良好，稳定性较好，无不良地质现象，水文条件可满足正常生产经营及生活需要。</w:t>
      </w:r>
    </w:p>
    <w:p>
      <w:pPr>
        <w:keepNext w:val="0"/>
        <w:keepLines w:val="0"/>
        <w:pageBreakBefore w:val="0"/>
        <w:kinsoku/>
        <w:wordWrap/>
        <w:overflowPunct/>
        <w:topLinePunct w:val="0"/>
        <w:autoSpaceDE/>
        <w:autoSpaceDN/>
        <w:bidi w:val="0"/>
        <w:adjustRightInd/>
        <w:snapToGrid/>
        <w:spacing w:line="500" w:lineRule="exact"/>
        <w:ind w:firstLine="560" w:firstLineChars="200"/>
        <w:jc w:val="both"/>
        <w:rPr>
          <w:color w:val="auto"/>
        </w:rPr>
      </w:pPr>
      <w:r>
        <w:rPr>
          <w:rStyle w:val="20"/>
          <w:rFonts w:ascii="仿宋" w:hAnsi="仿宋" w:eastAsia="仿宋"/>
          <w:color w:val="auto"/>
          <w:szCs w:val="28"/>
        </w:rPr>
        <w:t>（9）开发程度：“</w:t>
      </w:r>
      <w:r>
        <w:rPr>
          <w:rStyle w:val="20"/>
          <w:rFonts w:hint="eastAsia" w:ascii="仿宋" w:hAnsi="仿宋" w:eastAsia="仿宋"/>
          <w:color w:val="auto"/>
          <w:szCs w:val="28"/>
          <w:lang w:val="en-US" w:eastAsia="zh-CN"/>
        </w:rPr>
        <w:t>五</w:t>
      </w:r>
      <w:r>
        <w:rPr>
          <w:rStyle w:val="20"/>
          <w:rFonts w:ascii="仿宋" w:hAnsi="仿宋" w:eastAsia="仿宋"/>
          <w:color w:val="auto"/>
          <w:szCs w:val="28"/>
        </w:rPr>
        <w:t>通一平”（即场地外通路、通电、通讯、通上水、通下水和场地内平整。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hint="eastAsia" w:ascii="仿宋" w:hAnsi="仿宋" w:eastAsia="仿宋"/>
          <w:color w:val="000000" w:themeColor="text1"/>
          <w:szCs w:val="28"/>
        </w:rPr>
        <w:t xml:space="preserve"> </w:t>
      </w:r>
      <w:r>
        <w:rPr>
          <w:rStyle w:val="20"/>
          <w:rFonts w:ascii="仿宋" w:hAnsi="仿宋" w:eastAsia="仿宋"/>
          <w:color w:val="000000" w:themeColor="text1"/>
          <w:szCs w:val="28"/>
        </w:rPr>
        <w:t>（四）区位状况</w:t>
      </w:r>
    </w:p>
    <w:p>
      <w:pPr>
        <w:keepNext w:val="0"/>
        <w:keepLines w:val="0"/>
        <w:pageBreakBefore w:val="0"/>
        <w:kinsoku/>
        <w:wordWrap/>
        <w:overflowPunct/>
        <w:topLinePunct w:val="0"/>
        <w:autoSpaceDE/>
        <w:autoSpaceDN/>
        <w:bidi w:val="0"/>
        <w:adjustRightInd/>
        <w:snapToGrid/>
        <w:spacing w:line="500" w:lineRule="exact"/>
        <w:ind w:firstLine="592" w:firstLineChars="200"/>
        <w:rPr>
          <w:rStyle w:val="20"/>
          <w:rFonts w:ascii="仿宋" w:hAnsi="仿宋" w:eastAsia="仿宋"/>
          <w:color w:val="auto"/>
          <w:szCs w:val="28"/>
        </w:rPr>
      </w:pPr>
      <w:r>
        <w:rPr>
          <w:rStyle w:val="20"/>
          <w:rFonts w:ascii="仿宋" w:hAnsi="仿宋" w:eastAsia="仿宋"/>
          <w:color w:val="auto"/>
          <w:spacing w:val="8"/>
          <w:szCs w:val="28"/>
        </w:rPr>
        <w:t>估价对象：</w:t>
      </w:r>
      <w:r>
        <w:rPr>
          <w:rStyle w:val="20"/>
          <w:rFonts w:hint="eastAsia" w:ascii="仿宋" w:hAnsi="仿宋" w:eastAsia="仿宋" w:cs="Times New Roman"/>
          <w:color w:val="auto"/>
          <w:szCs w:val="28"/>
          <w:lang w:val="en-US" w:eastAsia="zh-CN"/>
        </w:rPr>
        <w:t>三穗县八弓镇灵山南路鸿地幸福里D栋2-4-2号一套住宅</w:t>
      </w:r>
      <w:r>
        <w:rPr>
          <w:rStyle w:val="20"/>
          <w:rFonts w:hint="eastAsia" w:ascii="仿宋" w:hAnsi="仿宋" w:eastAsia="仿宋"/>
          <w:color w:val="auto"/>
          <w:sz w:val="28"/>
          <w:szCs w:val="28"/>
          <w:lang w:val="en-US" w:eastAsia="zh-CN"/>
        </w:rPr>
        <w:t>用房</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92" w:firstLineChars="200"/>
        <w:rPr>
          <w:rStyle w:val="20"/>
          <w:rFonts w:ascii="仿宋" w:hAnsi="仿宋" w:eastAsia="仿宋"/>
          <w:color w:val="auto"/>
          <w:szCs w:val="28"/>
        </w:rPr>
      </w:pPr>
      <w:r>
        <w:rPr>
          <w:rStyle w:val="20"/>
          <w:rFonts w:ascii="仿宋" w:hAnsi="仿宋" w:eastAsia="仿宋"/>
          <w:color w:val="auto"/>
          <w:spacing w:val="8"/>
          <w:szCs w:val="28"/>
        </w:rPr>
        <w:t>房屋所在位置：</w:t>
      </w:r>
      <w:r>
        <w:rPr>
          <w:rStyle w:val="20"/>
          <w:rFonts w:hint="eastAsia" w:ascii="仿宋" w:hAnsi="仿宋" w:eastAsia="仿宋" w:cs="Times New Roman"/>
          <w:color w:val="auto"/>
          <w:szCs w:val="28"/>
          <w:lang w:val="en-US" w:eastAsia="zh-CN"/>
        </w:rPr>
        <w:t>三穗县八弓镇灵山南路鸿地幸福里D栋2-4-2号</w:t>
      </w:r>
      <w:r>
        <w:rPr>
          <w:rStyle w:val="20"/>
          <w:rFonts w:ascii="仿宋" w:hAnsi="仿宋" w:eastAsia="仿宋"/>
          <w:color w:val="auto"/>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auto"/>
          <w:szCs w:val="28"/>
        </w:rPr>
      </w:pPr>
      <w:r>
        <w:rPr>
          <w:rStyle w:val="20"/>
          <w:rFonts w:ascii="仿宋" w:hAnsi="仿宋" w:eastAsia="仿宋"/>
          <w:color w:val="auto"/>
          <w:szCs w:val="28"/>
        </w:rPr>
        <w:t>四至：东临</w:t>
      </w:r>
      <w:r>
        <w:rPr>
          <w:rStyle w:val="20"/>
          <w:rFonts w:hint="eastAsia" w:ascii="仿宋" w:hAnsi="仿宋" w:eastAsia="仿宋"/>
          <w:color w:val="auto"/>
          <w:szCs w:val="28"/>
          <w:lang w:eastAsia="zh-CN"/>
        </w:rPr>
        <w:t>房屋</w:t>
      </w:r>
      <w:r>
        <w:rPr>
          <w:rStyle w:val="20"/>
          <w:rFonts w:ascii="仿宋" w:hAnsi="仿宋" w:eastAsia="仿宋"/>
          <w:color w:val="auto"/>
          <w:szCs w:val="28"/>
        </w:rPr>
        <w:t>，南临</w:t>
      </w:r>
      <w:r>
        <w:rPr>
          <w:rStyle w:val="20"/>
          <w:rFonts w:hint="eastAsia" w:ascii="仿宋" w:hAnsi="仿宋" w:eastAsia="仿宋"/>
          <w:color w:val="auto"/>
          <w:szCs w:val="28"/>
          <w:lang w:eastAsia="zh-CN"/>
        </w:rPr>
        <w:t>林园东路</w:t>
      </w:r>
      <w:r>
        <w:rPr>
          <w:rStyle w:val="20"/>
          <w:rFonts w:ascii="仿宋" w:hAnsi="仿宋" w:eastAsia="仿宋"/>
          <w:color w:val="auto"/>
          <w:szCs w:val="28"/>
        </w:rPr>
        <w:t>，西临</w:t>
      </w:r>
      <w:r>
        <w:rPr>
          <w:rStyle w:val="20"/>
          <w:rFonts w:hint="eastAsia" w:ascii="仿宋" w:hAnsi="仿宋" w:eastAsia="仿宋"/>
          <w:color w:val="auto"/>
          <w:szCs w:val="28"/>
          <w:lang w:eastAsia="zh-CN"/>
        </w:rPr>
        <w:t>支路</w:t>
      </w:r>
      <w:r>
        <w:rPr>
          <w:rStyle w:val="20"/>
          <w:rFonts w:ascii="仿宋" w:hAnsi="仿宋" w:eastAsia="仿宋"/>
          <w:color w:val="auto"/>
          <w:szCs w:val="28"/>
        </w:rPr>
        <w:t>，北临</w:t>
      </w:r>
      <w:r>
        <w:rPr>
          <w:rStyle w:val="20"/>
          <w:rFonts w:hint="eastAsia" w:ascii="仿宋" w:hAnsi="仿宋" w:eastAsia="仿宋"/>
          <w:color w:val="auto"/>
          <w:szCs w:val="28"/>
          <w:lang w:eastAsia="zh-CN"/>
        </w:rPr>
        <w:t>中国南方电网。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方位：</w:t>
      </w:r>
      <w:r>
        <w:rPr>
          <w:rStyle w:val="20"/>
          <w:rFonts w:hint="eastAsia" w:ascii="仿宋" w:hAnsi="仿宋" w:eastAsia="仿宋"/>
          <w:color w:val="auto"/>
          <w:szCs w:val="28"/>
          <w:lang w:eastAsia="zh-CN"/>
        </w:rPr>
        <w:t>三穗县</w:t>
      </w:r>
      <w:r>
        <w:rPr>
          <w:rStyle w:val="20"/>
          <w:rFonts w:hint="eastAsia" w:ascii="仿宋" w:hAnsi="仿宋" w:eastAsia="仿宋"/>
          <w:color w:val="auto"/>
          <w:szCs w:val="28"/>
          <w:lang w:val="en-US" w:eastAsia="zh-CN"/>
        </w:rPr>
        <w:t>西北部</w:t>
      </w:r>
      <w:r>
        <w:rPr>
          <w:rStyle w:val="20"/>
          <w:rFonts w:ascii="仿宋" w:hAnsi="仿宋" w:eastAsia="仿宋"/>
          <w:color w:val="auto"/>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朝向：</w:t>
      </w:r>
      <w:r>
        <w:rPr>
          <w:rStyle w:val="20"/>
          <w:rFonts w:hint="eastAsia" w:ascii="仿宋" w:hAnsi="仿宋" w:eastAsia="仿宋"/>
          <w:color w:val="auto"/>
          <w:szCs w:val="28"/>
          <w:lang w:val="en-US" w:eastAsia="zh-CN"/>
        </w:rPr>
        <w:t>/</w:t>
      </w:r>
      <w:r>
        <w:rPr>
          <w:rStyle w:val="20"/>
          <w:rFonts w:ascii="仿宋" w:hAnsi="仿宋" w:eastAsia="仿宋"/>
          <w:color w:val="auto"/>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楼层：所在楼幢总层数</w:t>
      </w:r>
      <w:r>
        <w:rPr>
          <w:rStyle w:val="20"/>
          <w:rFonts w:hint="eastAsia" w:ascii="仿宋" w:hAnsi="仿宋" w:eastAsia="仿宋"/>
          <w:color w:val="auto"/>
          <w:szCs w:val="28"/>
          <w:lang w:val="en-US" w:eastAsia="zh-CN"/>
        </w:rPr>
        <w:t>7</w:t>
      </w:r>
      <w:r>
        <w:rPr>
          <w:rStyle w:val="20"/>
          <w:rFonts w:ascii="仿宋" w:hAnsi="仿宋" w:eastAsia="仿宋"/>
          <w:color w:val="auto"/>
          <w:szCs w:val="28"/>
        </w:rPr>
        <w:t>层（</w:t>
      </w:r>
      <w:r>
        <w:rPr>
          <w:rStyle w:val="20"/>
          <w:rFonts w:hint="eastAsia" w:ascii="仿宋" w:hAnsi="仿宋" w:eastAsia="仿宋"/>
          <w:color w:val="auto"/>
          <w:szCs w:val="28"/>
          <w:lang w:eastAsia="zh-CN"/>
        </w:rPr>
        <w:t>均为地上</w:t>
      </w:r>
      <w:r>
        <w:rPr>
          <w:rStyle w:val="20"/>
          <w:rFonts w:ascii="仿宋" w:hAnsi="仿宋" w:eastAsia="仿宋"/>
          <w:color w:val="auto"/>
          <w:szCs w:val="28"/>
        </w:rPr>
        <w:t>），估价对象位于第</w:t>
      </w:r>
      <w:r>
        <w:rPr>
          <w:rStyle w:val="20"/>
          <w:rFonts w:hint="eastAsia" w:ascii="仿宋" w:hAnsi="仿宋" w:eastAsia="仿宋"/>
          <w:color w:val="auto"/>
          <w:szCs w:val="28"/>
          <w:lang w:val="en-US" w:eastAsia="zh-CN"/>
        </w:rPr>
        <w:t>4</w:t>
      </w:r>
      <w:r>
        <w:rPr>
          <w:rStyle w:val="20"/>
          <w:rFonts w:ascii="仿宋" w:hAnsi="仿宋" w:eastAsia="仿宋"/>
          <w:color w:val="auto"/>
          <w:szCs w:val="28"/>
        </w:rPr>
        <w:t>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ascii="仿宋" w:hAnsi="仿宋" w:eastAsia="仿宋"/>
          <w:color w:val="auto"/>
          <w:szCs w:val="28"/>
        </w:rPr>
      </w:pPr>
      <w:r>
        <w:rPr>
          <w:rStyle w:val="20"/>
          <w:rFonts w:ascii="仿宋" w:hAnsi="仿宋" w:eastAsia="仿宋"/>
          <w:color w:val="auto"/>
          <w:szCs w:val="28"/>
        </w:rPr>
        <w:t>临街状况：</w:t>
      </w:r>
      <w:r>
        <w:rPr>
          <w:rStyle w:val="20"/>
          <w:rFonts w:hint="eastAsia" w:ascii="仿宋" w:hAnsi="仿宋" w:eastAsia="仿宋"/>
          <w:color w:val="auto"/>
          <w:szCs w:val="28"/>
          <w:lang w:eastAsia="zh-CN"/>
        </w:rPr>
        <w:t>不临街</w:t>
      </w:r>
      <w:r>
        <w:rPr>
          <w:rStyle w:val="20"/>
          <w:rFonts w:ascii="仿宋" w:hAnsi="仿宋" w:eastAsia="仿宋"/>
          <w:color w:val="auto"/>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Style w:val="20"/>
          <w:rFonts w:hint="eastAsia" w:ascii="仿宋" w:hAnsi="仿宋" w:eastAsia="仿宋"/>
          <w:color w:val="auto"/>
          <w:szCs w:val="28"/>
          <w:lang w:val="en-US" w:eastAsia="zh-CN"/>
        </w:rPr>
      </w:pPr>
      <w:r>
        <w:rPr>
          <w:rStyle w:val="20"/>
          <w:rFonts w:ascii="仿宋" w:hAnsi="仿宋" w:eastAsia="仿宋"/>
          <w:color w:val="auto"/>
          <w:szCs w:val="28"/>
        </w:rPr>
        <w:t>与重要场所距离：估价对象</w:t>
      </w:r>
      <w:r>
        <w:rPr>
          <w:rStyle w:val="20"/>
          <w:rFonts w:ascii="仿宋" w:hAnsi="仿宋" w:eastAsia="仿宋"/>
          <w:color w:val="auto"/>
          <w:spacing w:val="8"/>
          <w:szCs w:val="28"/>
        </w:rPr>
        <w:t>距</w:t>
      </w:r>
      <w:r>
        <w:rPr>
          <w:rStyle w:val="20"/>
          <w:rFonts w:hint="eastAsia" w:ascii="仿宋" w:hAnsi="仿宋" w:eastAsia="仿宋"/>
          <w:color w:val="auto"/>
          <w:spacing w:val="8"/>
          <w:szCs w:val="28"/>
          <w:lang w:eastAsia="zh-CN"/>
        </w:rPr>
        <w:t>黔东南州三穗县县人民医院</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130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妇科诊所</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310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三穗县城关第二小学</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250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三穗县民族高级中学</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260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三穗汽车站</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100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三穗县公安局公路巡逻民警大队</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100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三穗农商银行</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40</w:t>
      </w:r>
      <w:r>
        <w:rPr>
          <w:rStyle w:val="20"/>
          <w:rFonts w:ascii="仿宋" w:hAnsi="仿宋" w:eastAsia="仿宋"/>
          <w:color w:val="auto"/>
          <w:spacing w:val="8"/>
          <w:szCs w:val="28"/>
        </w:rPr>
        <w:t>米</w:t>
      </w:r>
      <w:r>
        <w:rPr>
          <w:rStyle w:val="20"/>
          <w:rFonts w:hint="eastAsia" w:ascii="仿宋" w:hAnsi="仿宋" w:eastAsia="仿宋"/>
          <w:color w:val="auto"/>
          <w:spacing w:val="8"/>
          <w:szCs w:val="28"/>
          <w:lang w:eastAsia="zh-CN"/>
        </w:rPr>
        <w:t>，</w:t>
      </w:r>
      <w:r>
        <w:rPr>
          <w:rStyle w:val="20"/>
          <w:rFonts w:ascii="仿宋" w:hAnsi="仿宋" w:eastAsia="仿宋"/>
          <w:color w:val="auto"/>
          <w:spacing w:val="8"/>
          <w:szCs w:val="28"/>
        </w:rPr>
        <w:t>距</w:t>
      </w:r>
      <w:r>
        <w:rPr>
          <w:rStyle w:val="20"/>
          <w:rFonts w:hint="eastAsia" w:ascii="仿宋" w:hAnsi="仿宋" w:eastAsia="仿宋"/>
          <w:color w:val="auto"/>
          <w:spacing w:val="8"/>
          <w:szCs w:val="28"/>
          <w:lang w:eastAsia="zh-CN"/>
        </w:rPr>
        <w:t>中国建设银行</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370</w:t>
      </w:r>
      <w:r>
        <w:rPr>
          <w:rStyle w:val="20"/>
          <w:rFonts w:ascii="仿宋" w:hAnsi="仿宋" w:eastAsia="仿宋"/>
          <w:color w:val="auto"/>
          <w:spacing w:val="8"/>
          <w:szCs w:val="28"/>
        </w:rPr>
        <w:t>米</w:t>
      </w:r>
      <w:r>
        <w:rPr>
          <w:rStyle w:val="20"/>
          <w:rFonts w:hint="eastAsia" w:ascii="仿宋" w:hAnsi="仿宋" w:eastAsia="仿宋"/>
          <w:color w:val="auto"/>
          <w:spacing w:val="8"/>
          <w:szCs w:val="28"/>
          <w:lang w:eastAsia="zh-CN"/>
        </w:rPr>
        <w:t>，</w:t>
      </w:r>
      <w:r>
        <w:rPr>
          <w:rStyle w:val="20"/>
          <w:rFonts w:ascii="仿宋" w:hAnsi="仿宋" w:eastAsia="仿宋"/>
          <w:color w:val="auto"/>
          <w:spacing w:val="8"/>
          <w:szCs w:val="28"/>
        </w:rPr>
        <w:t>距</w:t>
      </w:r>
      <w:r>
        <w:rPr>
          <w:rStyle w:val="20"/>
          <w:rFonts w:hint="eastAsia" w:ascii="仿宋" w:hAnsi="仿宋" w:eastAsia="仿宋"/>
          <w:color w:val="auto"/>
          <w:spacing w:val="8"/>
          <w:szCs w:val="28"/>
          <w:lang w:eastAsia="zh-CN"/>
        </w:rPr>
        <w:t>佳誉城市</w:t>
      </w:r>
      <w:r>
        <w:rPr>
          <w:rStyle w:val="20"/>
          <w:rFonts w:hint="eastAsia" w:ascii="仿宋" w:hAnsi="仿宋" w:eastAsia="仿宋"/>
          <w:color w:val="auto"/>
          <w:spacing w:val="8"/>
          <w:szCs w:val="28"/>
          <w:lang w:val="en-US" w:eastAsia="zh-CN"/>
        </w:rPr>
        <w:t>广场</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400</w:t>
      </w:r>
      <w:r>
        <w:rPr>
          <w:rStyle w:val="20"/>
          <w:rFonts w:ascii="仿宋" w:hAnsi="仿宋" w:eastAsia="仿宋"/>
          <w:color w:val="auto"/>
          <w:spacing w:val="8"/>
          <w:szCs w:val="28"/>
        </w:rPr>
        <w:t>米</w:t>
      </w:r>
      <w:r>
        <w:rPr>
          <w:rStyle w:val="20"/>
          <w:rFonts w:hint="eastAsia" w:ascii="仿宋" w:hAnsi="仿宋" w:eastAsia="仿宋"/>
          <w:color w:val="auto"/>
          <w:spacing w:val="8"/>
          <w:szCs w:val="28"/>
          <w:lang w:eastAsia="zh-CN"/>
        </w:rPr>
        <w:t>，</w:t>
      </w:r>
      <w:r>
        <w:rPr>
          <w:rStyle w:val="20"/>
          <w:rFonts w:ascii="仿宋" w:hAnsi="仿宋" w:eastAsia="仿宋"/>
          <w:color w:val="auto"/>
          <w:spacing w:val="8"/>
          <w:szCs w:val="28"/>
        </w:rPr>
        <w:t>距</w:t>
      </w:r>
      <w:r>
        <w:rPr>
          <w:rStyle w:val="20"/>
          <w:rFonts w:hint="eastAsia" w:ascii="仿宋" w:hAnsi="仿宋" w:eastAsia="仿宋"/>
          <w:color w:val="auto"/>
          <w:spacing w:val="8"/>
          <w:szCs w:val="28"/>
          <w:lang w:eastAsia="zh-CN"/>
        </w:rPr>
        <w:t>和平广场</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550</w:t>
      </w:r>
      <w:r>
        <w:rPr>
          <w:rStyle w:val="20"/>
          <w:rFonts w:ascii="仿宋" w:hAnsi="仿宋" w:eastAsia="仿宋"/>
          <w:color w:val="auto"/>
          <w:spacing w:val="8"/>
          <w:szCs w:val="28"/>
        </w:rPr>
        <w:t>米</w:t>
      </w:r>
      <w:r>
        <w:rPr>
          <w:rStyle w:val="20"/>
          <w:rFonts w:hint="eastAsia" w:ascii="仿宋" w:hAnsi="仿宋" w:eastAsia="仿宋"/>
          <w:color w:val="auto"/>
          <w:spacing w:val="8"/>
          <w:szCs w:val="28"/>
          <w:lang w:eastAsia="zh-CN"/>
        </w:rPr>
        <w:t>，</w:t>
      </w:r>
      <w:r>
        <w:rPr>
          <w:rStyle w:val="20"/>
          <w:rFonts w:ascii="仿宋" w:hAnsi="仿宋" w:eastAsia="仿宋"/>
          <w:color w:val="auto"/>
          <w:spacing w:val="8"/>
          <w:szCs w:val="28"/>
        </w:rPr>
        <w:t>距</w:t>
      </w:r>
      <w:r>
        <w:rPr>
          <w:rStyle w:val="20"/>
          <w:rFonts w:hint="eastAsia" w:ascii="仿宋" w:hAnsi="仿宋" w:eastAsia="仿宋"/>
          <w:color w:val="auto"/>
          <w:spacing w:val="8"/>
          <w:szCs w:val="28"/>
          <w:lang w:eastAsia="zh-CN"/>
        </w:rPr>
        <w:t>米兰商业广场</w:t>
      </w:r>
      <w:r>
        <w:rPr>
          <w:rStyle w:val="20"/>
          <w:rFonts w:hint="eastAsia" w:ascii="仿宋" w:hAnsi="仿宋" w:eastAsia="仿宋"/>
          <w:color w:val="auto"/>
          <w:spacing w:val="8"/>
          <w:szCs w:val="28"/>
          <w:lang w:val="en-US" w:eastAsia="zh-CN"/>
        </w:rPr>
        <w:t>约550</w:t>
      </w:r>
      <w:r>
        <w:rPr>
          <w:rStyle w:val="20"/>
          <w:rFonts w:ascii="仿宋" w:hAnsi="仿宋" w:eastAsia="仿宋"/>
          <w:color w:val="auto"/>
          <w:spacing w:val="8"/>
          <w:szCs w:val="28"/>
        </w:rPr>
        <w:t>米</w:t>
      </w:r>
      <w:r>
        <w:rPr>
          <w:rStyle w:val="20"/>
          <w:rFonts w:hint="eastAsia" w:ascii="仿宋" w:hAnsi="仿宋" w:eastAsia="仿宋"/>
          <w:color w:val="auto"/>
          <w:spacing w:val="8"/>
          <w:szCs w:val="28"/>
          <w:lang w:eastAsia="zh-CN"/>
        </w:rPr>
        <w:t>。</w:t>
      </w:r>
    </w:p>
    <w:p>
      <w:pPr>
        <w:keepNext w:val="0"/>
        <w:keepLines w:val="0"/>
        <w:pageBreakBefore w:val="0"/>
        <w:kinsoku/>
        <w:wordWrap/>
        <w:overflowPunct/>
        <w:topLinePunct w:val="0"/>
        <w:autoSpaceDE/>
        <w:autoSpaceDN/>
        <w:bidi w:val="0"/>
        <w:adjustRightInd/>
        <w:snapToGrid/>
        <w:spacing w:line="500" w:lineRule="exact"/>
        <w:ind w:firstLine="592" w:firstLineChars="200"/>
        <w:rPr>
          <w:rStyle w:val="20"/>
          <w:rFonts w:ascii="仿宋" w:hAnsi="仿宋" w:eastAsia="仿宋"/>
          <w:color w:val="auto"/>
          <w:spacing w:val="8"/>
          <w:szCs w:val="28"/>
        </w:rPr>
      </w:pPr>
      <w:r>
        <w:rPr>
          <w:rStyle w:val="20"/>
          <w:rFonts w:ascii="仿宋" w:hAnsi="仿宋" w:eastAsia="仿宋"/>
          <w:color w:val="auto"/>
          <w:spacing w:val="8"/>
          <w:szCs w:val="28"/>
        </w:rPr>
        <w:t>交通状况：估价对象主要交通道路有</w:t>
      </w:r>
      <w:r>
        <w:rPr>
          <w:rStyle w:val="20"/>
          <w:rFonts w:hint="eastAsia" w:ascii="仿宋" w:hAnsi="仿宋" w:eastAsia="仿宋"/>
          <w:color w:val="auto"/>
          <w:spacing w:val="8"/>
          <w:szCs w:val="28"/>
          <w:lang w:eastAsia="zh-CN"/>
        </w:rPr>
        <w:t>灵山南路、林园东路</w:t>
      </w:r>
      <w:r>
        <w:rPr>
          <w:rStyle w:val="20"/>
          <w:rFonts w:ascii="仿宋" w:hAnsi="仿宋" w:eastAsia="仿宋"/>
          <w:color w:val="auto"/>
          <w:spacing w:val="8"/>
          <w:szCs w:val="28"/>
        </w:rPr>
        <w:t>，有公交车、出租车、私家车辆通行，交通较便利。</w:t>
      </w:r>
    </w:p>
    <w:p>
      <w:pPr>
        <w:keepNext w:val="0"/>
        <w:keepLines w:val="0"/>
        <w:pageBreakBefore w:val="0"/>
        <w:kinsoku/>
        <w:wordWrap/>
        <w:overflowPunct/>
        <w:topLinePunct w:val="0"/>
        <w:autoSpaceDE/>
        <w:autoSpaceDN/>
        <w:bidi w:val="0"/>
        <w:adjustRightInd/>
        <w:snapToGrid/>
        <w:spacing w:line="500" w:lineRule="exact"/>
        <w:ind w:firstLine="592" w:firstLineChars="200"/>
        <w:rPr>
          <w:rStyle w:val="20"/>
          <w:rFonts w:ascii="仿宋" w:hAnsi="仿宋" w:eastAsia="仿宋"/>
          <w:color w:val="auto"/>
          <w:spacing w:val="8"/>
          <w:szCs w:val="28"/>
        </w:rPr>
      </w:pPr>
      <w:r>
        <w:rPr>
          <w:rStyle w:val="20"/>
          <w:rFonts w:ascii="仿宋" w:hAnsi="仿宋" w:eastAsia="仿宋"/>
          <w:color w:val="auto"/>
          <w:spacing w:val="8"/>
          <w:szCs w:val="28"/>
        </w:rPr>
        <w:t>停车方便度：</w:t>
      </w:r>
      <w:r>
        <w:rPr>
          <w:rStyle w:val="20"/>
          <w:rFonts w:hint="eastAsia" w:ascii="仿宋" w:hAnsi="仿宋" w:eastAsia="仿宋"/>
          <w:color w:val="auto"/>
          <w:spacing w:val="8"/>
          <w:szCs w:val="28"/>
          <w:lang w:val="en-US" w:eastAsia="zh-CN"/>
        </w:rPr>
        <w:t>附近</w:t>
      </w:r>
      <w:r>
        <w:rPr>
          <w:rStyle w:val="20"/>
          <w:rFonts w:hint="eastAsia" w:ascii="仿宋" w:hAnsi="仿宋" w:eastAsia="仿宋"/>
          <w:color w:val="auto"/>
          <w:spacing w:val="8"/>
          <w:szCs w:val="28"/>
        </w:rPr>
        <w:t>有</w:t>
      </w:r>
      <w:r>
        <w:rPr>
          <w:rStyle w:val="20"/>
          <w:rFonts w:hint="eastAsia" w:ascii="仿宋" w:hAnsi="仿宋" w:eastAsia="仿宋"/>
          <w:color w:val="auto"/>
          <w:spacing w:val="8"/>
          <w:szCs w:val="28"/>
          <w:lang w:val="en-US" w:eastAsia="zh-CN"/>
        </w:rPr>
        <w:t>道路划线停车</w:t>
      </w:r>
      <w:r>
        <w:rPr>
          <w:rStyle w:val="20"/>
          <w:rFonts w:ascii="仿宋" w:hAnsi="仿宋" w:eastAsia="仿宋"/>
          <w:color w:val="auto"/>
          <w:spacing w:val="8"/>
          <w:szCs w:val="28"/>
        </w:rPr>
        <w:t>，停车较方便。</w:t>
      </w:r>
    </w:p>
    <w:p>
      <w:pPr>
        <w:keepNext w:val="0"/>
        <w:keepLines w:val="0"/>
        <w:pageBreakBefore w:val="0"/>
        <w:widowControl/>
        <w:kinsoku/>
        <w:wordWrap/>
        <w:overflowPunct/>
        <w:topLinePunct w:val="0"/>
        <w:autoSpaceDE/>
        <w:autoSpaceDN/>
        <w:bidi w:val="0"/>
        <w:adjustRightInd/>
        <w:snapToGrid/>
        <w:spacing w:line="500" w:lineRule="exact"/>
        <w:ind w:firstLine="592" w:firstLineChars="200"/>
        <w:textAlignment w:val="baseline"/>
        <w:rPr>
          <w:rStyle w:val="20"/>
          <w:rFonts w:ascii="仿宋" w:hAnsi="仿宋" w:eastAsia="仿宋"/>
          <w:color w:val="auto"/>
          <w:spacing w:val="8"/>
          <w:szCs w:val="28"/>
        </w:rPr>
      </w:pPr>
      <w:r>
        <w:rPr>
          <w:rStyle w:val="20"/>
          <w:rFonts w:ascii="仿宋" w:hAnsi="仿宋" w:eastAsia="仿宋"/>
          <w:color w:val="auto"/>
          <w:spacing w:val="8"/>
          <w:szCs w:val="28"/>
        </w:rPr>
        <w:t>环境状况：</w:t>
      </w:r>
      <w:r>
        <w:rPr>
          <w:rStyle w:val="20"/>
          <w:rFonts w:hint="eastAsia" w:ascii="仿宋" w:hAnsi="仿宋" w:eastAsia="仿宋"/>
          <w:color w:val="auto"/>
          <w:spacing w:val="8"/>
          <w:szCs w:val="28"/>
          <w:lang w:val="en-US" w:eastAsia="zh-CN"/>
        </w:rPr>
        <w:t>一般、绿化较少</w:t>
      </w:r>
      <w:r>
        <w:rPr>
          <w:rStyle w:val="20"/>
          <w:rFonts w:ascii="仿宋" w:hAnsi="仿宋" w:eastAsia="仿宋"/>
          <w:color w:val="auto"/>
          <w:spacing w:val="8"/>
          <w:szCs w:val="28"/>
        </w:rPr>
        <w:t>。</w:t>
      </w:r>
    </w:p>
    <w:p>
      <w:pPr>
        <w:keepNext w:val="0"/>
        <w:keepLines w:val="0"/>
        <w:pageBreakBefore w:val="0"/>
        <w:widowControl/>
        <w:kinsoku/>
        <w:wordWrap/>
        <w:overflowPunct/>
        <w:topLinePunct w:val="0"/>
        <w:autoSpaceDE/>
        <w:autoSpaceDN/>
        <w:bidi w:val="0"/>
        <w:adjustRightInd/>
        <w:snapToGrid/>
        <w:spacing w:line="500" w:lineRule="exact"/>
        <w:ind w:firstLine="592" w:firstLineChars="200"/>
        <w:textAlignment w:val="baseline"/>
        <w:rPr>
          <w:rStyle w:val="20"/>
          <w:rFonts w:ascii="仿宋" w:hAnsi="仿宋" w:eastAsia="仿宋"/>
          <w:color w:val="auto"/>
          <w:spacing w:val="8"/>
          <w:szCs w:val="28"/>
        </w:rPr>
      </w:pPr>
      <w:r>
        <w:rPr>
          <w:rStyle w:val="20"/>
          <w:rFonts w:ascii="仿宋" w:hAnsi="仿宋" w:eastAsia="仿宋"/>
          <w:color w:val="auto"/>
          <w:spacing w:val="8"/>
          <w:szCs w:val="28"/>
        </w:rPr>
        <w:t>商务繁华度：估价对象所在位置在</w:t>
      </w:r>
      <w:r>
        <w:rPr>
          <w:rStyle w:val="20"/>
          <w:rFonts w:hint="eastAsia" w:ascii="仿宋" w:hAnsi="仿宋" w:eastAsia="仿宋"/>
          <w:color w:val="auto"/>
          <w:spacing w:val="8"/>
          <w:szCs w:val="28"/>
          <w:lang w:eastAsia="zh-CN"/>
        </w:rPr>
        <w:t>灵山南路、林园东路</w:t>
      </w:r>
      <w:r>
        <w:rPr>
          <w:rStyle w:val="20"/>
          <w:rFonts w:ascii="仿宋" w:hAnsi="仿宋" w:eastAsia="仿宋"/>
          <w:color w:val="auto"/>
          <w:spacing w:val="8"/>
          <w:szCs w:val="28"/>
        </w:rPr>
        <w:t>，周边有“</w:t>
      </w:r>
      <w:r>
        <w:rPr>
          <w:rStyle w:val="20"/>
          <w:rFonts w:hint="eastAsia" w:ascii="仿宋" w:hAnsi="仿宋" w:eastAsia="仿宋"/>
          <w:color w:val="auto"/>
          <w:spacing w:val="8"/>
          <w:szCs w:val="28"/>
          <w:lang w:eastAsia="zh-CN"/>
        </w:rPr>
        <w:t>佳誉城市</w:t>
      </w:r>
      <w:r>
        <w:rPr>
          <w:rStyle w:val="20"/>
          <w:rFonts w:hint="eastAsia" w:ascii="仿宋" w:hAnsi="仿宋" w:eastAsia="仿宋"/>
          <w:color w:val="auto"/>
          <w:spacing w:val="8"/>
          <w:szCs w:val="28"/>
          <w:lang w:val="en-US" w:eastAsia="zh-CN"/>
        </w:rPr>
        <w:t>广场</w:t>
      </w:r>
      <w:r>
        <w:rPr>
          <w:rStyle w:val="20"/>
          <w:rFonts w:ascii="仿宋" w:hAnsi="仿宋" w:eastAsia="仿宋"/>
          <w:color w:val="auto"/>
          <w:spacing w:val="8"/>
          <w:szCs w:val="28"/>
        </w:rPr>
        <w:t>”、“</w:t>
      </w:r>
      <w:r>
        <w:rPr>
          <w:rStyle w:val="20"/>
          <w:rFonts w:hint="eastAsia" w:ascii="仿宋" w:hAnsi="仿宋" w:eastAsia="仿宋"/>
          <w:color w:val="auto"/>
          <w:spacing w:val="8"/>
          <w:szCs w:val="28"/>
          <w:lang w:eastAsia="zh-CN"/>
        </w:rPr>
        <w:t>和平广场</w:t>
      </w:r>
      <w:r>
        <w:rPr>
          <w:rStyle w:val="20"/>
          <w:rFonts w:ascii="仿宋" w:hAnsi="仿宋" w:eastAsia="仿宋"/>
          <w:color w:val="auto"/>
          <w:spacing w:val="8"/>
          <w:szCs w:val="28"/>
        </w:rPr>
        <w:t>”、“</w:t>
      </w:r>
      <w:r>
        <w:rPr>
          <w:rStyle w:val="20"/>
          <w:rFonts w:hint="eastAsia" w:ascii="仿宋" w:hAnsi="仿宋" w:eastAsia="仿宋"/>
          <w:color w:val="auto"/>
          <w:spacing w:val="8"/>
          <w:szCs w:val="28"/>
          <w:lang w:eastAsia="zh-CN"/>
        </w:rPr>
        <w:t>米兰商业广场</w:t>
      </w:r>
      <w:r>
        <w:rPr>
          <w:rStyle w:val="20"/>
          <w:rFonts w:ascii="仿宋" w:hAnsi="仿宋" w:eastAsia="仿宋"/>
          <w:color w:val="auto"/>
          <w:spacing w:val="8"/>
          <w:szCs w:val="28"/>
        </w:rPr>
        <w:t>”、“</w:t>
      </w:r>
      <w:r>
        <w:rPr>
          <w:rStyle w:val="20"/>
          <w:rFonts w:hint="eastAsia" w:ascii="仿宋" w:hAnsi="仿宋" w:eastAsia="仿宋"/>
          <w:color w:val="auto"/>
          <w:spacing w:val="8"/>
          <w:szCs w:val="28"/>
        </w:rPr>
        <w:t xml:space="preserve"> </w:t>
      </w:r>
      <w:r>
        <w:rPr>
          <w:rStyle w:val="20"/>
          <w:rFonts w:hint="eastAsia" w:ascii="仿宋" w:hAnsi="仿宋" w:eastAsia="仿宋"/>
          <w:color w:val="auto"/>
          <w:spacing w:val="8"/>
          <w:szCs w:val="28"/>
          <w:lang w:eastAsia="zh-CN"/>
        </w:rPr>
        <w:t>三穗农商银行</w:t>
      </w:r>
      <w:r>
        <w:rPr>
          <w:rStyle w:val="20"/>
          <w:rFonts w:ascii="仿宋" w:hAnsi="仿宋" w:eastAsia="仿宋"/>
          <w:color w:val="auto"/>
          <w:spacing w:val="8"/>
          <w:szCs w:val="28"/>
        </w:rPr>
        <w:t>”，“</w:t>
      </w:r>
      <w:r>
        <w:rPr>
          <w:rStyle w:val="20"/>
          <w:rFonts w:hint="eastAsia" w:ascii="仿宋" w:hAnsi="仿宋" w:eastAsia="仿宋"/>
          <w:color w:val="auto"/>
          <w:spacing w:val="8"/>
          <w:szCs w:val="28"/>
        </w:rPr>
        <w:t xml:space="preserve"> </w:t>
      </w:r>
      <w:r>
        <w:rPr>
          <w:rStyle w:val="20"/>
          <w:rFonts w:hint="eastAsia" w:ascii="仿宋" w:hAnsi="仿宋" w:eastAsia="仿宋"/>
          <w:color w:val="auto"/>
          <w:spacing w:val="8"/>
          <w:szCs w:val="28"/>
          <w:lang w:eastAsia="zh-CN"/>
        </w:rPr>
        <w:t>中国建设银行</w:t>
      </w:r>
      <w:r>
        <w:rPr>
          <w:rStyle w:val="20"/>
          <w:rFonts w:ascii="仿宋" w:hAnsi="仿宋" w:eastAsia="仿宋"/>
          <w:color w:val="auto"/>
          <w:spacing w:val="8"/>
          <w:szCs w:val="28"/>
        </w:rPr>
        <w:t>”</w:t>
      </w:r>
      <w:r>
        <w:rPr>
          <w:rStyle w:val="20"/>
          <w:rFonts w:hint="eastAsia" w:ascii="仿宋" w:hAnsi="仿宋" w:eastAsia="仿宋"/>
          <w:color w:val="auto"/>
          <w:spacing w:val="8"/>
          <w:szCs w:val="28"/>
        </w:rPr>
        <w:t>等，</w:t>
      </w:r>
      <w:r>
        <w:rPr>
          <w:rStyle w:val="20"/>
          <w:rFonts w:ascii="仿宋" w:hAnsi="仿宋" w:eastAsia="仿宋"/>
          <w:color w:val="auto"/>
          <w:spacing w:val="8"/>
          <w:szCs w:val="28"/>
        </w:rPr>
        <w:t>商业氛围</w:t>
      </w:r>
      <w:r>
        <w:rPr>
          <w:rStyle w:val="20"/>
          <w:rFonts w:hint="eastAsia" w:ascii="仿宋" w:hAnsi="仿宋" w:eastAsia="仿宋"/>
          <w:color w:val="auto"/>
          <w:spacing w:val="8"/>
          <w:szCs w:val="28"/>
        </w:rPr>
        <w:t>较好</w:t>
      </w:r>
      <w:r>
        <w:rPr>
          <w:rStyle w:val="20"/>
          <w:rFonts w:ascii="仿宋" w:hAnsi="仿宋" w:eastAsia="仿宋"/>
          <w:color w:val="auto"/>
          <w:spacing w:val="8"/>
          <w:szCs w:val="28"/>
        </w:rPr>
        <w:t>，商服繁华度</w:t>
      </w:r>
      <w:r>
        <w:rPr>
          <w:rStyle w:val="20"/>
          <w:rFonts w:hint="eastAsia" w:ascii="仿宋" w:hAnsi="仿宋" w:eastAsia="仿宋"/>
          <w:color w:val="auto"/>
          <w:spacing w:val="8"/>
          <w:szCs w:val="28"/>
        </w:rPr>
        <w:t>较好</w:t>
      </w:r>
      <w:r>
        <w:rPr>
          <w:rStyle w:val="20"/>
          <w:rFonts w:ascii="仿宋" w:hAnsi="仿宋" w:eastAsia="仿宋"/>
          <w:color w:val="auto"/>
          <w:spacing w:val="8"/>
          <w:szCs w:val="28"/>
        </w:rPr>
        <w:t>。</w:t>
      </w:r>
    </w:p>
    <w:p>
      <w:pPr>
        <w:keepNext w:val="0"/>
        <w:keepLines w:val="0"/>
        <w:pageBreakBefore w:val="0"/>
        <w:widowControl/>
        <w:kinsoku/>
        <w:wordWrap/>
        <w:overflowPunct/>
        <w:topLinePunct w:val="0"/>
        <w:autoSpaceDE/>
        <w:autoSpaceDN/>
        <w:bidi w:val="0"/>
        <w:adjustRightInd/>
        <w:snapToGrid/>
        <w:spacing w:line="500" w:lineRule="exact"/>
        <w:ind w:firstLine="592" w:firstLineChars="200"/>
        <w:textAlignment w:val="baseline"/>
        <w:rPr>
          <w:rStyle w:val="20"/>
          <w:rFonts w:ascii="仿宋" w:hAnsi="仿宋" w:eastAsia="仿宋"/>
          <w:color w:val="auto"/>
          <w:szCs w:val="28"/>
        </w:rPr>
      </w:pPr>
      <w:r>
        <w:rPr>
          <w:rStyle w:val="20"/>
          <w:rFonts w:ascii="仿宋" w:hAnsi="仿宋" w:eastAsia="仿宋"/>
          <w:color w:val="auto"/>
          <w:spacing w:val="8"/>
          <w:szCs w:val="28"/>
        </w:rPr>
        <w:t>外部配套设施状况：估价对象所在区域给排水、电力、电讯基础设施较完备，供水、供电保障率高，道路设施良好；距</w:t>
      </w:r>
      <w:r>
        <w:rPr>
          <w:rStyle w:val="20"/>
          <w:rFonts w:hint="eastAsia" w:ascii="仿宋" w:hAnsi="仿宋" w:eastAsia="仿宋"/>
          <w:color w:val="auto"/>
          <w:spacing w:val="8"/>
          <w:szCs w:val="28"/>
          <w:lang w:eastAsia="zh-CN"/>
        </w:rPr>
        <w:t>黔东南州三穗县县人民医院</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130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妇科诊所</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310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三穗县城关第二小学</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250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三穗县民族高级中学</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260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三穗汽车站</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100</w:t>
      </w:r>
      <w:r>
        <w:rPr>
          <w:rStyle w:val="20"/>
          <w:rFonts w:ascii="仿宋" w:hAnsi="仿宋" w:eastAsia="仿宋"/>
          <w:color w:val="auto"/>
          <w:spacing w:val="8"/>
          <w:szCs w:val="28"/>
        </w:rPr>
        <w:t>米，距</w:t>
      </w:r>
      <w:r>
        <w:rPr>
          <w:rStyle w:val="20"/>
          <w:rFonts w:hint="eastAsia" w:ascii="仿宋" w:hAnsi="仿宋" w:eastAsia="仿宋"/>
          <w:color w:val="auto"/>
          <w:spacing w:val="8"/>
          <w:szCs w:val="28"/>
          <w:lang w:eastAsia="zh-CN"/>
        </w:rPr>
        <w:t>三穗县公安局公路巡逻民警大队</w:t>
      </w:r>
      <w:r>
        <w:rPr>
          <w:rStyle w:val="20"/>
          <w:rFonts w:ascii="仿宋" w:hAnsi="仿宋" w:eastAsia="仿宋"/>
          <w:color w:val="auto"/>
          <w:spacing w:val="8"/>
          <w:szCs w:val="28"/>
        </w:rPr>
        <w:t>约</w:t>
      </w:r>
      <w:r>
        <w:rPr>
          <w:rStyle w:val="20"/>
          <w:rFonts w:hint="eastAsia" w:ascii="仿宋" w:hAnsi="仿宋" w:eastAsia="仿宋"/>
          <w:color w:val="auto"/>
          <w:spacing w:val="8"/>
          <w:szCs w:val="28"/>
          <w:lang w:val="en-US" w:eastAsia="zh-CN"/>
        </w:rPr>
        <w:t>100</w:t>
      </w:r>
      <w:r>
        <w:rPr>
          <w:rStyle w:val="20"/>
          <w:rFonts w:ascii="仿宋" w:hAnsi="仿宋" w:eastAsia="仿宋"/>
          <w:color w:val="auto"/>
          <w:spacing w:val="8"/>
          <w:szCs w:val="28"/>
        </w:rPr>
        <w:t>米</w:t>
      </w:r>
      <w:r>
        <w:rPr>
          <w:rStyle w:val="20"/>
          <w:rFonts w:hint="eastAsia" w:ascii="仿宋" w:hAnsi="仿宋" w:eastAsia="仿宋"/>
          <w:color w:val="auto"/>
          <w:spacing w:val="8"/>
          <w:szCs w:val="28"/>
        </w:rPr>
        <w:t>，</w:t>
      </w:r>
      <w:r>
        <w:rPr>
          <w:rStyle w:val="20"/>
          <w:rFonts w:ascii="仿宋" w:hAnsi="仿宋" w:eastAsia="仿宋"/>
          <w:color w:val="auto"/>
          <w:spacing w:val="8"/>
          <w:szCs w:val="28"/>
        </w:rPr>
        <w:t>公共服务配套设施齐备度较</w:t>
      </w:r>
      <w:r>
        <w:rPr>
          <w:rStyle w:val="20"/>
          <w:rFonts w:hint="eastAsia" w:ascii="仿宋" w:hAnsi="仿宋" w:eastAsia="仿宋"/>
          <w:color w:val="auto"/>
          <w:spacing w:val="8"/>
          <w:szCs w:val="28"/>
        </w:rPr>
        <w:t>高</w:t>
      </w:r>
      <w:r>
        <w:rPr>
          <w:rStyle w:val="20"/>
          <w:rFonts w:ascii="仿宋" w:hAnsi="仿宋" w:eastAsia="仿宋"/>
          <w:color w:val="auto"/>
          <w:spacing w:val="8"/>
          <w:szCs w:val="28"/>
        </w:rPr>
        <w:t>。</w:t>
      </w:r>
    </w:p>
    <w:p>
      <w:pPr>
        <w:pStyle w:val="12"/>
        <w:keepNext w:val="0"/>
        <w:keepLines w:val="0"/>
        <w:pageBreakBefore w:val="0"/>
        <w:widowControl/>
        <w:kinsoku/>
        <w:wordWrap/>
        <w:overflowPunct/>
        <w:topLinePunct w:val="0"/>
        <w:autoSpaceDE/>
        <w:autoSpaceDN/>
        <w:bidi w:val="0"/>
        <w:adjustRightInd/>
        <w:snapToGrid/>
        <w:spacing w:before="0" w:after="0" w:line="50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7" w:name="_Toc1837"/>
      <w:r>
        <w:rPr>
          <w:rStyle w:val="20"/>
          <w:rFonts w:ascii="仿宋" w:hAnsi="仿宋" w:eastAsia="仿宋" w:cs="仿宋"/>
          <w:color w:val="000000" w:themeColor="text1"/>
          <w:sz w:val="28"/>
          <w:szCs w:val="28"/>
        </w:rPr>
        <w:t>五、价值时点</w:t>
      </w:r>
      <w:bookmarkEnd w:id="7"/>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pacing w:val="8"/>
          <w:szCs w:val="28"/>
          <w:highlight w:val="yellow"/>
        </w:rPr>
      </w:pPr>
      <w:r>
        <w:rPr>
          <w:rStyle w:val="20"/>
          <w:rFonts w:ascii="仿宋" w:hAnsi="仿宋" w:eastAsia="仿宋"/>
          <w:color w:val="000000" w:themeColor="text1"/>
          <w:szCs w:val="28"/>
        </w:rPr>
        <w:t>以实地查勘期</w:t>
      </w:r>
      <w:r>
        <w:rPr>
          <w:rStyle w:val="20"/>
          <w:rFonts w:hint="eastAsia" w:ascii="仿宋" w:hAnsi="仿宋" w:eastAsia="仿宋"/>
          <w:color w:val="000000" w:themeColor="text1"/>
          <w:szCs w:val="28"/>
          <w:lang w:eastAsia="zh-CN"/>
        </w:rPr>
        <w:t>2022</w:t>
      </w:r>
      <w:r>
        <w:rPr>
          <w:rStyle w:val="20"/>
          <w:rFonts w:ascii="仿宋" w:hAnsi="仿宋" w:eastAsia="仿宋"/>
          <w:color w:val="000000" w:themeColor="text1"/>
          <w:szCs w:val="28"/>
        </w:rPr>
        <w:t>年0</w:t>
      </w:r>
      <w:r>
        <w:rPr>
          <w:rStyle w:val="20"/>
          <w:rFonts w:hint="eastAsia" w:ascii="仿宋" w:hAnsi="仿宋" w:eastAsia="仿宋"/>
          <w:color w:val="000000" w:themeColor="text1"/>
          <w:szCs w:val="28"/>
          <w:lang w:val="en-US" w:eastAsia="zh-CN"/>
        </w:rPr>
        <w:t>8</w:t>
      </w:r>
      <w:r>
        <w:rPr>
          <w:rStyle w:val="20"/>
          <w:rFonts w:ascii="仿宋" w:hAnsi="仿宋" w:eastAsia="仿宋"/>
          <w:color w:val="000000" w:themeColor="text1"/>
          <w:szCs w:val="28"/>
        </w:rPr>
        <w:t>月</w:t>
      </w:r>
      <w:r>
        <w:rPr>
          <w:rStyle w:val="20"/>
          <w:rFonts w:hint="eastAsia" w:ascii="仿宋" w:hAnsi="仿宋" w:eastAsia="仿宋"/>
          <w:color w:val="000000" w:themeColor="text1"/>
          <w:szCs w:val="28"/>
          <w:lang w:val="en-US" w:eastAsia="zh-CN"/>
        </w:rPr>
        <w:t>19</w:t>
      </w:r>
      <w:r>
        <w:rPr>
          <w:rStyle w:val="20"/>
          <w:rFonts w:ascii="仿宋" w:hAnsi="仿宋" w:eastAsia="仿宋"/>
          <w:color w:val="000000" w:themeColor="text1"/>
          <w:szCs w:val="28"/>
        </w:rPr>
        <w:t>日作为价值时点</w:t>
      </w:r>
      <w:r>
        <w:rPr>
          <w:rStyle w:val="20"/>
          <w:rFonts w:ascii="仿宋" w:hAnsi="仿宋" w:eastAsia="仿宋"/>
          <w:color w:val="000000" w:themeColor="text1"/>
          <w:spacing w:val="8"/>
          <w:szCs w:val="28"/>
        </w:rPr>
        <w:t>。</w:t>
      </w:r>
    </w:p>
    <w:p>
      <w:pPr>
        <w:pStyle w:val="12"/>
        <w:keepNext w:val="0"/>
        <w:keepLines w:val="0"/>
        <w:pageBreakBefore w:val="0"/>
        <w:widowControl/>
        <w:numPr>
          <w:ilvl w:val="0"/>
          <w:numId w:val="3"/>
        </w:numPr>
        <w:tabs>
          <w:tab w:val="center" w:pos="4819"/>
        </w:tabs>
        <w:kinsoku/>
        <w:wordWrap/>
        <w:overflowPunct/>
        <w:topLinePunct w:val="0"/>
        <w:autoSpaceDE/>
        <w:autoSpaceDN/>
        <w:bidi w:val="0"/>
        <w:adjustRightInd/>
        <w:snapToGrid/>
        <w:spacing w:before="0" w:after="0" w:line="50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8" w:name="_Toc13622"/>
      <w:r>
        <w:rPr>
          <w:rStyle w:val="20"/>
          <w:rFonts w:ascii="仿宋" w:hAnsi="仿宋" w:eastAsia="仿宋" w:cs="仿宋"/>
          <w:color w:val="000000" w:themeColor="text1"/>
          <w:sz w:val="28"/>
          <w:szCs w:val="28"/>
        </w:rPr>
        <w:t>价值类型</w:t>
      </w:r>
      <w:bookmarkEnd w:id="8"/>
    </w:p>
    <w:p>
      <w:pPr>
        <w:pStyle w:val="12"/>
        <w:keepNext w:val="0"/>
        <w:keepLines w:val="0"/>
        <w:pageBreakBefore w:val="0"/>
        <w:widowControl/>
        <w:numPr>
          <w:ilvl w:val="0"/>
          <w:numId w:val="0"/>
        </w:numPr>
        <w:tabs>
          <w:tab w:val="center" w:pos="4819"/>
        </w:tabs>
        <w:kinsoku/>
        <w:wordWrap/>
        <w:overflowPunct/>
        <w:topLinePunct w:val="0"/>
        <w:autoSpaceDE/>
        <w:autoSpaceDN/>
        <w:bidi w:val="0"/>
        <w:adjustRightInd/>
        <w:snapToGrid/>
        <w:spacing w:before="0" w:after="0" w:line="500" w:lineRule="exact"/>
        <w:ind w:firstLine="560" w:firstLineChars="200"/>
        <w:jc w:val="left"/>
        <w:textAlignment w:val="baseline"/>
        <w:outlineLvl w:val="9"/>
        <w:rPr>
          <w:rStyle w:val="20"/>
          <w:rFonts w:hint="eastAsia" w:ascii="仿宋" w:hAnsi="仿宋" w:eastAsia="仿宋" w:cs="Times New Roman"/>
          <w:b w:val="0"/>
          <w:bCs w:val="0"/>
          <w:color w:val="000000" w:themeColor="text1"/>
          <w:kern w:val="2"/>
          <w:sz w:val="28"/>
          <w:szCs w:val="28"/>
          <w:lang w:val="en-US" w:eastAsia="zh-CN" w:bidi="ar-SA"/>
        </w:rPr>
      </w:pPr>
      <w:r>
        <w:rPr>
          <w:rStyle w:val="20"/>
          <w:rFonts w:ascii="仿宋" w:hAnsi="仿宋" w:eastAsia="仿宋" w:cs="Times New Roman"/>
          <w:b w:val="0"/>
          <w:bCs w:val="0"/>
          <w:color w:val="000000" w:themeColor="text1"/>
          <w:kern w:val="2"/>
          <w:sz w:val="28"/>
          <w:szCs w:val="28"/>
          <w:lang w:val="en-US" w:eastAsia="zh-CN" w:bidi="ar-SA"/>
        </w:rPr>
        <w:t>本次评估是采用市场价值标准。市场价值，是指估价对象在公开市场上经</w:t>
      </w:r>
    </w:p>
    <w:p>
      <w:pPr>
        <w:keepNext w:val="0"/>
        <w:keepLines w:val="0"/>
        <w:pageBreakBefore w:val="0"/>
        <w:widowControl/>
        <w:kinsoku/>
        <w:wordWrap/>
        <w:overflowPunct/>
        <w:topLinePunct w:val="0"/>
        <w:autoSpaceDE/>
        <w:autoSpaceDN/>
        <w:bidi w:val="0"/>
        <w:adjustRightInd/>
        <w:snapToGrid/>
        <w:spacing w:line="500" w:lineRule="exact"/>
        <w:textAlignment w:val="baseline"/>
        <w:outlineLvl w:val="9"/>
        <w:rPr>
          <w:rStyle w:val="20"/>
          <w:rFonts w:ascii="仿宋" w:hAnsi="仿宋" w:eastAsia="仿宋"/>
          <w:color w:val="000000" w:themeColor="text1"/>
          <w:szCs w:val="28"/>
        </w:rPr>
      </w:pPr>
      <w:r>
        <w:rPr>
          <w:rStyle w:val="20"/>
          <w:rFonts w:ascii="仿宋" w:hAnsi="仿宋" w:eastAsia="仿宋"/>
          <w:color w:val="000000" w:themeColor="text1"/>
          <w:szCs w:val="28"/>
        </w:rPr>
        <w:t>适当营销后，又熟悉情况、谨慎行事且不受强迫的交易双方，以公平交易方式在价值时点自愿进行交易的金额。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1、评估值中包括估价对象应分摊的土地使用权价值</w:t>
      </w:r>
      <w:r>
        <w:rPr>
          <w:rStyle w:val="20"/>
          <w:rFonts w:hint="eastAsia" w:ascii="仿宋" w:hAnsi="仿宋" w:eastAsia="仿宋"/>
          <w:color w:val="000000" w:themeColor="text1"/>
          <w:szCs w:val="28"/>
        </w:rPr>
        <w:t>以及室内装修不可移动部分价值；</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2、交易税费由买卖双方各自承担。</w:t>
      </w:r>
    </w:p>
    <w:p>
      <w:pPr>
        <w:pStyle w:val="12"/>
        <w:keepNext w:val="0"/>
        <w:keepLines w:val="0"/>
        <w:pageBreakBefore w:val="0"/>
        <w:kinsoku/>
        <w:wordWrap/>
        <w:overflowPunct/>
        <w:topLinePunct w:val="0"/>
        <w:autoSpaceDE/>
        <w:autoSpaceDN/>
        <w:bidi w:val="0"/>
        <w:adjustRightInd/>
        <w:snapToGrid/>
        <w:spacing w:before="0" w:after="0" w:line="500" w:lineRule="exact"/>
        <w:ind w:firstLine="562" w:firstLineChars="200"/>
        <w:jc w:val="left"/>
        <w:outlineLvl w:val="1"/>
        <w:rPr>
          <w:rStyle w:val="20"/>
          <w:rFonts w:ascii="仿宋" w:hAnsi="仿宋" w:eastAsia="仿宋" w:cs="仿宋"/>
          <w:color w:val="000000" w:themeColor="text1"/>
          <w:sz w:val="28"/>
          <w:szCs w:val="28"/>
        </w:rPr>
      </w:pPr>
      <w:bookmarkStart w:id="9" w:name="_Toc3808"/>
      <w:r>
        <w:rPr>
          <w:rStyle w:val="20"/>
          <w:rFonts w:ascii="仿宋" w:hAnsi="仿宋" w:eastAsia="仿宋" w:cs="仿宋"/>
          <w:color w:val="000000" w:themeColor="text1"/>
          <w:sz w:val="28"/>
          <w:szCs w:val="28"/>
        </w:rPr>
        <w:t>七、估价原则</w:t>
      </w:r>
      <w:bookmarkEnd w:id="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本次估价遵循下列原则：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1、独立、客观、公正原则。要求估价机构有完全独立性，估价机构和估价人员与估价对象及相关当事人没有利害关系，不受外部干扰因素影响，从实际出发，公平合理地进行估价。</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2、遵循合法原则。指应以估价对象的合法使用、合法处分为前提，另外，估价工作也应符合国家有关法律法规规定。</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3、价值时点原则。市场是变化的，资产的价值会随着市场条件、区域经济环境、国家宏观政策变化而不断的变化，也会随着自然的实体消耗和功能的落后产生价值贬损。尤其是房地产，其不可移动性和位置的固定性决定了房地产市场是一个区域性市场，在房地产市场波动较大的情况下，估价结果更是具有很强的时效性。为了使估价工作得以操作，同时，又能使估价结果可以被市场检验，在估价时，必须假设市场条件固定在某一时点上，这一时点就是价值时点，它为估价提供了一个时间基准，房地产估价报告所反映的价值就是估价对象在价值时点上的价值。</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4、替代原则。替代原则是指作为一种市场规律，在同一市场上，具有相同使用价值和质量的商品，应有大致有相同的交换价值或价格。</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5、最高最佳使用原则。</w:t>
      </w:r>
    </w:p>
    <w:p>
      <w:pPr>
        <w:keepNext w:val="0"/>
        <w:keepLines w:val="0"/>
        <w:pageBreakBefore w:val="0"/>
        <w:kinsoku/>
        <w:wordWrap/>
        <w:overflowPunct/>
        <w:topLinePunct w:val="0"/>
        <w:autoSpaceDE/>
        <w:autoSpaceDN/>
        <w:bidi w:val="0"/>
        <w:adjustRightInd/>
        <w:snapToGrid/>
        <w:spacing w:line="50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房地产估价应当以估价对象的最高最佳使用为前提进行估价。最高最佳使用是指法律上允许、技术上可能、财务上可行、价值最大化，经充分合理论证，能使估价对象产生最高价值的使用。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96"/>
          <w:sz w:val="28"/>
          <w:szCs w:val="28"/>
        </w:rPr>
      </w:pPr>
      <w:r>
        <w:rPr>
          <w:rFonts w:hint="eastAsia" w:ascii="仿宋" w:hAnsi="仿宋" w:eastAsia="仿宋" w:cs="仿宋"/>
          <w:color w:val="000000" w:themeColor="text1"/>
          <w:kern w:val="96"/>
          <w:szCs w:val="28"/>
        </w:rPr>
        <w:t>综合以上条件分析，根据估价委托人提供的相关资料，</w:t>
      </w:r>
      <w:r>
        <w:rPr>
          <w:rFonts w:hint="eastAsia" w:ascii="仿宋" w:hAnsi="仿宋" w:eastAsia="仿宋" w:cs="仿宋"/>
          <w:color w:val="000000" w:themeColor="text1"/>
          <w:kern w:val="96"/>
          <w:szCs w:val="28"/>
          <w:lang w:eastAsia="zh-CN"/>
        </w:rPr>
        <w:t>本次评估估价</w:t>
      </w:r>
      <w:r>
        <w:rPr>
          <w:rFonts w:hint="eastAsia" w:ascii="仿宋" w:hAnsi="仿宋" w:eastAsia="仿宋" w:cs="仿宋"/>
          <w:color w:val="000000" w:themeColor="text1"/>
          <w:kern w:val="96"/>
          <w:szCs w:val="28"/>
        </w:rPr>
        <w:t>对象以</w:t>
      </w:r>
      <w:r>
        <w:rPr>
          <w:rFonts w:hint="eastAsia" w:ascii="仿宋" w:hAnsi="仿宋" w:eastAsia="仿宋" w:cs="仿宋"/>
          <w:color w:val="000000" w:themeColor="text1"/>
          <w:kern w:val="96"/>
          <w:szCs w:val="28"/>
          <w:lang w:val="en-US" w:eastAsia="zh-CN"/>
        </w:rPr>
        <w:t>住宅</w:t>
      </w:r>
      <w:r>
        <w:rPr>
          <w:rFonts w:hint="eastAsia" w:ascii="仿宋" w:hAnsi="仿宋" w:eastAsia="仿宋" w:cs="仿宋"/>
          <w:color w:val="000000" w:themeColor="text1"/>
          <w:kern w:val="96"/>
          <w:szCs w:val="28"/>
        </w:rPr>
        <w:t>用途作为最高最佳用途</w:t>
      </w:r>
      <w:r>
        <w:rPr>
          <w:rFonts w:hint="eastAsia" w:ascii="仿宋" w:hAnsi="仿宋" w:eastAsia="仿宋" w:cs="仿宋"/>
          <w:color w:val="000000" w:themeColor="text1"/>
          <w:kern w:val="96"/>
          <w:szCs w:val="28"/>
          <w:lang w:eastAsia="zh-CN"/>
        </w:rPr>
        <w:t>。</w:t>
      </w:r>
    </w:p>
    <w:p>
      <w:pPr>
        <w:pStyle w:val="12"/>
        <w:keepNext w:val="0"/>
        <w:keepLines w:val="0"/>
        <w:pageBreakBefore w:val="0"/>
        <w:kinsoku/>
        <w:wordWrap/>
        <w:overflowPunct/>
        <w:topLinePunct w:val="0"/>
        <w:autoSpaceDE/>
        <w:autoSpaceDN/>
        <w:bidi w:val="0"/>
        <w:adjustRightInd/>
        <w:snapToGrid/>
        <w:spacing w:before="0" w:after="0" w:line="500" w:lineRule="exact"/>
        <w:ind w:firstLine="562" w:firstLineChars="200"/>
        <w:jc w:val="left"/>
        <w:outlineLvl w:val="1"/>
        <w:rPr>
          <w:rStyle w:val="20"/>
          <w:rFonts w:ascii="仿宋" w:hAnsi="仿宋" w:eastAsia="仿宋" w:cs="仿宋"/>
          <w:color w:val="000000" w:themeColor="text1"/>
          <w:sz w:val="28"/>
          <w:szCs w:val="28"/>
        </w:rPr>
      </w:pPr>
      <w:bookmarkStart w:id="10" w:name="_Toc16900"/>
      <w:r>
        <w:rPr>
          <w:rStyle w:val="20"/>
          <w:rFonts w:ascii="仿宋" w:hAnsi="仿宋" w:eastAsia="仿宋" w:cs="仿宋"/>
          <w:color w:val="000000" w:themeColor="text1"/>
          <w:sz w:val="28"/>
          <w:szCs w:val="28"/>
        </w:rPr>
        <w:t>八、估价依据</w:t>
      </w:r>
      <w:bookmarkEnd w:id="10"/>
    </w:p>
    <w:p>
      <w:pPr>
        <w:keepNext w:val="0"/>
        <w:keepLines w:val="0"/>
        <w:pageBreakBefore w:val="0"/>
        <w:kinsoku/>
        <w:wordWrap/>
        <w:overflowPunct/>
        <w:topLinePunct w:val="0"/>
        <w:autoSpaceDE/>
        <w:autoSpaceDN/>
        <w:bidi w:val="0"/>
        <w:adjustRightInd/>
        <w:snapToGrid/>
        <w:spacing w:line="500" w:lineRule="exact"/>
        <w:ind w:firstLine="420" w:firstLineChars="15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（一）本次估价所依据的有关法律、法规和部门规章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1、《中华人民共和国资产评估法》【主席令第46号】（2016年7月2日第十二届全国人民代表大会常务委员会第二十一次会议通过，自2016年12月1日起实施）；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2、《中华人民共和国民法典》（2020年5月28日第十三届全国人大三次会议表决通过，自2021年1月1日起施行）；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3、《中华人民共和国土地管理法》、《中华人民共和国城市房地产管理法》（根据2019年8月26日第十三届全国人民代表大会常务委员会第十二次会议《关于修改〈中华人民共和国土地管理法〉、〈中华人民共和国城市房地产管理法〉的决定》第三次修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4、《最高人民法院关于人民法院确定财产处置参考价若干问题的规定 》【法释〔2018〕15号】；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5、《人民法院委托评估工作规范》（法办〔2018〕273号）；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pacing w:val="-20"/>
          <w:kern w:val="96"/>
          <w:szCs w:val="28"/>
        </w:rPr>
      </w:pPr>
      <w:r>
        <w:rPr>
          <w:rStyle w:val="20"/>
          <w:rFonts w:ascii="仿宋" w:hAnsi="仿宋" w:eastAsia="仿宋"/>
          <w:color w:val="000000" w:themeColor="text1"/>
          <w:kern w:val="96"/>
          <w:szCs w:val="28"/>
        </w:rPr>
        <w:t>6、国务院、建设部、贵州省人民政府及有关部门颁布的有</w:t>
      </w:r>
      <w:r>
        <w:rPr>
          <w:rStyle w:val="20"/>
          <w:rFonts w:ascii="仿宋" w:hAnsi="仿宋" w:eastAsia="仿宋"/>
          <w:color w:val="000000" w:themeColor="text1"/>
          <w:spacing w:val="-20"/>
          <w:kern w:val="96"/>
          <w:szCs w:val="28"/>
        </w:rPr>
        <w:t>关政策、法规文件；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7、其他相关规定。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（二）本次估价采用的技术规程</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1、中华人民共和国国家标准《房地产估价规范》（GB/T 50291—2015）；</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2、《房地产估价基本术语标准》(GB/T 50899-2013)；</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3、《涉执房地产处置司法评估指导意见（试行）》（中房学〔2021〕37号）；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4、其他评估相关依据。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（三）估价委托人提供的有关资料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1、</w:t>
      </w:r>
      <w:r>
        <w:rPr>
          <w:rStyle w:val="20"/>
          <w:rFonts w:hint="eastAsia" w:ascii="仿宋" w:hAnsi="仿宋" w:eastAsia="仿宋"/>
          <w:color w:val="000000" w:themeColor="text1"/>
          <w:kern w:val="96"/>
          <w:szCs w:val="28"/>
          <w:lang w:eastAsia="zh-CN"/>
        </w:rPr>
        <w:t>《三穗县人民法院评估委托书》</w:t>
      </w:r>
      <w:r>
        <w:rPr>
          <w:rStyle w:val="20"/>
          <w:rFonts w:ascii="仿宋" w:hAnsi="仿宋" w:eastAsia="仿宋"/>
          <w:color w:val="000000" w:themeColor="text1"/>
          <w:kern w:val="96"/>
          <w:szCs w:val="28"/>
        </w:rPr>
        <w:t>【（</w:t>
      </w:r>
      <w:r>
        <w:rPr>
          <w:rStyle w:val="20"/>
          <w:rFonts w:hint="eastAsia" w:ascii="仿宋" w:hAnsi="仿宋" w:eastAsia="仿宋"/>
          <w:color w:val="000000" w:themeColor="text1"/>
          <w:kern w:val="96"/>
          <w:szCs w:val="28"/>
          <w:lang w:eastAsia="zh-CN"/>
        </w:rPr>
        <w:t>2022</w:t>
      </w:r>
      <w:r>
        <w:rPr>
          <w:rStyle w:val="20"/>
          <w:rFonts w:ascii="仿宋" w:hAnsi="仿宋" w:eastAsia="仿宋"/>
          <w:color w:val="000000" w:themeColor="text1"/>
          <w:kern w:val="96"/>
          <w:szCs w:val="28"/>
        </w:rPr>
        <w:t>）黔</w:t>
      </w:r>
      <w:r>
        <w:rPr>
          <w:rStyle w:val="20"/>
          <w:rFonts w:hint="eastAsia" w:ascii="仿宋" w:hAnsi="仿宋" w:eastAsia="仿宋"/>
          <w:color w:val="000000" w:themeColor="text1"/>
          <w:kern w:val="96"/>
          <w:szCs w:val="28"/>
          <w:lang w:val="en-US" w:eastAsia="zh-CN"/>
        </w:rPr>
        <w:t>2624法评38号</w:t>
      </w:r>
      <w:r>
        <w:rPr>
          <w:rStyle w:val="20"/>
          <w:rFonts w:ascii="仿宋" w:hAnsi="仿宋" w:eastAsia="仿宋"/>
          <w:color w:val="000000" w:themeColor="text1"/>
          <w:kern w:val="96"/>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kern w:val="96"/>
          <w:szCs w:val="28"/>
          <w:lang w:eastAsia="zh-CN"/>
        </w:rPr>
      </w:pPr>
      <w:r>
        <w:rPr>
          <w:rStyle w:val="20"/>
          <w:rFonts w:ascii="仿宋" w:hAnsi="仿宋" w:eastAsia="仿宋"/>
          <w:color w:val="000000" w:themeColor="text1"/>
          <w:kern w:val="96"/>
          <w:szCs w:val="28"/>
        </w:rPr>
        <w:t>2、《</w:t>
      </w:r>
      <w:r>
        <w:rPr>
          <w:rStyle w:val="20"/>
          <w:rFonts w:hint="eastAsia" w:ascii="仿宋" w:hAnsi="仿宋" w:eastAsia="仿宋"/>
          <w:color w:val="auto"/>
          <w:szCs w:val="28"/>
          <w:lang w:eastAsia="zh-CN"/>
        </w:rPr>
        <w:t>贵州省不动产登记查询结果</w:t>
      </w:r>
      <w:r>
        <w:rPr>
          <w:rStyle w:val="20"/>
          <w:rFonts w:ascii="仿宋" w:hAnsi="仿宋" w:eastAsia="仿宋"/>
          <w:color w:val="000000" w:themeColor="text1"/>
          <w:kern w:val="96"/>
          <w:szCs w:val="28"/>
        </w:rPr>
        <w:t>》复印件</w:t>
      </w:r>
      <w:r>
        <w:rPr>
          <w:rStyle w:val="20"/>
          <w:rFonts w:hint="eastAsia" w:ascii="仿宋" w:hAnsi="仿宋" w:eastAsia="仿宋"/>
          <w:color w:val="000000" w:themeColor="text1"/>
          <w:kern w:val="96"/>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（四）估价机构和估价人员所搜集掌握的有关资料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1、现场调查资料；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2、当地房地产市场行情。</w:t>
      </w:r>
    </w:p>
    <w:p>
      <w:pPr>
        <w:pStyle w:val="12"/>
        <w:keepNext w:val="0"/>
        <w:keepLines w:val="0"/>
        <w:pageBreakBefore w:val="0"/>
        <w:kinsoku/>
        <w:wordWrap/>
        <w:overflowPunct/>
        <w:topLinePunct w:val="0"/>
        <w:autoSpaceDE/>
        <w:autoSpaceDN/>
        <w:bidi w:val="0"/>
        <w:adjustRightInd/>
        <w:snapToGrid/>
        <w:spacing w:before="0" w:after="0" w:line="50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11" w:name="_Toc26077"/>
      <w:r>
        <w:rPr>
          <w:rStyle w:val="20"/>
          <w:rFonts w:ascii="仿宋" w:hAnsi="仿宋" w:eastAsia="仿宋" w:cs="仿宋"/>
          <w:color w:val="000000" w:themeColor="text1"/>
          <w:sz w:val="28"/>
          <w:szCs w:val="28"/>
        </w:rPr>
        <w:t>九、估价方法</w:t>
      </w:r>
      <w:bookmarkEnd w:id="11"/>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依据中华人民共和国国家标准《房地产估价规范》（GB/T50291—2015），对于房地产市场价值的估价通行的估价方法有市场比较法、收益法、成本法、假设开发法等，选择恰当、适宜的估价方法是估价结果得以公允反映的前提条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baseline"/>
        <w:rPr>
          <w:rStyle w:val="20"/>
          <w:rFonts w:ascii="仿宋" w:hAnsi="仿宋" w:eastAsia="仿宋"/>
          <w:b/>
          <w:color w:val="000000" w:themeColor="text1"/>
          <w:kern w:val="96"/>
          <w:szCs w:val="28"/>
        </w:rPr>
      </w:pPr>
      <w:r>
        <w:rPr>
          <w:rStyle w:val="20"/>
          <w:rFonts w:ascii="仿宋" w:hAnsi="仿宋" w:eastAsia="仿宋"/>
          <w:b/>
          <w:color w:val="000000" w:themeColor="text1"/>
          <w:kern w:val="96"/>
          <w:szCs w:val="28"/>
        </w:rPr>
        <w:t>（一）估价方法的理论适用性分析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1、比较法就是选用一定数量的可比实例，将它们与估价对象进行比较，根据其间差异对可比实例成交价格进行处理后得到估价对象价值或价格的方法。比较法适用的估价对象是同类房地产数量较多、经常发生交易且具有一定可比性的房地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2、收益法就是预测估价对象未来收益，利用报酬率或资本化率、收益乘数将未来收益转换为价值得到估价对象价值或价格的方法。收益法适用的估价对象是收益性房地产，它不限于估价对象本身是否有收益，只要类似房地产有收益即可；</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3、成本法就是测算估价对象在价值时点的重置成本或重建成本和折旧，将重置成本或重建成本减去折旧得到估价对象价值或价格的方法，优先选用房地合估路径。成本法适用于很少交易、又没有收益或没有潜在经济收益的房地产，有独特设计或只针对特定使用者的特殊需要而开发建设的房地产以及单纯建筑物或其装饰装修部分，通常也是采用成本法估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4、假设开发法就是求得估价对象后续开发的必要支出及折现率或后续开发的必要支出及应得利润和开发完成后的价值，将开发完成后的价值和后续开发的必要支出折现到价值时点相减，或将开发完成后的价值减去后续开发的必要支出及应得利润得到估价对象价值或价格的方法。假设开发法适用于具有投资开发或再开发潜力的房地产的估价，如待开发的土地(包括生地、毛地、熟地)、在建工程(包括房地产开发项目)、可装修改造或可改变用途的旧房(包括装修、改建、扩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一般情况下，有条件选用比较法估价的，应以比较法为主要的估价方法；收益性房地产估价，应选用收益法作为其中的一种估价方法；具有开发或再开发潜力的房地产估价，应选用假设开发法作为其中一种估价方法；在无市场依据或市场依据不充分而不宜采用比较法估价，在估价对象目前没有收益或本质上没有直接产生收益能力而不宜用收益法估价，在估价对象没有开发或再开发潜力而不宜用假设开发法估价的情况下，可以将成本法作为主要的估价方法。</w:t>
      </w:r>
    </w:p>
    <w:p>
      <w:pPr>
        <w:spacing w:line="360" w:lineRule="auto"/>
        <w:ind w:firstLine="562" w:firstLineChars="200"/>
        <w:rPr>
          <w:rStyle w:val="20"/>
          <w:rFonts w:ascii="仿宋" w:hAnsi="仿宋" w:eastAsia="仿宋"/>
          <w:color w:val="000000" w:themeColor="text1"/>
          <w:kern w:val="96"/>
          <w:szCs w:val="28"/>
        </w:rPr>
      </w:pPr>
      <w:r>
        <w:rPr>
          <w:rStyle w:val="20"/>
          <w:rFonts w:ascii="仿宋" w:hAnsi="仿宋" w:eastAsia="仿宋" w:cs="仿宋"/>
          <w:b/>
          <w:bCs/>
          <w:color w:val="000000" w:themeColor="text1"/>
          <w:kern w:val="96"/>
          <w:szCs w:val="28"/>
        </w:rPr>
        <w:t>（二）选用的估价方法及选用的理由</w:t>
      </w:r>
    </w:p>
    <w:tbl>
      <w:tblPr>
        <w:tblStyle w:val="16"/>
        <w:tblW w:w="9540" w:type="dxa"/>
        <w:tblInd w:w="57" w:type="dxa"/>
        <w:tblLayout w:type="fixed"/>
        <w:tblCellMar>
          <w:top w:w="0" w:type="dxa"/>
          <w:left w:w="0" w:type="dxa"/>
          <w:bottom w:w="0" w:type="dxa"/>
          <w:right w:w="0" w:type="dxa"/>
        </w:tblCellMar>
      </w:tblPr>
      <w:tblGrid>
        <w:gridCol w:w="1860"/>
        <w:gridCol w:w="7680"/>
      </w:tblGrid>
      <w:tr>
        <w:tblPrEx>
          <w:tblCellMar>
            <w:top w:w="0" w:type="dxa"/>
            <w:left w:w="0" w:type="dxa"/>
            <w:bottom w:w="0" w:type="dxa"/>
            <w:right w:w="0" w:type="dxa"/>
          </w:tblCellMar>
        </w:tblPrEx>
        <w:trPr>
          <w:trHeight w:val="557"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0"/>
                <w:rFonts w:ascii="仿宋" w:hAnsi="仿宋" w:eastAsia="仿宋" w:cs="仿宋"/>
                <w:b/>
                <w:bCs/>
                <w:color w:val="000000" w:themeColor="text1"/>
                <w:kern w:val="0"/>
                <w:sz w:val="24"/>
              </w:rPr>
            </w:pPr>
            <w:r>
              <w:rPr>
                <w:rStyle w:val="20"/>
                <w:rFonts w:ascii="仿宋" w:hAnsi="仿宋" w:eastAsia="仿宋" w:cs="仿宋"/>
                <w:b/>
                <w:bCs/>
                <w:color w:val="000000" w:themeColor="text1"/>
                <w:kern w:val="0"/>
                <w:sz w:val="24"/>
              </w:rPr>
              <w:t>估价方法</w:t>
            </w:r>
          </w:p>
        </w:tc>
        <w:tc>
          <w:tcPr>
            <w:tcW w:w="7680" w:type="dxa"/>
            <w:tcBorders>
              <w:top w:val="single" w:color="000000" w:sz="4" w:space="0"/>
              <w:left w:val="nil"/>
              <w:bottom w:val="single" w:color="000000" w:sz="4" w:space="0"/>
              <w:right w:val="single" w:color="000000" w:sz="4" w:space="0"/>
            </w:tcBorders>
            <w:vAlign w:val="center"/>
          </w:tcPr>
          <w:p>
            <w:pPr>
              <w:spacing w:line="500" w:lineRule="exact"/>
              <w:jc w:val="center"/>
              <w:rPr>
                <w:rStyle w:val="20"/>
                <w:rFonts w:ascii="仿宋" w:hAnsi="仿宋" w:eastAsia="仿宋" w:cs="仿宋"/>
                <w:b/>
                <w:bCs/>
                <w:color w:val="000000" w:themeColor="text1"/>
                <w:kern w:val="0"/>
                <w:sz w:val="24"/>
              </w:rPr>
            </w:pPr>
            <w:r>
              <w:rPr>
                <w:rStyle w:val="20"/>
                <w:rFonts w:ascii="仿宋" w:hAnsi="仿宋" w:eastAsia="仿宋" w:cs="仿宋"/>
                <w:b/>
                <w:bCs/>
                <w:color w:val="000000" w:themeColor="text1"/>
                <w:kern w:val="0"/>
                <w:sz w:val="24"/>
              </w:rPr>
              <w:t>理由</w:t>
            </w:r>
          </w:p>
        </w:tc>
      </w:tr>
      <w:tr>
        <w:tblPrEx>
          <w:tblCellMar>
            <w:top w:w="0" w:type="dxa"/>
            <w:left w:w="0" w:type="dxa"/>
            <w:bottom w:w="0" w:type="dxa"/>
            <w:right w:w="0" w:type="dxa"/>
          </w:tblCellMar>
        </w:tblPrEx>
        <w:trPr>
          <w:trHeight w:val="90" w:hRule="atLeast"/>
        </w:trPr>
        <w:tc>
          <w:tcPr>
            <w:tcW w:w="1860" w:type="dxa"/>
            <w:tcBorders>
              <w:top w:val="nil"/>
              <w:left w:val="single" w:color="000000" w:sz="4" w:space="0"/>
              <w:bottom w:val="single" w:color="000000" w:sz="4" w:space="0"/>
              <w:right w:val="single" w:color="000000" w:sz="4" w:space="0"/>
            </w:tcBorders>
            <w:vAlign w:val="center"/>
          </w:tcPr>
          <w:p>
            <w:pPr>
              <w:spacing w:line="500" w:lineRule="exact"/>
              <w:jc w:val="center"/>
              <w:rPr>
                <w:rStyle w:val="20"/>
                <w:rFonts w:ascii="仿宋" w:hAnsi="仿宋" w:eastAsia="仿宋"/>
                <w:color w:val="000000" w:themeColor="text1"/>
                <w:kern w:val="0"/>
                <w:sz w:val="24"/>
              </w:rPr>
            </w:pPr>
            <w:r>
              <w:rPr>
                <w:rStyle w:val="20"/>
                <w:rFonts w:ascii="仿宋" w:hAnsi="仿宋" w:eastAsia="仿宋"/>
                <w:color w:val="000000" w:themeColor="text1"/>
                <w:kern w:val="0"/>
                <w:sz w:val="24"/>
              </w:rPr>
              <w:t>比较法</w:t>
            </w:r>
          </w:p>
        </w:tc>
        <w:tc>
          <w:tcPr>
            <w:tcW w:w="7680" w:type="dxa"/>
            <w:tcBorders>
              <w:top w:val="nil"/>
              <w:left w:val="nil"/>
              <w:bottom w:val="single" w:color="000000" w:sz="4" w:space="0"/>
              <w:right w:val="single" w:color="000000" w:sz="4" w:space="0"/>
            </w:tcBorders>
            <w:vAlign w:val="center"/>
          </w:tcPr>
          <w:p>
            <w:pPr>
              <w:spacing w:line="500" w:lineRule="exact"/>
              <w:jc w:val="center"/>
              <w:rPr>
                <w:rStyle w:val="20"/>
                <w:rFonts w:ascii="仿宋" w:hAnsi="仿宋" w:eastAsia="仿宋"/>
                <w:color w:val="000000" w:themeColor="text1"/>
                <w:sz w:val="24"/>
              </w:rPr>
            </w:pPr>
            <w:r>
              <w:rPr>
                <w:rStyle w:val="20"/>
                <w:rFonts w:ascii="仿宋" w:hAnsi="仿宋" w:eastAsia="仿宋"/>
                <w:color w:val="000000" w:themeColor="text1"/>
                <w:sz w:val="24"/>
              </w:rPr>
              <w:t>估价对象所处区域类似房地产二手房交易活跃，可以收集到与估价对象类似的房屋交易案例，故可以选用比较法估价</w:t>
            </w:r>
          </w:p>
        </w:tc>
      </w:tr>
      <w:tr>
        <w:tblPrEx>
          <w:tblCellMar>
            <w:top w:w="0" w:type="dxa"/>
            <w:left w:w="0" w:type="dxa"/>
            <w:bottom w:w="0" w:type="dxa"/>
            <w:right w:w="0" w:type="dxa"/>
          </w:tblCellMar>
        </w:tblPrEx>
        <w:trPr>
          <w:trHeight w:val="480" w:hRule="atLeast"/>
        </w:trPr>
        <w:tc>
          <w:tcPr>
            <w:tcW w:w="186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0"/>
                <w:rFonts w:ascii="仿宋" w:hAnsi="仿宋" w:eastAsia="仿宋"/>
                <w:color w:val="000000" w:themeColor="text1"/>
                <w:kern w:val="0"/>
                <w:sz w:val="24"/>
              </w:rPr>
            </w:pPr>
            <w:r>
              <w:rPr>
                <w:rStyle w:val="20"/>
                <w:rFonts w:ascii="仿宋" w:hAnsi="仿宋" w:eastAsia="仿宋"/>
                <w:color w:val="000000" w:themeColor="text1"/>
                <w:kern w:val="0"/>
                <w:sz w:val="24"/>
              </w:rPr>
              <w:t>收益法</w:t>
            </w:r>
          </w:p>
        </w:tc>
        <w:tc>
          <w:tcPr>
            <w:tcW w:w="7680" w:type="dxa"/>
            <w:tcBorders>
              <w:top w:val="single" w:color="000000" w:sz="4" w:space="0"/>
              <w:left w:val="nil"/>
              <w:bottom w:val="single" w:color="000000" w:sz="4" w:space="0"/>
              <w:right w:val="single" w:color="000000" w:sz="4" w:space="0"/>
            </w:tcBorders>
            <w:vAlign w:val="center"/>
          </w:tcPr>
          <w:p>
            <w:pPr>
              <w:spacing w:line="500" w:lineRule="exact"/>
              <w:jc w:val="center"/>
              <w:rPr>
                <w:rStyle w:val="20"/>
                <w:rFonts w:ascii="仿宋" w:hAnsi="仿宋" w:eastAsia="仿宋"/>
                <w:color w:val="000000" w:themeColor="text1"/>
                <w:kern w:val="0"/>
                <w:sz w:val="24"/>
              </w:rPr>
            </w:pPr>
            <w:r>
              <w:rPr>
                <w:rStyle w:val="20"/>
                <w:rFonts w:ascii="仿宋" w:hAnsi="仿宋" w:eastAsia="仿宋"/>
                <w:color w:val="000000" w:themeColor="text1"/>
                <w:sz w:val="24"/>
              </w:rPr>
              <w:t>估价对象为居住物业，所在区域类似物业出租情况较多，其客观租金和租赁成本费用可预测，故可选用收益法估价</w:t>
            </w:r>
          </w:p>
        </w:tc>
      </w:tr>
    </w:tbl>
    <w:p>
      <w:pPr>
        <w:tabs>
          <w:tab w:val="left" w:pos="210"/>
          <w:tab w:val="left" w:pos="525"/>
        </w:tabs>
        <w:spacing w:line="460" w:lineRule="exact"/>
        <w:ind w:firstLine="562" w:firstLineChars="200"/>
        <w:rPr>
          <w:rStyle w:val="20"/>
          <w:rFonts w:ascii="仿宋" w:hAnsi="仿宋" w:eastAsia="仿宋"/>
          <w:color w:val="000000" w:themeColor="text1"/>
          <w:szCs w:val="28"/>
        </w:rPr>
      </w:pPr>
      <w:r>
        <w:rPr>
          <w:rStyle w:val="20"/>
          <w:rFonts w:ascii="仿宋" w:hAnsi="仿宋" w:eastAsia="仿宋" w:cs="仿宋"/>
          <w:b/>
          <w:bCs/>
          <w:color w:val="000000" w:themeColor="text1"/>
          <w:szCs w:val="28"/>
        </w:rPr>
        <w:t>（三）估价技术路线：</w:t>
      </w:r>
    </w:p>
    <w:p>
      <w:pPr>
        <w:spacing w:line="520" w:lineRule="exact"/>
        <w:ind w:firstLine="560" w:firstLineChars="200"/>
        <w:rPr>
          <w:rStyle w:val="20"/>
          <w:rFonts w:ascii="仿宋" w:hAnsi="仿宋" w:eastAsia="仿宋" w:cs="仿宋"/>
          <w:bCs/>
          <w:color w:val="000000" w:themeColor="text1"/>
          <w:szCs w:val="28"/>
        </w:rPr>
      </w:pPr>
      <w:r>
        <w:rPr>
          <w:rStyle w:val="20"/>
          <w:rFonts w:ascii="仿宋" w:hAnsi="仿宋" w:eastAsia="仿宋" w:cs="仿宋"/>
          <w:bCs/>
          <w:color w:val="000000" w:themeColor="text1"/>
          <w:szCs w:val="28"/>
        </w:rPr>
        <w:t>1、比较法技术路线</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s="仿宋"/>
          <w:bCs/>
          <w:color w:val="000000" w:themeColor="text1"/>
          <w:szCs w:val="28"/>
        </w:rPr>
      </w:pPr>
      <w:r>
        <w:rPr>
          <w:rStyle w:val="20"/>
          <w:rFonts w:ascii="仿宋" w:hAnsi="仿宋" w:eastAsia="仿宋" w:cs="仿宋"/>
          <w:bCs/>
          <w:color w:val="000000" w:themeColor="text1"/>
          <w:szCs w:val="28"/>
        </w:rPr>
        <w:t>根据与估价对象相似的房地产成交价格来求取估价对象价值或价格的方法，具体的说是选取一定数量的可比实例，将他们与估价对象进行比较，根据其间的差异对可比实例进行处理后得到估价对象价值或价值的方法。根据上述原理，比较法公式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s="仿宋"/>
          <w:bCs/>
          <w:color w:val="000000" w:themeColor="text1"/>
          <w:szCs w:val="28"/>
        </w:rPr>
      </w:pPr>
      <w:r>
        <w:rPr>
          <w:rStyle w:val="20"/>
          <w:rFonts w:ascii="仿宋" w:hAnsi="仿宋" w:eastAsia="仿宋" w:cs="仿宋"/>
          <w:bCs/>
          <w:color w:val="000000" w:themeColor="text1"/>
          <w:szCs w:val="28"/>
        </w:rPr>
        <w:t>估价对象价格=可比实例价格×交易情况修正系数×交易日期修正系数×区位状况因素修正系数×实物状况因素修正系数×权益状况因素修正系数</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2、收益法估价技术路线</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估价人员通过对该区域类相似物业的租金水平、空置率、租赁税费标准进行调查后，进行分析、推断，从而预测估价对象未来的正常净收益，选择适当的报酬率或资本化率、收益乘数，通过特有的公式求取估价对象在剩余收益年期内的市场价值。</w:t>
      </w:r>
    </w:p>
    <w:p>
      <w:pPr>
        <w:ind w:firstLine="560" w:firstLineChars="200"/>
        <w:rPr>
          <w:rStyle w:val="20"/>
          <w:rFonts w:ascii="仿宋" w:hAnsi="仿宋" w:eastAsia="仿宋"/>
          <w:color w:val="000000" w:themeColor="text1"/>
          <w:szCs w:val="28"/>
        </w:rPr>
      </w:pPr>
      <w:r>
        <w:rPr>
          <w:rStyle w:val="20"/>
          <w:rFonts w:ascii="仿宋" w:hAnsi="仿宋" w:eastAsia="仿宋"/>
          <w:color w:val="000000" w:themeColor="text1"/>
          <w:szCs w:val="28"/>
        </w:rPr>
        <w:t>计算公式：</w:t>
      </w:r>
      <w:r>
        <w:rPr>
          <w:color w:val="000000" w:themeColor="text1"/>
        </w:rPr>
        <w:pict>
          <v:shape id="_x0000_i1025" o:spt="75" type="#_x0000_t75" style="height:32pt;width:116pt;" filled="f" o:preferrelative="t" stroked="f" coordsize="21600,21600">
            <v:path/>
            <v:fill on="f" focussize="0,0"/>
            <v:stroke on="f"/>
            <v:imagedata r:id="rId13" chromakey="#FFFFFF" o:title=""/>
            <o:lock v:ext="edit" aspectratio="t"/>
            <w10:wrap type="none"/>
            <w10:anchorlock/>
          </v:shape>
        </w:pict>
      </w:r>
    </w:p>
    <w:p>
      <w:pPr>
        <w:spacing w:line="500" w:lineRule="exact"/>
        <w:ind w:firstLine="560" w:firstLineChars="200"/>
        <w:rPr>
          <w:rStyle w:val="20"/>
          <w:rFonts w:ascii="仿宋" w:hAnsi="仿宋" w:eastAsia="仿宋"/>
          <w:color w:val="000000" w:themeColor="text1"/>
          <w:szCs w:val="28"/>
        </w:rPr>
      </w:pPr>
      <w:r>
        <w:rPr>
          <w:rStyle w:val="20"/>
          <w:rFonts w:ascii="仿宋" w:hAnsi="仿宋" w:eastAsia="仿宋"/>
          <w:color w:val="000000" w:themeColor="text1"/>
          <w:szCs w:val="28"/>
        </w:rPr>
        <w:t>式中： V－房地产市场现值</w:t>
      </w:r>
    </w:p>
    <w:p>
      <w:pPr>
        <w:spacing w:line="500" w:lineRule="exact"/>
        <w:rPr>
          <w:rStyle w:val="20"/>
          <w:rFonts w:ascii="仿宋" w:hAnsi="仿宋" w:eastAsia="仿宋"/>
          <w:color w:val="000000" w:themeColor="text1"/>
          <w:szCs w:val="28"/>
        </w:rPr>
      </w:pPr>
      <w:r>
        <w:rPr>
          <w:rStyle w:val="20"/>
          <w:rFonts w:ascii="仿宋" w:hAnsi="仿宋" w:eastAsia="仿宋"/>
          <w:color w:val="000000" w:themeColor="text1"/>
          <w:szCs w:val="28"/>
        </w:rPr>
        <w:t xml:space="preserve">           a－房地产年纯收益</w:t>
      </w:r>
    </w:p>
    <w:p>
      <w:pPr>
        <w:spacing w:line="500" w:lineRule="exact"/>
        <w:rPr>
          <w:rStyle w:val="20"/>
          <w:rFonts w:ascii="仿宋" w:hAnsi="仿宋" w:eastAsia="仿宋"/>
          <w:color w:val="000000" w:themeColor="text1"/>
          <w:szCs w:val="28"/>
        </w:rPr>
      </w:pPr>
      <w:r>
        <w:rPr>
          <w:rStyle w:val="20"/>
          <w:rFonts w:ascii="仿宋" w:hAnsi="仿宋" w:eastAsia="仿宋"/>
          <w:color w:val="000000" w:themeColor="text1"/>
          <w:szCs w:val="28"/>
        </w:rPr>
        <w:t xml:space="preserve">           r－报酬率</w:t>
      </w:r>
    </w:p>
    <w:p>
      <w:pPr>
        <w:spacing w:line="500" w:lineRule="exact"/>
        <w:rPr>
          <w:rStyle w:val="20"/>
          <w:rFonts w:ascii="仿宋" w:hAnsi="仿宋" w:eastAsia="仿宋"/>
          <w:color w:val="000000" w:themeColor="text1"/>
          <w:szCs w:val="28"/>
        </w:rPr>
      </w:pPr>
      <w:r>
        <w:rPr>
          <w:rStyle w:val="20"/>
          <w:rFonts w:ascii="仿宋" w:hAnsi="仿宋" w:eastAsia="仿宋"/>
          <w:color w:val="000000" w:themeColor="text1"/>
          <w:szCs w:val="28"/>
        </w:rPr>
        <w:t xml:space="preserve">           s－房地产纯收益年增长率</w:t>
      </w:r>
    </w:p>
    <w:p>
      <w:pPr>
        <w:spacing w:line="500" w:lineRule="exact"/>
        <w:rPr>
          <w:rStyle w:val="20"/>
          <w:rFonts w:ascii="仿宋" w:hAnsi="仿宋" w:eastAsia="仿宋"/>
          <w:color w:val="000000" w:themeColor="text1"/>
          <w:szCs w:val="28"/>
        </w:rPr>
      </w:pPr>
      <w:r>
        <w:rPr>
          <w:rStyle w:val="20"/>
          <w:rFonts w:ascii="仿宋" w:hAnsi="仿宋" w:eastAsia="仿宋"/>
          <w:color w:val="000000" w:themeColor="text1"/>
          <w:szCs w:val="28"/>
        </w:rPr>
        <w:t xml:space="preserve">           n－收益年限</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3、估价人员根据估价经验，结合估价目的，在符合当地房地产市场行情的前提下，分析两种方法的估价结果，确定最终评估结果。</w:t>
      </w:r>
    </w:p>
    <w:p>
      <w:pPr>
        <w:tabs>
          <w:tab w:val="left" w:pos="210"/>
          <w:tab w:val="left" w:pos="525"/>
        </w:tabs>
        <w:spacing w:line="520" w:lineRule="exact"/>
        <w:ind w:firstLine="562" w:firstLineChars="200"/>
        <w:rPr>
          <w:rStyle w:val="20"/>
          <w:rFonts w:ascii="仿宋" w:hAnsi="仿宋" w:eastAsia="仿宋" w:cs="仿宋"/>
          <w:b/>
          <w:bCs/>
          <w:color w:val="000000" w:themeColor="text1"/>
          <w:szCs w:val="28"/>
        </w:rPr>
      </w:pPr>
      <w:r>
        <w:rPr>
          <w:rStyle w:val="20"/>
          <w:rFonts w:ascii="仿宋" w:hAnsi="仿宋" w:eastAsia="仿宋" w:cs="仿宋"/>
          <w:b/>
          <w:bCs/>
          <w:color w:val="000000" w:themeColor="text1"/>
          <w:szCs w:val="28"/>
        </w:rPr>
        <w:t>（四）不选用其他估价方法的理由</w:t>
      </w:r>
    </w:p>
    <w:p>
      <w:pPr>
        <w:keepNext w:val="0"/>
        <w:keepLines w:val="0"/>
        <w:pageBreakBefore w:val="0"/>
        <w:widowControl/>
        <w:tabs>
          <w:tab w:val="left" w:pos="210"/>
          <w:tab w:val="left" w:pos="525"/>
        </w:tabs>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s="仿宋"/>
          <w:bCs/>
          <w:color w:val="000000" w:themeColor="text1"/>
          <w:szCs w:val="28"/>
        </w:rPr>
      </w:pPr>
      <w:r>
        <w:rPr>
          <w:rStyle w:val="20"/>
          <w:rFonts w:ascii="仿宋" w:hAnsi="仿宋" w:eastAsia="仿宋" w:cs="仿宋"/>
          <w:bCs/>
          <w:color w:val="000000" w:themeColor="text1"/>
          <w:szCs w:val="28"/>
        </w:rPr>
        <w:t>1、不选用成本法的理由</w:t>
      </w:r>
    </w:p>
    <w:p>
      <w:pPr>
        <w:keepNext w:val="0"/>
        <w:keepLines w:val="0"/>
        <w:pageBreakBefore w:val="0"/>
        <w:widowControl/>
        <w:tabs>
          <w:tab w:val="left" w:pos="210"/>
          <w:tab w:val="left" w:pos="525"/>
        </w:tabs>
        <w:kinsoku/>
        <w:wordWrap/>
        <w:overflowPunct/>
        <w:topLinePunct w:val="0"/>
        <w:autoSpaceDE/>
        <w:autoSpaceDN/>
        <w:bidi w:val="0"/>
        <w:adjustRightInd/>
        <w:snapToGrid/>
        <w:spacing w:line="500" w:lineRule="exact"/>
        <w:ind w:firstLine="560" w:firstLineChars="200"/>
        <w:jc w:val="both"/>
        <w:textAlignment w:val="baseline"/>
        <w:rPr>
          <w:rStyle w:val="20"/>
          <w:rFonts w:ascii="仿宋" w:hAnsi="仿宋" w:eastAsia="仿宋"/>
          <w:color w:val="000000" w:themeColor="text1"/>
          <w:szCs w:val="28"/>
        </w:rPr>
      </w:pPr>
      <w:r>
        <w:rPr>
          <w:rStyle w:val="20"/>
          <w:rFonts w:ascii="仿宋" w:hAnsi="仿宋" w:eastAsia="仿宋" w:cs="仿宋"/>
          <w:bCs/>
          <w:color w:val="000000" w:themeColor="text1"/>
          <w:szCs w:val="28"/>
        </w:rPr>
        <w:t>虽然估价对象</w:t>
      </w:r>
      <w:r>
        <w:rPr>
          <w:rStyle w:val="20"/>
          <w:rFonts w:ascii="仿宋" w:hAnsi="仿宋" w:eastAsia="仿宋"/>
          <w:color w:val="000000" w:themeColor="text1"/>
          <w:szCs w:val="28"/>
        </w:rPr>
        <w:t>理论上适用成本法，但受到运用的客观条件限制，特别是现时房屋价格主要受市场供求关系左右，成本法的均衡原理已被淡化，在这种背景下，房地产价格与建造成本的关联性弱，房地产的开发成本根本不能客观地反映出估价对象的市场价格，故本估价不适合选用成本法。</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baseline"/>
        <w:rPr>
          <w:rStyle w:val="20"/>
          <w:rFonts w:ascii="仿宋" w:hAnsi="仿宋" w:eastAsia="仿宋"/>
          <w:color w:val="000000" w:themeColor="text1"/>
          <w:szCs w:val="28"/>
        </w:rPr>
      </w:pPr>
      <w:r>
        <w:rPr>
          <w:rStyle w:val="20"/>
          <w:rFonts w:ascii="仿宋" w:hAnsi="仿宋" w:eastAsia="仿宋"/>
          <w:color w:val="000000" w:themeColor="text1"/>
          <w:szCs w:val="28"/>
        </w:rPr>
        <w:t>2、不选用假设开发法的理由</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baseline"/>
        <w:rPr>
          <w:rStyle w:val="20"/>
          <w:rFonts w:ascii="仿宋" w:hAnsi="仿宋" w:eastAsia="仿宋"/>
          <w:color w:val="000000" w:themeColor="text1"/>
          <w:kern w:val="96"/>
          <w:szCs w:val="28"/>
        </w:rPr>
      </w:pPr>
      <w:r>
        <w:rPr>
          <w:rStyle w:val="20"/>
          <w:rFonts w:ascii="仿宋" w:hAnsi="仿宋" w:eastAsia="仿宋"/>
          <w:color w:val="000000" w:themeColor="text1"/>
          <w:szCs w:val="28"/>
        </w:rPr>
        <w:t>假设开发法一般适用于在建、停建、续建等项目，估价对象为已建成的房地产，故不选用假设开发法进行估价</w:t>
      </w:r>
      <w:r>
        <w:rPr>
          <w:rStyle w:val="20"/>
          <w:rFonts w:ascii="仿宋" w:hAnsi="仿宋" w:eastAsia="仿宋"/>
          <w:color w:val="000000" w:themeColor="text1"/>
          <w:kern w:val="96"/>
          <w:szCs w:val="28"/>
        </w:rPr>
        <w:t>。</w:t>
      </w:r>
    </w:p>
    <w:p>
      <w:pPr>
        <w:pStyle w:val="12"/>
        <w:keepNext w:val="0"/>
        <w:keepLines w:val="0"/>
        <w:pageBreakBefore w:val="0"/>
        <w:widowControl/>
        <w:kinsoku/>
        <w:wordWrap/>
        <w:overflowPunct/>
        <w:topLinePunct w:val="0"/>
        <w:autoSpaceDE/>
        <w:autoSpaceDN/>
        <w:bidi w:val="0"/>
        <w:adjustRightInd/>
        <w:snapToGrid/>
        <w:spacing w:before="0" w:after="0" w:line="500" w:lineRule="exact"/>
        <w:ind w:firstLine="562" w:firstLineChars="200"/>
        <w:jc w:val="both"/>
        <w:textAlignment w:val="baseline"/>
        <w:outlineLvl w:val="1"/>
        <w:rPr>
          <w:rStyle w:val="20"/>
          <w:rFonts w:ascii="仿宋" w:hAnsi="仿宋" w:eastAsia="仿宋" w:cs="仿宋"/>
          <w:color w:val="000000" w:themeColor="text1"/>
          <w:sz w:val="28"/>
          <w:szCs w:val="28"/>
        </w:rPr>
      </w:pPr>
      <w:bookmarkStart w:id="12" w:name="_Toc2421"/>
      <w:r>
        <w:rPr>
          <w:rStyle w:val="20"/>
          <w:rFonts w:ascii="仿宋" w:hAnsi="仿宋" w:eastAsia="仿宋" w:cs="仿宋"/>
          <w:color w:val="000000" w:themeColor="text1"/>
          <w:sz w:val="28"/>
          <w:szCs w:val="28"/>
        </w:rPr>
        <w:t>十、估价结果</w:t>
      </w:r>
      <w:bookmarkEnd w:id="12"/>
    </w:p>
    <w:p>
      <w:pPr>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b/>
          <w:color w:val="000000" w:themeColor="text1"/>
          <w:kern w:val="96"/>
          <w:szCs w:val="28"/>
        </w:rPr>
      </w:pPr>
      <w:r>
        <w:rPr>
          <w:rStyle w:val="20"/>
          <w:rFonts w:ascii="仿宋" w:hAnsi="仿宋" w:eastAsia="仿宋"/>
          <w:color w:val="000000" w:themeColor="text1"/>
          <w:szCs w:val="28"/>
        </w:rPr>
        <w:t>估价人员根据估价目的，遵循估价原则，按照估价工作程序，采用科学估价方法，在认真分析现有资料的基础上，经过周密准确的测算，并结合估价经验，综合考虑影响房地产价格的各项因素，确定估价对象于价值时点（</w:t>
      </w:r>
      <w:r>
        <w:rPr>
          <w:rStyle w:val="20"/>
          <w:rFonts w:hint="eastAsia" w:ascii="仿宋" w:hAnsi="仿宋" w:eastAsia="仿宋"/>
          <w:color w:val="000000" w:themeColor="text1"/>
          <w:szCs w:val="28"/>
          <w:lang w:eastAsia="zh-CN"/>
        </w:rPr>
        <w:t>2022</w:t>
      </w:r>
      <w:r>
        <w:rPr>
          <w:rStyle w:val="20"/>
          <w:rFonts w:ascii="仿宋" w:hAnsi="仿宋" w:eastAsia="仿宋"/>
          <w:color w:val="000000" w:themeColor="text1"/>
          <w:szCs w:val="28"/>
        </w:rPr>
        <w:t>年0</w:t>
      </w:r>
      <w:r>
        <w:rPr>
          <w:rStyle w:val="20"/>
          <w:rFonts w:hint="eastAsia" w:ascii="仿宋" w:hAnsi="仿宋" w:eastAsia="仿宋"/>
          <w:color w:val="000000" w:themeColor="text1"/>
          <w:szCs w:val="28"/>
          <w:lang w:val="en-US" w:eastAsia="zh-CN"/>
        </w:rPr>
        <w:t>8</w:t>
      </w:r>
      <w:r>
        <w:rPr>
          <w:rStyle w:val="20"/>
          <w:rFonts w:ascii="仿宋" w:hAnsi="仿宋" w:eastAsia="仿宋"/>
          <w:color w:val="000000" w:themeColor="text1"/>
          <w:szCs w:val="28"/>
        </w:rPr>
        <w:t>月</w:t>
      </w:r>
      <w:r>
        <w:rPr>
          <w:rStyle w:val="20"/>
          <w:rFonts w:hint="eastAsia" w:ascii="仿宋" w:hAnsi="仿宋" w:eastAsia="仿宋"/>
          <w:color w:val="000000" w:themeColor="text1"/>
          <w:szCs w:val="28"/>
          <w:lang w:val="en-US" w:eastAsia="zh-CN"/>
        </w:rPr>
        <w:t>19</w:t>
      </w:r>
      <w:r>
        <w:rPr>
          <w:rStyle w:val="20"/>
          <w:rFonts w:ascii="仿宋" w:hAnsi="仿宋" w:eastAsia="仿宋"/>
          <w:color w:val="000000" w:themeColor="text1"/>
          <w:szCs w:val="28"/>
        </w:rPr>
        <w:t>日）满足各项假设及限制条件下的市场价值</w:t>
      </w:r>
      <w:r>
        <w:rPr>
          <w:rStyle w:val="20"/>
          <w:rFonts w:ascii="仿宋" w:hAnsi="仿宋" w:eastAsia="仿宋" w:cs="仿宋"/>
          <w:bCs/>
          <w:color w:val="000000" w:themeColor="text1"/>
          <w:szCs w:val="28"/>
        </w:rPr>
        <w:t>为</w:t>
      </w:r>
      <w:r>
        <w:rPr>
          <w:rFonts w:hint="eastAsia" w:ascii="仿宋" w:hAnsi="仿宋" w:eastAsia="仿宋" w:cs="仿宋"/>
          <w:b/>
          <w:color w:val="auto"/>
          <w:kern w:val="96"/>
          <w:szCs w:val="28"/>
        </w:rPr>
        <w:t>人民币</w:t>
      </w:r>
      <w:r>
        <w:rPr>
          <w:rFonts w:hint="eastAsia" w:ascii="仿宋" w:hAnsi="仿宋" w:eastAsia="仿宋" w:cs="仿宋"/>
          <w:b/>
          <w:color w:val="auto"/>
          <w:kern w:val="96"/>
          <w:szCs w:val="28"/>
          <w:lang w:eastAsia="zh-CN"/>
        </w:rPr>
        <w:t>肆</w:t>
      </w:r>
      <w:r>
        <w:rPr>
          <w:rFonts w:hint="eastAsia" w:ascii="仿宋" w:hAnsi="仿宋" w:eastAsia="仿宋" w:cs="仿宋"/>
          <w:b/>
          <w:color w:val="auto"/>
          <w:kern w:val="96"/>
          <w:szCs w:val="28"/>
        </w:rPr>
        <w:t>拾</w:t>
      </w:r>
      <w:r>
        <w:rPr>
          <w:rFonts w:hint="eastAsia" w:ascii="仿宋" w:hAnsi="仿宋" w:eastAsia="仿宋" w:cs="仿宋"/>
          <w:b/>
          <w:color w:val="auto"/>
          <w:kern w:val="96"/>
          <w:szCs w:val="28"/>
          <w:lang w:eastAsia="zh-CN"/>
        </w:rPr>
        <w:t>肆</w:t>
      </w:r>
      <w:r>
        <w:rPr>
          <w:rFonts w:hint="eastAsia" w:ascii="仿宋" w:hAnsi="仿宋" w:eastAsia="仿宋" w:cs="仿宋"/>
          <w:b/>
          <w:color w:val="auto"/>
          <w:kern w:val="96"/>
          <w:szCs w:val="28"/>
        </w:rPr>
        <w:t>万</w:t>
      </w:r>
      <w:r>
        <w:rPr>
          <w:rFonts w:hint="eastAsia" w:ascii="仿宋" w:hAnsi="仿宋" w:eastAsia="仿宋" w:cs="仿宋"/>
          <w:b/>
          <w:color w:val="auto"/>
          <w:kern w:val="96"/>
          <w:szCs w:val="28"/>
          <w:lang w:eastAsia="zh-CN"/>
        </w:rPr>
        <w:t>叁</w:t>
      </w:r>
      <w:r>
        <w:rPr>
          <w:rFonts w:hint="eastAsia" w:ascii="仿宋" w:hAnsi="仿宋" w:eastAsia="仿宋" w:cs="仿宋"/>
          <w:b/>
          <w:color w:val="auto"/>
          <w:kern w:val="96"/>
          <w:szCs w:val="28"/>
        </w:rPr>
        <w:t>仟</w:t>
      </w:r>
      <w:r>
        <w:rPr>
          <w:rFonts w:hint="eastAsia" w:ascii="仿宋" w:hAnsi="仿宋" w:eastAsia="仿宋" w:cs="仿宋"/>
          <w:b/>
          <w:color w:val="auto"/>
          <w:kern w:val="96"/>
          <w:szCs w:val="28"/>
          <w:lang w:eastAsia="zh-CN"/>
        </w:rPr>
        <w:t>玖</w:t>
      </w:r>
      <w:r>
        <w:rPr>
          <w:rFonts w:hint="eastAsia" w:ascii="仿宋" w:hAnsi="仿宋" w:eastAsia="仿宋" w:cs="仿宋"/>
          <w:b/>
          <w:color w:val="auto"/>
          <w:kern w:val="96"/>
          <w:szCs w:val="28"/>
        </w:rPr>
        <w:t>佰元整（</w:t>
      </w:r>
      <w:r>
        <w:rPr>
          <w:rFonts w:hint="eastAsia" w:ascii="宋体" w:hAnsi="宋体" w:eastAsia="宋体" w:cs="宋体"/>
          <w:b/>
          <w:bCs/>
          <w:color w:val="auto"/>
          <w:szCs w:val="28"/>
        </w:rPr>
        <w:t>¥</w:t>
      </w:r>
      <w:r>
        <w:rPr>
          <w:rFonts w:hint="eastAsia" w:ascii="宋体" w:hAnsi="宋体" w:eastAsia="宋体" w:cs="宋体"/>
          <w:b/>
          <w:bCs/>
          <w:color w:val="auto"/>
          <w:szCs w:val="28"/>
          <w:lang w:val="en-US" w:eastAsia="zh-CN"/>
        </w:rPr>
        <w:t>44.39</w:t>
      </w:r>
      <w:r>
        <w:rPr>
          <w:rFonts w:hint="eastAsia" w:ascii="仿宋" w:hAnsi="仿宋" w:eastAsia="仿宋" w:cs="仿宋"/>
          <w:b/>
          <w:color w:val="auto"/>
          <w:kern w:val="96"/>
          <w:szCs w:val="28"/>
        </w:rPr>
        <w:t>万元）</w:t>
      </w:r>
      <w:r>
        <w:rPr>
          <w:rFonts w:hint="eastAsia" w:ascii="仿宋" w:hAnsi="仿宋" w:eastAsia="仿宋" w:cs="仿宋"/>
          <w:b/>
          <w:color w:val="auto"/>
          <w:kern w:val="96"/>
          <w:szCs w:val="28"/>
          <w:lang w:eastAsia="zh-CN"/>
        </w:rPr>
        <w:t>，单价为</w:t>
      </w:r>
      <w:r>
        <w:rPr>
          <w:rFonts w:hint="eastAsia" w:ascii="仿宋" w:hAnsi="仿宋" w:eastAsia="仿宋" w:cs="仿宋"/>
          <w:b/>
          <w:color w:val="auto"/>
          <w:kern w:val="96"/>
          <w:szCs w:val="28"/>
          <w:lang w:val="en-US" w:eastAsia="zh-CN"/>
        </w:rPr>
        <w:t>3713元/㎡。</w:t>
      </w:r>
      <w:r>
        <w:rPr>
          <w:rFonts w:hint="eastAsia" w:ascii="仿宋" w:hAnsi="仿宋" w:eastAsia="仿宋" w:cs="仿宋"/>
          <w:b/>
          <w:color w:val="000000" w:themeColor="text1"/>
          <w:kern w:val="96"/>
          <w:szCs w:val="28"/>
        </w:rPr>
        <w:t xml:space="preserve">          </w:t>
      </w:r>
    </w:p>
    <w:p>
      <w:pPr>
        <w:snapToGrid w:val="0"/>
        <w:spacing w:line="520" w:lineRule="exact"/>
        <w:ind w:firstLine="562" w:firstLineChars="200"/>
        <w:outlineLvl w:val="1"/>
        <w:rPr>
          <w:rStyle w:val="20"/>
          <w:rFonts w:ascii="仿宋" w:hAnsi="仿宋" w:eastAsia="仿宋" w:cs="仿宋"/>
          <w:b/>
          <w:color w:val="000000" w:themeColor="text1"/>
          <w:szCs w:val="28"/>
        </w:rPr>
      </w:pPr>
      <w:bookmarkStart w:id="13" w:name="_Toc23674"/>
      <w:r>
        <w:rPr>
          <w:rStyle w:val="20"/>
          <w:rFonts w:ascii="仿宋" w:hAnsi="仿宋" w:eastAsia="仿宋" w:cs="仿宋"/>
          <w:b/>
          <w:color w:val="000000" w:themeColor="text1"/>
          <w:szCs w:val="28"/>
        </w:rPr>
        <w:t>十一、注册房地产估价师</w:t>
      </w:r>
      <w:bookmarkEnd w:id="13"/>
    </w:p>
    <w:p>
      <w:pPr>
        <w:spacing w:line="460" w:lineRule="exact"/>
        <w:ind w:firstLine="560" w:firstLineChars="200"/>
        <w:rPr>
          <w:rStyle w:val="20"/>
          <w:rFonts w:ascii="仿宋" w:hAnsi="仿宋" w:eastAsia="仿宋"/>
          <w:color w:val="000000" w:themeColor="text1"/>
          <w:kern w:val="96"/>
          <w:szCs w:val="28"/>
        </w:rPr>
      </w:pPr>
    </w:p>
    <w:p>
      <w:pPr>
        <w:spacing w:line="46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中国注册房地产估价师（注册号：</w:t>
      </w:r>
      <w:r>
        <w:rPr>
          <w:rStyle w:val="20"/>
          <w:rFonts w:hint="eastAsia" w:ascii="仿宋" w:hAnsi="仿宋" w:eastAsia="仿宋"/>
          <w:color w:val="000000" w:themeColor="text1"/>
          <w:kern w:val="96"/>
          <w:szCs w:val="28"/>
          <w:lang w:eastAsia="zh-CN"/>
        </w:rPr>
        <w:t>5220190048</w:t>
      </w:r>
      <w:r>
        <w:rPr>
          <w:rStyle w:val="20"/>
          <w:rFonts w:ascii="仿宋" w:hAnsi="仿宋" w:eastAsia="仿宋"/>
          <w:color w:val="000000" w:themeColor="text1"/>
          <w:kern w:val="96"/>
          <w:szCs w:val="28"/>
        </w:rPr>
        <w:t>）：</w:t>
      </w:r>
      <w:r>
        <w:rPr>
          <w:rStyle w:val="20"/>
          <w:rFonts w:hint="eastAsia" w:ascii="仿宋" w:hAnsi="仿宋" w:eastAsia="仿宋"/>
          <w:color w:val="000000" w:themeColor="text1"/>
          <w:kern w:val="96"/>
          <w:szCs w:val="28"/>
          <w:lang w:val="en-US" w:eastAsia="zh-CN"/>
        </w:rPr>
        <w:t>段</w:t>
      </w:r>
      <w:r>
        <w:rPr>
          <w:rStyle w:val="20"/>
          <w:rFonts w:ascii="仿宋" w:hAnsi="仿宋" w:eastAsia="仿宋"/>
          <w:color w:val="000000" w:themeColor="text1"/>
          <w:kern w:val="96"/>
          <w:szCs w:val="28"/>
        </w:rPr>
        <w:t xml:space="preserve">春兰  </w:t>
      </w:r>
    </w:p>
    <w:p>
      <w:pPr>
        <w:spacing w:line="460" w:lineRule="exact"/>
        <w:ind w:firstLine="560" w:firstLineChars="200"/>
        <w:rPr>
          <w:rStyle w:val="20"/>
          <w:rFonts w:ascii="仿宋" w:hAnsi="仿宋" w:eastAsia="仿宋"/>
          <w:color w:val="000000" w:themeColor="text1"/>
        </w:rPr>
      </w:pPr>
      <w:r>
        <w:rPr>
          <w:rStyle w:val="20"/>
          <w:rFonts w:ascii="仿宋" w:hAnsi="仿宋" w:eastAsia="仿宋"/>
          <w:color w:val="000000" w:themeColor="text1"/>
          <w:kern w:val="96"/>
          <w:szCs w:val="28"/>
        </w:rPr>
        <w:t>签字：                  日期：</w:t>
      </w:r>
    </w:p>
    <w:p>
      <w:pPr>
        <w:spacing w:line="46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中国注册房地产估价师（注册号：5220120019）：张小英</w:t>
      </w:r>
    </w:p>
    <w:p>
      <w:pPr>
        <w:spacing w:line="460" w:lineRule="exact"/>
        <w:ind w:firstLine="560" w:firstLineChars="200"/>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签字：                  日期：</w:t>
      </w:r>
    </w:p>
    <w:p>
      <w:pPr>
        <w:spacing w:line="460" w:lineRule="exact"/>
        <w:ind w:firstLine="560" w:firstLineChars="200"/>
        <w:rPr>
          <w:rStyle w:val="20"/>
          <w:rFonts w:hint="default" w:ascii="仿宋" w:hAnsi="仿宋" w:eastAsia="仿宋"/>
          <w:color w:val="000000" w:themeColor="text1"/>
          <w:kern w:val="96"/>
          <w:szCs w:val="28"/>
          <w:lang w:val="en-US" w:eastAsia="zh-CN"/>
        </w:rPr>
      </w:pPr>
      <w:r>
        <w:rPr>
          <w:rStyle w:val="20"/>
          <w:rFonts w:ascii="仿宋" w:hAnsi="仿宋" w:eastAsia="仿宋"/>
          <w:color w:val="000000" w:themeColor="text1"/>
          <w:kern w:val="96"/>
          <w:szCs w:val="28"/>
        </w:rPr>
        <w:t xml:space="preserve">估价助理：                                  </w:t>
      </w:r>
      <w:r>
        <w:rPr>
          <w:rStyle w:val="20"/>
          <w:rFonts w:hint="eastAsia" w:ascii="仿宋" w:hAnsi="仿宋" w:eastAsia="仿宋"/>
          <w:color w:val="000000" w:themeColor="text1"/>
          <w:kern w:val="96"/>
          <w:szCs w:val="28"/>
          <w:lang w:val="en-US" w:eastAsia="zh-CN"/>
        </w:rPr>
        <w:t>湛小霞</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签字：                  日期：</w:t>
      </w:r>
    </w:p>
    <w:p>
      <w:pPr>
        <w:pStyle w:val="12"/>
        <w:keepNext w:val="0"/>
        <w:keepLines w:val="0"/>
        <w:pageBreakBefore w:val="0"/>
        <w:widowControl/>
        <w:kinsoku/>
        <w:wordWrap/>
        <w:overflowPunct/>
        <w:topLinePunct w:val="0"/>
        <w:autoSpaceDE/>
        <w:autoSpaceDN/>
        <w:bidi w:val="0"/>
        <w:adjustRightInd/>
        <w:snapToGrid/>
        <w:spacing w:before="0" w:after="0" w:line="50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14" w:name="_Toc10356"/>
      <w:r>
        <w:rPr>
          <w:rStyle w:val="20"/>
          <w:rFonts w:ascii="仿宋" w:hAnsi="仿宋" w:eastAsia="仿宋" w:cs="仿宋"/>
          <w:color w:val="000000" w:themeColor="text1"/>
          <w:sz w:val="28"/>
          <w:szCs w:val="28"/>
        </w:rPr>
        <w:t>十二、实地查勘期</w:t>
      </w:r>
      <w:bookmarkEnd w:id="14"/>
    </w:p>
    <w:p>
      <w:pPr>
        <w:keepNext w:val="0"/>
        <w:keepLines w:val="0"/>
        <w:pageBreakBefore w:val="0"/>
        <w:widowControl/>
        <w:kinsoku/>
        <w:wordWrap/>
        <w:overflowPunct/>
        <w:topLinePunct w:val="0"/>
        <w:autoSpaceDE/>
        <w:autoSpaceDN/>
        <w:bidi w:val="0"/>
        <w:adjustRightInd/>
        <w:snapToGrid/>
        <w:spacing w:line="500" w:lineRule="exact"/>
        <w:ind w:firstLine="420" w:firstLineChars="15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kern w:val="96"/>
          <w:szCs w:val="28"/>
        </w:rPr>
        <w:t xml:space="preserve"> 实地查勘期为</w:t>
      </w:r>
      <w:r>
        <w:rPr>
          <w:rStyle w:val="20"/>
          <w:rFonts w:hint="eastAsia" w:ascii="仿宋" w:hAnsi="仿宋" w:eastAsia="仿宋"/>
          <w:color w:val="000000" w:themeColor="text1"/>
          <w:kern w:val="96"/>
          <w:szCs w:val="28"/>
          <w:lang w:eastAsia="zh-CN"/>
        </w:rPr>
        <w:t>2022</w:t>
      </w:r>
      <w:r>
        <w:rPr>
          <w:rStyle w:val="20"/>
          <w:rFonts w:ascii="仿宋" w:hAnsi="仿宋" w:eastAsia="仿宋"/>
          <w:color w:val="000000" w:themeColor="text1"/>
          <w:kern w:val="96"/>
          <w:szCs w:val="28"/>
        </w:rPr>
        <w:t>年0</w:t>
      </w:r>
      <w:r>
        <w:rPr>
          <w:rStyle w:val="20"/>
          <w:rFonts w:hint="eastAsia" w:ascii="仿宋" w:hAnsi="仿宋" w:eastAsia="仿宋"/>
          <w:color w:val="000000" w:themeColor="text1"/>
          <w:kern w:val="96"/>
          <w:szCs w:val="28"/>
          <w:lang w:val="en-US" w:eastAsia="zh-CN"/>
        </w:rPr>
        <w:t>8</w:t>
      </w:r>
      <w:r>
        <w:rPr>
          <w:rStyle w:val="20"/>
          <w:rFonts w:ascii="仿宋" w:hAnsi="仿宋" w:eastAsia="仿宋"/>
          <w:color w:val="000000" w:themeColor="text1"/>
          <w:kern w:val="96"/>
          <w:szCs w:val="28"/>
        </w:rPr>
        <w:t>月</w:t>
      </w:r>
      <w:r>
        <w:rPr>
          <w:rStyle w:val="20"/>
          <w:rFonts w:hint="eastAsia" w:ascii="仿宋" w:hAnsi="仿宋" w:eastAsia="仿宋"/>
          <w:color w:val="000000" w:themeColor="text1"/>
          <w:kern w:val="96"/>
          <w:szCs w:val="28"/>
          <w:lang w:val="en-US" w:eastAsia="zh-CN"/>
        </w:rPr>
        <w:t>19</w:t>
      </w:r>
      <w:r>
        <w:rPr>
          <w:rStyle w:val="20"/>
          <w:rFonts w:ascii="仿宋" w:hAnsi="仿宋" w:eastAsia="仿宋"/>
          <w:color w:val="000000" w:themeColor="text1"/>
          <w:kern w:val="96"/>
          <w:szCs w:val="28"/>
        </w:rPr>
        <w:t>日。</w:t>
      </w:r>
    </w:p>
    <w:p>
      <w:pPr>
        <w:pStyle w:val="12"/>
        <w:keepNext w:val="0"/>
        <w:keepLines w:val="0"/>
        <w:pageBreakBefore w:val="0"/>
        <w:widowControl/>
        <w:kinsoku/>
        <w:wordWrap/>
        <w:overflowPunct/>
        <w:topLinePunct w:val="0"/>
        <w:autoSpaceDE/>
        <w:autoSpaceDN/>
        <w:bidi w:val="0"/>
        <w:adjustRightInd/>
        <w:snapToGrid/>
        <w:spacing w:before="0" w:after="0" w:line="500" w:lineRule="exact"/>
        <w:ind w:firstLine="562" w:firstLineChars="200"/>
        <w:jc w:val="left"/>
        <w:textAlignment w:val="baseline"/>
        <w:outlineLvl w:val="1"/>
        <w:rPr>
          <w:rStyle w:val="20"/>
          <w:rFonts w:ascii="仿宋" w:hAnsi="仿宋" w:eastAsia="仿宋" w:cs="仿宋"/>
          <w:color w:val="000000" w:themeColor="text1"/>
          <w:sz w:val="28"/>
          <w:szCs w:val="28"/>
        </w:rPr>
      </w:pPr>
      <w:bookmarkStart w:id="15" w:name="_Toc14872"/>
      <w:r>
        <w:rPr>
          <w:rStyle w:val="20"/>
          <w:rFonts w:ascii="仿宋" w:hAnsi="仿宋" w:eastAsia="仿宋" w:cs="仿宋"/>
          <w:color w:val="000000" w:themeColor="text1"/>
          <w:sz w:val="28"/>
          <w:szCs w:val="28"/>
        </w:rPr>
        <w:t>十三、估价作业期</w:t>
      </w:r>
      <w:bookmarkEnd w:id="15"/>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color w:val="000000" w:themeColor="text1"/>
        </w:rPr>
      </w:pPr>
      <w:r>
        <w:rPr>
          <w:rStyle w:val="20"/>
          <w:rFonts w:hint="eastAsia" w:ascii="仿宋" w:hAnsi="仿宋" w:eastAsia="仿宋"/>
          <w:color w:val="auto"/>
          <w:szCs w:val="28"/>
          <w:lang w:eastAsia="zh-CN"/>
        </w:rPr>
        <w:t>2022年07月15日</w:t>
      </w:r>
      <w:r>
        <w:rPr>
          <w:rStyle w:val="20"/>
          <w:rFonts w:ascii="仿宋" w:hAnsi="仿宋" w:eastAsia="仿宋"/>
          <w:color w:val="auto"/>
          <w:szCs w:val="28"/>
        </w:rPr>
        <w:t>至202</w:t>
      </w:r>
      <w:r>
        <w:rPr>
          <w:rStyle w:val="20"/>
          <w:rFonts w:hint="eastAsia" w:ascii="仿宋" w:hAnsi="仿宋" w:eastAsia="仿宋"/>
          <w:color w:val="auto"/>
          <w:szCs w:val="28"/>
        </w:rPr>
        <w:t>2</w:t>
      </w:r>
      <w:r>
        <w:rPr>
          <w:rStyle w:val="20"/>
          <w:rFonts w:ascii="仿宋" w:hAnsi="仿宋" w:eastAsia="仿宋"/>
          <w:color w:val="auto"/>
          <w:szCs w:val="28"/>
        </w:rPr>
        <w:t>年</w:t>
      </w:r>
      <w:r>
        <w:rPr>
          <w:rStyle w:val="20"/>
          <w:rFonts w:hint="eastAsia" w:ascii="仿宋" w:hAnsi="仿宋" w:eastAsia="仿宋"/>
          <w:color w:val="auto"/>
          <w:szCs w:val="28"/>
          <w:lang w:val="en-US" w:eastAsia="zh-CN"/>
        </w:rPr>
        <w:t>10月13日</w:t>
      </w:r>
      <w:r>
        <w:rPr>
          <w:rStyle w:val="20"/>
          <w:rFonts w:ascii="仿宋" w:hAnsi="仿宋" w:eastAsia="仿宋"/>
          <w:color w:val="000000" w:themeColor="text1"/>
          <w:kern w:val="96"/>
          <w:szCs w:val="28"/>
        </w:rPr>
        <w:t>。</w:t>
      </w:r>
    </w:p>
    <w:p>
      <w:pPr>
        <w:pStyle w:val="12"/>
        <w:keepNext w:val="0"/>
        <w:keepLines w:val="0"/>
        <w:pageBreakBefore w:val="0"/>
        <w:widowControl/>
        <w:tabs>
          <w:tab w:val="left" w:pos="8034"/>
        </w:tabs>
        <w:kinsoku/>
        <w:wordWrap/>
        <w:overflowPunct/>
        <w:topLinePunct w:val="0"/>
        <w:autoSpaceDE/>
        <w:autoSpaceDN/>
        <w:bidi w:val="0"/>
        <w:adjustRightInd/>
        <w:snapToGrid/>
        <w:spacing w:before="0" w:after="0" w:line="500" w:lineRule="exact"/>
        <w:ind w:firstLine="562" w:firstLineChars="200"/>
        <w:jc w:val="left"/>
        <w:textAlignment w:val="baseline"/>
        <w:outlineLvl w:val="1"/>
        <w:rPr>
          <w:rStyle w:val="20"/>
          <w:rFonts w:hint="eastAsia" w:ascii="仿宋" w:hAnsi="仿宋" w:eastAsia="仿宋" w:cs="仿宋"/>
          <w:color w:val="000000" w:themeColor="text1"/>
          <w:sz w:val="28"/>
          <w:szCs w:val="28"/>
          <w:lang w:eastAsia="zh-CN"/>
        </w:rPr>
      </w:pPr>
      <w:bookmarkStart w:id="16" w:name="_Toc5728"/>
      <w:r>
        <w:rPr>
          <w:rStyle w:val="20"/>
          <w:rFonts w:ascii="仿宋" w:hAnsi="仿宋" w:eastAsia="仿宋" w:cs="仿宋"/>
          <w:color w:val="000000" w:themeColor="text1"/>
          <w:sz w:val="28"/>
          <w:szCs w:val="28"/>
        </w:rPr>
        <w:t>十四、估价报告的有效期</w:t>
      </w:r>
      <w:bookmarkEnd w:id="16"/>
      <w:r>
        <w:rPr>
          <w:rStyle w:val="20"/>
          <w:rFonts w:hint="eastAsia" w:ascii="仿宋" w:hAnsi="仿宋" w:eastAsia="仿宋" w:cs="仿宋"/>
          <w:color w:val="000000" w:themeColor="text1"/>
          <w:sz w:val="28"/>
          <w:szCs w:val="28"/>
          <w:lang w:eastAsia="zh-CN"/>
        </w:rPr>
        <w:tab/>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ascii="仿宋" w:hAnsi="仿宋" w:eastAsia="仿宋"/>
          <w:color w:val="000000" w:themeColor="text1"/>
          <w:kern w:val="96"/>
          <w:szCs w:val="28"/>
        </w:rPr>
      </w:pPr>
      <w:r>
        <w:rPr>
          <w:rStyle w:val="20"/>
          <w:rFonts w:ascii="仿宋" w:hAnsi="仿宋" w:eastAsia="仿宋"/>
          <w:color w:val="000000" w:themeColor="text1"/>
        </w:rPr>
        <w:t>本估价报告的有效期限自出具报告之日起为一年，即</w:t>
      </w:r>
      <w:r>
        <w:rPr>
          <w:rStyle w:val="20"/>
          <w:rFonts w:hint="eastAsia" w:ascii="仿宋" w:hAnsi="仿宋" w:eastAsia="仿宋"/>
          <w:color w:val="000000" w:themeColor="text1"/>
          <w:lang w:eastAsia="zh-CN"/>
        </w:rPr>
        <w:t>2022</w:t>
      </w:r>
      <w:r>
        <w:rPr>
          <w:rStyle w:val="20"/>
          <w:rFonts w:ascii="仿宋" w:hAnsi="仿宋" w:eastAsia="仿宋"/>
          <w:color w:val="000000" w:themeColor="text1"/>
        </w:rPr>
        <w:t>年</w:t>
      </w:r>
      <w:r>
        <w:rPr>
          <w:rStyle w:val="20"/>
          <w:rFonts w:hint="eastAsia" w:ascii="仿宋" w:hAnsi="仿宋" w:eastAsia="仿宋"/>
          <w:color w:val="000000" w:themeColor="text1"/>
          <w:lang w:val="en-US" w:eastAsia="zh-CN"/>
        </w:rPr>
        <w:t>10</w:t>
      </w:r>
      <w:r>
        <w:rPr>
          <w:rStyle w:val="20"/>
          <w:rFonts w:hint="eastAsia" w:ascii="仿宋" w:hAnsi="仿宋" w:eastAsia="仿宋"/>
          <w:color w:val="000000" w:themeColor="text1"/>
          <w:lang w:eastAsia="zh-CN"/>
        </w:rPr>
        <w:t>月1</w:t>
      </w:r>
      <w:r>
        <w:rPr>
          <w:rStyle w:val="20"/>
          <w:rFonts w:hint="eastAsia" w:ascii="仿宋" w:hAnsi="仿宋" w:eastAsia="仿宋"/>
          <w:color w:val="000000" w:themeColor="text1"/>
          <w:lang w:val="en-US" w:eastAsia="zh-CN"/>
        </w:rPr>
        <w:t>3</w:t>
      </w:r>
      <w:r>
        <w:rPr>
          <w:rStyle w:val="20"/>
          <w:rFonts w:hint="eastAsia" w:ascii="仿宋" w:hAnsi="仿宋" w:eastAsia="仿宋"/>
          <w:color w:val="000000" w:themeColor="text1"/>
          <w:lang w:eastAsia="zh-CN"/>
        </w:rPr>
        <w:t>日</w:t>
      </w:r>
      <w:r>
        <w:rPr>
          <w:rStyle w:val="20"/>
          <w:rFonts w:ascii="仿宋" w:hAnsi="仿宋" w:eastAsia="仿宋"/>
          <w:color w:val="000000" w:themeColor="text1"/>
        </w:rPr>
        <w:t>至</w:t>
      </w:r>
      <w:r>
        <w:rPr>
          <w:rStyle w:val="20"/>
          <w:rFonts w:hint="eastAsia" w:ascii="仿宋" w:hAnsi="仿宋" w:eastAsia="仿宋"/>
          <w:color w:val="000000" w:themeColor="text1"/>
          <w:lang w:eastAsia="zh-CN"/>
        </w:rPr>
        <w:t>2023年</w:t>
      </w:r>
      <w:r>
        <w:rPr>
          <w:rStyle w:val="20"/>
          <w:rFonts w:hint="eastAsia" w:ascii="仿宋" w:hAnsi="仿宋" w:eastAsia="仿宋"/>
          <w:color w:val="000000" w:themeColor="text1"/>
          <w:lang w:val="en-US" w:eastAsia="zh-CN"/>
        </w:rPr>
        <w:t>10</w:t>
      </w:r>
      <w:r>
        <w:rPr>
          <w:rStyle w:val="20"/>
          <w:rFonts w:hint="eastAsia" w:ascii="仿宋" w:hAnsi="仿宋" w:eastAsia="仿宋"/>
          <w:color w:val="000000" w:themeColor="text1"/>
          <w:lang w:eastAsia="zh-CN"/>
        </w:rPr>
        <w:t>月1</w:t>
      </w:r>
      <w:r>
        <w:rPr>
          <w:rStyle w:val="20"/>
          <w:rFonts w:hint="eastAsia" w:ascii="仿宋" w:hAnsi="仿宋" w:eastAsia="仿宋"/>
          <w:color w:val="000000" w:themeColor="text1"/>
          <w:lang w:val="en-US" w:eastAsia="zh-CN"/>
        </w:rPr>
        <w:t>2</w:t>
      </w:r>
      <w:r>
        <w:rPr>
          <w:rStyle w:val="20"/>
          <w:rFonts w:hint="eastAsia" w:ascii="仿宋" w:hAnsi="仿宋" w:eastAsia="仿宋"/>
          <w:color w:val="000000" w:themeColor="text1"/>
          <w:lang w:eastAsia="zh-CN"/>
        </w:rPr>
        <w:t>日</w:t>
      </w:r>
      <w:r>
        <w:rPr>
          <w:rStyle w:val="20"/>
          <w:rFonts w:ascii="仿宋" w:hAnsi="仿宋" w:eastAsia="仿宋"/>
          <w:color w:val="000000" w:themeColor="text1"/>
        </w:rPr>
        <w:t>止</w:t>
      </w:r>
      <w:r>
        <w:rPr>
          <w:rStyle w:val="20"/>
          <w:rFonts w:ascii="仿宋" w:hAnsi="仿宋" w:eastAsia="仿宋"/>
          <w:color w:val="000000" w:themeColor="text1"/>
          <w:kern w:val="96"/>
          <w:szCs w:val="28"/>
        </w:rPr>
        <w:t>。</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baseline"/>
        <w:outlineLvl w:val="1"/>
        <w:rPr>
          <w:rStyle w:val="20"/>
          <w:rFonts w:ascii="仿宋" w:hAnsi="仿宋" w:eastAsia="仿宋" w:cs="仿宋"/>
          <w:b/>
          <w:bCs/>
          <w:color w:val="000000" w:themeColor="text1"/>
          <w:szCs w:val="28"/>
        </w:rPr>
      </w:pPr>
      <w:bookmarkStart w:id="17" w:name="_Toc14362"/>
      <w:r>
        <w:rPr>
          <w:rStyle w:val="20"/>
          <w:rFonts w:ascii="仿宋" w:hAnsi="仿宋" w:eastAsia="仿宋" w:cs="仿宋"/>
          <w:b/>
          <w:bCs/>
          <w:color w:val="000000" w:themeColor="text1"/>
          <w:kern w:val="96"/>
          <w:szCs w:val="28"/>
        </w:rPr>
        <w:t>十五、</w:t>
      </w:r>
      <w:r>
        <w:rPr>
          <w:rStyle w:val="20"/>
          <w:rFonts w:ascii="仿宋" w:hAnsi="仿宋" w:eastAsia="仿宋" w:cs="仿宋"/>
          <w:b/>
          <w:bCs/>
          <w:color w:val="000000" w:themeColor="text1"/>
          <w:szCs w:val="28"/>
        </w:rPr>
        <w:t>其它需要特别说明的事项</w:t>
      </w:r>
      <w:bookmarkEnd w:id="17"/>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ascii="仿宋" w:hAnsi="仿宋" w:eastAsia="仿宋"/>
          <w:color w:val="000000" w:themeColor="text1"/>
          <w:szCs w:val="28"/>
        </w:rPr>
      </w:pPr>
      <w:r>
        <w:rPr>
          <w:rStyle w:val="20"/>
          <w:rFonts w:ascii="仿宋" w:hAnsi="仿宋" w:eastAsia="仿宋"/>
          <w:color w:val="000000" w:themeColor="text1"/>
          <w:szCs w:val="28"/>
        </w:rPr>
        <w:t>报告中提示的估价对象的市场价值是专业人员在一系列假设条件下模拟市场交易得出的价值结果，而交易价格往往受到交易时种种条件的限制，实际交易的情形也极难于与价值时点的假设条件保持一致，因此，估价结果仅供估价委托人参考，而不是对价格实现的一种保证。</w:t>
      </w:r>
    </w:p>
    <w:p>
      <w:pPr>
        <w:keepNext w:val="0"/>
        <w:keepLines w:val="0"/>
        <w:pageBreakBefore w:val="0"/>
        <w:widowControl/>
        <w:tabs>
          <w:tab w:val="right" w:pos="9638"/>
        </w:tabs>
        <w:kinsoku/>
        <w:wordWrap/>
        <w:overflowPunct/>
        <w:topLinePunct w:val="0"/>
        <w:autoSpaceDE/>
        <w:autoSpaceDN/>
        <w:bidi w:val="0"/>
        <w:adjustRightInd/>
        <w:snapToGrid/>
        <w:spacing w:line="500" w:lineRule="exact"/>
        <w:ind w:firstLine="562" w:firstLineChars="200"/>
        <w:jc w:val="left"/>
        <w:textAlignment w:val="baseline"/>
        <w:rPr>
          <w:rStyle w:val="20"/>
          <w:rFonts w:hint="eastAsia" w:ascii="仿宋" w:hAnsi="仿宋" w:eastAsia="仿宋"/>
          <w:b/>
          <w:color w:val="000000" w:themeColor="text1"/>
        </w:rPr>
      </w:pPr>
    </w:p>
    <w:p>
      <w:pPr>
        <w:pStyle w:val="15"/>
        <w:ind w:left="0" w:leftChars="0" w:firstLine="0" w:firstLineChars="0"/>
        <w:jc w:val="both"/>
        <w:rPr>
          <w:rStyle w:val="20"/>
          <w:rFonts w:ascii="仿宋" w:hAnsi="仿宋" w:eastAsia="仿宋"/>
          <w:b/>
          <w:color w:val="000000" w:themeColor="text1"/>
        </w:rPr>
      </w:pPr>
    </w:p>
    <w:p>
      <w:pPr>
        <w:pStyle w:val="15"/>
        <w:ind w:left="0" w:leftChars="0" w:firstLine="0" w:firstLineChars="0"/>
        <w:jc w:val="both"/>
        <w:rPr>
          <w:rStyle w:val="20"/>
          <w:rFonts w:ascii="仿宋" w:hAnsi="仿宋" w:eastAsia="仿宋"/>
          <w:b/>
          <w:color w:val="000000" w:themeColor="text1"/>
        </w:rPr>
      </w:pPr>
    </w:p>
    <w:p>
      <w:pPr>
        <w:tabs>
          <w:tab w:val="right" w:pos="9638"/>
        </w:tabs>
        <w:spacing w:line="520" w:lineRule="exact"/>
        <w:ind w:firstLine="5341" w:firstLineChars="1900"/>
        <w:jc w:val="left"/>
        <w:rPr>
          <w:rStyle w:val="20"/>
          <w:rFonts w:ascii="仿宋" w:hAnsi="仿宋" w:eastAsia="仿宋"/>
          <w:b/>
          <w:color w:val="000000" w:themeColor="text1"/>
        </w:rPr>
      </w:pPr>
      <w:r>
        <w:rPr>
          <w:rStyle w:val="20"/>
          <w:rFonts w:ascii="仿宋" w:hAnsi="仿宋" w:eastAsia="仿宋"/>
          <w:b/>
          <w:color w:val="000000" w:themeColor="text1"/>
        </w:rPr>
        <w:t>贵州精诚房地产估价有限责任公司</w:t>
      </w:r>
    </w:p>
    <w:p>
      <w:pPr>
        <w:tabs>
          <w:tab w:val="right" w:pos="9638"/>
        </w:tabs>
        <w:spacing w:line="520" w:lineRule="exact"/>
        <w:ind w:right="140"/>
        <w:rPr>
          <w:rStyle w:val="20"/>
          <w:rFonts w:ascii="仿宋" w:hAnsi="仿宋" w:eastAsia="仿宋"/>
          <w:b/>
          <w:color w:val="000000" w:themeColor="text1"/>
          <w:sz w:val="44"/>
          <w:szCs w:val="44"/>
        </w:rPr>
      </w:pPr>
      <w:r>
        <w:rPr>
          <w:rStyle w:val="20"/>
          <w:rFonts w:ascii="仿宋" w:hAnsi="仿宋" w:eastAsia="仿宋"/>
          <w:b/>
          <w:color w:val="000000" w:themeColor="text1"/>
        </w:rPr>
        <w:t xml:space="preserve">                                           二〇二</w:t>
      </w:r>
      <w:r>
        <w:rPr>
          <w:rStyle w:val="20"/>
          <w:rFonts w:hint="eastAsia" w:ascii="仿宋" w:hAnsi="仿宋" w:eastAsia="仿宋"/>
          <w:b/>
          <w:color w:val="000000" w:themeColor="text1"/>
        </w:rPr>
        <w:t>二</w:t>
      </w:r>
      <w:r>
        <w:rPr>
          <w:rStyle w:val="20"/>
          <w:rFonts w:ascii="仿宋" w:hAnsi="仿宋" w:eastAsia="仿宋"/>
          <w:b/>
          <w:color w:val="000000" w:themeColor="text1"/>
        </w:rPr>
        <w:t>年</w:t>
      </w:r>
      <w:r>
        <w:rPr>
          <w:rStyle w:val="20"/>
          <w:rFonts w:hint="eastAsia" w:ascii="仿宋" w:hAnsi="仿宋" w:eastAsia="仿宋"/>
          <w:b/>
          <w:color w:val="000000" w:themeColor="text1"/>
          <w:lang w:eastAsia="zh-CN"/>
        </w:rPr>
        <w:t>十</w:t>
      </w:r>
      <w:r>
        <w:rPr>
          <w:rStyle w:val="20"/>
          <w:rFonts w:hint="eastAsia" w:ascii="仿宋" w:hAnsi="仿宋" w:eastAsia="仿宋"/>
          <w:b/>
          <w:color w:val="000000" w:themeColor="text1"/>
          <w:lang w:val="en-US" w:eastAsia="zh-CN"/>
        </w:rPr>
        <w:t>月十三</w:t>
      </w:r>
      <w:r>
        <w:rPr>
          <w:rStyle w:val="20"/>
          <w:rFonts w:ascii="仿宋" w:hAnsi="仿宋" w:eastAsia="仿宋"/>
          <w:b/>
          <w:color w:val="000000" w:themeColor="text1"/>
        </w:rPr>
        <w:t>日</w:t>
      </w:r>
    </w:p>
    <w:p>
      <w:pPr>
        <w:spacing w:line="460" w:lineRule="exact"/>
        <w:jc w:val="both"/>
        <w:outlineLvl w:val="0"/>
        <w:rPr>
          <w:rStyle w:val="20"/>
          <w:rFonts w:ascii="仿宋" w:hAnsi="仿宋" w:eastAsia="仿宋"/>
          <w:b/>
          <w:color w:val="000000" w:themeColor="text1"/>
          <w:sz w:val="44"/>
          <w:szCs w:val="44"/>
        </w:rPr>
      </w:pPr>
    </w:p>
    <w:p>
      <w:pPr>
        <w:keepNext w:val="0"/>
        <w:keepLines w:val="0"/>
        <w:pageBreakBefore w:val="0"/>
        <w:widowControl/>
        <w:kinsoku/>
        <w:wordWrap/>
        <w:overflowPunct/>
        <w:topLinePunct w:val="0"/>
        <w:autoSpaceDE/>
        <w:autoSpaceDN/>
        <w:bidi w:val="0"/>
        <w:adjustRightInd/>
        <w:snapToGrid/>
        <w:spacing w:line="460" w:lineRule="exact"/>
        <w:jc w:val="center"/>
        <w:textAlignment w:val="baseline"/>
        <w:outlineLvl w:val="9"/>
        <w:rPr>
          <w:rStyle w:val="20"/>
          <w:rFonts w:ascii="仿宋" w:hAnsi="仿宋" w:eastAsia="仿宋"/>
          <w:b/>
          <w:color w:val="000000" w:themeColor="text1"/>
          <w:sz w:val="44"/>
          <w:szCs w:val="44"/>
        </w:rPr>
      </w:pPr>
      <w:bookmarkStart w:id="18" w:name="_Toc9057"/>
    </w:p>
    <w:p>
      <w:pPr>
        <w:keepNext w:val="0"/>
        <w:keepLines w:val="0"/>
        <w:pageBreakBefore w:val="0"/>
        <w:widowControl/>
        <w:kinsoku/>
        <w:wordWrap/>
        <w:overflowPunct/>
        <w:topLinePunct w:val="0"/>
        <w:autoSpaceDE/>
        <w:autoSpaceDN/>
        <w:bidi w:val="0"/>
        <w:adjustRightInd/>
        <w:snapToGrid/>
        <w:spacing w:line="460" w:lineRule="exact"/>
        <w:jc w:val="center"/>
        <w:textAlignment w:val="baseline"/>
        <w:outlineLvl w:val="9"/>
        <w:rPr>
          <w:rStyle w:val="20"/>
          <w:rFonts w:ascii="仿宋" w:hAnsi="仿宋" w:eastAsia="仿宋"/>
          <w:b/>
          <w:color w:val="000000" w:themeColor="text1"/>
          <w:sz w:val="44"/>
          <w:szCs w:val="44"/>
        </w:rPr>
      </w:pPr>
    </w:p>
    <w:p>
      <w:pPr>
        <w:keepNext w:val="0"/>
        <w:keepLines w:val="0"/>
        <w:pageBreakBefore w:val="0"/>
        <w:widowControl/>
        <w:kinsoku/>
        <w:wordWrap/>
        <w:overflowPunct/>
        <w:topLinePunct w:val="0"/>
        <w:autoSpaceDE/>
        <w:autoSpaceDN/>
        <w:bidi w:val="0"/>
        <w:adjustRightInd/>
        <w:snapToGrid/>
        <w:spacing w:line="460" w:lineRule="exact"/>
        <w:jc w:val="center"/>
        <w:textAlignment w:val="baseline"/>
        <w:outlineLvl w:val="9"/>
        <w:rPr>
          <w:rStyle w:val="20"/>
          <w:rFonts w:ascii="仿宋" w:hAnsi="仿宋" w:eastAsia="仿宋"/>
          <w:b/>
          <w:color w:val="000000" w:themeColor="text1"/>
          <w:sz w:val="44"/>
          <w:szCs w:val="44"/>
        </w:rPr>
      </w:pPr>
    </w:p>
    <w:p>
      <w:pPr>
        <w:keepNext w:val="0"/>
        <w:keepLines w:val="0"/>
        <w:pageBreakBefore w:val="0"/>
        <w:widowControl/>
        <w:kinsoku/>
        <w:wordWrap/>
        <w:overflowPunct/>
        <w:topLinePunct w:val="0"/>
        <w:autoSpaceDE/>
        <w:autoSpaceDN/>
        <w:bidi w:val="0"/>
        <w:adjustRightInd/>
        <w:snapToGrid/>
        <w:spacing w:line="460" w:lineRule="exact"/>
        <w:jc w:val="center"/>
        <w:textAlignment w:val="baseline"/>
        <w:outlineLvl w:val="9"/>
        <w:rPr>
          <w:rStyle w:val="20"/>
          <w:rFonts w:ascii="仿宋" w:hAnsi="仿宋" w:eastAsia="仿宋"/>
          <w:b/>
          <w:color w:val="000000" w:themeColor="text1"/>
          <w:sz w:val="44"/>
          <w:szCs w:val="44"/>
        </w:rPr>
      </w:pPr>
    </w:p>
    <w:p>
      <w:pPr>
        <w:keepNext w:val="0"/>
        <w:keepLines w:val="0"/>
        <w:pageBreakBefore w:val="0"/>
        <w:widowControl/>
        <w:kinsoku/>
        <w:wordWrap/>
        <w:overflowPunct/>
        <w:topLinePunct w:val="0"/>
        <w:autoSpaceDE/>
        <w:autoSpaceDN/>
        <w:bidi w:val="0"/>
        <w:adjustRightInd/>
        <w:snapToGrid/>
        <w:spacing w:line="460" w:lineRule="exact"/>
        <w:jc w:val="center"/>
        <w:textAlignment w:val="baseline"/>
        <w:outlineLvl w:val="9"/>
        <w:rPr>
          <w:rStyle w:val="20"/>
          <w:rFonts w:ascii="仿宋" w:hAnsi="仿宋" w:eastAsia="仿宋"/>
          <w:b/>
          <w:color w:val="000000" w:themeColor="text1"/>
          <w:sz w:val="44"/>
          <w:szCs w:val="44"/>
        </w:rPr>
      </w:pPr>
    </w:p>
    <w:p>
      <w:pPr>
        <w:keepNext w:val="0"/>
        <w:keepLines w:val="0"/>
        <w:pageBreakBefore w:val="0"/>
        <w:widowControl/>
        <w:kinsoku/>
        <w:wordWrap/>
        <w:overflowPunct/>
        <w:topLinePunct w:val="0"/>
        <w:autoSpaceDE/>
        <w:autoSpaceDN/>
        <w:bidi w:val="0"/>
        <w:adjustRightInd/>
        <w:snapToGrid/>
        <w:spacing w:line="460" w:lineRule="exact"/>
        <w:jc w:val="center"/>
        <w:textAlignment w:val="baseline"/>
        <w:outlineLvl w:val="9"/>
        <w:rPr>
          <w:rStyle w:val="20"/>
          <w:rFonts w:ascii="仿宋" w:hAnsi="仿宋" w:eastAsia="仿宋"/>
          <w:b/>
          <w:color w:val="000000" w:themeColor="text1"/>
          <w:szCs w:val="28"/>
        </w:rPr>
      </w:pPr>
      <w:r>
        <w:rPr>
          <w:rStyle w:val="20"/>
          <w:rFonts w:ascii="仿宋" w:hAnsi="仿宋" w:eastAsia="仿宋"/>
          <w:b/>
          <w:color w:val="000000" w:themeColor="text1"/>
          <w:sz w:val="44"/>
          <w:szCs w:val="44"/>
        </w:rPr>
        <w:t>附件资料</w:t>
      </w:r>
      <w:bookmarkEnd w:id="18"/>
    </w:p>
    <w:p>
      <w:pPr>
        <w:pStyle w:val="2"/>
        <w:ind w:firstLine="280"/>
        <w:rPr>
          <w:rStyle w:val="20"/>
          <w:rFonts w:ascii="仿宋" w:hAnsi="仿宋" w:eastAsia="仿宋"/>
          <w:color w:val="000000" w:themeColor="text1"/>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szCs w:val="28"/>
          <w:lang w:eastAsia="zh-CN"/>
        </w:rPr>
      </w:pPr>
      <w:r>
        <w:rPr>
          <w:rStyle w:val="20"/>
          <w:rFonts w:ascii="仿宋" w:hAnsi="仿宋" w:eastAsia="仿宋"/>
          <w:color w:val="000000" w:themeColor="text1"/>
          <w:szCs w:val="28"/>
        </w:rPr>
        <w:t>1、估价对象位置图及现场照片</w:t>
      </w:r>
      <w:r>
        <w:rPr>
          <w:rStyle w:val="20"/>
          <w:rFonts w:hint="eastAsia" w:ascii="仿宋" w:hAnsi="仿宋" w:eastAsia="仿宋"/>
          <w:color w:val="000000" w:themeColor="text1"/>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szCs w:val="28"/>
          <w:lang w:eastAsia="zh-CN"/>
        </w:rPr>
      </w:pPr>
      <w:r>
        <w:rPr>
          <w:rStyle w:val="20"/>
          <w:rFonts w:ascii="仿宋" w:hAnsi="仿宋" w:eastAsia="仿宋"/>
          <w:color w:val="000000" w:themeColor="text1"/>
          <w:szCs w:val="28"/>
        </w:rPr>
        <w:t>2、</w:t>
      </w:r>
      <w:r>
        <w:rPr>
          <w:rStyle w:val="20"/>
          <w:rFonts w:hint="eastAsia" w:ascii="仿宋" w:hAnsi="仿宋" w:eastAsia="仿宋"/>
          <w:color w:val="000000" w:themeColor="text1"/>
          <w:szCs w:val="28"/>
          <w:lang w:eastAsia="zh-CN"/>
        </w:rPr>
        <w:t>《三穗县人民法院评估委托书》</w:t>
      </w:r>
      <w:r>
        <w:rPr>
          <w:rStyle w:val="20"/>
          <w:rFonts w:ascii="仿宋" w:hAnsi="仿宋" w:eastAsia="仿宋"/>
          <w:color w:val="000000" w:themeColor="text1"/>
          <w:szCs w:val="28"/>
        </w:rPr>
        <w:t>【</w:t>
      </w:r>
      <w:r>
        <w:rPr>
          <w:rStyle w:val="20"/>
          <w:rFonts w:ascii="仿宋" w:hAnsi="仿宋" w:eastAsia="仿宋"/>
          <w:color w:val="000000" w:themeColor="text1"/>
          <w:kern w:val="96"/>
          <w:szCs w:val="28"/>
        </w:rPr>
        <w:t>（</w:t>
      </w:r>
      <w:r>
        <w:rPr>
          <w:rStyle w:val="20"/>
          <w:rFonts w:hint="eastAsia" w:ascii="仿宋" w:hAnsi="仿宋" w:eastAsia="仿宋"/>
          <w:color w:val="000000" w:themeColor="text1"/>
          <w:kern w:val="96"/>
          <w:szCs w:val="28"/>
          <w:lang w:eastAsia="zh-CN"/>
        </w:rPr>
        <w:t>2022</w:t>
      </w:r>
      <w:r>
        <w:rPr>
          <w:rStyle w:val="20"/>
          <w:rFonts w:ascii="仿宋" w:hAnsi="仿宋" w:eastAsia="仿宋"/>
          <w:color w:val="000000" w:themeColor="text1"/>
          <w:kern w:val="96"/>
          <w:szCs w:val="28"/>
        </w:rPr>
        <w:t>）黔</w:t>
      </w:r>
      <w:r>
        <w:rPr>
          <w:rStyle w:val="20"/>
          <w:rFonts w:hint="eastAsia" w:ascii="仿宋" w:hAnsi="仿宋" w:eastAsia="仿宋"/>
          <w:color w:val="000000" w:themeColor="text1"/>
          <w:kern w:val="96"/>
          <w:szCs w:val="28"/>
          <w:lang w:val="en-US" w:eastAsia="zh-CN"/>
        </w:rPr>
        <w:t>2624法评38号</w:t>
      </w:r>
      <w:r>
        <w:rPr>
          <w:rStyle w:val="20"/>
          <w:rFonts w:ascii="仿宋" w:hAnsi="仿宋" w:eastAsia="仿宋"/>
          <w:color w:val="000000" w:themeColor="text1"/>
          <w:szCs w:val="28"/>
        </w:rPr>
        <w:t>】复印件</w:t>
      </w:r>
      <w:r>
        <w:rPr>
          <w:rStyle w:val="20"/>
          <w:rFonts w:hint="eastAsia" w:ascii="仿宋" w:hAnsi="仿宋" w:eastAsia="仿宋"/>
          <w:color w:val="000000" w:themeColor="text1"/>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Fonts w:hint="eastAsia" w:ascii="仿宋" w:hAnsi="仿宋" w:eastAsia="仿宋"/>
          <w:color w:val="000000" w:themeColor="text1"/>
          <w:szCs w:val="28"/>
          <w:lang w:eastAsia="zh-CN"/>
        </w:rPr>
      </w:pPr>
      <w:r>
        <w:rPr>
          <w:rStyle w:val="20"/>
          <w:rFonts w:ascii="仿宋" w:hAnsi="仿宋" w:eastAsia="仿宋"/>
          <w:color w:val="000000" w:themeColor="text1"/>
          <w:szCs w:val="28"/>
        </w:rPr>
        <w:t>3、《</w:t>
      </w:r>
      <w:r>
        <w:rPr>
          <w:rStyle w:val="20"/>
          <w:rFonts w:hint="eastAsia" w:ascii="仿宋" w:hAnsi="仿宋" w:eastAsia="仿宋"/>
          <w:color w:val="auto"/>
          <w:szCs w:val="28"/>
          <w:lang w:eastAsia="zh-CN"/>
        </w:rPr>
        <w:t>贵州省不动产登记查询结果</w:t>
      </w:r>
      <w:r>
        <w:rPr>
          <w:rStyle w:val="20"/>
          <w:rFonts w:ascii="仿宋" w:hAnsi="仿宋" w:eastAsia="仿宋"/>
          <w:color w:val="000000" w:themeColor="text1"/>
          <w:szCs w:val="28"/>
        </w:rPr>
        <w:t>》复印件</w:t>
      </w:r>
      <w:r>
        <w:rPr>
          <w:rStyle w:val="20"/>
          <w:rFonts w:hint="eastAsia" w:ascii="仿宋" w:hAnsi="仿宋" w:eastAsia="仿宋"/>
          <w:color w:val="000000" w:themeColor="text1"/>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szCs w:val="28"/>
          <w:lang w:eastAsia="zh-CN"/>
        </w:rPr>
      </w:pPr>
      <w:r>
        <w:rPr>
          <w:rStyle w:val="20"/>
          <w:rFonts w:hint="eastAsia" w:ascii="仿宋" w:hAnsi="仿宋" w:eastAsia="仿宋"/>
          <w:color w:val="000000" w:themeColor="text1"/>
          <w:szCs w:val="28"/>
        </w:rPr>
        <w:t>4</w:t>
      </w:r>
      <w:r>
        <w:rPr>
          <w:rStyle w:val="20"/>
          <w:rFonts w:ascii="仿宋" w:hAnsi="仿宋" w:eastAsia="仿宋"/>
          <w:color w:val="000000" w:themeColor="text1"/>
          <w:szCs w:val="28"/>
        </w:rPr>
        <w:t>、《司法鉴定承诺书》</w:t>
      </w:r>
      <w:r>
        <w:rPr>
          <w:rStyle w:val="20"/>
          <w:rFonts w:hint="eastAsia" w:ascii="仿宋" w:hAnsi="仿宋" w:eastAsia="仿宋"/>
          <w:color w:val="000000" w:themeColor="text1"/>
          <w:szCs w:val="28"/>
          <w:lang w:eastAsia="zh-CN"/>
        </w:rPr>
        <w:t>；</w:t>
      </w:r>
    </w:p>
    <w:p>
      <w:pPr>
        <w:keepNext w:val="0"/>
        <w:keepLines w:val="0"/>
        <w:pageBreakBefore w:val="0"/>
        <w:widowControl/>
        <w:tabs>
          <w:tab w:val="left" w:pos="6375"/>
        </w:tabs>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szCs w:val="28"/>
          <w:lang w:eastAsia="zh-CN"/>
        </w:rPr>
      </w:pPr>
      <w:r>
        <w:rPr>
          <w:rStyle w:val="20"/>
          <w:rFonts w:hint="eastAsia" w:ascii="仿宋" w:hAnsi="仿宋" w:eastAsia="仿宋"/>
          <w:color w:val="000000" w:themeColor="text1"/>
          <w:szCs w:val="28"/>
        </w:rPr>
        <w:t>5</w:t>
      </w:r>
      <w:r>
        <w:rPr>
          <w:rStyle w:val="20"/>
          <w:rFonts w:ascii="仿宋" w:hAnsi="仿宋" w:eastAsia="仿宋"/>
          <w:color w:val="000000" w:themeColor="text1"/>
          <w:szCs w:val="28"/>
        </w:rPr>
        <w:t>、估价人员资格证复印件</w:t>
      </w:r>
      <w:r>
        <w:rPr>
          <w:rStyle w:val="20"/>
          <w:rFonts w:hint="eastAsia" w:ascii="仿宋" w:hAnsi="仿宋" w:eastAsia="仿宋"/>
          <w:color w:val="000000" w:themeColor="text1"/>
          <w:szCs w:val="28"/>
          <w:lang w:eastAsia="zh-CN"/>
        </w:rPr>
        <w:t>；</w:t>
      </w:r>
      <w:r>
        <w:rPr>
          <w:rStyle w:val="20"/>
          <w:rFonts w:hint="eastAsia" w:ascii="仿宋" w:hAnsi="仿宋" w:eastAsia="仿宋"/>
          <w:color w:val="000000" w:themeColor="text1"/>
          <w:szCs w:val="28"/>
          <w:lang w:eastAsia="zh-CN"/>
        </w:rPr>
        <w:tab/>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szCs w:val="28"/>
          <w:lang w:eastAsia="zh-CN"/>
        </w:rPr>
      </w:pPr>
      <w:r>
        <w:rPr>
          <w:rStyle w:val="20"/>
          <w:rFonts w:hint="eastAsia" w:ascii="仿宋" w:hAnsi="仿宋" w:eastAsia="仿宋"/>
          <w:color w:val="000000" w:themeColor="text1"/>
          <w:szCs w:val="28"/>
        </w:rPr>
        <w:t>6</w:t>
      </w:r>
      <w:r>
        <w:rPr>
          <w:rStyle w:val="20"/>
          <w:rFonts w:ascii="仿宋" w:hAnsi="仿宋" w:eastAsia="仿宋"/>
          <w:color w:val="000000" w:themeColor="text1"/>
          <w:szCs w:val="28"/>
        </w:rPr>
        <w:t>、估价机构备案证书复印件</w:t>
      </w:r>
      <w:r>
        <w:rPr>
          <w:rStyle w:val="20"/>
          <w:rFonts w:hint="eastAsia" w:ascii="仿宋" w:hAnsi="仿宋" w:eastAsia="仿宋"/>
          <w:color w:val="000000" w:themeColor="text1"/>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baseline"/>
        <w:rPr>
          <w:rStyle w:val="20"/>
          <w:rFonts w:hint="eastAsia" w:ascii="仿宋" w:hAnsi="仿宋" w:eastAsia="仿宋"/>
          <w:color w:val="000000" w:themeColor="text1"/>
          <w:szCs w:val="28"/>
          <w:lang w:eastAsia="zh-CN"/>
        </w:rPr>
      </w:pPr>
      <w:r>
        <w:rPr>
          <w:rStyle w:val="20"/>
          <w:rFonts w:hint="eastAsia" w:ascii="仿宋" w:hAnsi="仿宋" w:eastAsia="仿宋"/>
          <w:color w:val="000000" w:themeColor="text1"/>
          <w:szCs w:val="28"/>
        </w:rPr>
        <w:t>7</w:t>
      </w:r>
      <w:r>
        <w:rPr>
          <w:rStyle w:val="20"/>
          <w:rFonts w:ascii="仿宋" w:hAnsi="仿宋" w:eastAsia="仿宋"/>
          <w:color w:val="000000" w:themeColor="text1"/>
          <w:szCs w:val="28"/>
        </w:rPr>
        <w:t>、估价机构营业执照复印件</w:t>
      </w:r>
      <w:r>
        <w:rPr>
          <w:rStyle w:val="20"/>
          <w:rFonts w:hint="eastAsia" w:ascii="仿宋" w:hAnsi="仿宋" w:eastAsia="仿宋"/>
          <w:color w:val="000000" w:themeColor="text1"/>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baseline"/>
        <w:rPr>
          <w:rStyle w:val="20"/>
          <w:rFonts w:ascii="仿宋" w:hAnsi="仿宋" w:eastAsia="仿宋"/>
          <w:b/>
          <w:color w:val="000000" w:themeColor="text1"/>
          <w:szCs w:val="28"/>
        </w:rPr>
      </w:pPr>
    </w:p>
    <w:p>
      <w:pPr>
        <w:keepNext w:val="0"/>
        <w:keepLines w:val="0"/>
        <w:pageBreakBefore w:val="0"/>
        <w:widowControl/>
        <w:kinsoku/>
        <w:wordWrap/>
        <w:overflowPunct/>
        <w:topLinePunct w:val="0"/>
        <w:autoSpaceDE/>
        <w:autoSpaceDN/>
        <w:bidi w:val="0"/>
        <w:adjustRightInd/>
        <w:snapToGrid/>
        <w:spacing w:line="500" w:lineRule="exact"/>
        <w:textAlignment w:val="baseline"/>
        <w:rPr>
          <w:color w:val="000000" w:themeColor="text1"/>
        </w:rPr>
      </w:pPr>
    </w:p>
    <w:p>
      <w:pPr>
        <w:bidi w:val="0"/>
        <w:rPr>
          <w:color w:val="000000" w:themeColor="text1"/>
        </w:rPr>
      </w:pPr>
    </w:p>
    <w:p>
      <w:pPr>
        <w:bidi w:val="0"/>
        <w:rPr>
          <w:color w:val="000000" w:themeColor="text1"/>
        </w:rPr>
      </w:pPr>
    </w:p>
    <w:p>
      <w:pPr>
        <w:bidi w:val="0"/>
        <w:rPr>
          <w:color w:val="000000" w:themeColor="text1"/>
        </w:rPr>
      </w:pPr>
    </w:p>
    <w:p>
      <w:pPr>
        <w:bidi w:val="0"/>
        <w:rPr>
          <w:color w:val="000000" w:themeColor="text1"/>
        </w:rPr>
      </w:pPr>
    </w:p>
    <w:p>
      <w:pPr>
        <w:bidi w:val="0"/>
        <w:rPr>
          <w:color w:val="000000" w:themeColor="text1"/>
        </w:rPr>
      </w:pPr>
    </w:p>
    <w:p>
      <w:pPr>
        <w:bidi w:val="0"/>
        <w:rPr>
          <w:color w:val="000000" w:themeColor="text1"/>
        </w:rPr>
      </w:pPr>
    </w:p>
    <w:p>
      <w:pPr>
        <w:bidi w:val="0"/>
        <w:rPr>
          <w:color w:val="000000" w:themeColor="text1"/>
        </w:rPr>
      </w:pPr>
    </w:p>
    <w:p>
      <w:pPr>
        <w:bidi w:val="0"/>
        <w:rPr>
          <w:color w:val="000000" w:themeColor="text1"/>
        </w:rPr>
      </w:pPr>
    </w:p>
    <w:p>
      <w:pPr>
        <w:tabs>
          <w:tab w:val="left" w:pos="4238"/>
        </w:tabs>
        <w:bidi w:val="0"/>
        <w:jc w:val="left"/>
        <w:rPr>
          <w:rFonts w:hint="eastAsia" w:eastAsia="宋体"/>
          <w:color w:val="000000" w:themeColor="text1"/>
          <w:lang w:eastAsia="zh-CN"/>
        </w:rPr>
      </w:pPr>
      <w:r>
        <w:rPr>
          <w:rFonts w:hint="eastAsia"/>
          <w:color w:val="000000" w:themeColor="text1"/>
          <w:lang w:eastAsia="zh-CN"/>
        </w:rPr>
        <w:tab/>
      </w:r>
    </w:p>
    <w:sectPr>
      <w:headerReference r:id="rId9" w:type="first"/>
      <w:footerReference r:id="rId11" w:type="first"/>
      <w:headerReference r:id="rId8" w:type="default"/>
      <w:footerReference r:id="rId10" w:type="default"/>
      <w:pgSz w:w="11906" w:h="16838"/>
      <w:pgMar w:top="1440" w:right="1134" w:bottom="1440"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000000" w:sz="4" w:space="1"/>
      </w:pBdr>
      <w:jc w:val="center"/>
      <w:rPr>
        <w:rStyle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margin" w:hAnchor="text" w:xAlign="center" w:y="1"/>
      <w:rPr>
        <w:rStyle w:val="48"/>
      </w:rPr>
    </w:pPr>
  </w:p>
  <w:p>
    <w:pPr>
      <w:pStyle w:val="36"/>
      <w:rPr>
        <w:rStyle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top w:val="single" w:color="000000" w:sz="4" w:space="1"/>
      </w:pBdr>
      <w:jc w:val="center"/>
      <w:rPr>
        <w:rStyle w:val="20"/>
      </w:rPr>
    </w:pPr>
    <w:r>
      <w:pict>
        <v:shape id="_x0000_s1033" o:spid="_x0000_s103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w:r>
    <w:r>
      <w:rPr>
        <w:rStyle w:val="20"/>
      </w:rPr>
      <w:pict>
        <v:shape id="_x0000_s1034" o:spid="_x0000_s1034"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weight="1.25pt" joinstyle="miter"/>
          <v:imagedata o:title=""/>
          <o:lock v:ext="edit"/>
          <v:textbox inset="0mm,0mm,0mm,0mm">
            <w:txbxContent>
              <w:p>
                <w:pPr>
                  <w:snapToGrid w:val="0"/>
                  <w:rPr>
                    <w:rStyle w:val="20"/>
                    <w:sz w:val="18"/>
                  </w:rPr>
                </w:pPr>
              </w:p>
              <w:p>
                <w:pPr>
                  <w:snapToGrid w:val="0"/>
                  <w:spacing w:line="460" w:lineRule="exact"/>
                  <w:ind w:firstLine="560" w:firstLineChars="200"/>
                  <w:rPr>
                    <w:rStyle w:val="20"/>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31" o:spid="_x0000_s1031"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p>
    <w:pPr>
      <w:pStyle w:val="36"/>
      <w:rPr>
        <w:rStyle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20"/>
        <w:rFonts w:ascii="楷体" w:eastAsia="楷体"/>
      </w:rPr>
    </w:pPr>
    <w:r>
      <w:rPr>
        <w:rStyle w:val="20"/>
      </w:rPr>
      <w:pict>
        <v:shape id="_x0000_s1027" o:spid="_x0000_s1027" o:spt="136" type="#_x0000_t136" style="position:absolute;left:0pt;height:135.85pt;width:543.5pt;mso-position-horizontal:center;mso-position-horizontal-relative:margin;mso-position-vertical:center;mso-position-vertical-relative:margin;rotation:20643840f;z-index:-251653120;mso-width-relative:page;mso-height-relative:page;" fillcolor="#F8F8F8" filled="t" stroked="f" coordsize="21600,21600" o:allowincell="f">
          <v:path/>
          <v:fill on="t" focussize="0,0"/>
          <v:stroke on="f"/>
          <v:imagedata o:title=""/>
          <o:lock v:ext="edit"/>
          <v:textpath on="t" fitshape="t" fitpath="t" trim="t" xscale="f" string="精诚估价" style="font-family:楷体_GB2312;font-size:8pt;v-text-align:center;"/>
        </v:shape>
      </w:pict>
    </w:r>
    <w:r>
      <w:rPr>
        <w:rStyle w:val="20"/>
        <w:rFonts w:ascii="楷体" w:eastAsia="楷体"/>
      </w:rPr>
      <w:t>贵州精诚房地产估价有限责任公司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20"/>
      </w:rPr>
    </w:pPr>
    <w:r>
      <w:rPr>
        <w:rStyle w:val="20"/>
      </w:rPr>
      <w:pict>
        <v:shape id="_x0000_s1028" o:spid="_x0000_s1028" o:spt="136" type="#_x0000_t136" style="position:absolute;left:0pt;height:135.85pt;width:543.55pt;mso-position-horizontal:center;mso-position-horizontal-relative:margin;mso-position-vertical:center;mso-position-vertical-relative:margin;rotation:20643840f;z-index:-251651072;mso-width-relative:page;mso-height-relative:page;" fillcolor="#F8F8F8" filled="t" stroked="f" coordsize="21600,21600" o:allowincell="f">
          <v:path/>
          <v:fill on="t" focussize="0,0"/>
          <v:stroke on="f"/>
          <v:imagedata o:title=""/>
          <o:lock v:ext="edit"/>
          <v:textpath on="t" fitshape="t" fitpath="t" trim="t" xscale="f" string="精诚估价" style="font-family:楷体_GB2312;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20"/>
        <w:rFonts w:ascii="楷体" w:eastAsia="楷体"/>
      </w:rPr>
    </w:pPr>
    <w:r>
      <w:rPr>
        <w:rStyle w:val="20"/>
      </w:rPr>
      <w:pict>
        <v:shape id="_x0000_s1025" o:spid="_x0000_s1025" o:spt="136" type="#_x0000_t136" style="position:absolute;left:0pt;height:135.85pt;width:543.5pt;mso-position-horizontal:center;mso-position-horizontal-relative:margin;mso-position-vertical:center;mso-position-vertical-relative:margin;rotation:20643840f;z-index:-251654144;mso-width-relative:page;mso-height-relative:page;" fillcolor="#F8F8F8" filled="t" stroked="f" coordsize="21600,21600" o:allowincell="f">
          <v:path/>
          <v:fill on="t" focussize="0,0"/>
          <v:stroke on="f"/>
          <v:imagedata o:title=""/>
          <o:lock v:ext="edit"/>
          <v:textpath on="t" fitshape="t" fitpath="t" trim="t" xscale="f" string="精诚估价" style="font-family:楷体_GB2312;font-size:8pt;v-text-align:center;"/>
        </v:shape>
      </w:pict>
    </w:r>
    <w:r>
      <w:rPr>
        <w:rStyle w:val="20"/>
        <w:rFonts w:ascii="楷体" w:eastAsia="楷体"/>
      </w:rPr>
      <w:t>贵州精诚房地产估价有限责任公司                                               〖房地产估价报告〗</w:t>
    </w:r>
    <w:r>
      <w:rPr>
        <w:rStyle w:val="20"/>
      </w:rPr>
      <w:pict>
        <v:shape id="_x0000_s1026" o:spid="_x0000_s1026" o:spt="136" type="#_x0000_t136" style="position:absolute;left:0pt;height:135.85pt;width:543.55pt;mso-position-horizontal:center;mso-position-horizontal-relative:margin;mso-position-vertical:center;mso-position-vertical-relative:margin;rotation:20643840f;z-index:-251650048;mso-width-relative:page;mso-height-relative:page;" fillcolor="#F8F8F8" filled="t" stroked="f" coordsize="21600,21600" o:allowincell="f">
          <v:path/>
          <v:fill on="t" focussize="0,0"/>
          <v:stroke on="f"/>
          <v:imagedata o:title=""/>
          <o:lock v:ext="edit"/>
          <v:textpath on="t" fitshape="t" fitpath="t" trim="t" xscale="f" string="精诚估价" style="font-family:楷体_GB2312;font-size:8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20"/>
        <w:rFonts w:ascii="楷体" w:eastAsia="楷体"/>
      </w:rPr>
    </w:pPr>
    <w:r>
      <w:rPr>
        <w:rStyle w:val="20"/>
      </w:rPr>
      <w:pict>
        <v:shape id="_x0000_s1032" o:spid="_x0000_s1032" o:spt="136" type="#_x0000_t136" style="position:absolute;left:0pt;height:135.85pt;width:543.5pt;mso-position-horizontal:center;mso-position-horizontal-relative:margin;mso-position-vertical:center;mso-position-vertical-relative:margin;rotation:20643840f;z-index:-251655168;mso-width-relative:page;mso-height-relative:page;" fillcolor="#F8F8F8" filled="t" stroked="f" coordsize="21600,21600" o:allowincell="f">
          <v:path/>
          <v:fill on="t" focussize="0,0"/>
          <v:stroke on="f"/>
          <v:imagedata o:title=""/>
          <o:lock v:ext="edit"/>
          <v:textpath on="t" fitshape="t" fitpath="t" trim="t" xscale="f" string="精诚估价" style="font-family:楷体_GB2312;font-size:8pt;v-text-align:center;"/>
        </v:shape>
      </w:pict>
    </w:r>
    <w:r>
      <w:rPr>
        <w:rStyle w:val="20"/>
        <w:rFonts w:ascii="楷体" w:eastAsia="楷体"/>
      </w:rPr>
      <w:t>贵州精诚房地产估价有限责任公司                                                〖房地产估价报告〗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Style w:val="20"/>
        <w:rFonts w:ascii="楷体" w:eastAsia="楷体"/>
      </w:rPr>
    </w:pPr>
    <w:r>
      <w:rPr>
        <w:rStyle w:val="20"/>
      </w:rPr>
      <w:pict>
        <v:shape id="_x0000_s1029" o:spid="_x0000_s1029" o:spt="136" type="#_x0000_t136" style="position:absolute;left:0pt;height:135.85pt;width:543.5pt;mso-position-horizontal:center;mso-position-horizontal-relative:margin;mso-position-vertical:center;mso-position-vertical-relative:margin;rotation:20643840f;z-index:-251656192;mso-width-relative:page;mso-height-relative:page;" fillcolor="#F8F8F8" filled="t" stroked="f" coordsize="21600,21600" o:allowincell="f">
          <v:path/>
          <v:fill on="t" focussize="0,0"/>
          <v:stroke on="f"/>
          <v:imagedata o:title=""/>
          <o:lock v:ext="edit"/>
          <v:textpath on="t" fitshape="t" fitpath="t" trim="t" xscale="f" string="精诚估价" style="font-family:楷体_GB2312;font-size:8pt;v-text-align:center;"/>
        </v:shape>
      </w:pict>
    </w:r>
    <w:r>
      <w:rPr>
        <w:rStyle w:val="20"/>
        <w:rFonts w:ascii="楷体" w:eastAsia="楷体"/>
      </w:rPr>
      <w:t>贵州精诚房地产估价有限责任公司                                               〖房地产估价报告〗</w:t>
    </w:r>
    <w:r>
      <w:rPr>
        <w:rStyle w:val="20"/>
      </w:rPr>
      <w:pict>
        <v:shape id="_x0000_s1030" o:spid="_x0000_s1030" o:spt="136" type="#_x0000_t136" style="position:absolute;left:0pt;height:135.85pt;width:543.55pt;mso-position-horizontal:center;mso-position-horizontal-relative:margin;mso-position-vertical:center;mso-position-vertical-relative:margin;rotation:20643840f;z-index:-251652096;mso-width-relative:page;mso-height-relative:page;" fillcolor="#F8F8F8" filled="t" stroked="f" coordsize="21600,21600" o:allowincell="f">
          <v:path/>
          <v:fill on="t" focussize="0,0"/>
          <v:stroke on="f"/>
          <v:imagedata o:title=""/>
          <o:lock v:ext="edit"/>
          <v:textpath on="t" fitshape="t" fitpath="t" trim="t" xscale="f" string="精诚估价" style="font-family:楷体_GB2312;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B5F97"/>
    <w:multiLevelType w:val="singleLevel"/>
    <w:tmpl w:val="0A0B5F97"/>
    <w:lvl w:ilvl="0" w:tentative="0">
      <w:start w:val="4"/>
      <w:numFmt w:val="chineseCounting"/>
      <w:suff w:val="nothing"/>
      <w:lvlText w:val="（%1）"/>
      <w:lvlJc w:val="left"/>
      <w:rPr>
        <w:rFonts w:hint="eastAsia"/>
      </w:rPr>
    </w:lvl>
  </w:abstractNum>
  <w:abstractNum w:abstractNumId="1">
    <w:nsid w:val="3F9F5EED"/>
    <w:multiLevelType w:val="singleLevel"/>
    <w:tmpl w:val="3F9F5EED"/>
    <w:lvl w:ilvl="0" w:tentative="0">
      <w:start w:val="1"/>
      <w:numFmt w:val="chineseCounting"/>
      <w:suff w:val="nothing"/>
      <w:lvlText w:val="%1、"/>
      <w:lvlJc w:val="left"/>
      <w:rPr>
        <w:rFonts w:hint="eastAsia"/>
      </w:rPr>
    </w:lvl>
  </w:abstractNum>
  <w:abstractNum w:abstractNumId="2">
    <w:nsid w:val="7E99E10B"/>
    <w:multiLevelType w:val="singleLevel"/>
    <w:tmpl w:val="7E99E10B"/>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50"/>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1"/>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ZjI5MjVjMjUzYjkyOGIzYjE3YzY2N2M3MjliMTcyYzUifQ=="/>
  </w:docVars>
  <w:rsids>
    <w:rsidRoot w:val="00A5307B"/>
    <w:rsid w:val="00004709"/>
    <w:rsid w:val="000070E7"/>
    <w:rsid w:val="00007BB5"/>
    <w:rsid w:val="00011148"/>
    <w:rsid w:val="000208E1"/>
    <w:rsid w:val="000269C1"/>
    <w:rsid w:val="000309F4"/>
    <w:rsid w:val="0003583F"/>
    <w:rsid w:val="00035EAC"/>
    <w:rsid w:val="00036440"/>
    <w:rsid w:val="00055419"/>
    <w:rsid w:val="00060B14"/>
    <w:rsid w:val="000611D8"/>
    <w:rsid w:val="00084AB7"/>
    <w:rsid w:val="00085BFD"/>
    <w:rsid w:val="000A4D79"/>
    <w:rsid w:val="000C3E13"/>
    <w:rsid w:val="000C4D1D"/>
    <w:rsid w:val="000D0A59"/>
    <w:rsid w:val="000D4119"/>
    <w:rsid w:val="000D50C2"/>
    <w:rsid w:val="000E3C99"/>
    <w:rsid w:val="000E6687"/>
    <w:rsid w:val="000F11E9"/>
    <w:rsid w:val="000F3BAF"/>
    <w:rsid w:val="00103A4E"/>
    <w:rsid w:val="00113309"/>
    <w:rsid w:val="00123A98"/>
    <w:rsid w:val="00124B1C"/>
    <w:rsid w:val="001308D4"/>
    <w:rsid w:val="0013150D"/>
    <w:rsid w:val="00131C70"/>
    <w:rsid w:val="001327B9"/>
    <w:rsid w:val="001337BD"/>
    <w:rsid w:val="0014375E"/>
    <w:rsid w:val="00153F45"/>
    <w:rsid w:val="00163569"/>
    <w:rsid w:val="001657AA"/>
    <w:rsid w:val="00166605"/>
    <w:rsid w:val="00174817"/>
    <w:rsid w:val="00177AE7"/>
    <w:rsid w:val="00183EA7"/>
    <w:rsid w:val="001846DE"/>
    <w:rsid w:val="00184BFA"/>
    <w:rsid w:val="001A0DEE"/>
    <w:rsid w:val="001A4E44"/>
    <w:rsid w:val="001A7D84"/>
    <w:rsid w:val="001D1E09"/>
    <w:rsid w:val="001E0EE0"/>
    <w:rsid w:val="001E3A8F"/>
    <w:rsid w:val="00234F2A"/>
    <w:rsid w:val="00243543"/>
    <w:rsid w:val="0024674B"/>
    <w:rsid w:val="00261F2D"/>
    <w:rsid w:val="00265B7B"/>
    <w:rsid w:val="0027427C"/>
    <w:rsid w:val="002947FB"/>
    <w:rsid w:val="002A0EF9"/>
    <w:rsid w:val="002A0F19"/>
    <w:rsid w:val="002A118C"/>
    <w:rsid w:val="002A1E94"/>
    <w:rsid w:val="002A71F9"/>
    <w:rsid w:val="002B22FE"/>
    <w:rsid w:val="002C71E3"/>
    <w:rsid w:val="002D3F55"/>
    <w:rsid w:val="002D65F9"/>
    <w:rsid w:val="002E0020"/>
    <w:rsid w:val="002E0E17"/>
    <w:rsid w:val="002F2E07"/>
    <w:rsid w:val="00304906"/>
    <w:rsid w:val="00305CC6"/>
    <w:rsid w:val="00306D90"/>
    <w:rsid w:val="00311D36"/>
    <w:rsid w:val="0031225E"/>
    <w:rsid w:val="00330905"/>
    <w:rsid w:val="00333E39"/>
    <w:rsid w:val="00337B47"/>
    <w:rsid w:val="003414D8"/>
    <w:rsid w:val="0034592E"/>
    <w:rsid w:val="00354254"/>
    <w:rsid w:val="00360CB8"/>
    <w:rsid w:val="00382E0E"/>
    <w:rsid w:val="0039015E"/>
    <w:rsid w:val="00391C63"/>
    <w:rsid w:val="003A3744"/>
    <w:rsid w:val="003E500D"/>
    <w:rsid w:val="003E726C"/>
    <w:rsid w:val="0040610E"/>
    <w:rsid w:val="00417001"/>
    <w:rsid w:val="00421EC7"/>
    <w:rsid w:val="00435285"/>
    <w:rsid w:val="0044290D"/>
    <w:rsid w:val="00462E21"/>
    <w:rsid w:val="00470353"/>
    <w:rsid w:val="004932AE"/>
    <w:rsid w:val="00493A2F"/>
    <w:rsid w:val="00495D4F"/>
    <w:rsid w:val="004B07FA"/>
    <w:rsid w:val="004C6BB7"/>
    <w:rsid w:val="004D3531"/>
    <w:rsid w:val="004E23BD"/>
    <w:rsid w:val="004E3AAF"/>
    <w:rsid w:val="00517E1C"/>
    <w:rsid w:val="00523C06"/>
    <w:rsid w:val="00523FC7"/>
    <w:rsid w:val="0053422F"/>
    <w:rsid w:val="00544078"/>
    <w:rsid w:val="005874DC"/>
    <w:rsid w:val="005B1FFA"/>
    <w:rsid w:val="005B76C8"/>
    <w:rsid w:val="005C0A13"/>
    <w:rsid w:val="005C1B1C"/>
    <w:rsid w:val="005C2E08"/>
    <w:rsid w:val="005D2645"/>
    <w:rsid w:val="005F42CD"/>
    <w:rsid w:val="005F50BE"/>
    <w:rsid w:val="005F5CBB"/>
    <w:rsid w:val="00620A3E"/>
    <w:rsid w:val="0062533E"/>
    <w:rsid w:val="00626C1E"/>
    <w:rsid w:val="006348E9"/>
    <w:rsid w:val="00635631"/>
    <w:rsid w:val="00650BFC"/>
    <w:rsid w:val="00653FAF"/>
    <w:rsid w:val="0067087C"/>
    <w:rsid w:val="00672C00"/>
    <w:rsid w:val="00673E81"/>
    <w:rsid w:val="00676A9A"/>
    <w:rsid w:val="006868A0"/>
    <w:rsid w:val="006946A5"/>
    <w:rsid w:val="006A0F2F"/>
    <w:rsid w:val="006A1E50"/>
    <w:rsid w:val="006B02B0"/>
    <w:rsid w:val="006B73BE"/>
    <w:rsid w:val="006C363D"/>
    <w:rsid w:val="006C5DD0"/>
    <w:rsid w:val="006C782E"/>
    <w:rsid w:val="00705AC3"/>
    <w:rsid w:val="007102F4"/>
    <w:rsid w:val="007315CA"/>
    <w:rsid w:val="0073585D"/>
    <w:rsid w:val="0074367A"/>
    <w:rsid w:val="007465D0"/>
    <w:rsid w:val="007502F5"/>
    <w:rsid w:val="00752D65"/>
    <w:rsid w:val="00754322"/>
    <w:rsid w:val="00755ED2"/>
    <w:rsid w:val="00757072"/>
    <w:rsid w:val="007578E9"/>
    <w:rsid w:val="00760763"/>
    <w:rsid w:val="00767959"/>
    <w:rsid w:val="007749E3"/>
    <w:rsid w:val="00782238"/>
    <w:rsid w:val="00792957"/>
    <w:rsid w:val="007B044E"/>
    <w:rsid w:val="007B7B65"/>
    <w:rsid w:val="007C682C"/>
    <w:rsid w:val="007E3FE4"/>
    <w:rsid w:val="008238A3"/>
    <w:rsid w:val="0083116B"/>
    <w:rsid w:val="0084144C"/>
    <w:rsid w:val="00841695"/>
    <w:rsid w:val="00841BE8"/>
    <w:rsid w:val="008753B3"/>
    <w:rsid w:val="008932AD"/>
    <w:rsid w:val="008A2537"/>
    <w:rsid w:val="008A7E64"/>
    <w:rsid w:val="008D1304"/>
    <w:rsid w:val="008E18A1"/>
    <w:rsid w:val="008F0F72"/>
    <w:rsid w:val="008F1EA0"/>
    <w:rsid w:val="00903925"/>
    <w:rsid w:val="009076CE"/>
    <w:rsid w:val="00930EA0"/>
    <w:rsid w:val="00933BEB"/>
    <w:rsid w:val="00934878"/>
    <w:rsid w:val="00957BF2"/>
    <w:rsid w:val="009612B1"/>
    <w:rsid w:val="009717E7"/>
    <w:rsid w:val="00976C97"/>
    <w:rsid w:val="00980241"/>
    <w:rsid w:val="0099691A"/>
    <w:rsid w:val="00997130"/>
    <w:rsid w:val="009D053F"/>
    <w:rsid w:val="009D4F97"/>
    <w:rsid w:val="009E32B1"/>
    <w:rsid w:val="009E4F53"/>
    <w:rsid w:val="009F4E4F"/>
    <w:rsid w:val="009F704A"/>
    <w:rsid w:val="00A03E7D"/>
    <w:rsid w:val="00A042D2"/>
    <w:rsid w:val="00A12FE3"/>
    <w:rsid w:val="00A14602"/>
    <w:rsid w:val="00A14F5D"/>
    <w:rsid w:val="00A16B67"/>
    <w:rsid w:val="00A42404"/>
    <w:rsid w:val="00A44AF3"/>
    <w:rsid w:val="00A5307B"/>
    <w:rsid w:val="00A54218"/>
    <w:rsid w:val="00A565D8"/>
    <w:rsid w:val="00A61A40"/>
    <w:rsid w:val="00A62B11"/>
    <w:rsid w:val="00A845B9"/>
    <w:rsid w:val="00AA02CC"/>
    <w:rsid w:val="00AA6CD1"/>
    <w:rsid w:val="00AA7138"/>
    <w:rsid w:val="00AB70E6"/>
    <w:rsid w:val="00AB737C"/>
    <w:rsid w:val="00AC5C77"/>
    <w:rsid w:val="00AD34CC"/>
    <w:rsid w:val="00AE317D"/>
    <w:rsid w:val="00AF0C98"/>
    <w:rsid w:val="00B14868"/>
    <w:rsid w:val="00B27AE1"/>
    <w:rsid w:val="00B27EA6"/>
    <w:rsid w:val="00B63CAE"/>
    <w:rsid w:val="00B72B0B"/>
    <w:rsid w:val="00BA0AD9"/>
    <w:rsid w:val="00BA38FC"/>
    <w:rsid w:val="00BB6133"/>
    <w:rsid w:val="00BC333B"/>
    <w:rsid w:val="00BD34E5"/>
    <w:rsid w:val="00BE5970"/>
    <w:rsid w:val="00BE759B"/>
    <w:rsid w:val="00BF020A"/>
    <w:rsid w:val="00BF7019"/>
    <w:rsid w:val="00BF77F4"/>
    <w:rsid w:val="00C025BE"/>
    <w:rsid w:val="00C05D0A"/>
    <w:rsid w:val="00C11541"/>
    <w:rsid w:val="00C21583"/>
    <w:rsid w:val="00C22D9F"/>
    <w:rsid w:val="00C45495"/>
    <w:rsid w:val="00C56CB6"/>
    <w:rsid w:val="00C57BD4"/>
    <w:rsid w:val="00C77B5B"/>
    <w:rsid w:val="00C8414B"/>
    <w:rsid w:val="00C919BA"/>
    <w:rsid w:val="00C933D5"/>
    <w:rsid w:val="00C93FED"/>
    <w:rsid w:val="00CB08CB"/>
    <w:rsid w:val="00CB24C4"/>
    <w:rsid w:val="00CB4089"/>
    <w:rsid w:val="00CC2FC2"/>
    <w:rsid w:val="00CC4E5B"/>
    <w:rsid w:val="00CD6E7B"/>
    <w:rsid w:val="00CE202B"/>
    <w:rsid w:val="00D05A1A"/>
    <w:rsid w:val="00D11344"/>
    <w:rsid w:val="00D11E69"/>
    <w:rsid w:val="00D12012"/>
    <w:rsid w:val="00D12A2D"/>
    <w:rsid w:val="00D21B0B"/>
    <w:rsid w:val="00D23E38"/>
    <w:rsid w:val="00D36E67"/>
    <w:rsid w:val="00D377C3"/>
    <w:rsid w:val="00D4272E"/>
    <w:rsid w:val="00D504FF"/>
    <w:rsid w:val="00D519A0"/>
    <w:rsid w:val="00D53CC9"/>
    <w:rsid w:val="00D53ED5"/>
    <w:rsid w:val="00D7047A"/>
    <w:rsid w:val="00DA44A3"/>
    <w:rsid w:val="00DA5455"/>
    <w:rsid w:val="00DB1B34"/>
    <w:rsid w:val="00DC5326"/>
    <w:rsid w:val="00DD5AA7"/>
    <w:rsid w:val="00DD7456"/>
    <w:rsid w:val="00DE0302"/>
    <w:rsid w:val="00DE2F3D"/>
    <w:rsid w:val="00DE3994"/>
    <w:rsid w:val="00DE4993"/>
    <w:rsid w:val="00DE4CCE"/>
    <w:rsid w:val="00DF5280"/>
    <w:rsid w:val="00DF6C1F"/>
    <w:rsid w:val="00DF70D3"/>
    <w:rsid w:val="00E026A8"/>
    <w:rsid w:val="00E046FB"/>
    <w:rsid w:val="00E24779"/>
    <w:rsid w:val="00E44301"/>
    <w:rsid w:val="00E46B9A"/>
    <w:rsid w:val="00E67CB7"/>
    <w:rsid w:val="00E77213"/>
    <w:rsid w:val="00E94489"/>
    <w:rsid w:val="00E96D7B"/>
    <w:rsid w:val="00EB23EB"/>
    <w:rsid w:val="00EE0E54"/>
    <w:rsid w:val="00EE4077"/>
    <w:rsid w:val="00EE5CE1"/>
    <w:rsid w:val="00F004F7"/>
    <w:rsid w:val="00F02BBD"/>
    <w:rsid w:val="00F03938"/>
    <w:rsid w:val="00F046CE"/>
    <w:rsid w:val="00F051A0"/>
    <w:rsid w:val="00F0618B"/>
    <w:rsid w:val="00F1127F"/>
    <w:rsid w:val="00F2363F"/>
    <w:rsid w:val="00F27D9E"/>
    <w:rsid w:val="00F31560"/>
    <w:rsid w:val="00F318F8"/>
    <w:rsid w:val="00F347DD"/>
    <w:rsid w:val="00F47A49"/>
    <w:rsid w:val="00F54C6A"/>
    <w:rsid w:val="00F72E01"/>
    <w:rsid w:val="00F73F62"/>
    <w:rsid w:val="00F75D35"/>
    <w:rsid w:val="00F76C00"/>
    <w:rsid w:val="00F82B8F"/>
    <w:rsid w:val="00F958B1"/>
    <w:rsid w:val="00FA19A5"/>
    <w:rsid w:val="00FA4D1A"/>
    <w:rsid w:val="00FA5EBC"/>
    <w:rsid w:val="00FA77CA"/>
    <w:rsid w:val="00FC2E76"/>
    <w:rsid w:val="00FD213E"/>
    <w:rsid w:val="00FE427C"/>
    <w:rsid w:val="01113D6B"/>
    <w:rsid w:val="023976A3"/>
    <w:rsid w:val="02A46519"/>
    <w:rsid w:val="031E62CB"/>
    <w:rsid w:val="03B10EED"/>
    <w:rsid w:val="04266E72"/>
    <w:rsid w:val="06466156"/>
    <w:rsid w:val="06B0139C"/>
    <w:rsid w:val="06DC1AE4"/>
    <w:rsid w:val="079821F0"/>
    <w:rsid w:val="07A55CEF"/>
    <w:rsid w:val="081A6B05"/>
    <w:rsid w:val="091D0DD3"/>
    <w:rsid w:val="0A5635EE"/>
    <w:rsid w:val="0A6E00F9"/>
    <w:rsid w:val="0A817EA7"/>
    <w:rsid w:val="0AD81389"/>
    <w:rsid w:val="0AF8052F"/>
    <w:rsid w:val="0B1A1AD8"/>
    <w:rsid w:val="0B6C0947"/>
    <w:rsid w:val="0B720CBA"/>
    <w:rsid w:val="0ECF5E35"/>
    <w:rsid w:val="0F522371"/>
    <w:rsid w:val="10802373"/>
    <w:rsid w:val="126C4404"/>
    <w:rsid w:val="12CD410A"/>
    <w:rsid w:val="12D469A6"/>
    <w:rsid w:val="12ED0C16"/>
    <w:rsid w:val="12EF3AF6"/>
    <w:rsid w:val="135269BC"/>
    <w:rsid w:val="13785584"/>
    <w:rsid w:val="13B256CA"/>
    <w:rsid w:val="13B314B1"/>
    <w:rsid w:val="156D2656"/>
    <w:rsid w:val="15D454C6"/>
    <w:rsid w:val="15FD2754"/>
    <w:rsid w:val="175E7186"/>
    <w:rsid w:val="17C3319B"/>
    <w:rsid w:val="184E6D96"/>
    <w:rsid w:val="186319F2"/>
    <w:rsid w:val="187E02D9"/>
    <w:rsid w:val="18B21538"/>
    <w:rsid w:val="18C1177B"/>
    <w:rsid w:val="18E81E83"/>
    <w:rsid w:val="190F5F83"/>
    <w:rsid w:val="1A223674"/>
    <w:rsid w:val="1A2759B3"/>
    <w:rsid w:val="1A926E2C"/>
    <w:rsid w:val="1A967104"/>
    <w:rsid w:val="1B4345DD"/>
    <w:rsid w:val="1C8B701C"/>
    <w:rsid w:val="1F5B7301"/>
    <w:rsid w:val="1F763795"/>
    <w:rsid w:val="21BA300B"/>
    <w:rsid w:val="221D165E"/>
    <w:rsid w:val="224717E1"/>
    <w:rsid w:val="24535CE0"/>
    <w:rsid w:val="246758CC"/>
    <w:rsid w:val="25AC7BD0"/>
    <w:rsid w:val="26243E47"/>
    <w:rsid w:val="265E07A1"/>
    <w:rsid w:val="26CE3D2D"/>
    <w:rsid w:val="26DF1FFD"/>
    <w:rsid w:val="26E40AF1"/>
    <w:rsid w:val="272139BD"/>
    <w:rsid w:val="27C4684A"/>
    <w:rsid w:val="28CE0DFC"/>
    <w:rsid w:val="29C966E1"/>
    <w:rsid w:val="29F91D71"/>
    <w:rsid w:val="2ACA48BB"/>
    <w:rsid w:val="2C13477F"/>
    <w:rsid w:val="2C3027C9"/>
    <w:rsid w:val="2C9F3689"/>
    <w:rsid w:val="2D134B7C"/>
    <w:rsid w:val="2E5F6C74"/>
    <w:rsid w:val="2EB25C7F"/>
    <w:rsid w:val="2F115032"/>
    <w:rsid w:val="2FBC2EF7"/>
    <w:rsid w:val="2FCC2123"/>
    <w:rsid w:val="2FF24A22"/>
    <w:rsid w:val="2FF84F4B"/>
    <w:rsid w:val="2FF93511"/>
    <w:rsid w:val="303E0F0F"/>
    <w:rsid w:val="31D86821"/>
    <w:rsid w:val="3279060C"/>
    <w:rsid w:val="339E455B"/>
    <w:rsid w:val="33F53EF1"/>
    <w:rsid w:val="344D34A3"/>
    <w:rsid w:val="34A96464"/>
    <w:rsid w:val="35B56166"/>
    <w:rsid w:val="35BC49C9"/>
    <w:rsid w:val="35F03CC4"/>
    <w:rsid w:val="366E210E"/>
    <w:rsid w:val="36C418A2"/>
    <w:rsid w:val="3767268C"/>
    <w:rsid w:val="3911775D"/>
    <w:rsid w:val="39537D75"/>
    <w:rsid w:val="396322B1"/>
    <w:rsid w:val="39A2619A"/>
    <w:rsid w:val="39CE7FD9"/>
    <w:rsid w:val="39CF23D9"/>
    <w:rsid w:val="3A283942"/>
    <w:rsid w:val="3A743FEF"/>
    <w:rsid w:val="3A94588E"/>
    <w:rsid w:val="3AC47FCC"/>
    <w:rsid w:val="3BA72FCF"/>
    <w:rsid w:val="3D787406"/>
    <w:rsid w:val="3EAF3CA0"/>
    <w:rsid w:val="3ECE784A"/>
    <w:rsid w:val="3EEA2A4D"/>
    <w:rsid w:val="3EEB27FE"/>
    <w:rsid w:val="3F0110F4"/>
    <w:rsid w:val="4050020C"/>
    <w:rsid w:val="407F7D1D"/>
    <w:rsid w:val="416243F4"/>
    <w:rsid w:val="41FA1C76"/>
    <w:rsid w:val="42B6163B"/>
    <w:rsid w:val="42FF4BE0"/>
    <w:rsid w:val="4370109F"/>
    <w:rsid w:val="44303963"/>
    <w:rsid w:val="45240149"/>
    <w:rsid w:val="462377A4"/>
    <w:rsid w:val="463D6035"/>
    <w:rsid w:val="46AC4C79"/>
    <w:rsid w:val="49050B60"/>
    <w:rsid w:val="4912410D"/>
    <w:rsid w:val="49A12AC4"/>
    <w:rsid w:val="4A3814BE"/>
    <w:rsid w:val="4A5144F5"/>
    <w:rsid w:val="4AA67BE3"/>
    <w:rsid w:val="4BD50E28"/>
    <w:rsid w:val="4C056B41"/>
    <w:rsid w:val="4C186974"/>
    <w:rsid w:val="4CDF52B6"/>
    <w:rsid w:val="4CE33A94"/>
    <w:rsid w:val="4DB0705A"/>
    <w:rsid w:val="4DD20112"/>
    <w:rsid w:val="4DEE4DA4"/>
    <w:rsid w:val="4E3B5B69"/>
    <w:rsid w:val="4ED40725"/>
    <w:rsid w:val="500D7097"/>
    <w:rsid w:val="501676EF"/>
    <w:rsid w:val="50830AE8"/>
    <w:rsid w:val="51DA1503"/>
    <w:rsid w:val="51E1640E"/>
    <w:rsid w:val="524734AE"/>
    <w:rsid w:val="52495D62"/>
    <w:rsid w:val="52BF1101"/>
    <w:rsid w:val="53122747"/>
    <w:rsid w:val="544F512A"/>
    <w:rsid w:val="5452339C"/>
    <w:rsid w:val="54864DB0"/>
    <w:rsid w:val="54D73CBE"/>
    <w:rsid w:val="54E22E8D"/>
    <w:rsid w:val="554C0053"/>
    <w:rsid w:val="55A237C4"/>
    <w:rsid w:val="55A41820"/>
    <w:rsid w:val="55D1679A"/>
    <w:rsid w:val="55E75B24"/>
    <w:rsid w:val="56004989"/>
    <w:rsid w:val="564246A7"/>
    <w:rsid w:val="56697766"/>
    <w:rsid w:val="56A47A0A"/>
    <w:rsid w:val="56B73A2E"/>
    <w:rsid w:val="571203AF"/>
    <w:rsid w:val="5748116E"/>
    <w:rsid w:val="588701F8"/>
    <w:rsid w:val="590F55CF"/>
    <w:rsid w:val="59186AF6"/>
    <w:rsid w:val="599438FD"/>
    <w:rsid w:val="5AC16DDD"/>
    <w:rsid w:val="5AF3704E"/>
    <w:rsid w:val="5B363FC9"/>
    <w:rsid w:val="5BE43FDA"/>
    <w:rsid w:val="5C723A3B"/>
    <w:rsid w:val="5C8E6EF7"/>
    <w:rsid w:val="5D737129"/>
    <w:rsid w:val="5DA37DD3"/>
    <w:rsid w:val="5DBB3062"/>
    <w:rsid w:val="5F0F528B"/>
    <w:rsid w:val="5F1B40AA"/>
    <w:rsid w:val="5F7F6253"/>
    <w:rsid w:val="60ED3C4C"/>
    <w:rsid w:val="61497B2C"/>
    <w:rsid w:val="61AD678A"/>
    <w:rsid w:val="62AD2670"/>
    <w:rsid w:val="6327556C"/>
    <w:rsid w:val="632F73ED"/>
    <w:rsid w:val="63B422FC"/>
    <w:rsid w:val="63D41E78"/>
    <w:rsid w:val="63D56897"/>
    <w:rsid w:val="63E47698"/>
    <w:rsid w:val="6429154F"/>
    <w:rsid w:val="64674AEF"/>
    <w:rsid w:val="646D58E0"/>
    <w:rsid w:val="64A85F96"/>
    <w:rsid w:val="659C0DEC"/>
    <w:rsid w:val="65F61537"/>
    <w:rsid w:val="6624393D"/>
    <w:rsid w:val="668B34AC"/>
    <w:rsid w:val="6A8F6ECC"/>
    <w:rsid w:val="6C2C60C4"/>
    <w:rsid w:val="6C714731"/>
    <w:rsid w:val="6F865AA7"/>
    <w:rsid w:val="6FB95E7D"/>
    <w:rsid w:val="6FC8143E"/>
    <w:rsid w:val="71923D36"/>
    <w:rsid w:val="71B42DA0"/>
    <w:rsid w:val="71D66E82"/>
    <w:rsid w:val="722723F9"/>
    <w:rsid w:val="72B34E05"/>
    <w:rsid w:val="72F21DD2"/>
    <w:rsid w:val="7321203A"/>
    <w:rsid w:val="732F2FE7"/>
    <w:rsid w:val="74AE1BAF"/>
    <w:rsid w:val="74C8008A"/>
    <w:rsid w:val="74D16D97"/>
    <w:rsid w:val="75162ADD"/>
    <w:rsid w:val="75645E25"/>
    <w:rsid w:val="75DE7B45"/>
    <w:rsid w:val="75F34069"/>
    <w:rsid w:val="76161CEA"/>
    <w:rsid w:val="76B928E1"/>
    <w:rsid w:val="7745314F"/>
    <w:rsid w:val="78335066"/>
    <w:rsid w:val="79B75CB2"/>
    <w:rsid w:val="79EC69F4"/>
    <w:rsid w:val="7ADC1CB6"/>
    <w:rsid w:val="7B3665D4"/>
    <w:rsid w:val="7B665CD9"/>
    <w:rsid w:val="7C5F1B5A"/>
    <w:rsid w:val="7C9D2BE0"/>
    <w:rsid w:val="7D100919"/>
    <w:rsid w:val="7F54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8"/>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link w:val="27"/>
    <w:qFormat/>
    <w:uiPriority w:val="0"/>
    <w:pPr>
      <w:spacing w:after="120"/>
      <w:ind w:firstLine="420" w:firstLineChars="100"/>
    </w:pPr>
    <w:rPr>
      <w:rFonts w:ascii="Calibri" w:hAnsi="Calibri" w:eastAsia="宋体"/>
      <w:szCs w:val="24"/>
    </w:rPr>
  </w:style>
  <w:style w:type="paragraph" w:customStyle="1" w:styleId="3">
    <w:name w:val="BodyText"/>
    <w:basedOn w:val="1"/>
    <w:link w:val="26"/>
    <w:qFormat/>
    <w:uiPriority w:val="0"/>
    <w:rPr>
      <w:rFonts w:ascii="仿宋_GB2312" w:eastAsia="仿宋_GB2312"/>
      <w:szCs w:val="20"/>
    </w:rPr>
  </w:style>
  <w:style w:type="paragraph" w:styleId="4">
    <w:name w:val="annotation text"/>
    <w:basedOn w:val="1"/>
    <w:semiHidden/>
    <w:unhideWhenUsed/>
    <w:qFormat/>
    <w:uiPriority w:val="99"/>
    <w:pPr>
      <w:jc w:val="left"/>
    </w:pPr>
  </w:style>
  <w:style w:type="paragraph" w:styleId="5">
    <w:name w:val="Salutation"/>
    <w:basedOn w:val="1"/>
    <w:next w:val="1"/>
    <w:qFormat/>
    <w:uiPriority w:val="0"/>
  </w:style>
  <w:style w:type="paragraph" w:styleId="6">
    <w:name w:val="Closing"/>
    <w:basedOn w:val="1"/>
    <w:qFormat/>
    <w:uiPriority w:val="0"/>
    <w:pPr>
      <w:ind w:left="2100" w:leftChars="2100"/>
    </w:pPr>
  </w:style>
  <w:style w:type="paragraph" w:styleId="7">
    <w:name w:val="Body Text"/>
    <w:basedOn w:val="1"/>
    <w:link w:val="56"/>
    <w:semiHidden/>
    <w:unhideWhenUsed/>
    <w:qFormat/>
    <w:uiPriority w:val="99"/>
    <w:pPr>
      <w:spacing w:after="120"/>
    </w:pPr>
  </w:style>
  <w:style w:type="paragraph" w:styleId="8">
    <w:name w:val="Date"/>
    <w:basedOn w:val="1"/>
    <w:next w:val="1"/>
    <w:qFormat/>
    <w:uiPriority w:val="0"/>
    <w:pPr>
      <w:ind w:left="2500" w:leftChars="2500"/>
    </w:pPr>
  </w:style>
  <w:style w:type="paragraph" w:styleId="9">
    <w:name w:val="Balloon Text"/>
    <w:basedOn w:val="1"/>
    <w:link w:val="58"/>
    <w:semiHidden/>
    <w:unhideWhenUsed/>
    <w:qFormat/>
    <w:uiPriority w:val="99"/>
    <w:rPr>
      <w:sz w:val="18"/>
      <w:szCs w:val="18"/>
    </w:rPr>
  </w:style>
  <w:style w:type="paragraph" w:styleId="10">
    <w:name w:val="footer"/>
    <w:basedOn w:val="1"/>
    <w:link w:val="55"/>
    <w:unhideWhenUsed/>
    <w:qFormat/>
    <w:uiPriority w:val="99"/>
    <w:pPr>
      <w:tabs>
        <w:tab w:val="center" w:pos="4153"/>
        <w:tab w:val="right" w:pos="8306"/>
      </w:tabs>
      <w:snapToGrid w:val="0"/>
      <w:jc w:val="left"/>
    </w:pPr>
    <w:rPr>
      <w:sz w:val="18"/>
      <w:szCs w:val="18"/>
    </w:rPr>
  </w:style>
  <w:style w:type="paragraph" w:styleId="11">
    <w:name w:val="toc 1"/>
    <w:basedOn w:val="1"/>
    <w:next w:val="1"/>
    <w:semiHidden/>
    <w:unhideWhenUsed/>
    <w:qFormat/>
    <w:uiPriority w:val="39"/>
  </w:style>
  <w:style w:type="paragraph" w:styleId="12">
    <w:name w:val="Subtitle"/>
    <w:basedOn w:val="1"/>
    <w:next w:val="1"/>
    <w:link w:val="40"/>
    <w:qFormat/>
    <w:uiPriority w:val="0"/>
    <w:pPr>
      <w:spacing w:before="240" w:after="60" w:line="312" w:lineRule="auto"/>
      <w:jc w:val="center"/>
    </w:pPr>
    <w:rPr>
      <w:rFonts w:ascii="Cambria" w:hAnsi="Cambria"/>
      <w:b/>
      <w:bCs/>
      <w:kern w:val="28"/>
      <w:sz w:val="32"/>
      <w:szCs w:val="32"/>
    </w:rPr>
  </w:style>
  <w:style w:type="paragraph" w:styleId="13">
    <w:name w:val="toc 2"/>
    <w:basedOn w:val="1"/>
    <w:next w:val="1"/>
    <w:semiHidden/>
    <w:unhideWhenUsed/>
    <w:qFormat/>
    <w:uiPriority w:val="39"/>
    <w:pPr>
      <w:ind w:left="420" w:leftChars="200"/>
    </w:pPr>
  </w:style>
  <w:style w:type="paragraph" w:styleId="14">
    <w:name w:val="Title"/>
    <w:basedOn w:val="1"/>
    <w:next w:val="1"/>
    <w:link w:val="44"/>
    <w:qFormat/>
    <w:uiPriority w:val="0"/>
    <w:pPr>
      <w:spacing w:before="240" w:after="60"/>
      <w:jc w:val="center"/>
    </w:pPr>
    <w:rPr>
      <w:rFonts w:ascii="Cambria" w:hAnsi="Cambria"/>
      <w:b/>
      <w:bCs/>
      <w:sz w:val="32"/>
      <w:szCs w:val="32"/>
    </w:rPr>
  </w:style>
  <w:style w:type="paragraph" w:styleId="15">
    <w:name w:val="Body Text First Indent"/>
    <w:basedOn w:val="7"/>
    <w:link w:val="57"/>
    <w:qFormat/>
    <w:uiPriority w:val="99"/>
    <w:pPr>
      <w:widowControl w:val="0"/>
      <w:spacing w:after="0"/>
      <w:ind w:firstLine="420" w:firstLineChars="100"/>
      <w:jc w:val="center"/>
      <w:textAlignment w:val="auto"/>
    </w:pPr>
    <w:rPr>
      <w:rFonts w:asciiTheme="minorHAnsi" w:hAnsiTheme="minorHAnsi" w:eastAsiaTheme="minorEastAsia" w:cstheme="minorBidi"/>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20"/>
    <w:qFormat/>
    <w:uiPriority w:val="0"/>
    <w:rPr>
      <w:color w:val="0000FF"/>
      <w:u w:val="single"/>
    </w:rPr>
  </w:style>
  <w:style w:type="character" w:customStyle="1" w:styleId="20">
    <w:name w:val="NormalCharacter"/>
    <w:qFormat/>
    <w:uiPriority w:val="0"/>
  </w:style>
  <w:style w:type="character" w:styleId="21">
    <w:name w:val="annotation reference"/>
    <w:basedOn w:val="18"/>
    <w:semiHidden/>
    <w:unhideWhenUsed/>
    <w:qFormat/>
    <w:uiPriority w:val="99"/>
    <w:rPr>
      <w:sz w:val="21"/>
      <w:szCs w:val="21"/>
    </w:rPr>
  </w:style>
  <w:style w:type="paragraph" w:customStyle="1" w:styleId="22">
    <w:name w:val="Heading1"/>
    <w:basedOn w:val="1"/>
    <w:next w:val="1"/>
    <w:link w:val="28"/>
    <w:qFormat/>
    <w:uiPriority w:val="0"/>
    <w:pPr>
      <w:keepNext/>
      <w:keepLines/>
      <w:spacing w:before="340" w:after="330" w:line="576" w:lineRule="auto"/>
    </w:pPr>
    <w:rPr>
      <w:b/>
      <w:bCs/>
      <w:kern w:val="44"/>
      <w:sz w:val="44"/>
      <w:szCs w:val="44"/>
    </w:rPr>
  </w:style>
  <w:style w:type="paragraph" w:customStyle="1" w:styleId="23">
    <w:name w:val="Heading2"/>
    <w:basedOn w:val="1"/>
    <w:next w:val="1"/>
    <w:qFormat/>
    <w:uiPriority w:val="0"/>
    <w:pPr>
      <w:keepNext/>
      <w:keepLines/>
      <w:spacing w:before="260" w:after="260" w:line="415" w:lineRule="auto"/>
    </w:pPr>
    <w:rPr>
      <w:rFonts w:ascii="Arial" w:hAnsi="Arial" w:eastAsia="黑体"/>
      <w:b/>
      <w:bCs/>
      <w:sz w:val="32"/>
      <w:szCs w:val="32"/>
    </w:rPr>
  </w:style>
  <w:style w:type="paragraph" w:customStyle="1" w:styleId="24">
    <w:name w:val="Heading3"/>
    <w:basedOn w:val="1"/>
    <w:next w:val="1"/>
    <w:qFormat/>
    <w:uiPriority w:val="0"/>
    <w:pPr>
      <w:keepNext/>
      <w:keepLines/>
      <w:spacing w:before="260" w:after="260" w:line="416" w:lineRule="auto"/>
    </w:pPr>
    <w:rPr>
      <w:b/>
      <w:bCs/>
      <w:sz w:val="32"/>
      <w:szCs w:val="32"/>
    </w:rPr>
  </w:style>
  <w:style w:type="table" w:customStyle="1" w:styleId="25">
    <w:name w:val="TableNormal"/>
    <w:qFormat/>
    <w:uiPriority w:val="0"/>
    <w:tblPr>
      <w:tblCellMar>
        <w:top w:w="0" w:type="dxa"/>
        <w:left w:w="0" w:type="dxa"/>
        <w:bottom w:w="0" w:type="dxa"/>
        <w:right w:w="0" w:type="dxa"/>
      </w:tblCellMar>
    </w:tblPr>
  </w:style>
  <w:style w:type="character" w:customStyle="1" w:styleId="26">
    <w:name w:val="UserStyle_0"/>
    <w:basedOn w:val="20"/>
    <w:link w:val="3"/>
    <w:qFormat/>
    <w:uiPriority w:val="0"/>
    <w:rPr>
      <w:rFonts w:ascii="仿宋_GB2312"/>
      <w:kern w:val="2"/>
      <w:sz w:val="28"/>
    </w:rPr>
  </w:style>
  <w:style w:type="character" w:customStyle="1" w:styleId="27">
    <w:name w:val="UserStyle_1"/>
    <w:link w:val="2"/>
    <w:qFormat/>
    <w:uiPriority w:val="0"/>
    <w:rPr>
      <w:rFonts w:ascii="Calibri" w:hAnsi="Calibri" w:eastAsia="宋体"/>
      <w:kern w:val="2"/>
      <w:sz w:val="28"/>
      <w:szCs w:val="24"/>
    </w:rPr>
  </w:style>
  <w:style w:type="character" w:customStyle="1" w:styleId="28">
    <w:name w:val="UserStyle_2"/>
    <w:basedOn w:val="20"/>
    <w:link w:val="22"/>
    <w:qFormat/>
    <w:uiPriority w:val="0"/>
    <w:rPr>
      <w:rFonts w:cs="Times New Roman"/>
      <w:b/>
      <w:bCs/>
      <w:kern w:val="44"/>
      <w:sz w:val="44"/>
      <w:szCs w:val="44"/>
    </w:rPr>
  </w:style>
  <w:style w:type="paragraph" w:customStyle="1" w:styleId="29">
    <w:name w:val="AnnotationText"/>
    <w:basedOn w:val="1"/>
    <w:link w:val="30"/>
    <w:qFormat/>
    <w:uiPriority w:val="0"/>
    <w:pPr>
      <w:jc w:val="left"/>
    </w:pPr>
  </w:style>
  <w:style w:type="character" w:customStyle="1" w:styleId="30">
    <w:name w:val="UserStyle_3"/>
    <w:basedOn w:val="20"/>
    <w:link w:val="29"/>
    <w:semiHidden/>
    <w:qFormat/>
    <w:uiPriority w:val="0"/>
    <w:rPr>
      <w:kern w:val="2"/>
      <w:sz w:val="28"/>
      <w:szCs w:val="24"/>
    </w:rPr>
  </w:style>
  <w:style w:type="paragraph" w:customStyle="1" w:styleId="31">
    <w:name w:val="BodyTextIndent"/>
    <w:basedOn w:val="1"/>
    <w:qFormat/>
    <w:uiPriority w:val="0"/>
    <w:pPr>
      <w:ind w:firstLine="128" w:firstLineChars="128"/>
    </w:pPr>
    <w:rPr>
      <w:rFonts w:eastAsia="楷体_GB2312"/>
    </w:rPr>
  </w:style>
  <w:style w:type="paragraph" w:customStyle="1" w:styleId="32">
    <w:name w:val="PlainText"/>
    <w:basedOn w:val="1"/>
    <w:qFormat/>
    <w:uiPriority w:val="0"/>
    <w:rPr>
      <w:rFonts w:ascii="宋体"/>
      <w:b/>
      <w:color w:val="000000"/>
      <w:szCs w:val="20"/>
      <w:lang w:val="en-GB" w:eastAsia="en-GB"/>
    </w:rPr>
  </w:style>
  <w:style w:type="paragraph" w:customStyle="1" w:styleId="33">
    <w:name w:val="BodyTextIndent2"/>
    <w:basedOn w:val="1"/>
    <w:link w:val="34"/>
    <w:qFormat/>
    <w:uiPriority w:val="0"/>
    <w:pPr>
      <w:spacing w:line="640" w:lineRule="exact"/>
      <w:ind w:firstLine="200" w:firstLineChars="200"/>
    </w:pPr>
    <w:rPr>
      <w:rFonts w:eastAsia="楷体_GB2312"/>
    </w:rPr>
  </w:style>
  <w:style w:type="character" w:customStyle="1" w:styleId="34">
    <w:name w:val="UserStyle_4"/>
    <w:basedOn w:val="20"/>
    <w:link w:val="33"/>
    <w:qFormat/>
    <w:uiPriority w:val="0"/>
    <w:rPr>
      <w:rFonts w:eastAsia="楷体_GB2312"/>
      <w:kern w:val="2"/>
      <w:sz w:val="28"/>
      <w:szCs w:val="24"/>
    </w:rPr>
  </w:style>
  <w:style w:type="paragraph" w:customStyle="1" w:styleId="35">
    <w:name w:val="Acetate"/>
    <w:basedOn w:val="1"/>
    <w:qFormat/>
    <w:uiPriority w:val="0"/>
    <w:rPr>
      <w:sz w:val="18"/>
      <w:szCs w:val="18"/>
    </w:rPr>
  </w:style>
  <w:style w:type="paragraph" w:customStyle="1" w:styleId="36">
    <w:name w:val="Footer"/>
    <w:basedOn w:val="1"/>
    <w:qFormat/>
    <w:uiPriority w:val="0"/>
    <w:pPr>
      <w:tabs>
        <w:tab w:val="center" w:pos="4153"/>
        <w:tab w:val="right" w:pos="8306"/>
      </w:tabs>
      <w:snapToGrid w:val="0"/>
      <w:jc w:val="left"/>
    </w:pPr>
    <w:rPr>
      <w:sz w:val="18"/>
      <w:szCs w:val="18"/>
    </w:rPr>
  </w:style>
  <w:style w:type="paragraph" w:customStyle="1" w:styleId="37">
    <w:name w:val="Header"/>
    <w:basedOn w:val="1"/>
    <w:link w:val="38"/>
    <w:qFormat/>
    <w:uiPriority w:val="0"/>
    <w:pPr>
      <w:pBdr>
        <w:bottom w:val="single" w:color="000000" w:sz="6" w:space="1"/>
      </w:pBdr>
      <w:tabs>
        <w:tab w:val="center" w:pos="4153"/>
        <w:tab w:val="right" w:pos="8306"/>
      </w:tabs>
      <w:snapToGrid w:val="0"/>
      <w:jc w:val="center"/>
    </w:pPr>
    <w:rPr>
      <w:sz w:val="18"/>
      <w:szCs w:val="18"/>
    </w:rPr>
  </w:style>
  <w:style w:type="character" w:customStyle="1" w:styleId="38">
    <w:name w:val="UserStyle_5"/>
    <w:basedOn w:val="20"/>
    <w:link w:val="37"/>
    <w:qFormat/>
    <w:uiPriority w:val="0"/>
    <w:rPr>
      <w:kern w:val="2"/>
      <w:sz w:val="18"/>
      <w:szCs w:val="18"/>
    </w:rPr>
  </w:style>
  <w:style w:type="paragraph" w:customStyle="1" w:styleId="39">
    <w:name w:val="TOC1"/>
    <w:basedOn w:val="1"/>
    <w:next w:val="1"/>
    <w:qFormat/>
    <w:uiPriority w:val="0"/>
    <w:pPr>
      <w:tabs>
        <w:tab w:val="right" w:leader="dot" w:pos="9628"/>
      </w:tabs>
    </w:pPr>
    <w:rPr>
      <w:rFonts w:ascii="楷体" w:hAnsi="楷体" w:eastAsia="楷体"/>
      <w:b/>
    </w:rPr>
  </w:style>
  <w:style w:type="character" w:customStyle="1" w:styleId="40">
    <w:name w:val="副标题 Char"/>
    <w:basedOn w:val="20"/>
    <w:link w:val="12"/>
    <w:qFormat/>
    <w:uiPriority w:val="0"/>
    <w:rPr>
      <w:rFonts w:ascii="Cambria" w:hAnsi="Cambria" w:eastAsia="宋体" w:cs="Times New Roman"/>
      <w:b/>
      <w:bCs/>
      <w:kern w:val="28"/>
      <w:sz w:val="32"/>
      <w:szCs w:val="32"/>
    </w:rPr>
  </w:style>
  <w:style w:type="paragraph" w:customStyle="1" w:styleId="41">
    <w:name w:val="BodyTextIndent3"/>
    <w:basedOn w:val="1"/>
    <w:qFormat/>
    <w:uiPriority w:val="0"/>
    <w:pPr>
      <w:spacing w:line="360" w:lineRule="auto"/>
      <w:ind w:firstLine="200" w:firstLineChars="200"/>
    </w:pPr>
    <w:rPr>
      <w:rFonts w:eastAsia="楷体_GB2312"/>
    </w:rPr>
  </w:style>
  <w:style w:type="paragraph" w:customStyle="1" w:styleId="42">
    <w:name w:val="TOC2"/>
    <w:basedOn w:val="1"/>
    <w:next w:val="1"/>
    <w:qFormat/>
    <w:uiPriority w:val="0"/>
    <w:pPr>
      <w:ind w:left="420" w:leftChars="200"/>
    </w:pPr>
    <w:rPr>
      <w:rFonts w:eastAsia="楷体"/>
      <w:sz w:val="21"/>
    </w:rPr>
  </w:style>
  <w:style w:type="paragraph" w:customStyle="1" w:styleId="43">
    <w:name w:val="HtmlNormal"/>
    <w:basedOn w:val="1"/>
    <w:qFormat/>
    <w:uiPriority w:val="0"/>
    <w:pPr>
      <w:spacing w:before="100" w:beforeAutospacing="1" w:after="100" w:afterAutospacing="1"/>
      <w:jc w:val="left"/>
    </w:pPr>
    <w:rPr>
      <w:rFonts w:ascii="宋体" w:hAnsi="宋体"/>
      <w:kern w:val="0"/>
      <w:sz w:val="24"/>
    </w:rPr>
  </w:style>
  <w:style w:type="character" w:customStyle="1" w:styleId="44">
    <w:name w:val="标题 Char"/>
    <w:basedOn w:val="20"/>
    <w:link w:val="14"/>
    <w:qFormat/>
    <w:uiPriority w:val="0"/>
    <w:rPr>
      <w:rFonts w:ascii="Cambria" w:hAnsi="Cambria" w:eastAsia="宋体" w:cs="Times New Roman"/>
      <w:b/>
      <w:bCs/>
      <w:kern w:val="2"/>
      <w:sz w:val="32"/>
      <w:szCs w:val="32"/>
    </w:rPr>
  </w:style>
  <w:style w:type="paragraph" w:customStyle="1" w:styleId="45">
    <w:name w:val="AnnotationSubject"/>
    <w:basedOn w:val="29"/>
    <w:next w:val="29"/>
    <w:link w:val="46"/>
    <w:qFormat/>
    <w:uiPriority w:val="0"/>
    <w:rPr>
      <w:b/>
      <w:bCs/>
    </w:rPr>
  </w:style>
  <w:style w:type="character" w:customStyle="1" w:styleId="46">
    <w:name w:val="UserStyle_8"/>
    <w:basedOn w:val="30"/>
    <w:link w:val="45"/>
    <w:semiHidden/>
    <w:qFormat/>
    <w:uiPriority w:val="0"/>
    <w:rPr>
      <w:rFonts w:cs="Times New Roman"/>
      <w:b/>
      <w:bCs/>
      <w:kern w:val="2"/>
      <w:sz w:val="28"/>
      <w:szCs w:val="24"/>
    </w:rPr>
  </w:style>
  <w:style w:type="table" w:customStyle="1" w:styleId="47">
    <w:name w:val="TableGrid"/>
    <w:basedOn w:val="25"/>
    <w:qFormat/>
    <w:uiPriority w:val="0"/>
    <w:tblPr>
      <w:tblCellMar>
        <w:top w:w="0" w:type="dxa"/>
        <w:left w:w="0" w:type="dxa"/>
        <w:bottom w:w="0" w:type="dxa"/>
        <w:right w:w="0" w:type="dxa"/>
      </w:tblCellMar>
    </w:tblPr>
  </w:style>
  <w:style w:type="character" w:customStyle="1" w:styleId="48">
    <w:name w:val="PageNumber"/>
    <w:basedOn w:val="20"/>
    <w:qFormat/>
    <w:uiPriority w:val="0"/>
  </w:style>
  <w:style w:type="character" w:customStyle="1" w:styleId="49">
    <w:name w:val="HtmlDfn"/>
    <w:basedOn w:val="20"/>
    <w:qFormat/>
    <w:uiPriority w:val="0"/>
  </w:style>
  <w:style w:type="character" w:customStyle="1" w:styleId="50">
    <w:name w:val="AnnotationReference"/>
    <w:basedOn w:val="20"/>
    <w:qFormat/>
    <w:uiPriority w:val="0"/>
    <w:rPr>
      <w:sz w:val="21"/>
      <w:szCs w:val="21"/>
    </w:rPr>
  </w:style>
  <w:style w:type="character" w:customStyle="1" w:styleId="51">
    <w:name w:val="UserStyle_9"/>
    <w:basedOn w:val="20"/>
    <w:link w:val="52"/>
    <w:qFormat/>
    <w:uiPriority w:val="0"/>
    <w:rPr>
      <w:rFonts w:ascii="Calibri" w:hAnsi="Calibri"/>
      <w:sz w:val="22"/>
      <w:szCs w:val="22"/>
      <w:lang w:val="en-US" w:eastAsia="zh-CN" w:bidi="ar-SA"/>
    </w:rPr>
  </w:style>
  <w:style w:type="paragraph" w:customStyle="1" w:styleId="52">
    <w:name w:val="Null"/>
    <w:link w:val="51"/>
    <w:qFormat/>
    <w:uiPriority w:val="0"/>
    <w:pPr>
      <w:textAlignment w:val="baseline"/>
    </w:pPr>
    <w:rPr>
      <w:rFonts w:ascii="Calibri" w:hAnsi="Calibri" w:eastAsia="宋体" w:cs="Times New Roman"/>
      <w:sz w:val="22"/>
      <w:szCs w:val="22"/>
      <w:lang w:val="en-US" w:eastAsia="zh-CN" w:bidi="ar-SA"/>
    </w:rPr>
  </w:style>
  <w:style w:type="paragraph" w:customStyle="1" w:styleId="53">
    <w:name w:val="UserStyle_10"/>
    <w:basedOn w:val="1"/>
    <w:qFormat/>
    <w:uiPriority w:val="0"/>
    <w:pPr>
      <w:spacing w:line="240" w:lineRule="atLeast"/>
      <w:ind w:left="420" w:firstLine="420" w:firstLineChars="200"/>
    </w:pPr>
    <w:rPr>
      <w:kern w:val="0"/>
      <w:sz w:val="24"/>
      <w:szCs w:val="21"/>
    </w:rPr>
  </w:style>
  <w:style w:type="paragraph" w:customStyle="1" w:styleId="54">
    <w:name w:val="UserStyle_11"/>
    <w:basedOn w:val="1"/>
    <w:qFormat/>
    <w:uiPriority w:val="0"/>
    <w:pPr>
      <w:spacing w:before="100" w:beforeAutospacing="1" w:after="100" w:afterAutospacing="1"/>
      <w:jc w:val="center"/>
      <w:textAlignment w:val="center"/>
    </w:pPr>
    <w:rPr>
      <w:rFonts w:ascii="宋体" w:hAnsi="宋体"/>
      <w:kern w:val="0"/>
      <w:sz w:val="20"/>
      <w:szCs w:val="20"/>
    </w:rPr>
  </w:style>
  <w:style w:type="character" w:customStyle="1" w:styleId="55">
    <w:name w:val="页脚 Char"/>
    <w:basedOn w:val="18"/>
    <w:link w:val="10"/>
    <w:qFormat/>
    <w:uiPriority w:val="99"/>
    <w:rPr>
      <w:kern w:val="2"/>
      <w:sz w:val="18"/>
      <w:szCs w:val="18"/>
    </w:rPr>
  </w:style>
  <w:style w:type="character" w:customStyle="1" w:styleId="56">
    <w:name w:val="正文文本 Char"/>
    <w:basedOn w:val="18"/>
    <w:link w:val="7"/>
    <w:semiHidden/>
    <w:qFormat/>
    <w:uiPriority w:val="99"/>
    <w:rPr>
      <w:kern w:val="2"/>
      <w:sz w:val="28"/>
      <w:szCs w:val="24"/>
    </w:rPr>
  </w:style>
  <w:style w:type="character" w:customStyle="1" w:styleId="57">
    <w:name w:val="正文首行缩进 Char"/>
    <w:basedOn w:val="56"/>
    <w:link w:val="15"/>
    <w:qFormat/>
    <w:uiPriority w:val="99"/>
    <w:rPr>
      <w:rFonts w:asciiTheme="minorHAnsi" w:hAnsiTheme="minorHAnsi" w:eastAsiaTheme="minorEastAsia" w:cstheme="minorBidi"/>
    </w:rPr>
  </w:style>
  <w:style w:type="character" w:customStyle="1" w:styleId="58">
    <w:name w:val="批注框文本 Char"/>
    <w:basedOn w:val="18"/>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5"/>
    <customShpInfo spid="_x0000_s1026"/>
    <customShpInfo spid="_x0000_s1032"/>
    <customShpInfo spid="_x0000_s1029"/>
    <customShpInfo spid="_x0000_s1030"/>
    <customShpInfo spid="_x0000_s1033"/>
    <customShpInfo spid="_x0000_s103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10478</Words>
  <Characters>11049</Characters>
  <Lines>108</Lines>
  <Paragraphs>30</Paragraphs>
  <TotalTime>15</TotalTime>
  <ScaleCrop>false</ScaleCrop>
  <LinksUpToDate>false</LinksUpToDate>
  <CharactersWithSpaces>11439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2021-11-15T01:06:00Z</dcterms:created>
  <dc:creator>Administrator</dc:creator>
  <cp:lastModifiedBy>Administrator</cp:lastModifiedBy>
  <dcterms:modified xsi:type="dcterms:W3CDTF">2022-10-13T01:08:25Z</dcterms:modified>
  <cp:revision>256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7FE6DCC865754097AD0EFB254F97952F</vt:lpwstr>
  </property>
</Properties>
</file>