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b/>
          <w:sz w:val="56"/>
          <w:szCs w:val="56"/>
        </w:rPr>
      </w:pPr>
    </w:p>
    <w:p>
      <w:pPr>
        <w:jc w:val="center"/>
        <w:rPr>
          <w:rFonts w:hint="eastAsia" w:ascii="宋体" w:hAnsi="宋体" w:eastAsia="宋体" w:cs="宋体"/>
          <w:b/>
          <w:sz w:val="56"/>
          <w:szCs w:val="56"/>
        </w:rPr>
      </w:pPr>
      <w:r>
        <w:rPr>
          <w:rFonts w:hint="eastAsia" w:ascii="华文中宋" w:hAnsi="华文中宋" w:eastAsia="华文中宋" w:cs="华文中宋"/>
          <w:b/>
          <w:sz w:val="56"/>
          <w:szCs w:val="56"/>
        </w:rPr>
        <w:t>涉执房地产处置司法估价报告</w:t>
      </w:r>
    </w:p>
    <w:p>
      <w:pPr>
        <w:jc w:val="center"/>
        <w:rPr>
          <w:rFonts w:hint="eastAsia" w:ascii="仿宋" w:hAnsi="仿宋" w:eastAsia="仿宋" w:cs="仿宋"/>
          <w:b/>
          <w:sz w:val="52"/>
          <w:szCs w:val="52"/>
        </w:rPr>
      </w:pPr>
    </w:p>
    <w:p>
      <w:pPr>
        <w:jc w:val="both"/>
        <w:rPr>
          <w:rFonts w:hint="eastAsia" w:ascii="仿宋" w:hAnsi="仿宋" w:eastAsia="仿宋" w:cs="仿宋"/>
          <w:b/>
          <w:sz w:val="52"/>
          <w:szCs w:val="52"/>
        </w:rPr>
      </w:pPr>
    </w:p>
    <w:p>
      <w:pPr>
        <w:jc w:val="center"/>
        <w:rPr>
          <w:rFonts w:hint="eastAsia" w:ascii="仿宋" w:hAnsi="仿宋" w:eastAsia="仿宋" w:cs="仿宋"/>
          <w:b/>
          <w:sz w:val="52"/>
          <w:szCs w:val="52"/>
        </w:rPr>
      </w:pPr>
    </w:p>
    <w:p>
      <w:pPr>
        <w:spacing w:before="312" w:beforeLines="100"/>
        <w:jc w:val="left"/>
        <w:rPr>
          <w:rFonts w:hint="eastAsia" w:ascii="仿宋" w:hAnsi="仿宋" w:eastAsia="仿宋" w:cs="仿宋"/>
          <w:b w:val="0"/>
          <w:bCs/>
          <w:color w:val="000000"/>
          <w:sz w:val="28"/>
          <w:szCs w:val="28"/>
          <w:lang w:eastAsia="zh-CN"/>
        </w:rPr>
      </w:pPr>
      <w:r>
        <w:rPr>
          <w:rFonts w:hint="eastAsia" w:ascii="仿宋" w:hAnsi="仿宋" w:eastAsia="仿宋" w:cs="仿宋"/>
          <w:b/>
          <w:sz w:val="28"/>
          <w:szCs w:val="28"/>
        </w:rPr>
        <w:t>估价报告编号：</w:t>
      </w:r>
      <w:r>
        <w:rPr>
          <w:rFonts w:hint="eastAsia" w:ascii="仿宋" w:hAnsi="仿宋" w:eastAsia="仿宋" w:cs="仿宋"/>
          <w:b w:val="0"/>
          <w:bCs/>
          <w:sz w:val="28"/>
          <w:szCs w:val="28"/>
          <w:lang w:eastAsia="zh-CN"/>
        </w:rPr>
        <w:t>黔昊远房估字（2022）</w:t>
      </w:r>
      <w:r>
        <w:rPr>
          <w:rFonts w:hint="eastAsia" w:ascii="仿宋" w:hAnsi="仿宋" w:eastAsia="仿宋" w:cs="仿宋"/>
          <w:b w:val="0"/>
          <w:bCs/>
          <w:sz w:val="28"/>
          <w:szCs w:val="28"/>
          <w:lang w:val="en-US" w:eastAsia="zh-CN"/>
        </w:rPr>
        <w:t>11029</w:t>
      </w:r>
      <w:r>
        <w:rPr>
          <w:rFonts w:hint="eastAsia" w:ascii="仿宋" w:hAnsi="仿宋" w:eastAsia="仿宋" w:cs="仿宋"/>
          <w:b w:val="0"/>
          <w:bCs/>
          <w:sz w:val="28"/>
          <w:szCs w:val="28"/>
          <w:lang w:eastAsia="zh-CN"/>
        </w:rPr>
        <w:t>号</w:t>
      </w:r>
    </w:p>
    <w:p>
      <w:pPr>
        <w:spacing w:before="312" w:beforeLines="100"/>
        <w:ind w:left="1940" w:hanging="1940" w:hangingChars="690"/>
        <w:jc w:val="left"/>
        <w:rPr>
          <w:rFonts w:hint="default" w:ascii="Times New Roman" w:hAnsi="Times New Roman" w:eastAsia="仿宋" w:cs="Times New Roman"/>
          <w:b/>
          <w:sz w:val="28"/>
          <w:szCs w:val="28"/>
        </w:rPr>
      </w:pPr>
      <w:r>
        <w:rPr>
          <w:rFonts w:hint="eastAsia" w:ascii="仿宋" w:hAnsi="仿宋" w:eastAsia="仿宋" w:cs="仿宋"/>
          <w:b/>
          <w:sz w:val="28"/>
          <w:szCs w:val="28"/>
        </w:rPr>
        <w:t>估价项目名称：</w:t>
      </w:r>
      <w:r>
        <w:rPr>
          <w:rFonts w:hint="eastAsia" w:ascii="Times New Roman" w:hAnsi="Times New Roman" w:eastAsia="仿宋" w:cs="Times New Roman"/>
          <w:b w:val="0"/>
          <w:bCs/>
          <w:sz w:val="28"/>
          <w:szCs w:val="28"/>
          <w:lang w:val="en-US" w:eastAsia="zh-CN"/>
        </w:rPr>
        <w:t>六盘水市钟山区荷城花园房地产开发有限公司开发建设的位于贵州省六盘水市钟山区凉都大道与凤凰路交汇处北侧凉都水岸C栋1202室、1706室、1907室、2002室、2007室、2008室、2102室、2207室、2302室、2307室、2507室住宅用房</w:t>
      </w:r>
      <w:r>
        <w:rPr>
          <w:rFonts w:hint="eastAsia" w:eastAsia="仿宋" w:cs="Times New Roman"/>
          <w:b w:val="0"/>
          <w:bCs/>
          <w:sz w:val="28"/>
          <w:szCs w:val="28"/>
          <w:lang w:val="en-US" w:eastAsia="zh-CN"/>
        </w:rPr>
        <w:t>及</w:t>
      </w:r>
      <w:r>
        <w:rPr>
          <w:rFonts w:hint="eastAsia" w:ascii="Times New Roman" w:hAnsi="Times New Roman" w:eastAsia="仿宋" w:cs="Times New Roman"/>
          <w:b w:val="0"/>
          <w:bCs/>
          <w:sz w:val="28"/>
          <w:szCs w:val="28"/>
          <w:lang w:val="en-US" w:eastAsia="zh-CN"/>
        </w:rPr>
        <w:t>六盘水市钟山区凉都大道与凤凰路交汇处北侧凉都水岸A栋3层</w:t>
      </w:r>
      <w:r>
        <w:rPr>
          <w:rFonts w:hint="eastAsia" w:eastAsia="仿宋" w:cs="Times New Roman"/>
          <w:b w:val="0"/>
          <w:bCs/>
          <w:sz w:val="28"/>
          <w:szCs w:val="28"/>
          <w:lang w:val="en-US" w:eastAsia="zh-CN"/>
        </w:rPr>
        <w:t>301</w:t>
      </w:r>
      <w:r>
        <w:rPr>
          <w:rFonts w:hint="eastAsia" w:ascii="Times New Roman" w:hAnsi="Times New Roman" w:eastAsia="仿宋" w:cs="Times New Roman"/>
          <w:b w:val="0"/>
          <w:bCs/>
          <w:sz w:val="28"/>
          <w:szCs w:val="28"/>
          <w:lang w:val="en-US" w:eastAsia="zh-CN"/>
        </w:rPr>
        <w:t>铺商业用房</w:t>
      </w:r>
      <w:r>
        <w:rPr>
          <w:rFonts w:hint="eastAsia" w:eastAsia="仿宋" w:cs="Times New Roman"/>
          <w:b w:val="0"/>
          <w:bCs/>
          <w:sz w:val="28"/>
          <w:szCs w:val="28"/>
          <w:lang w:val="en-US" w:eastAsia="zh-CN"/>
        </w:rPr>
        <w:t>共12套</w:t>
      </w:r>
      <w:r>
        <w:rPr>
          <w:rFonts w:hint="default" w:ascii="Times New Roman" w:hAnsi="Times New Roman" w:eastAsia="仿宋" w:cs="Times New Roman"/>
          <w:b w:val="0"/>
          <w:bCs/>
          <w:sz w:val="28"/>
          <w:szCs w:val="28"/>
          <w:lang w:val="en-US" w:eastAsia="zh-CN"/>
        </w:rPr>
        <w:t>房地产市场价值评估</w:t>
      </w:r>
    </w:p>
    <w:p>
      <w:pPr>
        <w:spacing w:before="312" w:beforeLines="100"/>
        <w:jc w:val="left"/>
        <w:rPr>
          <w:rFonts w:hint="eastAsia" w:ascii="仿宋" w:hAnsi="仿宋" w:eastAsia="仿宋" w:cs="仿宋"/>
          <w:b w:val="0"/>
          <w:bCs/>
          <w:sz w:val="28"/>
          <w:szCs w:val="28"/>
          <w:lang w:val="en-US" w:eastAsia="zh-CN"/>
        </w:rPr>
      </w:pPr>
      <w:r>
        <w:rPr>
          <w:rFonts w:hint="eastAsia" w:ascii="仿宋" w:hAnsi="仿宋" w:eastAsia="仿宋" w:cs="仿宋"/>
          <w:b/>
          <w:sz w:val="28"/>
          <w:szCs w:val="28"/>
        </w:rPr>
        <w:t>估价委托</w:t>
      </w:r>
      <w:r>
        <w:rPr>
          <w:rFonts w:hint="eastAsia" w:ascii="仿宋" w:hAnsi="仿宋" w:eastAsia="仿宋" w:cs="仿宋"/>
          <w:b/>
          <w:sz w:val="28"/>
          <w:szCs w:val="28"/>
          <w:lang w:val="en-US" w:eastAsia="zh-CN"/>
        </w:rPr>
        <w:t>人</w:t>
      </w:r>
      <w:r>
        <w:rPr>
          <w:rFonts w:hint="eastAsia" w:ascii="仿宋" w:hAnsi="仿宋" w:eastAsia="仿宋" w:cs="仿宋"/>
          <w:b/>
          <w:sz w:val="28"/>
          <w:szCs w:val="28"/>
        </w:rPr>
        <w:t>：</w:t>
      </w:r>
      <w:r>
        <w:rPr>
          <w:rFonts w:hint="eastAsia" w:ascii="仿宋" w:hAnsi="仿宋" w:eastAsia="仿宋" w:cs="仿宋"/>
          <w:b w:val="0"/>
          <w:bCs/>
          <w:sz w:val="28"/>
          <w:szCs w:val="28"/>
          <w:lang w:val="en-US" w:eastAsia="zh-CN"/>
        </w:rPr>
        <w:t>六盘水市钟山区人民法院</w:t>
      </w:r>
    </w:p>
    <w:p>
      <w:pPr>
        <w:spacing w:before="312" w:beforeLines="100"/>
        <w:jc w:val="left"/>
        <w:rPr>
          <w:rFonts w:hint="eastAsia" w:ascii="仿宋" w:hAnsi="仿宋" w:eastAsia="仿宋" w:cs="仿宋"/>
          <w:b/>
          <w:sz w:val="28"/>
          <w:szCs w:val="28"/>
        </w:rPr>
      </w:pPr>
      <w:r>
        <w:rPr>
          <w:rFonts w:hint="eastAsia" w:ascii="仿宋" w:hAnsi="仿宋" w:eastAsia="仿宋" w:cs="仿宋"/>
          <w:b/>
          <w:sz w:val="28"/>
          <w:szCs w:val="28"/>
        </w:rPr>
        <w:t>房地产估价机构：</w:t>
      </w:r>
      <w:r>
        <w:rPr>
          <w:rFonts w:hint="eastAsia" w:ascii="仿宋" w:hAnsi="仿宋" w:eastAsia="仿宋" w:cs="仿宋"/>
          <w:b w:val="0"/>
          <w:bCs/>
          <w:sz w:val="28"/>
          <w:szCs w:val="28"/>
        </w:rPr>
        <w:t>贵州昊远房地产土地评估有限公司</w:t>
      </w:r>
    </w:p>
    <w:p>
      <w:pPr>
        <w:spacing w:before="312" w:beforeLines="100"/>
        <w:jc w:val="left"/>
        <w:rPr>
          <w:rFonts w:hint="eastAsia" w:ascii="仿宋" w:hAnsi="仿宋" w:eastAsia="仿宋" w:cs="仿宋"/>
          <w:b w:val="0"/>
          <w:bCs/>
          <w:sz w:val="28"/>
          <w:szCs w:val="28"/>
        </w:rPr>
      </w:pPr>
      <w:r>
        <w:rPr>
          <w:rFonts w:hint="eastAsia" w:ascii="仿宋" w:hAnsi="仿宋" w:eastAsia="仿宋" w:cs="仿宋"/>
          <w:b/>
          <w:sz w:val="28"/>
          <w:szCs w:val="28"/>
        </w:rPr>
        <w:t>注册房地产估价师：</w:t>
      </w:r>
      <w:r>
        <w:rPr>
          <w:rFonts w:hint="eastAsia" w:ascii="仿宋" w:hAnsi="仿宋" w:eastAsia="仿宋" w:cs="仿宋"/>
          <w:b w:val="0"/>
          <w:bCs/>
          <w:sz w:val="28"/>
          <w:szCs w:val="28"/>
          <w:lang w:val="en-US" w:eastAsia="zh-CN"/>
        </w:rPr>
        <w:t>覃  剑（注册号：</w:t>
      </w:r>
      <w:r>
        <w:rPr>
          <w:rFonts w:hint="eastAsia" w:eastAsia="仿宋_GB2312"/>
          <w:b w:val="0"/>
          <w:bCs/>
          <w:color w:val="000000"/>
          <w:sz w:val="28"/>
          <w:szCs w:val="28"/>
          <w:lang w:val="en-US" w:eastAsia="zh-CN"/>
        </w:rPr>
        <w:t>5220040052</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lang w:eastAsia="zh-CN"/>
        </w:rPr>
        <w:t>杨青钢</w:t>
      </w:r>
      <w:r>
        <w:rPr>
          <w:rFonts w:hint="eastAsia" w:ascii="仿宋" w:hAnsi="仿宋" w:eastAsia="仿宋" w:cs="仿宋"/>
          <w:b w:val="0"/>
          <w:bCs/>
          <w:sz w:val="28"/>
          <w:szCs w:val="28"/>
          <w:lang w:val="en-US" w:eastAsia="zh-CN"/>
        </w:rPr>
        <w:t>（注册号：</w:t>
      </w:r>
      <w:r>
        <w:rPr>
          <w:rFonts w:hint="eastAsia" w:eastAsia="仿宋_GB2312"/>
          <w:b w:val="0"/>
          <w:bCs/>
          <w:color w:val="000000"/>
          <w:sz w:val="28"/>
          <w:szCs w:val="28"/>
          <w:lang w:val="en-US" w:eastAsia="zh-CN"/>
        </w:rPr>
        <w:t>5220200026</w:t>
      </w:r>
      <w:r>
        <w:rPr>
          <w:rFonts w:hint="eastAsia" w:ascii="仿宋" w:hAnsi="仿宋" w:eastAsia="仿宋" w:cs="仿宋"/>
          <w:b w:val="0"/>
          <w:bCs/>
          <w:sz w:val="28"/>
          <w:szCs w:val="28"/>
          <w:lang w:val="en-US" w:eastAsia="zh-CN"/>
        </w:rPr>
        <w:t>）</w:t>
      </w:r>
    </w:p>
    <w:p>
      <w:pPr>
        <w:spacing w:before="312" w:beforeLines="100"/>
        <w:jc w:val="left"/>
        <w:rPr>
          <w:rFonts w:hint="eastAsia" w:ascii="仿宋" w:hAnsi="仿宋" w:eastAsia="仿宋" w:cs="仿宋"/>
          <w:b/>
          <w:sz w:val="28"/>
          <w:szCs w:val="28"/>
        </w:rPr>
      </w:pPr>
      <w:r>
        <w:rPr>
          <w:rFonts w:hint="eastAsia" w:ascii="仿宋" w:hAnsi="仿宋" w:eastAsia="仿宋" w:cs="仿宋"/>
          <w:b/>
          <w:sz w:val="28"/>
          <w:szCs w:val="28"/>
        </w:rPr>
        <w:t>估价报告出具日期：</w:t>
      </w:r>
      <w:r>
        <w:rPr>
          <w:rFonts w:hint="eastAsia" w:eastAsia="仿宋_GB2312"/>
          <w:b w:val="0"/>
          <w:bCs w:val="0"/>
          <w:color w:val="000000"/>
          <w:sz w:val="28"/>
          <w:szCs w:val="28"/>
          <w:lang w:val="en-US" w:eastAsia="zh-CN"/>
        </w:rPr>
        <w:t>2022年11月22日</w:t>
      </w:r>
    </w:p>
    <w:p>
      <w:pPr>
        <w:spacing w:line="360" w:lineRule="auto"/>
        <w:jc w:val="left"/>
        <w:rPr>
          <w:rFonts w:hint="eastAsia" w:ascii="仿宋" w:hAnsi="仿宋" w:eastAsia="仿宋" w:cs="仿宋"/>
          <w:b/>
          <w:sz w:val="28"/>
          <w:szCs w:val="28"/>
        </w:rPr>
        <w:sectPr>
          <w:headerReference r:id="rId3" w:type="default"/>
          <w:footerReference r:id="rId4" w:type="default"/>
          <w:endnotePr>
            <w:numFmt w:val="decimal"/>
          </w:endnotePr>
          <w:pgSz w:w="11906" w:h="16838"/>
          <w:pgMar w:top="1440" w:right="1080" w:bottom="1440" w:left="1080" w:header="851" w:footer="992" w:gutter="0"/>
          <w:pgNumType w:chapStyle="1"/>
          <w:cols w:space="720" w:num="1"/>
          <w:docGrid w:type="lines" w:linePitch="312" w:charSpace="0"/>
        </w:sectPr>
      </w:pPr>
    </w:p>
    <w:p>
      <w:pPr>
        <w:jc w:val="center"/>
        <w:rPr>
          <w:rFonts w:hint="eastAsia" w:ascii="仿宋" w:hAnsi="仿宋" w:eastAsia="仿宋" w:cs="仿宋"/>
          <w:b/>
          <w:sz w:val="52"/>
          <w:szCs w:val="52"/>
        </w:rPr>
      </w:pPr>
      <w:r>
        <w:rPr>
          <w:rFonts w:hint="eastAsia" w:ascii="仿宋" w:hAnsi="仿宋" w:eastAsia="仿宋" w:cs="仿宋"/>
          <w:b/>
          <w:sz w:val="52"/>
          <w:szCs w:val="52"/>
        </w:rPr>
        <w:t>致估价委托</w:t>
      </w:r>
      <w:r>
        <w:rPr>
          <w:rFonts w:hint="eastAsia" w:ascii="仿宋" w:hAnsi="仿宋" w:eastAsia="仿宋" w:cs="仿宋"/>
          <w:b/>
          <w:sz w:val="52"/>
          <w:szCs w:val="52"/>
          <w:lang w:val="en-US" w:eastAsia="zh-CN"/>
        </w:rPr>
        <w:t>人</w:t>
      </w:r>
      <w:r>
        <w:rPr>
          <w:rFonts w:hint="eastAsia" w:ascii="仿宋" w:hAnsi="仿宋" w:eastAsia="仿宋" w:cs="仿宋"/>
          <w:b/>
          <w:sz w:val="52"/>
          <w:szCs w:val="52"/>
        </w:rPr>
        <w:t>函</w:t>
      </w:r>
    </w:p>
    <w:p>
      <w:pPr>
        <w:keepNext w:val="0"/>
        <w:keepLines w:val="0"/>
        <w:pageBreakBefore w:val="0"/>
        <w:widowControl w:val="0"/>
        <w:kinsoku/>
        <w:wordWrap/>
        <w:overflowPunct/>
        <w:topLinePunct w:val="0"/>
        <w:autoSpaceDE/>
        <w:autoSpaceDN/>
        <w:bidi w:val="0"/>
        <w:adjustRightInd/>
        <w:snapToGrid/>
        <w:spacing w:before="312" w:beforeLines="100" w:line="460" w:lineRule="exact"/>
        <w:jc w:val="left"/>
        <w:textAlignment w:val="auto"/>
        <w:rPr>
          <w:rFonts w:hint="eastAsia" w:ascii="仿宋" w:hAnsi="仿宋" w:eastAsia="仿宋" w:cs="仿宋"/>
          <w:bCs/>
          <w:color w:val="0000FF"/>
          <w:sz w:val="24"/>
        </w:rPr>
      </w:pPr>
      <w:r>
        <w:rPr>
          <w:rFonts w:hint="eastAsia" w:ascii="仿宋" w:hAnsi="仿宋" w:eastAsia="仿宋" w:cs="仿宋"/>
          <w:b/>
          <w:sz w:val="28"/>
          <w:szCs w:val="28"/>
          <w:lang w:val="en-US" w:eastAsia="zh-CN"/>
        </w:rPr>
        <w:t>六盘水市钟山区人民法院</w:t>
      </w:r>
      <w:r>
        <w:rPr>
          <w:rFonts w:hint="eastAsia" w:ascii="仿宋" w:hAnsi="仿宋" w:eastAsia="仿宋" w:cs="仿宋"/>
          <w:b/>
          <w:sz w:val="28"/>
          <w:szCs w:val="28"/>
        </w:rPr>
        <w:t>：</w:t>
      </w:r>
      <w:r>
        <w:rPr>
          <w:rFonts w:hint="eastAsia" w:ascii="仿宋" w:hAnsi="仿宋" w:eastAsia="仿宋" w:cs="仿宋"/>
          <w:bCs/>
          <w:color w:val="0000FF"/>
          <w:sz w:val="24"/>
        </w:rPr>
        <w:t xml:space="preserve">  </w:t>
      </w:r>
    </w:p>
    <w:p>
      <w:pPr>
        <w:keepNext w:val="0"/>
        <w:keepLines w:val="0"/>
        <w:pageBreakBefore w:val="0"/>
        <w:widowControl w:val="0"/>
        <w:kinsoku/>
        <w:wordWrap/>
        <w:overflowPunct/>
        <w:topLinePunct w:val="0"/>
        <w:autoSpaceDE/>
        <w:autoSpaceDN/>
        <w:bidi w:val="0"/>
        <w:adjustRightInd/>
        <w:snapToGrid/>
        <w:spacing w:before="312" w:beforeLines="100" w:line="440" w:lineRule="exact"/>
        <w:ind w:right="168" w:rightChars="80"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受贵院的委托，我公司对贵</w:t>
      </w:r>
      <w:r>
        <w:rPr>
          <w:rFonts w:hint="eastAsia" w:eastAsia="仿宋_GB2312"/>
          <w:sz w:val="26"/>
          <w:szCs w:val="26"/>
          <w:lang w:val="en-US" w:eastAsia="zh-CN"/>
        </w:rPr>
        <w:t>院委托的位于贵州省六盘水市钟山区凉都大道与凤凰路交汇处北侧凉都水岸C栋1202室、1706室、1907室、2002室、2007室、2008室、2102室、2207室、2302室、2307室、2507室住宅用房及六盘水市钟山区凉都大道与凤凰路交汇处北侧凉都水岸A栋3层301铺商业用房共12套房地产（建设单位为：六盘水市钟山区荷城花园房地产开发有限公司，总建筑面积2341.6平方米，其他详细内容见《评估结果明细表》）进行估价；</w:t>
      </w: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val="en-US" w:eastAsia="zh-CN"/>
        </w:rPr>
        <w:t>；估价目的是为人民法院确定财产处置参考价提供参考依据而评估房地产市场价值；</w:t>
      </w:r>
      <w:r>
        <w:rPr>
          <w:rFonts w:hint="eastAsia" w:eastAsia="仿宋_GB2312"/>
          <w:color w:val="000000"/>
          <w:sz w:val="26"/>
          <w:szCs w:val="26"/>
        </w:rPr>
        <w:t>价值时点</w:t>
      </w:r>
      <w:r>
        <w:rPr>
          <w:rFonts w:hint="eastAsia" w:eastAsia="仿宋_GB2312"/>
          <w:color w:val="000000"/>
          <w:sz w:val="26"/>
          <w:szCs w:val="26"/>
          <w:lang w:val="en-US" w:eastAsia="zh-CN"/>
        </w:rPr>
        <w:t>为2022年11月07日。</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themeColor="text1"/>
          <w:sz w:val="26"/>
          <w:szCs w:val="26"/>
          <w:lang w:val="en-US" w:eastAsia="zh-CN"/>
          <w14:textFill>
            <w14:solidFill>
              <w14:schemeClr w14:val="tx1"/>
            </w14:solidFill>
          </w14:textFill>
        </w:rPr>
      </w:pPr>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w:t>
      </w:r>
      <w:r>
        <w:rPr>
          <w:rFonts w:hint="eastAsia" w:eastAsia="仿宋_GB2312"/>
          <w:color w:val="000000" w:themeColor="text1"/>
          <w:sz w:val="26"/>
          <w:szCs w:val="26"/>
          <w:lang w:val="en-US" w:eastAsia="zh-CN"/>
          <w14:textFill>
            <w14:solidFill>
              <w14:schemeClr w14:val="tx1"/>
            </w14:solidFill>
          </w14:textFill>
        </w:rPr>
        <w:t>的假设和限制条件下，确定估价对象于价值时点2022年11月07日的市场价值合计为</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人民币</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654200 \* CHINESENUM4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eastAsia" w:eastAsia="仿宋_GB2312" w:cs="Times New Roman"/>
          <w:b/>
          <w:bCs/>
          <w:color w:val="000000" w:themeColor="text1"/>
          <w:sz w:val="26"/>
          <w:szCs w:val="26"/>
          <w:lang w:val="en-US" w:eastAsia="zh-CN"/>
          <w14:textFill>
            <w14:solidFill>
              <w14:schemeClr w14:val="tx1"/>
            </w14:solidFill>
          </w14:textFill>
        </w:rPr>
        <w:t>壹仟叁佰零玖万捌仟叁佰</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元整</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w:t>
      </w:r>
      <w:r>
        <w:rPr>
          <w:rFonts w:hint="eastAsia" w:eastAsia="仿宋_GB2312" w:cs="Times New Roman"/>
          <w:b/>
          <w:bCs/>
          <w:color w:val="000000" w:themeColor="text1"/>
          <w:sz w:val="26"/>
          <w:szCs w:val="26"/>
          <w:lang w:val="en-US" w:eastAsia="zh-CN"/>
          <w14:textFill>
            <w14:solidFill>
              <w14:schemeClr w14:val="tx1"/>
            </w14:solidFill>
          </w14:textFill>
        </w:rPr>
        <w:t>1309.83</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万元）</w:t>
      </w:r>
      <w:r>
        <w:rPr>
          <w:rFonts w:hint="eastAsia" w:eastAsia="仿宋_GB2312"/>
          <w:color w:val="000000" w:themeColor="text1"/>
          <w:sz w:val="26"/>
          <w:szCs w:val="26"/>
          <w:lang w:val="en-US" w:eastAsia="zh-CN"/>
          <w14:textFill>
            <w14:solidFill>
              <w14:schemeClr w14:val="tx1"/>
            </w14:solidFill>
          </w14:textFill>
        </w:rPr>
        <w:t>。详见下表：</w:t>
      </w:r>
    </w:p>
    <w:tbl>
      <w:tblPr>
        <w:tblStyle w:val="23"/>
        <w:tblW w:w="103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485"/>
        <w:gridCol w:w="2130"/>
        <w:gridCol w:w="960"/>
        <w:gridCol w:w="855"/>
        <w:gridCol w:w="678"/>
        <w:gridCol w:w="1050"/>
        <w:gridCol w:w="1050"/>
        <w:gridCol w:w="975"/>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0335"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评估结果明细表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建设单位</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坐落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房号</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所在层数</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用途</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建筑面积（㎡）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评估单价（元/㎡）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评估总价（万元）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六盘水市钟山区凉都大道与凤凰路交汇处北侧凉都水岸C栋1202室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C栋1202室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4894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38.24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六盘水市钟山区凉都大道与凤凰路交汇处北侧凉都水岸C栋1706室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C栋1706室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79.94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39.39</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六盘水市钟山区凉都大道与凤凰路交汇处北侧凉都水岸C栋1907室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C栋1907室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38.51</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六盘水市钟山区凉都大道与凤凰路交汇处北侧凉都水岸C栋2008室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C栋2008室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102.26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50.39</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六盘水市钟山区凉都大道与凤凰路交汇处北侧凉都水岸C栋2102室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C栋2102室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21</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38.51</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六盘水市钟山区凉都大道与凤凰路交汇处北侧凉都水岸C栋2207室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C栋2207室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六盘水市钟山区凉都大道与凤凰路交汇处北侧凉都水岸C栋2302室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C栋2302室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38.51</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六盘水市钟山区凉都大道与凤凰路交汇处北侧凉都水岸C栋2307室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C栋2307室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六盘水市钟山区凉都大道与凤凰路交汇处北侧凉都水岸C栋2507室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C栋2507室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4996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41.13</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六盘水市钟山区凉都大道与凤凰路交汇处北侧凉都水岸A栋301铺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A栋301铺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1435.24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6012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862.87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2341.6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1309.83</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4"/>
                <w:szCs w:val="24"/>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1、因财产拍卖（或者变卖）日期与价值时点不一致，估价对象状况或者房地产市场状况的变化会对估价结果产生影响；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default" w:ascii="仿宋" w:hAnsi="仿宋" w:eastAsia="仿宋" w:cs="仿宋"/>
          <w:b/>
          <w:bCs w:val="0"/>
          <w:sz w:val="24"/>
          <w:szCs w:val="24"/>
          <w:lang w:val="en-US" w:eastAsia="zh-CN"/>
        </w:rPr>
        <w:t>2</w:t>
      </w:r>
      <w:r>
        <w:rPr>
          <w:rFonts w:hint="eastAsia" w:ascii="仿宋" w:hAnsi="仿宋" w:eastAsia="仿宋" w:cs="仿宋"/>
          <w:b/>
          <w:bCs w:val="0"/>
          <w:sz w:val="24"/>
          <w:szCs w:val="24"/>
          <w:lang w:val="en-US" w:eastAsia="zh-CN"/>
        </w:rPr>
        <w:t>、在估价结果有效期内，估价对象状况或者房地产市场发生明显变化的，估价结果应当进行相应调整；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3、委托人或者估价报告使用人应当按照法律规定和估价报告载明的使用范围使用估价报告，违反该规定使用估价报告的，房地产估价机构和注册房地产估价师依法不承担责任；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4、估价结果不等于估价对象处置可实现的成交价，不应被认为是估价对象处置成交价的保证；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5、本机构提醒报告使用方在使用本估价结论时，应认真阅读本报告书全文，提请关注本报告各种假设和限制条件等对该估价结果的影响。</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贵州昊远房地产土地评估有限公司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法定代表人：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sz w:val="28"/>
          <w:szCs w:val="28"/>
          <w:lang w:eastAsia="zh-CN"/>
        </w:rPr>
      </w:pPr>
      <w:r>
        <w:rPr>
          <w:rFonts w:hint="eastAsia" w:ascii="仿宋" w:hAnsi="仿宋" w:eastAsia="仿宋" w:cs="仿宋"/>
          <w:b/>
          <w:bCs/>
          <w:sz w:val="28"/>
          <w:szCs w:val="28"/>
          <w:lang w:val="en-US" w:eastAsia="zh-CN"/>
        </w:rPr>
        <w:t xml:space="preserve">                      二〇二二年十一月二十二日</w:t>
      </w:r>
    </w:p>
    <w:p>
      <w:pPr>
        <w:jc w:val="center"/>
        <w:rPr>
          <w:rFonts w:hint="eastAsia" w:ascii="仿宋" w:hAnsi="仿宋" w:eastAsia="仿宋" w:cs="仿宋"/>
          <w:b/>
          <w:sz w:val="28"/>
          <w:szCs w:val="28"/>
        </w:rPr>
        <w:sectPr>
          <w:endnotePr>
            <w:numFmt w:val="decimal"/>
          </w:endnotePr>
          <w:pgSz w:w="11906" w:h="16838"/>
          <w:pgMar w:top="1440" w:right="1080" w:bottom="1440" w:left="1080" w:header="851" w:footer="992" w:gutter="0"/>
          <w:pgNumType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kern w:val="0"/>
          <w:sz w:val="52"/>
          <w:szCs w:val="52"/>
        </w:rPr>
      </w:pPr>
      <w:r>
        <w:rPr>
          <w:rFonts w:hint="eastAsia" w:ascii="仿宋" w:hAnsi="仿宋" w:eastAsia="仿宋" w:cs="仿宋"/>
          <w:b/>
          <w:bCs/>
          <w:kern w:val="0"/>
          <w:sz w:val="52"/>
          <w:szCs w:val="52"/>
        </w:rPr>
        <w:t>目   录</w:t>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480" w:lineRule="auto"/>
        <w:textAlignment w:val="auto"/>
      </w:pPr>
      <w:bookmarkStart w:id="0" w:name="_Toc286074107"/>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_Toc9555 </w:instrText>
      </w:r>
      <w:r>
        <w:rPr>
          <w:rFonts w:hint="eastAsia" w:ascii="仿宋" w:hAnsi="仿宋" w:eastAsia="仿宋" w:cs="仿宋"/>
          <w:szCs w:val="24"/>
        </w:rPr>
        <w:fldChar w:fldCharType="separate"/>
      </w:r>
      <w:r>
        <w:rPr>
          <w:rFonts w:hint="eastAsia" w:ascii="仿宋" w:hAnsi="仿宋" w:eastAsia="仿宋" w:cs="仿宋"/>
          <w:bCs/>
          <w:kern w:val="0"/>
          <w:szCs w:val="52"/>
        </w:rPr>
        <w:t>估价师声明</w:t>
      </w:r>
      <w:r>
        <w:tab/>
      </w:r>
      <w:r>
        <w:fldChar w:fldCharType="begin"/>
      </w:r>
      <w:r>
        <w:instrText xml:space="preserve"> PAGEREF _Toc9555 \h </w:instrText>
      </w:r>
      <w:r>
        <w:fldChar w:fldCharType="separate"/>
      </w:r>
      <w:r>
        <w:t>2</w:t>
      </w:r>
      <w:r>
        <w:fldChar w:fldCharType="end"/>
      </w:r>
      <w:r>
        <w:rPr>
          <w:rFonts w:hint="eastAsia" w:ascii="仿宋" w:hAnsi="仿宋" w:eastAsia="仿宋" w:cs="仿宋"/>
          <w:szCs w:val="24"/>
        </w:rPr>
        <w:fldChar w:fldCharType="end"/>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_Toc7118 </w:instrText>
      </w:r>
      <w:r>
        <w:rPr>
          <w:rFonts w:hint="eastAsia" w:ascii="仿宋" w:hAnsi="仿宋" w:eastAsia="仿宋" w:cs="仿宋"/>
          <w:szCs w:val="24"/>
        </w:rPr>
        <w:fldChar w:fldCharType="separate"/>
      </w:r>
      <w:r>
        <w:rPr>
          <w:rFonts w:hint="eastAsia" w:ascii="仿宋" w:hAnsi="仿宋" w:eastAsia="仿宋" w:cs="仿宋"/>
          <w:bCs/>
          <w:kern w:val="0"/>
          <w:szCs w:val="52"/>
        </w:rPr>
        <w:t>估价的假设和限制条件</w:t>
      </w:r>
      <w:r>
        <w:tab/>
      </w:r>
      <w:r>
        <w:fldChar w:fldCharType="begin"/>
      </w:r>
      <w:r>
        <w:instrText xml:space="preserve"> PAGEREF _Toc7118 \h </w:instrText>
      </w:r>
      <w:r>
        <w:fldChar w:fldCharType="separate"/>
      </w:r>
      <w:r>
        <w:t>3</w:t>
      </w:r>
      <w:r>
        <w:fldChar w:fldCharType="end"/>
      </w:r>
      <w:r>
        <w:rPr>
          <w:rFonts w:hint="eastAsia" w:ascii="仿宋" w:hAnsi="仿宋" w:eastAsia="仿宋" w:cs="仿宋"/>
          <w:szCs w:val="24"/>
        </w:rPr>
        <w:fldChar w:fldCharType="end"/>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_Toc9045 </w:instrText>
      </w:r>
      <w:r>
        <w:rPr>
          <w:rFonts w:hint="eastAsia" w:ascii="仿宋" w:hAnsi="仿宋" w:eastAsia="仿宋" w:cs="仿宋"/>
          <w:szCs w:val="24"/>
        </w:rPr>
        <w:fldChar w:fldCharType="separate"/>
      </w:r>
      <w:r>
        <w:rPr>
          <w:rFonts w:hint="eastAsia" w:ascii="仿宋" w:hAnsi="仿宋" w:eastAsia="仿宋" w:cs="仿宋"/>
          <w:bCs/>
          <w:kern w:val="0"/>
          <w:szCs w:val="52"/>
        </w:rPr>
        <w:t>估价结果报告</w:t>
      </w:r>
      <w:r>
        <w:tab/>
      </w:r>
      <w:r>
        <w:fldChar w:fldCharType="begin"/>
      </w:r>
      <w:r>
        <w:instrText xml:space="preserve"> PAGEREF _Toc9045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_Toc2507 </w:instrText>
      </w:r>
      <w:r>
        <w:rPr>
          <w:rFonts w:hint="eastAsia" w:ascii="仿宋" w:hAnsi="仿宋" w:eastAsia="仿宋" w:cs="仿宋"/>
          <w:szCs w:val="24"/>
        </w:rPr>
        <w:fldChar w:fldCharType="separate"/>
      </w:r>
      <w:r>
        <w:rPr>
          <w:rFonts w:hint="eastAsia" w:ascii="仿宋" w:hAnsi="仿宋" w:eastAsia="仿宋" w:cs="仿宋"/>
          <w:kern w:val="0"/>
          <w:szCs w:val="32"/>
        </w:rPr>
        <w:t>一、估价委托方</w:t>
      </w:r>
      <w:r>
        <w:tab/>
      </w:r>
      <w:r>
        <w:fldChar w:fldCharType="begin"/>
      </w:r>
      <w:r>
        <w:instrText xml:space="preserve"> PAGEREF _Toc2507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_Toc25974 </w:instrText>
      </w:r>
      <w:r>
        <w:rPr>
          <w:rFonts w:hint="eastAsia" w:ascii="仿宋" w:hAnsi="仿宋" w:eastAsia="仿宋" w:cs="仿宋"/>
          <w:szCs w:val="24"/>
        </w:rPr>
        <w:fldChar w:fldCharType="separate"/>
      </w:r>
      <w:r>
        <w:rPr>
          <w:rFonts w:hint="eastAsia" w:ascii="仿宋" w:hAnsi="仿宋" w:eastAsia="仿宋" w:cs="仿宋"/>
          <w:bCs/>
          <w:kern w:val="0"/>
          <w:szCs w:val="32"/>
        </w:rPr>
        <w:t>二、房地产估价机构</w:t>
      </w:r>
      <w:r>
        <w:tab/>
      </w:r>
      <w:r>
        <w:fldChar w:fldCharType="begin"/>
      </w:r>
      <w:r>
        <w:instrText xml:space="preserve"> PAGEREF _Toc25974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_Toc21182 </w:instrText>
      </w:r>
      <w:r>
        <w:rPr>
          <w:rFonts w:hint="eastAsia" w:ascii="仿宋" w:hAnsi="仿宋" w:eastAsia="仿宋" w:cs="仿宋"/>
          <w:szCs w:val="24"/>
        </w:rPr>
        <w:fldChar w:fldCharType="separate"/>
      </w:r>
      <w:r>
        <w:rPr>
          <w:rFonts w:hint="eastAsia" w:ascii="仿宋" w:hAnsi="仿宋" w:eastAsia="仿宋" w:cs="仿宋"/>
          <w:bCs/>
          <w:kern w:val="0"/>
          <w:szCs w:val="32"/>
        </w:rPr>
        <w:t>三、估价目的</w:t>
      </w:r>
      <w:r>
        <w:tab/>
      </w:r>
      <w:r>
        <w:fldChar w:fldCharType="begin"/>
      </w:r>
      <w:r>
        <w:instrText xml:space="preserve"> PAGEREF _Toc21182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_Toc16823 </w:instrText>
      </w:r>
      <w:r>
        <w:rPr>
          <w:rFonts w:hint="eastAsia" w:ascii="仿宋" w:hAnsi="仿宋" w:eastAsia="仿宋" w:cs="仿宋"/>
          <w:szCs w:val="24"/>
        </w:rPr>
        <w:fldChar w:fldCharType="separate"/>
      </w:r>
      <w:r>
        <w:rPr>
          <w:rFonts w:hint="eastAsia" w:ascii="仿宋" w:hAnsi="仿宋" w:eastAsia="仿宋" w:cs="仿宋"/>
          <w:bCs/>
          <w:kern w:val="0"/>
          <w:szCs w:val="32"/>
        </w:rPr>
        <w:t>四、估价对象</w:t>
      </w:r>
      <w:r>
        <w:tab/>
      </w:r>
      <w:r>
        <w:fldChar w:fldCharType="begin"/>
      </w:r>
      <w:r>
        <w:instrText xml:space="preserve"> PAGEREF _Toc16823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_Toc26952 </w:instrText>
      </w:r>
      <w:r>
        <w:rPr>
          <w:rFonts w:hint="eastAsia" w:ascii="仿宋" w:hAnsi="仿宋" w:eastAsia="仿宋" w:cs="仿宋"/>
          <w:szCs w:val="24"/>
        </w:rPr>
        <w:fldChar w:fldCharType="separate"/>
      </w:r>
      <w:r>
        <w:rPr>
          <w:rFonts w:hint="eastAsia" w:ascii="仿宋" w:hAnsi="仿宋" w:eastAsia="仿宋" w:cs="仿宋"/>
          <w:bCs/>
          <w:kern w:val="0"/>
          <w:szCs w:val="32"/>
        </w:rPr>
        <w:t>五、 价值时点</w:t>
      </w:r>
      <w:r>
        <w:tab/>
      </w:r>
      <w:r>
        <w:fldChar w:fldCharType="begin"/>
      </w:r>
      <w:r>
        <w:instrText xml:space="preserve"> PAGEREF _Toc26952 \h </w:instrText>
      </w:r>
      <w:r>
        <w:fldChar w:fldCharType="separate"/>
      </w:r>
      <w:r>
        <w:t>10</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_Toc2643 </w:instrText>
      </w:r>
      <w:r>
        <w:rPr>
          <w:rFonts w:hint="eastAsia" w:ascii="仿宋" w:hAnsi="仿宋" w:eastAsia="仿宋" w:cs="仿宋"/>
          <w:szCs w:val="24"/>
        </w:rPr>
        <w:fldChar w:fldCharType="separate"/>
      </w:r>
      <w:r>
        <w:rPr>
          <w:rFonts w:hint="eastAsia" w:ascii="仿宋" w:hAnsi="仿宋" w:eastAsia="仿宋" w:cs="仿宋"/>
          <w:bCs/>
          <w:kern w:val="0"/>
          <w:szCs w:val="32"/>
        </w:rPr>
        <w:t>六、价值类型</w:t>
      </w:r>
      <w:r>
        <w:tab/>
      </w:r>
      <w:r>
        <w:fldChar w:fldCharType="begin"/>
      </w:r>
      <w:r>
        <w:instrText xml:space="preserve"> PAGEREF _Toc2643 \h </w:instrText>
      </w:r>
      <w:r>
        <w:fldChar w:fldCharType="separate"/>
      </w:r>
      <w:r>
        <w:t>10</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_Toc16490 </w:instrText>
      </w:r>
      <w:r>
        <w:rPr>
          <w:rFonts w:hint="eastAsia" w:ascii="仿宋" w:hAnsi="仿宋" w:eastAsia="仿宋" w:cs="仿宋"/>
          <w:szCs w:val="24"/>
        </w:rPr>
        <w:fldChar w:fldCharType="separate"/>
      </w:r>
      <w:r>
        <w:rPr>
          <w:rFonts w:hint="eastAsia" w:ascii="仿宋" w:hAnsi="仿宋" w:eastAsia="仿宋" w:cs="仿宋"/>
          <w:bCs/>
          <w:kern w:val="0"/>
          <w:szCs w:val="32"/>
        </w:rPr>
        <w:t>七、估价原则</w:t>
      </w:r>
      <w:r>
        <w:tab/>
      </w:r>
      <w:r>
        <w:fldChar w:fldCharType="begin"/>
      </w:r>
      <w:r>
        <w:instrText xml:space="preserve"> PAGEREF _Toc16490 \h </w:instrText>
      </w:r>
      <w:r>
        <w:fldChar w:fldCharType="separate"/>
      </w:r>
      <w:r>
        <w:t>11</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_Toc28975 </w:instrText>
      </w:r>
      <w:r>
        <w:rPr>
          <w:rFonts w:hint="eastAsia" w:ascii="仿宋" w:hAnsi="仿宋" w:eastAsia="仿宋" w:cs="仿宋"/>
          <w:szCs w:val="24"/>
        </w:rPr>
        <w:fldChar w:fldCharType="separate"/>
      </w:r>
      <w:r>
        <w:rPr>
          <w:rFonts w:hint="eastAsia" w:ascii="仿宋" w:hAnsi="仿宋" w:eastAsia="仿宋" w:cs="仿宋"/>
          <w:bCs/>
          <w:kern w:val="0"/>
          <w:szCs w:val="32"/>
        </w:rPr>
        <w:t>八、估价依据</w:t>
      </w:r>
      <w:r>
        <w:tab/>
      </w:r>
      <w:r>
        <w:fldChar w:fldCharType="begin"/>
      </w:r>
      <w:r>
        <w:instrText xml:space="preserve"> PAGEREF _Toc28975 \h </w:instrText>
      </w:r>
      <w:r>
        <w:fldChar w:fldCharType="separate"/>
      </w:r>
      <w:r>
        <w:t>11</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_Toc18870 </w:instrText>
      </w:r>
      <w:r>
        <w:rPr>
          <w:rFonts w:hint="eastAsia" w:ascii="仿宋" w:hAnsi="仿宋" w:eastAsia="仿宋" w:cs="仿宋"/>
          <w:szCs w:val="24"/>
        </w:rPr>
        <w:fldChar w:fldCharType="separate"/>
      </w:r>
      <w:r>
        <w:rPr>
          <w:rFonts w:hint="eastAsia" w:ascii="仿宋" w:hAnsi="仿宋" w:eastAsia="仿宋" w:cs="仿宋"/>
          <w:bCs/>
          <w:kern w:val="0"/>
          <w:szCs w:val="32"/>
        </w:rPr>
        <w:t>九、估价方法</w:t>
      </w:r>
      <w:r>
        <w:tab/>
      </w:r>
      <w:r>
        <w:fldChar w:fldCharType="begin"/>
      </w:r>
      <w:r>
        <w:instrText xml:space="preserve"> PAGEREF _Toc18870 \h </w:instrText>
      </w:r>
      <w:r>
        <w:fldChar w:fldCharType="separate"/>
      </w:r>
      <w:r>
        <w:t>13</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_Toc5067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w:t>
      </w:r>
      <w:r>
        <w:rPr>
          <w:rFonts w:hint="eastAsia" w:ascii="仿宋" w:hAnsi="仿宋" w:eastAsia="仿宋" w:cs="仿宋"/>
          <w:bCs/>
          <w:kern w:val="0"/>
          <w:szCs w:val="32"/>
        </w:rPr>
        <w:t>估价结果</w:t>
      </w:r>
      <w:r>
        <w:tab/>
      </w:r>
      <w:r>
        <w:fldChar w:fldCharType="begin"/>
      </w:r>
      <w:r>
        <w:instrText xml:space="preserve"> PAGEREF _Toc5067 \h </w:instrText>
      </w:r>
      <w:r>
        <w:fldChar w:fldCharType="separate"/>
      </w:r>
      <w:r>
        <w:t>14</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_Toc15872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十一、</w:t>
      </w:r>
      <w:r>
        <w:rPr>
          <w:rFonts w:hint="eastAsia" w:ascii="仿宋" w:hAnsi="仿宋" w:eastAsia="仿宋" w:cs="仿宋"/>
          <w:kern w:val="0"/>
        </w:rPr>
        <w:t>注册房地产估价师</w:t>
      </w:r>
      <w:r>
        <w:tab/>
      </w:r>
      <w:r>
        <w:fldChar w:fldCharType="begin"/>
      </w:r>
      <w:r>
        <w:instrText xml:space="preserve"> PAGEREF _Toc15872 \h </w:instrText>
      </w:r>
      <w:r>
        <w:fldChar w:fldCharType="separate"/>
      </w:r>
      <w:r>
        <w:t>14</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_Toc23483 </w:instrText>
      </w:r>
      <w:r>
        <w:rPr>
          <w:rFonts w:hint="eastAsia" w:ascii="仿宋" w:hAnsi="仿宋" w:eastAsia="仿宋" w:cs="仿宋"/>
          <w:szCs w:val="24"/>
        </w:rPr>
        <w:fldChar w:fldCharType="separate"/>
      </w:r>
      <w:r>
        <w:rPr>
          <w:rFonts w:hint="eastAsia" w:ascii="仿宋" w:hAnsi="仿宋" w:eastAsia="仿宋" w:cs="仿宋"/>
          <w:bCs/>
          <w:kern w:val="0"/>
        </w:rPr>
        <w:t>十二、实地查勘期</w:t>
      </w:r>
      <w:r>
        <w:tab/>
      </w:r>
      <w:r>
        <w:fldChar w:fldCharType="begin"/>
      </w:r>
      <w:r>
        <w:instrText xml:space="preserve"> PAGEREF _Toc23483 \h </w:instrText>
      </w:r>
      <w:r>
        <w:fldChar w:fldCharType="separate"/>
      </w:r>
      <w:r>
        <w:t>15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_Toc19559 </w:instrText>
      </w:r>
      <w:r>
        <w:rPr>
          <w:rFonts w:hint="eastAsia" w:ascii="仿宋" w:hAnsi="仿宋" w:eastAsia="仿宋" w:cs="仿宋"/>
          <w:szCs w:val="24"/>
        </w:rPr>
        <w:fldChar w:fldCharType="separate"/>
      </w:r>
      <w:r>
        <w:rPr>
          <w:rFonts w:hint="eastAsia" w:ascii="仿宋" w:hAnsi="仿宋" w:eastAsia="仿宋" w:cs="仿宋"/>
          <w:bCs/>
          <w:kern w:val="0"/>
        </w:rPr>
        <w:t>十三、估价作业日期</w:t>
      </w:r>
      <w:r>
        <w:tab/>
      </w:r>
      <w:r>
        <w:fldChar w:fldCharType="begin"/>
      </w:r>
      <w:r>
        <w:instrText xml:space="preserve"> PAGEREF _Toc19559 \h </w:instrText>
      </w:r>
      <w:r>
        <w:fldChar w:fldCharType="separate"/>
      </w:r>
      <w:r>
        <w:t>15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_Toc32760 </w:instrText>
      </w:r>
      <w:r>
        <w:rPr>
          <w:rFonts w:hint="eastAsia" w:ascii="仿宋" w:hAnsi="仿宋" w:eastAsia="仿宋" w:cs="仿宋"/>
          <w:szCs w:val="24"/>
        </w:rPr>
        <w:fldChar w:fldCharType="separate"/>
      </w:r>
      <w:r>
        <w:rPr>
          <w:rFonts w:hint="eastAsia" w:ascii="仿宋" w:hAnsi="仿宋" w:eastAsia="仿宋" w:cs="仿宋"/>
          <w:bCs/>
          <w:kern w:val="0"/>
        </w:rPr>
        <w:t>十</w:t>
      </w:r>
      <w:r>
        <w:rPr>
          <w:rFonts w:hint="eastAsia" w:ascii="仿宋" w:hAnsi="仿宋" w:eastAsia="仿宋" w:cs="仿宋"/>
          <w:bCs/>
          <w:kern w:val="0"/>
          <w:lang w:val="en-US" w:eastAsia="zh-CN"/>
        </w:rPr>
        <w:t>四</w:t>
      </w:r>
      <w:r>
        <w:rPr>
          <w:rFonts w:hint="eastAsia" w:ascii="仿宋" w:hAnsi="仿宋" w:eastAsia="仿宋" w:cs="仿宋"/>
          <w:bCs/>
          <w:kern w:val="0"/>
        </w:rPr>
        <w:t>、估价报告应用的有效期</w:t>
      </w:r>
      <w:r>
        <w:tab/>
      </w:r>
      <w:r>
        <w:fldChar w:fldCharType="begin"/>
      </w:r>
      <w:r>
        <w:instrText xml:space="preserve"> PAGEREF _Toc32760 \h </w:instrText>
      </w:r>
      <w:r>
        <w:fldChar w:fldCharType="separate"/>
      </w:r>
      <w:r>
        <w:t>15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_Toc27387 </w:instrText>
      </w:r>
      <w:r>
        <w:rPr>
          <w:rFonts w:hint="eastAsia" w:ascii="仿宋" w:hAnsi="仿宋" w:eastAsia="仿宋" w:cs="仿宋"/>
          <w:szCs w:val="24"/>
        </w:rPr>
        <w:fldChar w:fldCharType="separate"/>
      </w:r>
      <w:r>
        <w:rPr>
          <w:rFonts w:hint="eastAsia" w:ascii="仿宋" w:hAnsi="仿宋" w:eastAsia="仿宋" w:cs="仿宋"/>
          <w:bCs/>
          <w:kern w:val="0"/>
        </w:rPr>
        <w:t>十五、其它需要特别说明的事项</w:t>
      </w:r>
      <w:r>
        <w:tab/>
      </w:r>
      <w:r>
        <w:fldChar w:fldCharType="begin"/>
      </w:r>
      <w:r>
        <w:instrText xml:space="preserve"> PAGEREF _Toc27387 \h </w:instrText>
      </w:r>
      <w:r>
        <w:fldChar w:fldCharType="separate"/>
      </w:r>
      <w:r>
        <w:t>15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480" w:lineRule="auto"/>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_Toc5499 </w:instrText>
      </w:r>
      <w:r>
        <w:rPr>
          <w:rFonts w:hint="eastAsia" w:ascii="仿宋" w:hAnsi="仿宋" w:eastAsia="仿宋" w:cs="仿宋"/>
          <w:szCs w:val="24"/>
        </w:rPr>
        <w:fldChar w:fldCharType="separate"/>
      </w:r>
      <w:r>
        <w:rPr>
          <w:rFonts w:hint="eastAsia" w:ascii="仿宋" w:hAnsi="仿宋" w:eastAsia="仿宋" w:cs="仿宋"/>
          <w:bCs/>
          <w:kern w:val="0"/>
          <w:szCs w:val="44"/>
        </w:rPr>
        <w:t>附     件</w:t>
      </w:r>
      <w:r>
        <w:tab/>
      </w:r>
      <w:r>
        <w:fldChar w:fldCharType="begin"/>
      </w:r>
      <w:r>
        <w:instrText xml:space="preserve"> PAGEREF _Toc5499 \h </w:instrText>
      </w:r>
      <w:r>
        <w:fldChar w:fldCharType="separate"/>
      </w:r>
      <w:r>
        <w:t>17</w:t>
      </w:r>
      <w:r>
        <w:fldChar w:fldCharType="end"/>
      </w:r>
      <w:r>
        <w:rPr>
          <w:rFonts w:hint="eastAsia" w:ascii="仿宋" w:hAnsi="仿宋" w:eastAsia="仿宋" w:cs="仿宋"/>
          <w:szCs w:val="24"/>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仿宋" w:hAnsi="仿宋" w:eastAsia="仿宋" w:cs="仿宋"/>
          <w:szCs w:val="24"/>
        </w:rPr>
      </w:pPr>
      <w:r>
        <w:rPr>
          <w:rFonts w:hint="eastAsia" w:ascii="仿宋" w:hAnsi="仿宋" w:eastAsia="仿宋" w:cs="仿宋"/>
          <w:szCs w:val="24"/>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 w:hAnsi="仿宋" w:eastAsia="仿宋" w:cs="仿宋"/>
          <w:szCs w:val="24"/>
        </w:rPr>
      </w:pPr>
    </w:p>
    <w:bookmarkEnd w:id="0"/>
    <w:p>
      <w:pPr>
        <w:pStyle w:val="2"/>
        <w:spacing w:before="0" w:after="0"/>
        <w:jc w:val="center"/>
        <w:rPr>
          <w:rFonts w:hint="eastAsia" w:ascii="仿宋" w:hAnsi="仿宋" w:eastAsia="仿宋" w:cs="仿宋"/>
          <w:b/>
          <w:bCs/>
          <w:kern w:val="0"/>
          <w:sz w:val="52"/>
          <w:szCs w:val="52"/>
        </w:rPr>
      </w:pPr>
      <w:bookmarkStart w:id="1" w:name="_Toc11009"/>
      <w:bookmarkStart w:id="2" w:name="_Toc9555"/>
      <w:bookmarkStart w:id="3" w:name="_Toc491439231"/>
      <w:bookmarkStart w:id="4" w:name="_Toc457813611"/>
      <w:r>
        <w:rPr>
          <w:rFonts w:hint="eastAsia" w:ascii="仿宋" w:hAnsi="仿宋" w:eastAsia="仿宋" w:cs="仿宋"/>
          <w:b/>
          <w:bCs/>
          <w:kern w:val="0"/>
          <w:sz w:val="52"/>
          <w:szCs w:val="52"/>
        </w:rPr>
        <w:t>估价师声明</w:t>
      </w:r>
      <w:bookmarkEnd w:id="1"/>
      <w:bookmarkEnd w:id="2"/>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所有参加估价的注册房地产估价师郑重申明：</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一、注册房地产估价师在执行估价业务中，严格遵循相关法律法规和估价规范对注册房地产估价师的估价职业道德要求。</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 xml:space="preserve">二、注册房地产估价师具备估价业务所需的专业胜任能力。 </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三、注册房地产估价师估价业务中勤勉尽责，搜集合法、真实、准确、完整的估价所需资料，对搜集的估价所需资料进行检查，并对估价对象进行实地查勘。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四、注册房地产估价师在估价报告中对事实的说明是真实和准确的，没有虚假记载、误导性陈述和重大遗漏。</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五、估价报告中的分析、意见和结论是注册房地产估价师独立、客观、公正的专业分析、意见和结论，但受到估价报告中已说明的估价假设和限制条件的限制。</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六、注册房地产估价师与估价报告中的估价对象没有现实或潜在的利益，与估价委托方及估价利害关系人没有利害关系，也对估价对象、估价委托方及估价利害关系人没有偏见。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七、注册房地产估价师是按照《房地产估价规范》GB/T50291-2015、《房地产估价基本术语标准》GB/T50899—2013、等房地产估价标准的规定进行估价工作，撰写估价报告。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八、本估价报告没有专业帮助、未依据相关专业意见。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p>
    <w:tbl>
      <w:tblPr>
        <w:tblStyle w:val="23"/>
        <w:tblW w:w="0" w:type="auto"/>
        <w:jc w:val="center"/>
        <w:tblLayout w:type="fixed"/>
        <w:tblCellMar>
          <w:top w:w="0" w:type="dxa"/>
          <w:left w:w="108" w:type="dxa"/>
          <w:bottom w:w="0" w:type="dxa"/>
          <w:right w:w="108" w:type="dxa"/>
        </w:tblCellMar>
      </w:tblPr>
      <w:tblGrid>
        <w:gridCol w:w="2651"/>
        <w:gridCol w:w="2955"/>
        <w:gridCol w:w="3159"/>
      </w:tblGrid>
      <w:tr>
        <w:tblPrEx>
          <w:tblCellMar>
            <w:top w:w="0" w:type="dxa"/>
            <w:left w:w="108" w:type="dxa"/>
            <w:bottom w:w="0" w:type="dxa"/>
            <w:right w:w="108" w:type="dxa"/>
          </w:tblCellMar>
        </w:tblPrEx>
        <w:trPr>
          <w:trHeight w:val="768" w:hRule="atLeast"/>
          <w:jc w:val="center"/>
        </w:trPr>
        <w:tc>
          <w:tcPr>
            <w:tcW w:w="26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   名</w:t>
            </w:r>
          </w:p>
        </w:tc>
        <w:tc>
          <w:tcPr>
            <w:tcW w:w="29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1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65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9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15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65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9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15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　</w:t>
            </w:r>
          </w:p>
        </w:tc>
      </w:tr>
    </w:tbl>
    <w:p>
      <w:pPr>
        <w:overflowPunct w:val="0"/>
        <w:topLinePunct/>
        <w:adjustRightInd w:val="0"/>
        <w:snapToGrid w:val="0"/>
        <w:spacing w:line="300" w:lineRule="auto"/>
        <w:ind w:firstLine="560" w:firstLineChars="200"/>
        <w:jc w:val="left"/>
        <w:rPr>
          <w:rFonts w:hint="eastAsia" w:ascii="仿宋" w:hAnsi="仿宋" w:eastAsia="仿宋" w:cs="仿宋"/>
          <w:bCs/>
          <w:sz w:val="28"/>
          <w:lang w:val="en-US" w:eastAsia="zh-CN"/>
        </w:rPr>
      </w:pPr>
      <w:r>
        <w:rPr>
          <w:rFonts w:hint="eastAsia" w:ascii="仿宋" w:hAnsi="仿宋" w:eastAsia="仿宋" w:cs="仿宋"/>
          <w:bCs/>
          <w:sz w:val="28"/>
        </w:rPr>
        <w:t xml:space="preserve">    </w:t>
      </w:r>
      <w:r>
        <w:rPr>
          <w:rFonts w:hint="eastAsia" w:ascii="仿宋" w:hAnsi="仿宋" w:eastAsia="仿宋" w:cs="仿宋"/>
          <w:bCs/>
          <w:sz w:val="28"/>
          <w:lang w:val="en-US" w:eastAsia="zh-CN"/>
        </w:rPr>
        <w:t xml:space="preserve">                                 </w:t>
      </w:r>
    </w:p>
    <w:p>
      <w:pPr>
        <w:overflowPunct w:val="0"/>
        <w:topLinePunct/>
        <w:adjustRightInd w:val="0"/>
        <w:snapToGrid w:val="0"/>
        <w:spacing w:line="300" w:lineRule="auto"/>
        <w:ind w:firstLine="560" w:firstLineChars="200"/>
        <w:jc w:val="left"/>
        <w:rPr>
          <w:rFonts w:hint="default" w:ascii="仿宋" w:hAnsi="仿宋" w:eastAsia="仿宋" w:cs="仿宋"/>
          <w:bCs/>
          <w:sz w:val="28"/>
          <w:lang w:val="en-US" w:eastAsia="zh-CN"/>
        </w:rPr>
      </w:pPr>
      <w:r>
        <w:rPr>
          <w:rFonts w:hint="eastAsia" w:ascii="仿宋" w:hAnsi="仿宋" w:eastAsia="仿宋" w:cs="仿宋"/>
          <w:bCs/>
          <w:sz w:val="28"/>
          <w:lang w:val="en-US" w:eastAsia="zh-CN"/>
        </w:rPr>
        <w:t xml:space="preserve">                                         </w:t>
      </w:r>
      <w:r>
        <w:rPr>
          <w:rFonts w:hint="eastAsia" w:ascii="仿宋" w:hAnsi="仿宋" w:eastAsia="仿宋" w:cs="仿宋"/>
          <w:b/>
          <w:bCs/>
          <w:sz w:val="28"/>
          <w:szCs w:val="28"/>
          <w:lang w:val="en-US" w:eastAsia="zh-CN"/>
        </w:rPr>
        <w:t>二〇二二年十一月二十二日</w:t>
      </w: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pStyle w:val="2"/>
        <w:spacing w:before="0" w:after="0"/>
        <w:jc w:val="center"/>
        <w:rPr>
          <w:rFonts w:hint="eastAsia" w:ascii="仿宋" w:hAnsi="仿宋" w:eastAsia="仿宋" w:cs="仿宋"/>
          <w:b/>
          <w:bCs/>
          <w:kern w:val="0"/>
          <w:sz w:val="52"/>
          <w:szCs w:val="52"/>
        </w:rPr>
      </w:pPr>
      <w:bookmarkStart w:id="5" w:name="_Toc13667"/>
      <w:bookmarkStart w:id="6" w:name="_Toc7118"/>
      <w:bookmarkStart w:id="7" w:name="_Toc461005127"/>
      <w:bookmarkStart w:id="8" w:name="_Toc522795031"/>
      <w:r>
        <w:rPr>
          <w:rFonts w:hint="eastAsia" w:ascii="仿宋" w:hAnsi="仿宋" w:eastAsia="仿宋" w:cs="仿宋"/>
          <w:b/>
          <w:bCs/>
          <w:kern w:val="0"/>
          <w:sz w:val="52"/>
          <w:szCs w:val="52"/>
        </w:rPr>
        <w:t>估价的假设和限制条件</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一、一般性假设</w:t>
      </w:r>
      <w:bookmarkEnd w:id="8"/>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（一）假设估价对象能够持续正常使用；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（三）注册房地产估价师对房屋安全、环境污染等影响估价对象价值或价格的重大因素给予了关注，无理由怀疑估价对象存在安全隐患且无相应的专业机构进行鉴定、检测，假定估价对象不存在房屋安全隐患。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（四）公开市场假设。公开市场是形成市场价格的市场，市场价格是在价值时点预期能够成交的正常价格。它们依据了如下假设：</w:t>
      </w:r>
      <w:bookmarkStart w:id="73" w:name="_GoBack"/>
      <w:bookmarkEnd w:id="73"/>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1、交易双方是自愿地进行交易的；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2、交易双方是出于利己动机进行交易的；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3、买卖双方的交易行为都是精明和谨慎的；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4、交易双方有较充裕的时间进行交易；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5、在此周期内，市场状况和价格水平是静止不动的；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6、不考虑特殊买家的附加出价，也未考虑国家宏观经济政策发生变化以及遇有自然力和其他不可抗力对资产价格的影响。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7、当前述条件情况发生变动时，估价结果一般会失效。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（五）委托人未能提供估价对象的《房屋所有权证》或《不动产权证》，估价对象的权属、建筑面积、用途等，是根据委托方提供的</w:t>
      </w:r>
      <w:r>
        <w:rPr>
          <w:rFonts w:hint="eastAsia" w:eastAsia="仿宋_GB2312"/>
          <w:color w:val="auto"/>
          <w:sz w:val="26"/>
          <w:szCs w:val="26"/>
          <w:lang w:val="en-US" w:eastAsia="zh-CN"/>
        </w:rPr>
        <w:t>《商品房项目销售及登记情况一览表》、《国有土地使用权证》（大证）、《建设用地规划许可证》、《建设工程规划许可证》、《建筑工程施工许可证》、《商品房预售许可证》</w:t>
      </w:r>
      <w:r>
        <w:rPr>
          <w:rFonts w:hint="eastAsia" w:eastAsia="仿宋_GB2312"/>
          <w:color w:val="000000"/>
          <w:sz w:val="26"/>
          <w:szCs w:val="26"/>
          <w:lang w:val="en-US" w:eastAsia="zh-CN"/>
        </w:rPr>
        <w:t>所得，若估价对象的实际面积、用途等与相关产权管理部门最终核定的不一致，应以相关产权部门核定的为准，并相应的调整评估价值。</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9" w:name="_Toc522795032"/>
      <w:r>
        <w:rPr>
          <w:rFonts w:hint="eastAsia" w:ascii="仿宋" w:hAnsi="仿宋" w:eastAsia="仿宋" w:cs="仿宋"/>
          <w:b/>
          <w:bCs/>
          <w:color w:val="000000"/>
          <w:sz w:val="28"/>
          <w:szCs w:val="28"/>
        </w:rPr>
        <w:t>二、未定事项假设</w:t>
      </w:r>
      <w:bookmarkEnd w:id="9"/>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无未定事项假设。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0" w:name="_Toc522795033"/>
      <w:r>
        <w:rPr>
          <w:rFonts w:hint="eastAsia" w:ascii="仿宋" w:hAnsi="仿宋" w:eastAsia="仿宋" w:cs="仿宋"/>
          <w:b/>
          <w:bCs/>
          <w:color w:val="000000"/>
          <w:sz w:val="28"/>
          <w:szCs w:val="28"/>
        </w:rPr>
        <w:t>三、背离事实假设</w:t>
      </w:r>
      <w:bookmarkEnd w:id="10"/>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根据《房地产估价规范》(GB/T50291-2015)5.4.2.2条规定，结合本次估价目的是为人民法院确定财产处置参考价提供参考依据而评估房地产市场价值，故不考虑估价对象可能存在的抵押、查封、欠款等事项的影响。</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1" w:name="_Toc522795034"/>
      <w:r>
        <w:rPr>
          <w:rFonts w:hint="eastAsia" w:ascii="仿宋" w:hAnsi="仿宋" w:eastAsia="仿宋" w:cs="仿宋"/>
          <w:b/>
          <w:bCs/>
          <w:color w:val="000000"/>
          <w:sz w:val="28"/>
          <w:szCs w:val="28"/>
        </w:rPr>
        <w:t>四、不相一致假设</w:t>
      </w:r>
      <w:bookmarkEnd w:id="11"/>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无不相一致假设。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2" w:name="_Toc522795035"/>
      <w:r>
        <w:rPr>
          <w:rFonts w:hint="eastAsia" w:ascii="仿宋" w:hAnsi="仿宋" w:eastAsia="仿宋" w:cs="仿宋"/>
          <w:b/>
          <w:bCs/>
          <w:color w:val="000000"/>
          <w:sz w:val="28"/>
          <w:szCs w:val="28"/>
          <w:lang w:val="en-US" w:eastAsia="zh-CN"/>
        </w:rPr>
        <w:t>五、依据不足假设</w:t>
      </w:r>
      <w:bookmarkEnd w:id="12"/>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bookmarkStart w:id="13" w:name="_Toc522795036"/>
      <w:r>
        <w:rPr>
          <w:rFonts w:hint="eastAsia" w:eastAsia="仿宋_GB2312"/>
          <w:color w:val="000000"/>
          <w:sz w:val="26"/>
          <w:szCs w:val="26"/>
          <w:lang w:val="en-US" w:eastAsia="zh-CN"/>
        </w:rPr>
        <w:t>无依据不足假设。</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六、估价报告使用限制</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（一）本估价报告及估价结果仅用于报告载明之估价目的使用，不得用于报告载明估价目的之外的用途使用。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非为法律、行政法规的需要，报告及附件的全部或部分内容不得向委托方和评估审查部门以外的单位和个人提供，未经委托单位许可，不得见诸于公开媒体、复制或引证。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因使用不当产生的后果，与本估价机构及注册房地产估价师无关。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（二）本估价报告有效期限为一年，从估价报告出具日期之日起计算，估价目的在报告有效期内实现的，可以本估价报告及估价结果作参考。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估价目的在报告有限期之后实现的，不能以本估价报告及估价结果作参考，应重新进行估价。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价值时点后估价报告有效期以内若估价对象数量或价格水平发生重大变化，对估价结果产生明显影响时，委托方或相关当事方应及时聘请估价机构重新确定估价结果。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bookmarkStart w:id="14" w:name="_Toc522795037"/>
      <w:r>
        <w:rPr>
          <w:rFonts w:hint="eastAsia" w:ascii="仿宋" w:hAnsi="仿宋" w:eastAsia="仿宋" w:cs="仿宋"/>
          <w:b/>
          <w:bCs/>
          <w:sz w:val="28"/>
          <w:szCs w:val="28"/>
          <w:lang w:val="en-US" w:eastAsia="zh-CN"/>
        </w:rPr>
        <w:t>七、使用估价报告和估价结果时需要注意的其他事项</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（一）本估价报告提供的估价结果是在假设和限制条件及特殊说明事项下于价值时点的公开市场价格（包含建筑物应分摊的土地使用权价值）。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（二）本估价报告的估价目的为委托方案件执行提供价值参考依据，报告形成的估价结果，仅供相关方参考。相关数额由相关双方根据市场风险、兑现难易和政府有关税费缴纳规定等情况确定。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本公司注册房地产估价师已对本估价报告中的估价对象进行了实地查勘，但仅限于对估价对象建筑外观及目前使用状况。我们不承担对估价对象建筑结构、质量进行调查、核实的责任，也不承担对被遮盖、未暴露及难以接触到的部分进行检视的责任。</w:t>
      </w:r>
    </w:p>
    <w:p>
      <w:pPr>
        <w:rPr>
          <w:rFonts w:hint="eastAsia"/>
        </w:rPr>
      </w:pPr>
      <w:bookmarkStart w:id="15" w:name="_Toc522795038"/>
      <w:bookmarkStart w:id="16" w:name="_Toc286074109"/>
    </w:p>
    <w:p>
      <w:pPr>
        <w:rPr>
          <w:rFonts w:hint="eastAsia"/>
        </w:rPr>
      </w:pPr>
    </w:p>
    <w:p>
      <w:pPr>
        <w:rPr>
          <w:rFonts w:hint="eastAsia"/>
        </w:rPr>
      </w:pPr>
    </w:p>
    <w:p>
      <w:pPr>
        <w:pStyle w:val="2"/>
        <w:pageBreakBefore w:val="0"/>
        <w:kinsoku/>
        <w:wordWrap/>
        <w:overflowPunct/>
        <w:topLinePunct w:val="0"/>
        <w:autoSpaceDE/>
        <w:autoSpaceDN/>
        <w:bidi w:val="0"/>
        <w:adjustRightInd/>
        <w:snapToGrid/>
        <w:spacing w:before="0" w:after="0" w:line="500" w:lineRule="exact"/>
        <w:jc w:val="center"/>
        <w:textAlignment w:val="auto"/>
        <w:rPr>
          <w:rFonts w:hint="eastAsia" w:ascii="仿宋" w:hAnsi="仿宋" w:eastAsia="仿宋" w:cs="仿宋"/>
          <w:b/>
          <w:bCs/>
          <w:kern w:val="0"/>
          <w:sz w:val="52"/>
          <w:szCs w:val="52"/>
        </w:rPr>
      </w:pPr>
      <w:bookmarkStart w:id="17" w:name="_Toc9045"/>
      <w:bookmarkStart w:id="18" w:name="_Toc21511"/>
      <w:r>
        <w:rPr>
          <w:rFonts w:hint="eastAsia" w:ascii="仿宋" w:hAnsi="仿宋" w:eastAsia="仿宋" w:cs="仿宋"/>
          <w:b/>
          <w:bCs/>
          <w:kern w:val="0"/>
          <w:sz w:val="52"/>
          <w:szCs w:val="52"/>
        </w:rPr>
        <w:t>估价结果报告</w:t>
      </w:r>
      <w:bookmarkEnd w:id="15"/>
      <w:bookmarkEnd w:id="16"/>
      <w:bookmarkEnd w:id="17"/>
      <w:bookmarkEnd w:id="18"/>
    </w:p>
    <w:p>
      <w:pPr>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Cs w:val="21"/>
          <w:lang w:eastAsia="zh-CN"/>
        </w:rPr>
      </w:pPr>
      <w:r>
        <w:rPr>
          <w:rFonts w:hint="eastAsia" w:ascii="仿宋" w:hAnsi="仿宋" w:eastAsia="仿宋" w:cs="仿宋"/>
          <w:b/>
          <w:bCs/>
          <w:szCs w:val="21"/>
          <w:lang w:eastAsia="zh-CN"/>
        </w:rPr>
        <w:t>黔昊远房估字（2022）</w:t>
      </w:r>
      <w:r>
        <w:rPr>
          <w:rFonts w:hint="eastAsia" w:ascii="仿宋" w:hAnsi="仿宋" w:eastAsia="仿宋" w:cs="仿宋"/>
          <w:b/>
          <w:bCs/>
          <w:szCs w:val="21"/>
          <w:lang w:val="en-US" w:eastAsia="zh-CN"/>
        </w:rPr>
        <w:t>11029</w:t>
      </w:r>
      <w:r>
        <w:rPr>
          <w:rFonts w:hint="eastAsia" w:ascii="仿宋" w:hAnsi="仿宋" w:eastAsia="仿宋" w:cs="仿宋"/>
          <w:b/>
          <w:bCs/>
          <w:szCs w:val="21"/>
          <w:lang w:eastAsia="zh-CN"/>
        </w:rPr>
        <w:t>号</w:t>
      </w:r>
    </w:p>
    <w:p>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00" w:lineRule="exact"/>
        <w:textAlignment w:val="auto"/>
        <w:rPr>
          <w:rFonts w:hint="eastAsia" w:ascii="仿宋" w:hAnsi="仿宋" w:eastAsia="仿宋" w:cs="仿宋"/>
          <w:color w:val="464646"/>
          <w:kern w:val="0"/>
          <w:sz w:val="28"/>
          <w:szCs w:val="28"/>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kern w:val="0"/>
          <w:sz w:val="32"/>
          <w:szCs w:val="32"/>
          <w:lang w:eastAsia="zh-CN"/>
        </w:rPr>
      </w:pPr>
      <w:bookmarkStart w:id="19" w:name="_Toc286074110"/>
      <w:bookmarkStart w:id="20" w:name="_Toc18285"/>
      <w:bookmarkStart w:id="21" w:name="_Toc2507"/>
      <w:bookmarkStart w:id="22" w:name="_Toc522795039"/>
      <w:r>
        <w:rPr>
          <w:rFonts w:hint="eastAsia" w:ascii="仿宋" w:hAnsi="仿宋" w:eastAsia="仿宋" w:cs="仿宋"/>
          <w:kern w:val="0"/>
          <w:sz w:val="32"/>
          <w:szCs w:val="32"/>
        </w:rPr>
        <w:t>一、估价委托</w:t>
      </w:r>
      <w:bookmarkEnd w:id="19"/>
      <w:bookmarkEnd w:id="20"/>
      <w:bookmarkEnd w:id="21"/>
      <w:bookmarkEnd w:id="22"/>
      <w:r>
        <w:rPr>
          <w:rFonts w:hint="eastAsia" w:ascii="仿宋" w:hAnsi="仿宋" w:eastAsia="仿宋" w:cs="仿宋"/>
          <w:kern w:val="0"/>
          <w:sz w:val="32"/>
          <w:szCs w:val="32"/>
          <w:lang w:val="en-US" w:eastAsia="zh-CN"/>
        </w:rPr>
        <w:t>人</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单位名称：六盘水市钟山区人民法院</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承办人：蔡法官                 联系电话：0858-8730069</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联系人：贵州同伦拍拍科技有限公司        联系电话：18153181626</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 xml:space="preserve">地    址：贵州省六盘水市钟山区齐心西路2号       </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23" w:name="_Toc522795040"/>
      <w:bookmarkStart w:id="24" w:name="_Toc9530"/>
      <w:bookmarkStart w:id="25" w:name="_Toc25974"/>
      <w:r>
        <w:rPr>
          <w:rFonts w:hint="eastAsia" w:ascii="仿宋" w:hAnsi="仿宋" w:eastAsia="仿宋" w:cs="仿宋"/>
          <w:b/>
          <w:bCs/>
          <w:kern w:val="0"/>
          <w:sz w:val="32"/>
          <w:szCs w:val="32"/>
        </w:rPr>
        <w:t>二、房地产估价机构</w:t>
      </w:r>
      <w:bookmarkEnd w:id="23"/>
      <w:bookmarkEnd w:id="24"/>
      <w:bookmarkEnd w:id="25"/>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名      称：贵州昊远房地产土地评估有限公司</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住      所：贵阳市云岩区新添大道南段金耀华庭商住楼1单元7层6号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法定代表人：覃剑</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统一社会信用代码：915201030590702657</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经 营 范 围：房地产评估，宗地地价评估，地价咨询(涉及许可证的凭证经营)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房地产估价机构备案等级：贰级</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房地产估价机构备案证书编号：筑房评估字：A2013013</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26" w:name="_Toc12808"/>
      <w:bookmarkStart w:id="27" w:name="_Toc21182"/>
      <w:bookmarkStart w:id="28" w:name="_Toc522795041"/>
      <w:r>
        <w:rPr>
          <w:rFonts w:hint="eastAsia" w:ascii="仿宋" w:hAnsi="仿宋" w:eastAsia="仿宋" w:cs="仿宋"/>
          <w:b/>
          <w:bCs/>
          <w:kern w:val="0"/>
          <w:sz w:val="32"/>
          <w:szCs w:val="32"/>
        </w:rPr>
        <w:t>三、估价目的</w:t>
      </w:r>
      <w:bookmarkEnd w:id="26"/>
      <w:bookmarkEnd w:id="27"/>
      <w:bookmarkEnd w:id="28"/>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本次估价目的是为人民法院确定财产处置参考价提供参考依据而评估房地产市场价值。</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29" w:name="_Toc286074112"/>
      <w:bookmarkStart w:id="30" w:name="_Toc16823"/>
      <w:bookmarkStart w:id="31" w:name="_Toc522795042"/>
      <w:bookmarkStart w:id="32" w:name="_Toc28266"/>
      <w:r>
        <w:rPr>
          <w:rFonts w:hint="eastAsia" w:ascii="仿宋" w:hAnsi="仿宋" w:eastAsia="仿宋" w:cs="仿宋"/>
          <w:b/>
          <w:bCs/>
          <w:kern w:val="0"/>
          <w:sz w:val="32"/>
          <w:szCs w:val="32"/>
        </w:rPr>
        <w:t>四、</w:t>
      </w:r>
      <w:bookmarkEnd w:id="29"/>
      <w:r>
        <w:rPr>
          <w:rFonts w:hint="eastAsia" w:ascii="仿宋" w:hAnsi="仿宋" w:eastAsia="仿宋" w:cs="仿宋"/>
          <w:b/>
          <w:bCs/>
          <w:kern w:val="0"/>
          <w:sz w:val="32"/>
          <w:szCs w:val="32"/>
        </w:rPr>
        <w:t>估价对象</w:t>
      </w:r>
      <w:bookmarkEnd w:id="30"/>
      <w:bookmarkEnd w:id="31"/>
      <w:bookmarkEnd w:id="32"/>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color w:val="000000" w:themeColor="text1"/>
          <w:sz w:val="28"/>
          <w:szCs w:val="28"/>
          <w14:textFill>
            <w14:solidFill>
              <w14:schemeClr w14:val="tx1"/>
            </w14:solidFill>
          </w14:textFill>
        </w:rPr>
      </w:pPr>
      <w:bookmarkStart w:id="33" w:name="_Toc286074113"/>
      <w:r>
        <w:rPr>
          <w:rFonts w:hint="eastAsia" w:ascii="仿宋" w:hAnsi="仿宋" w:eastAsia="仿宋" w:cs="仿宋"/>
          <w:color w:val="000000" w:themeColor="text1"/>
          <w:sz w:val="28"/>
          <w:szCs w:val="28"/>
          <w14:textFill>
            <w14:solidFill>
              <w14:schemeClr w14:val="tx1"/>
            </w14:solidFill>
          </w14:textFill>
        </w:rPr>
        <w:t>（一）估价对象范围及用途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lang w:val="en-US" w:eastAsia="zh-CN"/>
        </w:rPr>
      </w:pPr>
      <w:r>
        <w:rPr>
          <w:rFonts w:hint="eastAsia" w:eastAsia="仿宋_GB2312"/>
          <w:color w:val="000000"/>
          <w:sz w:val="26"/>
          <w:szCs w:val="26"/>
          <w:lang w:val="en-US" w:eastAsia="zh-CN"/>
        </w:rPr>
        <w:t>估价对象：位于</w:t>
      </w:r>
      <w:r>
        <w:rPr>
          <w:rFonts w:hint="eastAsia" w:eastAsia="仿宋_GB2312"/>
          <w:sz w:val="26"/>
          <w:szCs w:val="26"/>
          <w:lang w:val="en-US" w:eastAsia="zh-CN"/>
        </w:rPr>
        <w:t>六盘水市钟山区凉都大道与凤凰路交汇处北侧凉都水岸C栋1202室、1706室、1907室、2002室、2007室、2008室、2102室、2207室、2302室、2307室、2507室住宅用房及六盘水市钟山区凉都大道与凤凰路交汇处北侧凉都水岸A栋3层301铺商业用房共12套房地产（建设单位为：六盘水市钟山区荷城花园房地产开发有限公司，总建筑面积2341.6平方米，详细内容见《评估明细表》，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lang w:val="en-US" w:eastAsia="zh-CN"/>
        </w:rPr>
      </w:pPr>
    </w:p>
    <w:tbl>
      <w:tblPr>
        <w:tblStyle w:val="23"/>
        <w:tblW w:w="91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2"/>
        <w:gridCol w:w="1860"/>
        <w:gridCol w:w="2407"/>
        <w:gridCol w:w="960"/>
        <w:gridCol w:w="855"/>
        <w:gridCol w:w="678"/>
        <w:gridCol w:w="1050"/>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16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建设单位</w:t>
            </w:r>
          </w:p>
        </w:tc>
        <w:tc>
          <w:tcPr>
            <w:tcW w:w="2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坐落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房号</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所在层数</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用途</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建筑面积（㎡）</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六盘水市钟山区凉都大道与凤凰路交汇处北侧凉都水岸C栋1202室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C栋1202室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六盘水市钟山区凉都大道与凤凰路交汇处北侧凉都水岸C栋1706室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C栋1706室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79.94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六盘水市钟山区凉都大道与凤凰路交汇处北侧凉都水岸C栋1907室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C栋1907室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六盘水市钟山区凉都大道与凤凰路交汇处北侧凉都水岸C栋2008室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C栋2008室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102.26</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六盘水市钟山区凉都大道与凤凰路交汇处北侧凉都水岸C栋2102室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C栋2102室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21</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六盘水市钟山区凉都大道与凤凰路交汇处北侧凉都水岸C栋2207室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C栋2207室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六盘水市钟山区凉都大道与凤凰路交汇处北侧凉都水岸C栋2302室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C栋2302室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六盘水市钟山区凉都大道与凤凰路交汇处北侧凉都水岸C栋2307室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C栋2307室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六盘水市钟山区凉都大道与凤凰路交汇处北侧凉都水岸C栋2507室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C栋2507室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六盘水市钟山区凉都大道与凤凰路交汇处北侧凉都水岸A栋301铺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A栋301铺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1435.24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2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2341.6</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eastAsia="zh-CN"/>
        </w:rPr>
        <w:t>。</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rPr>
        <w:t>（二）估价对象权益状况</w:t>
      </w:r>
    </w:p>
    <w:p>
      <w:pPr>
        <w:pStyle w:val="5"/>
        <w:keepNext/>
        <w:keepLines/>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估价对象建筑物</w:t>
      </w:r>
      <w:r>
        <w:rPr>
          <w:rFonts w:hint="eastAsia" w:ascii="仿宋" w:hAnsi="仿宋" w:eastAsia="仿宋" w:cs="仿宋"/>
          <w:color w:val="auto"/>
        </w:rPr>
        <w:t>权益状况</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委托人提供的《商品房项目销售及登记情况一览表》、《国有土地使用权证》（大证）、《建设用地规划许可证》、《建设工程规划许可证》、《建筑工程施工许可证》、《商品房预售许可证》（详细内容见附件）估价对象的权益状况如下：</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1.1建设单位：</w:t>
      </w:r>
      <w:r>
        <w:rPr>
          <w:rFonts w:hint="eastAsia" w:eastAsia="仿宋_GB2312"/>
          <w:sz w:val="26"/>
          <w:szCs w:val="26"/>
          <w:lang w:val="en-US" w:eastAsia="zh-CN"/>
        </w:rPr>
        <w:t>六盘水市钟山区荷城花园房地产开发有限公司</w:t>
      </w:r>
      <w:r>
        <w:rPr>
          <w:rFonts w:hint="eastAsia" w:eastAsia="仿宋_GB2312"/>
          <w:color w:val="auto"/>
          <w:sz w:val="26"/>
          <w:szCs w:val="26"/>
          <w:lang w:val="en-US" w:eastAsia="zh-CN"/>
        </w:rPr>
        <w:t>；</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1.2座落：</w:t>
      </w:r>
      <w:r>
        <w:rPr>
          <w:rFonts w:hint="eastAsia" w:eastAsia="仿宋_GB2312"/>
          <w:sz w:val="26"/>
          <w:szCs w:val="26"/>
          <w:lang w:val="en-US" w:eastAsia="zh-CN"/>
        </w:rPr>
        <w:t>六盘水市钟山区凉都大道与凤凰路交汇处北侧凉都水岸</w:t>
      </w:r>
      <w:r>
        <w:rPr>
          <w:rFonts w:hint="eastAsia" w:eastAsia="仿宋_GB2312"/>
          <w:color w:val="auto"/>
          <w:sz w:val="26"/>
          <w:szCs w:val="26"/>
          <w:lang w:val="en-US" w:eastAsia="zh-CN"/>
        </w:rPr>
        <w:t>；</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1.3建筑面积：</w:t>
      </w:r>
      <w:r>
        <w:rPr>
          <w:rFonts w:hint="eastAsia" w:eastAsia="仿宋_GB2312"/>
          <w:sz w:val="26"/>
          <w:szCs w:val="26"/>
          <w:lang w:val="en-US" w:eastAsia="zh-CN"/>
        </w:rPr>
        <w:t>总建筑面积2341.6平方米，详细内容见《评估结果明细表》</w:t>
      </w:r>
      <w:r>
        <w:rPr>
          <w:rFonts w:hint="eastAsia" w:eastAsia="仿宋_GB2312"/>
          <w:color w:val="auto"/>
          <w:sz w:val="26"/>
          <w:szCs w:val="26"/>
          <w:lang w:val="en-US" w:eastAsia="zh-CN"/>
        </w:rPr>
        <w:t>；</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1.4用途：住宅、商业；</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其他权益状况见附件《商品房项目销售及登记情况一览表》、《国有土地使用权证》（大证）、《建设用地规划许可证》、《建设工程规划许可证》、《建筑工程施工许可证》、《商品房预售许可证》。</w:t>
      </w:r>
    </w:p>
    <w:p>
      <w:pPr>
        <w:pStyle w:val="5"/>
        <w:keepNext/>
        <w:keepLines/>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lang w:val="en-US" w:eastAsia="zh-CN"/>
        </w:rPr>
      </w:pPr>
      <w:r>
        <w:rPr>
          <w:rFonts w:hint="eastAsia" w:ascii="仿宋" w:hAnsi="仿宋" w:eastAsia="仿宋" w:cs="仿宋"/>
          <w:color w:val="auto"/>
        </w:rPr>
        <w:t>2、土地使用权权益状况</w:t>
      </w:r>
      <w:r>
        <w:rPr>
          <w:rFonts w:hint="eastAsia" w:ascii="仿宋" w:hAnsi="仿宋" w:eastAsia="仿宋" w:cs="仿宋"/>
          <w:color w:val="auto"/>
          <w:lang w:val="en-US" w:eastAsia="zh-CN"/>
        </w:rPr>
        <w:t xml:space="preserve"> </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根据委托人提供的《国有土地使用权证》（大证），估价对象土地使用权权益状况如下：</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1.1土地证号：黔钟经国有（2011）第0338号；</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1.2土地使用权人：六盘水钟山开发区荷城花园房地产开发有限公司；</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1.3座落：人民路南；</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1.4地号：11-11；</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1.5图号：2941.02-35486.32；</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1.6地类（用途）：综合；</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1.7使用权类型：出让；</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1.8使用权面积：55843.20平方米（其中分摊面积为7361.7平方米）；</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1.9终止日期：2052年4月18日；</w:t>
      </w:r>
    </w:p>
    <w:p>
      <w:pPr>
        <w:pStyle w:val="5"/>
        <w:keepNext/>
        <w:keepLines/>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3、</w:t>
      </w:r>
      <w:r>
        <w:rPr>
          <w:rFonts w:hint="eastAsia" w:ascii="仿宋" w:hAnsi="仿宋" w:eastAsia="仿宋" w:cs="仿宋"/>
          <w:color w:val="auto"/>
        </w:rPr>
        <w:t>他项权利设立状况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3.1查封信息</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根据估价委托人提供的《商品房项目销售及登记情况一览表》显示，估价对象现处于查封状态，查封文号为：（2022）黔0201执恢714号，房屋状态：已查封；已预售许可。</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估价对象实物状况</w:t>
      </w:r>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000000"/>
          <w:sz w:val="26"/>
          <w:szCs w:val="26"/>
          <w:lang w:val="en-US" w:eastAsia="zh-CN"/>
        </w:rPr>
      </w:pPr>
      <w:r>
        <w:rPr>
          <w:rFonts w:hint="default" w:ascii="Times New Roman" w:hAnsi="Times New Roman" w:eastAsia="仿宋_GB2312" w:cs="Times New Roman"/>
          <w:color w:val="000000"/>
          <w:sz w:val="26"/>
          <w:szCs w:val="26"/>
          <w:lang w:val="en-US" w:eastAsia="zh-CN"/>
        </w:rPr>
        <w:t>估价对象基本情况：估价对象</w:t>
      </w:r>
      <w:r>
        <w:rPr>
          <w:rFonts w:hint="eastAsia" w:eastAsia="仿宋_GB2312"/>
          <w:color w:val="000000"/>
          <w:sz w:val="26"/>
          <w:szCs w:val="26"/>
          <w:lang w:val="en-US" w:eastAsia="zh-CN"/>
        </w:rPr>
        <w:t>位于</w:t>
      </w:r>
      <w:r>
        <w:rPr>
          <w:rFonts w:hint="eastAsia" w:eastAsia="仿宋_GB2312"/>
          <w:sz w:val="26"/>
          <w:szCs w:val="26"/>
          <w:lang w:val="en-US" w:eastAsia="zh-CN"/>
        </w:rPr>
        <w:t>六盘水市钟山区凉都大道与凤凰路交汇处北侧凉都水岸C栋1202室、1706室、1907室、2002室、2007室、2008室、2102室、2207室、2302室、2307室、2507室住宅用房及六盘水市钟山区凉都大道与凤凰路交汇处北侧凉都水岸A栋3层301铺商业用房共12套房地产</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估价对象所在</w:t>
      </w:r>
      <w:r>
        <w:rPr>
          <w:rFonts w:hint="eastAsia" w:eastAsia="仿宋_GB2312" w:cs="Times New Roman"/>
          <w:color w:val="000000"/>
          <w:sz w:val="26"/>
          <w:szCs w:val="26"/>
          <w:lang w:val="en-US" w:eastAsia="zh-CN"/>
        </w:rPr>
        <w:t>C</w:t>
      </w:r>
      <w:r>
        <w:rPr>
          <w:rFonts w:hint="eastAsia" w:ascii="Times New Roman" w:hAnsi="Times New Roman" w:eastAsia="仿宋_GB2312" w:cs="Times New Roman"/>
          <w:color w:val="000000"/>
          <w:sz w:val="26"/>
          <w:szCs w:val="26"/>
          <w:lang w:val="en-US" w:eastAsia="zh-CN"/>
        </w:rPr>
        <w:t>栋共</w:t>
      </w:r>
      <w:r>
        <w:rPr>
          <w:rFonts w:hint="eastAsia" w:eastAsia="仿宋_GB2312" w:cs="Times New Roman"/>
          <w:color w:val="000000"/>
          <w:sz w:val="26"/>
          <w:szCs w:val="26"/>
          <w:lang w:val="en-US" w:eastAsia="zh-CN"/>
        </w:rPr>
        <w:t>31</w:t>
      </w:r>
      <w:r>
        <w:rPr>
          <w:rFonts w:hint="eastAsia" w:ascii="Times New Roman" w:hAnsi="Times New Roman" w:eastAsia="仿宋_GB2312" w:cs="Times New Roman"/>
          <w:color w:val="000000"/>
          <w:sz w:val="26"/>
          <w:szCs w:val="26"/>
          <w:lang w:val="en-US" w:eastAsia="zh-CN"/>
        </w:rPr>
        <w:t>层，</w:t>
      </w:r>
      <w:r>
        <w:rPr>
          <w:rFonts w:hint="eastAsia" w:eastAsia="仿宋_GB2312" w:cs="Times New Roman"/>
          <w:color w:val="000000"/>
          <w:sz w:val="26"/>
          <w:szCs w:val="26"/>
          <w:lang w:val="en-US" w:eastAsia="zh-CN"/>
        </w:rPr>
        <w:t>地上29层，地下2层；估价对象所在A栋共22层，地上20层，地下2层，</w:t>
      </w:r>
      <w:r>
        <w:rPr>
          <w:rFonts w:hint="eastAsia" w:ascii="Times New Roman" w:hAnsi="Times New Roman" w:eastAsia="仿宋_GB2312" w:cs="Times New Roman"/>
          <w:color w:val="000000"/>
          <w:sz w:val="26"/>
          <w:szCs w:val="26"/>
          <w:lang w:val="en-US" w:eastAsia="zh-CN"/>
        </w:rPr>
        <w:t>约建于</w:t>
      </w:r>
      <w:r>
        <w:rPr>
          <w:rFonts w:hint="eastAsia" w:eastAsia="仿宋_GB2312" w:cs="Times New Roman"/>
          <w:color w:val="000000"/>
          <w:sz w:val="26"/>
          <w:szCs w:val="26"/>
          <w:lang w:val="en-US" w:eastAsia="zh-CN"/>
        </w:rPr>
        <w:t>2019</w:t>
      </w:r>
      <w:r>
        <w:rPr>
          <w:rFonts w:hint="eastAsia" w:ascii="Times New Roman" w:hAnsi="Times New Roman" w:eastAsia="仿宋_GB2312" w:cs="Times New Roman"/>
          <w:color w:val="000000"/>
          <w:sz w:val="26"/>
          <w:szCs w:val="26"/>
          <w:lang w:val="en-US" w:eastAsia="zh-CN"/>
        </w:rPr>
        <w:t>年，外观形象新颖；</w:t>
      </w:r>
      <w:r>
        <w:rPr>
          <w:rFonts w:hint="default" w:ascii="Times New Roman" w:hAnsi="Times New Roman" w:eastAsia="仿宋_GB2312" w:cs="Times New Roman"/>
          <w:color w:val="000000"/>
          <w:sz w:val="26"/>
          <w:szCs w:val="26"/>
          <w:lang w:val="en-US" w:eastAsia="zh-CN"/>
        </w:rPr>
        <w:t>水、电</w:t>
      </w:r>
      <w:r>
        <w:rPr>
          <w:rFonts w:hint="eastAsia" w:ascii="Times New Roman" w:hAnsi="Times New Roman" w:eastAsia="仿宋_GB2312" w:cs="Times New Roman"/>
          <w:color w:val="000000"/>
          <w:sz w:val="26"/>
          <w:szCs w:val="26"/>
          <w:lang w:val="en-US" w:eastAsia="zh-CN"/>
        </w:rPr>
        <w:t>、</w:t>
      </w:r>
      <w:r>
        <w:rPr>
          <w:rFonts w:hint="eastAsia" w:eastAsia="仿宋_GB2312"/>
          <w:color w:val="000000"/>
          <w:sz w:val="26"/>
          <w:szCs w:val="26"/>
          <w:lang w:val="en-US" w:eastAsia="zh-CN"/>
        </w:rPr>
        <w:t>消防</w:t>
      </w:r>
      <w:r>
        <w:rPr>
          <w:rFonts w:hint="eastAsia" w:ascii="Times New Roman" w:hAnsi="Times New Roman" w:eastAsia="仿宋_GB2312" w:cs="Times New Roman"/>
          <w:color w:val="000000"/>
          <w:sz w:val="26"/>
          <w:szCs w:val="26"/>
          <w:lang w:val="en-US" w:eastAsia="zh-CN"/>
        </w:rPr>
        <w:t>；</w:t>
      </w:r>
      <w:r>
        <w:rPr>
          <w:rFonts w:hint="default" w:ascii="Times New Roman" w:hAnsi="Times New Roman" w:eastAsia="仿宋_GB2312" w:cs="Times New Roman"/>
          <w:color w:val="000000"/>
          <w:sz w:val="26"/>
          <w:szCs w:val="26"/>
          <w:lang w:val="en-US" w:eastAsia="zh-CN"/>
        </w:rPr>
        <w:t>周围道路硬化及绿化</w:t>
      </w:r>
      <w:r>
        <w:rPr>
          <w:rFonts w:hint="eastAsia" w:ascii="Times New Roman" w:hAnsi="Times New Roman" w:eastAsia="仿宋_GB2312" w:cs="Times New Roman"/>
          <w:color w:val="000000"/>
          <w:sz w:val="26"/>
          <w:szCs w:val="26"/>
          <w:lang w:val="en-US" w:eastAsia="zh-CN"/>
        </w:rPr>
        <w:t>环境一般</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周围基础设施以及物业管理水平一般</w:t>
      </w:r>
      <w:r>
        <w:rPr>
          <w:rFonts w:hint="default"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1估价对象土地使用权实体状况</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1.1名称：</w:t>
      </w:r>
      <w:r>
        <w:rPr>
          <w:rFonts w:hint="eastAsia" w:eastAsia="仿宋_GB2312"/>
          <w:sz w:val="26"/>
          <w:szCs w:val="26"/>
          <w:lang w:val="en-US" w:eastAsia="zh-CN"/>
        </w:rPr>
        <w:t>六盘水市钟山区凉都大道与凤凰路交汇处北侧凉都水岸C栋1202室、1706室、1907室、2002室、2007室、2008室、2102室、2207室、2302室、2307室、2507室住宅用房及六盘水市钟山区凉都大道与凤凰路交汇处北侧凉都水岸A栋3层301铺商业用房共12套房地产</w:t>
      </w:r>
      <w:r>
        <w:rPr>
          <w:rFonts w:hint="eastAsia"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1.2四至及临街状况：估价对象项目地处凤凰路与凉都大道交汇处北侧，南临凤凰路，西临钟山大道，北临小区内道路，估价对象项目一面临街，临近凤凰路。</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1.3用途：住宅、商业用房</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1.4形状：较规则</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1.5地形地势：地势较平坦</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1.6地质：地基承载力一般，地质条件一般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1.7土壤：无污染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1.8土地开发程度：土地开发程度为“五通一平”（通路、通上水、通下水、通电、通讯、土地平整）</w:t>
      </w:r>
    </w:p>
    <w:p>
      <w:pPr>
        <w:numPr>
          <w:ilvl w:val="0"/>
          <w:numId w:val="0"/>
        </w:numPr>
        <w:adjustRightInd w:val="0"/>
        <w:snapToGrid w:val="0"/>
        <w:spacing w:line="440" w:lineRule="exact"/>
        <w:ind w:firstLine="562" w:firstLineChars="200"/>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2估价对象建筑物实物状况</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2.1名称：</w:t>
      </w:r>
      <w:r>
        <w:rPr>
          <w:rFonts w:hint="eastAsia" w:eastAsia="仿宋_GB2312"/>
          <w:sz w:val="26"/>
          <w:szCs w:val="26"/>
          <w:lang w:val="en-US" w:eastAsia="zh-CN"/>
        </w:rPr>
        <w:t>六盘水市钟山区凉都大道与凤凰路交汇处北侧凉都水岸C栋1202室、1706室、1907室、2002室、2007室、2008室、2102室、2207室、2302室、2307室、2507室住宅用房及六盘水市钟山区凉都大道与凤凰路交汇处北侧凉都水岸A栋3层301铺商业用房共12套房地产</w:t>
      </w:r>
      <w:r>
        <w:rPr>
          <w:rFonts w:hint="eastAsia"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2.2建筑规模：估价对象住宅总建筑面积906.36平方米；商业用房总建筑面积1435.24平方米，</w:t>
      </w:r>
      <w:r>
        <w:rPr>
          <w:rFonts w:hint="eastAsia" w:eastAsia="仿宋_GB2312"/>
          <w:sz w:val="26"/>
          <w:szCs w:val="26"/>
          <w:lang w:val="en-US" w:eastAsia="zh-CN"/>
        </w:rPr>
        <w:t>详细内容见《评估明细表》</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2.3层数：</w:t>
      </w:r>
      <w:r>
        <w:rPr>
          <w:rFonts w:hint="eastAsia" w:ascii="Times New Roman" w:hAnsi="Times New Roman" w:eastAsia="仿宋_GB2312" w:cs="Times New Roman"/>
          <w:color w:val="000000"/>
          <w:sz w:val="26"/>
          <w:szCs w:val="26"/>
          <w:lang w:val="en-US" w:eastAsia="zh-CN"/>
        </w:rPr>
        <w:t>估价对象所在</w:t>
      </w:r>
      <w:r>
        <w:rPr>
          <w:rFonts w:hint="eastAsia" w:eastAsia="仿宋_GB2312" w:cs="Times New Roman"/>
          <w:color w:val="000000"/>
          <w:sz w:val="26"/>
          <w:szCs w:val="26"/>
          <w:lang w:val="en-US" w:eastAsia="zh-CN"/>
        </w:rPr>
        <w:t>C</w:t>
      </w:r>
      <w:r>
        <w:rPr>
          <w:rFonts w:hint="eastAsia" w:ascii="Times New Roman" w:hAnsi="Times New Roman" w:eastAsia="仿宋_GB2312" w:cs="Times New Roman"/>
          <w:color w:val="000000"/>
          <w:sz w:val="26"/>
          <w:szCs w:val="26"/>
          <w:lang w:val="en-US" w:eastAsia="zh-CN"/>
        </w:rPr>
        <w:t>栋共</w:t>
      </w:r>
      <w:r>
        <w:rPr>
          <w:rFonts w:hint="eastAsia" w:eastAsia="仿宋_GB2312" w:cs="Times New Roman"/>
          <w:color w:val="000000"/>
          <w:sz w:val="26"/>
          <w:szCs w:val="26"/>
          <w:lang w:val="en-US" w:eastAsia="zh-CN"/>
        </w:rPr>
        <w:t>31</w:t>
      </w:r>
      <w:r>
        <w:rPr>
          <w:rFonts w:hint="eastAsia" w:ascii="Times New Roman" w:hAnsi="Times New Roman" w:eastAsia="仿宋_GB2312" w:cs="Times New Roman"/>
          <w:color w:val="000000"/>
          <w:sz w:val="26"/>
          <w:szCs w:val="26"/>
          <w:lang w:val="en-US" w:eastAsia="zh-CN"/>
        </w:rPr>
        <w:t>层，</w:t>
      </w:r>
      <w:r>
        <w:rPr>
          <w:rFonts w:hint="eastAsia" w:eastAsia="仿宋_GB2312" w:cs="Times New Roman"/>
          <w:color w:val="000000"/>
          <w:sz w:val="26"/>
          <w:szCs w:val="26"/>
          <w:lang w:val="en-US" w:eastAsia="zh-CN"/>
        </w:rPr>
        <w:t>地上29层，地下2层；估价对象所在A栋共22层，地上20层，地下2层</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2.4建筑结构：钢混结构。</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2.5层高：住宅用房室内层高约2.8米，A栋301铺商业用房室内层高约5.3米。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2.6空间布局：平面布局，整体使用。</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olor w:val="000000"/>
          <w:sz w:val="26"/>
          <w:szCs w:val="26"/>
          <w:lang w:val="en-US" w:eastAsia="zh-CN"/>
        </w:rPr>
        <w:t>2.7装饰装修户型及朝向：</w:t>
      </w:r>
      <w:r>
        <w:rPr>
          <w:rFonts w:hint="eastAsia" w:ascii="Times New Roman" w:hAnsi="Times New Roman" w:eastAsia="仿宋_GB2312" w:cs="Times New Roman"/>
          <w:color w:val="000000"/>
          <w:sz w:val="26"/>
          <w:szCs w:val="26"/>
          <w:lang w:val="en-US" w:eastAsia="zh-CN"/>
        </w:rPr>
        <w:t>估价对象</w:t>
      </w:r>
      <w:r>
        <w:rPr>
          <w:rFonts w:hint="eastAsia" w:eastAsia="仿宋_GB2312" w:cs="Times New Roman"/>
          <w:color w:val="000000"/>
          <w:sz w:val="26"/>
          <w:szCs w:val="26"/>
          <w:lang w:val="en-US" w:eastAsia="zh-CN"/>
        </w:rPr>
        <w:t>C栋1202号室内户型：2室2厅1厨1卫2阳台，室内未装修，西北朝向（窗户）；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C1706号室内户型：2室2厅1厨1卫2阳台，室内未装修，东南朝向（窗户）；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C2002号室内户型：2室2厅1厨1卫2阳台，室内未装修，西北朝向（窗户）；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C2007号室内户型：2室2厅1厨1卫1储物间2阳台，室内未装修，东南朝向（窗户）；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C2008号室内户型：3室2厅1厨2卫1阳台，室内未装修，东南朝向（客厅）边套房；</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C2507号室内户型：2室2厅1厨1卫1储物间2阳台，室内未装修，东南朝向（窗户）；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C2307号室内户型：2室2厅1厨1卫1储物间2阳台，室内未装修，东南朝向（窗户）；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C2302号室内户型：2室2厅1厨1卫2阳台，室内未装修，西北朝向（窗户）；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C2207号室内户型：2室2厅1厨1卫1储物间2阳台，室内未装修，东南朝向（窗户）；</w:t>
      </w:r>
    </w:p>
    <w:p>
      <w:pPr>
        <w:numPr>
          <w:ilvl w:val="0"/>
          <w:numId w:val="0"/>
        </w:numPr>
        <w:adjustRightInd w:val="0"/>
        <w:snapToGrid w:val="0"/>
        <w:spacing w:line="440" w:lineRule="exact"/>
        <w:ind w:firstLine="520" w:firstLineChars="200"/>
        <w:rPr>
          <w:rFonts w:hint="eastAsia" w:eastAsia="仿宋_GB2312" w:cs="Times New Roman"/>
          <w:color w:val="000000"/>
          <w:sz w:val="26"/>
          <w:szCs w:val="26"/>
          <w:lang w:val="en-US" w:eastAsia="zh-CN"/>
        </w:rPr>
      </w:pPr>
      <w:r>
        <w:rPr>
          <w:rFonts w:hint="eastAsia" w:eastAsia="仿宋_GB2312" w:cs="Times New Roman"/>
          <w:color w:val="000000"/>
          <w:sz w:val="26"/>
          <w:szCs w:val="26"/>
          <w:lang w:val="en-US" w:eastAsia="zh-CN"/>
        </w:rPr>
        <w:t>C2102号室内户型：2室2厅1厨1卫2阳台，室内未装修，西北朝向（窗户）；</w:t>
      </w:r>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000000"/>
          <w:sz w:val="26"/>
          <w:szCs w:val="26"/>
          <w:lang w:val="en-US" w:eastAsia="zh-CN"/>
        </w:rPr>
      </w:pPr>
      <w:r>
        <w:rPr>
          <w:rFonts w:hint="eastAsia" w:eastAsia="仿宋_GB2312" w:cs="Times New Roman"/>
          <w:color w:val="000000"/>
          <w:sz w:val="26"/>
          <w:szCs w:val="26"/>
          <w:lang w:val="en-US" w:eastAsia="zh-CN"/>
        </w:rPr>
        <w:t>C1907号室内户型：2室2厅1厨1卫1储物间2阳台，室内未装修，东南朝向。301铺为商业用房位于A栋地上3层，室内未装修。</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2.8设施设备；估价对象水、电、消防。</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2.9物业管理：物业管理一般。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3.0维护及完损状况：房屋地基稳固，基础完好；无墙体开裂，地面凸起、凹陷，门窗破损等现象；外观成新状况一般，维护情况一般，现场勘查为八五成新。</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四</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估价对象区位状况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4.1位置状况：估价对象位于</w:t>
      </w:r>
      <w:r>
        <w:rPr>
          <w:rFonts w:hint="eastAsia" w:eastAsia="仿宋_GB2312" w:cs="Times New Roman"/>
          <w:color w:val="000000"/>
          <w:sz w:val="26"/>
          <w:szCs w:val="26"/>
          <w:lang w:val="en-US" w:eastAsia="zh-CN"/>
        </w:rPr>
        <w:t>贵州省六盘水市钟山区凉都大道与凤凰路交汇处北侧凉都水岸，</w:t>
      </w:r>
      <w:r>
        <w:rPr>
          <w:rFonts w:hint="eastAsia" w:eastAsia="仿宋_GB2312"/>
          <w:color w:val="000000"/>
          <w:sz w:val="26"/>
          <w:szCs w:val="26"/>
          <w:lang w:val="en-US" w:eastAsia="zh-CN"/>
        </w:rPr>
        <w:t>与所在区域内商场、医院、学校、银行等重要设施服务半径短；</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4.2交通状况：估价对象所在位置外联道路有凤凰路、凉都大道，道路状况较优，通达度较优；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4.3出行可利用交通工具：附近有3条及以上公交线路，凉都22路、凉都3路、凉都14路等有城市出租车、大巴途径周边区域；</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4.4环境状况：周边自然环境一般，空气噪声污染一般，治安状况一般，人文环境一般，区域内有公园、休闲广场、购物场所等；</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4.5外部配套设施状况：估价对象所在区域道路、给排水、电力、电讯等基础设施较完备，周边金融机构：中国工商银行、中国信合自助银行；教育机构：钟山区第十五小学、六盘水师范学院朝阳校区；医疗机构：盘江集团水矿总医院；区域内金融机构、教育机构、医疗机构、行政事业机构较完善；</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4.6区位状况优劣度分析：估价对象所在区域基础设施及公共设施较完善，繁华度一般，人流量一般，交通便捷度较好，区位状况一般。</w:t>
      </w:r>
    </w:p>
    <w:p>
      <w:pPr>
        <w:pStyle w:val="3"/>
        <w:keepNext/>
        <w:keepLines/>
        <w:pageBreakBefore w:val="0"/>
        <w:widowControl w:val="0"/>
        <w:numPr>
          <w:ilvl w:val="0"/>
          <w:numId w:val="1"/>
        </w:numPr>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4" w:name="_Toc20624"/>
      <w:bookmarkStart w:id="35" w:name="_Toc26952"/>
      <w:bookmarkStart w:id="36" w:name="_Toc522795047"/>
      <w:r>
        <w:rPr>
          <w:rFonts w:hint="eastAsia" w:ascii="仿宋" w:hAnsi="仿宋" w:eastAsia="仿宋" w:cs="仿宋"/>
          <w:b/>
          <w:bCs/>
          <w:kern w:val="0"/>
          <w:sz w:val="32"/>
          <w:szCs w:val="32"/>
        </w:rPr>
        <w:t>价值时点</w:t>
      </w:r>
      <w:bookmarkEnd w:id="34"/>
      <w:bookmarkEnd w:id="35"/>
      <w:bookmarkEnd w:id="36"/>
    </w:p>
    <w:p>
      <w:pPr>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本次价值时点为2022年11月07日，</w:t>
      </w:r>
      <w:r>
        <w:rPr>
          <w:rFonts w:hint="eastAsia" w:eastAsia="仿宋_GB2312"/>
          <w:color w:val="auto"/>
          <w:sz w:val="26"/>
          <w:szCs w:val="26"/>
          <w:lang w:val="en-US" w:eastAsia="zh-CN"/>
        </w:rPr>
        <w:t>为完成估价对象实地查勘之日</w:t>
      </w:r>
      <w:r>
        <w:rPr>
          <w:rFonts w:hint="eastAsia" w:eastAsia="仿宋_GB2312"/>
          <w:color w:val="000000"/>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7" w:name="_Toc2643"/>
      <w:bookmarkStart w:id="38" w:name="_Toc25901"/>
      <w:bookmarkStart w:id="39" w:name="_Toc522795048"/>
      <w:r>
        <w:rPr>
          <w:rFonts w:hint="eastAsia" w:ascii="仿宋" w:hAnsi="仿宋" w:eastAsia="仿宋" w:cs="仿宋"/>
          <w:b/>
          <w:bCs/>
          <w:kern w:val="0"/>
          <w:sz w:val="32"/>
          <w:szCs w:val="32"/>
        </w:rPr>
        <w:t>六、价值类型</w:t>
      </w:r>
      <w:bookmarkEnd w:id="33"/>
      <w:bookmarkEnd w:id="37"/>
      <w:bookmarkEnd w:id="38"/>
      <w:bookmarkEnd w:id="39"/>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本报告估价结果是反映估价对象在价值时点的公开</w:t>
      </w:r>
      <w:bookmarkStart w:id="40" w:name="OLE_LINK6"/>
      <w:r>
        <w:rPr>
          <w:rFonts w:hint="eastAsia" w:eastAsia="仿宋_GB2312"/>
          <w:color w:val="000000"/>
          <w:sz w:val="26"/>
          <w:szCs w:val="26"/>
          <w:lang w:val="en-US" w:eastAsia="zh-CN"/>
        </w:rPr>
        <w:t>市场价值</w:t>
      </w:r>
      <w:bookmarkEnd w:id="40"/>
      <w:r>
        <w:rPr>
          <w:rFonts w:hint="eastAsia" w:eastAsia="仿宋_GB2312"/>
          <w:color w:val="000000"/>
          <w:sz w:val="26"/>
          <w:szCs w:val="26"/>
          <w:lang w:val="en-US" w:eastAsia="zh-CN"/>
        </w:rPr>
        <w:t>（包含应分摊的土地使用权价格）。</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eastAsia" w:ascii="仿宋" w:hAnsi="仿宋" w:eastAsia="仿宋" w:cs="仿宋"/>
          <w:b/>
          <w:bCs/>
          <w:kern w:val="0"/>
          <w:sz w:val="32"/>
          <w:szCs w:val="32"/>
        </w:rPr>
      </w:pPr>
      <w:bookmarkStart w:id="41" w:name="_Toc13149"/>
      <w:bookmarkStart w:id="42" w:name="_Toc522795049"/>
      <w:bookmarkStart w:id="43" w:name="_Toc16490"/>
      <w:r>
        <w:rPr>
          <w:rFonts w:hint="eastAsia" w:ascii="仿宋" w:hAnsi="仿宋" w:eastAsia="仿宋" w:cs="仿宋"/>
          <w:b/>
          <w:bCs/>
          <w:kern w:val="0"/>
          <w:sz w:val="32"/>
          <w:szCs w:val="32"/>
        </w:rPr>
        <w:t>七、估价原则</w:t>
      </w:r>
      <w:bookmarkEnd w:id="41"/>
      <w:bookmarkEnd w:id="42"/>
      <w:bookmarkEnd w:id="43"/>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bookmarkStart w:id="44" w:name="_Toc286074115"/>
      <w:r>
        <w:rPr>
          <w:rFonts w:eastAsia="仿宋_GB2312"/>
          <w:sz w:val="26"/>
          <w:szCs w:val="26"/>
        </w:rPr>
        <w:t>本次估价遵循了独立、客观、公正原则、合法原则、最高最佳使用原则、替代原则、价值时点原则。</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kern w:val="0"/>
          <w:sz w:val="26"/>
          <w:szCs w:val="26"/>
        </w:rPr>
      </w:pPr>
      <w:r>
        <w:rPr>
          <w:rFonts w:hint="eastAsia" w:eastAsia="仿宋_GB2312"/>
          <w:kern w:val="0"/>
          <w:sz w:val="26"/>
          <w:szCs w:val="26"/>
        </w:rPr>
        <w:t>1、</w:t>
      </w:r>
      <w:r>
        <w:rPr>
          <w:rFonts w:eastAsia="仿宋_GB2312"/>
          <w:sz w:val="26"/>
          <w:szCs w:val="26"/>
        </w:rPr>
        <w:t>独立、客观、公正原则：</w:t>
      </w:r>
      <w:r>
        <w:rPr>
          <w:rFonts w:hint="eastAsia" w:eastAsia="仿宋_GB2312"/>
          <w:sz w:val="26"/>
          <w:szCs w:val="26"/>
        </w:rPr>
        <w:t>要求站在中立的立场上，实事求是、公平正直地评估出对各方估价利害关系人均是公平合理的价值或价格的原则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r>
        <w:rPr>
          <w:rFonts w:hint="eastAsia" w:eastAsia="仿宋_GB2312"/>
          <w:kern w:val="0"/>
          <w:sz w:val="26"/>
          <w:szCs w:val="26"/>
        </w:rPr>
        <w:t>2、</w:t>
      </w:r>
      <w:r>
        <w:rPr>
          <w:rFonts w:eastAsia="仿宋_GB2312"/>
          <w:sz w:val="26"/>
          <w:szCs w:val="26"/>
        </w:rPr>
        <w:t>合法原则：</w:t>
      </w:r>
      <w:r>
        <w:rPr>
          <w:rFonts w:hint="eastAsia" w:eastAsia="仿宋_GB2312"/>
          <w:sz w:val="26"/>
          <w:szCs w:val="26"/>
        </w:rPr>
        <w:t>要求估价结果是在依法判定的估价对象状况下的价值或价格的原则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hint="eastAsia" w:eastAsia="仿宋_GB2312"/>
          <w:sz w:val="26"/>
          <w:szCs w:val="26"/>
        </w:rPr>
      </w:pPr>
      <w:r>
        <w:rPr>
          <w:rFonts w:hint="eastAsia" w:eastAsia="仿宋_GB2312"/>
          <w:kern w:val="0"/>
          <w:sz w:val="26"/>
          <w:szCs w:val="26"/>
        </w:rPr>
        <w:t>3、</w:t>
      </w:r>
      <w:r>
        <w:rPr>
          <w:rFonts w:hint="eastAsia" w:eastAsia="仿宋_GB2312"/>
          <w:sz w:val="26"/>
          <w:szCs w:val="26"/>
        </w:rPr>
        <w:t>价值时点原则</w:t>
      </w:r>
      <w:r>
        <w:rPr>
          <w:rFonts w:eastAsia="仿宋_GB2312"/>
          <w:sz w:val="26"/>
          <w:szCs w:val="26"/>
        </w:rPr>
        <w:t>：</w:t>
      </w:r>
      <w:r>
        <w:rPr>
          <w:rFonts w:hint="eastAsia" w:eastAsia="仿宋_GB2312"/>
          <w:sz w:val="26"/>
          <w:szCs w:val="26"/>
        </w:rPr>
        <w:t>要求估价结果是在根据估价目的确定的某一特定时间的价值或价格的原则</w:t>
      </w:r>
      <w:r>
        <w:rPr>
          <w:rFonts w:eastAsia="仿宋_GB2312"/>
          <w:sz w:val="26"/>
          <w:szCs w:val="26"/>
        </w:rPr>
        <w:t>。</w:t>
      </w:r>
    </w:p>
    <w:p>
      <w:pPr>
        <w:spacing w:line="440" w:lineRule="exact"/>
        <w:ind w:firstLine="520" w:firstLineChars="200"/>
        <w:rPr>
          <w:rFonts w:hint="eastAsia" w:eastAsia="仿宋_GB2312"/>
          <w:sz w:val="26"/>
          <w:szCs w:val="26"/>
        </w:rPr>
      </w:pPr>
      <w:r>
        <w:rPr>
          <w:rFonts w:hint="eastAsia" w:eastAsia="仿宋_GB2312"/>
          <w:sz w:val="26"/>
          <w:szCs w:val="26"/>
        </w:rPr>
        <w:t>4、</w:t>
      </w:r>
      <w:r>
        <w:rPr>
          <w:rFonts w:eastAsia="仿宋_GB2312"/>
          <w:sz w:val="26"/>
          <w:szCs w:val="26"/>
        </w:rPr>
        <w:t>替代原则：</w:t>
      </w:r>
      <w:r>
        <w:rPr>
          <w:rFonts w:hint="eastAsia" w:eastAsia="仿宋_GB2312"/>
          <w:sz w:val="26"/>
          <w:szCs w:val="26"/>
        </w:rPr>
        <w:t>要求估价结果与估价对象的类似房地产在同等条件下的价值或价格偏差在合理范围内的原则。</w:t>
      </w:r>
    </w:p>
    <w:p>
      <w:pPr>
        <w:spacing w:line="440" w:lineRule="exact"/>
        <w:ind w:firstLine="520" w:firstLineChars="200"/>
        <w:rPr>
          <w:rFonts w:hint="eastAsia" w:eastAsia="仿宋_GB2312"/>
          <w:color w:val="000000"/>
          <w:sz w:val="26"/>
          <w:szCs w:val="26"/>
          <w:lang w:val="en-US" w:eastAsia="zh-CN"/>
        </w:rPr>
      </w:pPr>
      <w:r>
        <w:rPr>
          <w:rFonts w:hint="eastAsia" w:eastAsia="仿宋_GB2312"/>
          <w:sz w:val="26"/>
          <w:szCs w:val="26"/>
        </w:rPr>
        <w:t>5、</w:t>
      </w:r>
      <w:r>
        <w:rPr>
          <w:rFonts w:eastAsia="仿宋_GB2312"/>
          <w:sz w:val="26"/>
          <w:szCs w:val="26"/>
        </w:rPr>
        <w:t>最高最佳使用原则：</w:t>
      </w:r>
      <w:r>
        <w:rPr>
          <w:rFonts w:hint="eastAsia" w:eastAsia="仿宋_GB2312"/>
          <w:sz w:val="26"/>
          <w:szCs w:val="26"/>
        </w:rPr>
        <w:t>要求估价结果是在估价对象最高最佳利用状况下的价值或价格的原则；最高最佳利用：房地产在法律上允许、技术上可能、财务上可行并使价值最大的合理、可能的利用，包括最佳的用途、规模、档次等</w:t>
      </w:r>
      <w:r>
        <w:rPr>
          <w:rFonts w:eastAsia="仿宋_GB2312"/>
          <w:sz w:val="26"/>
          <w:szCs w:val="26"/>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560" w:lineRule="exact"/>
        <w:ind w:firstLine="643" w:firstLineChars="200"/>
        <w:textAlignment w:val="auto"/>
        <w:outlineLvl w:val="1"/>
        <w:rPr>
          <w:rFonts w:hint="eastAsia" w:ascii="仿宋" w:hAnsi="仿宋" w:eastAsia="仿宋" w:cs="仿宋"/>
          <w:b/>
          <w:bCs/>
          <w:kern w:val="0"/>
          <w:sz w:val="32"/>
          <w:szCs w:val="32"/>
        </w:rPr>
      </w:pPr>
      <w:bookmarkStart w:id="45" w:name="_Toc522795050"/>
      <w:bookmarkStart w:id="46" w:name="_Toc11560"/>
      <w:bookmarkStart w:id="47" w:name="_Toc28975"/>
      <w:r>
        <w:rPr>
          <w:rFonts w:hint="eastAsia" w:ascii="仿宋" w:hAnsi="仿宋" w:eastAsia="仿宋" w:cs="仿宋"/>
          <w:b/>
          <w:bCs/>
          <w:kern w:val="0"/>
          <w:sz w:val="32"/>
          <w:szCs w:val="32"/>
        </w:rPr>
        <w:t>八、估价依据</w:t>
      </w:r>
      <w:bookmarkEnd w:id="44"/>
      <w:bookmarkEnd w:id="45"/>
      <w:bookmarkEnd w:id="46"/>
      <w:bookmarkEnd w:id="47"/>
    </w:p>
    <w:p>
      <w:pPr>
        <w:pStyle w:val="10"/>
        <w:spacing w:line="440" w:lineRule="exact"/>
        <w:ind w:left="0" w:firstLine="520" w:firstLineChars="200"/>
        <w:rPr>
          <w:rFonts w:hint="eastAsia" w:eastAsia="仿宋_GB2312"/>
          <w:color w:val="auto"/>
          <w:kern w:val="2"/>
          <w:sz w:val="26"/>
          <w:szCs w:val="26"/>
          <w:lang w:val="en-US" w:eastAsia="zh-CN" w:bidi="ar-SA"/>
        </w:rPr>
      </w:pPr>
      <w:bookmarkStart w:id="48" w:name="_Toc286074116"/>
      <w:r>
        <w:rPr>
          <w:rFonts w:hint="eastAsia" w:eastAsia="仿宋_GB2312"/>
          <w:color w:val="auto"/>
          <w:kern w:val="2"/>
          <w:sz w:val="26"/>
          <w:szCs w:val="26"/>
          <w:lang w:val="en-US" w:eastAsia="zh-CN" w:bidi="ar-SA"/>
        </w:rPr>
        <w:t>（一）本次估价所依据的有关法律、法规和部门规章</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1、《中华人民共和国资产评估法》【主席令第46号】（2016年7月2日第十二届全国人民代表大会第二十一次会议通过，自2016年12月1日起实施）；</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ascii="Times New Roman" w:hAnsi="Times New Roman" w:eastAsia="仿宋_GB2312" w:cs="Times New Roman"/>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000000"/>
          <w:kern w:val="2"/>
          <w:sz w:val="26"/>
          <w:szCs w:val="26"/>
          <w:lang w:val="en-US" w:eastAsia="zh-CN" w:bidi="ar-SA"/>
        </w:rPr>
        <w:t>《中华</w:t>
      </w:r>
      <w:r>
        <w:rPr>
          <w:rFonts w:hint="eastAsia" w:eastAsia="仿宋_GB2312"/>
          <w:color w:val="auto"/>
          <w:kern w:val="2"/>
          <w:sz w:val="26"/>
          <w:szCs w:val="26"/>
          <w:lang w:val="en-US" w:eastAsia="zh-CN" w:bidi="ar-SA"/>
        </w:rPr>
        <w:t>人民共和国民法典》（2020年5月28日第十三届全国人民代表大会第</w:t>
      </w:r>
      <w:r>
        <w:rPr>
          <w:rFonts w:hint="eastAsia" w:ascii="Times New Roman" w:hAnsi="Times New Roman" w:eastAsia="仿宋_GB2312" w:cs="Times New Roman"/>
          <w:color w:val="auto"/>
          <w:kern w:val="2"/>
          <w:sz w:val="26"/>
          <w:szCs w:val="26"/>
          <w:lang w:val="en-US" w:eastAsia="zh-CN" w:bidi="ar-SA"/>
        </w:rPr>
        <w:t>三次会议通过，自2021年1月1日起实施）；</w:t>
      </w:r>
    </w:p>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18"/>
        <w:jc w:val="left"/>
        <w:textAlignment w:val="auto"/>
        <w:rPr>
          <w:rFonts w:hint="eastAsia" w:ascii="Times New Roman" w:hAnsi="Times New Roman" w:eastAsia="仿宋_GB2312" w:cs="Times New Roman"/>
          <w:color w:val="auto"/>
          <w:kern w:val="2"/>
          <w:sz w:val="26"/>
          <w:szCs w:val="26"/>
          <w:lang w:val="en-US" w:eastAsia="zh-CN" w:bidi="ar-SA"/>
        </w:rPr>
      </w:pPr>
      <w:r>
        <w:rPr>
          <w:rFonts w:hint="eastAsia" w:ascii="Times New Roman" w:hAnsi="Times New Roman" w:eastAsia="仿宋_GB2312" w:cs="Times New Roman"/>
          <w:color w:val="auto"/>
          <w:kern w:val="2"/>
          <w:sz w:val="26"/>
          <w:szCs w:val="26"/>
          <w:lang w:val="en-US" w:eastAsia="zh-CN" w:bidi="ar-SA"/>
        </w:rPr>
        <w:t>3、《中华人民共和国城市房地产管理法》【中华人民共和国主席令第</w:t>
      </w:r>
      <w:r>
        <w:rPr>
          <w:rFonts w:hint="default" w:ascii="Times New Roman" w:hAnsi="Times New Roman" w:eastAsia="仿宋_GB2312" w:cs="Times New Roman"/>
          <w:color w:val="auto"/>
          <w:kern w:val="2"/>
          <w:sz w:val="26"/>
          <w:szCs w:val="26"/>
          <w:lang w:val="en-US" w:eastAsia="zh-CN" w:bidi="ar-SA"/>
        </w:rPr>
        <w:t>32号</w:t>
      </w:r>
      <w:r>
        <w:rPr>
          <w:rFonts w:hint="eastAsia" w:ascii="Times New Roman" w:hAnsi="Times New Roman" w:eastAsia="仿宋_GB2312" w:cs="Times New Roman"/>
          <w:color w:val="auto"/>
          <w:kern w:val="2"/>
          <w:sz w:val="26"/>
          <w:szCs w:val="26"/>
          <w:lang w:val="en-US" w:eastAsia="zh-CN" w:bidi="ar-SA"/>
        </w:rPr>
        <w:t>】</w:t>
      </w:r>
      <w:r>
        <w:rPr>
          <w:rFonts w:hint="eastAsia" w:eastAsia="仿宋_GB2312" w:cs="Times New Roman"/>
          <w:color w:val="auto"/>
          <w:kern w:val="2"/>
          <w:sz w:val="26"/>
          <w:szCs w:val="26"/>
          <w:lang w:val="en-US" w:eastAsia="zh-CN" w:bidi="ar-SA"/>
        </w:rPr>
        <w:t>，</w:t>
      </w:r>
      <w:r>
        <w:rPr>
          <w:rFonts w:hint="eastAsia" w:ascii="Times New Roman" w:hAnsi="Times New Roman" w:eastAsia="仿宋_GB2312" w:cs="Times New Roman"/>
          <w:color w:val="auto"/>
          <w:kern w:val="2"/>
          <w:sz w:val="26"/>
          <w:szCs w:val="26"/>
          <w:lang w:val="en-US" w:eastAsia="zh-CN" w:bidi="ar-SA"/>
        </w:rPr>
        <w:t>1994年</w:t>
      </w:r>
      <w:r>
        <w:rPr>
          <w:rFonts w:hint="default" w:ascii="Times New Roman" w:hAnsi="Times New Roman" w:eastAsia="仿宋_GB2312" w:cs="Times New Roman"/>
          <w:color w:val="auto"/>
          <w:kern w:val="2"/>
          <w:sz w:val="26"/>
          <w:szCs w:val="26"/>
          <w:lang w:val="en-US" w:eastAsia="zh-CN" w:bidi="ar-SA"/>
        </w:rPr>
        <w:t>7月5日第八届全国人大常委会第八次会议通过。根据2007年8月30日第十届全国人大常委会第二十九次会议《关于修改〈中华人民共和国城市房地产管理法〉的决定》第一次修正。根据2009年8月27日第十一届全国人大常委会第十次会议《关于修改部分法律的决定》第二次修正。根据2019年8月26日第十三届全国人大常委会第十二次会议《关于修改〈中华人民共和国土地管理法〉、〈中华人民共和国城市房地产管理法〉的决定》第三次修正）</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ascii="Times New Roman" w:hAnsi="Times New Roman" w:eastAsia="仿宋_GB2312" w:cs="Times New Roman"/>
          <w:color w:val="auto"/>
          <w:kern w:val="2"/>
          <w:sz w:val="26"/>
          <w:szCs w:val="26"/>
          <w:lang w:val="en-US" w:eastAsia="zh-CN" w:bidi="ar-SA"/>
        </w:rPr>
        <w:t>4、《中华人民共和国土地管理法》【</w:t>
      </w:r>
      <w:r>
        <w:rPr>
          <w:rFonts w:hint="default" w:ascii="Times New Roman" w:hAnsi="Times New Roman" w:eastAsia="仿宋_GB2312" w:cs="Times New Roman"/>
          <w:color w:val="auto"/>
          <w:kern w:val="2"/>
          <w:sz w:val="26"/>
          <w:szCs w:val="26"/>
          <w:lang w:val="en-US" w:eastAsia="zh-CN" w:bidi="ar-SA"/>
        </w:rPr>
        <w:t>中华人民共和国主席令</w:t>
      </w:r>
      <w:r>
        <w:rPr>
          <w:rFonts w:hint="eastAsia" w:ascii="Times New Roman" w:hAnsi="Times New Roman" w:eastAsia="仿宋_GB2312" w:cs="Times New Roman"/>
          <w:color w:val="auto"/>
          <w:kern w:val="2"/>
          <w:sz w:val="26"/>
          <w:szCs w:val="26"/>
          <w:lang w:val="en-US" w:eastAsia="zh-CN" w:bidi="ar-SA"/>
        </w:rPr>
        <w:t>41号】</w:t>
      </w:r>
      <w:r>
        <w:rPr>
          <w:rFonts w:hint="eastAsia" w:eastAsia="仿宋_GB2312" w:cs="Times New Roman"/>
          <w:color w:val="auto"/>
          <w:kern w:val="2"/>
          <w:sz w:val="26"/>
          <w:szCs w:val="26"/>
          <w:lang w:val="en-US" w:eastAsia="zh-CN" w:bidi="ar-SA"/>
        </w:rPr>
        <w:t>，</w:t>
      </w:r>
      <w:r>
        <w:rPr>
          <w:rFonts w:hint="default" w:ascii="Times New Roman" w:hAnsi="Times New Roman" w:eastAsia="仿宋_GB2312" w:cs="Times New Roman"/>
          <w:color w:val="auto"/>
          <w:kern w:val="2"/>
          <w:sz w:val="26"/>
          <w:szCs w:val="26"/>
          <w:lang w:val="en-US" w:eastAsia="zh-CN" w:bidi="ar-SA"/>
        </w:rPr>
        <w:t>1986年6月25日第六届</w:t>
      </w:r>
      <w:r>
        <w:rPr>
          <w:rFonts w:hint="default" w:ascii="Times New Roman" w:hAnsi="Times New Roman" w:eastAsia="仿宋_GB2312" w:cs="Times New Roman"/>
          <w:color w:val="auto"/>
          <w:kern w:val="2"/>
          <w:sz w:val="26"/>
          <w:szCs w:val="26"/>
          <w:lang w:val="en-US" w:eastAsia="zh-CN" w:bidi="ar-SA"/>
        </w:rPr>
        <w:fldChar w:fldCharType="begin"/>
      </w:r>
      <w:r>
        <w:rPr>
          <w:rFonts w:hint="default" w:ascii="Times New Roman" w:hAnsi="Times New Roman" w:eastAsia="仿宋_GB2312" w:cs="Times New Roman"/>
          <w:color w:val="auto"/>
          <w:kern w:val="2"/>
          <w:sz w:val="26"/>
          <w:szCs w:val="26"/>
          <w:lang w:val="en-US" w:eastAsia="zh-CN" w:bidi="ar-SA"/>
        </w:rPr>
        <w:instrText xml:space="preserve"> HYPERLINK "https://baike.so.com/doc/5354341-5589805.html" \t "https://baike.so.com/doc/_blank" </w:instrText>
      </w:r>
      <w:r>
        <w:rPr>
          <w:rFonts w:hint="default" w:ascii="Times New Roman" w:hAnsi="Times New Roman" w:eastAsia="仿宋_GB2312" w:cs="Times New Roman"/>
          <w:color w:val="auto"/>
          <w:kern w:val="2"/>
          <w:sz w:val="26"/>
          <w:szCs w:val="26"/>
          <w:lang w:val="en-US" w:eastAsia="zh-CN" w:bidi="ar-SA"/>
        </w:rPr>
        <w:fldChar w:fldCharType="separate"/>
      </w:r>
      <w:r>
        <w:rPr>
          <w:rFonts w:hint="default" w:ascii="Times New Roman" w:hAnsi="Times New Roman" w:eastAsia="仿宋_GB2312" w:cs="Times New Roman"/>
          <w:color w:val="auto"/>
          <w:kern w:val="2"/>
          <w:sz w:val="26"/>
          <w:szCs w:val="26"/>
          <w:lang w:val="en-US" w:eastAsia="zh-CN" w:bidi="ar-SA"/>
        </w:rPr>
        <w:t>全国人民代表大会常务委员会</w:t>
      </w:r>
      <w:r>
        <w:rPr>
          <w:rFonts w:hint="default" w:ascii="Times New Roman" w:hAnsi="Times New Roman" w:eastAsia="仿宋_GB2312" w:cs="Times New Roman"/>
          <w:color w:val="auto"/>
          <w:kern w:val="2"/>
          <w:sz w:val="26"/>
          <w:szCs w:val="26"/>
          <w:lang w:val="en-US" w:eastAsia="zh-CN" w:bidi="ar-SA"/>
        </w:rPr>
        <w:fldChar w:fldCharType="end"/>
      </w:r>
      <w:r>
        <w:rPr>
          <w:rFonts w:hint="default" w:ascii="Times New Roman" w:hAnsi="Times New Roman" w:eastAsia="仿宋_GB2312" w:cs="Times New Roman"/>
          <w:color w:val="auto"/>
          <w:kern w:val="2"/>
          <w:sz w:val="26"/>
          <w:szCs w:val="26"/>
          <w:lang w:val="en-US" w:eastAsia="zh-CN" w:bidi="ar-SA"/>
        </w:rPr>
        <w:t>第十六次会议通过，根据1988年12月29日第七届全国人民代表大会常务委员会第五次会议《关于修改〈中华人民共和国土地管理法〉的决定》第一次修正，1998年8月29日第九届全国人民代表大会常务委员会第四次会议修订，根据2004年8月28日第十届全国人民代表大会常务委员会第十一次会议《关于修改〈中华人民共和国土地管理法〉的决定》第二次修正，根据2019年8</w:t>
      </w:r>
      <w:r>
        <w:rPr>
          <w:rFonts w:hint="default" w:eastAsia="仿宋_GB2312"/>
          <w:color w:val="auto"/>
          <w:kern w:val="2"/>
          <w:sz w:val="26"/>
          <w:szCs w:val="26"/>
          <w:lang w:val="en-US" w:eastAsia="zh-CN" w:bidi="ar-SA"/>
        </w:rPr>
        <w:t>月26日第十三届全国人民代表大会常务委员会第十二次会议《关于修改〈中华人民共和国土地管理法〉、〈中华人民共和国城市房地产管理法〉的决定》第三次修正</w:t>
      </w:r>
      <w:r>
        <w:rPr>
          <w:rFonts w:hint="eastAsia" w:eastAsia="仿宋_GB2312"/>
          <w:color w:val="auto"/>
          <w:kern w:val="2"/>
          <w:sz w:val="26"/>
          <w:szCs w:val="26"/>
          <w:lang w:val="en-US" w:eastAsia="zh-CN" w:bidi="ar-SA"/>
        </w:rPr>
        <w:t>；</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5、《最高人民法院关于人民法院确定财产处置参考价若干问题的规定 》（法释〔2018〕15号）；</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6、《人民法院委托评估工作规范》（法办[</w:t>
      </w:r>
      <w:r>
        <w:rPr>
          <w:rFonts w:hint="default" w:eastAsia="仿宋_GB2312"/>
          <w:color w:val="auto"/>
          <w:kern w:val="2"/>
          <w:sz w:val="26"/>
          <w:szCs w:val="26"/>
          <w:lang w:val="en-US" w:eastAsia="zh-CN" w:bidi="ar-SA"/>
        </w:rPr>
        <w:t>2018]273</w:t>
      </w:r>
      <w:r>
        <w:rPr>
          <w:rFonts w:hint="eastAsia" w:eastAsia="仿宋_GB2312"/>
          <w:color w:val="auto"/>
          <w:kern w:val="2"/>
          <w:sz w:val="26"/>
          <w:szCs w:val="26"/>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7、法释〔2004〕16号《最高人民法院关于人民法院民事执行中拍卖、变卖财产的规定》（于2004年10月26日由最高人民法院审判委员会第1330次会议通过，自2005年1月1日起施行）；</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8、法办发〔2007〕5号《最高人民法院对外委托鉴定、评估、拍卖等工作管理规定》（2007年8月23日公布，自2007年9月1日起施行）；</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9、法释〔2009〕16号《最高人民法院关于人民法院委托评估、拍卖和变卖工作的若干规定》（于2009年8月24日由最高人民法院审判委员会第1472次会议通过，自2009年11月20日起施行）；</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10、《涉执房地产处置司法评估指导意见（试行）》的通知（中房学〔2021〕37号），2021年8月18日；</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11、《中华人民共和国增值税暂行条例》（2017年11月19日公布）；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12、国务院、建设部、贵州省人民政府及有关部门颁布的有关政策、法规文件。</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（二）本次估价采用的技术规程</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1、中华人民共和国国家标准《房地产估价规范》（GB/T50291-2015）；</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2、《房地产估价基本术语标准》(GB/T50899-2013)；</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（三）估价委托人提供的有关资料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1、《六盘水市钟山区人民法院委托书》；</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auto"/>
          <w:sz w:val="26"/>
          <w:szCs w:val="26"/>
          <w:lang w:val="en-US" w:eastAsia="zh-CN"/>
        </w:rPr>
        <w:t>《商品房项目销售及登记情况一览表》、《国有土地使用权证》（大证）、《建设用地规划许可证》、《建设工程规划许可证》、《建筑工程施工许可证》、《商品房预售许可证》</w:t>
      </w:r>
      <w:r>
        <w:rPr>
          <w:rFonts w:hint="eastAsia" w:eastAsia="仿宋_GB2312"/>
          <w:color w:val="auto"/>
          <w:kern w:val="2"/>
          <w:sz w:val="26"/>
          <w:szCs w:val="26"/>
          <w:lang w:val="en-US" w:eastAsia="zh-CN" w:bidi="ar-SA"/>
        </w:rPr>
        <w:t>（复印件）；</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（四）估价机构和估价人员所搜集掌握的有关资料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1、现场调查资料；</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auto"/>
          <w:kern w:val="2"/>
          <w:sz w:val="26"/>
          <w:szCs w:val="26"/>
          <w:lang w:val="en-US" w:eastAsia="zh-CN" w:bidi="ar-SA"/>
        </w:rPr>
        <w:t>2、当地房地产市场行情；</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sz w:val="32"/>
          <w:szCs w:val="32"/>
        </w:rPr>
      </w:pPr>
      <w:bookmarkStart w:id="49" w:name="_Toc522795051"/>
      <w:bookmarkStart w:id="50" w:name="_Toc14696"/>
      <w:bookmarkStart w:id="51" w:name="_Toc18870"/>
      <w:r>
        <w:rPr>
          <w:rFonts w:hint="eastAsia" w:ascii="仿宋" w:hAnsi="仿宋" w:eastAsia="仿宋" w:cs="仿宋"/>
          <w:b/>
          <w:bCs/>
          <w:kern w:val="0"/>
          <w:sz w:val="32"/>
          <w:szCs w:val="32"/>
        </w:rPr>
        <w:t>九、估价方法</w:t>
      </w:r>
      <w:bookmarkEnd w:id="48"/>
      <w:bookmarkEnd w:id="49"/>
      <w:bookmarkEnd w:id="50"/>
      <w:bookmarkEnd w:id="51"/>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bookmarkStart w:id="52" w:name="_Toc522795052"/>
      <w:r>
        <w:rPr>
          <w:rFonts w:hint="eastAsia" w:eastAsia="仿宋_GB2312"/>
          <w:color w:val="auto"/>
          <w:sz w:val="26"/>
          <w:szCs w:val="26"/>
          <w:lang w:val="en-US" w:eastAsia="zh-CN"/>
        </w:rPr>
        <w:t>(一)估价方法适用性分析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根据《房地产估价规范》，选用估价方法时，应根据估价对象及其所在的房地产市场状况等客观条件，对收益法、收益法、成本法、假设开发法等估价方法进行适用性分析。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比较法适用于房地产市场成熟，近期同类房地产交易案例较多的估价；收益法适用于有收益或潜在收益的房地产估价；成本法适用于房地产市场不成熟或市场依据不充分而不适宜采用收益法、收益法及假设开发法的房地产估价；假设开发法适用于具有投资开发或再开发潜力的房地产的估价。</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（二）估价方法的选择</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理论上不适用的估价方法：估价对象为住宅、商业用途房地产，根据房地产估价规范理论上不适合采用假设开发法，因为现状为正在使用且短期内重新开发或改扩建增加价值的可能性不大，故不适合采用假设开发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2、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适用的估价方法：比较法适用于区域内同类房地产市场交易案例较多，交易较为频繁的估价方法，估价对象住宅用途房地产，且近期同区域、同类的房地产市场交易案例较多、且容易收集，交易市场活跃，比较法是比较合适的方法。</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auto"/>
          <w:sz w:val="26"/>
          <w:szCs w:val="26"/>
          <w:lang w:val="en-US" w:eastAsia="zh-CN"/>
        </w:rPr>
        <w:t>估价对象A栋301用途为商业房地产，可以通过出租取得收益，周边类似物业租金案例较多且易取得，因此收益法是比较合适的方法。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综上所述，估价人员在认真分析所掌握的资料并对邻近类似房地产进行实地查看调查后，根据估价对象的特点及本次估价目的，遵照国家有关法律、法规、估价技术标准，对估价对象</w:t>
      </w:r>
      <w:r>
        <w:rPr>
          <w:rFonts w:hint="eastAsia" w:eastAsia="仿宋_GB2312"/>
          <w:color w:val="auto"/>
          <w:sz w:val="26"/>
          <w:szCs w:val="26"/>
          <w:lang w:val="en-US" w:eastAsia="zh-CN"/>
        </w:rPr>
        <w:t>A栋301</w:t>
      </w:r>
      <w:r>
        <w:rPr>
          <w:rFonts w:hint="eastAsia" w:eastAsia="仿宋_GB2312"/>
          <w:color w:val="000000"/>
          <w:sz w:val="26"/>
          <w:szCs w:val="26"/>
          <w:lang w:val="en-US" w:eastAsia="zh-CN"/>
        </w:rPr>
        <w:t>商业用房采用收益法评估，对住宅用房采用比较法进行评估。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（三）估价方法简介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比较法，是指将估价对象与在价值时点近期有过交易的类似房地产进行比较，对这些类似房地产的已知价格作适当的修正，以此估算估价对象的客观合理价格或价值的方法。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收益法，是指预计估价对象未来的正常净收益，选用适当的报酬率将其折现到价值时点后累加，以此估算估价对象的客观合理价格或价值的方法。</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00" w:lineRule="exact"/>
        <w:ind w:firstLine="643" w:firstLineChars="200"/>
        <w:textAlignment w:val="auto"/>
        <w:outlineLvl w:val="1"/>
        <w:rPr>
          <w:rFonts w:hint="eastAsia" w:ascii="仿宋" w:hAnsi="仿宋" w:eastAsia="仿宋" w:cs="仿宋"/>
          <w:b/>
          <w:bCs/>
          <w:kern w:val="0"/>
          <w:sz w:val="32"/>
          <w:szCs w:val="32"/>
        </w:rPr>
      </w:pPr>
      <w:bookmarkStart w:id="53" w:name="_Toc5067"/>
      <w:bookmarkStart w:id="54" w:name="_Toc29616"/>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rPr>
        <w:t>估价结果</w:t>
      </w:r>
      <w:bookmarkEnd w:id="52"/>
      <w:bookmarkEnd w:id="53"/>
      <w:bookmarkEnd w:id="54"/>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themeColor="text1"/>
          <w:sz w:val="26"/>
          <w:szCs w:val="26"/>
          <w:lang w:val="en-US" w:eastAsia="zh-CN"/>
          <w14:textFill>
            <w14:solidFill>
              <w14:schemeClr w14:val="tx1"/>
            </w14:solidFill>
          </w14:textFill>
        </w:rPr>
      </w:pPr>
      <w:bookmarkStart w:id="55" w:name="_Toc286074118"/>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并结合估价经验和对影响价值因素的分析，在满足本次估价的假设和限制条件下，确定估价对象于价值时点2022年11月07日的市场价值合计为</w:t>
      </w:r>
      <w:bookmarkStart w:id="56" w:name="_Toc15872"/>
      <w:bookmarkStart w:id="57" w:name="_Toc1006"/>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人民币</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654200 \* CHINESENUM4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eastAsia" w:eastAsia="仿宋_GB2312" w:cs="Times New Roman"/>
          <w:b/>
          <w:bCs/>
          <w:color w:val="000000" w:themeColor="text1"/>
          <w:sz w:val="26"/>
          <w:szCs w:val="26"/>
          <w:lang w:val="en-US" w:eastAsia="zh-CN"/>
          <w14:textFill>
            <w14:solidFill>
              <w14:schemeClr w14:val="tx1"/>
            </w14:solidFill>
          </w14:textFill>
        </w:rPr>
        <w:t>壹仟叁佰零玖万捌仟叁佰</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元整</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w:t>
      </w:r>
      <w:r>
        <w:rPr>
          <w:rFonts w:hint="eastAsia" w:eastAsia="仿宋_GB2312" w:cs="Times New Roman"/>
          <w:b/>
          <w:bCs/>
          <w:color w:val="000000" w:themeColor="text1"/>
          <w:sz w:val="26"/>
          <w:szCs w:val="26"/>
          <w:lang w:val="en-US" w:eastAsia="zh-CN"/>
          <w14:textFill>
            <w14:solidFill>
              <w14:schemeClr w14:val="tx1"/>
            </w14:solidFill>
          </w14:textFill>
        </w:rPr>
        <w:t>1309.83</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万元）</w:t>
      </w:r>
      <w:r>
        <w:rPr>
          <w:rFonts w:hint="eastAsia" w:eastAsia="仿宋_GB2312"/>
          <w:color w:val="000000" w:themeColor="text1"/>
          <w:sz w:val="26"/>
          <w:szCs w:val="26"/>
          <w:lang w:val="en-US" w:eastAsia="zh-CN"/>
          <w14:textFill>
            <w14:solidFill>
              <w14:schemeClr w14:val="tx1"/>
            </w14:solidFill>
          </w14:textFill>
        </w:rPr>
        <w:t>。详见下表：</w:t>
      </w:r>
    </w:p>
    <w:tbl>
      <w:tblPr>
        <w:tblStyle w:val="23"/>
        <w:tblW w:w="103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485"/>
        <w:gridCol w:w="2130"/>
        <w:gridCol w:w="960"/>
        <w:gridCol w:w="855"/>
        <w:gridCol w:w="678"/>
        <w:gridCol w:w="1050"/>
        <w:gridCol w:w="1050"/>
        <w:gridCol w:w="975"/>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0335"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评估结果明细表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建设单位</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坐落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房号</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所在层数</w:t>
            </w:r>
          </w:p>
        </w:tc>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用途</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建筑面积（㎡）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评估单价（元/㎡）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评估总价（万元）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六盘水市钟山区凉都大道与凤凰路交汇处北侧凉都水岸C栋1202室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C栋1202室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4894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38.24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六盘水市钟山区凉都大道与凤凰路交汇处北侧凉都水岸C栋1706室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C栋1706室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79.94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39.39</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六盘水市钟山区凉都大道与凤凰路交汇处北侧凉都水岸C栋1907室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C栋1907室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38.51</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六盘水市钟山区凉都大道与凤凰路交汇处北侧凉都水岸C栋2008室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C栋2008室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102.26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50.39</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六盘水市钟山区凉都大道与凤凰路交汇处北侧凉都水岸C栋2102室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C栋2102室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21</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38.51</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六盘水市钟山区凉都大道与凤凰路交汇处北侧凉都水岸C栋2207室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C栋2207室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六盘水市钟山区凉都大道与凤凰路交汇处北侧凉都水岸C栋2302室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C栋2302室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78.14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38.51</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六盘水市钟山区凉都大道与凤凰路交汇处北侧凉都水岸C栋2307室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C栋2307室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4928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40.57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六盘水市钟山区凉都大道与凤凰路交汇处北侧凉都水岸C栋2507室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C栋2507室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4996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41.13</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六盘水市钟山区荷城花园房地产开发有限公司</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六盘水市钟山区凉都大道与凤凰路交汇处北侧凉都水岸A栋301铺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A栋301铺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1435.24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6012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862.87</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2341.6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1309.83</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4"/>
                <w:szCs w:val="24"/>
                <w:u w:val="none"/>
              </w:rPr>
            </w:pP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eastAsia" w:ascii="仿宋" w:hAnsi="仿宋" w:eastAsia="仿宋" w:cs="仿宋"/>
          <w:kern w:val="0"/>
        </w:rPr>
      </w:pPr>
      <w:r>
        <w:rPr>
          <w:rFonts w:hint="eastAsia" w:ascii="仿宋" w:hAnsi="仿宋" w:eastAsia="仿宋" w:cs="仿宋"/>
          <w:b/>
          <w:bCs/>
          <w:kern w:val="0"/>
          <w:sz w:val="32"/>
          <w:szCs w:val="32"/>
          <w:lang w:val="en-US" w:eastAsia="zh-CN"/>
        </w:rPr>
        <w:t>十一、</w:t>
      </w:r>
      <w:r>
        <w:rPr>
          <w:rFonts w:hint="eastAsia" w:ascii="仿宋" w:hAnsi="仿宋" w:eastAsia="仿宋" w:cs="仿宋"/>
          <w:kern w:val="0"/>
        </w:rPr>
        <w:t>注册房地产估价师</w:t>
      </w:r>
      <w:bookmarkEnd w:id="55"/>
      <w:bookmarkEnd w:id="56"/>
      <w:bookmarkEnd w:id="57"/>
    </w:p>
    <w:tbl>
      <w:tblPr>
        <w:tblStyle w:val="23"/>
        <w:tblW w:w="0" w:type="auto"/>
        <w:jc w:val="center"/>
        <w:tblLayout w:type="fixed"/>
        <w:tblCellMar>
          <w:top w:w="0" w:type="dxa"/>
          <w:left w:w="108" w:type="dxa"/>
          <w:bottom w:w="0" w:type="dxa"/>
          <w:right w:w="108" w:type="dxa"/>
        </w:tblCellMar>
      </w:tblPr>
      <w:tblGrid>
        <w:gridCol w:w="2651"/>
        <w:gridCol w:w="2955"/>
        <w:gridCol w:w="3159"/>
      </w:tblGrid>
      <w:tr>
        <w:tblPrEx>
          <w:tblCellMar>
            <w:top w:w="0" w:type="dxa"/>
            <w:left w:w="108" w:type="dxa"/>
            <w:bottom w:w="0" w:type="dxa"/>
            <w:right w:w="108" w:type="dxa"/>
          </w:tblCellMar>
        </w:tblPrEx>
        <w:trPr>
          <w:trHeight w:val="768" w:hRule="atLeast"/>
          <w:jc w:val="center"/>
        </w:trPr>
        <w:tc>
          <w:tcPr>
            <w:tcW w:w="26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bookmarkStart w:id="58" w:name="_Toc23483"/>
            <w:bookmarkStart w:id="59" w:name="_Toc16742"/>
            <w:bookmarkStart w:id="60" w:name="_Toc461005140"/>
            <w:bookmarkStart w:id="61" w:name="_Toc286074121"/>
            <w:bookmarkStart w:id="62" w:name="_Toc522795056"/>
            <w:r>
              <w:rPr>
                <w:rFonts w:hint="eastAsia" w:ascii="仿宋" w:hAnsi="仿宋" w:eastAsia="仿宋" w:cs="仿宋"/>
                <w:color w:val="000000"/>
                <w:kern w:val="0"/>
                <w:sz w:val="28"/>
                <w:szCs w:val="28"/>
              </w:rPr>
              <w:t>姓   名</w:t>
            </w:r>
          </w:p>
        </w:tc>
        <w:tc>
          <w:tcPr>
            <w:tcW w:w="29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1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65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9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15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65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9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15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　</w:t>
            </w: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r>
        <w:rPr>
          <w:rFonts w:hint="eastAsia" w:ascii="仿宋" w:hAnsi="仿宋" w:eastAsia="仿宋" w:cs="仿宋"/>
          <w:b/>
          <w:bCs/>
          <w:kern w:val="0"/>
        </w:rPr>
        <w:t>十二、实地查勘期</w:t>
      </w:r>
      <w:bookmarkEnd w:id="58"/>
      <w:bookmarkEnd w:id="59"/>
      <w:bookmarkEnd w:id="60"/>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本次实地勘查日期是2022年11月07日。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63" w:name="_Toc31764"/>
      <w:bookmarkStart w:id="64" w:name="_Toc461005141"/>
      <w:bookmarkStart w:id="65" w:name="_Toc19559"/>
      <w:r>
        <w:rPr>
          <w:rFonts w:hint="eastAsia" w:ascii="仿宋" w:hAnsi="仿宋" w:eastAsia="仿宋" w:cs="仿宋"/>
          <w:b/>
          <w:bCs/>
          <w:kern w:val="0"/>
        </w:rPr>
        <w:t>十三、估价作业日期</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420" w:lineRule="exact"/>
        <w:ind w:firstLine="520" w:firstLineChars="200"/>
        <w:textAlignment w:val="auto"/>
        <w:outlineLvl w:val="9"/>
        <w:rPr>
          <w:rFonts w:hint="eastAsia" w:ascii="仿宋" w:hAnsi="仿宋" w:eastAsia="仿宋" w:cs="仿宋"/>
          <w:color w:val="auto"/>
          <w:sz w:val="28"/>
          <w:szCs w:val="28"/>
        </w:rPr>
      </w:pPr>
      <w:r>
        <w:rPr>
          <w:rFonts w:hint="eastAsia" w:eastAsia="仿宋_GB2312"/>
          <w:color w:val="000000"/>
          <w:sz w:val="26"/>
          <w:szCs w:val="26"/>
          <w:lang w:val="en-US" w:eastAsia="zh-CN"/>
        </w:rPr>
        <w:t>本次估价的作业日期是2022年11月07日至2022年11月22日。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66" w:name="_Toc32760"/>
      <w:bookmarkStart w:id="67" w:name="_Toc31161"/>
      <w:r>
        <w:rPr>
          <w:rFonts w:hint="eastAsia" w:ascii="仿宋" w:hAnsi="仿宋" w:eastAsia="仿宋" w:cs="仿宋"/>
          <w:b/>
          <w:bCs/>
          <w:kern w:val="0"/>
        </w:rPr>
        <w:t>十</w:t>
      </w:r>
      <w:r>
        <w:rPr>
          <w:rFonts w:hint="eastAsia" w:ascii="仿宋" w:hAnsi="仿宋" w:eastAsia="仿宋" w:cs="仿宋"/>
          <w:b/>
          <w:bCs/>
          <w:kern w:val="0"/>
          <w:lang w:val="en-US" w:eastAsia="zh-CN"/>
        </w:rPr>
        <w:t>四</w:t>
      </w:r>
      <w:r>
        <w:rPr>
          <w:rFonts w:hint="eastAsia" w:ascii="仿宋" w:hAnsi="仿宋" w:eastAsia="仿宋" w:cs="仿宋"/>
          <w:b/>
          <w:bCs/>
          <w:kern w:val="0"/>
        </w:rPr>
        <w:t>、估价报告</w:t>
      </w:r>
      <w:bookmarkEnd w:id="61"/>
      <w:r>
        <w:rPr>
          <w:rFonts w:hint="eastAsia" w:ascii="仿宋" w:hAnsi="仿宋" w:eastAsia="仿宋" w:cs="仿宋"/>
          <w:b/>
          <w:bCs/>
          <w:kern w:val="0"/>
        </w:rPr>
        <w:t>应用的有效期</w:t>
      </w:r>
      <w:bookmarkEnd w:id="62"/>
      <w:bookmarkEnd w:id="66"/>
      <w:bookmarkEnd w:id="67"/>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本估价报告有效期限为一年，从估价报告出具日期之日起计算，即：2022年11月22日至2023年11月21日。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68" w:name="_Toc8936"/>
      <w:bookmarkStart w:id="69" w:name="_Toc27387"/>
      <w:bookmarkStart w:id="70" w:name="_Toc451421812"/>
      <w:r>
        <w:rPr>
          <w:rFonts w:hint="eastAsia" w:ascii="仿宋" w:hAnsi="仿宋" w:eastAsia="仿宋" w:cs="仿宋"/>
          <w:b/>
          <w:bCs/>
          <w:kern w:val="0"/>
        </w:rPr>
        <w:t>十五、其它需要特别说明的事项</w:t>
      </w:r>
      <w:bookmarkEnd w:id="68"/>
      <w:bookmarkEnd w:id="69"/>
      <w:bookmarkEnd w:id="70"/>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1、本报告结果及附件仅供委托方用于估价目的所载明的用途，不对其它用途负责，不能作为估价对象权属界定的依据。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贵州昊远房地产土地评估有限公司</w:t>
      </w:r>
    </w:p>
    <w:p>
      <w:pPr>
        <w:jc w:val="center"/>
        <w:rPr>
          <w:rFonts w:hint="eastAsia" w:ascii="仿宋" w:hAnsi="仿宋" w:eastAsia="仿宋" w:cs="仿宋"/>
          <w:b/>
          <w:bCs/>
          <w:kern w:val="0"/>
          <w:sz w:val="44"/>
          <w:szCs w:val="44"/>
        </w:rPr>
      </w:pPr>
      <w:r>
        <w:rPr>
          <w:rFonts w:hint="eastAsia" w:ascii="仿宋" w:hAnsi="仿宋" w:eastAsia="仿宋" w:cs="仿宋"/>
          <w:b/>
          <w:bCs/>
          <w:sz w:val="28"/>
          <w:szCs w:val="28"/>
          <w:lang w:val="en-US" w:eastAsia="zh-CN"/>
        </w:rPr>
        <w:t xml:space="preserve">                                      二〇二二年十一月二十二日</w:t>
      </w: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r>
        <w:rPr>
          <w:rFonts w:hint="eastAsia" w:ascii="仿宋" w:hAnsi="仿宋" w:eastAsia="仿宋" w:cs="仿宋"/>
          <w:b/>
          <w:bCs/>
          <w:kern w:val="0"/>
          <w:sz w:val="44"/>
          <w:szCs w:val="44"/>
        </w:rPr>
        <w:br w:type="page"/>
      </w:r>
    </w:p>
    <w:bookmarkEnd w:id="3"/>
    <w:bookmarkEnd w:id="4"/>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bookmarkStart w:id="71" w:name="_Toc5499"/>
      <w:bookmarkStart w:id="72" w:name="_Toc8594"/>
      <w:r>
        <w:rPr>
          <w:rFonts w:hint="eastAsia" w:ascii="仿宋" w:hAnsi="仿宋" w:eastAsia="仿宋" w:cs="仿宋"/>
          <w:b/>
          <w:bCs/>
          <w:kern w:val="0"/>
          <w:sz w:val="44"/>
          <w:szCs w:val="44"/>
        </w:rPr>
        <w:t>附     件</w:t>
      </w:r>
      <w:bookmarkEnd w:id="71"/>
      <w:bookmarkEnd w:id="72"/>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color w:val="auto"/>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spacing w:line="680" w:lineRule="exact"/>
        <w:ind w:left="1119" w:leftChars="266" w:hanging="560" w:hanging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估价对象现状照片及位置图</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二、《六盘水市钟山区人民法院委托书》复印件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三、《商品房项目销售及登记情况一览表》、《国有土地使用权证》（大证）、《建设用地规划许可证》、《建设工程规划许可证》、《建筑工程施工许可证》、《商品房预售许可证》复印件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四、估价机构营业执照复印件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五、估价机构房地产估价备案证书复印件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六、房地产估价师注册证书复印件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jc w:val="cente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估价对象现状照片</w:t>
      </w: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166110"/>
                  <wp:effectExtent l="0" t="0" r="7620" b="15240"/>
                  <wp:docPr id="1" name="图片 1" descr="C:/Users/thtfpc/AppData/Local/Temp/picturecompress_2022120115412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htfpc/AppData/Local/Temp/picturecompress_20221201154125/output_2.jpgoutput_2"/>
                          <pic:cNvPicPr>
                            <a:picLocks noChangeAspect="1"/>
                          </pic:cNvPicPr>
                        </pic:nvPicPr>
                        <pic:blipFill>
                          <a:blip r:embed="rId8"/>
                          <a:stretch>
                            <a:fillRect/>
                          </a:stretch>
                        </pic:blipFill>
                        <pic:spPr>
                          <a:xfrm>
                            <a:off x="0" y="0"/>
                            <a:ext cx="2830830" cy="316611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95905" cy="3267075"/>
                  <wp:effectExtent l="0" t="0" r="4445" b="9525"/>
                  <wp:docPr id="3" name="图片 3" descr="C:/Users/thtfpc/AppData/Local/Temp/picturecompress_20221201154125/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htfpc/AppData/Local/Temp/picturecompress_20221201154125/output_3.jpgoutput_3"/>
                          <pic:cNvPicPr>
                            <a:picLocks noChangeAspect="1"/>
                          </pic:cNvPicPr>
                        </pic:nvPicPr>
                        <pic:blipFill>
                          <a:blip r:embed="rId9"/>
                          <a:stretch>
                            <a:fillRect/>
                          </a:stretch>
                        </pic:blipFill>
                        <pic:spPr>
                          <a:xfrm>
                            <a:off x="0" y="0"/>
                            <a:ext cx="2795905" cy="326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6"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98115" cy="3365500"/>
                  <wp:effectExtent l="0" t="0" r="6985" b="6350"/>
                  <wp:docPr id="4" name="图片 4" descr="C:/Users/thtfpc/AppData/Local/Temp/picturecompress_20221201154125/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htfpc/AppData/Local/Temp/picturecompress_20221201154125/output_4.jpgoutput_4"/>
                          <pic:cNvPicPr>
                            <a:picLocks noChangeAspect="1"/>
                          </pic:cNvPicPr>
                        </pic:nvPicPr>
                        <pic:blipFill>
                          <a:blip r:embed="rId10"/>
                          <a:stretch>
                            <a:fillRect/>
                          </a:stretch>
                        </pic:blipFill>
                        <pic:spPr>
                          <a:xfrm>
                            <a:off x="0" y="0"/>
                            <a:ext cx="2698115" cy="336550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33370" cy="3216275"/>
                  <wp:effectExtent l="0" t="0" r="5080" b="3175"/>
                  <wp:docPr id="5" name="图片 5" descr="C:/Users/thtfpc/AppData/Local/Temp/picturecompress_20221201154125/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htfpc/AppData/Local/Temp/picturecompress_20221201154125/output_5.jpgoutput_5"/>
                          <pic:cNvPicPr>
                            <a:picLocks noChangeAspect="1"/>
                          </pic:cNvPicPr>
                        </pic:nvPicPr>
                        <pic:blipFill>
                          <a:blip r:embed="rId11"/>
                          <a:stretch>
                            <a:fillRect/>
                          </a:stretch>
                        </pic:blipFill>
                        <pic:spPr>
                          <a:xfrm>
                            <a:off x="0" y="0"/>
                            <a:ext cx="2833370" cy="3216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765550"/>
                  <wp:effectExtent l="0" t="0" r="7620" b="6350"/>
                  <wp:docPr id="14" name="图片 14" descr="C:/Users/thtfpc/AppData/Local/Temp/picturecompress_20221201154125/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thtfpc/AppData/Local/Temp/picturecompress_20221201154125/output_6.jpgoutput_6"/>
                          <pic:cNvPicPr>
                            <a:picLocks noChangeAspect="1"/>
                          </pic:cNvPicPr>
                        </pic:nvPicPr>
                        <pic:blipFill>
                          <a:blip r:embed="rId12"/>
                          <a:stretch>
                            <a:fillRect/>
                          </a:stretch>
                        </pic:blipFill>
                        <pic:spPr>
                          <a:xfrm>
                            <a:off x="0" y="0"/>
                            <a:ext cx="2830830" cy="376555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33370" cy="3667125"/>
                  <wp:effectExtent l="0" t="0" r="5080" b="9525"/>
                  <wp:docPr id="15" name="图片 15" descr="C:/Users/thtfpc/AppData/Local/Temp/picturecompress_20221201154125/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htfpc/AppData/Local/Temp/picturecompress_20221201154125/output_7.jpgoutput_7"/>
                          <pic:cNvPicPr>
                            <a:picLocks noChangeAspect="1"/>
                          </pic:cNvPicPr>
                        </pic:nvPicPr>
                        <pic:blipFill>
                          <a:blip r:embed="rId13"/>
                          <a:stretch>
                            <a:fillRect/>
                          </a:stretch>
                        </pic:blipFill>
                        <pic:spPr>
                          <a:xfrm>
                            <a:off x="0" y="0"/>
                            <a:ext cx="2833370" cy="3667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26690" cy="3270250"/>
                  <wp:effectExtent l="0" t="0" r="16510" b="6350"/>
                  <wp:docPr id="17" name="图片 17" descr="C:/Users/thtfpc/AppData/Local/Temp/picturecompress_20221201154125/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htfpc/AppData/Local/Temp/picturecompress_20221201154125/output_8.jpgoutput_8"/>
                          <pic:cNvPicPr>
                            <a:picLocks noChangeAspect="1"/>
                          </pic:cNvPicPr>
                        </pic:nvPicPr>
                        <pic:blipFill>
                          <a:blip r:embed="rId14"/>
                          <a:stretch>
                            <a:fillRect/>
                          </a:stretch>
                        </pic:blipFill>
                        <pic:spPr>
                          <a:xfrm>
                            <a:off x="0" y="0"/>
                            <a:ext cx="2726690" cy="327025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67330" cy="3190875"/>
                  <wp:effectExtent l="0" t="0" r="13970" b="9525"/>
                  <wp:docPr id="18" name="图片 18" descr="C:/Users/thtfpc/AppData/Local/Temp/picturecompress_20221201154125/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thtfpc/AppData/Local/Temp/picturecompress_20221201154125/output_9.jpgoutput_9"/>
                          <pic:cNvPicPr>
                            <a:picLocks noChangeAspect="1"/>
                          </pic:cNvPicPr>
                        </pic:nvPicPr>
                        <pic:blipFill>
                          <a:blip r:embed="rId15"/>
                          <a:stretch>
                            <a:fillRect/>
                          </a:stretch>
                        </pic:blipFill>
                        <pic:spPr>
                          <a:xfrm>
                            <a:off x="0" y="0"/>
                            <a:ext cx="2767330" cy="3190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2747645"/>
                  <wp:effectExtent l="0" t="0" r="7620" b="14605"/>
                  <wp:docPr id="58" name="图片 58" descr="C:/Users/thtfpc/AppData/Local/Temp/picturecompress_20221201154125/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thtfpc/AppData/Local/Temp/picturecompress_20221201154125/output_13.jpgoutput_13"/>
                          <pic:cNvPicPr>
                            <a:picLocks noChangeAspect="1"/>
                          </pic:cNvPicPr>
                        </pic:nvPicPr>
                        <pic:blipFill>
                          <a:blip r:embed="rId16"/>
                          <a:stretch>
                            <a:fillRect/>
                          </a:stretch>
                        </pic:blipFill>
                        <pic:spPr>
                          <a:xfrm>
                            <a:off x="0" y="0"/>
                            <a:ext cx="2830830" cy="274764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82875" cy="2613025"/>
                  <wp:effectExtent l="0" t="0" r="3175" b="15875"/>
                  <wp:docPr id="55" name="图片 55" descr="C:/Users/thtfpc/AppData/Local/Temp/picturecompress_20221201154125/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thtfpc/AppData/Local/Temp/picturecompress_20221201154125/output_10.jpgoutput_10"/>
                          <pic:cNvPicPr>
                            <a:picLocks noChangeAspect="1"/>
                          </pic:cNvPicPr>
                        </pic:nvPicPr>
                        <pic:blipFill>
                          <a:blip r:embed="rId17"/>
                          <a:stretch>
                            <a:fillRect/>
                          </a:stretch>
                        </pic:blipFill>
                        <pic:spPr>
                          <a:xfrm>
                            <a:off x="0" y="0"/>
                            <a:ext cx="2682875" cy="2613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935605" cy="2374265"/>
                  <wp:effectExtent l="0" t="0" r="17145" b="6985"/>
                  <wp:docPr id="56" name="图片 56" descr="C:/Users/thtfpc/AppData/Local/Temp/picturecompress_20221201154125/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thtfpc/AppData/Local/Temp/picturecompress_20221201154125/output_11.jpgoutput_11"/>
                          <pic:cNvPicPr>
                            <a:picLocks noChangeAspect="1"/>
                          </pic:cNvPicPr>
                        </pic:nvPicPr>
                        <pic:blipFill>
                          <a:blip r:embed="rId18"/>
                          <a:stretch>
                            <a:fillRect/>
                          </a:stretch>
                        </pic:blipFill>
                        <pic:spPr>
                          <a:xfrm>
                            <a:off x="0" y="0"/>
                            <a:ext cx="2935605" cy="237426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2440" cy="2411730"/>
                  <wp:effectExtent l="0" t="0" r="16510" b="7620"/>
                  <wp:docPr id="57" name="图片 57" descr="C:/Users/thtfpc/AppData/Local/Temp/picturecompress_20221201154125/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thtfpc/AppData/Local/Temp/picturecompress_20221201154125/output_12.jpgoutput_12"/>
                          <pic:cNvPicPr>
                            <a:picLocks noChangeAspect="1"/>
                          </pic:cNvPicPr>
                        </pic:nvPicPr>
                        <pic:blipFill>
                          <a:blip r:embed="rId19"/>
                          <a:stretch>
                            <a:fillRect/>
                          </a:stretch>
                        </pic:blipFill>
                        <pic:spPr>
                          <a:xfrm>
                            <a:off x="0" y="0"/>
                            <a:ext cx="3012440" cy="24117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34055"/>
                  <wp:effectExtent l="0" t="0" r="10160" b="4445"/>
                  <wp:docPr id="63" name="图片 63" descr="C:/Users/thtfpc/AppData/Local/Temp/picturecompress_20221201154125/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thtfpc/AppData/Local/Temp/picturecompress_20221201154125/output_14.jpgoutput_14"/>
                          <pic:cNvPicPr>
                            <a:picLocks noChangeAspect="1"/>
                          </pic:cNvPicPr>
                        </pic:nvPicPr>
                        <pic:blipFill>
                          <a:blip r:embed="rId20"/>
                          <a:stretch>
                            <a:fillRect/>
                          </a:stretch>
                        </pic:blipFill>
                        <pic:spPr>
                          <a:xfrm>
                            <a:off x="0" y="0"/>
                            <a:ext cx="2828290" cy="32340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205480"/>
                  <wp:effectExtent l="0" t="0" r="17780" b="13970"/>
                  <wp:docPr id="64" name="图片 64" descr="C:/Users/thtfpc/AppData/Local/Temp/picturecompress_20221201154125/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thtfpc/AppData/Local/Temp/picturecompress_20221201154125/output_15.jpgoutput_15"/>
                          <pic:cNvPicPr>
                            <a:picLocks noChangeAspect="1"/>
                          </pic:cNvPicPr>
                        </pic:nvPicPr>
                        <pic:blipFill>
                          <a:blip r:embed="rId21"/>
                          <a:stretch>
                            <a:fillRect/>
                          </a:stretch>
                        </pic:blipFill>
                        <pic:spPr>
                          <a:xfrm>
                            <a:off x="0" y="0"/>
                            <a:ext cx="3011170" cy="3205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62630"/>
                  <wp:effectExtent l="0" t="0" r="10160" b="13970"/>
                  <wp:docPr id="65" name="图片 65" descr="C:/Users/thtfpc/AppData/Local/Temp/picturecompress_20221201154125/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thtfpc/AppData/Local/Temp/picturecompress_20221201154125/output_16.jpgoutput_16"/>
                          <pic:cNvPicPr>
                            <a:picLocks noChangeAspect="1"/>
                          </pic:cNvPicPr>
                        </pic:nvPicPr>
                        <pic:blipFill>
                          <a:blip r:embed="rId22"/>
                          <a:stretch>
                            <a:fillRect/>
                          </a:stretch>
                        </pic:blipFill>
                        <pic:spPr>
                          <a:xfrm>
                            <a:off x="0" y="0"/>
                            <a:ext cx="2828290" cy="326263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16555" cy="3363595"/>
                  <wp:effectExtent l="0" t="0" r="17145" b="8255"/>
                  <wp:docPr id="67" name="图片 67" descr="C:/Users/thtfpc/AppData/Local/Temp/picturecompress_20221201154125/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thtfpc/AppData/Local/Temp/picturecompress_20221201154125/output_17.jpgoutput_17"/>
                          <pic:cNvPicPr>
                            <a:picLocks noChangeAspect="1"/>
                          </pic:cNvPicPr>
                        </pic:nvPicPr>
                        <pic:blipFill>
                          <a:blip r:embed="rId23"/>
                          <a:stretch>
                            <a:fillRect/>
                          </a:stretch>
                        </pic:blipFill>
                        <pic:spPr>
                          <a:xfrm>
                            <a:off x="0" y="0"/>
                            <a:ext cx="2916555" cy="3363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034665"/>
                  <wp:effectExtent l="0" t="0" r="10160" b="13335"/>
                  <wp:docPr id="74" name="图片 74" descr="C:/Users/thtfpc/AppData/Local/Temp/picturecompress_20221201154125/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thtfpc/AppData/Local/Temp/picturecompress_20221201154125/output_18.jpgoutput_18"/>
                          <pic:cNvPicPr>
                            <a:picLocks noChangeAspect="1"/>
                          </pic:cNvPicPr>
                        </pic:nvPicPr>
                        <pic:blipFill>
                          <a:blip r:embed="rId24"/>
                          <a:stretch>
                            <a:fillRect/>
                          </a:stretch>
                        </pic:blipFill>
                        <pic:spPr>
                          <a:xfrm>
                            <a:off x="0" y="0"/>
                            <a:ext cx="2828290" cy="303466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50515" cy="2935605"/>
                  <wp:effectExtent l="0" t="0" r="6985" b="17145"/>
                  <wp:docPr id="73" name="图片 73" descr="C:/Users/thtfpc/AppData/Local/Temp/picturecompress_20221201154125/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thtfpc/AppData/Local/Temp/picturecompress_20221201154125/output_19.jpgoutput_19"/>
                          <pic:cNvPicPr>
                            <a:picLocks noChangeAspect="1"/>
                          </pic:cNvPicPr>
                        </pic:nvPicPr>
                        <pic:blipFill>
                          <a:blip r:embed="rId25"/>
                          <a:stretch>
                            <a:fillRect/>
                          </a:stretch>
                        </pic:blipFill>
                        <pic:spPr>
                          <a:xfrm>
                            <a:off x="0" y="0"/>
                            <a:ext cx="2850515" cy="29356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2100" cy="3481070"/>
                  <wp:effectExtent l="0" t="0" r="6350" b="5080"/>
                  <wp:docPr id="75" name="图片 75" descr="C:/Users/thtfpc/AppData/Local/Temp/picturecompress_20221201154125/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thtfpc/AppData/Local/Temp/picturecompress_20221201154125/output_20.jpgoutput_20"/>
                          <pic:cNvPicPr>
                            <a:picLocks noChangeAspect="1"/>
                          </pic:cNvPicPr>
                        </pic:nvPicPr>
                        <pic:blipFill>
                          <a:blip r:embed="rId26"/>
                          <a:stretch>
                            <a:fillRect/>
                          </a:stretch>
                        </pic:blipFill>
                        <pic:spPr>
                          <a:xfrm>
                            <a:off x="0" y="0"/>
                            <a:ext cx="2832100" cy="348107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296920"/>
                  <wp:effectExtent l="0" t="0" r="17780" b="17780"/>
                  <wp:docPr id="76" name="图片 76" descr="C:/Users/thtfpc/AppData/Local/Temp/picturecompress_20221201154125/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thtfpc/AppData/Local/Temp/picturecompress_20221201154125/output_21.jpgoutput_21"/>
                          <pic:cNvPicPr>
                            <a:picLocks noChangeAspect="1"/>
                          </pic:cNvPicPr>
                        </pic:nvPicPr>
                        <pic:blipFill>
                          <a:blip r:embed="rId27"/>
                          <a:stretch>
                            <a:fillRect/>
                          </a:stretch>
                        </pic:blipFill>
                        <pic:spPr>
                          <a:xfrm>
                            <a:off x="0" y="0"/>
                            <a:ext cx="3011170" cy="3296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341370"/>
                  <wp:effectExtent l="0" t="0" r="10160" b="11430"/>
                  <wp:docPr id="82" name="图片 82" descr="C:/Users/thtfpc/AppData/Local/Temp/picturecompress_20221201154125/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thtfpc/AppData/Local/Temp/picturecompress_20221201154125/output_22.jpgoutput_22"/>
                          <pic:cNvPicPr>
                            <a:picLocks noChangeAspect="1"/>
                          </pic:cNvPicPr>
                        </pic:nvPicPr>
                        <pic:blipFill>
                          <a:blip r:embed="rId28"/>
                          <a:stretch>
                            <a:fillRect/>
                          </a:stretch>
                        </pic:blipFill>
                        <pic:spPr>
                          <a:xfrm>
                            <a:off x="0" y="0"/>
                            <a:ext cx="2828290" cy="334137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596005"/>
                  <wp:effectExtent l="0" t="0" r="17780" b="4445"/>
                  <wp:docPr id="83" name="图片 83" descr="C:/Users/thtfpc/AppData/Local/Temp/picturecompress_20221201154125/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thtfpc/AppData/Local/Temp/picturecompress_20221201154125/output_23.jpgoutput_23"/>
                          <pic:cNvPicPr>
                            <a:picLocks noChangeAspect="1"/>
                          </pic:cNvPicPr>
                        </pic:nvPicPr>
                        <pic:blipFill>
                          <a:blip r:embed="rId29"/>
                          <a:stretch>
                            <a:fillRect/>
                          </a:stretch>
                        </pic:blipFill>
                        <pic:spPr>
                          <a:xfrm>
                            <a:off x="0" y="0"/>
                            <a:ext cx="3011170" cy="3596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341370"/>
                  <wp:effectExtent l="0" t="0" r="10160" b="11430"/>
                  <wp:docPr id="84" name="图片 84" descr="C:/Users/thtfpc/AppData/Local/Temp/picturecompress_20221201154125/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thtfpc/AppData/Local/Temp/picturecompress_20221201154125/output_24.jpgoutput_24"/>
                          <pic:cNvPicPr>
                            <a:picLocks noChangeAspect="1"/>
                          </pic:cNvPicPr>
                        </pic:nvPicPr>
                        <pic:blipFill>
                          <a:blip r:embed="rId30"/>
                          <a:stretch>
                            <a:fillRect/>
                          </a:stretch>
                        </pic:blipFill>
                        <pic:spPr>
                          <a:xfrm>
                            <a:off x="0" y="0"/>
                            <a:ext cx="2828290" cy="334137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321050"/>
                  <wp:effectExtent l="0" t="0" r="17780" b="12700"/>
                  <wp:docPr id="85" name="图片 85" descr="C:/Users/thtfpc/AppData/Local/Temp/picturecompress_20221201154125/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thtfpc/AppData/Local/Temp/picturecompress_20221201154125/output_25.jpgoutput_25"/>
                          <pic:cNvPicPr>
                            <a:picLocks noChangeAspect="1"/>
                          </pic:cNvPicPr>
                        </pic:nvPicPr>
                        <pic:blipFill>
                          <a:blip r:embed="rId31"/>
                          <a:stretch>
                            <a:fillRect/>
                          </a:stretch>
                        </pic:blipFill>
                        <pic:spPr>
                          <a:xfrm>
                            <a:off x="0" y="0"/>
                            <a:ext cx="3011170" cy="3321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484245"/>
                  <wp:effectExtent l="0" t="0" r="10160" b="1905"/>
                  <wp:docPr id="90" name="图片 90" descr="C:/Users/thtfpc/AppData/Local/Temp/picturecompress_20221201154125/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thtfpc/AppData/Local/Temp/picturecompress_20221201154125/output_26.jpgoutput_26"/>
                          <pic:cNvPicPr>
                            <a:picLocks noChangeAspect="1"/>
                          </pic:cNvPicPr>
                        </pic:nvPicPr>
                        <pic:blipFill>
                          <a:blip r:embed="rId32"/>
                          <a:stretch>
                            <a:fillRect/>
                          </a:stretch>
                        </pic:blipFill>
                        <pic:spPr>
                          <a:xfrm>
                            <a:off x="0" y="0"/>
                            <a:ext cx="2828290" cy="348424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505835"/>
                  <wp:effectExtent l="0" t="0" r="17780" b="18415"/>
                  <wp:docPr id="91" name="图片 91" descr="C:/Users/thtfpc/AppData/Local/Temp/picturecompress_20221201154125/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thtfpc/AppData/Local/Temp/picturecompress_20221201154125/output_27.jpgoutput_27"/>
                          <pic:cNvPicPr>
                            <a:picLocks noChangeAspect="1"/>
                          </pic:cNvPicPr>
                        </pic:nvPicPr>
                        <pic:blipFill>
                          <a:blip r:embed="rId33"/>
                          <a:stretch>
                            <a:fillRect/>
                          </a:stretch>
                        </pic:blipFill>
                        <pic:spPr>
                          <a:xfrm>
                            <a:off x="0" y="0"/>
                            <a:ext cx="3011170" cy="35058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140710"/>
                  <wp:effectExtent l="0" t="0" r="10160" b="2540"/>
                  <wp:docPr id="92" name="图片 92" descr="C:/Users/thtfpc/AppData/Local/Temp/picturecompress_20221201154125/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thtfpc/AppData/Local/Temp/picturecompress_20221201154125/output_28.jpgoutput_28"/>
                          <pic:cNvPicPr>
                            <a:picLocks noChangeAspect="1"/>
                          </pic:cNvPicPr>
                        </pic:nvPicPr>
                        <pic:blipFill>
                          <a:blip r:embed="rId34"/>
                          <a:stretch>
                            <a:fillRect/>
                          </a:stretch>
                        </pic:blipFill>
                        <pic:spPr>
                          <a:xfrm>
                            <a:off x="0" y="0"/>
                            <a:ext cx="2828290" cy="314071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97505" cy="3210560"/>
                  <wp:effectExtent l="0" t="0" r="17145" b="8890"/>
                  <wp:docPr id="93" name="图片 93" descr="C:/Users/thtfpc/AppData/Local/Temp/picturecompress_20221201154125/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thtfpc/AppData/Local/Temp/picturecompress_20221201154125/output_29.jpgoutput_29"/>
                          <pic:cNvPicPr>
                            <a:picLocks noChangeAspect="1"/>
                          </pic:cNvPicPr>
                        </pic:nvPicPr>
                        <pic:blipFill>
                          <a:blip r:embed="rId35"/>
                          <a:stretch>
                            <a:fillRect/>
                          </a:stretch>
                        </pic:blipFill>
                        <pic:spPr>
                          <a:xfrm>
                            <a:off x="0" y="0"/>
                            <a:ext cx="2897505" cy="321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560445"/>
                  <wp:effectExtent l="0" t="0" r="10160" b="1905"/>
                  <wp:docPr id="100" name="图片 100" descr="C:/Users/thtfpc/AppData/Local/Temp/picturecompress_20221201154125/output_30.jp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thtfpc/AppData/Local/Temp/picturecompress_20221201154125/output_30.jpgoutput_30"/>
                          <pic:cNvPicPr>
                            <a:picLocks noChangeAspect="1"/>
                          </pic:cNvPicPr>
                        </pic:nvPicPr>
                        <pic:blipFill>
                          <a:blip r:embed="rId36"/>
                          <a:stretch>
                            <a:fillRect/>
                          </a:stretch>
                        </pic:blipFill>
                        <pic:spPr>
                          <a:xfrm>
                            <a:off x="0" y="0"/>
                            <a:ext cx="2828290" cy="356044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477895"/>
                  <wp:effectExtent l="0" t="0" r="17780" b="8255"/>
                  <wp:docPr id="101" name="图片 101" descr="C:/Users/thtfpc/AppData/Local/Temp/picturecompress_20221201154125/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thtfpc/AppData/Local/Temp/picturecompress_20221201154125/output_31.jpgoutput_31"/>
                          <pic:cNvPicPr>
                            <a:picLocks noChangeAspect="1"/>
                          </pic:cNvPicPr>
                        </pic:nvPicPr>
                        <pic:blipFill>
                          <a:blip r:embed="rId37"/>
                          <a:stretch>
                            <a:fillRect/>
                          </a:stretch>
                        </pic:blipFill>
                        <pic:spPr>
                          <a:xfrm>
                            <a:off x="0" y="0"/>
                            <a:ext cx="3011170" cy="3477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42310"/>
                  <wp:effectExtent l="0" t="0" r="10160" b="15240"/>
                  <wp:docPr id="104" name="图片 104" descr="C:/Users/thtfpc/AppData/Local/Temp/picturecompress_20221201154125/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thtfpc/AppData/Local/Temp/picturecompress_20221201154125/output_32.jpgoutput_32"/>
                          <pic:cNvPicPr>
                            <a:picLocks noChangeAspect="1"/>
                          </pic:cNvPicPr>
                        </pic:nvPicPr>
                        <pic:blipFill>
                          <a:blip r:embed="rId38"/>
                          <a:stretch>
                            <a:fillRect/>
                          </a:stretch>
                        </pic:blipFill>
                        <pic:spPr>
                          <a:xfrm>
                            <a:off x="0" y="0"/>
                            <a:ext cx="2828290" cy="324231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239135"/>
                  <wp:effectExtent l="0" t="0" r="17780" b="18415"/>
                  <wp:docPr id="105" name="图片 105" descr="C:/Users/thtfpc/AppData/Local/Temp/picturecompress_20221201154125/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thtfpc/AppData/Local/Temp/picturecompress_20221201154125/output_33.jpgoutput_33"/>
                          <pic:cNvPicPr>
                            <a:picLocks noChangeAspect="1"/>
                          </pic:cNvPicPr>
                        </pic:nvPicPr>
                        <pic:blipFill>
                          <a:blip r:embed="rId39"/>
                          <a:stretch>
                            <a:fillRect/>
                          </a:stretch>
                        </pic:blipFill>
                        <pic:spPr>
                          <a:xfrm>
                            <a:off x="0" y="0"/>
                            <a:ext cx="3011170" cy="3239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80335" cy="3347720"/>
                  <wp:effectExtent l="0" t="0" r="5715" b="5080"/>
                  <wp:docPr id="110" name="图片 110" descr="C:/Users/thtfpc/AppData/Local/Temp/picturecompress_20221201154125/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thtfpc/AppData/Local/Temp/picturecompress_20221201154125/output_34.jpgoutput_34"/>
                          <pic:cNvPicPr>
                            <a:picLocks noChangeAspect="1"/>
                          </pic:cNvPicPr>
                        </pic:nvPicPr>
                        <pic:blipFill>
                          <a:blip r:embed="rId40"/>
                          <a:stretch>
                            <a:fillRect/>
                          </a:stretch>
                        </pic:blipFill>
                        <pic:spPr>
                          <a:xfrm>
                            <a:off x="0" y="0"/>
                            <a:ext cx="2680335" cy="334772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35605" cy="3258820"/>
                  <wp:effectExtent l="0" t="0" r="17145" b="17780"/>
                  <wp:docPr id="111" name="图片 111" descr="C:/Users/thtfpc/AppData/Local/Temp/picturecompress_20221201154125/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thtfpc/AppData/Local/Temp/picturecompress_20221201154125/output_35.jpgoutput_35"/>
                          <pic:cNvPicPr>
                            <a:picLocks noChangeAspect="1"/>
                          </pic:cNvPicPr>
                        </pic:nvPicPr>
                        <pic:blipFill>
                          <a:blip r:embed="rId41"/>
                          <a:stretch>
                            <a:fillRect/>
                          </a:stretch>
                        </pic:blipFill>
                        <pic:spPr>
                          <a:xfrm>
                            <a:off x="0" y="0"/>
                            <a:ext cx="2935605" cy="3258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61360"/>
                  <wp:effectExtent l="0" t="0" r="10160" b="15240"/>
                  <wp:docPr id="113" name="图片 113" descr="C:/Users/thtfpc/AppData/Local/Temp/picturecompress_20221201154125/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thtfpc/AppData/Local/Temp/picturecompress_20221201154125/output_36.jpgoutput_36"/>
                          <pic:cNvPicPr>
                            <a:picLocks noChangeAspect="1"/>
                          </pic:cNvPicPr>
                        </pic:nvPicPr>
                        <pic:blipFill>
                          <a:blip r:embed="rId42"/>
                          <a:stretch>
                            <a:fillRect/>
                          </a:stretch>
                        </pic:blipFill>
                        <pic:spPr>
                          <a:xfrm>
                            <a:off x="0" y="0"/>
                            <a:ext cx="2828290" cy="326136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124835"/>
                  <wp:effectExtent l="0" t="0" r="17780" b="18415"/>
                  <wp:docPr id="114" name="图片 114" descr="C:/Users/thtfpc/AppData/Local/Temp/picturecompress_20221201154125/output_37.jp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thtfpc/AppData/Local/Temp/picturecompress_20221201154125/output_37.jpgoutput_37"/>
                          <pic:cNvPicPr>
                            <a:picLocks noChangeAspect="1"/>
                          </pic:cNvPicPr>
                        </pic:nvPicPr>
                        <pic:blipFill>
                          <a:blip r:embed="rId43"/>
                          <a:stretch>
                            <a:fillRect/>
                          </a:stretch>
                        </pic:blipFill>
                        <pic:spPr>
                          <a:xfrm>
                            <a:off x="0" y="0"/>
                            <a:ext cx="3011170" cy="31248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04845"/>
                  <wp:effectExtent l="0" t="0" r="10160" b="14605"/>
                  <wp:docPr id="119" name="图片 119" descr="C:/Users/thtfpc/AppData/Local/Temp/picturecompress_20221201154125/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thtfpc/AppData/Local/Temp/picturecompress_20221201154125/output_38.jpgoutput_38"/>
                          <pic:cNvPicPr>
                            <a:picLocks noChangeAspect="1"/>
                          </pic:cNvPicPr>
                        </pic:nvPicPr>
                        <pic:blipFill>
                          <a:blip r:embed="rId44"/>
                          <a:stretch>
                            <a:fillRect/>
                          </a:stretch>
                        </pic:blipFill>
                        <pic:spPr>
                          <a:xfrm>
                            <a:off x="0" y="0"/>
                            <a:ext cx="2828290" cy="320484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07030" cy="3258185"/>
                  <wp:effectExtent l="0" t="0" r="7620" b="18415"/>
                  <wp:docPr id="120" name="图片 120" descr="C:/Users/thtfpc/AppData/Local/Temp/picturecompress_20221201154125/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thtfpc/AppData/Local/Temp/picturecompress_20221201154125/output_39.jpgoutput_39"/>
                          <pic:cNvPicPr>
                            <a:picLocks noChangeAspect="1"/>
                          </pic:cNvPicPr>
                        </pic:nvPicPr>
                        <pic:blipFill>
                          <a:blip r:embed="rId45"/>
                          <a:stretch>
                            <a:fillRect/>
                          </a:stretch>
                        </pic:blipFill>
                        <pic:spPr>
                          <a:xfrm>
                            <a:off x="0" y="0"/>
                            <a:ext cx="2907030" cy="3258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52470"/>
                  <wp:effectExtent l="0" t="0" r="10160" b="5080"/>
                  <wp:docPr id="121" name="图片 121" descr="C:/Users/thtfpc/AppData/Local/Temp/picturecompress_20221201154125/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thtfpc/AppData/Local/Temp/picturecompress_20221201154125/output_40.jpgoutput_40"/>
                          <pic:cNvPicPr>
                            <a:picLocks noChangeAspect="1"/>
                          </pic:cNvPicPr>
                        </pic:nvPicPr>
                        <pic:blipFill>
                          <a:blip r:embed="rId46"/>
                          <a:stretch>
                            <a:fillRect/>
                          </a:stretch>
                        </pic:blipFill>
                        <pic:spPr>
                          <a:xfrm>
                            <a:off x="0" y="0"/>
                            <a:ext cx="2828290" cy="325247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54655" cy="3124835"/>
                  <wp:effectExtent l="0" t="0" r="17145" b="18415"/>
                  <wp:docPr id="122" name="图片 122" descr="C:/Users/thtfpc/AppData/Local/Temp/picturecompress_20221201154125/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thtfpc/AppData/Local/Temp/picturecompress_20221201154125/output_41.jpgoutput_41"/>
                          <pic:cNvPicPr>
                            <a:picLocks noChangeAspect="1"/>
                          </pic:cNvPicPr>
                        </pic:nvPicPr>
                        <pic:blipFill>
                          <a:blip r:embed="rId47"/>
                          <a:stretch>
                            <a:fillRect/>
                          </a:stretch>
                        </pic:blipFill>
                        <pic:spPr>
                          <a:xfrm>
                            <a:off x="0" y="0"/>
                            <a:ext cx="2954655" cy="31248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481705"/>
                  <wp:effectExtent l="0" t="0" r="10160" b="4445"/>
                  <wp:docPr id="127" name="图片 127" descr="C:/Users/thtfpc/AppData/Local/Temp/picturecompress_20221201154125/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thtfpc/AppData/Local/Temp/picturecompress_20221201154125/output_42.jpgoutput_42"/>
                          <pic:cNvPicPr>
                            <a:picLocks noChangeAspect="1"/>
                          </pic:cNvPicPr>
                        </pic:nvPicPr>
                        <pic:blipFill>
                          <a:blip r:embed="rId48"/>
                          <a:stretch>
                            <a:fillRect/>
                          </a:stretch>
                        </pic:blipFill>
                        <pic:spPr>
                          <a:xfrm>
                            <a:off x="0" y="0"/>
                            <a:ext cx="2828290" cy="348170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259455"/>
                  <wp:effectExtent l="0" t="0" r="17780" b="17145"/>
                  <wp:docPr id="129" name="图片 129" descr="C:/Users/thtfpc/AppData/Local/Temp/picturecompress_20221201154125/output_43.jp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thtfpc/AppData/Local/Temp/picturecompress_20221201154125/output_43.jpgoutput_43"/>
                          <pic:cNvPicPr>
                            <a:picLocks noChangeAspect="1"/>
                          </pic:cNvPicPr>
                        </pic:nvPicPr>
                        <pic:blipFill>
                          <a:blip r:embed="rId49"/>
                          <a:stretch>
                            <a:fillRect/>
                          </a:stretch>
                        </pic:blipFill>
                        <pic:spPr>
                          <a:xfrm>
                            <a:off x="0" y="0"/>
                            <a:ext cx="3011170" cy="3259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253105"/>
                  <wp:effectExtent l="0" t="0" r="10160" b="4445"/>
                  <wp:docPr id="130" name="图片 130" descr="C:/Users/thtfpc/AppData/Local/Temp/picturecompress_20221201154125/output_44.jpgoutpu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thtfpc/AppData/Local/Temp/picturecompress_20221201154125/output_44.jpgoutput_44"/>
                          <pic:cNvPicPr>
                            <a:picLocks noChangeAspect="1"/>
                          </pic:cNvPicPr>
                        </pic:nvPicPr>
                        <pic:blipFill>
                          <a:blip r:embed="rId50"/>
                          <a:stretch>
                            <a:fillRect/>
                          </a:stretch>
                        </pic:blipFill>
                        <pic:spPr>
                          <a:xfrm>
                            <a:off x="0" y="0"/>
                            <a:ext cx="2828290" cy="325310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144520"/>
                  <wp:effectExtent l="0" t="0" r="17780" b="17780"/>
                  <wp:docPr id="131" name="图片 131" descr="C:/Users/thtfpc/AppData/Local/Temp/picturecompress_20221201154125/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thtfpc/AppData/Local/Temp/picturecompress_20221201154125/output_45.jpgoutput_45"/>
                          <pic:cNvPicPr>
                            <a:picLocks noChangeAspect="1"/>
                          </pic:cNvPicPr>
                        </pic:nvPicPr>
                        <pic:blipFill>
                          <a:blip r:embed="rId51"/>
                          <a:stretch>
                            <a:fillRect/>
                          </a:stretch>
                        </pic:blipFill>
                        <pic:spPr>
                          <a:xfrm>
                            <a:off x="0" y="0"/>
                            <a:ext cx="3011170" cy="3144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47950" cy="3218180"/>
                  <wp:effectExtent l="0" t="0" r="0" b="1270"/>
                  <wp:docPr id="136" name="图片 136" descr="C:/Users/thtfpc/AppData/Local/Temp/picturecompress_20221201154125/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thtfpc/AppData/Local/Temp/picturecompress_20221201154125/output_46.jpgoutput_46"/>
                          <pic:cNvPicPr>
                            <a:picLocks noChangeAspect="1"/>
                          </pic:cNvPicPr>
                        </pic:nvPicPr>
                        <pic:blipFill>
                          <a:blip r:embed="rId52"/>
                          <a:stretch>
                            <a:fillRect/>
                          </a:stretch>
                        </pic:blipFill>
                        <pic:spPr>
                          <a:xfrm>
                            <a:off x="0" y="0"/>
                            <a:ext cx="2647950" cy="321818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554605" cy="3324225"/>
                  <wp:effectExtent l="0" t="0" r="17145" b="9525"/>
                  <wp:docPr id="137" name="图片 137" descr="C:/Users/thtfpc/AppData/Local/Temp/picturecompress_20221201154125/output_47.jpgoutput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thtfpc/AppData/Local/Temp/picturecompress_20221201154125/output_47.jpgoutput_47"/>
                          <pic:cNvPicPr>
                            <a:picLocks noChangeAspect="1"/>
                          </pic:cNvPicPr>
                        </pic:nvPicPr>
                        <pic:blipFill>
                          <a:blip r:embed="rId53"/>
                          <a:stretch>
                            <a:fillRect/>
                          </a:stretch>
                        </pic:blipFill>
                        <pic:spPr>
                          <a:xfrm>
                            <a:off x="0" y="0"/>
                            <a:ext cx="2554605" cy="3324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347720"/>
                  <wp:effectExtent l="0" t="0" r="10160" b="5080"/>
                  <wp:docPr id="138" name="图片 138" descr="C:/Users/thtfpc/AppData/Local/Temp/picturecompress_20221201154125/output_48.jpgoutput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thtfpc/AppData/Local/Temp/picturecompress_20221201154125/output_48.jpgoutput_48"/>
                          <pic:cNvPicPr>
                            <a:picLocks noChangeAspect="1"/>
                          </pic:cNvPicPr>
                        </pic:nvPicPr>
                        <pic:blipFill>
                          <a:blip r:embed="rId54"/>
                          <a:stretch>
                            <a:fillRect/>
                          </a:stretch>
                        </pic:blipFill>
                        <pic:spPr>
                          <a:xfrm>
                            <a:off x="0" y="0"/>
                            <a:ext cx="2828290" cy="334772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1170" cy="3133725"/>
                  <wp:effectExtent l="0" t="0" r="17780" b="9525"/>
                  <wp:docPr id="139" name="图片 139" descr="C:/Users/thtfpc/AppData/Local/Temp/picturecompress_20221201154125/output_49.jpgoutput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thtfpc/AppData/Local/Temp/picturecompress_20221201154125/output_49.jpgoutput_49"/>
                          <pic:cNvPicPr>
                            <a:picLocks noChangeAspect="1"/>
                          </pic:cNvPicPr>
                        </pic:nvPicPr>
                        <pic:blipFill>
                          <a:blip r:embed="rId55"/>
                          <a:stretch>
                            <a:fillRect/>
                          </a:stretch>
                        </pic:blipFill>
                        <pic:spPr>
                          <a:xfrm>
                            <a:off x="0" y="0"/>
                            <a:ext cx="3011170" cy="3133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0" w:tblpY="908"/>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43200" cy="3598545"/>
                  <wp:effectExtent l="0" t="0" r="0" b="1905"/>
                  <wp:docPr id="144" name="图片 144" descr="C:/Users/thtfpc/AppData/Local/Temp/picturecompress_20221201154125/output_50.jpgoutpu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thtfpc/AppData/Local/Temp/picturecompress_20221201154125/output_50.jpgoutput_50"/>
                          <pic:cNvPicPr>
                            <a:picLocks noChangeAspect="1"/>
                          </pic:cNvPicPr>
                        </pic:nvPicPr>
                        <pic:blipFill>
                          <a:blip r:embed="rId56"/>
                          <a:stretch>
                            <a:fillRect/>
                          </a:stretch>
                        </pic:blipFill>
                        <pic:spPr>
                          <a:xfrm>
                            <a:off x="0" y="0"/>
                            <a:ext cx="2743200" cy="359854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34945" cy="3306445"/>
                  <wp:effectExtent l="0" t="0" r="8255" b="8255"/>
                  <wp:docPr id="145" name="图片 145" descr="C:/Users/thtfpc/AppData/Local/Temp/picturecompress_20221201154125/output_51.jpgoutpu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thtfpc/AppData/Local/Temp/picturecompress_20221201154125/output_51.jpgoutput_51"/>
                          <pic:cNvPicPr>
                            <a:picLocks noChangeAspect="1"/>
                          </pic:cNvPicPr>
                        </pic:nvPicPr>
                        <pic:blipFill>
                          <a:blip r:embed="rId57"/>
                          <a:stretch>
                            <a:fillRect/>
                          </a:stretch>
                        </pic:blipFill>
                        <pic:spPr>
                          <a:xfrm>
                            <a:off x="0" y="0"/>
                            <a:ext cx="2734945" cy="33064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4"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3156585"/>
                  <wp:effectExtent l="0" t="0" r="10160" b="5715"/>
                  <wp:docPr id="146" name="图片 146" descr="C:/Users/thtfpc/AppData/Local/Temp/picturecompress_20221201154125/output_52.jpgoutput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thtfpc/AppData/Local/Temp/picturecompress_20221201154125/output_52.jpgoutput_52"/>
                          <pic:cNvPicPr>
                            <a:picLocks noChangeAspect="1"/>
                          </pic:cNvPicPr>
                        </pic:nvPicPr>
                        <pic:blipFill>
                          <a:blip r:embed="rId58"/>
                          <a:stretch>
                            <a:fillRect/>
                          </a:stretch>
                        </pic:blipFill>
                        <pic:spPr>
                          <a:xfrm>
                            <a:off x="0" y="0"/>
                            <a:ext cx="2828290" cy="315658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40355" cy="3030220"/>
                  <wp:effectExtent l="0" t="0" r="17145" b="17780"/>
                  <wp:docPr id="147" name="图片 147" descr="C:/Users/thtfpc/AppData/Local/Temp/picturecompress_20221201154125/output_53.jpgoutput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Users/thtfpc/AppData/Local/Temp/picturecompress_20221201154125/output_53.jpgoutput_53"/>
                          <pic:cNvPicPr>
                            <a:picLocks noChangeAspect="1"/>
                          </pic:cNvPicPr>
                        </pic:nvPicPr>
                        <pic:blipFill>
                          <a:blip r:embed="rId59"/>
                          <a:stretch>
                            <a:fillRect/>
                          </a:stretch>
                        </pic:blipFill>
                        <pic:spPr>
                          <a:xfrm>
                            <a:off x="0" y="0"/>
                            <a:ext cx="2840355" cy="3030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p>
      <w:pPr>
        <w:ind w:firstLine="3654" w:firstLineChars="1300"/>
        <w:jc w:val="both"/>
        <w:rPr>
          <w:rFonts w:hint="eastAsia" w:ascii="仿宋_GB2312" w:eastAsia="仿宋_GB2312"/>
          <w:sz w:val="28"/>
          <w:szCs w:val="28"/>
        </w:rPr>
      </w:pPr>
      <w:r>
        <w:rPr>
          <w:rFonts w:hint="eastAsia" w:ascii="仿宋" w:hAnsi="仿宋" w:eastAsia="仿宋" w:cs="仿宋"/>
          <w:b/>
          <w:bCs/>
          <w:color w:val="000000"/>
          <w:kern w:val="0"/>
          <w:sz w:val="28"/>
          <w:szCs w:val="28"/>
          <w:lang w:val="en-US" w:eastAsia="zh-CN"/>
        </w:rPr>
        <w:t>估价对象位置图</w:t>
      </w:r>
    </w:p>
    <w:p>
      <w:pPr>
        <w:jc w:val="both"/>
        <w:rPr>
          <w:rFonts w:hint="eastAsia" w:ascii="仿宋_GB2312" w:eastAsia="仿宋_GB2312"/>
          <w:sz w:val="28"/>
          <w:szCs w:val="28"/>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2480310</wp:posOffset>
                </wp:positionH>
                <wp:positionV relativeFrom="paragraph">
                  <wp:posOffset>1721485</wp:posOffset>
                </wp:positionV>
                <wp:extent cx="190500" cy="3305810"/>
                <wp:effectExtent l="46990" t="0" r="10160" b="8890"/>
                <wp:wrapNone/>
                <wp:docPr id="2" name="直线 35"/>
                <wp:cNvGraphicFramePr/>
                <a:graphic xmlns:a="http://schemas.openxmlformats.org/drawingml/2006/main">
                  <a:graphicData uri="http://schemas.microsoft.com/office/word/2010/wordprocessingShape">
                    <wps:wsp>
                      <wps:cNvCnPr/>
                      <wps:spPr>
                        <a:xfrm flipH="1" flipV="1">
                          <a:off x="0" y="0"/>
                          <a:ext cx="190500" cy="330581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35" o:spid="_x0000_s1026" o:spt="20" style="position:absolute;left:0pt;flip:x y;margin-left:195.3pt;margin-top:135.55pt;height:260.3pt;width:15pt;z-index:251659264;mso-width-relative:page;mso-height-relative:page;" filled="f" stroked="t" coordsize="21600,21600" o:gfxdata="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JBvt9gAAAALAQAADwAAAAAAAAABACAAAAAiAAAAZHJzL2Rv&#10;d25yZXYueG1sUEsBAhQAFAAAAAgAh07iQFvs1EQBAgAA9wMAAA4AAAAAAAAAAQAgAAAAJwEAAGRy&#10;cy9lMm9Eb2MueG1sUEsFBgAAAAAGAAYAWQEAAJoFAAAAAA==&#10;">
                <v:fill on="f" focussize="0,0"/>
                <v:stroke weight="1.25pt" color="#000000" joinstyle="round" endarrow="open"/>
                <v:imagedata o:title=""/>
                <o:lock v:ext="edit" aspectratio="f"/>
              </v:line>
            </w:pict>
          </mc:Fallback>
        </mc:AlternateContent>
      </w:r>
      <w:r>
        <w:rPr>
          <w:rFonts w:hint="eastAsia" w:ascii="仿宋_GB2312" w:eastAsia="仿宋_GB2312"/>
          <w:sz w:val="28"/>
          <w:szCs w:val="28"/>
          <w:lang w:val="en-US" w:eastAsia="zh-CN"/>
        </w:rPr>
        <w:t xml:space="preserve">         </w:t>
      </w:r>
      <w:r>
        <w:rPr>
          <w:rFonts w:hint="eastAsia" w:ascii="仿宋_GB2312" w:eastAsia="仿宋_GB2312"/>
          <w:sz w:val="28"/>
          <w:szCs w:val="28"/>
          <w:lang w:val="en-US" w:eastAsia="zh-CN"/>
        </w:rPr>
        <w:drawing>
          <wp:inline distT="0" distB="0" distL="114300" distR="114300">
            <wp:extent cx="4362450" cy="4629150"/>
            <wp:effectExtent l="0" t="0" r="0" b="0"/>
            <wp:docPr id="47" name="图片 47" descr="C:/Users/thtfpc/AppData/Local/Temp/picturecompress_2022120115412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thtfpc/AppData/Local/Temp/picturecompress_20221201154125/output_1.pngoutput_1"/>
                    <pic:cNvPicPr>
                      <a:picLocks noChangeAspect="1"/>
                    </pic:cNvPicPr>
                  </pic:nvPicPr>
                  <pic:blipFill>
                    <a:blip r:embed="rId60"/>
                    <a:stretch>
                      <a:fillRect/>
                    </a:stretch>
                  </pic:blipFill>
                  <pic:spPr>
                    <a:xfrm>
                      <a:off x="0" y="0"/>
                      <a:ext cx="4362450" cy="4629150"/>
                    </a:xfrm>
                    <a:prstGeom prst="rect">
                      <a:avLst/>
                    </a:prstGeom>
                  </pic:spPr>
                </pic:pic>
              </a:graphicData>
            </a:graphic>
          </wp:inline>
        </w:drawing>
      </w:r>
    </w:p>
    <w:p>
      <w:pPr>
        <w:bidi w:val="0"/>
        <w:rPr>
          <w:rFonts w:hint="eastAsia" w:ascii="Times New Roman" w:hAnsi="Times New Roman" w:eastAsia="宋体" w:cs="Times New Roman"/>
          <w:kern w:val="2"/>
          <w:sz w:val="21"/>
          <w:szCs w:val="24"/>
          <w:lang w:val="en-US" w:eastAsia="zh-CN" w:bidi="ar-SA"/>
        </w:rPr>
      </w:pPr>
    </w:p>
    <w:p>
      <w:pPr>
        <w:ind w:firstLine="3000" w:firstLineChars="1000"/>
        <w:jc w:val="both"/>
        <w:rPr>
          <w:rFonts w:hint="eastAsia" w:ascii="仿宋_GB2312" w:eastAsia="仿宋_GB2312"/>
          <w:sz w:val="30"/>
          <w:szCs w:val="30"/>
        </w:rPr>
      </w:pPr>
      <w:r>
        <w:rPr>
          <w:rFonts w:hint="eastAsia" w:ascii="仿宋_GB2312" w:eastAsia="仿宋_GB2312"/>
          <w:sz w:val="30"/>
          <w:szCs w:val="30"/>
        </w:rPr>
        <w:t>估价对象所在位置</w:t>
      </w:r>
    </w:p>
    <w:p>
      <w:pPr>
        <w:tabs>
          <w:tab w:val="left" w:pos="3467"/>
        </w:tabs>
        <w:bidi w:val="0"/>
        <w:jc w:val="left"/>
        <w:rPr>
          <w:rFonts w:hint="eastAsia"/>
          <w:lang w:val="en-US" w:eastAsia="zh-CN"/>
        </w:rPr>
      </w:pPr>
    </w:p>
    <w:sectPr>
      <w:headerReference r:id="rId5" w:type="default"/>
      <w:footerReference r:id="rId6" w:type="default"/>
      <w:endnotePr>
        <w:numFmt w:val="decimal"/>
      </w:endnotePr>
      <w:pgSz w:w="11906" w:h="16838"/>
      <w:pgMar w:top="1440" w:right="1080" w:bottom="1440" w:left="1080" w:header="851" w:footer="992" w:gutter="0"/>
      <w:pgNumType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57835" cy="147955"/>
              <wp:effectExtent l="0" t="0" r="0" b="0"/>
              <wp:wrapNone/>
              <wp:docPr id="20" name="文本框 7"/>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15875">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1.65pt;width:36.05pt;mso-position-horizontal:center;mso-position-horizontal-relative:margin;mso-wrap-style:none;z-index:251660288;mso-width-relative:page;mso-height-relative:page;" filled="f" stroked="f" coordsize="21600,21600" o:gfxdata="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jqNZ1QAAAAMBAAAPAAAAAAAAAAEAIAAA&#10;ACIAAABkcnMvZG93bnJldi54bWxQSwECFAAUAAAACACHTuJA3ajvKtYBAACiAwAADgAAAAAAAAAB&#10;ACAAAAAkAQAAZHJzL2Uyb0RvYy54bWxQSwUGAAAAAAYABgBZAQAAbAUAAAAA&#10;">
              <v:fill on="f" focussize="0,0"/>
              <v:stroke on="f" weight="1.25pt"/>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rFonts w:hint="eastAsia" w:ascii="楷体" w:hAnsi="楷体" w:eastAsia="楷体" w:cs="楷体"/>
      </w:rPr>
      <w:drawing>
        <wp:inline distT="0" distB="0" distL="114300" distR="114300">
          <wp:extent cx="287020" cy="287020"/>
          <wp:effectExtent l="0" t="0" r="17780" b="17780"/>
          <wp:docPr id="16"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PowerPlusWaterMarkObject18075" o:spid="_x0000_s2059" o:spt="136" type="#_x0000_t136" style="position:absolute;left:0pt;height:135.55pt;width:415.3pt;mso-position-horizontal:center;mso-position-horizontal-relative:margin;mso-position-vertical:center;mso-position-vertical-relative:margin;z-index:-251657216;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21"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06EC4"/>
    <w:multiLevelType w:val="singleLevel"/>
    <w:tmpl w:val="AF306EC4"/>
    <w:lvl w:ilvl="0" w:tentative="0">
      <w:start w:val="1"/>
      <w:numFmt w:val="chineseCounting"/>
      <w:suff w:val="nothing"/>
      <w:lvlText w:val="%1、"/>
      <w:lvlJc w:val="left"/>
      <w:rPr>
        <w:rFonts w:hint="eastAsia"/>
      </w:rPr>
    </w:lvl>
  </w:abstractNum>
  <w:abstractNum w:abstractNumId="1">
    <w:nsid w:val="CDCC788E"/>
    <w:multiLevelType w:val="singleLevel"/>
    <w:tmpl w:val="CDCC788E"/>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endnotePr>
    <w:numFmt w:val="decimal"/>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0YjQ5NTJjYTcyODBkOTBhMmY1N2FmNjM3MGQ1OWEifQ=="/>
  </w:docVars>
  <w:rsids>
    <w:rsidRoot w:val="00D16785"/>
    <w:rsid w:val="00001314"/>
    <w:rsid w:val="000054AC"/>
    <w:rsid w:val="00011D71"/>
    <w:rsid w:val="000133BC"/>
    <w:rsid w:val="0002501F"/>
    <w:rsid w:val="00027245"/>
    <w:rsid w:val="00032B13"/>
    <w:rsid w:val="00037C47"/>
    <w:rsid w:val="000405B0"/>
    <w:rsid w:val="000477AB"/>
    <w:rsid w:val="00054007"/>
    <w:rsid w:val="0005680F"/>
    <w:rsid w:val="00056F13"/>
    <w:rsid w:val="00057532"/>
    <w:rsid w:val="000625EE"/>
    <w:rsid w:val="0006407F"/>
    <w:rsid w:val="00070C6F"/>
    <w:rsid w:val="00072E7E"/>
    <w:rsid w:val="00080F9A"/>
    <w:rsid w:val="000812F8"/>
    <w:rsid w:val="000818E1"/>
    <w:rsid w:val="00086367"/>
    <w:rsid w:val="000937A5"/>
    <w:rsid w:val="000A561B"/>
    <w:rsid w:val="000A7259"/>
    <w:rsid w:val="000B4494"/>
    <w:rsid w:val="000C4ABC"/>
    <w:rsid w:val="000D0309"/>
    <w:rsid w:val="000D104B"/>
    <w:rsid w:val="000E27AD"/>
    <w:rsid w:val="000E4B62"/>
    <w:rsid w:val="000E547C"/>
    <w:rsid w:val="000E7CBA"/>
    <w:rsid w:val="000F118D"/>
    <w:rsid w:val="000F154F"/>
    <w:rsid w:val="000F276D"/>
    <w:rsid w:val="000F2B44"/>
    <w:rsid w:val="000F4C8A"/>
    <w:rsid w:val="00101D24"/>
    <w:rsid w:val="00110750"/>
    <w:rsid w:val="00110B93"/>
    <w:rsid w:val="00117143"/>
    <w:rsid w:val="0011719F"/>
    <w:rsid w:val="00117E23"/>
    <w:rsid w:val="001235FA"/>
    <w:rsid w:val="001251AF"/>
    <w:rsid w:val="001261CA"/>
    <w:rsid w:val="00127090"/>
    <w:rsid w:val="00127643"/>
    <w:rsid w:val="0013305A"/>
    <w:rsid w:val="0013768A"/>
    <w:rsid w:val="00141C6A"/>
    <w:rsid w:val="00150639"/>
    <w:rsid w:val="001510D4"/>
    <w:rsid w:val="001545E0"/>
    <w:rsid w:val="00155998"/>
    <w:rsid w:val="00157448"/>
    <w:rsid w:val="00162158"/>
    <w:rsid w:val="0016497E"/>
    <w:rsid w:val="00172A51"/>
    <w:rsid w:val="001746ED"/>
    <w:rsid w:val="00174DCD"/>
    <w:rsid w:val="001752F5"/>
    <w:rsid w:val="001760D3"/>
    <w:rsid w:val="0017690A"/>
    <w:rsid w:val="00181633"/>
    <w:rsid w:val="00182FB0"/>
    <w:rsid w:val="00184906"/>
    <w:rsid w:val="0018638F"/>
    <w:rsid w:val="00186D90"/>
    <w:rsid w:val="0019158A"/>
    <w:rsid w:val="001932E1"/>
    <w:rsid w:val="001A05D7"/>
    <w:rsid w:val="001A0603"/>
    <w:rsid w:val="001A4C5D"/>
    <w:rsid w:val="001A6146"/>
    <w:rsid w:val="001A66F4"/>
    <w:rsid w:val="001A6E8F"/>
    <w:rsid w:val="001B02C3"/>
    <w:rsid w:val="001B7D68"/>
    <w:rsid w:val="001C27ED"/>
    <w:rsid w:val="001C2CAB"/>
    <w:rsid w:val="001C3DF5"/>
    <w:rsid w:val="001C4459"/>
    <w:rsid w:val="001C6F9E"/>
    <w:rsid w:val="001D0E59"/>
    <w:rsid w:val="001D4993"/>
    <w:rsid w:val="001D52EB"/>
    <w:rsid w:val="001F18F7"/>
    <w:rsid w:val="002010ED"/>
    <w:rsid w:val="00205644"/>
    <w:rsid w:val="0020600C"/>
    <w:rsid w:val="00212CE0"/>
    <w:rsid w:val="00216511"/>
    <w:rsid w:val="0022408B"/>
    <w:rsid w:val="00224439"/>
    <w:rsid w:val="0023095D"/>
    <w:rsid w:val="00235B9E"/>
    <w:rsid w:val="00242DBB"/>
    <w:rsid w:val="0024491F"/>
    <w:rsid w:val="0025255F"/>
    <w:rsid w:val="00254C01"/>
    <w:rsid w:val="0026049A"/>
    <w:rsid w:val="00273598"/>
    <w:rsid w:val="00277123"/>
    <w:rsid w:val="00277556"/>
    <w:rsid w:val="00282BE3"/>
    <w:rsid w:val="0028357B"/>
    <w:rsid w:val="00284589"/>
    <w:rsid w:val="00293653"/>
    <w:rsid w:val="002A0859"/>
    <w:rsid w:val="002B5ABB"/>
    <w:rsid w:val="002C0551"/>
    <w:rsid w:val="002C3093"/>
    <w:rsid w:val="002D05FB"/>
    <w:rsid w:val="002D2198"/>
    <w:rsid w:val="002D3ECD"/>
    <w:rsid w:val="002D3EE9"/>
    <w:rsid w:val="002D6883"/>
    <w:rsid w:val="002E4381"/>
    <w:rsid w:val="002E479C"/>
    <w:rsid w:val="002E6F62"/>
    <w:rsid w:val="002E71EF"/>
    <w:rsid w:val="002E7FC1"/>
    <w:rsid w:val="002F1EAE"/>
    <w:rsid w:val="00306298"/>
    <w:rsid w:val="00311B2F"/>
    <w:rsid w:val="00331F97"/>
    <w:rsid w:val="00350509"/>
    <w:rsid w:val="003562A0"/>
    <w:rsid w:val="003569E4"/>
    <w:rsid w:val="00361CA9"/>
    <w:rsid w:val="003729B9"/>
    <w:rsid w:val="00372A5F"/>
    <w:rsid w:val="00373AE8"/>
    <w:rsid w:val="0037795B"/>
    <w:rsid w:val="0038039F"/>
    <w:rsid w:val="003832B8"/>
    <w:rsid w:val="003864E8"/>
    <w:rsid w:val="00391AF0"/>
    <w:rsid w:val="00395E12"/>
    <w:rsid w:val="003A4F70"/>
    <w:rsid w:val="003A796F"/>
    <w:rsid w:val="003B1853"/>
    <w:rsid w:val="003B2DFB"/>
    <w:rsid w:val="003B4FE6"/>
    <w:rsid w:val="003B6DCE"/>
    <w:rsid w:val="003C5064"/>
    <w:rsid w:val="003D57AF"/>
    <w:rsid w:val="003D637B"/>
    <w:rsid w:val="003D7B2B"/>
    <w:rsid w:val="003E0379"/>
    <w:rsid w:val="003E03A4"/>
    <w:rsid w:val="003E0AC3"/>
    <w:rsid w:val="003E24DE"/>
    <w:rsid w:val="003F5181"/>
    <w:rsid w:val="00410697"/>
    <w:rsid w:val="00412092"/>
    <w:rsid w:val="00426631"/>
    <w:rsid w:val="004339DB"/>
    <w:rsid w:val="00434B99"/>
    <w:rsid w:val="0043639B"/>
    <w:rsid w:val="004371DC"/>
    <w:rsid w:val="00437302"/>
    <w:rsid w:val="00437475"/>
    <w:rsid w:val="004409D5"/>
    <w:rsid w:val="0044199E"/>
    <w:rsid w:val="004439BF"/>
    <w:rsid w:val="004439D7"/>
    <w:rsid w:val="0045022E"/>
    <w:rsid w:val="00460AF9"/>
    <w:rsid w:val="00461B4A"/>
    <w:rsid w:val="00463BA0"/>
    <w:rsid w:val="00464BE7"/>
    <w:rsid w:val="00466FD9"/>
    <w:rsid w:val="00467327"/>
    <w:rsid w:val="00475BEE"/>
    <w:rsid w:val="0048149C"/>
    <w:rsid w:val="004875CE"/>
    <w:rsid w:val="00497E18"/>
    <w:rsid w:val="004A1012"/>
    <w:rsid w:val="004A25A1"/>
    <w:rsid w:val="004A3A18"/>
    <w:rsid w:val="004A4241"/>
    <w:rsid w:val="004A445E"/>
    <w:rsid w:val="004B6781"/>
    <w:rsid w:val="004B6838"/>
    <w:rsid w:val="004B6C13"/>
    <w:rsid w:val="004C0B70"/>
    <w:rsid w:val="004C703C"/>
    <w:rsid w:val="004C78E6"/>
    <w:rsid w:val="004D7090"/>
    <w:rsid w:val="004E18BE"/>
    <w:rsid w:val="004E3A3C"/>
    <w:rsid w:val="004F22E6"/>
    <w:rsid w:val="004F3531"/>
    <w:rsid w:val="004F3F58"/>
    <w:rsid w:val="004F438B"/>
    <w:rsid w:val="004F529C"/>
    <w:rsid w:val="004F5AB6"/>
    <w:rsid w:val="00505EFC"/>
    <w:rsid w:val="00512545"/>
    <w:rsid w:val="00512F7A"/>
    <w:rsid w:val="00517E18"/>
    <w:rsid w:val="0052380E"/>
    <w:rsid w:val="0052698D"/>
    <w:rsid w:val="00526D19"/>
    <w:rsid w:val="00531AC3"/>
    <w:rsid w:val="00531ACB"/>
    <w:rsid w:val="00541E05"/>
    <w:rsid w:val="00543327"/>
    <w:rsid w:val="00543396"/>
    <w:rsid w:val="0055059D"/>
    <w:rsid w:val="0055627E"/>
    <w:rsid w:val="005577FD"/>
    <w:rsid w:val="00562F85"/>
    <w:rsid w:val="00565B34"/>
    <w:rsid w:val="00570555"/>
    <w:rsid w:val="00574319"/>
    <w:rsid w:val="00583081"/>
    <w:rsid w:val="00593F44"/>
    <w:rsid w:val="0059666E"/>
    <w:rsid w:val="005A003B"/>
    <w:rsid w:val="005A0C71"/>
    <w:rsid w:val="005A1D4B"/>
    <w:rsid w:val="005A68AB"/>
    <w:rsid w:val="005B0F20"/>
    <w:rsid w:val="005B5048"/>
    <w:rsid w:val="005B69B2"/>
    <w:rsid w:val="005B7B10"/>
    <w:rsid w:val="005C267C"/>
    <w:rsid w:val="005D0E34"/>
    <w:rsid w:val="005D5268"/>
    <w:rsid w:val="005D5BF9"/>
    <w:rsid w:val="005E0677"/>
    <w:rsid w:val="005E2964"/>
    <w:rsid w:val="005E379F"/>
    <w:rsid w:val="005E7947"/>
    <w:rsid w:val="005F14ED"/>
    <w:rsid w:val="005F3CB9"/>
    <w:rsid w:val="005F56B5"/>
    <w:rsid w:val="00600C34"/>
    <w:rsid w:val="00605E94"/>
    <w:rsid w:val="00606209"/>
    <w:rsid w:val="00607FEB"/>
    <w:rsid w:val="00610F05"/>
    <w:rsid w:val="00614FD5"/>
    <w:rsid w:val="00620B5B"/>
    <w:rsid w:val="0062312A"/>
    <w:rsid w:val="00623B5A"/>
    <w:rsid w:val="006240AC"/>
    <w:rsid w:val="0062444F"/>
    <w:rsid w:val="006253C9"/>
    <w:rsid w:val="0062702C"/>
    <w:rsid w:val="00627B48"/>
    <w:rsid w:val="0063184C"/>
    <w:rsid w:val="0064316D"/>
    <w:rsid w:val="00644347"/>
    <w:rsid w:val="0064663D"/>
    <w:rsid w:val="00650720"/>
    <w:rsid w:val="00651778"/>
    <w:rsid w:val="00653162"/>
    <w:rsid w:val="00657BCA"/>
    <w:rsid w:val="006616DE"/>
    <w:rsid w:val="00662466"/>
    <w:rsid w:val="00662CD7"/>
    <w:rsid w:val="00664DB0"/>
    <w:rsid w:val="00666437"/>
    <w:rsid w:val="006671B9"/>
    <w:rsid w:val="00671791"/>
    <w:rsid w:val="00671BA5"/>
    <w:rsid w:val="006738A3"/>
    <w:rsid w:val="00680E2C"/>
    <w:rsid w:val="006810F9"/>
    <w:rsid w:val="0068621D"/>
    <w:rsid w:val="006943AC"/>
    <w:rsid w:val="00694E04"/>
    <w:rsid w:val="006A3184"/>
    <w:rsid w:val="006A3A42"/>
    <w:rsid w:val="006A5B79"/>
    <w:rsid w:val="006A5D9D"/>
    <w:rsid w:val="006A630B"/>
    <w:rsid w:val="006A715D"/>
    <w:rsid w:val="006B2957"/>
    <w:rsid w:val="006B3292"/>
    <w:rsid w:val="006B4356"/>
    <w:rsid w:val="006B4F60"/>
    <w:rsid w:val="006B617F"/>
    <w:rsid w:val="006B7F87"/>
    <w:rsid w:val="006C0D75"/>
    <w:rsid w:val="006C150E"/>
    <w:rsid w:val="006C4A14"/>
    <w:rsid w:val="006C6EA5"/>
    <w:rsid w:val="006C7E53"/>
    <w:rsid w:val="006D32EC"/>
    <w:rsid w:val="006D4539"/>
    <w:rsid w:val="006D776E"/>
    <w:rsid w:val="006E7C19"/>
    <w:rsid w:val="006F24FB"/>
    <w:rsid w:val="006F2B18"/>
    <w:rsid w:val="006F505E"/>
    <w:rsid w:val="006F5720"/>
    <w:rsid w:val="006F6076"/>
    <w:rsid w:val="006F659A"/>
    <w:rsid w:val="006F6D22"/>
    <w:rsid w:val="006F745F"/>
    <w:rsid w:val="006F772C"/>
    <w:rsid w:val="00701DA4"/>
    <w:rsid w:val="00715129"/>
    <w:rsid w:val="00724088"/>
    <w:rsid w:val="00724322"/>
    <w:rsid w:val="007244B6"/>
    <w:rsid w:val="00726DC8"/>
    <w:rsid w:val="007318D7"/>
    <w:rsid w:val="00732584"/>
    <w:rsid w:val="00732CD0"/>
    <w:rsid w:val="00733BF1"/>
    <w:rsid w:val="00735B55"/>
    <w:rsid w:val="007377B7"/>
    <w:rsid w:val="007433E3"/>
    <w:rsid w:val="00746F63"/>
    <w:rsid w:val="007470CC"/>
    <w:rsid w:val="007522C8"/>
    <w:rsid w:val="0075262A"/>
    <w:rsid w:val="0075326F"/>
    <w:rsid w:val="00757B3C"/>
    <w:rsid w:val="00760517"/>
    <w:rsid w:val="00762A88"/>
    <w:rsid w:val="0076659B"/>
    <w:rsid w:val="007747FE"/>
    <w:rsid w:val="0077631C"/>
    <w:rsid w:val="007838D5"/>
    <w:rsid w:val="00790159"/>
    <w:rsid w:val="00790AFB"/>
    <w:rsid w:val="007942ED"/>
    <w:rsid w:val="00797189"/>
    <w:rsid w:val="007A57D1"/>
    <w:rsid w:val="007B0873"/>
    <w:rsid w:val="007B0D2A"/>
    <w:rsid w:val="007B1EB6"/>
    <w:rsid w:val="007B4929"/>
    <w:rsid w:val="007B70D5"/>
    <w:rsid w:val="007C2891"/>
    <w:rsid w:val="007C3AB5"/>
    <w:rsid w:val="007C46B3"/>
    <w:rsid w:val="007D257F"/>
    <w:rsid w:val="007D282A"/>
    <w:rsid w:val="007D73CC"/>
    <w:rsid w:val="007E21BC"/>
    <w:rsid w:val="007F081A"/>
    <w:rsid w:val="007F0B5F"/>
    <w:rsid w:val="007F1807"/>
    <w:rsid w:val="008003A8"/>
    <w:rsid w:val="0080367F"/>
    <w:rsid w:val="00803BBC"/>
    <w:rsid w:val="00805043"/>
    <w:rsid w:val="00810056"/>
    <w:rsid w:val="0081056B"/>
    <w:rsid w:val="008110B7"/>
    <w:rsid w:val="00812712"/>
    <w:rsid w:val="0081562D"/>
    <w:rsid w:val="0081601F"/>
    <w:rsid w:val="00822525"/>
    <w:rsid w:val="00822CF6"/>
    <w:rsid w:val="008230E3"/>
    <w:rsid w:val="008249CA"/>
    <w:rsid w:val="008254CF"/>
    <w:rsid w:val="008274AB"/>
    <w:rsid w:val="008333DE"/>
    <w:rsid w:val="00840268"/>
    <w:rsid w:val="00840CFF"/>
    <w:rsid w:val="00845EE4"/>
    <w:rsid w:val="00847384"/>
    <w:rsid w:val="00856AFB"/>
    <w:rsid w:val="00856B42"/>
    <w:rsid w:val="00861785"/>
    <w:rsid w:val="00862566"/>
    <w:rsid w:val="00864CE7"/>
    <w:rsid w:val="00871EB2"/>
    <w:rsid w:val="00872EC0"/>
    <w:rsid w:val="00873937"/>
    <w:rsid w:val="00873DA5"/>
    <w:rsid w:val="00875B3B"/>
    <w:rsid w:val="00881008"/>
    <w:rsid w:val="00886289"/>
    <w:rsid w:val="00886C70"/>
    <w:rsid w:val="0089170A"/>
    <w:rsid w:val="008921BE"/>
    <w:rsid w:val="00893B47"/>
    <w:rsid w:val="00893EE0"/>
    <w:rsid w:val="008943C6"/>
    <w:rsid w:val="008A1F91"/>
    <w:rsid w:val="008A3B7F"/>
    <w:rsid w:val="008A4DE2"/>
    <w:rsid w:val="008A5B79"/>
    <w:rsid w:val="008A67DC"/>
    <w:rsid w:val="008A710A"/>
    <w:rsid w:val="008B6401"/>
    <w:rsid w:val="008C5A67"/>
    <w:rsid w:val="008D33E3"/>
    <w:rsid w:val="008D7063"/>
    <w:rsid w:val="008D7F2C"/>
    <w:rsid w:val="008E1490"/>
    <w:rsid w:val="008E2988"/>
    <w:rsid w:val="008F1609"/>
    <w:rsid w:val="008F179A"/>
    <w:rsid w:val="008F254A"/>
    <w:rsid w:val="008F40B1"/>
    <w:rsid w:val="0090093C"/>
    <w:rsid w:val="009100A6"/>
    <w:rsid w:val="00911EF7"/>
    <w:rsid w:val="00916171"/>
    <w:rsid w:val="009242DE"/>
    <w:rsid w:val="00924A6A"/>
    <w:rsid w:val="0093208E"/>
    <w:rsid w:val="00935C50"/>
    <w:rsid w:val="009367A3"/>
    <w:rsid w:val="00936899"/>
    <w:rsid w:val="00936A89"/>
    <w:rsid w:val="009409CB"/>
    <w:rsid w:val="009427BD"/>
    <w:rsid w:val="00942BEC"/>
    <w:rsid w:val="009444BE"/>
    <w:rsid w:val="009449F2"/>
    <w:rsid w:val="00950BBB"/>
    <w:rsid w:val="00954FD6"/>
    <w:rsid w:val="009557FA"/>
    <w:rsid w:val="0095763B"/>
    <w:rsid w:val="00957C61"/>
    <w:rsid w:val="00961411"/>
    <w:rsid w:val="009639D5"/>
    <w:rsid w:val="009746F1"/>
    <w:rsid w:val="0097623E"/>
    <w:rsid w:val="00983384"/>
    <w:rsid w:val="00986E96"/>
    <w:rsid w:val="0099170E"/>
    <w:rsid w:val="0099397D"/>
    <w:rsid w:val="009A0D2F"/>
    <w:rsid w:val="009A3D28"/>
    <w:rsid w:val="009A58A5"/>
    <w:rsid w:val="009A594C"/>
    <w:rsid w:val="009B03F0"/>
    <w:rsid w:val="009B3394"/>
    <w:rsid w:val="009C4C01"/>
    <w:rsid w:val="009C7529"/>
    <w:rsid w:val="009D286C"/>
    <w:rsid w:val="009E0263"/>
    <w:rsid w:val="009F4684"/>
    <w:rsid w:val="009F6CA3"/>
    <w:rsid w:val="00A01AB8"/>
    <w:rsid w:val="00A023F2"/>
    <w:rsid w:val="00A04E62"/>
    <w:rsid w:val="00A1006E"/>
    <w:rsid w:val="00A11B85"/>
    <w:rsid w:val="00A1445C"/>
    <w:rsid w:val="00A17B76"/>
    <w:rsid w:val="00A21B39"/>
    <w:rsid w:val="00A258DB"/>
    <w:rsid w:val="00A27F38"/>
    <w:rsid w:val="00A31ECD"/>
    <w:rsid w:val="00A321AD"/>
    <w:rsid w:val="00A4049C"/>
    <w:rsid w:val="00A46F92"/>
    <w:rsid w:val="00A47FE6"/>
    <w:rsid w:val="00A519A1"/>
    <w:rsid w:val="00A61795"/>
    <w:rsid w:val="00A62CDF"/>
    <w:rsid w:val="00A63BD1"/>
    <w:rsid w:val="00A70971"/>
    <w:rsid w:val="00A752F4"/>
    <w:rsid w:val="00A76DE1"/>
    <w:rsid w:val="00A81F1A"/>
    <w:rsid w:val="00A82595"/>
    <w:rsid w:val="00A828CD"/>
    <w:rsid w:val="00A9512C"/>
    <w:rsid w:val="00A95732"/>
    <w:rsid w:val="00A978FB"/>
    <w:rsid w:val="00AA3208"/>
    <w:rsid w:val="00AA45F9"/>
    <w:rsid w:val="00AA5502"/>
    <w:rsid w:val="00AB0F1F"/>
    <w:rsid w:val="00AB32F8"/>
    <w:rsid w:val="00AB3C38"/>
    <w:rsid w:val="00AB5E10"/>
    <w:rsid w:val="00AB6882"/>
    <w:rsid w:val="00AD2047"/>
    <w:rsid w:val="00AD5DB4"/>
    <w:rsid w:val="00AD6DB9"/>
    <w:rsid w:val="00AE0D78"/>
    <w:rsid w:val="00AE77BE"/>
    <w:rsid w:val="00AF0112"/>
    <w:rsid w:val="00AF1B95"/>
    <w:rsid w:val="00AF285E"/>
    <w:rsid w:val="00AF3F96"/>
    <w:rsid w:val="00AF4DEB"/>
    <w:rsid w:val="00B05FE4"/>
    <w:rsid w:val="00B06056"/>
    <w:rsid w:val="00B0658E"/>
    <w:rsid w:val="00B1070B"/>
    <w:rsid w:val="00B11A49"/>
    <w:rsid w:val="00B1449C"/>
    <w:rsid w:val="00B146D5"/>
    <w:rsid w:val="00B15FF8"/>
    <w:rsid w:val="00B163B8"/>
    <w:rsid w:val="00B24404"/>
    <w:rsid w:val="00B25C3B"/>
    <w:rsid w:val="00B277CF"/>
    <w:rsid w:val="00B33FB9"/>
    <w:rsid w:val="00B36A5D"/>
    <w:rsid w:val="00B401D3"/>
    <w:rsid w:val="00B40C7D"/>
    <w:rsid w:val="00B46F22"/>
    <w:rsid w:val="00B4771C"/>
    <w:rsid w:val="00B51EE2"/>
    <w:rsid w:val="00B537CD"/>
    <w:rsid w:val="00B5612B"/>
    <w:rsid w:val="00B57DA9"/>
    <w:rsid w:val="00B617B4"/>
    <w:rsid w:val="00B61958"/>
    <w:rsid w:val="00B6306D"/>
    <w:rsid w:val="00B72B0D"/>
    <w:rsid w:val="00B82834"/>
    <w:rsid w:val="00B90155"/>
    <w:rsid w:val="00B92FB1"/>
    <w:rsid w:val="00B954A2"/>
    <w:rsid w:val="00BA2F86"/>
    <w:rsid w:val="00BA32E8"/>
    <w:rsid w:val="00BA57A4"/>
    <w:rsid w:val="00BB1109"/>
    <w:rsid w:val="00BB1F4E"/>
    <w:rsid w:val="00BC252E"/>
    <w:rsid w:val="00BC3171"/>
    <w:rsid w:val="00BC3F70"/>
    <w:rsid w:val="00BD001A"/>
    <w:rsid w:val="00BD0CF2"/>
    <w:rsid w:val="00BD1173"/>
    <w:rsid w:val="00BD153C"/>
    <w:rsid w:val="00BD1F0A"/>
    <w:rsid w:val="00BD2847"/>
    <w:rsid w:val="00BD4582"/>
    <w:rsid w:val="00BD6BAD"/>
    <w:rsid w:val="00BD7571"/>
    <w:rsid w:val="00BE0712"/>
    <w:rsid w:val="00BE4F5B"/>
    <w:rsid w:val="00BE4FE3"/>
    <w:rsid w:val="00BE59B1"/>
    <w:rsid w:val="00BE5DB5"/>
    <w:rsid w:val="00BE60C1"/>
    <w:rsid w:val="00BE6FAB"/>
    <w:rsid w:val="00BF0901"/>
    <w:rsid w:val="00BF59E6"/>
    <w:rsid w:val="00BF6546"/>
    <w:rsid w:val="00C039CA"/>
    <w:rsid w:val="00C03E46"/>
    <w:rsid w:val="00C044B6"/>
    <w:rsid w:val="00C07CC4"/>
    <w:rsid w:val="00C14E7C"/>
    <w:rsid w:val="00C333E8"/>
    <w:rsid w:val="00C345C7"/>
    <w:rsid w:val="00C35A0E"/>
    <w:rsid w:val="00C37355"/>
    <w:rsid w:val="00C41DB4"/>
    <w:rsid w:val="00C46135"/>
    <w:rsid w:val="00C50590"/>
    <w:rsid w:val="00C510AE"/>
    <w:rsid w:val="00C5498C"/>
    <w:rsid w:val="00C54C9A"/>
    <w:rsid w:val="00C55683"/>
    <w:rsid w:val="00C564FB"/>
    <w:rsid w:val="00C56A06"/>
    <w:rsid w:val="00C61963"/>
    <w:rsid w:val="00C64F7D"/>
    <w:rsid w:val="00C66FA8"/>
    <w:rsid w:val="00C70190"/>
    <w:rsid w:val="00C70CBB"/>
    <w:rsid w:val="00C76623"/>
    <w:rsid w:val="00C81D06"/>
    <w:rsid w:val="00C81D3C"/>
    <w:rsid w:val="00C820DE"/>
    <w:rsid w:val="00C82ABE"/>
    <w:rsid w:val="00C86391"/>
    <w:rsid w:val="00C93FBD"/>
    <w:rsid w:val="00C944F0"/>
    <w:rsid w:val="00C9769D"/>
    <w:rsid w:val="00CA57C4"/>
    <w:rsid w:val="00CA6424"/>
    <w:rsid w:val="00CA6D4D"/>
    <w:rsid w:val="00CB1408"/>
    <w:rsid w:val="00CB1629"/>
    <w:rsid w:val="00CB1C4D"/>
    <w:rsid w:val="00CC2A8A"/>
    <w:rsid w:val="00CD1AF1"/>
    <w:rsid w:val="00CD27DA"/>
    <w:rsid w:val="00CD35DA"/>
    <w:rsid w:val="00CE1391"/>
    <w:rsid w:val="00CE2985"/>
    <w:rsid w:val="00CE68D9"/>
    <w:rsid w:val="00CF0EB8"/>
    <w:rsid w:val="00CF0F69"/>
    <w:rsid w:val="00CF1D8C"/>
    <w:rsid w:val="00D02553"/>
    <w:rsid w:val="00D12CBE"/>
    <w:rsid w:val="00D1410C"/>
    <w:rsid w:val="00D160DD"/>
    <w:rsid w:val="00D16785"/>
    <w:rsid w:val="00D327D9"/>
    <w:rsid w:val="00D32A8F"/>
    <w:rsid w:val="00D3413C"/>
    <w:rsid w:val="00D34C86"/>
    <w:rsid w:val="00D4016F"/>
    <w:rsid w:val="00D41546"/>
    <w:rsid w:val="00D43731"/>
    <w:rsid w:val="00D438BF"/>
    <w:rsid w:val="00D449DF"/>
    <w:rsid w:val="00D47842"/>
    <w:rsid w:val="00D60F43"/>
    <w:rsid w:val="00D61011"/>
    <w:rsid w:val="00D708EF"/>
    <w:rsid w:val="00D71CCE"/>
    <w:rsid w:val="00D71FC1"/>
    <w:rsid w:val="00D72448"/>
    <w:rsid w:val="00D8156B"/>
    <w:rsid w:val="00D8381B"/>
    <w:rsid w:val="00D85843"/>
    <w:rsid w:val="00D86420"/>
    <w:rsid w:val="00DA08AD"/>
    <w:rsid w:val="00DA0EFF"/>
    <w:rsid w:val="00DB2441"/>
    <w:rsid w:val="00DB640B"/>
    <w:rsid w:val="00DB7E71"/>
    <w:rsid w:val="00DC00C6"/>
    <w:rsid w:val="00DC3584"/>
    <w:rsid w:val="00DE1BD3"/>
    <w:rsid w:val="00DE1FF1"/>
    <w:rsid w:val="00DE7705"/>
    <w:rsid w:val="00DF369B"/>
    <w:rsid w:val="00DF71C0"/>
    <w:rsid w:val="00E07FE4"/>
    <w:rsid w:val="00E10D0A"/>
    <w:rsid w:val="00E12BD9"/>
    <w:rsid w:val="00E1749F"/>
    <w:rsid w:val="00E21602"/>
    <w:rsid w:val="00E21A3E"/>
    <w:rsid w:val="00E24F7F"/>
    <w:rsid w:val="00E25AB7"/>
    <w:rsid w:val="00E3037E"/>
    <w:rsid w:val="00E31B6F"/>
    <w:rsid w:val="00E36992"/>
    <w:rsid w:val="00E410A0"/>
    <w:rsid w:val="00E45C57"/>
    <w:rsid w:val="00E47F9D"/>
    <w:rsid w:val="00E5648E"/>
    <w:rsid w:val="00E603A5"/>
    <w:rsid w:val="00E624EB"/>
    <w:rsid w:val="00E64A3A"/>
    <w:rsid w:val="00E6598F"/>
    <w:rsid w:val="00E86BF7"/>
    <w:rsid w:val="00E87A7C"/>
    <w:rsid w:val="00E90DB2"/>
    <w:rsid w:val="00E92020"/>
    <w:rsid w:val="00E94434"/>
    <w:rsid w:val="00EA091D"/>
    <w:rsid w:val="00EA19B4"/>
    <w:rsid w:val="00EA777F"/>
    <w:rsid w:val="00EB2C6F"/>
    <w:rsid w:val="00EB3AE5"/>
    <w:rsid w:val="00EB3C46"/>
    <w:rsid w:val="00EB72D8"/>
    <w:rsid w:val="00EB73DB"/>
    <w:rsid w:val="00EC65DD"/>
    <w:rsid w:val="00ED1F4E"/>
    <w:rsid w:val="00ED2150"/>
    <w:rsid w:val="00ED30DF"/>
    <w:rsid w:val="00ED6372"/>
    <w:rsid w:val="00EE4BC6"/>
    <w:rsid w:val="00EE56BD"/>
    <w:rsid w:val="00EE75D7"/>
    <w:rsid w:val="00EF3C9D"/>
    <w:rsid w:val="00F013F6"/>
    <w:rsid w:val="00F06334"/>
    <w:rsid w:val="00F24AF9"/>
    <w:rsid w:val="00F27D0E"/>
    <w:rsid w:val="00F33756"/>
    <w:rsid w:val="00F34C6B"/>
    <w:rsid w:val="00F36F51"/>
    <w:rsid w:val="00F4120C"/>
    <w:rsid w:val="00F42C94"/>
    <w:rsid w:val="00F43627"/>
    <w:rsid w:val="00F50362"/>
    <w:rsid w:val="00F5175A"/>
    <w:rsid w:val="00F5645A"/>
    <w:rsid w:val="00F56DA4"/>
    <w:rsid w:val="00F619A3"/>
    <w:rsid w:val="00F63969"/>
    <w:rsid w:val="00F700B1"/>
    <w:rsid w:val="00F7028A"/>
    <w:rsid w:val="00F70E89"/>
    <w:rsid w:val="00F75A1C"/>
    <w:rsid w:val="00F769D4"/>
    <w:rsid w:val="00F82929"/>
    <w:rsid w:val="00F84821"/>
    <w:rsid w:val="00F91D2D"/>
    <w:rsid w:val="00F92844"/>
    <w:rsid w:val="00F96F76"/>
    <w:rsid w:val="00FA0E2D"/>
    <w:rsid w:val="00FA4F63"/>
    <w:rsid w:val="00FA617A"/>
    <w:rsid w:val="00FA637D"/>
    <w:rsid w:val="00FA6717"/>
    <w:rsid w:val="00FB4AB1"/>
    <w:rsid w:val="00FB58FF"/>
    <w:rsid w:val="00FB6D72"/>
    <w:rsid w:val="00FC1C50"/>
    <w:rsid w:val="00FD7A82"/>
    <w:rsid w:val="00FE0066"/>
    <w:rsid w:val="00FE1553"/>
    <w:rsid w:val="00FE2F66"/>
    <w:rsid w:val="00FE474F"/>
    <w:rsid w:val="00FE4BDD"/>
    <w:rsid w:val="00FF3BD7"/>
    <w:rsid w:val="00FF566F"/>
    <w:rsid w:val="00FF60FA"/>
    <w:rsid w:val="00FF6E0B"/>
    <w:rsid w:val="0115131B"/>
    <w:rsid w:val="01451970"/>
    <w:rsid w:val="014D58C2"/>
    <w:rsid w:val="0159332C"/>
    <w:rsid w:val="01813AAA"/>
    <w:rsid w:val="019649D3"/>
    <w:rsid w:val="01A03715"/>
    <w:rsid w:val="01B81F98"/>
    <w:rsid w:val="023B604C"/>
    <w:rsid w:val="024B59EF"/>
    <w:rsid w:val="025B0F77"/>
    <w:rsid w:val="026B583F"/>
    <w:rsid w:val="02770B3C"/>
    <w:rsid w:val="028739E5"/>
    <w:rsid w:val="028C3ABD"/>
    <w:rsid w:val="02D95F45"/>
    <w:rsid w:val="034172A0"/>
    <w:rsid w:val="034B31FD"/>
    <w:rsid w:val="038E36B4"/>
    <w:rsid w:val="03B1218E"/>
    <w:rsid w:val="04144EF7"/>
    <w:rsid w:val="041B7772"/>
    <w:rsid w:val="044B17E7"/>
    <w:rsid w:val="048B7513"/>
    <w:rsid w:val="04952CB3"/>
    <w:rsid w:val="04F2372E"/>
    <w:rsid w:val="051F2CC7"/>
    <w:rsid w:val="052C7305"/>
    <w:rsid w:val="053C2829"/>
    <w:rsid w:val="054F6A7F"/>
    <w:rsid w:val="05740722"/>
    <w:rsid w:val="05B568E2"/>
    <w:rsid w:val="060A449F"/>
    <w:rsid w:val="064C5F5A"/>
    <w:rsid w:val="065A1F87"/>
    <w:rsid w:val="06925BCF"/>
    <w:rsid w:val="06A13635"/>
    <w:rsid w:val="06BA346B"/>
    <w:rsid w:val="070C60B7"/>
    <w:rsid w:val="07244646"/>
    <w:rsid w:val="07362BEF"/>
    <w:rsid w:val="07601CD7"/>
    <w:rsid w:val="076C0FA8"/>
    <w:rsid w:val="078F26D1"/>
    <w:rsid w:val="07904AA3"/>
    <w:rsid w:val="07AD68D1"/>
    <w:rsid w:val="07CC7DE6"/>
    <w:rsid w:val="0848689E"/>
    <w:rsid w:val="08870650"/>
    <w:rsid w:val="088965EF"/>
    <w:rsid w:val="088C503A"/>
    <w:rsid w:val="08B4188C"/>
    <w:rsid w:val="08CB2ADD"/>
    <w:rsid w:val="08CE008F"/>
    <w:rsid w:val="092A33AA"/>
    <w:rsid w:val="092D4C97"/>
    <w:rsid w:val="09346B93"/>
    <w:rsid w:val="09CD4512"/>
    <w:rsid w:val="09FA0BB4"/>
    <w:rsid w:val="0A017571"/>
    <w:rsid w:val="0A14374B"/>
    <w:rsid w:val="0A661610"/>
    <w:rsid w:val="0A826D5D"/>
    <w:rsid w:val="0A875395"/>
    <w:rsid w:val="0A9009E6"/>
    <w:rsid w:val="0AFB0037"/>
    <w:rsid w:val="0B1157F3"/>
    <w:rsid w:val="0B214E21"/>
    <w:rsid w:val="0B50064E"/>
    <w:rsid w:val="0B5E759C"/>
    <w:rsid w:val="0B5E7864"/>
    <w:rsid w:val="0BED1444"/>
    <w:rsid w:val="0C4F5947"/>
    <w:rsid w:val="0CA91733"/>
    <w:rsid w:val="0CCD4B8E"/>
    <w:rsid w:val="0D384F96"/>
    <w:rsid w:val="0D452C96"/>
    <w:rsid w:val="0D472E7E"/>
    <w:rsid w:val="0D626BAE"/>
    <w:rsid w:val="0D6860CB"/>
    <w:rsid w:val="0D772B11"/>
    <w:rsid w:val="0DA82032"/>
    <w:rsid w:val="0E01162D"/>
    <w:rsid w:val="0E3A4ED3"/>
    <w:rsid w:val="0E623A90"/>
    <w:rsid w:val="0E72755E"/>
    <w:rsid w:val="0E8B05DA"/>
    <w:rsid w:val="0EB119A7"/>
    <w:rsid w:val="0ECA2587"/>
    <w:rsid w:val="0EF82DCB"/>
    <w:rsid w:val="0F1512DF"/>
    <w:rsid w:val="0F1E5006"/>
    <w:rsid w:val="0F226E34"/>
    <w:rsid w:val="0F256317"/>
    <w:rsid w:val="0F31706E"/>
    <w:rsid w:val="0F352D45"/>
    <w:rsid w:val="0FC0315E"/>
    <w:rsid w:val="0FDB7B77"/>
    <w:rsid w:val="0FE05625"/>
    <w:rsid w:val="0FFE1AF1"/>
    <w:rsid w:val="10CF2E2E"/>
    <w:rsid w:val="10E80264"/>
    <w:rsid w:val="10EA0DF2"/>
    <w:rsid w:val="10FC45FF"/>
    <w:rsid w:val="11542028"/>
    <w:rsid w:val="11D2450F"/>
    <w:rsid w:val="11D500EF"/>
    <w:rsid w:val="11E070B4"/>
    <w:rsid w:val="11EE45FC"/>
    <w:rsid w:val="11F13A77"/>
    <w:rsid w:val="120E38D2"/>
    <w:rsid w:val="123840C9"/>
    <w:rsid w:val="124C5059"/>
    <w:rsid w:val="1294187C"/>
    <w:rsid w:val="12B66128"/>
    <w:rsid w:val="12B83F1E"/>
    <w:rsid w:val="12D27BEC"/>
    <w:rsid w:val="13514766"/>
    <w:rsid w:val="136D599B"/>
    <w:rsid w:val="139F1C36"/>
    <w:rsid w:val="13C847C3"/>
    <w:rsid w:val="13CB6984"/>
    <w:rsid w:val="143166C9"/>
    <w:rsid w:val="143F51D0"/>
    <w:rsid w:val="144633BC"/>
    <w:rsid w:val="14613B33"/>
    <w:rsid w:val="148C5809"/>
    <w:rsid w:val="149E4757"/>
    <w:rsid w:val="14BD37FB"/>
    <w:rsid w:val="155B190B"/>
    <w:rsid w:val="15BF7D50"/>
    <w:rsid w:val="15DA1D43"/>
    <w:rsid w:val="15F916EF"/>
    <w:rsid w:val="160B4677"/>
    <w:rsid w:val="162829A0"/>
    <w:rsid w:val="163D21EC"/>
    <w:rsid w:val="16832508"/>
    <w:rsid w:val="16D50A48"/>
    <w:rsid w:val="1704143E"/>
    <w:rsid w:val="17A72E68"/>
    <w:rsid w:val="17ED2531"/>
    <w:rsid w:val="18104A18"/>
    <w:rsid w:val="18185F71"/>
    <w:rsid w:val="188F546D"/>
    <w:rsid w:val="18C7151D"/>
    <w:rsid w:val="19175CFE"/>
    <w:rsid w:val="191C4A58"/>
    <w:rsid w:val="1943210F"/>
    <w:rsid w:val="196D25FA"/>
    <w:rsid w:val="198F2FD2"/>
    <w:rsid w:val="19A2603D"/>
    <w:rsid w:val="19B57547"/>
    <w:rsid w:val="19DE2470"/>
    <w:rsid w:val="19E27E66"/>
    <w:rsid w:val="19ED6B46"/>
    <w:rsid w:val="1A6B762A"/>
    <w:rsid w:val="1A917D47"/>
    <w:rsid w:val="1ABC3C5A"/>
    <w:rsid w:val="1B245A93"/>
    <w:rsid w:val="1B2653EF"/>
    <w:rsid w:val="1B385B8A"/>
    <w:rsid w:val="1B642683"/>
    <w:rsid w:val="1B9E1DD0"/>
    <w:rsid w:val="1BE45BB3"/>
    <w:rsid w:val="1C311E08"/>
    <w:rsid w:val="1C321825"/>
    <w:rsid w:val="1C4A069C"/>
    <w:rsid w:val="1C7B6309"/>
    <w:rsid w:val="1C887521"/>
    <w:rsid w:val="1C9261C5"/>
    <w:rsid w:val="1CDF5A48"/>
    <w:rsid w:val="1CE9117E"/>
    <w:rsid w:val="1CF139D8"/>
    <w:rsid w:val="1CFA2A91"/>
    <w:rsid w:val="1CFD0A7C"/>
    <w:rsid w:val="1CFE51AF"/>
    <w:rsid w:val="1D132CA0"/>
    <w:rsid w:val="1D39162D"/>
    <w:rsid w:val="1D6E3522"/>
    <w:rsid w:val="1DC64F19"/>
    <w:rsid w:val="1DFF7DDB"/>
    <w:rsid w:val="1E037A41"/>
    <w:rsid w:val="1E1E082B"/>
    <w:rsid w:val="1E526437"/>
    <w:rsid w:val="1E6860FF"/>
    <w:rsid w:val="1E766728"/>
    <w:rsid w:val="1E8D40EC"/>
    <w:rsid w:val="1E9909AA"/>
    <w:rsid w:val="1EB03B3B"/>
    <w:rsid w:val="1ECC5E73"/>
    <w:rsid w:val="1F56289E"/>
    <w:rsid w:val="1F606764"/>
    <w:rsid w:val="1F6C45EC"/>
    <w:rsid w:val="1F884B54"/>
    <w:rsid w:val="1F8C78AB"/>
    <w:rsid w:val="1FBE4D2D"/>
    <w:rsid w:val="1FD10D03"/>
    <w:rsid w:val="1FE01D12"/>
    <w:rsid w:val="1FE55B40"/>
    <w:rsid w:val="1FEB2C88"/>
    <w:rsid w:val="200333AE"/>
    <w:rsid w:val="20381819"/>
    <w:rsid w:val="20411FCE"/>
    <w:rsid w:val="20414CA1"/>
    <w:rsid w:val="20475D93"/>
    <w:rsid w:val="20AB3983"/>
    <w:rsid w:val="20CD7A3D"/>
    <w:rsid w:val="20D85CA1"/>
    <w:rsid w:val="212539AB"/>
    <w:rsid w:val="214D5C56"/>
    <w:rsid w:val="217E7D47"/>
    <w:rsid w:val="218F5BBA"/>
    <w:rsid w:val="21CE6BFC"/>
    <w:rsid w:val="22243595"/>
    <w:rsid w:val="22BF5778"/>
    <w:rsid w:val="22F95C5D"/>
    <w:rsid w:val="23145A01"/>
    <w:rsid w:val="234A19DF"/>
    <w:rsid w:val="23C7793E"/>
    <w:rsid w:val="23C90742"/>
    <w:rsid w:val="23E302FC"/>
    <w:rsid w:val="23ED78C8"/>
    <w:rsid w:val="24405175"/>
    <w:rsid w:val="24476679"/>
    <w:rsid w:val="24480FA2"/>
    <w:rsid w:val="24607BD2"/>
    <w:rsid w:val="246B5632"/>
    <w:rsid w:val="247D1A44"/>
    <w:rsid w:val="2483532E"/>
    <w:rsid w:val="248A6F0B"/>
    <w:rsid w:val="24D1264B"/>
    <w:rsid w:val="24D50BFC"/>
    <w:rsid w:val="24FA1742"/>
    <w:rsid w:val="25175258"/>
    <w:rsid w:val="255652B4"/>
    <w:rsid w:val="257D3351"/>
    <w:rsid w:val="25974067"/>
    <w:rsid w:val="25F03271"/>
    <w:rsid w:val="25F84015"/>
    <w:rsid w:val="262F3A3E"/>
    <w:rsid w:val="26526135"/>
    <w:rsid w:val="26723EA0"/>
    <w:rsid w:val="26C848AF"/>
    <w:rsid w:val="26D31172"/>
    <w:rsid w:val="27062977"/>
    <w:rsid w:val="27571C87"/>
    <w:rsid w:val="276B1E8B"/>
    <w:rsid w:val="276F0A69"/>
    <w:rsid w:val="277108CB"/>
    <w:rsid w:val="27844867"/>
    <w:rsid w:val="27892169"/>
    <w:rsid w:val="27920855"/>
    <w:rsid w:val="27B4132B"/>
    <w:rsid w:val="28157C40"/>
    <w:rsid w:val="281B5375"/>
    <w:rsid w:val="2824542C"/>
    <w:rsid w:val="28372084"/>
    <w:rsid w:val="28622E06"/>
    <w:rsid w:val="286B2565"/>
    <w:rsid w:val="287C6C3A"/>
    <w:rsid w:val="28886D57"/>
    <w:rsid w:val="28A705B3"/>
    <w:rsid w:val="28CA5658"/>
    <w:rsid w:val="29130A27"/>
    <w:rsid w:val="29210099"/>
    <w:rsid w:val="29220923"/>
    <w:rsid w:val="29485363"/>
    <w:rsid w:val="294D0D20"/>
    <w:rsid w:val="295C5ABC"/>
    <w:rsid w:val="29DD674E"/>
    <w:rsid w:val="29EB6CDD"/>
    <w:rsid w:val="29EE7698"/>
    <w:rsid w:val="29EF250D"/>
    <w:rsid w:val="29F42CFB"/>
    <w:rsid w:val="2A470FAA"/>
    <w:rsid w:val="2A874242"/>
    <w:rsid w:val="2A901110"/>
    <w:rsid w:val="2AF25235"/>
    <w:rsid w:val="2AF376AF"/>
    <w:rsid w:val="2B21574D"/>
    <w:rsid w:val="2B330C07"/>
    <w:rsid w:val="2B4443B7"/>
    <w:rsid w:val="2B946EED"/>
    <w:rsid w:val="2B9E2368"/>
    <w:rsid w:val="2BB136A6"/>
    <w:rsid w:val="2BC82084"/>
    <w:rsid w:val="2BD86057"/>
    <w:rsid w:val="2C073947"/>
    <w:rsid w:val="2C67792A"/>
    <w:rsid w:val="2C9C645E"/>
    <w:rsid w:val="2CB32213"/>
    <w:rsid w:val="2CB54ADF"/>
    <w:rsid w:val="2CB80CCC"/>
    <w:rsid w:val="2CD51023"/>
    <w:rsid w:val="2CF310AD"/>
    <w:rsid w:val="2D025204"/>
    <w:rsid w:val="2D040DC1"/>
    <w:rsid w:val="2D281A9A"/>
    <w:rsid w:val="2D5013D0"/>
    <w:rsid w:val="2D6512CA"/>
    <w:rsid w:val="2DE65191"/>
    <w:rsid w:val="2E1D72D7"/>
    <w:rsid w:val="2E2C3D01"/>
    <w:rsid w:val="2E525A73"/>
    <w:rsid w:val="2ECF58EF"/>
    <w:rsid w:val="2ED607E7"/>
    <w:rsid w:val="2EF44867"/>
    <w:rsid w:val="2EF6166D"/>
    <w:rsid w:val="2F7C4D40"/>
    <w:rsid w:val="2F9C6A30"/>
    <w:rsid w:val="2FC82575"/>
    <w:rsid w:val="300D47EE"/>
    <w:rsid w:val="302B173A"/>
    <w:rsid w:val="302E220D"/>
    <w:rsid w:val="306B7794"/>
    <w:rsid w:val="30BA5AC0"/>
    <w:rsid w:val="30E60283"/>
    <w:rsid w:val="30EA0F4A"/>
    <w:rsid w:val="310D3CC2"/>
    <w:rsid w:val="313913A9"/>
    <w:rsid w:val="31746C95"/>
    <w:rsid w:val="3176757A"/>
    <w:rsid w:val="318F5DEE"/>
    <w:rsid w:val="31E15046"/>
    <w:rsid w:val="31E1598D"/>
    <w:rsid w:val="32100829"/>
    <w:rsid w:val="32196698"/>
    <w:rsid w:val="32405F03"/>
    <w:rsid w:val="32716071"/>
    <w:rsid w:val="32C33527"/>
    <w:rsid w:val="32C67A65"/>
    <w:rsid w:val="32CD2A23"/>
    <w:rsid w:val="336269FF"/>
    <w:rsid w:val="33923E7C"/>
    <w:rsid w:val="33A65DCF"/>
    <w:rsid w:val="33AE2461"/>
    <w:rsid w:val="33E763F3"/>
    <w:rsid w:val="34136611"/>
    <w:rsid w:val="343B0FD4"/>
    <w:rsid w:val="345D4876"/>
    <w:rsid w:val="346678A3"/>
    <w:rsid w:val="348C1FF6"/>
    <w:rsid w:val="34AF1930"/>
    <w:rsid w:val="34CC6012"/>
    <w:rsid w:val="34D33375"/>
    <w:rsid w:val="34E168DE"/>
    <w:rsid w:val="35306661"/>
    <w:rsid w:val="35E05AAE"/>
    <w:rsid w:val="360959BC"/>
    <w:rsid w:val="3628336A"/>
    <w:rsid w:val="36634751"/>
    <w:rsid w:val="36A43530"/>
    <w:rsid w:val="36C66276"/>
    <w:rsid w:val="36D63D7C"/>
    <w:rsid w:val="36DC31ED"/>
    <w:rsid w:val="36E36896"/>
    <w:rsid w:val="36E972ED"/>
    <w:rsid w:val="37442F41"/>
    <w:rsid w:val="376E5092"/>
    <w:rsid w:val="3791079A"/>
    <w:rsid w:val="37D748F2"/>
    <w:rsid w:val="382F54A4"/>
    <w:rsid w:val="383E027C"/>
    <w:rsid w:val="384B5EED"/>
    <w:rsid w:val="38621CD0"/>
    <w:rsid w:val="387A1725"/>
    <w:rsid w:val="388C4040"/>
    <w:rsid w:val="388F36C6"/>
    <w:rsid w:val="389C44C3"/>
    <w:rsid w:val="38A1711E"/>
    <w:rsid w:val="38B274D8"/>
    <w:rsid w:val="38B54060"/>
    <w:rsid w:val="38BB74A5"/>
    <w:rsid w:val="38C57299"/>
    <w:rsid w:val="38E35F75"/>
    <w:rsid w:val="38ED6BC0"/>
    <w:rsid w:val="39B70744"/>
    <w:rsid w:val="39EE160F"/>
    <w:rsid w:val="39F23E80"/>
    <w:rsid w:val="39F30C61"/>
    <w:rsid w:val="3A041B49"/>
    <w:rsid w:val="3A0F55A5"/>
    <w:rsid w:val="3A6A7ABC"/>
    <w:rsid w:val="3A7B1CFB"/>
    <w:rsid w:val="3A8459F7"/>
    <w:rsid w:val="3A873175"/>
    <w:rsid w:val="3A8C65F2"/>
    <w:rsid w:val="3A9A338F"/>
    <w:rsid w:val="3AB230E4"/>
    <w:rsid w:val="3AF23B2F"/>
    <w:rsid w:val="3B037B06"/>
    <w:rsid w:val="3B144472"/>
    <w:rsid w:val="3B517BFC"/>
    <w:rsid w:val="3B5B6AE1"/>
    <w:rsid w:val="3B622A0E"/>
    <w:rsid w:val="3B6A7FB0"/>
    <w:rsid w:val="3B8C7056"/>
    <w:rsid w:val="3B922130"/>
    <w:rsid w:val="3C10747F"/>
    <w:rsid w:val="3C3405AE"/>
    <w:rsid w:val="3C744FEC"/>
    <w:rsid w:val="3C911EB8"/>
    <w:rsid w:val="3C9B0CF0"/>
    <w:rsid w:val="3C9B6998"/>
    <w:rsid w:val="3D3217C4"/>
    <w:rsid w:val="3D4F3E78"/>
    <w:rsid w:val="3D565E19"/>
    <w:rsid w:val="3D634E6F"/>
    <w:rsid w:val="3D78440A"/>
    <w:rsid w:val="3D8E4EAA"/>
    <w:rsid w:val="3D912FAC"/>
    <w:rsid w:val="3E3B7740"/>
    <w:rsid w:val="3E766BEA"/>
    <w:rsid w:val="3E8E17EB"/>
    <w:rsid w:val="3E9952A1"/>
    <w:rsid w:val="3EAE620B"/>
    <w:rsid w:val="3EB17EDC"/>
    <w:rsid w:val="3F007DB2"/>
    <w:rsid w:val="3F384209"/>
    <w:rsid w:val="3F4970F3"/>
    <w:rsid w:val="3F4F67B1"/>
    <w:rsid w:val="3F6C7B7F"/>
    <w:rsid w:val="3FB64604"/>
    <w:rsid w:val="3FBF609A"/>
    <w:rsid w:val="3FC10F40"/>
    <w:rsid w:val="3FD85092"/>
    <w:rsid w:val="3FE57A00"/>
    <w:rsid w:val="40072154"/>
    <w:rsid w:val="400B27A9"/>
    <w:rsid w:val="40622D52"/>
    <w:rsid w:val="40735A5A"/>
    <w:rsid w:val="40EB749F"/>
    <w:rsid w:val="40F433E9"/>
    <w:rsid w:val="4120496E"/>
    <w:rsid w:val="4125590F"/>
    <w:rsid w:val="414C4489"/>
    <w:rsid w:val="41864724"/>
    <w:rsid w:val="419F64A4"/>
    <w:rsid w:val="41E03B8B"/>
    <w:rsid w:val="41EF444F"/>
    <w:rsid w:val="420B4BF7"/>
    <w:rsid w:val="42894D66"/>
    <w:rsid w:val="42C63105"/>
    <w:rsid w:val="42D6387C"/>
    <w:rsid w:val="42EE75EE"/>
    <w:rsid w:val="43AD6043"/>
    <w:rsid w:val="43C46D51"/>
    <w:rsid w:val="44451492"/>
    <w:rsid w:val="44762741"/>
    <w:rsid w:val="44E93695"/>
    <w:rsid w:val="45057C82"/>
    <w:rsid w:val="450B1B80"/>
    <w:rsid w:val="453E5D70"/>
    <w:rsid w:val="4541013D"/>
    <w:rsid w:val="458D615F"/>
    <w:rsid w:val="459F3A4A"/>
    <w:rsid w:val="45E05A77"/>
    <w:rsid w:val="461131A2"/>
    <w:rsid w:val="473501ED"/>
    <w:rsid w:val="473B28B7"/>
    <w:rsid w:val="47623F9D"/>
    <w:rsid w:val="476C5FC3"/>
    <w:rsid w:val="477F61B7"/>
    <w:rsid w:val="478A61EF"/>
    <w:rsid w:val="47970092"/>
    <w:rsid w:val="47D241C3"/>
    <w:rsid w:val="4824501D"/>
    <w:rsid w:val="48653CF8"/>
    <w:rsid w:val="488B2F1F"/>
    <w:rsid w:val="48A2108A"/>
    <w:rsid w:val="48CC5108"/>
    <w:rsid w:val="48CF5A98"/>
    <w:rsid w:val="48FD337D"/>
    <w:rsid w:val="49354868"/>
    <w:rsid w:val="499C7FD1"/>
    <w:rsid w:val="4A2D7A55"/>
    <w:rsid w:val="4A655AF5"/>
    <w:rsid w:val="4A692455"/>
    <w:rsid w:val="4A694F0E"/>
    <w:rsid w:val="4AD928D8"/>
    <w:rsid w:val="4ADD3489"/>
    <w:rsid w:val="4B155BCD"/>
    <w:rsid w:val="4B5235B5"/>
    <w:rsid w:val="4B7679E9"/>
    <w:rsid w:val="4B84043E"/>
    <w:rsid w:val="4BA10349"/>
    <w:rsid w:val="4BA24089"/>
    <w:rsid w:val="4BBD3B3C"/>
    <w:rsid w:val="4C037D97"/>
    <w:rsid w:val="4C927CD7"/>
    <w:rsid w:val="4CA94164"/>
    <w:rsid w:val="4CAE1D99"/>
    <w:rsid w:val="4CC343EB"/>
    <w:rsid w:val="4D7953E7"/>
    <w:rsid w:val="4D903C41"/>
    <w:rsid w:val="4DA46DA9"/>
    <w:rsid w:val="4DC76A97"/>
    <w:rsid w:val="4E3276B5"/>
    <w:rsid w:val="4E990870"/>
    <w:rsid w:val="4E9A2DF5"/>
    <w:rsid w:val="4EA12DFD"/>
    <w:rsid w:val="4EA166BA"/>
    <w:rsid w:val="4EC35483"/>
    <w:rsid w:val="4ED6006A"/>
    <w:rsid w:val="4F16188A"/>
    <w:rsid w:val="4F184C3D"/>
    <w:rsid w:val="4F452E1D"/>
    <w:rsid w:val="4F4A3053"/>
    <w:rsid w:val="4F576C2C"/>
    <w:rsid w:val="4F5F0EA0"/>
    <w:rsid w:val="4F907069"/>
    <w:rsid w:val="4FCD241A"/>
    <w:rsid w:val="4FE97E3B"/>
    <w:rsid w:val="501F3220"/>
    <w:rsid w:val="50206A85"/>
    <w:rsid w:val="502A7555"/>
    <w:rsid w:val="50866A4B"/>
    <w:rsid w:val="50BB4459"/>
    <w:rsid w:val="50FD3C07"/>
    <w:rsid w:val="511740CA"/>
    <w:rsid w:val="51F35963"/>
    <w:rsid w:val="52193066"/>
    <w:rsid w:val="522254E6"/>
    <w:rsid w:val="52382EED"/>
    <w:rsid w:val="526A2E49"/>
    <w:rsid w:val="52725003"/>
    <w:rsid w:val="52766651"/>
    <w:rsid w:val="529334A7"/>
    <w:rsid w:val="52D07A71"/>
    <w:rsid w:val="52E30664"/>
    <w:rsid w:val="533943B2"/>
    <w:rsid w:val="53811452"/>
    <w:rsid w:val="539A08F8"/>
    <w:rsid w:val="53E41FF1"/>
    <w:rsid w:val="53F779B6"/>
    <w:rsid w:val="54192FA1"/>
    <w:rsid w:val="546F7693"/>
    <w:rsid w:val="54721C30"/>
    <w:rsid w:val="547649B7"/>
    <w:rsid w:val="548C13AB"/>
    <w:rsid w:val="54D166AD"/>
    <w:rsid w:val="551A1F2C"/>
    <w:rsid w:val="551D3E22"/>
    <w:rsid w:val="551F3ADD"/>
    <w:rsid w:val="55751470"/>
    <w:rsid w:val="55AF464C"/>
    <w:rsid w:val="55C26DB0"/>
    <w:rsid w:val="55E07638"/>
    <w:rsid w:val="55E66DDB"/>
    <w:rsid w:val="560C2A07"/>
    <w:rsid w:val="563077C6"/>
    <w:rsid w:val="563A251E"/>
    <w:rsid w:val="5651378C"/>
    <w:rsid w:val="565C1F74"/>
    <w:rsid w:val="567B6358"/>
    <w:rsid w:val="56CD0356"/>
    <w:rsid w:val="573E2C8E"/>
    <w:rsid w:val="57464959"/>
    <w:rsid w:val="57966590"/>
    <w:rsid w:val="57A80F1F"/>
    <w:rsid w:val="57C250CD"/>
    <w:rsid w:val="57D17353"/>
    <w:rsid w:val="57EB47D7"/>
    <w:rsid w:val="58940EA6"/>
    <w:rsid w:val="58A745BD"/>
    <w:rsid w:val="58FC17D8"/>
    <w:rsid w:val="59390453"/>
    <w:rsid w:val="59412F93"/>
    <w:rsid w:val="596A753E"/>
    <w:rsid w:val="59836980"/>
    <w:rsid w:val="598D717D"/>
    <w:rsid w:val="59DB34A5"/>
    <w:rsid w:val="59DD6D57"/>
    <w:rsid w:val="5A11444F"/>
    <w:rsid w:val="5A1A62BA"/>
    <w:rsid w:val="5A202D14"/>
    <w:rsid w:val="5A5E6FEE"/>
    <w:rsid w:val="5A780E60"/>
    <w:rsid w:val="5AB67BC0"/>
    <w:rsid w:val="5ABD25F5"/>
    <w:rsid w:val="5AC47F38"/>
    <w:rsid w:val="5AE3482C"/>
    <w:rsid w:val="5B110410"/>
    <w:rsid w:val="5B8D6933"/>
    <w:rsid w:val="5BAD5DB5"/>
    <w:rsid w:val="5BB44C0B"/>
    <w:rsid w:val="5C33638D"/>
    <w:rsid w:val="5C4464A4"/>
    <w:rsid w:val="5C666FAF"/>
    <w:rsid w:val="5C713B9F"/>
    <w:rsid w:val="5C7226DE"/>
    <w:rsid w:val="5C945C92"/>
    <w:rsid w:val="5CA8352B"/>
    <w:rsid w:val="5CAA121A"/>
    <w:rsid w:val="5CC16747"/>
    <w:rsid w:val="5CD17B32"/>
    <w:rsid w:val="5CED7F03"/>
    <w:rsid w:val="5D4E0D63"/>
    <w:rsid w:val="5D9064E3"/>
    <w:rsid w:val="5DA1314A"/>
    <w:rsid w:val="5DCC18DD"/>
    <w:rsid w:val="5E3B0298"/>
    <w:rsid w:val="5E547B2C"/>
    <w:rsid w:val="5F006B77"/>
    <w:rsid w:val="5F3673C4"/>
    <w:rsid w:val="5F4C2EE0"/>
    <w:rsid w:val="5F4D5752"/>
    <w:rsid w:val="5F711E6C"/>
    <w:rsid w:val="5F9E2966"/>
    <w:rsid w:val="5FC75223"/>
    <w:rsid w:val="5FCC0E64"/>
    <w:rsid w:val="5FCC2EBA"/>
    <w:rsid w:val="5FDF588C"/>
    <w:rsid w:val="5FE404A3"/>
    <w:rsid w:val="600C2E9A"/>
    <w:rsid w:val="601A2EBA"/>
    <w:rsid w:val="603D58F4"/>
    <w:rsid w:val="60644EBB"/>
    <w:rsid w:val="60893661"/>
    <w:rsid w:val="609453AD"/>
    <w:rsid w:val="60CB4552"/>
    <w:rsid w:val="60E52D9E"/>
    <w:rsid w:val="60EE376F"/>
    <w:rsid w:val="6118431B"/>
    <w:rsid w:val="611C3B9A"/>
    <w:rsid w:val="613B6DE6"/>
    <w:rsid w:val="6176003A"/>
    <w:rsid w:val="617C7665"/>
    <w:rsid w:val="61A2606A"/>
    <w:rsid w:val="61EA3517"/>
    <w:rsid w:val="61F34E34"/>
    <w:rsid w:val="61FB0E28"/>
    <w:rsid w:val="625859ED"/>
    <w:rsid w:val="63091660"/>
    <w:rsid w:val="630D6C77"/>
    <w:rsid w:val="637F0CC9"/>
    <w:rsid w:val="639D432A"/>
    <w:rsid w:val="63AA00CE"/>
    <w:rsid w:val="63AC1A31"/>
    <w:rsid w:val="64637862"/>
    <w:rsid w:val="647743EC"/>
    <w:rsid w:val="64931174"/>
    <w:rsid w:val="64D0514B"/>
    <w:rsid w:val="64D61CC2"/>
    <w:rsid w:val="65090347"/>
    <w:rsid w:val="65116D11"/>
    <w:rsid w:val="65143E54"/>
    <w:rsid w:val="651B0FA8"/>
    <w:rsid w:val="651B7001"/>
    <w:rsid w:val="651E0213"/>
    <w:rsid w:val="6538132E"/>
    <w:rsid w:val="654229A8"/>
    <w:rsid w:val="65577B31"/>
    <w:rsid w:val="661F281A"/>
    <w:rsid w:val="665F0915"/>
    <w:rsid w:val="669811DF"/>
    <w:rsid w:val="669B03C2"/>
    <w:rsid w:val="669E20D0"/>
    <w:rsid w:val="66AB21A4"/>
    <w:rsid w:val="66D478D1"/>
    <w:rsid w:val="670A7CEA"/>
    <w:rsid w:val="672B33F4"/>
    <w:rsid w:val="672F7A3B"/>
    <w:rsid w:val="6765510A"/>
    <w:rsid w:val="676807F4"/>
    <w:rsid w:val="67900CA7"/>
    <w:rsid w:val="679166C8"/>
    <w:rsid w:val="67B92AF5"/>
    <w:rsid w:val="67F764AE"/>
    <w:rsid w:val="6808075C"/>
    <w:rsid w:val="682041F0"/>
    <w:rsid w:val="685D6012"/>
    <w:rsid w:val="68881C78"/>
    <w:rsid w:val="68BF7818"/>
    <w:rsid w:val="68E43F16"/>
    <w:rsid w:val="69192C19"/>
    <w:rsid w:val="69224D70"/>
    <w:rsid w:val="69763FA3"/>
    <w:rsid w:val="697C3AD9"/>
    <w:rsid w:val="69DB133C"/>
    <w:rsid w:val="6A0548AF"/>
    <w:rsid w:val="6A396658"/>
    <w:rsid w:val="6A7E5DCC"/>
    <w:rsid w:val="6AA449A0"/>
    <w:rsid w:val="6ADC5EB8"/>
    <w:rsid w:val="6BEC234B"/>
    <w:rsid w:val="6BF24D4D"/>
    <w:rsid w:val="6C0A4383"/>
    <w:rsid w:val="6C425B3B"/>
    <w:rsid w:val="6D0903F9"/>
    <w:rsid w:val="6D970019"/>
    <w:rsid w:val="6DDC138F"/>
    <w:rsid w:val="6DDD105B"/>
    <w:rsid w:val="6DE547A4"/>
    <w:rsid w:val="6DED2DB3"/>
    <w:rsid w:val="6E116410"/>
    <w:rsid w:val="6E272B41"/>
    <w:rsid w:val="6E540848"/>
    <w:rsid w:val="6E743A34"/>
    <w:rsid w:val="6E762F66"/>
    <w:rsid w:val="6EDA75F6"/>
    <w:rsid w:val="6F345300"/>
    <w:rsid w:val="6F376CB0"/>
    <w:rsid w:val="6F3B13A9"/>
    <w:rsid w:val="6F58017B"/>
    <w:rsid w:val="6F8C55C2"/>
    <w:rsid w:val="70133765"/>
    <w:rsid w:val="707C4C46"/>
    <w:rsid w:val="70AB511A"/>
    <w:rsid w:val="70B5611C"/>
    <w:rsid w:val="71382996"/>
    <w:rsid w:val="717D50F2"/>
    <w:rsid w:val="71EA15AE"/>
    <w:rsid w:val="71F010C5"/>
    <w:rsid w:val="71F80774"/>
    <w:rsid w:val="72346B14"/>
    <w:rsid w:val="723B732C"/>
    <w:rsid w:val="72456A8C"/>
    <w:rsid w:val="724645D5"/>
    <w:rsid w:val="72524331"/>
    <w:rsid w:val="726222EF"/>
    <w:rsid w:val="72645038"/>
    <w:rsid w:val="727F150A"/>
    <w:rsid w:val="72AA268A"/>
    <w:rsid w:val="72BB2028"/>
    <w:rsid w:val="72E24FC8"/>
    <w:rsid w:val="72E43286"/>
    <w:rsid w:val="734C2308"/>
    <w:rsid w:val="736035B8"/>
    <w:rsid w:val="73A86BFD"/>
    <w:rsid w:val="73CC2843"/>
    <w:rsid w:val="73E30337"/>
    <w:rsid w:val="74465535"/>
    <w:rsid w:val="749218E1"/>
    <w:rsid w:val="74C13C71"/>
    <w:rsid w:val="750003AD"/>
    <w:rsid w:val="75051E92"/>
    <w:rsid w:val="751F6CE6"/>
    <w:rsid w:val="754360E2"/>
    <w:rsid w:val="75455030"/>
    <w:rsid w:val="757B0BF0"/>
    <w:rsid w:val="7585471D"/>
    <w:rsid w:val="75B67DE5"/>
    <w:rsid w:val="75EE293E"/>
    <w:rsid w:val="75F20FBA"/>
    <w:rsid w:val="76546942"/>
    <w:rsid w:val="765D5115"/>
    <w:rsid w:val="76906275"/>
    <w:rsid w:val="76C10112"/>
    <w:rsid w:val="76EB40B7"/>
    <w:rsid w:val="76FB563E"/>
    <w:rsid w:val="76FF7967"/>
    <w:rsid w:val="776C0423"/>
    <w:rsid w:val="776C7498"/>
    <w:rsid w:val="77814A0A"/>
    <w:rsid w:val="77AC1777"/>
    <w:rsid w:val="77F175D1"/>
    <w:rsid w:val="780249E8"/>
    <w:rsid w:val="78104FA2"/>
    <w:rsid w:val="781151BF"/>
    <w:rsid w:val="781D7BA7"/>
    <w:rsid w:val="78256105"/>
    <w:rsid w:val="78542E38"/>
    <w:rsid w:val="787142DD"/>
    <w:rsid w:val="78985F3D"/>
    <w:rsid w:val="79004A91"/>
    <w:rsid w:val="79325F08"/>
    <w:rsid w:val="79EA549E"/>
    <w:rsid w:val="79EC31CA"/>
    <w:rsid w:val="79F605B8"/>
    <w:rsid w:val="79F61EB2"/>
    <w:rsid w:val="7A0E76C4"/>
    <w:rsid w:val="7A115B00"/>
    <w:rsid w:val="7A350B7E"/>
    <w:rsid w:val="7A5A4D3B"/>
    <w:rsid w:val="7A737AD4"/>
    <w:rsid w:val="7A7C2D1A"/>
    <w:rsid w:val="7A964349"/>
    <w:rsid w:val="7AC450B7"/>
    <w:rsid w:val="7ADB720F"/>
    <w:rsid w:val="7B141557"/>
    <w:rsid w:val="7B5C27F8"/>
    <w:rsid w:val="7B790DE1"/>
    <w:rsid w:val="7BB35E60"/>
    <w:rsid w:val="7C2C2D2D"/>
    <w:rsid w:val="7C816BF4"/>
    <w:rsid w:val="7CCC1ED0"/>
    <w:rsid w:val="7D276F00"/>
    <w:rsid w:val="7D7C58C3"/>
    <w:rsid w:val="7D894643"/>
    <w:rsid w:val="7DB976CA"/>
    <w:rsid w:val="7DE94AE5"/>
    <w:rsid w:val="7DF44DB3"/>
    <w:rsid w:val="7E080A34"/>
    <w:rsid w:val="7E271FAB"/>
    <w:rsid w:val="7E3B567F"/>
    <w:rsid w:val="7E736BB3"/>
    <w:rsid w:val="7E756D2F"/>
    <w:rsid w:val="7EA211C2"/>
    <w:rsid w:val="7EC17485"/>
    <w:rsid w:val="7EFF4A83"/>
    <w:rsid w:val="7F210833"/>
    <w:rsid w:val="7F4027DF"/>
    <w:rsid w:val="7F9775B9"/>
    <w:rsid w:val="7FA94856"/>
    <w:rsid w:val="7FB12A57"/>
    <w:rsid w:val="7FC4122B"/>
    <w:rsid w:val="7FCD5D98"/>
    <w:rsid w:val="7FD472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pPr>
    <w:rPr>
      <w:sz w:val="28"/>
    </w:rPr>
  </w:style>
  <w:style w:type="paragraph" w:styleId="7">
    <w:name w:val="annotation text"/>
    <w:basedOn w:val="1"/>
    <w:link w:val="40"/>
    <w:qFormat/>
    <w:uiPriority w:val="0"/>
    <w:pPr>
      <w:jc w:val="left"/>
    </w:pPr>
  </w:style>
  <w:style w:type="paragraph" w:styleId="8">
    <w:name w:val="Salutation"/>
    <w:basedOn w:val="1"/>
    <w:next w:val="1"/>
    <w:link w:val="43"/>
    <w:qFormat/>
    <w:uiPriority w:val="0"/>
    <w:rPr>
      <w:rFonts w:ascii="仿宋_GB2312" w:eastAsia="仿宋_GB2312"/>
      <w:sz w:val="28"/>
      <w:szCs w:val="28"/>
    </w:rPr>
  </w:style>
  <w:style w:type="paragraph" w:styleId="9">
    <w:name w:val="Body Text"/>
    <w:basedOn w:val="1"/>
    <w:qFormat/>
    <w:uiPriority w:val="0"/>
    <w:rPr>
      <w:rFonts w:hint="eastAsia" w:ascii="仿宋_GB2312" w:eastAsia="仿宋_GB2312"/>
      <w:sz w:val="28"/>
      <w:szCs w:val="20"/>
    </w:rPr>
  </w:style>
  <w:style w:type="paragraph" w:styleId="10">
    <w:name w:val="Body Text Indent"/>
    <w:basedOn w:val="1"/>
    <w:qFormat/>
    <w:uiPriority w:val="0"/>
    <w:pPr>
      <w:ind w:left="1050"/>
    </w:pPr>
    <w:rPr>
      <w:szCs w:val="20"/>
    </w:rPr>
  </w:style>
  <w:style w:type="paragraph" w:styleId="11">
    <w:name w:val="Plain Text"/>
    <w:basedOn w:val="1"/>
    <w:qFormat/>
    <w:uiPriority w:val="0"/>
    <w:rPr>
      <w:rFonts w:ascii="宋体" w:hAnsi="Courier New"/>
      <w:sz w:val="21"/>
    </w:rPr>
  </w:style>
  <w:style w:type="paragraph" w:styleId="12">
    <w:name w:val="Date"/>
    <w:basedOn w:val="1"/>
    <w:next w:val="1"/>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Subtitle"/>
    <w:basedOn w:val="1"/>
    <w:next w:val="1"/>
    <w:qFormat/>
    <w:uiPriority w:val="0"/>
    <w:pPr>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18">
    <w:name w:val="footnote text"/>
    <w:basedOn w:val="1"/>
    <w:link w:val="38"/>
    <w:qFormat/>
    <w:uiPriority w:val="0"/>
    <w:pPr>
      <w:snapToGrid w:val="0"/>
      <w:jc w:val="left"/>
    </w:pPr>
    <w:rPr>
      <w:sz w:val="18"/>
      <w:szCs w:val="18"/>
    </w:rPr>
  </w:style>
  <w:style w:type="paragraph" w:styleId="19">
    <w:name w:val="toc 2"/>
    <w:basedOn w:val="1"/>
    <w:next w:val="1"/>
    <w:qFormat/>
    <w:uiPriority w:val="39"/>
    <w:pPr>
      <w:tabs>
        <w:tab w:val="right" w:leader="dot" w:pos="9890"/>
      </w:tabs>
      <w:spacing w:line="360" w:lineRule="auto"/>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18"/>
      <w:szCs w:val="18"/>
    </w:rPr>
  </w:style>
  <w:style w:type="paragraph" w:styleId="2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2">
    <w:name w:val="annotation subject"/>
    <w:basedOn w:val="7"/>
    <w:next w:val="7"/>
    <w:link w:val="35"/>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99"/>
    <w:rPr>
      <w:color w:val="0000FF"/>
      <w:u w:val="single"/>
    </w:rPr>
  </w:style>
  <w:style w:type="character" w:styleId="28">
    <w:name w:val="annotation reference"/>
    <w:qFormat/>
    <w:uiPriority w:val="0"/>
    <w:rPr>
      <w:sz w:val="21"/>
      <w:szCs w:val="21"/>
    </w:rPr>
  </w:style>
  <w:style w:type="character" w:styleId="29">
    <w:name w:val="footnote reference"/>
    <w:qFormat/>
    <w:uiPriority w:val="0"/>
    <w:rPr>
      <w:vertAlign w:val="superscript"/>
    </w:rPr>
  </w:style>
  <w:style w:type="paragraph" w:customStyle="1" w:styleId="30">
    <w:name w:val="列出段落1"/>
    <w:basedOn w:val="1"/>
    <w:qFormat/>
    <w:uiPriority w:val="34"/>
    <w:pPr>
      <w:ind w:firstLine="420" w:firstLineChars="200"/>
    </w:pPr>
    <w:rPr>
      <w:rFonts w:ascii="Calibri" w:hAnsi="Calibri" w:eastAsia="宋体" w:cs="Times New Roman"/>
      <w:szCs w:val="22"/>
    </w:rPr>
  </w:style>
  <w:style w:type="paragraph" w:customStyle="1" w:styleId="31">
    <w:name w:val="先河正文"/>
    <w:basedOn w:val="1"/>
    <w:qFormat/>
    <w:uiPriority w:val="0"/>
    <w:pPr>
      <w:ind w:firstLine="550" w:firstLineChars="200"/>
    </w:pPr>
    <w:rPr>
      <w:sz w:val="28"/>
      <w:lang w:bidi="he-IL"/>
    </w:rPr>
  </w:style>
  <w:style w:type="paragraph" w:customStyle="1" w:styleId="32">
    <w:name w:val="zw"/>
    <w:basedOn w:val="1"/>
    <w:qFormat/>
    <w:uiPriority w:val="0"/>
    <w:pPr>
      <w:autoSpaceDE w:val="0"/>
      <w:autoSpaceDN w:val="0"/>
      <w:adjustRightInd w:val="0"/>
      <w:spacing w:line="360" w:lineRule="auto"/>
      <w:ind w:firstLine="482"/>
      <w:textAlignment w:val="bottom"/>
    </w:pPr>
    <w:rPr>
      <w:rFonts w:ascii="Arial Narrow" w:hAnsi="Arial Narrow" w:eastAsia="仿宋_GB2312"/>
      <w:kern w:val="0"/>
      <w:sz w:val="24"/>
      <w:szCs w:val="20"/>
    </w:rPr>
  </w:style>
  <w:style w:type="paragraph" w:customStyle="1" w:styleId="33">
    <w:name w:val="报告正文 Char Char Char"/>
    <w:basedOn w:val="1"/>
    <w:qFormat/>
    <w:uiPriority w:val="0"/>
    <w:pPr>
      <w:adjustRightInd w:val="0"/>
      <w:snapToGrid w:val="0"/>
      <w:spacing w:line="336" w:lineRule="auto"/>
      <w:ind w:left="2603"/>
    </w:pPr>
    <w:rPr>
      <w:rFonts w:ascii="华文细黑" w:eastAsia="华文细黑" w:cs="宋体"/>
      <w:sz w:val="22"/>
      <w:szCs w:val="20"/>
    </w:rPr>
  </w:style>
  <w:style w:type="character" w:customStyle="1" w:styleId="34">
    <w:name w:val="font11"/>
    <w:basedOn w:val="25"/>
    <w:qFormat/>
    <w:uiPriority w:val="0"/>
    <w:rPr>
      <w:rFonts w:hint="eastAsia" w:ascii="仿宋" w:hAnsi="仿宋" w:eastAsia="仿宋" w:cs="仿宋"/>
      <w:color w:val="000000"/>
      <w:sz w:val="24"/>
      <w:szCs w:val="24"/>
      <w:u w:val="none"/>
      <w:vertAlign w:val="superscript"/>
    </w:rPr>
  </w:style>
  <w:style w:type="character" w:customStyle="1" w:styleId="35">
    <w:name w:val="批注主题 字符"/>
    <w:link w:val="22"/>
    <w:qFormat/>
    <w:uiPriority w:val="0"/>
    <w:rPr>
      <w:b/>
      <w:bCs/>
      <w:kern w:val="2"/>
      <w:sz w:val="21"/>
      <w:szCs w:val="24"/>
    </w:rPr>
  </w:style>
  <w:style w:type="character" w:customStyle="1" w:styleId="36">
    <w:name w:val="font131"/>
    <w:qFormat/>
    <w:uiPriority w:val="0"/>
    <w:rPr>
      <w:rFonts w:hint="default" w:ascii="Times New Roman" w:hAnsi="Times New Roman" w:cs="Times New Roman"/>
      <w:color w:val="000000"/>
      <w:sz w:val="22"/>
      <w:szCs w:val="22"/>
      <w:u w:val="none"/>
    </w:rPr>
  </w:style>
  <w:style w:type="character" w:customStyle="1" w:styleId="37">
    <w:name w:val="font01"/>
    <w:basedOn w:val="25"/>
    <w:qFormat/>
    <w:uiPriority w:val="0"/>
    <w:rPr>
      <w:rFonts w:hint="eastAsia" w:ascii="楷体" w:hAnsi="楷体" w:eastAsia="楷体" w:cs="楷体"/>
      <w:color w:val="000000"/>
      <w:sz w:val="20"/>
      <w:szCs w:val="20"/>
      <w:u w:val="none"/>
      <w:vertAlign w:val="superscript"/>
    </w:rPr>
  </w:style>
  <w:style w:type="character" w:customStyle="1" w:styleId="38">
    <w:name w:val="脚注文本 字符"/>
    <w:link w:val="18"/>
    <w:qFormat/>
    <w:uiPriority w:val="0"/>
    <w:rPr>
      <w:kern w:val="2"/>
      <w:sz w:val="18"/>
      <w:szCs w:val="18"/>
    </w:rPr>
  </w:style>
  <w:style w:type="character" w:customStyle="1" w:styleId="39">
    <w:name w:val="font71"/>
    <w:qFormat/>
    <w:uiPriority w:val="0"/>
    <w:rPr>
      <w:rFonts w:hint="eastAsia" w:ascii="宋体" w:hAnsi="宋体" w:eastAsia="宋体" w:cs="宋体"/>
      <w:color w:val="000000"/>
      <w:sz w:val="24"/>
      <w:szCs w:val="24"/>
      <w:u w:val="none"/>
    </w:rPr>
  </w:style>
  <w:style w:type="character" w:customStyle="1" w:styleId="40">
    <w:name w:val="批注文字 字符"/>
    <w:link w:val="7"/>
    <w:qFormat/>
    <w:uiPriority w:val="0"/>
    <w:rPr>
      <w:kern w:val="2"/>
      <w:sz w:val="21"/>
      <w:szCs w:val="24"/>
    </w:rPr>
  </w:style>
  <w:style w:type="character" w:customStyle="1" w:styleId="41">
    <w:name w:val="font21"/>
    <w:qFormat/>
    <w:uiPriority w:val="0"/>
    <w:rPr>
      <w:rFonts w:hint="eastAsia" w:ascii="宋体" w:hAnsi="宋体" w:eastAsia="宋体" w:cs="宋体"/>
      <w:color w:val="000000"/>
      <w:sz w:val="22"/>
      <w:szCs w:val="22"/>
      <w:u w:val="none"/>
    </w:rPr>
  </w:style>
  <w:style w:type="character" w:customStyle="1" w:styleId="42">
    <w:name w:val="font61"/>
    <w:qFormat/>
    <w:uiPriority w:val="0"/>
    <w:rPr>
      <w:rFonts w:hint="eastAsia" w:ascii="黑体" w:hAnsi="宋体" w:eastAsia="黑体" w:cs="黑体"/>
      <w:color w:val="000000"/>
      <w:sz w:val="40"/>
      <w:szCs w:val="40"/>
      <w:u w:val="none"/>
    </w:rPr>
  </w:style>
  <w:style w:type="character" w:customStyle="1" w:styleId="43">
    <w:name w:val="称呼 字符"/>
    <w:link w:val="8"/>
    <w:qFormat/>
    <w:uiPriority w:val="0"/>
    <w:rPr>
      <w:rFonts w:ascii="仿宋_GB2312" w:eastAsia="仿宋_GB2312"/>
      <w:kern w:val="2"/>
      <w:sz w:val="28"/>
      <w:szCs w:val="28"/>
      <w:lang w:bidi="ar-SA"/>
    </w:rPr>
  </w:style>
  <w:style w:type="character" w:customStyle="1" w:styleId="44">
    <w:name w:val="font51"/>
    <w:basedOn w:val="25"/>
    <w:qFormat/>
    <w:uiPriority w:val="0"/>
    <w:rPr>
      <w:rFonts w:hint="eastAsia" w:ascii="仿宋" w:hAnsi="仿宋" w:eastAsia="仿宋" w:cs="仿宋"/>
      <w:color w:val="000000"/>
      <w:sz w:val="24"/>
      <w:szCs w:val="24"/>
      <w:u w:val="none"/>
    </w:rPr>
  </w:style>
  <w:style w:type="character" w:customStyle="1" w:styleId="45">
    <w:name w:val="font81"/>
    <w:qFormat/>
    <w:uiPriority w:val="0"/>
    <w:rPr>
      <w:rFonts w:hint="default" w:ascii="Times New Roman" w:hAnsi="Times New Roman" w:cs="Times New Roman"/>
      <w:color w:val="000000"/>
      <w:sz w:val="24"/>
      <w:szCs w:val="24"/>
      <w:u w:val="none"/>
    </w:rPr>
  </w:style>
  <w:style w:type="character" w:customStyle="1" w:styleId="46">
    <w:name w:val="font31"/>
    <w:qFormat/>
    <w:uiPriority w:val="0"/>
    <w:rPr>
      <w:rFonts w:hint="default" w:ascii="Times New Roman" w:hAnsi="Times New Roman" w:cs="Times New Roman"/>
      <w:color w:val="000000"/>
      <w:sz w:val="24"/>
      <w:szCs w:val="24"/>
      <w:u w:val="none"/>
    </w:rPr>
  </w:style>
  <w:style w:type="character" w:customStyle="1" w:styleId="47">
    <w:name w:val="font4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10110</Words>
  <Characters>11462</Characters>
  <Lines>49</Lines>
  <Paragraphs>13</Paragraphs>
  <TotalTime>4</TotalTime>
  <ScaleCrop>false</ScaleCrop>
  <LinksUpToDate>false</LinksUpToDate>
  <CharactersWithSpaces>11750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2014-04-24T09:17:00Z</dcterms:created>
  <dc:creator>雨林木风</dc:creator>
  <cp:lastModifiedBy>〃o渐℡</cp:lastModifiedBy>
  <cp:lastPrinted>2021-07-28T08:39:00Z</cp:lastPrinted>
  <dcterms:modified xsi:type="dcterms:W3CDTF">2022-12-02T08:33:22Z</dcterms:modified>
  <dc:title>中国注册资产评估师声明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505B46DC30AF402DAD33591BA624F3CC</vt:lpwstr>
  </property>
</Properties>
</file>