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2"/>
        <w:tblW w:w="7941" w:type="dxa"/>
        <w:tblCellSpacing w:w="15" w:type="dxa"/>
        <w:tblInd w:w="10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14"/>
        <w:gridCol w:w="3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trPr>
        <w:tc>
          <w:tcPr>
            <w:tcW w:w="4584" w:type="dxa"/>
            <w:tcBorders>
              <w:top w:val="nil"/>
              <w:left w:val="nil"/>
              <w:bottom w:val="nil"/>
              <w:right w:val="nil"/>
              <w:tl2br w:val="nil"/>
              <w:tr2bl w:val="nil"/>
            </w:tcBorders>
            <w:tcMar>
              <w:top w:w="15" w:type="dxa"/>
              <w:left w:w="15" w:type="dxa"/>
              <w:bottom w:w="15" w:type="dxa"/>
              <w:right w:w="15" w:type="dxa"/>
            </w:tcMar>
            <w:vAlign w:val="center"/>
          </w:tcPr>
          <w:p>
            <w:pPr>
              <w:pStyle w:val="4"/>
              <w:ind w:left="0" w:firstLine="0" w:firstLineChars="0"/>
              <w:jc w:val="left"/>
              <w:rPr>
                <w:rFonts w:ascii="Times New Roman" w:hAnsi="Times New Roman" w:eastAsia="仿宋_GB2312"/>
                <w:b w:val="0"/>
                <w:bCs w:val="0"/>
                <w:sz w:val="24"/>
                <w:szCs w:val="24"/>
                <w:lang w:bidi="ar-SA"/>
              </w:rPr>
            </w:pPr>
          </w:p>
        </w:tc>
        <w:tc>
          <w:tcPr>
            <w:tcW w:w="3267" w:type="dxa"/>
            <w:vMerge w:val="restart"/>
            <w:tcBorders>
              <w:top w:val="nil"/>
              <w:left w:val="nil"/>
              <w:bottom w:val="nil"/>
              <w:right w:val="nil"/>
              <w:tl2br w:val="nil"/>
              <w:tr2bl w:val="nil"/>
            </w:tcBorders>
            <w:tcMar>
              <w:top w:w="15" w:type="dxa"/>
              <w:left w:w="15" w:type="dxa"/>
              <w:bottom w:w="15" w:type="dxa"/>
              <w:right w:w="15" w:type="dxa"/>
            </w:tcMar>
          </w:tcPr>
          <w:p>
            <w:pPr>
              <w:jc w:val="center"/>
              <w:rPr>
                <w:rFonts w:ascii="Times New Roman" w:hAnsi="Times New Roman"/>
                <w:sz w:val="24"/>
                <w:szCs w:val="24"/>
                <w:lang w:bidi="ar-SA"/>
              </w:rPr>
            </w:pPr>
            <w:r>
              <w:rPr>
                <w:rFonts w:ascii="宋体" w:hAnsi="宋体" w:eastAsia="宋体" w:cs="宋体"/>
                <w:sz w:val="24"/>
                <w:szCs w:val="24"/>
              </w:rPr>
              <w:drawing>
                <wp:anchor distT="0" distB="0" distL="114300" distR="114300" simplePos="0" relativeHeight="251661312" behindDoc="0" locked="0" layoutInCell="1" allowOverlap="1">
                  <wp:simplePos x="0" y="0"/>
                  <wp:positionH relativeFrom="column">
                    <wp:posOffset>891540</wp:posOffset>
                  </wp:positionH>
                  <wp:positionV relativeFrom="paragraph">
                    <wp:posOffset>97155</wp:posOffset>
                  </wp:positionV>
                  <wp:extent cx="1038860" cy="1038860"/>
                  <wp:effectExtent l="0" t="0" r="12700" b="12700"/>
                  <wp:wrapNone/>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8"/>
                          <a:stretch>
                            <a:fillRect/>
                          </a:stretch>
                        </pic:blipFill>
                        <pic:spPr>
                          <a:xfrm>
                            <a:off x="0" y="0"/>
                            <a:ext cx="1038860" cy="1038860"/>
                          </a:xfrm>
                          <a:prstGeom prst="rect">
                            <a:avLst/>
                          </a:prstGeom>
                          <a:noFill/>
                          <a:ln w="9525">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trPr>
        <w:tc>
          <w:tcPr>
            <w:tcW w:w="4584" w:type="dxa"/>
            <w:tcBorders>
              <w:top w:val="nil"/>
              <w:left w:val="nil"/>
              <w:bottom w:val="nil"/>
              <w:right w:val="nil"/>
              <w:tl2br w:val="nil"/>
              <w:tr2bl w:val="nil"/>
            </w:tcBorders>
            <w:tcMar>
              <w:top w:w="15" w:type="dxa"/>
              <w:left w:w="15" w:type="dxa"/>
              <w:bottom w:w="15" w:type="dxa"/>
              <w:right w:w="15" w:type="dxa"/>
            </w:tcMar>
            <w:vAlign w:val="center"/>
          </w:tcPr>
          <w:p>
            <w:pPr>
              <w:ind w:left="0" w:firstLine="0" w:firstLineChars="0"/>
              <w:rPr>
                <w:rFonts w:ascii="Times New Roman" w:hAnsi="Times New Roman"/>
                <w:b/>
                <w:bCs/>
                <w:lang w:bidi="ar-SA"/>
              </w:rPr>
            </w:pPr>
            <w:r>
              <w:rPr>
                <w:rFonts w:ascii="宋体" w:hAnsi="宋体" w:eastAsia="宋体" w:cs="宋体"/>
                <w:b/>
                <w:bCs/>
                <w:i w:val="0"/>
                <w:iCs w:val="0"/>
                <w:caps w:val="0"/>
                <w:color w:val="000000"/>
                <w:spacing w:val="0"/>
                <w:sz w:val="22"/>
                <w:szCs w:val="22"/>
                <w:shd w:val="clear" w:fill="FFFFFF"/>
              </w:rPr>
              <w:t>防伪码:20220921897240</w:t>
            </w:r>
          </w:p>
        </w:tc>
        <w:tc>
          <w:tcPr>
            <w:tcW w:w="3267" w:type="dxa"/>
            <w:vMerge w:val="continue"/>
            <w:tcBorders>
              <w:top w:val="nil"/>
              <w:left w:val="nil"/>
              <w:bottom w:val="nil"/>
              <w:right w:val="nil"/>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blCellSpacing w:w="15" w:type="dxa"/>
        </w:trPr>
        <w:tc>
          <w:tcPr>
            <w:tcW w:w="4584" w:type="dxa"/>
            <w:tcBorders>
              <w:top w:val="nil"/>
              <w:left w:val="nil"/>
              <w:bottom w:val="nil"/>
              <w:right w:val="nil"/>
              <w:tl2br w:val="nil"/>
              <w:tr2bl w:val="nil"/>
            </w:tcBorders>
            <w:tcMar>
              <w:top w:w="15" w:type="dxa"/>
              <w:left w:w="15" w:type="dxa"/>
              <w:bottom w:w="15" w:type="dxa"/>
              <w:right w:w="15" w:type="dxa"/>
            </w:tcMar>
            <w:vAlign w:val="center"/>
          </w:tcPr>
          <w:p>
            <w:pPr>
              <w:ind w:firstLine="0" w:firstLineChars="0"/>
              <w:rPr>
                <w:rFonts w:ascii="Times New Roman" w:hAnsi="Times New Roman"/>
                <w:sz w:val="48"/>
                <w:szCs w:val="24"/>
                <w:lang w:bidi="ar-SA"/>
              </w:rPr>
            </w:pPr>
          </w:p>
        </w:tc>
        <w:tc>
          <w:tcPr>
            <w:tcW w:w="3267" w:type="dxa"/>
            <w:vMerge w:val="continue"/>
            <w:tcBorders>
              <w:top w:val="nil"/>
              <w:left w:val="nil"/>
              <w:bottom w:val="nil"/>
              <w:right w:val="nil"/>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7" w:hRule="atLeast"/>
          <w:tblCellSpacing w:w="15" w:type="dxa"/>
        </w:trPr>
        <w:tc>
          <w:tcPr>
            <w:tcW w:w="7881" w:type="dxa"/>
            <w:gridSpan w:val="2"/>
            <w:tcBorders>
              <w:top w:val="nil"/>
              <w:left w:val="nil"/>
              <w:bottom w:val="nil"/>
              <w:right w:val="nil"/>
              <w:tl2br w:val="nil"/>
              <w:tr2bl w:val="nil"/>
            </w:tcBorders>
            <w:tcMar>
              <w:top w:w="15" w:type="dxa"/>
              <w:left w:w="15" w:type="dxa"/>
              <w:bottom w:w="15" w:type="dxa"/>
              <w:right w:w="15" w:type="dxa"/>
            </w:tcMar>
            <w:vAlign w:val="center"/>
          </w:tcPr>
          <w:p>
            <w:pPr>
              <w:spacing w:line="240" w:lineRule="auto"/>
              <w:ind w:right="232" w:rightChars="86" w:firstLine="0" w:firstLineChars="0"/>
              <w:jc w:val="center"/>
              <w:rPr>
                <w:rFonts w:ascii="Times New Roman" w:hAnsi="Times New Roman"/>
                <w:sz w:val="13"/>
                <w:szCs w:val="24"/>
                <w:lang w:bidi="ar-SA"/>
              </w:rPr>
            </w:pPr>
          </w:p>
          <w:p>
            <w:pPr>
              <w:spacing w:before="191" w:beforeLines="50" w:line="240" w:lineRule="auto"/>
              <w:ind w:right="232" w:rightChars="86" w:firstLine="0" w:firstLineChars="0"/>
              <w:jc w:val="center"/>
              <w:rPr>
                <w:rFonts w:ascii="Times New Roman" w:hAnsi="Times New Roman"/>
                <w:b/>
                <w:sz w:val="52"/>
                <w:szCs w:val="56"/>
              </w:rPr>
            </w:pPr>
            <w:r>
              <w:rPr>
                <w:rFonts w:ascii="Times New Roman" w:hAnsi="Times New Roman"/>
                <w:b/>
                <w:sz w:val="52"/>
                <w:szCs w:val="56"/>
              </w:rPr>
              <w:t>涉执房地产处置司法评估报告</w:t>
            </w:r>
          </w:p>
          <w:p>
            <w:pPr>
              <w:pBdr>
                <w:top w:val="none" w:color="auto" w:sz="0" w:space="0"/>
                <w:left w:val="none" w:color="auto" w:sz="0" w:space="0"/>
                <w:bottom w:val="none" w:color="auto" w:sz="0" w:space="0"/>
                <w:right w:val="none" w:color="auto" w:sz="0" w:space="0"/>
              </w:pBdr>
              <w:spacing w:before="50" w:beforeAutospacing="0" w:after="0" w:afterAutospacing="0" w:line="240" w:lineRule="auto"/>
              <w:ind w:left="43" w:right="232" w:rightChars="86" w:hanging="43" w:hangingChars="16"/>
              <w:jc w:val="center"/>
              <w:rPr>
                <w:rFonts w:ascii="Times New Roman" w:hAnsi="Times New Roman"/>
                <w:b/>
                <w:bCs w:val="0"/>
                <w:snapToGrid w:val="0"/>
                <w:vanish w:val="0"/>
                <w:kern w:val="0"/>
                <w:szCs w:val="28"/>
              </w:rPr>
            </w:pPr>
            <w:r>
              <w:rPr>
                <w:rFonts w:ascii="Times New Roman" w:hAnsi="Times New Roman"/>
                <w:b/>
                <w:bCs w:val="0"/>
                <w:snapToGrid w:val="0"/>
                <w:vanish w:val="0"/>
                <w:kern w:val="0"/>
                <w:szCs w:val="28"/>
              </w:rPr>
              <w:t>海南瑞寰房估报字</w:t>
            </w:r>
            <w:r>
              <w:rPr>
                <w:rFonts w:ascii="Times New Roman" w:hAnsi="Times New Roman"/>
                <w:b/>
                <w:bCs w:val="0"/>
                <w:snapToGrid w:val="0"/>
                <w:vanish w:val="0"/>
                <w:kern w:val="0"/>
                <w:szCs w:val="28"/>
              </w:rPr>
              <w:fldChar w:fldCharType="begin"/>
            </w:r>
            <w:r>
              <w:rPr>
                <w:rFonts w:ascii="Times New Roman" w:hAnsi="Times New Roman"/>
                <w:b/>
                <w:bCs w:val="0"/>
                <w:snapToGrid w:val="0"/>
                <w:vanish w:val="0"/>
                <w:kern w:val="0"/>
                <w:szCs w:val="28"/>
              </w:rPr>
              <w:instrText xml:space="preserve"> MergeField "报告文号" </w:instrText>
            </w:r>
            <w:r>
              <w:rPr>
                <w:rFonts w:ascii="Times New Roman" w:hAnsi="Times New Roman"/>
                <w:b/>
                <w:bCs w:val="0"/>
                <w:snapToGrid w:val="0"/>
                <w:vanish w:val="0"/>
                <w:kern w:val="0"/>
                <w:szCs w:val="28"/>
              </w:rPr>
              <w:fldChar w:fldCharType="separate"/>
            </w:r>
            <w:r>
              <w:rPr>
                <w:rFonts w:ascii="Times New Roman" w:hAnsi="Times New Roman"/>
                <w:b/>
                <w:bCs w:val="0"/>
                <w:snapToGrid w:val="0"/>
                <w:vanish w:val="0"/>
                <w:kern w:val="0"/>
                <w:szCs w:val="28"/>
              </w:rPr>
              <w:t>[2022]第09044号</w:t>
            </w:r>
            <w:r>
              <w:rPr>
                <w:rFonts w:ascii="Times New Roman" w:hAnsi="Times New Roman"/>
                <w:b/>
                <w:bCs w:val="0"/>
                <w:snapToGrid w:val="0"/>
                <w:vanish w:val="0"/>
                <w:kern w:val="0"/>
                <w:szCs w:val="28"/>
              </w:rPr>
              <w:fldChar w:fldCharType="end"/>
            </w:r>
          </w:p>
          <w:p>
            <w:pPr>
              <w:spacing w:line="240" w:lineRule="auto"/>
              <w:ind w:right="232" w:rightChars="86" w:firstLine="0" w:firstLineChars="0"/>
              <w:jc w:val="center"/>
              <w:rPr>
                <w:rFonts w:ascii="Times New Roman" w:hAnsi="Times New Roman"/>
                <w:sz w:val="13"/>
                <w:szCs w:val="24"/>
                <w:lang w:bidi="ar-SA"/>
              </w:rPr>
            </w:pPr>
          </w:p>
          <w:p>
            <w:pPr>
              <w:adjustRightInd w:val="0"/>
              <w:snapToGrid w:val="0"/>
              <w:spacing w:line="240" w:lineRule="auto"/>
              <w:ind w:left="1820" w:leftChars="100" w:right="232" w:rightChars="86" w:hanging="1550" w:hangingChars="500"/>
              <w:jc w:val="both"/>
              <w:rPr>
                <w:rFonts w:ascii="Times New Roman" w:hAnsi="Times New Roman"/>
                <w:b/>
                <w:snapToGrid w:val="0"/>
                <w:sz w:val="36"/>
              </w:rPr>
            </w:pPr>
            <w:r>
              <w:rPr>
                <w:rFonts w:ascii="Times New Roman" w:hAnsi="Times New Roman"/>
                <w:b/>
                <w:sz w:val="32"/>
                <w:szCs w:val="24"/>
                <w:lang w:bidi="ar-SA"/>
              </w:rPr>
              <w:t>项目名称：</w:t>
            </w:r>
            <w:r>
              <w:rPr>
                <w:rFonts w:ascii="Times New Roman" w:hAnsi="Times New Roman" w:eastAsia="仿宋_GB2312"/>
                <w:b/>
                <w:bCs w:val="0"/>
                <w:kern w:val="2"/>
                <w:sz w:val="32"/>
                <w:szCs w:val="24"/>
                <w:lang w:val="en-US" w:eastAsia="zh-CN"/>
              </w:rPr>
              <w:fldChar w:fldCharType="begin"/>
            </w:r>
            <w:r>
              <w:rPr>
                <w:rFonts w:ascii="Times New Roman" w:hAnsi="Times New Roman" w:eastAsia="仿宋_GB2312"/>
                <w:b/>
                <w:bCs w:val="0"/>
                <w:kern w:val="2"/>
                <w:sz w:val="32"/>
                <w:szCs w:val="24"/>
                <w:lang w:val="en-US" w:eastAsia="zh-CN"/>
              </w:rPr>
              <w:instrText xml:space="preserve">MERGEFIELD "</w:instrText>
            </w:r>
            <w:r>
              <w:rPr>
                <w:rFonts w:hint="eastAsia" w:ascii="Times New Roman" w:hAnsi="Times New Roman" w:eastAsia="仿宋_GB2312" w:cs="Times New Roman"/>
                <w:b/>
                <w:bCs w:val="0"/>
                <w:kern w:val="2"/>
                <w:sz w:val="32"/>
                <w:szCs w:val="24"/>
                <w:lang w:val="en-US" w:eastAsia="zh-CN"/>
              </w:rPr>
              <w:instrText xml:space="preserve">估价对象</w:instrText>
            </w:r>
            <w:r>
              <w:rPr>
                <w:rFonts w:ascii="Times New Roman" w:hAnsi="Times New Roman" w:eastAsia="仿宋_GB2312"/>
                <w:b/>
                <w:bCs w:val="0"/>
                <w:kern w:val="2"/>
                <w:sz w:val="32"/>
                <w:szCs w:val="24"/>
                <w:lang w:val="en-US" w:eastAsia="zh-CN"/>
              </w:rPr>
              <w:instrText xml:space="preserve">"  </w:instrText>
            </w:r>
            <w:r>
              <w:rPr>
                <w:rFonts w:ascii="Times New Roman" w:hAnsi="Times New Roman" w:eastAsia="仿宋_GB2312"/>
                <w:b/>
                <w:bCs w:val="0"/>
                <w:kern w:val="2"/>
                <w:sz w:val="32"/>
                <w:szCs w:val="24"/>
                <w:lang w:val="en-US" w:eastAsia="zh-CN"/>
              </w:rPr>
              <w:fldChar w:fldCharType="separate"/>
            </w:r>
            <w:r>
              <w:rPr>
                <w:rFonts w:ascii="Times New Roman" w:hAnsi="Times New Roman" w:eastAsia="仿宋_GB2312"/>
                <w:b/>
                <w:bCs w:val="0"/>
                <w:kern w:val="2"/>
                <w:sz w:val="32"/>
                <w:szCs w:val="24"/>
                <w:lang w:val="en-US" w:eastAsia="zh-CN"/>
              </w:rPr>
              <w:t>海口市秀英区长滨路81-2号永秀花园（二期）限价房七地块6#住宅楼7层702号房</w:t>
            </w:r>
            <w:r>
              <w:rPr>
                <w:rFonts w:ascii="Times New Roman" w:hAnsi="Times New Roman" w:eastAsia="仿宋_GB2312"/>
                <w:b/>
                <w:bCs w:val="0"/>
                <w:kern w:val="2"/>
                <w:sz w:val="32"/>
                <w:szCs w:val="24"/>
                <w:lang w:val="en-US" w:eastAsia="zh-CN"/>
              </w:rPr>
              <w:fldChar w:fldCharType="end"/>
            </w:r>
            <w:r>
              <w:rPr>
                <w:rFonts w:hint="eastAsia" w:ascii="Times New Roman" w:hAnsi="Times New Roman" w:eastAsia="仿宋_GB2312" w:cs="Times New Roman"/>
                <w:b/>
                <w:bCs w:val="0"/>
                <w:kern w:val="2"/>
                <w:sz w:val="32"/>
                <w:szCs w:val="24"/>
                <w:lang w:val="en-US" w:eastAsia="zh-CN"/>
              </w:rPr>
              <w:t>（建筑面积为</w:t>
            </w:r>
            <w:r>
              <w:rPr>
                <w:rFonts w:ascii="Times New Roman" w:hAnsi="Times New Roman" w:eastAsia="仿宋_GB2312"/>
                <w:b/>
                <w:bCs w:val="0"/>
                <w:kern w:val="2"/>
                <w:sz w:val="32"/>
                <w:szCs w:val="24"/>
                <w:lang w:val="en-US" w:eastAsia="zh-CN"/>
              </w:rPr>
              <w:fldChar w:fldCharType="begin"/>
            </w:r>
            <w:r>
              <w:rPr>
                <w:rFonts w:ascii="Times New Roman" w:hAnsi="Times New Roman" w:eastAsia="仿宋_GB2312"/>
                <w:b/>
                <w:bCs w:val="0"/>
                <w:kern w:val="2"/>
                <w:sz w:val="32"/>
                <w:szCs w:val="24"/>
                <w:lang w:val="en-US" w:eastAsia="zh-CN"/>
              </w:rPr>
              <w:instrText xml:space="preserve">MERGEFIELD "</w:instrText>
            </w:r>
            <w:r>
              <w:rPr>
                <w:rFonts w:hint="eastAsia" w:ascii="Times New Roman" w:hAnsi="Times New Roman" w:eastAsia="仿宋_GB2312" w:cs="Times New Roman"/>
                <w:b/>
                <w:bCs w:val="0"/>
                <w:kern w:val="2"/>
                <w:sz w:val="32"/>
                <w:szCs w:val="24"/>
                <w:lang w:val="en-US" w:eastAsia="zh-CN"/>
              </w:rPr>
              <w:instrText xml:space="preserve">房产状况描述建筑面积</w:instrText>
            </w:r>
            <w:r>
              <w:rPr>
                <w:rFonts w:ascii="Times New Roman" w:hAnsi="Times New Roman" w:eastAsia="仿宋_GB2312"/>
                <w:b/>
                <w:bCs w:val="0"/>
                <w:kern w:val="2"/>
                <w:sz w:val="32"/>
                <w:szCs w:val="24"/>
                <w:lang w:val="en-US" w:eastAsia="zh-CN"/>
              </w:rPr>
              <w:instrText xml:space="preserve">"  </w:instrText>
            </w:r>
            <w:r>
              <w:rPr>
                <w:rFonts w:ascii="Times New Roman" w:hAnsi="Times New Roman" w:eastAsia="仿宋_GB2312"/>
                <w:b/>
                <w:bCs w:val="0"/>
                <w:kern w:val="2"/>
                <w:sz w:val="32"/>
                <w:szCs w:val="24"/>
                <w:lang w:val="en-US" w:eastAsia="zh-CN"/>
              </w:rPr>
              <w:fldChar w:fldCharType="separate"/>
            </w:r>
            <w:r>
              <w:rPr>
                <w:rFonts w:ascii="Times New Roman" w:hAnsi="Times New Roman" w:eastAsia="仿宋_GB2312"/>
                <w:b/>
                <w:bCs w:val="0"/>
                <w:kern w:val="2"/>
                <w:sz w:val="32"/>
                <w:szCs w:val="24"/>
                <w:lang w:val="en-US" w:eastAsia="zh-CN"/>
              </w:rPr>
              <w:t>91.33</w:t>
            </w:r>
            <w:r>
              <w:rPr>
                <w:rFonts w:ascii="Times New Roman" w:hAnsi="Times New Roman" w:eastAsia="仿宋_GB2312"/>
                <w:b/>
                <w:bCs w:val="0"/>
                <w:kern w:val="2"/>
                <w:sz w:val="32"/>
                <w:szCs w:val="24"/>
                <w:lang w:val="en-US" w:eastAsia="zh-CN"/>
              </w:rPr>
              <w:fldChar w:fldCharType="end"/>
            </w:r>
            <w:r>
              <w:rPr>
                <w:rFonts w:hint="eastAsia" w:ascii="Times New Roman" w:hAnsi="Times New Roman" w:eastAsia="华文中宋" w:cs="Times New Roman"/>
                <w:b/>
                <w:bCs w:val="0"/>
                <w:kern w:val="2"/>
                <w:sz w:val="32"/>
                <w:szCs w:val="24"/>
                <w:lang w:val="en-US" w:eastAsia="zh-CN"/>
              </w:rPr>
              <w:t>㎡</w:t>
            </w:r>
            <w:r>
              <w:rPr>
                <w:rFonts w:hint="eastAsia" w:ascii="Times New Roman" w:hAnsi="Times New Roman" w:eastAsia="仿宋_GB2312" w:cs="Times New Roman"/>
                <w:b/>
                <w:bCs w:val="0"/>
                <w:kern w:val="2"/>
                <w:sz w:val="32"/>
                <w:szCs w:val="24"/>
                <w:lang w:val="en-US" w:eastAsia="zh-CN"/>
              </w:rPr>
              <w:t>）</w:t>
            </w:r>
            <w:r>
              <w:rPr>
                <w:rFonts w:ascii="Times New Roman" w:hAnsi="Times New Roman"/>
                <w:b/>
                <w:sz w:val="32"/>
                <w:szCs w:val="24"/>
                <w:lang w:bidi="ar-SA"/>
              </w:rPr>
              <w:t>涉执房地产处置司法评估</w:t>
            </w:r>
          </w:p>
          <w:p>
            <w:pPr>
              <w:spacing w:line="700" w:lineRule="atLeast"/>
              <w:ind w:left="97" w:leftChars="35" w:right="43" w:rightChars="16" w:hanging="3" w:firstLineChars="0"/>
              <w:rPr>
                <w:rFonts w:ascii="Times New Roman" w:hAnsi="Times New Roman"/>
                <w:b/>
                <w:bCs/>
                <w:snapToGrid w:val="0"/>
                <w:kern w:val="0"/>
                <w:sz w:val="32"/>
              </w:rPr>
            </w:pPr>
          </w:p>
          <w:p>
            <w:pPr>
              <w:spacing w:line="700" w:lineRule="atLeast"/>
              <w:ind w:left="97" w:leftChars="35" w:right="43" w:rightChars="16" w:hanging="3" w:firstLineChars="0"/>
              <w:rPr>
                <w:rFonts w:ascii="Times New Roman" w:hAnsi="Times New Roman"/>
                <w:b/>
                <w:bCs/>
                <w:snapToGrid w:val="0"/>
                <w:kern w:val="0"/>
                <w:sz w:val="32"/>
              </w:rPr>
            </w:pPr>
          </w:p>
          <w:p>
            <w:pPr>
              <w:adjustRightInd w:val="0"/>
              <w:snapToGrid w:val="0"/>
              <w:spacing w:line="540" w:lineRule="exact"/>
              <w:ind w:left="6" w:hanging="6" w:firstLineChars="0"/>
              <w:rPr>
                <w:rFonts w:ascii="Times New Roman" w:hAnsi="Times New Roman"/>
                <w:b/>
                <w:bCs/>
                <w:snapToGrid w:val="0"/>
                <w:spacing w:val="-10"/>
                <w:kern w:val="0"/>
                <w:sz w:val="32"/>
                <w:szCs w:val="30"/>
              </w:rPr>
            </w:pPr>
            <w:r>
              <w:rPr>
                <w:rFonts w:ascii="Times New Roman" w:hAnsi="Times New Roman"/>
                <w:b/>
                <w:bCs/>
                <w:snapToGrid w:val="0"/>
                <w:spacing w:val="-10"/>
                <w:kern w:val="0"/>
                <w:sz w:val="32"/>
                <w:szCs w:val="30"/>
              </w:rPr>
              <w:t>估价委托方：</w:t>
            </w:r>
            <w:r>
              <w:rPr>
                <w:rFonts w:ascii="Times New Roman" w:hAnsi="Times New Roman" w:eastAsia="仿宋_GB2312"/>
                <w:b/>
                <w:bCs/>
                <w:snapToGrid w:val="0"/>
                <w:spacing w:val="-10"/>
                <w:sz w:val="32"/>
                <w:szCs w:val="30"/>
                <w:lang w:val="en-US" w:eastAsia="zh-CN"/>
              </w:rPr>
              <w:fldChar w:fldCharType="begin"/>
            </w:r>
            <w:r>
              <w:rPr>
                <w:rFonts w:ascii="Times New Roman" w:hAnsi="Times New Roman" w:eastAsia="仿宋_GB2312"/>
                <w:b/>
                <w:bCs/>
                <w:snapToGrid w:val="0"/>
                <w:spacing w:val="-10"/>
                <w:sz w:val="32"/>
                <w:szCs w:val="30"/>
                <w:lang w:val="en-US" w:eastAsia="zh-CN"/>
              </w:rPr>
              <w:instrText xml:space="preserve"> MERGEFIELD </w:instrText>
            </w:r>
            <w:r>
              <w:rPr>
                <w:rFonts w:hint="eastAsia" w:ascii="Times New Roman" w:hAnsi="Times New Roman" w:eastAsia="仿宋_GB2312" w:cs="Times New Roman"/>
                <w:b/>
                <w:bCs/>
                <w:snapToGrid w:val="0"/>
                <w:spacing w:val="-10"/>
                <w:sz w:val="32"/>
                <w:szCs w:val="30"/>
                <w:lang w:val="en-US" w:eastAsia="zh-CN"/>
              </w:rPr>
              <w:instrText xml:space="preserve">委托方</w:instrText>
            </w:r>
            <w:r>
              <w:rPr>
                <w:rFonts w:ascii="Times New Roman" w:hAnsi="Times New Roman" w:eastAsia="仿宋_GB2312"/>
                <w:b/>
                <w:bCs/>
                <w:snapToGrid w:val="0"/>
                <w:spacing w:val="-10"/>
                <w:sz w:val="32"/>
                <w:szCs w:val="30"/>
                <w:lang w:val="en-US" w:eastAsia="zh-CN"/>
              </w:rPr>
              <w:instrText xml:space="preserve"> </w:instrText>
            </w:r>
            <w:r>
              <w:rPr>
                <w:rFonts w:ascii="Times New Roman" w:hAnsi="Times New Roman" w:eastAsia="仿宋_GB2312"/>
                <w:b/>
                <w:bCs/>
                <w:snapToGrid w:val="0"/>
                <w:spacing w:val="-10"/>
                <w:sz w:val="32"/>
                <w:szCs w:val="30"/>
                <w:lang w:val="en-US" w:eastAsia="zh-CN"/>
              </w:rPr>
              <w:fldChar w:fldCharType="separate"/>
            </w:r>
            <w:r>
              <w:rPr>
                <w:rFonts w:ascii="Times New Roman" w:hAnsi="Times New Roman" w:eastAsia="仿宋_GB2312"/>
                <w:b/>
                <w:bCs/>
                <w:snapToGrid w:val="0"/>
                <w:spacing w:val="-10"/>
                <w:sz w:val="32"/>
                <w:szCs w:val="30"/>
                <w:lang w:val="en-US" w:eastAsia="zh-CN"/>
              </w:rPr>
              <w:t>海南省第一中级人民法院</w:t>
            </w:r>
            <w:r>
              <w:rPr>
                <w:rFonts w:ascii="Times New Roman" w:hAnsi="Times New Roman" w:eastAsia="仿宋_GB2312"/>
                <w:b/>
                <w:bCs/>
                <w:snapToGrid w:val="0"/>
                <w:spacing w:val="-10"/>
                <w:sz w:val="32"/>
                <w:szCs w:val="30"/>
                <w:lang w:val="en-US" w:eastAsia="zh-CN"/>
              </w:rPr>
              <w:fldChar w:fldCharType="end"/>
            </w:r>
          </w:p>
          <w:p>
            <w:pPr>
              <w:adjustRightInd w:val="0"/>
              <w:snapToGrid w:val="0"/>
              <w:spacing w:line="540" w:lineRule="exact"/>
              <w:ind w:left="6" w:hanging="6" w:firstLineChars="0"/>
              <w:rPr>
                <w:rFonts w:ascii="Times New Roman" w:hAnsi="Times New Roman"/>
                <w:b/>
                <w:bCs/>
                <w:snapToGrid w:val="0"/>
                <w:kern w:val="0"/>
                <w:sz w:val="32"/>
                <w:szCs w:val="30"/>
              </w:rPr>
            </w:pPr>
            <w:r>
              <w:rPr>
                <w:rFonts w:ascii="Times New Roman" w:hAnsi="Times New Roman"/>
                <w:b/>
                <w:bCs/>
                <w:snapToGrid w:val="0"/>
                <w:kern w:val="0"/>
                <w:sz w:val="32"/>
                <w:szCs w:val="30"/>
              </w:rPr>
              <w:t>估价机构：海南瑞寰土地房地产资产评估咨询有限公司</w:t>
            </w:r>
          </w:p>
          <w:p>
            <w:pPr>
              <w:adjustRightInd w:val="0"/>
              <w:snapToGrid w:val="0"/>
              <w:spacing w:line="540" w:lineRule="exact"/>
              <w:ind w:left="6" w:hanging="6" w:firstLineChars="0"/>
              <w:rPr>
                <w:rFonts w:ascii="Times New Roman" w:hAnsi="Times New Roman"/>
                <w:b/>
                <w:bCs/>
                <w:snapToGrid w:val="0"/>
                <w:kern w:val="0"/>
                <w:sz w:val="32"/>
                <w:szCs w:val="30"/>
              </w:rPr>
            </w:pPr>
            <w:r>
              <w:rPr>
                <w:rFonts w:ascii="Times New Roman" w:hAnsi="Times New Roman"/>
                <w:b/>
                <w:bCs/>
                <w:snapToGrid w:val="0"/>
                <w:kern w:val="0"/>
                <w:sz w:val="32"/>
                <w:szCs w:val="30"/>
              </w:rPr>
              <w:t>估价目的：司法鉴定</w:t>
            </w:r>
          </w:p>
          <w:p>
            <w:pPr>
              <w:adjustRightInd w:val="0"/>
              <w:snapToGrid w:val="0"/>
              <w:spacing w:line="540" w:lineRule="exact"/>
              <w:ind w:left="6" w:hanging="6" w:firstLineChars="0"/>
              <w:rPr>
                <w:rFonts w:ascii="Times New Roman" w:hAnsi="Times New Roman"/>
                <w:b/>
                <w:bCs/>
                <w:snapToGrid w:val="0"/>
                <w:kern w:val="0"/>
                <w:sz w:val="32"/>
                <w:szCs w:val="30"/>
              </w:rPr>
            </w:pPr>
            <w:r>
              <w:rPr>
                <w:rFonts w:ascii="Times New Roman" w:hAnsi="Times New Roman"/>
                <w:b/>
                <w:bCs/>
                <w:snapToGrid w:val="0"/>
                <w:kern w:val="0"/>
                <w:sz w:val="32"/>
                <w:szCs w:val="30"/>
              </w:rPr>
              <w:t>价值时点：</w:t>
            </w:r>
            <w:r>
              <w:rPr>
                <w:rFonts w:ascii="Times New Roman" w:hAnsi="Times New Roman" w:eastAsia="仿宋_GB2312"/>
                <w:b/>
                <w:bCs/>
                <w:snapToGrid w:val="0"/>
                <w:sz w:val="32"/>
                <w:szCs w:val="30"/>
                <w:lang w:val="en-US" w:eastAsia="zh-CN"/>
              </w:rPr>
              <w:fldChar w:fldCharType="begin"/>
            </w:r>
            <w:r>
              <w:rPr>
                <w:rFonts w:ascii="Times New Roman" w:hAnsi="Times New Roman" w:eastAsia="仿宋_GB2312"/>
                <w:b/>
                <w:bCs/>
                <w:snapToGrid w:val="0"/>
                <w:sz w:val="32"/>
                <w:szCs w:val="30"/>
                <w:lang w:val="en-US" w:eastAsia="zh-CN"/>
              </w:rPr>
              <w:instrText xml:space="preserve"> MergeField "</w:instrText>
            </w:r>
            <w:r>
              <w:rPr>
                <w:rFonts w:hint="eastAsia" w:ascii="Times New Roman" w:hAnsi="Times New Roman" w:eastAsia="仿宋_GB2312" w:cs="Times New Roman"/>
                <w:b/>
                <w:bCs/>
                <w:snapToGrid w:val="0"/>
                <w:sz w:val="32"/>
                <w:szCs w:val="30"/>
                <w:lang w:val="en-US" w:eastAsia="zh-CN"/>
              </w:rPr>
              <w:instrText xml:space="preserve">基准日</w:instrText>
            </w:r>
            <w:r>
              <w:rPr>
                <w:rFonts w:ascii="Times New Roman" w:hAnsi="Times New Roman" w:eastAsia="仿宋_GB2312"/>
                <w:b/>
                <w:bCs/>
                <w:snapToGrid w:val="0"/>
                <w:sz w:val="32"/>
                <w:szCs w:val="30"/>
                <w:lang w:val="en-US" w:eastAsia="zh-CN"/>
              </w:rPr>
              <w:instrText xml:space="preserve">" </w:instrText>
            </w:r>
            <w:r>
              <w:rPr>
                <w:rFonts w:ascii="Times New Roman" w:hAnsi="Times New Roman" w:eastAsia="仿宋_GB2312"/>
                <w:b/>
                <w:bCs/>
                <w:snapToGrid w:val="0"/>
                <w:sz w:val="32"/>
                <w:szCs w:val="30"/>
                <w:lang w:val="en-US" w:eastAsia="zh-CN"/>
              </w:rPr>
              <w:fldChar w:fldCharType="separate"/>
            </w:r>
            <w:r>
              <w:rPr>
                <w:rFonts w:ascii="Times New Roman" w:hAnsi="Times New Roman" w:eastAsia="仿宋_GB2312"/>
                <w:b/>
                <w:bCs/>
                <w:snapToGrid w:val="0"/>
                <w:sz w:val="32"/>
                <w:szCs w:val="30"/>
                <w:lang w:val="en-US" w:eastAsia="zh-CN"/>
              </w:rPr>
              <w:t>2022年9月15日</w:t>
            </w:r>
            <w:r>
              <w:rPr>
                <w:rFonts w:ascii="Times New Roman" w:hAnsi="Times New Roman" w:eastAsia="仿宋_GB2312"/>
                <w:b/>
                <w:bCs/>
                <w:snapToGrid w:val="0"/>
                <w:sz w:val="32"/>
                <w:szCs w:val="30"/>
                <w:lang w:val="en-US" w:eastAsia="zh-CN"/>
              </w:rPr>
              <w:fldChar w:fldCharType="end"/>
            </w:r>
          </w:p>
          <w:p>
            <w:pPr>
              <w:adjustRightInd w:val="0"/>
              <w:snapToGrid w:val="0"/>
              <w:spacing w:line="540" w:lineRule="exact"/>
              <w:ind w:left="6" w:hanging="6" w:firstLineChars="0"/>
              <w:rPr>
                <w:rFonts w:ascii="Times New Roman" w:hAnsi="Times New Roman"/>
                <w:b/>
                <w:bCs/>
                <w:snapToGrid w:val="0"/>
                <w:kern w:val="0"/>
                <w:sz w:val="32"/>
                <w:szCs w:val="30"/>
              </w:rPr>
            </w:pPr>
            <w:r>
              <w:rPr>
                <w:rFonts w:ascii="Times New Roman" w:hAnsi="Times New Roman"/>
                <w:b/>
                <w:bCs/>
                <w:snapToGrid w:val="0"/>
                <w:kern w:val="0"/>
                <w:sz w:val="32"/>
                <w:szCs w:val="30"/>
              </w:rPr>
              <w:t>注册房地产估价师：翁运良(注册号：4620150008)</w:t>
            </w:r>
          </w:p>
          <w:p>
            <w:pPr>
              <w:adjustRightInd w:val="0"/>
              <w:snapToGrid w:val="0"/>
              <w:spacing w:line="540" w:lineRule="exact"/>
              <w:ind w:firstLine="2883" w:firstLineChars="930"/>
              <w:rPr>
                <w:rFonts w:ascii="Times New Roman" w:hAnsi="Times New Roman"/>
                <w:b/>
                <w:bCs/>
                <w:snapToGrid w:val="0"/>
                <w:kern w:val="0"/>
                <w:sz w:val="32"/>
                <w:szCs w:val="30"/>
              </w:rPr>
            </w:pPr>
            <w:r>
              <w:rPr>
                <w:rFonts w:ascii="Times New Roman" w:hAnsi="Times New Roman"/>
                <w:b/>
                <w:bCs/>
                <w:snapToGrid w:val="0"/>
                <w:kern w:val="0"/>
                <w:sz w:val="32"/>
                <w:szCs w:val="30"/>
              </w:rPr>
              <w:t>郑在乐(注册号：4620180022)</w:t>
            </w:r>
          </w:p>
          <w:p>
            <w:pPr>
              <w:adjustRightInd w:val="0"/>
              <w:snapToGrid w:val="0"/>
              <w:spacing w:line="540" w:lineRule="exact"/>
              <w:ind w:left="6" w:hanging="6" w:firstLineChars="0"/>
              <w:rPr>
                <w:rFonts w:ascii="Times New Roman" w:hAnsi="Times New Roman"/>
                <w:b/>
                <w:bCs/>
                <w:snapToGrid w:val="0"/>
                <w:kern w:val="0"/>
                <w:sz w:val="32"/>
                <w:szCs w:val="30"/>
              </w:rPr>
            </w:pPr>
            <w:r>
              <w:rPr>
                <w:rFonts w:ascii="Times New Roman" w:hAnsi="Times New Roman"/>
                <w:b/>
                <w:bCs/>
                <w:snapToGrid w:val="0"/>
                <w:kern w:val="0"/>
                <w:sz w:val="32"/>
                <w:szCs w:val="30"/>
              </w:rPr>
              <w:t>估价报告出具日期：</w:t>
            </w:r>
            <w:r>
              <w:rPr>
                <w:rFonts w:ascii="Times New Roman" w:hAnsi="Times New Roman" w:eastAsia="仿宋_GB2312"/>
                <w:b/>
                <w:bCs/>
                <w:snapToGrid w:val="0"/>
                <w:sz w:val="32"/>
                <w:szCs w:val="30"/>
                <w:lang w:val="en-US" w:eastAsia="zh-CN"/>
              </w:rPr>
              <w:fldChar w:fldCharType="begin"/>
            </w:r>
            <w:r>
              <w:rPr>
                <w:rFonts w:ascii="Times New Roman" w:hAnsi="Times New Roman" w:eastAsia="仿宋_GB2312"/>
                <w:b/>
                <w:bCs/>
                <w:snapToGrid w:val="0"/>
                <w:sz w:val="32"/>
                <w:szCs w:val="30"/>
                <w:lang w:val="en-US" w:eastAsia="zh-CN"/>
              </w:rPr>
              <w:instrText xml:space="preserve"> MergeField "</w:instrText>
            </w:r>
            <w:r>
              <w:rPr>
                <w:rFonts w:hint="eastAsia" w:ascii="Times New Roman" w:hAnsi="Times New Roman" w:eastAsia="仿宋_GB2312" w:cs="Times New Roman"/>
                <w:b/>
                <w:bCs/>
                <w:snapToGrid w:val="0"/>
                <w:sz w:val="32"/>
                <w:szCs w:val="30"/>
                <w:lang w:val="en-US" w:eastAsia="zh-CN"/>
              </w:rPr>
              <w:instrText xml:space="preserve">出具日</w:instrText>
            </w:r>
            <w:r>
              <w:rPr>
                <w:rFonts w:ascii="Times New Roman" w:hAnsi="Times New Roman" w:eastAsia="仿宋_GB2312"/>
                <w:b/>
                <w:bCs/>
                <w:snapToGrid w:val="0"/>
                <w:sz w:val="32"/>
                <w:szCs w:val="30"/>
                <w:lang w:val="en-US" w:eastAsia="zh-CN"/>
              </w:rPr>
              <w:instrText xml:space="preserve">" </w:instrText>
            </w:r>
            <w:r>
              <w:rPr>
                <w:rFonts w:ascii="Times New Roman" w:hAnsi="Times New Roman" w:eastAsia="仿宋_GB2312"/>
                <w:b/>
                <w:bCs/>
                <w:snapToGrid w:val="0"/>
                <w:sz w:val="32"/>
                <w:szCs w:val="30"/>
                <w:lang w:val="en-US" w:eastAsia="zh-CN"/>
              </w:rPr>
              <w:fldChar w:fldCharType="separate"/>
            </w:r>
            <w:r>
              <w:rPr>
                <w:rFonts w:ascii="Times New Roman" w:hAnsi="Times New Roman" w:eastAsia="仿宋_GB2312"/>
                <w:b/>
                <w:bCs/>
                <w:snapToGrid w:val="0"/>
                <w:sz w:val="32"/>
                <w:szCs w:val="30"/>
                <w:lang w:val="en-US" w:eastAsia="zh-CN"/>
              </w:rPr>
              <w:t>2022年9月23日</w:t>
            </w:r>
            <w:r>
              <w:rPr>
                <w:rFonts w:ascii="Times New Roman" w:hAnsi="Times New Roman" w:eastAsia="仿宋_GB2312"/>
                <w:b/>
                <w:bCs/>
                <w:snapToGrid w:val="0"/>
                <w:sz w:val="32"/>
                <w:szCs w:val="30"/>
                <w:lang w:val="en-US" w:eastAsia="zh-CN"/>
              </w:rPr>
              <w:fldChar w:fldCharType="end"/>
            </w:r>
          </w:p>
          <w:p>
            <w:pPr>
              <w:adjustRightInd w:val="0"/>
              <w:snapToGrid w:val="0"/>
              <w:spacing w:line="540" w:lineRule="exact"/>
              <w:ind w:left="6" w:hanging="6" w:firstLineChars="0"/>
              <w:rPr>
                <w:rFonts w:ascii="Times New Roman" w:hAnsi="Times New Roman"/>
                <w:b/>
                <w:bCs/>
                <w:snapToGrid w:val="0"/>
                <w:kern w:val="0"/>
                <w:sz w:val="32"/>
                <w:szCs w:val="30"/>
              </w:rPr>
            </w:pPr>
            <w:r>
              <w:rPr>
                <w:rFonts w:ascii="Times New Roman" w:hAnsi="Times New Roman"/>
                <w:b/>
                <w:bCs/>
                <w:snapToGrid w:val="0"/>
                <w:kern w:val="0"/>
                <w:sz w:val="32"/>
                <w:szCs w:val="30"/>
              </w:rPr>
              <w:t>地址：海口市国贸路48号新达商务大厦807室</w:t>
            </w:r>
          </w:p>
          <w:p>
            <w:pPr>
              <w:spacing w:line="540" w:lineRule="exact"/>
              <w:ind w:left="6" w:hanging="6" w:firstLineChars="0"/>
              <w:rPr>
                <w:rFonts w:ascii="Times New Roman" w:hAnsi="Times New Roman"/>
                <w:b/>
                <w:bCs/>
                <w:snapToGrid w:val="0"/>
                <w:kern w:val="0"/>
                <w:sz w:val="32"/>
                <w:szCs w:val="30"/>
              </w:rPr>
            </w:pPr>
            <w:r>
              <w:rPr>
                <w:rFonts w:ascii="Times New Roman" w:hAnsi="Times New Roman"/>
                <w:b/>
                <w:bCs/>
                <w:snapToGrid w:val="0"/>
                <w:kern w:val="0"/>
                <w:sz w:val="32"/>
                <w:szCs w:val="30"/>
              </w:rPr>
              <w:t>电话：0898-</w:t>
            </w:r>
            <w:r>
              <w:rPr>
                <w:rFonts w:ascii="Times New Roman" w:hAnsi="Times New Roman"/>
                <w:b/>
                <w:bCs/>
                <w:sz w:val="32"/>
                <w:szCs w:val="30"/>
              </w:rPr>
              <w:t>68597591</w:t>
            </w:r>
            <w:r>
              <w:rPr>
                <w:rFonts w:ascii="Times New Roman" w:hAnsi="Times New Roman"/>
                <w:b/>
                <w:bCs/>
                <w:snapToGrid w:val="0"/>
                <w:kern w:val="0"/>
                <w:sz w:val="32"/>
                <w:szCs w:val="30"/>
              </w:rPr>
              <w:t>、68536263</w:t>
            </w:r>
          </w:p>
          <w:p>
            <w:pPr>
              <w:adjustRightInd w:val="0"/>
              <w:snapToGrid w:val="0"/>
              <w:spacing w:line="540" w:lineRule="exact"/>
              <w:ind w:left="6" w:hanging="6" w:firstLineChars="0"/>
              <w:rPr>
                <w:rFonts w:ascii="Times New Roman" w:hAnsi="Times New Roman"/>
                <w:b/>
                <w:bCs/>
                <w:snapToGrid w:val="0"/>
                <w:kern w:val="0"/>
                <w:sz w:val="32"/>
              </w:rPr>
            </w:pPr>
            <w:r>
              <w:rPr>
                <w:rFonts w:ascii="Times New Roman" w:hAnsi="Times New Roman"/>
                <w:b/>
                <w:bCs/>
                <w:snapToGrid w:val="0"/>
                <w:kern w:val="0"/>
                <w:sz w:val="32"/>
                <w:szCs w:val="30"/>
              </w:rPr>
              <w:t>传真：0898-68521239、68580838</w:t>
            </w:r>
            <w:r>
              <w:rPr>
                <w:rFonts w:ascii="Times New Roman" w:hAnsi="Times New Roman"/>
                <w:b/>
                <w:bCs/>
                <w:snapToGrid w:val="0"/>
                <w:kern w:val="0"/>
                <w:sz w:val="32"/>
                <w:szCs w:val="30"/>
              </w:rPr>
              <w:tab/>
            </w:r>
          </w:p>
        </w:tc>
      </w:tr>
    </w:tbl>
    <w:p>
      <w:pPr>
        <w:ind w:firstLine="0" w:firstLineChars="0"/>
        <w:jc w:val="center"/>
        <w:rPr>
          <w:rFonts w:ascii="Times New Roman" w:hAnsi="Times New Roman"/>
          <w:b/>
          <w:bCs/>
          <w:sz w:val="32"/>
        </w:rPr>
      </w:pPr>
    </w:p>
    <w:p>
      <w:pPr>
        <w:pStyle w:val="2"/>
        <w:ind w:firstLine="0"/>
        <w:jc w:val="center"/>
        <w:rPr>
          <w:rFonts w:ascii="Times New Roman" w:hAnsi="Times New Roman" w:eastAsia="仿宋_GB2312"/>
          <w:b/>
          <w:bCs/>
          <w:sz w:val="32"/>
        </w:rPr>
        <w:sectPr>
          <w:headerReference r:id="rId6" w:type="first"/>
          <w:footerReference r:id="rId8" w:type="first"/>
          <w:headerReference r:id="rId5" w:type="default"/>
          <w:footerReference r:id="rId7" w:type="default"/>
          <w:pgSz w:w="11906" w:h="16838"/>
          <w:pgMar w:top="1155" w:right="1418" w:bottom="1418" w:left="1531" w:header="851" w:footer="624" w:gutter="0"/>
          <w:pgNumType w:start="1"/>
          <w:cols w:space="720" w:num="1"/>
          <w:docGrid w:type="linesAndChars" w:linePitch="381" w:charSpace="-2109"/>
        </w:sectPr>
      </w:pPr>
    </w:p>
    <w:p>
      <w:pPr>
        <w:pStyle w:val="2"/>
        <w:ind w:firstLine="0"/>
        <w:jc w:val="center"/>
        <w:rPr>
          <w:rFonts w:ascii="Times New Roman" w:hAnsi="Times New Roman" w:eastAsia="仿宋_GB2312"/>
        </w:rPr>
      </w:pPr>
      <w:r>
        <w:rPr>
          <w:rFonts w:ascii="Times New Roman" w:hAnsi="Times New Roman" w:eastAsia="仿宋_GB2312"/>
          <w:b/>
          <w:bCs/>
          <w:sz w:val="32"/>
        </w:rPr>
        <w:br w:type="page"/>
      </w:r>
      <w:bookmarkStart w:id="0" w:name="_Toc305778447"/>
      <w:bookmarkStart w:id="1" w:name="_Toc305778541"/>
      <w:bookmarkStart w:id="2" w:name="_Toc18195195"/>
      <w:bookmarkStart w:id="3" w:name="_Toc70149522"/>
      <w:bookmarkStart w:id="4" w:name="_Toc48573727"/>
      <w:bookmarkStart w:id="5" w:name="_Toc21662468"/>
      <w:bookmarkStart w:id="6" w:name="_Toc305778692"/>
      <w:bookmarkStart w:id="7" w:name="_Toc335404390"/>
      <w:bookmarkStart w:id="8" w:name="_Toc237161505"/>
      <w:bookmarkStart w:id="9" w:name="_Toc305778809"/>
      <w:r>
        <w:rPr>
          <w:rFonts w:ascii="Times New Roman" w:hAnsi="Times New Roman" w:eastAsia="仿宋_GB2312"/>
        </w:rPr>
        <w:t>致估价委托方函</w:t>
      </w:r>
      <w:bookmarkEnd w:id="0"/>
      <w:bookmarkEnd w:id="1"/>
      <w:bookmarkEnd w:id="2"/>
      <w:bookmarkEnd w:id="3"/>
      <w:bookmarkEnd w:id="4"/>
      <w:bookmarkEnd w:id="5"/>
      <w:bookmarkEnd w:id="6"/>
      <w:bookmarkEnd w:id="7"/>
      <w:bookmarkEnd w:id="8"/>
      <w:bookmarkEnd w:id="9"/>
    </w:p>
    <w:p>
      <w:pPr>
        <w:spacing w:before="191" w:beforeLines="50" w:line="460" w:lineRule="exact"/>
        <w:ind w:firstLine="0" w:firstLineChars="0"/>
        <w:rPr>
          <w:rFonts w:ascii="Times New Roman" w:hAnsi="Times New Roman"/>
          <w:b/>
        </w:rPr>
      </w:pPr>
      <w:r>
        <w:rPr>
          <w:rFonts w:ascii="Times New Roman" w:hAnsi="Times New Roman" w:eastAsia="仿宋_GB2312"/>
          <w:b/>
          <w:bCs w:val="0"/>
          <w:kern w:val="2"/>
          <w:sz w:val="28"/>
          <w:szCs w:val="20"/>
          <w:lang w:val="en-US" w:eastAsia="zh-CN"/>
        </w:rPr>
        <w:fldChar w:fldCharType="begin"/>
      </w:r>
      <w:r>
        <w:rPr>
          <w:rFonts w:ascii="Times New Roman" w:hAnsi="Times New Roman" w:eastAsia="仿宋_GB2312"/>
          <w:b/>
          <w:bCs w:val="0"/>
          <w:kern w:val="2"/>
          <w:sz w:val="28"/>
          <w:szCs w:val="20"/>
          <w:lang w:val="en-US" w:eastAsia="zh-CN"/>
        </w:rPr>
        <w:instrText xml:space="preserve"> MERGEFIELD </w:instrText>
      </w:r>
      <w:r>
        <w:rPr>
          <w:rFonts w:hint="eastAsia" w:ascii="Times New Roman" w:hAnsi="Times New Roman" w:eastAsia="仿宋_GB2312" w:cs="Times New Roman"/>
          <w:b/>
          <w:bCs w:val="0"/>
          <w:kern w:val="2"/>
          <w:sz w:val="28"/>
          <w:szCs w:val="20"/>
          <w:lang w:val="en-US" w:eastAsia="zh-CN"/>
        </w:rPr>
        <w:instrText xml:space="preserve">委托方</w:instrText>
      </w:r>
      <w:r>
        <w:rPr>
          <w:rFonts w:ascii="Times New Roman" w:hAnsi="Times New Roman" w:eastAsia="仿宋_GB2312"/>
          <w:b/>
          <w:bCs w:val="0"/>
          <w:kern w:val="2"/>
          <w:sz w:val="28"/>
          <w:szCs w:val="20"/>
          <w:lang w:val="en-US" w:eastAsia="zh-CN"/>
        </w:rPr>
        <w:instrText xml:space="preserve"> </w:instrText>
      </w:r>
      <w:r>
        <w:rPr>
          <w:rFonts w:ascii="Times New Roman" w:hAnsi="Times New Roman" w:eastAsia="仿宋_GB2312"/>
          <w:b/>
          <w:bCs w:val="0"/>
          <w:kern w:val="2"/>
          <w:sz w:val="28"/>
          <w:szCs w:val="20"/>
          <w:lang w:val="en-US" w:eastAsia="zh-CN"/>
        </w:rPr>
        <w:fldChar w:fldCharType="separate"/>
      </w:r>
      <w:r>
        <w:rPr>
          <w:rFonts w:ascii="Times New Roman" w:hAnsi="Times New Roman" w:eastAsia="仿宋_GB2312"/>
          <w:b/>
          <w:bCs w:val="0"/>
          <w:kern w:val="2"/>
          <w:sz w:val="28"/>
          <w:szCs w:val="20"/>
          <w:lang w:val="en-US" w:eastAsia="zh-CN"/>
        </w:rPr>
        <w:t>海南省第一中级人民法院</w:t>
      </w:r>
      <w:r>
        <w:rPr>
          <w:rFonts w:ascii="Times New Roman" w:hAnsi="Times New Roman" w:eastAsia="仿宋_GB2312"/>
          <w:b/>
          <w:bCs w:val="0"/>
          <w:kern w:val="2"/>
          <w:sz w:val="28"/>
          <w:szCs w:val="20"/>
          <w:lang w:val="en-US" w:eastAsia="zh-CN"/>
        </w:rPr>
        <w:fldChar w:fldCharType="end"/>
      </w:r>
      <w:r>
        <w:rPr>
          <w:rFonts w:ascii="Times New Roman" w:hAnsi="Times New Roman"/>
          <w:b/>
        </w:rPr>
        <w:t>：</w:t>
      </w:r>
    </w:p>
    <w:p>
      <w:pPr>
        <w:pBdr>
          <w:top w:val="none" w:color="auto" w:sz="0" w:space="0"/>
          <w:left w:val="none" w:color="auto" w:sz="0" w:space="0"/>
          <w:bottom w:val="none" w:color="auto" w:sz="0" w:space="0"/>
          <w:right w:val="none" w:color="auto" w:sz="0" w:space="0"/>
        </w:pBdr>
        <w:spacing w:line="560" w:lineRule="exact"/>
        <w:rPr>
          <w:rFonts w:ascii="Times New Roman" w:hAnsi="Times New Roman"/>
          <w:vanish w:val="0"/>
        </w:rPr>
      </w:pPr>
      <w:r>
        <w:rPr>
          <w:rFonts w:ascii="Times New Roman" w:hAnsi="Times New Roman"/>
          <w:vanish w:val="0"/>
        </w:rPr>
        <w:t>受贵院委托，我公司对位于</w:t>
      </w:r>
      <w:r>
        <w:rPr>
          <w:rFonts w:ascii="Times New Roman" w:hAnsi="Times New Roman"/>
          <w:vanish w:val="0"/>
        </w:rPr>
        <w:fldChar w:fldCharType="begin"/>
      </w:r>
      <w:r>
        <w:rPr>
          <w:rFonts w:ascii="Times New Roman" w:hAnsi="Times New Roman"/>
          <w:vanish w:val="0"/>
        </w:rPr>
        <w:instrText xml:space="preserve">MERGEFIELD "估价对象"  </w:instrText>
      </w:r>
      <w:r>
        <w:rPr>
          <w:rFonts w:ascii="Times New Roman" w:hAnsi="Times New Roman"/>
          <w:vanish w:val="0"/>
        </w:rPr>
        <w:fldChar w:fldCharType="separate"/>
      </w:r>
      <w:r>
        <w:rPr>
          <w:rFonts w:ascii="Times New Roman" w:hAnsi="Times New Roman"/>
          <w:vanish w:val="0"/>
        </w:rPr>
        <w:t>海口市秀英区长滨路81-2号永秀花园（二期）限价房七地块6#住宅楼7层702号房</w:t>
      </w:r>
      <w:r>
        <w:rPr>
          <w:rFonts w:ascii="Times New Roman" w:hAnsi="Times New Roman"/>
          <w:vanish w:val="0"/>
        </w:rPr>
        <w:fldChar w:fldCharType="end"/>
      </w:r>
      <w:r>
        <w:rPr>
          <w:rFonts w:ascii="Times New Roman" w:hAnsi="Times New Roman"/>
          <w:vanish w:val="0"/>
        </w:rPr>
        <w:t>的市场价值进行司法估价。</w:t>
      </w:r>
    </w:p>
    <w:p>
      <w:pPr>
        <w:pBdr>
          <w:top w:val="none" w:color="auto" w:sz="0" w:space="0"/>
          <w:left w:val="none" w:color="auto" w:sz="0" w:space="0"/>
          <w:bottom w:val="none" w:color="auto" w:sz="0" w:space="0"/>
          <w:right w:val="none" w:color="auto" w:sz="0" w:space="0"/>
        </w:pBdr>
        <w:spacing w:line="560" w:lineRule="exact"/>
        <w:rPr>
          <w:rFonts w:ascii="Times New Roman" w:hAnsi="Times New Roman"/>
          <w:vanish w:val="0"/>
        </w:rPr>
      </w:pPr>
      <w:r>
        <w:rPr>
          <w:rFonts w:ascii="Times New Roman" w:hAnsi="Times New Roman"/>
          <w:vanish w:val="0"/>
        </w:rPr>
        <w:t>受理估价委托之后，我公司与贵院确定了本次估价基本事项，并针对估价项目特点编制了估价作业方案。我公司估价人员在产权人的配合下对估价对象进行了实地查勘及估价资料搜集、检查，同时进行了相应的市场调查。我公司根据房地产估价的有关法律法规、技术规范，针对估价目的，遵从估价原则，按照估价程序要求，采用科学的估价方法，在对估价对象资料、房地产市场行情、房地产价值影响因素等详细分析的基础上，客观合理地测算估价对象价值，认真撰写并审核报告，最终形成了本估价项目的房地产估价报告。</w:t>
      </w:r>
    </w:p>
    <w:p>
      <w:pPr>
        <w:spacing w:line="560" w:lineRule="exact"/>
        <w:rPr>
          <w:rFonts w:ascii="Times New Roman" w:hAnsi="Times New Roman"/>
        </w:rPr>
      </w:pPr>
      <w:r>
        <w:rPr>
          <w:rFonts w:ascii="Times New Roman" w:hAnsi="Times New Roman"/>
        </w:rPr>
        <w:t>现特向</w:t>
      </w:r>
      <w:r>
        <w:rPr>
          <w:rFonts w:hint="eastAsia" w:ascii="Times New Roman" w:hAnsi="Times New Roman" w:eastAsia="仿宋_GB2312" w:cs="Times New Roman"/>
          <w:kern w:val="2"/>
          <w:sz w:val="28"/>
          <w:szCs w:val="20"/>
          <w:lang w:val="en-US" w:eastAsia="zh-CN"/>
        </w:rPr>
        <w:t>贵院</w:t>
      </w:r>
      <w:r>
        <w:rPr>
          <w:rFonts w:ascii="Times New Roman" w:hAnsi="Times New Roman"/>
        </w:rPr>
        <w:t>简要说明本报告的主要事项及由此形成的估价结果：</w:t>
      </w:r>
    </w:p>
    <w:p>
      <w:pPr>
        <w:pStyle w:val="16"/>
        <w:spacing w:line="560" w:lineRule="exact"/>
        <w:rPr>
          <w:rFonts w:ascii="Times New Roman" w:hAnsi="Times New Roman"/>
        </w:rPr>
      </w:pPr>
      <w:r>
        <w:rPr>
          <w:rFonts w:ascii="Times New Roman" w:hAnsi="Times New Roman"/>
          <w:b/>
        </w:rPr>
        <w:t>估价目的：</w:t>
      </w:r>
      <w:r>
        <w:rPr>
          <w:rStyle w:val="38"/>
          <w:rFonts w:ascii="Times New Roman" w:hAnsi="Times New Roman" w:cs="Times New Roman"/>
          <w:sz w:val="28"/>
          <w:szCs w:val="28"/>
          <w:lang w:val="en-US" w:eastAsia="zh-CN"/>
        </w:rPr>
        <w:t>为</w:t>
      </w:r>
      <w:r>
        <w:rPr>
          <w:rFonts w:ascii="Times New Roman" w:hAnsi="Times New Roman" w:eastAsia="仿宋_GB2312"/>
          <w:bCs/>
          <w:snapToGrid w:val="0"/>
          <w:kern w:val="2"/>
          <w:sz w:val="28"/>
          <w:szCs w:val="20"/>
          <w:lang w:val="en-US" w:eastAsia="zh-CN"/>
        </w:rPr>
        <w:fldChar w:fldCharType="begin"/>
      </w:r>
      <w:r>
        <w:rPr>
          <w:rFonts w:ascii="Times New Roman" w:hAnsi="Times New Roman" w:eastAsia="仿宋_GB2312"/>
          <w:bCs/>
          <w:snapToGrid w:val="0"/>
          <w:kern w:val="2"/>
          <w:sz w:val="28"/>
          <w:szCs w:val="20"/>
          <w:lang w:val="en-US" w:eastAsia="zh-CN"/>
        </w:rPr>
        <w:instrText xml:space="preserve"> MERGEFIELD </w:instrText>
      </w:r>
      <w:r>
        <w:rPr>
          <w:rFonts w:hint="eastAsia" w:ascii="Times New Roman" w:hAnsi="Times New Roman" w:eastAsia="仿宋_GB2312" w:cs="Times New Roman"/>
          <w:bCs/>
          <w:snapToGrid w:val="0"/>
          <w:kern w:val="2"/>
          <w:sz w:val="28"/>
          <w:szCs w:val="20"/>
          <w:lang w:val="en-US" w:eastAsia="zh-CN"/>
        </w:rPr>
        <w:instrText xml:space="preserve">委托方</w:instrText>
      </w:r>
      <w:r>
        <w:rPr>
          <w:rFonts w:ascii="Times New Roman" w:hAnsi="Times New Roman" w:eastAsia="仿宋_GB2312"/>
          <w:bCs/>
          <w:snapToGrid w:val="0"/>
          <w:kern w:val="2"/>
          <w:sz w:val="28"/>
          <w:szCs w:val="20"/>
          <w:lang w:val="en-US" w:eastAsia="zh-CN"/>
        </w:rPr>
        <w:instrText xml:space="preserve"> </w:instrText>
      </w:r>
      <w:r>
        <w:rPr>
          <w:rFonts w:ascii="Times New Roman" w:hAnsi="Times New Roman" w:eastAsia="仿宋_GB2312"/>
          <w:bCs/>
          <w:snapToGrid w:val="0"/>
          <w:kern w:val="2"/>
          <w:sz w:val="28"/>
          <w:szCs w:val="20"/>
          <w:lang w:val="en-US" w:eastAsia="zh-CN"/>
        </w:rPr>
        <w:fldChar w:fldCharType="separate"/>
      </w:r>
      <w:r>
        <w:rPr>
          <w:rFonts w:ascii="Times New Roman" w:hAnsi="Times New Roman" w:eastAsia="仿宋_GB2312"/>
          <w:bCs/>
          <w:snapToGrid w:val="0"/>
          <w:kern w:val="2"/>
          <w:sz w:val="28"/>
          <w:szCs w:val="20"/>
          <w:lang w:val="en-US" w:eastAsia="zh-CN"/>
        </w:rPr>
        <w:t>海南省第一中级人民法院</w:t>
      </w:r>
      <w:r>
        <w:rPr>
          <w:rFonts w:ascii="Times New Roman" w:hAnsi="Times New Roman" w:eastAsia="仿宋_GB2312"/>
          <w:bCs/>
          <w:snapToGrid w:val="0"/>
          <w:kern w:val="2"/>
          <w:sz w:val="28"/>
          <w:szCs w:val="20"/>
          <w:lang w:val="en-US" w:eastAsia="zh-CN"/>
        </w:rPr>
        <w:fldChar w:fldCharType="end"/>
      </w:r>
      <w:r>
        <w:rPr>
          <w:rFonts w:hint="eastAsia" w:ascii="Times New Roman" w:hAnsi="Times New Roman" w:eastAsia="仿宋_GB2312" w:cs="Times New Roman"/>
          <w:kern w:val="2"/>
          <w:sz w:val="28"/>
          <w:szCs w:val="28"/>
          <w:lang w:val="en-US" w:eastAsia="zh-CN"/>
        </w:rPr>
        <w:t>执行案件提供价值参考依据</w:t>
      </w:r>
      <w:r>
        <w:rPr>
          <w:rStyle w:val="29"/>
          <w:rFonts w:ascii="Times New Roman" w:hAnsi="Times New Roman"/>
        </w:rPr>
        <w:t>。</w:t>
      </w:r>
    </w:p>
    <w:p>
      <w:pPr>
        <w:pStyle w:val="16"/>
        <w:spacing w:line="560" w:lineRule="exact"/>
        <w:rPr>
          <w:rStyle w:val="29"/>
          <w:rFonts w:ascii="Times New Roman" w:hAnsi="Times New Roman"/>
        </w:rPr>
      </w:pPr>
      <w:r>
        <w:rPr>
          <w:rFonts w:ascii="Times New Roman" w:hAnsi="Times New Roman"/>
          <w:b/>
        </w:rPr>
        <w:t>估价对象：</w:t>
      </w:r>
      <w:r>
        <w:rPr>
          <w:rFonts w:ascii="Times New Roman" w:hAnsi="Times New Roman"/>
        </w:rPr>
        <w:fldChar w:fldCharType="begin"/>
      </w:r>
      <w:r>
        <w:rPr>
          <w:rFonts w:ascii="Times New Roman" w:hAnsi="Times New Roman"/>
        </w:rPr>
        <w:instrText xml:space="preserve">MERGEFIELD "估价对象"  </w:instrText>
      </w:r>
      <w:r>
        <w:rPr>
          <w:rFonts w:ascii="Times New Roman" w:hAnsi="Times New Roman"/>
        </w:rPr>
        <w:fldChar w:fldCharType="separate"/>
      </w:r>
      <w:r>
        <w:rPr>
          <w:rFonts w:ascii="Times New Roman" w:hAnsi="Times New Roman"/>
        </w:rPr>
        <w:t>海口市秀英区长滨路81-2号永秀花园（二期）限价房七地块6#住宅楼7层702号房</w:t>
      </w:r>
      <w:r>
        <w:rPr>
          <w:rFonts w:ascii="Times New Roman" w:hAnsi="Times New Roman"/>
        </w:rPr>
        <w:fldChar w:fldCharType="end"/>
      </w:r>
      <w:r>
        <w:rPr>
          <w:rFonts w:ascii="Times New Roman" w:hAnsi="Times New Roman"/>
        </w:rPr>
        <w:t>（建筑面积为</w:t>
      </w:r>
      <w:r>
        <w:rPr>
          <w:rFonts w:ascii="Times New Roman" w:hAnsi="Times New Roman"/>
        </w:rPr>
        <w:fldChar w:fldCharType="begin"/>
      </w:r>
      <w:r>
        <w:rPr>
          <w:rFonts w:ascii="Times New Roman" w:hAnsi="Times New Roman"/>
        </w:rPr>
        <w:instrText xml:space="preserve">MERGEFIELD "房产状况描述建筑面积"  </w:instrText>
      </w:r>
      <w:r>
        <w:rPr>
          <w:rFonts w:ascii="Times New Roman" w:hAnsi="Times New Roman"/>
        </w:rPr>
        <w:fldChar w:fldCharType="separate"/>
      </w:r>
      <w:r>
        <w:rPr>
          <w:rFonts w:ascii="Times New Roman" w:hAnsi="Times New Roman"/>
        </w:rPr>
        <w:t>91.33</w:t>
      </w:r>
      <w:r>
        <w:rPr>
          <w:rFonts w:ascii="Times New Roman" w:hAnsi="Times New Roman"/>
        </w:rPr>
        <w:fldChar w:fldCharType="end"/>
      </w:r>
      <w:r>
        <w:rPr>
          <w:rFonts w:ascii="Times New Roman" w:hAnsi="Times New Roman"/>
        </w:rPr>
        <w:t>㎡）。</w:t>
      </w:r>
    </w:p>
    <w:p>
      <w:pPr>
        <w:pStyle w:val="16"/>
        <w:spacing w:line="560" w:lineRule="exact"/>
        <w:rPr>
          <w:rFonts w:ascii="Times New Roman" w:hAnsi="Times New Roman"/>
        </w:rPr>
      </w:pPr>
      <w:r>
        <w:rPr>
          <w:rFonts w:ascii="Times New Roman" w:hAnsi="Times New Roman"/>
          <w:b/>
        </w:rPr>
        <w:t>价值时点：</w:t>
      </w:r>
      <w:r>
        <w:rPr>
          <w:rFonts w:ascii="Times New Roman" w:hAnsi="Times New Roman"/>
        </w:rPr>
        <w:fldChar w:fldCharType="begin"/>
      </w:r>
      <w:r>
        <w:rPr>
          <w:rFonts w:ascii="Times New Roman" w:hAnsi="Times New Roman"/>
        </w:rPr>
        <w:instrText xml:space="preserve"> MergeField "基准日" </w:instrText>
      </w:r>
      <w:r>
        <w:rPr>
          <w:rFonts w:ascii="Times New Roman" w:hAnsi="Times New Roman"/>
        </w:rPr>
        <w:fldChar w:fldCharType="separate"/>
      </w:r>
      <w:r>
        <w:rPr>
          <w:rFonts w:ascii="Times New Roman" w:hAnsi="Times New Roman"/>
        </w:rPr>
        <w:t>2022年9月15日</w:t>
      </w:r>
      <w:r>
        <w:rPr>
          <w:rFonts w:ascii="Times New Roman" w:hAnsi="Times New Roman"/>
        </w:rPr>
        <w:fldChar w:fldCharType="end"/>
      </w:r>
      <w:r>
        <w:rPr>
          <w:rFonts w:ascii="Times New Roman" w:hAnsi="Times New Roman"/>
        </w:rPr>
        <w:t>。</w:t>
      </w:r>
    </w:p>
    <w:p>
      <w:pPr>
        <w:pStyle w:val="16"/>
        <w:spacing w:line="560" w:lineRule="exact"/>
        <w:rPr>
          <w:rFonts w:ascii="Times New Roman" w:hAnsi="Times New Roman"/>
        </w:rPr>
      </w:pPr>
      <w:r>
        <w:rPr>
          <w:rFonts w:ascii="Times New Roman" w:hAnsi="Times New Roman"/>
          <w:b/>
        </w:rPr>
        <w:t>价值类型：</w:t>
      </w:r>
      <w:r>
        <w:rPr>
          <w:rFonts w:ascii="Times New Roman" w:hAnsi="Times New Roman"/>
        </w:rPr>
        <w:t>市场价值。</w:t>
      </w:r>
    </w:p>
    <w:p>
      <w:pPr>
        <w:pStyle w:val="16"/>
        <w:spacing w:line="560" w:lineRule="exact"/>
        <w:rPr>
          <w:rFonts w:ascii="Times New Roman" w:hAnsi="Times New Roman"/>
          <w:lang w:val="en-US" w:eastAsia="en-US"/>
        </w:rPr>
      </w:pPr>
      <w:r>
        <w:rPr>
          <w:rFonts w:ascii="Times New Roman" w:hAnsi="Times New Roman"/>
          <w:b/>
        </w:rPr>
        <w:t>估价方法：</w:t>
      </w:r>
      <w:r>
        <w:rPr>
          <w:rFonts w:ascii="Times New Roman" w:hAnsi="Times New Roman"/>
        </w:rPr>
        <w:t>比较法、收益法。</w:t>
      </w:r>
    </w:p>
    <w:p>
      <w:pPr>
        <w:pStyle w:val="16"/>
        <w:spacing w:line="560" w:lineRule="exact"/>
        <w:rPr>
          <w:rFonts w:ascii="Times New Roman" w:hAnsi="Times New Roman"/>
          <w:b/>
        </w:rPr>
      </w:pPr>
      <w:r>
        <w:rPr>
          <w:rFonts w:ascii="Times New Roman" w:hAnsi="Times New Roman"/>
          <w:b/>
        </w:rPr>
        <w:t>估价结果：</w:t>
      </w:r>
      <w:r>
        <w:rPr>
          <w:rFonts w:hint="eastAsia" w:ascii="Times New Roman" w:hAnsi="Times New Roman" w:eastAsia="仿宋_GB2312" w:cs="Times New Roman"/>
          <w:sz w:val="28"/>
          <w:szCs w:val="28"/>
          <w:lang w:val="en-US" w:eastAsia="zh-CN"/>
        </w:rPr>
        <w:t>估价人员</w:t>
      </w:r>
      <w:r>
        <w:rPr>
          <w:rFonts w:hint="eastAsia" w:ascii="Times New Roman" w:hAnsi="Times New Roman" w:eastAsia="仿宋_GB2312" w:cs="Times New Roman"/>
          <w:kern w:val="2"/>
          <w:sz w:val="28"/>
          <w:szCs w:val="28"/>
          <w:lang w:val="en-US" w:eastAsia="zh-CN"/>
        </w:rPr>
        <w:t>按照国家规定的技术标准和程序，本着独立、客观、公正、合法的估价原则，在合理的假设下，对位于</w:t>
      </w:r>
      <w:r>
        <w:rPr>
          <w:rFonts w:ascii="Times New Roman" w:hAnsi="Times New Roman" w:eastAsia="仿宋_GB2312"/>
          <w:kern w:val="2"/>
          <w:sz w:val="28"/>
          <w:szCs w:val="20"/>
          <w:lang w:val="en-US" w:eastAsia="zh-CN"/>
        </w:rPr>
        <w:fldChar w:fldCharType="begin"/>
      </w:r>
      <w:r>
        <w:rPr>
          <w:rFonts w:ascii="Times New Roman" w:hAnsi="Times New Roman" w:eastAsia="仿宋_GB2312"/>
          <w:kern w:val="2"/>
          <w:sz w:val="28"/>
          <w:szCs w:val="20"/>
          <w:lang w:val="en-US" w:eastAsia="zh-CN"/>
        </w:rPr>
        <w:instrText xml:space="preserve">MERGEFIELD "</w:instrText>
      </w:r>
      <w:r>
        <w:rPr>
          <w:rFonts w:hint="eastAsia" w:ascii="Times New Roman" w:hAnsi="Times New Roman" w:eastAsia="仿宋_GB2312" w:cs="Times New Roman"/>
          <w:kern w:val="2"/>
          <w:sz w:val="28"/>
          <w:szCs w:val="20"/>
          <w:lang w:val="en-US" w:eastAsia="zh-CN"/>
        </w:rPr>
        <w:instrText xml:space="preserve">估价对象</w:instrText>
      </w:r>
      <w:r>
        <w:rPr>
          <w:rFonts w:ascii="Times New Roman" w:hAnsi="Times New Roman" w:eastAsia="仿宋_GB2312"/>
          <w:kern w:val="2"/>
          <w:sz w:val="28"/>
          <w:szCs w:val="20"/>
          <w:lang w:val="en-US" w:eastAsia="zh-CN"/>
        </w:rPr>
        <w:instrText xml:space="preserve">"  </w:instrText>
      </w:r>
      <w:r>
        <w:rPr>
          <w:rFonts w:ascii="Times New Roman" w:hAnsi="Times New Roman" w:eastAsia="仿宋_GB2312"/>
          <w:kern w:val="2"/>
          <w:sz w:val="28"/>
          <w:szCs w:val="20"/>
          <w:lang w:val="en-US" w:eastAsia="zh-CN"/>
        </w:rPr>
        <w:fldChar w:fldCharType="separate"/>
      </w:r>
      <w:r>
        <w:rPr>
          <w:rFonts w:ascii="Times New Roman" w:hAnsi="Times New Roman" w:eastAsia="仿宋_GB2312"/>
          <w:kern w:val="2"/>
          <w:sz w:val="28"/>
          <w:szCs w:val="20"/>
          <w:lang w:val="en-US" w:eastAsia="zh-CN"/>
        </w:rPr>
        <w:t>海口市秀英区长滨路81-2号永秀花园（二期）限价房七地块6#住宅楼7层702号房</w:t>
      </w:r>
      <w:r>
        <w:rPr>
          <w:rFonts w:ascii="Times New Roman" w:hAnsi="Times New Roman" w:eastAsia="仿宋_GB2312"/>
          <w:kern w:val="2"/>
          <w:sz w:val="28"/>
          <w:szCs w:val="20"/>
          <w:lang w:val="en-US" w:eastAsia="zh-CN"/>
        </w:rPr>
        <w:fldChar w:fldCharType="end"/>
      </w:r>
      <w:r>
        <w:rPr>
          <w:rFonts w:ascii="Times New Roman" w:hAnsi="Times New Roman" w:eastAsia="仿宋_GB2312"/>
          <w:kern w:val="2"/>
          <w:sz w:val="28"/>
          <w:szCs w:val="20"/>
          <w:lang w:val="en-US" w:eastAsia="zh-CN"/>
        </w:rPr>
        <w:t>（</w:t>
      </w:r>
      <w:r>
        <w:rPr>
          <w:rFonts w:ascii="Times New Roman" w:hAnsi="Times New Roman"/>
        </w:rPr>
        <w:t>建筑面积为</w:t>
      </w:r>
      <w:r>
        <w:rPr>
          <w:rFonts w:ascii="Times New Roman" w:hAnsi="Times New Roman"/>
          <w:szCs w:val="20"/>
        </w:rPr>
        <w:fldChar w:fldCharType="begin"/>
      </w:r>
      <w:r>
        <w:rPr>
          <w:rFonts w:ascii="Times New Roman" w:hAnsi="Times New Roman"/>
          <w:szCs w:val="20"/>
        </w:rPr>
        <w:instrText xml:space="preserve">MERGEFIELD "房产状况描述建筑面积"  </w:instrText>
      </w:r>
      <w:r>
        <w:rPr>
          <w:rFonts w:ascii="Times New Roman" w:hAnsi="Times New Roman"/>
          <w:szCs w:val="20"/>
        </w:rPr>
        <w:fldChar w:fldCharType="separate"/>
      </w:r>
      <w:r>
        <w:rPr>
          <w:rFonts w:ascii="Times New Roman" w:hAnsi="Times New Roman"/>
          <w:szCs w:val="20"/>
        </w:rPr>
        <w:t>91.33</w:t>
      </w:r>
      <w:r>
        <w:rPr>
          <w:rFonts w:ascii="Times New Roman" w:hAnsi="Times New Roman"/>
          <w:szCs w:val="20"/>
        </w:rPr>
        <w:fldChar w:fldCharType="end"/>
      </w:r>
      <w:r>
        <w:rPr>
          <w:rFonts w:ascii="Times New Roman" w:hAnsi="Times New Roman"/>
        </w:rPr>
        <w:t>㎡）</w:t>
      </w:r>
      <w:r>
        <w:rPr>
          <w:rFonts w:hint="eastAsia" w:ascii="Times New Roman" w:hAnsi="Times New Roman" w:eastAsia="仿宋_GB2312" w:cs="Times New Roman"/>
          <w:kern w:val="2"/>
          <w:sz w:val="28"/>
          <w:szCs w:val="28"/>
          <w:lang w:val="en-US" w:eastAsia="zh-CN"/>
        </w:rPr>
        <w:t>，于鉴定价值时点</w:t>
      </w:r>
      <w:r>
        <w:rPr>
          <w:rFonts w:ascii="Times New Roman" w:hAnsi="Times New Roman" w:eastAsia="仿宋_GB2312"/>
          <w:kern w:val="2"/>
          <w:sz w:val="28"/>
          <w:szCs w:val="20"/>
          <w:lang w:val="en-US" w:eastAsia="zh-CN"/>
        </w:rPr>
        <w:fldChar w:fldCharType="begin"/>
      </w:r>
      <w:r>
        <w:rPr>
          <w:rFonts w:ascii="Times New Roman" w:hAnsi="Times New Roman" w:eastAsia="仿宋_GB2312"/>
          <w:kern w:val="2"/>
          <w:sz w:val="28"/>
          <w:szCs w:val="20"/>
          <w:lang w:val="en-US" w:eastAsia="zh-CN"/>
        </w:rPr>
        <w:instrText xml:space="preserve"> MergeField "</w:instrText>
      </w:r>
      <w:r>
        <w:rPr>
          <w:rFonts w:hint="eastAsia" w:ascii="Times New Roman" w:hAnsi="Times New Roman" w:eastAsia="仿宋_GB2312" w:cs="Times New Roman"/>
          <w:kern w:val="2"/>
          <w:sz w:val="28"/>
          <w:szCs w:val="20"/>
          <w:lang w:val="en-US" w:eastAsia="zh-CN"/>
        </w:rPr>
        <w:instrText xml:space="preserve">基准日</w:instrText>
      </w:r>
      <w:r>
        <w:rPr>
          <w:rFonts w:ascii="Times New Roman" w:hAnsi="Times New Roman" w:eastAsia="仿宋_GB2312"/>
          <w:kern w:val="2"/>
          <w:sz w:val="28"/>
          <w:szCs w:val="20"/>
          <w:lang w:val="en-US" w:eastAsia="zh-CN"/>
        </w:rPr>
        <w:instrText xml:space="preserve">" </w:instrText>
      </w:r>
      <w:r>
        <w:rPr>
          <w:rFonts w:ascii="Times New Roman" w:hAnsi="Times New Roman" w:eastAsia="仿宋_GB2312"/>
          <w:kern w:val="2"/>
          <w:sz w:val="28"/>
          <w:szCs w:val="20"/>
          <w:lang w:val="en-US" w:eastAsia="zh-CN"/>
        </w:rPr>
        <w:fldChar w:fldCharType="separate"/>
      </w:r>
      <w:r>
        <w:rPr>
          <w:rFonts w:ascii="Times New Roman" w:hAnsi="Times New Roman" w:eastAsia="仿宋_GB2312"/>
          <w:kern w:val="2"/>
          <w:sz w:val="28"/>
          <w:szCs w:val="20"/>
          <w:lang w:val="en-US" w:eastAsia="zh-CN"/>
        </w:rPr>
        <w:t>2022年9月15日</w:t>
      </w:r>
      <w:r>
        <w:rPr>
          <w:rFonts w:ascii="Times New Roman" w:hAnsi="Times New Roman" w:eastAsia="仿宋_GB2312"/>
          <w:kern w:val="2"/>
          <w:sz w:val="28"/>
          <w:szCs w:val="20"/>
          <w:lang w:val="en-US" w:eastAsia="zh-CN"/>
        </w:rPr>
        <w:fldChar w:fldCharType="end"/>
      </w:r>
      <w:r>
        <w:rPr>
          <w:rFonts w:hint="eastAsia" w:ascii="Times New Roman" w:hAnsi="Times New Roman" w:eastAsia="仿宋_GB2312" w:cs="Times New Roman"/>
          <w:kern w:val="2"/>
          <w:sz w:val="28"/>
          <w:szCs w:val="28"/>
          <w:lang w:val="en-US" w:eastAsia="zh-CN"/>
        </w:rPr>
        <w:t>的房地产市场价值进行了专业分析、测算和判断，结果如下</w:t>
      </w:r>
      <w:r>
        <w:rPr>
          <w:rFonts w:ascii="Times New Roman" w:hAnsi="Times New Roman"/>
        </w:rPr>
        <w:t>：</w:t>
      </w:r>
    </w:p>
    <w:p>
      <w:pPr>
        <w:spacing w:line="580" w:lineRule="exact"/>
        <w:rPr>
          <w:rFonts w:ascii="Times New Roman" w:hAnsi="Times New Roman"/>
        </w:rPr>
      </w:pPr>
      <w:r>
        <w:rPr>
          <w:rFonts w:ascii="Times New Roman" w:hAnsi="Times New Roman"/>
        </w:rPr>
        <w:t>市场价值小写金额：￥</w:t>
      </w:r>
      <w:r>
        <w:rPr>
          <w:rFonts w:ascii="Times New Roman" w:hAnsi="Times New Roman"/>
        </w:rPr>
        <w:fldChar w:fldCharType="begin"/>
      </w:r>
      <w:r>
        <w:rPr>
          <w:rFonts w:ascii="Times New Roman" w:hAnsi="Times New Roman"/>
        </w:rPr>
        <w:instrText xml:space="preserve">MERGEFIELD "评估总价"  </w:instrText>
      </w:r>
      <w:r>
        <w:rPr>
          <w:rFonts w:ascii="Times New Roman" w:hAnsi="Times New Roman"/>
        </w:rPr>
        <w:fldChar w:fldCharType="separate"/>
      </w:r>
      <w:r>
        <w:rPr>
          <w:rFonts w:ascii="Times New Roman" w:hAnsi="Times New Roman"/>
        </w:rPr>
        <w:t>128.7753</w:t>
      </w:r>
      <w:r>
        <w:rPr>
          <w:rFonts w:ascii="Times New Roman" w:hAnsi="Times New Roman"/>
        </w:rPr>
        <w:fldChar w:fldCharType="end"/>
      </w:r>
      <w:r>
        <w:rPr>
          <w:rFonts w:ascii="Times New Roman" w:hAnsi="Times New Roman"/>
        </w:rPr>
        <w:t>万元；</w:t>
      </w:r>
    </w:p>
    <w:p>
      <w:pPr>
        <w:spacing w:line="580" w:lineRule="exact"/>
        <w:rPr>
          <w:rFonts w:ascii="Times New Roman" w:hAnsi="Times New Roman"/>
        </w:rPr>
      </w:pPr>
      <w:r>
        <w:rPr>
          <w:rFonts w:ascii="Times New Roman" w:hAnsi="Times New Roman"/>
        </w:rPr>
        <w:t>市场价值大写金额：人民币</w:t>
      </w:r>
      <w:r>
        <w:rPr>
          <w:rFonts w:ascii="Times New Roman" w:hAnsi="Times New Roman"/>
        </w:rPr>
        <w:fldChar w:fldCharType="begin"/>
      </w:r>
      <w:r>
        <w:rPr>
          <w:rFonts w:ascii="Times New Roman" w:hAnsi="Times New Roman"/>
        </w:rPr>
        <w:instrText xml:space="preserve">MERGEFIELD "评估总价大写"  </w:instrText>
      </w:r>
      <w:r>
        <w:rPr>
          <w:rFonts w:ascii="Times New Roman" w:hAnsi="Times New Roman"/>
        </w:rPr>
        <w:fldChar w:fldCharType="separate"/>
      </w:r>
      <w:r>
        <w:rPr>
          <w:rFonts w:ascii="Times New Roman" w:hAnsi="Times New Roman"/>
        </w:rPr>
        <w:t>壹佰贰拾捌万柒仟柒佰伍拾叁</w:t>
      </w:r>
      <w:r>
        <w:rPr>
          <w:rFonts w:ascii="Times New Roman" w:hAnsi="Times New Roman"/>
        </w:rPr>
        <w:fldChar w:fldCharType="end"/>
      </w:r>
      <w:r>
        <w:rPr>
          <w:rFonts w:ascii="Times New Roman" w:hAnsi="Times New Roman"/>
        </w:rPr>
        <w:t>元整；</w:t>
      </w:r>
    </w:p>
    <w:p>
      <w:pPr>
        <w:spacing w:line="580" w:lineRule="exact"/>
        <w:rPr>
          <w:rFonts w:ascii="Times New Roman" w:hAnsi="Times New Roman"/>
        </w:rPr>
      </w:pPr>
      <w:r>
        <w:rPr>
          <w:rFonts w:ascii="Times New Roman" w:hAnsi="Times New Roman"/>
        </w:rPr>
        <w:t>市场价值单价：￥</w:t>
      </w:r>
      <w:r>
        <w:rPr>
          <w:rFonts w:ascii="Times New Roman" w:hAnsi="Times New Roman"/>
        </w:rPr>
        <w:fldChar w:fldCharType="begin"/>
      </w:r>
      <w:r>
        <w:rPr>
          <w:rFonts w:ascii="Times New Roman" w:hAnsi="Times New Roman"/>
        </w:rPr>
        <w:instrText xml:space="preserve">MERGEFIELD "评估结果单价"  </w:instrText>
      </w:r>
      <w:r>
        <w:rPr>
          <w:rFonts w:ascii="Times New Roman" w:hAnsi="Times New Roman"/>
        </w:rPr>
        <w:fldChar w:fldCharType="separate"/>
      </w:r>
      <w:r>
        <w:rPr>
          <w:rFonts w:ascii="Times New Roman" w:hAnsi="Times New Roman"/>
        </w:rPr>
        <w:t>14,100.00</w:t>
      </w:r>
      <w:r>
        <w:rPr>
          <w:rFonts w:ascii="Times New Roman" w:hAnsi="Times New Roman"/>
        </w:rPr>
        <w:fldChar w:fldCharType="end"/>
      </w:r>
      <w:r>
        <w:rPr>
          <w:rFonts w:ascii="Times New Roman" w:hAnsi="Times New Roman"/>
        </w:rPr>
        <w:t>元/㎡。</w:t>
      </w:r>
    </w:p>
    <w:p>
      <w:pPr>
        <w:pStyle w:val="28"/>
        <w:rPr>
          <w:rFonts w:ascii="Times New Roman" w:hAnsi="Times New Roman"/>
        </w:rPr>
      </w:pPr>
      <w:r>
        <w:rPr>
          <w:rFonts w:ascii="Times New Roman" w:hAnsi="Times New Roman"/>
        </w:rPr>
        <w:t>特别提示（上述估价结果务必结合估价假设与限制条件使用）：</w:t>
      </w:r>
    </w:p>
    <w:p>
      <w:r>
        <w:rPr>
          <w:rFonts w:hint="eastAsia" w:ascii="Times New Roman" w:hAnsi="Times New Roman"/>
          <w:vanish w:val="0"/>
        </w:rPr>
        <w:t>1、</w:t>
      </w:r>
      <w:r>
        <w:rPr>
          <w:rFonts w:hint="eastAsia" w:ascii="仿宋_GB2312" w:eastAsia="仿宋_GB2312" w:cs="Times New Roman"/>
          <w:kern w:val="2"/>
          <w:sz w:val="28"/>
          <w:szCs w:val="28"/>
        </w:rPr>
        <w:t>上述房地产市场价格是交易税费按照法律法规规定，转让方和受让方各自负担税费情况下的价格。</w:t>
      </w:r>
    </w:p>
    <w:p>
      <w:pPr>
        <w:pStyle w:val="28"/>
        <w:pBdr>
          <w:top w:val="none" w:color="auto" w:sz="0" w:space="0"/>
          <w:left w:val="none" w:color="auto" w:sz="0" w:space="0"/>
          <w:bottom w:val="none" w:color="auto" w:sz="0" w:space="0"/>
          <w:right w:val="none" w:color="auto" w:sz="0" w:space="0"/>
        </w:pBdr>
        <w:spacing w:line="460" w:lineRule="exact"/>
        <w:rPr>
          <w:rFonts w:ascii="Times New Roman" w:hAnsi="Times New Roman"/>
          <w:vanish w:val="0"/>
        </w:rPr>
      </w:pPr>
      <w:r>
        <w:rPr>
          <w:rFonts w:ascii="Times New Roman" w:hAnsi="Times New Roman"/>
          <w:vanish w:val="0"/>
        </w:rPr>
        <w:t>2、因财产拍卖（或者变卖）日期与价值时点不一致，评估对象状况或者房地产市场状况的变化会对评估结果产生影响。</w:t>
      </w:r>
    </w:p>
    <w:p>
      <w:pPr>
        <w:pStyle w:val="28"/>
        <w:pBdr>
          <w:top w:val="none" w:color="auto" w:sz="0" w:space="0"/>
          <w:left w:val="none" w:color="auto" w:sz="0" w:space="0"/>
          <w:bottom w:val="none" w:color="auto" w:sz="0" w:space="0"/>
          <w:right w:val="none" w:color="auto" w:sz="0" w:space="0"/>
        </w:pBdr>
        <w:spacing w:line="460" w:lineRule="exact"/>
        <w:rPr>
          <w:rFonts w:ascii="Times New Roman" w:hAnsi="Times New Roman"/>
          <w:vanish w:val="0"/>
        </w:rPr>
      </w:pPr>
      <w:r>
        <w:rPr>
          <w:rFonts w:ascii="Times New Roman" w:hAnsi="Times New Roman"/>
          <w:vanish w:val="0"/>
        </w:rPr>
        <w:t>3、在评估结果有效期内，评估对象状况或者房地产市场发生明显变化的，评估结果应当进行相应调整。</w:t>
      </w:r>
    </w:p>
    <w:p>
      <w:pPr>
        <w:pStyle w:val="28"/>
        <w:pBdr>
          <w:top w:val="none" w:color="auto" w:sz="0" w:space="0"/>
          <w:left w:val="none" w:color="auto" w:sz="0" w:space="0"/>
          <w:bottom w:val="none" w:color="auto" w:sz="0" w:space="0"/>
          <w:right w:val="none" w:color="auto" w:sz="0" w:space="0"/>
        </w:pBdr>
        <w:spacing w:line="460" w:lineRule="exact"/>
        <w:rPr>
          <w:rFonts w:ascii="Times New Roman" w:hAnsi="Times New Roman"/>
          <w:vanish w:val="0"/>
        </w:rPr>
      </w:pPr>
      <w:r>
        <w:rPr>
          <w:rFonts w:ascii="Times New Roman" w:hAnsi="Times New Roman"/>
          <w:vanish w:val="0"/>
        </w:rPr>
        <w:t>4、估价委托方或者评估报告使用人应当按照法律规定和评估报告载明的使用范围使用评估报告，违反该规定使用评估报告的，房地产估价机构和注册房地产估价师依法不承担责任。</w:t>
      </w:r>
    </w:p>
    <w:p>
      <w:pPr>
        <w:pStyle w:val="28"/>
        <w:pBdr>
          <w:top w:val="none" w:color="auto" w:sz="0" w:space="0"/>
          <w:left w:val="none" w:color="auto" w:sz="0" w:space="0"/>
          <w:bottom w:val="none" w:color="auto" w:sz="0" w:space="0"/>
          <w:right w:val="none" w:color="auto" w:sz="0" w:space="0"/>
        </w:pBdr>
        <w:spacing w:line="460" w:lineRule="exact"/>
        <w:rPr>
          <w:rFonts w:ascii="Times New Roman" w:hAnsi="Times New Roman"/>
          <w:vanish w:val="0"/>
        </w:rPr>
      </w:pPr>
      <w:r>
        <w:rPr>
          <w:rFonts w:ascii="Times New Roman" w:hAnsi="Times New Roman"/>
          <w:vanish w:val="0"/>
        </w:rPr>
        <w:t>5、评估结果不等于评估对象处置可实现的成交价，不应被认为是对评估对象处置成交价的保证。</w:t>
      </w:r>
    </w:p>
    <w:p>
      <w:pPr>
        <w:pStyle w:val="28"/>
        <w:pBdr>
          <w:top w:val="none" w:color="auto" w:sz="0" w:space="0"/>
          <w:left w:val="none" w:color="auto" w:sz="0" w:space="0"/>
          <w:bottom w:val="none" w:color="auto" w:sz="0" w:space="0"/>
          <w:right w:val="none" w:color="auto" w:sz="0" w:space="0"/>
        </w:pBdr>
        <w:spacing w:line="460" w:lineRule="exact"/>
        <w:rPr>
          <w:rFonts w:ascii="Times New Roman" w:hAnsi="Times New Roman" w:eastAsia="宋体"/>
          <w:b w:val="0"/>
          <w:bCs w:val="0"/>
          <w:vanish w:val="0"/>
          <w:kern w:val="2"/>
          <w:sz w:val="28"/>
          <w:szCs w:val="28"/>
        </w:rPr>
      </w:pPr>
      <w:r>
        <w:rPr>
          <w:rFonts w:ascii="Times New Roman" w:hAnsi="Times New Roman"/>
          <w:vanish w:val="0"/>
        </w:rPr>
        <w:t>6、</w:t>
      </w:r>
      <w:r>
        <w:rPr>
          <w:rFonts w:hint="eastAsia" w:ascii="仿宋_GB2312" w:eastAsia="仿宋_GB2312" w:cs="Times New Roman"/>
          <w:vanish w:val="0"/>
          <w:kern w:val="2"/>
          <w:sz w:val="28"/>
          <w:szCs w:val="28"/>
        </w:rPr>
        <w:t>据评估专业人员从估价对象所在小区物业管理中心查询得知，截至202</w:t>
      </w:r>
      <w:r>
        <w:rPr>
          <w:rFonts w:ascii="仿宋_GB2312" w:eastAsia="仿宋_GB2312" w:cs="Times New Roman"/>
          <w:vanish w:val="0"/>
          <w:kern w:val="2"/>
          <w:sz w:val="28"/>
          <w:szCs w:val="28"/>
        </w:rPr>
        <w:t>2</w:t>
      </w:r>
      <w:r>
        <w:rPr>
          <w:rFonts w:hint="eastAsia" w:ascii="仿宋_GB2312" w:eastAsia="仿宋_GB2312" w:cs="Times New Roman"/>
          <w:vanish w:val="0"/>
          <w:kern w:val="2"/>
          <w:sz w:val="28"/>
          <w:szCs w:val="28"/>
        </w:rPr>
        <w:t>年</w:t>
      </w:r>
      <w:r>
        <w:rPr>
          <w:rFonts w:ascii="仿宋_GB2312" w:eastAsia="仿宋_GB2312" w:cs="Times New Roman"/>
          <w:vanish w:val="0"/>
          <w:kern w:val="2"/>
          <w:sz w:val="28"/>
          <w:szCs w:val="28"/>
        </w:rPr>
        <w:t>9</w:t>
      </w:r>
      <w:r>
        <w:rPr>
          <w:rFonts w:hint="eastAsia" w:ascii="仿宋_GB2312" w:eastAsia="仿宋_GB2312" w:cs="Times New Roman"/>
          <w:vanish w:val="0"/>
          <w:kern w:val="2"/>
          <w:sz w:val="28"/>
          <w:szCs w:val="28"/>
        </w:rPr>
        <w:t>月</w:t>
      </w:r>
      <w:r>
        <w:rPr>
          <w:rFonts w:ascii="仿宋_GB2312" w:eastAsia="仿宋_GB2312" w:cs="Times New Roman"/>
          <w:vanish w:val="0"/>
          <w:kern w:val="2"/>
          <w:sz w:val="28"/>
          <w:szCs w:val="28"/>
        </w:rPr>
        <w:t>15</w:t>
      </w:r>
      <w:r>
        <w:rPr>
          <w:rFonts w:hint="eastAsia" w:ascii="仿宋_GB2312" w:eastAsia="仿宋_GB2312" w:cs="Times New Roman"/>
          <w:vanish w:val="0"/>
          <w:kern w:val="2"/>
          <w:sz w:val="28"/>
          <w:szCs w:val="28"/>
        </w:rPr>
        <w:t>日，欠缴物业管理费、</w:t>
      </w:r>
      <w:r>
        <w:rPr>
          <w:rFonts w:ascii="仿宋_GB2312" w:eastAsia="仿宋_GB2312" w:cs="Times New Roman"/>
          <w:vanish w:val="0"/>
          <w:kern w:val="2"/>
          <w:sz w:val="28"/>
          <w:szCs w:val="28"/>
        </w:rPr>
        <w:t>公共设备用电</w:t>
      </w:r>
      <w:r>
        <w:rPr>
          <w:rFonts w:hint="eastAsia" w:ascii="仿宋_GB2312" w:eastAsia="仿宋_GB2312" w:cs="Times New Roman"/>
          <w:vanish w:val="0"/>
          <w:kern w:val="2"/>
          <w:sz w:val="28"/>
          <w:szCs w:val="28"/>
        </w:rPr>
        <w:t>公摊合计</w:t>
      </w:r>
      <w:r>
        <w:rPr>
          <w:rFonts w:ascii="仿宋_GB2312" w:eastAsia="仿宋_GB2312" w:cs="Times New Roman"/>
          <w:vanish w:val="0"/>
          <w:kern w:val="2"/>
          <w:sz w:val="28"/>
          <w:szCs w:val="28"/>
        </w:rPr>
        <w:t>5310.80</w:t>
      </w:r>
      <w:r>
        <w:rPr>
          <w:rFonts w:hint="eastAsia" w:ascii="仿宋_GB2312" w:eastAsia="仿宋_GB2312" w:cs="Times New Roman"/>
          <w:vanish w:val="0"/>
          <w:kern w:val="2"/>
          <w:sz w:val="28"/>
          <w:szCs w:val="28"/>
        </w:rPr>
        <w:t>元。上述费用仅供报告使用人参考，请报告使用人注意可能涉及的各种拖欠费用（如管理费、</w:t>
      </w:r>
      <w:r>
        <w:rPr>
          <w:rFonts w:ascii="仿宋_GB2312" w:eastAsia="仿宋_GB2312" w:cs="Times New Roman"/>
          <w:vanish w:val="0"/>
          <w:kern w:val="2"/>
          <w:sz w:val="28"/>
          <w:szCs w:val="28"/>
        </w:rPr>
        <w:t>公摊费用</w:t>
      </w:r>
      <w:r>
        <w:rPr>
          <w:rFonts w:hint="eastAsia" w:ascii="仿宋_GB2312" w:eastAsia="仿宋_GB2312" w:cs="Times New Roman"/>
          <w:vanish w:val="0"/>
          <w:kern w:val="2"/>
          <w:sz w:val="28"/>
          <w:szCs w:val="28"/>
        </w:rPr>
        <w:t>等），评估结果未扣除欠缴物业管理费用、公摊</w:t>
      </w:r>
      <w:r>
        <w:rPr>
          <w:rFonts w:ascii="仿宋_GB2312" w:eastAsia="仿宋_GB2312" w:cs="Times New Roman"/>
          <w:vanish w:val="0"/>
          <w:kern w:val="2"/>
          <w:sz w:val="28"/>
          <w:szCs w:val="28"/>
        </w:rPr>
        <w:t>费用</w:t>
      </w:r>
      <w:r>
        <w:rPr>
          <w:rFonts w:hint="eastAsia" w:ascii="仿宋_GB2312" w:eastAsia="仿宋_GB2312" w:cs="Times New Roman"/>
          <w:vanish w:val="0"/>
          <w:kern w:val="2"/>
          <w:sz w:val="28"/>
          <w:szCs w:val="28"/>
        </w:rPr>
        <w:t>等相关费用</w:t>
      </w:r>
      <w:r>
        <w:rPr>
          <w:rFonts w:hint="eastAsia" w:ascii="仿宋_GB2312" w:eastAsia="仿宋_GB2312" w:cs="Times New Roman"/>
          <w:b w:val="0"/>
          <w:bCs w:val="0"/>
          <w:vanish w:val="0"/>
          <w:kern w:val="2"/>
          <w:sz w:val="28"/>
          <w:szCs w:val="28"/>
        </w:rPr>
        <w:t>，提醒报告使用</w:t>
      </w:r>
      <w:r>
        <w:rPr>
          <w:rFonts w:hint="eastAsia" w:ascii="仿宋_GB2312" w:eastAsia="仿宋_GB2312" w:cs="Times New Roman"/>
          <w:vanish w:val="0"/>
          <w:kern w:val="2"/>
          <w:sz w:val="28"/>
          <w:szCs w:val="28"/>
        </w:rPr>
        <w:t>人</w:t>
      </w:r>
      <w:r>
        <w:rPr>
          <w:rFonts w:hint="eastAsia" w:ascii="仿宋_GB2312" w:eastAsia="仿宋_GB2312" w:cs="Times New Roman"/>
          <w:b w:val="0"/>
          <w:bCs w:val="0"/>
          <w:vanish w:val="0"/>
          <w:kern w:val="2"/>
          <w:sz w:val="28"/>
          <w:szCs w:val="28"/>
        </w:rPr>
        <w:t>注意。</w:t>
      </w:r>
    </w:p>
    <w:p>
      <w:pPr>
        <w:pStyle w:val="28"/>
        <w:pBdr>
          <w:top w:val="none" w:color="auto" w:sz="0" w:space="0"/>
          <w:left w:val="none" w:color="auto" w:sz="0" w:space="0"/>
          <w:bottom w:val="none" w:color="auto" w:sz="0" w:space="0"/>
          <w:right w:val="none" w:color="auto" w:sz="0" w:space="0"/>
        </w:pBdr>
        <w:spacing w:line="460" w:lineRule="exact"/>
        <w:rPr>
          <w:rFonts w:ascii="Times New Roman" w:hAnsi="Times New Roman"/>
          <w:vanish w:val="0"/>
        </w:rPr>
      </w:pPr>
    </w:p>
    <w:p>
      <w:pPr>
        <w:pStyle w:val="28"/>
        <w:pBdr>
          <w:top w:val="none" w:color="auto" w:sz="0" w:space="0"/>
          <w:left w:val="none" w:color="auto" w:sz="0" w:space="0"/>
          <w:bottom w:val="none" w:color="auto" w:sz="0" w:space="0"/>
          <w:right w:val="none" w:color="auto" w:sz="0" w:space="0"/>
        </w:pBdr>
        <w:spacing w:line="460" w:lineRule="exact"/>
        <w:rPr>
          <w:rFonts w:ascii="Times New Roman" w:hAnsi="Times New Roman"/>
          <w:vanish w:val="0"/>
        </w:rPr>
      </w:pPr>
      <w:r>
        <w:rPr>
          <w:rFonts w:ascii="Times New Roman" w:hAnsi="Times New Roman"/>
          <w:vanish w:val="0"/>
        </w:rPr>
        <w:t>鉴定的结果及有关说明，请见后附的</w:t>
      </w:r>
      <w:r>
        <w:rPr>
          <w:rFonts w:ascii="Times New Roman" w:hAnsi="Times New Roman"/>
          <w:b/>
          <w:bCs/>
          <w:vanish w:val="0"/>
        </w:rPr>
        <w:t>《涉执房地产处置司法评估结果报告》</w:t>
      </w:r>
      <w:r>
        <w:rPr>
          <w:rFonts w:ascii="Times New Roman" w:hAnsi="Times New Roman"/>
          <w:vanish w:val="0"/>
        </w:rPr>
        <w:t>。</w:t>
      </w:r>
    </w:p>
    <w:p>
      <w:pPr>
        <w:pStyle w:val="28"/>
        <w:rPr>
          <w:rFonts w:ascii="Times New Roman" w:hAnsi="Times New Roman"/>
        </w:rPr>
      </w:pPr>
      <w:r>
        <w:rPr>
          <w:rFonts w:ascii="Times New Roman" w:hAnsi="Times New Roman"/>
        </w:rPr>
        <w:t>特此致函！</w:t>
      </w:r>
    </w:p>
    <w:p>
      <w:pPr>
        <w:autoSpaceDE w:val="0"/>
        <w:autoSpaceDN w:val="0"/>
        <w:adjustRightInd w:val="0"/>
        <w:spacing w:after="100" w:afterAutospacing="1" w:line="480" w:lineRule="exact"/>
        <w:ind w:firstLine="3780" w:firstLineChars="1400"/>
        <w:rPr>
          <w:rFonts w:ascii="Times New Roman" w:hAnsi="Times New Roman"/>
          <w:b/>
        </w:rPr>
      </w:pPr>
      <w:r>
        <w:rPr>
          <w:rFonts w:ascii="Times New Roman" w:hAnsi="Times New Roman"/>
          <w:b/>
        </w:rPr>
        <w:t>海南瑞寰土地房地产资产评估咨询有限公司</w:t>
      </w:r>
    </w:p>
    <w:p>
      <w:pPr>
        <w:snapToGrid w:val="0"/>
        <w:spacing w:before="572" w:beforeLines="150" w:after="100" w:afterAutospacing="1" w:line="800" w:lineRule="exact"/>
        <w:ind w:right="539" w:firstLine="135" w:firstLineChars="50"/>
        <w:jc w:val="right"/>
        <w:rPr>
          <w:rFonts w:ascii="Times New Roman" w:hAnsi="Times New Roman"/>
          <w:b/>
          <w:szCs w:val="28"/>
        </w:rPr>
        <w:sectPr>
          <w:headerReference r:id="rId9" w:type="default"/>
          <w:footerReference r:id="rId10" w:type="default"/>
          <w:type w:val="continuous"/>
          <w:pgSz w:w="11906" w:h="16838"/>
          <w:pgMar w:top="1155" w:right="1418" w:bottom="1418" w:left="1531" w:header="567" w:footer="624" w:gutter="0"/>
          <w:pgNumType w:start="1"/>
          <w:cols w:space="720" w:num="1"/>
          <w:docGrid w:type="linesAndChars" w:linePitch="381" w:charSpace="-2109"/>
        </w:sectPr>
      </w:pPr>
      <w:r>
        <w:rPr>
          <w:rFonts w:ascii="Times New Roman" w:hAnsi="Times New Roman"/>
          <w:b/>
          <w:szCs w:val="28"/>
        </w:rPr>
        <w:fldChar w:fldCharType="begin"/>
      </w:r>
      <w:r>
        <w:rPr>
          <w:rFonts w:ascii="Times New Roman" w:hAnsi="Times New Roman"/>
          <w:b/>
          <w:szCs w:val="28"/>
        </w:rPr>
        <w:instrText xml:space="preserve">MERGEFIELD "出具日大写"  </w:instrText>
      </w:r>
      <w:r>
        <w:rPr>
          <w:rFonts w:ascii="Times New Roman" w:hAnsi="Times New Roman"/>
          <w:b/>
          <w:szCs w:val="28"/>
        </w:rPr>
        <w:fldChar w:fldCharType="separate"/>
      </w:r>
      <w:r>
        <w:rPr>
          <w:rFonts w:hint="eastAsia" w:ascii="Times New Roman" w:hAnsi="Times New Roman"/>
          <w:b/>
          <w:szCs w:val="28"/>
        </w:rPr>
        <w:t>二○二二年九月二十三日</w:t>
      </w:r>
      <w:r>
        <w:rPr>
          <w:rFonts w:ascii="Times New Roman" w:hAnsi="Times New Roman"/>
          <w:b/>
          <w:szCs w:val="28"/>
        </w:rPr>
        <w:fldChar w:fldCharType="end"/>
      </w:r>
    </w:p>
    <w:p>
      <w:pPr>
        <w:ind w:firstLine="0" w:firstLineChars="0"/>
        <w:jc w:val="center"/>
        <w:rPr>
          <w:rFonts w:ascii="Times New Roman" w:hAnsi="Times New Roman"/>
          <w:b/>
          <w:bCs/>
          <w:sz w:val="32"/>
        </w:rPr>
      </w:pPr>
      <w:r>
        <w:rPr>
          <w:rFonts w:ascii="Times New Roman" w:hAnsi="Times New Roman"/>
          <w:b/>
          <w:bCs/>
          <w:sz w:val="36"/>
        </w:rPr>
        <w:t>目  录</w:t>
      </w:r>
    </w:p>
    <w:p>
      <w:pPr>
        <w:pStyle w:val="18"/>
        <w:tabs>
          <w:tab w:val="right" w:leader="dot" w:pos="8957"/>
        </w:tabs>
        <w:spacing w:line="540" w:lineRule="exact"/>
        <w:ind w:firstLine="540" w:firstLineChars="200"/>
      </w:pPr>
      <w:r>
        <w:rPr>
          <w:rFonts w:ascii="Times New Roman" w:hAnsi="Times New Roman"/>
        </w:rPr>
        <w:fldChar w:fldCharType="begin"/>
      </w:r>
      <w:r>
        <w:rPr>
          <w:rFonts w:ascii="Times New Roman" w:hAnsi="Times New Roman"/>
        </w:rPr>
        <w:instrText xml:space="preserve"> TOC \o "1-2" \h \z \u </w:instrText>
      </w:r>
      <w:r>
        <w:rPr>
          <w:rFonts w:ascii="Times New Roman" w:hAnsi="Times New Roman"/>
        </w:rPr>
        <w:fldChar w:fldCharType="separate"/>
      </w:r>
      <w:r>
        <w:fldChar w:fldCharType="begin"/>
      </w:r>
      <w:r>
        <w:instrText xml:space="preserve">Hyperlink \l "_Toc48573728"</w:instrText>
      </w:r>
      <w:r>
        <w:fldChar w:fldCharType="separate"/>
      </w:r>
      <w:r>
        <w:rPr>
          <w:rFonts w:ascii="Times New Roman" w:hAnsi="Times New Roman" w:eastAsia="仿宋_GB2312"/>
        </w:rPr>
        <w:t>估价师声明</w:t>
      </w:r>
      <w:r>
        <w:tab/>
      </w:r>
      <w:r>
        <w:fldChar w:fldCharType="begin"/>
      </w:r>
      <w:r>
        <w:instrText xml:space="preserve">PageRef _Toc48573728 \h</w:instrText>
      </w:r>
      <w:r>
        <w:fldChar w:fldCharType="separate"/>
      </w:r>
      <w:r>
        <w:t>1</w:t>
      </w:r>
      <w:r>
        <w:fldChar w:fldCharType="end"/>
      </w:r>
      <w:r>
        <w:fldChar w:fldCharType="end"/>
      </w:r>
    </w:p>
    <w:p>
      <w:pPr>
        <w:pStyle w:val="18"/>
        <w:tabs>
          <w:tab w:val="right" w:leader="dot" w:pos="8957"/>
        </w:tabs>
        <w:spacing w:line="540" w:lineRule="exact"/>
        <w:ind w:firstLine="540" w:firstLineChars="200"/>
      </w:pPr>
      <w:r>
        <w:fldChar w:fldCharType="begin"/>
      </w:r>
      <w:r>
        <w:instrText xml:space="preserve">Hyperlink \l "_Toc48573729"</w:instrText>
      </w:r>
      <w:r>
        <w:fldChar w:fldCharType="separate"/>
      </w:r>
      <w:r>
        <w:rPr>
          <w:rFonts w:ascii="Times New Roman" w:hAnsi="Times New Roman" w:eastAsia="仿宋_GB2312"/>
        </w:rPr>
        <w:t>估价的假设和限制条件</w:t>
      </w:r>
      <w:r>
        <w:tab/>
      </w:r>
      <w:r>
        <w:fldChar w:fldCharType="begin"/>
      </w:r>
      <w:r>
        <w:instrText xml:space="preserve">PageRef _Toc48573729 \h</w:instrText>
      </w:r>
      <w:r>
        <w:fldChar w:fldCharType="separate"/>
      </w:r>
      <w:r>
        <w:t>2</w:t>
      </w:r>
      <w:r>
        <w:fldChar w:fldCharType="end"/>
      </w:r>
      <w:r>
        <w:fldChar w:fldCharType="end"/>
      </w:r>
    </w:p>
    <w:p>
      <w:pPr>
        <w:pStyle w:val="18"/>
        <w:tabs>
          <w:tab w:val="right" w:leader="dot" w:pos="8957"/>
        </w:tabs>
        <w:spacing w:line="540" w:lineRule="exact"/>
        <w:ind w:firstLine="540" w:firstLineChars="200"/>
      </w:pPr>
      <w:r>
        <w:fldChar w:fldCharType="begin"/>
      </w:r>
      <w:r>
        <w:instrText xml:space="preserve">Hyperlink \l "_Toc48573730"</w:instrText>
      </w:r>
      <w:r>
        <w:fldChar w:fldCharType="separate"/>
      </w:r>
      <w:r>
        <w:rPr>
          <w:rFonts w:ascii="Times New Roman" w:hAnsi="Times New Roman" w:eastAsia="仿宋_GB2312"/>
        </w:rPr>
        <w:t>估价结果报告</w:t>
      </w:r>
      <w:r>
        <w:tab/>
      </w:r>
      <w:r>
        <w:fldChar w:fldCharType="begin"/>
      </w:r>
      <w:r>
        <w:instrText xml:space="preserve">PageRef _Toc48573730 \h</w:instrText>
      </w:r>
      <w:r>
        <w:fldChar w:fldCharType="separate"/>
      </w:r>
      <w:r>
        <w:t>6</w:t>
      </w:r>
      <w:r>
        <w:fldChar w:fldCharType="end"/>
      </w:r>
      <w:r>
        <w:fldChar w:fldCharType="end"/>
      </w:r>
    </w:p>
    <w:p>
      <w:pPr>
        <w:pStyle w:val="20"/>
        <w:tabs>
          <w:tab w:val="right" w:leader="dot" w:pos="8957"/>
        </w:tabs>
        <w:spacing w:line="540" w:lineRule="exact"/>
        <w:ind w:firstLine="540" w:firstLineChars="200"/>
      </w:pPr>
      <w:r>
        <w:fldChar w:fldCharType="begin"/>
      </w:r>
      <w:r>
        <w:instrText xml:space="preserve">Hyperlink \l "_Toc48573731"</w:instrText>
      </w:r>
      <w:r>
        <w:fldChar w:fldCharType="separate"/>
      </w:r>
      <w:r>
        <w:rPr>
          <w:rFonts w:ascii="Times New Roman" w:hAnsi="Times New Roman" w:eastAsia="仿宋_GB2312"/>
        </w:rPr>
        <w:t>一、估价委托方</w:t>
      </w:r>
      <w:r>
        <w:tab/>
      </w:r>
      <w:r>
        <w:fldChar w:fldCharType="begin"/>
      </w:r>
      <w:r>
        <w:instrText xml:space="preserve">PageRef _Toc48573731 \h</w:instrText>
      </w:r>
      <w:r>
        <w:fldChar w:fldCharType="separate"/>
      </w:r>
      <w:r>
        <w:t>6</w:t>
      </w:r>
      <w:r>
        <w:fldChar w:fldCharType="end"/>
      </w:r>
      <w:r>
        <w:fldChar w:fldCharType="end"/>
      </w:r>
    </w:p>
    <w:p>
      <w:pPr>
        <w:pStyle w:val="20"/>
        <w:tabs>
          <w:tab w:val="right" w:leader="dot" w:pos="8957"/>
        </w:tabs>
        <w:spacing w:line="540" w:lineRule="exact"/>
        <w:ind w:firstLine="540" w:firstLineChars="200"/>
      </w:pPr>
      <w:r>
        <w:fldChar w:fldCharType="begin"/>
      </w:r>
      <w:r>
        <w:instrText xml:space="preserve">Hyperlink \l "_Toc48573732"</w:instrText>
      </w:r>
      <w:r>
        <w:fldChar w:fldCharType="separate"/>
      </w:r>
      <w:r>
        <w:rPr>
          <w:rFonts w:ascii="Times New Roman" w:hAnsi="Times New Roman" w:eastAsia="仿宋_GB2312"/>
        </w:rPr>
        <w:t>二、房地产估价机构</w:t>
      </w:r>
      <w:r>
        <w:tab/>
      </w:r>
      <w:r>
        <w:fldChar w:fldCharType="begin"/>
      </w:r>
      <w:r>
        <w:instrText xml:space="preserve">PageRef _Toc48573732 \h</w:instrText>
      </w:r>
      <w:r>
        <w:fldChar w:fldCharType="separate"/>
      </w:r>
      <w:r>
        <w:t>6</w:t>
      </w:r>
      <w:r>
        <w:fldChar w:fldCharType="end"/>
      </w:r>
      <w:r>
        <w:fldChar w:fldCharType="end"/>
      </w:r>
    </w:p>
    <w:p>
      <w:pPr>
        <w:pStyle w:val="20"/>
        <w:tabs>
          <w:tab w:val="right" w:leader="dot" w:pos="8957"/>
        </w:tabs>
        <w:spacing w:line="540" w:lineRule="exact"/>
        <w:ind w:firstLine="540" w:firstLineChars="200"/>
      </w:pPr>
      <w:r>
        <w:fldChar w:fldCharType="begin"/>
      </w:r>
      <w:r>
        <w:instrText xml:space="preserve">Hyperlink \l "_Toc48573733"</w:instrText>
      </w:r>
      <w:r>
        <w:fldChar w:fldCharType="separate"/>
      </w:r>
      <w:r>
        <w:rPr>
          <w:rFonts w:ascii="Times New Roman" w:hAnsi="Times New Roman" w:eastAsia="仿宋_GB2312"/>
        </w:rPr>
        <w:t>三、估价目的</w:t>
      </w:r>
      <w:r>
        <w:tab/>
      </w:r>
      <w:r>
        <w:fldChar w:fldCharType="begin"/>
      </w:r>
      <w:r>
        <w:instrText xml:space="preserve">PageRef _Toc48573733 \h</w:instrText>
      </w:r>
      <w:r>
        <w:fldChar w:fldCharType="separate"/>
      </w:r>
      <w:r>
        <w:t>6</w:t>
      </w:r>
      <w:r>
        <w:fldChar w:fldCharType="end"/>
      </w:r>
      <w:r>
        <w:fldChar w:fldCharType="end"/>
      </w:r>
    </w:p>
    <w:p>
      <w:pPr>
        <w:pStyle w:val="20"/>
        <w:tabs>
          <w:tab w:val="right" w:leader="dot" w:pos="8957"/>
        </w:tabs>
        <w:spacing w:line="540" w:lineRule="exact"/>
        <w:ind w:firstLine="540" w:firstLineChars="200"/>
      </w:pPr>
      <w:r>
        <w:fldChar w:fldCharType="begin"/>
      </w:r>
      <w:r>
        <w:instrText xml:space="preserve">Hyperlink \l "_Toc48573734"</w:instrText>
      </w:r>
      <w:r>
        <w:fldChar w:fldCharType="separate"/>
      </w:r>
      <w:r>
        <w:rPr>
          <w:rFonts w:ascii="Times New Roman" w:hAnsi="Times New Roman" w:eastAsia="仿宋_GB2312"/>
        </w:rPr>
        <w:t>四、估价对象</w:t>
      </w:r>
      <w:r>
        <w:tab/>
      </w:r>
      <w:r>
        <w:fldChar w:fldCharType="begin"/>
      </w:r>
      <w:r>
        <w:instrText xml:space="preserve">PageRef _Toc48573734 \h</w:instrText>
      </w:r>
      <w:r>
        <w:fldChar w:fldCharType="separate"/>
      </w:r>
      <w:r>
        <w:t>6</w:t>
      </w:r>
      <w:r>
        <w:fldChar w:fldCharType="end"/>
      </w:r>
      <w:r>
        <w:fldChar w:fldCharType="end"/>
      </w:r>
    </w:p>
    <w:p>
      <w:pPr>
        <w:pStyle w:val="20"/>
        <w:tabs>
          <w:tab w:val="right" w:leader="dot" w:pos="8957"/>
        </w:tabs>
        <w:spacing w:line="540" w:lineRule="exact"/>
        <w:ind w:firstLine="540" w:firstLineChars="200"/>
      </w:pPr>
      <w:r>
        <w:fldChar w:fldCharType="begin"/>
      </w:r>
      <w:r>
        <w:instrText xml:space="preserve">Hyperlink \l "_Toc48573735"</w:instrText>
      </w:r>
      <w:r>
        <w:fldChar w:fldCharType="separate"/>
      </w:r>
      <w:r>
        <w:rPr>
          <w:rFonts w:ascii="Times New Roman" w:hAnsi="Times New Roman" w:eastAsia="仿宋_GB2312"/>
        </w:rPr>
        <w:t>五、价值时点</w:t>
      </w:r>
      <w:r>
        <w:tab/>
      </w:r>
      <w:r>
        <w:fldChar w:fldCharType="begin"/>
      </w:r>
      <w:r>
        <w:instrText xml:space="preserve">PageRef _Toc48573735 \h</w:instrText>
      </w:r>
      <w:r>
        <w:fldChar w:fldCharType="separate"/>
      </w:r>
      <w:r>
        <w:t>8</w:t>
      </w:r>
      <w:r>
        <w:fldChar w:fldCharType="end"/>
      </w:r>
      <w:r>
        <w:fldChar w:fldCharType="end"/>
      </w:r>
    </w:p>
    <w:p>
      <w:pPr>
        <w:pStyle w:val="20"/>
        <w:tabs>
          <w:tab w:val="right" w:leader="dot" w:pos="8957"/>
        </w:tabs>
        <w:spacing w:line="540" w:lineRule="exact"/>
        <w:ind w:firstLine="540" w:firstLineChars="200"/>
      </w:pPr>
      <w:r>
        <w:fldChar w:fldCharType="begin"/>
      </w:r>
      <w:r>
        <w:instrText xml:space="preserve">Hyperlink \l "_Toc48573736"</w:instrText>
      </w:r>
      <w:r>
        <w:fldChar w:fldCharType="separate"/>
      </w:r>
      <w:r>
        <w:rPr>
          <w:rFonts w:ascii="Times New Roman" w:hAnsi="Times New Roman" w:eastAsia="仿宋_GB2312"/>
        </w:rPr>
        <w:t>六、价值类型</w:t>
      </w:r>
      <w:r>
        <w:tab/>
      </w:r>
      <w:r>
        <w:fldChar w:fldCharType="begin"/>
      </w:r>
      <w:r>
        <w:instrText xml:space="preserve">PageRef _Toc48573736 \h</w:instrText>
      </w:r>
      <w:r>
        <w:fldChar w:fldCharType="separate"/>
      </w:r>
      <w:r>
        <w:t>8</w:t>
      </w:r>
      <w:r>
        <w:fldChar w:fldCharType="end"/>
      </w:r>
      <w:r>
        <w:fldChar w:fldCharType="end"/>
      </w:r>
    </w:p>
    <w:p>
      <w:pPr>
        <w:pStyle w:val="20"/>
        <w:tabs>
          <w:tab w:val="right" w:leader="dot" w:pos="8957"/>
        </w:tabs>
        <w:spacing w:line="540" w:lineRule="exact"/>
        <w:ind w:firstLine="540" w:firstLineChars="200"/>
      </w:pPr>
      <w:r>
        <w:fldChar w:fldCharType="begin"/>
      </w:r>
      <w:r>
        <w:instrText xml:space="preserve">Hyperlink \l "_Toc48573737"</w:instrText>
      </w:r>
      <w:r>
        <w:fldChar w:fldCharType="separate"/>
      </w:r>
      <w:r>
        <w:rPr>
          <w:rFonts w:ascii="Times New Roman" w:hAnsi="Times New Roman" w:eastAsia="仿宋_GB2312"/>
        </w:rPr>
        <w:t>七、估价原则</w:t>
      </w:r>
      <w:r>
        <w:tab/>
      </w:r>
      <w:r>
        <w:fldChar w:fldCharType="begin"/>
      </w:r>
      <w:r>
        <w:instrText xml:space="preserve">PageRef _Toc48573737 \h</w:instrText>
      </w:r>
      <w:r>
        <w:fldChar w:fldCharType="separate"/>
      </w:r>
      <w:r>
        <w:t>9</w:t>
      </w:r>
      <w:r>
        <w:fldChar w:fldCharType="end"/>
      </w:r>
      <w:r>
        <w:fldChar w:fldCharType="end"/>
      </w:r>
    </w:p>
    <w:p>
      <w:pPr>
        <w:pStyle w:val="20"/>
        <w:tabs>
          <w:tab w:val="right" w:leader="dot" w:pos="8957"/>
        </w:tabs>
        <w:spacing w:line="540" w:lineRule="exact"/>
        <w:ind w:firstLine="540" w:firstLineChars="200"/>
      </w:pPr>
      <w:r>
        <w:fldChar w:fldCharType="begin"/>
      </w:r>
      <w:r>
        <w:instrText xml:space="preserve">Hyperlink \l "_Toc48573738"</w:instrText>
      </w:r>
      <w:r>
        <w:fldChar w:fldCharType="separate"/>
      </w:r>
      <w:r>
        <w:rPr>
          <w:rFonts w:ascii="Times New Roman" w:hAnsi="Times New Roman" w:eastAsia="仿宋_GB2312"/>
        </w:rPr>
        <w:t>八、估价依据</w:t>
      </w:r>
      <w:r>
        <w:tab/>
      </w:r>
      <w:r>
        <w:fldChar w:fldCharType="begin"/>
      </w:r>
      <w:r>
        <w:instrText xml:space="preserve">PageRef _Toc48573738 \h</w:instrText>
      </w:r>
      <w:r>
        <w:fldChar w:fldCharType="separate"/>
      </w:r>
      <w:r>
        <w:t>9</w:t>
      </w:r>
      <w:r>
        <w:fldChar w:fldCharType="end"/>
      </w:r>
      <w:r>
        <w:fldChar w:fldCharType="end"/>
      </w:r>
    </w:p>
    <w:p>
      <w:pPr>
        <w:pStyle w:val="20"/>
        <w:tabs>
          <w:tab w:val="right" w:leader="dot" w:pos="8957"/>
        </w:tabs>
        <w:spacing w:line="540" w:lineRule="exact"/>
        <w:ind w:firstLine="540" w:firstLineChars="200"/>
      </w:pPr>
      <w:r>
        <w:fldChar w:fldCharType="begin"/>
      </w:r>
      <w:r>
        <w:instrText xml:space="preserve">Hyperlink \l "_Toc48573739"</w:instrText>
      </w:r>
      <w:r>
        <w:fldChar w:fldCharType="separate"/>
      </w:r>
      <w:r>
        <w:rPr>
          <w:rFonts w:ascii="Times New Roman" w:hAnsi="Times New Roman" w:eastAsia="仿宋_GB2312"/>
        </w:rPr>
        <w:t>九、估价方法</w:t>
      </w:r>
      <w:r>
        <w:tab/>
      </w:r>
      <w:r>
        <w:fldChar w:fldCharType="begin"/>
      </w:r>
      <w:r>
        <w:instrText xml:space="preserve">PageRef _Toc48573739 \h</w:instrText>
      </w:r>
      <w:r>
        <w:fldChar w:fldCharType="separate"/>
      </w:r>
      <w:r>
        <w:t>12</w:t>
      </w:r>
      <w:r>
        <w:fldChar w:fldCharType="end"/>
      </w:r>
      <w:r>
        <w:fldChar w:fldCharType="end"/>
      </w:r>
    </w:p>
    <w:p>
      <w:pPr>
        <w:pStyle w:val="20"/>
        <w:tabs>
          <w:tab w:val="right" w:leader="dot" w:pos="8957"/>
        </w:tabs>
        <w:spacing w:line="540" w:lineRule="exact"/>
        <w:ind w:firstLine="540" w:firstLineChars="200"/>
      </w:pPr>
      <w:r>
        <w:fldChar w:fldCharType="begin"/>
      </w:r>
      <w:r>
        <w:instrText xml:space="preserve">Hyperlink \l "_Toc48573740"</w:instrText>
      </w:r>
      <w:r>
        <w:fldChar w:fldCharType="separate"/>
      </w:r>
      <w:r>
        <w:rPr>
          <w:rFonts w:ascii="Times New Roman" w:hAnsi="Times New Roman" w:eastAsia="仿宋_GB2312"/>
        </w:rPr>
        <w:t>十、估价结果</w:t>
      </w:r>
      <w:r>
        <w:tab/>
      </w:r>
      <w:r>
        <w:fldChar w:fldCharType="begin"/>
      </w:r>
      <w:r>
        <w:instrText xml:space="preserve">PageRef _Toc48573740 \h</w:instrText>
      </w:r>
      <w:r>
        <w:fldChar w:fldCharType="separate"/>
      </w:r>
      <w:r>
        <w:t>13</w:t>
      </w:r>
      <w:r>
        <w:fldChar w:fldCharType="end"/>
      </w:r>
      <w:r>
        <w:fldChar w:fldCharType="end"/>
      </w:r>
    </w:p>
    <w:p>
      <w:pPr>
        <w:pStyle w:val="20"/>
        <w:tabs>
          <w:tab w:val="right" w:leader="dot" w:pos="8957"/>
        </w:tabs>
        <w:spacing w:line="540" w:lineRule="exact"/>
        <w:ind w:firstLine="540" w:firstLineChars="200"/>
      </w:pPr>
      <w:r>
        <w:fldChar w:fldCharType="begin"/>
      </w:r>
      <w:r>
        <w:instrText xml:space="preserve">Hyperlink \l "_Toc48573741"</w:instrText>
      </w:r>
      <w:r>
        <w:fldChar w:fldCharType="separate"/>
      </w:r>
      <w:r>
        <w:rPr>
          <w:rFonts w:ascii="Times New Roman" w:hAnsi="Times New Roman" w:eastAsia="仿宋_GB2312"/>
        </w:rPr>
        <w:t>十一、估价作业日期</w:t>
      </w:r>
      <w:r>
        <w:tab/>
      </w:r>
      <w:r>
        <w:fldChar w:fldCharType="begin"/>
      </w:r>
      <w:r>
        <w:instrText xml:space="preserve">PageRef _Toc48573741 \h</w:instrText>
      </w:r>
      <w:r>
        <w:fldChar w:fldCharType="separate"/>
      </w:r>
      <w:r>
        <w:t>13</w:t>
      </w:r>
      <w:r>
        <w:fldChar w:fldCharType="end"/>
      </w:r>
      <w:r>
        <w:fldChar w:fldCharType="end"/>
      </w:r>
    </w:p>
    <w:p>
      <w:pPr>
        <w:pStyle w:val="20"/>
        <w:tabs>
          <w:tab w:val="right" w:leader="dot" w:pos="8957"/>
        </w:tabs>
        <w:spacing w:line="540" w:lineRule="exact"/>
        <w:ind w:firstLine="540" w:firstLineChars="200"/>
      </w:pPr>
      <w:r>
        <w:fldChar w:fldCharType="begin"/>
      </w:r>
      <w:r>
        <w:instrText xml:space="preserve">Hyperlink \l "_Toc48573742"</w:instrText>
      </w:r>
      <w:r>
        <w:fldChar w:fldCharType="separate"/>
      </w:r>
      <w:r>
        <w:rPr>
          <w:rFonts w:ascii="Times New Roman" w:hAnsi="Times New Roman" w:eastAsia="仿宋_GB2312"/>
        </w:rPr>
        <w:t>十二、实地查勘期</w:t>
      </w:r>
      <w:r>
        <w:tab/>
      </w:r>
      <w:r>
        <w:fldChar w:fldCharType="begin"/>
      </w:r>
      <w:r>
        <w:instrText xml:space="preserve">PageRef _Toc48573742 \h</w:instrText>
      </w:r>
      <w:r>
        <w:fldChar w:fldCharType="separate"/>
      </w:r>
      <w:r>
        <w:t>13</w:t>
      </w:r>
      <w:r>
        <w:fldChar w:fldCharType="end"/>
      </w:r>
      <w:r>
        <w:fldChar w:fldCharType="end"/>
      </w:r>
    </w:p>
    <w:p>
      <w:pPr>
        <w:pStyle w:val="20"/>
        <w:tabs>
          <w:tab w:val="right" w:leader="dot" w:pos="8957"/>
        </w:tabs>
        <w:spacing w:line="540" w:lineRule="exact"/>
        <w:ind w:firstLine="540" w:firstLineChars="200"/>
      </w:pPr>
      <w:r>
        <w:fldChar w:fldCharType="begin"/>
      </w:r>
      <w:r>
        <w:instrText xml:space="preserve">Hyperlink \l "_Toc48573743"</w:instrText>
      </w:r>
      <w:r>
        <w:fldChar w:fldCharType="separate"/>
      </w:r>
      <w:r>
        <w:rPr>
          <w:rFonts w:ascii="Times New Roman" w:hAnsi="Times New Roman" w:eastAsia="仿宋_GB2312"/>
        </w:rPr>
        <w:t>十三、注册房地产估价师：</w:t>
      </w:r>
      <w:r>
        <w:tab/>
      </w:r>
      <w:r>
        <w:fldChar w:fldCharType="begin"/>
      </w:r>
      <w:r>
        <w:instrText xml:space="preserve">PageRef _Toc48573743 \h</w:instrText>
      </w:r>
      <w:r>
        <w:fldChar w:fldCharType="separate"/>
      </w:r>
      <w:r>
        <w:t>14</w:t>
      </w:r>
      <w:r>
        <w:fldChar w:fldCharType="end"/>
      </w:r>
      <w:r>
        <w:fldChar w:fldCharType="end"/>
      </w:r>
    </w:p>
    <w:p>
      <w:pPr>
        <w:pStyle w:val="18"/>
        <w:tabs>
          <w:tab w:val="right" w:leader="dot" w:pos="8957"/>
        </w:tabs>
        <w:spacing w:line="540" w:lineRule="exact"/>
        <w:ind w:firstLine="540" w:firstLineChars="200"/>
      </w:pPr>
      <w:r>
        <w:fldChar w:fldCharType="begin"/>
      </w:r>
      <w:r>
        <w:instrText xml:space="preserve">Hyperlink \l "_Toc48573752"</w:instrText>
      </w:r>
      <w:r>
        <w:fldChar w:fldCharType="separate"/>
      </w:r>
      <w:r>
        <w:rPr>
          <w:rFonts w:ascii="Times New Roman" w:hAnsi="Times New Roman" w:eastAsia="仿宋_GB2312"/>
        </w:rPr>
        <w:t>附  件</w:t>
      </w:r>
      <w:r>
        <w:tab/>
      </w:r>
      <w:r>
        <w:fldChar w:fldCharType="begin"/>
      </w:r>
      <w:r>
        <w:instrText xml:space="preserve">PageRef _Toc48573752 \h</w:instrText>
      </w:r>
      <w:r>
        <w:fldChar w:fldCharType="separate"/>
      </w:r>
      <w:r>
        <w:rPr>
          <w:rFonts w:hint="eastAsia"/>
          <w:lang w:val="en-US" w:eastAsia="zh-CN"/>
        </w:rPr>
        <w:t>1</w:t>
      </w:r>
      <w:bookmarkStart w:id="116" w:name="_GoBack"/>
      <w:bookmarkEnd w:id="116"/>
      <w:r>
        <w:t>5</w:t>
      </w:r>
      <w:r>
        <w:fldChar w:fldCharType="end"/>
      </w:r>
      <w:r>
        <w:fldChar w:fldCharType="end"/>
      </w:r>
      <w:r>
        <w:rPr>
          <w:rFonts w:ascii="Times New Roman" w:hAnsi="Times New Roman"/>
          <w:szCs w:val="28"/>
        </w:rPr>
        <w:fldChar w:fldCharType="end"/>
      </w:r>
      <w:r>
        <w:rPr>
          <w:rFonts w:ascii="Times New Roman" w:hAnsi="Times New Roman"/>
          <w:szCs w:val="28"/>
        </w:rPr>
        <w:tab/>
      </w:r>
    </w:p>
    <w:p>
      <w:pPr>
        <w:snapToGrid w:val="0"/>
        <w:spacing w:line="480" w:lineRule="exact"/>
        <w:ind w:firstLine="0" w:firstLineChars="0"/>
        <w:jc w:val="center"/>
        <w:rPr>
          <w:rFonts w:ascii="Times New Roman" w:hAnsi="Times New Roman"/>
          <w:b/>
          <w:sz w:val="32"/>
        </w:rPr>
        <w:sectPr>
          <w:headerReference r:id="rId12" w:type="first"/>
          <w:headerReference r:id="rId11" w:type="default"/>
          <w:footerReference r:id="rId13" w:type="default"/>
          <w:pgSz w:w="11906" w:h="16838"/>
          <w:pgMar w:top="1440" w:right="1418" w:bottom="1418" w:left="1531" w:header="851" w:footer="992" w:gutter="0"/>
          <w:pgNumType w:start="1"/>
          <w:cols w:space="720" w:num="1"/>
          <w:docGrid w:type="linesAndChars" w:linePitch="381" w:charSpace="-2109"/>
        </w:sectPr>
      </w:pPr>
    </w:p>
    <w:p>
      <w:pPr>
        <w:pStyle w:val="2"/>
        <w:spacing w:before="381" w:beforeLines="0" w:after="190"/>
        <w:rPr>
          <w:rFonts w:ascii="Times New Roman" w:hAnsi="Times New Roman" w:eastAsia="仿宋_GB2312"/>
        </w:rPr>
      </w:pPr>
      <w:bookmarkStart w:id="10" w:name="_Toc237161506"/>
      <w:bookmarkStart w:id="11" w:name="_Toc305778448"/>
      <w:bookmarkStart w:id="12" w:name="_Toc305778810"/>
      <w:bookmarkStart w:id="13" w:name="_Toc305778542"/>
      <w:bookmarkStart w:id="14" w:name="_Toc48573728"/>
      <w:bookmarkStart w:id="15" w:name="_Toc305778693"/>
      <w:bookmarkStart w:id="16" w:name="_Toc335404391"/>
      <w:r>
        <w:rPr>
          <w:rFonts w:ascii="Times New Roman" w:hAnsi="Times New Roman" w:eastAsia="仿宋_GB2312"/>
        </w:rPr>
        <w:t>估价师声明</w:t>
      </w:r>
      <w:bookmarkEnd w:id="10"/>
      <w:bookmarkEnd w:id="11"/>
      <w:bookmarkEnd w:id="12"/>
      <w:bookmarkEnd w:id="13"/>
      <w:bookmarkEnd w:id="14"/>
      <w:bookmarkEnd w:id="15"/>
      <w:bookmarkEnd w:id="16"/>
    </w:p>
    <w:p>
      <w:pPr>
        <w:pStyle w:val="28"/>
        <w:ind w:firstLine="0" w:firstLineChars="0"/>
        <w:rPr>
          <w:rFonts w:ascii="Times New Roman" w:hAnsi="Times New Roman"/>
          <w:b/>
        </w:rPr>
      </w:pPr>
      <w:r>
        <w:rPr>
          <w:rFonts w:ascii="Times New Roman" w:hAnsi="Times New Roman"/>
          <w:b/>
        </w:rPr>
        <w:t>我们郑重声明：</w:t>
      </w:r>
    </w:p>
    <w:p>
      <w:pPr>
        <w:pStyle w:val="28"/>
        <w:rPr>
          <w:rFonts w:ascii="Times New Roman" w:hAnsi="Times New Roman"/>
        </w:rPr>
      </w:pPr>
      <w:r>
        <w:rPr>
          <w:rFonts w:ascii="Times New Roman" w:hAnsi="Times New Roman"/>
          <w:lang w:eastAsia="zh-CN"/>
        </w:rPr>
        <w:t>1、</w:t>
      </w:r>
      <w:r>
        <w:rPr>
          <w:rFonts w:ascii="Times New Roman" w:hAnsi="Times New Roman"/>
        </w:rPr>
        <w:t>注册房地产估价师在估价报告中对事实的说明是真实和准确的，没有虚假记载、误导性陈述和重大遗漏。</w:t>
      </w:r>
    </w:p>
    <w:p>
      <w:pPr>
        <w:pStyle w:val="28"/>
        <w:rPr>
          <w:rFonts w:ascii="Times New Roman" w:hAnsi="Times New Roman"/>
        </w:rPr>
      </w:pPr>
      <w:r>
        <w:rPr>
          <w:rFonts w:ascii="Times New Roman" w:hAnsi="Times New Roman"/>
          <w:lang w:eastAsia="zh-CN"/>
        </w:rPr>
        <w:t>2、</w:t>
      </w:r>
      <w:r>
        <w:rPr>
          <w:rFonts w:ascii="Times New Roman" w:hAnsi="Times New Roman"/>
        </w:rPr>
        <w:t>估价报告中的分析、意见和结论是注册房地产估价师独立、客观、公正的专业分析、意见和结论，但受到估价报告中已说明的假设和限制条件的限制。</w:t>
      </w:r>
    </w:p>
    <w:p>
      <w:pPr>
        <w:pStyle w:val="28"/>
        <w:rPr>
          <w:rFonts w:ascii="Times New Roman" w:hAnsi="Times New Roman"/>
        </w:rPr>
      </w:pPr>
      <w:r>
        <w:rPr>
          <w:rFonts w:ascii="Times New Roman" w:hAnsi="Times New Roman"/>
          <w:lang w:eastAsia="zh-CN"/>
        </w:rPr>
        <w:t>3、</w:t>
      </w:r>
      <w:r>
        <w:rPr>
          <w:rFonts w:ascii="Times New Roman" w:hAnsi="Times New Roman"/>
        </w:rPr>
        <w:t>注册房地产估价师与估价报告中的估价对象没有现实或潜在的利害，与估价委托方及估价利害关系人没有利害关系，也对估价对象、估价委托方及估价利害关系人没有偏见。</w:t>
      </w:r>
    </w:p>
    <w:p>
      <w:pPr>
        <w:pStyle w:val="28"/>
        <w:rPr>
          <w:rFonts w:ascii="Times New Roman" w:hAnsi="Times New Roman"/>
        </w:rPr>
      </w:pPr>
      <w:r>
        <w:rPr>
          <w:rFonts w:ascii="Times New Roman" w:hAnsi="Times New Roman"/>
          <w:lang w:eastAsia="zh-CN"/>
        </w:rPr>
        <w:t>4、</w:t>
      </w:r>
      <w:r>
        <w:rPr>
          <w:rFonts w:ascii="Times New Roman" w:hAnsi="Times New Roman"/>
        </w:rPr>
        <w:t>注册房地产估价师是按照有关房地产估价标准的规定进行估价工作，撰写估价报告。</w:t>
      </w:r>
    </w:p>
    <w:p>
      <w:pPr>
        <w:ind w:right="35" w:rightChars="13" w:firstLine="570" w:firstLineChars="0"/>
        <w:jc w:val="both"/>
        <w:rPr>
          <w:rFonts w:ascii="Times New Roman" w:hAnsi="Times New Roman"/>
          <w:b/>
          <w:bCs/>
          <w:snapToGrid w:val="0"/>
          <w:kern w:val="0"/>
          <w:szCs w:val="28"/>
        </w:rPr>
      </w:pPr>
    </w:p>
    <w:tbl>
      <w:tblPr>
        <w:tblStyle w:val="22"/>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1796"/>
        <w:gridCol w:w="4049"/>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06" w:type="dxa"/>
            <w:tcBorders>
              <w:tl2br w:val="nil"/>
              <w:tr2bl w:val="nil"/>
            </w:tcBorders>
            <w:shd w:val="clear" w:color="auto" w:fill="auto"/>
            <w:vAlign w:val="center"/>
          </w:tcPr>
          <w:p>
            <w:pPr>
              <w:autoSpaceDE w:val="0"/>
              <w:autoSpaceDN w:val="0"/>
              <w:adjustRightInd w:val="0"/>
              <w:spacing w:line="460" w:lineRule="exact"/>
              <w:ind w:firstLine="0" w:firstLineChars="0"/>
              <w:jc w:val="center"/>
              <w:rPr>
                <w:rFonts w:ascii="Times New Roman" w:hAnsi="Times New Roman"/>
                <w:kern w:val="0"/>
                <w:szCs w:val="28"/>
              </w:rPr>
            </w:pPr>
            <w:r>
              <w:rPr>
                <w:rFonts w:ascii="Times New Roman" w:hAnsi="Times New Roman"/>
                <w:kern w:val="0"/>
                <w:szCs w:val="28"/>
              </w:rPr>
              <w:t>姓名</w:t>
            </w:r>
          </w:p>
        </w:tc>
        <w:tc>
          <w:tcPr>
            <w:tcW w:w="1796" w:type="dxa"/>
            <w:tcBorders>
              <w:tl2br w:val="nil"/>
              <w:tr2bl w:val="nil"/>
            </w:tcBorders>
            <w:shd w:val="clear" w:color="auto" w:fill="auto"/>
            <w:vAlign w:val="center"/>
          </w:tcPr>
          <w:p>
            <w:pPr>
              <w:autoSpaceDE w:val="0"/>
              <w:autoSpaceDN w:val="0"/>
              <w:adjustRightInd w:val="0"/>
              <w:spacing w:line="460" w:lineRule="exact"/>
              <w:ind w:firstLine="0" w:firstLineChars="0"/>
              <w:jc w:val="center"/>
              <w:rPr>
                <w:rFonts w:ascii="Times New Roman" w:hAnsi="Times New Roman"/>
                <w:kern w:val="0"/>
                <w:szCs w:val="28"/>
              </w:rPr>
            </w:pPr>
            <w:r>
              <w:rPr>
                <w:rFonts w:ascii="Times New Roman" w:hAnsi="Times New Roman"/>
                <w:kern w:val="0"/>
                <w:szCs w:val="28"/>
              </w:rPr>
              <w:t>注册号</w:t>
            </w:r>
          </w:p>
        </w:tc>
        <w:tc>
          <w:tcPr>
            <w:tcW w:w="4049" w:type="dxa"/>
            <w:tcBorders>
              <w:tl2br w:val="nil"/>
              <w:tr2bl w:val="nil"/>
            </w:tcBorders>
            <w:shd w:val="clear" w:color="auto" w:fill="auto"/>
            <w:vAlign w:val="center"/>
          </w:tcPr>
          <w:p>
            <w:pPr>
              <w:autoSpaceDE w:val="0"/>
              <w:autoSpaceDN w:val="0"/>
              <w:adjustRightInd w:val="0"/>
              <w:spacing w:line="460" w:lineRule="exact"/>
              <w:ind w:firstLine="0" w:firstLineChars="0"/>
              <w:jc w:val="center"/>
              <w:rPr>
                <w:rFonts w:ascii="Times New Roman" w:hAnsi="Times New Roman"/>
                <w:kern w:val="0"/>
                <w:szCs w:val="28"/>
              </w:rPr>
            </w:pPr>
            <w:r>
              <w:rPr>
                <w:rFonts w:ascii="Times New Roman" w:hAnsi="Times New Roman"/>
                <w:kern w:val="0"/>
                <w:szCs w:val="28"/>
              </w:rPr>
              <w:t>签名及个人印章</w:t>
            </w:r>
          </w:p>
        </w:tc>
        <w:tc>
          <w:tcPr>
            <w:tcW w:w="2524" w:type="dxa"/>
            <w:tcBorders>
              <w:tl2br w:val="nil"/>
              <w:tr2bl w:val="nil"/>
            </w:tcBorders>
            <w:shd w:val="clear" w:color="auto" w:fill="auto"/>
            <w:vAlign w:val="center"/>
          </w:tcPr>
          <w:p>
            <w:pPr>
              <w:autoSpaceDE w:val="0"/>
              <w:autoSpaceDN w:val="0"/>
              <w:adjustRightInd w:val="0"/>
              <w:spacing w:line="460" w:lineRule="exact"/>
              <w:ind w:firstLine="0" w:firstLineChars="0"/>
              <w:jc w:val="center"/>
              <w:rPr>
                <w:rFonts w:ascii="Times New Roman" w:hAnsi="Times New Roman"/>
                <w:kern w:val="0"/>
                <w:szCs w:val="28"/>
              </w:rPr>
            </w:pPr>
            <w:r>
              <w:rPr>
                <w:rFonts w:ascii="Times New Roman" w:hAnsi="Times New Roman"/>
                <w:kern w:val="0"/>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6" w:hRule="atLeast"/>
          <w:jc w:val="center"/>
        </w:trPr>
        <w:tc>
          <w:tcPr>
            <w:tcW w:w="1206" w:type="dxa"/>
            <w:tcBorders>
              <w:tl2br w:val="nil"/>
              <w:tr2bl w:val="nil"/>
            </w:tcBorders>
            <w:shd w:val="clear" w:color="auto" w:fill="auto"/>
            <w:vAlign w:val="center"/>
          </w:tcPr>
          <w:p>
            <w:pPr>
              <w:pStyle w:val="32"/>
              <w:ind w:firstLine="0"/>
              <w:rPr>
                <w:rFonts w:ascii="Times New Roman" w:hAnsi="Times New Roman"/>
                <w:sz w:val="28"/>
              </w:rPr>
            </w:pPr>
            <w:r>
              <w:rPr>
                <w:rFonts w:ascii="Times New Roman" w:hAnsi="Times New Roman"/>
                <w:sz w:val="28"/>
              </w:rPr>
              <w:t>翁运良</w:t>
            </w:r>
          </w:p>
        </w:tc>
        <w:tc>
          <w:tcPr>
            <w:tcW w:w="1796" w:type="dxa"/>
            <w:tcBorders>
              <w:tl2br w:val="nil"/>
              <w:tr2bl w:val="nil"/>
            </w:tcBorders>
            <w:shd w:val="clear" w:color="auto" w:fill="auto"/>
            <w:vAlign w:val="center"/>
          </w:tcPr>
          <w:p>
            <w:pPr>
              <w:pStyle w:val="32"/>
              <w:ind w:firstLine="0"/>
              <w:rPr>
                <w:rFonts w:ascii="Times New Roman" w:hAnsi="Times New Roman"/>
                <w:sz w:val="28"/>
              </w:rPr>
            </w:pPr>
            <w:r>
              <w:rPr>
                <w:rFonts w:ascii="Times New Roman" w:hAnsi="Times New Roman"/>
                <w:sz w:val="28"/>
              </w:rPr>
              <w:t>4620150008</w:t>
            </w:r>
          </w:p>
        </w:tc>
        <w:tc>
          <w:tcPr>
            <w:tcW w:w="4049" w:type="dxa"/>
            <w:tcBorders>
              <w:tl2br w:val="nil"/>
              <w:tr2bl w:val="nil"/>
            </w:tcBorders>
            <w:shd w:val="clear" w:color="auto" w:fill="auto"/>
            <w:vAlign w:val="center"/>
          </w:tcPr>
          <w:p>
            <w:pPr>
              <w:pStyle w:val="32"/>
              <w:ind w:firstLine="0"/>
              <w:rPr>
                <w:rFonts w:ascii="Times New Roman" w:hAnsi="Times New Roman"/>
                <w:sz w:val="28"/>
              </w:rPr>
            </w:pPr>
          </w:p>
        </w:tc>
        <w:tc>
          <w:tcPr>
            <w:tcW w:w="2524" w:type="dxa"/>
            <w:tcBorders>
              <w:tl2br w:val="nil"/>
              <w:tr2bl w:val="nil"/>
            </w:tcBorders>
            <w:shd w:val="clear" w:color="auto" w:fill="auto"/>
            <w:vAlign w:val="center"/>
          </w:tcPr>
          <w:p>
            <w:pPr>
              <w:pStyle w:val="32"/>
              <w:ind w:firstLine="0"/>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 MergeField "出具日" </w:instrText>
            </w:r>
            <w:r>
              <w:rPr>
                <w:rFonts w:ascii="Times New Roman" w:hAnsi="Times New Roman"/>
                <w:sz w:val="28"/>
              </w:rPr>
              <w:fldChar w:fldCharType="separate"/>
            </w:r>
            <w:r>
              <w:rPr>
                <w:rFonts w:ascii="Times New Roman" w:hAnsi="Times New Roman"/>
                <w:sz w:val="28"/>
              </w:rPr>
              <w:t>2022年9月23日</w:t>
            </w:r>
            <w:r>
              <w:rPr>
                <w:rFonts w:ascii="Times New Roman" w:hAnsi="Times New Roman"/>
                <w:sz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7" w:hRule="atLeast"/>
          <w:jc w:val="center"/>
        </w:trPr>
        <w:tc>
          <w:tcPr>
            <w:tcW w:w="1206" w:type="dxa"/>
            <w:tcBorders>
              <w:tl2br w:val="nil"/>
              <w:tr2bl w:val="nil"/>
            </w:tcBorders>
            <w:shd w:val="clear" w:color="auto" w:fill="auto"/>
            <w:vAlign w:val="center"/>
          </w:tcPr>
          <w:p>
            <w:pPr>
              <w:pStyle w:val="32"/>
              <w:ind w:firstLine="0"/>
              <w:rPr>
                <w:rFonts w:ascii="Times New Roman" w:hAnsi="Times New Roman"/>
                <w:sz w:val="28"/>
              </w:rPr>
            </w:pPr>
            <w:r>
              <w:rPr>
                <w:rFonts w:ascii="Times New Roman" w:hAnsi="Times New Roman"/>
                <w:sz w:val="28"/>
              </w:rPr>
              <w:t>郑在乐</w:t>
            </w:r>
          </w:p>
        </w:tc>
        <w:tc>
          <w:tcPr>
            <w:tcW w:w="1796" w:type="dxa"/>
            <w:tcBorders>
              <w:tl2br w:val="nil"/>
              <w:tr2bl w:val="nil"/>
            </w:tcBorders>
            <w:shd w:val="clear" w:color="auto" w:fill="auto"/>
            <w:vAlign w:val="center"/>
          </w:tcPr>
          <w:p>
            <w:pPr>
              <w:pStyle w:val="32"/>
              <w:ind w:firstLine="0"/>
              <w:rPr>
                <w:rFonts w:ascii="Times New Roman" w:hAnsi="Times New Roman"/>
                <w:sz w:val="28"/>
              </w:rPr>
            </w:pPr>
            <w:r>
              <w:rPr>
                <w:rFonts w:ascii="Times New Roman" w:hAnsi="Times New Roman"/>
                <w:sz w:val="28"/>
              </w:rPr>
              <w:t>4620180022</w:t>
            </w:r>
          </w:p>
        </w:tc>
        <w:tc>
          <w:tcPr>
            <w:tcW w:w="4049" w:type="dxa"/>
            <w:tcBorders>
              <w:tl2br w:val="nil"/>
              <w:tr2bl w:val="nil"/>
            </w:tcBorders>
            <w:shd w:val="clear" w:color="auto" w:fill="auto"/>
            <w:vAlign w:val="center"/>
          </w:tcPr>
          <w:p>
            <w:pPr>
              <w:pStyle w:val="32"/>
              <w:ind w:firstLine="0"/>
              <w:rPr>
                <w:rFonts w:ascii="Times New Roman" w:hAnsi="Times New Roman"/>
                <w:sz w:val="28"/>
              </w:rPr>
            </w:pPr>
          </w:p>
        </w:tc>
        <w:tc>
          <w:tcPr>
            <w:tcW w:w="2524" w:type="dxa"/>
            <w:tcBorders>
              <w:tl2br w:val="nil"/>
              <w:tr2bl w:val="nil"/>
            </w:tcBorders>
            <w:shd w:val="clear" w:color="auto" w:fill="auto"/>
            <w:vAlign w:val="center"/>
          </w:tcPr>
          <w:p>
            <w:pPr>
              <w:pStyle w:val="32"/>
              <w:ind w:firstLine="0"/>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MERGEFIELD "出具日"  </w:instrText>
            </w:r>
            <w:r>
              <w:rPr>
                <w:rFonts w:ascii="Times New Roman" w:hAnsi="Times New Roman"/>
                <w:sz w:val="28"/>
              </w:rPr>
              <w:fldChar w:fldCharType="separate"/>
            </w:r>
            <w:r>
              <w:rPr>
                <w:rFonts w:ascii="Times New Roman" w:hAnsi="Times New Roman"/>
                <w:sz w:val="28"/>
              </w:rPr>
              <w:t>2022年9月23日</w:t>
            </w:r>
            <w:r>
              <w:rPr>
                <w:rFonts w:ascii="Times New Roman" w:hAnsi="Times New Roman"/>
                <w:sz w:val="28"/>
              </w:rPr>
              <w:fldChar w:fldCharType="end"/>
            </w:r>
          </w:p>
        </w:tc>
      </w:tr>
    </w:tbl>
    <w:p>
      <w:pPr>
        <w:pStyle w:val="28"/>
        <w:rPr>
          <w:rFonts w:ascii="Times New Roman" w:hAnsi="Times New Roman"/>
        </w:rPr>
      </w:pPr>
      <w:bookmarkStart w:id="17" w:name="_Toc305778543"/>
      <w:bookmarkStart w:id="18" w:name="_Toc335404392"/>
      <w:bookmarkStart w:id="19" w:name="_Toc237161507"/>
      <w:bookmarkStart w:id="20" w:name="_Toc305778449"/>
      <w:bookmarkStart w:id="21" w:name="_Toc305778694"/>
      <w:bookmarkStart w:id="22" w:name="_Toc305778811"/>
    </w:p>
    <w:p>
      <w:pPr>
        <w:pStyle w:val="2"/>
        <w:spacing w:before="381" w:beforeLines="0"/>
        <w:rPr>
          <w:rFonts w:ascii="Times New Roman" w:hAnsi="Times New Roman" w:eastAsia="仿宋_GB2312"/>
        </w:rPr>
      </w:pPr>
      <w:r>
        <w:rPr>
          <w:rFonts w:ascii="Times New Roman" w:hAnsi="Times New Roman" w:eastAsia="仿宋_GB2312"/>
        </w:rPr>
        <w:br w:type="page"/>
      </w:r>
      <w:bookmarkStart w:id="23" w:name="_Toc48573729"/>
      <w:r>
        <w:rPr>
          <w:rFonts w:ascii="Times New Roman" w:hAnsi="Times New Roman" w:eastAsia="仿宋_GB2312"/>
        </w:rPr>
        <w:t>估价的假设和限制条件</w:t>
      </w:r>
      <w:bookmarkEnd w:id="17"/>
      <w:bookmarkEnd w:id="18"/>
      <w:bookmarkEnd w:id="19"/>
      <w:bookmarkEnd w:id="20"/>
      <w:bookmarkEnd w:id="21"/>
      <w:bookmarkEnd w:id="22"/>
      <w:bookmarkEnd w:id="23"/>
    </w:p>
    <w:p>
      <w:pPr>
        <w:pStyle w:val="28"/>
        <w:rPr>
          <w:rFonts w:ascii="Times New Roman" w:hAnsi="Times New Roman"/>
          <w:b/>
        </w:rPr>
      </w:pPr>
      <w:r>
        <w:rPr>
          <w:rFonts w:ascii="Times New Roman" w:hAnsi="Times New Roman"/>
          <w:b/>
        </w:rPr>
        <w:t>一、本估价报告的估价假设条件</w:t>
      </w:r>
    </w:p>
    <w:p>
      <w:pPr>
        <w:pStyle w:val="28"/>
        <w:spacing w:line="480" w:lineRule="exact"/>
        <w:rPr>
          <w:rFonts w:ascii="Times New Roman" w:hAnsi="Times New Roman"/>
        </w:rPr>
      </w:pPr>
      <w:r>
        <w:rPr>
          <w:rFonts w:ascii="Times New Roman" w:hAnsi="Times New Roman"/>
        </w:rPr>
        <w:t>房地产估价报告的估价假设条件包括一般假设、未定事项假设、背离事实假设、不相一致假设、依据不足假设等方面的假设条件。本估价报告的估价假设条件如下：</w:t>
      </w:r>
    </w:p>
    <w:p>
      <w:pPr>
        <w:pStyle w:val="28"/>
        <w:spacing w:line="480" w:lineRule="exact"/>
        <w:rPr>
          <w:rFonts w:ascii="Times New Roman" w:hAnsi="Times New Roman"/>
          <w:b/>
          <w:kern w:val="0"/>
        </w:rPr>
      </w:pPr>
      <w:r>
        <w:rPr>
          <w:rFonts w:ascii="Times New Roman" w:hAnsi="Times New Roman"/>
          <w:b/>
          <w:kern w:val="0"/>
        </w:rPr>
        <w:t>1、</w:t>
      </w:r>
      <w:r>
        <w:rPr>
          <w:rFonts w:ascii="Times New Roman" w:hAnsi="Times New Roman"/>
          <w:b/>
        </w:rPr>
        <w:t>一般假设</w:t>
      </w:r>
    </w:p>
    <w:p>
      <w:pPr>
        <w:spacing w:line="480" w:lineRule="exact"/>
        <w:ind w:firstLine="540" w:firstLineChars="200"/>
        <w:rPr>
          <w:rFonts w:ascii="Times New Roman" w:hAnsi="Times New Roman"/>
        </w:rPr>
      </w:pPr>
      <w:r>
        <w:rPr>
          <w:rFonts w:ascii="Times New Roman" w:hAnsi="Times New Roman"/>
        </w:rPr>
        <w:t>（1）本估价报告所依据的有关资料由估价委托方提供，估价委托方对资料的合法性、真实性、准确性和完整性负责，因资料失实造成评估结果有误的，估价机构和估价人员不承担相应的责任。</w:t>
      </w:r>
    </w:p>
    <w:p>
      <w:pPr>
        <w:spacing w:line="480" w:lineRule="exact"/>
        <w:ind w:firstLine="540" w:firstLineChars="200"/>
        <w:rPr>
          <w:rFonts w:ascii="Times New Roman" w:hAnsi="Times New Roman"/>
        </w:rPr>
      </w:pPr>
      <w:r>
        <w:rPr>
          <w:rFonts w:ascii="Times New Roman" w:hAnsi="Times New Roman"/>
        </w:rPr>
        <w:t>（2）本报告的假设是建立在审慎检查估价所依据资料、尽职调查情况及对估价对象状况进行了必要关注的基础之上的。</w:t>
      </w:r>
    </w:p>
    <w:p>
      <w:pPr>
        <w:spacing w:line="480" w:lineRule="exact"/>
        <w:ind w:firstLine="540" w:firstLineChars="200"/>
        <w:rPr>
          <w:rFonts w:ascii="Times New Roman" w:hAnsi="Times New Roman"/>
        </w:rPr>
      </w:pPr>
      <w:r>
        <w:rPr>
          <w:rFonts w:ascii="Times New Roman" w:hAnsi="Times New Roman"/>
        </w:rPr>
        <w:t>（3）假设估价对象能按照法定用途持续使用。</w:t>
      </w:r>
    </w:p>
    <w:p>
      <w:pPr>
        <w:spacing w:line="480" w:lineRule="exact"/>
        <w:ind w:firstLine="540" w:firstLineChars="200"/>
        <w:rPr>
          <w:rFonts w:ascii="Times New Roman" w:hAnsi="Times New Roman"/>
        </w:rPr>
      </w:pPr>
      <w:r>
        <w:rPr>
          <w:rFonts w:ascii="Times New Roman" w:hAnsi="Times New Roman"/>
        </w:rPr>
        <w:t>（4）假设报告使用期限内房地产、建筑市场价格没有太大波动。</w:t>
      </w:r>
    </w:p>
    <w:p>
      <w:pPr>
        <w:spacing w:line="480" w:lineRule="exact"/>
        <w:ind w:firstLine="540" w:firstLineChars="200"/>
        <w:rPr>
          <w:rFonts w:ascii="Times New Roman" w:hAnsi="Times New Roman"/>
        </w:rPr>
      </w:pPr>
      <w:r>
        <w:rPr>
          <w:rFonts w:ascii="Times New Roman" w:hAnsi="Times New Roman"/>
        </w:rPr>
        <w:t>（5）假设报告使用期限内政府有关税率、利率政策是稳定的。</w:t>
      </w:r>
    </w:p>
    <w:p>
      <w:pPr>
        <w:spacing w:line="480" w:lineRule="exact"/>
        <w:ind w:firstLine="540" w:firstLineChars="200"/>
        <w:rPr>
          <w:rFonts w:ascii="Times New Roman" w:hAnsi="Times New Roman"/>
        </w:rPr>
      </w:pPr>
      <w:r>
        <w:rPr>
          <w:rFonts w:ascii="Times New Roman" w:hAnsi="Times New Roman"/>
        </w:rPr>
        <w:t>（6）根据估价对象的产权证书资料，本估价报告假设估价对象证载产权人拥有估价对象的完全产权，权属清晰。</w:t>
      </w:r>
    </w:p>
    <w:p>
      <w:pPr>
        <w:spacing w:line="480" w:lineRule="exact"/>
        <w:ind w:firstLine="540" w:firstLineChars="200"/>
        <w:rPr>
          <w:rFonts w:ascii="Times New Roman" w:hAnsi="Times New Roman"/>
        </w:rPr>
      </w:pPr>
      <w:r>
        <w:rPr>
          <w:rFonts w:ascii="Times New Roman" w:hAnsi="Times New Roman"/>
        </w:rPr>
        <w:t>（7）注册房地产估价师及参与估价人员未对估价对象的建筑面积进行测量，而是以权属证书标明的面积为准。</w:t>
      </w:r>
    </w:p>
    <w:p>
      <w:pPr>
        <w:spacing w:line="480" w:lineRule="exact"/>
        <w:ind w:firstLine="540" w:firstLineChars="200"/>
        <w:rPr>
          <w:rFonts w:ascii="Times New Roman" w:hAnsi="Times New Roman"/>
        </w:rPr>
      </w:pPr>
      <w:r>
        <w:rPr>
          <w:rFonts w:ascii="Times New Roman" w:hAnsi="Times New Roman"/>
        </w:rPr>
        <w:t>（8）我们已对估价对象进行了实地查勘，参与实地查勘的注册房地产估价师及参与估价人员有翁运良、周国炜，查勘人员对估价对象进行实地查勘，仅限于估价对象的外观与使用状况，不承担对估价对象建筑结构质量及被遮盖、未暴露及难于接触到的部位进行检视的责任。</w:t>
      </w:r>
    </w:p>
    <w:p>
      <w:pPr>
        <w:pStyle w:val="28"/>
        <w:spacing w:line="480" w:lineRule="exact"/>
        <w:rPr>
          <w:rFonts w:ascii="Times New Roman" w:hAnsi="Times New Roman"/>
          <w:bCs/>
        </w:rPr>
      </w:pPr>
      <w:r>
        <w:rPr>
          <w:rStyle w:val="24"/>
          <w:rFonts w:ascii="Times New Roman" w:hAnsi="Times New Roman"/>
          <w:b w:val="0"/>
          <w:bCs w:val="0"/>
        </w:rPr>
        <w:t>（9）</w:t>
      </w:r>
      <w:r>
        <w:rPr>
          <w:rFonts w:ascii="Times New Roman" w:hAnsi="Times New Roman"/>
        </w:rPr>
        <w:t>截至本次报告出具日，估价委托方未能提供估价对象的产权证书，其房屋建筑</w:t>
      </w:r>
      <w:r>
        <w:rPr>
          <w:rFonts w:ascii="Times New Roman" w:hAnsi="Times New Roman"/>
          <w:bCs/>
        </w:rPr>
        <w:t>面积、房屋用途、房屋性质等信息状况，均以委托方提供相对应的《不动产登记信息查询情况说明》记载内容为依据，做为本次估价测算前提假设，如若上述假设与不动产等有关部门认定不符，应对本报告重新进行调整。</w:t>
      </w:r>
    </w:p>
    <w:p>
      <w:pPr>
        <w:pBdr>
          <w:top w:val="none" w:color="auto" w:sz="0" w:space="0"/>
          <w:left w:val="none" w:color="auto" w:sz="0" w:space="0"/>
          <w:bottom w:val="none" w:color="auto" w:sz="0" w:space="0"/>
          <w:right w:val="none" w:color="auto" w:sz="0" w:space="0"/>
        </w:pBdr>
        <w:spacing w:line="480" w:lineRule="exact"/>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w:t>
      </w:r>
      <w:r>
        <w:rPr>
          <w:rFonts w:ascii="Times New Roman" w:hAnsi="Times New Roman" w:eastAsia="仿宋_GB2312" w:cs="Times New Roman"/>
          <w:vanish w:val="0"/>
          <w:kern w:val="2"/>
          <w:sz w:val="28"/>
          <w:szCs w:val="28"/>
        </w:rPr>
        <w:t>10</w:t>
      </w:r>
      <w:r>
        <w:rPr>
          <w:rFonts w:hint="eastAsia" w:ascii="仿宋_GB2312" w:eastAsia="仿宋_GB2312" w:cs="Times New Roman"/>
          <w:vanish w:val="0"/>
          <w:kern w:val="2"/>
          <w:sz w:val="28"/>
          <w:szCs w:val="28"/>
        </w:rPr>
        <w:t>）本次评估结果是以估价委托方提供的现有资料为前提。</w:t>
      </w:r>
    </w:p>
    <w:p>
      <w:pPr>
        <w:pStyle w:val="28"/>
        <w:spacing w:line="480" w:lineRule="exact"/>
        <w:rPr>
          <w:rStyle w:val="24"/>
          <w:rFonts w:ascii="Times New Roman" w:hAnsi="Times New Roman"/>
        </w:rPr>
      </w:pPr>
      <w:r>
        <w:rPr>
          <w:rStyle w:val="24"/>
          <w:rFonts w:ascii="Times New Roman" w:hAnsi="Times New Roman"/>
        </w:rPr>
        <w:t>2、未定事项假设</w:t>
      </w:r>
    </w:p>
    <w:p>
      <w:pPr>
        <w:pBdr>
          <w:top w:val="none" w:color="auto" w:sz="0" w:space="0"/>
          <w:left w:val="none" w:color="auto" w:sz="0" w:space="0"/>
          <w:bottom w:val="none" w:color="auto" w:sz="0" w:space="0"/>
          <w:right w:val="none" w:color="auto" w:sz="0" w:space="0"/>
        </w:pBdr>
        <w:spacing w:line="480" w:lineRule="exact"/>
        <w:rPr>
          <w:rFonts w:ascii="Times New Roman" w:hAnsi="Times New Roman"/>
        </w:rPr>
      </w:pPr>
      <w:r>
        <w:rPr>
          <w:rFonts w:ascii="Times New Roman" w:hAnsi="Times New Roman"/>
        </w:rPr>
        <w:t>由于估价委托人提供的《司法评估鉴定委托书》未明确价值时点，本次评估以估价人员实地查勘日2022年9月15日作为价值时点。</w:t>
      </w:r>
    </w:p>
    <w:p>
      <w:pPr>
        <w:pStyle w:val="28"/>
        <w:spacing w:line="480" w:lineRule="exact"/>
        <w:rPr>
          <w:rFonts w:ascii="Times New Roman" w:hAnsi="Times New Roman"/>
          <w:b/>
        </w:rPr>
      </w:pPr>
      <w:r>
        <w:rPr>
          <w:rFonts w:ascii="Times New Roman" w:hAnsi="Times New Roman"/>
          <w:b/>
        </w:rPr>
        <w:t>3、背离事实假设</w:t>
      </w:r>
    </w:p>
    <w:p>
      <w:pPr>
        <w:rPr>
          <w:rFonts w:ascii="Times New Roman" w:hAnsi="Times New Roman"/>
          <w:kern w:val="2"/>
          <w:sz w:val="28"/>
          <w:szCs w:val="28"/>
        </w:rPr>
      </w:pPr>
      <w:r>
        <w:rPr>
          <w:rFonts w:ascii="Times New Roman" w:hAnsi="Times New Roman"/>
          <w:kern w:val="2"/>
          <w:sz w:val="28"/>
          <w:szCs w:val="28"/>
        </w:rPr>
        <w:t>无背离事实假设。</w:t>
      </w:r>
    </w:p>
    <w:p>
      <w:pPr>
        <w:pStyle w:val="28"/>
        <w:spacing w:line="480" w:lineRule="exact"/>
        <w:rPr>
          <w:rFonts w:ascii="Times New Roman" w:hAnsi="Times New Roman"/>
          <w:b/>
        </w:rPr>
      </w:pPr>
      <w:r>
        <w:rPr>
          <w:rFonts w:ascii="Times New Roman" w:hAnsi="Times New Roman"/>
          <w:b/>
        </w:rPr>
        <w:t>4、不相一致假设</w:t>
      </w:r>
    </w:p>
    <w:p>
      <w:r>
        <w:rPr>
          <w:rFonts w:hint="eastAsia" w:ascii="仿宋_GB2312" w:eastAsia="仿宋_GB2312"/>
          <w:kern w:val="2"/>
          <w:sz w:val="28"/>
          <w:szCs w:val="28"/>
        </w:rPr>
        <w:t>根据估价委托方提供资料显示，估价对象</w:t>
      </w:r>
      <w:r>
        <w:rPr>
          <w:rFonts w:hint="eastAsia" w:ascii="仿宋_GB2312" w:eastAsia="仿宋_GB2312" w:cs="Times New Roman"/>
          <w:kern w:val="2"/>
          <w:sz w:val="28"/>
          <w:szCs w:val="28"/>
        </w:rPr>
        <w:t>均</w:t>
      </w:r>
      <w:r>
        <w:rPr>
          <w:rFonts w:hint="eastAsia" w:ascii="仿宋_GB2312" w:eastAsia="仿宋_GB2312"/>
          <w:kern w:val="2"/>
          <w:sz w:val="28"/>
          <w:szCs w:val="28"/>
        </w:rPr>
        <w:t>于鉴定价值时点前已</w:t>
      </w:r>
      <w:r>
        <w:rPr>
          <w:rFonts w:hint="eastAsia" w:ascii="仿宋_GB2312" w:eastAsia="仿宋_GB2312" w:cs="Times New Roman"/>
          <w:kern w:val="2"/>
          <w:sz w:val="28"/>
          <w:szCs w:val="28"/>
        </w:rPr>
        <w:t>抵押</w:t>
      </w:r>
      <w:r>
        <w:rPr>
          <w:rFonts w:hint="eastAsia" w:ascii="仿宋_GB2312" w:eastAsia="仿宋_GB2312"/>
          <w:kern w:val="2"/>
          <w:sz w:val="28"/>
          <w:szCs w:val="28"/>
        </w:rPr>
        <w:t>。根据本次鉴定目的，依《房地产估价规范》中房地产司法拍卖估价规定，即评估价值不应包括拍卖房地产被查封及被拍卖房地产上原有担保物权和其他优先受偿权的房地产瑕疵因素影响，故本次评估不考虑查封及抵押担保对估价对象价值的影响。</w:t>
      </w:r>
    </w:p>
    <w:p>
      <w:pPr>
        <w:pBdr>
          <w:top w:val="none" w:color="auto" w:sz="0" w:space="0"/>
          <w:left w:val="none" w:color="auto" w:sz="0" w:space="0"/>
          <w:bottom w:val="none" w:color="auto" w:sz="0" w:space="0"/>
          <w:right w:val="none" w:color="auto" w:sz="0" w:space="0"/>
        </w:pBdr>
        <w:spacing w:line="480" w:lineRule="exact"/>
        <w:ind w:firstLine="540" w:firstLineChars="200"/>
        <w:rPr>
          <w:rFonts w:ascii="Times New Roman" w:hAnsi="Times New Roman"/>
          <w:b/>
        </w:rPr>
      </w:pPr>
      <w:r>
        <w:rPr>
          <w:rFonts w:ascii="Times New Roman" w:hAnsi="Times New Roman"/>
          <w:b/>
        </w:rPr>
        <w:t>5、依据不足假设</w:t>
      </w:r>
    </w:p>
    <w:p>
      <w:r>
        <w:rPr>
          <w:rFonts w:hint="eastAsia" w:ascii="仿宋_GB2312" w:eastAsia="仿宋_GB2312" w:cs="Times New Roman"/>
          <w:kern w:val="2"/>
          <w:sz w:val="28"/>
          <w:szCs w:val="28"/>
        </w:rPr>
        <w:t>在价值时点202</w:t>
      </w:r>
      <w:r>
        <w:rPr>
          <w:rFonts w:ascii="仿宋_GB2312" w:eastAsia="仿宋_GB2312" w:cs="Times New Roman"/>
          <w:kern w:val="2"/>
          <w:sz w:val="28"/>
          <w:szCs w:val="28"/>
        </w:rPr>
        <w:t>2</w:t>
      </w:r>
      <w:r>
        <w:rPr>
          <w:rFonts w:hint="eastAsia" w:ascii="仿宋_GB2312" w:eastAsia="仿宋_GB2312" w:cs="Times New Roman"/>
          <w:kern w:val="2"/>
          <w:sz w:val="28"/>
          <w:szCs w:val="28"/>
        </w:rPr>
        <w:t>年</w:t>
      </w:r>
      <w:r>
        <w:rPr>
          <w:rFonts w:ascii="仿宋_GB2312" w:eastAsia="仿宋_GB2312" w:cs="Times New Roman"/>
          <w:kern w:val="2"/>
          <w:sz w:val="28"/>
          <w:szCs w:val="28"/>
        </w:rPr>
        <w:t>9</w:t>
      </w:r>
      <w:r>
        <w:rPr>
          <w:rFonts w:hint="eastAsia" w:ascii="仿宋_GB2312" w:eastAsia="仿宋_GB2312" w:cs="Times New Roman"/>
          <w:kern w:val="2"/>
          <w:sz w:val="28"/>
          <w:szCs w:val="28"/>
        </w:rPr>
        <w:t>月</w:t>
      </w:r>
      <w:r>
        <w:rPr>
          <w:rFonts w:ascii="仿宋_GB2312" w:eastAsia="仿宋_GB2312" w:cs="Times New Roman"/>
          <w:kern w:val="2"/>
          <w:sz w:val="28"/>
          <w:szCs w:val="28"/>
        </w:rPr>
        <w:t>15</w:t>
      </w:r>
      <w:r>
        <w:rPr>
          <w:rFonts w:hint="eastAsia" w:ascii="仿宋_GB2312" w:eastAsia="仿宋_GB2312" w:cs="Times New Roman"/>
          <w:kern w:val="2"/>
          <w:sz w:val="28"/>
          <w:szCs w:val="28"/>
        </w:rPr>
        <w:t>日，</w:t>
      </w:r>
      <w:r>
        <w:rPr>
          <w:rFonts w:hint="eastAsia"/>
          <w:bCs/>
          <w:snapToGrid w:val="0"/>
          <w:lang w:val="en-US" w:eastAsia="zh-CN"/>
        </w:rPr>
        <w:fldChar w:fldCharType="begin"/>
      </w:r>
      <w:r>
        <w:rPr>
          <w:rFonts w:hint="eastAsia"/>
          <w:bCs/>
          <w:snapToGrid w:val="0"/>
          <w:lang w:val="en-US" w:eastAsia="zh-CN"/>
        </w:rPr>
        <w:instrText xml:space="preserve"> MERGEFIELD 委托方 </w:instrText>
      </w:r>
      <w:r>
        <w:rPr>
          <w:rFonts w:hint="eastAsia"/>
          <w:bCs/>
          <w:snapToGrid w:val="0"/>
          <w:lang w:val="en-US" w:eastAsia="zh-CN"/>
        </w:rPr>
        <w:fldChar w:fldCharType="separate"/>
      </w:r>
      <w:r>
        <w:rPr>
          <w:rFonts w:hint="eastAsia"/>
          <w:bCs/>
          <w:snapToGrid w:val="0"/>
          <w:lang w:val="en-US" w:eastAsia="zh-CN"/>
        </w:rPr>
        <w:t>海南省第一中级人民法院</w:t>
      </w:r>
      <w:r>
        <w:rPr>
          <w:rFonts w:hint="eastAsia"/>
          <w:bCs/>
          <w:snapToGrid w:val="0"/>
          <w:lang w:val="en-US" w:eastAsia="zh-CN"/>
        </w:rPr>
        <w:fldChar w:fldCharType="end"/>
      </w:r>
      <w:r>
        <w:rPr>
          <w:rFonts w:hint="eastAsia" w:ascii="仿宋_GB2312" w:eastAsia="仿宋_GB2312" w:cs="Times New Roman"/>
          <w:kern w:val="2"/>
          <w:sz w:val="28"/>
          <w:szCs w:val="28"/>
        </w:rPr>
        <w:t>组织当事人及鉴定单位共同对估价对象进行实地查勘。</w:t>
      </w:r>
      <w:r>
        <w:rPr>
          <w:rFonts w:ascii="仿宋_GB2312" w:eastAsia="仿宋_GB2312" w:cs="Times New Roman"/>
          <w:kern w:val="2"/>
          <w:sz w:val="28"/>
          <w:szCs w:val="28"/>
        </w:rPr>
        <w:t>被申请</w:t>
      </w:r>
      <w:r>
        <w:rPr>
          <w:rFonts w:hint="eastAsia" w:ascii="仿宋_GB2312" w:eastAsia="仿宋_GB2312" w:cs="Times New Roman"/>
          <w:kern w:val="2"/>
          <w:sz w:val="28"/>
          <w:szCs w:val="28"/>
        </w:rPr>
        <w:t>人</w:t>
      </w:r>
      <w:r>
        <w:rPr>
          <w:rFonts w:ascii="仿宋_GB2312" w:eastAsia="仿宋_GB2312" w:cs="Times New Roman"/>
          <w:kern w:val="2"/>
          <w:sz w:val="28"/>
          <w:szCs w:val="28"/>
        </w:rPr>
        <w:t>张学现羁押于文昌市看守所未到现</w:t>
      </w:r>
      <w:r>
        <w:rPr>
          <w:rFonts w:hint="eastAsia" w:ascii="仿宋_GB2312" w:eastAsia="仿宋_GB2312" w:cs="Times New Roman"/>
          <w:kern w:val="2"/>
          <w:sz w:val="28"/>
          <w:szCs w:val="28"/>
        </w:rPr>
        <w:t>场。</w:t>
      </w:r>
    </w:p>
    <w:p>
      <w:pPr>
        <w:pStyle w:val="28"/>
        <w:pBdr>
          <w:top w:val="none" w:color="auto" w:sz="0" w:space="0"/>
          <w:left w:val="none" w:color="auto" w:sz="0" w:space="0"/>
          <w:bottom w:val="none" w:color="auto" w:sz="0" w:space="0"/>
          <w:right w:val="none" w:color="auto" w:sz="0" w:space="0"/>
        </w:pBdr>
        <w:ind w:firstLine="540" w:firstLineChars="200"/>
        <w:rPr>
          <w:rFonts w:ascii="仿宋_GB2312" w:eastAsia="仿宋_GB2312" w:cs="Times New Roman"/>
          <w:vanish w:val="0"/>
          <w:kern w:val="2"/>
          <w:sz w:val="28"/>
          <w:szCs w:val="28"/>
        </w:rPr>
      </w:pPr>
      <w:r>
        <w:rPr>
          <w:rFonts w:hint="eastAsia" w:ascii="仿宋_GB2312" w:eastAsia="仿宋_GB2312" w:cs="Times New Roman"/>
          <w:vanish w:val="0"/>
          <w:kern w:val="2"/>
          <w:sz w:val="28"/>
          <w:szCs w:val="28"/>
        </w:rPr>
        <w:t>因</w:t>
      </w:r>
      <w:r>
        <w:rPr>
          <w:rFonts w:ascii="仿宋_GB2312" w:eastAsia="仿宋_GB2312" w:cs="Times New Roman"/>
          <w:kern w:val="2"/>
          <w:sz w:val="28"/>
          <w:szCs w:val="28"/>
        </w:rPr>
        <w:t>被申请</w:t>
      </w:r>
      <w:r>
        <w:rPr>
          <w:rFonts w:hint="eastAsia" w:ascii="仿宋_GB2312" w:eastAsia="仿宋_GB2312" w:cs="Times New Roman"/>
          <w:kern w:val="2"/>
          <w:sz w:val="28"/>
          <w:szCs w:val="28"/>
        </w:rPr>
        <w:t>人</w:t>
      </w:r>
      <w:r>
        <w:rPr>
          <w:rFonts w:ascii="仿宋_GB2312" w:eastAsia="仿宋_GB2312" w:cs="Times New Roman"/>
          <w:kern w:val="2"/>
          <w:sz w:val="28"/>
          <w:szCs w:val="28"/>
        </w:rPr>
        <w:t>张学及其亲属未到现场</w:t>
      </w:r>
      <w:r>
        <w:rPr>
          <w:rFonts w:hint="eastAsia" w:ascii="仿宋_GB2312" w:eastAsia="仿宋_GB2312" w:cs="Times New Roman"/>
          <w:vanish w:val="0"/>
          <w:kern w:val="2"/>
          <w:sz w:val="28"/>
          <w:szCs w:val="28"/>
        </w:rPr>
        <w:t>，评估专业人员未能进入估价对象室内查勘</w:t>
      </w:r>
      <w:r>
        <w:rPr>
          <w:rFonts w:ascii="仿宋_GB2312" w:eastAsia="仿宋_GB2312" w:cs="Times New Roman"/>
          <w:vanish w:val="0"/>
          <w:kern w:val="2"/>
          <w:sz w:val="28"/>
          <w:szCs w:val="28"/>
        </w:rPr>
        <w:t>。</w:t>
      </w:r>
      <w:r>
        <w:rPr>
          <w:rFonts w:hint="eastAsia"/>
          <w:bCs/>
          <w:snapToGrid w:val="0"/>
          <w:lang w:val="en-US" w:eastAsia="zh-CN"/>
        </w:rPr>
        <w:fldChar w:fldCharType="begin"/>
      </w:r>
      <w:r>
        <w:rPr>
          <w:rFonts w:hint="eastAsia"/>
          <w:bCs/>
          <w:snapToGrid w:val="0"/>
          <w:lang w:val="en-US" w:eastAsia="zh-CN"/>
        </w:rPr>
        <w:instrText xml:space="preserve"> MERGEFIELD 委托方 </w:instrText>
      </w:r>
      <w:r>
        <w:rPr>
          <w:rFonts w:hint="eastAsia"/>
          <w:bCs/>
          <w:snapToGrid w:val="0"/>
          <w:lang w:val="en-US" w:eastAsia="zh-CN"/>
        </w:rPr>
        <w:fldChar w:fldCharType="separate"/>
      </w:r>
      <w:r>
        <w:rPr>
          <w:rFonts w:hint="eastAsia"/>
          <w:bCs/>
          <w:snapToGrid w:val="0"/>
          <w:lang w:val="en-US" w:eastAsia="zh-CN"/>
        </w:rPr>
        <w:t>海南省第一中级人民法院</w:t>
      </w:r>
      <w:r>
        <w:rPr>
          <w:rFonts w:hint="eastAsia"/>
          <w:bCs/>
          <w:snapToGrid w:val="0"/>
          <w:lang w:val="en-US" w:eastAsia="zh-CN"/>
        </w:rPr>
        <w:fldChar w:fldCharType="end"/>
      </w:r>
      <w:r>
        <w:rPr>
          <w:bCs/>
          <w:snapToGrid w:val="0"/>
          <w:lang w:val="en-US" w:eastAsia="zh-CN"/>
        </w:rPr>
        <w:t>及鉴定单位到估价对象所在小区物业管理处了解估价对象的状况，据物业管理工作人员反馈，估价对象室内为毛坯状况，存在欠缴物业费用的情况。</w:t>
      </w:r>
    </w:p>
    <w:p>
      <w:pPr>
        <w:pStyle w:val="28"/>
        <w:pBdr>
          <w:top w:val="none" w:color="auto" w:sz="0" w:space="0"/>
          <w:left w:val="none" w:color="auto" w:sz="0" w:space="0"/>
          <w:bottom w:val="none" w:color="auto" w:sz="0" w:space="0"/>
          <w:right w:val="none" w:color="auto" w:sz="0" w:space="0"/>
        </w:pBdr>
        <w:ind w:firstLine="540" w:firstLineChars="200"/>
      </w:pPr>
      <w:r>
        <w:rPr>
          <w:rFonts w:ascii="仿宋_GB2312" w:eastAsia="仿宋_GB2312" w:cs="Times New Roman"/>
          <w:vanish w:val="0"/>
          <w:kern w:val="2"/>
          <w:sz w:val="28"/>
          <w:szCs w:val="28"/>
        </w:rPr>
        <w:t>在</w:t>
      </w:r>
      <w:r>
        <w:rPr>
          <w:bCs/>
          <w:snapToGrid w:val="0"/>
          <w:lang w:val="en-US" w:eastAsia="zh-CN"/>
        </w:rPr>
        <w:t>物业管理工作人员的帮助下，</w:t>
      </w:r>
      <w:r>
        <w:rPr>
          <w:rFonts w:hint="eastAsia"/>
          <w:bCs/>
          <w:snapToGrid w:val="0"/>
          <w:lang w:val="en-US" w:eastAsia="zh-CN"/>
        </w:rPr>
        <w:fldChar w:fldCharType="begin"/>
      </w:r>
      <w:r>
        <w:rPr>
          <w:rFonts w:hint="eastAsia"/>
          <w:bCs/>
          <w:snapToGrid w:val="0"/>
          <w:lang w:val="en-US" w:eastAsia="zh-CN"/>
        </w:rPr>
        <w:instrText xml:space="preserve"> MERGEFIELD 委托方 </w:instrText>
      </w:r>
      <w:r>
        <w:rPr>
          <w:rFonts w:hint="eastAsia"/>
          <w:bCs/>
          <w:snapToGrid w:val="0"/>
          <w:lang w:val="en-US" w:eastAsia="zh-CN"/>
        </w:rPr>
        <w:fldChar w:fldCharType="separate"/>
      </w:r>
      <w:r>
        <w:rPr>
          <w:rFonts w:hint="eastAsia"/>
          <w:bCs/>
          <w:snapToGrid w:val="0"/>
          <w:lang w:val="en-US" w:eastAsia="zh-CN"/>
        </w:rPr>
        <w:t>海南省第一中级人民法院</w:t>
      </w:r>
      <w:r>
        <w:rPr>
          <w:rFonts w:hint="eastAsia"/>
          <w:bCs/>
          <w:snapToGrid w:val="0"/>
          <w:lang w:val="en-US" w:eastAsia="zh-CN"/>
        </w:rPr>
        <w:fldChar w:fldCharType="end"/>
      </w:r>
      <w:r>
        <w:rPr>
          <w:bCs/>
          <w:snapToGrid w:val="0"/>
          <w:lang w:val="en-US" w:eastAsia="zh-CN"/>
        </w:rPr>
        <w:t>及鉴定单位共同对估价对象6栋702房的同一户型6栋802房进行了室内</w:t>
      </w:r>
      <w:r>
        <w:rPr>
          <w:rFonts w:hint="eastAsia" w:ascii="仿宋_GB2312" w:eastAsia="仿宋_GB2312" w:cs="Times New Roman"/>
          <w:vanish w:val="0"/>
          <w:kern w:val="2"/>
          <w:sz w:val="28"/>
          <w:szCs w:val="28"/>
        </w:rPr>
        <w:t>查勘</w:t>
      </w:r>
      <w:r>
        <w:rPr>
          <w:rFonts w:ascii="仿宋_GB2312" w:eastAsia="仿宋_GB2312" w:cs="Times New Roman"/>
          <w:vanish w:val="0"/>
          <w:kern w:val="2"/>
          <w:sz w:val="28"/>
          <w:szCs w:val="28"/>
        </w:rPr>
        <w:t>，802房室内为毛坯，户型为</w:t>
      </w:r>
      <w:r>
        <w:rPr>
          <w:rFonts w:ascii="Times New Roman" w:hAnsi="Times New Roman"/>
          <w:spacing w:val="0"/>
          <w:kern w:val="2"/>
          <w:sz w:val="28"/>
          <w:szCs w:val="28"/>
        </w:rPr>
        <w:t>三房二厅一厨一卫，房屋</w:t>
      </w:r>
      <w:r>
        <w:rPr>
          <w:rFonts w:ascii="Times New Roman" w:hAnsi="Times New Roman"/>
        </w:rPr>
        <w:t>朝向为朝</w:t>
      </w:r>
      <w:r>
        <w:rPr>
          <w:rFonts w:ascii="Times New Roman" w:hAnsi="Times New Roman"/>
        </w:rPr>
        <w:fldChar w:fldCharType="begin"/>
      </w:r>
      <w:r>
        <w:rPr>
          <w:rFonts w:ascii="Times New Roman" w:hAnsi="Times New Roman"/>
        </w:rPr>
        <w:instrText xml:space="preserve">MERGEFIELD "房产状况描述朝向"  </w:instrText>
      </w:r>
      <w:r>
        <w:rPr>
          <w:rFonts w:ascii="Times New Roman" w:hAnsi="Times New Roman"/>
        </w:rPr>
        <w:fldChar w:fldCharType="separate"/>
      </w:r>
      <w:r>
        <w:rPr>
          <w:rFonts w:ascii="Times New Roman" w:hAnsi="Times New Roman"/>
        </w:rPr>
        <w:t>北</w:t>
      </w:r>
      <w:r>
        <w:rPr>
          <w:rFonts w:ascii="Times New Roman" w:hAnsi="Times New Roman"/>
        </w:rPr>
        <w:fldChar w:fldCharType="end"/>
      </w:r>
      <w:r>
        <w:rPr>
          <w:rFonts w:ascii="Times New Roman" w:hAnsi="Times New Roman"/>
        </w:rPr>
        <w:t>。</w:t>
      </w:r>
      <w:r>
        <w:rPr>
          <w:rFonts w:ascii="仿宋_GB2312" w:eastAsia="仿宋_GB2312" w:cs="Times New Roman"/>
          <w:vanish w:val="0"/>
          <w:kern w:val="2"/>
          <w:sz w:val="28"/>
          <w:szCs w:val="28"/>
        </w:rPr>
        <w:t>本次评估</w:t>
      </w:r>
      <w:r>
        <w:rPr>
          <w:rFonts w:hint="eastAsia" w:ascii="仿宋_GB2312" w:eastAsia="仿宋_GB2312" w:cs="Times New Roman"/>
          <w:vanish w:val="0"/>
          <w:kern w:val="2"/>
          <w:sz w:val="28"/>
          <w:szCs w:val="28"/>
        </w:rPr>
        <w:t>设定估价对象朝向为北</w:t>
      </w:r>
      <w:r>
        <w:rPr>
          <w:rFonts w:ascii="仿宋_GB2312" w:eastAsia="仿宋_GB2312" w:cs="Times New Roman"/>
          <w:vanish w:val="0"/>
          <w:kern w:val="2"/>
          <w:sz w:val="28"/>
          <w:szCs w:val="28"/>
        </w:rPr>
        <w:t>、室内为毛坯、户型为</w:t>
      </w:r>
      <w:r>
        <w:rPr>
          <w:rFonts w:ascii="Times New Roman" w:hAnsi="Times New Roman"/>
          <w:spacing w:val="0"/>
          <w:kern w:val="2"/>
          <w:sz w:val="28"/>
          <w:szCs w:val="28"/>
        </w:rPr>
        <w:t>三房二厅一厨一卫进行评估</w:t>
      </w:r>
      <w:r>
        <w:rPr>
          <w:rFonts w:hint="eastAsia" w:ascii="仿宋_GB2312" w:eastAsia="仿宋_GB2312" w:cs="Times New Roman"/>
          <w:vanish w:val="0"/>
          <w:kern w:val="2"/>
          <w:sz w:val="28"/>
          <w:szCs w:val="28"/>
        </w:rPr>
        <w:t>若上述设定与实际不符，应据实调整估价结果或重新评估，特提请报告使用人注意!</w:t>
      </w:r>
    </w:p>
    <w:p>
      <w:pPr>
        <w:pStyle w:val="28"/>
        <w:rPr>
          <w:rFonts w:ascii="Times New Roman" w:hAnsi="Times New Roman"/>
          <w:b/>
        </w:rPr>
      </w:pPr>
      <w:r>
        <w:rPr>
          <w:rFonts w:ascii="Times New Roman" w:hAnsi="Times New Roman"/>
          <w:b/>
        </w:rPr>
        <w:t>二、其他需要特殊说明的事项</w:t>
      </w:r>
    </w:p>
    <w:p>
      <w:pPr>
        <w:pStyle w:val="35"/>
        <w:pBdr>
          <w:top w:val="none" w:color="auto" w:sz="0" w:space="0"/>
          <w:left w:val="none" w:color="auto" w:sz="0" w:space="0"/>
          <w:bottom w:val="none" w:color="auto" w:sz="0" w:space="0"/>
          <w:right w:val="none" w:color="auto" w:sz="0" w:space="0"/>
        </w:pBdr>
        <w:spacing w:after="100" w:line="480" w:lineRule="exact"/>
        <w:ind w:firstLine="0" w:firstLineChars="0"/>
        <w:rPr>
          <w:rFonts w:ascii="Times New Roman" w:hAnsi="Times New Roman" w:eastAsia="仿宋_GB2312"/>
          <w:vanish w:val="0"/>
          <w:sz w:val="28"/>
          <w:szCs w:val="28"/>
        </w:rPr>
      </w:pPr>
      <w:r>
        <w:rPr>
          <w:rFonts w:ascii="Times New Roman" w:hAnsi="Times New Roman" w:eastAsia="仿宋_GB2312"/>
          <w:vanish w:val="0"/>
          <w:sz w:val="28"/>
          <w:szCs w:val="28"/>
        </w:rPr>
        <w:t xml:space="preserve">    1</w:t>
      </w:r>
      <w:r>
        <w:rPr>
          <w:rFonts w:hint="eastAsia" w:ascii="Times New Roman" w:hAnsi="Times New Roman" w:eastAsia="仿宋_GB2312"/>
          <w:vanish w:val="0"/>
          <w:sz w:val="28"/>
          <w:szCs w:val="28"/>
        </w:rPr>
        <w:t>、报告所涉及的有关法律证明文件及委托估价对象的权属状况等均以鉴定委托方提供资料为准，注册房地产估价师不对估价对象的法律权属提供任何担保。</w:t>
      </w:r>
    </w:p>
    <w:p>
      <w:pPr>
        <w:pStyle w:val="35"/>
        <w:pBdr>
          <w:top w:val="none" w:color="auto" w:sz="0" w:space="0"/>
          <w:left w:val="none" w:color="auto" w:sz="0" w:space="0"/>
          <w:bottom w:val="none" w:color="auto" w:sz="0" w:space="0"/>
          <w:right w:val="none" w:color="auto" w:sz="0" w:space="0"/>
        </w:pBdr>
        <w:spacing w:line="480" w:lineRule="exact"/>
        <w:rPr>
          <w:rFonts w:ascii="Times New Roman" w:hAnsi="Times New Roman" w:eastAsia="仿宋_GB2312"/>
          <w:vanish w:val="0"/>
          <w:sz w:val="28"/>
          <w:szCs w:val="28"/>
        </w:rPr>
      </w:pPr>
      <w:r>
        <w:rPr>
          <w:rFonts w:ascii="Times New Roman" w:hAnsi="Times New Roman" w:eastAsia="仿宋_GB2312"/>
          <w:vanish w:val="0"/>
          <w:sz w:val="28"/>
          <w:szCs w:val="28"/>
        </w:rPr>
        <w:t>2</w:t>
      </w:r>
      <w:r>
        <w:rPr>
          <w:rFonts w:hint="eastAsia" w:ascii="Times New Roman" w:hAnsi="Times New Roman" w:eastAsia="仿宋_GB2312"/>
          <w:vanish w:val="0"/>
          <w:sz w:val="28"/>
          <w:szCs w:val="28"/>
        </w:rPr>
        <w:t>、遵守相关法律、法规和房地产估价规范，对估价对象在鉴定价值时点特定目的下的价格进行分析、估算并发表专业意见，是注册房地产估价师的责任；提供必要的资料并保证所提供资料的真实性、合法性、完整性，恰当使用估价报告是委托方和相关当事方的责任。注册房地产估价师执行房地产估价业务，应当对估价结论的合理性承担责任，但估价结论不应当被认为是对估价对象可实现价格的保证。</w:t>
      </w:r>
    </w:p>
    <w:p>
      <w:pPr>
        <w:pBdr>
          <w:top w:val="none" w:color="auto" w:sz="0" w:space="0"/>
          <w:left w:val="none" w:color="auto" w:sz="0" w:space="0"/>
          <w:bottom w:val="none" w:color="auto" w:sz="0" w:space="0"/>
          <w:right w:val="none" w:color="auto" w:sz="0" w:space="0"/>
        </w:pBdr>
        <w:spacing w:line="480" w:lineRule="exact"/>
        <w:rPr>
          <w:rFonts w:ascii="Times New Roman" w:hAnsi="Times New Roman"/>
          <w:vanish w:val="0"/>
          <w:szCs w:val="28"/>
        </w:rPr>
      </w:pPr>
      <w:r>
        <w:rPr>
          <w:rFonts w:ascii="Times New Roman" w:hAnsi="Times New Roman"/>
          <w:vanish w:val="0"/>
          <w:szCs w:val="28"/>
        </w:rPr>
        <w:t>3、本估价报告的估价结论受评估专业人员的职业判断能力及估价经验的影响。</w:t>
      </w:r>
    </w:p>
    <w:p>
      <w:pPr>
        <w:pBdr>
          <w:top w:val="none" w:color="auto" w:sz="0" w:space="0"/>
          <w:left w:val="none" w:color="auto" w:sz="0" w:space="0"/>
          <w:bottom w:val="none" w:color="auto" w:sz="0" w:space="0"/>
          <w:right w:val="none" w:color="auto" w:sz="0" w:space="0"/>
        </w:pBdr>
        <w:spacing w:line="480" w:lineRule="exact"/>
        <w:rPr>
          <w:rFonts w:ascii="Times New Roman" w:hAnsi="Times New Roman"/>
          <w:vanish w:val="0"/>
          <w:kern w:val="0"/>
          <w:szCs w:val="28"/>
        </w:rPr>
      </w:pPr>
      <w:r>
        <w:rPr>
          <w:rFonts w:ascii="Times New Roman" w:hAnsi="Times New Roman"/>
          <w:vanish w:val="0"/>
          <w:kern w:val="0"/>
          <w:szCs w:val="28"/>
        </w:rPr>
        <w:t>4、因财产拍卖（或者变卖）日期与价值时点不一致，评估对象状况或者房地产市场状况的变化会对评估结果产生影响。</w:t>
      </w:r>
    </w:p>
    <w:p>
      <w:pPr>
        <w:pBdr>
          <w:top w:val="none" w:color="auto" w:sz="0" w:space="0"/>
          <w:left w:val="none" w:color="auto" w:sz="0" w:space="0"/>
          <w:bottom w:val="none" w:color="auto" w:sz="0" w:space="0"/>
          <w:right w:val="none" w:color="auto" w:sz="0" w:space="0"/>
        </w:pBdr>
        <w:spacing w:line="480" w:lineRule="exact"/>
        <w:rPr>
          <w:rFonts w:ascii="Times New Roman" w:hAnsi="Times New Roman"/>
          <w:vanish w:val="0"/>
          <w:kern w:val="0"/>
          <w:szCs w:val="28"/>
        </w:rPr>
      </w:pPr>
      <w:r>
        <w:rPr>
          <w:rFonts w:ascii="Times New Roman" w:hAnsi="Times New Roman"/>
          <w:vanish w:val="0"/>
          <w:kern w:val="0"/>
          <w:szCs w:val="28"/>
        </w:rPr>
        <w:t>5、在评估结果有效期内，评估对象状况或者房地产市场发生明显变化的，评估结果应当进行相应调整。</w:t>
      </w:r>
    </w:p>
    <w:p>
      <w:pPr>
        <w:pBdr>
          <w:top w:val="none" w:color="auto" w:sz="0" w:space="0"/>
          <w:left w:val="none" w:color="auto" w:sz="0" w:space="0"/>
          <w:bottom w:val="none" w:color="auto" w:sz="0" w:space="0"/>
          <w:right w:val="none" w:color="auto" w:sz="0" w:space="0"/>
        </w:pBdr>
        <w:spacing w:line="480" w:lineRule="exact"/>
        <w:rPr>
          <w:rFonts w:ascii="Times New Roman" w:hAnsi="Times New Roman"/>
          <w:vanish w:val="0"/>
          <w:kern w:val="0"/>
          <w:szCs w:val="28"/>
        </w:rPr>
      </w:pPr>
      <w:r>
        <w:rPr>
          <w:rFonts w:ascii="Times New Roman" w:hAnsi="Times New Roman"/>
          <w:vanish w:val="0"/>
          <w:kern w:val="0"/>
          <w:szCs w:val="28"/>
        </w:rPr>
        <w:t>6、委托人或者评估报告使用人应当按照法律规定和评估报告载明的使用范围使用评估报告，违反该规定使用评估报告的，房地产估价机构和注册房地产估价师依法不承担责任。</w:t>
      </w:r>
    </w:p>
    <w:p>
      <w:pPr>
        <w:pStyle w:val="28"/>
        <w:spacing w:line="480" w:lineRule="exact"/>
        <w:rPr>
          <w:rFonts w:ascii="Times New Roman" w:hAnsi="Times New Roman"/>
          <w:b/>
        </w:rPr>
      </w:pPr>
      <w:r>
        <w:rPr>
          <w:rFonts w:ascii="Times New Roman" w:hAnsi="Times New Roman" w:eastAsia="仿宋_GB2312"/>
          <w:kern w:val="2"/>
          <w:sz w:val="28"/>
          <w:szCs w:val="28"/>
          <w:lang w:val="en-US" w:eastAsia="zh-CN"/>
        </w:rPr>
        <w:t>7</w:t>
      </w:r>
      <w:r>
        <w:rPr>
          <w:rFonts w:hint="eastAsia" w:ascii="Times New Roman" w:hAnsi="Times New Roman" w:eastAsia="仿宋_GB2312" w:cs="Times New Roman"/>
          <w:kern w:val="2"/>
          <w:sz w:val="28"/>
          <w:szCs w:val="28"/>
          <w:lang w:val="en-US" w:eastAsia="zh-CN"/>
        </w:rPr>
        <w:t>、评估结果不等于评估对象处置可实现的成交价，不应被认为是对评估对象处置成交价的保证</w:t>
      </w:r>
      <w:r>
        <w:rPr>
          <w:rFonts w:ascii="Times New Roman" w:hAnsi="Times New Roman" w:eastAsia="仿宋_GB2312" w:cs="Times New Roman"/>
          <w:kern w:val="2"/>
          <w:sz w:val="28"/>
          <w:szCs w:val="28"/>
          <w:lang w:val="en-US" w:eastAsia="zh-CN"/>
        </w:rPr>
        <w:t>。</w:t>
      </w:r>
    </w:p>
    <w:p>
      <w:pPr>
        <w:pStyle w:val="28"/>
        <w:rPr>
          <w:rFonts w:ascii="Times New Roman" w:hAnsi="Times New Roman"/>
          <w:b/>
        </w:rPr>
      </w:pPr>
      <w:r>
        <w:rPr>
          <w:rFonts w:ascii="Times New Roman" w:hAnsi="Times New Roman"/>
          <w:b/>
        </w:rPr>
        <w:t>三、</w:t>
      </w:r>
      <w:r>
        <w:rPr>
          <w:rFonts w:hint="eastAsia" w:ascii="Times New Roman" w:hAnsi="Times New Roman" w:eastAsia="仿宋_GB2312" w:cs="Times New Roman"/>
          <w:b/>
          <w:bCs/>
          <w:kern w:val="2"/>
          <w:sz w:val="28"/>
          <w:szCs w:val="28"/>
          <w:lang w:val="en-US" w:eastAsia="zh-CN"/>
        </w:rPr>
        <w:t>估价结果和估价报告的使用</w:t>
      </w:r>
    </w:p>
    <w:p>
      <w:pPr>
        <w:pBdr>
          <w:top w:val="none" w:color="auto" w:sz="0" w:space="0"/>
          <w:left w:val="none" w:color="auto" w:sz="0" w:space="0"/>
          <w:bottom w:val="none" w:color="auto" w:sz="0" w:space="0"/>
          <w:right w:val="none" w:color="auto" w:sz="0" w:space="0"/>
        </w:pBdr>
        <w:spacing w:line="480" w:lineRule="exact"/>
        <w:rPr>
          <w:rFonts w:ascii="Times New Roman" w:hAnsi="Times New Roman"/>
          <w:vanish w:val="0"/>
          <w:szCs w:val="28"/>
        </w:rPr>
      </w:pPr>
      <w:r>
        <w:rPr>
          <w:rFonts w:ascii="Times New Roman" w:hAnsi="Times New Roman"/>
          <w:vanish w:val="0"/>
          <w:szCs w:val="28"/>
        </w:rPr>
        <w:t>1、本报告作为诉讼证据的采信应当符合《中华人民共和国民事诉讼法》第六十三条、第六十六条之规定。</w:t>
      </w:r>
    </w:p>
    <w:p>
      <w:pPr>
        <w:pBdr>
          <w:top w:val="none" w:color="auto" w:sz="0" w:space="0"/>
          <w:left w:val="none" w:color="auto" w:sz="0" w:space="0"/>
          <w:bottom w:val="none" w:color="auto" w:sz="0" w:space="0"/>
          <w:right w:val="none" w:color="auto" w:sz="0" w:space="0"/>
        </w:pBdr>
        <w:spacing w:line="480" w:lineRule="exact"/>
        <w:rPr>
          <w:rFonts w:ascii="Times New Roman" w:hAnsi="Times New Roman"/>
          <w:vanish w:val="0"/>
          <w:szCs w:val="28"/>
        </w:rPr>
      </w:pPr>
      <w:r>
        <w:rPr>
          <w:rFonts w:ascii="Times New Roman" w:hAnsi="Times New Roman"/>
          <w:vanish w:val="0"/>
          <w:szCs w:val="28"/>
        </w:rPr>
        <w:t>2、本报告仅供本次委托及委托确定的估价目的使用，具体目的是为委托方拍卖房地产提供拍卖底价的价格参考，并非为竞拍人确定估价对象状况的保证，对与本报告委托书分离使用的他项利用均属无效，即使对同一标的物也无任何价格说明和参考意义。</w:t>
      </w:r>
    </w:p>
    <w:p>
      <w:pPr>
        <w:pBdr>
          <w:top w:val="none" w:color="auto" w:sz="0" w:space="0"/>
          <w:left w:val="none" w:color="auto" w:sz="0" w:space="0"/>
          <w:bottom w:val="none" w:color="auto" w:sz="0" w:space="0"/>
          <w:right w:val="none" w:color="auto" w:sz="0" w:space="0"/>
        </w:pBdr>
        <w:spacing w:line="480" w:lineRule="exact"/>
        <w:rPr>
          <w:rFonts w:ascii="Times New Roman" w:hAnsi="Times New Roman"/>
          <w:vanish w:val="0"/>
          <w:szCs w:val="28"/>
        </w:rPr>
      </w:pPr>
      <w:r>
        <w:rPr>
          <w:rFonts w:ascii="Times New Roman" w:hAnsi="Times New Roman"/>
          <w:vanish w:val="0"/>
          <w:szCs w:val="28"/>
        </w:rPr>
        <w:t>3、本报告估价结论为价值时点的客观价值，随时间的推移和市场的变化本估价结果应做相应的调整，甚至重新估价。本报告有效期从出具报告日起为一年，</w:t>
      </w:r>
      <w:r>
        <w:rPr>
          <w:rFonts w:ascii="Times New Roman" w:hAnsi="Times New Roman"/>
        </w:rPr>
        <w:t>即自</w:t>
      </w:r>
      <w:r>
        <w:rPr>
          <w:rFonts w:ascii="Times New Roman" w:hAnsi="Times New Roman"/>
        </w:rPr>
        <w:fldChar w:fldCharType="begin"/>
      </w:r>
      <w:r>
        <w:rPr>
          <w:rFonts w:ascii="Times New Roman" w:hAnsi="Times New Roman"/>
        </w:rPr>
        <w:instrText xml:space="preserve">MERGEFIELD "出具日"  </w:instrText>
      </w:r>
      <w:r>
        <w:rPr>
          <w:rFonts w:ascii="Times New Roman" w:hAnsi="Times New Roman"/>
        </w:rPr>
        <w:fldChar w:fldCharType="separate"/>
      </w:r>
      <w:r>
        <w:rPr>
          <w:rFonts w:ascii="Times New Roman" w:hAnsi="Times New Roman"/>
        </w:rPr>
        <w:t>2022年9月23日</w:t>
      </w:r>
      <w:r>
        <w:rPr>
          <w:rFonts w:ascii="Times New Roman" w:hAnsi="Times New Roman"/>
        </w:rPr>
        <w:fldChar w:fldCharType="end"/>
      </w:r>
      <w:r>
        <w:rPr>
          <w:rFonts w:ascii="Times New Roman" w:hAnsi="Times New Roman"/>
        </w:rPr>
        <w:t>起至</w:t>
      </w:r>
      <w:r>
        <w:rPr>
          <w:rFonts w:ascii="Times New Roman" w:hAnsi="Times New Roman"/>
        </w:rPr>
        <w:fldChar w:fldCharType="begin"/>
      </w:r>
      <w:r>
        <w:rPr>
          <w:rFonts w:ascii="Times New Roman" w:hAnsi="Times New Roman"/>
        </w:rPr>
        <w:instrText xml:space="preserve">MERGEFIELD "有效期"  </w:instrText>
      </w:r>
      <w:r>
        <w:rPr>
          <w:rFonts w:ascii="Times New Roman" w:hAnsi="Times New Roman"/>
        </w:rPr>
        <w:fldChar w:fldCharType="separate"/>
      </w:r>
      <w:r>
        <w:rPr>
          <w:rFonts w:ascii="Times New Roman" w:hAnsi="Times New Roman"/>
        </w:rPr>
        <w:t>2023年9月22日</w:t>
      </w:r>
      <w:r>
        <w:rPr>
          <w:rFonts w:ascii="Times New Roman" w:hAnsi="Times New Roman"/>
        </w:rPr>
        <w:fldChar w:fldCharType="end"/>
      </w:r>
      <w:r>
        <w:rPr>
          <w:rFonts w:ascii="Times New Roman" w:hAnsi="Times New Roman"/>
        </w:rPr>
        <w:t>止</w:t>
      </w:r>
      <w:r>
        <w:rPr>
          <w:rFonts w:ascii="Times New Roman" w:hAnsi="Times New Roman" w:eastAsia="仿宋_GB2312" w:cs="Times New Roman"/>
          <w:snapToGrid w:val="0"/>
          <w:sz w:val="28"/>
          <w:szCs w:val="28"/>
          <w:lang w:val="en-US" w:eastAsia="zh-CN"/>
        </w:rPr>
        <w:t>。</w:t>
      </w:r>
    </w:p>
    <w:p>
      <w:pPr>
        <w:pBdr>
          <w:top w:val="none" w:color="auto" w:sz="0" w:space="0"/>
          <w:left w:val="none" w:color="auto" w:sz="0" w:space="0"/>
          <w:bottom w:val="none" w:color="auto" w:sz="0" w:space="0"/>
          <w:right w:val="none" w:color="auto" w:sz="0" w:space="0"/>
        </w:pBdr>
        <w:spacing w:line="480" w:lineRule="exact"/>
        <w:rPr>
          <w:rFonts w:ascii="Times New Roman" w:hAnsi="Times New Roman"/>
          <w:vanish w:val="0"/>
          <w:szCs w:val="28"/>
        </w:rPr>
      </w:pPr>
      <w:r>
        <w:rPr>
          <w:rFonts w:ascii="Times New Roman" w:hAnsi="Times New Roman"/>
          <w:vanish w:val="0"/>
          <w:szCs w:val="28"/>
        </w:rPr>
        <w:t>4、本报告含有若干备查文件，备查文件构成本报告之重要组成部分，与本报告正文具有同等法律效力。</w:t>
      </w:r>
    </w:p>
    <w:p>
      <w:pPr>
        <w:pBdr>
          <w:top w:val="none" w:color="auto" w:sz="0" w:space="0"/>
          <w:left w:val="none" w:color="auto" w:sz="0" w:space="0"/>
          <w:bottom w:val="none" w:color="auto" w:sz="0" w:space="0"/>
          <w:right w:val="none" w:color="auto" w:sz="0" w:space="0"/>
        </w:pBdr>
        <w:spacing w:line="480" w:lineRule="exact"/>
        <w:rPr>
          <w:rFonts w:ascii="Times New Roman" w:hAnsi="Times New Roman"/>
          <w:vanish w:val="0"/>
          <w:szCs w:val="28"/>
        </w:rPr>
      </w:pPr>
      <w:r>
        <w:rPr>
          <w:rFonts w:ascii="Times New Roman" w:hAnsi="Times New Roman"/>
          <w:vanish w:val="0"/>
          <w:szCs w:val="28"/>
        </w:rPr>
        <w:t>5、本报告和估价结论的使用权归委托方所有，评估鉴定单位对报告内容和估价结果有解释权。</w:t>
      </w:r>
    </w:p>
    <w:p>
      <w:pPr>
        <w:pStyle w:val="28"/>
        <w:spacing w:line="480" w:lineRule="exact"/>
        <w:rPr>
          <w:rFonts w:ascii="Times New Roman" w:hAnsi="Times New Roman"/>
          <w:b/>
        </w:rPr>
      </w:pPr>
      <w:r>
        <w:rPr>
          <w:rFonts w:ascii="Times New Roman" w:hAnsi="Times New Roman" w:eastAsia="仿宋_GB2312"/>
          <w:kern w:val="2"/>
          <w:sz w:val="28"/>
          <w:szCs w:val="28"/>
          <w:lang w:val="en-US" w:eastAsia="zh-CN"/>
        </w:rPr>
        <w:t>6</w:t>
      </w:r>
      <w:r>
        <w:rPr>
          <w:rFonts w:hint="eastAsia" w:ascii="Times New Roman" w:hAnsi="Times New Roman" w:eastAsia="仿宋_GB2312" w:cs="Times New Roman"/>
          <w:kern w:val="2"/>
          <w:sz w:val="28"/>
          <w:szCs w:val="28"/>
          <w:lang w:val="en-US" w:eastAsia="zh-CN"/>
        </w:rPr>
        <w:t>、本假设与限制条件仅适用于本次司法评估鉴定</w:t>
      </w:r>
      <w:r>
        <w:rPr>
          <w:rFonts w:ascii="Times New Roman" w:hAnsi="Times New Roman" w:eastAsia="仿宋_GB2312" w:cs="Times New Roman"/>
          <w:kern w:val="2"/>
          <w:sz w:val="28"/>
          <w:szCs w:val="28"/>
          <w:lang w:val="en-US" w:eastAsia="zh-CN"/>
        </w:rPr>
        <w:t>。</w:t>
      </w:r>
    </w:p>
    <w:p>
      <w:pPr>
        <w:pStyle w:val="28"/>
        <w:rPr>
          <w:rFonts w:ascii="Times New Roman" w:hAnsi="Times New Roman"/>
          <w:b/>
        </w:rPr>
      </w:pPr>
      <w:r>
        <w:rPr>
          <w:rFonts w:ascii="Times New Roman" w:hAnsi="Times New Roman"/>
          <w:b/>
        </w:rPr>
        <w:t>重要提示：对本报告的使用应建立在对本报告的充分阅读与理解的基础上!</w:t>
      </w:r>
    </w:p>
    <w:p/>
    <w:p>
      <w:pPr>
        <w:pStyle w:val="15"/>
      </w:pPr>
    </w:p>
    <w:p>
      <w:r>
        <w:br w:type="page"/>
      </w:r>
    </w:p>
    <w:p>
      <w:pPr>
        <w:pStyle w:val="2"/>
        <w:spacing w:before="381" w:beforeLines="0" w:line="640" w:lineRule="exact"/>
        <w:rPr>
          <w:rFonts w:ascii="Times New Roman" w:hAnsi="Times New Roman" w:eastAsia="仿宋_GB2312"/>
        </w:rPr>
      </w:pPr>
      <w:bookmarkStart w:id="24" w:name="_Toc305778695"/>
      <w:bookmarkStart w:id="25" w:name="_Toc305778544"/>
      <w:bookmarkStart w:id="26" w:name="_Toc237161508"/>
      <w:bookmarkStart w:id="27" w:name="_Toc48573730"/>
      <w:bookmarkStart w:id="28" w:name="_Toc335404393"/>
      <w:bookmarkStart w:id="29" w:name="_Toc305778812"/>
      <w:bookmarkStart w:id="30" w:name="_Toc305778450"/>
      <w:r>
        <w:rPr>
          <w:rFonts w:ascii="Times New Roman" w:hAnsi="Times New Roman" w:eastAsia="仿宋_GB2312"/>
        </w:rPr>
        <w:t>估价结果报告</w:t>
      </w:r>
      <w:bookmarkEnd w:id="24"/>
      <w:bookmarkEnd w:id="25"/>
      <w:bookmarkEnd w:id="26"/>
      <w:bookmarkEnd w:id="27"/>
      <w:bookmarkEnd w:id="28"/>
      <w:bookmarkEnd w:id="29"/>
      <w:bookmarkEnd w:id="30"/>
    </w:p>
    <w:p>
      <w:pPr>
        <w:pStyle w:val="3"/>
        <w:spacing w:after="38"/>
        <w:rPr>
          <w:rFonts w:ascii="Times New Roman" w:hAnsi="Times New Roman" w:eastAsia="仿宋_GB2312"/>
        </w:rPr>
      </w:pPr>
      <w:bookmarkStart w:id="31" w:name="_Toc305778696"/>
      <w:bookmarkStart w:id="32" w:name="_Toc237161509"/>
      <w:bookmarkStart w:id="33" w:name="_Toc305778813"/>
      <w:bookmarkStart w:id="34" w:name="_Toc305778451"/>
      <w:bookmarkStart w:id="35" w:name="_Toc305778545"/>
      <w:bookmarkStart w:id="36" w:name="_Toc335404394"/>
      <w:bookmarkStart w:id="37" w:name="_Toc48573731"/>
      <w:r>
        <w:rPr>
          <w:rFonts w:ascii="Times New Roman" w:hAnsi="Times New Roman" w:eastAsia="仿宋_GB2312"/>
        </w:rPr>
        <w:t>一、</w:t>
      </w:r>
      <w:bookmarkEnd w:id="31"/>
      <w:bookmarkEnd w:id="32"/>
      <w:bookmarkEnd w:id="33"/>
      <w:bookmarkEnd w:id="34"/>
      <w:bookmarkEnd w:id="35"/>
      <w:bookmarkEnd w:id="36"/>
      <w:r>
        <w:rPr>
          <w:rFonts w:ascii="Times New Roman" w:hAnsi="Times New Roman" w:eastAsia="仿宋_GB2312"/>
        </w:rPr>
        <w:t>估价委托方</w:t>
      </w:r>
      <w:bookmarkEnd w:id="37"/>
    </w:p>
    <w:p>
      <w:pPr>
        <w:pBdr>
          <w:top w:val="none" w:color="auto" w:sz="0" w:space="0"/>
          <w:left w:val="none" w:color="auto" w:sz="0" w:space="0"/>
          <w:bottom w:val="none" w:color="auto" w:sz="0" w:space="0"/>
          <w:right w:val="none" w:color="auto" w:sz="0" w:space="0"/>
        </w:pBdr>
        <w:tabs>
          <w:tab w:val="left" w:pos="1213"/>
        </w:tabs>
        <w:spacing w:line="500" w:lineRule="exact"/>
        <w:ind w:firstLine="675" w:firstLineChars="250"/>
        <w:rPr>
          <w:rFonts w:ascii="Times New Roman" w:hAnsi="Times New Roman"/>
          <w:vanish w:val="0"/>
        </w:rPr>
      </w:pPr>
      <w:bookmarkStart w:id="38" w:name="_Toc39055360"/>
      <w:r>
        <w:rPr>
          <w:rFonts w:hint="eastAsia" w:ascii="Times New Roman" w:hAnsi="Times New Roman" w:eastAsia="仿宋_GB2312" w:cs="Times New Roman"/>
          <w:snapToGrid w:val="0"/>
          <w:kern w:val="2"/>
          <w:sz w:val="28"/>
          <w:szCs w:val="20"/>
          <w:lang w:val="en-US" w:eastAsia="zh-CN"/>
        </w:rPr>
        <w:t>本估价报告的估价委托方为</w:t>
      </w:r>
      <w:bookmarkEnd w:id="38"/>
      <w:r>
        <w:rPr>
          <w:rFonts w:ascii="Times New Roman" w:hAnsi="Times New Roman"/>
          <w:snapToGrid w:val="0"/>
          <w:spacing w:val="-10"/>
          <w:kern w:val="2"/>
          <w:sz w:val="28"/>
          <w:szCs w:val="20"/>
          <w:lang w:val="en-US" w:eastAsia="zh-CN"/>
        </w:rPr>
        <w:fldChar w:fldCharType="begin"/>
      </w:r>
      <w:r>
        <w:rPr>
          <w:rFonts w:ascii="Times New Roman" w:hAnsi="Times New Roman"/>
          <w:snapToGrid w:val="0"/>
          <w:spacing w:val="-10"/>
          <w:kern w:val="2"/>
          <w:sz w:val="28"/>
          <w:szCs w:val="20"/>
          <w:lang w:val="en-US" w:eastAsia="zh-CN"/>
        </w:rPr>
        <w:instrText xml:space="preserve"> MERGEFIELD 委托方 </w:instrText>
      </w:r>
      <w:r>
        <w:rPr>
          <w:rFonts w:ascii="Times New Roman" w:hAnsi="Times New Roman"/>
          <w:snapToGrid w:val="0"/>
          <w:spacing w:val="-10"/>
          <w:kern w:val="2"/>
          <w:sz w:val="28"/>
          <w:szCs w:val="20"/>
          <w:lang w:val="en-US" w:eastAsia="zh-CN"/>
        </w:rPr>
        <w:fldChar w:fldCharType="separate"/>
      </w:r>
      <w:r>
        <w:rPr>
          <w:rFonts w:ascii="Times New Roman" w:hAnsi="Times New Roman"/>
          <w:snapToGrid w:val="0"/>
          <w:spacing w:val="-10"/>
          <w:kern w:val="2"/>
          <w:sz w:val="28"/>
          <w:szCs w:val="20"/>
          <w:lang w:val="en-US" w:eastAsia="zh-CN"/>
        </w:rPr>
        <w:t>海南省第一中级人民法院</w:t>
      </w:r>
      <w:r>
        <w:rPr>
          <w:rFonts w:ascii="Times New Roman" w:hAnsi="Times New Roman"/>
          <w:snapToGrid w:val="0"/>
          <w:spacing w:val="-10"/>
          <w:kern w:val="2"/>
          <w:sz w:val="28"/>
          <w:szCs w:val="20"/>
          <w:lang w:val="en-US" w:eastAsia="zh-CN"/>
        </w:rPr>
        <w:fldChar w:fldCharType="end"/>
      </w:r>
      <w:r>
        <w:rPr>
          <w:rFonts w:ascii="Times New Roman" w:hAnsi="Times New Roman"/>
          <w:snapToGrid w:val="0"/>
          <w:spacing w:val="-10"/>
          <w:kern w:val="2"/>
          <w:sz w:val="28"/>
          <w:szCs w:val="20"/>
          <w:lang w:val="en-US" w:eastAsia="zh-CN"/>
        </w:rPr>
        <w:t>。</w:t>
      </w:r>
    </w:p>
    <w:p>
      <w:pPr>
        <w:pStyle w:val="3"/>
        <w:spacing w:after="38"/>
        <w:rPr>
          <w:rFonts w:ascii="Times New Roman" w:hAnsi="Times New Roman" w:eastAsia="仿宋_GB2312"/>
        </w:rPr>
      </w:pPr>
      <w:bookmarkStart w:id="39" w:name="_Toc48573732"/>
      <w:r>
        <w:rPr>
          <w:rFonts w:ascii="Times New Roman" w:hAnsi="Times New Roman" w:eastAsia="仿宋_GB2312"/>
        </w:rPr>
        <w:t>二、房地产估价机构</w:t>
      </w:r>
      <w:bookmarkEnd w:id="39"/>
    </w:p>
    <w:p>
      <w:pPr>
        <w:pBdr>
          <w:top w:val="none" w:color="auto" w:sz="0" w:space="0"/>
          <w:left w:val="none" w:color="auto" w:sz="0" w:space="0"/>
          <w:bottom w:val="none" w:color="auto" w:sz="0" w:space="0"/>
          <w:right w:val="none" w:color="auto" w:sz="0" w:space="0"/>
        </w:pBdr>
        <w:spacing w:line="500" w:lineRule="exact"/>
        <w:ind w:firstLine="540" w:firstLineChars="200"/>
        <w:rPr>
          <w:rFonts w:ascii="Times New Roman" w:hAnsi="Times New Roman"/>
          <w:snapToGrid w:val="0"/>
          <w:vanish w:val="0"/>
        </w:rPr>
      </w:pPr>
      <w:bookmarkStart w:id="40" w:name="_Toc335404397"/>
      <w:bookmarkStart w:id="41" w:name="_Toc305778454"/>
      <w:bookmarkStart w:id="42" w:name="_Toc305778548"/>
      <w:bookmarkStart w:id="43" w:name="_Toc305778699"/>
      <w:bookmarkStart w:id="44" w:name="_Toc305778816"/>
      <w:bookmarkStart w:id="45" w:name="_Toc237161512"/>
      <w:bookmarkStart w:id="46" w:name="_Toc237161511"/>
      <w:r>
        <w:rPr>
          <w:rFonts w:ascii="Times New Roman" w:hAnsi="Times New Roman"/>
          <w:snapToGrid w:val="0"/>
          <w:vanish w:val="0"/>
        </w:rPr>
        <w:t>1、估价方名称：海南瑞寰土地房地产资产评估咨询有限公司</w:t>
      </w:r>
    </w:p>
    <w:p>
      <w:pPr>
        <w:pBdr>
          <w:top w:val="none" w:color="auto" w:sz="0" w:space="0"/>
          <w:left w:val="none" w:color="auto" w:sz="0" w:space="0"/>
          <w:bottom w:val="none" w:color="auto" w:sz="0" w:space="0"/>
          <w:right w:val="none" w:color="auto" w:sz="0" w:space="0"/>
        </w:pBdr>
        <w:spacing w:line="500" w:lineRule="exact"/>
        <w:ind w:firstLine="540" w:firstLineChars="200"/>
        <w:rPr>
          <w:rFonts w:ascii="Times New Roman" w:hAnsi="Times New Roman"/>
          <w:snapToGrid w:val="0"/>
          <w:vanish w:val="0"/>
        </w:rPr>
      </w:pPr>
      <w:r>
        <w:rPr>
          <w:rFonts w:ascii="Times New Roman" w:hAnsi="Times New Roman"/>
          <w:snapToGrid w:val="0"/>
          <w:vanish w:val="0"/>
        </w:rPr>
        <w:t>2、单位地址：海口市龙华区国贸大道48号新达商务大厦807室</w:t>
      </w:r>
    </w:p>
    <w:p>
      <w:pPr>
        <w:pBdr>
          <w:top w:val="none" w:color="auto" w:sz="0" w:space="0"/>
          <w:left w:val="none" w:color="auto" w:sz="0" w:space="0"/>
          <w:bottom w:val="none" w:color="auto" w:sz="0" w:space="0"/>
          <w:right w:val="none" w:color="auto" w:sz="0" w:space="0"/>
        </w:pBdr>
        <w:spacing w:line="500" w:lineRule="exact"/>
        <w:ind w:firstLine="540" w:firstLineChars="200"/>
        <w:rPr>
          <w:rFonts w:ascii="Times New Roman" w:hAnsi="Times New Roman"/>
          <w:snapToGrid w:val="0"/>
          <w:vanish w:val="0"/>
        </w:rPr>
      </w:pPr>
      <w:r>
        <w:rPr>
          <w:rFonts w:ascii="Times New Roman" w:hAnsi="Times New Roman"/>
          <w:snapToGrid w:val="0"/>
          <w:vanish w:val="0"/>
        </w:rPr>
        <w:t>3、法定代表人：王保泰</w:t>
      </w:r>
    </w:p>
    <w:p>
      <w:pPr>
        <w:pBdr>
          <w:top w:val="none" w:color="auto" w:sz="0" w:space="0"/>
          <w:left w:val="none" w:color="auto" w:sz="0" w:space="0"/>
          <w:bottom w:val="none" w:color="auto" w:sz="0" w:space="0"/>
          <w:right w:val="none" w:color="auto" w:sz="0" w:space="0"/>
        </w:pBdr>
        <w:spacing w:line="500" w:lineRule="exact"/>
        <w:ind w:firstLine="540" w:firstLineChars="200"/>
        <w:rPr>
          <w:rFonts w:ascii="Times New Roman" w:hAnsi="Times New Roman"/>
          <w:snapToGrid w:val="0"/>
          <w:vanish w:val="0"/>
        </w:rPr>
      </w:pPr>
      <w:r>
        <w:rPr>
          <w:rFonts w:ascii="Times New Roman" w:hAnsi="Times New Roman"/>
          <w:snapToGrid w:val="0"/>
          <w:vanish w:val="0"/>
        </w:rPr>
        <w:t>4、注册资本：人民币壹佰万元</w:t>
      </w:r>
    </w:p>
    <w:p>
      <w:pPr>
        <w:pBdr>
          <w:top w:val="none" w:color="auto" w:sz="0" w:space="0"/>
          <w:left w:val="none" w:color="auto" w:sz="0" w:space="0"/>
          <w:bottom w:val="none" w:color="auto" w:sz="0" w:space="0"/>
          <w:right w:val="none" w:color="auto" w:sz="0" w:space="0"/>
        </w:pBdr>
        <w:spacing w:line="500" w:lineRule="exact"/>
        <w:ind w:firstLine="540" w:firstLineChars="200"/>
        <w:rPr>
          <w:rFonts w:ascii="Times New Roman" w:hAnsi="Times New Roman"/>
          <w:snapToGrid w:val="0"/>
          <w:vanish w:val="0"/>
        </w:rPr>
      </w:pPr>
      <w:r>
        <w:rPr>
          <w:rFonts w:ascii="Times New Roman" w:hAnsi="Times New Roman"/>
          <w:snapToGrid w:val="0"/>
          <w:vanish w:val="0"/>
        </w:rPr>
        <w:t>5、企业类型：有限责任公司</w:t>
      </w:r>
    </w:p>
    <w:p>
      <w:pPr>
        <w:pBdr>
          <w:top w:val="none" w:color="auto" w:sz="0" w:space="0"/>
          <w:left w:val="none" w:color="auto" w:sz="0" w:space="0"/>
          <w:bottom w:val="none" w:color="auto" w:sz="0" w:space="0"/>
          <w:right w:val="none" w:color="auto" w:sz="0" w:space="0"/>
        </w:pBdr>
        <w:spacing w:line="500" w:lineRule="exact"/>
        <w:ind w:firstLine="540" w:firstLineChars="200"/>
        <w:rPr>
          <w:rFonts w:ascii="Times New Roman" w:hAnsi="Times New Roman"/>
          <w:snapToGrid w:val="0"/>
          <w:vanish w:val="0"/>
        </w:rPr>
      </w:pPr>
      <w:r>
        <w:rPr>
          <w:rFonts w:ascii="Times New Roman" w:hAnsi="Times New Roman"/>
          <w:snapToGrid w:val="0"/>
          <w:vanish w:val="0"/>
        </w:rPr>
        <w:t>6、资格等级：贰级</w:t>
      </w:r>
    </w:p>
    <w:p>
      <w:pPr>
        <w:pBdr>
          <w:top w:val="none" w:color="auto" w:sz="0" w:space="0"/>
          <w:left w:val="none" w:color="auto" w:sz="0" w:space="0"/>
          <w:bottom w:val="none" w:color="auto" w:sz="0" w:space="0"/>
          <w:right w:val="none" w:color="auto" w:sz="0" w:space="0"/>
        </w:pBdr>
        <w:spacing w:line="500" w:lineRule="exact"/>
        <w:ind w:firstLine="540" w:firstLineChars="200"/>
        <w:rPr>
          <w:rFonts w:ascii="Times New Roman" w:hAnsi="Times New Roman"/>
          <w:snapToGrid w:val="0"/>
          <w:vanish w:val="0"/>
        </w:rPr>
      </w:pPr>
      <w:r>
        <w:rPr>
          <w:rFonts w:ascii="Times New Roman" w:hAnsi="Times New Roman"/>
          <w:snapToGrid w:val="0"/>
          <w:vanish w:val="0"/>
        </w:rPr>
        <w:t>7、证书编号：[2019]琼建审房估证字第2008号</w:t>
      </w:r>
    </w:p>
    <w:p>
      <w:pPr>
        <w:ind w:left="0" w:firstLine="540" w:firstLineChars="200"/>
      </w:pPr>
      <w:r>
        <w:rPr>
          <w:rFonts w:ascii="Times New Roman" w:hAnsi="Times New Roman"/>
          <w:snapToGrid w:val="0"/>
          <w:kern w:val="2"/>
          <w:sz w:val="28"/>
          <w:szCs w:val="20"/>
          <w:lang w:val="en-US" w:eastAsia="zh-CN"/>
        </w:rPr>
        <w:t>8、经营范围：</w:t>
      </w:r>
      <w:r>
        <w:rPr>
          <w:rFonts w:hint="eastAsia" w:ascii="仿宋_GB2312" w:eastAsia="仿宋_GB2312"/>
          <w:kern w:val="2"/>
          <w:sz w:val="28"/>
          <w:szCs w:val="28"/>
        </w:rPr>
        <w:t>房地产价格评估及咨询、土地价格评估及咨询、各类资产评估及咨询、基准地价评估、标定地价评估、节约集约用地评价、征收补偿评估、司法鉴定评估、企业价值评估、企业整体资产评估、无形资产评估、森林资源等生物性资产评估、海域使用权评估、债权价值评估及分析咨询、旧机动车鉴定评估、探矿权和采矿权评估、资产量核算、投资及开发项目评估、投资及开发项目方案策划、项目可行性研究分析咨询、财政绩效评价、投资后评价、财务管理咨询、企业管理咨询、评估培训服务、价格信息服务、信用评价管理、社会稳定风险评估、不动产登记代理服务、房地产经纪服务。</w:t>
      </w:r>
    </w:p>
    <w:p>
      <w:pPr>
        <w:pStyle w:val="3"/>
        <w:spacing w:after="38"/>
        <w:rPr>
          <w:rFonts w:ascii="Times New Roman" w:hAnsi="Times New Roman" w:eastAsia="仿宋_GB2312"/>
        </w:rPr>
      </w:pPr>
      <w:bookmarkStart w:id="47" w:name="_Toc48573733"/>
      <w:r>
        <w:rPr>
          <w:rFonts w:ascii="Times New Roman" w:hAnsi="Times New Roman" w:eastAsia="仿宋_GB2312"/>
        </w:rPr>
        <w:t>三、估价目的</w:t>
      </w:r>
      <w:bookmarkEnd w:id="40"/>
      <w:bookmarkEnd w:id="41"/>
      <w:bookmarkEnd w:id="42"/>
      <w:bookmarkEnd w:id="43"/>
      <w:bookmarkEnd w:id="44"/>
      <w:bookmarkEnd w:id="45"/>
      <w:bookmarkEnd w:id="47"/>
    </w:p>
    <w:p>
      <w:pPr>
        <w:pStyle w:val="28"/>
        <w:rPr>
          <w:rFonts w:ascii="Times New Roman" w:hAnsi="Times New Roman"/>
        </w:rPr>
      </w:pPr>
      <w:r>
        <w:rPr>
          <w:rFonts w:ascii="Times New Roman" w:hAnsi="Times New Roman"/>
        </w:rPr>
        <w:t>估价目的是</w:t>
      </w:r>
      <w:r>
        <w:rPr>
          <w:rFonts w:hint="eastAsia" w:ascii="Times New Roman" w:hAnsi="Times New Roman" w:eastAsia="仿宋_GB2312" w:cs="Times New Roman"/>
          <w:kern w:val="2"/>
          <w:sz w:val="28"/>
          <w:szCs w:val="28"/>
          <w:lang w:val="en-US" w:eastAsia="zh-CN"/>
        </w:rPr>
        <w:t>为</w:t>
      </w:r>
      <w:r>
        <w:rPr>
          <w:rFonts w:ascii="Times New Roman" w:hAnsi="Times New Roman" w:eastAsia="仿宋_GB2312"/>
          <w:bCs/>
          <w:snapToGrid w:val="0"/>
          <w:kern w:val="2"/>
          <w:sz w:val="28"/>
          <w:szCs w:val="20"/>
          <w:lang w:val="en-US" w:eastAsia="zh-CN"/>
        </w:rPr>
        <w:fldChar w:fldCharType="begin"/>
      </w:r>
      <w:r>
        <w:rPr>
          <w:rFonts w:ascii="Times New Roman" w:hAnsi="Times New Roman" w:eastAsia="仿宋_GB2312"/>
          <w:bCs/>
          <w:snapToGrid w:val="0"/>
          <w:kern w:val="2"/>
          <w:sz w:val="28"/>
          <w:szCs w:val="20"/>
          <w:lang w:val="en-US" w:eastAsia="zh-CN"/>
        </w:rPr>
        <w:instrText xml:space="preserve"> MERGEFIELD </w:instrText>
      </w:r>
      <w:r>
        <w:rPr>
          <w:rFonts w:hint="eastAsia" w:ascii="Times New Roman" w:hAnsi="Times New Roman" w:eastAsia="仿宋_GB2312" w:cs="Times New Roman"/>
          <w:bCs/>
          <w:snapToGrid w:val="0"/>
          <w:kern w:val="2"/>
          <w:sz w:val="28"/>
          <w:szCs w:val="20"/>
          <w:lang w:val="en-US" w:eastAsia="zh-CN"/>
        </w:rPr>
        <w:instrText xml:space="preserve">委托方</w:instrText>
      </w:r>
      <w:r>
        <w:rPr>
          <w:rFonts w:ascii="Times New Roman" w:hAnsi="Times New Roman" w:eastAsia="仿宋_GB2312"/>
          <w:bCs/>
          <w:snapToGrid w:val="0"/>
          <w:kern w:val="2"/>
          <w:sz w:val="28"/>
          <w:szCs w:val="20"/>
          <w:lang w:val="en-US" w:eastAsia="zh-CN"/>
        </w:rPr>
        <w:instrText xml:space="preserve"> </w:instrText>
      </w:r>
      <w:r>
        <w:rPr>
          <w:rFonts w:ascii="Times New Roman" w:hAnsi="Times New Roman" w:eastAsia="仿宋_GB2312"/>
          <w:bCs/>
          <w:snapToGrid w:val="0"/>
          <w:kern w:val="2"/>
          <w:sz w:val="28"/>
          <w:szCs w:val="20"/>
          <w:lang w:val="en-US" w:eastAsia="zh-CN"/>
        </w:rPr>
        <w:fldChar w:fldCharType="separate"/>
      </w:r>
      <w:r>
        <w:rPr>
          <w:rFonts w:ascii="Times New Roman" w:hAnsi="Times New Roman" w:eastAsia="仿宋_GB2312"/>
          <w:bCs/>
          <w:snapToGrid w:val="0"/>
          <w:kern w:val="2"/>
          <w:sz w:val="28"/>
          <w:szCs w:val="20"/>
          <w:lang w:val="en-US" w:eastAsia="zh-CN"/>
        </w:rPr>
        <w:t>海南省第一中级人民法院</w:t>
      </w:r>
      <w:r>
        <w:rPr>
          <w:rFonts w:ascii="Times New Roman" w:hAnsi="Times New Roman" w:eastAsia="仿宋_GB2312"/>
          <w:bCs/>
          <w:snapToGrid w:val="0"/>
          <w:kern w:val="2"/>
          <w:sz w:val="28"/>
          <w:szCs w:val="20"/>
          <w:lang w:val="en-US" w:eastAsia="zh-CN"/>
        </w:rPr>
        <w:fldChar w:fldCharType="end"/>
      </w:r>
      <w:r>
        <w:rPr>
          <w:rFonts w:hint="eastAsia" w:ascii="Times New Roman" w:hAnsi="Times New Roman" w:eastAsia="仿宋_GB2312" w:cs="Times New Roman"/>
          <w:kern w:val="2"/>
          <w:sz w:val="28"/>
          <w:szCs w:val="28"/>
          <w:lang w:val="en-US" w:eastAsia="zh-CN"/>
        </w:rPr>
        <w:t>确定财产处置参考价提供参考依据</w:t>
      </w:r>
      <w:r>
        <w:rPr>
          <w:rFonts w:ascii="Times New Roman" w:hAnsi="Times New Roman"/>
        </w:rPr>
        <w:t>。</w:t>
      </w:r>
    </w:p>
    <w:p>
      <w:pPr>
        <w:pStyle w:val="3"/>
        <w:spacing w:after="38" w:line="480" w:lineRule="exact"/>
        <w:rPr>
          <w:rFonts w:ascii="Times New Roman" w:hAnsi="Times New Roman" w:eastAsia="仿宋_GB2312"/>
        </w:rPr>
      </w:pPr>
      <w:bookmarkStart w:id="48" w:name="_Toc305778547"/>
      <w:bookmarkStart w:id="49" w:name="_Toc335404396"/>
      <w:bookmarkStart w:id="50" w:name="_Toc305778698"/>
      <w:bookmarkStart w:id="51" w:name="_Toc48573734"/>
      <w:bookmarkStart w:id="52" w:name="_Toc305778453"/>
      <w:bookmarkStart w:id="53" w:name="_Toc305778815"/>
      <w:r>
        <w:rPr>
          <w:rFonts w:ascii="Times New Roman" w:hAnsi="Times New Roman" w:eastAsia="仿宋_GB2312"/>
        </w:rPr>
        <w:t>四、估价对象</w:t>
      </w:r>
      <w:bookmarkEnd w:id="46"/>
      <w:bookmarkEnd w:id="48"/>
      <w:bookmarkEnd w:id="49"/>
      <w:bookmarkEnd w:id="50"/>
      <w:bookmarkEnd w:id="51"/>
      <w:bookmarkEnd w:id="52"/>
      <w:bookmarkEnd w:id="53"/>
    </w:p>
    <w:p>
      <w:pPr>
        <w:pStyle w:val="28"/>
        <w:spacing w:line="520" w:lineRule="exact"/>
        <w:rPr>
          <w:rFonts w:ascii="Times New Roman" w:hAnsi="Times New Roman"/>
        </w:rPr>
      </w:pPr>
      <w:r>
        <w:rPr>
          <w:rFonts w:ascii="Times New Roman" w:hAnsi="Times New Roman"/>
          <w:kern w:val="0"/>
        </w:rPr>
        <w:t>本</w:t>
      </w:r>
      <w:r>
        <w:rPr>
          <w:rFonts w:ascii="Times New Roman" w:hAnsi="Times New Roman"/>
        </w:rPr>
        <w:t>报告估价对象为</w:t>
      </w:r>
      <w:r>
        <w:rPr>
          <w:rFonts w:ascii="Times New Roman" w:hAnsi="Times New Roman"/>
        </w:rPr>
        <w:fldChar w:fldCharType="begin"/>
      </w:r>
      <w:r>
        <w:rPr>
          <w:rFonts w:ascii="Times New Roman" w:hAnsi="Times New Roman"/>
        </w:rPr>
        <w:instrText xml:space="preserve"> MergeField "估价对象" </w:instrText>
      </w:r>
      <w:r>
        <w:rPr>
          <w:rFonts w:ascii="Times New Roman" w:hAnsi="Times New Roman"/>
        </w:rPr>
        <w:fldChar w:fldCharType="separate"/>
      </w:r>
      <w:r>
        <w:rPr>
          <w:rFonts w:ascii="Times New Roman" w:hAnsi="Times New Roman"/>
        </w:rPr>
        <w:t>海口市秀英区长滨路81-2号永秀花园（二期）限价房七地块6#住宅楼7层702号房</w:t>
      </w:r>
      <w:r>
        <w:rPr>
          <w:rFonts w:ascii="Times New Roman" w:hAnsi="Times New Roman"/>
        </w:rPr>
        <w:fldChar w:fldCharType="end"/>
      </w:r>
      <w:r>
        <w:rPr>
          <w:rFonts w:ascii="Times New Roman" w:hAnsi="Times New Roman"/>
        </w:rPr>
        <w:t>（建筑面积为</w:t>
      </w:r>
      <w:r>
        <w:rPr>
          <w:rFonts w:ascii="Times New Roman" w:hAnsi="Times New Roman"/>
          <w:lang w:val="en-US" w:eastAsia="zh-CN"/>
        </w:rPr>
        <w:fldChar w:fldCharType="begin"/>
      </w:r>
      <w:r>
        <w:rPr>
          <w:rFonts w:ascii="Times New Roman" w:hAnsi="Times New Roman"/>
          <w:lang w:val="en-US" w:eastAsia="zh-CN"/>
        </w:rPr>
        <w:instrText xml:space="preserve">MERGEFIELD "房产状况描述建筑面积"  </w:instrText>
      </w:r>
      <w:r>
        <w:rPr>
          <w:rFonts w:ascii="Times New Roman" w:hAnsi="Times New Roman"/>
          <w:lang w:val="en-US" w:eastAsia="zh-CN"/>
        </w:rPr>
        <w:fldChar w:fldCharType="separate"/>
      </w:r>
      <w:r>
        <w:rPr>
          <w:rFonts w:ascii="Times New Roman" w:hAnsi="Times New Roman"/>
          <w:lang w:val="en-US" w:eastAsia="zh-CN"/>
        </w:rPr>
        <w:t>91.33</w:t>
      </w:r>
      <w:r>
        <w:rPr>
          <w:rFonts w:ascii="Times New Roman" w:hAnsi="Times New Roman"/>
          <w:lang w:val="en-US" w:eastAsia="zh-CN"/>
        </w:rPr>
        <w:fldChar w:fldCharType="end"/>
      </w:r>
      <w:r>
        <w:rPr>
          <w:rFonts w:ascii="Times New Roman" w:hAnsi="Times New Roman"/>
        </w:rPr>
        <w:t>㎡）。</w:t>
      </w:r>
    </w:p>
    <w:p>
      <w:pPr>
        <w:pStyle w:val="10"/>
        <w:spacing w:line="520" w:lineRule="exact"/>
        <w:rPr>
          <w:rFonts w:ascii="Times New Roman" w:hAnsi="Times New Roman"/>
          <w:shd w:val="clear" w:color="auto" w:fill="auto"/>
        </w:rPr>
      </w:pPr>
      <w:r>
        <w:rPr>
          <w:rFonts w:ascii="Times New Roman" w:hAnsi="Times New Roman"/>
        </w:rPr>
        <w:t>1、实物状况</w:t>
      </w:r>
    </w:p>
    <w:p>
      <w:pPr>
        <w:spacing w:line="560" w:lineRule="exact"/>
        <w:rPr>
          <w:rFonts w:ascii="Times New Roman" w:hAnsi="Times New Roman"/>
        </w:rPr>
      </w:pPr>
      <w:r>
        <w:rPr>
          <w:rFonts w:ascii="Times New Roman" w:hAnsi="Times New Roman"/>
        </w:rPr>
        <w:t>（1）座落：</w:t>
      </w:r>
      <w:r>
        <w:rPr>
          <w:rFonts w:ascii="Times New Roman" w:hAnsi="Times New Roman"/>
          <w:spacing w:val="-4"/>
        </w:rPr>
        <w:fldChar w:fldCharType="begin"/>
      </w:r>
      <w:r>
        <w:rPr>
          <w:rFonts w:ascii="Times New Roman" w:hAnsi="Times New Roman"/>
          <w:spacing w:val="-4"/>
        </w:rPr>
        <w:instrText xml:space="preserve">MERGEFIELD "房产状况描述房屋建筑物坐落"  </w:instrText>
      </w:r>
      <w:r>
        <w:rPr>
          <w:rFonts w:ascii="Times New Roman" w:hAnsi="Times New Roman"/>
          <w:spacing w:val="-4"/>
        </w:rPr>
        <w:fldChar w:fldCharType="separate"/>
      </w:r>
      <w:r>
        <w:rPr>
          <w:rFonts w:ascii="Times New Roman" w:hAnsi="Times New Roman"/>
          <w:spacing w:val="-4"/>
        </w:rPr>
        <w:t>海口市秀英区长滨路81-2号永秀花园（二期）限价房七地块6#住宅楼7层702号房</w:t>
      </w:r>
      <w:r>
        <w:rPr>
          <w:rFonts w:ascii="Times New Roman" w:hAnsi="Times New Roman"/>
          <w:spacing w:val="-4"/>
        </w:rPr>
        <w:fldChar w:fldCharType="end"/>
      </w:r>
      <w:r>
        <w:rPr>
          <w:rFonts w:ascii="Times New Roman" w:hAnsi="Times New Roman"/>
        </w:rPr>
        <w:t>；</w:t>
      </w:r>
    </w:p>
    <w:p>
      <w:pPr>
        <w:spacing w:line="560" w:lineRule="exact"/>
        <w:rPr>
          <w:rFonts w:ascii="Times New Roman" w:hAnsi="Times New Roman"/>
        </w:rPr>
      </w:pPr>
      <w:r>
        <w:rPr>
          <w:rFonts w:ascii="Times New Roman" w:hAnsi="Times New Roman"/>
        </w:rPr>
        <w:t>（2）临路状况：临</w:t>
      </w:r>
      <w:r>
        <w:rPr>
          <w:rFonts w:ascii="Times New Roman" w:hAnsi="Times New Roman"/>
        </w:rPr>
        <w:fldChar w:fldCharType="begin"/>
      </w:r>
      <w:r>
        <w:rPr>
          <w:rFonts w:ascii="Times New Roman" w:hAnsi="Times New Roman"/>
        </w:rPr>
        <w:instrText xml:space="preserve">MERGEFIELD "房产状况描述临路状况"  </w:instrText>
      </w:r>
      <w:r>
        <w:rPr>
          <w:rFonts w:ascii="Times New Roman" w:hAnsi="Times New Roman"/>
        </w:rPr>
        <w:fldChar w:fldCharType="separate"/>
      </w:r>
      <w:r>
        <w:rPr>
          <w:rFonts w:ascii="Times New Roman" w:hAnsi="Times New Roman"/>
        </w:rPr>
        <w:t>长滨路</w:t>
      </w:r>
      <w:r>
        <w:rPr>
          <w:rFonts w:ascii="Times New Roman" w:hAnsi="Times New Roman"/>
        </w:rPr>
        <w:fldChar w:fldCharType="end"/>
      </w:r>
      <w:r>
        <w:rPr>
          <w:rFonts w:ascii="Times New Roman" w:hAnsi="Times New Roman"/>
        </w:rPr>
        <w:t>；</w:t>
      </w:r>
    </w:p>
    <w:p>
      <w:pPr>
        <w:spacing w:line="560" w:lineRule="exact"/>
        <w:rPr>
          <w:rFonts w:ascii="Times New Roman" w:hAnsi="Times New Roman"/>
        </w:rPr>
      </w:pPr>
      <w:r>
        <w:rPr>
          <w:rFonts w:ascii="Times New Roman" w:hAnsi="Times New Roman"/>
        </w:rPr>
        <w:t>（3）建筑面积：建筑面积</w:t>
      </w:r>
      <w:r>
        <w:rPr>
          <w:rFonts w:ascii="Times New Roman" w:hAnsi="Times New Roman"/>
        </w:rPr>
        <w:fldChar w:fldCharType="begin"/>
      </w:r>
      <w:r>
        <w:rPr>
          <w:rFonts w:ascii="Times New Roman" w:hAnsi="Times New Roman"/>
        </w:rPr>
        <w:instrText xml:space="preserve">MERGEFIELD "房产状况描述建筑面积"  </w:instrText>
      </w:r>
      <w:r>
        <w:rPr>
          <w:rFonts w:ascii="Times New Roman" w:hAnsi="Times New Roman"/>
        </w:rPr>
        <w:fldChar w:fldCharType="separate"/>
      </w:r>
      <w:r>
        <w:rPr>
          <w:rFonts w:ascii="Times New Roman" w:hAnsi="Times New Roman"/>
        </w:rPr>
        <w:t>91.33</w:t>
      </w:r>
      <w:r>
        <w:rPr>
          <w:rFonts w:ascii="Times New Roman" w:hAnsi="Times New Roman"/>
        </w:rPr>
        <w:fldChar w:fldCharType="end"/>
      </w:r>
      <w:r>
        <w:rPr>
          <w:rFonts w:ascii="Times New Roman" w:hAnsi="Times New Roman"/>
        </w:rPr>
        <w:t>平方米；</w:t>
      </w:r>
    </w:p>
    <w:p>
      <w:pPr>
        <w:spacing w:line="560" w:lineRule="exact"/>
        <w:rPr>
          <w:rFonts w:ascii="Times New Roman" w:hAnsi="Times New Roman"/>
        </w:rPr>
      </w:pPr>
      <w:r>
        <w:rPr>
          <w:rFonts w:ascii="Times New Roman" w:hAnsi="Times New Roman"/>
        </w:rPr>
        <w:t>（4）楼层：估价对象位于第</w:t>
      </w:r>
      <w:r>
        <w:rPr>
          <w:rFonts w:ascii="Times New Roman" w:hAnsi="Times New Roman"/>
        </w:rPr>
        <w:fldChar w:fldCharType="begin"/>
      </w:r>
      <w:r>
        <w:rPr>
          <w:rFonts w:ascii="Times New Roman" w:hAnsi="Times New Roman"/>
        </w:rPr>
        <w:instrText xml:space="preserve">MERGEFIELD "房产状况描述估价对象所在楼层"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t>层，总高</w:t>
      </w:r>
      <w:r>
        <w:rPr>
          <w:rFonts w:ascii="Times New Roman" w:hAnsi="Times New Roman"/>
        </w:rPr>
        <w:fldChar w:fldCharType="begin"/>
      </w:r>
      <w:r>
        <w:rPr>
          <w:rFonts w:ascii="Times New Roman" w:hAnsi="Times New Roman"/>
        </w:rPr>
        <w:instrText xml:space="preserve">MERGEFIELD "房产状况描述建筑总层数"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层；</w:t>
      </w:r>
    </w:p>
    <w:p>
      <w:pPr>
        <w:spacing w:line="560" w:lineRule="exact"/>
        <w:rPr>
          <w:rFonts w:ascii="Times New Roman" w:hAnsi="Times New Roman"/>
        </w:rPr>
      </w:pPr>
      <w:r>
        <w:rPr>
          <w:rFonts w:ascii="Times New Roman" w:hAnsi="Times New Roman"/>
        </w:rPr>
        <w:t>（5）建筑结构：</w:t>
      </w:r>
      <w:r>
        <w:rPr>
          <w:rFonts w:ascii="Times New Roman" w:hAnsi="Times New Roman"/>
        </w:rPr>
        <w:fldChar w:fldCharType="begin"/>
      </w:r>
      <w:r>
        <w:rPr>
          <w:rFonts w:ascii="Times New Roman" w:hAnsi="Times New Roman"/>
        </w:rPr>
        <w:instrText xml:space="preserve">MERGEFIELD "房产状况描述建筑结构"  </w:instrText>
      </w:r>
      <w:r>
        <w:rPr>
          <w:rFonts w:ascii="Times New Roman" w:hAnsi="Times New Roman"/>
        </w:rPr>
        <w:fldChar w:fldCharType="separate"/>
      </w:r>
      <w:r>
        <w:rPr>
          <w:rFonts w:ascii="Times New Roman" w:hAnsi="Times New Roman"/>
        </w:rPr>
        <w:t>钢混结构</w:t>
      </w:r>
      <w:r>
        <w:rPr>
          <w:rFonts w:ascii="Times New Roman" w:hAnsi="Times New Roman"/>
        </w:rPr>
        <w:fldChar w:fldCharType="end"/>
      </w:r>
      <w:r>
        <w:rPr>
          <w:rFonts w:ascii="Times New Roman" w:hAnsi="Times New Roman"/>
        </w:rPr>
        <w:t>；</w:t>
      </w:r>
    </w:p>
    <w:p>
      <w:pPr>
        <w:spacing w:line="560" w:lineRule="exact"/>
        <w:rPr>
          <w:rFonts w:ascii="Times New Roman" w:hAnsi="Times New Roman"/>
        </w:rPr>
      </w:pPr>
      <w:r>
        <w:rPr>
          <w:rFonts w:ascii="Times New Roman" w:hAnsi="Times New Roman"/>
        </w:rPr>
        <w:t>（6）建成时间：</w:t>
      </w:r>
      <w:r>
        <w:rPr>
          <w:rFonts w:ascii="Times New Roman" w:hAnsi="Times New Roman"/>
        </w:rPr>
        <w:fldChar w:fldCharType="begin"/>
      </w:r>
      <w:r>
        <w:rPr>
          <w:rFonts w:ascii="Times New Roman" w:hAnsi="Times New Roman"/>
        </w:rPr>
        <w:instrText xml:space="preserve">MERGEFIELD "房产状况描述建成年月"  </w:instrText>
      </w:r>
      <w:r>
        <w:rPr>
          <w:rFonts w:ascii="Times New Roman" w:hAnsi="Times New Roman"/>
        </w:rPr>
        <w:fldChar w:fldCharType="separate"/>
      </w:r>
      <w:r>
        <w:rPr>
          <w:rFonts w:ascii="Times New Roman" w:hAnsi="Times New Roman"/>
        </w:rPr>
        <w:t>2017年</w:t>
      </w:r>
      <w:r>
        <w:rPr>
          <w:rFonts w:ascii="Times New Roman" w:hAnsi="Times New Roman"/>
        </w:rPr>
        <w:fldChar w:fldCharType="end"/>
      </w:r>
      <w:r>
        <w:rPr>
          <w:rFonts w:ascii="Times New Roman" w:hAnsi="Times New Roman"/>
        </w:rPr>
        <w:t>；</w:t>
      </w:r>
    </w:p>
    <w:p>
      <w:r>
        <w:rPr>
          <w:rFonts w:ascii="Times New Roman" w:hAnsi="Times New Roman"/>
        </w:rPr>
        <w:t>（7）装饰装修：估价对象室内假设为</w:t>
      </w:r>
      <w:r>
        <w:rPr>
          <w:rFonts w:ascii="Times New Roman" w:hAnsi="Times New Roman"/>
        </w:rPr>
        <w:fldChar w:fldCharType="begin"/>
      </w:r>
      <w:r>
        <w:rPr>
          <w:rFonts w:ascii="Times New Roman" w:hAnsi="Times New Roman"/>
        </w:rPr>
        <w:instrText xml:space="preserve">MERGEFIELD "房产状况描述装修状况"  </w:instrText>
      </w:r>
      <w:r>
        <w:rPr>
          <w:rFonts w:ascii="Times New Roman" w:hAnsi="Times New Roman"/>
        </w:rPr>
        <w:fldChar w:fldCharType="separate"/>
      </w:r>
      <w:r>
        <w:rPr>
          <w:rFonts w:ascii="Times New Roman" w:hAnsi="Times New Roman"/>
        </w:rPr>
        <w:t>毛坯</w:t>
      </w:r>
      <w:r>
        <w:rPr>
          <w:rFonts w:ascii="Times New Roman" w:hAnsi="Times New Roman"/>
        </w:rPr>
        <w:fldChar w:fldCharType="end"/>
      </w:r>
      <w:r>
        <w:rPr>
          <w:rFonts w:ascii="Times New Roman" w:hAnsi="Times New Roman"/>
        </w:rPr>
        <w:t>，详见《</w:t>
      </w:r>
      <w:r>
        <w:rPr>
          <w:rFonts w:ascii="Times New Roman" w:hAnsi="Times New Roman" w:eastAsia="仿宋_GB2312"/>
        </w:rPr>
        <w:t>估价的假设和限制条件</w:t>
      </w:r>
      <w:r>
        <w:rPr>
          <w:rFonts w:ascii="Times New Roman" w:hAnsi="Times New Roman"/>
        </w:rPr>
        <w:t>》的相关假设</w:t>
      </w:r>
      <w:r>
        <w:rPr>
          <w:rFonts w:ascii="Times New Roman" w:hAnsi="Times New Roman"/>
          <w:kern w:val="2"/>
          <w:sz w:val="28"/>
          <w:szCs w:val="28"/>
        </w:rPr>
        <w:t>；</w:t>
      </w:r>
    </w:p>
    <w:p>
      <w:pPr>
        <w:spacing w:line="560" w:lineRule="exact"/>
        <w:rPr>
          <w:rFonts w:ascii="Times New Roman" w:hAnsi="Times New Roman"/>
        </w:rPr>
      </w:pPr>
      <w:r>
        <w:rPr>
          <w:rFonts w:ascii="Times New Roman" w:hAnsi="Times New Roman"/>
        </w:rPr>
        <w:t>（8）空间布局：</w:t>
      </w:r>
      <w:r>
        <w:rPr>
          <w:rFonts w:ascii="Times New Roman" w:hAnsi="Times New Roman"/>
        </w:rPr>
        <w:fldChar w:fldCharType="begin"/>
      </w:r>
      <w:r>
        <w:rPr>
          <w:rFonts w:ascii="Times New Roman" w:hAnsi="Times New Roman"/>
        </w:rPr>
        <w:instrText xml:space="preserve">MERGEFIELD "房产状况描述空间布局"  </w:instrText>
      </w:r>
      <w:r>
        <w:rPr>
          <w:rFonts w:ascii="Times New Roman" w:hAnsi="Times New Roman"/>
        </w:rPr>
        <w:fldChar w:fldCharType="separate"/>
      </w:r>
      <w:r>
        <w:rPr>
          <w:rFonts w:ascii="Times New Roman" w:hAnsi="Times New Roman"/>
        </w:rPr>
        <w:t>平层</w:t>
      </w:r>
      <w:r>
        <w:rPr>
          <w:rFonts w:ascii="Times New Roman" w:hAnsi="Times New Roman"/>
        </w:rPr>
        <w:fldChar w:fldCharType="end"/>
      </w:r>
      <w:r>
        <w:rPr>
          <w:rFonts w:ascii="Times New Roman" w:hAnsi="Times New Roman"/>
        </w:rPr>
        <w:t>，假设为</w:t>
      </w:r>
      <w:r>
        <w:rPr>
          <w:rFonts w:ascii="Times New Roman" w:hAnsi="Times New Roman"/>
          <w:spacing w:val="0"/>
          <w:kern w:val="2"/>
          <w:sz w:val="28"/>
          <w:szCs w:val="28"/>
        </w:rPr>
        <w:fldChar w:fldCharType="begin"/>
      </w:r>
      <w:r>
        <w:rPr>
          <w:rFonts w:ascii="Times New Roman" w:hAnsi="Times New Roman"/>
          <w:spacing w:val="0"/>
          <w:kern w:val="2"/>
          <w:sz w:val="28"/>
          <w:szCs w:val="28"/>
        </w:rPr>
        <w:instrText xml:space="preserve"> MergeField "具体户型" </w:instrText>
      </w:r>
      <w:r>
        <w:rPr>
          <w:rFonts w:ascii="Times New Roman" w:hAnsi="Times New Roman"/>
          <w:spacing w:val="0"/>
          <w:kern w:val="2"/>
          <w:sz w:val="28"/>
          <w:szCs w:val="28"/>
        </w:rPr>
        <w:fldChar w:fldCharType="separate"/>
      </w:r>
      <w:r>
        <w:rPr>
          <w:rFonts w:ascii="Times New Roman" w:hAnsi="Times New Roman"/>
          <w:spacing w:val="0"/>
          <w:kern w:val="2"/>
          <w:sz w:val="28"/>
          <w:szCs w:val="28"/>
        </w:rPr>
        <w:t>三房二厅一厨一卫</w:t>
      </w:r>
      <w:r>
        <w:rPr>
          <w:rFonts w:ascii="Times New Roman" w:hAnsi="Times New Roman"/>
          <w:spacing w:val="0"/>
          <w:kern w:val="2"/>
          <w:sz w:val="28"/>
          <w:szCs w:val="28"/>
        </w:rPr>
        <w:fldChar w:fldCharType="end"/>
      </w:r>
      <w:r>
        <w:rPr>
          <w:rFonts w:ascii="Times New Roman" w:hAnsi="Times New Roman"/>
          <w:spacing w:val="0"/>
          <w:kern w:val="2"/>
          <w:sz w:val="28"/>
          <w:szCs w:val="28"/>
        </w:rPr>
        <w:t>，</w:t>
      </w:r>
      <w:r>
        <w:rPr>
          <w:rFonts w:ascii="Times New Roman" w:hAnsi="Times New Roman"/>
        </w:rPr>
        <w:t>详见《</w:t>
      </w:r>
      <w:r>
        <w:rPr>
          <w:rFonts w:ascii="Times New Roman" w:hAnsi="Times New Roman" w:eastAsia="仿宋_GB2312"/>
        </w:rPr>
        <w:t>估价的假设和限制条件</w:t>
      </w:r>
      <w:r>
        <w:rPr>
          <w:rFonts w:ascii="Times New Roman" w:hAnsi="Times New Roman"/>
        </w:rPr>
        <w:t>》的相关假设；</w:t>
      </w:r>
    </w:p>
    <w:p>
      <w:pPr>
        <w:spacing w:line="560" w:lineRule="exact"/>
        <w:rPr>
          <w:rFonts w:ascii="Times New Roman" w:hAnsi="Times New Roman"/>
        </w:rPr>
      </w:pPr>
      <w:r>
        <w:rPr>
          <w:rFonts w:ascii="Times New Roman" w:hAnsi="Times New Roman"/>
        </w:rPr>
        <w:t>（9）朝向：</w:t>
      </w:r>
      <w:r>
        <w:rPr>
          <w:rFonts w:ascii="Times New Roman" w:hAnsi="Times New Roman"/>
        </w:rPr>
        <w:fldChar w:fldCharType="begin"/>
      </w:r>
      <w:r>
        <w:rPr>
          <w:rFonts w:ascii="Times New Roman" w:hAnsi="Times New Roman"/>
        </w:rPr>
        <w:instrText xml:space="preserve">MERGEFIELD "房产状况描述朝向"  </w:instrText>
      </w:r>
      <w:r>
        <w:rPr>
          <w:rFonts w:ascii="Times New Roman" w:hAnsi="Times New Roman"/>
        </w:rPr>
        <w:fldChar w:fldCharType="separate"/>
      </w:r>
      <w:r>
        <w:rPr>
          <w:rFonts w:ascii="Times New Roman" w:hAnsi="Times New Roman"/>
        </w:rPr>
        <w:t>北</w:t>
      </w:r>
      <w:r>
        <w:rPr>
          <w:rFonts w:ascii="Times New Roman" w:hAnsi="Times New Roman"/>
        </w:rPr>
        <w:fldChar w:fldCharType="end"/>
      </w:r>
      <w:r>
        <w:rPr>
          <w:rFonts w:ascii="Times New Roman" w:hAnsi="Times New Roman"/>
        </w:rPr>
        <w:t>；</w:t>
      </w:r>
    </w:p>
    <w:p>
      <w:pPr>
        <w:spacing w:line="560" w:lineRule="exact"/>
        <w:rPr>
          <w:rFonts w:ascii="Times New Roman" w:hAnsi="Times New Roman"/>
        </w:rPr>
      </w:pPr>
      <w:r>
        <w:rPr>
          <w:rFonts w:ascii="Times New Roman" w:hAnsi="Times New Roman"/>
        </w:rPr>
        <w:t>（10）通风、采光状况：通风、采光</w:t>
      </w:r>
      <w:r>
        <w:rPr>
          <w:rFonts w:ascii="Times New Roman" w:hAnsi="Times New Roman"/>
        </w:rPr>
        <w:fldChar w:fldCharType="begin"/>
      </w:r>
      <w:r>
        <w:rPr>
          <w:rFonts w:ascii="Times New Roman" w:hAnsi="Times New Roman"/>
        </w:rPr>
        <w:instrText xml:space="preserve">MERGEFIELD "房产状况描述采光及通风状况"  </w:instrText>
      </w:r>
      <w:r>
        <w:rPr>
          <w:rFonts w:ascii="Times New Roman" w:hAnsi="Times New Roman"/>
        </w:rPr>
        <w:fldChar w:fldCharType="separate"/>
      </w:r>
      <w:r>
        <w:rPr>
          <w:rFonts w:ascii="Times New Roman" w:hAnsi="Times New Roman"/>
        </w:rPr>
        <w:t>一般</w:t>
      </w:r>
      <w:r>
        <w:rPr>
          <w:rFonts w:ascii="Times New Roman" w:hAnsi="Times New Roman"/>
        </w:rPr>
        <w:fldChar w:fldCharType="end"/>
      </w:r>
      <w:r>
        <w:rPr>
          <w:rFonts w:ascii="Times New Roman" w:hAnsi="Times New Roman"/>
        </w:rPr>
        <w:t>；</w:t>
      </w:r>
    </w:p>
    <w:p>
      <w:r>
        <w:rPr>
          <w:rFonts w:ascii="Times New Roman" w:hAnsi="Times New Roman"/>
        </w:rPr>
        <w:t>（11）设备设施：较</w:t>
      </w:r>
      <w:r>
        <w:rPr>
          <w:rFonts w:ascii="Times New Roman" w:hAnsi="Times New Roman" w:eastAsia="仿宋_GB2312" w:cs="Times New Roman"/>
          <w:kern w:val="2"/>
          <w:sz w:val="28"/>
          <w:szCs w:val="28"/>
          <w:lang w:val="en-US" w:eastAsia="zh-CN"/>
        </w:rPr>
        <w:t>齐全；</w:t>
      </w:r>
    </w:p>
    <w:p>
      <w:pPr>
        <w:spacing w:line="560" w:lineRule="exact"/>
        <w:rPr>
          <w:rFonts w:ascii="Times New Roman" w:hAnsi="Times New Roman"/>
        </w:rPr>
      </w:pPr>
      <w:r>
        <w:rPr>
          <w:rFonts w:ascii="Times New Roman" w:hAnsi="Times New Roman"/>
        </w:rPr>
        <w:t>（12）工程质量：</w:t>
      </w:r>
      <w:r>
        <w:rPr>
          <w:rFonts w:ascii="Times New Roman" w:hAnsi="Times New Roman"/>
        </w:rPr>
        <w:fldChar w:fldCharType="begin"/>
      </w:r>
      <w:r>
        <w:rPr>
          <w:rFonts w:ascii="Times New Roman" w:hAnsi="Times New Roman"/>
        </w:rPr>
        <w:instrText xml:space="preserve">MERGEFIELD "房产状况描述工程质量"  </w:instrText>
      </w:r>
      <w:r>
        <w:rPr>
          <w:rFonts w:ascii="Times New Roman" w:hAnsi="Times New Roman"/>
        </w:rPr>
        <w:fldChar w:fldCharType="separate"/>
      </w:r>
      <w:r>
        <w:rPr>
          <w:rFonts w:ascii="Times New Roman" w:hAnsi="Times New Roman"/>
        </w:rPr>
        <w:t>良好</w:t>
      </w:r>
      <w:r>
        <w:rPr>
          <w:rFonts w:ascii="Times New Roman" w:hAnsi="Times New Roman"/>
        </w:rPr>
        <w:fldChar w:fldCharType="end"/>
      </w:r>
      <w:r>
        <w:rPr>
          <w:rFonts w:ascii="Times New Roman" w:hAnsi="Times New Roman" w:eastAsia="仿宋_GB2312" w:cs="Times New Roman"/>
          <w:kern w:val="2"/>
          <w:sz w:val="28"/>
          <w:szCs w:val="28"/>
          <w:lang w:val="en-US" w:eastAsia="zh-CN"/>
        </w:rPr>
        <w:t>；</w:t>
      </w:r>
    </w:p>
    <w:p>
      <w:pPr>
        <w:spacing w:line="560" w:lineRule="exact"/>
        <w:ind w:left="0" w:firstLine="540" w:firstLineChars="200"/>
        <w:rPr>
          <w:rFonts w:ascii="Times New Roman" w:hAnsi="Times New Roman"/>
        </w:rPr>
      </w:pPr>
      <w:r>
        <w:rPr>
          <w:rFonts w:ascii="Times New Roman" w:hAnsi="Times New Roman"/>
        </w:rPr>
        <w:t>（13）景观状况：较好；</w:t>
      </w:r>
    </w:p>
    <w:p>
      <w:pPr>
        <w:spacing w:line="560" w:lineRule="exact"/>
        <w:ind w:left="0" w:firstLine="540" w:firstLineChars="200"/>
        <w:rPr>
          <w:rFonts w:ascii="Times New Roman" w:hAnsi="Times New Roman"/>
        </w:rPr>
      </w:pPr>
      <w:r>
        <w:rPr>
          <w:rFonts w:ascii="Times New Roman" w:hAnsi="Times New Roman"/>
        </w:rPr>
        <w:t>（14）维护保养：维护保养状况一般；</w:t>
      </w:r>
    </w:p>
    <w:p>
      <w:pPr>
        <w:spacing w:line="560" w:lineRule="exact"/>
        <w:rPr>
          <w:rFonts w:ascii="Times New Roman" w:hAnsi="Times New Roman"/>
        </w:rPr>
      </w:pPr>
      <w:r>
        <w:rPr>
          <w:rFonts w:ascii="Times New Roman" w:hAnsi="Times New Roman"/>
        </w:rPr>
        <w:t>（15）电梯状况：</w:t>
      </w:r>
      <w:r>
        <w:rPr>
          <w:rFonts w:ascii="Times New Roman" w:hAnsi="Times New Roman"/>
        </w:rPr>
        <w:fldChar w:fldCharType="begin"/>
      </w:r>
      <w:r>
        <w:rPr>
          <w:rFonts w:ascii="Times New Roman" w:hAnsi="Times New Roman"/>
        </w:rPr>
        <w:instrText xml:space="preserve">MERGEFIELD "房产状况描述电梯状况"  </w:instrText>
      </w:r>
      <w:r>
        <w:rPr>
          <w:rFonts w:ascii="Times New Roman" w:hAnsi="Times New Roman"/>
        </w:rPr>
        <w:fldChar w:fldCharType="separate"/>
      </w:r>
      <w:r>
        <w:rPr>
          <w:rFonts w:ascii="Times New Roman" w:hAnsi="Times New Roman"/>
        </w:rPr>
        <w:t>有电梯</w:t>
      </w:r>
      <w:r>
        <w:rPr>
          <w:rFonts w:ascii="Times New Roman" w:hAnsi="Times New Roman"/>
        </w:rPr>
        <w:fldChar w:fldCharType="end"/>
      </w:r>
      <w:r>
        <w:rPr>
          <w:rFonts w:ascii="Times New Roman" w:hAnsi="Times New Roman"/>
        </w:rPr>
        <w:t>；</w:t>
      </w:r>
    </w:p>
    <w:p>
      <w:pPr>
        <w:spacing w:line="560" w:lineRule="exact"/>
        <w:rPr>
          <w:rFonts w:ascii="Times New Roman" w:hAnsi="Times New Roman"/>
        </w:rPr>
      </w:pPr>
      <w:r>
        <w:rPr>
          <w:rFonts w:ascii="Times New Roman" w:hAnsi="Times New Roman"/>
        </w:rPr>
        <w:t>（16）证载房屋用途：</w:t>
      </w:r>
      <w:r>
        <w:rPr>
          <w:rFonts w:ascii="Times New Roman" w:hAnsi="Times New Roman"/>
        </w:rPr>
        <w:fldChar w:fldCharType="begin"/>
      </w:r>
      <w:r>
        <w:rPr>
          <w:rFonts w:ascii="Times New Roman" w:hAnsi="Times New Roman"/>
        </w:rPr>
        <w:instrText xml:space="preserve">MERGEFIELD "房产状况描述证载房屋用途"  </w:instrText>
      </w:r>
      <w:r>
        <w:rPr>
          <w:rFonts w:ascii="Times New Roman" w:hAnsi="Times New Roman"/>
        </w:rPr>
        <w:fldChar w:fldCharType="separate"/>
      </w:r>
      <w:r>
        <w:rPr>
          <w:rFonts w:ascii="Times New Roman" w:hAnsi="Times New Roman"/>
        </w:rPr>
        <w:t>住宅</w:t>
      </w:r>
      <w:r>
        <w:rPr>
          <w:rFonts w:ascii="Times New Roman" w:hAnsi="Times New Roman"/>
        </w:rPr>
        <w:fldChar w:fldCharType="end"/>
      </w:r>
      <w:r>
        <w:rPr>
          <w:rFonts w:ascii="Times New Roman" w:hAnsi="Times New Roman"/>
        </w:rPr>
        <w:t>；</w:t>
      </w:r>
    </w:p>
    <w:p>
      <w:pPr>
        <w:spacing w:line="560" w:lineRule="exact"/>
        <w:rPr>
          <w:rFonts w:ascii="Times New Roman" w:hAnsi="Times New Roman"/>
        </w:rPr>
      </w:pPr>
      <w:r>
        <w:rPr>
          <w:rFonts w:ascii="Times New Roman" w:hAnsi="Times New Roman"/>
        </w:rPr>
        <w:t>（17）现状使用：空置；</w:t>
      </w: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b/>
          <w:bCs/>
        </w:rPr>
      </w:pPr>
      <w:r>
        <w:rPr>
          <w:rFonts w:ascii="Times New Roman" w:hAnsi="Times New Roman"/>
          <w:b/>
          <w:bCs/>
        </w:rPr>
        <w:t>2、权益状况</w:t>
      </w:r>
    </w:p>
    <w:p>
      <w:pPr>
        <w:pStyle w:val="10"/>
        <w:pBdr>
          <w:top w:val="none" w:color="auto" w:sz="0" w:space="0"/>
          <w:left w:val="none" w:color="auto" w:sz="0" w:space="0"/>
          <w:bottom w:val="none" w:color="auto" w:sz="0" w:space="0"/>
          <w:right w:val="none" w:color="auto" w:sz="0" w:space="0"/>
        </w:pBdr>
        <w:spacing w:line="560" w:lineRule="exact"/>
        <w:ind w:firstLine="540" w:firstLineChars="200"/>
        <w:rPr>
          <w:rStyle w:val="42"/>
          <w:rFonts w:ascii="Times New Roman" w:hAnsi="Times New Roman"/>
          <w:vanish w:val="0"/>
          <w:kern w:val="2"/>
          <w:sz w:val="28"/>
          <w:szCs w:val="28"/>
        </w:rPr>
      </w:pPr>
      <w:r>
        <w:rPr>
          <w:rFonts w:ascii="Times New Roman" w:hAnsi="Times New Roman"/>
          <w:b/>
          <w:bCs/>
        </w:rPr>
        <w:t>（1）根据估价委托方提供的</w:t>
      </w:r>
      <w:r>
        <w:rPr>
          <w:rStyle w:val="42"/>
          <w:rFonts w:ascii="Times New Roman" w:hAnsi="Times New Roman"/>
          <w:vanish w:val="0"/>
          <w:kern w:val="2"/>
          <w:sz w:val="28"/>
          <w:szCs w:val="28"/>
        </w:rPr>
        <w:t>估价对象《</w:t>
      </w:r>
      <w:r>
        <w:rPr>
          <w:rFonts w:ascii="Times New Roman" w:hAnsi="Times New Roman"/>
          <w:bCs/>
        </w:rPr>
        <w:t>不动产登记信息查询情况说明</w:t>
      </w:r>
      <w:r>
        <w:rPr>
          <w:rFonts w:hint="eastAsia" w:ascii="Times New Roman" w:hAnsi="Times New Roman" w:eastAsia="仿宋_GB2312" w:cs="Times New Roman"/>
          <w:kern w:val="2"/>
          <w:sz w:val="28"/>
          <w:szCs w:val="20"/>
          <w:lang w:val="en-US" w:eastAsia="zh-CN"/>
        </w:rPr>
        <w:t>》</w:t>
      </w:r>
      <w:r>
        <w:rPr>
          <w:rFonts w:ascii="Times New Roman" w:hAnsi="Times New Roman" w:eastAsia="仿宋_GB2312" w:cs="Times New Roman"/>
          <w:kern w:val="2"/>
          <w:sz w:val="28"/>
          <w:szCs w:val="20"/>
          <w:lang w:val="en-US" w:eastAsia="zh-CN"/>
        </w:rPr>
        <w:t>表</w:t>
      </w:r>
      <w:r>
        <w:rPr>
          <w:rStyle w:val="42"/>
          <w:rFonts w:ascii="Times New Roman" w:hAnsi="Times New Roman"/>
          <w:vanish w:val="0"/>
          <w:kern w:val="2"/>
          <w:sz w:val="28"/>
          <w:szCs w:val="28"/>
        </w:rPr>
        <w:t>，具体证载情况如下表：</w:t>
      </w:r>
    </w:p>
    <w:tbl>
      <w:tblPr>
        <w:tblStyle w:val="2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995"/>
        <w:gridCol w:w="71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84" w:hRule="atLeast"/>
          <w:hidden/>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ind w:firstLine="0" w:firstLineChars="0"/>
              <w:jc w:val="center"/>
              <w:textAlignment w:val="center"/>
              <w:rPr>
                <w:rFonts w:ascii="Times New Roman" w:hAnsi="Times New Roman"/>
                <w:vanish w:val="0"/>
                <w:kern w:val="0"/>
                <w:sz w:val="24"/>
                <w:szCs w:val="24"/>
              </w:rPr>
            </w:pPr>
            <w:r>
              <w:rPr>
                <w:rFonts w:ascii="Times New Roman" w:hAnsi="Times New Roman"/>
                <w:vanish w:val="0"/>
                <w:kern w:val="0"/>
                <w:sz w:val="24"/>
                <w:szCs w:val="24"/>
              </w:rPr>
              <w:t>项目</w:t>
            </w:r>
          </w:p>
        </w:tc>
        <w:tc>
          <w:tcPr>
            <w:tcW w:w="713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jc w:val="center"/>
              <w:textAlignment w:val="center"/>
              <w:rPr>
                <w:rFonts w:ascii="Times New Roman" w:hAnsi="Times New Roman"/>
                <w:vanish w:val="0"/>
                <w:kern w:val="0"/>
                <w:sz w:val="24"/>
                <w:szCs w:val="24"/>
              </w:rPr>
            </w:pPr>
            <w:r>
              <w:rPr>
                <w:rFonts w:ascii="Times New Roman" w:hAnsi="Times New Roman"/>
                <w:vanish w:val="0"/>
                <w:kern w:val="0"/>
                <w:sz w:val="24"/>
                <w:szCs w:val="24"/>
              </w:rPr>
              <w:t>委估房产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hidden/>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ind w:firstLine="0" w:firstLineChars="0"/>
              <w:jc w:val="center"/>
              <w:textAlignment w:val="center"/>
              <w:rPr>
                <w:rFonts w:ascii="Times New Roman" w:hAnsi="Times New Roman"/>
                <w:vanish w:val="0"/>
                <w:kern w:val="0"/>
                <w:sz w:val="24"/>
                <w:szCs w:val="24"/>
              </w:rPr>
            </w:pPr>
            <w:r>
              <w:rPr>
                <w:rFonts w:ascii="Times New Roman" w:hAnsi="Times New Roman"/>
                <w:vanish w:val="0"/>
                <w:kern w:val="0"/>
                <w:sz w:val="24"/>
                <w:szCs w:val="24"/>
              </w:rPr>
              <w:t>房屋坐落</w:t>
            </w:r>
          </w:p>
        </w:tc>
        <w:tc>
          <w:tcPr>
            <w:tcW w:w="713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ind w:left="0" w:firstLine="0" w:firstLineChars="0"/>
              <w:jc w:val="center"/>
              <w:textAlignment w:val="center"/>
              <w:rPr>
                <w:rFonts w:ascii="Times New Roman" w:hAnsi="Times New Roman"/>
                <w:kern w:val="0"/>
                <w:sz w:val="24"/>
                <w:szCs w:val="24"/>
              </w:rPr>
            </w:pPr>
            <w:r>
              <w:rPr>
                <w:rFonts w:ascii="Times New Roman" w:hAnsi="Times New Roman"/>
                <w:kern w:val="0"/>
                <w:sz w:val="24"/>
                <w:szCs w:val="24"/>
              </w:rPr>
              <w:t>海口市秀英区长滨路81-2号永秀花园（二期）限价房七地块6#住宅楼7层702号房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84" w:hRule="atLeast"/>
          <w:hidden/>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ind w:firstLine="0" w:firstLineChars="0"/>
              <w:jc w:val="center"/>
              <w:textAlignment w:val="center"/>
              <w:rPr>
                <w:rFonts w:ascii="Times New Roman" w:hAnsi="Times New Roman"/>
                <w:vanish w:val="0"/>
                <w:kern w:val="0"/>
                <w:sz w:val="24"/>
                <w:szCs w:val="24"/>
              </w:rPr>
            </w:pPr>
            <w:r>
              <w:rPr>
                <w:rFonts w:ascii="Times New Roman" w:hAnsi="Times New Roman"/>
                <w:vanish w:val="0"/>
                <w:kern w:val="0"/>
                <w:sz w:val="24"/>
                <w:szCs w:val="24"/>
              </w:rPr>
              <w:t>房屋所有权人</w:t>
            </w:r>
          </w:p>
        </w:tc>
        <w:tc>
          <w:tcPr>
            <w:tcW w:w="713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exact"/>
              <w:jc w:val="center"/>
              <w:textAlignment w:val="center"/>
              <w:rPr>
                <w:rFonts w:ascii="Times New Roman" w:hAnsi="Times New Roman"/>
                <w:kern w:val="0"/>
                <w:sz w:val="24"/>
                <w:szCs w:val="24"/>
              </w:rPr>
            </w:pPr>
            <w:r>
              <w:rPr>
                <w:rFonts w:ascii="Times New Roman" w:hAnsi="Times New Roman"/>
                <w:kern w:val="0"/>
                <w:sz w:val="24"/>
                <w:szCs w:val="24"/>
              </w:rPr>
              <w:t>郑学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83" w:hRule="atLeast"/>
          <w:hidden/>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ind w:firstLine="0" w:firstLineChars="0"/>
              <w:jc w:val="center"/>
              <w:textAlignment w:val="center"/>
              <w:rPr>
                <w:rFonts w:ascii="Times New Roman" w:hAnsi="Times New Roman"/>
                <w:vanish w:val="0"/>
                <w:kern w:val="0"/>
                <w:sz w:val="24"/>
                <w:szCs w:val="24"/>
              </w:rPr>
            </w:pPr>
            <w:r>
              <w:rPr>
                <w:rFonts w:ascii="Times New Roman" w:hAnsi="Times New Roman"/>
                <w:vanish w:val="0"/>
                <w:kern w:val="0"/>
                <w:sz w:val="24"/>
                <w:szCs w:val="24"/>
              </w:rPr>
              <w:t>房屋共有情况</w:t>
            </w:r>
          </w:p>
        </w:tc>
        <w:tc>
          <w:tcPr>
            <w:tcW w:w="713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exact"/>
              <w:jc w:val="center"/>
              <w:textAlignment w:val="center"/>
              <w:rPr>
                <w:rFonts w:ascii="Times New Roman" w:hAnsi="Times New Roman"/>
                <w:kern w:val="0"/>
                <w:sz w:val="24"/>
                <w:szCs w:val="24"/>
              </w:rPr>
            </w:pPr>
            <w:r>
              <w:rPr>
                <w:rFonts w:ascii="Times New Roman" w:hAnsi="Times New Roman"/>
                <w:kern w:val="0"/>
                <w:sz w:val="24"/>
                <w:szCs w:val="24"/>
              </w:rPr>
              <w:t xml:space="preserve">  单独所有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hidden/>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ind w:firstLine="0" w:firstLineChars="0"/>
              <w:jc w:val="center"/>
              <w:textAlignment w:val="center"/>
              <w:rPr>
                <w:rFonts w:ascii="Times New Roman" w:hAnsi="Times New Roman"/>
                <w:vanish w:val="0"/>
                <w:kern w:val="0"/>
                <w:sz w:val="24"/>
                <w:szCs w:val="24"/>
              </w:rPr>
            </w:pPr>
            <w:r>
              <w:rPr>
                <w:rFonts w:ascii="Times New Roman" w:hAnsi="Times New Roman"/>
                <w:vanish w:val="0"/>
                <w:kern w:val="0"/>
                <w:sz w:val="24"/>
                <w:szCs w:val="24"/>
              </w:rPr>
              <w:t>规划用途</w:t>
            </w:r>
          </w:p>
        </w:tc>
        <w:tc>
          <w:tcPr>
            <w:tcW w:w="713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jc w:val="center"/>
              <w:textAlignment w:val="center"/>
              <w:rPr>
                <w:rFonts w:ascii="Times New Roman" w:hAnsi="Times New Roman"/>
                <w:kern w:val="0"/>
                <w:sz w:val="24"/>
                <w:szCs w:val="24"/>
              </w:rPr>
            </w:pPr>
            <w:r>
              <w:rPr>
                <w:rFonts w:ascii="Times New Roman" w:hAnsi="Times New Roman"/>
                <w:kern w:val="0"/>
                <w:sz w:val="24"/>
                <w:szCs w:val="24"/>
              </w:rPr>
              <w:t>住宅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hidden/>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ind w:firstLine="0" w:firstLineChars="0"/>
              <w:jc w:val="center"/>
              <w:textAlignment w:val="center"/>
              <w:rPr>
                <w:rFonts w:ascii="Times New Roman" w:hAnsi="Times New Roman"/>
                <w:vanish w:val="0"/>
                <w:kern w:val="0"/>
                <w:sz w:val="24"/>
                <w:szCs w:val="24"/>
              </w:rPr>
            </w:pPr>
            <w:r>
              <w:rPr>
                <w:rFonts w:ascii="Times New Roman" w:hAnsi="Times New Roman"/>
                <w:vanish w:val="0"/>
                <w:kern w:val="0"/>
                <w:sz w:val="24"/>
                <w:szCs w:val="24"/>
              </w:rPr>
              <w:t>房屋性质</w:t>
            </w:r>
          </w:p>
        </w:tc>
        <w:tc>
          <w:tcPr>
            <w:tcW w:w="713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jc w:val="center"/>
              <w:textAlignment w:val="center"/>
              <w:rPr>
                <w:rFonts w:ascii="Times New Roman" w:hAnsi="Times New Roman"/>
                <w:kern w:val="0"/>
                <w:sz w:val="24"/>
                <w:szCs w:val="24"/>
              </w:rPr>
            </w:pPr>
            <w:r>
              <w:rPr>
                <w:rFonts w:ascii="Times New Roman" w:hAnsi="Times New Roman"/>
                <w:kern w:val="0"/>
                <w:sz w:val="24"/>
                <w:szCs w:val="24"/>
              </w:rPr>
              <w:t>市场化商品房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hidden/>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ind w:firstLine="0" w:firstLineChars="0"/>
              <w:jc w:val="center"/>
              <w:textAlignment w:val="center"/>
              <w:rPr>
                <w:rFonts w:ascii="Times New Roman" w:hAnsi="Times New Roman"/>
                <w:vanish w:val="0"/>
                <w:kern w:val="0"/>
                <w:sz w:val="24"/>
                <w:szCs w:val="24"/>
              </w:rPr>
            </w:pPr>
            <w:r>
              <w:rPr>
                <w:rFonts w:ascii="Times New Roman" w:hAnsi="Times New Roman"/>
                <w:vanish w:val="0"/>
                <w:kern w:val="0"/>
                <w:sz w:val="24"/>
                <w:szCs w:val="24"/>
              </w:rPr>
              <w:t>房屋结构</w:t>
            </w:r>
          </w:p>
        </w:tc>
        <w:tc>
          <w:tcPr>
            <w:tcW w:w="713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jc w:val="center"/>
              <w:textAlignment w:val="center"/>
              <w:rPr>
                <w:rFonts w:ascii="Times New Roman" w:hAnsi="Times New Roman"/>
                <w:kern w:val="0"/>
                <w:sz w:val="24"/>
                <w:szCs w:val="24"/>
              </w:rPr>
            </w:pPr>
            <w:r>
              <w:rPr>
                <w:rFonts w:ascii="Times New Roman" w:hAnsi="Times New Roman"/>
                <w:vanish w:val="0"/>
                <w:kern w:val="0"/>
                <w:sz w:val="24"/>
                <w:szCs w:val="24"/>
              </w:rPr>
              <w:t>钢筋混凝土结构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83" w:hRule="atLeast"/>
          <w:hidden/>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ind w:firstLine="0" w:firstLineChars="0"/>
              <w:jc w:val="center"/>
              <w:textAlignment w:val="center"/>
              <w:rPr>
                <w:rFonts w:ascii="Times New Roman" w:hAnsi="Times New Roman"/>
                <w:vanish w:val="0"/>
                <w:kern w:val="0"/>
                <w:sz w:val="24"/>
                <w:szCs w:val="24"/>
              </w:rPr>
            </w:pPr>
            <w:r>
              <w:rPr>
                <w:rFonts w:ascii="Times New Roman" w:hAnsi="Times New Roman"/>
                <w:vanish w:val="0"/>
                <w:kern w:val="0"/>
                <w:sz w:val="24"/>
                <w:szCs w:val="24"/>
              </w:rPr>
              <w:t>所在层/总层数</w:t>
            </w:r>
          </w:p>
        </w:tc>
        <w:tc>
          <w:tcPr>
            <w:tcW w:w="713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jc w:val="center"/>
              <w:textAlignment w:val="center"/>
              <w:rPr>
                <w:rFonts w:ascii="Times New Roman" w:hAnsi="Times New Roman"/>
                <w:vanish w:val="0"/>
                <w:kern w:val="0"/>
                <w:sz w:val="24"/>
                <w:szCs w:val="24"/>
              </w:rPr>
            </w:pPr>
            <w:r>
              <w:rPr>
                <w:rFonts w:ascii="Times New Roman" w:hAnsi="Times New Roman"/>
                <w:vanish w:val="0"/>
                <w:kern w:val="0"/>
                <w:sz w:val="24"/>
                <w:szCs w:val="24"/>
              </w:rPr>
              <w:t>7/31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hidden/>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ind w:firstLine="0" w:firstLineChars="0"/>
              <w:jc w:val="center"/>
              <w:textAlignment w:val="center"/>
              <w:rPr>
                <w:rFonts w:ascii="Times New Roman" w:hAnsi="Times New Roman"/>
                <w:vanish w:val="0"/>
                <w:kern w:val="0"/>
                <w:sz w:val="24"/>
                <w:szCs w:val="24"/>
              </w:rPr>
            </w:pPr>
            <w:r>
              <w:rPr>
                <w:rFonts w:ascii="Times New Roman" w:hAnsi="Times New Roman"/>
                <w:vanish w:val="0"/>
                <w:kern w:val="0"/>
                <w:sz w:val="24"/>
                <w:szCs w:val="24"/>
              </w:rPr>
              <w:t>建筑面积</w:t>
            </w:r>
          </w:p>
        </w:tc>
        <w:tc>
          <w:tcPr>
            <w:tcW w:w="713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jc w:val="center"/>
              <w:textAlignment w:val="center"/>
              <w:rPr>
                <w:rFonts w:ascii="Times New Roman" w:hAnsi="Times New Roman"/>
                <w:vanish w:val="0"/>
                <w:kern w:val="0"/>
                <w:sz w:val="24"/>
                <w:szCs w:val="24"/>
              </w:rPr>
            </w:pPr>
            <w:r>
              <w:rPr>
                <w:rFonts w:ascii="Times New Roman" w:hAnsi="Times New Roman"/>
                <w:vanish w:val="0"/>
                <w:kern w:val="0"/>
                <w:sz w:val="24"/>
                <w:szCs w:val="24"/>
              </w:rPr>
              <w:t>91.33</w:t>
            </w:r>
            <w:r>
              <w:rPr>
                <w:rFonts w:hint="eastAsia" w:ascii="Times New Roman" w:hAnsi="Times New Roman" w:eastAsia="宋体"/>
                <w:vanish w:val="0"/>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hidden/>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ind w:firstLine="0" w:firstLineChars="0"/>
              <w:jc w:val="center"/>
              <w:textAlignment w:val="center"/>
              <w:rPr>
                <w:rFonts w:ascii="Times New Roman" w:hAnsi="Times New Roman"/>
                <w:vanish w:val="0"/>
                <w:kern w:val="0"/>
                <w:sz w:val="24"/>
                <w:szCs w:val="24"/>
              </w:rPr>
            </w:pPr>
            <w:r>
              <w:rPr>
                <w:rFonts w:ascii="Times New Roman" w:hAnsi="Times New Roman"/>
                <w:vanish w:val="0"/>
                <w:kern w:val="0"/>
                <w:sz w:val="24"/>
                <w:szCs w:val="24"/>
              </w:rPr>
              <w:t>专有建筑面积</w:t>
            </w:r>
          </w:p>
        </w:tc>
        <w:tc>
          <w:tcPr>
            <w:tcW w:w="713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jc w:val="center"/>
              <w:textAlignment w:val="center"/>
              <w:rPr>
                <w:rFonts w:ascii="Times New Roman" w:hAnsi="Times New Roman"/>
                <w:vanish w:val="0"/>
                <w:kern w:val="0"/>
                <w:sz w:val="24"/>
                <w:szCs w:val="24"/>
              </w:rPr>
            </w:pPr>
            <w:r>
              <w:rPr>
                <w:rFonts w:ascii="Times New Roman" w:hAnsi="Times New Roman"/>
                <w:vanish w:val="0"/>
                <w:kern w:val="0"/>
                <w:sz w:val="24"/>
                <w:szCs w:val="24"/>
              </w:rPr>
              <w:t>68.84</w:t>
            </w:r>
            <w:r>
              <w:rPr>
                <w:rFonts w:hint="eastAsia" w:ascii="Times New Roman" w:hAnsi="Times New Roman" w:eastAsia="宋体"/>
                <w:vanish w:val="0"/>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84" w:hRule="atLeast"/>
          <w:hidden/>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ind w:firstLine="0" w:firstLineChars="0"/>
              <w:jc w:val="center"/>
              <w:textAlignment w:val="center"/>
              <w:rPr>
                <w:rFonts w:ascii="Times New Roman" w:hAnsi="Times New Roman"/>
                <w:vanish w:val="0"/>
                <w:kern w:val="0"/>
                <w:sz w:val="24"/>
                <w:szCs w:val="24"/>
              </w:rPr>
            </w:pPr>
            <w:r>
              <w:rPr>
                <w:rFonts w:ascii="Times New Roman" w:hAnsi="Times New Roman"/>
                <w:vanish w:val="0"/>
                <w:kern w:val="0"/>
                <w:sz w:val="24"/>
                <w:szCs w:val="24"/>
              </w:rPr>
              <w:t>分摊建筑面积</w:t>
            </w:r>
          </w:p>
        </w:tc>
        <w:tc>
          <w:tcPr>
            <w:tcW w:w="713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jc w:val="center"/>
              <w:textAlignment w:val="center"/>
              <w:rPr>
                <w:rFonts w:ascii="Times New Roman" w:hAnsi="Times New Roman"/>
                <w:vanish w:val="0"/>
                <w:kern w:val="0"/>
                <w:sz w:val="24"/>
                <w:szCs w:val="24"/>
              </w:rPr>
            </w:pPr>
            <w:r>
              <w:rPr>
                <w:rFonts w:ascii="Times New Roman" w:hAnsi="Times New Roman"/>
                <w:vanish w:val="0"/>
                <w:kern w:val="0"/>
                <w:sz w:val="24"/>
                <w:szCs w:val="24"/>
              </w:rPr>
              <w:t>22.49</w:t>
            </w:r>
            <w:r>
              <w:rPr>
                <w:rFonts w:hint="eastAsia" w:ascii="Times New Roman" w:hAnsi="Times New Roman" w:eastAsia="宋体"/>
                <w:vanish w:val="0"/>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hidden/>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ind w:firstLine="0" w:firstLineChars="0"/>
              <w:jc w:val="center"/>
              <w:textAlignment w:val="center"/>
              <w:rPr>
                <w:rFonts w:ascii="Times New Roman" w:hAnsi="Times New Roman"/>
                <w:vanish w:val="0"/>
                <w:kern w:val="0"/>
                <w:sz w:val="24"/>
                <w:szCs w:val="24"/>
              </w:rPr>
            </w:pPr>
            <w:r>
              <w:rPr>
                <w:rFonts w:ascii="Times New Roman" w:hAnsi="Times New Roman"/>
                <w:vanish w:val="0"/>
                <w:kern w:val="0"/>
                <w:sz w:val="24"/>
                <w:szCs w:val="24"/>
              </w:rPr>
              <w:t>不动产权证号</w:t>
            </w:r>
          </w:p>
        </w:tc>
        <w:tc>
          <w:tcPr>
            <w:tcW w:w="713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jc w:val="center"/>
              <w:textAlignment w:val="center"/>
              <w:rPr>
                <w:rFonts w:ascii="Times New Roman" w:hAnsi="Times New Roman"/>
                <w:vanish w:val="0"/>
                <w:kern w:val="0"/>
                <w:sz w:val="24"/>
                <w:szCs w:val="24"/>
              </w:rPr>
            </w:pPr>
            <w:r>
              <w:rPr>
                <w:rFonts w:ascii="Times New Roman" w:hAnsi="Times New Roman"/>
                <w:vanish w:val="0"/>
                <w:kern w:val="0"/>
                <w:sz w:val="24"/>
                <w:szCs w:val="24"/>
              </w:rPr>
              <w:t>琼（2021）海口市不动产权第0031993号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hidden/>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ind w:firstLine="0" w:firstLineChars="0"/>
              <w:jc w:val="center"/>
              <w:textAlignment w:val="center"/>
              <w:rPr>
                <w:rFonts w:ascii="Times New Roman" w:hAnsi="Times New Roman"/>
                <w:vanish w:val="0"/>
                <w:kern w:val="0"/>
                <w:sz w:val="24"/>
                <w:szCs w:val="24"/>
              </w:rPr>
            </w:pPr>
            <w:r>
              <w:rPr>
                <w:rFonts w:ascii="Times New Roman" w:hAnsi="Times New Roman"/>
                <w:vanish w:val="0"/>
                <w:kern w:val="0"/>
                <w:sz w:val="24"/>
                <w:szCs w:val="24"/>
              </w:rPr>
              <w:t>登记时间</w:t>
            </w:r>
          </w:p>
        </w:tc>
        <w:tc>
          <w:tcPr>
            <w:tcW w:w="713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jc w:val="center"/>
              <w:textAlignment w:val="center"/>
              <w:rPr>
                <w:rFonts w:ascii="Times New Roman" w:hAnsi="Times New Roman"/>
                <w:vanish w:val="0"/>
                <w:kern w:val="0"/>
                <w:sz w:val="24"/>
                <w:szCs w:val="24"/>
              </w:rPr>
            </w:pPr>
            <w:r>
              <w:rPr>
                <w:rFonts w:ascii="Times New Roman" w:hAnsi="Times New Roman"/>
                <w:vanish w:val="0"/>
                <w:kern w:val="0"/>
                <w:sz w:val="24"/>
                <w:szCs w:val="24"/>
              </w:rPr>
              <w:t xml:space="preserve">2021年03月10日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83" w:hRule="atLeast"/>
          <w:hidden/>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ind w:firstLine="0" w:firstLineChars="0"/>
              <w:jc w:val="center"/>
              <w:textAlignment w:val="center"/>
              <w:rPr>
                <w:rFonts w:ascii="Times New Roman" w:hAnsi="Times New Roman"/>
                <w:vanish w:val="0"/>
                <w:kern w:val="0"/>
                <w:sz w:val="24"/>
                <w:szCs w:val="24"/>
              </w:rPr>
            </w:pPr>
            <w:r>
              <w:rPr>
                <w:rFonts w:ascii="Times New Roman" w:hAnsi="Times New Roman"/>
                <w:vanish w:val="0"/>
                <w:kern w:val="0"/>
                <w:sz w:val="24"/>
                <w:szCs w:val="24"/>
              </w:rPr>
              <w:t>土地使用年限</w:t>
            </w:r>
          </w:p>
        </w:tc>
        <w:tc>
          <w:tcPr>
            <w:tcW w:w="713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jc w:val="center"/>
              <w:textAlignment w:val="center"/>
              <w:rPr>
                <w:rFonts w:ascii="Times New Roman" w:hAnsi="Times New Roman"/>
                <w:vanish w:val="0"/>
                <w:kern w:val="0"/>
                <w:sz w:val="24"/>
                <w:szCs w:val="24"/>
              </w:rPr>
            </w:pPr>
            <w:r>
              <w:rPr>
                <w:rFonts w:ascii="Times New Roman" w:hAnsi="Times New Roman"/>
                <w:vanish w:val="0"/>
                <w:kern w:val="0"/>
                <w:sz w:val="24"/>
                <w:szCs w:val="24"/>
              </w:rPr>
              <w:t>2080-9-29止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hidden/>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ind w:firstLine="0" w:firstLineChars="0"/>
              <w:jc w:val="center"/>
              <w:textAlignment w:val="center"/>
              <w:rPr>
                <w:rFonts w:ascii="Times New Roman" w:hAnsi="Times New Roman"/>
                <w:vanish w:val="0"/>
                <w:kern w:val="0"/>
                <w:sz w:val="24"/>
                <w:szCs w:val="24"/>
              </w:rPr>
            </w:pPr>
            <w:r>
              <w:rPr>
                <w:rFonts w:ascii="Times New Roman" w:hAnsi="Times New Roman"/>
                <w:vanish w:val="0"/>
                <w:kern w:val="0"/>
                <w:sz w:val="24"/>
                <w:szCs w:val="24"/>
              </w:rPr>
              <w:t>附记</w:t>
            </w:r>
          </w:p>
        </w:tc>
        <w:tc>
          <w:tcPr>
            <w:tcW w:w="713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240" w:lineRule="atLeast"/>
              <w:jc w:val="center"/>
              <w:textAlignment w:val="center"/>
              <w:rPr>
                <w:rFonts w:ascii="Times New Roman" w:hAnsi="Times New Roman"/>
                <w:vanish w:val="0"/>
                <w:kern w:val="0"/>
                <w:sz w:val="24"/>
                <w:szCs w:val="24"/>
              </w:rPr>
            </w:pPr>
            <w:r>
              <w:rPr>
                <w:rFonts w:ascii="Times New Roman" w:hAnsi="Times New Roman"/>
                <w:vanish w:val="0"/>
                <w:kern w:val="0"/>
                <w:sz w:val="24"/>
                <w:szCs w:val="24"/>
              </w:rPr>
              <w:t>权利人名称：</w:t>
            </w:r>
            <w:r>
              <w:rPr>
                <w:rFonts w:ascii="Times New Roman" w:hAnsi="Times New Roman"/>
                <w:kern w:val="0"/>
                <w:sz w:val="24"/>
                <w:szCs w:val="24"/>
              </w:rPr>
              <w:t>郑学3502031974111004034</w:t>
            </w:r>
          </w:p>
        </w:tc>
      </w:tr>
    </w:tbl>
    <w:p>
      <w:pPr>
        <w:pStyle w:val="10"/>
        <w:ind w:firstLine="540" w:firstLineChars="200"/>
        <w:rPr>
          <w:rFonts w:ascii="Times New Roman" w:hAnsi="Times New Roman"/>
        </w:rPr>
      </w:pPr>
      <w:r>
        <w:rPr>
          <w:rFonts w:ascii="Times New Roman" w:hAnsi="Times New Roman"/>
        </w:rPr>
        <w:t>（2）他项权利状况</w:t>
      </w:r>
    </w:p>
    <w:p>
      <w:pPr>
        <w:rPr>
          <w:rFonts w:ascii="Times New Roman" w:hAnsi="Times New Roman"/>
          <w:kern w:val="2"/>
          <w:sz w:val="28"/>
          <w:szCs w:val="28"/>
        </w:rPr>
      </w:pPr>
      <w:r>
        <w:rPr>
          <w:rFonts w:ascii="Times New Roman" w:hAnsi="Times New Roman"/>
          <w:kern w:val="2"/>
          <w:sz w:val="28"/>
          <w:szCs w:val="28"/>
        </w:rPr>
        <w:t>根据估价委托方提供资料显示，估价对象于鉴定价值时点前已抵押。根据本次鉴定目的，依《房地产估价规范》中房地产司法拍卖估价规定，即评估价值不应包括拍卖房地产被查封及被拍卖房地产上原有担保物权和其他优先受偿权的房地产瑕疵因素影响，故本次评估不考虑查封及抵押担保对估价对象价值的影响。</w:t>
      </w:r>
    </w:p>
    <w:p>
      <w:pPr>
        <w:pStyle w:val="3"/>
        <w:spacing w:after="38" w:line="480" w:lineRule="exact"/>
        <w:rPr>
          <w:rFonts w:ascii="Times New Roman" w:hAnsi="Times New Roman" w:eastAsia="仿宋_GB2312"/>
        </w:rPr>
      </w:pPr>
      <w:bookmarkStart w:id="54" w:name="_Toc335404398"/>
      <w:bookmarkStart w:id="55" w:name="_Toc305778549"/>
      <w:bookmarkStart w:id="56" w:name="_Toc305778700"/>
      <w:bookmarkStart w:id="57" w:name="_Toc237161513"/>
      <w:bookmarkStart w:id="58" w:name="_Toc48573735"/>
      <w:bookmarkStart w:id="59" w:name="_Toc305778817"/>
      <w:bookmarkStart w:id="60" w:name="_Toc305778455"/>
      <w:r>
        <w:rPr>
          <w:rFonts w:ascii="Times New Roman" w:hAnsi="Times New Roman" w:eastAsia="仿宋_GB2312"/>
        </w:rPr>
        <w:t>五、价值时点</w:t>
      </w:r>
      <w:bookmarkEnd w:id="54"/>
      <w:bookmarkEnd w:id="55"/>
      <w:bookmarkEnd w:id="56"/>
      <w:bookmarkEnd w:id="57"/>
      <w:bookmarkEnd w:id="58"/>
      <w:bookmarkEnd w:id="59"/>
      <w:bookmarkEnd w:id="60"/>
    </w:p>
    <w:p>
      <w:pPr>
        <w:pStyle w:val="28"/>
        <w:spacing w:line="480" w:lineRule="exact"/>
        <w:rPr>
          <w:rFonts w:ascii="Times New Roman" w:hAnsi="Times New Roman"/>
        </w:rPr>
      </w:pPr>
      <w:r>
        <w:rPr>
          <w:rFonts w:ascii="Times New Roman" w:hAnsi="Times New Roman"/>
        </w:rPr>
        <w:t>本报告的价值时点为</w:t>
      </w:r>
      <w:r>
        <w:rPr>
          <w:rStyle w:val="29"/>
          <w:rFonts w:ascii="Times New Roman" w:hAnsi="Times New Roman"/>
        </w:rPr>
        <w:fldChar w:fldCharType="begin"/>
      </w:r>
      <w:r>
        <w:rPr>
          <w:rStyle w:val="29"/>
          <w:rFonts w:ascii="Times New Roman" w:hAnsi="Times New Roman"/>
        </w:rPr>
        <w:instrText xml:space="preserve"> MergeField "基准日" </w:instrText>
      </w:r>
      <w:r>
        <w:rPr>
          <w:rStyle w:val="29"/>
          <w:rFonts w:ascii="Times New Roman" w:hAnsi="Times New Roman"/>
        </w:rPr>
        <w:fldChar w:fldCharType="separate"/>
      </w:r>
      <w:r>
        <w:rPr>
          <w:rStyle w:val="29"/>
          <w:rFonts w:ascii="Times New Roman" w:hAnsi="Times New Roman"/>
        </w:rPr>
        <w:t>2022年9月15日</w:t>
      </w:r>
      <w:r>
        <w:rPr>
          <w:rStyle w:val="29"/>
          <w:rFonts w:ascii="Times New Roman" w:hAnsi="Times New Roman"/>
        </w:rPr>
        <w:fldChar w:fldCharType="end"/>
      </w:r>
      <w:r>
        <w:rPr>
          <w:rFonts w:ascii="Times New Roman" w:hAnsi="Times New Roman"/>
        </w:rPr>
        <w:t>，该日为估价人员实地查勘日。</w:t>
      </w:r>
    </w:p>
    <w:p>
      <w:pPr>
        <w:pStyle w:val="3"/>
        <w:spacing w:line="480" w:lineRule="exact"/>
        <w:rPr>
          <w:rFonts w:ascii="Times New Roman" w:hAnsi="Times New Roman" w:eastAsia="仿宋_GB2312"/>
        </w:rPr>
      </w:pPr>
      <w:bookmarkStart w:id="61" w:name="_Toc48573736"/>
      <w:r>
        <w:rPr>
          <w:rFonts w:ascii="Times New Roman" w:hAnsi="Times New Roman" w:eastAsia="仿宋_GB2312"/>
        </w:rPr>
        <w:t>六、价值类型</w:t>
      </w:r>
      <w:bookmarkEnd w:id="61"/>
    </w:p>
    <w:p>
      <w:pPr>
        <w:pBdr>
          <w:top w:val="none" w:color="auto" w:sz="0" w:space="0"/>
          <w:left w:val="none" w:color="auto" w:sz="0" w:space="0"/>
          <w:bottom w:val="none" w:color="auto" w:sz="0" w:space="0"/>
          <w:right w:val="none" w:color="auto" w:sz="0" w:space="0"/>
        </w:pBdr>
        <w:spacing w:line="480" w:lineRule="exact"/>
        <w:rPr>
          <w:rFonts w:ascii="Times New Roman" w:hAnsi="Times New Roman"/>
          <w:vanish w:val="0"/>
          <w:szCs w:val="28"/>
        </w:rPr>
      </w:pPr>
      <w:r>
        <w:rPr>
          <w:rFonts w:ascii="Times New Roman" w:hAnsi="Times New Roman"/>
          <w:vanish w:val="0"/>
          <w:szCs w:val="28"/>
        </w:rPr>
        <w:t>本次估价采用房地产市场价值标准。</w:t>
      </w:r>
    </w:p>
    <w:p>
      <w:pPr>
        <w:pBdr>
          <w:top w:val="none" w:color="auto" w:sz="0" w:space="0"/>
          <w:left w:val="none" w:color="auto" w:sz="0" w:space="0"/>
          <w:bottom w:val="none" w:color="auto" w:sz="0" w:space="0"/>
          <w:right w:val="none" w:color="auto" w:sz="0" w:space="0"/>
        </w:pBdr>
        <w:spacing w:after="38" w:line="480" w:lineRule="exact"/>
        <w:rPr>
          <w:rFonts w:ascii="Times New Roman" w:hAnsi="Times New Roman"/>
          <w:vanish w:val="0"/>
          <w:szCs w:val="28"/>
        </w:rPr>
      </w:pPr>
      <w:r>
        <w:rPr>
          <w:rFonts w:ascii="Times New Roman" w:hAnsi="Times New Roman"/>
          <w:vanish w:val="0"/>
          <w:szCs w:val="28"/>
        </w:rPr>
        <w:t>房地产市场价值是指自愿买方和自愿卖方在各自理性行事且未受任何强迫的情况下，估价对象在价值时点进行正常公平交易的平均价格估计数额。</w:t>
      </w:r>
    </w:p>
    <w:p>
      <w:pPr>
        <w:pStyle w:val="3"/>
        <w:spacing w:after="38" w:line="480" w:lineRule="exact"/>
        <w:rPr>
          <w:rFonts w:ascii="Times New Roman" w:hAnsi="Times New Roman" w:eastAsia="仿宋_GB2312"/>
        </w:rPr>
      </w:pPr>
      <w:bookmarkStart w:id="62" w:name="_Toc305778820"/>
      <w:bookmarkStart w:id="63" w:name="_Toc305778458"/>
      <w:bookmarkStart w:id="64" w:name="_Toc237161516"/>
      <w:bookmarkStart w:id="65" w:name="_Toc305778552"/>
      <w:bookmarkStart w:id="66" w:name="_Toc335404401"/>
      <w:bookmarkStart w:id="67" w:name="_Toc48573737"/>
      <w:bookmarkStart w:id="68" w:name="_Toc305778703"/>
      <w:r>
        <w:rPr>
          <w:rFonts w:ascii="Times New Roman" w:hAnsi="Times New Roman" w:eastAsia="仿宋_GB2312"/>
        </w:rPr>
        <w:t>七、估价原则</w:t>
      </w:r>
      <w:bookmarkEnd w:id="62"/>
      <w:bookmarkEnd w:id="63"/>
      <w:bookmarkEnd w:id="64"/>
      <w:bookmarkEnd w:id="65"/>
      <w:bookmarkEnd w:id="66"/>
      <w:bookmarkEnd w:id="67"/>
      <w:bookmarkEnd w:id="68"/>
    </w:p>
    <w:p>
      <w:pPr>
        <w:pBdr>
          <w:top w:val="none" w:color="auto" w:sz="0" w:space="0"/>
          <w:left w:val="none" w:color="auto" w:sz="0" w:space="0"/>
          <w:bottom w:val="none" w:color="auto" w:sz="0" w:space="0"/>
          <w:right w:val="none" w:color="auto" w:sz="0" w:space="0"/>
        </w:pBdr>
        <w:spacing w:after="38" w:line="480" w:lineRule="exact"/>
        <w:rPr>
          <w:rFonts w:ascii="Times New Roman" w:hAnsi="Times New Roman"/>
          <w:vanish w:val="0"/>
          <w:sz w:val="30"/>
          <w:szCs w:val="30"/>
        </w:rPr>
      </w:pPr>
      <w:r>
        <w:rPr>
          <w:rFonts w:ascii="Times New Roman" w:hAnsi="Times New Roman"/>
          <w:vanish w:val="0"/>
          <w:sz w:val="30"/>
          <w:szCs w:val="30"/>
        </w:rPr>
        <w:t>根据《房地产估价规范》规定，房地产的市场价值评估，应遵循：独立、客观、公正原则，合法原则，价值时点原则，替代原则，最高最佳利用原则。本报告根据估价目的、价值类型，遵循相应的估价原则。</w:t>
      </w:r>
    </w:p>
    <w:p>
      <w:pPr>
        <w:pBdr>
          <w:top w:val="none" w:color="auto" w:sz="0" w:space="0"/>
          <w:left w:val="none" w:color="auto" w:sz="0" w:space="0"/>
          <w:bottom w:val="none" w:color="auto" w:sz="0" w:space="0"/>
          <w:right w:val="none" w:color="auto" w:sz="0" w:space="0"/>
        </w:pBdr>
        <w:spacing w:after="38" w:afterAutospacing="0"/>
        <w:rPr>
          <w:rFonts w:ascii="Times New Roman" w:hAnsi="Times New Roman"/>
          <w:vanish w:val="0"/>
          <w:sz w:val="30"/>
          <w:szCs w:val="30"/>
        </w:rPr>
      </w:pPr>
      <w:r>
        <w:rPr>
          <w:rFonts w:ascii="Times New Roman" w:hAnsi="Times New Roman"/>
          <w:vanish w:val="0"/>
          <w:sz w:val="30"/>
          <w:szCs w:val="30"/>
        </w:rPr>
        <w:t>1、独立、客观、公正原则：要求站在中立的立场上，实事求是、公平正直地评估出对各方估价利害关系人均是公平合理的价值或价格的原则。</w:t>
      </w:r>
    </w:p>
    <w:p>
      <w:pPr>
        <w:pBdr>
          <w:top w:val="none" w:color="auto" w:sz="0" w:space="0"/>
          <w:left w:val="none" w:color="auto" w:sz="0" w:space="0"/>
          <w:bottom w:val="none" w:color="auto" w:sz="0" w:space="0"/>
          <w:right w:val="none" w:color="auto" w:sz="0" w:space="0"/>
        </w:pBdr>
        <w:spacing w:after="38" w:afterAutospacing="0"/>
        <w:rPr>
          <w:rFonts w:ascii="Times New Roman" w:hAnsi="Times New Roman"/>
          <w:vanish w:val="0"/>
          <w:sz w:val="30"/>
          <w:szCs w:val="30"/>
        </w:rPr>
      </w:pPr>
      <w:r>
        <w:rPr>
          <w:rFonts w:ascii="Times New Roman" w:hAnsi="Times New Roman"/>
          <w:vanish w:val="0"/>
          <w:sz w:val="30"/>
          <w:szCs w:val="30"/>
        </w:rPr>
        <w:t>2、合法原则：要求估价结果是在依法判定的估价对象状况下的价值或价格的原则。</w:t>
      </w:r>
    </w:p>
    <w:p>
      <w:pPr>
        <w:pBdr>
          <w:top w:val="none" w:color="auto" w:sz="0" w:space="0"/>
          <w:left w:val="none" w:color="auto" w:sz="0" w:space="0"/>
          <w:bottom w:val="none" w:color="auto" w:sz="0" w:space="0"/>
          <w:right w:val="none" w:color="auto" w:sz="0" w:space="0"/>
        </w:pBdr>
        <w:spacing w:after="38" w:afterAutospacing="0"/>
        <w:rPr>
          <w:rFonts w:ascii="Times New Roman" w:hAnsi="Times New Roman"/>
          <w:vanish w:val="0"/>
          <w:sz w:val="30"/>
          <w:szCs w:val="30"/>
        </w:rPr>
      </w:pPr>
      <w:r>
        <w:rPr>
          <w:rFonts w:ascii="Times New Roman" w:hAnsi="Times New Roman"/>
          <w:vanish w:val="0"/>
          <w:sz w:val="30"/>
          <w:szCs w:val="30"/>
        </w:rPr>
        <w:t>3、价值时点原则：要求估价结果是在根据估价目的确定的某一特定时间的价值或价格的原则。</w:t>
      </w:r>
    </w:p>
    <w:p>
      <w:pPr>
        <w:pBdr>
          <w:top w:val="none" w:color="auto" w:sz="0" w:space="0"/>
          <w:left w:val="none" w:color="auto" w:sz="0" w:space="0"/>
          <w:bottom w:val="none" w:color="auto" w:sz="0" w:space="0"/>
          <w:right w:val="none" w:color="auto" w:sz="0" w:space="0"/>
        </w:pBdr>
        <w:spacing w:after="38" w:afterAutospacing="0"/>
        <w:rPr>
          <w:rFonts w:ascii="Times New Roman" w:hAnsi="Times New Roman"/>
          <w:vanish w:val="0"/>
          <w:sz w:val="30"/>
          <w:szCs w:val="30"/>
        </w:rPr>
      </w:pPr>
      <w:r>
        <w:rPr>
          <w:rFonts w:ascii="Times New Roman" w:hAnsi="Times New Roman"/>
          <w:vanish w:val="0"/>
          <w:sz w:val="30"/>
          <w:szCs w:val="30"/>
        </w:rPr>
        <w:t>4、替代原则：要求估价结果与估价对象的类似房地产在同等条件下的价值或价格偏差在合理范围内的原则。</w:t>
      </w:r>
    </w:p>
    <w:p>
      <w:pPr>
        <w:spacing w:line="480" w:lineRule="exact"/>
        <w:rPr>
          <w:rFonts w:ascii="Times New Roman" w:hAnsi="Times New Roman"/>
        </w:rPr>
      </w:pPr>
      <w:r>
        <w:rPr>
          <w:rFonts w:ascii="Times New Roman" w:hAnsi="Times New Roman" w:eastAsia="仿宋_GB2312"/>
          <w:kern w:val="2"/>
          <w:sz w:val="30"/>
          <w:szCs w:val="30"/>
          <w:lang w:val="en-US" w:eastAsia="zh-CN"/>
        </w:rPr>
        <w:t>5</w:t>
      </w:r>
      <w:r>
        <w:rPr>
          <w:rFonts w:hint="eastAsia" w:ascii="Times New Roman" w:hAnsi="Times New Roman" w:eastAsia="仿宋_GB2312" w:cs="Times New Roman"/>
          <w:kern w:val="2"/>
          <w:sz w:val="30"/>
          <w:szCs w:val="30"/>
          <w:lang w:val="en-US" w:eastAsia="zh-CN"/>
        </w:rPr>
        <w:t>、最高最佳利用原则：要求估价结果是在估价对象最高最佳利用状况下的价值或价格的原则。最高最佳利用是指房地产在法律上允许、技术上可能、财务上可行并使价值最大的合理、可能的利用，包括最佳的用途、规模、档次等</w:t>
      </w:r>
      <w:r>
        <w:rPr>
          <w:rFonts w:ascii="Times New Roman" w:hAnsi="Times New Roman" w:eastAsia="仿宋_GB2312" w:cs="Times New Roman"/>
          <w:kern w:val="2"/>
          <w:sz w:val="30"/>
          <w:szCs w:val="30"/>
          <w:lang w:val="en-US" w:eastAsia="zh-CN"/>
        </w:rPr>
        <w:t>。</w:t>
      </w:r>
    </w:p>
    <w:p>
      <w:pPr>
        <w:pStyle w:val="3"/>
        <w:spacing w:line="480" w:lineRule="exact"/>
        <w:rPr>
          <w:rFonts w:ascii="Times New Roman" w:hAnsi="Times New Roman" w:eastAsia="仿宋_GB2312"/>
        </w:rPr>
      </w:pPr>
      <w:bookmarkStart w:id="69" w:name="_Toc305778551"/>
      <w:bookmarkStart w:id="70" w:name="_Toc305778702"/>
      <w:bookmarkStart w:id="71" w:name="_Toc305778819"/>
      <w:bookmarkStart w:id="72" w:name="_Toc48573738"/>
      <w:bookmarkStart w:id="73" w:name="_Toc335404400"/>
      <w:bookmarkStart w:id="74" w:name="_Toc237161515"/>
      <w:bookmarkStart w:id="75" w:name="_Toc305778457"/>
      <w:r>
        <w:rPr>
          <w:rFonts w:ascii="Times New Roman" w:hAnsi="Times New Roman" w:eastAsia="仿宋_GB2312"/>
        </w:rPr>
        <w:t>八、估价依据</w:t>
      </w:r>
      <w:bookmarkEnd w:id="69"/>
      <w:bookmarkEnd w:id="70"/>
      <w:bookmarkEnd w:id="71"/>
      <w:bookmarkEnd w:id="72"/>
      <w:bookmarkEnd w:id="73"/>
      <w:bookmarkEnd w:id="74"/>
      <w:bookmarkEnd w:id="75"/>
    </w:p>
    <w:p>
      <w:pPr>
        <w:pBdr>
          <w:top w:val="none" w:color="auto" w:sz="0" w:space="0"/>
          <w:left w:val="none" w:color="auto" w:sz="0" w:space="0"/>
          <w:bottom w:val="none" w:color="auto" w:sz="0" w:space="0"/>
          <w:right w:val="none" w:color="auto" w:sz="0" w:space="0"/>
        </w:pBdr>
        <w:spacing w:line="480" w:lineRule="exact"/>
        <w:ind w:right="-33" w:firstLine="616" w:firstLineChars="0"/>
        <w:rPr>
          <w:rFonts w:ascii="Times New Roman" w:hAnsi="Times New Roman"/>
          <w:vanish w:val="0"/>
        </w:rPr>
      </w:pPr>
      <w:r>
        <w:rPr>
          <w:rFonts w:ascii="Times New Roman" w:hAnsi="Times New Roman"/>
          <w:vanish w:val="0"/>
        </w:rPr>
        <w:t>估价依据是指作为估价的前提或基础的文件、标准和资料，本估价报告的估价依据如下：</w:t>
      </w:r>
    </w:p>
    <w:p>
      <w:pPr>
        <w:pStyle w:val="5"/>
        <w:pBdr>
          <w:top w:val="none" w:color="auto" w:sz="0" w:space="0"/>
          <w:left w:val="none" w:color="auto" w:sz="0" w:space="0"/>
          <w:bottom w:val="none" w:color="auto" w:sz="0" w:space="0"/>
          <w:right w:val="none" w:color="auto" w:sz="0" w:space="0"/>
        </w:pBdr>
        <w:spacing w:line="520" w:lineRule="exact"/>
        <w:rPr>
          <w:rFonts w:ascii="Times New Roman" w:hAnsi="Times New Roman" w:eastAsia="仿宋_GB2312"/>
          <w:vanish w:val="0"/>
        </w:rPr>
      </w:pPr>
      <w:r>
        <w:rPr>
          <w:rFonts w:ascii="Times New Roman" w:hAnsi="Times New Roman" w:eastAsia="仿宋_GB2312"/>
          <w:vanish w:val="0"/>
        </w:rPr>
        <w:t>1、本次估价所依据的有关法律、法规和政策文件</w:t>
      </w:r>
    </w:p>
    <w:p>
      <w:pPr>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《中华人民共和国民法典》（2020年5月28日第十三届全国人民代表大会第三次会议通过，自2021年1月1日起施行）。</w:t>
      </w:r>
    </w:p>
    <w:p>
      <w:pPr>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《中华人民共和国资产评估法》（2016年7月2日第十二届全国人民代表大会常务委员会第二十一次会议通过，自2016年12月1日起施行）。</w:t>
      </w:r>
    </w:p>
    <w:p>
      <w:pPr>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中华人民共和国土地管理法》（1986年6月25日第六届全国人民代表大会常务委员会第十六次会议通过,根据2019年8月26日第十三届全国人民代表大会常务委员会第十二次会议《关于修改〈中华人民共和国土地管理法〉、〈中华人民共和国城市房地产管理法〉的决定》第三次修正, 自2020年1月1日起施行）。</w:t>
      </w:r>
    </w:p>
    <w:p>
      <w:pPr>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中华人民共和国城市房地产管理法》（2007年8月30日第十届全国人民代表大会常务委员会第二十九次会议通过关于修改《中华人民共和国城市房地产管理法》的决定，自公布之日起施行。根据2019年8月26日第十三届全国人民代表大会常务委员会第十二次会议《关于修改〈中华人民共和国土地管理法〉、〈中华人民共和国城市房地产管理法〉的决定》第三次修正）。</w:t>
      </w:r>
    </w:p>
    <w:p>
      <w:pPr>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中华人民共和国城乡规划法》（中华人民共和国第十届全国人民代表大会常务委员会第三十次会议于2007年10月28日通过并公布，自2008年1月1日起施行，根据2019年4月23日第十三届全国人民代表大会常务委员会第十次会议《关于修改&lt;中华人民共和国建筑法&gt;等八部法律的决定》第二次修正）。</w:t>
      </w:r>
    </w:p>
    <w:p>
      <w:pPr>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《中华人民共和国土地管理法实施条例》（1998年12月27日中华人民共和国国务院令第256号发布施行，根据2021年7月2日中华人民共和国国务院令第743号第三次修订, 2021年9月1日起施行）。</w:t>
      </w:r>
    </w:p>
    <w:p>
      <w:pPr>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color w:val="auto"/>
          <w:kern w:val="2"/>
          <w:sz w:val="28"/>
          <w:szCs w:val="28"/>
        </w:rPr>
        <w:t>《城市房地产开发经营管理条例》（1998年7月20日中华人民共和国国务院令第248号发布，自1998年7月20日起施行；根据2020年11月29日中华人民共和国国务院令第732号《国务院关于修改和废止部分行政法规的决定》进行第五次修订）</w:t>
      </w:r>
    </w:p>
    <w:p>
      <w:pPr>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《中华人民共和国契税法》（2020年8月11日第十三届全国人民代表大会常务委员会第二十一次会议通过，2021年9月1日起施行）。</w:t>
      </w:r>
    </w:p>
    <w:p>
      <w:pPr>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《中华人民共和国城市维护建设税法》（2020年8月11日第十三届全国人民代表大会常务委员会第二十一次会议通过，2021年9月1日施行）。</w:t>
      </w:r>
    </w:p>
    <w:p>
      <w:pPr>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《中华人民共和国房产税暂行条例》（国务院于1986年9月15日发布，1986年10月1日起施行；2011年1月8日根据国务院令第588号《</w:t>
      </w:r>
      <w:r>
        <w:rPr>
          <w:rStyle w:val="27"/>
          <w:rFonts w:hint="eastAsia" w:ascii="仿宋_GB2312" w:eastAsia="仿宋_GB2312" w:cs="Times New Roman"/>
          <w:vanish w:val="0"/>
          <w:kern w:val="2"/>
          <w:sz w:val="28"/>
          <w:szCs w:val="28"/>
        </w:rPr>
        <w:fldChar w:fldCharType="begin"/>
      </w:r>
      <w:r>
        <w:instrText xml:space="preserve">HYPERLINK "https://baike.baidu.com/item/%E5%9B%BD%E5%8A%A1%E9%99%A2%E5%85%B3%E4%BA%8E%E5%BA%9F%E6%AD%A2%E5%92%8C%E4%BF%AE%E6%94%B9%E9%83%A8%E5%88%86%E8%A1%8C%E6%94%BF%E6%B3%95%E8%A7%84%E7%9A%84%E5%86%B3%E5%AE%9A/3473907"</w:instrText>
      </w:r>
      <w:r>
        <w:rPr>
          <w:rStyle w:val="27"/>
          <w:rFonts w:hint="eastAsia" w:ascii="仿宋_GB2312" w:eastAsia="仿宋_GB2312" w:cs="Times New Roman"/>
          <w:vanish w:val="0"/>
          <w:kern w:val="2"/>
          <w:sz w:val="28"/>
          <w:szCs w:val="28"/>
        </w:rPr>
        <w:fldChar w:fldCharType="separate"/>
      </w:r>
      <w:r>
        <w:rPr>
          <w:rStyle w:val="27"/>
          <w:rFonts w:hint="eastAsia" w:ascii="仿宋_GB2312" w:eastAsia="仿宋_GB2312" w:cs="Times New Roman"/>
          <w:vanish w:val="0"/>
          <w:kern w:val="2"/>
          <w:sz w:val="28"/>
          <w:szCs w:val="28"/>
        </w:rPr>
        <w:t>国务院关于废止和修改部分行政法规的决定</w:t>
      </w:r>
      <w:r>
        <w:rPr>
          <w:rFonts w:hint="eastAsia" w:ascii="仿宋_GB2312" w:eastAsia="仿宋_GB2312" w:cs="Times New Roman"/>
          <w:vanish w:val="0"/>
          <w:kern w:val="2"/>
          <w:sz w:val="28"/>
          <w:szCs w:val="28"/>
        </w:rPr>
        <w:fldChar w:fldCharType="end"/>
      </w:r>
      <w:r>
        <w:rPr>
          <w:rFonts w:hint="eastAsia" w:ascii="仿宋_GB2312" w:eastAsia="仿宋_GB2312" w:cs="Times New Roman"/>
          <w:vanish w:val="0"/>
          <w:kern w:val="2"/>
          <w:sz w:val="28"/>
          <w:szCs w:val="28"/>
        </w:rPr>
        <w:t>》修订）。</w:t>
      </w:r>
    </w:p>
    <w:p>
      <w:pPr>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《中华人民共和国城镇土地使用税暂行条例》（于1988年9月27日</w:t>
      </w:r>
      <w:r>
        <w:rPr>
          <w:rStyle w:val="27"/>
          <w:rFonts w:hint="eastAsia" w:ascii="仿宋_GB2312" w:eastAsia="仿宋_GB2312" w:cs="Times New Roman"/>
          <w:vanish w:val="0"/>
          <w:kern w:val="2"/>
          <w:sz w:val="28"/>
          <w:szCs w:val="28"/>
        </w:rPr>
        <w:fldChar w:fldCharType="begin"/>
      </w:r>
      <w:r>
        <w:instrText xml:space="preserve">HYPERLINK "https://baike.baidu.com/item/%E4%B8%AD%E5%8D%8E%E4%BA%BA%E6%B0%91%E5%85%B1%E5%92%8C%E5%9B%BD%E5%9B%BD%E5%8A%A1%E9%99%A2%E4%BB%A4%E7%AC%AC17%E5%8F%B7/17610623"</w:instrText>
      </w:r>
      <w:r>
        <w:rPr>
          <w:rStyle w:val="27"/>
          <w:rFonts w:hint="eastAsia" w:ascii="仿宋_GB2312" w:eastAsia="仿宋_GB2312" w:cs="Times New Roman"/>
          <w:vanish w:val="0"/>
          <w:kern w:val="2"/>
          <w:sz w:val="28"/>
          <w:szCs w:val="28"/>
        </w:rPr>
        <w:fldChar w:fldCharType="separate"/>
      </w:r>
      <w:r>
        <w:rPr>
          <w:rStyle w:val="27"/>
          <w:rFonts w:hint="eastAsia" w:ascii="仿宋_GB2312" w:eastAsia="仿宋_GB2312" w:cs="Times New Roman"/>
          <w:vanish w:val="0"/>
          <w:kern w:val="2"/>
          <w:sz w:val="28"/>
          <w:szCs w:val="28"/>
        </w:rPr>
        <w:t>中华人民共和国国务院令第17号</w:t>
      </w:r>
      <w:r>
        <w:rPr>
          <w:rFonts w:hint="eastAsia" w:ascii="仿宋_GB2312" w:eastAsia="仿宋_GB2312" w:cs="Times New Roman"/>
          <w:vanish w:val="0"/>
          <w:kern w:val="2"/>
          <w:sz w:val="28"/>
          <w:szCs w:val="28"/>
        </w:rPr>
        <w:fldChar w:fldCharType="end"/>
      </w:r>
      <w:r>
        <w:rPr>
          <w:rFonts w:hint="eastAsia" w:ascii="仿宋_GB2312" w:eastAsia="仿宋_GB2312" w:cs="Times New Roman"/>
          <w:vanish w:val="0"/>
          <w:kern w:val="2"/>
          <w:sz w:val="28"/>
          <w:szCs w:val="28"/>
        </w:rPr>
        <w:t>发布，同年11月1日起施行，历经四次修订，最新版本为2019年3月2日修订后的版本）。</w:t>
      </w:r>
    </w:p>
    <w:p>
      <w:pPr>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《征收教育费附加的暂行规定》（1986年4月28日国务院发布，根据2011年1月8日《国务院关于废止和修改部分行政法规的决定》第三次修订）。</w:t>
      </w:r>
    </w:p>
    <w:p>
      <w:pPr>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关于全面推开营业税改征增值税试点的通知》（财税〔2016〕36号，2016年5月1日起，在全国范围内全面推开营业税改征增值税试点）、《财政部税务总局关于调整增值税税率的通知》（财税〔2018〕32号，自2018年5月1日起执行）及《财政部税务总局海关总署&lt;关于深化增值税改革有关政策的公告&gt;》（财政部 税务总局 海关总署公告2019年第39号，自2019年4月1日起执行）。</w:t>
      </w:r>
    </w:p>
    <w:p>
      <w:pPr>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海南经济特区土地管理条例》（1994年6月24海南省第一届人民代表大会常务委员会第九次会议通过，1994年7月18日起施行；根据2018年4月3日海南省第六届人民代表大会常务委员会第三次会议《关于修改〈海南经济特区土地管理条例〉的决定》第五次修正，自2018年4月3日起施行）。</w:t>
      </w:r>
    </w:p>
    <w:p>
      <w:pPr>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《海南省地方教育附加征收使用管理暂行办法》（省财政厅、省地方税务局、省国家税务局、中国人民银行海口中心支行等4部门联合出台，</w:t>
      </w:r>
      <w:r>
        <w:rPr>
          <w:rFonts w:hint="eastAsia" w:ascii="仿宋_GB2312" w:eastAsia="仿宋_GB2312" w:cs="宋体"/>
          <w:vanish w:val="0"/>
          <w:kern w:val="2"/>
          <w:sz w:val="28"/>
          <w:szCs w:val="28"/>
        </w:rPr>
        <w:t>2011年1月1日起施行</w:t>
      </w:r>
      <w:r>
        <w:rPr>
          <w:rFonts w:hint="eastAsia" w:ascii="仿宋_GB2312" w:eastAsia="仿宋_GB2312" w:cs="Times New Roman"/>
          <w:vanish w:val="0"/>
          <w:kern w:val="2"/>
          <w:sz w:val="28"/>
          <w:szCs w:val="28"/>
        </w:rPr>
        <w:t>）。</w:t>
      </w:r>
    </w:p>
    <w:p>
      <w:pPr>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其他相关的法律、法规、规章和政策性文件。</w:t>
      </w:r>
    </w:p>
    <w:p>
      <w:pPr>
        <w:pStyle w:val="5"/>
        <w:pBdr>
          <w:top w:val="none" w:color="auto" w:sz="0" w:space="0"/>
          <w:left w:val="none" w:color="auto" w:sz="0" w:space="0"/>
          <w:bottom w:val="none" w:color="auto" w:sz="0" w:space="0"/>
          <w:right w:val="none" w:color="auto" w:sz="0" w:space="0"/>
        </w:pBdr>
        <w:spacing w:line="500" w:lineRule="exact"/>
        <w:rPr>
          <w:rFonts w:ascii="Times New Roman" w:hAnsi="Times New Roman" w:eastAsia="仿宋_GB2312"/>
          <w:vanish w:val="0"/>
        </w:rPr>
      </w:pPr>
      <w:r>
        <w:rPr>
          <w:rFonts w:ascii="Times New Roman" w:hAnsi="Times New Roman" w:eastAsia="仿宋_GB2312"/>
          <w:vanish w:val="0"/>
        </w:rPr>
        <w:t>2、本次估价采用的有关估价标准</w:t>
      </w:r>
    </w:p>
    <w:p>
      <w:pPr>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《房地产估价规范》（GB/T 50291-2015）。</w:t>
      </w:r>
    </w:p>
    <w:p>
      <w:pPr>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500" w:lineRule="exact"/>
        <w:ind w:left="0" w:right="0" w:firstLine="540" w:firstLineChars="200"/>
        <w:rPr>
          <w:rFonts w:hint="eastAsia" w:ascii="仿宋_GB2312" w:eastAsia="仿宋_GB2312" w:cs="Times New Roman"/>
          <w:vanish w:val="0"/>
          <w:kern w:val="2"/>
          <w:sz w:val="28"/>
          <w:szCs w:val="28"/>
        </w:rPr>
      </w:pPr>
      <w:r>
        <w:rPr>
          <w:rFonts w:hint="eastAsia" w:ascii="仿宋_GB2312" w:eastAsia="仿宋_GB2312" w:cs="Times New Roman"/>
          <w:vanish w:val="0"/>
          <w:kern w:val="2"/>
          <w:sz w:val="28"/>
          <w:szCs w:val="28"/>
        </w:rPr>
        <w:t>《房地产估价基本术语标准》（GB/T 50899-2013）。</w:t>
      </w:r>
    </w:p>
    <w:p>
      <w:r>
        <w:rPr>
          <w:rFonts w:ascii="仿宋_GB2312" w:eastAsia="仿宋_GB2312" w:cs="Times New Roman"/>
          <w:kern w:val="2"/>
          <w:sz w:val="28"/>
          <w:szCs w:val="28"/>
        </w:rPr>
        <w:t>（3）</w:t>
      </w:r>
      <w:r>
        <w:rPr>
          <w:rFonts w:hint="eastAsia" w:ascii="仿宋_GB2312" w:eastAsia="仿宋_GB2312" w:cs="Times New Roman"/>
          <w:kern w:val="2"/>
          <w:sz w:val="28"/>
          <w:szCs w:val="28"/>
        </w:rPr>
        <w:t>其他相关标准。</w:t>
      </w:r>
    </w:p>
    <w:p>
      <w:pPr>
        <w:pStyle w:val="5"/>
        <w:pBdr>
          <w:top w:val="none" w:color="auto" w:sz="0" w:space="0"/>
          <w:left w:val="none" w:color="auto" w:sz="0" w:space="0"/>
          <w:bottom w:val="none" w:color="auto" w:sz="0" w:space="0"/>
          <w:right w:val="none" w:color="auto" w:sz="0" w:space="0"/>
        </w:pBdr>
        <w:spacing w:line="480" w:lineRule="exact"/>
        <w:rPr>
          <w:rFonts w:ascii="Times New Roman" w:hAnsi="Times New Roman" w:eastAsia="仿宋_GB2312"/>
          <w:vanish w:val="0"/>
        </w:rPr>
      </w:pPr>
      <w:r>
        <w:rPr>
          <w:rFonts w:ascii="Times New Roman" w:hAnsi="Times New Roman" w:eastAsia="仿宋_GB2312"/>
          <w:vanish w:val="0"/>
        </w:rPr>
        <w:t>3、估价行为依据</w:t>
      </w:r>
    </w:p>
    <w:p>
      <w:pPr>
        <w:numPr>
          <w:ilvl w:val="0"/>
          <w:numId w:val="5"/>
        </w:numPr>
        <w:pBdr>
          <w:top w:val="none" w:color="auto" w:sz="0" w:space="0"/>
          <w:left w:val="none" w:color="auto" w:sz="0" w:space="0"/>
          <w:bottom w:val="none" w:color="auto" w:sz="0" w:space="0"/>
          <w:right w:val="none" w:color="auto" w:sz="0" w:space="0"/>
        </w:pBdr>
        <w:tabs>
          <w:tab w:val="left" w:pos="1274"/>
          <w:tab w:val="left" w:pos="1350"/>
        </w:tabs>
        <w:spacing w:before="0" w:after="0" w:line="480" w:lineRule="exact"/>
        <w:ind w:left="990" w:right="-33" w:hanging="420" w:firstLineChars="0"/>
        <w:rPr>
          <w:rFonts w:ascii="Times New Roman" w:hAnsi="Times New Roman"/>
          <w:vanish w:val="0"/>
        </w:rPr>
      </w:pPr>
      <w:r>
        <w:rPr>
          <w:rFonts w:hint="eastAsia" w:ascii="Times New Roman" w:hAnsi="Times New Roman" w:eastAsia="仿宋_GB2312" w:cs="Times New Roman"/>
          <w:kern w:val="2"/>
          <w:sz w:val="28"/>
          <w:szCs w:val="28"/>
          <w:lang w:val="en-US" w:eastAsia="zh-CN"/>
        </w:rPr>
        <w:t>《</w:t>
      </w:r>
      <w:r>
        <w:rPr>
          <w:rFonts w:ascii="Times New Roman" w:hAnsi="Times New Roman" w:eastAsia="仿宋_GB2312" w:cs="Times New Roman"/>
          <w:kern w:val="2"/>
          <w:sz w:val="28"/>
          <w:szCs w:val="28"/>
          <w:lang w:val="en-US" w:eastAsia="zh-CN"/>
        </w:rPr>
        <w:t>海南省第一中级人民法院司法鉴定委托书</w:t>
      </w:r>
      <w:r>
        <w:rPr>
          <w:rFonts w:hint="eastAsia" w:ascii="Times New Roman" w:hAnsi="Times New Roman" w:eastAsia="仿宋_GB2312" w:cs="Times New Roman"/>
          <w:kern w:val="2"/>
          <w:sz w:val="28"/>
          <w:szCs w:val="28"/>
          <w:lang w:val="en-US" w:eastAsia="zh-CN"/>
        </w:rPr>
        <w:t>》（</w:t>
      </w:r>
      <w:r>
        <w:rPr>
          <w:rFonts w:ascii="Times New Roman" w:hAnsi="Times New Roman" w:eastAsia="仿宋_GB2312"/>
          <w:kern w:val="2"/>
          <w:sz w:val="28"/>
          <w:szCs w:val="28"/>
          <w:lang w:val="en-US" w:eastAsia="zh-CN"/>
        </w:rPr>
        <w:t>2022</w:t>
      </w:r>
      <w:r>
        <w:rPr>
          <w:rFonts w:hint="eastAsia" w:ascii="Times New Roman" w:hAnsi="Times New Roman" w:eastAsia="仿宋_GB2312" w:cs="Times New Roman"/>
          <w:kern w:val="2"/>
          <w:sz w:val="28"/>
          <w:szCs w:val="28"/>
          <w:lang w:val="en-US" w:eastAsia="zh-CN"/>
        </w:rPr>
        <w:t>）</w:t>
      </w:r>
      <w:r>
        <w:rPr>
          <w:rFonts w:ascii="Times New Roman" w:hAnsi="Times New Roman" w:eastAsia="仿宋_GB2312" w:cs="Times New Roman"/>
          <w:kern w:val="2"/>
          <w:sz w:val="28"/>
          <w:szCs w:val="28"/>
          <w:lang w:val="en-US" w:eastAsia="zh-CN"/>
        </w:rPr>
        <w:t>琼96委39-1号</w:t>
      </w:r>
      <w:r>
        <w:rPr>
          <w:rFonts w:ascii="Times New Roman" w:hAnsi="Times New Roman"/>
          <w:vanish w:val="0"/>
        </w:rPr>
        <w:t>。</w:t>
      </w:r>
    </w:p>
    <w:p>
      <w:pPr>
        <w:pStyle w:val="5"/>
        <w:pBdr>
          <w:top w:val="none" w:color="auto" w:sz="0" w:space="0"/>
          <w:left w:val="none" w:color="auto" w:sz="0" w:space="0"/>
          <w:bottom w:val="none" w:color="auto" w:sz="0" w:space="0"/>
          <w:right w:val="none" w:color="auto" w:sz="0" w:space="0"/>
        </w:pBdr>
        <w:spacing w:line="480" w:lineRule="exact"/>
        <w:rPr>
          <w:rFonts w:ascii="Times New Roman" w:hAnsi="Times New Roman" w:eastAsia="仿宋_GB2312"/>
          <w:vanish w:val="0"/>
        </w:rPr>
      </w:pPr>
      <w:r>
        <w:rPr>
          <w:rFonts w:ascii="Times New Roman" w:hAnsi="Times New Roman" w:eastAsia="仿宋_GB2312"/>
          <w:vanish w:val="0"/>
        </w:rPr>
        <w:t>4、估价委托方提供的有关资料</w:t>
      </w:r>
    </w:p>
    <w:p>
      <w:pPr>
        <w:pBdr>
          <w:top w:val="none" w:color="auto" w:sz="0" w:space="0"/>
          <w:left w:val="none" w:color="auto" w:sz="0" w:space="0"/>
          <w:bottom w:val="none" w:color="auto" w:sz="0" w:space="0"/>
          <w:right w:val="none" w:color="auto" w:sz="0" w:space="0"/>
        </w:pBdr>
        <w:spacing w:line="480" w:lineRule="exact"/>
        <w:rPr>
          <w:rFonts w:ascii="Times New Roman" w:hAnsi="Times New Roman" w:eastAsia="仿宋_GB2312"/>
          <w:vanish w:val="0"/>
          <w:kern w:val="2"/>
          <w:sz w:val="28"/>
          <w:szCs w:val="28"/>
        </w:rPr>
      </w:pPr>
      <w:r>
        <w:rPr>
          <w:rFonts w:hint="eastAsia" w:ascii="仿宋_GB2312" w:eastAsia="仿宋_GB2312"/>
          <w:vanish w:val="0"/>
          <w:kern w:val="2"/>
          <w:sz w:val="28"/>
          <w:szCs w:val="28"/>
        </w:rPr>
        <w:t>（</w:t>
      </w:r>
      <w:r>
        <w:rPr>
          <w:rFonts w:ascii="Times New Roman" w:hAnsi="Times New Roman" w:eastAsia="仿宋_GB2312"/>
          <w:vanish w:val="0"/>
          <w:kern w:val="2"/>
          <w:sz w:val="28"/>
          <w:szCs w:val="28"/>
        </w:rPr>
        <w:t>1</w:t>
      </w:r>
      <w:r>
        <w:rPr>
          <w:rFonts w:hint="eastAsia" w:ascii="仿宋_GB2312" w:eastAsia="仿宋_GB2312"/>
          <w:vanish w:val="0"/>
          <w:kern w:val="2"/>
          <w:sz w:val="28"/>
          <w:szCs w:val="28"/>
        </w:rPr>
        <w:t>）</w:t>
      </w:r>
      <w:r>
        <w:rPr>
          <w:rFonts w:hint="eastAsia" w:ascii="仿宋_GB2312" w:eastAsia="仿宋_GB2312" w:cs="Times New Roman"/>
          <w:vanish w:val="0"/>
          <w:kern w:val="2"/>
          <w:sz w:val="28"/>
          <w:szCs w:val="28"/>
        </w:rPr>
        <w:t>《不动产登记信息查询情况说明》</w:t>
      </w:r>
      <w:r>
        <w:rPr>
          <w:rFonts w:hint="eastAsia" w:ascii="仿宋_GB2312" w:eastAsia="仿宋_GB2312"/>
          <w:vanish w:val="0"/>
          <w:kern w:val="2"/>
          <w:sz w:val="28"/>
          <w:szCs w:val="28"/>
        </w:rPr>
        <w:t>（复印件）；</w:t>
      </w:r>
    </w:p>
    <w:p>
      <w:r>
        <w:rPr>
          <w:rFonts w:hint="eastAsia" w:ascii="仿宋_GB2312" w:eastAsia="仿宋_GB2312" w:cs="Times New Roman"/>
          <w:kern w:val="2"/>
          <w:sz w:val="28"/>
          <w:szCs w:val="28"/>
        </w:rPr>
        <w:t>（</w:t>
      </w:r>
      <w:r>
        <w:rPr>
          <w:rFonts w:ascii="Times New Roman" w:hAnsi="Times New Roman" w:eastAsia="仿宋_GB2312" w:cs="Times New Roman"/>
          <w:kern w:val="2"/>
          <w:sz w:val="28"/>
          <w:szCs w:val="28"/>
        </w:rPr>
        <w:t>2</w:t>
      </w:r>
      <w:r>
        <w:rPr>
          <w:rFonts w:hint="eastAsia" w:ascii="仿宋_GB2312" w:eastAsia="仿宋_GB2312" w:cs="Times New Roman"/>
          <w:kern w:val="2"/>
          <w:sz w:val="28"/>
          <w:szCs w:val="28"/>
        </w:rPr>
        <w:t>）《不动产抵押信息查询情况说明》</w:t>
      </w:r>
      <w:r>
        <w:rPr>
          <w:rFonts w:hint="eastAsia" w:ascii="仿宋_GB2312" w:eastAsia="仿宋_GB2312"/>
          <w:kern w:val="2"/>
          <w:sz w:val="28"/>
          <w:szCs w:val="28"/>
        </w:rPr>
        <w:t>（复印件）；</w:t>
      </w:r>
    </w:p>
    <w:p>
      <w:pPr>
        <w:pStyle w:val="5"/>
        <w:pBdr>
          <w:top w:val="none" w:color="auto" w:sz="0" w:space="0"/>
          <w:left w:val="none" w:color="auto" w:sz="0" w:space="0"/>
          <w:bottom w:val="none" w:color="auto" w:sz="0" w:space="0"/>
          <w:right w:val="none" w:color="auto" w:sz="0" w:space="0"/>
        </w:pBdr>
        <w:spacing w:line="480" w:lineRule="exact"/>
        <w:rPr>
          <w:rFonts w:ascii="Times New Roman" w:hAnsi="Times New Roman" w:eastAsia="仿宋_GB2312"/>
          <w:vanish w:val="0"/>
        </w:rPr>
      </w:pPr>
      <w:r>
        <w:rPr>
          <w:rFonts w:ascii="Times New Roman" w:hAnsi="Times New Roman" w:eastAsia="仿宋_GB2312"/>
          <w:vanish w:val="0"/>
        </w:rPr>
        <w:t>5、房地产估价机构、注册房地产估价师掌握和搜集的估价所需资料</w:t>
      </w:r>
    </w:p>
    <w:p>
      <w:pPr>
        <w:pBdr>
          <w:top w:val="none" w:color="auto" w:sz="0" w:space="0"/>
          <w:left w:val="none" w:color="auto" w:sz="0" w:space="0"/>
          <w:bottom w:val="none" w:color="auto" w:sz="0" w:space="0"/>
          <w:right w:val="none" w:color="auto" w:sz="0" w:space="0"/>
        </w:pBdr>
        <w:spacing w:line="480" w:lineRule="exact"/>
        <w:ind w:firstLine="540" w:firstLineChars="200"/>
        <w:rPr>
          <w:rFonts w:ascii="Times New Roman" w:hAnsi="Times New Roman"/>
          <w:vanish w:val="0"/>
        </w:rPr>
      </w:pPr>
      <w:r>
        <w:rPr>
          <w:rFonts w:hint="eastAsia" w:ascii="Times New Roman" w:hAnsi="Times New Roman" w:eastAsia="仿宋_GB2312" w:cs="Times New Roman"/>
          <w:kern w:val="2"/>
          <w:sz w:val="28"/>
          <w:szCs w:val="20"/>
          <w:lang w:val="en-US" w:eastAsia="zh-CN"/>
        </w:rPr>
        <w:t>估价人员现场核实、勘查、鉴定的数据资料及收集掌握的其它估价资料和本评估机构积累的相关估价信息</w:t>
      </w:r>
      <w:r>
        <w:rPr>
          <w:rFonts w:ascii="Times New Roman" w:hAnsi="Times New Roman"/>
          <w:bCs/>
          <w:snapToGrid w:val="0"/>
          <w:vanish w:val="0"/>
        </w:rPr>
        <w:t>。</w:t>
      </w:r>
    </w:p>
    <w:p>
      <w:pPr>
        <w:pStyle w:val="3"/>
        <w:spacing w:after="38" w:line="480" w:lineRule="exact"/>
        <w:rPr>
          <w:rFonts w:ascii="Times New Roman" w:hAnsi="Times New Roman" w:eastAsia="仿宋_GB2312"/>
        </w:rPr>
      </w:pPr>
      <w:bookmarkStart w:id="76" w:name="_Toc305778459"/>
      <w:bookmarkStart w:id="77" w:name="_Toc305778704"/>
      <w:bookmarkStart w:id="78" w:name="_Toc305778553"/>
      <w:bookmarkStart w:id="79" w:name="_Toc305778821"/>
      <w:bookmarkStart w:id="80" w:name="_Toc237161517"/>
      <w:bookmarkStart w:id="81" w:name="_Toc48573739"/>
      <w:bookmarkStart w:id="82" w:name="_Toc335404402"/>
      <w:r>
        <w:rPr>
          <w:rFonts w:ascii="Times New Roman" w:hAnsi="Times New Roman" w:eastAsia="仿宋_GB2312"/>
        </w:rPr>
        <w:t>九、估价方法</w:t>
      </w:r>
      <w:bookmarkEnd w:id="76"/>
      <w:bookmarkEnd w:id="77"/>
      <w:bookmarkEnd w:id="78"/>
      <w:bookmarkEnd w:id="79"/>
      <w:bookmarkEnd w:id="80"/>
      <w:bookmarkEnd w:id="81"/>
      <w:bookmarkEnd w:id="82"/>
    </w:p>
    <w:p>
      <w:pPr>
        <w:pBdr>
          <w:top w:val="none" w:color="auto" w:sz="0" w:space="0"/>
          <w:left w:val="none" w:color="auto" w:sz="0" w:space="0"/>
          <w:bottom w:val="none" w:color="auto" w:sz="0" w:space="0"/>
          <w:right w:val="none" w:color="auto" w:sz="0" w:space="0"/>
        </w:pBdr>
        <w:spacing w:line="480" w:lineRule="exact"/>
        <w:ind w:firstLine="540" w:firstLineChars="200"/>
        <w:rPr>
          <w:rFonts w:hint="eastAsia" w:ascii="Times New Roman" w:hAnsi="Times New Roman"/>
          <w:szCs w:val="20"/>
        </w:rPr>
      </w:pPr>
      <w:r>
        <w:rPr>
          <w:rFonts w:hint="eastAsia" w:ascii="Times New Roman" w:hAnsi="Times New Roman"/>
          <w:szCs w:val="20"/>
        </w:rPr>
        <w:t>根据估价对象的具体特点以及</w:t>
      </w:r>
      <w:r>
        <w:rPr>
          <w:rFonts w:hint="eastAsia" w:ascii="Times New Roman" w:hAnsi="Times New Roman"/>
          <w:szCs w:val="20"/>
        </w:rPr>
        <w:fldChar w:fldCharType="begin"/>
      </w:r>
      <w:r>
        <w:rPr>
          <w:rFonts w:hint="eastAsia" w:ascii="Times New Roman" w:hAnsi="Times New Roman"/>
          <w:szCs w:val="20"/>
        </w:rPr>
        <w:instrText xml:space="preserve"> MergeField "所在城市" </w:instrText>
      </w:r>
      <w:r>
        <w:rPr>
          <w:rFonts w:hint="eastAsia" w:ascii="Times New Roman" w:hAnsi="Times New Roman"/>
          <w:szCs w:val="20"/>
        </w:rPr>
        <w:fldChar w:fldCharType="separate"/>
      </w:r>
      <w:r>
        <w:rPr>
          <w:rFonts w:hint="eastAsia" w:ascii="Times New Roman" w:hAnsi="Times New Roman"/>
          <w:szCs w:val="20"/>
        </w:rPr>
        <w:t>海口市</w:t>
      </w:r>
      <w:r>
        <w:rPr>
          <w:rFonts w:hint="eastAsia" w:ascii="Times New Roman" w:hAnsi="Times New Roman"/>
          <w:szCs w:val="20"/>
        </w:rPr>
        <w:fldChar w:fldCharType="end"/>
      </w:r>
      <w:r>
        <w:rPr>
          <w:rFonts w:hint="eastAsia" w:ascii="Times New Roman" w:hAnsi="Times New Roman"/>
          <w:szCs w:val="20"/>
        </w:rPr>
        <w:t>房地产市场状况，</w:t>
      </w:r>
      <w:bookmarkStart w:id="83" w:name="_Toc335404403"/>
      <w:bookmarkStart w:id="84" w:name="_Toc305778460"/>
      <w:bookmarkStart w:id="85" w:name="_Toc237161518"/>
      <w:bookmarkStart w:id="86" w:name="_Toc305778822"/>
      <w:bookmarkStart w:id="87" w:name="_Toc305778705"/>
      <w:bookmarkStart w:id="88" w:name="_Toc305778554"/>
      <w:r>
        <w:rPr>
          <w:rFonts w:hint="eastAsia" w:ascii="Times New Roman" w:hAnsi="Times New Roman"/>
          <w:szCs w:val="20"/>
        </w:rPr>
        <w:t>本次估价采用比较法和收益法进行估价。</w:t>
      </w:r>
    </w:p>
    <w:p>
      <w:pPr>
        <w:pBdr>
          <w:top w:val="none" w:color="auto" w:sz="0" w:space="0"/>
          <w:left w:val="none" w:color="auto" w:sz="0" w:space="0"/>
          <w:bottom w:val="none" w:color="auto" w:sz="0" w:space="0"/>
          <w:right w:val="none" w:color="auto" w:sz="0" w:space="0"/>
        </w:pBdr>
        <w:spacing w:line="480" w:lineRule="exact"/>
        <w:ind w:firstLine="540" w:firstLineChars="200"/>
        <w:rPr>
          <w:rFonts w:hint="eastAsia" w:ascii="Times New Roman" w:hAnsi="Times New Roman"/>
          <w:snapToGrid w:val="0"/>
          <w:szCs w:val="20"/>
        </w:rPr>
      </w:pPr>
      <w:r>
        <w:rPr>
          <w:rFonts w:hint="eastAsia" w:ascii="Times New Roman" w:hAnsi="Times New Roman"/>
          <w:snapToGrid w:val="0"/>
          <w:szCs w:val="20"/>
        </w:rPr>
        <w:t>（1）比较法，是指选取一定数量的可比实例，将它们与估价对象进行比较，根据其间的差异对可比实例成交价格进行处理后得到估价对象价值或价格的方法。其基本公式为：</w:t>
      </w:r>
    </w:p>
    <w:p>
      <w:pPr>
        <w:spacing w:line="600" w:lineRule="exact"/>
        <w:ind w:firstLine="810" w:firstLineChars="300"/>
        <w:rPr>
          <w:rFonts w:ascii="Times New Roman" w:hAnsi="Times New Roman"/>
          <w:snapToGrid w:val="0"/>
          <w:szCs w:val="28"/>
        </w:rPr>
      </w:pPr>
      <w:r>
        <w:rPr>
          <w:rFonts w:ascii="Times New Roman" w:hAnsi="Times New Roman"/>
          <w:snapToGrid w:val="0"/>
          <w:position w:val="-26"/>
          <w:szCs w:val="28"/>
        </w:rPr>
        <w:pict>
          <v:shape id="_x0000_s1026" o:spid="_x0000_s1026" o:spt="75" type="#_x0000_t75" style="position:absolute;left:0pt;margin-left:147.95pt;margin-top:2.95pt;height:36pt;width:134.6pt;z-index:-251656192;mso-width-relative:page;mso-height-relative:page;" o:ole="t" filled="f" o:preferrelative="t" stroked="f" coordsize="21600,21600">
            <v:path/>
            <v:fill on="f" focussize="0,0"/>
            <v:stroke on="f" color="#000000"/>
            <v:imagedata r:id="rId19" o:title="-4196495705346001890"/>
            <o:lock v:ext="edit" aspectratio="t"/>
          </v:shape>
          <o:OLEObject Type="Embed" ProgID="Package" ShapeID="_x0000_s1026" DrawAspect="Icon" ObjectID="_1468075725">
            <o:LockedField>false</o:LockedField>
          </o:OLEObject>
        </w:pict>
      </w:r>
      <w:r>
        <w:rPr>
          <w:rFonts w:ascii="Times New Roman" w:hAnsi="Times New Roman"/>
          <w:snapToGrid w:val="0"/>
          <w:szCs w:val="28"/>
        </w:rPr>
        <w:t>V = V</w:t>
      </w:r>
      <w:r>
        <w:rPr>
          <w:rFonts w:ascii="Times New Roman" w:hAnsi="Times New Roman"/>
          <w:snapToGrid w:val="0"/>
          <w:szCs w:val="28"/>
          <w:vertAlign w:val="subscript"/>
        </w:rPr>
        <w:t>B</w:t>
      </w:r>
      <w:r>
        <w:rPr>
          <w:rFonts w:ascii="Times New Roman" w:hAnsi="Times New Roman"/>
          <w:snapToGrid w:val="0"/>
          <w:szCs w:val="28"/>
        </w:rPr>
        <w:t>×A×B×C=</w:t>
      </w:r>
    </w:p>
    <w:p>
      <w:pPr>
        <w:spacing w:line="540" w:lineRule="exact"/>
        <w:rPr>
          <w:rFonts w:ascii="Times New Roman" w:hAnsi="Times New Roman"/>
          <w:snapToGrid w:val="0"/>
          <w:szCs w:val="28"/>
        </w:rPr>
      </w:pPr>
      <w:r>
        <w:rPr>
          <w:rFonts w:ascii="Times New Roman" w:hAnsi="Times New Roman"/>
          <w:snapToGrid w:val="0"/>
          <w:szCs w:val="28"/>
        </w:rPr>
        <w:t>式中：V——估价对象比较价值</w:t>
      </w:r>
    </w:p>
    <w:p>
      <w:pPr>
        <w:spacing w:line="540" w:lineRule="exact"/>
        <w:ind w:left="0" w:firstLine="1349" w:firstLineChars="0"/>
        <w:rPr>
          <w:rFonts w:ascii="Times New Roman" w:hAnsi="Times New Roman"/>
          <w:snapToGrid w:val="0"/>
          <w:szCs w:val="28"/>
        </w:rPr>
      </w:pPr>
      <w:r>
        <w:rPr>
          <w:rFonts w:ascii="Times New Roman" w:hAnsi="Times New Roman"/>
          <w:snapToGrid w:val="0"/>
          <w:szCs w:val="28"/>
        </w:rPr>
        <w:t>V</w:t>
      </w:r>
      <w:r>
        <w:rPr>
          <w:rFonts w:ascii="Times New Roman" w:hAnsi="Times New Roman"/>
          <w:snapToGrid w:val="0"/>
          <w:szCs w:val="28"/>
          <w:vertAlign w:val="subscript"/>
        </w:rPr>
        <w:t>B</w:t>
      </w:r>
      <w:r>
        <w:rPr>
          <w:rFonts w:ascii="Times New Roman" w:hAnsi="Times New Roman"/>
          <w:snapToGrid w:val="0"/>
          <w:szCs w:val="28"/>
        </w:rPr>
        <w:t>——可比实例成交价格</w:t>
      </w:r>
    </w:p>
    <w:p>
      <w:pPr>
        <w:spacing w:line="540" w:lineRule="exact"/>
        <w:ind w:left="0" w:firstLine="1349" w:firstLineChars="0"/>
        <w:rPr>
          <w:rFonts w:ascii="Times New Roman" w:hAnsi="Times New Roman"/>
          <w:snapToGrid w:val="0"/>
          <w:szCs w:val="28"/>
        </w:rPr>
      </w:pPr>
      <w:r>
        <w:rPr>
          <w:rFonts w:ascii="Times New Roman" w:hAnsi="Times New Roman"/>
          <w:snapToGrid w:val="0"/>
          <w:szCs w:val="28"/>
        </w:rPr>
        <w:t>A ——交易情况修正系数</w:t>
      </w:r>
    </w:p>
    <w:p>
      <w:pPr>
        <w:spacing w:line="540" w:lineRule="exact"/>
        <w:ind w:left="0" w:firstLine="1349" w:firstLineChars="0"/>
        <w:rPr>
          <w:rFonts w:ascii="Times New Roman" w:hAnsi="Times New Roman"/>
          <w:snapToGrid w:val="0"/>
          <w:szCs w:val="28"/>
        </w:rPr>
      </w:pPr>
      <w:r>
        <w:rPr>
          <w:rFonts w:ascii="Times New Roman" w:hAnsi="Times New Roman"/>
          <w:snapToGrid w:val="0"/>
          <w:szCs w:val="28"/>
        </w:rPr>
        <w:t>B ——市场状况调整系数</w:t>
      </w:r>
    </w:p>
    <w:p>
      <w:pPr>
        <w:spacing w:line="540" w:lineRule="exact"/>
        <w:ind w:left="0" w:firstLine="1349" w:firstLineChars="0"/>
        <w:rPr>
          <w:rFonts w:ascii="Times New Roman" w:hAnsi="Times New Roman"/>
          <w:snapToGrid w:val="0"/>
          <w:szCs w:val="28"/>
        </w:rPr>
      </w:pPr>
      <w:r>
        <w:rPr>
          <w:rFonts w:ascii="Times New Roman" w:hAnsi="Times New Roman"/>
          <w:snapToGrid w:val="0"/>
          <w:szCs w:val="28"/>
        </w:rPr>
        <w:t>C ——房地产状况调整系数</w:t>
      </w:r>
    </w:p>
    <w:p>
      <w:pPr>
        <w:rPr>
          <w:rFonts w:ascii="Times New Roman" w:hAnsi="Times New Roman"/>
        </w:rPr>
      </w:pPr>
      <w:r>
        <w:rPr>
          <w:rFonts w:ascii="Times New Roman" w:hAnsi="Times New Roman"/>
        </w:rPr>
        <w:t>（2）收益法，是指通过估算被评估房地产未来收益并折算成现值，借以确定被评估房地产价值的一种估价方法。采用收益法对房地产进行评估，所确定的房地产价值，是指为获得该项房地产以取得预期收益的权利所支付的货币总额。收益法的基本公式为：</w:t>
      </w:r>
    </w:p>
    <w:p>
      <w:pPr>
        <w:spacing w:line="480" w:lineRule="exact"/>
        <w:ind w:firstLine="1504" w:firstLineChars="557"/>
        <w:rPr>
          <w:rFonts w:ascii="Times New Roman" w:hAnsi="Times New Roman"/>
          <w:snapToGrid w:val="0"/>
          <w:kern w:val="0"/>
          <w:szCs w:val="28"/>
        </w:rPr>
      </w:pPr>
      <w:r>
        <w:rPr>
          <w:rFonts w:ascii="Times New Roman" w:hAnsi="Times New Roman"/>
          <w:snapToGrid w:val="0"/>
          <w:kern w:val="0"/>
          <w:position w:val="-36"/>
          <w:szCs w:val="28"/>
        </w:rPr>
        <w:pict>
          <v:shape id="_x0000_s1027" o:spid="_x0000_s1027" o:spt="75" type="#_x0000_t75" style="position:absolute;left:0pt;margin-left:74.35pt;margin-top:5.3pt;height:43.2pt;width:104.4pt;z-index:-251656192;mso-width-relative:page;mso-height-relative:page;" o:ole="t" filled="f" o:preferrelative="t" stroked="f" coordsize="21600,21600">
            <v:path/>
            <v:fill on="f" focussize="0,0"/>
            <v:stroke on="f" color="#000000"/>
            <v:imagedata r:id="rId20" o:title="-1020182244596256916"/>
            <o:lock v:ext="edit" aspectratio="t"/>
          </v:shape>
          <o:OLEObject Type="Embed" ProgID="Package" ShapeID="_x0000_s1027" DrawAspect="Icon" ObjectID="_1468075726">
            <o:LockedField>false</o:LockedField>
          </o:OLEObject>
        </w:pict>
      </w:r>
    </w:p>
    <w:p>
      <w:pPr>
        <w:ind w:firstLine="540" w:firstLineChars="200"/>
        <w:rPr>
          <w:rFonts w:ascii="Times New Roman" w:hAnsi="Times New Roman"/>
          <w:snapToGrid w:val="0"/>
          <w:szCs w:val="28"/>
        </w:rPr>
      </w:pPr>
    </w:p>
    <w:p>
      <w:pPr>
        <w:spacing w:line="560" w:lineRule="exact"/>
        <w:ind w:firstLine="540" w:firstLineChars="200"/>
        <w:rPr>
          <w:rFonts w:ascii="Times New Roman" w:hAnsi="Times New Roman"/>
          <w:snapToGrid w:val="0"/>
          <w:szCs w:val="28"/>
        </w:rPr>
      </w:pPr>
      <w:r>
        <w:rPr>
          <w:rFonts w:ascii="Times New Roman" w:hAnsi="Times New Roman"/>
          <w:snapToGrid w:val="0"/>
          <w:szCs w:val="28"/>
        </w:rPr>
        <w:t>式中： R</w:t>
      </w:r>
      <w:r>
        <w:rPr>
          <w:rFonts w:ascii="Times New Roman" w:hAnsi="Times New Roman"/>
          <w:snapToGrid w:val="0"/>
          <w:szCs w:val="28"/>
          <w:vertAlign w:val="subscript"/>
        </w:rPr>
        <w:t>i</w:t>
      </w:r>
      <w:r>
        <w:rPr>
          <w:rFonts w:ascii="Times New Roman" w:hAnsi="Times New Roman"/>
          <w:snapToGrid w:val="0"/>
          <w:szCs w:val="28"/>
        </w:rPr>
        <w:t xml:space="preserve"> —— 未来第i个收益期的预期收益额；</w:t>
      </w:r>
    </w:p>
    <w:p>
      <w:pPr>
        <w:spacing w:line="560" w:lineRule="exact"/>
        <w:ind w:left="0" w:firstLine="1484" w:firstLineChars="0"/>
        <w:rPr>
          <w:rFonts w:ascii="Times New Roman" w:hAnsi="Times New Roman"/>
          <w:snapToGrid w:val="0"/>
          <w:szCs w:val="28"/>
        </w:rPr>
      </w:pPr>
      <w:r>
        <w:rPr>
          <w:rFonts w:ascii="Times New Roman" w:hAnsi="Times New Roman"/>
          <w:snapToGrid w:val="0"/>
          <w:szCs w:val="28"/>
        </w:rPr>
        <w:t>r —— 报酬率；</w:t>
      </w:r>
    </w:p>
    <w:p>
      <w:pPr>
        <w:spacing w:line="560" w:lineRule="exact"/>
        <w:ind w:left="0" w:firstLine="1484" w:firstLineChars="0"/>
        <w:rPr>
          <w:rFonts w:ascii="Times New Roman" w:hAnsi="Times New Roman"/>
          <w:snapToGrid w:val="0"/>
          <w:szCs w:val="28"/>
        </w:rPr>
      </w:pPr>
      <w:r>
        <w:rPr>
          <w:rFonts w:ascii="Times New Roman" w:hAnsi="Times New Roman"/>
          <w:snapToGrid w:val="0"/>
          <w:szCs w:val="28"/>
        </w:rPr>
        <w:t>n —— 收益年限。</w:t>
      </w:r>
    </w:p>
    <w:p>
      <w:pPr>
        <w:spacing w:line="560" w:lineRule="exact"/>
        <w:ind w:firstLine="532" w:firstLineChars="200"/>
        <w:rPr>
          <w:rFonts w:ascii="Times New Roman" w:hAnsi="Times New Roman"/>
          <w:snapToGrid w:val="0"/>
          <w:spacing w:val="-2"/>
          <w:szCs w:val="28"/>
        </w:rPr>
      </w:pPr>
      <w:r>
        <w:rPr>
          <w:rFonts w:ascii="Times New Roman" w:hAnsi="Times New Roman"/>
          <w:snapToGrid w:val="0"/>
          <w:spacing w:val="-2"/>
          <w:szCs w:val="28"/>
        </w:rPr>
        <w:t>若预期收益额每期按照一定比率递增，则其有限收益期的计算公式为：</w:t>
      </w:r>
    </w:p>
    <w:p>
      <w:pPr>
        <w:spacing w:line="560" w:lineRule="exact"/>
        <w:ind w:firstLine="540" w:firstLineChars="200"/>
        <w:rPr>
          <w:rFonts w:ascii="Times New Roman" w:hAnsi="Times New Roman"/>
          <w:snapToGrid w:val="0"/>
          <w:szCs w:val="28"/>
        </w:rPr>
      </w:pPr>
      <w:r>
        <w:rPr>
          <w:rFonts w:ascii="Times New Roman" w:hAnsi="Times New Roman"/>
          <w:snapToGrid w:val="0"/>
          <w:szCs w:val="28"/>
        </w:rPr>
        <w:t>P = R÷（r-s）×{1-[（1+s）/（1+r）]</w:t>
      </w:r>
      <w:r>
        <w:rPr>
          <w:rFonts w:ascii="Times New Roman" w:hAnsi="Times New Roman"/>
          <w:snapToGrid w:val="0"/>
          <w:szCs w:val="28"/>
          <w:vertAlign w:val="superscript"/>
        </w:rPr>
        <w:t>n</w:t>
      </w:r>
      <w:r>
        <w:rPr>
          <w:rFonts w:ascii="Times New Roman" w:hAnsi="Times New Roman"/>
          <w:snapToGrid w:val="0"/>
          <w:szCs w:val="28"/>
        </w:rPr>
        <w:t>}</w:t>
      </w:r>
    </w:p>
    <w:p>
      <w:pPr>
        <w:spacing w:line="560" w:lineRule="exact"/>
        <w:ind w:firstLine="540" w:firstLineChars="200"/>
        <w:rPr>
          <w:rFonts w:ascii="Times New Roman" w:hAnsi="Times New Roman"/>
          <w:snapToGrid w:val="0"/>
          <w:szCs w:val="28"/>
        </w:rPr>
      </w:pPr>
      <w:r>
        <w:rPr>
          <w:rFonts w:ascii="Times New Roman" w:hAnsi="Times New Roman"/>
          <w:snapToGrid w:val="0"/>
          <w:szCs w:val="28"/>
        </w:rPr>
        <w:t>式中： R —— 未来第1个收益期的预期收益额；</w:t>
      </w:r>
    </w:p>
    <w:p>
      <w:pPr>
        <w:spacing w:line="560" w:lineRule="exact"/>
        <w:ind w:left="0" w:firstLine="1484" w:firstLineChars="0"/>
        <w:rPr>
          <w:rFonts w:ascii="Times New Roman" w:hAnsi="Times New Roman"/>
          <w:snapToGrid w:val="0"/>
          <w:szCs w:val="28"/>
        </w:rPr>
      </w:pPr>
      <w:r>
        <w:rPr>
          <w:rFonts w:ascii="Times New Roman" w:hAnsi="Times New Roman"/>
          <w:snapToGrid w:val="0"/>
          <w:szCs w:val="28"/>
        </w:rPr>
        <w:t>r —— 报酬率；</w:t>
      </w:r>
    </w:p>
    <w:p>
      <w:pPr>
        <w:spacing w:line="560" w:lineRule="exact"/>
        <w:ind w:left="0" w:firstLine="1486" w:firstLineChars="0"/>
        <w:rPr>
          <w:rFonts w:ascii="Times New Roman" w:hAnsi="Times New Roman"/>
          <w:snapToGrid w:val="0"/>
          <w:szCs w:val="28"/>
        </w:rPr>
      </w:pPr>
      <w:r>
        <w:rPr>
          <w:rFonts w:ascii="Times New Roman" w:hAnsi="Times New Roman"/>
          <w:snapToGrid w:val="0"/>
          <w:szCs w:val="28"/>
        </w:rPr>
        <w:t>s —— 每期收益增长率；</w:t>
      </w:r>
    </w:p>
    <w:p>
      <w:pPr>
        <w:spacing w:line="560" w:lineRule="exact"/>
        <w:ind w:left="0" w:firstLine="1486" w:firstLineChars="0"/>
        <w:rPr>
          <w:rFonts w:ascii="Times New Roman" w:hAnsi="Times New Roman"/>
          <w:snapToGrid w:val="0"/>
          <w:szCs w:val="28"/>
        </w:rPr>
      </w:pPr>
      <w:r>
        <w:rPr>
          <w:rFonts w:ascii="Times New Roman" w:hAnsi="Times New Roman"/>
          <w:snapToGrid w:val="0"/>
          <w:szCs w:val="28"/>
        </w:rPr>
        <w:t>n —— 收益期限。</w:t>
      </w:r>
    </w:p>
    <w:p>
      <w:pPr>
        <w:pStyle w:val="3"/>
        <w:spacing w:after="38" w:line="560" w:lineRule="exact"/>
        <w:rPr>
          <w:rFonts w:ascii="Times New Roman" w:hAnsi="Times New Roman" w:eastAsia="仿宋_GB2312"/>
        </w:rPr>
      </w:pPr>
      <w:bookmarkStart w:id="89" w:name="_Toc48573740"/>
      <w:r>
        <w:rPr>
          <w:rFonts w:ascii="Times New Roman" w:hAnsi="Times New Roman" w:eastAsia="仿宋_GB2312"/>
        </w:rPr>
        <w:t>十、估价结果</w:t>
      </w:r>
      <w:bookmarkEnd w:id="83"/>
      <w:bookmarkEnd w:id="84"/>
      <w:bookmarkEnd w:id="85"/>
      <w:bookmarkEnd w:id="86"/>
      <w:bookmarkEnd w:id="87"/>
      <w:bookmarkEnd w:id="88"/>
      <w:bookmarkEnd w:id="89"/>
    </w:p>
    <w:p>
      <w:pPr>
        <w:spacing w:line="560" w:lineRule="exact"/>
        <w:rPr>
          <w:rFonts w:ascii="Times New Roman" w:hAnsi="Times New Roman"/>
        </w:rPr>
      </w:pPr>
      <w:r>
        <w:rPr>
          <w:rFonts w:ascii="Times New Roman" w:hAnsi="Times New Roman"/>
        </w:rPr>
        <w:t>估价人员根据有关房地产估价的法律法规，本着独立、客观、公正、合法估价原则，按照估价程序，采用科学的估价方法，在认真分析现有资料的基础上，经过周密准确地测算，并详细考虑了影响房地产价格的各项因素，确定估价对象在价值时点的估价结果如下：</w:t>
      </w:r>
    </w:p>
    <w:p>
      <w:pPr>
        <w:spacing w:line="540" w:lineRule="exact"/>
        <w:rPr>
          <w:rFonts w:ascii="Times New Roman" w:hAnsi="Times New Roman"/>
        </w:rPr>
      </w:pPr>
      <w:bookmarkStart w:id="90" w:name="_Toc18195209"/>
      <w:bookmarkStart w:id="91" w:name="_Toc305778826"/>
      <w:bookmarkStart w:id="92" w:name="_Toc305778464"/>
      <w:bookmarkStart w:id="93" w:name="_Toc305778558"/>
      <w:bookmarkStart w:id="94" w:name="_Toc335404407"/>
      <w:bookmarkStart w:id="95" w:name="_Toc237161522"/>
      <w:bookmarkStart w:id="96" w:name="_Toc305778709"/>
      <w:r>
        <w:rPr>
          <w:rFonts w:ascii="Times New Roman" w:hAnsi="Times New Roman"/>
        </w:rPr>
        <w:t>市场价值小写金额：￥</w:t>
      </w:r>
      <w:r>
        <w:rPr>
          <w:rFonts w:ascii="Times New Roman" w:hAnsi="Times New Roman"/>
        </w:rPr>
        <w:fldChar w:fldCharType="begin"/>
      </w:r>
      <w:r>
        <w:rPr>
          <w:rFonts w:ascii="Times New Roman" w:hAnsi="Times New Roman"/>
        </w:rPr>
        <w:instrText xml:space="preserve">MERGEFIELD "评估总价"  </w:instrText>
      </w:r>
      <w:r>
        <w:rPr>
          <w:rFonts w:ascii="Times New Roman" w:hAnsi="Times New Roman"/>
        </w:rPr>
        <w:fldChar w:fldCharType="separate"/>
      </w:r>
      <w:r>
        <w:rPr>
          <w:rFonts w:ascii="Times New Roman" w:hAnsi="Times New Roman"/>
        </w:rPr>
        <w:t>128.7753</w:t>
      </w:r>
      <w:r>
        <w:rPr>
          <w:rFonts w:ascii="Times New Roman" w:hAnsi="Times New Roman"/>
        </w:rPr>
        <w:fldChar w:fldCharType="end"/>
      </w:r>
      <w:r>
        <w:rPr>
          <w:rFonts w:ascii="Times New Roman" w:hAnsi="Times New Roman"/>
        </w:rPr>
        <w:t>万元；</w:t>
      </w:r>
    </w:p>
    <w:p>
      <w:pPr>
        <w:spacing w:line="540" w:lineRule="exact"/>
        <w:rPr>
          <w:rFonts w:ascii="Times New Roman" w:hAnsi="Times New Roman"/>
        </w:rPr>
      </w:pPr>
      <w:r>
        <w:rPr>
          <w:rFonts w:ascii="Times New Roman" w:hAnsi="Times New Roman"/>
        </w:rPr>
        <w:t>市场价值大写金额：人民币</w:t>
      </w:r>
      <w:r>
        <w:rPr>
          <w:rFonts w:ascii="Times New Roman" w:hAnsi="Times New Roman"/>
        </w:rPr>
        <w:fldChar w:fldCharType="begin"/>
      </w:r>
      <w:r>
        <w:rPr>
          <w:rFonts w:ascii="Times New Roman" w:hAnsi="Times New Roman"/>
        </w:rPr>
        <w:instrText xml:space="preserve">MERGEFIELD "评估总价大写"  </w:instrText>
      </w:r>
      <w:r>
        <w:rPr>
          <w:rFonts w:ascii="Times New Roman" w:hAnsi="Times New Roman"/>
        </w:rPr>
        <w:fldChar w:fldCharType="separate"/>
      </w:r>
      <w:r>
        <w:rPr>
          <w:rFonts w:ascii="Times New Roman" w:hAnsi="Times New Roman"/>
        </w:rPr>
        <w:t>壹佰贰拾捌万柒仟柒佰伍拾叁</w:t>
      </w:r>
      <w:r>
        <w:rPr>
          <w:rFonts w:ascii="Times New Roman" w:hAnsi="Times New Roman"/>
        </w:rPr>
        <w:fldChar w:fldCharType="end"/>
      </w:r>
      <w:r>
        <w:rPr>
          <w:rFonts w:ascii="Times New Roman" w:hAnsi="Times New Roman"/>
        </w:rPr>
        <w:t>元整；</w:t>
      </w:r>
    </w:p>
    <w:p>
      <w:pPr>
        <w:spacing w:line="540" w:lineRule="exact"/>
        <w:rPr>
          <w:rFonts w:ascii="Times New Roman" w:hAnsi="Times New Roman"/>
        </w:rPr>
      </w:pPr>
      <w:r>
        <w:rPr>
          <w:rFonts w:ascii="Times New Roman" w:hAnsi="Times New Roman"/>
        </w:rPr>
        <w:t>市场价值单价：￥</w:t>
      </w:r>
      <w:r>
        <w:rPr>
          <w:rFonts w:ascii="Times New Roman" w:hAnsi="Times New Roman"/>
        </w:rPr>
        <w:fldChar w:fldCharType="begin"/>
      </w:r>
      <w:r>
        <w:rPr>
          <w:rFonts w:ascii="Times New Roman" w:hAnsi="Times New Roman"/>
        </w:rPr>
        <w:instrText xml:space="preserve">MERGEFIELD "评估结果单价"  </w:instrText>
      </w:r>
      <w:r>
        <w:rPr>
          <w:rFonts w:ascii="Times New Roman" w:hAnsi="Times New Roman"/>
        </w:rPr>
        <w:fldChar w:fldCharType="separate"/>
      </w:r>
      <w:r>
        <w:rPr>
          <w:rFonts w:ascii="Times New Roman" w:hAnsi="Times New Roman"/>
        </w:rPr>
        <w:t>14,100.00</w:t>
      </w:r>
      <w:r>
        <w:rPr>
          <w:rFonts w:ascii="Times New Roman" w:hAnsi="Times New Roman"/>
        </w:rPr>
        <w:fldChar w:fldCharType="end"/>
      </w:r>
      <w:r>
        <w:rPr>
          <w:rFonts w:ascii="Times New Roman" w:hAnsi="Times New Roman"/>
        </w:rPr>
        <w:t>元/㎡。</w:t>
      </w:r>
    </w:p>
    <w:p>
      <w:pPr>
        <w:spacing w:line="540" w:lineRule="exact"/>
        <w:rPr>
          <w:rFonts w:ascii="Times New Roman" w:hAnsi="Times New Roman"/>
        </w:rPr>
      </w:pPr>
    </w:p>
    <w:bookmarkEnd w:id="90"/>
    <w:p>
      <w:pPr>
        <w:pStyle w:val="3"/>
        <w:spacing w:after="38" w:line="540" w:lineRule="exact"/>
        <w:rPr>
          <w:rFonts w:ascii="Times New Roman" w:hAnsi="Times New Roman" w:eastAsia="仿宋_GB2312"/>
        </w:rPr>
      </w:pPr>
      <w:bookmarkStart w:id="97" w:name="_Toc48573741"/>
      <w:r>
        <w:rPr>
          <w:rFonts w:ascii="Times New Roman" w:hAnsi="Times New Roman" w:eastAsia="仿宋_GB2312"/>
        </w:rPr>
        <w:t>十一、估价作业日期</w:t>
      </w:r>
      <w:bookmarkEnd w:id="91"/>
      <w:bookmarkEnd w:id="92"/>
      <w:bookmarkEnd w:id="93"/>
      <w:bookmarkEnd w:id="94"/>
      <w:bookmarkEnd w:id="95"/>
      <w:bookmarkEnd w:id="96"/>
      <w:bookmarkEnd w:id="97"/>
    </w:p>
    <w:p>
      <w:pPr>
        <w:pStyle w:val="28"/>
        <w:spacing w:line="540" w:lineRule="exact"/>
        <w:rPr>
          <w:rFonts w:ascii="Times New Roman" w:hAnsi="Times New Roman"/>
        </w:rPr>
      </w:pPr>
      <w:r>
        <w:rPr>
          <w:rFonts w:ascii="Times New Roman" w:hAnsi="Times New Roman"/>
        </w:rPr>
        <w:t>估价作业日期自</w:t>
      </w:r>
      <w:r>
        <w:rPr>
          <w:rFonts w:ascii="Times New Roman" w:hAnsi="Times New Roman"/>
        </w:rPr>
        <w:fldChar w:fldCharType="begin"/>
      </w:r>
      <w:r>
        <w:rPr>
          <w:rFonts w:ascii="Times New Roman" w:hAnsi="Times New Roman"/>
        </w:rPr>
        <w:instrText xml:space="preserve"> MergeField "基准日" </w:instrText>
      </w:r>
      <w:r>
        <w:rPr>
          <w:rFonts w:ascii="Times New Roman" w:hAnsi="Times New Roman"/>
        </w:rPr>
        <w:fldChar w:fldCharType="separate"/>
      </w:r>
      <w:r>
        <w:rPr>
          <w:rFonts w:ascii="Times New Roman" w:hAnsi="Times New Roman"/>
        </w:rPr>
        <w:t>2022年9月15日</w:t>
      </w:r>
      <w:r>
        <w:rPr>
          <w:rFonts w:ascii="Times New Roman" w:hAnsi="Times New Roman"/>
        </w:rPr>
        <w:fldChar w:fldCharType="end"/>
      </w:r>
      <w:r>
        <w:rPr>
          <w:rFonts w:ascii="Times New Roman" w:hAnsi="Times New Roman"/>
        </w:rPr>
        <w:t>至</w:t>
      </w:r>
      <w:r>
        <w:rPr>
          <w:rFonts w:ascii="Times New Roman" w:hAnsi="Times New Roman"/>
        </w:rPr>
        <w:fldChar w:fldCharType="begin"/>
      </w:r>
      <w:r>
        <w:rPr>
          <w:rFonts w:ascii="Times New Roman" w:hAnsi="Times New Roman"/>
        </w:rPr>
        <w:instrText xml:space="preserve"> MergeField "出具日" </w:instrText>
      </w:r>
      <w:r>
        <w:rPr>
          <w:rFonts w:ascii="Times New Roman" w:hAnsi="Times New Roman"/>
        </w:rPr>
        <w:fldChar w:fldCharType="separate"/>
      </w:r>
      <w:r>
        <w:rPr>
          <w:rFonts w:ascii="Times New Roman" w:hAnsi="Times New Roman"/>
        </w:rPr>
        <w:t>2022年9月23日</w:t>
      </w:r>
      <w:r>
        <w:rPr>
          <w:rFonts w:ascii="Times New Roman" w:hAnsi="Times New Roman"/>
        </w:rPr>
        <w:fldChar w:fldCharType="end"/>
      </w:r>
      <w:r>
        <w:rPr>
          <w:rFonts w:ascii="Times New Roman" w:hAnsi="Times New Roman"/>
        </w:rPr>
        <w:t>。</w:t>
      </w:r>
    </w:p>
    <w:p>
      <w:pPr>
        <w:pStyle w:val="3"/>
        <w:spacing w:after="38" w:line="540" w:lineRule="exact"/>
        <w:rPr>
          <w:rFonts w:ascii="Times New Roman" w:hAnsi="Times New Roman" w:eastAsia="仿宋_GB2312"/>
        </w:rPr>
      </w:pPr>
      <w:bookmarkStart w:id="98" w:name="_Toc335404408"/>
      <w:bookmarkStart w:id="99" w:name="_Toc335665409"/>
      <w:bookmarkStart w:id="100" w:name="_Toc434941469"/>
      <w:bookmarkStart w:id="101" w:name="_Toc305778827"/>
      <w:bookmarkStart w:id="102" w:name="_Toc48573742"/>
      <w:bookmarkStart w:id="103" w:name="_Toc237161523"/>
      <w:bookmarkStart w:id="104" w:name="_Toc305778465"/>
      <w:bookmarkStart w:id="105" w:name="_Toc305778710"/>
      <w:bookmarkStart w:id="106" w:name="_Toc305778559"/>
      <w:bookmarkStart w:id="107" w:name="_Toc444982374"/>
      <w:r>
        <w:rPr>
          <w:rFonts w:ascii="Times New Roman" w:hAnsi="Times New Roman" w:eastAsia="仿宋_GB2312"/>
        </w:rPr>
        <w:t>十二、实地查勘期</w:t>
      </w:r>
      <w:bookmarkEnd w:id="98"/>
      <w:bookmarkEnd w:id="99"/>
      <w:bookmarkEnd w:id="100"/>
      <w:bookmarkEnd w:id="101"/>
      <w:bookmarkEnd w:id="102"/>
      <w:bookmarkEnd w:id="103"/>
      <w:bookmarkEnd w:id="104"/>
      <w:bookmarkEnd w:id="105"/>
      <w:bookmarkEnd w:id="106"/>
      <w:bookmarkEnd w:id="107"/>
    </w:p>
    <w:p>
      <w:pPr>
        <w:pStyle w:val="28"/>
        <w:spacing w:line="540" w:lineRule="exact"/>
        <w:rPr>
          <w:rFonts w:ascii="Times New Roman" w:hAnsi="Times New Roman"/>
        </w:rPr>
      </w:pPr>
      <w:r>
        <w:rPr>
          <w:rFonts w:ascii="Times New Roman" w:hAnsi="Times New Roman"/>
        </w:rPr>
        <w:t>估价人员于</w:t>
      </w:r>
      <w:r>
        <w:rPr>
          <w:rFonts w:ascii="Times New Roman" w:hAnsi="Times New Roman"/>
        </w:rPr>
        <w:fldChar w:fldCharType="begin"/>
      </w:r>
      <w:r>
        <w:rPr>
          <w:rFonts w:ascii="Times New Roman" w:hAnsi="Times New Roman"/>
        </w:rPr>
        <w:instrText xml:space="preserve"> MergeField "基准日" </w:instrText>
      </w:r>
      <w:r>
        <w:rPr>
          <w:rFonts w:ascii="Times New Roman" w:hAnsi="Times New Roman"/>
        </w:rPr>
        <w:fldChar w:fldCharType="separate"/>
      </w:r>
      <w:r>
        <w:rPr>
          <w:rFonts w:ascii="Times New Roman" w:hAnsi="Times New Roman"/>
        </w:rPr>
        <w:t>2022年9月15日</w:t>
      </w:r>
      <w:r>
        <w:rPr>
          <w:rFonts w:ascii="Times New Roman" w:hAnsi="Times New Roman"/>
        </w:rPr>
        <w:fldChar w:fldCharType="end"/>
      </w:r>
      <w:r>
        <w:rPr>
          <w:rFonts w:ascii="Times New Roman" w:hAnsi="Times New Roman"/>
        </w:rPr>
        <w:t>进入现场对估价对象进行实地查勘，并于当日完成实地查勘工作。</w:t>
      </w:r>
    </w:p>
    <w:p>
      <w:pPr>
        <w:pStyle w:val="3"/>
        <w:spacing w:after="38"/>
        <w:rPr>
          <w:rFonts w:ascii="Times New Roman" w:hAnsi="Times New Roman" w:eastAsia="仿宋_GB2312"/>
        </w:rPr>
      </w:pPr>
      <w:bookmarkStart w:id="108" w:name="_Toc448438872"/>
      <w:bookmarkStart w:id="109" w:name="_Toc48573743"/>
      <w:bookmarkStart w:id="110" w:name="_Toc335404409"/>
      <w:bookmarkStart w:id="111" w:name="_Toc305778560"/>
      <w:bookmarkStart w:id="112" w:name="_Toc305778828"/>
      <w:bookmarkStart w:id="113" w:name="_Toc305778711"/>
    </w:p>
    <w:p>
      <w:pPr>
        <w:pStyle w:val="3"/>
        <w:spacing w:after="38"/>
        <w:rPr>
          <w:rFonts w:ascii="Times New Roman" w:hAnsi="Times New Roman" w:eastAsia="仿宋_GB2312"/>
        </w:rPr>
      </w:pPr>
    </w:p>
    <w:p>
      <w:pPr>
        <w:pStyle w:val="3"/>
        <w:spacing w:after="38"/>
        <w:rPr>
          <w:rFonts w:ascii="Times New Roman" w:hAnsi="Times New Roman" w:eastAsia="仿宋_GB2312"/>
          <w:snapToGrid w:val="0"/>
          <w:szCs w:val="28"/>
        </w:rPr>
      </w:pPr>
      <w:r>
        <w:rPr>
          <w:rFonts w:ascii="Times New Roman" w:hAnsi="Times New Roman" w:eastAsia="仿宋_GB2312"/>
        </w:rPr>
        <w:t>十三、注册房地产估价师：</w:t>
      </w:r>
      <w:bookmarkEnd w:id="108"/>
      <w:bookmarkEnd w:id="109"/>
    </w:p>
    <w:tbl>
      <w:tblPr>
        <w:tblStyle w:val="22"/>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1796"/>
        <w:gridCol w:w="4049"/>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206" w:type="dxa"/>
            <w:tcBorders>
              <w:tl2br w:val="nil"/>
              <w:tr2bl w:val="nil"/>
            </w:tcBorders>
            <w:shd w:val="clear" w:color="auto" w:fill="auto"/>
            <w:vAlign w:val="center"/>
          </w:tcPr>
          <w:p>
            <w:pPr>
              <w:autoSpaceDE w:val="0"/>
              <w:autoSpaceDN w:val="0"/>
              <w:adjustRightInd w:val="0"/>
              <w:spacing w:line="500" w:lineRule="exact"/>
              <w:ind w:firstLine="0" w:firstLineChars="0"/>
              <w:jc w:val="center"/>
              <w:rPr>
                <w:rFonts w:ascii="Times New Roman" w:hAnsi="Times New Roman"/>
                <w:kern w:val="0"/>
                <w:szCs w:val="28"/>
              </w:rPr>
            </w:pPr>
            <w:r>
              <w:rPr>
                <w:rFonts w:ascii="Times New Roman" w:hAnsi="Times New Roman"/>
                <w:kern w:val="0"/>
                <w:szCs w:val="28"/>
              </w:rPr>
              <w:t>姓名</w:t>
            </w:r>
          </w:p>
        </w:tc>
        <w:tc>
          <w:tcPr>
            <w:tcW w:w="1796" w:type="dxa"/>
            <w:tcBorders>
              <w:tl2br w:val="nil"/>
              <w:tr2bl w:val="nil"/>
            </w:tcBorders>
            <w:shd w:val="clear" w:color="auto" w:fill="auto"/>
            <w:vAlign w:val="center"/>
          </w:tcPr>
          <w:p>
            <w:pPr>
              <w:autoSpaceDE w:val="0"/>
              <w:autoSpaceDN w:val="0"/>
              <w:adjustRightInd w:val="0"/>
              <w:spacing w:line="500" w:lineRule="exact"/>
              <w:ind w:firstLine="0" w:firstLineChars="0"/>
              <w:jc w:val="center"/>
              <w:rPr>
                <w:rFonts w:ascii="Times New Roman" w:hAnsi="Times New Roman"/>
                <w:kern w:val="0"/>
                <w:szCs w:val="28"/>
              </w:rPr>
            </w:pPr>
            <w:r>
              <w:rPr>
                <w:rFonts w:ascii="Times New Roman" w:hAnsi="Times New Roman"/>
                <w:kern w:val="0"/>
                <w:szCs w:val="28"/>
              </w:rPr>
              <w:t>注册号</w:t>
            </w:r>
          </w:p>
        </w:tc>
        <w:tc>
          <w:tcPr>
            <w:tcW w:w="4049" w:type="dxa"/>
            <w:tcBorders>
              <w:tl2br w:val="nil"/>
              <w:tr2bl w:val="nil"/>
            </w:tcBorders>
            <w:shd w:val="clear" w:color="auto" w:fill="auto"/>
            <w:vAlign w:val="center"/>
          </w:tcPr>
          <w:p>
            <w:pPr>
              <w:autoSpaceDE w:val="0"/>
              <w:autoSpaceDN w:val="0"/>
              <w:adjustRightInd w:val="0"/>
              <w:spacing w:line="500" w:lineRule="exact"/>
              <w:ind w:firstLine="0" w:firstLineChars="0"/>
              <w:jc w:val="center"/>
              <w:rPr>
                <w:rFonts w:ascii="Times New Roman" w:hAnsi="Times New Roman"/>
                <w:kern w:val="0"/>
                <w:szCs w:val="28"/>
              </w:rPr>
            </w:pPr>
            <w:r>
              <w:rPr>
                <w:rFonts w:ascii="Times New Roman" w:hAnsi="Times New Roman"/>
                <w:kern w:val="0"/>
                <w:szCs w:val="28"/>
              </w:rPr>
              <w:t>签名及个人印章</w:t>
            </w:r>
          </w:p>
        </w:tc>
        <w:tc>
          <w:tcPr>
            <w:tcW w:w="2524" w:type="dxa"/>
            <w:tcBorders>
              <w:tl2br w:val="nil"/>
              <w:tr2bl w:val="nil"/>
            </w:tcBorders>
            <w:shd w:val="clear" w:color="auto" w:fill="auto"/>
            <w:vAlign w:val="center"/>
          </w:tcPr>
          <w:p>
            <w:pPr>
              <w:autoSpaceDE w:val="0"/>
              <w:autoSpaceDN w:val="0"/>
              <w:adjustRightInd w:val="0"/>
              <w:spacing w:line="500" w:lineRule="exact"/>
              <w:ind w:firstLine="0" w:firstLineChars="0"/>
              <w:jc w:val="center"/>
              <w:rPr>
                <w:rFonts w:ascii="Times New Roman" w:hAnsi="Times New Roman"/>
                <w:kern w:val="0"/>
                <w:szCs w:val="28"/>
              </w:rPr>
            </w:pPr>
            <w:r>
              <w:rPr>
                <w:rFonts w:ascii="Times New Roman" w:hAnsi="Times New Roman"/>
                <w:kern w:val="0"/>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jc w:val="center"/>
        </w:trPr>
        <w:tc>
          <w:tcPr>
            <w:tcW w:w="1206" w:type="dxa"/>
            <w:tcBorders>
              <w:tl2br w:val="nil"/>
              <w:tr2bl w:val="nil"/>
            </w:tcBorders>
            <w:shd w:val="clear" w:color="auto" w:fill="auto"/>
            <w:vAlign w:val="center"/>
          </w:tcPr>
          <w:p>
            <w:pPr>
              <w:pStyle w:val="32"/>
              <w:ind w:firstLine="0"/>
              <w:rPr>
                <w:rFonts w:ascii="Times New Roman" w:hAnsi="Times New Roman"/>
                <w:sz w:val="28"/>
              </w:rPr>
            </w:pPr>
            <w:r>
              <w:rPr>
                <w:rFonts w:ascii="Times New Roman" w:hAnsi="Times New Roman"/>
                <w:sz w:val="28"/>
              </w:rPr>
              <w:t>翁运良</w:t>
            </w:r>
          </w:p>
        </w:tc>
        <w:tc>
          <w:tcPr>
            <w:tcW w:w="1796" w:type="dxa"/>
            <w:tcBorders>
              <w:tl2br w:val="nil"/>
              <w:tr2bl w:val="nil"/>
            </w:tcBorders>
            <w:shd w:val="clear" w:color="auto" w:fill="auto"/>
            <w:vAlign w:val="center"/>
          </w:tcPr>
          <w:p>
            <w:pPr>
              <w:pStyle w:val="32"/>
              <w:ind w:firstLine="0"/>
              <w:rPr>
                <w:rFonts w:ascii="Times New Roman" w:hAnsi="Times New Roman"/>
                <w:sz w:val="28"/>
              </w:rPr>
            </w:pPr>
            <w:r>
              <w:rPr>
                <w:rFonts w:ascii="Times New Roman" w:hAnsi="Times New Roman"/>
                <w:sz w:val="28"/>
              </w:rPr>
              <w:t>4620150008</w:t>
            </w:r>
          </w:p>
        </w:tc>
        <w:tc>
          <w:tcPr>
            <w:tcW w:w="4049" w:type="dxa"/>
            <w:tcBorders>
              <w:tl2br w:val="nil"/>
              <w:tr2bl w:val="nil"/>
            </w:tcBorders>
            <w:shd w:val="clear" w:color="auto" w:fill="auto"/>
            <w:vAlign w:val="center"/>
          </w:tcPr>
          <w:p>
            <w:pPr>
              <w:pStyle w:val="32"/>
              <w:ind w:firstLine="0"/>
              <w:rPr>
                <w:rFonts w:ascii="Times New Roman" w:hAnsi="Times New Roman"/>
                <w:sz w:val="28"/>
              </w:rPr>
            </w:pPr>
          </w:p>
          <w:p>
            <w:pPr>
              <w:pStyle w:val="33"/>
              <w:ind w:firstLine="540" w:firstLineChars="200"/>
              <w:rPr>
                <w:rFonts w:ascii="Times New Roman" w:hAnsi="Times New Roman"/>
              </w:rPr>
            </w:pPr>
          </w:p>
          <w:p>
            <w:pPr>
              <w:pStyle w:val="13"/>
              <w:ind w:firstLine="540" w:firstLineChars="200"/>
              <w:rPr>
                <w:rFonts w:ascii="Times New Roman" w:hAnsi="Times New Roman"/>
              </w:rPr>
            </w:pPr>
          </w:p>
          <w:p>
            <w:pPr>
              <w:ind w:firstLine="540" w:firstLineChars="200"/>
              <w:rPr>
                <w:rFonts w:ascii="Times New Roman" w:hAnsi="Times New Roman"/>
              </w:rPr>
            </w:pPr>
          </w:p>
          <w:p>
            <w:pPr>
              <w:ind w:left="0" w:firstLine="0" w:firstLineChars="0"/>
              <w:rPr>
                <w:rFonts w:ascii="Times New Roman" w:hAnsi="Times New Roman"/>
              </w:rPr>
            </w:pPr>
          </w:p>
        </w:tc>
        <w:tc>
          <w:tcPr>
            <w:tcW w:w="2524" w:type="dxa"/>
            <w:tcBorders>
              <w:tl2br w:val="nil"/>
              <w:tr2bl w:val="nil"/>
            </w:tcBorders>
            <w:shd w:val="clear" w:color="auto" w:fill="auto"/>
            <w:vAlign w:val="center"/>
          </w:tcPr>
          <w:p>
            <w:pPr>
              <w:pStyle w:val="32"/>
              <w:ind w:firstLine="0"/>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 MergeField "出具日" </w:instrText>
            </w:r>
            <w:r>
              <w:rPr>
                <w:rFonts w:ascii="Times New Roman" w:hAnsi="Times New Roman"/>
                <w:sz w:val="28"/>
              </w:rPr>
              <w:fldChar w:fldCharType="separate"/>
            </w:r>
            <w:r>
              <w:rPr>
                <w:rFonts w:ascii="Times New Roman" w:hAnsi="Times New Roman"/>
                <w:sz w:val="28"/>
              </w:rPr>
              <w:t>2022年9月23日</w:t>
            </w:r>
            <w:r>
              <w:rPr>
                <w:rFonts w:ascii="Times New Roman" w:hAnsi="Times New Roman"/>
                <w:sz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jc w:val="center"/>
        </w:trPr>
        <w:tc>
          <w:tcPr>
            <w:tcW w:w="1206" w:type="dxa"/>
            <w:tcBorders>
              <w:tl2br w:val="nil"/>
              <w:tr2bl w:val="nil"/>
            </w:tcBorders>
            <w:shd w:val="clear" w:color="auto" w:fill="auto"/>
            <w:vAlign w:val="center"/>
          </w:tcPr>
          <w:p>
            <w:pPr>
              <w:pStyle w:val="32"/>
              <w:ind w:firstLine="0"/>
              <w:rPr>
                <w:rFonts w:ascii="Times New Roman" w:hAnsi="Times New Roman"/>
                <w:sz w:val="28"/>
              </w:rPr>
            </w:pPr>
            <w:r>
              <w:rPr>
                <w:rFonts w:ascii="Times New Roman" w:hAnsi="Times New Roman"/>
                <w:sz w:val="28"/>
              </w:rPr>
              <w:t>郑在乐</w:t>
            </w:r>
          </w:p>
        </w:tc>
        <w:tc>
          <w:tcPr>
            <w:tcW w:w="1796" w:type="dxa"/>
            <w:tcBorders>
              <w:tl2br w:val="nil"/>
              <w:tr2bl w:val="nil"/>
            </w:tcBorders>
            <w:shd w:val="clear" w:color="auto" w:fill="auto"/>
            <w:vAlign w:val="center"/>
          </w:tcPr>
          <w:p>
            <w:pPr>
              <w:pStyle w:val="32"/>
              <w:ind w:firstLine="0"/>
              <w:rPr>
                <w:rFonts w:ascii="Times New Roman" w:hAnsi="Times New Roman"/>
                <w:sz w:val="28"/>
              </w:rPr>
            </w:pPr>
            <w:r>
              <w:rPr>
                <w:rFonts w:ascii="Times New Roman" w:hAnsi="Times New Roman"/>
                <w:sz w:val="28"/>
              </w:rPr>
              <w:t>4620180022</w:t>
            </w:r>
          </w:p>
        </w:tc>
        <w:tc>
          <w:tcPr>
            <w:tcW w:w="4049" w:type="dxa"/>
            <w:tcBorders>
              <w:tl2br w:val="nil"/>
              <w:tr2bl w:val="nil"/>
            </w:tcBorders>
            <w:shd w:val="clear" w:color="auto" w:fill="auto"/>
            <w:vAlign w:val="center"/>
          </w:tcPr>
          <w:p>
            <w:pPr>
              <w:pStyle w:val="32"/>
              <w:ind w:firstLine="0"/>
              <w:rPr>
                <w:rFonts w:ascii="Times New Roman" w:hAnsi="Times New Roman"/>
                <w:sz w:val="28"/>
              </w:rPr>
            </w:pPr>
          </w:p>
          <w:p>
            <w:pPr>
              <w:pStyle w:val="33"/>
              <w:ind w:firstLine="540" w:firstLineChars="200"/>
              <w:rPr>
                <w:rFonts w:ascii="Times New Roman" w:hAnsi="Times New Roman"/>
              </w:rPr>
            </w:pPr>
          </w:p>
          <w:p>
            <w:pPr>
              <w:pStyle w:val="13"/>
              <w:ind w:firstLine="540" w:firstLineChars="200"/>
              <w:rPr>
                <w:rFonts w:ascii="Times New Roman" w:hAnsi="Times New Roman"/>
              </w:rPr>
            </w:pPr>
          </w:p>
          <w:p>
            <w:pPr>
              <w:ind w:firstLine="540" w:firstLineChars="200"/>
              <w:rPr>
                <w:rFonts w:ascii="Times New Roman" w:hAnsi="Times New Roman"/>
              </w:rPr>
            </w:pPr>
          </w:p>
          <w:p>
            <w:pPr>
              <w:ind w:firstLine="540" w:firstLineChars="200"/>
              <w:rPr>
                <w:rFonts w:ascii="Times New Roman" w:hAnsi="Times New Roman"/>
              </w:rPr>
            </w:pPr>
          </w:p>
        </w:tc>
        <w:tc>
          <w:tcPr>
            <w:tcW w:w="2524" w:type="dxa"/>
            <w:tcBorders>
              <w:tl2br w:val="nil"/>
              <w:tr2bl w:val="nil"/>
            </w:tcBorders>
            <w:shd w:val="clear" w:color="auto" w:fill="auto"/>
            <w:vAlign w:val="center"/>
          </w:tcPr>
          <w:p>
            <w:pPr>
              <w:pStyle w:val="32"/>
              <w:ind w:firstLine="0"/>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MERGEFIELD "出具日"  </w:instrText>
            </w:r>
            <w:r>
              <w:rPr>
                <w:rFonts w:ascii="Times New Roman" w:hAnsi="Times New Roman"/>
                <w:sz w:val="28"/>
              </w:rPr>
              <w:fldChar w:fldCharType="separate"/>
            </w:r>
            <w:r>
              <w:rPr>
                <w:rFonts w:ascii="Times New Roman" w:hAnsi="Times New Roman"/>
                <w:sz w:val="28"/>
              </w:rPr>
              <w:t>2022年9月23日</w:t>
            </w:r>
            <w:r>
              <w:rPr>
                <w:rFonts w:ascii="Times New Roman" w:hAnsi="Times New Roman"/>
                <w:sz w:val="28"/>
              </w:rPr>
              <w:fldChar w:fldCharType="end"/>
            </w:r>
          </w:p>
        </w:tc>
      </w:tr>
    </w:tbl>
    <w:p>
      <w:pPr>
        <w:pStyle w:val="2"/>
        <w:adjustRightInd w:val="0"/>
        <w:snapToGrid/>
        <w:spacing w:line="300" w:lineRule="exact"/>
        <w:ind w:left="0"/>
        <w:contextualSpacing w:val="0"/>
        <w:jc w:val="both"/>
        <w:rPr>
          <w:rFonts w:ascii="Times New Roman" w:hAnsi="Times New Roman" w:eastAsia="仿宋_GB2312"/>
        </w:rPr>
      </w:pPr>
      <w:r>
        <w:rPr>
          <w:rFonts w:ascii="Times New Roman" w:hAnsi="Times New Roman" w:eastAsia="仿宋_GB2312"/>
        </w:rPr>
        <w:br w:type="page"/>
      </w:r>
      <w:bookmarkEnd w:id="110"/>
      <w:bookmarkEnd w:id="111"/>
      <w:bookmarkEnd w:id="112"/>
      <w:bookmarkEnd w:id="113"/>
    </w:p>
    <w:p>
      <w:pPr>
        <w:pStyle w:val="2"/>
        <w:adjustRightInd w:val="0"/>
        <w:snapToGrid/>
        <w:ind w:left="0"/>
        <w:contextualSpacing w:val="0"/>
        <w:rPr>
          <w:rFonts w:ascii="Times New Roman" w:hAnsi="Times New Roman" w:eastAsia="仿宋_GB2312"/>
        </w:rPr>
      </w:pPr>
      <w:bookmarkStart w:id="114" w:name="_Toc48573752"/>
      <w:r>
        <w:rPr>
          <w:rFonts w:ascii="Times New Roman" w:hAnsi="Times New Roman" w:eastAsia="仿宋_GB2312"/>
        </w:rPr>
        <w:t>附  件</w:t>
      </w:r>
      <w:bookmarkEnd w:id="114"/>
    </w:p>
    <w:p>
      <w:pPr>
        <w:adjustRightInd w:val="0"/>
        <w:snapToGrid w:val="0"/>
        <w:ind w:firstLine="540" w:firstLineChars="200"/>
        <w:contextualSpacing w:val="0"/>
        <w:rPr>
          <w:rFonts w:ascii="Times New Roman" w:hAnsi="Times New Roman"/>
        </w:rPr>
      </w:pPr>
    </w:p>
    <w:p>
      <w:pPr>
        <w:pStyle w:val="40"/>
        <w:spacing w:line="480" w:lineRule="auto"/>
        <w:rPr>
          <w:rFonts w:ascii="Times New Roman" w:hAnsi="Times New Roman"/>
        </w:rPr>
      </w:pPr>
      <w:r>
        <w:rPr>
          <w:rFonts w:ascii="Times New Roman" w:hAnsi="Times New Roman"/>
        </w:rPr>
        <w:t>《</w:t>
      </w:r>
      <w:r>
        <w:rPr>
          <w:rFonts w:ascii="Times New Roman" w:hAnsi="Times New Roman" w:eastAsia="仿宋_GB2312" w:cs="Times New Roman"/>
          <w:kern w:val="2"/>
          <w:sz w:val="28"/>
          <w:szCs w:val="28"/>
          <w:lang w:val="en-US" w:eastAsia="zh-CN"/>
        </w:rPr>
        <w:t>海南省第一中级人民法院司法鉴定委托书</w:t>
      </w:r>
      <w:r>
        <w:rPr>
          <w:rFonts w:ascii="Times New Roman" w:hAnsi="Times New Roman"/>
        </w:rPr>
        <w:t>》复印件；</w:t>
      </w:r>
    </w:p>
    <w:p>
      <w:pPr>
        <w:pStyle w:val="40"/>
        <w:spacing w:line="480" w:lineRule="auto"/>
        <w:rPr>
          <w:rFonts w:ascii="Times New Roman" w:hAnsi="Times New Roman"/>
        </w:rPr>
      </w:pPr>
      <w:r>
        <w:rPr>
          <w:rFonts w:ascii="Times New Roman" w:hAnsi="Times New Roman"/>
        </w:rPr>
        <w:t>估价对象相关产权资料复印件；</w:t>
      </w:r>
    </w:p>
    <w:p>
      <w:pPr>
        <w:pStyle w:val="40"/>
        <w:spacing w:line="480" w:lineRule="auto"/>
        <w:rPr>
          <w:rFonts w:ascii="Times New Roman" w:hAnsi="Times New Roman"/>
          <w:vanish w:val="0"/>
          <w:sz w:val="28"/>
          <w:szCs w:val="28"/>
        </w:rPr>
      </w:pPr>
      <w:r>
        <w:rPr>
          <w:rFonts w:ascii="Times New Roman" w:hAnsi="Times New Roman"/>
          <w:vanish w:val="0"/>
          <w:sz w:val="28"/>
          <w:szCs w:val="28"/>
        </w:rPr>
        <w:t>估价对象部分照片；</w:t>
      </w:r>
    </w:p>
    <w:p>
      <w:pPr>
        <w:pStyle w:val="40"/>
        <w:spacing w:line="480" w:lineRule="auto"/>
        <w:rPr>
          <w:rFonts w:ascii="Times New Roman" w:hAnsi="Times New Roman"/>
          <w:vanish w:val="0"/>
          <w:sz w:val="28"/>
          <w:szCs w:val="28"/>
        </w:rPr>
      </w:pPr>
      <w:r>
        <w:rPr>
          <w:rFonts w:ascii="Times New Roman" w:hAnsi="Times New Roman"/>
          <w:vanish w:val="0"/>
          <w:sz w:val="28"/>
          <w:szCs w:val="28"/>
        </w:rPr>
        <w:t>估价对象位置示意图；</w:t>
      </w:r>
    </w:p>
    <w:p>
      <w:pPr>
        <w:pStyle w:val="40"/>
        <w:spacing w:line="480" w:lineRule="auto"/>
        <w:rPr>
          <w:rFonts w:ascii="Times New Roman" w:hAnsi="Times New Roman"/>
          <w:vanish w:val="0"/>
          <w:sz w:val="28"/>
          <w:szCs w:val="28"/>
        </w:rPr>
      </w:pPr>
      <w:r>
        <w:rPr>
          <w:rFonts w:ascii="Times New Roman" w:hAnsi="Times New Roman"/>
          <w:vanish w:val="0"/>
          <w:sz w:val="28"/>
          <w:szCs w:val="28"/>
        </w:rPr>
        <w:t>受托方《营业执照》复印件；</w:t>
      </w:r>
    </w:p>
    <w:p>
      <w:pPr>
        <w:pStyle w:val="40"/>
        <w:spacing w:line="480" w:lineRule="auto"/>
        <w:rPr>
          <w:rFonts w:ascii="Times New Roman" w:hAnsi="Times New Roman"/>
        </w:rPr>
      </w:pPr>
      <w:r>
        <w:rPr>
          <w:rFonts w:ascii="Times New Roman" w:hAnsi="Times New Roman"/>
          <w:vanish w:val="0"/>
          <w:sz w:val="28"/>
          <w:szCs w:val="28"/>
        </w:rPr>
        <w:t>受托方房地产价格评估机构资格证书复印件；</w:t>
      </w:r>
    </w:p>
    <w:p>
      <w:pPr>
        <w:pStyle w:val="40"/>
        <w:spacing w:line="480" w:lineRule="auto"/>
        <w:rPr>
          <w:rFonts w:ascii="Times New Roman" w:hAnsi="Times New Roman"/>
        </w:rPr>
      </w:pPr>
      <w:r>
        <w:rPr>
          <w:rFonts w:ascii="Times New Roman" w:hAnsi="Times New Roman"/>
          <w:vanish w:val="0"/>
          <w:sz w:val="28"/>
          <w:szCs w:val="28"/>
        </w:rPr>
        <w:t>估价人员资格证书复印件。</w:t>
      </w:r>
    </w:p>
    <w:p>
      <w:pPr>
        <w:ind w:firstLine="540" w:firstLineChars="200"/>
        <w:rPr>
          <w:rFonts w:ascii="Times New Roman" w:hAnsi="Times New Roman"/>
        </w:rPr>
      </w:pPr>
    </w:p>
    <w:p>
      <w:pPr>
        <w:ind w:firstLine="540" w:firstLineChars="200"/>
        <w:rPr>
          <w:rFonts w:ascii="Times New Roman" w:hAnsi="Times New Roman"/>
        </w:rPr>
      </w:pPr>
    </w:p>
    <w:p>
      <w:pPr>
        <w:rPr>
          <w:rFonts w:ascii="Times New Roman" w:hAnsi="Times New Roman"/>
        </w:rPr>
      </w:pPr>
    </w:p>
    <w:sectPr>
      <w:footerReference r:id="rId16" w:type="first"/>
      <w:headerReference r:id="rId14" w:type="default"/>
      <w:footerReference r:id="rId15" w:type="default"/>
      <w:pgSz w:w="11906" w:h="16838"/>
      <w:pgMar w:top="1440" w:right="1418" w:bottom="1418" w:left="1531" w:header="567" w:footer="624" w:gutter="0"/>
      <w:pgNumType w:start="1"/>
      <w:cols w:space="720" w:num="1"/>
      <w:docGrid w:type="linesAndChars" w:linePitch="381" w:charSpace="-2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40"/>
      </w:pPr>
      <w:r>
        <w:separator/>
      </w:r>
    </w:p>
  </w:endnote>
  <w:endnote w:type="continuationSeparator" w:id="1">
    <w:p>
      <w:pPr>
        <w:spacing w:line="240" w:lineRule="auto"/>
        <w:ind w:firstLine="5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华文中宋">
    <w:altName w:val="Microsoft YaHei UI"/>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华文仿宋">
    <w:altName w:val="Microsoft YaHei UI"/>
    <w:panose1 w:val="00000000000000000000"/>
    <w:charset w:val="00"/>
    <w:family w:val="auto"/>
    <w:pitch w:val="default"/>
    <w:sig w:usb0="00000000" w:usb1="00000000" w:usb2="00000000" w:usb3="00000000" w:csb0="00000000" w:csb1="00000000"/>
  </w:font>
  <w:font w:name="Arial Narrow">
    <w:altName w:val="Trebuchet MS"/>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T Extra">
    <w:panose1 w:val="05050102010205020202"/>
    <w:charset w:val="00"/>
    <w:family w:val="auto"/>
    <w:pitch w:val="default"/>
    <w:sig w:usb0="80000000" w:usb1="00000000" w:usb2="00000000" w:usb3="00000000" w:csb0="00000000" w:csb1="00000000"/>
  </w:font>
  <w:font w:name="华文楷体">
    <w:altName w:val="Microsoft YaHei UI"/>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line="240" w:lineRule="auto"/>
      <w:ind w:left="840" w:leftChars="300" w:right="-14" w:rightChars="-5" w:firstLine="0" w:firstLineChars="0"/>
      <w:rPr>
        <w:rFonts w:hint="eastAsia" w:ascii="华文楷体" w:eastAsia="华文楷体"/>
        <w:bCs/>
        <w:sz w:val="22"/>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0"/>
      </w:pBdr>
      <w:spacing w:line="240" w:lineRule="auto"/>
      <w:ind w:right="-14" w:rightChars="-5" w:firstLine="630" w:firstLineChars="300"/>
      <w:rPr>
        <w:rFonts w:ascii="Arial" w:hAnsi="Arial" w:eastAsia="Arial"/>
        <w:bCs/>
        <w:sz w:val="21"/>
        <w:szCs w:val="21"/>
      </w:rPr>
    </w:pPr>
    <w:r>
      <w:rPr>
        <w:rFonts w:ascii="Arial" w:hAnsi="Arial" w:eastAsia="Arial"/>
        <w:sz w:val="21"/>
        <w:szCs w:val="21"/>
        <w:lang w:val="en-US" w:eastAsia="zh-CN"/>
      </w:rPr>
      <w:drawing>
        <wp:anchor distT="0" distB="0" distL="142875" distR="142875" simplePos="0" relativeHeight="251659264" behindDoc="0" locked="0" layoutInCell="1" allowOverlap="1">
          <wp:simplePos x="0" y="0"/>
          <wp:positionH relativeFrom="column">
            <wp:posOffset>-23495</wp:posOffset>
          </wp:positionH>
          <wp:positionV relativeFrom="paragraph">
            <wp:posOffset>17145</wp:posOffset>
          </wp:positionV>
          <wp:extent cx="395605" cy="326390"/>
          <wp:effectExtent l="0" t="0" r="0" b="0"/>
          <wp:wrapSquare wrapText="bothSides"/>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395605" cy="326390"/>
                  </a:xfrm>
                  <a:prstGeom prst="rect">
                    <a:avLst/>
                  </a:prstGeom>
                  <a:noFill/>
                  <a:ln w="9525" cap="flat" cmpd="sng">
                    <a:noFill/>
                    <a:prstDash val="solid"/>
                    <a:miter/>
                  </a:ln>
                </pic:spPr>
              </pic:pic>
            </a:graphicData>
          </a:graphic>
        </wp:anchor>
      </w:drawing>
    </w:r>
    <w:r>
      <w:rPr>
        <w:rFonts w:hint="eastAsia" w:ascii="Arial" w:hAnsi="Arial" w:eastAsia="Arial"/>
        <w:sz w:val="21"/>
        <w:szCs w:val="21"/>
        <w:lang w:val="en-US" w:eastAsia="zh-CN"/>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0</wp:posOffset>
              </wp:positionV>
              <wp:extent cx="5686425" cy="0"/>
              <wp:effectExtent l="0" t="0" r="0" b="0"/>
              <wp:wrapNone/>
              <wp:docPr id="4" name="直线 4"/>
              <wp:cNvGraphicFramePr/>
              <a:graphic xmlns:a="http://schemas.openxmlformats.org/drawingml/2006/main">
                <a:graphicData uri="http://schemas.microsoft.com/office/word/2010/wordprocessingShape">
                  <wps:wsp>
                    <wps:cNvCnPr/>
                    <wps:spPr>
                      <a:xfrm>
                        <a:off x="0" y="0"/>
                        <a:ext cx="568642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4" o:spid="_x0000_s1026" o:spt="20" style="position:absolute;left:0pt;margin-left:0pt;margin-top:0pt;height:0pt;width:447.75pt;z-index:251659264;mso-width-relative:page;mso-height-relative:page;" filled="f" stroked="t" coordsize="21600,21600" o:gfxdata="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1DNUe0wAAAAIBAAAPAAAAAAAAAAEAIAAA&#10;ACIAAABkcnMvZG93bnJldi54bWxQSwECFAAUAAAACACHTuJAXK5VkhECAAAdBAAADgAAAAAAAAAB&#10;ACAAAAAiAQAAZHJzL2Uyb0RvYy54bWxQSwUGAAAAAAYABgBZAQAApQUAAAAA&#10;">
              <v:fill on="f" focussize="0,0"/>
              <v:stroke color="#000000" joinstyle="miter"/>
              <v:imagedata o:title=""/>
              <o:lock v:ext="edit" aspectratio="f"/>
            </v:line>
          </w:pict>
        </mc:Fallback>
      </mc:AlternateContent>
    </w:r>
    <w:r>
      <w:rPr>
        <w:rFonts w:hint="eastAsia" w:ascii="Arial" w:hAnsi="Arial" w:eastAsia="Arial" w:cs="MT Extra"/>
        <w:sz w:val="21"/>
        <w:szCs w:val="21"/>
        <w:lang w:bidi="ar-SA"/>
      </w:rPr>
      <w:t>海南瑞衡土地房地产</w:t>
    </w:r>
    <w:r>
      <w:rPr>
        <w:rFonts w:ascii="Arial" w:hAnsi="Arial" w:eastAsia="Arial" w:cs="MT Extra"/>
        <w:sz w:val="21"/>
        <w:szCs w:val="21"/>
        <w:lang w:bidi="ar-SA"/>
      </w:rPr>
      <w:t>估价有限责任公司</w:t>
    </w:r>
    <w:r>
      <w:rPr>
        <w:rFonts w:hint="eastAsia" w:ascii="Arial" w:hAnsi="Arial" w:eastAsia="Arial" w:cs="MT Extra"/>
        <w:sz w:val="21"/>
        <w:szCs w:val="21"/>
        <w:lang w:bidi="ar-SA"/>
      </w:rPr>
      <w:t xml:space="preserve">     </w:t>
    </w:r>
    <w:r>
      <w:rPr>
        <w:rFonts w:hint="eastAsia" w:ascii="Arial" w:hAnsi="Arial" w:eastAsia="Arial"/>
        <w:bCs/>
        <w:sz w:val="21"/>
        <w:szCs w:val="21"/>
      </w:rPr>
      <w:t>地址：海南省海口市国贸大道48号新达商务</w:t>
    </w:r>
  </w:p>
  <w:p>
    <w:pPr>
      <w:pStyle w:val="17"/>
      <w:pBdr>
        <w:top w:val="single" w:color="auto" w:sz="4" w:space="0"/>
      </w:pBdr>
      <w:spacing w:line="240" w:lineRule="auto"/>
      <w:ind w:right="-14" w:rightChars="-5" w:firstLine="630" w:firstLineChars="300"/>
      <w:rPr>
        <w:rFonts w:ascii="Arial" w:hAnsi="Arial" w:eastAsia="Arial"/>
        <w:bCs/>
        <w:sz w:val="21"/>
        <w:szCs w:val="21"/>
      </w:rPr>
    </w:pPr>
    <w:r>
      <w:rPr>
        <w:rFonts w:hint="eastAsia" w:ascii="Arial" w:hAnsi="Arial" w:eastAsia="Arial"/>
        <w:bCs/>
        <w:sz w:val="21"/>
        <w:szCs w:val="21"/>
      </w:rPr>
      <w:t>大厦807-808室    电话：68540528、68535553</w:t>
    </w:r>
    <w:r>
      <w:rPr>
        <w:rFonts w:ascii="Arial" w:hAnsi="Arial" w:eastAsia="Arial"/>
        <w:bCs/>
        <w:sz w:val="21"/>
        <w:szCs w:val="21"/>
      </w:rPr>
      <w:t xml:space="preserve">   </w:t>
    </w:r>
    <w:r>
      <w:rPr>
        <w:rFonts w:hint="eastAsia" w:ascii="Arial" w:hAnsi="Arial" w:eastAsia="Arial"/>
        <w:bCs/>
        <w:sz w:val="21"/>
        <w:szCs w:val="21"/>
      </w:rPr>
      <w:t xml:space="preserve">邮箱：rhpgzx@163.com  </w:t>
    </w:r>
    <w:r>
      <w:rPr>
        <w:rFonts w:ascii="Arial" w:hAnsi="Arial" w:eastAsia="Arial"/>
        <w:bCs/>
        <w:sz w:val="21"/>
        <w:szCs w:val="21"/>
      </w:rPr>
      <w:t xml:space="preserve">       </w:t>
    </w:r>
    <w:r>
      <w:rPr>
        <w:rFonts w:hint="eastAsia" w:ascii="Arial" w:hAnsi="Arial" w:eastAsia="Arial"/>
        <w:sz w:val="21"/>
        <w:szCs w:val="21"/>
      </w:rPr>
      <w:t>第</w:t>
    </w:r>
    <w:r>
      <w:rPr>
        <w:rFonts w:hint="eastAsia" w:ascii="Arial" w:hAnsi="Arial" w:eastAsia="Arial"/>
        <w:sz w:val="21"/>
        <w:szCs w:val="21"/>
      </w:rPr>
      <w:fldChar w:fldCharType="begin"/>
    </w:r>
    <w:r>
      <w:rPr>
        <w:rFonts w:hint="eastAsia" w:ascii="Arial" w:hAnsi="Arial" w:eastAsia="Arial"/>
        <w:sz w:val="21"/>
        <w:szCs w:val="21"/>
      </w:rPr>
      <w:instrText xml:space="preserve">Page</w:instrText>
    </w:r>
    <w:r>
      <w:rPr>
        <w:rFonts w:hint="eastAsia" w:ascii="Arial" w:hAnsi="Arial" w:eastAsia="Arial"/>
        <w:sz w:val="21"/>
        <w:szCs w:val="21"/>
      </w:rPr>
      <w:fldChar w:fldCharType="separate"/>
    </w:r>
    <w:r>
      <w:rPr>
        <w:rFonts w:ascii="Arial" w:hAnsi="Arial" w:eastAsia="Arial"/>
        <w:sz w:val="21"/>
        <w:szCs w:val="21"/>
      </w:rPr>
      <w:t>1</w:t>
    </w:r>
    <w:r>
      <w:rPr>
        <w:rFonts w:hint="eastAsia" w:ascii="Arial" w:hAnsi="Arial" w:eastAsia="Arial"/>
        <w:sz w:val="21"/>
        <w:szCs w:val="21"/>
      </w:rPr>
      <w:fldChar w:fldCharType="end"/>
    </w:r>
    <w:r>
      <w:rPr>
        <w:rFonts w:ascii="Arial" w:hAnsi="Arial" w:eastAsia="Arial"/>
        <w:sz w:val="21"/>
        <w:szCs w:val="21"/>
      </w:rPr>
      <w:t xml:space="preserve"> </w:t>
    </w:r>
    <w:r>
      <w:rPr>
        <w:rStyle w:val="25"/>
        <w:rFonts w:hint="eastAsia" w:ascii="Arial" w:hAnsi="Arial" w:eastAsia="Arial"/>
        <w:sz w:val="21"/>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keepNext w:val="0"/>
      <w:keepLines w:val="0"/>
      <w:pageBreakBefore w:val="0"/>
      <w:widowControl w:val="0"/>
      <w:suppressLineNumbers w:val="0"/>
      <w:pBdr>
        <w:top w:val="single" w:color="auto" w:sz="4" w:space="1"/>
      </w:pBdr>
      <w:suppressAutoHyphens w:val="0"/>
      <w:kinsoku/>
      <w:wordWrap/>
      <w:overflowPunct/>
      <w:topLinePunct w:val="0"/>
      <w:autoSpaceDE/>
      <w:autoSpaceDN/>
      <w:adjustRightInd/>
      <w:snapToGrid w:val="0"/>
      <w:spacing w:line="240" w:lineRule="auto"/>
      <w:ind w:left="1055" w:leftChars="341" w:right="-14" w:rightChars="-5" w:hanging="100" w:hangingChars="50"/>
      <w:contextualSpacing w:val="0"/>
      <w:rPr>
        <w:rFonts w:hint="eastAsia" w:ascii="黑体" w:eastAsia="黑体" w:cs="仿宋"/>
        <w:vanish w:val="0"/>
        <w:kern w:val="2"/>
        <w:sz w:val="18"/>
        <w:szCs w:val="18"/>
      </w:rPr>
    </w:pPr>
    <w:r>
      <w:rPr>
        <w:rFonts w:ascii="楷体" w:eastAsia="楷体" w:cs="MT Extra"/>
        <w:spacing w:val="-10"/>
        <w:kern w:val="2"/>
        <w:sz w:val="22"/>
        <w:szCs w:val="22"/>
      </w:rPr>
      <w:drawing>
        <wp:anchor distT="0" distB="0" distL="85090" distR="85090" simplePos="0" relativeHeight="251659264" behindDoc="0" locked="0" layoutInCell="1" allowOverlap="1">
          <wp:simplePos x="0" y="0"/>
          <wp:positionH relativeFrom="column">
            <wp:posOffset>0</wp:posOffset>
          </wp:positionH>
          <wp:positionV relativeFrom="paragraph">
            <wp:posOffset>45720</wp:posOffset>
          </wp:positionV>
          <wp:extent cx="431800" cy="306070"/>
          <wp:effectExtent l="0" t="0" r="0" b="0"/>
          <wp:wrapThrough wrapText="bothSides">
            <wp:wrapPolygon>
              <wp:start x="-248" y="-136"/>
              <wp:lineTo x="-248" y="21463"/>
              <wp:lineTo x="21351" y="21463"/>
              <wp:lineTo x="21351" y="-136"/>
              <wp:lineTo x="-248" y="-136"/>
            </wp:wrapPolygon>
          </wp:wrapThrough>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
                  <a:stretch>
                    <a:fillRect/>
                  </a:stretch>
                </pic:blipFill>
                <pic:spPr>
                  <a:xfrm>
                    <a:off x="0" y="0"/>
                    <a:ext cx="431952" cy="306033"/>
                  </a:xfrm>
                  <a:prstGeom prst="rect">
                    <a:avLst/>
                  </a:prstGeom>
                  <a:noFill/>
                  <a:ln w="9525" cap="flat" cmpd="sng">
                    <a:noFill/>
                    <a:prstDash val="solid"/>
                    <a:miter/>
                  </a:ln>
                </pic:spPr>
              </pic:pic>
            </a:graphicData>
          </a:graphic>
        </wp:anchor>
      </w:drawing>
    </w:r>
    <w:r>
      <w:rPr>
        <w:rFonts w:hint="eastAsia" w:ascii="楷体" w:eastAsia="楷体"/>
        <w:sz w:val="22"/>
        <w:szCs w:val="21"/>
        <w:lang w:val="en-US" w:eastAsia="zh-CN"/>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-8890</wp:posOffset>
              </wp:positionV>
              <wp:extent cx="5687695" cy="0"/>
              <wp:effectExtent l="0" t="0" r="0" b="0"/>
              <wp:wrapNone/>
              <wp:docPr id="11" name="直线 11"/>
              <wp:cNvGraphicFramePr/>
              <a:graphic xmlns:a="http://schemas.openxmlformats.org/drawingml/2006/main">
                <a:graphicData uri="http://schemas.microsoft.com/office/word/2010/wordprocessingShape">
                  <wps:wsp>
                    <wps:cNvCnPr/>
                    <wps:spPr>
                      <a:xfrm>
                        <a:off x="0" y="0"/>
                        <a:ext cx="5687695" cy="0"/>
                      </a:xfrm>
                      <a:prstGeom prst="line">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1" o:spid="_x0000_s1026" o:spt="20" style="position:absolute;left:0pt;margin-left:0pt;margin-top:-0.7pt;height:0pt;width:447.85pt;z-index:251659264;mso-width-relative:page;mso-height-relative:page;" filled="f" stroked="t" coordsize="21600,21600" o:gfxdata="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uWSL/XAAAABgEAAA8AAAAA&#10;AAAAAQAgAAAAIgAAAGRycy9kb3ducmV2LnhtbFBLAQIUABQAAAAIAIdO4kC8x3QZFQIAACAEAAAO&#10;AAAAAAAAAAEAIAAAACYBAABkcnMvZTJvRG9jLnhtbFBLBQYAAAAABgAGAFkBAACtBQAAAAA=&#10;">
              <v:fill on="f" focussize="0,0"/>
              <v:stroke weight="1pt" color="#000000" joinstyle="miter"/>
              <v:imagedata o:title=""/>
              <o:lock v:ext="edit" aspectratio="f"/>
            </v:line>
          </w:pict>
        </mc:Fallback>
      </mc:AlternateContent>
    </w:r>
    <w:r>
      <w:rPr>
        <w:rFonts w:hint="eastAsia" w:ascii="黑体" w:eastAsia="黑体" w:cs="仿宋"/>
        <w:vanish w:val="0"/>
        <w:kern w:val="2"/>
        <w:sz w:val="18"/>
        <w:szCs w:val="18"/>
      </w:rPr>
      <w:t>海南瑞寰土地房地产</w:t>
    </w:r>
    <w:r>
      <w:rPr>
        <w:rFonts w:ascii="黑体" w:eastAsia="黑体" w:cs="仿宋"/>
        <w:vanish w:val="0"/>
        <w:kern w:val="2"/>
        <w:sz w:val="18"/>
        <w:szCs w:val="18"/>
      </w:rPr>
      <w:t>资产评估</w:t>
    </w:r>
    <w:r>
      <w:rPr>
        <w:rFonts w:hint="eastAsia" w:ascii="黑体" w:eastAsia="黑体" w:cs="仿宋"/>
        <w:vanish w:val="0"/>
        <w:kern w:val="2"/>
        <w:sz w:val="18"/>
        <w:szCs w:val="18"/>
      </w:rPr>
      <w:t>咨询有限公司  地址：海南省海口市国贸大道48号新达商务大厦807室</w:t>
    </w:r>
    <w:r>
      <w:rPr>
        <w:rFonts w:ascii="黑体" w:eastAsia="黑体" w:cs="仿宋"/>
        <w:vanish w:val="0"/>
        <w:kern w:val="2"/>
        <w:sz w:val="18"/>
        <w:szCs w:val="18"/>
      </w:rPr>
      <w:t xml:space="preserve"> </w:t>
    </w:r>
  </w:p>
  <w:p>
    <w:pPr>
      <w:spacing w:line="240" w:lineRule="auto"/>
      <w:ind w:left="0" w:firstLine="990" w:firstLineChars="550"/>
    </w:pPr>
    <w:r>
      <w:rPr>
        <w:rFonts w:hint="eastAsia" w:ascii="黑体" w:eastAsia="黑体" w:cs="仿宋"/>
        <w:kern w:val="2"/>
        <w:sz w:val="18"/>
        <w:szCs w:val="18"/>
      </w:rPr>
      <w:t>电话：0898-68536263、68597591  传真：0898-68521239  邮箱：332731249@qq.com</w:t>
    </w:r>
    <w:r>
      <w:rPr>
        <w:rFonts w:ascii="楷体" w:eastAsia="楷体"/>
        <w:bCs/>
        <w:sz w:val="22"/>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line="240" w:lineRule="exact"/>
      <w:ind w:left="3" w:leftChars="1" w:right="-14" w:rightChars="-5" w:firstLine="720" w:firstLineChars="400"/>
      <w:jc w:val="both"/>
      <w:rPr>
        <w:rFonts w:ascii="华文仿宋" w:hAnsi="华文仿宋"/>
        <w:bCs/>
        <w:spacing w:val="-10"/>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0"/>
      </w:pBdr>
      <w:adjustRightInd w:val="0"/>
      <w:spacing w:line="240" w:lineRule="auto"/>
      <w:ind w:left="700" w:leftChars="250" w:firstLine="0" w:firstLineChars="0"/>
      <w:rPr>
        <w:rFonts w:ascii="楷体" w:eastAsia="楷体"/>
        <w:spacing w:val="-10"/>
        <w:kern w:val="2"/>
        <w:sz w:val="22"/>
        <w:szCs w:val="22"/>
      </w:rPr>
    </w:pPr>
    <w:r>
      <w:rPr>
        <w:rFonts w:ascii="楷体" w:eastAsia="楷体" w:cs="MT Extra"/>
        <w:spacing w:val="-10"/>
        <w:kern w:val="2"/>
        <w:sz w:val="22"/>
        <w:szCs w:val="22"/>
      </w:rPr>
      <w:drawing>
        <wp:anchor distT="0" distB="0" distL="85090" distR="85090" simplePos="0" relativeHeight="251659264" behindDoc="0" locked="0" layoutInCell="1" allowOverlap="1">
          <wp:simplePos x="0" y="0"/>
          <wp:positionH relativeFrom="column">
            <wp:posOffset>0</wp:posOffset>
          </wp:positionH>
          <wp:positionV relativeFrom="paragraph">
            <wp:posOffset>63500</wp:posOffset>
          </wp:positionV>
          <wp:extent cx="361950" cy="371475"/>
          <wp:effectExtent l="0" t="0" r="0" b="0"/>
          <wp:wrapTight wrapText="bothSides">
            <wp:wrapPolygon>
              <wp:start x="-10" y="-282"/>
              <wp:lineTo x="-10" y="21317"/>
              <wp:lineTo x="21589" y="21317"/>
              <wp:lineTo x="21589" y="-282"/>
              <wp:lineTo x="-10" y="-282"/>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
                  <a:stretch>
                    <a:fillRect/>
                  </a:stretch>
                </pic:blipFill>
                <pic:spPr>
                  <a:xfrm>
                    <a:off x="0" y="0"/>
                    <a:ext cx="361944" cy="371469"/>
                  </a:xfrm>
                  <a:prstGeom prst="rect">
                    <a:avLst/>
                  </a:prstGeom>
                  <a:noFill/>
                  <a:ln w="9525" cap="flat" cmpd="sng">
                    <a:noFill/>
                    <a:prstDash val="solid"/>
                    <a:miter/>
                  </a:ln>
                </pic:spPr>
              </pic:pic>
            </a:graphicData>
          </a:graphic>
        </wp:anchor>
      </w:drawing>
    </w:r>
    <w:r>
      <w:rPr>
        <w:rFonts w:hint="eastAsia" w:ascii="楷体" w:eastAsia="楷体"/>
        <w:spacing w:val="-10"/>
        <w:sz w:val="22"/>
        <w:szCs w:val="22"/>
        <w:lang w:val="en-US" w:eastAsia="zh-CN"/>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0</wp:posOffset>
              </wp:positionV>
              <wp:extent cx="5686425" cy="0"/>
              <wp:effectExtent l="0" t="0" r="0" b="0"/>
              <wp:wrapNone/>
              <wp:docPr id="18" name="直线 18"/>
              <wp:cNvGraphicFramePr/>
              <a:graphic xmlns:a="http://schemas.openxmlformats.org/drawingml/2006/main">
                <a:graphicData uri="http://schemas.microsoft.com/office/word/2010/wordprocessingShape">
                  <wps:wsp>
                    <wps:cNvCnPr/>
                    <wps:spPr>
                      <a:xfrm>
                        <a:off x="0" y="0"/>
                        <a:ext cx="568642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18" o:spid="_x0000_s1026" o:spt="20" style="position:absolute;left:0pt;margin-left:0pt;margin-top:0pt;height:0pt;width:447.75pt;z-index:251659264;mso-width-relative:page;mso-height-relative:page;" filled="f" stroked="t" coordsize="21600,21600" o:gfxdata="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QzVHtMAAAACAQAADwAAAAAAAAABACAA&#10;AAAiAAAAZHJzL2Rvd25yZXYueG1sUEsBAhQAFAAAAAgAh07iQGaZPX4SAgAAHwQAAA4AAAAAAAAA&#10;AQAgAAAAIgEAAGRycy9lMm9Eb2MueG1sUEsFBgAAAAAGAAYAWQEAAKYFAAAAAA==&#10;">
              <v:fill on="f" focussize="0,0"/>
              <v:stroke color="#000000" joinstyle="miter"/>
              <v:imagedata o:title=""/>
              <o:lock v:ext="edit" aspectratio="f"/>
            </v:line>
          </w:pict>
        </mc:Fallback>
      </mc:AlternateContent>
    </w:r>
    <w:r>
      <w:rPr>
        <w:rFonts w:hint="eastAsia" w:ascii="黑体" w:eastAsia="黑体" w:cs="仿宋"/>
        <w:vanish w:val="0"/>
        <w:kern w:val="2"/>
        <w:sz w:val="18"/>
        <w:szCs w:val="18"/>
      </w:rPr>
      <w:t>海南瑞寰土地房地产</w:t>
    </w:r>
    <w:r>
      <w:rPr>
        <w:rFonts w:ascii="黑体" w:eastAsia="黑体" w:cs="仿宋"/>
        <w:vanish w:val="0"/>
        <w:kern w:val="2"/>
        <w:sz w:val="18"/>
        <w:szCs w:val="18"/>
      </w:rPr>
      <w:t>资产评估</w:t>
    </w:r>
    <w:r>
      <w:rPr>
        <w:rFonts w:hint="eastAsia" w:ascii="黑体" w:eastAsia="黑体" w:cs="仿宋"/>
        <w:vanish w:val="0"/>
        <w:kern w:val="2"/>
        <w:sz w:val="18"/>
        <w:szCs w:val="18"/>
      </w:rPr>
      <w:t>咨询有限公司  地址：海南省海口市国贸大道48号新达商务大厦807室</w:t>
    </w:r>
    <w:r>
      <w:rPr>
        <w:rFonts w:hint="eastAsia" w:ascii="楷体" w:eastAsia="楷体"/>
        <w:spacing w:val="-10"/>
        <w:kern w:val="2"/>
        <w:sz w:val="22"/>
        <w:szCs w:val="22"/>
      </w:rPr>
      <w:t xml:space="preserve">   </w:t>
    </w:r>
  </w:p>
  <w:p>
    <w:pPr>
      <w:pStyle w:val="17"/>
      <w:pBdr>
        <w:top w:val="single" w:color="auto" w:sz="4" w:space="0"/>
      </w:pBdr>
      <w:adjustRightInd w:val="0"/>
      <w:spacing w:line="240" w:lineRule="auto"/>
      <w:ind w:left="700" w:leftChars="250" w:firstLine="0" w:firstLineChars="0"/>
      <w:rPr>
        <w:rFonts w:hint="eastAsia" w:ascii="楷体" w:eastAsia="楷体"/>
        <w:bCs/>
        <w:spacing w:val="-10"/>
        <w:sz w:val="22"/>
        <w:szCs w:val="22"/>
      </w:rPr>
    </w:pPr>
    <w:r>
      <w:rPr>
        <w:rFonts w:hint="eastAsia" w:ascii="黑体" w:eastAsia="黑体" w:cs="仿宋"/>
        <w:kern w:val="2"/>
        <w:sz w:val="18"/>
        <w:szCs w:val="18"/>
      </w:rPr>
      <w:t>电话：0898-68536263、68597591  传真：0898-68521239  邮箱：332731</w:t>
    </w:r>
    <w:r>
      <w:rPr>
        <w:rFonts w:ascii="黑体" w:eastAsia="黑体" w:cs="仿宋"/>
        <w:kern w:val="2"/>
        <w:sz w:val="18"/>
        <w:szCs w:val="18"/>
      </w:rPr>
      <w:t>9</w:t>
    </w:r>
    <w:r>
      <w:rPr>
        <w:rFonts w:hint="eastAsia" w:ascii="黑体" w:eastAsia="黑体" w:cs="仿宋"/>
        <w:kern w:val="2"/>
        <w:sz w:val="18"/>
        <w:szCs w:val="18"/>
      </w:rPr>
      <w:t>249@qq.com</w:t>
    </w:r>
    <w:r>
      <w:rPr>
        <w:rFonts w:hint="eastAsia" w:ascii="楷体" w:eastAsia="楷体"/>
        <w:bCs/>
        <w:spacing w:val="-10"/>
        <w:sz w:val="22"/>
        <w:szCs w:val="22"/>
      </w:rPr>
      <w:t xml:space="preserve">   </w:t>
    </w:r>
    <w:r>
      <w:rPr>
        <w:rFonts w:ascii="楷体" w:eastAsia="楷体"/>
        <w:bCs/>
        <w:spacing w:val="-10"/>
        <w:sz w:val="22"/>
        <w:szCs w:val="22"/>
      </w:rPr>
      <w:t xml:space="preserve">     </w:t>
    </w:r>
    <w:r>
      <w:rPr>
        <w:rFonts w:hint="eastAsia" w:ascii="楷体" w:eastAsia="楷体"/>
        <w:spacing w:val="-10"/>
        <w:sz w:val="22"/>
        <w:szCs w:val="22"/>
      </w:rPr>
      <w:t>第</w:t>
    </w:r>
    <w:r>
      <w:rPr>
        <w:rFonts w:hint="eastAsia" w:ascii="楷体" w:eastAsia="楷体"/>
        <w:spacing w:val="-10"/>
        <w:sz w:val="22"/>
        <w:szCs w:val="22"/>
      </w:rPr>
      <w:fldChar w:fldCharType="begin"/>
    </w:r>
    <w:r>
      <w:rPr>
        <w:rFonts w:hint="eastAsia" w:ascii="楷体" w:eastAsia="楷体"/>
        <w:spacing w:val="-10"/>
        <w:sz w:val="22"/>
        <w:szCs w:val="22"/>
      </w:rPr>
      <w:instrText xml:space="preserve">Page</w:instrText>
    </w:r>
    <w:r>
      <w:rPr>
        <w:rFonts w:hint="eastAsia" w:ascii="楷体" w:eastAsia="楷体"/>
        <w:spacing w:val="-10"/>
        <w:sz w:val="22"/>
        <w:szCs w:val="22"/>
      </w:rPr>
      <w:fldChar w:fldCharType="separate"/>
    </w:r>
    <w:r>
      <w:rPr>
        <w:rFonts w:hint="eastAsia" w:ascii="楷体" w:eastAsia="楷体"/>
        <w:spacing w:val="-10"/>
        <w:sz w:val="22"/>
        <w:szCs w:val="22"/>
      </w:rPr>
      <w:t>2</w:t>
    </w:r>
    <w:r>
      <w:rPr>
        <w:rFonts w:hint="eastAsia" w:ascii="楷体" w:eastAsia="楷体"/>
        <w:spacing w:val="-10"/>
        <w:sz w:val="22"/>
        <w:szCs w:val="22"/>
      </w:rPr>
      <w:fldChar w:fldCharType="end"/>
    </w:r>
    <w:r>
      <w:rPr>
        <w:rStyle w:val="25"/>
        <w:rFonts w:hint="eastAsia" w:ascii="楷体" w:eastAsia="楷体"/>
        <w:spacing w:val="-10"/>
        <w:sz w:val="22"/>
        <w:szCs w:val="22"/>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0"/>
      </w:pBdr>
      <w:spacing w:line="460" w:lineRule="exact"/>
      <w:ind w:right="-14" w:rightChars="-5" w:firstLine="720" w:firstLineChars="400"/>
      <w:rPr>
        <w:rFonts w:ascii="华文仿宋" w:hAnsi="华文仿宋"/>
        <w:bCs/>
        <w:spacing w:val="-10"/>
        <w:sz w:val="20"/>
      </w:rPr>
    </w:pPr>
    <w:r>
      <w:rPr>
        <w:spacing w:val="-10"/>
        <w:sz w:val="20"/>
        <w:lang w:val="en-US" w:eastAsia="zh-CN"/>
      </w:rPr>
      <w:drawing>
        <wp:anchor distT="0" distB="0" distL="142875" distR="142875" simplePos="0" relativeHeight="251659264" behindDoc="0" locked="0" layoutInCell="1" allowOverlap="1">
          <wp:simplePos x="0" y="0"/>
          <wp:positionH relativeFrom="column">
            <wp:posOffset>18415</wp:posOffset>
          </wp:positionH>
          <wp:positionV relativeFrom="paragraph">
            <wp:posOffset>109220</wp:posOffset>
          </wp:positionV>
          <wp:extent cx="371475" cy="304165"/>
          <wp:effectExtent l="0" t="0" r="0" b="0"/>
          <wp:wrapNone/>
          <wp:docPr id="20" name="图片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logo"/>
                  <pic:cNvPicPr>
                    <a:picLocks noChangeAspect="1"/>
                  </pic:cNvPicPr>
                </pic:nvPicPr>
                <pic:blipFill>
                  <a:blip r:embed="rId1"/>
                  <a:stretch>
                    <a:fillRect/>
                  </a:stretch>
                </pic:blipFill>
                <pic:spPr>
                  <a:xfrm>
                    <a:off x="0" y="0"/>
                    <a:ext cx="371475" cy="304165"/>
                  </a:xfrm>
                  <a:prstGeom prst="rect">
                    <a:avLst/>
                  </a:prstGeom>
                  <a:noFill/>
                  <a:ln w="9525" cap="flat" cmpd="sng">
                    <a:noFill/>
                    <a:prstDash val="solid"/>
                    <a:miter/>
                  </a:ln>
                </pic:spPr>
              </pic:pic>
            </a:graphicData>
          </a:graphic>
        </wp:anchor>
      </w:drawing>
    </w:r>
    <w:r>
      <w:rPr>
        <w:rFonts w:hint="eastAsia"/>
        <w:spacing w:val="-10"/>
        <w:sz w:val="20"/>
        <w:lang w:val="en-US" w:eastAsia="zh-CN"/>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0</wp:posOffset>
              </wp:positionV>
              <wp:extent cx="5686425" cy="0"/>
              <wp:effectExtent l="0" t="0" r="0" b="0"/>
              <wp:wrapNone/>
              <wp:docPr id="23" name="直线 23"/>
              <wp:cNvGraphicFramePr/>
              <a:graphic xmlns:a="http://schemas.openxmlformats.org/drawingml/2006/main">
                <a:graphicData uri="http://schemas.microsoft.com/office/word/2010/wordprocessingShape">
                  <wps:wsp>
                    <wps:cNvCnPr/>
                    <wps:spPr>
                      <a:xfrm>
                        <a:off x="0" y="0"/>
                        <a:ext cx="5686425"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3" o:spid="_x0000_s1026" o:spt="20" style="position:absolute;left:0pt;margin-left:0pt;margin-top:0pt;height:0pt;width:447.75pt;z-index:251659264;mso-width-relative:page;mso-height-relative:page;" filled="f" stroked="t" coordsize="21600,21600" o:gfxdata="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UM1R7TAAAAAgEAAA8AAAAAAAAAAQAg&#10;AAAAIgAAAGRycy9kb3ducmV2LnhtbFBLAQIUABQAAAAIAIdO4kAzBQHzEwIAAB8EAAAOAAAAAAAA&#10;AAEAIAAAACIBAABkcnMvZTJvRG9jLnhtbFBLBQYAAAAABgAGAFkBAACnBQAAAAA=&#10;">
              <v:fill on="f" focussize="0,0"/>
              <v:stroke color="#000000" joinstyle="miter"/>
              <v:imagedata o:title=""/>
              <o:lock v:ext="edit" aspectratio="f"/>
            </v:line>
          </w:pict>
        </mc:Fallback>
      </mc:AlternateContent>
    </w:r>
    <w:r>
      <w:rPr>
        <w:rFonts w:hint="eastAsia" w:ascii="华文仿宋" w:hAnsi="华文仿宋" w:cs="MT Extra"/>
        <w:spacing w:val="-10"/>
        <w:sz w:val="20"/>
        <w:lang w:bidi="ar-SA"/>
      </w:rPr>
      <w:t>海南瑞衡土地房地产</w:t>
    </w:r>
    <w:r>
      <w:rPr>
        <w:rFonts w:ascii="华文仿宋" w:hAnsi="华文仿宋" w:cs="MT Extra"/>
        <w:spacing w:val="-10"/>
        <w:sz w:val="20"/>
        <w:lang w:bidi="ar-SA"/>
      </w:rPr>
      <w:t>估价有限责任公司</w:t>
    </w:r>
    <w:r>
      <w:rPr>
        <w:rFonts w:hint="eastAsia" w:ascii="华文仿宋" w:hAnsi="华文仿宋" w:cs="MT Extra"/>
        <w:spacing w:val="-10"/>
        <w:sz w:val="20"/>
        <w:lang w:bidi="ar-SA"/>
      </w:rPr>
      <w:t xml:space="preserve">     </w:t>
    </w:r>
    <w:r>
      <w:rPr>
        <w:rFonts w:hint="eastAsia" w:ascii="华文仿宋" w:hAnsi="华文仿宋"/>
        <w:bCs/>
        <w:spacing w:val="-10"/>
        <w:sz w:val="20"/>
      </w:rPr>
      <w:t>地址：海南省海口市国贸大道48号新达商务大厦807-808室</w:t>
    </w:r>
  </w:p>
  <w:p>
    <w:pPr>
      <w:pStyle w:val="17"/>
      <w:spacing w:line="240" w:lineRule="exact"/>
      <w:ind w:left="3" w:leftChars="1" w:right="-14" w:rightChars="-5" w:firstLine="720" w:firstLineChars="400"/>
      <w:jc w:val="both"/>
      <w:rPr>
        <w:rFonts w:ascii="华文仿宋" w:hAnsi="华文仿宋"/>
        <w:bCs/>
        <w:spacing w:val="-10"/>
        <w:sz w:val="20"/>
      </w:rPr>
    </w:pPr>
    <w:r>
      <w:rPr>
        <w:rFonts w:hint="eastAsia" w:ascii="华文仿宋" w:hAnsi="华文仿宋"/>
        <w:bCs/>
        <w:spacing w:val="-10"/>
        <w:sz w:val="20"/>
      </w:rPr>
      <w:t xml:space="preserve">电话：68540528、68535553、68536263 </w:t>
    </w:r>
    <w:r>
      <w:rPr>
        <w:rFonts w:ascii="华文仿宋" w:hAnsi="华文仿宋"/>
        <w:bCs/>
        <w:spacing w:val="-10"/>
        <w:sz w:val="20"/>
      </w:rPr>
      <w:t xml:space="preserve">        </w:t>
    </w:r>
    <w:r>
      <w:rPr>
        <w:rFonts w:hint="eastAsia" w:ascii="华文仿宋" w:hAnsi="华文仿宋"/>
        <w:bCs/>
        <w:spacing w:val="-10"/>
        <w:sz w:val="20"/>
      </w:rPr>
      <w:t xml:space="preserve">邮箱：rhpgzx@163.com     </w:t>
    </w:r>
    <w:r>
      <w:rPr>
        <w:rFonts w:ascii="华文仿宋" w:hAnsi="华文仿宋"/>
        <w:bCs/>
        <w:spacing w:val="-10"/>
        <w:sz w:val="20"/>
      </w:rPr>
      <w:t xml:space="preserve">               </w:t>
    </w:r>
    <w:r>
      <w:rPr>
        <w:rFonts w:hint="eastAsia" w:ascii="华文仿宋" w:hAnsi="华文仿宋"/>
        <w:bCs/>
        <w:spacing w:val="-10"/>
        <w:sz w:val="20"/>
      </w:rPr>
      <w:t xml:space="preserve">       </w:t>
    </w:r>
    <w:r>
      <w:rPr>
        <w:rFonts w:hint="eastAsia" w:ascii="华文仿宋" w:hAnsi="华文仿宋"/>
        <w:spacing w:val="-10"/>
        <w:sz w:val="20"/>
      </w:rPr>
      <w:t>第</w:t>
    </w:r>
    <w:r>
      <w:rPr>
        <w:rFonts w:hint="eastAsia" w:ascii="华文仿宋" w:hAnsi="华文仿宋"/>
        <w:spacing w:val="-10"/>
        <w:sz w:val="20"/>
      </w:rPr>
      <w:fldChar w:fldCharType="begin"/>
    </w:r>
    <w:r>
      <w:rPr>
        <w:rFonts w:hint="eastAsia" w:ascii="华文仿宋" w:hAnsi="华文仿宋"/>
        <w:spacing w:val="-10"/>
        <w:sz w:val="20"/>
      </w:rPr>
      <w:instrText xml:space="preserve">Page</w:instrText>
    </w:r>
    <w:r>
      <w:rPr>
        <w:rFonts w:hint="eastAsia" w:ascii="华文仿宋" w:hAnsi="华文仿宋"/>
        <w:spacing w:val="-10"/>
        <w:sz w:val="20"/>
      </w:rPr>
      <w:fldChar w:fldCharType="separate"/>
    </w:r>
    <w:r>
      <w:rPr>
        <w:rFonts w:ascii="华文仿宋" w:hAnsi="华文仿宋"/>
        <w:spacing w:val="-10"/>
        <w:sz w:val="20"/>
      </w:rPr>
      <w:t>1</w:t>
    </w:r>
    <w:r>
      <w:rPr>
        <w:rFonts w:hint="eastAsia" w:ascii="华文仿宋" w:hAnsi="华文仿宋"/>
        <w:spacing w:val="-10"/>
        <w:sz w:val="20"/>
      </w:rPr>
      <w:fldChar w:fldCharType="end"/>
    </w:r>
    <w:bookmarkStart w:id="115" w:name="委托方函①"/>
    <w:bookmarkEnd w:id="115"/>
    <w:r>
      <w:rPr>
        <w:rFonts w:ascii="华文仿宋" w:hAnsi="华文仿宋"/>
        <w:spacing w:val="-10"/>
        <w:sz w:val="20"/>
      </w:rPr>
      <w:t xml:space="preserve"> </w:t>
    </w:r>
    <w:r>
      <w:rPr>
        <w:rStyle w:val="25"/>
        <w:rFonts w:hint="eastAsia" w:ascii="华文仿宋" w:hAnsi="华文仿宋"/>
        <w:spacing w:val="-10"/>
        <w:sz w:val="20"/>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40"/>
      </w:pPr>
      <w:r>
        <w:separator/>
      </w:r>
    </w:p>
  </w:footnote>
  <w:footnote w:type="continuationSeparator" w:id="1">
    <w:p>
      <w:pPr>
        <w:spacing w:line="240" w:lineRule="auto"/>
        <w:ind w:firstLine="5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right"/>
      <w:rPr>
        <w:rFonts w:hint="eastAsia" w:ascii="华文楷体" w:eastAsia="华文楷体"/>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right"/>
      <w:rPr>
        <w:rFonts w:hint="eastAsia" w:ascii="楷体" w:eastAsia="楷体"/>
        <w:sz w:val="22"/>
      </w:rPr>
    </w:pPr>
    <w:r>
      <w:rPr>
        <w:rFonts w:hint="eastAsia" w:ascii="楷体" w:eastAsia="楷体"/>
        <w:sz w:val="22"/>
        <w:lang w:val="en-US" w:eastAsia="zh-CN"/>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298450</wp:posOffset>
              </wp:positionV>
              <wp:extent cx="5687695" cy="635"/>
              <wp:effectExtent l="0" t="0" r="0" b="0"/>
              <wp:wrapNone/>
              <wp:docPr id="6" name="直线连接线 6"/>
              <wp:cNvGraphicFramePr/>
              <a:graphic xmlns:a="http://schemas.openxmlformats.org/drawingml/2006/main">
                <a:graphicData uri="http://schemas.microsoft.com/office/word/2010/wordprocessingShape">
                  <wps:wsp>
                    <wps:cNvCnPr/>
                    <wps:spPr>
                      <a:xfrm>
                        <a:off x="0" y="0"/>
                        <a:ext cx="5687695" cy="635"/>
                      </a:xfrm>
                      <a:prstGeom prst="straightConnector1">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直线连接线 6" o:spid="_x0000_s1026" o:spt="32" type="#_x0000_t32" style="position:absolute;left:0pt;margin-left:0pt;margin-top:23.5pt;height:0.05pt;width:447.85pt;z-index:251659264;mso-width-relative:page;mso-height-relative:page;" filled="f" stroked="t" coordsize="21600,21600" o:gfxdata="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eO75nWAAAABgEAAA8AAAAAAAAAAQAgAAAAIgAAAGRycy9kb3ducmV2LnhtbFBLAQIUABQA&#10;AAAIAIdO4kCSH4mtKwIAADcEAAAOAAAAAAAAAAEAIAAAACUBAABkcnMvZTJvRG9jLnhtbFBLBQYA&#10;AAAABgAGAFkBAADCBQAAAAA=&#10;">
              <v:fill on="f" focussize="0,0"/>
              <v:stroke weight="1pt" color="#000000" joinstyle="miter"/>
              <v:imagedata o:title=""/>
              <o:lock v:ext="edit" aspectratio="f"/>
            </v:shape>
          </w:pict>
        </mc:Fallback>
      </mc:AlternateContent>
    </w:r>
    <w:r>
      <w:rPr>
        <w:rFonts w:hint="eastAsia" w:ascii="楷体" w:eastAsia="楷体" w:cs="Times New Roman"/>
        <w:kern w:val="2"/>
        <w:sz w:val="22"/>
        <w:szCs w:val="20"/>
        <w:lang w:val="en-US" w:eastAsia="zh-CN"/>
      </w:rPr>
      <w:t>涉执房地产处置司法评估报</w:t>
    </w:r>
    <w:r>
      <w:rPr>
        <w:rFonts w:hint="eastAsia" w:ascii="楷体" w:eastAsia="楷体"/>
        <w:sz w:val="22"/>
      </w:rPr>
      <w:t>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right"/>
      <w:rPr>
        <w:rFonts w:hint="eastAsia" w:ascii="楷体" w:eastAsia="楷体"/>
        <w:sz w:val="22"/>
      </w:rPr>
    </w:pPr>
    <w:r>
      <w:rPr>
        <w:rFonts w:hint="eastAsia" w:ascii="楷体" w:eastAsia="楷体"/>
        <w:sz w:val="22"/>
        <w:lang w:val="en-US" w:eastAsia="zh-CN"/>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298450</wp:posOffset>
              </wp:positionV>
              <wp:extent cx="5687695" cy="635"/>
              <wp:effectExtent l="0" t="0" r="0" b="0"/>
              <wp:wrapNone/>
              <wp:docPr id="13" name="直线连接线 13"/>
              <wp:cNvGraphicFramePr/>
              <a:graphic xmlns:a="http://schemas.openxmlformats.org/drawingml/2006/main">
                <a:graphicData uri="http://schemas.microsoft.com/office/word/2010/wordprocessingShape">
                  <wps:wsp>
                    <wps:cNvCnPr/>
                    <wps:spPr>
                      <a:xfrm>
                        <a:off x="0" y="0"/>
                        <a:ext cx="5687695" cy="635"/>
                      </a:xfrm>
                      <a:prstGeom prst="straightConnector1">
                        <a:avLst/>
                      </a:prstGeom>
                      <a:noFill/>
                      <a:ln w="1270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直线连接线 13" o:spid="_x0000_s1026" o:spt="32" type="#_x0000_t32" style="position:absolute;left:0pt;margin-left:0pt;margin-top:23.5pt;height:0.05pt;width:447.85pt;z-index:251659264;mso-width-relative:page;mso-height-relative:page;" filled="f" stroked="t" coordsize="21600,21600" o:gfxdata="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47vmdYAAAAGAQAADwAAAAAAAAABACAAAAAiAAAAZHJzL2Rvd25yZXYueG1sUEsBAhQA&#10;FAAAAAgAh07iQL7tmHUtAgAAOQQAAA4AAAAAAAAAAQAgAAAAJQEAAGRycy9lMm9Eb2MueG1sUEsF&#10;BgAAAAAGAAYAWQEAAMQFAAAAAA==&#10;">
              <v:fill on="f" focussize="0,0"/>
              <v:stroke weight="1pt" color="#000000" joinstyle="miter"/>
              <v:imagedata o:title=""/>
              <o:lock v:ext="edit" aspectratio="f"/>
            </v:shape>
          </w:pict>
        </mc:Fallback>
      </mc:AlternateContent>
    </w:r>
    <w:r>
      <w:rPr>
        <w:rFonts w:ascii="楷体" w:eastAsia="楷体"/>
        <w:sz w:val="22"/>
      </w:rPr>
      <w:t>涉执房地产处置司法评估报</w:t>
    </w:r>
    <w:r>
      <w:rPr>
        <w:rFonts w:hint="eastAsia" w:ascii="楷体" w:eastAsia="楷体"/>
        <w:sz w:val="22"/>
      </w:rPr>
      <w:t>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61666"/>
    <w:multiLevelType w:val="multilevel"/>
    <w:tmpl w:val="B0F61666"/>
    <w:lvl w:ilvl="0" w:tentative="0">
      <w:start w:val="1"/>
      <w:numFmt w:val="decimal"/>
      <w:pStyle w:val="40"/>
      <w:lvlText w:val="%1、"/>
      <w:lvlJc w:val="left"/>
      <w:pPr>
        <w:tabs>
          <w:tab w:val="left" w:pos="113"/>
        </w:tabs>
        <w:ind w:left="0" w:firstLine="567"/>
      </w:p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1">
    <w:nsid w:val="C8824287"/>
    <w:multiLevelType w:val="multilevel"/>
    <w:tmpl w:val="C8824287"/>
    <w:lvl w:ilvl="0" w:tentative="0">
      <w:start w:val="1"/>
      <w:numFmt w:val="decimal"/>
      <w:lvlText w:val="（%1）"/>
      <w:lvlJc w:val="left"/>
      <w:pPr>
        <w:tabs>
          <w:tab w:val="left" w:pos="990"/>
        </w:tabs>
        <w:ind w:left="990" w:hanging="990"/>
      </w:pPr>
      <w:rPr>
        <w:rFonts w:hint="eastAsia" w:ascii="宋体" w:hAnsi="宋体" w:eastAsia="宋体"/>
      </w:rPr>
    </w:lvl>
    <w:lvl w:ilvl="1" w:tentative="0">
      <w:start w:val="1"/>
      <w:numFmt w:val="decimal"/>
      <w:lvlText w:val="%2."/>
      <w:lvlJc w:val="left"/>
      <w:pPr>
        <w:tabs>
          <w:tab w:val="left" w:pos="840"/>
        </w:tabs>
        <w:ind w:left="840" w:hanging="420"/>
      </w:pPr>
      <w:rPr>
        <w:rFonts w:hint="eastAsia" w:ascii="宋体" w:hAnsi="宋体" w:eastAsia="宋体"/>
      </w:rPr>
    </w:lvl>
    <w:lvl w:ilvl="2" w:tentative="0">
      <w:start w:val="1"/>
      <w:numFmt w:val="decimal"/>
      <w:lvlText w:val="%3."/>
      <w:lvlJc w:val="right"/>
      <w:pPr>
        <w:tabs>
          <w:tab w:val="left" w:pos="1260"/>
        </w:tabs>
        <w:ind w:left="1260" w:hanging="420"/>
      </w:pPr>
      <w:rPr>
        <w:rFonts w:hint="default" w:ascii="Times New Roman" w:hAnsi="Times New Roman"/>
      </w:rPr>
    </w:lvl>
    <w:lvl w:ilvl="3" w:tentative="0">
      <w:start w:val="1"/>
      <w:numFmt w:val="decimal"/>
      <w:lvlText w:val="%4."/>
      <w:lvlJc w:val="left"/>
      <w:pPr>
        <w:tabs>
          <w:tab w:val="left" w:pos="1680"/>
        </w:tabs>
        <w:ind w:left="1680" w:hanging="420"/>
      </w:pPr>
      <w:rPr>
        <w:rFonts w:hint="default" w:ascii="Times New Roman" w:hAnsi="Times New Roman"/>
      </w:rPr>
    </w:lvl>
    <w:lvl w:ilvl="4" w:tentative="0">
      <w:start w:val="1"/>
      <w:numFmt w:val="lowerLetter"/>
      <w:lvlText w:val="%5)"/>
      <w:lvlJc w:val="left"/>
      <w:pPr>
        <w:tabs>
          <w:tab w:val="left" w:pos="2100"/>
        </w:tabs>
        <w:ind w:left="2100" w:hanging="420"/>
      </w:pPr>
      <w:rPr>
        <w:rFonts w:hint="default" w:ascii="Times New Roman" w:hAnsi="Times New Roman"/>
      </w:rPr>
    </w:lvl>
    <w:lvl w:ilvl="5" w:tentative="0">
      <w:start w:val="1"/>
      <w:numFmt w:val="decimal"/>
      <w:lvlText w:val="%6."/>
      <w:lvlJc w:val="right"/>
      <w:pPr>
        <w:tabs>
          <w:tab w:val="left" w:pos="2520"/>
        </w:tabs>
        <w:ind w:left="2520" w:hanging="420"/>
      </w:pPr>
      <w:rPr>
        <w:rFonts w:hint="default" w:ascii="Times New Roman" w:hAnsi="Times New Roman"/>
      </w:rPr>
    </w:lvl>
    <w:lvl w:ilvl="6" w:tentative="0">
      <w:start w:val="1"/>
      <w:numFmt w:val="decimal"/>
      <w:lvlText w:val="%7."/>
      <w:lvlJc w:val="left"/>
      <w:pPr>
        <w:tabs>
          <w:tab w:val="left" w:pos="2940"/>
        </w:tabs>
        <w:ind w:left="2940" w:hanging="420"/>
      </w:pPr>
      <w:rPr>
        <w:rFonts w:hint="default" w:ascii="Times New Roman" w:hAnsi="Times New Roman"/>
      </w:rPr>
    </w:lvl>
    <w:lvl w:ilvl="7" w:tentative="0">
      <w:start w:val="1"/>
      <w:numFmt w:val="lowerLetter"/>
      <w:lvlText w:val="%8)"/>
      <w:lvlJc w:val="left"/>
      <w:pPr>
        <w:tabs>
          <w:tab w:val="left" w:pos="3360"/>
        </w:tabs>
        <w:ind w:left="3360" w:hanging="420"/>
      </w:pPr>
      <w:rPr>
        <w:rFonts w:hint="default" w:ascii="Times New Roman" w:hAnsi="Times New Roman"/>
      </w:rPr>
    </w:lvl>
    <w:lvl w:ilvl="8" w:tentative="0">
      <w:start w:val="1"/>
      <w:numFmt w:val="decimal"/>
      <w:lvlText w:val="%9."/>
      <w:lvlJc w:val="right"/>
      <w:pPr>
        <w:tabs>
          <w:tab w:val="left" w:pos="3780"/>
        </w:tabs>
        <w:ind w:left="3780" w:hanging="420"/>
      </w:pPr>
      <w:rPr>
        <w:rFonts w:hint="default" w:ascii="Times New Roman" w:hAnsi="Times New Roman"/>
      </w:rPr>
    </w:lvl>
  </w:abstractNum>
  <w:abstractNum w:abstractNumId="2">
    <w:nsid w:val="450F8467"/>
    <w:multiLevelType w:val="multilevel"/>
    <w:tmpl w:val="450F8467"/>
    <w:lvl w:ilvl="0" w:tentative="0">
      <w:start w:val="1"/>
      <w:numFmt w:val="decimal"/>
      <w:lvlText w:val="（%1）"/>
      <w:lvlJc w:val="left"/>
      <w:pPr>
        <w:tabs>
          <w:tab w:val="left" w:pos="990"/>
        </w:tabs>
        <w:ind w:left="990" w:hanging="990"/>
      </w:pPr>
      <w:rPr>
        <w:rFonts w:hint="eastAsia" w:ascii="宋体" w:hAnsi="宋体" w:eastAsia="宋体"/>
      </w:rPr>
    </w:lvl>
    <w:lvl w:ilvl="1" w:tentative="0">
      <w:start w:val="1"/>
      <w:numFmt w:val="lowerLetter"/>
      <w:lvlText w:val="%2)"/>
      <w:lvlJc w:val="left"/>
      <w:pPr>
        <w:tabs>
          <w:tab w:val="left" w:pos="840"/>
        </w:tabs>
        <w:ind w:left="840" w:hanging="420"/>
      </w:pPr>
      <w:rPr>
        <w:rFonts w:hint="default" w:ascii="Times New Roman" w:hAnsi="Times New Roman"/>
      </w:rPr>
    </w:lvl>
    <w:lvl w:ilvl="2" w:tentative="0">
      <w:start w:val="1"/>
      <w:numFmt w:val="decimal"/>
      <w:lvlText w:val="%3."/>
      <w:lvlJc w:val="right"/>
      <w:pPr>
        <w:tabs>
          <w:tab w:val="left" w:pos="1260"/>
        </w:tabs>
        <w:ind w:left="1260" w:hanging="420"/>
      </w:pPr>
      <w:rPr>
        <w:rFonts w:hint="default" w:ascii="Times New Roman" w:hAnsi="Times New Roman"/>
      </w:rPr>
    </w:lvl>
    <w:lvl w:ilvl="3" w:tentative="0">
      <w:start w:val="1"/>
      <w:numFmt w:val="decimal"/>
      <w:lvlText w:val="%4."/>
      <w:lvlJc w:val="left"/>
      <w:pPr>
        <w:tabs>
          <w:tab w:val="left" w:pos="1680"/>
        </w:tabs>
        <w:ind w:left="1680" w:hanging="420"/>
      </w:pPr>
      <w:rPr>
        <w:rFonts w:hint="default" w:ascii="Times New Roman" w:hAnsi="Times New Roman"/>
      </w:rPr>
    </w:lvl>
    <w:lvl w:ilvl="4" w:tentative="0">
      <w:start w:val="1"/>
      <w:numFmt w:val="lowerLetter"/>
      <w:lvlText w:val="%5)"/>
      <w:lvlJc w:val="left"/>
      <w:pPr>
        <w:tabs>
          <w:tab w:val="left" w:pos="2100"/>
        </w:tabs>
        <w:ind w:left="2100" w:hanging="420"/>
      </w:pPr>
      <w:rPr>
        <w:rFonts w:hint="default" w:ascii="Times New Roman" w:hAnsi="Times New Roman"/>
      </w:rPr>
    </w:lvl>
    <w:lvl w:ilvl="5" w:tentative="0">
      <w:start w:val="1"/>
      <w:numFmt w:val="decimal"/>
      <w:lvlText w:val="%6."/>
      <w:lvlJc w:val="right"/>
      <w:pPr>
        <w:tabs>
          <w:tab w:val="left" w:pos="2520"/>
        </w:tabs>
        <w:ind w:left="2520" w:hanging="420"/>
      </w:pPr>
      <w:rPr>
        <w:rFonts w:hint="default" w:ascii="Times New Roman" w:hAnsi="Times New Roman"/>
      </w:rPr>
    </w:lvl>
    <w:lvl w:ilvl="6" w:tentative="0">
      <w:start w:val="1"/>
      <w:numFmt w:val="decimal"/>
      <w:lvlText w:val="%7."/>
      <w:lvlJc w:val="left"/>
      <w:pPr>
        <w:tabs>
          <w:tab w:val="left" w:pos="2940"/>
        </w:tabs>
        <w:ind w:left="2940" w:hanging="420"/>
      </w:pPr>
      <w:rPr>
        <w:rFonts w:hint="default" w:ascii="Times New Roman" w:hAnsi="Times New Roman"/>
      </w:rPr>
    </w:lvl>
    <w:lvl w:ilvl="7" w:tentative="0">
      <w:start w:val="1"/>
      <w:numFmt w:val="lowerLetter"/>
      <w:lvlText w:val="%8)"/>
      <w:lvlJc w:val="left"/>
      <w:pPr>
        <w:tabs>
          <w:tab w:val="left" w:pos="3360"/>
        </w:tabs>
        <w:ind w:left="3360" w:hanging="420"/>
      </w:pPr>
      <w:rPr>
        <w:rFonts w:hint="default" w:ascii="Times New Roman" w:hAnsi="Times New Roman"/>
      </w:rPr>
    </w:lvl>
    <w:lvl w:ilvl="8" w:tentative="0">
      <w:start w:val="1"/>
      <w:numFmt w:val="decimal"/>
      <w:lvlText w:val="%9."/>
      <w:lvlJc w:val="right"/>
      <w:pPr>
        <w:tabs>
          <w:tab w:val="left" w:pos="3780"/>
        </w:tabs>
        <w:ind w:left="3780" w:hanging="420"/>
      </w:pPr>
      <w:rPr>
        <w:rFonts w:hint="default" w:ascii="Times New Roman" w:hAnsi="Times New Roman"/>
      </w:rPr>
    </w:lvl>
  </w:abstractNum>
  <w:abstractNum w:abstractNumId="3">
    <w:nsid w:val="4ED2655E"/>
    <w:multiLevelType w:val="singleLevel"/>
    <w:tmpl w:val="4ED2655E"/>
    <w:lvl w:ilvl="0" w:tentative="0">
      <w:start w:val="1"/>
      <w:numFmt w:val="bullet"/>
      <w:pStyle w:val="16"/>
      <w:lvlText w:val=""/>
      <w:lvlJc w:val="left"/>
      <w:pPr>
        <w:tabs>
          <w:tab w:val="left" w:pos="567"/>
        </w:tabs>
        <w:ind w:left="0" w:firstLine="567"/>
      </w:pPr>
      <w:rPr>
        <w:rFonts w:hint="default" w:ascii="Wingdings" w:hAnsi="Wingdings"/>
      </w:rPr>
    </w:lvl>
  </w:abstractNum>
  <w:abstractNum w:abstractNumId="4">
    <w:nsid w:val="74B17C11"/>
    <w:multiLevelType w:val="multilevel"/>
    <w:tmpl w:val="74B17C11"/>
    <w:lvl w:ilvl="0" w:tentative="0">
      <w:start w:val="1"/>
      <w:numFmt w:val="decimal"/>
      <w:lvlText w:val="（%1）"/>
      <w:lvlJc w:val="left"/>
      <w:pPr>
        <w:tabs>
          <w:tab w:val="left" w:pos="990"/>
        </w:tabs>
        <w:ind w:left="990" w:hanging="420"/>
      </w:pPr>
    </w:lvl>
    <w:lvl w:ilvl="1" w:tentative="0">
      <w:start w:val="1"/>
      <w:numFmt w:val="decimal"/>
      <w:lvlText w:val="%2）"/>
      <w:lvlJc w:val="left"/>
      <w:pPr>
        <w:tabs>
          <w:tab w:val="left" w:pos="1140"/>
        </w:tabs>
        <w:ind w:left="1140" w:hanging="720"/>
      </w:pPr>
    </w:lvl>
    <w:lvl w:ilvl="2" w:tentative="0">
      <w:start w:val="1"/>
      <w:numFmt w:val="upperLetter"/>
      <w:lvlText w:val="%3、"/>
      <w:lvlJc w:val="left"/>
      <w:pPr>
        <w:tabs>
          <w:tab w:val="left" w:pos="1560"/>
        </w:tabs>
        <w:ind w:left="1560" w:hanging="7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0"/>
  <w:drawingGridHorizontalSpacing w:val="134"/>
  <w:drawingGridVerticalSpacing w:val="19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docVars>
    <w:docVar w:name="commondata" w:val="eyJoZGlkIjoiZjEyZDBkYjM2Njc1MDI3MTIzODlhMTkwMGU1ZDdjMjcifQ=="/>
  </w:docVars>
  <w:rsids>
    <w:rsidRoot w:val="00000000"/>
    <w:rsid w:val="000E7038"/>
    <w:rsid w:val="170B14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qFormat="1"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napToGrid w:val="0"/>
      <w:spacing w:line="500" w:lineRule="exact"/>
      <w:ind w:firstLine="200" w:firstLineChars="200"/>
      <w:jc w:val="both"/>
    </w:pPr>
    <w:rPr>
      <w:rFonts w:ascii="仿宋_GB2312" w:hAnsi="Times New Roman" w:eastAsia="仿宋_GB2312" w:cs="Times New Roman"/>
      <w:kern w:val="2"/>
      <w:sz w:val="28"/>
      <w:lang w:val="en-US" w:eastAsia="zh-CN" w:bidi="ar-SA"/>
    </w:rPr>
  </w:style>
  <w:style w:type="paragraph" w:styleId="2">
    <w:name w:val="heading 1"/>
    <w:next w:val="1"/>
    <w:uiPriority w:val="0"/>
    <w:pPr>
      <w:keepNext/>
      <w:widowControl w:val="0"/>
      <w:autoSpaceDE w:val="0"/>
      <w:autoSpaceDN w:val="0"/>
      <w:adjustRightInd w:val="0"/>
      <w:spacing w:before="100" w:beforeLines="100" w:line="600" w:lineRule="exact"/>
      <w:ind w:firstLine="0"/>
      <w:jc w:val="center"/>
      <w:textAlignment w:val="bottom"/>
      <w:outlineLvl w:val="0"/>
    </w:pPr>
    <w:rPr>
      <w:rFonts w:ascii="Calibri Light" w:hAnsi="Calibri Light" w:eastAsia="华文中宋" w:cs="Times New Roman"/>
      <w:b/>
      <w:spacing w:val="40"/>
      <w:kern w:val="0"/>
      <w:sz w:val="32"/>
      <w:lang w:val="en-US" w:eastAsia="zh-CN" w:bidi="ar-SA"/>
    </w:rPr>
  </w:style>
  <w:style w:type="paragraph" w:styleId="3">
    <w:name w:val="heading 2"/>
    <w:next w:val="1"/>
    <w:uiPriority w:val="0"/>
    <w:pPr>
      <w:widowControl w:val="0"/>
      <w:tabs>
        <w:tab w:val="right" w:leader="dot" w:pos="8947"/>
      </w:tabs>
      <w:snapToGrid w:val="0"/>
      <w:spacing w:before="190" w:line="500" w:lineRule="exact"/>
      <w:ind w:left="0" w:firstLine="200" w:firstLineChars="200"/>
      <w:outlineLvl w:val="1"/>
    </w:pPr>
    <w:rPr>
      <w:rFonts w:ascii="宋体" w:hAnsi="宋体" w:eastAsia="华文中宋" w:cs="Times New Roman"/>
      <w:b/>
      <w:kern w:val="2"/>
      <w:sz w:val="28"/>
      <w:lang w:val="en-US" w:eastAsia="zh-CN" w:bidi="ar-SA"/>
    </w:rPr>
  </w:style>
  <w:style w:type="paragraph" w:styleId="4">
    <w:name w:val="heading 3"/>
    <w:next w:val="1"/>
    <w:uiPriority w:val="0"/>
    <w:pPr>
      <w:keepNext/>
      <w:keepLines/>
      <w:widowControl w:val="0"/>
      <w:adjustRightInd w:val="0"/>
      <w:snapToGrid w:val="0"/>
      <w:spacing w:before="120" w:after="60" w:line="500" w:lineRule="exact"/>
      <w:ind w:firstLine="200" w:firstLineChars="200"/>
      <w:jc w:val="both"/>
      <w:outlineLvl w:val="2"/>
    </w:pPr>
    <w:rPr>
      <w:rFonts w:ascii="华文中宋" w:hAnsi="Times New Roman" w:eastAsia="华文中宋" w:cs="Times New Roman"/>
      <w:b/>
      <w:bCs/>
      <w:snapToGrid w:val="0"/>
      <w:kern w:val="0"/>
      <w:sz w:val="28"/>
      <w:szCs w:val="32"/>
      <w:lang w:val="en-US" w:eastAsia="zh-CN" w:bidi="ar-SA"/>
    </w:rPr>
  </w:style>
  <w:style w:type="paragraph" w:styleId="5">
    <w:name w:val="heading 4"/>
    <w:next w:val="6"/>
    <w:uiPriority w:val="0"/>
    <w:pPr>
      <w:keepNext/>
      <w:keepLines/>
      <w:widowControl w:val="0"/>
      <w:adjustRightInd w:val="0"/>
      <w:snapToGrid w:val="0"/>
      <w:spacing w:before="60" w:after="60" w:line="500" w:lineRule="exact"/>
      <w:ind w:firstLine="200" w:firstLineChars="200"/>
      <w:jc w:val="left"/>
      <w:outlineLvl w:val="3"/>
    </w:pPr>
    <w:rPr>
      <w:rFonts w:ascii="华文中宋" w:hAnsi="Times New Roman" w:eastAsia="华文中宋" w:cs="Times New Roman"/>
      <w:b/>
      <w:bCs/>
      <w:snapToGrid w:val="0"/>
      <w:kern w:val="0"/>
      <w:sz w:val="28"/>
      <w:szCs w:val="32"/>
      <w:lang w:val="en-US" w:eastAsia="zh-CN" w:bidi="ar-SA"/>
    </w:rPr>
  </w:style>
  <w:style w:type="paragraph" w:styleId="7">
    <w:name w:val="heading 5"/>
    <w:next w:val="6"/>
    <w:uiPriority w:val="0"/>
    <w:pPr>
      <w:keepNext/>
      <w:keepLines/>
      <w:widowControl w:val="0"/>
      <w:adjustRightInd w:val="0"/>
      <w:spacing w:before="60" w:after="60" w:line="500" w:lineRule="exact"/>
      <w:ind w:firstLine="200" w:firstLineChars="200"/>
      <w:jc w:val="both"/>
      <w:textAlignment w:val="baseline"/>
      <w:outlineLvl w:val="4"/>
    </w:pPr>
    <w:rPr>
      <w:rFonts w:ascii="华文中宋" w:hAnsi="Times New Roman" w:eastAsia="华文中宋" w:cs="Times New Roman"/>
      <w:b/>
      <w:snapToGrid w:val="0"/>
      <w:kern w:val="0"/>
      <w:sz w:val="28"/>
      <w:lang w:val="en-US" w:eastAsia="zh-CN" w:bidi="ar-SA"/>
    </w:rPr>
  </w:style>
  <w:style w:type="paragraph" w:styleId="8">
    <w:name w:val="heading 6"/>
    <w:next w:val="6"/>
    <w:uiPriority w:val="0"/>
    <w:pPr>
      <w:keepNext/>
      <w:keepLines/>
      <w:widowControl w:val="0"/>
      <w:adjustRightInd w:val="0"/>
      <w:spacing w:before="60" w:after="60" w:line="500" w:lineRule="exact"/>
      <w:ind w:firstLine="200" w:firstLineChars="200"/>
      <w:jc w:val="both"/>
      <w:textAlignment w:val="baseline"/>
      <w:outlineLvl w:val="5"/>
    </w:pPr>
    <w:rPr>
      <w:rFonts w:ascii="华文中宋" w:hAnsi="Times New Roman" w:eastAsia="华文中宋" w:cs="Times New Roman"/>
      <w:b/>
      <w:kern w:val="0"/>
      <w:sz w:val="28"/>
      <w:lang w:val="en-US" w:eastAsia="zh-CN" w:bidi="ar-SA"/>
    </w:rPr>
  </w:style>
  <w:style w:type="paragraph" w:styleId="9">
    <w:name w:val="heading 7"/>
    <w:next w:val="6"/>
    <w:uiPriority w:val="0"/>
    <w:pPr>
      <w:keepNext/>
      <w:keepLines/>
      <w:widowControl w:val="0"/>
      <w:adjustRightInd w:val="0"/>
      <w:spacing w:before="60" w:after="64" w:line="500" w:lineRule="exact"/>
      <w:ind w:firstLine="200" w:firstLineChars="200"/>
      <w:textAlignment w:val="baseline"/>
      <w:outlineLvl w:val="6"/>
    </w:pPr>
    <w:rPr>
      <w:rFonts w:ascii="华文中宋" w:hAnsi="Times New Roman" w:eastAsia="华文中宋" w:cs="Times New Roman"/>
      <w:b/>
      <w:kern w:val="0"/>
      <w:sz w:val="28"/>
      <w:lang w:val="en-US" w:eastAsia="zh-CN" w:bidi="ar-SA"/>
    </w:rPr>
  </w:style>
  <w:style w:type="paragraph" w:styleId="10">
    <w:name w:val="heading 8"/>
    <w:next w:val="6"/>
    <w:qFormat/>
    <w:uiPriority w:val="0"/>
    <w:pPr>
      <w:keepNext/>
      <w:keepLines/>
      <w:widowControl w:val="0"/>
      <w:adjustRightInd w:val="0"/>
      <w:spacing w:before="60" w:after="60" w:line="500" w:lineRule="exact"/>
      <w:ind w:firstLine="200" w:firstLineChars="200"/>
      <w:textAlignment w:val="baseline"/>
      <w:outlineLvl w:val="7"/>
    </w:pPr>
    <w:rPr>
      <w:rFonts w:ascii="仿宋_GB2312" w:hAnsi="Times New Roman" w:eastAsia="仿宋_GB2312" w:cs="Times New Roman"/>
      <w:b/>
      <w:kern w:val="0"/>
      <w:sz w:val="28"/>
      <w:lang w:val="en-US" w:eastAsia="zh-CN" w:bidi="ar-SA"/>
    </w:rPr>
  </w:style>
  <w:style w:type="paragraph" w:styleId="11">
    <w:name w:val="heading 9"/>
    <w:next w:val="1"/>
    <w:uiPriority w:val="0"/>
    <w:pPr>
      <w:keepNext/>
      <w:keepLines/>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val="0"/>
      <w:snapToGrid/>
      <w:spacing w:before="120" w:beforeAutospacing="0" w:after="0" w:afterAutospacing="0" w:line="320" w:lineRule="atLeast"/>
      <w:ind w:left="0" w:right="0" w:firstLine="200" w:firstLineChars="200"/>
      <w:contextualSpacing w:val="0"/>
      <w:jc w:val="left"/>
      <w:textAlignment w:val="auto"/>
      <w:outlineLvl w:val="8"/>
    </w:pPr>
    <w:rPr>
      <w:rFonts w:ascii="仿宋_GB2312" w:hAnsi="Times New Roman" w:eastAsia="仿宋_GB2312" w:cs="Times New Roman"/>
      <w:b/>
      <w:snapToGrid/>
      <w:color w:val="auto"/>
      <w:spacing w:val="0"/>
      <w:w w:val="100"/>
      <w:kern w:val="0"/>
      <w:position w:val="0"/>
      <w:sz w:val="28"/>
      <w:szCs w:val="20"/>
      <w:u w:val="none" w:color="auto"/>
      <w:shd w:val="clear" w:color="auto" w:fill="auto"/>
      <w:vertAlign w:val="baseline"/>
      <w:lang w:val="en-US" w:eastAsia="zh-CN" w:bidi="ar-SA"/>
    </w:rPr>
  </w:style>
  <w:style w:type="character" w:default="1" w:styleId="23">
    <w:name w:val="Default Paragraph Fon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6">
    <w:name w:val="index 6"/>
    <w:basedOn w:val="1"/>
    <w:next w:val="1"/>
    <w:qFormat/>
    <w:uiPriority w:val="0"/>
    <w:pPr>
      <w:ind w:left="2100" w:firstLine="200" w:firstLineChars="200"/>
    </w:pPr>
  </w:style>
  <w:style w:type="paragraph" w:styleId="12">
    <w:name w:val="Normal Indent"/>
    <w:next w:val="6"/>
    <w:qFormat/>
    <w:uiPriority w:val="0"/>
    <w:pPr>
      <w:widowControl w:val="0"/>
      <w:overflowPunct w:val="0"/>
      <w:autoSpaceDE w:val="0"/>
      <w:autoSpaceDN w:val="0"/>
      <w:adjustRightInd w:val="0"/>
      <w:snapToGrid w:val="0"/>
      <w:spacing w:line="240" w:lineRule="auto"/>
      <w:ind w:firstLine="0"/>
      <w:jc w:val="center"/>
      <w:textAlignment w:val="center"/>
    </w:pPr>
    <w:rPr>
      <w:rFonts w:ascii="仿宋_GB2312" w:hAnsi="Times New Roman" w:eastAsia="仿宋_GB2312" w:cs="Times New Roman"/>
      <w:kern w:val="2"/>
      <w:sz w:val="22"/>
      <w:lang w:val="en-US" w:eastAsia="zh-CN" w:bidi="ar-SA"/>
    </w:rPr>
  </w:style>
  <w:style w:type="paragraph" w:styleId="13">
    <w:name w:val="index 5"/>
    <w:basedOn w:val="1"/>
    <w:next w:val="1"/>
    <w:uiPriority w:val="0"/>
    <w:pPr>
      <w:ind w:left="1680"/>
    </w:pPr>
  </w:style>
  <w:style w:type="paragraph" w:styleId="14">
    <w:name w:val="Body Text"/>
    <w:next w:val="6"/>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pPr>
    <w:rPr>
      <w:rFonts w:ascii="Times New Roman" w:hAnsi="Times New Roman" w:eastAsia="宋体" w:cs="Times New Roman"/>
      <w:snapToGrid/>
      <w:color w:val="auto"/>
      <w:spacing w:val="0"/>
      <w:w w:val="100"/>
      <w:kern w:val="2"/>
      <w:position w:val="0"/>
      <w:sz w:val="28"/>
      <w:szCs w:val="28"/>
      <w:u w:val="none" w:color="auto"/>
      <w:shd w:val="clear" w:color="auto" w:fill="auto"/>
      <w:vertAlign w:val="baseline"/>
      <w:lang w:val="en-US" w:eastAsia="zh-CN" w:bidi="ar-SA"/>
    </w:rPr>
  </w:style>
  <w:style w:type="paragraph" w:styleId="15">
    <w:name w:val="toc 3"/>
    <w:basedOn w:val="1"/>
    <w:next w:val="1"/>
    <w:qFormat/>
    <w:uiPriority w:val="0"/>
    <w:pPr>
      <w:ind w:left="840"/>
    </w:pPr>
  </w:style>
  <w:style w:type="paragraph" w:styleId="16">
    <w:name w:val="List Bullet 5"/>
    <w:qFormat/>
    <w:uiPriority w:val="0"/>
    <w:pPr>
      <w:widowControl w:val="0"/>
      <w:numPr>
        <w:ilvl w:val="0"/>
        <w:numId w:val="1"/>
      </w:numPr>
      <w:adjustRightInd w:val="0"/>
      <w:snapToGrid w:val="0"/>
      <w:spacing w:line="500" w:lineRule="exact"/>
      <w:ind w:left="0" w:firstLine="567"/>
    </w:pPr>
    <w:rPr>
      <w:rFonts w:ascii="仿宋_GB2312" w:hAnsi="Times New Roman" w:eastAsia="仿宋_GB2312" w:cs="Times New Roman"/>
      <w:kern w:val="2"/>
      <w:sz w:val="28"/>
      <w:lang w:val="en-US" w:eastAsia="zh-CN" w:bidi="ar-SA"/>
    </w:rPr>
  </w:style>
  <w:style w:type="paragraph" w:styleId="17">
    <w:name w:val="footer"/>
    <w:next w:val="18"/>
    <w:qFormat/>
    <w:uiPriority w:val="0"/>
    <w:pPr>
      <w:widowControl w:val="0"/>
      <w:tabs>
        <w:tab w:val="center" w:pos="4153"/>
        <w:tab w:val="right" w:pos="8306"/>
      </w:tabs>
      <w:snapToGrid w:val="0"/>
      <w:spacing w:line="500" w:lineRule="exact"/>
      <w:ind w:firstLine="200" w:firstLineChars="200"/>
    </w:pPr>
    <w:rPr>
      <w:rFonts w:ascii="仿宋_GB2312" w:hAnsi="Times New Roman" w:eastAsia="仿宋_GB2312" w:cs="Times New Roman"/>
      <w:kern w:val="2"/>
      <w:sz w:val="18"/>
      <w:lang w:val="en-US" w:eastAsia="zh-CN" w:bidi="ar-SA"/>
    </w:rPr>
  </w:style>
  <w:style w:type="paragraph" w:styleId="18">
    <w:name w:val="toc 1"/>
    <w:next w:val="1"/>
    <w:qFormat/>
    <w:uiPriority w:val="0"/>
    <w:pPr>
      <w:widowControl w:val="0"/>
      <w:tabs>
        <w:tab w:val="right" w:leader="dot" w:pos="8947"/>
      </w:tabs>
      <w:spacing w:line="460" w:lineRule="exact"/>
      <w:ind w:firstLine="200" w:firstLineChars="200"/>
    </w:pPr>
    <w:rPr>
      <w:rFonts w:ascii="宋体" w:hAnsi="宋体" w:eastAsia="仿宋_GB2312" w:cs="Times New Roman"/>
      <w:b/>
      <w:kern w:val="2"/>
      <w:sz w:val="28"/>
      <w:szCs w:val="28"/>
      <w:lang w:val="en-US" w:eastAsia="zh-CN" w:bidi="ar-SA"/>
    </w:rPr>
  </w:style>
  <w:style w:type="paragraph" w:styleId="19">
    <w:name w:val="header"/>
    <w:qFormat/>
    <w:uiPriority w:val="0"/>
    <w:pPr>
      <w:widowControl w:val="0"/>
      <w:pBdr>
        <w:bottom w:val="single" w:color="auto" w:sz="6" w:space="1"/>
      </w:pBdr>
      <w:tabs>
        <w:tab w:val="center" w:pos="4153"/>
        <w:tab w:val="right" w:pos="8306"/>
      </w:tabs>
      <w:snapToGrid w:val="0"/>
      <w:spacing w:line="500" w:lineRule="exact"/>
      <w:ind w:firstLine="200" w:firstLineChars="200"/>
      <w:jc w:val="center"/>
    </w:pPr>
    <w:rPr>
      <w:rFonts w:ascii="仿宋_GB2312" w:hAnsi="仿宋_GB2312" w:eastAsia="宋体" w:cs="Times New Roman"/>
      <w:kern w:val="2"/>
      <w:sz w:val="18"/>
      <w:lang w:val="en-US" w:eastAsia="zh-CN" w:bidi="ar-SA"/>
    </w:rPr>
  </w:style>
  <w:style w:type="paragraph" w:styleId="20">
    <w:name w:val="toc 2"/>
    <w:next w:val="1"/>
    <w:qFormat/>
    <w:uiPriority w:val="0"/>
    <w:pPr>
      <w:widowControl w:val="0"/>
      <w:spacing w:line="500" w:lineRule="exact"/>
      <w:ind w:left="200" w:leftChars="200" w:firstLine="200" w:firstLineChars="200"/>
    </w:pPr>
    <w:rPr>
      <w:rFonts w:ascii="仿宋_GB2312" w:hAnsi="Times New Roman" w:eastAsia="仿宋_GB2312" w:cs="Times New Roman"/>
      <w:kern w:val="2"/>
      <w:sz w:val="28"/>
      <w:lang w:val="en-US" w:eastAsia="zh-CN" w:bidi="ar-SA"/>
    </w:rPr>
  </w:style>
  <w:style w:type="paragraph" w:styleId="21">
    <w:name w:val="Normal (Web)"/>
    <w:qFormat/>
    <w:uiPriority w:val="0"/>
    <w:pPr>
      <w:widowControl w:val="0"/>
      <w:spacing w:before="100" w:beforeAutospacing="1" w:after="100" w:afterAutospacing="1" w:line="240" w:lineRule="auto"/>
      <w:jc w:val="left"/>
    </w:pPr>
    <w:rPr>
      <w:rFonts w:ascii="宋体" w:hAnsi="Times New Roman" w:eastAsia="宋体" w:cs="Times New Roman"/>
      <w:kern w:val="2"/>
      <w:sz w:val="24"/>
      <w:lang w:val="en-US" w:eastAsia="zh-CN" w:bidi="ar-SA"/>
    </w:rPr>
  </w:style>
  <w:style w:type="character" w:styleId="24">
    <w:name w:val="Strong"/>
    <w:qFormat/>
    <w:uiPriority w:val="0"/>
    <w:rPr>
      <w:b/>
      <w:bCs/>
    </w:rPr>
  </w:style>
  <w:style w:type="character" w:styleId="25">
    <w:name w:val="page number"/>
    <w:uiPriority w:val="0"/>
  </w:style>
  <w:style w:type="character" w:styleId="26">
    <w:name w:val="FollowedHyperlink"/>
    <w:basedOn w:val="23"/>
    <w:qFormat/>
    <w:uiPriority w:val="0"/>
    <w:rPr>
      <w:color w:val="800080"/>
      <w:u w:val="single"/>
    </w:rPr>
  </w:style>
  <w:style w:type="character" w:styleId="27">
    <w:name w:val="Hyperlink"/>
    <w:qFormat/>
    <w:uiPriority w:val="0"/>
    <w:rPr>
      <w:color w:val="3366CC"/>
      <w:u w:val="single"/>
    </w:rPr>
  </w:style>
  <w:style w:type="paragraph" w:customStyle="1" w:styleId="28">
    <w:name w:val="报告正文"/>
    <w:link w:val="29"/>
    <w:qFormat/>
    <w:uiPriority w:val="0"/>
    <w:pPr>
      <w:widowControl w:val="0"/>
      <w:adjustRightInd w:val="0"/>
      <w:snapToGrid w:val="0"/>
      <w:spacing w:line="500" w:lineRule="exact"/>
      <w:ind w:firstLine="200" w:firstLineChars="200"/>
      <w:jc w:val="both"/>
    </w:pPr>
    <w:rPr>
      <w:rFonts w:ascii="仿宋_GB2312" w:hAnsi="Times New Roman" w:eastAsia="仿宋_GB2312" w:cs="Times New Roman"/>
      <w:snapToGrid w:val="0"/>
      <w:kern w:val="2"/>
      <w:sz w:val="28"/>
      <w:szCs w:val="28"/>
      <w:lang w:val="en-US" w:eastAsia="zh-CN" w:bidi="ar-SA"/>
    </w:rPr>
  </w:style>
  <w:style w:type="character" w:customStyle="1" w:styleId="29">
    <w:name w:val="报告正文 Char"/>
    <w:basedOn w:val="23"/>
    <w:link w:val="28"/>
    <w:qFormat/>
    <w:uiPriority w:val="0"/>
    <w:rPr>
      <w:rFonts w:ascii="仿宋_GB2312" w:eastAsia="仿宋_GB2312" w:cs="Times New Roman"/>
      <w:snapToGrid w:val="0"/>
      <w:kern w:val="2"/>
      <w:sz w:val="28"/>
      <w:szCs w:val="28"/>
      <w:lang w:val="en-US" w:eastAsia="zh-CN" w:bidi="ar-SA"/>
    </w:rPr>
  </w:style>
  <w:style w:type="paragraph" w:customStyle="1" w:styleId="30">
    <w:name w:val="表头"/>
    <w:uiPriority w:val="0"/>
    <w:pPr>
      <w:widowControl w:val="0"/>
      <w:overflowPunct/>
      <w:autoSpaceDE/>
      <w:autoSpaceDN/>
      <w:adjustRightInd w:val="0"/>
      <w:snapToGrid w:val="0"/>
      <w:spacing w:line="500" w:lineRule="exact"/>
      <w:ind w:firstLine="0"/>
      <w:jc w:val="center"/>
      <w:textAlignment w:val="center"/>
    </w:pPr>
    <w:rPr>
      <w:rFonts w:ascii="仿宋_GB2312" w:hAnsi="Times New Roman" w:eastAsia="仿宋_GB2312" w:cs="Times New Roman"/>
      <w:b/>
      <w:snapToGrid w:val="0"/>
      <w:kern w:val="0"/>
      <w:sz w:val="28"/>
      <w:szCs w:val="28"/>
      <w:lang w:val="en-US" w:eastAsia="zh-CN" w:bidi="ar-SA"/>
    </w:rPr>
  </w:style>
  <w:style w:type="paragraph" w:customStyle="1" w:styleId="31">
    <w:name w:val="表格内文字11.5"/>
    <w:uiPriority w:val="0"/>
    <w:pPr>
      <w:widowControl w:val="0"/>
      <w:overflowPunct w:val="0"/>
      <w:autoSpaceDE w:val="0"/>
      <w:autoSpaceDN w:val="0"/>
      <w:adjustRightInd w:val="0"/>
      <w:snapToGrid w:val="0"/>
      <w:spacing w:line="240" w:lineRule="auto"/>
      <w:ind w:firstLine="0"/>
      <w:jc w:val="center"/>
      <w:textAlignment w:val="center"/>
    </w:pPr>
    <w:rPr>
      <w:rFonts w:ascii="仿宋_GB2312" w:hAnsi="Times New Roman" w:eastAsia="仿宋_GB2312" w:cs="Times New Roman"/>
      <w:snapToGrid w:val="0"/>
      <w:kern w:val="0"/>
      <w:sz w:val="23"/>
      <w:lang w:val="en-US" w:eastAsia="zh-CN" w:bidi="ar-SA"/>
    </w:rPr>
  </w:style>
  <w:style w:type="paragraph" w:customStyle="1" w:styleId="32">
    <w:name w:val="表格10.5"/>
    <w:next w:val="33"/>
    <w:uiPriority w:val="0"/>
    <w:pPr>
      <w:widowControl w:val="0"/>
      <w:adjustRightInd w:val="0"/>
      <w:snapToGrid w:val="0"/>
      <w:spacing w:line="240" w:lineRule="atLeast"/>
      <w:ind w:firstLine="0"/>
      <w:jc w:val="center"/>
      <w:textAlignment w:val="center"/>
    </w:pPr>
    <w:rPr>
      <w:rFonts w:ascii="仿宋_GB2312" w:hAnsi="Times New Roman" w:eastAsia="仿宋_GB2312" w:cs="Times New Roman"/>
      <w:snapToGrid w:val="0"/>
      <w:kern w:val="0"/>
      <w:sz w:val="21"/>
      <w:lang w:val="en-US" w:eastAsia="zh-CN" w:bidi="ar-SA"/>
    </w:rPr>
  </w:style>
  <w:style w:type="paragraph" w:customStyle="1" w:styleId="33">
    <w:name w:val="无间隔"/>
    <w:next w:val="13"/>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540" w:lineRule="exact"/>
      <w:ind w:left="0" w:right="0" w:firstLine="200" w:firstLineChars="200"/>
      <w:contextualSpacing w:val="0"/>
      <w:jc w:val="left"/>
      <w:textAlignment w:val="auto"/>
      <w:outlineLvl w:val="9"/>
    </w:pPr>
    <w:rPr>
      <w:rFonts w:ascii="仿宋_GB2312" w:hAnsi="Times New Roman" w:eastAsia="仿宋_GB2312" w:cs="Times New Roman"/>
      <w:b/>
      <w:snapToGrid w:val="0"/>
      <w:color w:val="auto"/>
      <w:spacing w:val="0"/>
      <w:w w:val="100"/>
      <w:kern w:val="2"/>
      <w:position w:val="0"/>
      <w:sz w:val="28"/>
      <w:szCs w:val="20"/>
      <w:u w:val="none" w:color="auto"/>
      <w:shd w:val="clear" w:color="auto" w:fill="auto"/>
      <w:vertAlign w:val="baseline"/>
      <w:lang w:val="en-US" w:eastAsia="zh-CN" w:bidi="ar-SA"/>
    </w:rPr>
  </w:style>
  <w:style w:type="paragraph" w:customStyle="1" w:styleId="34">
    <w:name w:val="正常段落"/>
    <w:next w:val="35"/>
    <w:uiPriority w:val="0"/>
    <w:pPr>
      <w:widowControl w:val="0"/>
      <w:adjustRightInd w:val="0"/>
      <w:snapToGrid w:val="0"/>
      <w:spacing w:line="540" w:lineRule="exact"/>
      <w:ind w:firstLine="200" w:firstLineChars="200"/>
    </w:pPr>
    <w:rPr>
      <w:rFonts w:ascii="华文仿宋" w:hAnsi="华文仿宋" w:eastAsia="仿宋_GB2312" w:cs="Times New Roman"/>
      <w:snapToGrid w:val="0"/>
      <w:kern w:val="2"/>
      <w:sz w:val="28"/>
      <w:szCs w:val="28"/>
      <w:lang w:val="en-US" w:eastAsia="zh-CN" w:bidi="ar-SA"/>
    </w:rPr>
  </w:style>
  <w:style w:type="paragraph" w:customStyle="1" w:styleId="35">
    <w:name w:val="zw"/>
    <w:next w:val="13"/>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val="0"/>
      <w:snapToGrid w:val="0"/>
      <w:spacing w:before="0" w:beforeAutospacing="0" w:after="0" w:afterAutospacing="0" w:line="360" w:lineRule="auto"/>
      <w:ind w:left="0" w:right="0" w:firstLine="200" w:firstLineChars="200"/>
      <w:contextualSpacing w:val="0"/>
      <w:jc w:val="both"/>
      <w:textAlignment w:val="auto"/>
      <w:outlineLvl w:val="9"/>
    </w:pPr>
    <w:rPr>
      <w:rFonts w:ascii="Arial Narrow" w:hAnsi="Arial Narrow" w:eastAsia="楷体_GB2312" w:cs="Times New Roman"/>
      <w:snapToGrid/>
      <w:color w:val="auto"/>
      <w:spacing w:val="0"/>
      <w:w w:val="100"/>
      <w:kern w:val="0"/>
      <w:position w:val="0"/>
      <w:sz w:val="24"/>
      <w:szCs w:val="24"/>
      <w:u w:val="none" w:color="auto"/>
      <w:shd w:val="clear" w:color="auto" w:fill="auto"/>
      <w:vertAlign w:val="baseline"/>
      <w:lang w:val="en-US" w:eastAsia="zh-CN" w:bidi="ar-SA"/>
    </w:rPr>
  </w:style>
  <w:style w:type="paragraph" w:customStyle="1" w:styleId="36">
    <w:name w:val="引用"/>
    <w:next w:val="1"/>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60" w:beforeAutospacing="0" w:after="60" w:afterAutospacing="0" w:line="500" w:lineRule="exact"/>
      <w:ind w:left="0" w:right="0" w:firstLine="200" w:firstLineChars="200"/>
      <w:contextualSpacing w:val="0"/>
      <w:jc w:val="left"/>
      <w:textAlignment w:val="auto"/>
      <w:outlineLvl w:val="4"/>
    </w:pPr>
    <w:rPr>
      <w:rFonts w:ascii="仿宋_GB2312" w:hAnsi="Times New Roman" w:eastAsia="仿宋_GB2312" w:cs="Times New Roman"/>
      <w:b/>
      <w:snapToGrid w:val="0"/>
      <w:color w:val="404040"/>
      <w:spacing w:val="0"/>
      <w:w w:val="100"/>
      <w:kern w:val="2"/>
      <w:position w:val="0"/>
      <w:sz w:val="28"/>
      <w:szCs w:val="24"/>
      <w:u w:val="none" w:color="auto"/>
      <w:shd w:val="clear" w:color="auto" w:fill="auto"/>
      <w:vertAlign w:val="baseline"/>
      <w:lang w:val="en-US" w:eastAsia="zh-CN" w:bidi="ar-SA"/>
    </w:rPr>
  </w:style>
  <w:style w:type="paragraph" w:customStyle="1" w:styleId="37">
    <w:name w:val="msonormal"/>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hAnsi="Times New Roman" w:eastAsia="宋体" w:cs="宋体"/>
      <w:snapToGrid/>
      <w:color w:val="auto"/>
      <w:spacing w:val="0"/>
      <w:w w:val="100"/>
      <w:kern w:val="0"/>
      <w:position w:val="0"/>
      <w:sz w:val="24"/>
      <w:szCs w:val="24"/>
      <w:u w:val="none" w:color="auto"/>
      <w:shd w:val="clear" w:color="auto" w:fill="auto"/>
      <w:vertAlign w:val="baseline"/>
      <w:lang w:val="en-US" w:eastAsia="zh-CN" w:bidi="ar-SA"/>
    </w:rPr>
  </w:style>
  <w:style w:type="character" w:customStyle="1" w:styleId="38">
    <w:name w:val="报告正文 Char1"/>
    <w:uiPriority w:val="0"/>
    <w:rPr>
      <w:rFonts w:ascii="仿宋_GB2312" w:eastAsia="仿宋_GB2312"/>
      <w:snapToGrid/>
      <w:kern w:val="2"/>
      <w:sz w:val="28"/>
      <w:szCs w:val="28"/>
    </w:rPr>
  </w:style>
  <w:style w:type="paragraph" w:customStyle="1" w:styleId="39">
    <w:name w:val="表格文字"/>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val="0"/>
      <w:snapToGrid w:val="0"/>
      <w:spacing w:before="0" w:beforeAutospacing="0" w:after="0" w:afterAutospacing="0" w:line="240" w:lineRule="auto"/>
      <w:ind w:left="0" w:right="0" w:firstLine="0"/>
      <w:contextualSpacing w:val="0"/>
      <w:jc w:val="center"/>
      <w:textAlignment w:val="auto"/>
      <w:outlineLvl w:val="9"/>
    </w:pPr>
    <w:rPr>
      <w:rFonts w:ascii="仿宋_GB2312" w:hAnsi="Times New Roman" w:eastAsia="仿宋_GB2312" w:cs="宋体"/>
      <w:snapToGrid/>
      <w:color w:val="000000"/>
      <w:spacing w:val="0"/>
      <w:w w:val="100"/>
      <w:kern w:val="0"/>
      <w:position w:val="0"/>
      <w:sz w:val="22"/>
      <w:szCs w:val="24"/>
      <w:u w:val="none" w:color="auto"/>
      <w:shd w:val="clear" w:color="auto" w:fill="auto"/>
      <w:vertAlign w:val="baseline"/>
      <w:lang w:val="en-US" w:eastAsia="zh-CN" w:bidi="ar-SA"/>
    </w:rPr>
  </w:style>
  <w:style w:type="paragraph" w:customStyle="1" w:styleId="40">
    <w:name w:val="序号"/>
    <w:basedOn w:val="1"/>
    <w:uiPriority w:val="0"/>
    <w:pPr>
      <w:numPr>
        <w:ilvl w:val="0"/>
        <w:numId w:val="2"/>
      </w:numPr>
      <w:adjustRightInd w:val="0"/>
      <w:snapToGrid w:val="0"/>
      <w:ind w:left="0" w:firstLine="567" w:firstLineChars="0"/>
    </w:pPr>
  </w:style>
  <w:style w:type="character" w:customStyle="1" w:styleId="41">
    <w:name w:val="15"/>
    <w:uiPriority w:val="0"/>
    <w:rPr>
      <w:rFonts w:ascii="Times New Roman" w:hAnsi="Times New Roman"/>
      <w:color w:val="3366CC"/>
      <w:u w:val="single"/>
    </w:rPr>
  </w:style>
  <w:style w:type="character" w:customStyle="1" w:styleId="42">
    <w:name w:val="16"/>
    <w:uiPriority w:val="0"/>
    <w:rPr>
      <w:rFonts w:ascii="仿宋_GB2312" w:eastAsia="仿宋_GB2312" w:cs="Times New Roman"/>
      <w:kern w:val="2"/>
      <w:sz w:val="28"/>
      <w:szCs w:val="28"/>
    </w:rPr>
  </w:style>
  <w:style w:type="paragraph" w:customStyle="1" w:styleId="43">
    <w:name w:val="无间隔1"/>
    <w:next w:val="20"/>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540" w:lineRule="exact"/>
      <w:ind w:left="0" w:right="0" w:firstLine="200" w:firstLineChars="200"/>
      <w:contextualSpacing w:val="0"/>
      <w:jc w:val="left"/>
      <w:textAlignment w:val="auto"/>
      <w:outlineLvl w:val="9"/>
    </w:pPr>
    <w:rPr>
      <w:rFonts w:ascii="仿宋_GB2312" w:hAnsi="Times New Roman" w:eastAsia="仿宋_GB2312" w:cs="Times New Roman"/>
      <w:b/>
      <w:bCs/>
      <w:snapToGrid/>
      <w:color w:val="auto"/>
      <w:spacing w:val="0"/>
      <w:w w:val="100"/>
      <w:kern w:val="2"/>
      <w:position w:val="0"/>
      <w:sz w:val="28"/>
      <w:szCs w:val="28"/>
      <w:u w:val="none" w:color="auto"/>
      <w:shd w:val="clear" w:color="auto" w:fill="auto"/>
      <w:vertAlign w:val="baseline"/>
      <w:lang w:val="en-US" w:eastAsia="zh-CN" w:bidi="ar-SA"/>
    </w:rPr>
  </w:style>
  <w:style w:type="character" w:customStyle="1" w:styleId="44">
    <w:name w:val="18"/>
    <w:qFormat/>
    <w:uiPriority w:val="0"/>
    <w:rPr>
      <w:rFonts w:ascii="仿宋_GB2312" w:eastAsia="仿宋_GB2312" w:cs="Times New Roman"/>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image" Target="media/image4.png"/><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Compaq</Company>
  <Pages>49</Pages>
  <Words>26309</Words>
  <Characters>28863</Characters>
  <Lines>2193</Lines>
  <Paragraphs>1621</Paragraphs>
  <TotalTime>31029</TotalTime>
  <ScaleCrop>false</ScaleCrop>
  <LinksUpToDate>false</LinksUpToDate>
  <CharactersWithSpaces>28972</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2016-06-06T09:49:00Z</dcterms:created>
  <dc:creator>张勇</dc:creator>
  <cp:lastModifiedBy>Administrator</cp:lastModifiedBy>
  <cp:lastPrinted>2022-09-21T01:41:00Z</cp:lastPrinted>
  <dcterms:modified xsi:type="dcterms:W3CDTF">2022-11-02T07:10:30Z</dcterms:modified>
  <dc:title>房地产估价报告</dc:title>
  <cp:revision>2118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D78FE1941D43465783664ABC9500C43C</vt:lpwstr>
  </property>
</Properties>
</file>