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20" w:lineRule="exact"/>
        <w:ind w:right="-48"/>
        <w:rPr>
          <w:rFonts w:ascii="宋体" w:cs="宋体"/>
          <w:b/>
        </w:rPr>
      </w:pPr>
      <w:r>
        <w:rPr>
          <w:rFonts w:hint="eastAsia" w:ascii="宋体" w:cs="宋体"/>
          <w:b/>
        </w:rPr>
        <w:t xml:space="preserve">                                                                                                                                                                                                                                                                                                                                                                                                                                                                                                         </w:t>
      </w:r>
    </w:p>
    <w:p>
      <w:pPr>
        <w:spacing w:line="720" w:lineRule="exact"/>
        <w:ind w:right="-48"/>
        <w:rPr>
          <w:rFonts w:ascii="宋体" w:cs="宋体"/>
          <w:b/>
        </w:rPr>
      </w:pPr>
    </w:p>
    <w:p>
      <w:pPr>
        <w:spacing w:line="720" w:lineRule="exact"/>
        <w:ind w:right="-48"/>
        <w:rPr>
          <w:rFonts w:ascii="宋体" w:cs="宋体"/>
          <w:b/>
        </w:rPr>
      </w:pPr>
    </w:p>
    <w:p>
      <w:pPr>
        <w:autoSpaceDE w:val="0"/>
        <w:autoSpaceDN w:val="0"/>
        <w:adjustRightInd w:val="0"/>
        <w:spacing w:line="360" w:lineRule="auto"/>
        <w:jc w:val="center"/>
        <w:rPr>
          <w:rFonts w:ascii="宋体" w:cs="宋体"/>
          <w:b/>
          <w:kern w:val="0"/>
          <w:sz w:val="52"/>
        </w:rPr>
      </w:pPr>
      <w:r>
        <w:rPr>
          <w:rFonts w:hint="eastAsia" w:ascii="宋体" w:hAnsi="宋体" w:cs="宋体"/>
          <w:b/>
          <w:kern w:val="0"/>
          <w:sz w:val="52"/>
        </w:rPr>
        <w:t>房地产估价报告</w:t>
      </w:r>
    </w:p>
    <w:p>
      <w:pPr>
        <w:autoSpaceDE w:val="0"/>
        <w:autoSpaceDN w:val="0"/>
        <w:adjustRightInd w:val="0"/>
        <w:spacing w:line="360" w:lineRule="auto"/>
        <w:jc w:val="center"/>
        <w:rPr>
          <w:rFonts w:ascii="宋体" w:cs="宋体"/>
          <w:b/>
          <w:kern w:val="0"/>
          <w:sz w:val="52"/>
        </w:rPr>
      </w:pPr>
    </w:p>
    <w:p>
      <w:pPr>
        <w:autoSpaceDE w:val="0"/>
        <w:autoSpaceDN w:val="0"/>
        <w:adjustRightInd w:val="0"/>
        <w:spacing w:line="360" w:lineRule="auto"/>
        <w:rPr>
          <w:rFonts w:ascii="宋体" w:cs="宋体"/>
          <w:b/>
          <w:kern w:val="0"/>
          <w:sz w:val="52"/>
        </w:rPr>
      </w:pPr>
    </w:p>
    <w:p>
      <w:pPr>
        <w:autoSpaceDE w:val="0"/>
        <w:autoSpaceDN w:val="0"/>
        <w:adjustRightInd w:val="0"/>
        <w:spacing w:line="360" w:lineRule="auto"/>
        <w:ind w:firstLine="843" w:firstLineChars="300"/>
        <w:rPr>
          <w:rFonts w:ascii="宋体" w:cs="宋体"/>
          <w:b/>
          <w:kern w:val="0"/>
          <w:sz w:val="52"/>
        </w:rPr>
      </w:pPr>
      <w:r>
        <w:rPr>
          <w:rFonts w:hint="eastAsia" w:ascii="宋体" w:hAnsi="宋体" w:cs="宋体"/>
          <w:b/>
          <w:kern w:val="0"/>
          <w:sz w:val="28"/>
        </w:rPr>
        <w:t>估价报告编号：</w:t>
      </w:r>
      <w:r>
        <w:rPr>
          <w:rFonts w:hint="eastAsia" w:ascii="宋体" w:hAnsi="宋体" w:cs="宋体"/>
          <w:bCs/>
          <w:caps/>
          <w:kern w:val="0"/>
          <w:sz w:val="28"/>
          <w:szCs w:val="28"/>
        </w:rPr>
        <w:t>昆正序房估字【</w:t>
      </w:r>
      <w:r>
        <w:rPr>
          <w:rFonts w:ascii="宋体" w:hAnsi="宋体" w:cs="宋体"/>
          <w:bCs/>
          <w:caps/>
          <w:kern w:val="0"/>
          <w:sz w:val="28"/>
          <w:szCs w:val="28"/>
        </w:rPr>
        <w:t>20</w:t>
      </w:r>
      <w:r>
        <w:rPr>
          <w:rFonts w:hint="eastAsia" w:ascii="宋体" w:hAnsi="宋体" w:cs="宋体"/>
          <w:bCs/>
          <w:caps/>
          <w:kern w:val="0"/>
          <w:sz w:val="28"/>
          <w:szCs w:val="28"/>
        </w:rPr>
        <w:t>21】第【</w:t>
      </w:r>
      <w:r>
        <w:rPr>
          <w:rFonts w:ascii="宋体" w:hAnsi="宋体" w:cs="宋体"/>
          <w:bCs/>
          <w:caps/>
          <w:kern w:val="0"/>
          <w:sz w:val="28"/>
          <w:szCs w:val="28"/>
        </w:rPr>
        <w:t>KMZ</w:t>
      </w:r>
      <w:r>
        <w:rPr>
          <w:rFonts w:hint="eastAsia" w:ascii="宋体" w:hAnsi="宋体" w:cs="宋体"/>
          <w:bCs/>
          <w:caps/>
          <w:kern w:val="0"/>
          <w:sz w:val="28"/>
          <w:szCs w:val="28"/>
        </w:rPr>
        <w:t>X</w:t>
      </w:r>
      <w:r>
        <w:rPr>
          <w:rFonts w:ascii="宋体" w:hAnsi="宋体" w:cs="宋体"/>
          <w:bCs/>
          <w:caps/>
          <w:kern w:val="0"/>
          <w:sz w:val="28"/>
          <w:szCs w:val="28"/>
        </w:rPr>
        <w:t>S</w:t>
      </w:r>
      <w:r>
        <w:rPr>
          <w:rFonts w:hint="eastAsia" w:ascii="宋体" w:hAnsi="宋体" w:cs="宋体"/>
          <w:bCs/>
          <w:caps/>
          <w:kern w:val="0"/>
          <w:sz w:val="28"/>
          <w:szCs w:val="28"/>
        </w:rPr>
        <w:t>F031】号</w:t>
      </w:r>
    </w:p>
    <w:p>
      <w:pPr>
        <w:tabs>
          <w:tab w:val="left" w:pos="720"/>
          <w:tab w:val="left" w:pos="2160"/>
          <w:tab w:val="left" w:pos="7740"/>
        </w:tabs>
        <w:ind w:left="2806" w:leftChars="399" w:right="31" w:rightChars="15" w:hanging="1968" w:hangingChars="700"/>
        <w:rPr>
          <w:rFonts w:ascii="宋体" w:cs="宋体"/>
          <w:bCs/>
          <w:caps/>
          <w:kern w:val="0"/>
          <w:sz w:val="28"/>
          <w:szCs w:val="28"/>
        </w:rPr>
      </w:pPr>
      <w:r>
        <w:rPr>
          <w:rFonts w:hint="eastAsia" w:ascii="宋体" w:hAnsi="宋体" w:cs="宋体"/>
          <w:b/>
          <w:bCs/>
          <w:kern w:val="0"/>
          <w:sz w:val="28"/>
        </w:rPr>
        <w:t>估价项目名称</w:t>
      </w:r>
      <w:r>
        <w:rPr>
          <w:rFonts w:hint="eastAsia" w:ascii="宋体" w:hAnsi="宋体" w:cs="宋体"/>
          <w:kern w:val="0"/>
          <w:sz w:val="28"/>
        </w:rPr>
        <w:t>：云南省临沧市中级人民法院因案件执行需要委托估价的坐落于临沧市临翔区沧江路与汀旗路交汇处临都上城19幢B单元的251套酒店房地产市场价值评估</w:t>
      </w:r>
    </w:p>
    <w:p>
      <w:pPr>
        <w:ind w:left="2527" w:leftChars="400" w:hanging="1687" w:hangingChars="600"/>
        <w:rPr>
          <w:rFonts w:ascii="宋体" w:cs="宋体"/>
          <w:bCs/>
          <w:caps/>
          <w:kern w:val="0"/>
          <w:sz w:val="28"/>
          <w:szCs w:val="28"/>
        </w:rPr>
      </w:pPr>
      <w:r>
        <w:rPr>
          <w:rFonts w:hint="eastAsia" w:ascii="宋体" w:hAnsi="宋体" w:cs="宋体"/>
          <w:b/>
          <w:kern w:val="0"/>
          <w:sz w:val="28"/>
        </w:rPr>
        <w:t>估价委托人：</w:t>
      </w:r>
      <w:r>
        <w:rPr>
          <w:rFonts w:hint="eastAsia" w:ascii="宋体" w:hAnsi="宋体" w:cs="宋体"/>
          <w:kern w:val="0"/>
          <w:sz w:val="28"/>
        </w:rPr>
        <w:t>云南省临沧市中级人民法院</w:t>
      </w:r>
    </w:p>
    <w:p>
      <w:pPr>
        <w:ind w:left="2527" w:leftChars="400" w:hanging="1687" w:hangingChars="600"/>
        <w:rPr>
          <w:rFonts w:ascii="宋体" w:cs="宋体"/>
          <w:b/>
          <w:kern w:val="0"/>
          <w:sz w:val="28"/>
        </w:rPr>
      </w:pPr>
      <w:r>
        <w:rPr>
          <w:rFonts w:hint="eastAsia" w:ascii="宋体" w:hAnsi="宋体" w:cs="宋体"/>
          <w:b/>
          <w:kern w:val="0"/>
          <w:sz w:val="28"/>
        </w:rPr>
        <w:t>房地产估价机构：</w:t>
      </w:r>
      <w:r>
        <w:rPr>
          <w:rFonts w:hint="eastAsia" w:ascii="宋体" w:hAnsi="宋体" w:cs="宋体"/>
          <w:kern w:val="0"/>
          <w:sz w:val="28"/>
        </w:rPr>
        <w:t>昆明正序房地产土地资产评估有限公司</w:t>
      </w:r>
    </w:p>
    <w:p>
      <w:pPr>
        <w:tabs>
          <w:tab w:val="left" w:pos="3960"/>
        </w:tabs>
        <w:autoSpaceDE w:val="0"/>
        <w:autoSpaceDN w:val="0"/>
        <w:adjustRightInd w:val="0"/>
        <w:spacing w:line="360" w:lineRule="auto"/>
        <w:ind w:firstLine="829" w:firstLineChars="295"/>
        <w:jc w:val="left"/>
        <w:rPr>
          <w:rFonts w:ascii="宋体" w:cs="宋体"/>
          <w:kern w:val="0"/>
          <w:sz w:val="28"/>
        </w:rPr>
      </w:pPr>
      <w:r>
        <w:rPr>
          <w:rFonts w:hint="eastAsia" w:ascii="宋体" w:hAnsi="宋体" w:cs="宋体"/>
          <w:b/>
          <w:kern w:val="0"/>
          <w:sz w:val="28"/>
        </w:rPr>
        <w:t>注册房地产估价师：</w:t>
      </w:r>
      <w:r>
        <w:rPr>
          <w:rFonts w:hint="eastAsia" w:ascii="宋体" w:hAnsi="宋体" w:cs="宋体"/>
          <w:kern w:val="0"/>
          <w:sz w:val="28"/>
        </w:rPr>
        <w:t>邓跃章（注册号</w:t>
      </w:r>
      <w:r>
        <w:rPr>
          <w:rFonts w:ascii="宋体" w:hAnsi="宋体" w:cs="宋体"/>
          <w:sz w:val="28"/>
          <w:szCs w:val="28"/>
        </w:rPr>
        <w:t>5320130012</w:t>
      </w:r>
      <w:r>
        <w:rPr>
          <w:rFonts w:hint="eastAsia" w:ascii="宋体" w:hAnsi="宋体" w:cs="宋体"/>
          <w:kern w:val="0"/>
          <w:sz w:val="28"/>
        </w:rPr>
        <w:t>）</w:t>
      </w:r>
    </w:p>
    <w:p>
      <w:pPr>
        <w:spacing w:line="360" w:lineRule="auto"/>
        <w:ind w:right="-48" w:firstLine="3340" w:firstLineChars="1193"/>
        <w:rPr>
          <w:rFonts w:ascii="宋体" w:cs="宋体"/>
          <w:kern w:val="0"/>
          <w:sz w:val="28"/>
        </w:rPr>
      </w:pPr>
      <w:r>
        <w:rPr>
          <w:rFonts w:hint="eastAsia" w:ascii="宋体" w:hAnsi="宋体" w:cs="宋体"/>
          <w:kern w:val="0"/>
          <w:sz w:val="28"/>
        </w:rPr>
        <w:t>覃新生（注册号</w:t>
      </w:r>
      <w:r>
        <w:rPr>
          <w:rFonts w:ascii="宋体" w:hAnsi="宋体" w:cs="宋体"/>
          <w:kern w:val="0"/>
          <w:sz w:val="28"/>
        </w:rPr>
        <w:t>5320150063</w:t>
      </w:r>
      <w:r>
        <w:rPr>
          <w:rFonts w:hint="eastAsia" w:ascii="宋体" w:hAnsi="宋体" w:cs="宋体"/>
          <w:kern w:val="0"/>
          <w:sz w:val="28"/>
        </w:rPr>
        <w:t>）</w:t>
      </w:r>
    </w:p>
    <w:p>
      <w:pPr>
        <w:spacing w:line="360" w:lineRule="auto"/>
        <w:ind w:right="-48" w:firstLine="829" w:firstLineChars="295"/>
        <w:rPr>
          <w:rFonts w:ascii="宋体" w:cs="宋体"/>
          <w:sz w:val="28"/>
          <w:szCs w:val="28"/>
        </w:rPr>
      </w:pPr>
      <w:r>
        <w:rPr>
          <w:rFonts w:hint="eastAsia" w:ascii="宋体" w:hAnsi="宋体" w:cs="宋体"/>
          <w:b/>
          <w:kern w:val="0"/>
          <w:sz w:val="28"/>
        </w:rPr>
        <w:t>价值时点：</w:t>
      </w:r>
      <w:r>
        <w:rPr>
          <w:rFonts w:ascii="宋体" w:hAnsi="宋体" w:cs="宋体"/>
          <w:sz w:val="28"/>
          <w:szCs w:val="28"/>
        </w:rPr>
        <w:t>2021年05月31日</w:t>
      </w:r>
    </w:p>
    <w:p>
      <w:pPr>
        <w:spacing w:line="360" w:lineRule="auto"/>
        <w:ind w:right="-48" w:firstLine="829" w:firstLineChars="295"/>
        <w:rPr>
          <w:rFonts w:ascii="宋体" w:cs="宋体"/>
          <w:sz w:val="28"/>
          <w:szCs w:val="28"/>
        </w:rPr>
      </w:pPr>
      <w:r>
        <w:rPr>
          <w:rFonts w:hint="eastAsia" w:ascii="宋体" w:hAnsi="宋体" w:cs="宋体"/>
          <w:b/>
          <w:kern w:val="0"/>
          <w:sz w:val="28"/>
        </w:rPr>
        <w:t>估价作业期：</w:t>
      </w:r>
      <w:r>
        <w:rPr>
          <w:rFonts w:ascii="宋体" w:hAnsi="宋体" w:cs="宋体"/>
          <w:kern w:val="0"/>
          <w:sz w:val="28"/>
        </w:rPr>
        <w:t>2021年05月31日</w:t>
      </w:r>
      <w:r>
        <w:rPr>
          <w:rFonts w:hint="eastAsia" w:ascii="宋体" w:hAnsi="宋体" w:cs="宋体"/>
          <w:kern w:val="0"/>
          <w:sz w:val="28"/>
        </w:rPr>
        <w:t>至</w:t>
      </w:r>
      <w:r>
        <w:rPr>
          <w:rFonts w:ascii="宋体" w:hAnsi="宋体" w:cs="宋体"/>
          <w:kern w:val="0"/>
          <w:sz w:val="28"/>
        </w:rPr>
        <w:t>2021年</w:t>
      </w:r>
      <w:r>
        <w:rPr>
          <w:rFonts w:hint="eastAsia" w:ascii="宋体" w:hAnsi="宋体" w:cs="宋体"/>
          <w:kern w:val="0"/>
          <w:sz w:val="28"/>
        </w:rPr>
        <w:t>12</w:t>
      </w:r>
      <w:r>
        <w:rPr>
          <w:rFonts w:ascii="宋体" w:hAnsi="宋体" w:cs="宋体"/>
          <w:kern w:val="0"/>
          <w:sz w:val="28"/>
        </w:rPr>
        <w:t>月</w:t>
      </w:r>
      <w:r>
        <w:rPr>
          <w:rFonts w:hint="eastAsia" w:ascii="宋体" w:hAnsi="宋体" w:cs="宋体"/>
          <w:kern w:val="0"/>
          <w:sz w:val="28"/>
        </w:rPr>
        <w:t>2</w:t>
      </w:r>
      <w:r>
        <w:rPr>
          <w:rFonts w:ascii="宋体" w:hAnsi="宋体" w:cs="宋体"/>
          <w:kern w:val="0"/>
          <w:sz w:val="28"/>
        </w:rPr>
        <w:t>2日</w:t>
      </w:r>
    </w:p>
    <w:p>
      <w:pPr>
        <w:spacing w:line="360" w:lineRule="auto"/>
        <w:ind w:right="-48" w:firstLine="829" w:firstLineChars="295"/>
        <w:rPr>
          <w:rFonts w:ascii="宋体" w:cs="宋体"/>
          <w:sz w:val="28"/>
          <w:szCs w:val="28"/>
        </w:rPr>
      </w:pPr>
      <w:r>
        <w:rPr>
          <w:rFonts w:hint="eastAsia" w:ascii="宋体" w:hAnsi="宋体" w:cs="宋体"/>
          <w:b/>
          <w:kern w:val="0"/>
          <w:sz w:val="28"/>
        </w:rPr>
        <w:t>估价报告出具日期：</w:t>
      </w:r>
      <w:r>
        <w:rPr>
          <w:rFonts w:hint="eastAsia" w:ascii="宋体" w:hAnsi="宋体" w:cs="宋体"/>
          <w:kern w:val="0"/>
          <w:sz w:val="28"/>
        </w:rPr>
        <w:t>2021年12月22日</w:t>
      </w:r>
    </w:p>
    <w:p>
      <w:pPr>
        <w:spacing w:line="560" w:lineRule="exact"/>
        <w:ind w:right="-48"/>
        <w:jc w:val="center"/>
        <w:outlineLvl w:val="0"/>
        <w:rPr>
          <w:rFonts w:ascii="宋体" w:cs="宋体"/>
          <w:b/>
          <w:bCs/>
          <w:sz w:val="36"/>
          <w:szCs w:val="36"/>
        </w:rPr>
      </w:pPr>
      <w:r>
        <w:rPr>
          <w:rFonts w:ascii="宋体" w:cs="宋体"/>
          <w:b/>
          <w:sz w:val="44"/>
          <w:szCs w:val="44"/>
        </w:rPr>
        <w:br w:type="page"/>
      </w:r>
      <w:bookmarkStart w:id="0" w:name="_Toc14770"/>
      <w:bookmarkStart w:id="1" w:name="_Toc31194"/>
      <w:bookmarkStart w:id="2" w:name="_Toc26717"/>
      <w:bookmarkStart w:id="3" w:name="_Toc29360"/>
      <w:bookmarkStart w:id="4" w:name="_Toc8453"/>
      <w:bookmarkStart w:id="5" w:name="_Toc17408"/>
      <w:bookmarkStart w:id="6" w:name="_Toc445907649"/>
      <w:bookmarkStart w:id="7" w:name="_Toc22218"/>
      <w:bookmarkStart w:id="8" w:name="_Toc648"/>
      <w:bookmarkStart w:id="9" w:name="_Toc25896"/>
      <w:bookmarkStart w:id="10" w:name="_Toc457982798"/>
      <w:bookmarkStart w:id="11" w:name="_Toc457982742"/>
      <w:bookmarkStart w:id="12" w:name="_Toc18926"/>
      <w:bookmarkStart w:id="13" w:name="_Toc31555"/>
      <w:bookmarkStart w:id="14" w:name="_Toc31942"/>
      <w:bookmarkStart w:id="15" w:name="_Toc14287"/>
      <w:bookmarkStart w:id="16" w:name="_Toc26390"/>
      <w:bookmarkStart w:id="17" w:name="_Toc18557"/>
      <w:bookmarkStart w:id="18" w:name="_Toc29728"/>
      <w:bookmarkStart w:id="19" w:name="_Toc16668"/>
      <w:bookmarkStart w:id="20" w:name="_Toc6418"/>
      <w:bookmarkStart w:id="21" w:name="_Toc18894"/>
      <w:bookmarkStart w:id="22" w:name="_Toc378495824"/>
      <w:bookmarkStart w:id="23" w:name="_Toc355786929"/>
      <w:bookmarkStart w:id="24" w:name="_Toc445907648"/>
      <w:bookmarkStart w:id="25" w:name="_Toc357774356"/>
      <w:bookmarkStart w:id="26" w:name="_Toc378591653"/>
      <w:bookmarkStart w:id="27" w:name="_Toc378590539"/>
      <w:r>
        <w:rPr>
          <w:rFonts w:hint="eastAsia" w:ascii="宋体" w:hAnsi="宋体" w:cs="宋体"/>
          <w:b/>
          <w:bCs/>
          <w:sz w:val="36"/>
          <w:szCs w:val="36"/>
        </w:rPr>
        <w:t>致估价委托人函</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spacing w:line="360" w:lineRule="auto"/>
        <w:ind w:firstLine="562" w:firstLineChars="200"/>
        <w:rPr>
          <w:rFonts w:ascii="宋体" w:cs="宋体"/>
          <w:bCs/>
          <w:caps/>
          <w:kern w:val="0"/>
          <w:sz w:val="28"/>
          <w:szCs w:val="28"/>
        </w:rPr>
      </w:pPr>
      <w:r>
        <w:rPr>
          <w:rFonts w:hint="eastAsia" w:ascii="宋体" w:hAnsi="宋体" w:cs="宋体"/>
          <w:b/>
          <w:kern w:val="0"/>
          <w:sz w:val="28"/>
        </w:rPr>
        <w:t>致函对象：</w:t>
      </w:r>
      <w:r>
        <w:rPr>
          <w:rFonts w:hint="eastAsia" w:ascii="宋体" w:hAnsi="宋体" w:cs="宋体"/>
          <w:kern w:val="0"/>
          <w:sz w:val="28"/>
        </w:rPr>
        <w:t>云南省临沧市中级人民法院</w:t>
      </w:r>
      <w:r>
        <w:rPr>
          <w:rFonts w:hint="eastAsia" w:ascii="宋体" w:hAnsi="宋体" w:cs="宋体"/>
          <w:bCs/>
          <w:caps/>
          <w:kern w:val="0"/>
          <w:sz w:val="28"/>
          <w:szCs w:val="28"/>
        </w:rPr>
        <w:t>。</w:t>
      </w:r>
    </w:p>
    <w:p>
      <w:pPr>
        <w:spacing w:line="360" w:lineRule="auto"/>
        <w:ind w:firstLine="551" w:firstLineChars="196"/>
        <w:rPr>
          <w:rFonts w:ascii="宋体" w:hAnsi="宋体" w:cs="宋体"/>
          <w:sz w:val="28"/>
        </w:rPr>
      </w:pPr>
      <w:r>
        <w:rPr>
          <w:rFonts w:hint="eastAsia" w:ascii="宋体" w:hAnsi="宋体" w:cs="宋体"/>
          <w:b/>
          <w:kern w:val="0"/>
          <w:sz w:val="28"/>
        </w:rPr>
        <w:t>估价目的：</w:t>
      </w:r>
      <w:r>
        <w:rPr>
          <w:rFonts w:hint="eastAsia" w:ascii="宋体" w:hAnsi="宋体" w:cs="宋体"/>
          <w:sz w:val="28"/>
        </w:rPr>
        <w:t>为人民法院确定执行案件处置价提供参考依据而评估被执行房地产的市场价值。</w:t>
      </w:r>
    </w:p>
    <w:p>
      <w:pPr>
        <w:spacing w:line="360" w:lineRule="auto"/>
        <w:ind w:firstLine="551" w:firstLineChars="196"/>
        <w:rPr>
          <w:rFonts w:ascii="宋体" w:cs="宋体"/>
          <w:sz w:val="28"/>
        </w:rPr>
      </w:pPr>
      <w:r>
        <w:rPr>
          <w:rFonts w:hint="eastAsia" w:ascii="宋体" w:hAnsi="宋体" w:cs="宋体"/>
          <w:b/>
          <w:sz w:val="28"/>
        </w:rPr>
        <w:t>估价对象：</w:t>
      </w:r>
      <w:r>
        <w:rPr>
          <w:rFonts w:hint="eastAsia" w:ascii="宋体" w:hAnsi="宋体" w:cs="宋体"/>
          <w:sz w:val="28"/>
        </w:rPr>
        <w:t>本次评估的估价对象为坐落于</w:t>
      </w:r>
      <w:r>
        <w:rPr>
          <w:rFonts w:hint="eastAsia" w:ascii="宋体" w:hAnsi="宋体" w:cs="宋体"/>
          <w:kern w:val="0"/>
          <w:sz w:val="28"/>
        </w:rPr>
        <w:t>临沧市临翔区沧江路与汀旗路交汇处临都上城19幢B单元房源中的251套</w:t>
      </w:r>
      <w:r>
        <w:rPr>
          <w:rFonts w:hint="eastAsia" w:ascii="宋体" w:hAnsi="宋体" w:cs="宋体"/>
          <w:sz w:val="28"/>
        </w:rPr>
        <w:t>房地产；财产范围包括建筑物、装饰装修、占用的土地使用权及公共配套设施；不包括动产、债权债务、特许经营权等其他财产或权益；房屋总建筑面积：14628.17㎡，房屋占用的土地使用权面积：2547.41㎡，登记用途：酒店，房屋总层数20层，建筑结构：钢筋混凝土结构。土地使用权者：临沧市金城房地产开发有限公司，土地证号：临国用（</w:t>
      </w:r>
      <w:r>
        <w:rPr>
          <w:rFonts w:ascii="宋体" w:hAnsi="宋体" w:cs="宋体"/>
          <w:sz w:val="28"/>
        </w:rPr>
        <w:t>200</w:t>
      </w:r>
      <w:r>
        <w:rPr>
          <w:rFonts w:hint="eastAsia" w:ascii="宋体" w:hAnsi="宋体" w:cs="宋体"/>
          <w:sz w:val="28"/>
        </w:rPr>
        <w:t>5）第0969号，土地用途：城镇住宅用地，土地使用权类型：出让。</w:t>
      </w:r>
    </w:p>
    <w:p>
      <w:pPr>
        <w:autoSpaceDE w:val="0"/>
        <w:autoSpaceDN w:val="0"/>
        <w:adjustRightInd w:val="0"/>
        <w:spacing w:line="360" w:lineRule="auto"/>
        <w:ind w:firstLine="562" w:firstLineChars="200"/>
        <w:jc w:val="left"/>
        <w:rPr>
          <w:rFonts w:ascii="宋体" w:cs="宋体"/>
          <w:bCs/>
          <w:sz w:val="28"/>
        </w:rPr>
      </w:pPr>
      <w:r>
        <w:rPr>
          <w:rFonts w:hint="eastAsia" w:ascii="宋体" w:hAnsi="宋体" w:cs="宋体"/>
          <w:b/>
          <w:kern w:val="0"/>
          <w:sz w:val="28"/>
        </w:rPr>
        <w:t>价值时点：</w:t>
      </w:r>
      <w:r>
        <w:rPr>
          <w:rFonts w:ascii="宋体" w:hAnsi="宋体" w:cs="宋体"/>
          <w:bCs/>
          <w:sz w:val="28"/>
        </w:rPr>
        <w:t>2021年05月31日</w:t>
      </w:r>
      <w:r>
        <w:rPr>
          <w:rFonts w:hint="eastAsia" w:ascii="宋体" w:hAnsi="宋体" w:cs="宋体"/>
          <w:bCs/>
          <w:sz w:val="28"/>
        </w:rPr>
        <w:t>。</w:t>
      </w:r>
    </w:p>
    <w:p>
      <w:pPr>
        <w:tabs>
          <w:tab w:val="left" w:pos="900"/>
          <w:tab w:val="left" w:pos="7965"/>
        </w:tabs>
        <w:spacing w:line="360" w:lineRule="auto"/>
        <w:ind w:firstLine="562" w:firstLineChars="200"/>
        <w:outlineLvl w:val="1"/>
        <w:rPr>
          <w:rFonts w:ascii="宋体" w:cs="宋体"/>
          <w:sz w:val="28"/>
        </w:rPr>
      </w:pPr>
      <w:bookmarkStart w:id="28" w:name="_Toc1737"/>
      <w:bookmarkStart w:id="29" w:name="_Toc22744"/>
      <w:bookmarkStart w:id="30" w:name="_Toc5338"/>
      <w:bookmarkStart w:id="31" w:name="_Toc20411"/>
      <w:bookmarkStart w:id="32" w:name="_Toc457982799"/>
      <w:bookmarkStart w:id="33" w:name="_Toc15213"/>
      <w:bookmarkStart w:id="34" w:name="_Toc26012"/>
      <w:bookmarkStart w:id="35" w:name="_Toc3308"/>
      <w:bookmarkStart w:id="36" w:name="_Toc457982743"/>
      <w:bookmarkStart w:id="37" w:name="_Toc5037"/>
      <w:bookmarkStart w:id="38" w:name="_Toc9273"/>
      <w:bookmarkStart w:id="39" w:name="_Toc31636"/>
      <w:bookmarkStart w:id="40" w:name="_Toc1137"/>
      <w:bookmarkStart w:id="41" w:name="_Toc14973"/>
      <w:r>
        <w:rPr>
          <w:rFonts w:hint="eastAsia" w:ascii="宋体" w:hAnsi="宋体" w:cs="宋体"/>
          <w:b/>
          <w:kern w:val="0"/>
          <w:sz w:val="28"/>
        </w:rPr>
        <w:t>价值类型：</w:t>
      </w:r>
      <w:r>
        <w:rPr>
          <w:rFonts w:hint="eastAsia" w:ascii="宋体" w:hAnsi="宋体" w:cs="宋体"/>
          <w:sz w:val="28"/>
        </w:rPr>
        <w:t>市场价值，是指估价对象经适当营销后，由熟悉情况、谨慎行事且不受强迫的交易双方，以公平交易方式在价值时点自愿进行交易的金额。</w:t>
      </w:r>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hint="eastAsia" w:ascii="宋体" w:hAnsi="宋体" w:cs="宋体"/>
          <w:sz w:val="28"/>
        </w:rPr>
        <w:t xml:space="preserve">                                                                                 </w:t>
      </w:r>
    </w:p>
    <w:p>
      <w:pPr>
        <w:autoSpaceDE w:val="0"/>
        <w:autoSpaceDN w:val="0"/>
        <w:adjustRightInd w:val="0"/>
        <w:spacing w:line="360" w:lineRule="auto"/>
        <w:ind w:firstLine="562" w:firstLineChars="200"/>
        <w:jc w:val="left"/>
        <w:rPr>
          <w:rFonts w:ascii="宋体" w:cs="宋体"/>
          <w:bCs/>
          <w:sz w:val="28"/>
        </w:rPr>
      </w:pPr>
      <w:r>
        <w:rPr>
          <w:rFonts w:hint="eastAsia" w:ascii="宋体" w:hAnsi="宋体" w:cs="宋体"/>
          <w:b/>
          <w:kern w:val="0"/>
          <w:sz w:val="28"/>
        </w:rPr>
        <w:t>估价方法：</w:t>
      </w:r>
      <w:r>
        <w:rPr>
          <w:rFonts w:hint="eastAsia" w:ascii="宋体" w:hAnsi="宋体" w:cs="宋体"/>
          <w:bCs/>
          <w:sz w:val="28"/>
        </w:rPr>
        <w:t>假设开发法。</w:t>
      </w:r>
    </w:p>
    <w:p>
      <w:pPr>
        <w:spacing w:line="360" w:lineRule="auto"/>
        <w:ind w:firstLine="562" w:firstLineChars="200"/>
        <w:rPr>
          <w:rFonts w:ascii="宋体" w:cs="宋体"/>
          <w:sz w:val="28"/>
        </w:rPr>
      </w:pPr>
      <w:r>
        <w:rPr>
          <w:rFonts w:hint="eastAsia" w:ascii="宋体" w:hAnsi="宋体" w:cs="宋体"/>
          <w:b/>
          <w:sz w:val="28"/>
        </w:rPr>
        <w:t>估价结果</w:t>
      </w:r>
      <w:r>
        <w:rPr>
          <w:rFonts w:hint="eastAsia" w:ascii="宋体" w:hAnsi="宋体" w:cs="宋体"/>
          <w:b/>
        </w:rPr>
        <w:t>：</w:t>
      </w:r>
      <w:r>
        <w:rPr>
          <w:rFonts w:hint="eastAsia" w:ascii="宋体" w:hAnsi="宋体" w:cs="宋体"/>
          <w:sz w:val="28"/>
          <w:szCs w:val="28"/>
        </w:rPr>
        <w:t>本估价机构依据估价委托人提供的作为估价基础的相关资料，根据国家标准</w:t>
      </w:r>
      <w:r>
        <w:rPr>
          <w:rFonts w:hint="eastAsia" w:ascii="宋体" w:hAnsi="宋体" w:cs="宋体"/>
          <w:sz w:val="28"/>
        </w:rPr>
        <w:t>《房地产估价规范》（</w:t>
      </w:r>
      <w:r>
        <w:rPr>
          <w:rFonts w:ascii="宋体" w:hAnsi="宋体" w:cs="宋体"/>
          <w:sz w:val="28"/>
        </w:rPr>
        <w:t>GB/T50291—2015</w:t>
      </w:r>
      <w:r>
        <w:rPr>
          <w:rFonts w:hint="eastAsia" w:ascii="宋体" w:hAnsi="宋体" w:cs="宋体"/>
          <w:sz w:val="28"/>
        </w:rPr>
        <w:t>）、《房地产估价基本术语标准》（</w:t>
      </w:r>
      <w:r>
        <w:rPr>
          <w:rFonts w:ascii="宋体" w:hAnsi="宋体" w:cs="宋体"/>
          <w:sz w:val="28"/>
        </w:rPr>
        <w:t>GB/T50899—2013</w:t>
      </w:r>
      <w:r>
        <w:rPr>
          <w:rFonts w:hint="eastAsia" w:ascii="宋体" w:hAnsi="宋体" w:cs="宋体"/>
          <w:sz w:val="28"/>
        </w:rPr>
        <w:t>）及国家相关法律、法规和政策规定</w:t>
      </w:r>
      <w:r>
        <w:rPr>
          <w:rFonts w:hint="eastAsia" w:ascii="宋体" w:hAnsi="宋体" w:cs="宋体"/>
          <w:sz w:val="28"/>
          <w:szCs w:val="28"/>
        </w:rPr>
        <w:t>，根据估价目的，遵循估价原则和估价依据，按照估价程序，在实施现场查勘、实物拍照、收集资料、市场调查与询证后，采用公认的、适宜的房地产估价方法，本着“独立、客观、公正”的原则，在认真分析评估基础资料及深入市场调查的基础上，结合注册房地产估价师经验判断与对影响房地产市场价值因素的分析，在满足本估价报告中已说明的估价假设和限制条件下，经过评估测算，最终确定估价对象在满足本报告价值类型及价值内涵设定条件下，估价对象</w:t>
      </w:r>
      <w:r>
        <w:rPr>
          <w:rFonts w:hint="eastAsia" w:ascii="宋体" w:hAnsi="宋体" w:cs="宋体"/>
          <w:sz w:val="28"/>
        </w:rPr>
        <w:t>于价值时点</w:t>
      </w:r>
      <w:r>
        <w:rPr>
          <w:rFonts w:ascii="宋体" w:hAnsi="宋体" w:cs="宋体"/>
          <w:bCs/>
          <w:sz w:val="28"/>
        </w:rPr>
        <w:t>2021年05月31日</w:t>
      </w:r>
      <w:r>
        <w:rPr>
          <w:rFonts w:hint="eastAsia" w:ascii="宋体" w:hAnsi="宋体" w:cs="宋体"/>
          <w:sz w:val="28"/>
        </w:rPr>
        <w:t>的市场价值评估结果如下：</w:t>
      </w:r>
    </w:p>
    <w:p>
      <w:pPr>
        <w:spacing w:line="360" w:lineRule="auto"/>
        <w:ind w:firstLine="560" w:firstLineChars="200"/>
        <w:rPr>
          <w:rFonts w:ascii="宋体" w:cs="宋体"/>
          <w:sz w:val="28"/>
          <w:szCs w:val="28"/>
        </w:rPr>
      </w:pPr>
      <w:r>
        <w:rPr>
          <w:rFonts w:hint="eastAsia" w:ascii="宋体" w:hAnsi="宋体" w:cs="宋体"/>
          <w:sz w:val="28"/>
        </w:rPr>
        <w:t>评估价值：人民币8430.99万元；大写：</w:t>
      </w:r>
      <w:r>
        <w:rPr>
          <w:rFonts w:hint="eastAsia" w:ascii="宋体" w:cs="宋体"/>
          <w:sz w:val="28"/>
          <w:szCs w:val="28"/>
        </w:rPr>
        <w:t>人民币</w:t>
      </w:r>
      <w:r>
        <w:rPr>
          <w:rFonts w:hint="eastAsia" w:ascii="宋体" w:hAnsi="宋体" w:cs="宋体"/>
          <w:sz w:val="28"/>
        </w:rPr>
        <w:fldChar w:fldCharType="begin"/>
      </w:r>
      <w:r>
        <w:rPr>
          <w:rFonts w:hint="eastAsia" w:ascii="宋体" w:hAnsi="宋体" w:cs="宋体"/>
          <w:sz w:val="28"/>
        </w:rPr>
        <w:instrText xml:space="preserve"> = 6412361 \* CHINESENUM2 \* MERGEFORMAT </w:instrText>
      </w:r>
      <w:r>
        <w:rPr>
          <w:rFonts w:hint="eastAsia" w:ascii="宋体" w:hAnsi="宋体" w:cs="宋体"/>
          <w:sz w:val="28"/>
        </w:rPr>
        <w:fldChar w:fldCharType="separate"/>
      </w:r>
      <w:r>
        <w:rPr>
          <w:rFonts w:hint="eastAsia" w:ascii="宋体" w:hAnsi="宋体" w:cs="宋体"/>
          <w:sz w:val="28"/>
        </w:rPr>
        <w:t>捌仟肆佰叁拾万玖仟玖佰</w:t>
      </w:r>
      <w:r>
        <w:rPr>
          <w:rFonts w:hint="eastAsia" w:ascii="宋体" w:hAnsi="宋体" w:cs="宋体"/>
          <w:sz w:val="28"/>
        </w:rPr>
        <w:fldChar w:fldCharType="end"/>
      </w:r>
      <w:r>
        <w:rPr>
          <w:rFonts w:hint="eastAsia" w:ascii="宋体" w:cs="宋体"/>
          <w:sz w:val="28"/>
          <w:szCs w:val="28"/>
        </w:rPr>
        <w:t>元整。</w:t>
      </w:r>
    </w:p>
    <w:p>
      <w:pPr>
        <w:spacing w:line="360" w:lineRule="auto"/>
        <w:ind w:firstLine="560" w:firstLineChars="200"/>
        <w:rPr>
          <w:rFonts w:ascii="宋体" w:cs="宋体"/>
          <w:sz w:val="28"/>
          <w:szCs w:val="28"/>
        </w:rPr>
      </w:pPr>
      <w:r>
        <w:rPr>
          <w:rFonts w:hint="eastAsia" w:ascii="宋体" w:cs="宋体"/>
          <w:sz w:val="28"/>
          <w:szCs w:val="28"/>
        </w:rPr>
        <w:t>综合评估单价：人民币</w:t>
      </w:r>
      <w:r>
        <w:rPr>
          <w:rFonts w:hint="eastAsia" w:ascii="宋体" w:hAnsi="宋体" w:cs="宋体"/>
          <w:sz w:val="28"/>
        </w:rPr>
        <w:t>5764</w:t>
      </w:r>
      <w:r>
        <w:rPr>
          <w:rFonts w:hint="eastAsia" w:ascii="宋体" w:cs="宋体"/>
          <w:sz w:val="28"/>
          <w:szCs w:val="28"/>
        </w:rPr>
        <w:t>元</w:t>
      </w:r>
      <w:r>
        <w:rPr>
          <w:rFonts w:ascii="宋体" w:cs="宋体"/>
          <w:sz w:val="28"/>
          <w:szCs w:val="28"/>
        </w:rPr>
        <w:t>/</w:t>
      </w:r>
      <w:r>
        <w:rPr>
          <w:rFonts w:hint="eastAsia" w:ascii="宋体" w:cs="宋体"/>
          <w:sz w:val="28"/>
          <w:szCs w:val="28"/>
        </w:rPr>
        <w:t>平方米；大写：人民币每平方米伍仟柒佰陆拾肆元整。</w:t>
      </w:r>
    </w:p>
    <w:p>
      <w:pPr>
        <w:spacing w:line="360" w:lineRule="auto"/>
        <w:ind w:firstLine="560" w:firstLineChars="200"/>
        <w:rPr>
          <w:rFonts w:ascii="宋体" w:cs="宋体"/>
          <w:sz w:val="28"/>
          <w:szCs w:val="28"/>
        </w:rPr>
      </w:pPr>
      <w:r>
        <w:rPr>
          <w:rFonts w:hint="eastAsia" w:ascii="宋体" w:cs="宋体"/>
          <w:sz w:val="28"/>
          <w:szCs w:val="28"/>
        </w:rPr>
        <w:t>具体情况详见：估价结果报告中的估价结果汇总表、估价结果明细表。</w:t>
      </w:r>
    </w:p>
    <w:p>
      <w:pPr>
        <w:spacing w:line="360" w:lineRule="auto"/>
        <w:ind w:firstLine="562" w:firstLineChars="200"/>
        <w:rPr>
          <w:rFonts w:ascii="宋体" w:cs="宋体"/>
          <w:b/>
          <w:kern w:val="0"/>
          <w:sz w:val="28"/>
        </w:rPr>
      </w:pPr>
      <w:r>
        <w:rPr>
          <w:rFonts w:hint="eastAsia" w:ascii="宋体" w:hAnsi="宋体" w:cs="宋体"/>
          <w:b/>
          <w:kern w:val="0"/>
          <w:sz w:val="28"/>
        </w:rPr>
        <w:t>特别提示：</w:t>
      </w:r>
    </w:p>
    <w:p>
      <w:pPr>
        <w:spacing w:line="360" w:lineRule="auto"/>
        <w:ind w:firstLine="560" w:firstLineChars="200"/>
        <w:rPr>
          <w:rFonts w:ascii="宋体" w:hAnsi="宋体" w:cs="宋体"/>
          <w:sz w:val="28"/>
        </w:rPr>
      </w:pPr>
      <w:r>
        <w:rPr>
          <w:rFonts w:hint="eastAsia" w:ascii="宋体" w:hAnsi="宋体" w:cs="宋体"/>
          <w:sz w:val="28"/>
        </w:rPr>
        <w:t>1、以上内容摘自</w:t>
      </w:r>
      <w:r>
        <w:rPr>
          <w:rFonts w:hint="eastAsia" w:ascii="宋体" w:hAnsi="宋体" w:cs="宋体"/>
          <w:bCs/>
          <w:caps/>
          <w:kern w:val="0"/>
          <w:sz w:val="28"/>
          <w:szCs w:val="28"/>
        </w:rPr>
        <w:t>昆正序房估字【</w:t>
      </w:r>
      <w:r>
        <w:rPr>
          <w:rFonts w:ascii="宋体" w:hAnsi="宋体" w:cs="宋体"/>
          <w:bCs/>
          <w:caps/>
          <w:kern w:val="0"/>
          <w:sz w:val="28"/>
          <w:szCs w:val="28"/>
        </w:rPr>
        <w:t>20</w:t>
      </w:r>
      <w:r>
        <w:rPr>
          <w:rFonts w:hint="eastAsia" w:ascii="宋体" w:hAnsi="宋体" w:cs="宋体"/>
          <w:bCs/>
          <w:caps/>
          <w:kern w:val="0"/>
          <w:sz w:val="28"/>
          <w:szCs w:val="28"/>
        </w:rPr>
        <w:t>21】第【</w:t>
      </w:r>
      <w:r>
        <w:rPr>
          <w:rFonts w:ascii="宋体" w:hAnsi="宋体" w:cs="宋体"/>
          <w:bCs/>
          <w:caps/>
          <w:kern w:val="0"/>
          <w:sz w:val="28"/>
          <w:szCs w:val="28"/>
        </w:rPr>
        <w:t>KMZ</w:t>
      </w:r>
      <w:r>
        <w:rPr>
          <w:rFonts w:hint="eastAsia" w:ascii="宋体" w:hAnsi="宋体" w:cs="宋体"/>
          <w:bCs/>
          <w:caps/>
          <w:kern w:val="0"/>
          <w:sz w:val="28"/>
          <w:szCs w:val="28"/>
        </w:rPr>
        <w:t>X</w:t>
      </w:r>
      <w:r>
        <w:rPr>
          <w:rFonts w:ascii="宋体" w:hAnsi="宋体" w:cs="宋体"/>
          <w:bCs/>
          <w:caps/>
          <w:kern w:val="0"/>
          <w:sz w:val="28"/>
          <w:szCs w:val="28"/>
        </w:rPr>
        <w:t>S</w:t>
      </w:r>
      <w:r>
        <w:rPr>
          <w:rFonts w:hint="eastAsia" w:ascii="宋体" w:hAnsi="宋体" w:cs="宋体"/>
          <w:bCs/>
          <w:caps/>
          <w:kern w:val="0"/>
          <w:sz w:val="28"/>
          <w:szCs w:val="28"/>
        </w:rPr>
        <w:t>F031】号房地产估价报告。欲了解本估价项目的全面情况，请认真阅读附后的房地产估价报告书全文。</w:t>
      </w:r>
    </w:p>
    <w:p>
      <w:pPr>
        <w:pStyle w:val="100"/>
        <w:ind w:firstLine="560"/>
        <w:rPr>
          <w:rFonts w:ascii="宋体" w:hAnsi="宋体" w:cs="宋体"/>
        </w:rPr>
      </w:pPr>
      <w:r>
        <w:rPr>
          <w:rFonts w:hint="eastAsia" w:ascii="宋体" w:hAnsi="宋体" w:cs="宋体"/>
        </w:rPr>
        <w:t>2、本报告评估价值由估价对象房屋及其占用土地共同作用并发挥效用所体现的市场价值，以及估价对象区域内共用的基础设施使用权价值、公共配套设施设备使用权价值、客观合理的估价对象房屋室内外装饰装修价值、依附于该不动产上不可分割、不可移动的附属设施价值等共同构成。评估过程中不考虑估价对象租赁、抵押、担保、查封、保全、冻结、快速变现等因素对估价对象价值造成的影响。评估价值不包括估价对象被迫转让或案件执行过程中所发生或应交纳的税、费以及处置过程中所发生或应交纳的拖欠物业管理费、水电费、煤气费、有线电视费等费用和款项，不包括家具家电等可移动的动产部分的价值以及非组成房地产价值成分的价值</w:t>
      </w:r>
      <w:r>
        <w:rPr>
          <w:rFonts w:ascii="宋体" w:hAnsi="宋体" w:cs="宋体"/>
        </w:rPr>
        <w:t>，不包括出租给租户自行装修的室内装修部分的价值</w:t>
      </w:r>
      <w:r>
        <w:rPr>
          <w:rFonts w:hint="eastAsia" w:ascii="宋体" w:hAnsi="宋体" w:cs="宋体"/>
        </w:rPr>
        <w:t>。</w:t>
      </w:r>
    </w:p>
    <w:p>
      <w:pPr>
        <w:pStyle w:val="100"/>
        <w:ind w:firstLine="560"/>
        <w:rPr>
          <w:rFonts w:ascii="宋体" w:cs="宋体"/>
        </w:rPr>
      </w:pPr>
    </w:p>
    <w:p>
      <w:pPr>
        <w:autoSpaceDE w:val="0"/>
        <w:autoSpaceDN w:val="0"/>
        <w:adjustRightInd w:val="0"/>
        <w:spacing w:line="360" w:lineRule="auto"/>
        <w:ind w:firstLine="560" w:firstLineChars="200"/>
        <w:jc w:val="left"/>
        <w:rPr>
          <w:rFonts w:ascii="宋体" w:cs="宋体"/>
          <w:sz w:val="28"/>
        </w:rPr>
      </w:pPr>
      <w:r>
        <w:rPr>
          <w:rFonts w:hint="eastAsia" w:ascii="宋体" w:hAnsi="宋体" w:cs="宋体"/>
          <w:sz w:val="28"/>
        </w:rPr>
        <w:t>3、本估价报告仅用于为估价委托人执行案件需要提供拟进行司法拍卖的房地产市场价值参考意见时使用，不得用于其他用途。当用于其他用途时，本报告自行失效。</w:t>
      </w:r>
    </w:p>
    <w:p>
      <w:pPr>
        <w:autoSpaceDE w:val="0"/>
        <w:autoSpaceDN w:val="0"/>
        <w:adjustRightInd w:val="0"/>
        <w:spacing w:line="360" w:lineRule="auto"/>
        <w:ind w:firstLine="560" w:firstLineChars="200"/>
        <w:jc w:val="left"/>
        <w:rPr>
          <w:rFonts w:ascii="宋体" w:cs="宋体"/>
          <w:sz w:val="28"/>
        </w:rPr>
      </w:pPr>
      <w:r>
        <w:rPr>
          <w:rFonts w:hint="eastAsia" w:ascii="宋体" w:hAnsi="宋体" w:cs="宋体"/>
          <w:sz w:val="28"/>
        </w:rPr>
        <w:t>4、使用本估价结果请仔细阅读本估价报告中的估价假设和限制条件。</w:t>
      </w:r>
    </w:p>
    <w:p>
      <w:pPr>
        <w:autoSpaceDE w:val="0"/>
        <w:autoSpaceDN w:val="0"/>
        <w:adjustRightInd w:val="0"/>
        <w:spacing w:line="360" w:lineRule="auto"/>
        <w:ind w:firstLine="570"/>
        <w:jc w:val="left"/>
        <w:rPr>
          <w:rFonts w:ascii="宋体" w:hAnsi="宋体" w:cs="宋体"/>
          <w:sz w:val="28"/>
        </w:rPr>
      </w:pPr>
      <w:r>
        <w:rPr>
          <w:rFonts w:hint="eastAsia" w:ascii="宋体" w:hAnsi="宋体" w:cs="宋体"/>
          <w:sz w:val="28"/>
        </w:rPr>
        <w:t>5、本估价报告使用的有效期原则上为出具估价报告之日起一年，请估价委托人在有效期内使用，超过有效期时，不能直接使用本估价结论，应当重新进行评估。</w:t>
      </w:r>
    </w:p>
    <w:p>
      <w:pPr>
        <w:autoSpaceDE w:val="0"/>
        <w:autoSpaceDN w:val="0"/>
        <w:adjustRightInd w:val="0"/>
        <w:spacing w:line="360" w:lineRule="auto"/>
        <w:ind w:firstLine="560" w:firstLineChars="200"/>
        <w:jc w:val="left"/>
        <w:rPr>
          <w:rFonts w:ascii="宋体" w:hAnsi="宋体" w:cs="宋体"/>
          <w:sz w:val="28"/>
        </w:rPr>
      </w:pPr>
      <w:r>
        <w:rPr>
          <w:rFonts w:hint="eastAsia" w:ascii="宋体" w:hAnsi="宋体" w:cs="宋体"/>
          <w:sz w:val="28"/>
        </w:rPr>
        <w:t>6、估价对象房屋建筑面积、用途等基础资料以估价委托人提供的《临都上城19幢B单元房源信息》记载的内容为准，临都上城19幢B单元共计281套酒店用房，因部分房屋存在出售、抵债行为，</w:t>
      </w:r>
      <w:r>
        <w:rPr>
          <w:rFonts w:ascii="宋体" w:hAnsi="宋体" w:cs="宋体"/>
          <w:sz w:val="28"/>
        </w:rPr>
        <w:t>经委托方确认，</w:t>
      </w:r>
      <w:r>
        <w:rPr>
          <w:rFonts w:hint="eastAsia" w:ascii="宋体" w:hAnsi="宋体" w:cs="宋体"/>
          <w:sz w:val="28"/>
        </w:rPr>
        <w:t>本次评估</w:t>
      </w:r>
      <w:r>
        <w:rPr>
          <w:rFonts w:ascii="宋体" w:hAnsi="宋体" w:cs="宋体"/>
          <w:sz w:val="28"/>
        </w:rPr>
        <w:t>为</w:t>
      </w:r>
      <w:r>
        <w:rPr>
          <w:rFonts w:hint="eastAsia" w:ascii="宋体" w:hAnsi="宋体" w:cs="宋体"/>
          <w:sz w:val="28"/>
        </w:rPr>
        <w:t>其</w:t>
      </w:r>
      <w:r>
        <w:rPr>
          <w:rFonts w:ascii="宋体" w:hAnsi="宋体" w:cs="宋体"/>
          <w:sz w:val="28"/>
        </w:rPr>
        <w:t>中</w:t>
      </w:r>
      <w:r>
        <w:rPr>
          <w:rFonts w:hint="eastAsia" w:ascii="宋体" w:hAnsi="宋体" w:cs="宋体"/>
          <w:sz w:val="28"/>
        </w:rPr>
        <w:t>的251套房</w:t>
      </w:r>
      <w:r>
        <w:rPr>
          <w:rFonts w:ascii="宋体" w:hAnsi="宋体" w:cs="宋体"/>
          <w:sz w:val="28"/>
        </w:rPr>
        <w:t>屋</w:t>
      </w:r>
      <w:r>
        <w:rPr>
          <w:rFonts w:hint="eastAsia" w:ascii="宋体" w:hAnsi="宋体" w:cs="宋体"/>
          <w:sz w:val="28"/>
        </w:rPr>
        <w:t>。</w:t>
      </w:r>
    </w:p>
    <w:p>
      <w:pPr>
        <w:autoSpaceDE w:val="0"/>
        <w:autoSpaceDN w:val="0"/>
        <w:adjustRightInd w:val="0"/>
        <w:spacing w:line="360" w:lineRule="auto"/>
        <w:ind w:firstLine="560" w:firstLineChars="200"/>
        <w:jc w:val="left"/>
        <w:rPr>
          <w:rFonts w:ascii="宋体" w:hAnsi="宋体" w:cs="宋体"/>
          <w:sz w:val="28"/>
        </w:rPr>
      </w:pPr>
      <w:r>
        <w:rPr>
          <w:rFonts w:hint="eastAsia" w:ascii="宋体" w:hAnsi="宋体" w:cs="宋体"/>
          <w:sz w:val="28"/>
        </w:rPr>
        <w:t>7、本估价报告需经本估价机构加盖行政公章、法定代表人签字或盖章以及承办该项评估业务的并在本估价机构进行专职执业注册的两名以上（含两名）的注册房地产估价师本人签名、注明签名日期并加盖注册房地产估价师执业印章后方能生效。</w:t>
      </w:r>
    </w:p>
    <w:p>
      <w:pPr>
        <w:autoSpaceDE w:val="0"/>
        <w:autoSpaceDN w:val="0"/>
        <w:adjustRightInd w:val="0"/>
        <w:spacing w:line="360" w:lineRule="auto"/>
        <w:ind w:firstLine="560" w:firstLineChars="200"/>
        <w:jc w:val="left"/>
        <w:rPr>
          <w:rFonts w:ascii="宋体" w:hAnsi="宋体" w:cs="宋体"/>
          <w:sz w:val="28"/>
        </w:rPr>
      </w:pPr>
      <w:r>
        <w:rPr>
          <w:rFonts w:hint="eastAsia" w:ascii="宋体" w:hAnsi="宋体"/>
          <w:bCs/>
          <w:sz w:val="28"/>
        </w:rPr>
        <w:t>8、估价技术报告依照规定作为估价机构存档以及提交房地产估价主管部门备案或审查时使用，不提供给估价委托人。</w:t>
      </w:r>
    </w:p>
    <w:p>
      <w:pPr>
        <w:autoSpaceDE w:val="0"/>
        <w:autoSpaceDN w:val="0"/>
        <w:adjustRightInd w:val="0"/>
        <w:spacing w:line="360" w:lineRule="auto"/>
        <w:ind w:firstLine="703" w:firstLineChars="250"/>
        <w:jc w:val="left"/>
        <w:rPr>
          <w:rFonts w:ascii="宋体" w:cs="宋体"/>
          <w:bCs/>
          <w:sz w:val="28"/>
        </w:rPr>
      </w:pPr>
      <w:r>
        <w:rPr>
          <w:rFonts w:hint="eastAsia" w:ascii="宋体" w:hAnsi="宋体" w:cs="宋体"/>
          <w:b/>
          <w:kern w:val="0"/>
          <w:sz w:val="28"/>
        </w:rPr>
        <w:t>致函日期：</w:t>
      </w:r>
      <w:r>
        <w:rPr>
          <w:rFonts w:hint="eastAsia" w:ascii="宋体" w:hAnsi="宋体" w:cs="宋体"/>
          <w:bCs/>
          <w:sz w:val="28"/>
        </w:rPr>
        <w:t>2021年12月22日。</w:t>
      </w:r>
    </w:p>
    <w:p>
      <w:pPr>
        <w:autoSpaceDE w:val="0"/>
        <w:autoSpaceDN w:val="0"/>
        <w:adjustRightInd w:val="0"/>
        <w:spacing w:line="800" w:lineRule="exact"/>
        <w:ind w:left="839"/>
        <w:jc w:val="right"/>
        <w:rPr>
          <w:rFonts w:ascii="宋体" w:cs="宋体"/>
          <w:kern w:val="0"/>
          <w:sz w:val="28"/>
        </w:rPr>
      </w:pPr>
      <w:r>
        <w:rPr>
          <w:rFonts w:hint="eastAsia" w:ascii="宋体" w:hAnsi="宋体" w:cs="宋体"/>
          <w:kern w:val="0"/>
          <w:sz w:val="28"/>
        </w:rPr>
        <w:t>昆明正序房地产土地资产评估有限公司（盖章）</w:t>
      </w:r>
    </w:p>
    <w:p>
      <w:pPr>
        <w:autoSpaceDE w:val="0"/>
        <w:autoSpaceDN w:val="0"/>
        <w:adjustRightInd w:val="0"/>
        <w:spacing w:line="800" w:lineRule="exact"/>
        <w:ind w:firstLine="3920" w:firstLineChars="1400"/>
        <w:jc w:val="left"/>
        <w:rPr>
          <w:rFonts w:ascii="宋体" w:cs="宋体"/>
          <w:kern w:val="0"/>
          <w:sz w:val="28"/>
        </w:rPr>
      </w:pPr>
      <w:r>
        <w:rPr>
          <w:rFonts w:hint="eastAsia" w:ascii="宋体" w:hAnsi="宋体" w:cs="宋体"/>
          <w:kern w:val="0"/>
          <w:sz w:val="28"/>
        </w:rPr>
        <w:t>法定代表人（签章）：</w:t>
      </w:r>
      <w:bookmarkStart w:id="42" w:name="_Toc9319"/>
      <w:bookmarkStart w:id="43" w:name="_Toc29150"/>
      <w:bookmarkStart w:id="44" w:name="_Toc18441"/>
      <w:bookmarkStart w:id="45" w:name="_Toc23970"/>
      <w:bookmarkStart w:id="46" w:name="_Toc23306"/>
      <w:bookmarkStart w:id="47" w:name="_Toc7826"/>
      <w:bookmarkStart w:id="48" w:name="_Toc3291"/>
    </w:p>
    <w:p>
      <w:pPr>
        <w:autoSpaceDE w:val="0"/>
        <w:autoSpaceDN w:val="0"/>
        <w:adjustRightInd w:val="0"/>
        <w:spacing w:line="800" w:lineRule="exact"/>
        <w:ind w:firstLine="3920" w:firstLineChars="1400"/>
        <w:jc w:val="left"/>
        <w:rPr>
          <w:rFonts w:ascii="宋体" w:cs="宋体"/>
          <w:b/>
          <w:bCs/>
          <w:sz w:val="36"/>
          <w:szCs w:val="36"/>
        </w:rPr>
      </w:pPr>
      <w:bookmarkStart w:id="49" w:name="_Toc457982744"/>
      <w:bookmarkStart w:id="50" w:name="_Toc14165"/>
      <w:bookmarkStart w:id="51" w:name="_Toc1478"/>
      <w:bookmarkStart w:id="52" w:name="_Toc457982800"/>
      <w:r>
        <w:rPr>
          <w:rFonts w:hint="eastAsia" w:ascii="宋体" w:hAnsi="宋体" w:cs="宋体"/>
          <w:kern w:val="0"/>
          <w:sz w:val="28"/>
        </w:rPr>
        <w:t>二〇二一年十二月二十二日</w:t>
      </w:r>
    </w:p>
    <w:p>
      <w:pPr>
        <w:spacing w:line="600" w:lineRule="exact"/>
        <w:ind w:right="-45"/>
        <w:jc w:val="center"/>
        <w:outlineLvl w:val="0"/>
        <w:rPr>
          <w:rFonts w:ascii="宋体" w:cs="宋体"/>
          <w:b/>
          <w:bCs/>
          <w:sz w:val="24"/>
        </w:rPr>
      </w:pPr>
      <w:r>
        <w:rPr>
          <w:rFonts w:ascii="宋体" w:cs="宋体"/>
          <w:b/>
          <w:bCs/>
          <w:sz w:val="36"/>
          <w:szCs w:val="36"/>
        </w:rPr>
        <w:br w:type="page"/>
      </w:r>
      <w:bookmarkStart w:id="53" w:name="_Toc32493"/>
      <w:bookmarkStart w:id="54" w:name="_Toc6666"/>
      <w:bookmarkStart w:id="55" w:name="_Toc13897"/>
      <w:bookmarkStart w:id="56" w:name="_Toc12415"/>
      <w:bookmarkStart w:id="57" w:name="_Toc3707"/>
      <w:bookmarkStart w:id="58" w:name="_Toc4972"/>
      <w:bookmarkStart w:id="59" w:name="_Toc14232"/>
      <w:bookmarkStart w:id="60" w:name="_Toc30518"/>
      <w:bookmarkStart w:id="61" w:name="_Toc14880"/>
      <w:bookmarkStart w:id="62" w:name="_Toc7569"/>
      <w:r>
        <w:rPr>
          <w:rFonts w:hint="eastAsia" w:ascii="宋体" w:hAnsi="宋体" w:cs="宋体"/>
          <w:b/>
          <w:bCs/>
          <w:sz w:val="36"/>
          <w:szCs w:val="36"/>
        </w:rPr>
        <w:t>目</w:t>
      </w:r>
      <w:r>
        <w:rPr>
          <w:rFonts w:ascii="宋体" w:hAnsi="宋体" w:cs="宋体"/>
          <w:b/>
          <w:bCs/>
          <w:sz w:val="36"/>
          <w:szCs w:val="36"/>
        </w:rPr>
        <w:t xml:space="preserve">  </w:t>
      </w:r>
      <w:r>
        <w:rPr>
          <w:rFonts w:hint="eastAsia" w:ascii="宋体" w:hAnsi="宋体" w:cs="宋体"/>
          <w:b/>
          <w:bCs/>
          <w:sz w:val="36"/>
          <w:szCs w:val="36"/>
        </w:rPr>
        <w:t>录</w:t>
      </w:r>
      <w:bookmarkEnd w:id="22"/>
      <w:bookmarkEnd w:id="23"/>
      <w:bookmarkEnd w:id="24"/>
      <w:bookmarkEnd w:id="25"/>
      <w:bookmarkEnd w:id="26"/>
      <w:bookmarkEnd w:id="2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Start w:id="63" w:name="_Toc445907650"/>
      <w:bookmarkStart w:id="64" w:name="_Toc29521"/>
      <w:bookmarkStart w:id="65" w:name="_Toc23681"/>
      <w:bookmarkStart w:id="66" w:name="_Toc30312"/>
      <w:bookmarkStart w:id="67" w:name="_Toc22364"/>
      <w:bookmarkStart w:id="68" w:name="_Toc9402"/>
      <w:r>
        <w:rPr>
          <w:rFonts w:ascii="宋体" w:hAnsi="宋体" w:cs="宋体"/>
          <w:b/>
          <w:bCs/>
          <w:sz w:val="24"/>
        </w:rPr>
        <w:fldChar w:fldCharType="begin"/>
      </w:r>
      <w:r>
        <w:rPr>
          <w:rFonts w:ascii="宋体" w:hAnsi="宋体" w:cs="宋体"/>
          <w:b/>
          <w:bCs/>
          <w:sz w:val="24"/>
        </w:rPr>
        <w:instrText xml:space="preserve">TOC \o "1-3" \h \u </w:instrText>
      </w:r>
      <w:r>
        <w:rPr>
          <w:rFonts w:ascii="宋体" w:hAnsi="宋体" w:cs="宋体"/>
          <w:b/>
          <w:bCs/>
          <w:sz w:val="24"/>
        </w:rPr>
        <w:fldChar w:fldCharType="separate"/>
      </w:r>
      <w:bookmarkEnd w:id="58"/>
      <w:bookmarkEnd w:id="59"/>
      <w:bookmarkEnd w:id="60"/>
      <w:bookmarkEnd w:id="61"/>
      <w:bookmarkEnd w:id="62"/>
      <w:bookmarkStart w:id="69" w:name="_Toc32755"/>
    </w:p>
    <w:p>
      <w:pPr>
        <w:pStyle w:val="19"/>
        <w:tabs>
          <w:tab w:val="right" w:leader="dot" w:pos="9638"/>
        </w:tabs>
      </w:pPr>
    </w:p>
    <w:p>
      <w:pPr>
        <w:pStyle w:val="19"/>
        <w:tabs>
          <w:tab w:val="right" w:leader="dot" w:pos="9638"/>
        </w:tabs>
        <w:spacing w:line="400" w:lineRule="exact"/>
        <w:rPr>
          <w:b/>
          <w:sz w:val="24"/>
        </w:rPr>
      </w:pPr>
      <w:r>
        <w:fldChar w:fldCharType="begin"/>
      </w:r>
      <w:r>
        <w:instrText xml:space="preserve"> HYPERLINK \l "_Toc7264" </w:instrText>
      </w:r>
      <w:r>
        <w:fldChar w:fldCharType="separate"/>
      </w:r>
      <w:r>
        <w:rPr>
          <w:rFonts w:hint="eastAsia" w:ascii="宋体" w:hAnsi="宋体" w:cs="宋体"/>
          <w:b/>
          <w:sz w:val="24"/>
        </w:rPr>
        <w:t>估价师声明</w:t>
      </w:r>
      <w:r>
        <w:rPr>
          <w:b/>
          <w:sz w:val="24"/>
        </w:rPr>
        <w:tab/>
      </w:r>
      <w:r>
        <w:rPr>
          <w:b/>
          <w:sz w:val="24"/>
        </w:rPr>
        <w:fldChar w:fldCharType="begin"/>
      </w:r>
      <w:r>
        <w:rPr>
          <w:b/>
          <w:sz w:val="24"/>
        </w:rPr>
        <w:instrText xml:space="preserve"> PAGEREF _Toc7264 </w:instrText>
      </w:r>
      <w:r>
        <w:rPr>
          <w:b/>
          <w:sz w:val="24"/>
        </w:rPr>
        <w:fldChar w:fldCharType="separate"/>
      </w:r>
      <w:r>
        <w:rPr>
          <w:b/>
          <w:sz w:val="24"/>
        </w:rPr>
        <w:t>5</w:t>
      </w:r>
      <w:r>
        <w:rPr>
          <w:b/>
          <w:sz w:val="24"/>
        </w:rPr>
        <w:fldChar w:fldCharType="end"/>
      </w:r>
      <w:r>
        <w:rPr>
          <w:b/>
          <w:sz w:val="24"/>
        </w:rPr>
        <w:fldChar w:fldCharType="end"/>
      </w:r>
    </w:p>
    <w:p>
      <w:pPr>
        <w:pStyle w:val="19"/>
        <w:tabs>
          <w:tab w:val="right" w:leader="dot" w:pos="9638"/>
        </w:tabs>
        <w:spacing w:line="400" w:lineRule="exact"/>
        <w:rPr>
          <w:b/>
          <w:sz w:val="24"/>
        </w:rPr>
      </w:pPr>
      <w:r>
        <w:fldChar w:fldCharType="begin"/>
      </w:r>
      <w:r>
        <w:instrText xml:space="preserve"> HYPERLINK \l "_Toc21004" </w:instrText>
      </w:r>
      <w:r>
        <w:fldChar w:fldCharType="separate"/>
      </w:r>
      <w:r>
        <w:rPr>
          <w:rFonts w:hint="eastAsia" w:ascii="宋体" w:hAnsi="宋体" w:cs="宋体"/>
          <w:b/>
          <w:sz w:val="24"/>
        </w:rPr>
        <w:t>估价假设和限制条件</w:t>
      </w:r>
      <w:r>
        <w:rPr>
          <w:b/>
          <w:sz w:val="24"/>
        </w:rPr>
        <w:tab/>
      </w:r>
      <w:r>
        <w:rPr>
          <w:b/>
          <w:sz w:val="24"/>
        </w:rPr>
        <w:fldChar w:fldCharType="begin"/>
      </w:r>
      <w:r>
        <w:rPr>
          <w:b/>
          <w:sz w:val="24"/>
        </w:rPr>
        <w:instrText xml:space="preserve"> PAGEREF _Toc21004 </w:instrText>
      </w:r>
      <w:r>
        <w:rPr>
          <w:b/>
          <w:sz w:val="24"/>
        </w:rPr>
        <w:fldChar w:fldCharType="separate"/>
      </w:r>
      <w:r>
        <w:rPr>
          <w:b/>
          <w:sz w:val="24"/>
        </w:rPr>
        <w:t>6</w:t>
      </w:r>
      <w:r>
        <w:rPr>
          <w:b/>
          <w:sz w:val="24"/>
        </w:rPr>
        <w:fldChar w:fldCharType="end"/>
      </w:r>
      <w:r>
        <w:rPr>
          <w:b/>
          <w:sz w:val="24"/>
        </w:rPr>
        <w:fldChar w:fldCharType="end"/>
      </w:r>
    </w:p>
    <w:p>
      <w:pPr>
        <w:pStyle w:val="10"/>
        <w:tabs>
          <w:tab w:val="right" w:leader="dot" w:pos="9638"/>
        </w:tabs>
        <w:spacing w:line="400" w:lineRule="exact"/>
        <w:ind w:left="0" w:leftChars="0" w:firstLine="420" w:firstLineChars="200"/>
        <w:rPr>
          <w:sz w:val="24"/>
        </w:rPr>
      </w:pPr>
      <w:r>
        <w:fldChar w:fldCharType="begin"/>
      </w:r>
      <w:r>
        <w:instrText xml:space="preserve"> HYPERLINK \l "_Toc26699" </w:instrText>
      </w:r>
      <w:r>
        <w:fldChar w:fldCharType="separate"/>
      </w:r>
      <w:r>
        <w:rPr>
          <w:rFonts w:hint="eastAsia" w:ascii="宋体" w:hAnsi="宋体" w:cs="宋体"/>
          <w:kern w:val="0"/>
          <w:sz w:val="24"/>
        </w:rPr>
        <w:t>一、估价假设条件</w:t>
      </w:r>
      <w:r>
        <w:rPr>
          <w:sz w:val="24"/>
        </w:rPr>
        <w:tab/>
      </w:r>
      <w:r>
        <w:rPr>
          <w:sz w:val="24"/>
        </w:rPr>
        <w:fldChar w:fldCharType="begin"/>
      </w:r>
      <w:r>
        <w:rPr>
          <w:sz w:val="24"/>
        </w:rPr>
        <w:instrText xml:space="preserve"> PAGEREF _Toc26699 </w:instrText>
      </w:r>
      <w:r>
        <w:rPr>
          <w:sz w:val="24"/>
        </w:rPr>
        <w:fldChar w:fldCharType="separate"/>
      </w:r>
      <w:r>
        <w:rPr>
          <w:sz w:val="24"/>
        </w:rPr>
        <w:t>6</w:t>
      </w:r>
      <w:r>
        <w:rPr>
          <w:sz w:val="24"/>
        </w:rPr>
        <w:fldChar w:fldCharType="end"/>
      </w:r>
      <w:r>
        <w:rPr>
          <w:sz w:val="24"/>
        </w:rPr>
        <w:fldChar w:fldCharType="end"/>
      </w:r>
    </w:p>
    <w:p>
      <w:pPr>
        <w:pStyle w:val="10"/>
        <w:tabs>
          <w:tab w:val="right" w:leader="dot" w:pos="9638"/>
        </w:tabs>
        <w:spacing w:line="400" w:lineRule="exact"/>
        <w:ind w:left="0" w:leftChars="0" w:firstLine="420" w:firstLineChars="200"/>
        <w:rPr>
          <w:sz w:val="24"/>
        </w:rPr>
      </w:pPr>
      <w:r>
        <w:fldChar w:fldCharType="begin"/>
      </w:r>
      <w:r>
        <w:instrText xml:space="preserve"> HYPERLINK \l "_Toc14130" </w:instrText>
      </w:r>
      <w:r>
        <w:fldChar w:fldCharType="separate"/>
      </w:r>
      <w:r>
        <w:rPr>
          <w:rFonts w:hint="eastAsia" w:ascii="宋体" w:hAnsi="宋体" w:cs="宋体"/>
          <w:kern w:val="0"/>
          <w:sz w:val="24"/>
        </w:rPr>
        <w:t>二、估价限制条件</w:t>
      </w:r>
      <w:r>
        <w:rPr>
          <w:sz w:val="24"/>
        </w:rPr>
        <w:tab/>
      </w:r>
      <w:r>
        <w:rPr>
          <w:sz w:val="24"/>
        </w:rPr>
        <w:fldChar w:fldCharType="begin"/>
      </w:r>
      <w:r>
        <w:rPr>
          <w:sz w:val="24"/>
        </w:rPr>
        <w:instrText xml:space="preserve"> PAGEREF _Toc14130 </w:instrText>
      </w:r>
      <w:r>
        <w:rPr>
          <w:sz w:val="24"/>
        </w:rPr>
        <w:fldChar w:fldCharType="separate"/>
      </w:r>
      <w:r>
        <w:rPr>
          <w:sz w:val="24"/>
        </w:rPr>
        <w:t>7</w:t>
      </w:r>
      <w:r>
        <w:rPr>
          <w:sz w:val="24"/>
        </w:rPr>
        <w:fldChar w:fldCharType="end"/>
      </w:r>
      <w:r>
        <w:rPr>
          <w:sz w:val="24"/>
        </w:rPr>
        <w:fldChar w:fldCharType="end"/>
      </w:r>
    </w:p>
    <w:p>
      <w:pPr>
        <w:pStyle w:val="19"/>
        <w:tabs>
          <w:tab w:val="right" w:leader="dot" w:pos="9638"/>
        </w:tabs>
        <w:spacing w:line="400" w:lineRule="exact"/>
        <w:rPr>
          <w:b/>
          <w:sz w:val="24"/>
        </w:rPr>
      </w:pPr>
      <w:r>
        <w:fldChar w:fldCharType="begin"/>
      </w:r>
      <w:r>
        <w:instrText xml:space="preserve"> HYPERLINK \l "_Toc7678" </w:instrText>
      </w:r>
      <w:r>
        <w:fldChar w:fldCharType="separate"/>
      </w:r>
      <w:r>
        <w:rPr>
          <w:rFonts w:hint="eastAsia" w:ascii="宋体" w:hAnsi="宋体" w:cs="宋体"/>
          <w:b/>
          <w:sz w:val="24"/>
        </w:rPr>
        <w:t>估价结果报告</w:t>
      </w:r>
      <w:r>
        <w:rPr>
          <w:b/>
          <w:sz w:val="24"/>
        </w:rPr>
        <w:tab/>
      </w:r>
      <w:r>
        <w:rPr>
          <w:b/>
          <w:sz w:val="24"/>
        </w:rPr>
        <w:fldChar w:fldCharType="begin"/>
      </w:r>
      <w:r>
        <w:rPr>
          <w:b/>
          <w:sz w:val="24"/>
        </w:rPr>
        <w:instrText xml:space="preserve"> PAGEREF _Toc7678 </w:instrText>
      </w:r>
      <w:r>
        <w:rPr>
          <w:b/>
          <w:sz w:val="24"/>
        </w:rPr>
        <w:fldChar w:fldCharType="separate"/>
      </w:r>
      <w:r>
        <w:rPr>
          <w:b/>
          <w:sz w:val="24"/>
        </w:rPr>
        <w:t>9</w:t>
      </w:r>
      <w:r>
        <w:rPr>
          <w:b/>
          <w:sz w:val="24"/>
        </w:rPr>
        <w:fldChar w:fldCharType="end"/>
      </w:r>
      <w:r>
        <w:rPr>
          <w:b/>
          <w:sz w:val="24"/>
        </w:rPr>
        <w:fldChar w:fldCharType="end"/>
      </w:r>
    </w:p>
    <w:p>
      <w:pPr>
        <w:pStyle w:val="24"/>
        <w:tabs>
          <w:tab w:val="right" w:leader="dot" w:pos="9638"/>
        </w:tabs>
        <w:spacing w:line="400" w:lineRule="exact"/>
        <w:rPr>
          <w:sz w:val="24"/>
        </w:rPr>
      </w:pPr>
      <w:r>
        <w:fldChar w:fldCharType="begin"/>
      </w:r>
      <w:r>
        <w:instrText xml:space="preserve"> HYPERLINK \l "_Toc28291" </w:instrText>
      </w:r>
      <w:r>
        <w:fldChar w:fldCharType="separate"/>
      </w:r>
      <w:r>
        <w:rPr>
          <w:rFonts w:hint="eastAsia" w:ascii="宋体" w:hAnsi="宋体" w:cs="宋体"/>
          <w:kern w:val="0"/>
          <w:sz w:val="24"/>
        </w:rPr>
        <w:t>一、估价委托人</w:t>
      </w:r>
      <w:r>
        <w:rPr>
          <w:sz w:val="24"/>
        </w:rPr>
        <w:tab/>
      </w:r>
      <w:r>
        <w:rPr>
          <w:sz w:val="24"/>
        </w:rPr>
        <w:fldChar w:fldCharType="begin"/>
      </w:r>
      <w:r>
        <w:rPr>
          <w:sz w:val="24"/>
        </w:rPr>
        <w:instrText xml:space="preserve"> PAGEREF _Toc28291 </w:instrText>
      </w:r>
      <w:r>
        <w:rPr>
          <w:sz w:val="24"/>
        </w:rPr>
        <w:fldChar w:fldCharType="separate"/>
      </w:r>
      <w:r>
        <w:rPr>
          <w:sz w:val="24"/>
        </w:rPr>
        <w:t>9</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"_Toc18348" </w:instrText>
      </w:r>
      <w:r>
        <w:fldChar w:fldCharType="separate"/>
      </w:r>
      <w:r>
        <w:rPr>
          <w:rFonts w:hint="eastAsia" w:ascii="宋体" w:hAnsi="宋体" w:cs="宋体"/>
          <w:kern w:val="0"/>
          <w:sz w:val="24"/>
        </w:rPr>
        <w:t>二、房地产估价机构</w:t>
      </w:r>
      <w:r>
        <w:rPr>
          <w:sz w:val="24"/>
        </w:rPr>
        <w:tab/>
      </w:r>
      <w:r>
        <w:rPr>
          <w:sz w:val="24"/>
        </w:rPr>
        <w:fldChar w:fldCharType="begin"/>
      </w:r>
      <w:r>
        <w:rPr>
          <w:sz w:val="24"/>
        </w:rPr>
        <w:instrText xml:space="preserve"> PAGEREF _Toc18348 </w:instrText>
      </w:r>
      <w:r>
        <w:rPr>
          <w:sz w:val="24"/>
        </w:rPr>
        <w:fldChar w:fldCharType="separate"/>
      </w:r>
      <w:r>
        <w:rPr>
          <w:sz w:val="24"/>
        </w:rPr>
        <w:t>9</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"_Toc4020" </w:instrText>
      </w:r>
      <w:r>
        <w:fldChar w:fldCharType="separate"/>
      </w:r>
      <w:r>
        <w:rPr>
          <w:rFonts w:hint="eastAsia" w:ascii="宋体" w:hAnsi="宋体" w:cs="宋体"/>
          <w:sz w:val="24"/>
        </w:rPr>
        <w:t>三、估价目的</w:t>
      </w:r>
      <w:r>
        <w:rPr>
          <w:sz w:val="24"/>
        </w:rPr>
        <w:tab/>
      </w:r>
      <w:r>
        <w:rPr>
          <w:sz w:val="24"/>
        </w:rPr>
        <w:fldChar w:fldCharType="begin"/>
      </w:r>
      <w:r>
        <w:rPr>
          <w:sz w:val="24"/>
        </w:rPr>
        <w:instrText xml:space="preserve"> PAGEREF _Toc4020 </w:instrText>
      </w:r>
      <w:r>
        <w:rPr>
          <w:sz w:val="24"/>
        </w:rPr>
        <w:fldChar w:fldCharType="separate"/>
      </w:r>
      <w:r>
        <w:rPr>
          <w:sz w:val="24"/>
        </w:rPr>
        <w:t>9</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"_Toc25089" </w:instrText>
      </w:r>
      <w:r>
        <w:fldChar w:fldCharType="separate"/>
      </w:r>
      <w:r>
        <w:rPr>
          <w:rFonts w:hint="eastAsia" w:ascii="宋体" w:hAnsi="宋体" w:cs="宋体"/>
          <w:sz w:val="24"/>
        </w:rPr>
        <w:t>四、估价对象</w:t>
      </w:r>
      <w:r>
        <w:rPr>
          <w:sz w:val="24"/>
        </w:rPr>
        <w:tab/>
      </w:r>
      <w:r>
        <w:rPr>
          <w:sz w:val="24"/>
        </w:rPr>
        <w:fldChar w:fldCharType="begin"/>
      </w:r>
      <w:r>
        <w:rPr>
          <w:sz w:val="24"/>
        </w:rPr>
        <w:instrText xml:space="preserve"> PAGEREF _Toc25089 </w:instrText>
      </w:r>
      <w:r>
        <w:rPr>
          <w:sz w:val="24"/>
        </w:rPr>
        <w:fldChar w:fldCharType="separate"/>
      </w:r>
      <w:r>
        <w:rPr>
          <w:sz w:val="24"/>
        </w:rPr>
        <w:t>9</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"_Toc27612" </w:instrText>
      </w:r>
      <w:r>
        <w:fldChar w:fldCharType="separate"/>
      </w:r>
      <w:r>
        <w:rPr>
          <w:rFonts w:hint="eastAsia" w:ascii="宋体" w:hAnsi="宋体" w:cs="宋体"/>
          <w:sz w:val="24"/>
        </w:rPr>
        <w:t>五、价值时点</w:t>
      </w:r>
      <w:r>
        <w:rPr>
          <w:sz w:val="24"/>
        </w:rPr>
        <w:tab/>
      </w:r>
      <w:r>
        <w:rPr>
          <w:sz w:val="24"/>
        </w:rPr>
        <w:fldChar w:fldCharType="begin"/>
      </w:r>
      <w:r>
        <w:rPr>
          <w:sz w:val="24"/>
        </w:rPr>
        <w:instrText xml:space="preserve"> PAGEREF _Toc27612 </w:instrText>
      </w:r>
      <w:r>
        <w:rPr>
          <w:sz w:val="24"/>
        </w:rPr>
        <w:fldChar w:fldCharType="separate"/>
      </w:r>
      <w:r>
        <w:rPr>
          <w:sz w:val="24"/>
        </w:rPr>
        <w:t>13</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"_Toc17753" </w:instrText>
      </w:r>
      <w:r>
        <w:fldChar w:fldCharType="separate"/>
      </w:r>
      <w:r>
        <w:rPr>
          <w:rFonts w:hint="eastAsia" w:ascii="宋体" w:hAnsi="宋体" w:cs="宋体"/>
          <w:sz w:val="24"/>
        </w:rPr>
        <w:t>六、价值类型</w:t>
      </w:r>
      <w:r>
        <w:rPr>
          <w:sz w:val="24"/>
        </w:rPr>
        <w:tab/>
      </w:r>
      <w:r>
        <w:rPr>
          <w:sz w:val="24"/>
        </w:rPr>
        <w:fldChar w:fldCharType="begin"/>
      </w:r>
      <w:r>
        <w:rPr>
          <w:sz w:val="24"/>
        </w:rPr>
        <w:instrText xml:space="preserve"> PAGEREF _Toc17753 </w:instrText>
      </w:r>
      <w:r>
        <w:rPr>
          <w:sz w:val="24"/>
        </w:rPr>
        <w:fldChar w:fldCharType="separate"/>
      </w:r>
      <w:r>
        <w:rPr>
          <w:sz w:val="24"/>
        </w:rPr>
        <w:t>14</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"_Toc16872" </w:instrText>
      </w:r>
      <w:r>
        <w:fldChar w:fldCharType="separate"/>
      </w:r>
      <w:r>
        <w:rPr>
          <w:rFonts w:hint="eastAsia" w:ascii="宋体" w:hAnsi="宋体" w:cs="宋体"/>
          <w:sz w:val="24"/>
        </w:rPr>
        <w:t>七、估价原则</w:t>
      </w:r>
      <w:r>
        <w:rPr>
          <w:sz w:val="24"/>
        </w:rPr>
        <w:tab/>
      </w:r>
      <w:r>
        <w:rPr>
          <w:sz w:val="24"/>
        </w:rPr>
        <w:fldChar w:fldCharType="begin"/>
      </w:r>
      <w:r>
        <w:rPr>
          <w:sz w:val="24"/>
        </w:rPr>
        <w:instrText xml:space="preserve"> PAGEREF _Toc16872 </w:instrText>
      </w:r>
      <w:r>
        <w:rPr>
          <w:sz w:val="24"/>
        </w:rPr>
        <w:fldChar w:fldCharType="separate"/>
      </w:r>
      <w:r>
        <w:rPr>
          <w:sz w:val="24"/>
        </w:rPr>
        <w:t>14</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"_Toc9368" </w:instrText>
      </w:r>
      <w:r>
        <w:fldChar w:fldCharType="separate"/>
      </w:r>
      <w:r>
        <w:rPr>
          <w:rFonts w:hint="eastAsia" w:ascii="宋体" w:hAnsi="宋体" w:cs="宋体"/>
          <w:sz w:val="24"/>
        </w:rPr>
        <w:t>八、估价依据</w:t>
      </w:r>
      <w:r>
        <w:rPr>
          <w:sz w:val="24"/>
        </w:rPr>
        <w:tab/>
      </w:r>
      <w:r>
        <w:rPr>
          <w:sz w:val="24"/>
        </w:rPr>
        <w:fldChar w:fldCharType="begin"/>
      </w:r>
      <w:r>
        <w:rPr>
          <w:sz w:val="24"/>
        </w:rPr>
        <w:instrText xml:space="preserve"> PAGEREF _Toc9368 </w:instrText>
      </w:r>
      <w:r>
        <w:rPr>
          <w:sz w:val="24"/>
        </w:rPr>
        <w:fldChar w:fldCharType="separate"/>
      </w:r>
      <w:r>
        <w:rPr>
          <w:sz w:val="24"/>
        </w:rPr>
        <w:t>15</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"_Toc13492" </w:instrText>
      </w:r>
      <w:r>
        <w:fldChar w:fldCharType="separate"/>
      </w:r>
      <w:r>
        <w:rPr>
          <w:rFonts w:hint="eastAsia" w:ascii="宋体" w:hAnsi="宋体" w:cs="宋体"/>
          <w:sz w:val="24"/>
        </w:rPr>
        <w:t>九、估价程序</w:t>
      </w:r>
      <w:r>
        <w:rPr>
          <w:sz w:val="24"/>
        </w:rPr>
        <w:tab/>
      </w:r>
      <w:r>
        <w:rPr>
          <w:sz w:val="24"/>
        </w:rPr>
        <w:fldChar w:fldCharType="begin"/>
      </w:r>
      <w:r>
        <w:rPr>
          <w:sz w:val="24"/>
        </w:rPr>
        <w:instrText xml:space="preserve"> PAGEREF _Toc13492 </w:instrText>
      </w:r>
      <w:r>
        <w:rPr>
          <w:sz w:val="24"/>
        </w:rPr>
        <w:fldChar w:fldCharType="separate"/>
      </w:r>
      <w:r>
        <w:rPr>
          <w:sz w:val="24"/>
        </w:rPr>
        <w:t>18</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"_Toc18852" </w:instrText>
      </w:r>
      <w:r>
        <w:fldChar w:fldCharType="separate"/>
      </w:r>
      <w:r>
        <w:rPr>
          <w:rFonts w:hint="eastAsia" w:ascii="宋体" w:hAnsi="宋体" w:cs="宋体"/>
          <w:sz w:val="24"/>
        </w:rPr>
        <w:t>十、估价方法</w:t>
      </w:r>
      <w:r>
        <w:rPr>
          <w:sz w:val="24"/>
        </w:rPr>
        <w:tab/>
      </w:r>
      <w:r>
        <w:rPr>
          <w:sz w:val="24"/>
        </w:rPr>
        <w:fldChar w:fldCharType="begin"/>
      </w:r>
      <w:r>
        <w:rPr>
          <w:sz w:val="24"/>
        </w:rPr>
        <w:instrText xml:space="preserve"> PAGEREF _Toc18852 </w:instrText>
      </w:r>
      <w:r>
        <w:rPr>
          <w:sz w:val="24"/>
        </w:rPr>
        <w:fldChar w:fldCharType="separate"/>
      </w:r>
      <w:r>
        <w:rPr>
          <w:sz w:val="24"/>
        </w:rPr>
        <w:t>20</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"_Toc6712" </w:instrText>
      </w:r>
      <w:r>
        <w:fldChar w:fldCharType="separate"/>
      </w:r>
      <w:r>
        <w:rPr>
          <w:rFonts w:hint="eastAsia" w:ascii="宋体" w:hAnsi="宋体" w:cs="宋体"/>
          <w:sz w:val="24"/>
        </w:rPr>
        <w:t>十一、估价结果</w:t>
      </w:r>
      <w:r>
        <w:rPr>
          <w:sz w:val="24"/>
        </w:rPr>
        <w:tab/>
      </w:r>
      <w:r>
        <w:rPr>
          <w:sz w:val="24"/>
        </w:rPr>
        <w:fldChar w:fldCharType="begin"/>
      </w:r>
      <w:r>
        <w:rPr>
          <w:sz w:val="24"/>
        </w:rPr>
        <w:instrText xml:space="preserve"> PAGEREF _Toc6712 </w:instrText>
      </w:r>
      <w:r>
        <w:rPr>
          <w:sz w:val="24"/>
        </w:rPr>
        <w:fldChar w:fldCharType="separate"/>
      </w:r>
      <w:r>
        <w:rPr>
          <w:sz w:val="24"/>
        </w:rPr>
        <w:t>25</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"_Toc9986" </w:instrText>
      </w:r>
      <w:r>
        <w:fldChar w:fldCharType="separate"/>
      </w:r>
      <w:r>
        <w:rPr>
          <w:rFonts w:hint="eastAsia" w:ascii="宋体" w:hAnsi="宋体" w:cs="宋体"/>
          <w:sz w:val="24"/>
        </w:rPr>
        <w:t>十二、注册房地产估价师</w:t>
      </w:r>
      <w:r>
        <w:rPr>
          <w:sz w:val="24"/>
        </w:rPr>
        <w:tab/>
      </w:r>
      <w:r>
        <w:rPr>
          <w:sz w:val="24"/>
        </w:rPr>
        <w:fldChar w:fldCharType="begin"/>
      </w:r>
      <w:r>
        <w:rPr>
          <w:sz w:val="24"/>
        </w:rPr>
        <w:instrText xml:space="preserve"> PAGEREF _Toc9986 </w:instrText>
      </w:r>
      <w:r>
        <w:rPr>
          <w:sz w:val="24"/>
        </w:rPr>
        <w:fldChar w:fldCharType="separate"/>
      </w:r>
      <w:r>
        <w:rPr>
          <w:sz w:val="24"/>
        </w:rPr>
        <w:t>25</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"_Toc16132" </w:instrText>
      </w:r>
      <w:r>
        <w:fldChar w:fldCharType="separate"/>
      </w:r>
      <w:r>
        <w:rPr>
          <w:rFonts w:hint="eastAsia" w:ascii="宋体" w:hAnsi="宋体" w:cs="宋体"/>
          <w:sz w:val="24"/>
        </w:rPr>
        <w:t>十三、实地查勘期</w:t>
      </w:r>
      <w:r>
        <w:rPr>
          <w:sz w:val="24"/>
        </w:rPr>
        <w:tab/>
      </w:r>
      <w:r>
        <w:rPr>
          <w:sz w:val="24"/>
        </w:rPr>
        <w:fldChar w:fldCharType="begin"/>
      </w:r>
      <w:r>
        <w:rPr>
          <w:sz w:val="24"/>
        </w:rPr>
        <w:instrText xml:space="preserve"> PAGEREF _Toc16132 </w:instrText>
      </w:r>
      <w:r>
        <w:rPr>
          <w:sz w:val="24"/>
        </w:rPr>
        <w:fldChar w:fldCharType="separate"/>
      </w:r>
      <w:r>
        <w:rPr>
          <w:sz w:val="24"/>
        </w:rPr>
        <w:t>38</w:t>
      </w:r>
      <w:r>
        <w:rPr>
          <w:sz w:val="24"/>
        </w:rPr>
        <w:fldChar w:fldCharType="end"/>
      </w:r>
      <w:r>
        <w:rPr>
          <w:sz w:val="24"/>
        </w:rPr>
        <w:fldChar w:fldCharType="end"/>
      </w:r>
    </w:p>
    <w:p>
      <w:pPr>
        <w:pStyle w:val="24"/>
        <w:tabs>
          <w:tab w:val="right" w:leader="dot" w:pos="9638"/>
        </w:tabs>
        <w:spacing w:line="400" w:lineRule="exact"/>
        <w:rPr>
          <w:sz w:val="24"/>
        </w:rPr>
      </w:pPr>
      <w:r>
        <w:fldChar w:fldCharType="begin"/>
      </w:r>
      <w:r>
        <w:instrText xml:space="preserve"> HYPERLINK \l "_Toc9502" </w:instrText>
      </w:r>
      <w:r>
        <w:fldChar w:fldCharType="separate"/>
      </w:r>
      <w:r>
        <w:rPr>
          <w:rFonts w:hint="eastAsia" w:ascii="宋体" w:hAnsi="宋体" w:cs="宋体"/>
          <w:sz w:val="24"/>
        </w:rPr>
        <w:t>十四、估价作业期</w:t>
      </w:r>
      <w:r>
        <w:rPr>
          <w:sz w:val="24"/>
        </w:rPr>
        <w:tab/>
      </w:r>
      <w:r>
        <w:rPr>
          <w:sz w:val="24"/>
        </w:rPr>
        <w:fldChar w:fldCharType="begin"/>
      </w:r>
      <w:r>
        <w:rPr>
          <w:sz w:val="24"/>
        </w:rPr>
        <w:instrText xml:space="preserve"> PAGEREF _Toc9502 </w:instrText>
      </w:r>
      <w:r>
        <w:rPr>
          <w:sz w:val="24"/>
        </w:rPr>
        <w:fldChar w:fldCharType="separate"/>
      </w:r>
      <w:r>
        <w:rPr>
          <w:sz w:val="24"/>
        </w:rPr>
        <w:t>38</w:t>
      </w:r>
      <w:r>
        <w:rPr>
          <w:sz w:val="24"/>
        </w:rPr>
        <w:fldChar w:fldCharType="end"/>
      </w:r>
      <w:r>
        <w:rPr>
          <w:sz w:val="24"/>
        </w:rPr>
        <w:fldChar w:fldCharType="end"/>
      </w:r>
    </w:p>
    <w:p>
      <w:pPr>
        <w:pStyle w:val="19"/>
        <w:tabs>
          <w:tab w:val="right" w:leader="dot" w:pos="9638"/>
        </w:tabs>
        <w:spacing w:line="400" w:lineRule="exact"/>
        <w:rPr>
          <w:b/>
          <w:sz w:val="24"/>
        </w:rPr>
      </w:pPr>
      <w:r>
        <w:fldChar w:fldCharType="begin"/>
      </w:r>
      <w:r>
        <w:instrText xml:space="preserve"> HYPERLINK \l "_Toc14087" </w:instrText>
      </w:r>
      <w:r>
        <w:fldChar w:fldCharType="separate"/>
      </w:r>
      <w:r>
        <w:rPr>
          <w:rFonts w:hint="eastAsia" w:ascii="宋体" w:hAnsi="宋体" w:cs="宋体"/>
          <w:b/>
          <w:sz w:val="24"/>
        </w:rPr>
        <w:t>附</w:t>
      </w:r>
      <w:r>
        <w:rPr>
          <w:rFonts w:ascii="宋体" w:hAnsi="宋体" w:cs="宋体"/>
          <w:b/>
          <w:sz w:val="24"/>
        </w:rPr>
        <w:t xml:space="preserve">  </w:t>
      </w:r>
      <w:r>
        <w:rPr>
          <w:rFonts w:hint="eastAsia" w:ascii="宋体" w:hAnsi="宋体" w:cs="宋体"/>
          <w:b/>
          <w:sz w:val="24"/>
        </w:rPr>
        <w:t>件</w:t>
      </w:r>
      <w:r>
        <w:rPr>
          <w:b/>
          <w:sz w:val="24"/>
        </w:rPr>
        <w:tab/>
      </w:r>
      <w:r>
        <w:rPr>
          <w:b/>
          <w:sz w:val="24"/>
        </w:rPr>
        <w:fldChar w:fldCharType="begin"/>
      </w:r>
      <w:r>
        <w:rPr>
          <w:b/>
          <w:sz w:val="24"/>
        </w:rPr>
        <w:instrText xml:space="preserve"> PAGEREF _Toc14087 </w:instrText>
      </w:r>
      <w:r>
        <w:rPr>
          <w:b/>
          <w:sz w:val="24"/>
        </w:rPr>
        <w:fldChar w:fldCharType="separate"/>
      </w:r>
      <w:r>
        <w:rPr>
          <w:b/>
          <w:sz w:val="24"/>
        </w:rPr>
        <w:t>39</w:t>
      </w:r>
      <w:r>
        <w:rPr>
          <w:b/>
          <w:sz w:val="24"/>
        </w:rPr>
        <w:fldChar w:fldCharType="end"/>
      </w:r>
      <w:r>
        <w:rPr>
          <w:b/>
          <w:sz w:val="24"/>
        </w:rPr>
        <w:fldChar w:fldCharType="end"/>
      </w:r>
    </w:p>
    <w:p>
      <w:pPr>
        <w:pStyle w:val="19"/>
        <w:tabs>
          <w:tab w:val="right" w:leader="dot" w:pos="9638"/>
        </w:tabs>
        <w:spacing w:line="400" w:lineRule="exact"/>
        <w:ind w:firstLine="420" w:firstLineChars="200"/>
        <w:rPr>
          <w:sz w:val="24"/>
        </w:rPr>
      </w:pPr>
      <w:r>
        <w:fldChar w:fldCharType="begin"/>
      </w:r>
      <w:r>
        <w:instrText xml:space="preserve"> HYPERLINK \l "_Toc4363" </w:instrText>
      </w:r>
      <w:r>
        <w:fldChar w:fldCharType="separate"/>
      </w:r>
      <w:r>
        <w:rPr>
          <w:rFonts w:hint="eastAsia" w:ascii="宋体" w:hAnsi="宋体" w:cs="宋体"/>
          <w:sz w:val="24"/>
        </w:rPr>
        <w:t>一、《临沧市中级人民法院司法技术处鉴定委托书》（复印件）</w:t>
      </w:r>
      <w:r>
        <w:rPr>
          <w:sz w:val="24"/>
        </w:rPr>
        <w:tab/>
      </w:r>
      <w:r>
        <w:rPr>
          <w:sz w:val="24"/>
        </w:rPr>
        <w:fldChar w:fldCharType="begin"/>
      </w:r>
      <w:r>
        <w:rPr>
          <w:sz w:val="24"/>
        </w:rPr>
        <w:instrText xml:space="preserve"> PAGEREF _Toc4363 </w:instrText>
      </w:r>
      <w:r>
        <w:rPr>
          <w:sz w:val="24"/>
        </w:rPr>
        <w:fldChar w:fldCharType="separate"/>
      </w:r>
      <w:r>
        <w:rPr>
          <w:sz w:val="24"/>
        </w:rPr>
        <w:t>39</w:t>
      </w:r>
      <w:r>
        <w:rPr>
          <w:sz w:val="24"/>
        </w:rPr>
        <w:fldChar w:fldCharType="end"/>
      </w:r>
      <w:r>
        <w:rPr>
          <w:sz w:val="24"/>
        </w:rPr>
        <w:fldChar w:fldCharType="end"/>
      </w:r>
    </w:p>
    <w:p>
      <w:pPr>
        <w:pStyle w:val="19"/>
        <w:tabs>
          <w:tab w:val="right" w:leader="dot" w:pos="9638"/>
        </w:tabs>
        <w:spacing w:line="400" w:lineRule="exact"/>
        <w:ind w:firstLine="420" w:firstLineChars="200"/>
        <w:rPr>
          <w:sz w:val="24"/>
        </w:rPr>
      </w:pPr>
      <w:r>
        <w:fldChar w:fldCharType="begin"/>
      </w:r>
      <w:r>
        <w:instrText xml:space="preserve"> HYPERLINK \l "_Toc5364" </w:instrText>
      </w:r>
      <w:r>
        <w:fldChar w:fldCharType="separate"/>
      </w:r>
      <w:r>
        <w:rPr>
          <w:rFonts w:hint="eastAsia" w:ascii="宋体" w:hAnsi="宋体" w:cs="宋体"/>
          <w:sz w:val="24"/>
        </w:rPr>
        <w:t>二、《临都上城19幢B单元房源信息》（复印件）</w:t>
      </w:r>
      <w:r>
        <w:rPr>
          <w:sz w:val="24"/>
        </w:rPr>
        <w:tab/>
      </w:r>
      <w:r>
        <w:rPr>
          <w:sz w:val="24"/>
        </w:rPr>
        <w:fldChar w:fldCharType="begin"/>
      </w:r>
      <w:r>
        <w:rPr>
          <w:sz w:val="24"/>
        </w:rPr>
        <w:instrText xml:space="preserve"> PAGEREF _Toc5364 </w:instrText>
      </w:r>
      <w:r>
        <w:rPr>
          <w:sz w:val="24"/>
        </w:rPr>
        <w:fldChar w:fldCharType="separate"/>
      </w:r>
      <w:r>
        <w:rPr>
          <w:sz w:val="24"/>
        </w:rPr>
        <w:t>39</w:t>
      </w:r>
      <w:r>
        <w:rPr>
          <w:sz w:val="24"/>
        </w:rPr>
        <w:fldChar w:fldCharType="end"/>
      </w:r>
      <w:r>
        <w:rPr>
          <w:sz w:val="24"/>
        </w:rPr>
        <w:fldChar w:fldCharType="end"/>
      </w:r>
    </w:p>
    <w:p>
      <w:pPr>
        <w:pStyle w:val="19"/>
        <w:tabs>
          <w:tab w:val="right" w:leader="dot" w:pos="9638"/>
        </w:tabs>
        <w:spacing w:line="400" w:lineRule="exact"/>
        <w:ind w:firstLine="420" w:firstLineChars="200"/>
        <w:rPr>
          <w:sz w:val="24"/>
        </w:rPr>
      </w:pPr>
      <w:r>
        <w:fldChar w:fldCharType="begin"/>
      </w:r>
      <w:r>
        <w:instrText xml:space="preserve"> HYPERLINK \l "_Toc15867" </w:instrText>
      </w:r>
      <w:r>
        <w:fldChar w:fldCharType="separate"/>
      </w:r>
      <w:r>
        <w:rPr>
          <w:rFonts w:hint="eastAsia" w:ascii="宋体" w:hAnsi="宋体" w:cs="宋体"/>
          <w:sz w:val="24"/>
        </w:rPr>
        <w:t>三、估价委托人提供的其他相关资料（复印件）</w:t>
      </w:r>
      <w:r>
        <w:rPr>
          <w:sz w:val="24"/>
        </w:rPr>
        <w:tab/>
      </w:r>
      <w:r>
        <w:rPr>
          <w:sz w:val="24"/>
        </w:rPr>
        <w:fldChar w:fldCharType="begin"/>
      </w:r>
      <w:r>
        <w:rPr>
          <w:sz w:val="24"/>
        </w:rPr>
        <w:instrText xml:space="preserve"> PAGEREF _Toc15867 </w:instrText>
      </w:r>
      <w:r>
        <w:rPr>
          <w:sz w:val="24"/>
        </w:rPr>
        <w:fldChar w:fldCharType="separate"/>
      </w:r>
      <w:r>
        <w:rPr>
          <w:sz w:val="24"/>
        </w:rPr>
        <w:t>39</w:t>
      </w:r>
      <w:r>
        <w:rPr>
          <w:sz w:val="24"/>
        </w:rPr>
        <w:fldChar w:fldCharType="end"/>
      </w:r>
      <w:r>
        <w:rPr>
          <w:sz w:val="24"/>
        </w:rPr>
        <w:fldChar w:fldCharType="end"/>
      </w:r>
    </w:p>
    <w:p>
      <w:pPr>
        <w:pStyle w:val="19"/>
        <w:tabs>
          <w:tab w:val="right" w:leader="dot" w:pos="9638"/>
        </w:tabs>
        <w:spacing w:line="400" w:lineRule="exact"/>
        <w:ind w:firstLine="420" w:firstLineChars="200"/>
        <w:rPr>
          <w:sz w:val="24"/>
        </w:rPr>
      </w:pPr>
      <w:r>
        <w:fldChar w:fldCharType="begin"/>
      </w:r>
      <w:r>
        <w:instrText xml:space="preserve"> HYPERLINK \l "_Toc19231" </w:instrText>
      </w:r>
      <w:r>
        <w:fldChar w:fldCharType="separate"/>
      </w:r>
      <w:r>
        <w:rPr>
          <w:rFonts w:hint="eastAsia" w:ascii="宋体" w:hAnsi="宋体" w:cs="宋体"/>
          <w:sz w:val="24"/>
        </w:rPr>
        <w:t>四、估价对象区位图</w:t>
      </w:r>
      <w:r>
        <w:rPr>
          <w:sz w:val="24"/>
        </w:rPr>
        <w:tab/>
      </w:r>
      <w:r>
        <w:rPr>
          <w:sz w:val="24"/>
        </w:rPr>
        <w:fldChar w:fldCharType="begin"/>
      </w:r>
      <w:r>
        <w:rPr>
          <w:sz w:val="24"/>
        </w:rPr>
        <w:instrText xml:space="preserve"> PAGEREF _Toc19231 </w:instrText>
      </w:r>
      <w:r>
        <w:rPr>
          <w:sz w:val="24"/>
        </w:rPr>
        <w:fldChar w:fldCharType="separate"/>
      </w:r>
      <w:r>
        <w:rPr>
          <w:sz w:val="24"/>
        </w:rPr>
        <w:t>39</w:t>
      </w:r>
      <w:r>
        <w:rPr>
          <w:sz w:val="24"/>
        </w:rPr>
        <w:fldChar w:fldCharType="end"/>
      </w:r>
      <w:r>
        <w:rPr>
          <w:sz w:val="24"/>
        </w:rPr>
        <w:fldChar w:fldCharType="end"/>
      </w:r>
    </w:p>
    <w:p>
      <w:pPr>
        <w:pStyle w:val="19"/>
        <w:tabs>
          <w:tab w:val="right" w:leader="dot" w:pos="9638"/>
        </w:tabs>
        <w:spacing w:line="400" w:lineRule="exact"/>
        <w:ind w:firstLine="420" w:firstLineChars="200"/>
        <w:rPr>
          <w:sz w:val="24"/>
        </w:rPr>
      </w:pPr>
      <w:r>
        <w:fldChar w:fldCharType="begin"/>
      </w:r>
      <w:r>
        <w:instrText xml:space="preserve"> HYPERLINK \l "_Toc9622" </w:instrText>
      </w:r>
      <w:r>
        <w:fldChar w:fldCharType="separate"/>
      </w:r>
      <w:r>
        <w:rPr>
          <w:rFonts w:hint="eastAsia" w:ascii="宋体" w:hAnsi="宋体" w:cs="宋体"/>
          <w:sz w:val="24"/>
        </w:rPr>
        <w:t>五、估价对象实地查勘照片</w:t>
      </w:r>
      <w:r>
        <w:rPr>
          <w:sz w:val="24"/>
        </w:rPr>
        <w:tab/>
      </w:r>
      <w:r>
        <w:rPr>
          <w:sz w:val="24"/>
        </w:rPr>
        <w:fldChar w:fldCharType="begin"/>
      </w:r>
      <w:r>
        <w:rPr>
          <w:sz w:val="24"/>
        </w:rPr>
        <w:instrText xml:space="preserve"> PAGEREF _Toc9622 </w:instrText>
      </w:r>
      <w:r>
        <w:rPr>
          <w:sz w:val="24"/>
        </w:rPr>
        <w:fldChar w:fldCharType="separate"/>
      </w:r>
      <w:r>
        <w:rPr>
          <w:sz w:val="24"/>
        </w:rPr>
        <w:t>39</w:t>
      </w:r>
      <w:r>
        <w:rPr>
          <w:sz w:val="24"/>
        </w:rPr>
        <w:fldChar w:fldCharType="end"/>
      </w:r>
      <w:r>
        <w:rPr>
          <w:sz w:val="24"/>
        </w:rPr>
        <w:fldChar w:fldCharType="end"/>
      </w:r>
    </w:p>
    <w:p>
      <w:pPr>
        <w:pStyle w:val="19"/>
        <w:tabs>
          <w:tab w:val="right" w:leader="dot" w:pos="9638"/>
        </w:tabs>
        <w:spacing w:line="400" w:lineRule="exact"/>
        <w:ind w:firstLine="420" w:firstLineChars="200"/>
        <w:rPr>
          <w:sz w:val="24"/>
        </w:rPr>
      </w:pPr>
      <w:r>
        <w:fldChar w:fldCharType="begin"/>
      </w:r>
      <w:r>
        <w:instrText xml:space="preserve"> HYPERLINK \l "_Toc20736" </w:instrText>
      </w:r>
      <w:r>
        <w:fldChar w:fldCharType="separate"/>
      </w:r>
      <w:r>
        <w:rPr>
          <w:rFonts w:hint="eastAsia" w:ascii="宋体" w:hAnsi="宋体" w:cs="宋体"/>
          <w:sz w:val="24"/>
        </w:rPr>
        <w:t>六、估价机构营业执照副本（复印件）</w:t>
      </w:r>
      <w:r>
        <w:rPr>
          <w:sz w:val="24"/>
        </w:rPr>
        <w:tab/>
      </w:r>
      <w:r>
        <w:rPr>
          <w:sz w:val="24"/>
        </w:rPr>
        <w:fldChar w:fldCharType="begin"/>
      </w:r>
      <w:r>
        <w:rPr>
          <w:sz w:val="24"/>
        </w:rPr>
        <w:instrText xml:space="preserve"> PAGEREF _Toc20736 </w:instrText>
      </w:r>
      <w:r>
        <w:rPr>
          <w:sz w:val="24"/>
        </w:rPr>
        <w:fldChar w:fldCharType="separate"/>
      </w:r>
      <w:r>
        <w:rPr>
          <w:sz w:val="24"/>
        </w:rPr>
        <w:t>39</w:t>
      </w:r>
      <w:r>
        <w:rPr>
          <w:sz w:val="24"/>
        </w:rPr>
        <w:fldChar w:fldCharType="end"/>
      </w:r>
      <w:r>
        <w:rPr>
          <w:sz w:val="24"/>
        </w:rPr>
        <w:fldChar w:fldCharType="end"/>
      </w:r>
    </w:p>
    <w:p>
      <w:pPr>
        <w:pStyle w:val="19"/>
        <w:tabs>
          <w:tab w:val="right" w:leader="dot" w:pos="9638"/>
        </w:tabs>
        <w:spacing w:line="400" w:lineRule="exact"/>
        <w:ind w:firstLine="420" w:firstLineChars="200"/>
        <w:rPr>
          <w:sz w:val="24"/>
        </w:rPr>
      </w:pPr>
      <w:r>
        <w:fldChar w:fldCharType="begin"/>
      </w:r>
      <w:r>
        <w:instrText xml:space="preserve"> HYPERLINK \l "_Toc16361" </w:instrText>
      </w:r>
      <w:r>
        <w:fldChar w:fldCharType="separate"/>
      </w:r>
      <w:r>
        <w:rPr>
          <w:rFonts w:hint="eastAsia" w:ascii="宋体" w:hAnsi="宋体" w:cs="宋体"/>
          <w:sz w:val="24"/>
        </w:rPr>
        <w:t>七、房地产估价机构备案证书（复印件）</w:t>
      </w:r>
      <w:r>
        <w:rPr>
          <w:sz w:val="24"/>
        </w:rPr>
        <w:tab/>
      </w:r>
      <w:r>
        <w:rPr>
          <w:sz w:val="24"/>
        </w:rPr>
        <w:fldChar w:fldCharType="begin"/>
      </w:r>
      <w:r>
        <w:rPr>
          <w:sz w:val="24"/>
        </w:rPr>
        <w:instrText xml:space="preserve"> PAGEREF _Toc16361 </w:instrText>
      </w:r>
      <w:r>
        <w:rPr>
          <w:sz w:val="24"/>
        </w:rPr>
        <w:fldChar w:fldCharType="separate"/>
      </w:r>
      <w:r>
        <w:rPr>
          <w:sz w:val="24"/>
        </w:rPr>
        <w:t>39</w:t>
      </w:r>
      <w:r>
        <w:rPr>
          <w:sz w:val="24"/>
        </w:rPr>
        <w:fldChar w:fldCharType="end"/>
      </w:r>
      <w:r>
        <w:rPr>
          <w:sz w:val="24"/>
        </w:rPr>
        <w:fldChar w:fldCharType="end"/>
      </w:r>
    </w:p>
    <w:p>
      <w:pPr>
        <w:pStyle w:val="19"/>
        <w:tabs>
          <w:tab w:val="right" w:leader="dot" w:pos="9638"/>
        </w:tabs>
        <w:spacing w:line="400" w:lineRule="exact"/>
        <w:ind w:firstLine="420" w:firstLineChars="200"/>
        <w:rPr>
          <w:sz w:val="24"/>
        </w:rPr>
      </w:pPr>
      <w:r>
        <w:fldChar w:fldCharType="begin"/>
      </w:r>
      <w:r>
        <w:instrText xml:space="preserve"> HYPERLINK \l "_Toc27537" </w:instrText>
      </w:r>
      <w:r>
        <w:fldChar w:fldCharType="separate"/>
      </w:r>
      <w:r>
        <w:rPr>
          <w:rFonts w:hint="eastAsia" w:ascii="宋体" w:hAnsi="宋体" w:cs="宋体"/>
          <w:sz w:val="24"/>
        </w:rPr>
        <w:t>八、签名房地产估价师注册证书（复印件）</w:t>
      </w:r>
      <w:r>
        <w:rPr>
          <w:sz w:val="24"/>
        </w:rPr>
        <w:tab/>
      </w:r>
      <w:r>
        <w:rPr>
          <w:sz w:val="24"/>
        </w:rPr>
        <w:fldChar w:fldCharType="begin"/>
      </w:r>
      <w:r>
        <w:rPr>
          <w:sz w:val="24"/>
        </w:rPr>
        <w:instrText xml:space="preserve"> PAGEREF _Toc27537 </w:instrText>
      </w:r>
      <w:r>
        <w:rPr>
          <w:sz w:val="24"/>
        </w:rPr>
        <w:fldChar w:fldCharType="separate"/>
      </w:r>
      <w:r>
        <w:rPr>
          <w:sz w:val="24"/>
        </w:rPr>
        <w:t>39</w:t>
      </w:r>
      <w:r>
        <w:rPr>
          <w:sz w:val="24"/>
        </w:rPr>
        <w:fldChar w:fldCharType="end"/>
      </w:r>
      <w:r>
        <w:rPr>
          <w:sz w:val="24"/>
        </w:rPr>
        <w:fldChar w:fldCharType="end"/>
      </w:r>
    </w:p>
    <w:p>
      <w:pPr>
        <w:spacing w:line="720" w:lineRule="exact"/>
        <w:ind w:right="-48"/>
        <w:jc w:val="center"/>
        <w:outlineLvl w:val="0"/>
        <w:rPr>
          <w:rFonts w:ascii="宋体" w:hAnsi="宋体" w:cs="宋体"/>
          <w:b/>
          <w:bCs/>
          <w:sz w:val="24"/>
        </w:rPr>
      </w:pPr>
      <w:bookmarkStart w:id="70" w:name="_Toc646"/>
      <w:bookmarkStart w:id="71" w:name="_Toc13169"/>
      <w:bookmarkStart w:id="72" w:name="_Toc5799"/>
      <w:bookmarkStart w:id="73" w:name="_Toc12650"/>
      <w:r>
        <w:rPr>
          <w:rFonts w:ascii="宋体" w:hAnsi="宋体" w:cs="宋体"/>
          <w:b/>
          <w:bCs/>
          <w:sz w:val="24"/>
        </w:rPr>
        <w:fldChar w:fldCharType="end"/>
      </w:r>
      <w:bookmarkStart w:id="74" w:name="_Toc7264"/>
    </w:p>
    <w:p>
      <w:pPr>
        <w:spacing w:line="720" w:lineRule="exact"/>
        <w:ind w:right="-48"/>
        <w:jc w:val="center"/>
        <w:outlineLvl w:val="0"/>
        <w:rPr>
          <w:rFonts w:ascii="宋体" w:hAnsi="宋体" w:cs="宋体"/>
          <w:b/>
          <w:bCs/>
          <w:sz w:val="24"/>
        </w:rPr>
      </w:pPr>
    </w:p>
    <w:p>
      <w:pPr>
        <w:spacing w:line="720" w:lineRule="exact"/>
        <w:ind w:right="-48"/>
        <w:jc w:val="center"/>
        <w:outlineLvl w:val="0"/>
        <w:rPr>
          <w:rFonts w:ascii="宋体" w:cs="宋体"/>
          <w:b/>
          <w:bCs/>
          <w:sz w:val="36"/>
          <w:szCs w:val="36"/>
        </w:rPr>
      </w:pPr>
      <w:r>
        <w:rPr>
          <w:rFonts w:hint="eastAsia" w:ascii="宋体" w:hAnsi="宋体" w:cs="宋体"/>
          <w:b/>
          <w:bCs/>
          <w:sz w:val="36"/>
          <w:szCs w:val="36"/>
        </w:rPr>
        <w:t>估价师声明</w:t>
      </w:r>
      <w:bookmarkEnd w:id="63"/>
      <w:bookmarkEnd w:id="64"/>
      <w:bookmarkEnd w:id="65"/>
      <w:bookmarkEnd w:id="66"/>
      <w:bookmarkEnd w:id="67"/>
      <w:bookmarkEnd w:id="68"/>
      <w:bookmarkEnd w:id="69"/>
      <w:bookmarkEnd w:id="70"/>
      <w:bookmarkEnd w:id="71"/>
      <w:bookmarkEnd w:id="72"/>
      <w:bookmarkEnd w:id="73"/>
      <w:bookmarkEnd w:id="74"/>
    </w:p>
    <w:p>
      <w:pPr>
        <w:autoSpaceDE w:val="0"/>
        <w:autoSpaceDN w:val="0"/>
        <w:adjustRightInd w:val="0"/>
        <w:spacing w:line="360" w:lineRule="auto"/>
        <w:jc w:val="left"/>
        <w:rPr>
          <w:rFonts w:ascii="宋体" w:cs="宋体"/>
          <w:b/>
          <w:kern w:val="0"/>
          <w:sz w:val="28"/>
        </w:rPr>
      </w:pPr>
      <w:r>
        <w:rPr>
          <w:rFonts w:hint="eastAsia" w:ascii="宋体" w:hAnsi="宋体" w:cs="宋体"/>
          <w:b/>
          <w:bCs/>
          <w:kern w:val="0"/>
          <w:sz w:val="28"/>
        </w:rPr>
        <w:t>我</w:t>
      </w:r>
      <w:r>
        <w:rPr>
          <w:rFonts w:hint="eastAsia" w:ascii="宋体" w:hAnsi="宋体" w:cs="宋体"/>
          <w:b/>
          <w:kern w:val="0"/>
          <w:sz w:val="28"/>
        </w:rPr>
        <w:t>们郑重声明：</w:t>
      </w:r>
    </w:p>
    <w:p>
      <w:pPr>
        <w:autoSpaceDE w:val="0"/>
        <w:autoSpaceDN w:val="0"/>
        <w:adjustRightInd w:val="0"/>
        <w:spacing w:line="360" w:lineRule="auto"/>
        <w:ind w:firstLine="560" w:firstLineChars="200"/>
        <w:jc w:val="left"/>
        <w:rPr>
          <w:rFonts w:ascii="宋体" w:cs="宋体"/>
          <w:kern w:val="0"/>
          <w:sz w:val="28"/>
        </w:rPr>
      </w:pPr>
      <w:r>
        <w:rPr>
          <w:rFonts w:ascii="宋体" w:hAnsi="宋体" w:cs="宋体"/>
          <w:kern w:val="0"/>
          <w:sz w:val="28"/>
        </w:rPr>
        <w:t>1</w:t>
      </w:r>
      <w:r>
        <w:rPr>
          <w:rFonts w:hint="eastAsia" w:ascii="宋体" w:hAnsi="宋体" w:cs="宋体"/>
          <w:kern w:val="0"/>
          <w:sz w:val="28"/>
        </w:rPr>
        <w:t>、我们在本估价报告中对事实的说明和陈述是真实和准确的，没有虚假记载、误导性陈述和重大遗漏。</w:t>
      </w:r>
    </w:p>
    <w:p>
      <w:pPr>
        <w:adjustRightInd w:val="0"/>
        <w:snapToGrid w:val="0"/>
        <w:spacing w:line="360" w:lineRule="auto"/>
        <w:ind w:firstLine="560" w:firstLineChars="200"/>
        <w:rPr>
          <w:rFonts w:ascii="宋体" w:cs="宋体"/>
          <w:kern w:val="0"/>
          <w:sz w:val="28"/>
        </w:rPr>
      </w:pPr>
      <w:r>
        <w:rPr>
          <w:rFonts w:ascii="宋体" w:hAnsi="宋体" w:cs="宋体"/>
          <w:kern w:val="0"/>
          <w:sz w:val="28"/>
        </w:rPr>
        <w:t>2</w:t>
      </w:r>
      <w:r>
        <w:rPr>
          <w:rFonts w:hint="eastAsia" w:ascii="宋体" w:hAnsi="宋体" w:cs="宋体"/>
          <w:kern w:val="0"/>
          <w:sz w:val="28"/>
        </w:rPr>
        <w:t>、我们在本估价报告中对估价结果的合理性以及对估价技术路线的选择，估价技术思路的制定，估价方法的选用，估价程序、估价依据、估价原则的运用，估价参数的选取，估价结论本身符合国家法律法规以及估价行业规范要求负责，对出具的估价报告依法承担相应的法律责任。</w:t>
      </w:r>
    </w:p>
    <w:p>
      <w:pPr>
        <w:autoSpaceDE w:val="0"/>
        <w:autoSpaceDN w:val="0"/>
        <w:adjustRightInd w:val="0"/>
        <w:spacing w:line="360" w:lineRule="auto"/>
        <w:ind w:firstLine="570"/>
        <w:jc w:val="left"/>
        <w:rPr>
          <w:rFonts w:ascii="宋体" w:cs="宋体"/>
          <w:kern w:val="0"/>
          <w:sz w:val="28"/>
        </w:rPr>
      </w:pPr>
      <w:r>
        <w:rPr>
          <w:rFonts w:ascii="宋体" w:hAnsi="宋体" w:cs="宋体"/>
          <w:kern w:val="0"/>
          <w:sz w:val="28"/>
        </w:rPr>
        <w:t>3</w:t>
      </w:r>
      <w:r>
        <w:rPr>
          <w:rFonts w:hint="eastAsia" w:ascii="宋体" w:hAnsi="宋体" w:cs="宋体"/>
          <w:kern w:val="0"/>
          <w:sz w:val="28"/>
        </w:rPr>
        <w:t>、估价报告中的分析、意见和结论是注册房地产估价师独立、客观、公正的专业分析、意见和结论，但受到估价报告中已说明的估价假设和限制条件的限制。</w:t>
      </w:r>
    </w:p>
    <w:p>
      <w:pPr>
        <w:autoSpaceDE w:val="0"/>
        <w:autoSpaceDN w:val="0"/>
        <w:adjustRightInd w:val="0"/>
        <w:spacing w:line="360" w:lineRule="auto"/>
        <w:ind w:firstLine="570"/>
        <w:jc w:val="left"/>
        <w:rPr>
          <w:rFonts w:ascii="宋体" w:cs="宋体"/>
          <w:kern w:val="0"/>
          <w:sz w:val="28"/>
        </w:rPr>
      </w:pPr>
      <w:r>
        <w:rPr>
          <w:rFonts w:ascii="宋体" w:hAnsi="宋体" w:cs="宋体"/>
          <w:kern w:val="0"/>
          <w:sz w:val="28"/>
        </w:rPr>
        <w:t>4</w:t>
      </w:r>
      <w:r>
        <w:rPr>
          <w:rFonts w:hint="eastAsia" w:ascii="宋体" w:hAnsi="宋体" w:cs="宋体"/>
          <w:kern w:val="0"/>
          <w:sz w:val="28"/>
        </w:rPr>
        <w:t>、注册房地产估价师与估价报告中的估价对象没有现实或潜在的利益，与估价委托人及估价利害关系人没有利害关系，也对估价对象、估价委托人及估价利害关系人没有偏见。</w:t>
      </w:r>
    </w:p>
    <w:p>
      <w:pPr>
        <w:spacing w:line="360" w:lineRule="auto"/>
        <w:ind w:firstLine="560" w:firstLineChars="200"/>
        <w:rPr>
          <w:rFonts w:ascii="宋体" w:cs="宋体"/>
          <w:kern w:val="0"/>
          <w:sz w:val="28"/>
        </w:rPr>
      </w:pPr>
      <w:r>
        <w:rPr>
          <w:rFonts w:ascii="宋体" w:hAnsi="宋体" w:cs="宋体"/>
          <w:kern w:val="0"/>
          <w:sz w:val="28"/>
        </w:rPr>
        <w:t>5</w:t>
      </w:r>
      <w:r>
        <w:rPr>
          <w:rFonts w:hint="eastAsia" w:ascii="宋体" w:hAnsi="宋体" w:cs="宋体"/>
          <w:kern w:val="0"/>
          <w:sz w:val="28"/>
        </w:rPr>
        <w:t>、注册房地产估价师按照中华人民共和国国家标准《房地产估价规范》（</w:t>
      </w:r>
      <w:r>
        <w:rPr>
          <w:rFonts w:ascii="宋体" w:hAnsi="宋体" w:cs="宋体"/>
          <w:kern w:val="0"/>
          <w:sz w:val="28"/>
        </w:rPr>
        <w:t>GB/T 50291—2015</w:t>
      </w:r>
      <w:r>
        <w:rPr>
          <w:rFonts w:hint="eastAsia" w:ascii="宋体" w:hAnsi="宋体" w:cs="宋体"/>
          <w:kern w:val="0"/>
          <w:sz w:val="28"/>
        </w:rPr>
        <w:t>）、中华人民共和国国家标准《房地产估价基本术语标准》（</w:t>
      </w:r>
      <w:r>
        <w:rPr>
          <w:rFonts w:ascii="宋体" w:hAnsi="宋体" w:cs="宋体"/>
          <w:kern w:val="0"/>
          <w:sz w:val="28"/>
        </w:rPr>
        <w:t>GB/T 50899-2013</w:t>
      </w:r>
      <w:r>
        <w:rPr>
          <w:rFonts w:hint="eastAsia" w:ascii="宋体" w:hAnsi="宋体" w:cs="宋体"/>
          <w:kern w:val="0"/>
          <w:sz w:val="28"/>
        </w:rPr>
        <w:t>）进行估价工作，形成意见和结论，撰写估价报告。</w:t>
      </w:r>
    </w:p>
    <w:p>
      <w:pPr>
        <w:autoSpaceDE w:val="0"/>
        <w:autoSpaceDN w:val="0"/>
        <w:adjustRightInd w:val="0"/>
        <w:spacing w:line="360" w:lineRule="auto"/>
        <w:ind w:firstLine="570"/>
        <w:jc w:val="left"/>
        <w:rPr>
          <w:rFonts w:ascii="宋体" w:cs="宋体"/>
          <w:kern w:val="0"/>
          <w:sz w:val="28"/>
        </w:rPr>
      </w:pPr>
      <w:r>
        <w:rPr>
          <w:rFonts w:ascii="宋体" w:hAnsi="宋体" w:cs="宋体"/>
          <w:kern w:val="0"/>
          <w:sz w:val="28"/>
        </w:rPr>
        <w:t>6</w:t>
      </w:r>
      <w:r>
        <w:rPr>
          <w:rFonts w:hint="eastAsia" w:ascii="宋体" w:hAnsi="宋体" w:cs="宋体"/>
          <w:kern w:val="0"/>
          <w:sz w:val="28"/>
        </w:rPr>
        <w:t>、按照《房地产估价规范》（</w:t>
      </w:r>
      <w:r>
        <w:rPr>
          <w:rFonts w:ascii="宋体" w:hAnsi="宋体" w:cs="宋体"/>
          <w:kern w:val="0"/>
          <w:sz w:val="28"/>
        </w:rPr>
        <w:t>GB/T50291—2015</w:t>
      </w:r>
      <w:r>
        <w:rPr>
          <w:rFonts w:hint="eastAsia" w:ascii="宋体" w:hAnsi="宋体" w:cs="宋体"/>
          <w:kern w:val="0"/>
          <w:sz w:val="28"/>
        </w:rPr>
        <w:t>）要求，注册房地产估价师邓跃章、覃新生对估价对象进行了实地查勘，依法履行了注册房地产估价师勤勉尽责、尽职调查、高度注意及核查验证义务。</w:t>
      </w:r>
    </w:p>
    <w:p>
      <w:pPr>
        <w:autoSpaceDE w:val="0"/>
        <w:autoSpaceDN w:val="0"/>
        <w:adjustRightInd w:val="0"/>
        <w:spacing w:line="360" w:lineRule="auto"/>
        <w:ind w:firstLine="570"/>
        <w:jc w:val="left"/>
        <w:rPr>
          <w:rFonts w:ascii="宋体" w:cs="宋体"/>
          <w:kern w:val="0"/>
          <w:sz w:val="28"/>
        </w:rPr>
      </w:pPr>
      <w:r>
        <w:rPr>
          <w:rFonts w:ascii="宋体" w:hAnsi="宋体" w:cs="宋体"/>
          <w:kern w:val="0"/>
          <w:sz w:val="28"/>
        </w:rPr>
        <w:t>7</w:t>
      </w:r>
      <w:r>
        <w:rPr>
          <w:rFonts w:hint="eastAsia" w:ascii="宋体" w:hAnsi="宋体" w:cs="宋体"/>
          <w:kern w:val="0"/>
          <w:sz w:val="28"/>
        </w:rPr>
        <w:t>、本报告由本估价机构独立完成，没有人对本估价报告提供重要的专业帮助。</w:t>
      </w:r>
      <w:bookmarkStart w:id="75" w:name="_Toc6595"/>
      <w:bookmarkStart w:id="76" w:name="_Toc31228"/>
      <w:bookmarkStart w:id="77" w:name="_Toc378495826"/>
      <w:bookmarkStart w:id="78" w:name="_Toc30276"/>
      <w:bookmarkStart w:id="79" w:name="_Toc355786931"/>
      <w:bookmarkStart w:id="80" w:name="_Toc378591655"/>
      <w:bookmarkStart w:id="81" w:name="_Toc5087"/>
      <w:bookmarkStart w:id="82" w:name="_Toc16516"/>
      <w:bookmarkStart w:id="83" w:name="_Toc378590541"/>
      <w:bookmarkStart w:id="84" w:name="_Toc357774358"/>
      <w:bookmarkStart w:id="85" w:name="_Toc445907651"/>
    </w:p>
    <w:p>
      <w:pPr>
        <w:spacing w:line="560" w:lineRule="exact"/>
        <w:ind w:right="-48"/>
        <w:jc w:val="center"/>
        <w:outlineLvl w:val="0"/>
        <w:rPr>
          <w:rFonts w:ascii="宋体" w:cs="宋体"/>
          <w:b/>
          <w:bCs/>
          <w:sz w:val="36"/>
          <w:szCs w:val="36"/>
        </w:rPr>
      </w:pPr>
      <w:bookmarkStart w:id="86" w:name="_Toc27663"/>
      <w:bookmarkStart w:id="87" w:name="_Toc1899"/>
      <w:bookmarkStart w:id="88" w:name="_Toc27532"/>
      <w:bookmarkStart w:id="89" w:name="_Toc29855"/>
      <w:bookmarkStart w:id="90" w:name="_Toc21004"/>
      <w:bookmarkStart w:id="91" w:name="_Toc18098"/>
      <w:r>
        <w:rPr>
          <w:rFonts w:hint="eastAsia" w:ascii="宋体" w:hAnsi="宋体" w:cs="宋体"/>
          <w:b/>
          <w:bCs/>
          <w:sz w:val="36"/>
          <w:szCs w:val="36"/>
        </w:rPr>
        <w:t>估价假设和限制条件</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autoSpaceDE w:val="0"/>
        <w:autoSpaceDN w:val="0"/>
        <w:adjustRightInd w:val="0"/>
        <w:spacing w:line="360" w:lineRule="auto"/>
        <w:ind w:firstLine="422" w:firstLineChars="150"/>
        <w:jc w:val="left"/>
        <w:outlineLvl w:val="2"/>
        <w:rPr>
          <w:rFonts w:ascii="宋体" w:cs="宋体"/>
          <w:b/>
          <w:kern w:val="0"/>
          <w:sz w:val="28"/>
        </w:rPr>
      </w:pPr>
      <w:bookmarkStart w:id="92" w:name="_Toc28554"/>
      <w:bookmarkStart w:id="93" w:name="_Toc445907652"/>
      <w:bookmarkStart w:id="94" w:name="_Toc404084867"/>
      <w:bookmarkStart w:id="95" w:name="_Toc443"/>
      <w:bookmarkStart w:id="96" w:name="_Toc8288"/>
      <w:bookmarkStart w:id="97" w:name="_Toc18364"/>
      <w:bookmarkStart w:id="98" w:name="_Toc24066"/>
      <w:bookmarkStart w:id="99" w:name="_Toc26699"/>
      <w:bookmarkStart w:id="100" w:name="_Toc26814"/>
      <w:bookmarkStart w:id="101" w:name="_Toc18377"/>
      <w:bookmarkStart w:id="102" w:name="_Toc607"/>
      <w:bookmarkStart w:id="103" w:name="_Toc325114453"/>
      <w:bookmarkStart w:id="104" w:name="_Toc325114639"/>
      <w:bookmarkStart w:id="105" w:name="_Toc7373"/>
      <w:bookmarkStart w:id="106" w:name="_Toc26075"/>
      <w:bookmarkStart w:id="107" w:name="_Toc16756"/>
      <w:bookmarkStart w:id="108" w:name="_Toc9168"/>
      <w:bookmarkStart w:id="109" w:name="_Toc14947"/>
      <w:bookmarkStart w:id="110" w:name="_Toc355786932"/>
      <w:bookmarkStart w:id="111" w:name="_Toc357774361"/>
      <w:r>
        <w:rPr>
          <w:rFonts w:hint="eastAsia" w:ascii="宋体" w:hAnsi="宋体" w:cs="宋体"/>
          <w:b/>
          <w:kern w:val="0"/>
          <w:sz w:val="28"/>
        </w:rPr>
        <w:t>一、估价假设条件</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autoSpaceDE w:val="0"/>
        <w:autoSpaceDN w:val="0"/>
        <w:adjustRightInd w:val="0"/>
        <w:spacing w:line="360" w:lineRule="auto"/>
        <w:ind w:firstLine="420" w:firstLineChars="150"/>
        <w:jc w:val="left"/>
        <w:outlineLvl w:val="2"/>
        <w:rPr>
          <w:rFonts w:ascii="宋体" w:cs="宋体"/>
          <w:kern w:val="0"/>
          <w:sz w:val="28"/>
        </w:rPr>
      </w:pPr>
      <w:bookmarkStart w:id="112" w:name="_Toc20897"/>
      <w:bookmarkStart w:id="113" w:name="_Toc17586"/>
      <w:bookmarkStart w:id="114" w:name="_Toc1162"/>
      <w:bookmarkStart w:id="115" w:name="_Toc12380"/>
      <w:bookmarkStart w:id="116" w:name="_Toc28741"/>
      <w:bookmarkStart w:id="117" w:name="_Toc22069"/>
      <w:bookmarkStart w:id="118" w:name="_Toc16262"/>
      <w:bookmarkStart w:id="119" w:name="_Toc8147"/>
      <w:bookmarkStart w:id="120" w:name="_Toc17111"/>
      <w:r>
        <w:rPr>
          <w:rFonts w:hint="eastAsia" w:ascii="宋体" w:hAnsi="宋体" w:cs="宋体"/>
          <w:kern w:val="0"/>
          <w:sz w:val="28"/>
        </w:rPr>
        <w:t>（一）一般假设</w:t>
      </w:r>
      <w:bookmarkEnd w:id="112"/>
      <w:bookmarkEnd w:id="113"/>
      <w:bookmarkEnd w:id="114"/>
      <w:bookmarkEnd w:id="115"/>
      <w:bookmarkEnd w:id="116"/>
      <w:bookmarkEnd w:id="117"/>
      <w:bookmarkEnd w:id="118"/>
      <w:bookmarkEnd w:id="119"/>
      <w:bookmarkEnd w:id="120"/>
    </w:p>
    <w:p>
      <w:pPr>
        <w:spacing w:line="360" w:lineRule="auto"/>
        <w:ind w:firstLine="560" w:firstLineChars="200"/>
        <w:rPr>
          <w:rFonts w:ascii="宋体" w:cs="宋体"/>
          <w:sz w:val="28"/>
        </w:rPr>
      </w:pPr>
      <w:r>
        <w:rPr>
          <w:rFonts w:ascii="宋体" w:hAnsi="宋体" w:cs="宋体"/>
          <w:sz w:val="28"/>
        </w:rPr>
        <w:t>1</w:t>
      </w:r>
      <w:r>
        <w:rPr>
          <w:rFonts w:hint="eastAsia" w:ascii="宋体" w:hAnsi="宋体" w:cs="宋体"/>
          <w:sz w:val="28"/>
        </w:rPr>
        <w:t>、在</w:t>
      </w:r>
      <w:r>
        <w:rPr>
          <w:rFonts w:hint="eastAsia" w:ascii="宋体" w:hAnsi="宋体" w:cs="宋体"/>
          <w:sz w:val="28"/>
          <w:szCs w:val="28"/>
        </w:rPr>
        <w:t>价值时点</w:t>
      </w:r>
      <w:r>
        <w:rPr>
          <w:rFonts w:hint="eastAsia" w:ascii="宋体" w:hAnsi="宋体" w:cs="宋体"/>
          <w:sz w:val="28"/>
        </w:rPr>
        <w:t>的房地产市场为公开、平等、自愿的正常交易市场。</w:t>
      </w:r>
    </w:p>
    <w:p>
      <w:pPr>
        <w:spacing w:line="360" w:lineRule="auto"/>
        <w:ind w:firstLine="560" w:firstLineChars="200"/>
        <w:rPr>
          <w:rFonts w:ascii="宋体" w:cs="宋体"/>
          <w:sz w:val="28"/>
        </w:rPr>
      </w:pPr>
      <w:r>
        <w:rPr>
          <w:rFonts w:ascii="宋体" w:hAnsi="宋体" w:cs="宋体"/>
          <w:sz w:val="28"/>
        </w:rPr>
        <w:t>2</w:t>
      </w:r>
      <w:r>
        <w:rPr>
          <w:rFonts w:hint="eastAsia" w:ascii="宋体" w:hAnsi="宋体" w:cs="宋体"/>
          <w:sz w:val="28"/>
        </w:rPr>
        <w:t>、注册房地产估价师对估价对象的房屋登记信息和土地登记信息依法进行了查询，对估价对象权属、面积、用途等进行了必要的核查验证。在无理由怀疑其合法性、真实性、准确性和完整性的情况下，本次估价以委托方提供的《临都上城19幢B单元房源信息登记表》记载的估价对象资料的合法、真实、准确和完整为假设前提。</w:t>
      </w:r>
    </w:p>
    <w:p>
      <w:pPr>
        <w:autoSpaceDE w:val="0"/>
        <w:autoSpaceDN w:val="0"/>
        <w:adjustRightInd w:val="0"/>
        <w:spacing w:line="360" w:lineRule="auto"/>
        <w:ind w:firstLine="570"/>
        <w:jc w:val="left"/>
        <w:rPr>
          <w:rFonts w:ascii="宋体"/>
          <w:kern w:val="0"/>
          <w:sz w:val="28"/>
        </w:rPr>
      </w:pPr>
      <w:r>
        <w:rPr>
          <w:rFonts w:ascii="宋体" w:hAnsi="宋体" w:cs="宋体"/>
          <w:sz w:val="28"/>
        </w:rPr>
        <w:t>3</w:t>
      </w:r>
      <w:r>
        <w:rPr>
          <w:rFonts w:hint="eastAsia" w:ascii="宋体" w:hAnsi="宋体" w:cs="宋体"/>
          <w:sz w:val="28"/>
        </w:rPr>
        <w:t>、</w:t>
      </w:r>
      <w:r>
        <w:rPr>
          <w:rFonts w:hint="eastAsia" w:ascii="宋体" w:hAnsi="宋体"/>
          <w:kern w:val="0"/>
          <w:sz w:val="28"/>
        </w:rPr>
        <w:t>注册房地产估价师对估价对象房地产瑕疵、房屋安全、环境污染等影响估价对象价值的重大因素给予了关注，在无理由怀疑估价对象存在瑕疵、质量安全隐患或环境污染且无相应的专业机构进行鉴定、检测的情况下，本次估价以无瑕疵、房屋质量安全、无环境污染为估价假设前提。</w:t>
      </w:r>
    </w:p>
    <w:p>
      <w:pPr>
        <w:spacing w:line="360" w:lineRule="auto"/>
        <w:ind w:firstLine="560" w:firstLineChars="200"/>
        <w:rPr>
          <w:rFonts w:ascii="宋体" w:cs="宋体"/>
          <w:sz w:val="28"/>
        </w:rPr>
      </w:pPr>
      <w:r>
        <w:rPr>
          <w:rFonts w:ascii="宋体" w:hAnsi="宋体" w:cs="宋体"/>
          <w:sz w:val="28"/>
        </w:rPr>
        <w:t>4</w:t>
      </w:r>
      <w:r>
        <w:rPr>
          <w:rFonts w:hint="eastAsia" w:ascii="宋体" w:hAnsi="宋体" w:cs="宋体"/>
          <w:sz w:val="28"/>
        </w:rPr>
        <w:t>、本估价报告以估价对象在</w:t>
      </w:r>
      <w:r>
        <w:rPr>
          <w:rFonts w:hint="eastAsia" w:ascii="宋体" w:hAnsi="宋体" w:cs="宋体"/>
          <w:sz w:val="28"/>
          <w:szCs w:val="28"/>
        </w:rPr>
        <w:t>价值时点</w:t>
      </w:r>
      <w:r>
        <w:rPr>
          <w:rFonts w:hint="eastAsia" w:ascii="宋体" w:hAnsi="宋体" w:cs="宋体"/>
          <w:sz w:val="28"/>
        </w:rPr>
        <w:t>处于完好状态并达到</w:t>
      </w:r>
      <w:r>
        <w:rPr>
          <w:rFonts w:hint="eastAsia" w:ascii="宋体" w:hAnsi="宋体" w:cs="宋体"/>
          <w:sz w:val="28"/>
          <w:szCs w:val="28"/>
        </w:rPr>
        <w:t>估价对象房地产类型</w:t>
      </w:r>
      <w:r>
        <w:rPr>
          <w:rFonts w:hint="eastAsia" w:ascii="宋体" w:hAnsi="宋体" w:cs="宋体"/>
          <w:sz w:val="28"/>
        </w:rPr>
        <w:t>所提供的使用功能为假设前提。</w:t>
      </w:r>
    </w:p>
    <w:p>
      <w:pPr>
        <w:tabs>
          <w:tab w:val="left" w:pos="900"/>
        </w:tabs>
        <w:spacing w:line="360" w:lineRule="auto"/>
        <w:ind w:firstLine="560" w:firstLineChars="200"/>
        <w:rPr>
          <w:rFonts w:ascii="宋体" w:cs="宋体"/>
          <w:sz w:val="28"/>
        </w:rPr>
      </w:pPr>
      <w:r>
        <w:rPr>
          <w:rFonts w:ascii="宋体" w:hAnsi="宋体" w:cs="宋体"/>
          <w:sz w:val="28"/>
        </w:rPr>
        <w:t>5</w:t>
      </w:r>
      <w:r>
        <w:rPr>
          <w:rFonts w:hint="eastAsia" w:ascii="宋体" w:hAnsi="宋体" w:cs="宋体"/>
          <w:sz w:val="28"/>
        </w:rPr>
        <w:t>、本估价报告以估价对象法定用途下保持持续利用为最高最佳利用，估价结果在估价对象保持最高最佳利用条件下成立。</w:t>
      </w:r>
    </w:p>
    <w:p>
      <w:pPr>
        <w:spacing w:line="360" w:lineRule="auto"/>
        <w:ind w:firstLine="560" w:firstLineChars="200"/>
        <w:rPr>
          <w:rFonts w:ascii="宋体" w:hAnsi="宋体" w:cs="宋体"/>
          <w:sz w:val="28"/>
        </w:rPr>
      </w:pPr>
      <w:r>
        <w:rPr>
          <w:rFonts w:ascii="宋体" w:hAnsi="宋体" w:cs="宋体"/>
          <w:sz w:val="28"/>
        </w:rPr>
        <w:t>6</w:t>
      </w:r>
      <w:r>
        <w:rPr>
          <w:rFonts w:hint="eastAsia" w:ascii="宋体" w:hAnsi="宋体" w:cs="宋体"/>
          <w:sz w:val="28"/>
        </w:rPr>
        <w:t>、市场价值是指估价对象经适当营销后，由熟悉情况、谨慎行事且不受强迫的交易双方，以公平交易方式在价值时点自愿进行交易的金额。本次估价测算的估价对象市场价值以估价对象满足（</w:t>
      </w:r>
      <w:r>
        <w:rPr>
          <w:rFonts w:ascii="宋体" w:hAnsi="宋体" w:cs="宋体"/>
          <w:sz w:val="28"/>
        </w:rPr>
        <w:t>1</w:t>
      </w:r>
      <w:r>
        <w:rPr>
          <w:rFonts w:hint="eastAsia" w:ascii="宋体" w:hAnsi="宋体" w:cs="宋体"/>
          <w:sz w:val="28"/>
        </w:rPr>
        <w:t>）适当营销；（</w:t>
      </w:r>
      <w:r>
        <w:rPr>
          <w:rFonts w:ascii="宋体" w:hAnsi="宋体" w:cs="宋体"/>
          <w:sz w:val="28"/>
        </w:rPr>
        <w:t>2</w:t>
      </w:r>
      <w:r>
        <w:rPr>
          <w:rFonts w:hint="eastAsia" w:ascii="宋体" w:hAnsi="宋体" w:cs="宋体"/>
          <w:sz w:val="28"/>
        </w:rPr>
        <w:t>）熟悉情况；（</w:t>
      </w:r>
      <w:r>
        <w:rPr>
          <w:rFonts w:ascii="宋体" w:hAnsi="宋体" w:cs="宋体"/>
          <w:sz w:val="28"/>
        </w:rPr>
        <w:t>3</w:t>
      </w:r>
      <w:r>
        <w:rPr>
          <w:rFonts w:hint="eastAsia" w:ascii="宋体" w:hAnsi="宋体" w:cs="宋体"/>
          <w:sz w:val="28"/>
        </w:rPr>
        <w:t>）谨慎行事；（</w:t>
      </w:r>
      <w:r>
        <w:rPr>
          <w:rFonts w:ascii="宋体" w:hAnsi="宋体" w:cs="宋体"/>
          <w:sz w:val="28"/>
        </w:rPr>
        <w:t>4</w:t>
      </w:r>
      <w:r>
        <w:rPr>
          <w:rFonts w:hint="eastAsia" w:ascii="宋体" w:hAnsi="宋体" w:cs="宋体"/>
          <w:sz w:val="28"/>
        </w:rPr>
        <w:t>）不受强迫；（</w:t>
      </w:r>
      <w:r>
        <w:rPr>
          <w:rFonts w:ascii="宋体" w:hAnsi="宋体" w:cs="宋体"/>
          <w:sz w:val="28"/>
        </w:rPr>
        <w:t>5</w:t>
      </w:r>
      <w:r>
        <w:rPr>
          <w:rFonts w:hint="eastAsia" w:ascii="宋体" w:hAnsi="宋体" w:cs="宋体"/>
          <w:sz w:val="28"/>
        </w:rPr>
        <w:t>）公平交易等交易条件为估价假设前提。</w:t>
      </w:r>
      <w:bookmarkStart w:id="121" w:name="_Toc404084868"/>
      <w:bookmarkStart w:id="122" w:name="_Toc325114454"/>
      <w:bookmarkStart w:id="123" w:name="_Toc325114640"/>
      <w:bookmarkStart w:id="124" w:name="_Toc14202"/>
      <w:bookmarkStart w:id="125" w:name="_Toc23451"/>
      <w:bookmarkStart w:id="126" w:name="_Toc24753"/>
      <w:bookmarkStart w:id="127" w:name="_Toc7873"/>
      <w:bookmarkStart w:id="128" w:name="_Toc28471"/>
      <w:bookmarkStart w:id="129" w:name="_Toc27115"/>
      <w:bookmarkStart w:id="130" w:name="_Toc21693"/>
      <w:bookmarkStart w:id="131" w:name="_Toc445907653"/>
      <w:bookmarkStart w:id="132" w:name="_Toc25492"/>
    </w:p>
    <w:p>
      <w:pPr>
        <w:spacing w:line="360" w:lineRule="auto"/>
        <w:ind w:firstLine="560" w:firstLineChars="200"/>
        <w:rPr>
          <w:rFonts w:ascii="宋体" w:cs="宋体"/>
          <w:sz w:val="28"/>
        </w:rPr>
      </w:pPr>
    </w:p>
    <w:p>
      <w:pPr>
        <w:spacing w:line="360" w:lineRule="auto"/>
        <w:ind w:firstLine="560" w:firstLineChars="200"/>
        <w:rPr>
          <w:rFonts w:ascii="宋体" w:cs="宋体"/>
          <w:sz w:val="28"/>
        </w:rPr>
      </w:pPr>
      <w:r>
        <w:rPr>
          <w:rFonts w:hint="eastAsia" w:ascii="宋体" w:hAnsi="宋体" w:cs="宋体"/>
          <w:sz w:val="28"/>
        </w:rPr>
        <w:t>（二）</w:t>
      </w:r>
      <w:r>
        <w:rPr>
          <w:rFonts w:hint="eastAsia" w:ascii="宋体" w:hAnsi="宋体" w:cs="宋体"/>
          <w:sz w:val="28"/>
          <w:szCs w:val="20"/>
        </w:rPr>
        <w:t>未定事项假设</w:t>
      </w:r>
      <w:bookmarkStart w:id="133" w:name="_Toc439335109"/>
    </w:p>
    <w:p>
      <w:pPr>
        <w:spacing w:line="360" w:lineRule="auto"/>
        <w:ind w:firstLine="560" w:firstLineChars="200"/>
        <w:rPr>
          <w:rFonts w:ascii="宋体" w:cs="宋体"/>
          <w:sz w:val="28"/>
          <w:szCs w:val="28"/>
        </w:rPr>
      </w:pPr>
      <w:r>
        <w:rPr>
          <w:rFonts w:hint="eastAsia" w:ascii="宋体" w:hAnsi="宋体" w:cs="宋体"/>
          <w:sz w:val="28"/>
          <w:szCs w:val="28"/>
        </w:rPr>
        <w:t>本次估价无未定事项假设。</w:t>
      </w:r>
    </w:p>
    <w:p>
      <w:pPr>
        <w:pStyle w:val="100"/>
        <w:ind w:firstLine="478" w:firstLineChars="171"/>
        <w:rPr>
          <w:rFonts w:ascii="宋体" w:cs="宋体"/>
        </w:rPr>
      </w:pPr>
      <w:r>
        <w:rPr>
          <w:rFonts w:hint="eastAsia" w:ascii="宋体" w:hAnsi="宋体" w:cs="宋体"/>
        </w:rPr>
        <w:t>（三）背离事实假设</w:t>
      </w:r>
      <w:bookmarkEnd w:id="133"/>
    </w:p>
    <w:p>
      <w:pPr>
        <w:spacing w:line="360" w:lineRule="auto"/>
        <w:ind w:firstLine="560" w:firstLineChars="200"/>
        <w:rPr>
          <w:rFonts w:ascii="宋体" w:cs="宋体"/>
          <w:sz w:val="28"/>
          <w:szCs w:val="28"/>
        </w:rPr>
      </w:pPr>
      <w:r>
        <w:rPr>
          <w:rFonts w:hint="eastAsia" w:ascii="宋体" w:hAnsi="宋体" w:cs="宋体"/>
          <w:sz w:val="28"/>
          <w:szCs w:val="28"/>
        </w:rPr>
        <w:t>在价值时点，估价对象处于被执行（被查封）阶段，对估价对象评估所作的设定状况与估价对象的实际状况相背离。根据</w:t>
      </w:r>
      <w:r>
        <w:rPr>
          <w:rFonts w:hint="eastAsia" w:ascii="宋体" w:hAnsi="宋体" w:cs="宋体"/>
          <w:kern w:val="0"/>
          <w:sz w:val="28"/>
        </w:rPr>
        <w:t>《房地产估价规范》（</w:t>
      </w:r>
      <w:r>
        <w:rPr>
          <w:rFonts w:ascii="宋体" w:hAnsi="宋体" w:cs="宋体"/>
          <w:kern w:val="0"/>
          <w:sz w:val="28"/>
        </w:rPr>
        <w:t>GB/T 50291—2015</w:t>
      </w:r>
      <w:r>
        <w:rPr>
          <w:rFonts w:hint="eastAsia" w:ascii="宋体" w:hAnsi="宋体" w:cs="宋体"/>
          <w:kern w:val="0"/>
          <w:sz w:val="28"/>
        </w:rPr>
        <w:t>）关于房地产司法拍卖估价的规定、</w:t>
      </w:r>
      <w:r>
        <w:rPr>
          <w:rFonts w:hint="eastAsia" w:ascii="宋体" w:hAnsi="宋体" w:cs="宋体"/>
          <w:sz w:val="28"/>
          <w:szCs w:val="28"/>
        </w:rPr>
        <w:t>本次估价目的以及本次估价的价值类型，</w:t>
      </w:r>
      <w:r>
        <w:rPr>
          <w:rFonts w:hint="eastAsia" w:ascii="宋体" w:hAnsi="宋体" w:cs="宋体"/>
          <w:sz w:val="28"/>
          <w:szCs w:val="28"/>
          <w:lang w:val="zh-CN"/>
        </w:rPr>
        <w:t>本次评估设定以估价对象不存在租赁权、不存在被查封、不存在原有的担保物权和其他优先受偿</w:t>
      </w:r>
      <w:r>
        <w:rPr>
          <w:rFonts w:hint="eastAsia" w:ascii="宋体" w:hAnsi="宋体" w:cs="宋体"/>
          <w:sz w:val="28"/>
          <w:szCs w:val="28"/>
        </w:rPr>
        <w:t>权等影响评估价值的重大因素为假设前提。</w:t>
      </w:r>
    </w:p>
    <w:p>
      <w:pPr>
        <w:spacing w:line="360" w:lineRule="auto"/>
        <w:ind w:firstLine="560" w:firstLineChars="200"/>
        <w:rPr>
          <w:rFonts w:ascii="宋体" w:cs="宋体"/>
          <w:sz w:val="28"/>
          <w:szCs w:val="28"/>
        </w:rPr>
      </w:pPr>
      <w:r>
        <w:rPr>
          <w:rFonts w:hint="eastAsia" w:ascii="宋体" w:hAnsi="宋体" w:cs="宋体"/>
          <w:sz w:val="28"/>
          <w:szCs w:val="28"/>
        </w:rPr>
        <w:t>（四）不相一致假设</w:t>
      </w:r>
      <w:bookmarkStart w:id="134" w:name="_Toc439335111"/>
    </w:p>
    <w:p>
      <w:pPr>
        <w:spacing w:line="360" w:lineRule="auto"/>
        <w:ind w:firstLine="638" w:firstLineChars="228"/>
        <w:rPr>
          <w:rFonts w:ascii="宋体" w:cs="宋体"/>
          <w:bCs/>
          <w:kern w:val="0"/>
          <w:sz w:val="28"/>
          <w:szCs w:val="20"/>
        </w:rPr>
      </w:pPr>
      <w:r>
        <w:rPr>
          <w:rFonts w:hint="eastAsia" w:ascii="宋体" w:hAnsi="宋体" w:cs="宋体"/>
          <w:bCs/>
          <w:kern w:val="0"/>
          <w:sz w:val="28"/>
          <w:szCs w:val="20"/>
        </w:rPr>
        <w:t>本次估价无不相一致假设。</w:t>
      </w:r>
    </w:p>
    <w:p>
      <w:pPr>
        <w:pStyle w:val="100"/>
        <w:ind w:firstLine="560"/>
        <w:rPr>
          <w:rFonts w:ascii="宋体" w:cs="宋体"/>
        </w:rPr>
      </w:pPr>
      <w:r>
        <w:rPr>
          <w:rFonts w:hint="eastAsia" w:ascii="宋体" w:hAnsi="宋体" w:cs="宋体"/>
        </w:rPr>
        <w:t>（五）依据不足假设</w:t>
      </w:r>
      <w:bookmarkEnd w:id="134"/>
    </w:p>
    <w:p>
      <w:pPr>
        <w:pStyle w:val="100"/>
        <w:spacing w:line="540" w:lineRule="exact"/>
        <w:ind w:firstLine="560"/>
        <w:rPr>
          <w:rFonts w:ascii="宋体" w:hAnsi="宋体" w:cs="宋体"/>
          <w:bCs/>
        </w:rPr>
      </w:pPr>
      <w:r>
        <w:rPr>
          <w:rFonts w:hint="eastAsia" w:ascii="宋体" w:hAnsi="宋体" w:cs="宋体"/>
        </w:rPr>
        <w:t>由于估价对象尚未办理竣工验收，也未办理不动产登记手续，无法提供竣工验收资料、权属资料，注册房地产估价师询问估价对象的相关管理人员估价对象主体工程的建成年代</w:t>
      </w:r>
      <w:r>
        <w:rPr>
          <w:rFonts w:hint="eastAsia" w:ascii="宋体" w:hAnsi="宋体" w:cs="宋体"/>
          <w:bCs/>
        </w:rPr>
        <w:t>，本次评估假设估价对象</w:t>
      </w:r>
      <w:r>
        <w:rPr>
          <w:rFonts w:hint="eastAsia" w:ascii="宋体" w:hAnsi="宋体" w:cs="宋体"/>
        </w:rPr>
        <w:t>主体工程的建成年代约为2015年</w:t>
      </w:r>
      <w:r>
        <w:rPr>
          <w:rFonts w:hint="eastAsia" w:ascii="宋体" w:hAnsi="宋体" w:cs="宋体"/>
          <w:bCs/>
        </w:rPr>
        <w:t>。</w:t>
      </w:r>
    </w:p>
    <w:p>
      <w:pPr>
        <w:autoSpaceDE w:val="0"/>
        <w:autoSpaceDN w:val="0"/>
        <w:adjustRightInd w:val="0"/>
        <w:spacing w:line="540" w:lineRule="exact"/>
        <w:ind w:firstLine="562" w:firstLineChars="200"/>
        <w:jc w:val="left"/>
        <w:outlineLvl w:val="2"/>
        <w:rPr>
          <w:rFonts w:ascii="宋体" w:cs="宋体"/>
          <w:b/>
          <w:kern w:val="0"/>
          <w:sz w:val="28"/>
        </w:rPr>
      </w:pPr>
      <w:bookmarkStart w:id="135" w:name="_Toc3531"/>
      <w:bookmarkStart w:id="136" w:name="_Toc14130"/>
      <w:bookmarkStart w:id="137" w:name="_Toc5888"/>
      <w:bookmarkStart w:id="138" w:name="_Toc5692"/>
      <w:bookmarkStart w:id="139" w:name="_Toc13605"/>
      <w:bookmarkStart w:id="140" w:name="_Toc25422"/>
      <w:r>
        <w:rPr>
          <w:rFonts w:hint="eastAsia" w:ascii="宋体" w:hAnsi="宋体" w:cs="宋体"/>
          <w:b/>
          <w:kern w:val="0"/>
          <w:sz w:val="28"/>
        </w:rPr>
        <w:t>二、估价限制条件</w:t>
      </w:r>
      <w:bookmarkEnd w:id="121"/>
      <w:bookmarkEnd w:id="122"/>
      <w:bookmarkEnd w:id="123"/>
      <w:bookmarkEnd w:id="124"/>
      <w:bookmarkEnd w:id="125"/>
      <w:bookmarkEnd w:id="126"/>
      <w:bookmarkEnd w:id="127"/>
      <w:bookmarkEnd w:id="128"/>
      <w:bookmarkEnd w:id="129"/>
      <w:bookmarkEnd w:id="130"/>
      <w:bookmarkEnd w:id="131"/>
      <w:bookmarkEnd w:id="132"/>
      <w:bookmarkEnd w:id="135"/>
      <w:bookmarkEnd w:id="136"/>
      <w:bookmarkEnd w:id="137"/>
      <w:bookmarkEnd w:id="138"/>
      <w:bookmarkEnd w:id="139"/>
      <w:bookmarkEnd w:id="140"/>
    </w:p>
    <w:p>
      <w:pPr>
        <w:autoSpaceDE w:val="0"/>
        <w:autoSpaceDN w:val="0"/>
        <w:adjustRightInd w:val="0"/>
        <w:spacing w:line="540" w:lineRule="exact"/>
        <w:ind w:firstLine="570"/>
        <w:jc w:val="left"/>
        <w:rPr>
          <w:rFonts w:ascii="宋体" w:cs="宋体"/>
          <w:kern w:val="0"/>
          <w:sz w:val="28"/>
        </w:rPr>
      </w:pPr>
      <w:r>
        <w:rPr>
          <w:rFonts w:ascii="宋体" w:hAnsi="宋体" w:cs="宋体"/>
          <w:kern w:val="0"/>
          <w:sz w:val="28"/>
        </w:rPr>
        <w:t>1</w:t>
      </w:r>
      <w:r>
        <w:rPr>
          <w:rFonts w:hint="eastAsia" w:ascii="宋体" w:hAnsi="宋体" w:cs="宋体"/>
          <w:kern w:val="0"/>
          <w:sz w:val="28"/>
        </w:rPr>
        <w:t>、本估价报告的估价结果为估价对象在上述已有假设条件下的进行估算后得出的估价结论，本估价结论仅作</w:t>
      </w:r>
      <w:r>
        <w:rPr>
          <w:rFonts w:hint="eastAsia" w:ascii="宋体" w:hAnsi="宋体" w:cs="宋体"/>
          <w:sz w:val="28"/>
          <w:szCs w:val="28"/>
        </w:rPr>
        <w:t>为估价委托人为本次估</w:t>
      </w:r>
      <w:r>
        <w:rPr>
          <w:rFonts w:hint="eastAsia" w:ascii="宋体" w:hAnsi="宋体" w:cs="宋体"/>
          <w:kern w:val="0"/>
          <w:sz w:val="28"/>
        </w:rPr>
        <w:t>价目的服务。</w:t>
      </w:r>
    </w:p>
    <w:p>
      <w:pPr>
        <w:tabs>
          <w:tab w:val="left" w:pos="0"/>
        </w:tabs>
        <w:spacing w:line="540" w:lineRule="exact"/>
        <w:ind w:firstLine="560" w:firstLineChars="200"/>
        <w:rPr>
          <w:rFonts w:ascii="宋体" w:cs="宋体"/>
          <w:kern w:val="0"/>
          <w:sz w:val="28"/>
        </w:rPr>
      </w:pPr>
      <w:r>
        <w:rPr>
          <w:rFonts w:ascii="宋体" w:hAnsi="宋体" w:cs="宋体"/>
          <w:kern w:val="0"/>
          <w:sz w:val="28"/>
        </w:rPr>
        <w:t>2</w:t>
      </w:r>
      <w:r>
        <w:rPr>
          <w:rFonts w:hint="eastAsia" w:ascii="宋体" w:hAnsi="宋体" w:cs="宋体"/>
          <w:kern w:val="0"/>
          <w:sz w:val="28"/>
        </w:rPr>
        <w:t>、本估价报告仅供人民法院司法评估委托书约定的使用者和法律、行政法规规定的报告使用者并按照本次估价目的及用途使用，其他任何机构和个人不能成为本估价报告的使用人。估价委托人或者其他合法的估价报告使用者不按照本次估价目的及用途使用估价报告的，本估价机构及其注册房地产估价师不承担造成后果和责任。</w:t>
      </w:r>
    </w:p>
    <w:p>
      <w:pPr>
        <w:tabs>
          <w:tab w:val="left" w:pos="0"/>
        </w:tabs>
        <w:spacing w:line="540" w:lineRule="exact"/>
        <w:ind w:firstLine="560" w:firstLineChars="200"/>
        <w:rPr>
          <w:rFonts w:ascii="宋体" w:cs="宋体"/>
          <w:kern w:val="0"/>
          <w:sz w:val="28"/>
        </w:rPr>
      </w:pPr>
      <w:r>
        <w:rPr>
          <w:rFonts w:ascii="宋体" w:hAnsi="宋体" w:cs="宋体"/>
          <w:kern w:val="0"/>
          <w:sz w:val="28"/>
        </w:rPr>
        <w:t>3</w:t>
      </w:r>
      <w:r>
        <w:rPr>
          <w:rFonts w:hint="eastAsia" w:ascii="宋体" w:hAnsi="宋体" w:cs="宋体"/>
          <w:kern w:val="0"/>
          <w:sz w:val="28"/>
        </w:rPr>
        <w:t>、鉴于估价对象受影响房地产价值等诸多不确定性因素的影响，本估价报告使用的有效期约定为自出具估价报告之日起一年。</w:t>
      </w:r>
    </w:p>
    <w:p>
      <w:pPr>
        <w:snapToGrid w:val="0"/>
        <w:spacing w:line="540" w:lineRule="exact"/>
        <w:ind w:firstLine="560" w:firstLineChars="200"/>
        <w:rPr>
          <w:rFonts w:ascii="宋体" w:cs="宋体"/>
          <w:sz w:val="28"/>
        </w:rPr>
      </w:pPr>
      <w:r>
        <w:rPr>
          <w:rFonts w:ascii="宋体" w:hAnsi="宋体" w:cs="宋体"/>
          <w:sz w:val="28"/>
        </w:rPr>
        <w:t>4</w:t>
      </w:r>
      <w:r>
        <w:rPr>
          <w:rFonts w:hint="eastAsia" w:ascii="宋体" w:hAnsi="宋体" w:cs="宋体"/>
          <w:sz w:val="28"/>
        </w:rPr>
        <w:t>、本估价报告有效期内如估价对象的质量、结构、用途、规模发生变化，如</w:t>
      </w:r>
      <w:r>
        <w:rPr>
          <w:rFonts w:hint="eastAsia" w:ascii="宋体" w:hAnsi="宋体" w:cs="宋体"/>
          <w:kern w:val="0"/>
          <w:sz w:val="28"/>
        </w:rPr>
        <w:t>估价对象的实物形态、</w:t>
      </w:r>
      <w:r>
        <w:rPr>
          <w:rFonts w:hint="eastAsia" w:ascii="宋体" w:hAnsi="宋体" w:cs="宋体"/>
          <w:sz w:val="28"/>
        </w:rPr>
        <w:t>使用功能、设备安装、建筑品质</w:t>
      </w:r>
      <w:r>
        <w:rPr>
          <w:rFonts w:hint="eastAsia" w:ascii="宋体" w:hAnsi="宋体" w:cs="宋体"/>
          <w:kern w:val="0"/>
          <w:sz w:val="28"/>
        </w:rPr>
        <w:t>或价格标准发生重大变化或</w:t>
      </w:r>
      <w:r>
        <w:rPr>
          <w:rFonts w:hint="eastAsia" w:ascii="宋体" w:hAnsi="宋体" w:cs="宋体"/>
          <w:sz w:val="28"/>
        </w:rPr>
        <w:t>房地产市场产生较大波动</w:t>
      </w:r>
      <w:r>
        <w:rPr>
          <w:rFonts w:hint="eastAsia" w:ascii="宋体" w:hAnsi="宋体" w:cs="宋体"/>
          <w:kern w:val="0"/>
          <w:sz w:val="28"/>
        </w:rPr>
        <w:t>，</w:t>
      </w:r>
      <w:r>
        <w:rPr>
          <w:rFonts w:hint="eastAsia" w:ascii="宋体" w:hAnsi="宋体" w:cs="宋体"/>
          <w:sz w:val="28"/>
        </w:rPr>
        <w:t>如遇国家政策调整、经济、税收等影响房地产价值的因素发生变化及</w:t>
      </w:r>
      <w:r>
        <w:rPr>
          <w:rFonts w:hint="eastAsia" w:ascii="宋体" w:hAnsi="宋体" w:cs="宋体"/>
          <w:kern w:val="0"/>
          <w:sz w:val="28"/>
        </w:rPr>
        <w:t>特殊交易行为、</w:t>
      </w:r>
      <w:r>
        <w:rPr>
          <w:rFonts w:hint="eastAsia" w:ascii="宋体" w:hAnsi="宋体" w:cs="宋体"/>
          <w:sz w:val="28"/>
        </w:rPr>
        <w:t>其他不可抗力等因素对估价对象价值产生明显影响时，</w:t>
      </w:r>
      <w:r>
        <w:rPr>
          <w:rFonts w:hint="eastAsia" w:ascii="宋体" w:hAnsi="宋体" w:cs="宋体"/>
          <w:kern w:val="0"/>
          <w:sz w:val="28"/>
        </w:rPr>
        <w:t>不能直接使用本估价结论，</w:t>
      </w:r>
      <w:r>
        <w:rPr>
          <w:rFonts w:hint="eastAsia" w:ascii="宋体" w:hAnsi="宋体" w:cs="宋体"/>
          <w:sz w:val="28"/>
        </w:rPr>
        <w:t>本估价结果需作调整或重新进行确定。</w:t>
      </w:r>
    </w:p>
    <w:p>
      <w:pPr>
        <w:autoSpaceDE w:val="0"/>
        <w:autoSpaceDN w:val="0"/>
        <w:adjustRightInd w:val="0"/>
        <w:snapToGrid w:val="0"/>
        <w:spacing w:line="540" w:lineRule="exact"/>
        <w:ind w:firstLine="573"/>
        <w:jc w:val="left"/>
        <w:rPr>
          <w:rFonts w:ascii="宋体" w:cs="宋体"/>
          <w:bCs/>
          <w:sz w:val="28"/>
        </w:rPr>
      </w:pPr>
      <w:r>
        <w:rPr>
          <w:rFonts w:ascii="宋体" w:hAnsi="宋体" w:cs="宋体"/>
          <w:bCs/>
          <w:sz w:val="28"/>
        </w:rPr>
        <w:t>5</w:t>
      </w:r>
      <w:r>
        <w:rPr>
          <w:rFonts w:hint="eastAsia" w:ascii="宋体" w:hAnsi="宋体" w:cs="宋体"/>
          <w:bCs/>
          <w:sz w:val="28"/>
        </w:rPr>
        <w:t>、本估价报告由本估价机构出具，解释权为本估价机构所有。未经本估价机构和注册房地产估价师书面同意，估价报告不得向报告使用人及报告审查部门以外的任何单位及个人提供、或见诸于媒体或网络。其全部或其部分内容不得在本次约定的使用用途以外的任何公开文件、通告或声明中引用，亦不得以任何方式对外公开发表。但法律、行政法规规定或相关当事人另有约定的除外。</w:t>
      </w:r>
    </w:p>
    <w:p>
      <w:pPr>
        <w:autoSpaceDE w:val="0"/>
        <w:autoSpaceDN w:val="0"/>
        <w:adjustRightInd w:val="0"/>
        <w:snapToGrid w:val="0"/>
        <w:spacing w:line="540" w:lineRule="exact"/>
        <w:ind w:firstLine="573"/>
        <w:jc w:val="left"/>
        <w:rPr>
          <w:rFonts w:ascii="宋体" w:cs="宋体"/>
          <w:bCs/>
          <w:sz w:val="28"/>
        </w:rPr>
      </w:pPr>
      <w:r>
        <w:rPr>
          <w:rFonts w:ascii="宋体" w:hAnsi="宋体" w:cs="宋体"/>
          <w:bCs/>
          <w:sz w:val="28"/>
        </w:rPr>
        <w:t>6</w:t>
      </w:r>
      <w:r>
        <w:rPr>
          <w:rFonts w:hint="eastAsia" w:ascii="宋体" w:hAnsi="宋体" w:cs="宋体"/>
          <w:bCs/>
          <w:sz w:val="28"/>
        </w:rPr>
        <w:t>、因估价委托人、估价利害关系人违规使用本估价报告或使用报告不当而引起的后果，本估价机构和注册房地产估价师不承担相应的责任。</w:t>
      </w:r>
      <w:bookmarkStart w:id="141" w:name="_Toc10207"/>
      <w:bookmarkStart w:id="142" w:name="_Toc19493"/>
      <w:bookmarkStart w:id="143" w:name="_Toc18396"/>
      <w:bookmarkStart w:id="144" w:name="_Toc9599"/>
      <w:bookmarkStart w:id="145" w:name="_Toc445907655"/>
      <w:bookmarkStart w:id="146" w:name="_Toc11218"/>
      <w:bookmarkStart w:id="147" w:name="_Toc457982805"/>
      <w:bookmarkStart w:id="148" w:name="_Toc457982749"/>
      <w:bookmarkStart w:id="149" w:name="_Toc404084870"/>
    </w:p>
    <w:p>
      <w:pPr>
        <w:autoSpaceDE w:val="0"/>
        <w:autoSpaceDN w:val="0"/>
        <w:adjustRightInd w:val="0"/>
        <w:snapToGrid w:val="0"/>
        <w:spacing w:line="560" w:lineRule="exact"/>
        <w:jc w:val="center"/>
        <w:outlineLvl w:val="0"/>
        <w:rPr>
          <w:rFonts w:ascii="宋体" w:cs="宋体"/>
          <w:bCs/>
          <w:sz w:val="36"/>
          <w:szCs w:val="36"/>
        </w:rPr>
      </w:pPr>
      <w:bookmarkStart w:id="150" w:name="_Toc378590544"/>
      <w:bookmarkStart w:id="151" w:name="_Toc30278"/>
      <w:bookmarkStart w:id="152" w:name="_Toc30226"/>
      <w:bookmarkStart w:id="153" w:name="_Toc378591658"/>
      <w:bookmarkStart w:id="154" w:name="_Toc3399"/>
      <w:bookmarkStart w:id="155" w:name="_Toc378591254"/>
      <w:bookmarkStart w:id="156" w:name="_Toc7678"/>
      <w:bookmarkStart w:id="157" w:name="_Toc378495829"/>
      <w:bookmarkStart w:id="158" w:name="_Toc3438"/>
      <w:bookmarkStart w:id="159" w:name="_Toc2267"/>
      <w:bookmarkStart w:id="160" w:name="_Toc445907656"/>
      <w:r>
        <w:rPr>
          <w:rFonts w:hint="eastAsia" w:ascii="宋体" w:hAnsi="宋体" w:cs="宋体"/>
          <w:b/>
          <w:bCs/>
          <w:sz w:val="36"/>
          <w:szCs w:val="36"/>
        </w:rPr>
        <w:br w:type="page"/>
      </w:r>
      <w:r>
        <w:rPr>
          <w:rFonts w:hint="eastAsia" w:ascii="宋体" w:hAnsi="宋体" w:cs="宋体"/>
          <w:b/>
          <w:bCs/>
          <w:sz w:val="36"/>
          <w:szCs w:val="36"/>
        </w:rPr>
        <w:t>估价结果报告</w:t>
      </w:r>
      <w:bookmarkEnd w:id="110"/>
      <w:bookmarkEnd w:id="111"/>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autoSpaceDE w:val="0"/>
        <w:autoSpaceDN w:val="0"/>
        <w:adjustRightInd w:val="0"/>
        <w:spacing w:line="360" w:lineRule="auto"/>
        <w:ind w:firstLine="410" w:firstLineChars="146"/>
        <w:jc w:val="left"/>
        <w:outlineLvl w:val="1"/>
        <w:rPr>
          <w:rFonts w:ascii="宋体" w:hAnsi="宋体" w:cs="宋体"/>
          <w:b/>
          <w:kern w:val="0"/>
          <w:sz w:val="28"/>
        </w:rPr>
      </w:pPr>
      <w:bookmarkStart w:id="161" w:name="_Toc325114457"/>
      <w:bookmarkStart w:id="162" w:name="_Toc404084872"/>
      <w:bookmarkStart w:id="163" w:name="_Toc325114643"/>
      <w:bookmarkStart w:id="164" w:name="_Toc26237"/>
      <w:bookmarkStart w:id="165" w:name="_Toc4110"/>
      <w:bookmarkStart w:id="166" w:name="_Toc28095"/>
      <w:bookmarkStart w:id="167" w:name="_Toc32189"/>
      <w:bookmarkStart w:id="168" w:name="_Toc9864"/>
      <w:bookmarkStart w:id="169" w:name="_Toc22520"/>
      <w:bookmarkStart w:id="170" w:name="_Toc529"/>
      <w:bookmarkStart w:id="171" w:name="_Toc31937"/>
      <w:bookmarkStart w:id="172" w:name="_Toc28291"/>
      <w:bookmarkStart w:id="173" w:name="_Toc445907657"/>
      <w:bookmarkStart w:id="174" w:name="_Toc678"/>
      <w:bookmarkStart w:id="175" w:name="_Toc31222"/>
      <w:bookmarkStart w:id="176" w:name="_Toc378495832"/>
      <w:bookmarkStart w:id="177" w:name="_Toc355786936"/>
      <w:bookmarkStart w:id="178" w:name="_Toc357774365"/>
      <w:bookmarkStart w:id="179" w:name="_Toc378591257"/>
      <w:bookmarkStart w:id="180" w:name="_Toc378591661"/>
      <w:bookmarkStart w:id="181" w:name="_Toc378590547"/>
      <w:bookmarkStart w:id="182" w:name="_Toc355786935"/>
      <w:bookmarkStart w:id="183" w:name="_Toc357774364"/>
    </w:p>
    <w:p>
      <w:pPr>
        <w:autoSpaceDE w:val="0"/>
        <w:autoSpaceDN w:val="0"/>
        <w:adjustRightInd w:val="0"/>
        <w:spacing w:line="360" w:lineRule="auto"/>
        <w:ind w:firstLine="410" w:firstLineChars="146"/>
        <w:jc w:val="left"/>
        <w:outlineLvl w:val="1"/>
        <w:rPr>
          <w:rFonts w:ascii="宋体" w:cs="宋体"/>
          <w:b/>
          <w:kern w:val="0"/>
          <w:sz w:val="28"/>
        </w:rPr>
      </w:pPr>
      <w:r>
        <w:rPr>
          <w:rFonts w:hint="eastAsia" w:ascii="宋体" w:hAnsi="宋体" w:cs="宋体"/>
          <w:b/>
          <w:kern w:val="0"/>
          <w:sz w:val="28"/>
        </w:rPr>
        <w:t>一、估价委托</w:t>
      </w:r>
      <w:bookmarkEnd w:id="161"/>
      <w:bookmarkEnd w:id="162"/>
      <w:bookmarkEnd w:id="163"/>
      <w:r>
        <w:rPr>
          <w:rFonts w:hint="eastAsia" w:ascii="宋体" w:hAnsi="宋体" w:cs="宋体"/>
          <w:b/>
          <w:kern w:val="0"/>
          <w:sz w:val="28"/>
        </w:rPr>
        <w:t>人</w:t>
      </w:r>
      <w:bookmarkEnd w:id="164"/>
      <w:bookmarkEnd w:id="165"/>
      <w:bookmarkEnd w:id="166"/>
      <w:bookmarkEnd w:id="167"/>
      <w:bookmarkEnd w:id="168"/>
      <w:bookmarkEnd w:id="169"/>
      <w:bookmarkEnd w:id="170"/>
      <w:bookmarkEnd w:id="171"/>
      <w:bookmarkEnd w:id="172"/>
      <w:bookmarkEnd w:id="173"/>
      <w:bookmarkEnd w:id="174"/>
      <w:bookmarkEnd w:id="175"/>
    </w:p>
    <w:p>
      <w:pPr>
        <w:spacing w:line="360" w:lineRule="auto"/>
        <w:ind w:firstLine="560" w:firstLineChars="200"/>
        <w:rPr>
          <w:rFonts w:ascii="宋体" w:cs="宋体"/>
          <w:kern w:val="0"/>
          <w:sz w:val="28"/>
        </w:rPr>
      </w:pPr>
      <w:r>
        <w:rPr>
          <w:rFonts w:hint="eastAsia" w:ascii="宋体" w:hAnsi="宋体" w:cs="宋体"/>
          <w:bCs/>
          <w:sz w:val="28"/>
        </w:rPr>
        <w:t>名称：</w:t>
      </w:r>
      <w:r>
        <w:rPr>
          <w:rFonts w:hint="eastAsia" w:ascii="宋体" w:hAnsi="宋体" w:cs="宋体"/>
          <w:kern w:val="0"/>
          <w:sz w:val="28"/>
        </w:rPr>
        <w:t>云南省临沧市中级人民法院</w:t>
      </w:r>
    </w:p>
    <w:p>
      <w:pPr>
        <w:spacing w:line="360" w:lineRule="auto"/>
        <w:ind w:firstLine="560" w:firstLineChars="200"/>
        <w:rPr>
          <w:rFonts w:ascii="宋体" w:cs="宋体"/>
          <w:kern w:val="0"/>
          <w:sz w:val="28"/>
        </w:rPr>
      </w:pPr>
      <w:r>
        <w:rPr>
          <w:rFonts w:hint="eastAsia" w:ascii="宋体" w:hAnsi="宋体" w:cs="宋体"/>
          <w:kern w:val="0"/>
          <w:sz w:val="28"/>
        </w:rPr>
        <w:t>住所：临沧市临翔区团结路民主法制园区内</w:t>
      </w:r>
    </w:p>
    <w:p>
      <w:pPr>
        <w:autoSpaceDE w:val="0"/>
        <w:autoSpaceDN w:val="0"/>
        <w:adjustRightInd w:val="0"/>
        <w:spacing w:line="360" w:lineRule="auto"/>
        <w:ind w:firstLine="422" w:firstLineChars="150"/>
        <w:jc w:val="left"/>
        <w:outlineLvl w:val="1"/>
        <w:rPr>
          <w:rFonts w:ascii="宋体" w:cs="宋体"/>
          <w:b/>
          <w:kern w:val="0"/>
          <w:sz w:val="28"/>
        </w:rPr>
      </w:pPr>
      <w:bookmarkStart w:id="184" w:name="_Toc325114458"/>
      <w:bookmarkStart w:id="185" w:name="_Toc325114644"/>
      <w:bookmarkStart w:id="186" w:name="_Toc404084873"/>
      <w:bookmarkStart w:id="187" w:name="_Toc445907658"/>
      <w:bookmarkStart w:id="188" w:name="_Toc30832"/>
      <w:bookmarkStart w:id="189" w:name="_Toc7124"/>
      <w:bookmarkStart w:id="190" w:name="_Toc18348"/>
      <w:bookmarkStart w:id="191" w:name="_Toc1940"/>
      <w:bookmarkStart w:id="192" w:name="_Toc2328"/>
      <w:bookmarkStart w:id="193" w:name="_Toc147"/>
      <w:bookmarkStart w:id="194" w:name="_Toc18837"/>
      <w:bookmarkStart w:id="195" w:name="_Toc10044"/>
      <w:bookmarkStart w:id="196" w:name="_Toc5562"/>
      <w:bookmarkStart w:id="197" w:name="_Toc26763"/>
      <w:bookmarkStart w:id="198" w:name="_Toc11465"/>
      <w:r>
        <w:rPr>
          <w:rFonts w:hint="eastAsia" w:ascii="宋体" w:hAnsi="宋体" w:cs="宋体"/>
          <w:b/>
          <w:kern w:val="0"/>
          <w:sz w:val="28"/>
        </w:rPr>
        <w:t>二、</w:t>
      </w:r>
      <w:bookmarkEnd w:id="184"/>
      <w:bookmarkEnd w:id="185"/>
      <w:bookmarkEnd w:id="186"/>
      <w:r>
        <w:rPr>
          <w:rFonts w:hint="eastAsia" w:ascii="宋体" w:hAnsi="宋体" w:cs="宋体"/>
          <w:b/>
          <w:kern w:val="0"/>
          <w:sz w:val="28"/>
        </w:rPr>
        <w:t>房地产估价机构</w:t>
      </w:r>
      <w:bookmarkEnd w:id="187"/>
      <w:bookmarkEnd w:id="188"/>
      <w:bookmarkEnd w:id="189"/>
      <w:bookmarkEnd w:id="190"/>
      <w:bookmarkEnd w:id="191"/>
      <w:bookmarkEnd w:id="192"/>
      <w:bookmarkEnd w:id="193"/>
      <w:bookmarkEnd w:id="194"/>
      <w:bookmarkEnd w:id="195"/>
      <w:bookmarkEnd w:id="196"/>
      <w:bookmarkEnd w:id="197"/>
      <w:bookmarkEnd w:id="198"/>
    </w:p>
    <w:p>
      <w:pPr>
        <w:spacing w:line="360" w:lineRule="auto"/>
        <w:ind w:firstLine="560" w:firstLineChars="200"/>
        <w:rPr>
          <w:rFonts w:ascii="宋体" w:cs="宋体"/>
          <w:bCs/>
          <w:sz w:val="28"/>
        </w:rPr>
      </w:pPr>
      <w:bookmarkStart w:id="199" w:name="_Toc1621"/>
      <w:bookmarkStart w:id="200" w:name="_Toc445907659"/>
      <w:bookmarkStart w:id="201" w:name="_Toc29657"/>
      <w:bookmarkStart w:id="202" w:name="_Toc19355"/>
      <w:bookmarkStart w:id="203" w:name="_Toc12702"/>
      <w:bookmarkStart w:id="204" w:name="_Toc404084874"/>
      <w:bookmarkStart w:id="205" w:name="_Toc11304"/>
      <w:r>
        <w:rPr>
          <w:rFonts w:hint="eastAsia" w:ascii="宋体" w:hAnsi="宋体" w:cs="宋体"/>
          <w:bCs/>
          <w:sz w:val="28"/>
        </w:rPr>
        <w:t>估价机构名称：昆明正序房地产土地资产评估有限公司</w:t>
      </w:r>
    </w:p>
    <w:p>
      <w:pPr>
        <w:spacing w:line="360" w:lineRule="auto"/>
        <w:ind w:firstLine="560" w:firstLineChars="200"/>
        <w:rPr>
          <w:rFonts w:ascii="宋体" w:cs="宋体"/>
          <w:bCs/>
          <w:sz w:val="28"/>
        </w:rPr>
      </w:pPr>
      <w:r>
        <w:rPr>
          <w:rFonts w:hint="eastAsia" w:ascii="宋体" w:hAnsi="宋体" w:cs="宋体"/>
          <w:bCs/>
          <w:sz w:val="28"/>
        </w:rPr>
        <w:t>住所：云南省昆明市西山区青年路</w:t>
      </w:r>
      <w:r>
        <w:rPr>
          <w:rFonts w:ascii="宋体" w:hAnsi="宋体" w:cs="宋体"/>
          <w:bCs/>
          <w:sz w:val="28"/>
        </w:rPr>
        <w:t>518</w:t>
      </w:r>
      <w:r>
        <w:rPr>
          <w:rFonts w:hint="eastAsia" w:ascii="宋体" w:hAnsi="宋体" w:cs="宋体"/>
          <w:bCs/>
          <w:sz w:val="28"/>
        </w:rPr>
        <w:t>号</w:t>
      </w:r>
      <w:r>
        <w:rPr>
          <w:rFonts w:ascii="宋体" w:hAnsi="宋体" w:cs="宋体"/>
          <w:bCs/>
          <w:sz w:val="28"/>
        </w:rPr>
        <w:t>3</w:t>
      </w:r>
      <w:r>
        <w:rPr>
          <w:rFonts w:hint="eastAsia" w:ascii="宋体" w:hAnsi="宋体" w:cs="宋体"/>
          <w:bCs/>
          <w:sz w:val="28"/>
        </w:rPr>
        <w:t>幢</w:t>
      </w:r>
      <w:r>
        <w:rPr>
          <w:rFonts w:ascii="宋体" w:hAnsi="宋体" w:cs="宋体"/>
          <w:bCs/>
          <w:sz w:val="28"/>
        </w:rPr>
        <w:t>4</w:t>
      </w:r>
      <w:r>
        <w:rPr>
          <w:rFonts w:hint="eastAsia" w:ascii="宋体" w:hAnsi="宋体" w:cs="宋体"/>
          <w:bCs/>
          <w:sz w:val="28"/>
        </w:rPr>
        <w:t>层</w:t>
      </w:r>
    </w:p>
    <w:p>
      <w:pPr>
        <w:spacing w:line="360" w:lineRule="auto"/>
        <w:ind w:firstLine="560" w:firstLineChars="200"/>
        <w:rPr>
          <w:rFonts w:ascii="宋体" w:cs="宋体"/>
          <w:bCs/>
          <w:sz w:val="28"/>
        </w:rPr>
      </w:pPr>
      <w:r>
        <w:rPr>
          <w:rFonts w:hint="eastAsia" w:ascii="宋体" w:hAnsi="宋体" w:cs="宋体"/>
          <w:bCs/>
          <w:sz w:val="28"/>
        </w:rPr>
        <w:t>法定代表人：邓跃章</w:t>
      </w:r>
    </w:p>
    <w:p>
      <w:pPr>
        <w:spacing w:line="360" w:lineRule="auto"/>
        <w:ind w:firstLine="560" w:firstLineChars="200"/>
        <w:rPr>
          <w:rFonts w:ascii="宋体" w:cs="宋体"/>
          <w:bCs/>
          <w:sz w:val="28"/>
        </w:rPr>
      </w:pPr>
      <w:r>
        <w:rPr>
          <w:rFonts w:hint="eastAsia" w:ascii="宋体" w:hAnsi="宋体" w:cs="宋体"/>
          <w:bCs/>
          <w:sz w:val="28"/>
        </w:rPr>
        <w:t>统一社会信用代码：</w:t>
      </w:r>
      <w:r>
        <w:rPr>
          <w:rFonts w:ascii="宋体" w:hAnsi="宋体" w:cs="宋体"/>
          <w:bCs/>
          <w:sz w:val="28"/>
        </w:rPr>
        <w:t>915301007755149472</w:t>
      </w:r>
    </w:p>
    <w:p>
      <w:pPr>
        <w:spacing w:line="360" w:lineRule="auto"/>
        <w:ind w:firstLine="560" w:firstLineChars="200"/>
        <w:rPr>
          <w:rFonts w:ascii="宋体" w:cs="宋体"/>
          <w:bCs/>
          <w:sz w:val="28"/>
        </w:rPr>
      </w:pPr>
      <w:r>
        <w:rPr>
          <w:rFonts w:hint="eastAsia" w:ascii="宋体" w:hAnsi="宋体" w:cs="宋体"/>
          <w:bCs/>
          <w:sz w:val="28"/>
        </w:rPr>
        <w:t>房地产估价机构备案等级：贰级</w:t>
      </w:r>
    </w:p>
    <w:p>
      <w:pPr>
        <w:spacing w:line="360" w:lineRule="auto"/>
        <w:ind w:firstLine="560" w:firstLineChars="200"/>
        <w:rPr>
          <w:rFonts w:ascii="宋体" w:cs="宋体"/>
          <w:bCs/>
          <w:sz w:val="28"/>
        </w:rPr>
      </w:pPr>
      <w:r>
        <w:rPr>
          <w:rFonts w:hint="eastAsia" w:ascii="宋体" w:hAnsi="宋体" w:cs="宋体"/>
          <w:bCs/>
          <w:sz w:val="28"/>
        </w:rPr>
        <w:t>房地产估价机构备案证书编号：云建房证估字第</w:t>
      </w:r>
      <w:r>
        <w:rPr>
          <w:rFonts w:ascii="宋体" w:hAnsi="宋体" w:cs="宋体"/>
          <w:bCs/>
          <w:sz w:val="28"/>
        </w:rPr>
        <w:t>114</w:t>
      </w:r>
      <w:r>
        <w:rPr>
          <w:rFonts w:hint="eastAsia" w:ascii="宋体" w:hAnsi="宋体" w:cs="宋体"/>
          <w:bCs/>
          <w:sz w:val="28"/>
        </w:rPr>
        <w:t>号</w:t>
      </w:r>
    </w:p>
    <w:p>
      <w:pPr>
        <w:spacing w:line="360" w:lineRule="auto"/>
        <w:ind w:firstLine="560" w:firstLineChars="200"/>
        <w:rPr>
          <w:rFonts w:ascii="宋体" w:cs="宋体"/>
          <w:bCs/>
          <w:sz w:val="28"/>
        </w:rPr>
      </w:pPr>
      <w:r>
        <w:rPr>
          <w:rFonts w:hint="eastAsia" w:ascii="宋体" w:hAnsi="宋体" w:cs="宋体"/>
          <w:bCs/>
          <w:sz w:val="28"/>
        </w:rPr>
        <w:t>备案证书有效期限：</w:t>
      </w:r>
      <w:r>
        <w:rPr>
          <w:rFonts w:ascii="宋体" w:hAnsi="宋体" w:cs="宋体"/>
          <w:bCs/>
          <w:sz w:val="28"/>
        </w:rPr>
        <w:t>2019</w:t>
      </w:r>
      <w:r>
        <w:rPr>
          <w:rFonts w:hint="eastAsia" w:ascii="宋体" w:hAnsi="宋体" w:cs="宋体"/>
          <w:bCs/>
          <w:sz w:val="28"/>
        </w:rPr>
        <w:t>年</w:t>
      </w:r>
      <w:r>
        <w:rPr>
          <w:rFonts w:ascii="宋体" w:hAnsi="宋体" w:cs="宋体"/>
          <w:bCs/>
          <w:sz w:val="28"/>
        </w:rPr>
        <w:t>05</w:t>
      </w:r>
      <w:r>
        <w:rPr>
          <w:rFonts w:hint="eastAsia" w:ascii="宋体" w:hAnsi="宋体" w:cs="宋体"/>
          <w:bCs/>
          <w:sz w:val="28"/>
        </w:rPr>
        <w:t>月</w:t>
      </w:r>
      <w:r>
        <w:rPr>
          <w:rFonts w:ascii="宋体" w:hAnsi="宋体" w:cs="宋体"/>
          <w:bCs/>
          <w:sz w:val="28"/>
        </w:rPr>
        <w:t>13</w:t>
      </w:r>
      <w:r>
        <w:rPr>
          <w:rFonts w:hint="eastAsia" w:ascii="宋体" w:hAnsi="宋体" w:cs="宋体"/>
          <w:bCs/>
          <w:sz w:val="28"/>
        </w:rPr>
        <w:t>日至</w:t>
      </w:r>
      <w:r>
        <w:rPr>
          <w:rFonts w:ascii="宋体" w:hAnsi="宋体" w:cs="宋体"/>
          <w:bCs/>
          <w:sz w:val="28"/>
        </w:rPr>
        <w:t>2022</w:t>
      </w:r>
      <w:r>
        <w:rPr>
          <w:rFonts w:hint="eastAsia" w:ascii="宋体" w:hAnsi="宋体" w:cs="宋体"/>
          <w:bCs/>
          <w:sz w:val="28"/>
        </w:rPr>
        <w:t>年</w:t>
      </w:r>
      <w:r>
        <w:rPr>
          <w:rFonts w:ascii="宋体" w:hAnsi="宋体" w:cs="宋体"/>
          <w:bCs/>
          <w:sz w:val="28"/>
        </w:rPr>
        <w:t>05</w:t>
      </w:r>
      <w:r>
        <w:rPr>
          <w:rFonts w:hint="eastAsia" w:ascii="宋体" w:hAnsi="宋体" w:cs="宋体"/>
          <w:bCs/>
          <w:sz w:val="28"/>
        </w:rPr>
        <w:t>月</w:t>
      </w:r>
      <w:r>
        <w:rPr>
          <w:rFonts w:ascii="宋体" w:hAnsi="宋体" w:cs="宋体"/>
          <w:bCs/>
          <w:sz w:val="28"/>
        </w:rPr>
        <w:t>13</w:t>
      </w:r>
      <w:r>
        <w:rPr>
          <w:rFonts w:hint="eastAsia" w:ascii="宋体" w:hAnsi="宋体" w:cs="宋体"/>
          <w:bCs/>
          <w:sz w:val="28"/>
        </w:rPr>
        <w:t>日</w:t>
      </w:r>
    </w:p>
    <w:p>
      <w:pPr>
        <w:spacing w:line="360" w:lineRule="auto"/>
        <w:ind w:firstLine="560" w:firstLineChars="200"/>
        <w:rPr>
          <w:rFonts w:ascii="宋体" w:cs="宋体"/>
          <w:bCs/>
          <w:sz w:val="28"/>
        </w:rPr>
      </w:pPr>
      <w:r>
        <w:rPr>
          <w:rFonts w:hint="eastAsia" w:ascii="宋体" w:hAnsi="宋体" w:cs="宋体"/>
          <w:bCs/>
          <w:sz w:val="28"/>
        </w:rPr>
        <w:t>备案证书发证机关：云南省住房和城乡建设厅</w:t>
      </w:r>
    </w:p>
    <w:p>
      <w:pPr>
        <w:spacing w:line="360" w:lineRule="auto"/>
        <w:ind w:firstLine="560" w:firstLineChars="200"/>
        <w:rPr>
          <w:rFonts w:ascii="宋体" w:cs="宋体"/>
          <w:bCs/>
          <w:sz w:val="28"/>
        </w:rPr>
      </w:pPr>
      <w:r>
        <w:rPr>
          <w:rFonts w:hint="eastAsia" w:ascii="宋体" w:hAnsi="宋体" w:cs="宋体"/>
          <w:bCs/>
          <w:sz w:val="28"/>
        </w:rPr>
        <w:t>估价机构电话：</w:t>
      </w:r>
      <w:r>
        <w:rPr>
          <w:rFonts w:ascii="宋体" w:hAnsi="宋体" w:cs="宋体"/>
          <w:bCs/>
          <w:sz w:val="28"/>
        </w:rPr>
        <w:t xml:space="preserve">0871-63182502  </w:t>
      </w:r>
      <w:r>
        <w:rPr>
          <w:rFonts w:hint="eastAsia" w:ascii="宋体" w:hAnsi="宋体" w:cs="宋体"/>
          <w:bCs/>
          <w:sz w:val="28"/>
        </w:rPr>
        <w:t>传真：</w:t>
      </w:r>
      <w:r>
        <w:rPr>
          <w:rFonts w:ascii="宋体" w:hAnsi="宋体" w:cs="宋体"/>
          <w:bCs/>
          <w:sz w:val="28"/>
        </w:rPr>
        <w:t>0871-64195019</w:t>
      </w:r>
    </w:p>
    <w:p>
      <w:pPr>
        <w:spacing w:line="360" w:lineRule="auto"/>
        <w:ind w:firstLine="562" w:firstLineChars="200"/>
        <w:outlineLvl w:val="1"/>
        <w:rPr>
          <w:rFonts w:ascii="宋体" w:cs="宋体"/>
          <w:b/>
          <w:sz w:val="28"/>
          <w:szCs w:val="28"/>
        </w:rPr>
      </w:pPr>
      <w:bookmarkStart w:id="206" w:name="_Toc25263"/>
      <w:bookmarkStart w:id="207" w:name="_Toc16647"/>
      <w:bookmarkStart w:id="208" w:name="_Toc4020"/>
      <w:bookmarkStart w:id="209" w:name="_Toc13507"/>
      <w:bookmarkStart w:id="210" w:name="_Toc10942"/>
      <w:bookmarkStart w:id="211" w:name="_Toc21295"/>
      <w:r>
        <w:rPr>
          <w:rFonts w:hint="eastAsia" w:ascii="宋体" w:hAnsi="宋体" w:cs="宋体"/>
          <w:b/>
          <w:sz w:val="28"/>
          <w:szCs w:val="28"/>
        </w:rPr>
        <w:t>三、估价目的</w:t>
      </w:r>
      <w:bookmarkEnd w:id="176"/>
      <w:bookmarkEnd w:id="177"/>
      <w:bookmarkEnd w:id="178"/>
      <w:bookmarkEnd w:id="179"/>
      <w:bookmarkEnd w:id="180"/>
      <w:bookmarkEnd w:id="181"/>
      <w:bookmarkEnd w:id="199"/>
      <w:bookmarkEnd w:id="200"/>
      <w:bookmarkEnd w:id="201"/>
      <w:bookmarkEnd w:id="202"/>
      <w:bookmarkEnd w:id="203"/>
      <w:bookmarkEnd w:id="204"/>
      <w:bookmarkEnd w:id="205"/>
      <w:bookmarkEnd w:id="206"/>
      <w:bookmarkEnd w:id="207"/>
      <w:bookmarkEnd w:id="208"/>
      <w:bookmarkEnd w:id="209"/>
      <w:bookmarkEnd w:id="210"/>
      <w:bookmarkEnd w:id="211"/>
    </w:p>
    <w:p>
      <w:pPr>
        <w:spacing w:line="360" w:lineRule="auto"/>
        <w:ind w:firstLine="548" w:firstLineChars="196"/>
        <w:rPr>
          <w:rFonts w:ascii="宋体" w:cs="宋体"/>
          <w:sz w:val="28"/>
        </w:rPr>
      </w:pPr>
      <w:bookmarkStart w:id="212" w:name="_Toc378591258"/>
      <w:bookmarkStart w:id="213" w:name="_Toc378590548"/>
      <w:bookmarkStart w:id="214" w:name="_Toc29060"/>
      <w:bookmarkStart w:id="215" w:name="_Toc378495833"/>
      <w:bookmarkStart w:id="216" w:name="_Toc18408"/>
      <w:bookmarkStart w:id="217" w:name="_Toc378591662"/>
      <w:bookmarkStart w:id="218" w:name="_Toc404084875"/>
      <w:bookmarkStart w:id="219" w:name="_Toc10793"/>
      <w:bookmarkStart w:id="220" w:name="_Toc6435"/>
      <w:bookmarkStart w:id="221" w:name="_Toc21344"/>
      <w:bookmarkStart w:id="222" w:name="_Toc29126"/>
      <w:bookmarkStart w:id="223" w:name="_Toc445907660"/>
      <w:r>
        <w:rPr>
          <w:rFonts w:hint="eastAsia" w:ascii="宋体" w:hAnsi="宋体" w:cs="宋体"/>
          <w:sz w:val="28"/>
        </w:rPr>
        <w:t>为人民法院确定执行案件处置价提供参考依据而评估被执行房地产的市场价值。</w:t>
      </w:r>
    </w:p>
    <w:p>
      <w:pPr>
        <w:spacing w:line="360" w:lineRule="auto"/>
        <w:ind w:firstLine="562" w:firstLineChars="200"/>
        <w:outlineLvl w:val="1"/>
        <w:rPr>
          <w:rFonts w:ascii="宋体" w:cs="宋体"/>
          <w:b/>
          <w:sz w:val="28"/>
          <w:szCs w:val="28"/>
        </w:rPr>
      </w:pPr>
      <w:bookmarkStart w:id="224" w:name="_Toc4010"/>
      <w:bookmarkStart w:id="225" w:name="_Toc29049"/>
      <w:bookmarkStart w:id="226" w:name="_Toc25089"/>
      <w:bookmarkStart w:id="227" w:name="_Toc2161"/>
      <w:bookmarkStart w:id="228" w:name="_Toc12663"/>
      <w:r>
        <w:rPr>
          <w:rFonts w:hint="eastAsia" w:ascii="宋体" w:hAnsi="宋体" w:cs="宋体"/>
          <w:b/>
          <w:sz w:val="28"/>
          <w:szCs w:val="28"/>
        </w:rPr>
        <w:t>四、估价对象</w:t>
      </w:r>
      <w:bookmarkEnd w:id="182"/>
      <w:bookmarkEnd w:id="183"/>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spacing w:line="360" w:lineRule="auto"/>
        <w:ind w:firstLine="560" w:firstLineChars="200"/>
        <w:outlineLvl w:val="1"/>
        <w:rPr>
          <w:rFonts w:ascii="宋体" w:cs="宋体"/>
          <w:sz w:val="28"/>
        </w:rPr>
      </w:pPr>
      <w:bookmarkStart w:id="229" w:name="_Toc22958"/>
      <w:bookmarkStart w:id="230" w:name="_Toc31215"/>
      <w:bookmarkStart w:id="231" w:name="_Toc1175"/>
      <w:bookmarkStart w:id="232" w:name="_Toc3254"/>
      <w:bookmarkStart w:id="233" w:name="_Toc5607"/>
      <w:bookmarkStart w:id="234" w:name="_Toc15650"/>
      <w:bookmarkStart w:id="235" w:name="_Toc25693"/>
      <w:bookmarkStart w:id="236" w:name="_Toc3365"/>
      <w:bookmarkStart w:id="237" w:name="_Toc2848"/>
      <w:bookmarkStart w:id="238" w:name="_Toc457982756"/>
      <w:bookmarkStart w:id="239" w:name="_Toc457982812"/>
      <w:bookmarkStart w:id="240" w:name="_Toc378591663"/>
      <w:bookmarkStart w:id="241" w:name="_Toc357774366"/>
      <w:bookmarkStart w:id="242" w:name="_Toc355786937"/>
      <w:bookmarkStart w:id="243" w:name="_Toc378495834"/>
      <w:r>
        <w:rPr>
          <w:rFonts w:hint="eastAsia" w:ascii="宋体" w:hAnsi="宋体" w:cs="宋体"/>
          <w:sz w:val="28"/>
        </w:rPr>
        <w:t>（一）估价对象财产范围</w:t>
      </w:r>
      <w:bookmarkEnd w:id="229"/>
      <w:bookmarkEnd w:id="230"/>
      <w:bookmarkEnd w:id="231"/>
      <w:bookmarkEnd w:id="232"/>
      <w:bookmarkEnd w:id="233"/>
      <w:bookmarkEnd w:id="234"/>
      <w:bookmarkEnd w:id="235"/>
      <w:bookmarkEnd w:id="236"/>
      <w:bookmarkEnd w:id="237"/>
    </w:p>
    <w:p>
      <w:pPr>
        <w:spacing w:line="360" w:lineRule="auto"/>
        <w:ind w:firstLine="548" w:firstLineChars="196"/>
        <w:rPr>
          <w:rFonts w:ascii="宋体" w:cs="宋体"/>
          <w:sz w:val="28"/>
        </w:rPr>
      </w:pPr>
      <w:r>
        <w:rPr>
          <w:rFonts w:hint="eastAsia" w:ascii="宋体" w:hAnsi="宋体" w:cs="宋体"/>
          <w:sz w:val="28"/>
        </w:rPr>
        <w:t>本次评估的估价对象为坐落于</w:t>
      </w:r>
      <w:r>
        <w:rPr>
          <w:rFonts w:hint="eastAsia" w:ascii="宋体" w:hAnsi="宋体" w:cs="宋体"/>
          <w:kern w:val="0"/>
          <w:sz w:val="28"/>
        </w:rPr>
        <w:t>临沧市临翔区沧江路与汀旗路交汇处临都上城19幢B单元的251套酒店</w:t>
      </w:r>
      <w:r>
        <w:rPr>
          <w:rFonts w:hint="eastAsia" w:ascii="宋体" w:hAnsi="宋体" w:cs="宋体"/>
          <w:sz w:val="28"/>
        </w:rPr>
        <w:t>房地产；根据委托方提供的《委托书》及其附件记载，房屋总建筑面积：14628.17㎡，房屋所占用的分摊土地使用权面积：2547.41㎡，登记用途：酒店，建筑物总层数为20层，建筑结构：钢筋混凝土结构。土地使用权者：临沧市金城房地产开发有限公司，土地证号：临国用（</w:t>
      </w:r>
      <w:r>
        <w:rPr>
          <w:rFonts w:ascii="宋体" w:hAnsi="宋体" w:cs="宋体"/>
          <w:sz w:val="28"/>
        </w:rPr>
        <w:t>200</w:t>
      </w:r>
      <w:r>
        <w:rPr>
          <w:rFonts w:hint="eastAsia" w:ascii="宋体" w:hAnsi="宋体" w:cs="宋体"/>
          <w:sz w:val="28"/>
        </w:rPr>
        <w:t>5）第0969号，土地用途：城镇住宅用地，土地使用权类型：出让。</w:t>
      </w:r>
    </w:p>
    <w:p>
      <w:pPr>
        <w:pStyle w:val="100"/>
        <w:ind w:firstLine="560"/>
        <w:rPr>
          <w:rFonts w:ascii="宋体" w:cs="宋体"/>
        </w:rPr>
      </w:pPr>
      <w:r>
        <w:rPr>
          <w:rFonts w:hint="eastAsia" w:ascii="宋体" w:hAnsi="宋体" w:cs="宋体"/>
        </w:rPr>
        <w:t>评估财产的范围包括房屋建筑物及其占用的土地使用权的价值、房屋客观合理的室内外装饰装修价值、依附于该不动产上不可分割、不可移动的附属设施价值以及估价对象区域内共用的基础设施使用权和公共配套设施设备使用权价值，不包括家具家电等可移动的动产部分的价值以及非组成房地产价值成分的价值。</w:t>
      </w:r>
    </w:p>
    <w:p>
      <w:pPr>
        <w:pStyle w:val="100"/>
        <w:ind w:firstLine="560"/>
        <w:rPr>
          <w:rFonts w:ascii="宋体" w:cs="宋体"/>
        </w:rPr>
      </w:pPr>
      <w:r>
        <w:rPr>
          <w:rFonts w:hint="eastAsia" w:ascii="宋体" w:hAnsi="宋体" w:cs="宋体"/>
        </w:rPr>
        <w:t>（二）估价对象基本状况描述</w:t>
      </w:r>
    </w:p>
    <w:p>
      <w:pPr>
        <w:spacing w:line="360" w:lineRule="auto"/>
        <w:ind w:firstLine="560" w:firstLineChars="200"/>
        <w:outlineLvl w:val="1"/>
        <w:rPr>
          <w:rFonts w:ascii="宋体" w:cs="宋体"/>
          <w:sz w:val="28"/>
        </w:rPr>
      </w:pPr>
      <w:bookmarkStart w:id="244" w:name="_Toc16342"/>
      <w:bookmarkStart w:id="245" w:name="_Toc27423"/>
      <w:bookmarkStart w:id="246" w:name="_Toc532"/>
      <w:bookmarkStart w:id="247" w:name="_Toc25964"/>
      <w:bookmarkStart w:id="248" w:name="_Toc28415"/>
      <w:bookmarkStart w:id="249" w:name="_Toc18186"/>
      <w:bookmarkStart w:id="250" w:name="_Toc25100"/>
      <w:bookmarkStart w:id="251" w:name="_Toc11448"/>
      <w:bookmarkStart w:id="252" w:name="_Toc21029"/>
      <w:r>
        <w:rPr>
          <w:rFonts w:ascii="宋体" w:hAnsi="宋体" w:cs="宋体"/>
          <w:sz w:val="28"/>
        </w:rPr>
        <w:t>1</w:t>
      </w:r>
      <w:r>
        <w:rPr>
          <w:rFonts w:hint="eastAsia" w:ascii="宋体" w:hAnsi="宋体" w:cs="宋体"/>
          <w:sz w:val="28"/>
        </w:rPr>
        <w:t>、区位状况</w:t>
      </w:r>
      <w:bookmarkEnd w:id="238"/>
      <w:bookmarkEnd w:id="239"/>
      <w:bookmarkEnd w:id="244"/>
      <w:bookmarkEnd w:id="245"/>
      <w:r>
        <w:rPr>
          <w:rFonts w:hint="eastAsia" w:ascii="宋体" w:hAnsi="宋体" w:cs="宋体"/>
          <w:sz w:val="28"/>
        </w:rPr>
        <w:t>描述</w:t>
      </w:r>
      <w:bookmarkEnd w:id="246"/>
      <w:bookmarkEnd w:id="247"/>
      <w:bookmarkEnd w:id="248"/>
      <w:bookmarkEnd w:id="249"/>
      <w:bookmarkEnd w:id="250"/>
      <w:bookmarkEnd w:id="251"/>
      <w:bookmarkEnd w:id="252"/>
    </w:p>
    <w:p>
      <w:pPr>
        <w:spacing w:line="360" w:lineRule="auto"/>
        <w:ind w:firstLine="560" w:firstLineChars="200"/>
        <w:outlineLvl w:val="1"/>
        <w:rPr>
          <w:rFonts w:ascii="宋体" w:cs="宋体"/>
          <w:sz w:val="28"/>
          <w:lang w:val="zh-CN"/>
        </w:rPr>
      </w:pPr>
      <w:bookmarkStart w:id="253" w:name="_Toc21087"/>
      <w:bookmarkStart w:id="254" w:name="_Toc24726"/>
      <w:bookmarkStart w:id="255" w:name="_Toc20772"/>
      <w:bookmarkStart w:id="256" w:name="_Toc2796"/>
      <w:bookmarkStart w:id="257" w:name="_Toc26840"/>
      <w:bookmarkStart w:id="258" w:name="_Toc2086"/>
      <w:bookmarkStart w:id="259" w:name="_Toc20433"/>
      <w:bookmarkStart w:id="260" w:name="_Toc26640"/>
      <w:bookmarkStart w:id="261" w:name="_Toc8091"/>
      <w:r>
        <w:rPr>
          <w:rFonts w:hint="eastAsia" w:ascii="宋体" w:hAnsi="宋体" w:cs="宋体"/>
          <w:sz w:val="28"/>
          <w:lang w:val="zh-CN"/>
        </w:rPr>
        <w:t>（</w:t>
      </w:r>
      <w:r>
        <w:rPr>
          <w:rFonts w:ascii="宋体" w:hAnsi="宋体" w:cs="宋体"/>
          <w:sz w:val="28"/>
          <w:lang w:val="zh-CN"/>
        </w:rPr>
        <w:t>1</w:t>
      </w:r>
      <w:r>
        <w:rPr>
          <w:rFonts w:hint="eastAsia" w:ascii="宋体" w:hAnsi="宋体" w:cs="宋体"/>
          <w:sz w:val="28"/>
          <w:lang w:val="zh-CN"/>
        </w:rPr>
        <w:t>）所在区位</w:t>
      </w:r>
      <w:bookmarkEnd w:id="253"/>
      <w:bookmarkEnd w:id="254"/>
      <w:bookmarkEnd w:id="255"/>
      <w:bookmarkEnd w:id="256"/>
      <w:bookmarkEnd w:id="257"/>
      <w:bookmarkEnd w:id="258"/>
      <w:bookmarkEnd w:id="259"/>
    </w:p>
    <w:p>
      <w:pPr>
        <w:spacing w:line="360" w:lineRule="auto"/>
        <w:ind w:firstLine="537" w:firstLineChars="192"/>
        <w:rPr>
          <w:rFonts w:ascii="宋体" w:hAnsi="宋体" w:cs="宋体"/>
          <w:sz w:val="28"/>
          <w:lang w:val="zh-CN"/>
        </w:rPr>
      </w:pPr>
      <w:bookmarkStart w:id="262" w:name="_Toc21730"/>
      <w:bookmarkStart w:id="263" w:name="_Toc17946"/>
      <w:bookmarkStart w:id="264" w:name="_Toc30638"/>
      <w:bookmarkStart w:id="265" w:name="_Toc31802"/>
      <w:bookmarkStart w:id="266" w:name="_Toc6160"/>
      <w:bookmarkStart w:id="267" w:name="_Toc7907"/>
      <w:bookmarkStart w:id="268" w:name="_Toc8429"/>
      <w:r>
        <w:rPr>
          <w:rFonts w:hint="eastAsia" w:ascii="宋体" w:hAnsi="宋体" w:cs="宋体"/>
          <w:sz w:val="28"/>
          <w:lang w:val="zh-CN"/>
        </w:rPr>
        <w:t>估价对象位于</w:t>
      </w:r>
      <w:r>
        <w:rPr>
          <w:rFonts w:hint="eastAsia" w:ascii="宋体" w:hAnsi="宋体" w:cs="宋体"/>
          <w:kern w:val="0"/>
          <w:sz w:val="28"/>
        </w:rPr>
        <w:t>临沧市临翔区沧江路与汀旗路交汇处临都上城19幢B单元</w:t>
      </w:r>
      <w:r>
        <w:rPr>
          <w:rFonts w:hint="eastAsia" w:ascii="宋体" w:hAnsi="宋体" w:cs="宋体"/>
          <w:sz w:val="28"/>
        </w:rPr>
        <w:t>房地产</w:t>
      </w:r>
      <w:r>
        <w:rPr>
          <w:rFonts w:hint="eastAsia" w:ascii="宋体" w:hAnsi="宋体" w:cs="宋体"/>
          <w:sz w:val="28"/>
          <w:lang w:val="zh-CN"/>
        </w:rPr>
        <w:t>，所在区域为临翔区商业中心，该区域周边分别有沧江路、汀</w:t>
      </w:r>
      <w:r>
        <w:rPr>
          <w:rFonts w:hint="eastAsia" w:ascii="宋体" w:hAnsi="宋体" w:cs="宋体"/>
          <w:kern w:val="0"/>
          <w:sz w:val="28"/>
        </w:rPr>
        <w:t>旗路</w:t>
      </w:r>
      <w:r>
        <w:rPr>
          <w:rFonts w:hint="eastAsia" w:ascii="宋体" w:hAnsi="宋体" w:cs="宋体"/>
          <w:sz w:val="28"/>
          <w:lang w:val="zh-CN"/>
        </w:rPr>
        <w:t>等为出行道路，道路通达度好，周边有各路公交车及大量出租车通行，交通便捷度好；周边配套成熟，有恒基广场、沃尔玛购物广场、凯歌时代广场、农村信用社、临沧市第二人民医院、玉龙湖广场等，生活配套设施齐全。</w:t>
      </w:r>
    </w:p>
    <w:p>
      <w:pPr>
        <w:spacing w:line="360" w:lineRule="auto"/>
        <w:ind w:firstLine="560" w:firstLineChars="200"/>
        <w:outlineLvl w:val="1"/>
        <w:rPr>
          <w:rFonts w:ascii="宋体" w:cs="宋体"/>
          <w:kern w:val="0"/>
          <w:sz w:val="28"/>
        </w:rPr>
      </w:pPr>
      <w:r>
        <w:rPr>
          <w:rFonts w:hint="eastAsia" w:ascii="宋体" w:hAnsi="宋体" w:cs="宋体"/>
          <w:kern w:val="0"/>
          <w:sz w:val="28"/>
        </w:rPr>
        <w:t>（2）外部基础配套设施</w:t>
      </w:r>
      <w:bookmarkEnd w:id="262"/>
      <w:bookmarkEnd w:id="263"/>
      <w:bookmarkEnd w:id="264"/>
      <w:bookmarkEnd w:id="265"/>
      <w:bookmarkEnd w:id="266"/>
      <w:bookmarkEnd w:id="267"/>
      <w:bookmarkEnd w:id="268"/>
    </w:p>
    <w:p>
      <w:pPr>
        <w:spacing w:line="360" w:lineRule="auto"/>
        <w:ind w:firstLine="560" w:firstLineChars="200"/>
        <w:rPr>
          <w:rFonts w:ascii="宋体"/>
          <w:bCs/>
          <w:sz w:val="28"/>
          <w:szCs w:val="28"/>
        </w:rPr>
      </w:pPr>
      <w:r>
        <w:rPr>
          <w:rFonts w:hint="eastAsia" w:ascii="宋体" w:hAnsi="宋体" w:cs="宋体"/>
          <w:kern w:val="0"/>
          <w:sz w:val="28"/>
        </w:rPr>
        <w:t>区域内城市</w:t>
      </w:r>
      <w:r>
        <w:rPr>
          <w:rFonts w:hint="eastAsia" w:ascii="宋体" w:hAnsi="宋体" w:cs="宋体"/>
          <w:sz w:val="28"/>
          <w:lang w:val="zh-CN"/>
        </w:rPr>
        <w:t>基础配套设施齐全，</w:t>
      </w:r>
      <w:r>
        <w:rPr>
          <w:rFonts w:hint="eastAsia" w:ascii="宋体" w:hAnsi="宋体"/>
          <w:bCs/>
          <w:sz w:val="28"/>
          <w:szCs w:val="28"/>
        </w:rPr>
        <w:t>道路、供水、排水（雨水、污水）、供电、通信等设备基础设施配套完善度较高，维修及保养状况良好。</w:t>
      </w:r>
      <w:r>
        <w:rPr>
          <w:rFonts w:ascii="宋体" w:hAnsi="宋体"/>
          <w:bCs/>
          <w:sz w:val="28"/>
          <w:szCs w:val="28"/>
        </w:rPr>
        <w:t xml:space="preserve"> </w:t>
      </w:r>
    </w:p>
    <w:p>
      <w:pPr>
        <w:spacing w:line="360" w:lineRule="auto"/>
        <w:ind w:firstLine="560" w:firstLineChars="200"/>
        <w:outlineLvl w:val="1"/>
        <w:rPr>
          <w:rFonts w:ascii="宋体" w:cs="宋体"/>
          <w:sz w:val="28"/>
          <w:lang w:val="zh-CN"/>
        </w:rPr>
      </w:pPr>
      <w:bookmarkStart w:id="269" w:name="_Toc20352"/>
      <w:bookmarkStart w:id="270" w:name="_Toc19550"/>
      <w:bookmarkStart w:id="271" w:name="_Toc19570"/>
      <w:bookmarkStart w:id="272" w:name="_Toc20805"/>
      <w:bookmarkStart w:id="273" w:name="_Toc21606"/>
      <w:bookmarkStart w:id="274" w:name="_Toc8015"/>
      <w:bookmarkStart w:id="275" w:name="_Toc17272"/>
      <w:r>
        <w:rPr>
          <w:rFonts w:hint="eastAsia" w:ascii="宋体" w:hAnsi="宋体" w:cs="宋体"/>
          <w:sz w:val="28"/>
          <w:lang w:val="zh-CN"/>
        </w:rPr>
        <w:t>（3）外部城市公共配套设施</w:t>
      </w:r>
      <w:bookmarkEnd w:id="269"/>
      <w:bookmarkEnd w:id="270"/>
      <w:bookmarkEnd w:id="271"/>
      <w:bookmarkEnd w:id="272"/>
      <w:bookmarkEnd w:id="273"/>
      <w:bookmarkEnd w:id="274"/>
      <w:bookmarkEnd w:id="275"/>
    </w:p>
    <w:p>
      <w:pPr>
        <w:spacing w:line="360" w:lineRule="auto"/>
        <w:ind w:firstLine="560" w:firstLineChars="200"/>
        <w:outlineLvl w:val="1"/>
        <w:rPr>
          <w:rFonts w:ascii="宋体" w:cs="宋体"/>
          <w:sz w:val="28"/>
          <w:lang w:val="zh-CN"/>
        </w:rPr>
      </w:pPr>
      <w:bookmarkStart w:id="276" w:name="_Toc5806"/>
      <w:bookmarkStart w:id="277" w:name="_Toc6071"/>
      <w:bookmarkStart w:id="278" w:name="_Toc5387"/>
      <w:bookmarkStart w:id="279" w:name="_Toc12776"/>
      <w:bookmarkStart w:id="280" w:name="_Toc25438"/>
      <w:bookmarkStart w:id="281" w:name="_Toc1055"/>
      <w:bookmarkStart w:id="282" w:name="_Toc29459"/>
      <w:r>
        <w:rPr>
          <w:rFonts w:hint="eastAsia" w:ascii="宋体" w:hAnsi="宋体" w:cs="宋体"/>
          <w:sz w:val="28"/>
          <w:lang w:val="zh-CN"/>
        </w:rPr>
        <w:t>周边城市公共配套设施齐全。包括：</w:t>
      </w:r>
      <w:bookmarkEnd w:id="276"/>
      <w:bookmarkEnd w:id="277"/>
      <w:bookmarkEnd w:id="278"/>
      <w:bookmarkEnd w:id="279"/>
      <w:bookmarkEnd w:id="280"/>
      <w:bookmarkEnd w:id="281"/>
      <w:bookmarkEnd w:id="282"/>
    </w:p>
    <w:p>
      <w:pPr>
        <w:numPr>
          <w:ilvl w:val="0"/>
          <w:numId w:val="1"/>
        </w:numPr>
        <w:spacing w:line="360" w:lineRule="auto"/>
        <w:outlineLvl w:val="1"/>
        <w:rPr>
          <w:rFonts w:ascii="宋体" w:cs="宋体"/>
          <w:sz w:val="28"/>
          <w:lang w:val="zh-CN"/>
        </w:rPr>
      </w:pPr>
      <w:bookmarkStart w:id="283" w:name="_Toc11719"/>
      <w:bookmarkStart w:id="284" w:name="_Toc5242"/>
      <w:bookmarkStart w:id="285" w:name="_Toc15874"/>
      <w:bookmarkStart w:id="286" w:name="_Toc32206"/>
      <w:bookmarkStart w:id="287" w:name="_Toc19076"/>
      <w:bookmarkStart w:id="288" w:name="_Toc8608"/>
      <w:bookmarkStart w:id="289" w:name="_Toc26166"/>
      <w:r>
        <w:rPr>
          <w:rFonts w:hint="eastAsia" w:ascii="宋体" w:hAnsi="宋体" w:cs="宋体"/>
          <w:sz w:val="28"/>
          <w:lang w:val="zh-CN"/>
        </w:rPr>
        <w:t>教育服务设施</w:t>
      </w:r>
      <w:bookmarkEnd w:id="283"/>
      <w:bookmarkEnd w:id="284"/>
      <w:bookmarkEnd w:id="285"/>
      <w:bookmarkEnd w:id="286"/>
      <w:bookmarkEnd w:id="287"/>
      <w:bookmarkEnd w:id="288"/>
      <w:bookmarkEnd w:id="289"/>
    </w:p>
    <w:p>
      <w:pPr>
        <w:spacing w:line="360" w:lineRule="auto"/>
        <w:ind w:firstLine="560" w:firstLineChars="200"/>
        <w:outlineLvl w:val="1"/>
        <w:rPr>
          <w:rFonts w:ascii="宋体" w:cs="宋体"/>
          <w:sz w:val="28"/>
          <w:lang w:val="zh-CN"/>
        </w:rPr>
      </w:pPr>
      <w:bookmarkStart w:id="290" w:name="_Toc9263"/>
      <w:bookmarkStart w:id="291" w:name="_Toc7406"/>
      <w:bookmarkStart w:id="292" w:name="_Toc3608"/>
      <w:bookmarkStart w:id="293" w:name="_Toc22762"/>
      <w:bookmarkStart w:id="294" w:name="_Toc14843"/>
      <w:bookmarkStart w:id="295" w:name="_Toc21417"/>
      <w:bookmarkStart w:id="296" w:name="_Toc1428"/>
      <w:r>
        <w:rPr>
          <w:rFonts w:hint="eastAsia" w:ascii="宋体" w:hAnsi="宋体" w:cs="宋体"/>
          <w:sz w:val="28"/>
          <w:lang w:val="zh-CN"/>
        </w:rPr>
        <w:t>学校：临沧市民族中学、临沧技师学院、凯龙双语幼儿园等。</w:t>
      </w:r>
      <w:bookmarkEnd w:id="290"/>
      <w:bookmarkEnd w:id="291"/>
      <w:bookmarkEnd w:id="292"/>
      <w:bookmarkEnd w:id="293"/>
      <w:bookmarkEnd w:id="294"/>
      <w:bookmarkEnd w:id="295"/>
      <w:bookmarkEnd w:id="296"/>
    </w:p>
    <w:p>
      <w:pPr>
        <w:numPr>
          <w:ilvl w:val="0"/>
          <w:numId w:val="1"/>
        </w:numPr>
        <w:spacing w:line="360" w:lineRule="auto"/>
        <w:outlineLvl w:val="1"/>
        <w:rPr>
          <w:rFonts w:ascii="宋体" w:cs="宋体"/>
          <w:sz w:val="28"/>
          <w:lang w:val="zh-CN"/>
        </w:rPr>
      </w:pPr>
      <w:bookmarkStart w:id="297" w:name="_Toc5319"/>
      <w:bookmarkStart w:id="298" w:name="_Toc31982"/>
      <w:bookmarkStart w:id="299" w:name="_Toc15839"/>
      <w:bookmarkStart w:id="300" w:name="_Toc25190"/>
      <w:bookmarkStart w:id="301" w:name="_Toc29051"/>
      <w:bookmarkStart w:id="302" w:name="_Toc47"/>
      <w:bookmarkStart w:id="303" w:name="_Toc24015"/>
      <w:r>
        <w:rPr>
          <w:rFonts w:hint="eastAsia" w:ascii="宋体" w:hAnsi="宋体" w:cs="宋体"/>
          <w:sz w:val="28"/>
          <w:lang w:val="zh-CN"/>
        </w:rPr>
        <w:t>商业服务设施</w:t>
      </w:r>
      <w:bookmarkEnd w:id="297"/>
      <w:bookmarkEnd w:id="298"/>
      <w:bookmarkEnd w:id="299"/>
      <w:bookmarkEnd w:id="300"/>
      <w:bookmarkEnd w:id="301"/>
      <w:bookmarkEnd w:id="302"/>
      <w:bookmarkEnd w:id="303"/>
    </w:p>
    <w:p>
      <w:pPr>
        <w:spacing w:line="360" w:lineRule="auto"/>
        <w:ind w:firstLine="560" w:firstLineChars="200"/>
        <w:outlineLvl w:val="1"/>
        <w:rPr>
          <w:rFonts w:ascii="宋体" w:cs="宋体"/>
          <w:sz w:val="28"/>
          <w:lang w:val="zh-CN"/>
        </w:rPr>
      </w:pPr>
      <w:bookmarkStart w:id="304" w:name="_Toc11067"/>
      <w:bookmarkStart w:id="305" w:name="_Toc27134"/>
      <w:bookmarkStart w:id="306" w:name="_Toc19120"/>
      <w:bookmarkStart w:id="307" w:name="_Toc23311"/>
      <w:bookmarkStart w:id="308" w:name="_Toc12681"/>
      <w:bookmarkStart w:id="309" w:name="_Toc255"/>
      <w:bookmarkStart w:id="310" w:name="_Toc21525"/>
      <w:r>
        <w:rPr>
          <w:rFonts w:hint="eastAsia" w:ascii="宋体" w:hAnsi="宋体" w:cs="宋体"/>
          <w:sz w:val="28"/>
          <w:lang w:val="zh-CN"/>
        </w:rPr>
        <w:t>商店超市：恒基广场、沃尔玛购物广场、凯歌时代广场、银都百货、老祥云便利店等</w:t>
      </w:r>
      <w:bookmarkEnd w:id="304"/>
      <w:bookmarkEnd w:id="305"/>
      <w:bookmarkEnd w:id="306"/>
      <w:bookmarkEnd w:id="307"/>
      <w:bookmarkEnd w:id="308"/>
      <w:bookmarkEnd w:id="309"/>
      <w:bookmarkEnd w:id="310"/>
      <w:r>
        <w:rPr>
          <w:rFonts w:hint="eastAsia" w:ascii="宋体" w:hAnsi="宋体" w:cs="宋体"/>
          <w:sz w:val="28"/>
          <w:lang w:val="zh-CN"/>
        </w:rPr>
        <w:t>。</w:t>
      </w:r>
    </w:p>
    <w:p>
      <w:pPr>
        <w:numPr>
          <w:ilvl w:val="0"/>
          <w:numId w:val="1"/>
        </w:numPr>
        <w:spacing w:line="360" w:lineRule="auto"/>
        <w:outlineLvl w:val="1"/>
        <w:rPr>
          <w:rFonts w:ascii="宋体" w:cs="宋体"/>
          <w:sz w:val="28"/>
          <w:lang w:val="zh-CN"/>
        </w:rPr>
      </w:pPr>
      <w:bookmarkStart w:id="311" w:name="_Toc6106"/>
      <w:bookmarkStart w:id="312" w:name="_Toc19669"/>
      <w:bookmarkStart w:id="313" w:name="_Toc4802"/>
      <w:bookmarkStart w:id="314" w:name="_Toc29615"/>
      <w:bookmarkStart w:id="315" w:name="_Toc13681"/>
      <w:bookmarkStart w:id="316" w:name="_Toc27402"/>
      <w:bookmarkStart w:id="317" w:name="_Toc12243"/>
      <w:r>
        <w:rPr>
          <w:rFonts w:hint="eastAsia" w:ascii="宋体" w:hAnsi="宋体" w:cs="宋体"/>
          <w:sz w:val="28"/>
          <w:lang w:val="zh-CN"/>
        </w:rPr>
        <w:t>医疗服务设施</w:t>
      </w:r>
      <w:bookmarkEnd w:id="311"/>
      <w:bookmarkEnd w:id="312"/>
      <w:bookmarkEnd w:id="313"/>
      <w:bookmarkEnd w:id="314"/>
      <w:bookmarkEnd w:id="315"/>
      <w:bookmarkEnd w:id="316"/>
      <w:bookmarkEnd w:id="317"/>
    </w:p>
    <w:p>
      <w:pPr>
        <w:spacing w:line="360" w:lineRule="auto"/>
        <w:ind w:firstLine="560" w:firstLineChars="200"/>
        <w:outlineLvl w:val="1"/>
        <w:rPr>
          <w:rFonts w:ascii="宋体" w:cs="宋体"/>
          <w:sz w:val="28"/>
          <w:lang w:val="zh-CN"/>
        </w:rPr>
      </w:pPr>
      <w:bookmarkStart w:id="318" w:name="_Toc10984"/>
      <w:bookmarkStart w:id="319" w:name="_Toc14884"/>
      <w:bookmarkStart w:id="320" w:name="_Toc23506"/>
      <w:bookmarkStart w:id="321" w:name="_Toc15395"/>
      <w:bookmarkStart w:id="322" w:name="_Toc15668"/>
      <w:bookmarkStart w:id="323" w:name="_Toc23705"/>
      <w:bookmarkStart w:id="324" w:name="_Toc774"/>
      <w:r>
        <w:rPr>
          <w:rFonts w:hint="eastAsia" w:ascii="宋体" w:hAnsi="宋体" w:cs="宋体"/>
          <w:sz w:val="28"/>
          <w:lang w:val="zh-CN"/>
        </w:rPr>
        <w:t>医疗医院：临沧市第二人民医院、临沧市第三医院、临沧市临翔区妇幼保健院等。</w:t>
      </w:r>
      <w:bookmarkEnd w:id="318"/>
      <w:bookmarkEnd w:id="319"/>
      <w:bookmarkEnd w:id="320"/>
      <w:bookmarkEnd w:id="321"/>
      <w:bookmarkEnd w:id="322"/>
      <w:bookmarkEnd w:id="323"/>
      <w:bookmarkEnd w:id="324"/>
    </w:p>
    <w:p>
      <w:pPr>
        <w:numPr>
          <w:ilvl w:val="0"/>
          <w:numId w:val="1"/>
        </w:numPr>
        <w:spacing w:line="360" w:lineRule="auto"/>
        <w:outlineLvl w:val="1"/>
        <w:rPr>
          <w:rFonts w:ascii="宋体" w:cs="宋体"/>
          <w:sz w:val="28"/>
          <w:lang w:val="zh-CN"/>
        </w:rPr>
      </w:pPr>
      <w:bookmarkStart w:id="325" w:name="_Toc26243"/>
      <w:bookmarkStart w:id="326" w:name="_Toc26723"/>
      <w:bookmarkStart w:id="327" w:name="_Toc8304"/>
      <w:bookmarkStart w:id="328" w:name="_Toc16804"/>
      <w:bookmarkStart w:id="329" w:name="_Toc14320"/>
      <w:bookmarkStart w:id="330" w:name="_Toc9540"/>
      <w:bookmarkStart w:id="331" w:name="_Toc2387"/>
      <w:r>
        <w:rPr>
          <w:rFonts w:hint="eastAsia" w:ascii="宋体" w:hAnsi="宋体" w:cs="宋体"/>
          <w:sz w:val="28"/>
          <w:lang w:val="zh-CN"/>
        </w:rPr>
        <w:t>金融服务设施</w:t>
      </w:r>
      <w:bookmarkEnd w:id="325"/>
      <w:bookmarkEnd w:id="326"/>
      <w:bookmarkEnd w:id="327"/>
      <w:bookmarkEnd w:id="328"/>
      <w:bookmarkEnd w:id="329"/>
      <w:bookmarkEnd w:id="330"/>
      <w:bookmarkEnd w:id="331"/>
    </w:p>
    <w:p>
      <w:pPr>
        <w:spacing w:line="360" w:lineRule="auto"/>
        <w:ind w:firstLine="560" w:firstLineChars="200"/>
        <w:outlineLvl w:val="1"/>
        <w:rPr>
          <w:rFonts w:ascii="宋体" w:cs="宋体"/>
          <w:sz w:val="28"/>
          <w:lang w:val="zh-CN"/>
        </w:rPr>
      </w:pPr>
      <w:bookmarkStart w:id="332" w:name="_Toc15425"/>
      <w:bookmarkStart w:id="333" w:name="_Toc17609"/>
      <w:bookmarkStart w:id="334" w:name="_Toc20941"/>
      <w:bookmarkStart w:id="335" w:name="_Toc22048"/>
      <w:bookmarkStart w:id="336" w:name="_Toc2038"/>
      <w:bookmarkStart w:id="337" w:name="_Toc31335"/>
      <w:bookmarkStart w:id="338" w:name="_Toc20322"/>
      <w:r>
        <w:rPr>
          <w:rFonts w:hint="eastAsia" w:ascii="宋体" w:hAnsi="宋体" w:cs="宋体"/>
          <w:sz w:val="28"/>
          <w:lang w:val="zh-CN"/>
        </w:rPr>
        <w:t>金融银行：云南省农村信用社</w:t>
      </w:r>
      <w:r>
        <w:rPr>
          <w:rFonts w:ascii="宋体" w:hAnsi="宋体" w:cs="宋体"/>
          <w:sz w:val="28"/>
          <w:lang w:val="zh-CN"/>
        </w:rPr>
        <w:t>(</w:t>
      </w:r>
      <w:r>
        <w:rPr>
          <w:rFonts w:hint="eastAsia" w:ascii="宋体" w:hAnsi="宋体" w:cs="宋体"/>
          <w:sz w:val="28"/>
          <w:lang w:val="zh-CN"/>
        </w:rPr>
        <w:t>北郊分社</w:t>
      </w:r>
      <w:r>
        <w:rPr>
          <w:rFonts w:ascii="宋体" w:hAnsi="宋体" w:cs="宋体"/>
          <w:sz w:val="28"/>
          <w:lang w:val="zh-CN"/>
        </w:rPr>
        <w:t>)</w:t>
      </w:r>
      <w:r>
        <w:rPr>
          <w:rFonts w:hint="eastAsia" w:ascii="宋体" w:hAnsi="宋体" w:cs="宋体"/>
          <w:sz w:val="28"/>
          <w:lang w:val="zh-CN"/>
        </w:rPr>
        <w:t>、中国人民银行、中国工商银行中国银行、中国农业发展银行等。</w:t>
      </w:r>
      <w:bookmarkEnd w:id="332"/>
      <w:bookmarkEnd w:id="333"/>
      <w:bookmarkEnd w:id="334"/>
      <w:bookmarkEnd w:id="335"/>
      <w:bookmarkEnd w:id="336"/>
      <w:bookmarkEnd w:id="337"/>
      <w:bookmarkEnd w:id="338"/>
    </w:p>
    <w:p>
      <w:pPr>
        <w:numPr>
          <w:ilvl w:val="0"/>
          <w:numId w:val="1"/>
        </w:numPr>
        <w:spacing w:line="360" w:lineRule="auto"/>
        <w:outlineLvl w:val="1"/>
        <w:rPr>
          <w:rFonts w:ascii="宋体" w:cs="宋体"/>
          <w:sz w:val="28"/>
          <w:lang w:val="zh-CN"/>
        </w:rPr>
      </w:pPr>
      <w:bookmarkStart w:id="339" w:name="_Toc407"/>
      <w:bookmarkStart w:id="340" w:name="_Toc20756"/>
      <w:bookmarkStart w:id="341" w:name="_Toc17328"/>
      <w:bookmarkStart w:id="342" w:name="_Toc11133"/>
      <w:bookmarkStart w:id="343" w:name="_Toc8401"/>
      <w:bookmarkStart w:id="344" w:name="_Toc12244"/>
      <w:bookmarkStart w:id="345" w:name="_Toc30068"/>
      <w:r>
        <w:rPr>
          <w:rFonts w:hint="eastAsia" w:ascii="宋体" w:hAnsi="宋体" w:cs="宋体"/>
          <w:sz w:val="28"/>
          <w:lang w:val="zh-CN"/>
        </w:rPr>
        <w:t>能源服务设施</w:t>
      </w:r>
      <w:bookmarkEnd w:id="339"/>
      <w:bookmarkEnd w:id="340"/>
      <w:bookmarkEnd w:id="341"/>
      <w:bookmarkEnd w:id="342"/>
      <w:bookmarkEnd w:id="343"/>
      <w:bookmarkEnd w:id="344"/>
      <w:bookmarkEnd w:id="345"/>
    </w:p>
    <w:p>
      <w:pPr>
        <w:spacing w:line="360" w:lineRule="auto"/>
        <w:ind w:firstLine="560" w:firstLineChars="200"/>
        <w:outlineLvl w:val="1"/>
        <w:rPr>
          <w:rFonts w:ascii="宋体" w:cs="宋体"/>
          <w:sz w:val="28"/>
          <w:lang w:val="zh-CN"/>
        </w:rPr>
      </w:pPr>
      <w:bookmarkStart w:id="346" w:name="_Toc18122"/>
      <w:bookmarkStart w:id="347" w:name="_Toc28629"/>
      <w:bookmarkStart w:id="348" w:name="_Toc1918"/>
      <w:bookmarkStart w:id="349" w:name="_Toc4954"/>
      <w:bookmarkStart w:id="350" w:name="_Toc28491"/>
      <w:bookmarkStart w:id="351" w:name="_Toc5620"/>
      <w:bookmarkStart w:id="352" w:name="_Toc16978"/>
      <w:r>
        <w:rPr>
          <w:rFonts w:hint="eastAsia" w:ascii="宋体" w:hAnsi="宋体" w:cs="宋体"/>
          <w:sz w:val="28"/>
          <w:lang w:val="zh-CN"/>
        </w:rPr>
        <w:t>加油站服务设施：云油石化。</w:t>
      </w:r>
      <w:bookmarkEnd w:id="346"/>
      <w:bookmarkEnd w:id="347"/>
      <w:bookmarkEnd w:id="348"/>
      <w:bookmarkEnd w:id="349"/>
      <w:bookmarkEnd w:id="350"/>
      <w:bookmarkEnd w:id="351"/>
      <w:bookmarkEnd w:id="352"/>
    </w:p>
    <w:p>
      <w:pPr>
        <w:numPr>
          <w:ilvl w:val="0"/>
          <w:numId w:val="1"/>
        </w:numPr>
        <w:spacing w:line="360" w:lineRule="auto"/>
        <w:outlineLvl w:val="1"/>
        <w:rPr>
          <w:rFonts w:ascii="宋体" w:cs="宋体"/>
          <w:sz w:val="28"/>
          <w:lang w:val="zh-CN"/>
        </w:rPr>
      </w:pPr>
      <w:bookmarkStart w:id="353" w:name="_Toc22771"/>
      <w:bookmarkStart w:id="354" w:name="_Toc675"/>
      <w:bookmarkStart w:id="355" w:name="_Toc5318"/>
      <w:bookmarkStart w:id="356" w:name="_Toc15457"/>
      <w:bookmarkStart w:id="357" w:name="_Toc22251"/>
      <w:bookmarkStart w:id="358" w:name="_Toc26844"/>
      <w:bookmarkStart w:id="359" w:name="_Toc30451"/>
      <w:r>
        <w:rPr>
          <w:rFonts w:hint="eastAsia" w:ascii="宋体" w:hAnsi="宋体" w:cs="宋体"/>
          <w:sz w:val="28"/>
          <w:lang w:val="zh-CN"/>
        </w:rPr>
        <w:t>休闲休憩服务设施</w:t>
      </w:r>
      <w:bookmarkEnd w:id="353"/>
      <w:bookmarkEnd w:id="354"/>
      <w:bookmarkEnd w:id="355"/>
      <w:bookmarkEnd w:id="356"/>
      <w:bookmarkEnd w:id="357"/>
      <w:bookmarkEnd w:id="358"/>
      <w:bookmarkEnd w:id="359"/>
    </w:p>
    <w:p>
      <w:pPr>
        <w:spacing w:line="360" w:lineRule="auto"/>
        <w:ind w:firstLine="560" w:firstLineChars="200"/>
        <w:outlineLvl w:val="1"/>
        <w:rPr>
          <w:rFonts w:ascii="宋体" w:cs="宋体"/>
          <w:sz w:val="28"/>
          <w:lang w:val="zh-CN"/>
        </w:rPr>
      </w:pPr>
      <w:bookmarkStart w:id="360" w:name="_Toc5208"/>
      <w:bookmarkStart w:id="361" w:name="_Toc8747"/>
      <w:bookmarkStart w:id="362" w:name="_Toc11738"/>
      <w:bookmarkStart w:id="363" w:name="_Toc4867"/>
      <w:bookmarkStart w:id="364" w:name="_Toc8545"/>
      <w:bookmarkStart w:id="365" w:name="_Toc1103"/>
      <w:bookmarkStart w:id="366" w:name="_Toc13782"/>
      <w:r>
        <w:rPr>
          <w:rFonts w:hint="eastAsia" w:ascii="宋体" w:hAnsi="宋体" w:cs="宋体"/>
          <w:sz w:val="28"/>
          <w:lang w:val="zh-CN"/>
        </w:rPr>
        <w:t>公园景区：玉龙湖公园、佤文化广场。</w:t>
      </w:r>
      <w:bookmarkEnd w:id="260"/>
      <w:bookmarkEnd w:id="261"/>
      <w:bookmarkEnd w:id="360"/>
      <w:bookmarkEnd w:id="361"/>
      <w:bookmarkEnd w:id="362"/>
      <w:bookmarkEnd w:id="363"/>
      <w:bookmarkEnd w:id="364"/>
      <w:bookmarkEnd w:id="365"/>
      <w:bookmarkEnd w:id="366"/>
    </w:p>
    <w:p>
      <w:pPr>
        <w:spacing w:line="360" w:lineRule="auto"/>
        <w:ind w:firstLine="560" w:firstLineChars="200"/>
        <w:outlineLvl w:val="1"/>
        <w:rPr>
          <w:rFonts w:ascii="宋体" w:cs="宋体"/>
          <w:sz w:val="28"/>
          <w:lang w:val="zh-CN"/>
        </w:rPr>
      </w:pPr>
      <w:bookmarkStart w:id="367" w:name="_Toc19533"/>
      <w:bookmarkStart w:id="368" w:name="_Toc21128"/>
      <w:bookmarkStart w:id="369" w:name="_Toc26812"/>
      <w:bookmarkStart w:id="370" w:name="_Toc6241"/>
      <w:bookmarkStart w:id="371" w:name="_Toc19478"/>
      <w:bookmarkStart w:id="372" w:name="_Toc14322"/>
      <w:bookmarkStart w:id="373" w:name="_Toc23786"/>
      <w:r>
        <w:rPr>
          <w:rFonts w:hint="eastAsia" w:ascii="宋体" w:hAnsi="宋体" w:cs="宋体"/>
          <w:sz w:val="28"/>
          <w:lang w:val="zh-CN"/>
        </w:rPr>
        <w:t>（4）交通状况</w:t>
      </w:r>
      <w:bookmarkEnd w:id="367"/>
      <w:bookmarkEnd w:id="368"/>
      <w:bookmarkEnd w:id="369"/>
      <w:bookmarkEnd w:id="370"/>
      <w:bookmarkEnd w:id="371"/>
      <w:bookmarkEnd w:id="372"/>
      <w:bookmarkEnd w:id="373"/>
    </w:p>
    <w:p>
      <w:pPr>
        <w:spacing w:line="360" w:lineRule="auto"/>
        <w:ind w:firstLine="560" w:firstLineChars="200"/>
        <w:outlineLvl w:val="1"/>
        <w:rPr>
          <w:rFonts w:ascii="宋体" w:cs="宋体"/>
          <w:sz w:val="28"/>
          <w:lang w:val="zh-CN"/>
        </w:rPr>
      </w:pPr>
      <w:bookmarkStart w:id="374" w:name="_Toc17240"/>
      <w:bookmarkStart w:id="375" w:name="_Toc10662"/>
      <w:bookmarkStart w:id="376" w:name="_Toc15338"/>
      <w:bookmarkStart w:id="377" w:name="_Toc22537"/>
      <w:bookmarkStart w:id="378" w:name="_Toc2841"/>
      <w:bookmarkStart w:id="379" w:name="_Toc12940"/>
      <w:bookmarkStart w:id="380" w:name="_Toc820"/>
      <w:r>
        <w:rPr>
          <w:rFonts w:hint="eastAsia" w:ascii="宋体" w:hAnsi="宋体" w:cs="宋体"/>
          <w:sz w:val="28"/>
          <w:lang w:val="zh-CN"/>
        </w:rPr>
        <w:t>交通条件便捷，公交出行方便，周边主要道路有：沧江路、汀旗路、南天路、旗山路等。</w:t>
      </w:r>
      <w:bookmarkEnd w:id="374"/>
      <w:bookmarkEnd w:id="375"/>
      <w:bookmarkEnd w:id="376"/>
      <w:bookmarkEnd w:id="377"/>
      <w:bookmarkEnd w:id="378"/>
      <w:bookmarkEnd w:id="379"/>
      <w:bookmarkEnd w:id="380"/>
    </w:p>
    <w:p>
      <w:pPr>
        <w:spacing w:line="360" w:lineRule="auto"/>
        <w:ind w:firstLine="560" w:firstLineChars="200"/>
        <w:outlineLvl w:val="1"/>
        <w:rPr>
          <w:rFonts w:ascii="宋体" w:cs="宋体"/>
          <w:sz w:val="28"/>
          <w:lang w:val="zh-CN"/>
        </w:rPr>
      </w:pPr>
      <w:bookmarkStart w:id="381" w:name="_Toc22608"/>
      <w:bookmarkStart w:id="382" w:name="_Toc32721"/>
      <w:bookmarkStart w:id="383" w:name="_Toc31906"/>
      <w:bookmarkStart w:id="384" w:name="_Toc8087"/>
      <w:bookmarkStart w:id="385" w:name="_Toc120"/>
      <w:bookmarkStart w:id="386" w:name="_Toc1760"/>
      <w:bookmarkStart w:id="387" w:name="_Toc25571"/>
      <w:r>
        <w:rPr>
          <w:rFonts w:hint="eastAsia" w:ascii="宋体" w:hAnsi="宋体" w:cs="宋体"/>
          <w:sz w:val="28"/>
          <w:lang w:val="zh-CN"/>
        </w:rPr>
        <w:t>（5）周围环境</w:t>
      </w:r>
      <w:bookmarkEnd w:id="381"/>
      <w:bookmarkEnd w:id="382"/>
      <w:bookmarkEnd w:id="383"/>
      <w:bookmarkEnd w:id="384"/>
      <w:bookmarkEnd w:id="385"/>
      <w:bookmarkEnd w:id="386"/>
      <w:bookmarkEnd w:id="387"/>
    </w:p>
    <w:p>
      <w:pPr>
        <w:spacing w:line="360" w:lineRule="auto"/>
        <w:ind w:firstLine="560" w:firstLineChars="200"/>
        <w:outlineLvl w:val="1"/>
        <w:rPr>
          <w:rFonts w:ascii="宋体" w:hAnsi="宋体"/>
          <w:bCs/>
          <w:sz w:val="28"/>
          <w:szCs w:val="28"/>
        </w:rPr>
      </w:pPr>
      <w:bookmarkStart w:id="388" w:name="_Toc9216"/>
      <w:bookmarkStart w:id="389" w:name="_Toc26914"/>
      <w:bookmarkStart w:id="390" w:name="_Toc1276"/>
      <w:bookmarkStart w:id="391" w:name="_Toc24634"/>
      <w:bookmarkStart w:id="392" w:name="_Toc25342"/>
      <w:bookmarkStart w:id="393" w:name="_Toc4005"/>
      <w:bookmarkStart w:id="394" w:name="_Toc3316"/>
      <w:r>
        <w:rPr>
          <w:rFonts w:hint="eastAsia" w:ascii="宋体" w:hAnsi="宋体"/>
          <w:sz w:val="28"/>
        </w:rPr>
        <w:t>周围自然环境及景观较好，城市绿化率较高，</w:t>
      </w:r>
      <w:r>
        <w:rPr>
          <w:rFonts w:hint="eastAsia" w:ascii="宋体" w:hAnsi="宋体"/>
          <w:bCs/>
          <w:sz w:val="28"/>
          <w:szCs w:val="28"/>
        </w:rPr>
        <w:t>无空气、噪声、水、辐射、固体废物等污染情况，卫生环境较好。周围</w:t>
      </w:r>
      <w:r>
        <w:rPr>
          <w:rFonts w:hint="eastAsia" w:ascii="宋体" w:hAnsi="宋体" w:cs="宋体"/>
          <w:sz w:val="28"/>
          <w:lang w:val="zh-CN"/>
        </w:rPr>
        <w:t>人文环境较好，</w:t>
      </w:r>
      <w:r>
        <w:rPr>
          <w:rFonts w:hint="eastAsia" w:ascii="宋体" w:hAnsi="宋体"/>
          <w:bCs/>
          <w:sz w:val="28"/>
          <w:szCs w:val="28"/>
        </w:rPr>
        <w:t>居民职业素质及治安状况较好。</w:t>
      </w:r>
      <w:bookmarkEnd w:id="388"/>
      <w:bookmarkEnd w:id="389"/>
      <w:bookmarkEnd w:id="390"/>
      <w:bookmarkEnd w:id="391"/>
      <w:bookmarkEnd w:id="392"/>
      <w:bookmarkEnd w:id="393"/>
      <w:bookmarkEnd w:id="394"/>
    </w:p>
    <w:p>
      <w:pPr>
        <w:numPr>
          <w:ilvl w:val="0"/>
          <w:numId w:val="2"/>
        </w:numPr>
        <w:autoSpaceDE w:val="0"/>
        <w:autoSpaceDN w:val="0"/>
        <w:adjustRightInd w:val="0"/>
        <w:spacing w:line="520" w:lineRule="exact"/>
        <w:ind w:firstLine="420"/>
        <w:jc w:val="left"/>
        <w:rPr>
          <w:rFonts w:ascii="宋体" w:hAnsi="宋体" w:cs="宋体"/>
          <w:sz w:val="28"/>
          <w:lang w:val="zh-CN"/>
        </w:rPr>
      </w:pPr>
      <w:bookmarkStart w:id="395" w:name="_Toc22787"/>
      <w:bookmarkStart w:id="396" w:name="_Toc20111"/>
      <w:bookmarkStart w:id="397" w:name="_Toc19755"/>
      <w:bookmarkStart w:id="398" w:name="_Toc25314"/>
      <w:bookmarkStart w:id="399" w:name="_Toc420"/>
      <w:bookmarkStart w:id="400" w:name="_Toc23575"/>
      <w:bookmarkStart w:id="401" w:name="_Toc23933"/>
      <w:bookmarkStart w:id="402" w:name="_Toc24275"/>
      <w:bookmarkStart w:id="403" w:name="_Toc31596"/>
      <w:r>
        <w:rPr>
          <w:rFonts w:hint="eastAsia" w:ascii="宋体" w:hAnsi="宋体" w:cs="宋体"/>
          <w:sz w:val="28"/>
          <w:lang w:val="zh-CN"/>
        </w:rPr>
        <w:t>实物状况</w:t>
      </w:r>
      <w:bookmarkEnd w:id="395"/>
      <w:bookmarkEnd w:id="396"/>
      <w:r>
        <w:rPr>
          <w:rFonts w:hint="eastAsia" w:ascii="宋体" w:hAnsi="宋体" w:cs="宋体"/>
          <w:sz w:val="28"/>
          <w:lang w:val="zh-CN"/>
        </w:rPr>
        <w:t>描述</w:t>
      </w:r>
      <w:bookmarkEnd w:id="397"/>
      <w:bookmarkEnd w:id="398"/>
      <w:bookmarkEnd w:id="399"/>
      <w:bookmarkEnd w:id="400"/>
      <w:bookmarkEnd w:id="401"/>
      <w:bookmarkEnd w:id="402"/>
      <w:bookmarkEnd w:id="403"/>
    </w:p>
    <w:p>
      <w:pPr>
        <w:spacing w:line="420" w:lineRule="auto"/>
        <w:ind w:left="57" w:firstLine="482"/>
        <w:rPr>
          <w:rStyle w:val="101"/>
          <w:rFonts w:ascii="宋体" w:hAnsi="宋体" w:eastAsia="宋体" w:cs="宋体"/>
          <w:bCs/>
          <w:sz w:val="28"/>
        </w:rPr>
      </w:pPr>
      <w:r>
        <w:rPr>
          <w:rStyle w:val="101"/>
          <w:rFonts w:hint="eastAsia" w:ascii="宋体" w:hAnsi="宋体" w:eastAsia="宋体" w:cs="宋体"/>
          <w:bCs/>
          <w:sz w:val="28"/>
        </w:rPr>
        <w:t>根据房地产估价师现场查勘，通过对估价对象的资料与实物进行核实、询问相关当事人、实测建筑面积等方式，估价对象</w:t>
      </w:r>
      <w:r>
        <w:rPr>
          <w:rStyle w:val="101"/>
          <w:rFonts w:hint="eastAsia" w:ascii="宋体" w:hAnsi="宋体" w:cs="宋体"/>
          <w:bCs/>
          <w:sz w:val="28"/>
        </w:rPr>
        <w:t>主</w:t>
      </w:r>
      <w:r>
        <w:rPr>
          <w:rStyle w:val="101"/>
          <w:rFonts w:hint="eastAsia" w:ascii="宋体" w:hAnsi="宋体" w:eastAsia="宋体" w:cs="宋体"/>
          <w:bCs/>
          <w:sz w:val="28"/>
        </w:rPr>
        <w:t>体工程基本完工，尚余门窗工程未安装、室内水电布线未完成等少量后续安装工程，综合判断完工率约为95%。</w:t>
      </w:r>
    </w:p>
    <w:p>
      <w:pPr>
        <w:autoSpaceDE w:val="0"/>
        <w:autoSpaceDN w:val="0"/>
        <w:adjustRightInd w:val="0"/>
        <w:spacing w:line="520" w:lineRule="exact"/>
        <w:ind w:firstLine="420"/>
        <w:jc w:val="left"/>
        <w:rPr>
          <w:rStyle w:val="101"/>
          <w:rFonts w:ascii="宋体" w:hAnsi="宋体" w:eastAsia="宋体" w:cs="宋体"/>
          <w:bCs/>
          <w:sz w:val="28"/>
          <w:szCs w:val="28"/>
        </w:rPr>
      </w:pPr>
      <w:bookmarkStart w:id="404" w:name="_Toc18621"/>
      <w:bookmarkStart w:id="405" w:name="_Toc12164"/>
      <w:bookmarkStart w:id="406" w:name="_Toc23888"/>
      <w:bookmarkStart w:id="407" w:name="_Toc16157"/>
      <w:bookmarkStart w:id="408" w:name="_Toc15161"/>
      <w:bookmarkStart w:id="409" w:name="_Toc4565"/>
      <w:bookmarkStart w:id="410" w:name="_Toc13393"/>
      <w:bookmarkStart w:id="411" w:name="_Toc15276"/>
      <w:bookmarkStart w:id="412" w:name="_Toc16725"/>
      <w:r>
        <w:rPr>
          <w:rStyle w:val="101"/>
          <w:rFonts w:hint="eastAsia" w:ascii="宋体" w:hAnsi="宋体" w:eastAsia="宋体" w:cs="宋体"/>
          <w:bCs/>
          <w:sz w:val="28"/>
          <w:szCs w:val="28"/>
        </w:rPr>
        <w:t>（</w:t>
      </w:r>
      <w:r>
        <w:rPr>
          <w:rStyle w:val="101"/>
          <w:rFonts w:ascii="宋体" w:hAnsi="宋体" w:eastAsia="宋体" w:cs="宋体"/>
          <w:bCs/>
          <w:sz w:val="28"/>
          <w:szCs w:val="28"/>
        </w:rPr>
        <w:t>1</w:t>
      </w:r>
      <w:r>
        <w:rPr>
          <w:rStyle w:val="101"/>
          <w:rFonts w:hint="eastAsia" w:ascii="宋体" w:hAnsi="宋体" w:eastAsia="宋体" w:cs="宋体"/>
          <w:bCs/>
          <w:sz w:val="28"/>
          <w:szCs w:val="28"/>
        </w:rPr>
        <w:t>）估价对象土地实物状况</w:t>
      </w:r>
      <w:bookmarkEnd w:id="404"/>
      <w:bookmarkEnd w:id="405"/>
      <w:bookmarkEnd w:id="406"/>
      <w:bookmarkEnd w:id="407"/>
      <w:bookmarkEnd w:id="408"/>
      <w:bookmarkEnd w:id="409"/>
      <w:bookmarkEnd w:id="410"/>
      <w:bookmarkEnd w:id="411"/>
      <w:bookmarkEnd w:id="412"/>
      <w:r>
        <w:rPr>
          <w:rStyle w:val="101"/>
          <w:rFonts w:hint="eastAsia" w:ascii="宋体" w:hAnsi="宋体" w:cs="宋体"/>
          <w:bCs/>
          <w:sz w:val="28"/>
          <w:szCs w:val="28"/>
        </w:rPr>
        <w:t xml:space="preserve"> </w:t>
      </w:r>
    </w:p>
    <w:tbl>
      <w:tblPr>
        <w:tblStyle w:val="29"/>
        <w:tblW w:w="9439"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769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土地使用权人</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临沧市金城房地产开发有限公司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土地坐落</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临沧市临翔区沧江路与汀旗路交汇处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面积</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2547.41㎡（为临都上城19幢B单元房屋占地面积）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用途</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城镇住宅用地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四至</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北临汀旗路，东临本小区道路，南临本小区道路，西临沧江路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形状</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分摊土地，无法判断宗地形状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地形条件</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地形平坦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土壤地质</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地质条件良好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基础设施条件</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通供水、通排水、通电、通讯、通路及场地平整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土地开发程度</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五通一平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容积率</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绿地率</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742" w:type="dxa"/>
            <w:tcBorders>
              <w:top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土地利用状况</w:t>
            </w:r>
          </w:p>
        </w:tc>
        <w:tc>
          <w:tcPr>
            <w:tcW w:w="7697" w:type="dxa"/>
            <w:tcBorders>
              <w:top w:val="single" w:color="auto" w:sz="4" w:space="0"/>
              <w:left w:val="single" w:color="auto" w:sz="4" w:space="0"/>
              <w:bottom w:val="single" w:color="auto" w:sz="4" w:space="0"/>
            </w:tcBorders>
            <w:vAlign w:val="center"/>
          </w:tcPr>
          <w:p>
            <w:pPr>
              <w:widowControl/>
              <w:rPr>
                <w:rFonts w:ascii="宋体" w:hAnsi="宋体" w:cs="宋体"/>
                <w:kern w:val="0"/>
                <w:sz w:val="20"/>
                <w:szCs w:val="20"/>
              </w:rPr>
            </w:pPr>
            <w:r>
              <w:rPr>
                <w:rFonts w:ascii="宋体" w:hAnsi="宋体" w:cs="宋体"/>
                <w:kern w:val="0"/>
                <w:sz w:val="20"/>
                <w:szCs w:val="20"/>
              </w:rPr>
              <w:t>已建成1幢设计用途为酒店的建筑物</w:t>
            </w:r>
          </w:p>
        </w:tc>
      </w:tr>
    </w:tbl>
    <w:p>
      <w:pPr>
        <w:spacing w:line="360" w:lineRule="auto"/>
        <w:ind w:firstLine="560" w:firstLineChars="200"/>
        <w:outlineLvl w:val="1"/>
        <w:rPr>
          <w:rFonts w:ascii="宋体" w:cs="宋体"/>
          <w:sz w:val="28"/>
          <w:lang w:val="zh-CN"/>
        </w:rPr>
      </w:pPr>
      <w:bookmarkStart w:id="413" w:name="_Toc26827"/>
      <w:bookmarkStart w:id="414" w:name="_Toc23086"/>
      <w:bookmarkStart w:id="415" w:name="_Toc19178"/>
      <w:bookmarkStart w:id="416" w:name="_Toc7108"/>
      <w:bookmarkStart w:id="417" w:name="_Toc23921"/>
      <w:bookmarkStart w:id="418" w:name="_Toc20455"/>
      <w:bookmarkStart w:id="419" w:name="_Toc5828"/>
      <w:bookmarkStart w:id="420" w:name="_Toc6003"/>
      <w:bookmarkStart w:id="421" w:name="_Toc4973"/>
      <w:r>
        <w:rPr>
          <w:rFonts w:hint="eastAsia" w:ascii="宋体" w:hAnsi="宋体" w:cs="宋体"/>
          <w:sz w:val="28"/>
          <w:lang w:val="zh-CN"/>
        </w:rPr>
        <w:t>（</w:t>
      </w:r>
      <w:r>
        <w:rPr>
          <w:rFonts w:ascii="宋体" w:hAnsi="宋体" w:cs="宋体"/>
          <w:sz w:val="28"/>
          <w:lang w:val="zh-CN"/>
        </w:rPr>
        <w:t>2</w:t>
      </w:r>
      <w:r>
        <w:rPr>
          <w:rFonts w:hint="eastAsia" w:ascii="宋体" w:hAnsi="宋体" w:cs="宋体"/>
          <w:sz w:val="28"/>
          <w:lang w:val="zh-CN"/>
        </w:rPr>
        <w:t>）估价对象建筑物实物状况</w:t>
      </w:r>
      <w:bookmarkEnd w:id="413"/>
      <w:bookmarkEnd w:id="414"/>
      <w:bookmarkEnd w:id="415"/>
      <w:bookmarkEnd w:id="416"/>
      <w:bookmarkEnd w:id="417"/>
      <w:bookmarkEnd w:id="418"/>
      <w:bookmarkEnd w:id="419"/>
      <w:bookmarkEnd w:id="420"/>
      <w:bookmarkEnd w:id="421"/>
    </w:p>
    <w:tbl>
      <w:tblPr>
        <w:tblStyle w:val="29"/>
        <w:tblW w:w="938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766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721" w:type="dxa"/>
            <w:vAlign w:val="center"/>
          </w:tcPr>
          <w:p>
            <w:pPr>
              <w:widowControl/>
              <w:jc w:val="center"/>
              <w:rPr>
                <w:rFonts w:ascii="宋体" w:cs="宋体"/>
                <w:kern w:val="0"/>
                <w:sz w:val="20"/>
                <w:szCs w:val="20"/>
              </w:rPr>
            </w:pPr>
            <w:r>
              <w:rPr>
                <w:rFonts w:hint="eastAsia" w:ascii="宋体" w:hAnsi="宋体" w:cs="宋体"/>
                <w:kern w:val="0"/>
                <w:sz w:val="20"/>
                <w:szCs w:val="20"/>
              </w:rPr>
              <w:t>坐落</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临沧市临翔区沧江路与汀旗路交汇处临都上城19幢B单元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721" w:type="dxa"/>
            <w:vAlign w:val="center"/>
          </w:tcPr>
          <w:p>
            <w:pPr>
              <w:jc w:val="center"/>
              <w:rPr>
                <w:rFonts w:ascii="宋体" w:cs="宋体"/>
                <w:kern w:val="0"/>
                <w:sz w:val="20"/>
                <w:szCs w:val="20"/>
              </w:rPr>
            </w:pPr>
            <w:r>
              <w:rPr>
                <w:rFonts w:hint="eastAsia" w:ascii="宋体" w:hAnsi="宋体" w:cs="宋体"/>
                <w:kern w:val="0"/>
                <w:sz w:val="20"/>
                <w:szCs w:val="20"/>
              </w:rPr>
              <w:t>用途</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酒店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721" w:type="dxa"/>
            <w:vAlign w:val="center"/>
          </w:tcPr>
          <w:p>
            <w:pPr>
              <w:widowControl/>
              <w:jc w:val="center"/>
              <w:rPr>
                <w:rFonts w:ascii="宋体" w:cs="宋体"/>
                <w:kern w:val="0"/>
                <w:sz w:val="20"/>
                <w:szCs w:val="20"/>
              </w:rPr>
            </w:pPr>
            <w:r>
              <w:rPr>
                <w:rFonts w:hint="eastAsia" w:ascii="宋体" w:hAnsi="宋体" w:cs="宋体"/>
                <w:kern w:val="0"/>
                <w:sz w:val="20"/>
                <w:szCs w:val="20"/>
              </w:rPr>
              <w:t>总建筑面积（</w:t>
            </w:r>
            <w:r>
              <w:rPr>
                <w:rFonts w:ascii="宋体" w:hAnsi="宋体" w:cs="宋体"/>
                <w:kern w:val="0"/>
                <w:sz w:val="20"/>
                <w:szCs w:val="20"/>
              </w:rPr>
              <w:t>m</w:t>
            </w:r>
            <w:r>
              <w:rPr>
                <w:rFonts w:ascii="宋体" w:hAnsi="宋体" w:cs="宋体"/>
                <w:kern w:val="0"/>
                <w:sz w:val="20"/>
                <w:szCs w:val="20"/>
                <w:vertAlign w:val="superscript"/>
              </w:rPr>
              <w:t>2</w:t>
            </w:r>
            <w:r>
              <w:rPr>
                <w:rFonts w:hint="eastAsia" w:ascii="宋体" w:hAnsi="宋体" w:cs="宋体"/>
                <w:kern w:val="0"/>
                <w:sz w:val="20"/>
                <w:szCs w:val="20"/>
              </w:rPr>
              <w:t>）</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14628.17（为临都上城19幢B单元中的251套酒店用房</w:t>
            </w:r>
            <w:r>
              <w:rPr>
                <w:rFonts w:ascii="宋体" w:hAnsi="宋体" w:cs="宋体"/>
                <w:kern w:val="0"/>
                <w:sz w:val="20"/>
                <w:szCs w:val="20"/>
              </w:rPr>
              <w:t>合计</w:t>
            </w:r>
            <w:r>
              <w:rPr>
                <w:rFonts w:hint="eastAsia" w:ascii="宋体" w:hAnsi="宋体" w:cs="宋体"/>
                <w:kern w:val="0"/>
                <w:sz w:val="20"/>
                <w:szCs w:val="20"/>
              </w:rPr>
              <w:t>建筑面积）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721" w:type="dxa"/>
            <w:vAlign w:val="center"/>
          </w:tcPr>
          <w:p>
            <w:pPr>
              <w:widowControl/>
              <w:jc w:val="center"/>
              <w:rPr>
                <w:rFonts w:ascii="宋体" w:cs="宋体"/>
                <w:kern w:val="0"/>
                <w:sz w:val="20"/>
                <w:szCs w:val="20"/>
              </w:rPr>
            </w:pPr>
            <w:r>
              <w:rPr>
                <w:rFonts w:hint="eastAsia" w:ascii="宋体" w:hAnsi="宋体" w:cs="宋体"/>
                <w:kern w:val="0"/>
                <w:sz w:val="20"/>
                <w:szCs w:val="20"/>
              </w:rPr>
              <w:t>建筑结构</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钢筋混凝土结构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721" w:type="dxa"/>
            <w:vAlign w:val="center"/>
          </w:tcPr>
          <w:p>
            <w:pPr>
              <w:widowControl/>
              <w:jc w:val="center"/>
              <w:rPr>
                <w:rFonts w:ascii="宋体" w:cs="宋体"/>
                <w:kern w:val="0"/>
                <w:sz w:val="20"/>
                <w:szCs w:val="20"/>
              </w:rPr>
            </w:pPr>
            <w:r>
              <w:rPr>
                <w:rFonts w:hint="eastAsia" w:ascii="宋体" w:hAnsi="宋体" w:cs="宋体"/>
                <w:kern w:val="0"/>
                <w:sz w:val="20"/>
                <w:szCs w:val="20"/>
              </w:rPr>
              <w:t>朝向</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西北朝向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721" w:type="dxa"/>
            <w:vAlign w:val="center"/>
          </w:tcPr>
          <w:p>
            <w:pPr>
              <w:widowControl/>
              <w:jc w:val="center"/>
              <w:rPr>
                <w:rFonts w:ascii="宋体" w:cs="宋体"/>
                <w:kern w:val="0"/>
                <w:sz w:val="20"/>
                <w:szCs w:val="20"/>
              </w:rPr>
            </w:pPr>
            <w:r>
              <w:rPr>
                <w:rFonts w:hint="eastAsia" w:ascii="宋体" w:hAnsi="宋体" w:cs="宋体"/>
                <w:kern w:val="0"/>
                <w:sz w:val="20"/>
                <w:szCs w:val="20"/>
              </w:rPr>
              <w:t>通风采光</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良好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721" w:type="dxa"/>
            <w:vAlign w:val="center"/>
          </w:tcPr>
          <w:p>
            <w:pPr>
              <w:widowControl/>
              <w:jc w:val="center"/>
              <w:rPr>
                <w:rFonts w:ascii="宋体" w:cs="宋体"/>
                <w:kern w:val="0"/>
                <w:sz w:val="20"/>
                <w:szCs w:val="20"/>
              </w:rPr>
            </w:pPr>
            <w:r>
              <w:rPr>
                <w:rFonts w:hint="eastAsia" w:ascii="宋体" w:hAnsi="宋体" w:cs="宋体"/>
                <w:kern w:val="0"/>
                <w:sz w:val="20"/>
                <w:szCs w:val="20"/>
              </w:rPr>
              <w:t>所在层</w:t>
            </w:r>
            <w:r>
              <w:rPr>
                <w:rFonts w:ascii="宋体" w:hAnsi="宋体" w:cs="宋体"/>
                <w:kern w:val="0"/>
                <w:sz w:val="20"/>
                <w:szCs w:val="20"/>
              </w:rPr>
              <w:t>/</w:t>
            </w:r>
            <w:r>
              <w:rPr>
                <w:rFonts w:hint="eastAsia" w:ascii="宋体" w:hAnsi="宋体" w:cs="宋体"/>
                <w:kern w:val="0"/>
                <w:sz w:val="20"/>
                <w:szCs w:val="20"/>
              </w:rPr>
              <w:t>总楼层</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1、5、6、7、8、9、10、11、12、13、14、15、16、17、18、19、20</w:t>
            </w:r>
            <w:r>
              <w:rPr>
                <w:rFonts w:ascii="宋体" w:hAnsi="宋体" w:cs="宋体"/>
                <w:kern w:val="0"/>
                <w:sz w:val="20"/>
                <w:szCs w:val="20"/>
              </w:rPr>
              <w:t>/</w:t>
            </w:r>
            <w:r>
              <w:rPr>
                <w:rFonts w:hint="eastAsia" w:ascii="宋体" w:hAnsi="宋体" w:cs="宋体"/>
                <w:kern w:val="0"/>
                <w:sz w:val="20"/>
                <w:szCs w:val="20"/>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721" w:type="dxa"/>
            <w:vAlign w:val="center"/>
          </w:tcPr>
          <w:p>
            <w:pPr>
              <w:widowControl/>
              <w:jc w:val="center"/>
              <w:rPr>
                <w:rFonts w:ascii="宋体" w:cs="宋体"/>
                <w:kern w:val="0"/>
                <w:sz w:val="20"/>
                <w:szCs w:val="20"/>
              </w:rPr>
            </w:pPr>
            <w:r>
              <w:rPr>
                <w:rFonts w:hint="eastAsia" w:ascii="宋体" w:hAnsi="宋体" w:cs="宋体"/>
                <w:kern w:val="0"/>
                <w:sz w:val="20"/>
                <w:szCs w:val="20"/>
              </w:rPr>
              <w:t>户型</w:t>
            </w:r>
          </w:p>
        </w:tc>
        <w:tc>
          <w:tcPr>
            <w:tcW w:w="7667" w:type="dxa"/>
            <w:vAlign w:val="center"/>
          </w:tcPr>
          <w:p>
            <w:pPr>
              <w:widowControl/>
              <w:jc w:val="left"/>
              <w:rPr>
                <w:rFonts w:ascii="宋体" w:cs="宋体"/>
                <w:kern w:val="0"/>
                <w:sz w:val="20"/>
                <w:szCs w:val="20"/>
              </w:rPr>
            </w:pPr>
            <w:r>
              <w:rPr>
                <w:rFonts w:ascii="宋体" w:hAnsi="宋体" w:cs="宋体"/>
                <w:kern w:val="0"/>
                <w:sz w:val="20"/>
                <w:szCs w:val="20"/>
              </w:rPr>
              <w:t>1层为酒店大堂，5层以上为</w:t>
            </w:r>
            <w:r>
              <w:rPr>
                <w:rFonts w:hint="eastAsia" w:ascii="宋体" w:hAnsi="宋体" w:cs="宋体"/>
                <w:kern w:val="0"/>
                <w:sz w:val="20"/>
                <w:szCs w:val="20"/>
              </w:rPr>
              <w:t>成套酒店用房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721" w:type="dxa"/>
            <w:vAlign w:val="center"/>
          </w:tcPr>
          <w:p>
            <w:pPr>
              <w:widowControl/>
              <w:jc w:val="center"/>
              <w:rPr>
                <w:rFonts w:ascii="宋体" w:cs="宋体"/>
                <w:kern w:val="0"/>
                <w:sz w:val="20"/>
                <w:szCs w:val="20"/>
              </w:rPr>
            </w:pPr>
            <w:r>
              <w:rPr>
                <w:rFonts w:hint="eastAsia" w:ascii="宋体" w:hAnsi="宋体" w:cs="宋体"/>
                <w:kern w:val="0"/>
                <w:sz w:val="20"/>
                <w:szCs w:val="20"/>
              </w:rPr>
              <w:t>设施设备</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不齐全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1" w:type="dxa"/>
            <w:vAlign w:val="center"/>
          </w:tcPr>
          <w:p>
            <w:pPr>
              <w:jc w:val="center"/>
              <w:rPr>
                <w:rFonts w:ascii="宋体" w:cs="宋体"/>
                <w:kern w:val="0"/>
                <w:sz w:val="20"/>
                <w:szCs w:val="20"/>
              </w:rPr>
            </w:pPr>
            <w:r>
              <w:rPr>
                <w:rFonts w:hint="eastAsia" w:ascii="宋体" w:hAnsi="宋体" w:cs="宋体"/>
                <w:kern w:val="0"/>
                <w:sz w:val="20"/>
                <w:szCs w:val="20"/>
              </w:rPr>
              <w:t>外观</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建筑物外观较好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721" w:type="dxa"/>
            <w:vAlign w:val="center"/>
          </w:tcPr>
          <w:p>
            <w:pPr>
              <w:jc w:val="center"/>
              <w:rPr>
                <w:rFonts w:ascii="宋体" w:cs="宋体"/>
                <w:kern w:val="0"/>
                <w:sz w:val="20"/>
                <w:szCs w:val="20"/>
              </w:rPr>
            </w:pPr>
            <w:r>
              <w:rPr>
                <w:rFonts w:hint="eastAsia" w:ascii="宋体" w:hAnsi="宋体" w:cs="宋体"/>
                <w:kern w:val="0"/>
                <w:sz w:val="20"/>
                <w:szCs w:val="20"/>
              </w:rPr>
              <w:t>成新率</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在建工程整体完工率</w:t>
            </w:r>
            <w:r>
              <w:rPr>
                <w:rFonts w:ascii="宋体" w:hAnsi="宋体" w:cs="宋体"/>
                <w:kern w:val="0"/>
                <w:sz w:val="20"/>
                <w:szCs w:val="20"/>
              </w:rPr>
              <w:t>约为</w:t>
            </w:r>
            <w:r>
              <w:rPr>
                <w:rFonts w:hint="eastAsia" w:ascii="宋体" w:hAnsi="宋体" w:cs="宋体"/>
                <w:kern w:val="0"/>
                <w:sz w:val="20"/>
                <w:szCs w:val="20"/>
              </w:rPr>
              <w:t>9</w:t>
            </w:r>
            <w:r>
              <w:rPr>
                <w:rFonts w:ascii="宋体" w:hAnsi="宋体" w:cs="宋体"/>
                <w:kern w:val="0"/>
                <w:sz w:val="20"/>
                <w:szCs w:val="20"/>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721" w:type="dxa"/>
            <w:vAlign w:val="center"/>
          </w:tcPr>
          <w:p>
            <w:pPr>
              <w:widowControl/>
              <w:jc w:val="center"/>
              <w:rPr>
                <w:rFonts w:ascii="宋体" w:cs="宋体"/>
                <w:kern w:val="0"/>
                <w:sz w:val="20"/>
                <w:szCs w:val="20"/>
              </w:rPr>
            </w:pPr>
            <w:r>
              <w:rPr>
                <w:rFonts w:hint="eastAsia" w:ascii="宋体" w:hAnsi="宋体" w:cs="宋体"/>
                <w:kern w:val="0"/>
                <w:sz w:val="20"/>
                <w:szCs w:val="20"/>
              </w:rPr>
              <w:t>装饰装修</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建筑物外墙刷涂料，数套房屋室内已装修，其余为毛坯状态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721" w:type="dxa"/>
            <w:vAlign w:val="center"/>
          </w:tcPr>
          <w:p>
            <w:pPr>
              <w:jc w:val="center"/>
              <w:rPr>
                <w:rFonts w:ascii="宋体" w:cs="宋体"/>
                <w:kern w:val="0"/>
                <w:sz w:val="20"/>
                <w:szCs w:val="20"/>
              </w:rPr>
            </w:pPr>
            <w:r>
              <w:rPr>
                <w:rFonts w:hint="eastAsia" w:ascii="宋体" w:hAnsi="宋体" w:cs="宋体"/>
                <w:kern w:val="0"/>
                <w:sz w:val="20"/>
                <w:szCs w:val="20"/>
              </w:rPr>
              <w:t>使用及维护状况</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在实地查勘日估价对象的13层-20层为出租状态，承租人为（</w:t>
            </w:r>
            <w:r>
              <w:rPr>
                <w:rFonts w:ascii="宋体" w:hAnsi="宋体" w:cs="宋体"/>
                <w:kern w:val="0"/>
                <w:sz w:val="20"/>
                <w:szCs w:val="20"/>
              </w:rPr>
              <w:t>彭煜强</w:t>
            </w:r>
            <w:r>
              <w:rPr>
                <w:rFonts w:hint="eastAsia" w:ascii="宋体" w:hAnsi="宋体" w:cs="宋体"/>
                <w:kern w:val="0"/>
                <w:sz w:val="20"/>
                <w:szCs w:val="20"/>
              </w:rPr>
              <w:t>），租期为五年（自2020年至2024年），其中</w:t>
            </w:r>
            <w:r>
              <w:rPr>
                <w:rFonts w:ascii="宋体" w:hAnsi="宋体" w:cs="宋体"/>
                <w:kern w:val="0"/>
                <w:sz w:val="20"/>
                <w:szCs w:val="20"/>
              </w:rPr>
              <w:t>第9</w:t>
            </w:r>
            <w:r>
              <w:rPr>
                <w:rFonts w:hint="eastAsia" w:ascii="宋体" w:hAnsi="宋体" w:cs="宋体"/>
                <w:kern w:val="0"/>
                <w:sz w:val="20"/>
                <w:szCs w:val="20"/>
              </w:rPr>
              <w:t>层的</w:t>
            </w:r>
            <w:r>
              <w:rPr>
                <w:rFonts w:ascii="宋体" w:hAnsi="宋体" w:cs="宋体"/>
                <w:kern w:val="0"/>
                <w:sz w:val="20"/>
                <w:szCs w:val="20"/>
              </w:rPr>
              <w:t>919、920</w:t>
            </w:r>
            <w:r>
              <w:rPr>
                <w:rFonts w:hint="eastAsia" w:ascii="宋体" w:hAnsi="宋体" w:cs="宋体"/>
                <w:kern w:val="0"/>
                <w:sz w:val="20"/>
                <w:szCs w:val="20"/>
              </w:rPr>
              <w:t>号房</w:t>
            </w:r>
            <w:r>
              <w:rPr>
                <w:rFonts w:ascii="宋体" w:hAnsi="宋体" w:cs="宋体"/>
                <w:kern w:val="0"/>
                <w:sz w:val="20"/>
                <w:szCs w:val="20"/>
              </w:rPr>
              <w:t>为业主装修使用，第15</w:t>
            </w:r>
            <w:r>
              <w:rPr>
                <w:rFonts w:hint="eastAsia" w:ascii="宋体" w:hAnsi="宋体" w:cs="宋体"/>
                <w:kern w:val="0"/>
                <w:sz w:val="20"/>
                <w:szCs w:val="20"/>
              </w:rPr>
              <w:t>层的</w:t>
            </w:r>
            <w:r>
              <w:rPr>
                <w:rFonts w:ascii="宋体" w:hAnsi="宋体" w:cs="宋体"/>
                <w:kern w:val="0"/>
                <w:sz w:val="20"/>
                <w:szCs w:val="20"/>
              </w:rPr>
              <w:t>1509、1510、1511、1512、1519、1520</w:t>
            </w:r>
            <w:r>
              <w:rPr>
                <w:rFonts w:hint="eastAsia" w:ascii="宋体" w:hAnsi="宋体" w:cs="宋体"/>
                <w:kern w:val="0"/>
                <w:sz w:val="20"/>
                <w:szCs w:val="20"/>
              </w:rPr>
              <w:t>号房为承租人</w:t>
            </w:r>
            <w:r>
              <w:rPr>
                <w:rFonts w:ascii="宋体" w:hAnsi="宋体" w:cs="宋体"/>
                <w:kern w:val="0"/>
                <w:sz w:val="20"/>
                <w:szCs w:val="20"/>
              </w:rPr>
              <w:t>装修</w:t>
            </w:r>
            <w:r>
              <w:rPr>
                <w:rFonts w:hint="eastAsia" w:ascii="宋体" w:hAnsi="宋体" w:cs="宋体"/>
                <w:kern w:val="0"/>
                <w:sz w:val="20"/>
                <w:szCs w:val="20"/>
              </w:rPr>
              <w:t>使用，其余处于闲置状态，建筑物日常维护状况一般。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721" w:type="dxa"/>
            <w:vAlign w:val="center"/>
          </w:tcPr>
          <w:p>
            <w:pPr>
              <w:jc w:val="center"/>
              <w:rPr>
                <w:rFonts w:ascii="宋体" w:cs="宋体"/>
                <w:kern w:val="0"/>
                <w:sz w:val="20"/>
                <w:szCs w:val="20"/>
              </w:rPr>
            </w:pPr>
            <w:r>
              <w:rPr>
                <w:rFonts w:hint="eastAsia" w:ascii="宋体" w:hAnsi="宋体" w:cs="宋体"/>
                <w:kern w:val="0"/>
                <w:sz w:val="20"/>
                <w:szCs w:val="20"/>
              </w:rPr>
              <w:t>完损状况</w:t>
            </w:r>
          </w:p>
        </w:tc>
        <w:tc>
          <w:tcPr>
            <w:tcW w:w="7667" w:type="dxa"/>
            <w:vAlign w:val="center"/>
          </w:tcPr>
          <w:p>
            <w:pPr>
              <w:widowControl/>
              <w:jc w:val="left"/>
              <w:rPr>
                <w:rFonts w:ascii="宋体" w:cs="宋体"/>
                <w:kern w:val="0"/>
                <w:sz w:val="20"/>
                <w:szCs w:val="20"/>
              </w:rPr>
            </w:pPr>
            <w:r>
              <w:rPr>
                <w:rFonts w:hint="eastAsia" w:ascii="宋体" w:hAnsi="宋体" w:cs="宋体"/>
                <w:kern w:val="0"/>
                <w:sz w:val="20"/>
                <w:szCs w:val="20"/>
              </w:rPr>
              <w:t>完好房</w:t>
            </w:r>
          </w:p>
        </w:tc>
      </w:tr>
    </w:tbl>
    <w:p>
      <w:pPr>
        <w:spacing w:line="560" w:lineRule="exact"/>
        <w:ind w:firstLine="840" w:firstLineChars="300"/>
        <w:rPr>
          <w:rStyle w:val="101"/>
          <w:rFonts w:ascii="宋体" w:hAnsi="Times New Roman" w:eastAsia="宋体" w:cs="宋体"/>
          <w:bCs/>
          <w:sz w:val="28"/>
          <w:szCs w:val="28"/>
        </w:rPr>
      </w:pPr>
      <w:bookmarkStart w:id="422" w:name="_Toc23743"/>
      <w:bookmarkStart w:id="423" w:name="_Toc10619"/>
      <w:bookmarkStart w:id="424" w:name="_Toc23615"/>
      <w:bookmarkStart w:id="425" w:name="_Toc12674"/>
      <w:bookmarkStart w:id="426" w:name="_Toc19915"/>
      <w:bookmarkStart w:id="427" w:name="_Toc9850"/>
      <w:bookmarkStart w:id="428" w:name="_Toc4929"/>
      <w:bookmarkStart w:id="429" w:name="_Toc19442"/>
      <w:bookmarkStart w:id="430" w:name="_Toc4073"/>
      <w:r>
        <w:rPr>
          <w:rStyle w:val="101"/>
          <w:rFonts w:ascii="宋体" w:hAnsi="宋体" w:eastAsia="宋体" w:cs="宋体"/>
          <w:bCs/>
          <w:sz w:val="28"/>
          <w:szCs w:val="28"/>
        </w:rPr>
        <w:t>3</w:t>
      </w:r>
      <w:r>
        <w:rPr>
          <w:rStyle w:val="101"/>
          <w:rFonts w:hint="eastAsia" w:ascii="宋体" w:hAnsi="宋体" w:eastAsia="宋体" w:cs="宋体"/>
          <w:bCs/>
          <w:sz w:val="28"/>
          <w:szCs w:val="28"/>
        </w:rPr>
        <w:t>、权益状况描述</w:t>
      </w:r>
    </w:p>
    <w:bookmarkEnd w:id="422"/>
    <w:bookmarkEnd w:id="423"/>
    <w:bookmarkEnd w:id="424"/>
    <w:bookmarkEnd w:id="425"/>
    <w:bookmarkEnd w:id="426"/>
    <w:bookmarkEnd w:id="427"/>
    <w:bookmarkEnd w:id="428"/>
    <w:bookmarkEnd w:id="429"/>
    <w:bookmarkEnd w:id="430"/>
    <w:p>
      <w:pPr>
        <w:spacing w:line="560" w:lineRule="exact"/>
        <w:ind w:firstLine="560" w:firstLineChars="200"/>
        <w:rPr>
          <w:rStyle w:val="101"/>
          <w:rFonts w:ascii="宋体" w:hAnsi="Times New Roman" w:eastAsia="宋体" w:cs="宋体"/>
          <w:bCs/>
          <w:sz w:val="28"/>
          <w:szCs w:val="28"/>
        </w:rPr>
      </w:pPr>
      <w:bookmarkStart w:id="431" w:name="_Toc9935"/>
      <w:bookmarkStart w:id="432" w:name="_Toc13752"/>
      <w:bookmarkStart w:id="433" w:name="_Toc32117"/>
      <w:bookmarkStart w:id="434" w:name="_Toc21492"/>
      <w:bookmarkStart w:id="435" w:name="_Toc29120"/>
      <w:bookmarkStart w:id="436" w:name="_Toc15664"/>
      <w:bookmarkStart w:id="437" w:name="_Toc16927"/>
      <w:bookmarkStart w:id="438" w:name="_Toc18592"/>
      <w:bookmarkStart w:id="439" w:name="_Toc25425"/>
      <w:r>
        <w:rPr>
          <w:rStyle w:val="101"/>
          <w:rFonts w:hint="eastAsia" w:ascii="宋体" w:hAnsi="宋体" w:eastAsia="宋体" w:cs="宋体"/>
          <w:bCs/>
          <w:sz w:val="28"/>
          <w:szCs w:val="28"/>
        </w:rPr>
        <w:t>（</w:t>
      </w:r>
      <w:r>
        <w:rPr>
          <w:rStyle w:val="101"/>
          <w:rFonts w:ascii="宋体" w:hAnsi="宋体" w:eastAsia="宋体" w:cs="宋体"/>
          <w:bCs/>
          <w:sz w:val="28"/>
          <w:szCs w:val="28"/>
        </w:rPr>
        <w:t>1</w:t>
      </w:r>
      <w:r>
        <w:rPr>
          <w:rStyle w:val="101"/>
          <w:rFonts w:hint="eastAsia" w:ascii="宋体" w:hAnsi="宋体" w:eastAsia="宋体" w:cs="宋体"/>
          <w:bCs/>
          <w:sz w:val="28"/>
          <w:szCs w:val="28"/>
        </w:rPr>
        <w:t>）土地</w:t>
      </w:r>
      <w:r>
        <w:rPr>
          <w:rFonts w:hint="eastAsia" w:ascii="宋体" w:hAnsi="宋体"/>
          <w:kern w:val="0"/>
          <w:sz w:val="28"/>
        </w:rPr>
        <w:t>权益</w:t>
      </w:r>
      <w:r>
        <w:rPr>
          <w:rStyle w:val="101"/>
          <w:rFonts w:hint="eastAsia" w:ascii="宋体" w:hAnsi="宋体" w:eastAsia="宋体" w:cs="宋体"/>
          <w:bCs/>
          <w:sz w:val="28"/>
          <w:szCs w:val="28"/>
        </w:rPr>
        <w:t>状况</w:t>
      </w:r>
    </w:p>
    <w:bookmarkEnd w:id="431"/>
    <w:bookmarkEnd w:id="432"/>
    <w:bookmarkEnd w:id="433"/>
    <w:bookmarkEnd w:id="434"/>
    <w:bookmarkEnd w:id="435"/>
    <w:bookmarkEnd w:id="436"/>
    <w:bookmarkEnd w:id="437"/>
    <w:bookmarkEnd w:id="438"/>
    <w:bookmarkEnd w:id="439"/>
    <w:p>
      <w:pPr>
        <w:spacing w:line="420" w:lineRule="auto"/>
        <w:ind w:left="57" w:firstLine="482"/>
        <w:rPr>
          <w:rStyle w:val="101"/>
          <w:rFonts w:ascii="宋体" w:hAnsi="宋体" w:eastAsia="宋体" w:cs="宋体"/>
          <w:bCs/>
          <w:sz w:val="28"/>
        </w:rPr>
      </w:pPr>
      <w:bookmarkStart w:id="440" w:name="_Toc9672"/>
      <w:bookmarkStart w:id="441" w:name="_Toc28168"/>
      <w:bookmarkStart w:id="442" w:name="_Toc4774"/>
      <w:bookmarkStart w:id="443" w:name="_Toc30642"/>
      <w:bookmarkStart w:id="444" w:name="_Toc10953"/>
      <w:bookmarkStart w:id="445" w:name="_Toc24001"/>
      <w:bookmarkStart w:id="446" w:name="_Toc22832"/>
      <w:bookmarkStart w:id="447" w:name="_Toc541"/>
      <w:bookmarkStart w:id="448" w:name="_Toc1120"/>
      <w:r>
        <w:rPr>
          <w:rStyle w:val="101"/>
          <w:rFonts w:hint="eastAsia" w:ascii="宋体" w:hAnsi="宋体" w:eastAsia="宋体" w:cs="宋体"/>
          <w:bCs/>
          <w:sz w:val="28"/>
          <w:szCs w:val="28"/>
        </w:rPr>
        <w:t>根据估价委托人提供的《土地他项权利证明书》</w:t>
      </w:r>
      <w:r>
        <w:rPr>
          <w:rStyle w:val="101"/>
          <w:rFonts w:hint="eastAsia" w:ascii="宋体" w:hAnsi="Times New Roman" w:eastAsia="宋体" w:cs="宋体"/>
          <w:bCs/>
          <w:sz w:val="28"/>
          <w:szCs w:val="28"/>
        </w:rPr>
        <w:t>知晓，</w:t>
      </w:r>
      <w:r>
        <w:rPr>
          <w:rStyle w:val="101"/>
          <w:rFonts w:hint="eastAsia" w:ascii="宋体" w:hAnsi="宋体" w:eastAsia="宋体" w:cs="宋体"/>
          <w:bCs/>
          <w:sz w:val="28"/>
          <w:szCs w:val="28"/>
        </w:rPr>
        <w:t>估价对象土地</w:t>
      </w:r>
      <w:r>
        <w:rPr>
          <w:rStyle w:val="101"/>
          <w:rFonts w:hint="eastAsia" w:ascii="宋体" w:hAnsi="宋体" w:eastAsia="宋体" w:cs="宋体"/>
          <w:bCs/>
          <w:sz w:val="28"/>
        </w:rPr>
        <w:t>使用权人为临沧市金城房地产开发有限公司；权利性质为出让，土地用途为住宅用地。</w:t>
      </w:r>
    </w:p>
    <w:bookmarkEnd w:id="440"/>
    <w:bookmarkEnd w:id="441"/>
    <w:bookmarkEnd w:id="442"/>
    <w:bookmarkEnd w:id="443"/>
    <w:bookmarkEnd w:id="444"/>
    <w:bookmarkEnd w:id="445"/>
    <w:bookmarkEnd w:id="446"/>
    <w:bookmarkEnd w:id="447"/>
    <w:bookmarkEnd w:id="448"/>
    <w:p>
      <w:pPr>
        <w:spacing w:line="360" w:lineRule="auto"/>
        <w:ind w:firstLine="560" w:firstLineChars="200"/>
        <w:rPr>
          <w:rStyle w:val="101"/>
          <w:rFonts w:ascii="宋体" w:hAnsi="Times New Roman" w:eastAsia="宋体" w:cs="宋体"/>
          <w:bCs/>
          <w:sz w:val="28"/>
          <w:szCs w:val="28"/>
        </w:rPr>
      </w:pPr>
      <w:bookmarkStart w:id="449" w:name="_Toc655"/>
      <w:bookmarkStart w:id="450" w:name="_Toc27053"/>
      <w:bookmarkStart w:id="451" w:name="_Toc25736"/>
      <w:bookmarkStart w:id="452" w:name="_Toc21935"/>
      <w:bookmarkStart w:id="453" w:name="_Toc3641"/>
      <w:bookmarkStart w:id="454" w:name="_Toc31664"/>
      <w:bookmarkStart w:id="455" w:name="_Toc20880"/>
      <w:bookmarkStart w:id="456" w:name="_Toc30974"/>
      <w:bookmarkStart w:id="457" w:name="_Toc26207"/>
      <w:r>
        <w:rPr>
          <w:rStyle w:val="101"/>
          <w:rFonts w:hint="eastAsia" w:ascii="宋体" w:hAnsi="宋体" w:eastAsia="宋体" w:cs="宋体"/>
          <w:bCs/>
          <w:sz w:val="28"/>
          <w:szCs w:val="28"/>
        </w:rPr>
        <w:t>（</w:t>
      </w:r>
      <w:r>
        <w:rPr>
          <w:rStyle w:val="101"/>
          <w:rFonts w:ascii="宋体" w:hAnsi="宋体" w:eastAsia="宋体" w:cs="宋体"/>
          <w:bCs/>
          <w:sz w:val="28"/>
          <w:szCs w:val="28"/>
        </w:rPr>
        <w:t>2</w:t>
      </w:r>
      <w:r>
        <w:rPr>
          <w:rStyle w:val="101"/>
          <w:rFonts w:hint="eastAsia" w:ascii="宋体" w:hAnsi="宋体" w:eastAsia="宋体" w:cs="宋体"/>
          <w:bCs/>
          <w:sz w:val="28"/>
          <w:szCs w:val="28"/>
        </w:rPr>
        <w:t>）建筑物</w:t>
      </w:r>
      <w:r>
        <w:rPr>
          <w:rFonts w:hint="eastAsia" w:ascii="宋体" w:hAnsi="宋体"/>
          <w:kern w:val="0"/>
          <w:sz w:val="28"/>
        </w:rPr>
        <w:t>权益</w:t>
      </w:r>
      <w:r>
        <w:rPr>
          <w:rStyle w:val="101"/>
          <w:rFonts w:hint="eastAsia" w:ascii="宋体" w:hAnsi="宋体" w:eastAsia="宋体" w:cs="宋体"/>
          <w:bCs/>
          <w:sz w:val="28"/>
          <w:szCs w:val="28"/>
        </w:rPr>
        <w:t>状况</w:t>
      </w:r>
    </w:p>
    <w:bookmarkEnd w:id="449"/>
    <w:bookmarkEnd w:id="450"/>
    <w:bookmarkEnd w:id="451"/>
    <w:bookmarkEnd w:id="452"/>
    <w:bookmarkEnd w:id="453"/>
    <w:bookmarkEnd w:id="454"/>
    <w:bookmarkEnd w:id="455"/>
    <w:bookmarkEnd w:id="456"/>
    <w:bookmarkEnd w:id="457"/>
    <w:p>
      <w:pPr>
        <w:autoSpaceDE w:val="0"/>
        <w:autoSpaceDN w:val="0"/>
        <w:adjustRightInd w:val="0"/>
        <w:spacing w:line="360" w:lineRule="auto"/>
        <w:ind w:firstLine="560" w:firstLineChars="200"/>
        <w:jc w:val="left"/>
        <w:rPr>
          <w:rStyle w:val="101"/>
          <w:rFonts w:ascii="宋体" w:hAnsi="Times New Roman" w:cs="宋体"/>
          <w:bCs/>
          <w:szCs w:val="28"/>
        </w:rPr>
      </w:pPr>
      <w:bookmarkStart w:id="458" w:name="_Toc1871"/>
      <w:bookmarkStart w:id="459" w:name="_Toc12385"/>
      <w:bookmarkStart w:id="460" w:name="_Toc20535"/>
      <w:bookmarkStart w:id="461" w:name="_Toc12280"/>
      <w:bookmarkStart w:id="462" w:name="_Toc28469"/>
      <w:bookmarkStart w:id="463" w:name="_Toc399"/>
      <w:bookmarkStart w:id="464" w:name="_Toc26210"/>
      <w:bookmarkStart w:id="465" w:name="_Toc11824"/>
      <w:bookmarkStart w:id="466" w:name="_Toc7323"/>
      <w:r>
        <w:rPr>
          <w:rStyle w:val="101"/>
          <w:rFonts w:hint="eastAsia" w:ascii="宋体" w:hAnsi="宋体" w:eastAsia="宋体" w:cs="宋体"/>
          <w:bCs/>
          <w:sz w:val="28"/>
          <w:szCs w:val="28"/>
        </w:rPr>
        <w:t>根据估价委托人向临沧市临翔区住房和城乡建设局查询所提供的《临都上城19幢B单元房源信息登记表》</w:t>
      </w:r>
      <w:bookmarkEnd w:id="458"/>
      <w:bookmarkEnd w:id="459"/>
      <w:bookmarkEnd w:id="460"/>
      <w:bookmarkEnd w:id="461"/>
      <w:bookmarkEnd w:id="462"/>
      <w:bookmarkEnd w:id="463"/>
      <w:bookmarkEnd w:id="464"/>
      <w:bookmarkEnd w:id="465"/>
      <w:bookmarkEnd w:id="466"/>
      <w:bookmarkStart w:id="467" w:name="_Toc17669"/>
      <w:bookmarkStart w:id="468" w:name="_Toc8056"/>
      <w:bookmarkStart w:id="469" w:name="_Toc11870"/>
      <w:bookmarkStart w:id="470" w:name="_Toc20309"/>
      <w:bookmarkStart w:id="471" w:name="_Toc28325"/>
      <w:bookmarkStart w:id="472" w:name="_Toc14245"/>
      <w:bookmarkStart w:id="473" w:name="_Toc9923"/>
      <w:bookmarkStart w:id="474" w:name="_Toc31528"/>
      <w:bookmarkStart w:id="475" w:name="_Toc22317"/>
      <w:r>
        <w:rPr>
          <w:rStyle w:val="101"/>
          <w:rFonts w:hint="eastAsia" w:ascii="宋体" w:hAnsi="宋体" w:eastAsia="宋体" w:cs="宋体"/>
          <w:bCs/>
          <w:sz w:val="28"/>
          <w:szCs w:val="28"/>
        </w:rPr>
        <w:t>、临沧市住房和城乡建设局关于《云南省临沧市中级人民法院协助执行通知书（查询）》的反馈及询问估价当事人，估价对象地上房屋尚未办理竣工验收手续，也未进行销售备案及办理不动产登记手续</w:t>
      </w:r>
      <w:r>
        <w:rPr>
          <w:rStyle w:val="101"/>
          <w:rFonts w:ascii="宋体" w:hAnsi="宋体" w:eastAsia="宋体" w:cs="宋体"/>
          <w:bCs/>
          <w:sz w:val="28"/>
          <w:szCs w:val="28"/>
        </w:rPr>
        <w:t>，依据所</w:t>
      </w:r>
      <w:r>
        <w:rPr>
          <w:rFonts w:ascii="宋体" w:hAnsi="宋体"/>
          <w:bCs/>
          <w:color w:val="000000"/>
          <w:sz w:val="28"/>
          <w:szCs w:val="28"/>
        </w:rPr>
        <w:t>掌握的资料判断房屋所有权人为</w:t>
      </w:r>
      <w:r>
        <w:rPr>
          <w:rStyle w:val="101"/>
          <w:rFonts w:hint="eastAsia" w:ascii="宋体" w:hAnsi="宋体" w:eastAsia="宋体" w:cs="宋体"/>
          <w:bCs/>
          <w:sz w:val="28"/>
        </w:rPr>
        <w:t>临沧市金城房地产开发有限公司</w:t>
      </w:r>
      <w:r>
        <w:rPr>
          <w:rFonts w:hint="eastAsia" w:ascii="宋体" w:hAnsi="宋体"/>
          <w:bCs/>
          <w:color w:val="000000"/>
          <w:sz w:val="28"/>
          <w:szCs w:val="28"/>
        </w:rPr>
        <w:t>。</w:t>
      </w:r>
    </w:p>
    <w:bookmarkEnd w:id="467"/>
    <w:bookmarkEnd w:id="468"/>
    <w:bookmarkEnd w:id="469"/>
    <w:bookmarkEnd w:id="470"/>
    <w:bookmarkEnd w:id="471"/>
    <w:bookmarkEnd w:id="472"/>
    <w:bookmarkEnd w:id="473"/>
    <w:bookmarkEnd w:id="474"/>
    <w:bookmarkEnd w:id="475"/>
    <w:p>
      <w:pPr>
        <w:autoSpaceDE w:val="0"/>
        <w:autoSpaceDN w:val="0"/>
        <w:adjustRightInd w:val="0"/>
        <w:spacing w:line="360" w:lineRule="auto"/>
        <w:ind w:firstLine="560" w:firstLineChars="200"/>
        <w:jc w:val="left"/>
        <w:rPr>
          <w:rStyle w:val="101"/>
          <w:rFonts w:ascii="宋体" w:hAnsi="Times New Roman" w:eastAsia="宋体" w:cs="宋体"/>
          <w:bCs/>
          <w:sz w:val="28"/>
          <w:szCs w:val="28"/>
        </w:rPr>
      </w:pPr>
      <w:bookmarkStart w:id="476" w:name="_Toc11090"/>
      <w:bookmarkStart w:id="477" w:name="_Toc16699"/>
      <w:bookmarkStart w:id="478" w:name="_Toc10902"/>
      <w:bookmarkStart w:id="479" w:name="_Toc5759"/>
      <w:bookmarkStart w:id="480" w:name="_Toc31820"/>
      <w:bookmarkStart w:id="481" w:name="_Toc16302"/>
      <w:bookmarkStart w:id="482" w:name="_Toc12236"/>
      <w:bookmarkStart w:id="483" w:name="_Toc8067"/>
      <w:bookmarkStart w:id="484" w:name="_Toc21978"/>
      <w:r>
        <w:rPr>
          <w:rStyle w:val="101"/>
          <w:rFonts w:hint="eastAsia" w:ascii="宋体" w:hAnsi="宋体" w:eastAsia="宋体" w:cs="宋体"/>
          <w:bCs/>
          <w:sz w:val="28"/>
          <w:szCs w:val="28"/>
        </w:rPr>
        <w:t>（</w:t>
      </w:r>
      <w:r>
        <w:rPr>
          <w:rStyle w:val="101"/>
          <w:rFonts w:ascii="宋体" w:hAnsi="宋体" w:eastAsia="宋体" w:cs="宋体"/>
          <w:bCs/>
          <w:sz w:val="28"/>
          <w:szCs w:val="28"/>
        </w:rPr>
        <w:t>3</w:t>
      </w:r>
      <w:r>
        <w:rPr>
          <w:rStyle w:val="101"/>
          <w:rFonts w:hint="eastAsia" w:ascii="宋体" w:hAnsi="宋体" w:eastAsia="宋体" w:cs="宋体"/>
          <w:bCs/>
          <w:sz w:val="28"/>
          <w:szCs w:val="28"/>
        </w:rPr>
        <w:t>）他项权利状况</w:t>
      </w:r>
    </w:p>
    <w:bookmarkEnd w:id="476"/>
    <w:bookmarkEnd w:id="477"/>
    <w:bookmarkEnd w:id="478"/>
    <w:bookmarkEnd w:id="479"/>
    <w:bookmarkEnd w:id="480"/>
    <w:bookmarkEnd w:id="481"/>
    <w:bookmarkEnd w:id="482"/>
    <w:bookmarkEnd w:id="483"/>
    <w:bookmarkEnd w:id="484"/>
    <w:p>
      <w:pPr>
        <w:autoSpaceDE w:val="0"/>
        <w:autoSpaceDN w:val="0"/>
        <w:adjustRightInd w:val="0"/>
        <w:spacing w:line="360" w:lineRule="auto"/>
        <w:ind w:firstLine="560" w:firstLineChars="200"/>
        <w:jc w:val="left"/>
        <w:rPr>
          <w:rStyle w:val="101"/>
          <w:rFonts w:ascii="宋体" w:hAnsi="Times New Roman" w:eastAsia="宋体" w:cs="宋体"/>
          <w:bCs/>
          <w:sz w:val="28"/>
          <w:szCs w:val="28"/>
        </w:rPr>
      </w:pPr>
      <w:bookmarkStart w:id="485" w:name="_Toc24815"/>
      <w:bookmarkStart w:id="486" w:name="_Toc7469"/>
      <w:bookmarkStart w:id="487" w:name="_Toc22227"/>
      <w:bookmarkStart w:id="488" w:name="_Toc18301"/>
      <w:bookmarkStart w:id="489" w:name="_Toc11349"/>
      <w:bookmarkStart w:id="490" w:name="_Toc5676"/>
      <w:bookmarkStart w:id="491" w:name="_Toc8612"/>
      <w:bookmarkStart w:id="492" w:name="_Toc28662"/>
      <w:bookmarkStart w:id="493" w:name="_Toc2932"/>
      <w:r>
        <w:rPr>
          <w:rStyle w:val="101"/>
          <w:rFonts w:hint="eastAsia" w:ascii="宋体" w:hAnsi="宋体" w:eastAsia="宋体" w:cs="宋体"/>
          <w:bCs/>
          <w:sz w:val="28"/>
          <w:szCs w:val="28"/>
        </w:rPr>
        <w:t>土</w:t>
      </w:r>
      <w:r>
        <w:rPr>
          <w:rStyle w:val="101"/>
          <w:rFonts w:hint="eastAsia" w:ascii="宋体" w:hAnsi="宋体" w:eastAsia="宋体"/>
          <w:bCs/>
          <w:sz w:val="28"/>
          <w:szCs w:val="28"/>
        </w:rPr>
        <w:t>地使用权已办理抵押登记，抵押权人：李贵泉</w:t>
      </w:r>
      <w:r>
        <w:rPr>
          <w:rStyle w:val="101"/>
          <w:rFonts w:ascii="宋体" w:hAnsi="宋体" w:eastAsia="宋体"/>
          <w:bCs/>
          <w:sz w:val="28"/>
          <w:szCs w:val="28"/>
        </w:rPr>
        <w:t xml:space="preserve"> </w:t>
      </w:r>
      <w:r>
        <w:rPr>
          <w:rStyle w:val="101"/>
          <w:rFonts w:hint="eastAsia" w:ascii="宋体" w:hAnsi="宋体" w:eastAsia="宋体"/>
          <w:bCs/>
          <w:sz w:val="28"/>
          <w:szCs w:val="28"/>
        </w:rPr>
        <w:t>抵押时间：2015</w:t>
      </w:r>
      <w:r>
        <w:rPr>
          <w:rStyle w:val="101"/>
          <w:rFonts w:ascii="宋体" w:hAnsi="宋体" w:eastAsia="宋体"/>
          <w:bCs/>
          <w:sz w:val="28"/>
          <w:szCs w:val="28"/>
        </w:rPr>
        <w:t>-</w:t>
      </w:r>
      <w:r>
        <w:rPr>
          <w:rStyle w:val="101"/>
          <w:rFonts w:hint="eastAsia" w:ascii="宋体" w:hAnsi="宋体" w:eastAsia="宋体"/>
          <w:bCs/>
          <w:sz w:val="28"/>
          <w:szCs w:val="28"/>
        </w:rPr>
        <w:t>11</w:t>
      </w:r>
      <w:r>
        <w:rPr>
          <w:rStyle w:val="101"/>
          <w:rFonts w:ascii="宋体" w:hAnsi="宋体" w:eastAsia="宋体"/>
          <w:bCs/>
          <w:sz w:val="28"/>
          <w:szCs w:val="28"/>
        </w:rPr>
        <w:t>-</w:t>
      </w:r>
      <w:r>
        <w:rPr>
          <w:rStyle w:val="101"/>
          <w:rFonts w:hint="eastAsia" w:ascii="宋体" w:hAnsi="宋体" w:eastAsia="宋体"/>
          <w:bCs/>
          <w:sz w:val="28"/>
          <w:szCs w:val="28"/>
        </w:rPr>
        <w:t>26</w:t>
      </w:r>
      <w:r>
        <w:rPr>
          <w:rStyle w:val="101"/>
          <w:rFonts w:ascii="宋体" w:hAnsi="宋体" w:eastAsia="宋体"/>
          <w:bCs/>
          <w:sz w:val="28"/>
          <w:szCs w:val="28"/>
        </w:rPr>
        <w:t xml:space="preserve">  </w:t>
      </w:r>
      <w:r>
        <w:rPr>
          <w:rStyle w:val="101"/>
          <w:rFonts w:hint="eastAsia" w:ascii="宋体" w:hAnsi="宋体" w:eastAsia="宋体"/>
          <w:bCs/>
          <w:sz w:val="28"/>
          <w:szCs w:val="28"/>
        </w:rPr>
        <w:t>土地他项权证证号：</w:t>
      </w:r>
      <w:r>
        <w:rPr>
          <w:rStyle w:val="101"/>
          <w:rFonts w:hint="eastAsia" w:ascii="宋体" w:hAnsi="宋体" w:eastAsia="宋体"/>
          <w:bCs/>
          <w:sz w:val="28"/>
          <w:szCs w:val="28"/>
          <w:u w:val="single"/>
        </w:rPr>
        <w:t>临</w:t>
      </w:r>
      <w:r>
        <w:rPr>
          <w:rStyle w:val="101"/>
          <w:rFonts w:hint="eastAsia" w:ascii="宋体" w:hAnsi="宋体" w:eastAsia="宋体"/>
          <w:bCs/>
          <w:sz w:val="28"/>
          <w:szCs w:val="28"/>
        </w:rPr>
        <w:t>他项（2015）第0644号。</w:t>
      </w:r>
    </w:p>
    <w:bookmarkEnd w:id="485"/>
    <w:bookmarkEnd w:id="486"/>
    <w:bookmarkEnd w:id="487"/>
    <w:bookmarkEnd w:id="488"/>
    <w:bookmarkEnd w:id="489"/>
    <w:bookmarkEnd w:id="490"/>
    <w:bookmarkEnd w:id="491"/>
    <w:bookmarkEnd w:id="492"/>
    <w:bookmarkEnd w:id="493"/>
    <w:p>
      <w:pPr>
        <w:autoSpaceDE w:val="0"/>
        <w:autoSpaceDN w:val="0"/>
        <w:adjustRightInd w:val="0"/>
        <w:spacing w:line="360" w:lineRule="auto"/>
        <w:ind w:firstLine="560" w:firstLineChars="200"/>
        <w:jc w:val="left"/>
        <w:rPr>
          <w:rStyle w:val="101"/>
          <w:rFonts w:ascii="宋体" w:hAnsi="Times New Roman" w:eastAsia="宋体" w:cs="宋体"/>
          <w:bCs/>
          <w:sz w:val="28"/>
          <w:szCs w:val="28"/>
        </w:rPr>
      </w:pPr>
      <w:bookmarkStart w:id="494" w:name="_Toc28454"/>
      <w:bookmarkStart w:id="495" w:name="_Toc22868"/>
      <w:bookmarkStart w:id="496" w:name="_Toc17822"/>
      <w:bookmarkStart w:id="497" w:name="_Toc25547"/>
      <w:bookmarkStart w:id="498" w:name="_Toc11919"/>
      <w:bookmarkStart w:id="499" w:name="_Toc18947"/>
      <w:bookmarkStart w:id="500" w:name="_Toc1357"/>
      <w:bookmarkStart w:id="501" w:name="_Toc18738"/>
      <w:bookmarkStart w:id="502" w:name="_Toc12329"/>
      <w:r>
        <w:rPr>
          <w:rStyle w:val="101"/>
          <w:rFonts w:hint="eastAsia" w:ascii="宋体" w:hAnsi="宋体" w:eastAsia="宋体" w:cs="宋体"/>
          <w:bCs/>
          <w:sz w:val="28"/>
          <w:szCs w:val="28"/>
        </w:rPr>
        <w:t>（</w:t>
      </w:r>
      <w:r>
        <w:rPr>
          <w:rStyle w:val="101"/>
          <w:rFonts w:ascii="宋体" w:hAnsi="宋体" w:eastAsia="宋体" w:cs="宋体"/>
          <w:bCs/>
          <w:sz w:val="28"/>
          <w:szCs w:val="28"/>
        </w:rPr>
        <w:t>4</w:t>
      </w:r>
      <w:r>
        <w:rPr>
          <w:rStyle w:val="101"/>
          <w:rFonts w:hint="eastAsia" w:ascii="宋体" w:hAnsi="宋体" w:eastAsia="宋体" w:cs="宋体"/>
          <w:bCs/>
          <w:sz w:val="28"/>
          <w:szCs w:val="28"/>
        </w:rPr>
        <w:t>）权利限制状况</w:t>
      </w:r>
    </w:p>
    <w:bookmarkEnd w:id="494"/>
    <w:bookmarkEnd w:id="495"/>
    <w:bookmarkEnd w:id="496"/>
    <w:bookmarkEnd w:id="497"/>
    <w:bookmarkEnd w:id="498"/>
    <w:bookmarkEnd w:id="499"/>
    <w:bookmarkEnd w:id="500"/>
    <w:bookmarkEnd w:id="501"/>
    <w:bookmarkEnd w:id="502"/>
    <w:p>
      <w:pPr>
        <w:widowControl/>
        <w:spacing w:line="360" w:lineRule="auto"/>
        <w:ind w:firstLine="560" w:firstLineChars="200"/>
        <w:jc w:val="left"/>
        <w:textAlignment w:val="top"/>
        <w:rPr>
          <w:rStyle w:val="101"/>
          <w:rFonts w:ascii="宋体" w:hAnsi="Times New Roman" w:eastAsia="宋体"/>
          <w:bCs/>
          <w:sz w:val="28"/>
          <w:szCs w:val="28"/>
        </w:rPr>
      </w:pPr>
      <w:bookmarkStart w:id="503" w:name="_Toc21065"/>
      <w:bookmarkStart w:id="504" w:name="_Toc1389"/>
      <w:bookmarkStart w:id="505" w:name="_Toc15141"/>
      <w:bookmarkStart w:id="506" w:name="_Toc3234"/>
      <w:bookmarkStart w:id="507" w:name="_Toc26997"/>
      <w:bookmarkStart w:id="508" w:name="_Toc16160"/>
      <w:bookmarkStart w:id="509" w:name="_Toc7349"/>
      <w:bookmarkStart w:id="510" w:name="_Toc30931"/>
      <w:bookmarkStart w:id="511" w:name="_Toc24484"/>
      <w:r>
        <w:rPr>
          <w:rStyle w:val="101"/>
          <w:rFonts w:hint="eastAsia" w:ascii="宋体" w:hAnsi="宋体" w:eastAsia="宋体"/>
          <w:bCs/>
          <w:sz w:val="28"/>
          <w:szCs w:val="28"/>
        </w:rPr>
        <w:t>限制类型：查封  限制部门：临沧市中级人民法院</w:t>
      </w:r>
      <w:r>
        <w:rPr>
          <w:rStyle w:val="101"/>
          <w:rFonts w:ascii="宋体" w:hAnsi="宋体" w:eastAsia="宋体"/>
          <w:bCs/>
          <w:sz w:val="28"/>
          <w:szCs w:val="28"/>
        </w:rPr>
        <w:t xml:space="preserve"> </w:t>
      </w:r>
      <w:bookmarkEnd w:id="503"/>
      <w:bookmarkEnd w:id="504"/>
      <w:bookmarkEnd w:id="505"/>
      <w:bookmarkEnd w:id="506"/>
      <w:bookmarkEnd w:id="507"/>
      <w:bookmarkEnd w:id="508"/>
      <w:bookmarkEnd w:id="509"/>
      <w:bookmarkEnd w:id="510"/>
      <w:bookmarkEnd w:id="511"/>
      <w:bookmarkStart w:id="512" w:name="_Toc22097"/>
      <w:bookmarkStart w:id="513" w:name="_Toc8576"/>
      <w:bookmarkStart w:id="514" w:name="_Toc29219"/>
      <w:bookmarkStart w:id="515" w:name="_Toc3797"/>
      <w:bookmarkStart w:id="516" w:name="_Toc2859"/>
      <w:bookmarkStart w:id="517" w:name="_Toc11491"/>
      <w:bookmarkStart w:id="518" w:name="_Toc7164"/>
      <w:bookmarkStart w:id="519" w:name="_Toc5133"/>
      <w:bookmarkStart w:id="520" w:name="_Toc26387"/>
    </w:p>
    <w:bookmarkEnd w:id="512"/>
    <w:bookmarkEnd w:id="513"/>
    <w:bookmarkEnd w:id="514"/>
    <w:bookmarkEnd w:id="515"/>
    <w:bookmarkEnd w:id="516"/>
    <w:bookmarkEnd w:id="517"/>
    <w:bookmarkEnd w:id="518"/>
    <w:bookmarkEnd w:id="519"/>
    <w:bookmarkEnd w:id="520"/>
    <w:p>
      <w:pPr>
        <w:autoSpaceDE w:val="0"/>
        <w:autoSpaceDN w:val="0"/>
        <w:adjustRightInd w:val="0"/>
        <w:spacing w:line="360" w:lineRule="auto"/>
        <w:ind w:firstLine="560" w:firstLineChars="200"/>
        <w:jc w:val="left"/>
        <w:rPr>
          <w:rStyle w:val="101"/>
          <w:rFonts w:ascii="宋体" w:hAnsi="Times New Roman" w:eastAsia="宋体" w:cs="宋体"/>
          <w:bCs/>
          <w:sz w:val="28"/>
          <w:szCs w:val="28"/>
        </w:rPr>
      </w:pPr>
      <w:bookmarkStart w:id="521" w:name="_Toc27020"/>
      <w:bookmarkStart w:id="522" w:name="_Toc5758"/>
      <w:bookmarkStart w:id="523" w:name="_Toc18553"/>
      <w:bookmarkStart w:id="524" w:name="_Toc8300"/>
      <w:bookmarkStart w:id="525" w:name="_Toc17880"/>
      <w:bookmarkStart w:id="526" w:name="_Toc23517"/>
      <w:bookmarkStart w:id="527" w:name="_Toc6345"/>
      <w:bookmarkStart w:id="528" w:name="_Toc27541"/>
      <w:bookmarkStart w:id="529" w:name="_Toc13968"/>
      <w:r>
        <w:rPr>
          <w:rStyle w:val="101"/>
          <w:rFonts w:hint="eastAsia" w:ascii="宋体" w:hAnsi="宋体" w:eastAsia="宋体" w:cs="宋体"/>
          <w:bCs/>
          <w:sz w:val="28"/>
          <w:szCs w:val="28"/>
        </w:rPr>
        <w:t>（</w:t>
      </w:r>
      <w:r>
        <w:rPr>
          <w:rStyle w:val="101"/>
          <w:rFonts w:ascii="宋体" w:hAnsi="宋体" w:eastAsia="宋体" w:cs="宋体"/>
          <w:bCs/>
          <w:sz w:val="28"/>
          <w:szCs w:val="28"/>
        </w:rPr>
        <w:t>5</w:t>
      </w:r>
      <w:r>
        <w:rPr>
          <w:rStyle w:val="101"/>
          <w:rFonts w:hint="eastAsia" w:ascii="宋体" w:hAnsi="宋体" w:eastAsia="宋体" w:cs="宋体"/>
          <w:bCs/>
          <w:sz w:val="28"/>
          <w:szCs w:val="28"/>
        </w:rPr>
        <w:t>）其他权利限制状况</w:t>
      </w:r>
    </w:p>
    <w:bookmarkEnd w:id="521"/>
    <w:bookmarkEnd w:id="522"/>
    <w:bookmarkEnd w:id="523"/>
    <w:bookmarkEnd w:id="524"/>
    <w:bookmarkEnd w:id="525"/>
    <w:bookmarkEnd w:id="526"/>
    <w:bookmarkEnd w:id="527"/>
    <w:bookmarkEnd w:id="528"/>
    <w:bookmarkEnd w:id="529"/>
    <w:p>
      <w:pPr>
        <w:autoSpaceDE w:val="0"/>
        <w:autoSpaceDN w:val="0"/>
        <w:adjustRightInd w:val="0"/>
        <w:spacing w:line="360" w:lineRule="auto"/>
        <w:ind w:firstLine="560" w:firstLineChars="200"/>
        <w:jc w:val="left"/>
        <w:rPr>
          <w:rStyle w:val="101"/>
          <w:rFonts w:ascii="宋体" w:hAnsi="Times New Roman" w:eastAsia="宋体"/>
          <w:bCs/>
          <w:sz w:val="28"/>
          <w:szCs w:val="28"/>
        </w:rPr>
      </w:pPr>
      <w:bookmarkStart w:id="530" w:name="_Toc27644"/>
      <w:bookmarkStart w:id="531" w:name="_Toc8617"/>
      <w:bookmarkStart w:id="532" w:name="_Toc10143"/>
      <w:bookmarkStart w:id="533" w:name="_Toc6831"/>
      <w:bookmarkStart w:id="534" w:name="_Toc14233"/>
      <w:bookmarkStart w:id="535" w:name="_Toc5764"/>
      <w:bookmarkStart w:id="536" w:name="_Toc28281"/>
      <w:bookmarkStart w:id="537" w:name="_Toc13791"/>
      <w:bookmarkStart w:id="538" w:name="_Toc22587"/>
      <w:r>
        <w:rPr>
          <w:rStyle w:val="101"/>
          <w:rFonts w:hint="eastAsia" w:ascii="宋体" w:hAnsi="宋体" w:eastAsia="宋体"/>
          <w:bCs/>
          <w:sz w:val="28"/>
          <w:szCs w:val="28"/>
        </w:rPr>
        <w:t>经调查了解，被执行人还存在一定金额的民间借贷欠款。</w:t>
      </w:r>
    </w:p>
    <w:bookmarkEnd w:id="530"/>
    <w:bookmarkEnd w:id="531"/>
    <w:bookmarkEnd w:id="532"/>
    <w:bookmarkEnd w:id="533"/>
    <w:bookmarkEnd w:id="534"/>
    <w:bookmarkEnd w:id="535"/>
    <w:bookmarkEnd w:id="536"/>
    <w:bookmarkEnd w:id="537"/>
    <w:bookmarkEnd w:id="538"/>
    <w:p>
      <w:pPr>
        <w:autoSpaceDE w:val="0"/>
        <w:autoSpaceDN w:val="0"/>
        <w:adjustRightInd w:val="0"/>
        <w:spacing w:line="360" w:lineRule="auto"/>
        <w:ind w:firstLine="560" w:firstLineChars="200"/>
        <w:jc w:val="left"/>
        <w:rPr>
          <w:rStyle w:val="101"/>
          <w:rFonts w:ascii="宋体" w:hAnsi="Times New Roman" w:eastAsia="宋体"/>
          <w:bCs/>
          <w:sz w:val="28"/>
          <w:szCs w:val="28"/>
        </w:rPr>
      </w:pPr>
      <w:bookmarkStart w:id="539" w:name="_Toc16311"/>
      <w:bookmarkStart w:id="540" w:name="_Toc9631"/>
      <w:bookmarkStart w:id="541" w:name="_Toc25478"/>
      <w:bookmarkStart w:id="542" w:name="_Toc28059"/>
      <w:bookmarkStart w:id="543" w:name="_Toc6318"/>
      <w:bookmarkStart w:id="544" w:name="_Toc20804"/>
      <w:bookmarkStart w:id="545" w:name="_Toc2850"/>
      <w:bookmarkStart w:id="546" w:name="_Toc12694"/>
      <w:bookmarkStart w:id="547" w:name="_Toc19303"/>
      <w:r>
        <w:rPr>
          <w:rStyle w:val="101"/>
          <w:rFonts w:hint="eastAsia" w:ascii="宋体" w:hAnsi="宋体" w:eastAsia="宋体"/>
          <w:bCs/>
          <w:sz w:val="28"/>
          <w:szCs w:val="28"/>
        </w:rPr>
        <w:t>（6）拖欠费情况</w:t>
      </w:r>
    </w:p>
    <w:bookmarkEnd w:id="539"/>
    <w:bookmarkEnd w:id="540"/>
    <w:bookmarkEnd w:id="541"/>
    <w:bookmarkEnd w:id="542"/>
    <w:bookmarkEnd w:id="543"/>
    <w:bookmarkEnd w:id="544"/>
    <w:bookmarkEnd w:id="545"/>
    <w:bookmarkEnd w:id="546"/>
    <w:bookmarkEnd w:id="547"/>
    <w:p>
      <w:pPr>
        <w:autoSpaceDE w:val="0"/>
        <w:autoSpaceDN w:val="0"/>
        <w:adjustRightInd w:val="0"/>
        <w:spacing w:line="360" w:lineRule="auto"/>
        <w:ind w:firstLine="560" w:firstLineChars="200"/>
        <w:jc w:val="left"/>
        <w:rPr>
          <w:rStyle w:val="101"/>
          <w:rFonts w:ascii="宋体" w:hAnsi="宋体" w:eastAsia="宋体"/>
          <w:bCs/>
          <w:sz w:val="28"/>
          <w:szCs w:val="28"/>
        </w:rPr>
      </w:pPr>
      <w:bookmarkStart w:id="548" w:name="_Toc19356"/>
      <w:bookmarkStart w:id="549" w:name="_Toc2774"/>
      <w:bookmarkStart w:id="550" w:name="_Toc8676"/>
      <w:bookmarkStart w:id="551" w:name="_Toc9388"/>
      <w:bookmarkStart w:id="552" w:name="_Toc16553"/>
      <w:bookmarkStart w:id="553" w:name="_Toc22944"/>
      <w:bookmarkStart w:id="554" w:name="_Toc13385"/>
      <w:bookmarkStart w:id="555" w:name="_Toc22510"/>
      <w:bookmarkStart w:id="556" w:name="_Toc30320"/>
      <w:bookmarkStart w:id="557" w:name="_Toc11191"/>
      <w:bookmarkStart w:id="558" w:name="_Toc16666"/>
      <w:bookmarkStart w:id="559" w:name="_Toc15928"/>
      <w:bookmarkStart w:id="560" w:name="_Toc27743"/>
      <w:r>
        <w:rPr>
          <w:rStyle w:val="101"/>
          <w:rFonts w:hint="eastAsia" w:ascii="宋体" w:hAnsi="宋体" w:eastAsia="宋体"/>
          <w:bCs/>
          <w:sz w:val="28"/>
          <w:szCs w:val="28"/>
        </w:rPr>
        <w:t>未收集到拖欠费用情况。</w:t>
      </w:r>
      <w:bookmarkEnd w:id="548"/>
      <w:bookmarkEnd w:id="549"/>
      <w:bookmarkEnd w:id="550"/>
      <w:bookmarkEnd w:id="551"/>
    </w:p>
    <w:bookmarkEnd w:id="552"/>
    <w:bookmarkEnd w:id="553"/>
    <w:bookmarkEnd w:id="554"/>
    <w:bookmarkEnd w:id="555"/>
    <w:bookmarkEnd w:id="556"/>
    <w:bookmarkEnd w:id="557"/>
    <w:bookmarkEnd w:id="558"/>
    <w:bookmarkEnd w:id="559"/>
    <w:bookmarkEnd w:id="560"/>
    <w:p>
      <w:pPr>
        <w:spacing w:line="360" w:lineRule="auto"/>
        <w:ind w:firstLine="562" w:firstLineChars="200"/>
        <w:outlineLvl w:val="1"/>
        <w:rPr>
          <w:rFonts w:ascii="宋体" w:cs="宋体"/>
          <w:b/>
          <w:sz w:val="28"/>
          <w:szCs w:val="28"/>
        </w:rPr>
      </w:pPr>
      <w:bookmarkStart w:id="561" w:name="_Toc2658"/>
      <w:bookmarkStart w:id="562" w:name="_Toc5118"/>
      <w:bookmarkStart w:id="563" w:name="_Toc445907661"/>
      <w:bookmarkStart w:id="564" w:name="_Toc23716"/>
      <w:bookmarkStart w:id="565" w:name="_Toc20178"/>
      <w:bookmarkStart w:id="566" w:name="_Toc19573"/>
      <w:bookmarkStart w:id="567" w:name="_Toc32383"/>
      <w:bookmarkStart w:id="568" w:name="_Toc27612"/>
      <w:bookmarkStart w:id="569" w:name="_Toc9771"/>
      <w:bookmarkStart w:id="570" w:name="_Toc7573"/>
      <w:bookmarkStart w:id="571" w:name="_Toc24671"/>
      <w:bookmarkStart w:id="572" w:name="_Toc30231"/>
      <w:bookmarkStart w:id="573" w:name="_Toc404084876"/>
      <w:r>
        <w:rPr>
          <w:rFonts w:hint="eastAsia" w:ascii="宋体" w:hAnsi="宋体" w:cs="宋体"/>
          <w:b/>
          <w:sz w:val="28"/>
          <w:szCs w:val="28"/>
        </w:rPr>
        <w:t>五、价值时点</w:t>
      </w:r>
      <w:bookmarkEnd w:id="240"/>
      <w:bookmarkEnd w:id="241"/>
      <w:bookmarkEnd w:id="242"/>
      <w:bookmarkEnd w:id="243"/>
      <w:bookmarkEnd w:id="561"/>
      <w:bookmarkEnd w:id="562"/>
      <w:bookmarkEnd w:id="563"/>
      <w:bookmarkEnd w:id="564"/>
      <w:bookmarkEnd w:id="565"/>
      <w:bookmarkEnd w:id="566"/>
      <w:bookmarkEnd w:id="567"/>
      <w:bookmarkEnd w:id="568"/>
      <w:bookmarkEnd w:id="569"/>
      <w:bookmarkEnd w:id="570"/>
      <w:bookmarkEnd w:id="571"/>
      <w:bookmarkEnd w:id="572"/>
      <w:bookmarkEnd w:id="573"/>
      <w:bookmarkStart w:id="574" w:name="_Toc355786938"/>
    </w:p>
    <w:p>
      <w:pPr>
        <w:spacing w:line="360" w:lineRule="auto"/>
        <w:ind w:firstLine="560" w:firstLineChars="200"/>
        <w:rPr>
          <w:rFonts w:ascii="宋体" w:hAnsi="宋体" w:cs="宋体"/>
          <w:kern w:val="0"/>
          <w:sz w:val="28"/>
        </w:rPr>
      </w:pPr>
      <w:bookmarkStart w:id="575" w:name="_Toc378591259"/>
      <w:bookmarkStart w:id="576" w:name="_Toc378591664"/>
      <w:bookmarkStart w:id="577" w:name="_Toc378495835"/>
      <w:bookmarkStart w:id="578" w:name="_Toc378590549"/>
      <w:bookmarkStart w:id="579" w:name="_Toc357774367"/>
      <w:r>
        <w:rPr>
          <w:rFonts w:ascii="宋体" w:hAnsi="宋体" w:cs="宋体"/>
          <w:kern w:val="0"/>
          <w:sz w:val="28"/>
        </w:rPr>
        <w:t>2021年05月31日</w:t>
      </w:r>
      <w:r>
        <w:rPr>
          <w:rFonts w:hint="eastAsia" w:ascii="宋体" w:hAnsi="宋体" w:cs="宋体"/>
          <w:kern w:val="0"/>
          <w:sz w:val="28"/>
        </w:rPr>
        <w:t>。</w:t>
      </w:r>
      <w:bookmarkStart w:id="580" w:name="_Toc25724"/>
      <w:bookmarkStart w:id="581" w:name="_Toc404084877"/>
      <w:bookmarkStart w:id="582" w:name="_Toc8524"/>
      <w:bookmarkStart w:id="583" w:name="_Toc445907662"/>
      <w:bookmarkStart w:id="584" w:name="_Toc19748"/>
      <w:bookmarkStart w:id="585" w:name="_Toc14571"/>
      <w:bookmarkStart w:id="586" w:name="_Toc8574"/>
      <w:r>
        <w:rPr>
          <w:rFonts w:hint="eastAsia" w:ascii="宋体" w:hAnsi="宋体" w:cs="宋体"/>
          <w:kern w:val="0"/>
          <w:sz w:val="28"/>
        </w:rPr>
        <w:t>人民法院委托的市场参考价评估，涉及到估价对象的市场价值，鉴于估价对象市场价值受房地产市场状况的影响程度较大，结合最高人民法院关于《人民法院确定财产处置参考价若干问题的规定》（法释〔</w:t>
      </w:r>
      <w:r>
        <w:rPr>
          <w:rFonts w:ascii="宋体" w:hAnsi="宋体" w:cs="宋体"/>
          <w:kern w:val="0"/>
          <w:sz w:val="28"/>
        </w:rPr>
        <w:t>2018</w:t>
      </w:r>
      <w:r>
        <w:rPr>
          <w:rFonts w:hint="eastAsia" w:ascii="宋体" w:hAnsi="宋体" w:cs="宋体"/>
          <w:kern w:val="0"/>
          <w:sz w:val="28"/>
        </w:rPr>
        <w:t>〕</w:t>
      </w:r>
      <w:r>
        <w:rPr>
          <w:rFonts w:ascii="宋体" w:hAnsi="宋体" w:cs="宋体"/>
          <w:kern w:val="0"/>
          <w:sz w:val="28"/>
        </w:rPr>
        <w:t>15</w:t>
      </w:r>
      <w:r>
        <w:rPr>
          <w:rFonts w:hint="eastAsia" w:ascii="宋体" w:hAnsi="宋体" w:cs="宋体"/>
          <w:kern w:val="0"/>
          <w:sz w:val="28"/>
        </w:rPr>
        <w:t>号）及最高人民法院办公厅关于印发《人民法院委托评估工作规范》的通知（法办〔</w:t>
      </w:r>
      <w:r>
        <w:rPr>
          <w:rFonts w:ascii="宋体" w:hAnsi="宋体" w:cs="宋体"/>
          <w:kern w:val="0"/>
          <w:sz w:val="28"/>
        </w:rPr>
        <w:t>2018</w:t>
      </w:r>
      <w:r>
        <w:rPr>
          <w:rFonts w:hint="eastAsia" w:ascii="宋体" w:hAnsi="宋体" w:cs="宋体"/>
          <w:kern w:val="0"/>
          <w:sz w:val="28"/>
        </w:rPr>
        <w:t>〕</w:t>
      </w:r>
      <w:r>
        <w:rPr>
          <w:rFonts w:ascii="宋体" w:hAnsi="宋体" w:cs="宋体"/>
          <w:kern w:val="0"/>
          <w:sz w:val="28"/>
        </w:rPr>
        <w:t>273</w:t>
      </w:r>
      <w:r>
        <w:rPr>
          <w:rFonts w:hint="eastAsia" w:ascii="宋体" w:hAnsi="宋体" w:cs="宋体"/>
          <w:kern w:val="0"/>
          <w:sz w:val="28"/>
        </w:rPr>
        <w:t>号）的规定和要求，本次评估的价值时点设定为注册房地产估价师的实地查勘之日。以保证价值时点的估价对象实物状况和财产范围与注册房地产估价师实地查勘估价对象的实物状况和财产范围相一致。</w:t>
      </w:r>
    </w:p>
    <w:p>
      <w:pPr>
        <w:spacing w:line="360" w:lineRule="auto"/>
        <w:ind w:firstLine="562" w:firstLineChars="200"/>
        <w:outlineLvl w:val="1"/>
        <w:rPr>
          <w:rFonts w:ascii="宋体" w:cs="宋体"/>
          <w:b/>
          <w:sz w:val="28"/>
          <w:szCs w:val="28"/>
        </w:rPr>
      </w:pPr>
      <w:bookmarkStart w:id="587" w:name="_Toc13809"/>
      <w:bookmarkStart w:id="588" w:name="_Toc258"/>
      <w:bookmarkStart w:id="589" w:name="_Toc17970"/>
      <w:bookmarkStart w:id="590" w:name="_Toc28563"/>
      <w:bookmarkStart w:id="591" w:name="_Toc17516"/>
      <w:bookmarkStart w:id="592" w:name="_Toc17753"/>
      <w:r>
        <w:rPr>
          <w:rFonts w:hint="eastAsia" w:ascii="宋体" w:hAnsi="宋体" w:cs="宋体"/>
          <w:b/>
          <w:sz w:val="28"/>
          <w:szCs w:val="28"/>
        </w:rPr>
        <w:t>六、价值类型</w:t>
      </w:r>
      <w:bookmarkEnd w:id="574"/>
      <w:bookmarkEnd w:id="575"/>
      <w:bookmarkEnd w:id="576"/>
      <w:bookmarkEnd w:id="577"/>
      <w:bookmarkEnd w:id="578"/>
      <w:bookmarkEnd w:id="580"/>
      <w:bookmarkEnd w:id="581"/>
      <w:bookmarkEnd w:id="582"/>
      <w:bookmarkEnd w:id="583"/>
      <w:bookmarkEnd w:id="584"/>
      <w:bookmarkEnd w:id="585"/>
      <w:bookmarkEnd w:id="586"/>
      <w:bookmarkEnd w:id="587"/>
      <w:bookmarkEnd w:id="588"/>
      <w:bookmarkEnd w:id="589"/>
      <w:bookmarkEnd w:id="590"/>
      <w:bookmarkEnd w:id="591"/>
      <w:bookmarkEnd w:id="592"/>
    </w:p>
    <w:bookmarkEnd w:id="579"/>
    <w:p>
      <w:pPr>
        <w:pStyle w:val="100"/>
        <w:ind w:firstLine="560"/>
        <w:rPr>
          <w:rFonts w:ascii="宋体" w:cs="宋体"/>
        </w:rPr>
      </w:pPr>
      <w:bookmarkStart w:id="593" w:name="_Toc451943205"/>
      <w:bookmarkStart w:id="594" w:name="_Toc362529615"/>
      <w:bookmarkStart w:id="595" w:name="_Toc3417"/>
      <w:bookmarkStart w:id="596" w:name="_Toc378590553"/>
      <w:bookmarkStart w:id="597" w:name="_Toc15847"/>
      <w:bookmarkStart w:id="598" w:name="_Toc378591668"/>
      <w:bookmarkStart w:id="599" w:name="_Toc13307"/>
      <w:bookmarkStart w:id="600" w:name="_Toc363564626"/>
      <w:bookmarkStart w:id="601" w:name="_Toc457982761"/>
      <w:bookmarkStart w:id="602" w:name="_Toc378591263"/>
      <w:bookmarkStart w:id="603" w:name="_Toc457982817"/>
      <w:bookmarkStart w:id="604" w:name="_Toc451943321"/>
      <w:bookmarkStart w:id="605" w:name="_Toc27554"/>
      <w:bookmarkStart w:id="606" w:name="_Toc378495837"/>
      <w:bookmarkStart w:id="607" w:name="_Toc671"/>
      <w:bookmarkStart w:id="608" w:name="_Toc445907665"/>
      <w:bookmarkStart w:id="609" w:name="_Toc26336"/>
      <w:bookmarkStart w:id="610" w:name="_Toc26731"/>
      <w:bookmarkStart w:id="611" w:name="_Toc5653"/>
      <w:bookmarkStart w:id="612" w:name="_Toc2398"/>
      <w:bookmarkStart w:id="613" w:name="_Toc404084880"/>
      <w:bookmarkStart w:id="614" w:name="_Toc357774368"/>
      <w:bookmarkStart w:id="615" w:name="_Toc378590555"/>
      <w:bookmarkStart w:id="616" w:name="_Toc378591265"/>
      <w:bookmarkStart w:id="617" w:name="_Toc378495838"/>
      <w:bookmarkStart w:id="618" w:name="_Toc355786939"/>
      <w:bookmarkStart w:id="619" w:name="_Toc378591670"/>
      <w:r>
        <w:rPr>
          <w:rFonts w:hint="eastAsia" w:ascii="宋体" w:hAnsi="宋体" w:cs="宋体"/>
        </w:rPr>
        <w:t>人民法院委托的拟处置财产的市场参考价，其价值类型为市场价值，市场价值是指估价对象经适当营销后，由熟悉情况、谨慎行事且不受强迫的交易双方，以公平交易方式在价值时点自愿进行交易的金额。</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Fonts w:hint="eastAsia" w:ascii="宋体" w:hAnsi="宋体" w:cs="宋体"/>
        </w:rPr>
        <w:t>其价值内涵包括估价对象房屋及其占用土地共同作用并发挥效用所体现的市场价值，以及估价对象区域内共用的基础设施使用权价值、公共配套设施设备使用权价值、客观合理的估价对象房屋室内外装饰装修价值、依附于该不动产上不可分割、不可移动的附属设施价值等共同构成。评估过程中不考虑估价对象租赁、抵押、担保、查封、保全、冻结、快速变现等因素对估价对象价值造成的影响。评估价值不包括估价对象被迫转让或案件执行过程中所发生或应交纳的税、费以及处置过程中所发生或应交纳的拖欠物业管理费、水电费、煤气费、有线电视费等费用和款项，不包括家具家电等可移动的动产部分的价值以及非组成房地产价值成分的价值。</w:t>
      </w:r>
    </w:p>
    <w:p>
      <w:pPr>
        <w:spacing w:line="360" w:lineRule="auto"/>
        <w:ind w:firstLine="562" w:firstLineChars="200"/>
        <w:outlineLvl w:val="1"/>
        <w:rPr>
          <w:rFonts w:ascii="宋体" w:cs="宋体"/>
          <w:b/>
          <w:sz w:val="28"/>
          <w:szCs w:val="28"/>
        </w:rPr>
      </w:pPr>
      <w:bookmarkStart w:id="620" w:name="_Toc9069"/>
      <w:bookmarkStart w:id="621" w:name="_Toc17381"/>
      <w:bookmarkStart w:id="622" w:name="_Toc29998"/>
      <w:bookmarkStart w:id="623" w:name="_Toc9028"/>
      <w:bookmarkStart w:id="624" w:name="_Toc29375"/>
      <w:bookmarkStart w:id="625" w:name="_Toc16872"/>
      <w:r>
        <w:rPr>
          <w:rFonts w:hint="eastAsia" w:ascii="宋体" w:hAnsi="宋体" w:cs="宋体"/>
          <w:b/>
          <w:sz w:val="28"/>
          <w:szCs w:val="28"/>
        </w:rPr>
        <w:t>七、估价原则</w:t>
      </w:r>
      <w:bookmarkEnd w:id="607"/>
      <w:bookmarkEnd w:id="608"/>
      <w:bookmarkEnd w:id="609"/>
      <w:bookmarkEnd w:id="610"/>
      <w:bookmarkEnd w:id="611"/>
      <w:bookmarkEnd w:id="612"/>
      <w:bookmarkEnd w:id="613"/>
      <w:bookmarkEnd w:id="620"/>
      <w:bookmarkEnd w:id="621"/>
      <w:bookmarkEnd w:id="622"/>
      <w:bookmarkEnd w:id="623"/>
      <w:bookmarkEnd w:id="624"/>
      <w:bookmarkEnd w:id="625"/>
    </w:p>
    <w:p>
      <w:pPr>
        <w:pStyle w:val="23"/>
        <w:spacing w:line="360" w:lineRule="auto"/>
        <w:ind w:left="0" w:leftChars="0" w:firstLine="560" w:firstLineChars="200"/>
        <w:rPr>
          <w:rFonts w:ascii="宋体" w:hAnsi="宋体" w:eastAsia="宋体" w:cs="宋体"/>
          <w:kern w:val="0"/>
          <w:sz w:val="28"/>
        </w:rPr>
      </w:pPr>
      <w:r>
        <w:rPr>
          <w:rFonts w:hint="eastAsia" w:ascii="宋体" w:hAnsi="宋体" w:eastAsia="宋体" w:cs="宋体"/>
          <w:kern w:val="0"/>
          <w:sz w:val="28"/>
        </w:rPr>
        <w:t>本次估价结合估价目的、价值类型及估价报告的预期用途，遵循以下估价原则：</w:t>
      </w:r>
    </w:p>
    <w:p>
      <w:pPr>
        <w:pStyle w:val="23"/>
        <w:spacing w:line="360" w:lineRule="auto"/>
        <w:ind w:left="0" w:leftChars="0" w:firstLine="560" w:firstLineChars="200"/>
        <w:rPr>
          <w:rFonts w:ascii="宋体" w:hAnsi="宋体" w:eastAsia="宋体" w:cs="宋体"/>
          <w:kern w:val="0"/>
          <w:sz w:val="28"/>
        </w:rPr>
      </w:pPr>
      <w:r>
        <w:rPr>
          <w:rFonts w:ascii="宋体" w:hAnsi="宋体" w:eastAsia="宋体" w:cs="宋体"/>
          <w:kern w:val="0"/>
          <w:sz w:val="28"/>
        </w:rPr>
        <w:t>1</w:t>
      </w:r>
      <w:r>
        <w:rPr>
          <w:rFonts w:hint="eastAsia" w:ascii="宋体" w:hAnsi="宋体" w:eastAsia="宋体" w:cs="宋体"/>
          <w:kern w:val="0"/>
          <w:sz w:val="28"/>
        </w:rPr>
        <w:t>、独立、客观、公正原则：要求房地产估价机构和注册房地产估价师站在中立的立场上，以超然独立的第三方的地位，实事求是、公平正直地评估出对各方估价利害关系人均是公平合理的价值或价格。</w:t>
      </w:r>
    </w:p>
    <w:p>
      <w:pPr>
        <w:pStyle w:val="23"/>
        <w:spacing w:line="360" w:lineRule="auto"/>
        <w:ind w:left="0" w:leftChars="0" w:firstLine="560" w:firstLineChars="200"/>
        <w:rPr>
          <w:rFonts w:ascii="宋体" w:hAnsi="宋体" w:eastAsia="宋体" w:cs="宋体"/>
          <w:kern w:val="0"/>
          <w:sz w:val="28"/>
        </w:rPr>
      </w:pPr>
      <w:r>
        <w:rPr>
          <w:rFonts w:ascii="宋体" w:hAnsi="宋体" w:eastAsia="宋体" w:cs="宋体"/>
          <w:kern w:val="0"/>
          <w:sz w:val="28"/>
        </w:rPr>
        <w:t>2</w:t>
      </w:r>
      <w:r>
        <w:rPr>
          <w:rFonts w:hint="eastAsia" w:ascii="宋体" w:hAnsi="宋体" w:eastAsia="宋体" w:cs="宋体"/>
          <w:kern w:val="0"/>
          <w:sz w:val="28"/>
        </w:rPr>
        <w:t>、合法原则：要求估价结果是在依法判定的估价对象状况下的价值或价格。</w:t>
      </w:r>
    </w:p>
    <w:p>
      <w:pPr>
        <w:pStyle w:val="26"/>
        <w:spacing w:after="0" w:line="360" w:lineRule="auto"/>
        <w:ind w:firstLine="560" w:firstLineChars="200"/>
        <w:rPr>
          <w:rFonts w:ascii="宋体" w:cs="宋体"/>
          <w:sz w:val="28"/>
        </w:rPr>
      </w:pPr>
      <w:r>
        <w:rPr>
          <w:rFonts w:ascii="宋体" w:hAnsi="宋体" w:cs="宋体"/>
          <w:sz w:val="28"/>
        </w:rPr>
        <w:t>3</w:t>
      </w:r>
      <w:r>
        <w:rPr>
          <w:rFonts w:hint="eastAsia" w:ascii="宋体" w:hAnsi="宋体" w:cs="宋体"/>
          <w:sz w:val="28"/>
        </w:rPr>
        <w:t>、价值时点原则：要求估价结果是在根据估价目的确定的某一特定时间的价值或价格。</w:t>
      </w:r>
    </w:p>
    <w:p>
      <w:pPr>
        <w:pStyle w:val="23"/>
        <w:spacing w:line="360" w:lineRule="auto"/>
        <w:ind w:left="0" w:leftChars="0" w:firstLine="560" w:firstLineChars="200"/>
        <w:rPr>
          <w:rFonts w:ascii="宋体" w:hAnsi="宋体" w:eastAsia="宋体" w:cs="宋体"/>
          <w:kern w:val="0"/>
          <w:sz w:val="28"/>
        </w:rPr>
      </w:pPr>
      <w:r>
        <w:rPr>
          <w:rFonts w:ascii="宋体" w:hAnsi="宋体" w:eastAsia="宋体" w:cs="宋体"/>
          <w:kern w:val="0"/>
          <w:sz w:val="28"/>
        </w:rPr>
        <w:t>4</w:t>
      </w:r>
      <w:r>
        <w:rPr>
          <w:rFonts w:hint="eastAsia" w:ascii="宋体" w:hAnsi="宋体" w:eastAsia="宋体" w:cs="宋体"/>
          <w:kern w:val="0"/>
          <w:sz w:val="28"/>
        </w:rPr>
        <w:t>、替代原则：要求估价结果与估价对象的类似房地产在同等条件下的价值或价格的偏差应在合理的范围内。</w:t>
      </w:r>
    </w:p>
    <w:p>
      <w:pPr>
        <w:pStyle w:val="23"/>
        <w:spacing w:line="360" w:lineRule="auto"/>
        <w:ind w:left="0" w:leftChars="0" w:firstLine="560" w:firstLineChars="200"/>
        <w:rPr>
          <w:rFonts w:ascii="宋体" w:hAnsi="宋体" w:eastAsia="宋体" w:cs="宋体"/>
          <w:sz w:val="28"/>
          <w:szCs w:val="28"/>
        </w:rPr>
      </w:pPr>
      <w:r>
        <w:rPr>
          <w:rFonts w:ascii="宋体" w:hAnsi="宋体" w:eastAsia="宋体" w:cs="宋体"/>
          <w:sz w:val="28"/>
          <w:szCs w:val="28"/>
        </w:rPr>
        <w:t>5</w:t>
      </w:r>
      <w:r>
        <w:rPr>
          <w:rFonts w:hint="eastAsia" w:ascii="宋体" w:hAnsi="宋体" w:eastAsia="宋体" w:cs="宋体"/>
          <w:sz w:val="28"/>
          <w:szCs w:val="28"/>
        </w:rPr>
        <w:t>、最高最佳利用原则：要求估价结果是在估价对象最高最佳利用状况下的价值或价格。最高最佳利用是指房地产在法律上允许、技术上可能、财务上可行并使价值最大的合理、可能的利用，包括最佳用途、规模、档次等。</w:t>
      </w:r>
    </w:p>
    <w:p>
      <w:pPr>
        <w:widowControl/>
        <w:spacing w:line="360" w:lineRule="auto"/>
        <w:ind w:left="561" w:leftChars="267" w:firstLine="140" w:firstLineChars="50"/>
        <w:jc w:val="left"/>
        <w:rPr>
          <w:rFonts w:ascii="宋体" w:hAnsi="宋体" w:cs="宋体"/>
          <w:kern w:val="0"/>
          <w:sz w:val="28"/>
        </w:rPr>
      </w:pPr>
      <w:bookmarkStart w:id="626" w:name="_Toc8452"/>
      <w:bookmarkStart w:id="627" w:name="_Toc9368"/>
      <w:bookmarkStart w:id="628" w:name="_Toc28434"/>
      <w:bookmarkStart w:id="629" w:name="_Toc31162"/>
      <w:bookmarkStart w:id="630" w:name="_Toc3750"/>
      <w:bookmarkStart w:id="631" w:name="_Toc404084878"/>
      <w:bookmarkStart w:id="632" w:name="_Toc13093"/>
      <w:bookmarkStart w:id="633" w:name="_Toc27876"/>
      <w:bookmarkStart w:id="634" w:name="_Toc11570"/>
      <w:bookmarkStart w:id="635" w:name="_Toc14207"/>
      <w:bookmarkStart w:id="636" w:name="_Toc445907663"/>
      <w:bookmarkStart w:id="637" w:name="_Toc5171"/>
      <w:bookmarkStart w:id="638" w:name="_Toc7931"/>
      <w:r>
        <w:rPr>
          <w:rFonts w:hint="eastAsia" w:ascii="宋体" w:hAnsi="宋体" w:cs="宋体"/>
          <w:kern w:val="0"/>
          <w:sz w:val="28"/>
        </w:rPr>
        <w:t>6、预期收益原则：</w:t>
      </w:r>
      <w:r>
        <w:rPr>
          <w:rFonts w:ascii="宋体" w:hAnsi="宋体" w:cs="宋体"/>
          <w:kern w:val="0"/>
          <w:sz w:val="28"/>
        </w:rPr>
        <w:br w:type="textWrapping"/>
      </w:r>
      <w:r>
        <w:rPr>
          <w:rFonts w:hint="eastAsia" w:ascii="宋体" w:hAnsi="宋体" w:cs="宋体"/>
          <w:kern w:val="0"/>
          <w:sz w:val="28"/>
        </w:rPr>
        <w:t>由于房地产具有用途的多样性，不同的利用方式能为房地产权利人带来不</w:t>
      </w:r>
    </w:p>
    <w:p>
      <w:pPr>
        <w:widowControl/>
        <w:spacing w:line="360" w:lineRule="auto"/>
        <w:jc w:val="left"/>
        <w:rPr>
          <w:rFonts w:ascii="宋体" w:hAnsi="宋体" w:cs="宋体"/>
          <w:kern w:val="0"/>
          <w:sz w:val="28"/>
        </w:rPr>
      </w:pPr>
      <w:r>
        <w:rPr>
          <w:rFonts w:hint="eastAsia" w:ascii="宋体" w:hAnsi="宋体" w:cs="宋体"/>
          <w:kern w:val="0"/>
          <w:sz w:val="28"/>
        </w:rPr>
        <w:t>同收益，且权利人都期望从其所占有的房地产上获得更多的收益，并以能满足这一目的为确定其利用方式的依据。以估价对象最高最佳利用条件下的未来客观有效的预期收益为依据，将其折算到价值时点，得到一个客观、公正、合理、科学的收益价格。</w:t>
      </w:r>
    </w:p>
    <w:p>
      <w:pPr>
        <w:spacing w:line="360" w:lineRule="auto"/>
        <w:ind w:firstLine="551" w:firstLineChars="196"/>
        <w:outlineLvl w:val="1"/>
        <w:rPr>
          <w:rFonts w:ascii="宋体" w:cs="宋体"/>
          <w:b/>
          <w:sz w:val="28"/>
          <w:szCs w:val="28"/>
        </w:rPr>
      </w:pPr>
      <w:r>
        <w:rPr>
          <w:rFonts w:hint="eastAsia" w:ascii="宋体" w:hAnsi="宋体" w:cs="宋体"/>
          <w:b/>
          <w:sz w:val="28"/>
          <w:szCs w:val="28"/>
        </w:rPr>
        <w:t>八、估价依据</w:t>
      </w:r>
      <w:bookmarkEnd w:id="614"/>
      <w:bookmarkEnd w:id="615"/>
      <w:bookmarkEnd w:id="616"/>
      <w:bookmarkEnd w:id="617"/>
      <w:bookmarkEnd w:id="618"/>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p>
    <w:p>
      <w:pPr>
        <w:spacing w:line="360" w:lineRule="auto"/>
        <w:ind w:firstLine="548" w:firstLineChars="196"/>
        <w:rPr>
          <w:rFonts w:ascii="宋体" w:cs="宋体"/>
          <w:sz w:val="28"/>
          <w:szCs w:val="28"/>
        </w:rPr>
      </w:pPr>
      <w:r>
        <w:rPr>
          <w:rFonts w:hint="eastAsia" w:ascii="宋体" w:hAnsi="宋体" w:cs="宋体"/>
          <w:sz w:val="28"/>
          <w:szCs w:val="28"/>
        </w:rPr>
        <w:t>（一）有关法律、行政法规、部门规章依据</w:t>
      </w:r>
    </w:p>
    <w:p>
      <w:pPr>
        <w:spacing w:line="360" w:lineRule="auto"/>
        <w:ind w:firstLine="560" w:firstLineChars="200"/>
        <w:rPr>
          <w:rFonts w:ascii="宋体" w:cs="宋体"/>
          <w:kern w:val="0"/>
          <w:sz w:val="28"/>
        </w:rPr>
      </w:pPr>
      <w:r>
        <w:rPr>
          <w:rFonts w:ascii="宋体" w:hAnsi="宋体" w:cs="宋体"/>
          <w:kern w:val="0"/>
          <w:sz w:val="28"/>
        </w:rPr>
        <w:t>1</w:t>
      </w:r>
      <w:r>
        <w:rPr>
          <w:rFonts w:hint="eastAsia" w:ascii="宋体" w:hAnsi="宋体" w:cs="宋体"/>
          <w:kern w:val="0"/>
          <w:sz w:val="28"/>
        </w:rPr>
        <w:t>、《中华人民共和国资产评估法》（</w:t>
      </w:r>
      <w:r>
        <w:rPr>
          <w:rFonts w:ascii="宋体" w:hAnsi="宋体" w:cs="宋体"/>
          <w:kern w:val="0"/>
          <w:sz w:val="28"/>
        </w:rPr>
        <w:t>2016</w:t>
      </w:r>
      <w:r>
        <w:rPr>
          <w:rFonts w:hint="eastAsia" w:ascii="宋体" w:hAnsi="宋体" w:cs="宋体"/>
          <w:kern w:val="0"/>
          <w:sz w:val="28"/>
        </w:rPr>
        <w:t>年</w:t>
      </w:r>
      <w:r>
        <w:rPr>
          <w:rFonts w:ascii="宋体" w:hAnsi="宋体" w:cs="宋体"/>
          <w:kern w:val="0"/>
          <w:sz w:val="28"/>
        </w:rPr>
        <w:t>7</w:t>
      </w:r>
      <w:r>
        <w:rPr>
          <w:rFonts w:hint="eastAsia" w:ascii="宋体" w:hAnsi="宋体" w:cs="宋体"/>
          <w:kern w:val="0"/>
          <w:sz w:val="28"/>
        </w:rPr>
        <w:t>月</w:t>
      </w:r>
      <w:r>
        <w:rPr>
          <w:rFonts w:ascii="宋体" w:hAnsi="宋体" w:cs="宋体"/>
          <w:kern w:val="0"/>
          <w:sz w:val="28"/>
        </w:rPr>
        <w:t>2</w:t>
      </w:r>
      <w:r>
        <w:rPr>
          <w:rFonts w:hint="eastAsia" w:ascii="宋体" w:hAnsi="宋体" w:cs="宋体"/>
          <w:kern w:val="0"/>
          <w:sz w:val="28"/>
        </w:rPr>
        <w:t>日中华人民共和国第十二届全国人民代表大会常务委员会第二十一次会议通过，自</w:t>
      </w:r>
      <w:r>
        <w:rPr>
          <w:rFonts w:ascii="宋体" w:hAnsi="宋体" w:cs="宋体"/>
          <w:kern w:val="0"/>
          <w:sz w:val="28"/>
        </w:rPr>
        <w:t>2016</w:t>
      </w:r>
      <w:r>
        <w:rPr>
          <w:rFonts w:hint="eastAsia" w:ascii="宋体" w:hAnsi="宋体" w:cs="宋体"/>
          <w:kern w:val="0"/>
          <w:sz w:val="28"/>
        </w:rPr>
        <w:t>年</w:t>
      </w:r>
      <w:r>
        <w:rPr>
          <w:rFonts w:ascii="宋体" w:hAnsi="宋体" w:cs="宋体"/>
          <w:kern w:val="0"/>
          <w:sz w:val="28"/>
        </w:rPr>
        <w:t>12</w:t>
      </w:r>
      <w:r>
        <w:rPr>
          <w:rFonts w:hint="eastAsia" w:ascii="宋体" w:hAnsi="宋体" w:cs="宋体"/>
          <w:kern w:val="0"/>
          <w:sz w:val="28"/>
        </w:rPr>
        <w:t>月</w:t>
      </w:r>
      <w:r>
        <w:rPr>
          <w:rFonts w:ascii="宋体" w:hAnsi="宋体" w:cs="宋体"/>
          <w:kern w:val="0"/>
          <w:sz w:val="28"/>
        </w:rPr>
        <w:t>1</w:t>
      </w:r>
      <w:r>
        <w:rPr>
          <w:rFonts w:hint="eastAsia" w:ascii="宋体" w:hAnsi="宋体" w:cs="宋体"/>
          <w:kern w:val="0"/>
          <w:sz w:val="28"/>
        </w:rPr>
        <w:t>日起施行）；</w:t>
      </w:r>
    </w:p>
    <w:p>
      <w:pPr>
        <w:spacing w:line="360" w:lineRule="auto"/>
        <w:ind w:firstLine="420" w:firstLineChars="150"/>
        <w:rPr>
          <w:rFonts w:asciiTheme="minorEastAsia" w:hAnsiTheme="minorEastAsia" w:eastAsiaTheme="minorEastAsia"/>
          <w:szCs w:val="21"/>
        </w:rPr>
      </w:pPr>
      <w:r>
        <w:rPr>
          <w:rFonts w:ascii="宋体" w:hAnsi="宋体" w:cs="宋体"/>
          <w:kern w:val="0"/>
          <w:sz w:val="28"/>
        </w:rPr>
        <w:t>2</w:t>
      </w:r>
      <w:r>
        <w:rPr>
          <w:rFonts w:hint="eastAsia" w:ascii="宋体" w:hAnsi="宋体" w:cs="宋体"/>
          <w:kern w:val="0"/>
          <w:sz w:val="28"/>
        </w:rPr>
        <w:t>、</w:t>
      </w:r>
      <w:r>
        <w:rPr>
          <w:rFonts w:ascii="宋体" w:hAnsi="宋体" w:cs="宋体"/>
          <w:kern w:val="0"/>
          <w:sz w:val="28"/>
        </w:rPr>
        <w:t>《</w:t>
      </w:r>
      <w:r>
        <w:fldChar w:fldCharType="begin"/>
      </w:r>
      <w:r>
        <w:instrText xml:space="preserve"> HYPERLINK "https://baike.sogou.com/lemma/ShowInnerLink.htm?lemmaId=73763705&amp;ss_c=ssc.citiao.link" \t "https://baike.sogou.com/_blank" </w:instrText>
      </w:r>
      <w:r>
        <w:fldChar w:fldCharType="separate"/>
      </w:r>
      <w:r>
        <w:rPr>
          <w:rFonts w:ascii="宋体" w:hAnsi="宋体" w:cs="宋体"/>
          <w:kern w:val="0"/>
          <w:sz w:val="28"/>
        </w:rPr>
        <w:t>中华人民共和国民法典</w:t>
      </w:r>
      <w:r>
        <w:rPr>
          <w:rFonts w:ascii="宋体" w:hAnsi="宋体" w:cs="宋体"/>
          <w:kern w:val="0"/>
          <w:sz w:val="28"/>
        </w:rPr>
        <w:fldChar w:fldCharType="end"/>
      </w:r>
      <w:r>
        <w:rPr>
          <w:rFonts w:ascii="宋体" w:hAnsi="宋体" w:cs="宋体"/>
          <w:kern w:val="0"/>
          <w:sz w:val="28"/>
        </w:rPr>
        <w:t>》</w:t>
      </w:r>
      <w:r>
        <w:rPr>
          <w:rFonts w:hint="eastAsia" w:ascii="宋体" w:hAnsi="宋体" w:cs="宋体"/>
          <w:kern w:val="0"/>
          <w:sz w:val="28"/>
        </w:rPr>
        <w:t>（中华人民共和国第十三届全国人民代表大会第三次会议2020年5月28日通过，自2021年1月</w:t>
      </w:r>
      <w:r>
        <w:rPr>
          <w:rFonts w:ascii="宋体" w:hAnsi="宋体" w:cs="宋体"/>
          <w:kern w:val="0"/>
          <w:sz w:val="28"/>
        </w:rPr>
        <w:t>1</w:t>
      </w:r>
      <w:r>
        <w:rPr>
          <w:rFonts w:hint="eastAsia" w:ascii="宋体" w:hAnsi="宋体" w:cs="宋体"/>
          <w:kern w:val="0"/>
          <w:sz w:val="28"/>
        </w:rPr>
        <w:t>日起施行）；</w:t>
      </w:r>
    </w:p>
    <w:p>
      <w:pPr>
        <w:spacing w:line="360" w:lineRule="auto"/>
        <w:ind w:firstLine="560" w:firstLineChars="200"/>
        <w:rPr>
          <w:rFonts w:ascii="宋体" w:hAnsi="宋体" w:cs="宋体"/>
          <w:kern w:val="0"/>
          <w:sz w:val="28"/>
        </w:rPr>
      </w:pPr>
      <w:r>
        <w:rPr>
          <w:rFonts w:ascii="宋体" w:hAnsi="宋体" w:cs="宋体"/>
          <w:kern w:val="0"/>
          <w:sz w:val="28"/>
        </w:rPr>
        <w:t>3</w:t>
      </w:r>
      <w:r>
        <w:rPr>
          <w:rFonts w:hint="eastAsia" w:ascii="宋体" w:hAnsi="宋体" w:cs="宋体"/>
          <w:kern w:val="0"/>
          <w:sz w:val="28"/>
        </w:rPr>
        <w:t>、《中华人民共和国城市房地产管理法》（1994年7月5日，第八届全国人民代表大会常务委员会第八次会议通过，1994年7月5日中华人民共和国主席令第二十九号公布，自1995年1月1日起施行。2007年8月30日，中华人民共和国第十届全国人民代表大会常务委员会第二十九次会议通过《全国人民代表大会常务委员会关于修改〈中华人民共和国城市房地产管理法〉的决定》，现予公布，自公布之日起施行。根据2009年8月27日第十一届全国人民代表大会常务委员会第十次会议《关于修改部分法律的决定》第二次修正。2019年8月26日，十三届全国人大常委会第十二次会议表决通过关于修改土地管理法、城市房地产管理法的决定。本决定自2020年1月1日起施行。）；</w:t>
      </w:r>
    </w:p>
    <w:p>
      <w:pPr>
        <w:spacing w:line="360" w:lineRule="auto"/>
        <w:ind w:firstLine="560" w:firstLineChars="200"/>
        <w:rPr>
          <w:rFonts w:ascii="宋体" w:hAnsi="宋体" w:cs="宋体"/>
          <w:kern w:val="0"/>
          <w:sz w:val="28"/>
        </w:rPr>
      </w:pPr>
      <w:r>
        <w:rPr>
          <w:rFonts w:ascii="宋体" w:hAnsi="宋体" w:cs="宋体"/>
          <w:kern w:val="0"/>
          <w:sz w:val="28"/>
        </w:rPr>
        <w:t>4</w:t>
      </w:r>
      <w:r>
        <w:rPr>
          <w:rFonts w:hint="eastAsia" w:ascii="宋体" w:hAnsi="宋体" w:cs="宋体"/>
          <w:kern w:val="0"/>
          <w:sz w:val="28"/>
        </w:rPr>
        <w:t>、《中华人民共和国土地管理法》</w:t>
      </w:r>
      <w:r>
        <w:rPr>
          <w:rFonts w:ascii="宋体" w:hAnsi="宋体" w:cs="宋体"/>
          <w:kern w:val="0"/>
          <w:sz w:val="28"/>
        </w:rPr>
        <w:t>(1986年6月25日第六届全国人民代表大会常务委员会第十六次会议通过　根据1988年12月29日第七届全国人民代表大会常务委员会第五次会议《关于修改〈中华人民共和国土地管理法〉的决定》第一次修正　1998年8月29日第九届全国人民代表大会常务委员会第四次会议修订　根据2004年8月28日第十届全国人民代表大会常务委员会第十一次会议《关于修改〈中华人民共和国土地管理法〉的决定》第二次修正</w:t>
      </w:r>
      <w:r>
        <w:rPr>
          <w:rFonts w:hint="eastAsia" w:ascii="宋体" w:hAnsi="宋体" w:cs="宋体"/>
          <w:kern w:val="0"/>
          <w:sz w:val="28"/>
        </w:rPr>
        <w:t>。</w:t>
      </w:r>
      <w:r>
        <w:rPr>
          <w:rFonts w:ascii="宋体" w:hAnsi="宋体" w:cs="宋体"/>
          <w:kern w:val="0"/>
          <w:sz w:val="28"/>
        </w:rPr>
        <w:t>根据2019年8月26日第十三届全国人民代表大会常务委员会第十二次会议《关于修改〈中华人民共和国土地管理法〉、〈中华人民共和国城市房地产管理法〉的决定》第三次修正)</w:t>
      </w:r>
      <w:r>
        <w:rPr>
          <w:rFonts w:hint="eastAsia" w:ascii="宋体" w:hAnsi="宋体" w:cs="宋体"/>
          <w:kern w:val="0"/>
          <w:sz w:val="28"/>
        </w:rPr>
        <w:t>，本决定自2020年1月1日起施行）；</w:t>
      </w:r>
    </w:p>
    <w:p>
      <w:pPr>
        <w:spacing w:line="360" w:lineRule="auto"/>
        <w:ind w:firstLine="560" w:firstLineChars="200"/>
        <w:rPr>
          <w:rFonts w:ascii="宋体" w:hAnsi="宋体" w:cs="宋体"/>
          <w:kern w:val="0"/>
          <w:sz w:val="28"/>
        </w:rPr>
      </w:pPr>
      <w:r>
        <w:rPr>
          <w:rFonts w:ascii="宋体" w:hAnsi="宋体" w:cs="宋体"/>
          <w:kern w:val="0"/>
          <w:sz w:val="28"/>
        </w:rPr>
        <w:t>5</w:t>
      </w:r>
      <w:r>
        <w:rPr>
          <w:rFonts w:hint="eastAsia" w:ascii="宋体" w:hAnsi="宋体" w:cs="宋体"/>
          <w:kern w:val="0"/>
          <w:sz w:val="28"/>
        </w:rPr>
        <w:t>、《中华人民共和国城乡规划法》（</w:t>
      </w:r>
      <w:r>
        <w:rPr>
          <w:rFonts w:ascii="宋体" w:hAnsi="宋体" w:cs="宋体"/>
          <w:kern w:val="0"/>
          <w:sz w:val="28"/>
        </w:rPr>
        <w:t>2007</w:t>
      </w:r>
      <w:r>
        <w:rPr>
          <w:rFonts w:hint="eastAsia" w:ascii="宋体" w:hAnsi="宋体" w:cs="宋体"/>
          <w:kern w:val="0"/>
          <w:sz w:val="28"/>
        </w:rPr>
        <w:t>年</w:t>
      </w:r>
      <w:r>
        <w:rPr>
          <w:rFonts w:ascii="宋体" w:hAnsi="宋体" w:cs="宋体"/>
          <w:kern w:val="0"/>
          <w:sz w:val="28"/>
        </w:rPr>
        <w:t>10</w:t>
      </w:r>
      <w:r>
        <w:rPr>
          <w:rFonts w:hint="eastAsia" w:ascii="宋体" w:hAnsi="宋体" w:cs="宋体"/>
          <w:kern w:val="0"/>
          <w:sz w:val="28"/>
        </w:rPr>
        <w:t>月</w:t>
      </w:r>
      <w:r>
        <w:rPr>
          <w:rFonts w:ascii="宋体" w:hAnsi="宋体" w:cs="宋体"/>
          <w:kern w:val="0"/>
          <w:sz w:val="28"/>
        </w:rPr>
        <w:t>28</w:t>
      </w:r>
      <w:r>
        <w:rPr>
          <w:rFonts w:hint="eastAsia" w:ascii="宋体" w:hAnsi="宋体" w:cs="宋体"/>
          <w:kern w:val="0"/>
          <w:sz w:val="28"/>
        </w:rPr>
        <w:t>日第十届全国人民代表大会常务委员会第三十次会议通过根据</w:t>
      </w:r>
      <w:r>
        <w:rPr>
          <w:rFonts w:ascii="宋体" w:hAnsi="宋体" w:cs="宋体"/>
          <w:kern w:val="0"/>
          <w:sz w:val="28"/>
        </w:rPr>
        <w:t>2015</w:t>
      </w:r>
      <w:r>
        <w:rPr>
          <w:rFonts w:hint="eastAsia" w:ascii="宋体" w:hAnsi="宋体" w:cs="宋体"/>
          <w:kern w:val="0"/>
          <w:sz w:val="28"/>
        </w:rPr>
        <w:t>年</w:t>
      </w:r>
      <w:r>
        <w:rPr>
          <w:rFonts w:ascii="宋体" w:hAnsi="宋体" w:cs="宋体"/>
          <w:kern w:val="0"/>
          <w:sz w:val="28"/>
        </w:rPr>
        <w:t>4</w:t>
      </w:r>
      <w:r>
        <w:rPr>
          <w:rFonts w:hint="eastAsia" w:ascii="宋体" w:hAnsi="宋体" w:cs="宋体"/>
          <w:kern w:val="0"/>
          <w:sz w:val="28"/>
        </w:rPr>
        <w:t>月</w:t>
      </w:r>
      <w:r>
        <w:rPr>
          <w:rFonts w:ascii="宋体" w:hAnsi="宋体" w:cs="宋体"/>
          <w:kern w:val="0"/>
          <w:sz w:val="28"/>
        </w:rPr>
        <w:t>24</w:t>
      </w:r>
      <w:r>
        <w:rPr>
          <w:rFonts w:hint="eastAsia" w:ascii="宋体" w:hAnsi="宋体" w:cs="宋体"/>
          <w:kern w:val="0"/>
          <w:sz w:val="28"/>
        </w:rPr>
        <w:t>日第十二届全国人民代表大会常务委员会第十四次会议《关于修改〈中华人民共和国港口法〉等七部法律的决定》第一次修正　根据</w:t>
      </w:r>
      <w:r>
        <w:rPr>
          <w:rFonts w:ascii="宋体" w:hAnsi="宋体" w:cs="宋体"/>
          <w:kern w:val="0"/>
          <w:sz w:val="28"/>
        </w:rPr>
        <w:t>2019</w:t>
      </w:r>
      <w:r>
        <w:rPr>
          <w:rFonts w:hint="eastAsia" w:ascii="宋体" w:hAnsi="宋体" w:cs="宋体"/>
          <w:kern w:val="0"/>
          <w:sz w:val="28"/>
        </w:rPr>
        <w:t>年</w:t>
      </w:r>
      <w:r>
        <w:rPr>
          <w:rFonts w:ascii="宋体" w:hAnsi="宋体" w:cs="宋体"/>
          <w:kern w:val="0"/>
          <w:sz w:val="28"/>
        </w:rPr>
        <w:t>4</w:t>
      </w:r>
      <w:r>
        <w:rPr>
          <w:rFonts w:hint="eastAsia" w:ascii="宋体" w:hAnsi="宋体" w:cs="宋体"/>
          <w:kern w:val="0"/>
          <w:sz w:val="28"/>
        </w:rPr>
        <w:t>月</w:t>
      </w:r>
      <w:r>
        <w:rPr>
          <w:rFonts w:ascii="宋体" w:hAnsi="宋体" w:cs="宋体"/>
          <w:kern w:val="0"/>
          <w:sz w:val="28"/>
        </w:rPr>
        <w:t>23</w:t>
      </w:r>
      <w:r>
        <w:rPr>
          <w:rFonts w:hint="eastAsia" w:ascii="宋体" w:hAnsi="宋体" w:cs="宋体"/>
          <w:kern w:val="0"/>
          <w:sz w:val="28"/>
        </w:rPr>
        <w:t>日第十三届全国人民代表大会常务委员会第十次会议《关于修改〈中华人民共和国建筑法〉等八部法律的决定》第二次修正）。</w:t>
      </w:r>
    </w:p>
    <w:p>
      <w:pPr>
        <w:spacing w:line="360" w:lineRule="auto"/>
        <w:ind w:firstLine="560" w:firstLineChars="200"/>
        <w:rPr>
          <w:rFonts w:ascii="宋体" w:hAnsi="宋体" w:cs="宋体"/>
          <w:kern w:val="0"/>
          <w:sz w:val="28"/>
        </w:rPr>
      </w:pPr>
      <w:r>
        <w:rPr>
          <w:rFonts w:hint="eastAsia" w:ascii="宋体" w:hAnsi="宋体" w:cs="宋体"/>
          <w:kern w:val="0"/>
          <w:sz w:val="28"/>
        </w:rPr>
        <w:t>6、最高人民法院关于《人民法院确定财产处置参考价若干问题的规定》（法释〔2018〕15号,已于2018年6月4日由最高人民法院审判委员会第1741次会议通过，自2018年9月1日起施行）；</w:t>
      </w:r>
    </w:p>
    <w:p>
      <w:pPr>
        <w:spacing w:line="360" w:lineRule="auto"/>
        <w:ind w:firstLine="560" w:firstLineChars="200"/>
      </w:pPr>
      <w:r>
        <w:rPr>
          <w:rFonts w:hint="eastAsia" w:ascii="宋体" w:hAnsi="宋体" w:cs="宋体"/>
          <w:kern w:val="0"/>
          <w:sz w:val="28"/>
        </w:rPr>
        <w:t>7、最高人民法院办公厅关于印发《人民法院委托评估工作规范》的通知（法办〔2018〕273号，印发日期：2018年12月10日</w:t>
      </w:r>
      <w:r>
        <w:rPr>
          <w:rFonts w:ascii="宋体" w:hAnsi="宋体" w:cs="宋体"/>
          <w:kern w:val="0"/>
          <w:sz w:val="28"/>
        </w:rPr>
        <w:t>，自印发之日起施行）。</w:t>
      </w:r>
    </w:p>
    <w:p>
      <w:pPr>
        <w:spacing w:line="360" w:lineRule="auto"/>
        <w:rPr>
          <w:rFonts w:ascii="宋体" w:cs="宋体"/>
          <w:sz w:val="28"/>
        </w:rPr>
      </w:pPr>
      <w:r>
        <w:rPr>
          <w:rFonts w:ascii="宋体" w:hAnsi="宋体" w:cs="宋体"/>
          <w:sz w:val="28"/>
        </w:rPr>
        <w:t xml:space="preserve">  </w:t>
      </w:r>
      <w:r>
        <w:rPr>
          <w:rFonts w:hint="eastAsia" w:ascii="宋体" w:hAnsi="宋体" w:cs="宋体"/>
          <w:sz w:val="28"/>
          <w:szCs w:val="28"/>
        </w:rPr>
        <w:t>（二）</w:t>
      </w:r>
      <w:r>
        <w:rPr>
          <w:rFonts w:hint="eastAsia" w:ascii="宋体" w:hAnsi="宋体" w:cs="宋体"/>
          <w:sz w:val="28"/>
        </w:rPr>
        <w:t>有关估价技术标准依据</w:t>
      </w:r>
      <w:r>
        <w:rPr>
          <w:rFonts w:ascii="宋体" w:cs="宋体"/>
          <w:sz w:val="28"/>
        </w:rPr>
        <w:tab/>
      </w:r>
    </w:p>
    <w:p>
      <w:pPr>
        <w:spacing w:line="360" w:lineRule="auto"/>
        <w:ind w:firstLine="560" w:firstLineChars="200"/>
        <w:rPr>
          <w:rFonts w:ascii="宋体" w:cs="宋体"/>
          <w:sz w:val="28"/>
        </w:rPr>
      </w:pPr>
      <w:r>
        <w:rPr>
          <w:rFonts w:ascii="宋体" w:hAnsi="宋体" w:cs="宋体"/>
          <w:sz w:val="28"/>
        </w:rPr>
        <w:t>1</w:t>
      </w:r>
      <w:r>
        <w:rPr>
          <w:rFonts w:hint="eastAsia" w:ascii="宋体" w:hAnsi="宋体" w:cs="宋体"/>
          <w:sz w:val="28"/>
        </w:rPr>
        <w:t>、《房地产估价规范》（中华人民共和国国家标准</w:t>
      </w:r>
      <w:r>
        <w:rPr>
          <w:rFonts w:ascii="宋体" w:hAnsi="宋体" w:cs="宋体"/>
          <w:sz w:val="28"/>
        </w:rPr>
        <w:t>GB/T50291—2015</w:t>
      </w:r>
      <w:r>
        <w:rPr>
          <w:rFonts w:hint="eastAsia" w:ascii="宋体" w:hAnsi="宋体" w:cs="宋体"/>
          <w:sz w:val="28"/>
        </w:rPr>
        <w:t>）；</w:t>
      </w:r>
    </w:p>
    <w:p>
      <w:pPr>
        <w:spacing w:line="360" w:lineRule="auto"/>
        <w:ind w:firstLine="560" w:firstLineChars="200"/>
        <w:rPr>
          <w:rFonts w:ascii="宋体" w:cs="宋体"/>
          <w:sz w:val="28"/>
        </w:rPr>
      </w:pPr>
      <w:r>
        <w:rPr>
          <w:rFonts w:ascii="宋体" w:hAnsi="宋体" w:cs="宋体"/>
          <w:sz w:val="28"/>
        </w:rPr>
        <w:t>2</w:t>
      </w:r>
      <w:r>
        <w:rPr>
          <w:rFonts w:hint="eastAsia" w:ascii="宋体" w:hAnsi="宋体" w:cs="宋体"/>
          <w:sz w:val="28"/>
        </w:rPr>
        <w:t>、《房地产估价基本术语标准》（中华人民共和国国家标准</w:t>
      </w:r>
      <w:r>
        <w:rPr>
          <w:rFonts w:ascii="宋体" w:hAnsi="宋体" w:cs="宋体"/>
          <w:sz w:val="28"/>
        </w:rPr>
        <w:t>GB/T50899—2013</w:t>
      </w:r>
      <w:r>
        <w:rPr>
          <w:rFonts w:hint="eastAsia" w:ascii="宋体" w:hAnsi="宋体" w:cs="宋体"/>
          <w:sz w:val="28"/>
        </w:rPr>
        <w:t>）。</w:t>
      </w:r>
    </w:p>
    <w:p>
      <w:pPr>
        <w:spacing w:line="360" w:lineRule="auto"/>
        <w:ind w:firstLine="420" w:firstLineChars="150"/>
        <w:rPr>
          <w:rFonts w:ascii="宋体" w:cs="宋体"/>
          <w:sz w:val="28"/>
        </w:rPr>
      </w:pPr>
      <w:r>
        <w:rPr>
          <w:rFonts w:hint="eastAsia" w:ascii="宋体" w:hAnsi="宋体" w:cs="宋体"/>
          <w:sz w:val="28"/>
        </w:rPr>
        <w:t>（三）有关估价行为依据</w:t>
      </w:r>
    </w:p>
    <w:p>
      <w:pPr>
        <w:spacing w:line="360" w:lineRule="auto"/>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、《云南省临沧市中级人民法院委托书》（（</w:t>
      </w:r>
      <w:r>
        <w:rPr>
          <w:rFonts w:ascii="宋体" w:hAnsi="宋体" w:cs="宋体"/>
          <w:sz w:val="28"/>
          <w:szCs w:val="28"/>
        </w:rPr>
        <w:t>20</w:t>
      </w:r>
      <w:r>
        <w:rPr>
          <w:rFonts w:hint="eastAsia" w:ascii="宋体" w:hAnsi="宋体" w:cs="宋体"/>
          <w:sz w:val="28"/>
          <w:szCs w:val="28"/>
        </w:rPr>
        <w:t>21）云09执恢14号）；</w:t>
      </w:r>
    </w:p>
    <w:p>
      <w:pPr>
        <w:spacing w:line="360" w:lineRule="auto"/>
        <w:ind w:firstLine="560" w:firstLineChars="200"/>
        <w:rPr>
          <w:rFonts w:ascii="宋体" w:cs="宋体"/>
          <w:sz w:val="28"/>
        </w:rPr>
      </w:pPr>
      <w:r>
        <w:rPr>
          <w:rFonts w:ascii="宋体" w:hAnsi="宋体" w:cs="宋体"/>
          <w:sz w:val="28"/>
          <w:szCs w:val="28"/>
        </w:rPr>
        <w:t>2</w:t>
      </w:r>
      <w:r>
        <w:rPr>
          <w:rFonts w:hint="eastAsia" w:ascii="宋体" w:hAnsi="宋体" w:cs="宋体"/>
          <w:sz w:val="28"/>
          <w:szCs w:val="28"/>
        </w:rPr>
        <w:t>、</w:t>
      </w:r>
      <w:r>
        <w:rPr>
          <w:rStyle w:val="101"/>
          <w:rFonts w:hint="eastAsia" w:ascii="宋体" w:hAnsi="宋体" w:eastAsia="宋体" w:cs="宋体"/>
          <w:bCs/>
          <w:sz w:val="28"/>
          <w:szCs w:val="28"/>
        </w:rPr>
        <w:t>临沧市临翔区住房和城乡建设局提供的《临都上城19幢B单元房源信息登记表》</w:t>
      </w:r>
      <w:r>
        <w:rPr>
          <w:rFonts w:hint="eastAsia" w:ascii="宋体" w:hAnsi="宋体" w:cs="宋体"/>
          <w:sz w:val="28"/>
        </w:rPr>
        <w:t>；</w:t>
      </w:r>
    </w:p>
    <w:p>
      <w:pPr>
        <w:spacing w:line="360" w:lineRule="auto"/>
        <w:ind w:firstLine="560" w:firstLineChars="200"/>
        <w:rPr>
          <w:rFonts w:ascii="宋体" w:cs="宋体"/>
          <w:kern w:val="0"/>
          <w:sz w:val="28"/>
        </w:rPr>
      </w:pPr>
      <w:r>
        <w:rPr>
          <w:rFonts w:hint="eastAsia" w:ascii="宋体" w:hAnsi="宋体" w:cs="宋体"/>
          <w:kern w:val="0"/>
          <w:sz w:val="28"/>
        </w:rPr>
        <w:t>3、估价委托人提供的与本次估价相关的资料；</w:t>
      </w:r>
    </w:p>
    <w:p>
      <w:pPr>
        <w:spacing w:line="360" w:lineRule="auto"/>
        <w:ind w:firstLine="560" w:firstLineChars="200"/>
        <w:rPr>
          <w:rFonts w:ascii="宋体" w:cs="宋体"/>
          <w:kern w:val="0"/>
          <w:sz w:val="28"/>
        </w:rPr>
      </w:pPr>
      <w:r>
        <w:rPr>
          <w:rFonts w:hint="eastAsia" w:ascii="宋体" w:hAnsi="宋体" w:cs="宋体"/>
          <w:kern w:val="0"/>
          <w:sz w:val="28"/>
        </w:rPr>
        <w:t>4、申请执行人或被执行人提供或者补充提供的并经过人民法院认证过的评估所需基础资料；</w:t>
      </w:r>
    </w:p>
    <w:p>
      <w:pPr>
        <w:spacing w:line="360" w:lineRule="auto"/>
        <w:ind w:firstLine="560" w:firstLineChars="200"/>
        <w:rPr>
          <w:rFonts w:ascii="宋体" w:cs="宋体"/>
          <w:kern w:val="0"/>
          <w:sz w:val="28"/>
        </w:rPr>
      </w:pPr>
      <w:r>
        <w:rPr>
          <w:rFonts w:hint="eastAsia" w:ascii="宋体" w:hAnsi="宋体" w:cs="宋体"/>
          <w:kern w:val="0"/>
          <w:sz w:val="28"/>
        </w:rPr>
        <w:t>5、注册房地产估价师实地查勘记录及市场调查记录；</w:t>
      </w:r>
    </w:p>
    <w:p>
      <w:pPr>
        <w:spacing w:line="360" w:lineRule="auto"/>
        <w:ind w:firstLine="560" w:firstLineChars="200"/>
        <w:rPr>
          <w:rFonts w:ascii="宋体" w:cs="宋体"/>
          <w:sz w:val="28"/>
        </w:rPr>
      </w:pPr>
      <w:r>
        <w:rPr>
          <w:rFonts w:hint="eastAsia" w:ascii="宋体" w:hAnsi="宋体" w:cs="宋体"/>
          <w:sz w:val="28"/>
        </w:rPr>
        <w:t>6、</w:t>
      </w:r>
      <w:r>
        <w:rPr>
          <w:rFonts w:hint="eastAsia" w:ascii="宋体" w:hAnsi="宋体" w:cs="宋体"/>
          <w:sz w:val="28"/>
          <w:szCs w:val="28"/>
        </w:rPr>
        <w:t>房地产估价机构及</w:t>
      </w:r>
      <w:r>
        <w:rPr>
          <w:rFonts w:hint="eastAsia" w:ascii="宋体" w:hAnsi="宋体" w:cs="宋体"/>
          <w:sz w:val="28"/>
        </w:rPr>
        <w:t>注册房地产估价师市场调查、收集、整理的相关资料；</w:t>
      </w:r>
    </w:p>
    <w:p>
      <w:pPr>
        <w:spacing w:line="360" w:lineRule="auto"/>
        <w:ind w:firstLine="560" w:firstLineChars="200"/>
        <w:outlineLvl w:val="1"/>
        <w:rPr>
          <w:rFonts w:ascii="宋体" w:cs="宋体"/>
          <w:kern w:val="0"/>
          <w:sz w:val="28"/>
        </w:rPr>
      </w:pPr>
      <w:bookmarkStart w:id="639" w:name="_Toc5263"/>
      <w:bookmarkStart w:id="640" w:name="_Toc30035"/>
      <w:bookmarkStart w:id="641" w:name="_Toc31099"/>
      <w:bookmarkStart w:id="642" w:name="_Toc9070"/>
      <w:bookmarkStart w:id="643" w:name="_Toc12050"/>
      <w:bookmarkStart w:id="644" w:name="_Toc28519"/>
      <w:bookmarkStart w:id="645" w:name="_Toc24579"/>
      <w:bookmarkStart w:id="646" w:name="_Toc31497"/>
      <w:bookmarkStart w:id="647" w:name="_Toc22815"/>
      <w:bookmarkStart w:id="648" w:name="_Toc457982764"/>
      <w:bookmarkStart w:id="649" w:name="_Toc457982820"/>
      <w:bookmarkStart w:id="650" w:name="_Toc20034"/>
      <w:r>
        <w:rPr>
          <w:rFonts w:hint="eastAsia" w:ascii="宋体" w:hAnsi="宋体" w:cs="宋体"/>
          <w:sz w:val="28"/>
          <w:szCs w:val="28"/>
        </w:rPr>
        <w:t>7、房地产估价机构及</w:t>
      </w:r>
      <w:r>
        <w:rPr>
          <w:rFonts w:hint="eastAsia" w:ascii="宋体" w:hAnsi="宋体" w:cs="宋体"/>
          <w:sz w:val="28"/>
        </w:rPr>
        <w:t>注册房地产估价师</w:t>
      </w:r>
      <w:r>
        <w:rPr>
          <w:rFonts w:hint="eastAsia" w:ascii="宋体" w:hAnsi="宋体" w:cs="宋体"/>
          <w:kern w:val="0"/>
          <w:sz w:val="28"/>
        </w:rPr>
        <w:t>掌握和搜集的估价所需资料。</w:t>
      </w:r>
      <w:bookmarkEnd w:id="639"/>
      <w:bookmarkEnd w:id="640"/>
      <w:bookmarkEnd w:id="641"/>
      <w:bookmarkEnd w:id="642"/>
      <w:bookmarkEnd w:id="643"/>
      <w:bookmarkEnd w:id="644"/>
      <w:bookmarkEnd w:id="645"/>
      <w:bookmarkEnd w:id="646"/>
      <w:bookmarkEnd w:id="647"/>
      <w:bookmarkEnd w:id="648"/>
      <w:bookmarkEnd w:id="649"/>
      <w:bookmarkEnd w:id="650"/>
    </w:p>
    <w:p>
      <w:pPr>
        <w:spacing w:line="360" w:lineRule="auto"/>
        <w:ind w:firstLine="562" w:firstLineChars="200"/>
        <w:outlineLvl w:val="1"/>
        <w:rPr>
          <w:rFonts w:ascii="宋体" w:cs="宋体"/>
          <w:b/>
          <w:sz w:val="28"/>
          <w:szCs w:val="28"/>
        </w:rPr>
      </w:pPr>
      <w:bookmarkStart w:id="651" w:name="_Toc9166"/>
      <w:bookmarkStart w:id="652" w:name="_Toc13600"/>
      <w:bookmarkStart w:id="653" w:name="_Toc20814"/>
      <w:bookmarkStart w:id="654" w:name="_Toc13492"/>
      <w:bookmarkStart w:id="655" w:name="_Toc31163"/>
      <w:r>
        <w:rPr>
          <w:rFonts w:hint="eastAsia" w:ascii="宋体" w:hAnsi="宋体" w:cs="宋体"/>
          <w:b/>
          <w:sz w:val="28"/>
          <w:szCs w:val="28"/>
        </w:rPr>
        <w:t>九、估价程序</w:t>
      </w:r>
      <w:bookmarkEnd w:id="651"/>
      <w:bookmarkEnd w:id="652"/>
      <w:bookmarkEnd w:id="653"/>
      <w:bookmarkEnd w:id="654"/>
      <w:bookmarkEnd w:id="655"/>
    </w:p>
    <w:p>
      <w:pPr>
        <w:spacing w:line="640" w:lineRule="exact"/>
        <w:ind w:firstLine="560" w:firstLineChars="200"/>
        <w:jc w:val="left"/>
        <w:rPr>
          <w:rFonts w:ascii="宋体"/>
          <w:sz w:val="28"/>
          <w:szCs w:val="28"/>
        </w:rPr>
      </w:pPr>
      <w:r>
        <w:rPr>
          <w:rFonts w:ascii="宋体" w:hAnsi="宋体"/>
          <w:sz w:val="28"/>
          <w:szCs w:val="28"/>
        </w:rPr>
        <w:t>1</w:t>
      </w:r>
      <w:r>
        <w:rPr>
          <w:rFonts w:hint="eastAsia" w:ascii="宋体" w:hAnsi="宋体"/>
          <w:sz w:val="28"/>
          <w:szCs w:val="28"/>
        </w:rPr>
        <w:t>、受理估价委托：按照人民法院评估鉴定机构选定通知书，估价委托由房地产估价机构统一受理。判断分析评估对象属性，通过对照估价资质要求，具备法定评估资格，并通过职业道德分析及估价专业胜任能力分析后，决定受理委托的应依法受理，当存在估价资质不具备、存在利害关系、专业胜任能力不足等原因的，应当向委托选定的人民法院提交书面拒绝接受委托的证明文件。</w:t>
      </w:r>
    </w:p>
    <w:p>
      <w:pPr>
        <w:autoSpaceDE w:val="0"/>
        <w:spacing w:line="360" w:lineRule="auto"/>
        <w:ind w:firstLine="560" w:firstLineChars="200"/>
        <w:rPr>
          <w:rFonts w:ascii="宋体"/>
          <w:bCs/>
          <w:sz w:val="28"/>
          <w:szCs w:val="28"/>
        </w:rPr>
      </w:pPr>
      <w:r>
        <w:rPr>
          <w:rFonts w:ascii="宋体" w:hAnsi="宋体"/>
          <w:sz w:val="28"/>
          <w:szCs w:val="28"/>
        </w:rPr>
        <w:t>2</w:t>
      </w:r>
      <w:r>
        <w:rPr>
          <w:rFonts w:hint="eastAsia" w:ascii="宋体" w:hAnsi="宋体"/>
          <w:sz w:val="28"/>
          <w:szCs w:val="28"/>
        </w:rPr>
        <w:t>、确定估价基本事项：</w:t>
      </w:r>
      <w:r>
        <w:rPr>
          <w:rFonts w:hint="eastAsia" w:ascii="宋体" w:hAnsi="宋体"/>
          <w:bCs/>
          <w:sz w:val="28"/>
          <w:szCs w:val="28"/>
        </w:rPr>
        <w:t>根据估价委托书明确以下基本事项：估价项目、估价目的、估价范围、价值时点、估价对象、价值类型、估价假设和限制条件、估价委托人、申请（执行）人、被申请（执行）人、估价利害关系人、估价报告使用人等相关当事方及其相互关系以及具体估价项目的基本情况。</w:t>
      </w:r>
    </w:p>
    <w:p>
      <w:pPr>
        <w:autoSpaceDE w:val="0"/>
        <w:spacing w:line="360" w:lineRule="auto"/>
        <w:ind w:firstLine="560" w:firstLineChars="200"/>
        <w:rPr>
          <w:rFonts w:ascii="宋体"/>
          <w:bCs/>
          <w:sz w:val="28"/>
          <w:szCs w:val="28"/>
        </w:rPr>
      </w:pPr>
      <w:r>
        <w:rPr>
          <w:rFonts w:ascii="宋体" w:hAnsi="宋体"/>
          <w:sz w:val="28"/>
          <w:szCs w:val="28"/>
        </w:rPr>
        <w:t>3</w:t>
      </w:r>
      <w:r>
        <w:rPr>
          <w:rFonts w:hint="eastAsia" w:ascii="宋体" w:hAnsi="宋体"/>
          <w:sz w:val="28"/>
          <w:szCs w:val="28"/>
        </w:rPr>
        <w:t>、编制估价作业方案：</w:t>
      </w:r>
      <w:r>
        <w:rPr>
          <w:rFonts w:hint="eastAsia" w:ascii="宋体" w:hAnsi="宋体"/>
          <w:bCs/>
          <w:sz w:val="28"/>
          <w:szCs w:val="28"/>
        </w:rPr>
        <w:t>估价作业方案是指为完成特定估价项目而制定的用于指导未来估价工作的计划，包括工作的主要内容、质量要求、作业步骤、时间进度、人员安排、经费保障等。根据估价业务的性质和复杂程度制定估价计划，对拟采用的估价技术路线和估价方法进行适用性分析，对拟搜集的估价所需资料及其来源渠道做出了合理部署，对估价进度、人员安排、费用预算、是否需要专家帮助等估价业务的全过程进行合理时间安排和工作配合安排。同时，与估价委托人就估价计划的要点和重要环节进行沟通对接，协商并保障计划的实施。</w:t>
      </w:r>
    </w:p>
    <w:p>
      <w:pPr>
        <w:autoSpaceDE w:val="0"/>
        <w:spacing w:line="360" w:lineRule="auto"/>
        <w:ind w:firstLine="560" w:firstLineChars="200"/>
        <w:rPr>
          <w:rFonts w:ascii="宋体"/>
          <w:bCs/>
          <w:sz w:val="28"/>
          <w:szCs w:val="28"/>
        </w:rPr>
      </w:pPr>
      <w:r>
        <w:rPr>
          <w:rFonts w:ascii="宋体" w:hAnsi="宋体"/>
          <w:sz w:val="28"/>
          <w:szCs w:val="28"/>
        </w:rPr>
        <w:t>4</w:t>
      </w:r>
      <w:r>
        <w:rPr>
          <w:rFonts w:hint="eastAsia" w:ascii="宋体" w:hAnsi="宋体"/>
          <w:sz w:val="28"/>
          <w:szCs w:val="28"/>
        </w:rPr>
        <w:t>、搜集估价所需资料：</w:t>
      </w:r>
      <w:r>
        <w:rPr>
          <w:rFonts w:hint="eastAsia" w:ascii="宋体" w:hAnsi="宋体"/>
          <w:bCs/>
          <w:sz w:val="28"/>
          <w:szCs w:val="28"/>
        </w:rPr>
        <w:t>注册房地产估价师根据房地产估价的有关原则和规定，充分收集与估价业务相关的信息资料：指导有关人员进行清查，填报清查申报评估明细表；收集估价所需基础资料，听取有关人员对估价项目的历史和现状介绍；与估价项目的管理人员进行交谈，了解估价项目的运营、管养状况；</w:t>
      </w:r>
      <w:r>
        <w:rPr>
          <w:rFonts w:ascii="宋体" w:hAnsi="宋体"/>
          <w:bCs/>
          <w:sz w:val="28"/>
          <w:szCs w:val="28"/>
        </w:rPr>
        <w:t xml:space="preserve"> </w:t>
      </w:r>
      <w:r>
        <w:rPr>
          <w:rFonts w:hint="eastAsia" w:ascii="宋体" w:hAnsi="宋体"/>
          <w:bCs/>
          <w:sz w:val="28"/>
          <w:szCs w:val="28"/>
        </w:rPr>
        <w:t>查验估价对象的产权证明文件等资料。注册房地产估价师结合本估价项目的实际情况，对房地产价格有普遍影响的资料、对估价对象所在区位的房地产价格有影响的资料、对相关房地产交易及成本和收益实例资料、对反映估价对象状况的资料等进行搜集，对估价所需资料进行分析和整理，并实施核查与验证。</w:t>
      </w:r>
      <w:r>
        <w:rPr>
          <w:rFonts w:ascii="宋体" w:hAnsi="宋体"/>
          <w:bCs/>
          <w:sz w:val="28"/>
          <w:szCs w:val="28"/>
        </w:rPr>
        <w:t xml:space="preserve"> </w:t>
      </w:r>
    </w:p>
    <w:p>
      <w:pPr>
        <w:autoSpaceDE w:val="0"/>
        <w:spacing w:line="360" w:lineRule="auto"/>
        <w:ind w:firstLine="560" w:firstLineChars="200"/>
        <w:rPr>
          <w:rFonts w:ascii="宋体"/>
          <w:bCs/>
          <w:sz w:val="28"/>
          <w:szCs w:val="28"/>
        </w:rPr>
      </w:pPr>
      <w:r>
        <w:rPr>
          <w:rFonts w:ascii="宋体" w:hAnsi="宋体"/>
          <w:sz w:val="28"/>
          <w:szCs w:val="28"/>
        </w:rPr>
        <w:t>5</w:t>
      </w:r>
      <w:r>
        <w:rPr>
          <w:rFonts w:hint="eastAsia" w:ascii="宋体" w:hAnsi="宋体"/>
          <w:sz w:val="28"/>
          <w:szCs w:val="28"/>
        </w:rPr>
        <w:t>、实地查勘估价对象：</w:t>
      </w:r>
      <w:r>
        <w:rPr>
          <w:rFonts w:hint="eastAsia" w:ascii="宋体" w:hAnsi="宋体"/>
          <w:bCs/>
          <w:sz w:val="28"/>
          <w:szCs w:val="28"/>
        </w:rPr>
        <w:t>注册房地产估价师按照估价工作计划到估价对象实地现场，亲身感受估价对象的位置、周围环境、景观的优劣，实地查勘估价对象的外观、建筑结构、装饰装修、运行设施设备等状况，并对事先收集的有关估价对象的坐落、四至、面积、产权等资料进行核实，对估价范围内的具体估价项目进行查勘、核实及验证，对估价项目状况进行勘验、记录，同时搜集补充估价所需的其他资料，以及对估价对象及其周围环境或临路状况进行拍照或留存摄影摄像资料等。</w:t>
      </w:r>
    </w:p>
    <w:p>
      <w:pPr>
        <w:autoSpaceDE w:val="0"/>
        <w:spacing w:line="360" w:lineRule="auto"/>
        <w:ind w:firstLine="560" w:firstLineChars="200"/>
        <w:rPr>
          <w:rFonts w:ascii="宋体"/>
          <w:bCs/>
          <w:sz w:val="28"/>
          <w:szCs w:val="28"/>
        </w:rPr>
      </w:pPr>
      <w:r>
        <w:rPr>
          <w:rFonts w:ascii="宋体" w:hAnsi="宋体"/>
          <w:sz w:val="28"/>
          <w:szCs w:val="28"/>
        </w:rPr>
        <w:t>6</w:t>
      </w:r>
      <w:r>
        <w:rPr>
          <w:rFonts w:hint="eastAsia" w:ascii="宋体" w:hAnsi="宋体"/>
          <w:sz w:val="28"/>
          <w:szCs w:val="28"/>
        </w:rPr>
        <w:t>、选用估价方法进行测算：</w:t>
      </w:r>
      <w:r>
        <w:rPr>
          <w:rFonts w:hint="eastAsia" w:ascii="宋体" w:hAnsi="宋体"/>
          <w:bCs/>
          <w:sz w:val="28"/>
          <w:szCs w:val="28"/>
        </w:rPr>
        <w:t>根据估价对象的实际状况和特点，开展市场调研、询价工作，收集相关政策规定和市场信息资料，根据选用的估价方法，收集市场交易实例及可比实例资料，市场租金可比交易实例、租金收益资料等；按确定的估价方法及规定的计算公式，进行详细的评定估算；根据注册房地产估价师的初步估价结果，进行估价结论分析工作；确认估价工作中有没有发生评估差错、重复和漏评的情况，</w:t>
      </w:r>
      <w:r>
        <w:rPr>
          <w:rFonts w:hint="eastAsia" w:ascii="宋体" w:hAnsi="宋体"/>
          <w:kern w:val="0"/>
          <w:sz w:val="28"/>
        </w:rPr>
        <w:t>充分考虑和关注是否存在未能在综合评估测算结果中反映的价值或价格的影响因素</w:t>
      </w:r>
      <w:r>
        <w:rPr>
          <w:rFonts w:hint="eastAsia" w:ascii="宋体" w:hAnsi="宋体"/>
          <w:bCs/>
          <w:sz w:val="28"/>
          <w:szCs w:val="28"/>
        </w:rPr>
        <w:t>，并根据估价结论分析情况，对估价结果进行修正和完善。</w:t>
      </w:r>
    </w:p>
    <w:p>
      <w:pPr>
        <w:autoSpaceDE w:val="0"/>
        <w:spacing w:line="360" w:lineRule="auto"/>
        <w:ind w:firstLine="560" w:firstLineChars="200"/>
        <w:rPr>
          <w:rFonts w:ascii="宋体"/>
          <w:bCs/>
          <w:sz w:val="28"/>
          <w:szCs w:val="28"/>
        </w:rPr>
      </w:pPr>
      <w:r>
        <w:rPr>
          <w:rFonts w:ascii="宋体" w:hAnsi="宋体"/>
          <w:sz w:val="28"/>
          <w:szCs w:val="28"/>
        </w:rPr>
        <w:t>7</w:t>
      </w:r>
      <w:r>
        <w:rPr>
          <w:rFonts w:hint="eastAsia" w:ascii="宋体" w:hAnsi="宋体"/>
          <w:sz w:val="28"/>
          <w:szCs w:val="28"/>
        </w:rPr>
        <w:t>、确定估价结果：</w:t>
      </w:r>
      <w:r>
        <w:rPr>
          <w:rFonts w:hint="eastAsia" w:ascii="宋体" w:hAnsi="宋体"/>
          <w:bCs/>
          <w:sz w:val="28"/>
          <w:szCs w:val="28"/>
        </w:rPr>
        <w:t>注册房地产估价师根据估价结论分析情况，对估价结果进行修正和完善后，通过对所选用的不同的估价方法进行评定估算的结果进行分析判断，分析不同估价方法得出结果的差异以及原因，根据客观实际情况分别赋予权重值，并充分说明确定依据和理由，最终确定估价结果。</w:t>
      </w:r>
    </w:p>
    <w:p>
      <w:pPr>
        <w:autoSpaceDE w:val="0"/>
        <w:spacing w:line="360" w:lineRule="auto"/>
        <w:ind w:firstLine="560" w:firstLineChars="200"/>
        <w:rPr>
          <w:sz w:val="28"/>
          <w:szCs w:val="28"/>
        </w:rPr>
      </w:pPr>
      <w:r>
        <w:rPr>
          <w:rFonts w:ascii="宋体" w:hAnsi="宋体"/>
          <w:sz w:val="28"/>
          <w:szCs w:val="28"/>
        </w:rPr>
        <w:t>8</w:t>
      </w:r>
      <w:r>
        <w:rPr>
          <w:rFonts w:hint="eastAsia" w:ascii="宋体" w:hAnsi="宋体"/>
          <w:sz w:val="28"/>
          <w:szCs w:val="28"/>
        </w:rPr>
        <w:t>、撰写估价报告：</w:t>
      </w:r>
      <w:r>
        <w:rPr>
          <w:rFonts w:hint="eastAsia"/>
          <w:sz w:val="28"/>
          <w:szCs w:val="28"/>
        </w:rPr>
        <w:t>依据《房地产估价规范》</w:t>
      </w:r>
      <w:r>
        <w:rPr>
          <w:rFonts w:hint="eastAsia" w:ascii="宋体" w:hAnsi="宋体" w:cs="宋体"/>
          <w:kern w:val="0"/>
          <w:sz w:val="28"/>
        </w:rPr>
        <w:t>（</w:t>
      </w:r>
      <w:r>
        <w:rPr>
          <w:rFonts w:ascii="宋体" w:hAnsi="宋体" w:cs="宋体"/>
          <w:kern w:val="0"/>
          <w:sz w:val="28"/>
        </w:rPr>
        <w:t>GB/T 50291—2015</w:t>
      </w:r>
      <w:r>
        <w:rPr>
          <w:rFonts w:hint="eastAsia" w:ascii="宋体" w:hAnsi="宋体" w:cs="宋体"/>
          <w:kern w:val="0"/>
          <w:sz w:val="28"/>
        </w:rPr>
        <w:t>）</w:t>
      </w:r>
      <w:r>
        <w:rPr>
          <w:rFonts w:hint="eastAsia"/>
          <w:sz w:val="28"/>
          <w:szCs w:val="28"/>
        </w:rPr>
        <w:t>，按照选定的估价技术路线以及经过适用性分析后选用的估价方法撰写估价报告。</w:t>
      </w:r>
    </w:p>
    <w:p>
      <w:pPr>
        <w:autoSpaceDE w:val="0"/>
        <w:spacing w:line="360" w:lineRule="auto"/>
        <w:ind w:firstLine="560" w:firstLineChars="200"/>
        <w:rPr>
          <w:rFonts w:ascii="宋体"/>
          <w:sz w:val="28"/>
          <w:szCs w:val="28"/>
        </w:rPr>
      </w:pPr>
      <w:r>
        <w:rPr>
          <w:rFonts w:ascii="宋体" w:hAnsi="宋体"/>
          <w:sz w:val="28"/>
          <w:szCs w:val="28"/>
        </w:rPr>
        <w:t>9</w:t>
      </w:r>
      <w:r>
        <w:rPr>
          <w:rFonts w:hint="eastAsia" w:ascii="宋体" w:hAnsi="宋体"/>
          <w:sz w:val="28"/>
          <w:szCs w:val="28"/>
        </w:rPr>
        <w:t>、审核估价报告：估价报告质量审核采取一二三级交叉审核制度，</w:t>
      </w:r>
      <w:r>
        <w:rPr>
          <w:rFonts w:hint="eastAsia"/>
          <w:sz w:val="28"/>
          <w:szCs w:val="28"/>
        </w:rPr>
        <w:t>注册房地产估价师覃新生出具估价报告初稿，并进行一级初审；注册房地产估价师孙玲进行进行二级审核；注册房地产估价师邓跃章（</w:t>
      </w:r>
      <w:r>
        <w:rPr>
          <w:rFonts w:hint="eastAsia" w:ascii="宋体" w:hAnsi="宋体"/>
          <w:sz w:val="28"/>
          <w:szCs w:val="28"/>
        </w:rPr>
        <w:t>评估机构法定代表人</w:t>
      </w:r>
      <w:r>
        <w:rPr>
          <w:rFonts w:hint="eastAsia"/>
          <w:sz w:val="28"/>
          <w:szCs w:val="28"/>
        </w:rPr>
        <w:t>）</w:t>
      </w:r>
      <w:r>
        <w:rPr>
          <w:rFonts w:hint="eastAsia" w:ascii="宋体" w:hAnsi="宋体"/>
          <w:sz w:val="28"/>
          <w:szCs w:val="28"/>
        </w:rPr>
        <w:t>进行三级最终审核，最后经公司法定代表人批准后签发正式估价报告。</w:t>
      </w:r>
    </w:p>
    <w:p>
      <w:pPr>
        <w:spacing w:line="640" w:lineRule="exact"/>
        <w:ind w:firstLine="560" w:firstLineChars="200"/>
        <w:jc w:val="left"/>
        <w:rPr>
          <w:rFonts w:ascii="宋体"/>
          <w:sz w:val="28"/>
          <w:szCs w:val="28"/>
        </w:rPr>
      </w:pPr>
      <w:r>
        <w:rPr>
          <w:rFonts w:ascii="宋体" w:hAnsi="宋体"/>
          <w:sz w:val="28"/>
          <w:szCs w:val="28"/>
        </w:rPr>
        <w:t>10</w:t>
      </w:r>
      <w:r>
        <w:rPr>
          <w:rFonts w:hint="eastAsia" w:ascii="宋体" w:hAnsi="宋体"/>
          <w:sz w:val="28"/>
          <w:szCs w:val="28"/>
        </w:rPr>
        <w:t>、交付估价报告：估价报告经过承办该估价项目的两名</w:t>
      </w:r>
      <w:r>
        <w:rPr>
          <w:rFonts w:hint="eastAsia"/>
          <w:sz w:val="28"/>
          <w:szCs w:val="28"/>
        </w:rPr>
        <w:t>注册房地产估价师</w:t>
      </w:r>
      <w:r>
        <w:rPr>
          <w:rFonts w:hint="eastAsia" w:ascii="宋体" w:hAnsi="宋体"/>
          <w:sz w:val="28"/>
          <w:szCs w:val="28"/>
        </w:rPr>
        <w:t>亲笔签名、并注明签名日期、加盖</w:t>
      </w:r>
      <w:r>
        <w:rPr>
          <w:rFonts w:hint="eastAsia"/>
          <w:sz w:val="28"/>
          <w:szCs w:val="28"/>
        </w:rPr>
        <w:t>房地产估价师执业注册专用章、</w:t>
      </w:r>
      <w:r>
        <w:rPr>
          <w:rFonts w:hint="eastAsia" w:ascii="宋体" w:hAnsi="宋体"/>
          <w:sz w:val="28"/>
          <w:szCs w:val="28"/>
        </w:rPr>
        <w:t>加盖评估机构行政公章后送达估价委托人。</w:t>
      </w:r>
    </w:p>
    <w:p>
      <w:pPr>
        <w:spacing w:line="360" w:lineRule="auto"/>
        <w:ind w:left="-1" w:firstLine="560" w:firstLineChars="200"/>
        <w:rPr>
          <w:rFonts w:ascii="宋体"/>
          <w:sz w:val="28"/>
          <w:szCs w:val="28"/>
        </w:rPr>
      </w:pPr>
      <w:r>
        <w:rPr>
          <w:rFonts w:ascii="宋体" w:hAnsi="宋体"/>
          <w:sz w:val="28"/>
          <w:szCs w:val="28"/>
        </w:rPr>
        <w:t>11</w:t>
      </w:r>
      <w:r>
        <w:rPr>
          <w:rFonts w:hint="eastAsia" w:ascii="宋体" w:hAnsi="宋体"/>
          <w:sz w:val="28"/>
          <w:szCs w:val="28"/>
        </w:rPr>
        <w:t>、保存估价资料：完成并出具估价报告后，对有关该估价项目形成的一切必要资料形成工作底稿，进行整理、归档，按照资产评估法及国家相关法律法规规定立卷、存入估价档案并妥善保管。</w:t>
      </w:r>
    </w:p>
    <w:p>
      <w:pPr>
        <w:spacing w:line="360" w:lineRule="auto"/>
        <w:ind w:firstLine="562" w:firstLineChars="200"/>
        <w:outlineLvl w:val="1"/>
        <w:rPr>
          <w:rFonts w:ascii="宋体" w:cs="宋体"/>
          <w:b/>
          <w:sz w:val="28"/>
          <w:szCs w:val="28"/>
        </w:rPr>
      </w:pPr>
      <w:bookmarkStart w:id="656" w:name="_Toc18852"/>
      <w:bookmarkStart w:id="657" w:name="_Toc378495840"/>
      <w:bookmarkStart w:id="658" w:name="_Toc355786941"/>
      <w:bookmarkStart w:id="659" w:name="_Toc29376"/>
      <w:bookmarkStart w:id="660" w:name="_Toc19809"/>
      <w:bookmarkStart w:id="661" w:name="_Toc28905"/>
      <w:bookmarkStart w:id="662" w:name="_Toc12549"/>
      <w:bookmarkStart w:id="663" w:name="_Toc17754"/>
      <w:bookmarkStart w:id="664" w:name="_Toc16359"/>
      <w:bookmarkStart w:id="665" w:name="_Toc23072"/>
      <w:bookmarkStart w:id="666" w:name="_Toc378591267"/>
      <w:bookmarkStart w:id="667" w:name="_Toc14402"/>
      <w:bookmarkStart w:id="668" w:name="_Toc3957"/>
      <w:bookmarkStart w:id="669" w:name="_Toc27387"/>
      <w:bookmarkStart w:id="670" w:name="_Toc378590557"/>
      <w:bookmarkStart w:id="671" w:name="_Toc404084881"/>
      <w:bookmarkStart w:id="672" w:name="_Toc378591672"/>
      <w:bookmarkStart w:id="673" w:name="_Toc357774370"/>
      <w:r>
        <w:rPr>
          <w:rFonts w:hint="eastAsia" w:ascii="宋体" w:hAnsi="宋体" w:cs="宋体"/>
          <w:b/>
          <w:sz w:val="28"/>
          <w:szCs w:val="28"/>
        </w:rPr>
        <w:t>十、估价方法</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adjustRightInd w:val="0"/>
        <w:snapToGrid w:val="0"/>
        <w:spacing w:line="360" w:lineRule="auto"/>
        <w:ind w:firstLine="560"/>
        <w:rPr>
          <w:rFonts w:ascii="宋体" w:hAnsi="宋体" w:cs="宋体"/>
          <w:kern w:val="0"/>
          <w:sz w:val="28"/>
        </w:rPr>
      </w:pPr>
      <w:bookmarkStart w:id="674" w:name="_Toc378591268"/>
      <w:bookmarkStart w:id="675" w:name="_Toc378495841"/>
      <w:bookmarkStart w:id="676" w:name="_Toc357774371"/>
      <w:bookmarkStart w:id="677" w:name="_Toc355786943"/>
      <w:bookmarkStart w:id="678" w:name="_Toc378590558"/>
      <w:bookmarkStart w:id="679" w:name="_Toc378591673"/>
      <w:r>
        <w:rPr>
          <w:rFonts w:hint="eastAsia" w:ascii="宋体" w:hAnsi="宋体" w:cs="宋体"/>
          <w:kern w:val="0"/>
          <w:sz w:val="28"/>
        </w:rPr>
        <w:t>（一）</w:t>
      </w:r>
      <w:r>
        <w:rPr>
          <w:rFonts w:ascii="宋体" w:hAnsi="宋体" w:cs="宋体"/>
          <w:kern w:val="0"/>
          <w:sz w:val="28"/>
        </w:rPr>
        <w:t>选择估价方法</w:t>
      </w:r>
    </w:p>
    <w:p>
      <w:pPr>
        <w:adjustRightInd w:val="0"/>
        <w:snapToGrid w:val="0"/>
        <w:spacing w:line="360" w:lineRule="auto"/>
        <w:ind w:firstLine="560"/>
        <w:rPr>
          <w:rFonts w:ascii="宋体" w:cs="宋体"/>
          <w:kern w:val="0"/>
          <w:sz w:val="28"/>
        </w:rPr>
      </w:pPr>
      <w:r>
        <w:rPr>
          <w:rFonts w:hint="eastAsia" w:ascii="宋体" w:hAnsi="宋体" w:cs="宋体"/>
          <w:kern w:val="0"/>
          <w:sz w:val="28"/>
        </w:rPr>
        <w:t>估价方法通常有比较法、收益法、成本法、假设开发法等。估价方法的适用范围：估价对象的同类房地产有较多交易的，应选用比较法；估价对象或同类房地产通常有租金等经济收入的，应选用收益法；当估价对象的同类房地产没有交易或交易很少，且估价对象或同类房地产没有租金等经济收入时，应选用成本法；估价对象具有开发或再开发潜力且开发完成后的价值可采用除成本法以外的方法测算的，应选用假设开发法。</w:t>
      </w:r>
    </w:p>
    <w:p>
      <w:pPr>
        <w:adjustRightInd w:val="0"/>
        <w:snapToGrid w:val="0"/>
        <w:spacing w:line="360" w:lineRule="auto"/>
        <w:ind w:firstLine="560"/>
        <w:rPr>
          <w:rFonts w:ascii="宋体" w:cs="宋体"/>
          <w:kern w:val="0"/>
          <w:sz w:val="28"/>
        </w:rPr>
      </w:pPr>
      <w:r>
        <w:rPr>
          <w:rFonts w:hint="eastAsia" w:ascii="宋体" w:hAnsi="宋体" w:cs="宋体"/>
          <w:kern w:val="0"/>
          <w:sz w:val="28"/>
        </w:rPr>
        <w:t>当估价对象仅适用一种估价方法进行估价时，可只选用一种估价方法进行估价。当估价对象适用两种或两种以上估价方法进行估价时，宜同时选用所有适用的估价方法进行估价，不得随意取舍；当必须取舍时，应在估价报告中说明并陈述理由。</w:t>
      </w:r>
    </w:p>
    <w:p>
      <w:pPr>
        <w:adjustRightInd w:val="0"/>
        <w:snapToGrid w:val="0"/>
        <w:spacing w:line="360" w:lineRule="auto"/>
        <w:ind w:firstLine="420" w:firstLineChars="150"/>
        <w:rPr>
          <w:rFonts w:ascii="宋体" w:hAnsi="宋体" w:cs="宋体"/>
          <w:kern w:val="0"/>
          <w:sz w:val="28"/>
        </w:rPr>
      </w:pPr>
      <w:r>
        <w:rPr>
          <w:rFonts w:hint="eastAsia" w:ascii="宋体" w:hAnsi="宋体" w:cs="宋体"/>
          <w:kern w:val="0"/>
          <w:sz w:val="28"/>
        </w:rPr>
        <w:t>根据估价对象的实际状况、估价目的、价值类型及委托估价人对估价报告的预期用途，结合估价基础资料和注册房地产估价师实地查勘及对周边区域的市场调查，通过掌握和搜集整理得到的估价资料，通过估价技术路线制定和估价技术思路运用，本次估价决定选用假设开发法对估价对象进行评估，同时在确定估价对象房地产开发完成后的价值时采用比较法和收益法进行评估。</w:t>
      </w:r>
    </w:p>
    <w:p>
      <w:pPr>
        <w:pStyle w:val="26"/>
        <w:spacing w:after="0" w:line="360" w:lineRule="auto"/>
        <w:ind w:firstLine="560" w:firstLineChars="200"/>
        <w:rPr>
          <w:rFonts w:ascii="宋体" w:hAnsi="宋体" w:cs="宋体"/>
          <w:sz w:val="28"/>
        </w:rPr>
      </w:pPr>
      <w:r>
        <w:rPr>
          <w:rFonts w:ascii="宋体" w:hAnsi="宋体" w:cs="宋体"/>
          <w:sz w:val="28"/>
        </w:rPr>
        <w:t>（</w:t>
      </w:r>
      <w:r>
        <w:rPr>
          <w:rFonts w:hint="eastAsia" w:ascii="宋体" w:hAnsi="宋体" w:cs="宋体"/>
          <w:sz w:val="28"/>
        </w:rPr>
        <w:t>1</w:t>
      </w:r>
      <w:r>
        <w:rPr>
          <w:rFonts w:ascii="宋体" w:hAnsi="宋体" w:cs="宋体"/>
          <w:sz w:val="28"/>
        </w:rPr>
        <w:t>）</w:t>
      </w:r>
      <w:r>
        <w:rPr>
          <w:rFonts w:hint="eastAsia" w:ascii="宋体" w:hAnsi="宋体" w:cs="宋体"/>
          <w:sz w:val="28"/>
        </w:rPr>
        <w:t>假设开发法：</w:t>
      </w:r>
    </w:p>
    <w:p>
      <w:pPr>
        <w:pStyle w:val="26"/>
        <w:numPr>
          <w:ilvl w:val="0"/>
          <w:numId w:val="3"/>
        </w:numPr>
        <w:spacing w:after="0" w:line="360" w:lineRule="auto"/>
        <w:rPr>
          <w:rFonts w:ascii="宋体" w:hAnsi="宋体" w:cs="宋体"/>
          <w:sz w:val="28"/>
        </w:rPr>
      </w:pPr>
      <w:r>
        <w:rPr>
          <w:rFonts w:hint="eastAsia" w:ascii="宋体" w:hAnsi="宋体" w:cs="宋体"/>
          <w:sz w:val="28"/>
        </w:rPr>
        <w:t>选择静态分析法</w:t>
      </w:r>
    </w:p>
    <w:p>
      <w:pPr>
        <w:pStyle w:val="26"/>
        <w:numPr>
          <w:ilvl w:val="0"/>
          <w:numId w:val="3"/>
        </w:numPr>
        <w:spacing w:after="0" w:line="360" w:lineRule="auto"/>
        <w:rPr>
          <w:rFonts w:ascii="宋体" w:hAnsi="宋体" w:cs="宋体"/>
          <w:sz w:val="28"/>
        </w:rPr>
      </w:pPr>
      <w:r>
        <w:rPr>
          <w:rFonts w:hint="eastAsia" w:ascii="宋体" w:hAnsi="宋体" w:cs="宋体"/>
          <w:sz w:val="28"/>
        </w:rPr>
        <w:t>选择被迫转让开发为估价前提</w:t>
      </w:r>
    </w:p>
    <w:p>
      <w:pPr>
        <w:pStyle w:val="26"/>
        <w:numPr>
          <w:ilvl w:val="0"/>
          <w:numId w:val="3"/>
        </w:numPr>
        <w:spacing w:after="0" w:line="360" w:lineRule="auto"/>
        <w:rPr>
          <w:rFonts w:ascii="宋体" w:hAnsi="宋体" w:cs="宋体"/>
          <w:sz w:val="28"/>
        </w:rPr>
      </w:pPr>
      <w:r>
        <w:rPr>
          <w:rFonts w:hint="eastAsia" w:ascii="宋体" w:hAnsi="宋体" w:cs="宋体"/>
          <w:sz w:val="28"/>
        </w:rPr>
        <w:t>选择最佳开发经营方式：1层单独用作商业用房、5层以上用作单套酒店用房</w:t>
      </w:r>
    </w:p>
    <w:p>
      <w:pPr>
        <w:pStyle w:val="26"/>
        <w:numPr>
          <w:ilvl w:val="0"/>
          <w:numId w:val="3"/>
        </w:numPr>
        <w:spacing w:after="0" w:line="360" w:lineRule="auto"/>
        <w:rPr>
          <w:rFonts w:ascii="宋体" w:hAnsi="宋体" w:cs="宋体"/>
          <w:sz w:val="28"/>
        </w:rPr>
      </w:pPr>
      <w:r>
        <w:rPr>
          <w:rFonts w:hint="eastAsia" w:ascii="宋体" w:hAnsi="宋体" w:cs="宋体"/>
          <w:sz w:val="28"/>
        </w:rPr>
        <w:t>测算开发完成后的价值</w:t>
      </w:r>
    </w:p>
    <w:p>
      <w:pPr>
        <w:pStyle w:val="26"/>
        <w:numPr>
          <w:ilvl w:val="0"/>
          <w:numId w:val="3"/>
        </w:numPr>
        <w:spacing w:after="0" w:line="360" w:lineRule="auto"/>
        <w:rPr>
          <w:rFonts w:ascii="宋体" w:hAnsi="宋体" w:cs="宋体"/>
          <w:sz w:val="28"/>
        </w:rPr>
      </w:pPr>
      <w:r>
        <w:rPr>
          <w:rFonts w:hint="eastAsia" w:ascii="宋体" w:hAnsi="宋体" w:cs="宋体"/>
          <w:sz w:val="28"/>
        </w:rPr>
        <w:t>测算后续开发的必要支出</w:t>
      </w:r>
      <w:r>
        <w:rPr>
          <w:rFonts w:hint="eastAsia" w:ascii="宋体" w:hAnsi="宋体" w:cs="宋体"/>
          <w:kern w:val="2"/>
          <w:sz w:val="28"/>
          <w:szCs w:val="28"/>
        </w:rPr>
        <w:t>及应得利润</w:t>
      </w:r>
    </w:p>
    <w:p>
      <w:pPr>
        <w:pStyle w:val="26"/>
        <w:numPr>
          <w:ilvl w:val="0"/>
          <w:numId w:val="3"/>
        </w:numPr>
        <w:spacing w:after="0" w:line="360" w:lineRule="auto"/>
        <w:rPr>
          <w:rFonts w:ascii="宋体" w:hAnsi="宋体" w:cs="宋体"/>
          <w:sz w:val="28"/>
        </w:rPr>
      </w:pPr>
      <w:r>
        <w:rPr>
          <w:rFonts w:hint="eastAsia" w:ascii="宋体" w:hAnsi="宋体" w:cs="宋体"/>
          <w:sz w:val="28"/>
        </w:rPr>
        <w:t>计算</w:t>
      </w:r>
      <w:r>
        <w:rPr>
          <w:rFonts w:ascii="宋体" w:hAnsi="宋体" w:cs="宋体"/>
          <w:sz w:val="28"/>
        </w:rPr>
        <w:t>估价对象</w:t>
      </w:r>
      <w:r>
        <w:rPr>
          <w:rFonts w:hint="eastAsia" w:ascii="宋体" w:hAnsi="宋体" w:cs="宋体"/>
          <w:sz w:val="28"/>
        </w:rPr>
        <w:t>价值</w:t>
      </w:r>
    </w:p>
    <w:p>
      <w:pPr>
        <w:pStyle w:val="26"/>
        <w:spacing w:after="0" w:line="360" w:lineRule="auto"/>
        <w:ind w:left="560"/>
        <w:rPr>
          <w:rFonts w:ascii="宋体" w:hAnsi="宋体"/>
          <w:sz w:val="28"/>
        </w:rPr>
      </w:pPr>
      <w:r>
        <w:rPr>
          <w:rFonts w:hint="eastAsia" w:ascii="宋体" w:hAnsi="宋体"/>
          <w:sz w:val="28"/>
        </w:rPr>
        <w:t>计算公式：</w:t>
      </w:r>
    </w:p>
    <w:p>
      <w:pPr>
        <w:adjustRightInd w:val="0"/>
        <w:snapToGrid w:val="0"/>
        <w:spacing w:line="360" w:lineRule="auto"/>
        <w:ind w:firstLine="420" w:firstLineChars="150"/>
        <w:rPr>
          <w:rFonts w:ascii="宋体" w:hAnsi="宋体" w:cs="宋体"/>
          <w:kern w:val="0"/>
          <w:sz w:val="28"/>
        </w:rPr>
      </w:pPr>
      <w:r>
        <w:rPr>
          <w:rFonts w:hint="eastAsia" w:ascii="宋体" w:hAnsi="宋体" w:cs="宋体"/>
          <w:sz w:val="28"/>
          <w:szCs w:val="28"/>
        </w:rPr>
        <w:t>估价对象价值=开发完成后的价值-后续开发的必要支出及应得利润</w:t>
      </w:r>
    </w:p>
    <w:p>
      <w:pPr>
        <w:pStyle w:val="26"/>
        <w:spacing w:after="0" w:line="360" w:lineRule="auto"/>
        <w:ind w:firstLine="560" w:firstLineChars="200"/>
        <w:rPr>
          <w:rFonts w:ascii="宋体" w:hAnsi="宋体" w:cs="宋体"/>
          <w:sz w:val="28"/>
        </w:rPr>
      </w:pPr>
      <w:bookmarkStart w:id="680" w:name="_Toc404084882"/>
      <w:r>
        <w:rPr>
          <w:rFonts w:hint="eastAsia" w:ascii="宋体" w:hAnsi="宋体" w:cs="宋体"/>
          <w:sz w:val="28"/>
        </w:rPr>
        <w:t>（2）</w:t>
      </w:r>
      <w:r>
        <w:rPr>
          <w:rFonts w:ascii="宋体" w:hAnsi="宋体" w:cs="宋体"/>
          <w:sz w:val="28"/>
        </w:rPr>
        <w:t>比较法：</w:t>
      </w:r>
    </w:p>
    <w:p>
      <w:pPr>
        <w:pStyle w:val="26"/>
        <w:spacing w:after="0" w:line="360" w:lineRule="auto"/>
        <w:rPr>
          <w:rFonts w:ascii="宋体" w:hAnsi="宋体" w:cs="宋体"/>
          <w:sz w:val="28"/>
        </w:rPr>
      </w:pPr>
      <w:r>
        <w:rPr>
          <w:rFonts w:ascii="宋体" w:hAnsi="宋体" w:cs="宋体"/>
          <w:sz w:val="28"/>
        </w:rPr>
        <w:t xml:space="preserve">    估价对象虽然因暂时没有达到竣工验收条件，没有最后办理竣工验收备案手续，但已基本达到投入使用状态。整体转让的交易案例较少，但成套的类似交易案例较多，可以通过修正得出估价对象成套酒店用房</w:t>
      </w:r>
      <w:r>
        <w:rPr>
          <w:rFonts w:hint="eastAsia" w:ascii="宋体" w:hAnsi="宋体" w:cs="宋体"/>
          <w:sz w:val="28"/>
        </w:rPr>
        <w:t>开发完成后</w:t>
      </w:r>
      <w:r>
        <w:rPr>
          <w:rFonts w:ascii="宋体" w:hAnsi="宋体" w:cs="宋体"/>
          <w:sz w:val="28"/>
        </w:rPr>
        <w:t>的评估价值。</w:t>
      </w:r>
    </w:p>
    <w:p>
      <w:pPr>
        <w:adjustRightInd w:val="0"/>
        <w:snapToGrid w:val="0"/>
        <w:spacing w:line="360" w:lineRule="auto"/>
        <w:ind w:firstLine="560" w:firstLineChars="200"/>
        <w:rPr>
          <w:rFonts w:ascii="宋体" w:cs="宋体"/>
          <w:sz w:val="28"/>
          <w:szCs w:val="28"/>
        </w:rPr>
      </w:pPr>
      <w:r>
        <w:rPr>
          <w:rFonts w:ascii="宋体" w:hAnsi="宋体" w:cs="宋体"/>
          <w:sz w:val="28"/>
          <w:szCs w:val="28"/>
        </w:rPr>
        <w:t>（</w:t>
      </w:r>
      <w:r>
        <w:rPr>
          <w:rFonts w:hint="eastAsia" w:ascii="宋体" w:hAnsi="宋体" w:cs="宋体"/>
          <w:sz w:val="28"/>
          <w:szCs w:val="28"/>
        </w:rPr>
        <w:t>3</w:t>
      </w:r>
      <w:r>
        <w:rPr>
          <w:rFonts w:ascii="宋体" w:hAnsi="宋体" w:cs="宋体"/>
          <w:sz w:val="28"/>
          <w:szCs w:val="28"/>
        </w:rPr>
        <w:t>）</w:t>
      </w:r>
      <w:r>
        <w:rPr>
          <w:rFonts w:hint="eastAsia" w:ascii="宋体" w:hAnsi="宋体" w:cs="宋体"/>
          <w:sz w:val="28"/>
          <w:szCs w:val="28"/>
        </w:rPr>
        <w:t>收益法：</w:t>
      </w:r>
      <w:r>
        <w:rPr>
          <w:rFonts w:ascii="宋体" w:hAnsi="宋体" w:cs="宋体"/>
          <w:sz w:val="28"/>
          <w:szCs w:val="28"/>
        </w:rPr>
        <w:t>通过</w:t>
      </w:r>
      <w:r>
        <w:rPr>
          <w:rFonts w:hint="eastAsia" w:ascii="宋体" w:hAnsi="宋体" w:cs="宋体"/>
          <w:sz w:val="28"/>
          <w:szCs w:val="28"/>
        </w:rPr>
        <w:t>预测估价对象的未来收益，利用报酬率或资本化率、收益乘数将未来收益转换为价值得到估价对象价值或价格的方法。</w:t>
      </w:r>
    </w:p>
    <w:p>
      <w:pPr>
        <w:adjustRightInd w:val="0"/>
        <w:snapToGrid w:val="0"/>
        <w:spacing w:line="360" w:lineRule="auto"/>
        <w:ind w:firstLine="560"/>
        <w:rPr>
          <w:rFonts w:ascii="宋体" w:hAnsi="宋体"/>
          <w:kern w:val="0"/>
          <w:sz w:val="28"/>
        </w:rPr>
      </w:pPr>
      <w:r>
        <w:rPr>
          <w:rFonts w:hint="eastAsia" w:ascii="宋体" w:hAnsi="宋体"/>
          <w:kern w:val="0"/>
          <w:sz w:val="28"/>
        </w:rPr>
        <w:t>本次估价考虑到估价对象</w:t>
      </w:r>
      <w:r>
        <w:rPr>
          <w:rFonts w:hint="eastAsia" w:ascii="宋体" w:hAnsi="宋体" w:cs="宋体"/>
          <w:sz w:val="28"/>
        </w:rPr>
        <w:t>1层单独用作商业用房，</w:t>
      </w:r>
      <w:r>
        <w:rPr>
          <w:rFonts w:hint="eastAsia" w:ascii="宋体" w:hAnsi="宋体" w:cs="宋体"/>
          <w:kern w:val="0"/>
          <w:sz w:val="28"/>
        </w:rPr>
        <w:t>通常有租金等经济收入的</w:t>
      </w:r>
      <w:r>
        <w:rPr>
          <w:rFonts w:hint="eastAsia" w:ascii="宋体" w:hAnsi="宋体"/>
          <w:kern w:val="0"/>
          <w:sz w:val="28"/>
        </w:rPr>
        <w:t>房地产，理论和现实层面上都适用于收益法的选用。</w:t>
      </w:r>
    </w:p>
    <w:p>
      <w:pPr>
        <w:pStyle w:val="23"/>
        <w:spacing w:line="360" w:lineRule="auto"/>
        <w:ind w:right="-45" w:firstLine="504"/>
        <w:rPr>
          <w:rFonts w:ascii="宋体" w:hAnsi="宋体" w:eastAsia="宋体"/>
          <w:sz w:val="28"/>
          <w:szCs w:val="28"/>
        </w:rPr>
      </w:pPr>
      <w:r>
        <w:rPr>
          <w:rFonts w:hint="eastAsia" w:ascii="宋体" w:hAnsi="宋体"/>
          <w:kern w:val="0"/>
          <w:sz w:val="28"/>
        </w:rPr>
        <w:t>本次估价选用报酬资本化法中的全剩余寿命模式进行估价，</w:t>
      </w:r>
      <w:r>
        <w:rPr>
          <w:rFonts w:hint="eastAsia" w:ascii="宋体" w:hAnsi="宋体" w:eastAsia="宋体"/>
          <w:kern w:val="0"/>
          <w:sz w:val="28"/>
        </w:rPr>
        <w:t>选用</w:t>
      </w:r>
      <w:r>
        <w:rPr>
          <w:rFonts w:hint="eastAsia" w:ascii="宋体" w:hAnsi="宋体" w:eastAsia="宋体"/>
          <w:sz w:val="28"/>
          <w:szCs w:val="28"/>
        </w:rPr>
        <w:t>未来各年净收益按照某个固定比率递增的收益法计算公式：</w:t>
      </w:r>
    </w:p>
    <w:p>
      <w:pPr>
        <w:spacing w:line="360" w:lineRule="auto"/>
        <w:ind w:firstLine="560" w:firstLineChars="200"/>
        <w:rPr>
          <w:rFonts w:ascii="宋体"/>
          <w:sz w:val="28"/>
        </w:rPr>
      </w:pPr>
      <w:r>
        <w:rPr>
          <w:rFonts w:hint="eastAsia" w:ascii="宋体" w:hAnsi="宋体"/>
          <w:sz w:val="28"/>
        </w:rPr>
        <w:t>计算公式：</w:t>
      </w:r>
      <w:r>
        <w:rPr>
          <w:rFonts w:ascii="宋体" w:hAnsi="宋体"/>
          <w:sz w:val="28"/>
        </w:rPr>
        <w:t>V</w:t>
      </w:r>
      <w:r>
        <w:rPr>
          <w:rFonts w:hint="eastAsia" w:ascii="宋体" w:hAnsi="宋体"/>
          <w:sz w:val="28"/>
        </w:rPr>
        <w:t>﹦</w:t>
      </w:r>
      <w:r>
        <w:rPr>
          <w:rFonts w:hint="eastAsia" w:ascii="宋体" w:hAnsi="宋体"/>
          <w:position w:val="-28"/>
          <w:sz w:val="28"/>
        </w:rPr>
        <w:object>
          <v:shape id="_x0000_i1025" o:spt="75" type="#_x0000_t75" style="height:39.75pt;width:125.25pt;" o:ole="t" filled="f" o:preferrelative="t" stroked="f" coordsize="21600,21600">
            <v:path/>
            <v:fill on="f" focussize="0,0"/>
            <v:stroke on="f" joinstyle="miter"/>
            <v:imagedata r:id="rId8" o:title=""/>
            <o:lock v:ext="edit" aspectratio="t"/>
            <w10:wrap type="none"/>
            <w10:anchorlock/>
          </v:shape>
          <o:OLEObject Type="Embed" ProgID="Equations" ShapeID="_x0000_i1025" DrawAspect="Content" ObjectID="_1468075725" r:id="rId7">
            <o:LockedField>false</o:LockedField>
          </o:OLEObject>
        </w:object>
      </w:r>
    </w:p>
    <w:p>
      <w:pPr>
        <w:spacing w:line="360" w:lineRule="auto"/>
        <w:ind w:firstLine="700" w:firstLineChars="250"/>
        <w:rPr>
          <w:rFonts w:ascii="宋体"/>
          <w:sz w:val="28"/>
        </w:rPr>
      </w:pPr>
      <w:r>
        <w:rPr>
          <w:rFonts w:hint="eastAsia" w:ascii="宋体" w:hAnsi="宋体"/>
          <w:sz w:val="28"/>
        </w:rPr>
        <w:t>式中：</w:t>
      </w:r>
      <w:r>
        <w:rPr>
          <w:rFonts w:ascii="宋体" w:hAnsi="宋体"/>
          <w:sz w:val="28"/>
        </w:rPr>
        <w:t>V—</w:t>
      </w:r>
      <w:r>
        <w:rPr>
          <w:rFonts w:hint="eastAsia" w:ascii="宋体" w:hAnsi="宋体"/>
          <w:sz w:val="28"/>
        </w:rPr>
        <w:t>估价对象收益价值；是指采用收益法测算出的估价对象的价值或价格。</w:t>
      </w:r>
    </w:p>
    <w:p>
      <w:pPr>
        <w:spacing w:line="360" w:lineRule="auto"/>
        <w:ind w:firstLine="1540" w:firstLineChars="550"/>
        <w:rPr>
          <w:rFonts w:ascii="宋体"/>
          <w:sz w:val="28"/>
        </w:rPr>
      </w:pPr>
      <w:r>
        <w:rPr>
          <w:rFonts w:ascii="宋体" w:hAnsi="宋体"/>
          <w:sz w:val="28"/>
        </w:rPr>
        <w:t>A—</w:t>
      </w:r>
      <w:r>
        <w:rPr>
          <w:rFonts w:hint="eastAsia" w:ascii="宋体" w:hAnsi="宋体"/>
          <w:sz w:val="28"/>
        </w:rPr>
        <w:t>净收益；是指有关收入减去费用后归因于估价对象的收益。</w:t>
      </w:r>
    </w:p>
    <w:p>
      <w:pPr>
        <w:spacing w:line="360" w:lineRule="auto"/>
        <w:ind w:firstLine="1540" w:firstLineChars="550"/>
        <w:rPr>
          <w:rFonts w:ascii="宋体"/>
          <w:sz w:val="28"/>
          <w:szCs w:val="28"/>
        </w:rPr>
      </w:pPr>
      <w:r>
        <w:rPr>
          <w:rFonts w:ascii="宋体" w:hAnsi="宋体"/>
          <w:sz w:val="28"/>
        </w:rPr>
        <w:t>Y—</w:t>
      </w:r>
      <w:r>
        <w:rPr>
          <w:rFonts w:hint="eastAsia" w:ascii="宋体" w:hAnsi="宋体"/>
          <w:sz w:val="28"/>
        </w:rPr>
        <w:t>报酬率；是指将</w:t>
      </w:r>
      <w:r>
        <w:rPr>
          <w:rFonts w:hint="eastAsia" w:ascii="宋体" w:hAnsi="宋体"/>
          <w:sz w:val="28"/>
          <w:szCs w:val="28"/>
        </w:rPr>
        <w:t>估价对象未来各年的净收益转换为估价对象价值或价格的折现率。</w:t>
      </w:r>
    </w:p>
    <w:p>
      <w:pPr>
        <w:spacing w:line="360" w:lineRule="auto"/>
        <w:ind w:firstLine="1540" w:firstLineChars="550"/>
        <w:rPr>
          <w:rFonts w:ascii="宋体"/>
          <w:sz w:val="28"/>
        </w:rPr>
      </w:pPr>
      <w:r>
        <w:rPr>
          <w:rFonts w:ascii="宋体" w:hAnsi="宋体"/>
          <w:sz w:val="28"/>
        </w:rPr>
        <w:t>g—</w:t>
      </w:r>
      <w:r>
        <w:rPr>
          <w:rFonts w:hint="eastAsia" w:ascii="宋体" w:hAnsi="宋体"/>
          <w:sz w:val="28"/>
        </w:rPr>
        <w:t>递增比率；是指</w:t>
      </w:r>
      <w:r>
        <w:rPr>
          <w:rFonts w:hint="eastAsia" w:ascii="宋体" w:hAnsi="宋体"/>
          <w:sz w:val="28"/>
          <w:szCs w:val="28"/>
        </w:rPr>
        <w:t>未来各年净收益</w:t>
      </w:r>
      <w:r>
        <w:rPr>
          <w:rFonts w:hint="eastAsia" w:ascii="宋体" w:hAnsi="宋体"/>
          <w:sz w:val="28"/>
        </w:rPr>
        <w:t>逐年递增的</w:t>
      </w:r>
      <w:r>
        <w:rPr>
          <w:rFonts w:hint="eastAsia" w:ascii="宋体" w:hAnsi="宋体"/>
          <w:sz w:val="28"/>
          <w:szCs w:val="28"/>
        </w:rPr>
        <w:t>固定比率。</w:t>
      </w:r>
    </w:p>
    <w:p>
      <w:pPr>
        <w:spacing w:line="360" w:lineRule="auto"/>
        <w:ind w:firstLine="1540" w:firstLineChars="550"/>
        <w:rPr>
          <w:rFonts w:ascii="宋体"/>
          <w:sz w:val="28"/>
        </w:rPr>
      </w:pPr>
      <w:r>
        <w:rPr>
          <w:rFonts w:ascii="宋体" w:hAnsi="宋体"/>
          <w:sz w:val="28"/>
        </w:rPr>
        <w:t>n—</w:t>
      </w:r>
      <w:r>
        <w:rPr>
          <w:rFonts w:hint="eastAsia" w:ascii="宋体" w:hAnsi="宋体"/>
          <w:sz w:val="28"/>
        </w:rPr>
        <w:t>收益期；是指预计在正常市场和运营状况下估价对象未来可获取净收益的时间，即自价值时点起至估价对象未来不能获取净收益时止的时间。</w:t>
      </w:r>
    </w:p>
    <w:p>
      <w:pPr>
        <w:pStyle w:val="23"/>
        <w:spacing w:line="360" w:lineRule="auto"/>
        <w:ind w:right="-45" w:firstLine="504"/>
        <w:rPr>
          <w:rFonts w:ascii="宋体" w:hAnsi="宋体" w:eastAsia="宋体"/>
          <w:bCs/>
          <w:sz w:val="28"/>
          <w:szCs w:val="28"/>
        </w:rPr>
      </w:pPr>
      <w:r>
        <w:rPr>
          <w:rFonts w:hint="eastAsia" w:ascii="宋体" w:hAnsi="宋体" w:eastAsia="宋体"/>
          <w:bCs/>
          <w:sz w:val="28"/>
          <w:szCs w:val="28"/>
        </w:rPr>
        <w:t>此公式的假设前提是：</w:t>
      </w:r>
    </w:p>
    <w:p>
      <w:pPr>
        <w:pStyle w:val="23"/>
        <w:spacing w:line="360" w:lineRule="auto"/>
        <w:ind w:right="-45" w:firstLine="504"/>
        <w:rPr>
          <w:rFonts w:ascii="宋体" w:hAnsi="宋体" w:eastAsia="宋体"/>
          <w:bCs/>
          <w:sz w:val="28"/>
          <w:szCs w:val="28"/>
        </w:rPr>
      </w:pPr>
      <w:r>
        <w:rPr>
          <w:rFonts w:ascii="宋体" w:hAnsi="宋体" w:eastAsia="宋体"/>
          <w:bCs/>
          <w:sz w:val="28"/>
          <w:szCs w:val="28"/>
        </w:rPr>
        <w:t>A</w:t>
      </w:r>
      <w:r>
        <w:rPr>
          <w:rFonts w:hint="eastAsia" w:ascii="宋体" w:hAnsi="宋体" w:eastAsia="宋体"/>
          <w:bCs/>
          <w:sz w:val="28"/>
          <w:szCs w:val="28"/>
        </w:rPr>
        <w:t>、净收益在未来</w:t>
      </w:r>
      <w:r>
        <w:rPr>
          <w:rFonts w:ascii="宋体" w:hAnsi="宋体" w:eastAsia="宋体"/>
          <w:bCs/>
          <w:sz w:val="28"/>
          <w:szCs w:val="28"/>
        </w:rPr>
        <w:t>n</w:t>
      </w:r>
      <w:r>
        <w:rPr>
          <w:rFonts w:hint="eastAsia" w:ascii="宋体" w:hAnsi="宋体" w:eastAsia="宋体"/>
          <w:bCs/>
          <w:sz w:val="28"/>
          <w:szCs w:val="28"/>
        </w:rPr>
        <w:t>年收益期内</w:t>
      </w:r>
      <w:r>
        <w:rPr>
          <w:rFonts w:hint="eastAsia" w:ascii="宋体" w:hAnsi="宋体" w:eastAsia="宋体"/>
          <w:sz w:val="28"/>
          <w:szCs w:val="28"/>
        </w:rPr>
        <w:t>按照固定比率</w:t>
      </w:r>
      <w:r>
        <w:rPr>
          <w:rFonts w:ascii="宋体" w:hAnsi="宋体"/>
          <w:sz w:val="28"/>
        </w:rPr>
        <w:t>g</w:t>
      </w:r>
      <w:r>
        <w:rPr>
          <w:rFonts w:hint="eastAsia" w:ascii="宋体" w:hAnsi="宋体" w:eastAsia="宋体"/>
          <w:sz w:val="28"/>
          <w:szCs w:val="28"/>
        </w:rPr>
        <w:t>递增</w:t>
      </w:r>
      <w:r>
        <w:rPr>
          <w:rFonts w:hint="eastAsia" w:ascii="宋体" w:hAnsi="宋体" w:eastAsia="宋体"/>
          <w:bCs/>
          <w:sz w:val="28"/>
          <w:szCs w:val="28"/>
        </w:rPr>
        <w:t>；</w:t>
      </w:r>
    </w:p>
    <w:p>
      <w:pPr>
        <w:pStyle w:val="23"/>
        <w:spacing w:line="360" w:lineRule="auto"/>
        <w:ind w:right="-45" w:firstLine="504"/>
        <w:rPr>
          <w:rFonts w:ascii="宋体" w:hAnsi="宋体" w:eastAsia="宋体"/>
          <w:bCs/>
          <w:sz w:val="28"/>
          <w:szCs w:val="28"/>
        </w:rPr>
      </w:pPr>
      <w:r>
        <w:rPr>
          <w:rFonts w:ascii="宋体" w:hAnsi="宋体" w:eastAsia="宋体"/>
          <w:bCs/>
          <w:sz w:val="28"/>
          <w:szCs w:val="28"/>
        </w:rPr>
        <w:t>B</w:t>
      </w:r>
      <w:r>
        <w:rPr>
          <w:rFonts w:hint="eastAsia" w:ascii="宋体" w:hAnsi="宋体" w:eastAsia="宋体"/>
          <w:bCs/>
          <w:sz w:val="28"/>
          <w:szCs w:val="28"/>
        </w:rPr>
        <w:t>、报酬率为</w:t>
      </w:r>
      <w:r>
        <w:rPr>
          <w:rFonts w:ascii="宋体" w:hAnsi="宋体" w:eastAsia="宋体"/>
          <w:bCs/>
          <w:sz w:val="28"/>
          <w:szCs w:val="28"/>
        </w:rPr>
        <w:t>Y,</w:t>
      </w:r>
      <w:r>
        <w:rPr>
          <w:rFonts w:hint="eastAsia" w:ascii="宋体" w:hAnsi="宋体" w:eastAsia="宋体"/>
          <w:bCs/>
          <w:sz w:val="28"/>
          <w:szCs w:val="28"/>
        </w:rPr>
        <w:t>且</w:t>
      </w:r>
      <w:r>
        <w:rPr>
          <w:rFonts w:ascii="宋体" w:hAnsi="宋体" w:eastAsia="宋体"/>
          <w:bCs/>
          <w:sz w:val="28"/>
          <w:szCs w:val="28"/>
        </w:rPr>
        <w:t>Y</w:t>
      </w:r>
      <w:r>
        <w:rPr>
          <w:rFonts w:hint="eastAsia" w:ascii="宋体" w:hAnsi="宋体" w:eastAsia="宋体"/>
          <w:bCs/>
          <w:sz w:val="28"/>
          <w:szCs w:val="28"/>
        </w:rPr>
        <w:t>不等于</w:t>
      </w:r>
      <w:r>
        <w:rPr>
          <w:rFonts w:ascii="宋体" w:hAnsi="宋体" w:eastAsia="宋体"/>
          <w:bCs/>
          <w:sz w:val="28"/>
          <w:szCs w:val="28"/>
        </w:rPr>
        <w:t>0</w:t>
      </w:r>
      <w:r>
        <w:rPr>
          <w:rFonts w:hint="eastAsia" w:ascii="宋体" w:hAnsi="宋体" w:eastAsia="宋体"/>
          <w:bCs/>
          <w:sz w:val="28"/>
          <w:szCs w:val="28"/>
        </w:rPr>
        <w:t>；</w:t>
      </w:r>
    </w:p>
    <w:p>
      <w:pPr>
        <w:pStyle w:val="23"/>
        <w:spacing w:line="360" w:lineRule="auto"/>
        <w:ind w:right="-45" w:firstLine="504"/>
        <w:rPr>
          <w:rFonts w:ascii="宋体" w:hAnsi="宋体" w:eastAsia="宋体"/>
          <w:bCs/>
          <w:sz w:val="28"/>
          <w:szCs w:val="28"/>
        </w:rPr>
      </w:pPr>
      <w:r>
        <w:rPr>
          <w:rFonts w:ascii="宋体" w:hAnsi="宋体" w:eastAsia="宋体"/>
          <w:bCs/>
          <w:sz w:val="28"/>
          <w:szCs w:val="28"/>
        </w:rPr>
        <w:t>C</w:t>
      </w:r>
      <w:r>
        <w:rPr>
          <w:rFonts w:hint="eastAsia" w:ascii="宋体" w:hAnsi="宋体" w:eastAsia="宋体"/>
          <w:bCs/>
          <w:sz w:val="28"/>
          <w:szCs w:val="28"/>
        </w:rPr>
        <w:t>、收益期为有限年</w:t>
      </w:r>
      <w:r>
        <w:rPr>
          <w:rFonts w:ascii="宋体" w:hAnsi="宋体" w:eastAsia="宋体"/>
          <w:bCs/>
          <w:sz w:val="28"/>
          <w:szCs w:val="28"/>
        </w:rPr>
        <w:t>n</w:t>
      </w:r>
      <w:r>
        <w:rPr>
          <w:rFonts w:hint="eastAsia" w:ascii="宋体" w:hAnsi="宋体" w:eastAsia="宋体"/>
          <w:bCs/>
          <w:sz w:val="28"/>
          <w:szCs w:val="28"/>
        </w:rPr>
        <w:t>。</w:t>
      </w:r>
    </w:p>
    <w:p>
      <w:pPr>
        <w:pStyle w:val="26"/>
        <w:spacing w:after="0" w:line="360" w:lineRule="auto"/>
        <w:ind w:left="560"/>
        <w:rPr>
          <w:rFonts w:ascii="宋体" w:hAnsi="宋体" w:cs="宋体"/>
          <w:kern w:val="2"/>
          <w:sz w:val="28"/>
          <w:szCs w:val="28"/>
        </w:rPr>
      </w:pPr>
    </w:p>
    <w:p>
      <w:pPr>
        <w:adjustRightInd w:val="0"/>
        <w:snapToGrid w:val="0"/>
        <w:spacing w:line="360" w:lineRule="auto"/>
        <w:ind w:firstLine="560"/>
        <w:rPr>
          <w:rFonts w:ascii="宋体" w:hAnsi="宋体" w:cs="宋体"/>
          <w:sz w:val="28"/>
          <w:szCs w:val="28"/>
        </w:rPr>
      </w:pPr>
      <w:bookmarkStart w:id="681" w:name="_Toc29591"/>
      <w:bookmarkStart w:id="682" w:name="_Toc26946"/>
      <w:bookmarkStart w:id="683" w:name="_Toc22081"/>
      <w:bookmarkStart w:id="684" w:name="_Toc14003"/>
      <w:bookmarkStart w:id="685" w:name="_Toc5954"/>
      <w:r>
        <w:rPr>
          <w:rFonts w:hint="eastAsia" w:ascii="宋体" w:hAnsi="宋体" w:cs="宋体"/>
          <w:sz w:val="28"/>
          <w:szCs w:val="28"/>
        </w:rPr>
        <w:t>通过以上测算得到的结果，对每种估价方法的测算结果进行校核，并对测算结果进行比较分析，在确认</w:t>
      </w:r>
      <w:r>
        <w:rPr>
          <w:rFonts w:ascii="宋体" w:hAnsi="宋体" w:cs="宋体"/>
          <w:sz w:val="28"/>
          <w:szCs w:val="28"/>
        </w:rPr>
        <w:t>各种方法</w:t>
      </w:r>
      <w:r>
        <w:rPr>
          <w:rFonts w:hint="eastAsia" w:ascii="宋体" w:hAnsi="宋体" w:cs="宋体"/>
          <w:sz w:val="28"/>
          <w:szCs w:val="28"/>
        </w:rPr>
        <w:t>的测算结果无差错及其之间差异的合理性后，根据估价目的及不同估价方法的适用程度、数据来源与可靠程度、测算结果之间差异程度等情况，运用简单算术平均法、加权算术平均法等统计方法合理得出综合测算结果</w:t>
      </w:r>
      <w:r>
        <w:rPr>
          <w:rFonts w:ascii="宋体" w:hAnsi="宋体" w:cs="宋体"/>
          <w:sz w:val="28"/>
          <w:szCs w:val="28"/>
        </w:rPr>
        <w:t>，</w:t>
      </w:r>
      <w:r>
        <w:rPr>
          <w:rFonts w:hint="eastAsia" w:ascii="宋体" w:hAnsi="宋体" w:cs="宋体"/>
          <w:sz w:val="28"/>
          <w:szCs w:val="28"/>
        </w:rPr>
        <w:t>最终确定估价对象的评估价值。</w:t>
      </w:r>
    </w:p>
    <w:p>
      <w:pPr>
        <w:adjustRightInd w:val="0"/>
        <w:snapToGrid w:val="0"/>
        <w:spacing w:line="360" w:lineRule="auto"/>
        <w:ind w:firstLine="560"/>
        <w:rPr>
          <w:rFonts w:ascii="宋体" w:hAnsi="宋体"/>
          <w:kern w:val="0"/>
          <w:sz w:val="28"/>
        </w:rPr>
      </w:pPr>
      <w:r>
        <w:rPr>
          <w:rFonts w:hint="eastAsia" w:ascii="宋体" w:hAnsi="宋体" w:cs="宋体"/>
          <w:kern w:val="0"/>
          <w:sz w:val="28"/>
        </w:rPr>
        <w:t>（二）</w:t>
      </w:r>
      <w:r>
        <w:rPr>
          <w:rFonts w:ascii="宋体" w:hAnsi="宋体"/>
          <w:kern w:val="0"/>
          <w:sz w:val="28"/>
        </w:rPr>
        <w:t>简要</w:t>
      </w:r>
      <w:r>
        <w:rPr>
          <w:rFonts w:hint="eastAsia" w:ascii="宋体" w:hAnsi="宋体"/>
          <w:kern w:val="0"/>
          <w:sz w:val="28"/>
        </w:rPr>
        <w:t>测</w:t>
      </w:r>
      <w:r>
        <w:rPr>
          <w:rFonts w:ascii="宋体" w:hAnsi="宋体"/>
          <w:kern w:val="0"/>
          <w:sz w:val="28"/>
        </w:rPr>
        <w:t>算过程</w:t>
      </w:r>
    </w:p>
    <w:p>
      <w:pPr>
        <w:pStyle w:val="26"/>
        <w:numPr>
          <w:ilvl w:val="0"/>
          <w:numId w:val="4"/>
        </w:numPr>
        <w:spacing w:after="0" w:line="360" w:lineRule="auto"/>
        <w:ind w:firstLine="280" w:firstLineChars="100"/>
        <w:rPr>
          <w:rFonts w:ascii="宋体" w:hAnsi="宋体" w:cs="宋体"/>
          <w:sz w:val="28"/>
        </w:rPr>
      </w:pPr>
      <w:r>
        <w:rPr>
          <w:rFonts w:hint="eastAsia" w:ascii="宋体" w:hAnsi="宋体"/>
          <w:sz w:val="28"/>
        </w:rPr>
        <w:t>用比较法测算</w:t>
      </w:r>
      <w:r>
        <w:rPr>
          <w:rFonts w:hint="eastAsia" w:ascii="宋体" w:hAnsi="宋体" w:cs="宋体"/>
          <w:sz w:val="28"/>
        </w:rPr>
        <w:t>5层及以上用作单套酒店用房开发完成后的价值</w:t>
      </w:r>
    </w:p>
    <w:p>
      <w:pPr>
        <w:pStyle w:val="26"/>
        <w:spacing w:after="0" w:line="360" w:lineRule="auto"/>
        <w:rPr>
          <w:rFonts w:ascii="宋体" w:hAnsi="宋体" w:cs="宋体"/>
          <w:sz w:val="28"/>
          <w:szCs w:val="28"/>
        </w:rPr>
      </w:pPr>
      <w:r>
        <w:rPr>
          <w:rFonts w:hint="eastAsia" w:ascii="宋体" w:hAnsi="宋体" w:cs="宋体"/>
          <w:sz w:val="28"/>
        </w:rPr>
        <w:t xml:space="preserve">   </w:t>
      </w:r>
      <w:r>
        <w:rPr>
          <w:rFonts w:hint="eastAsia" w:ascii="宋体" w:hAnsi="宋体" w:cs="宋体"/>
          <w:sz w:val="28"/>
          <w:szCs w:val="28"/>
        </w:rPr>
        <w:t>经筛选确定</w:t>
      </w:r>
      <w:r>
        <w:rPr>
          <w:rFonts w:ascii="宋体" w:hAnsi="宋体" w:cs="宋体"/>
          <w:sz w:val="28"/>
          <w:szCs w:val="28"/>
        </w:rPr>
        <w:t>A</w:t>
      </w:r>
      <w:r>
        <w:rPr>
          <w:rFonts w:hint="eastAsia" w:ascii="宋体" w:hAnsi="宋体" w:cs="宋体"/>
          <w:sz w:val="28"/>
          <w:szCs w:val="28"/>
        </w:rPr>
        <w:t>、</w:t>
      </w:r>
      <w:r>
        <w:rPr>
          <w:rFonts w:ascii="宋体" w:hAnsi="宋体" w:cs="宋体"/>
          <w:sz w:val="28"/>
          <w:szCs w:val="28"/>
        </w:rPr>
        <w:t>B</w:t>
      </w:r>
      <w:r>
        <w:rPr>
          <w:rFonts w:hint="eastAsia" w:ascii="宋体" w:hAnsi="宋体" w:cs="宋体"/>
          <w:sz w:val="28"/>
          <w:szCs w:val="28"/>
        </w:rPr>
        <w:t>、</w:t>
      </w:r>
      <w:r>
        <w:rPr>
          <w:rFonts w:ascii="宋体" w:hAnsi="宋体" w:cs="宋体"/>
          <w:sz w:val="28"/>
          <w:szCs w:val="28"/>
        </w:rPr>
        <w:t>C</w:t>
      </w:r>
      <w:r>
        <w:rPr>
          <w:rFonts w:hint="eastAsia" w:ascii="宋体" w:hAnsi="宋体" w:cs="宋体"/>
          <w:sz w:val="28"/>
          <w:szCs w:val="28"/>
        </w:rPr>
        <w:t>三个可比交易实例：</w:t>
      </w:r>
      <w:r>
        <w:rPr>
          <w:rFonts w:ascii="宋体" w:hAnsi="宋体" w:cs="宋体"/>
          <w:sz w:val="28"/>
          <w:szCs w:val="28"/>
        </w:rPr>
        <w:t>A</w:t>
      </w:r>
      <w:r>
        <w:rPr>
          <w:rFonts w:hint="eastAsia" w:ascii="宋体" w:hAnsi="宋体" w:cs="宋体"/>
          <w:sz w:val="28"/>
          <w:szCs w:val="28"/>
        </w:rPr>
        <w:t>为酒店宾馆用房，成交单价6185元</w:t>
      </w:r>
      <w:r>
        <w:rPr>
          <w:rFonts w:ascii="宋体" w:hAnsi="宋体" w:cs="宋体"/>
          <w:sz w:val="28"/>
          <w:szCs w:val="28"/>
        </w:rPr>
        <w:t>/</w:t>
      </w:r>
      <w:r>
        <w:rPr>
          <w:rFonts w:hint="eastAsia" w:ascii="宋体" w:hAnsi="宋体" w:cs="宋体"/>
          <w:sz w:val="28"/>
          <w:szCs w:val="28"/>
        </w:rPr>
        <w:t>平方米；</w:t>
      </w:r>
      <w:r>
        <w:rPr>
          <w:rFonts w:ascii="宋体" w:hAnsi="宋体" w:cs="宋体"/>
          <w:sz w:val="28"/>
          <w:szCs w:val="28"/>
        </w:rPr>
        <w:t>B</w:t>
      </w:r>
      <w:r>
        <w:rPr>
          <w:rFonts w:hint="eastAsia" w:ascii="宋体" w:hAnsi="宋体" w:cs="宋体"/>
          <w:sz w:val="28"/>
          <w:szCs w:val="28"/>
        </w:rPr>
        <w:t>为单套公寓，成交单价5600元</w:t>
      </w:r>
      <w:r>
        <w:rPr>
          <w:rFonts w:ascii="宋体" w:hAnsi="宋体" w:cs="宋体"/>
          <w:sz w:val="28"/>
          <w:szCs w:val="28"/>
        </w:rPr>
        <w:t>/</w:t>
      </w:r>
      <w:r>
        <w:rPr>
          <w:rFonts w:hint="eastAsia" w:ascii="宋体" w:hAnsi="宋体" w:cs="宋体"/>
          <w:sz w:val="28"/>
          <w:szCs w:val="28"/>
        </w:rPr>
        <w:t>平方米；</w:t>
      </w:r>
      <w:r>
        <w:rPr>
          <w:rFonts w:ascii="宋体" w:hAnsi="宋体" w:cs="宋体"/>
          <w:sz w:val="28"/>
          <w:szCs w:val="28"/>
        </w:rPr>
        <w:t>C</w:t>
      </w:r>
      <w:r>
        <w:rPr>
          <w:rFonts w:hint="eastAsia" w:ascii="宋体" w:hAnsi="宋体" w:cs="宋体"/>
          <w:sz w:val="28"/>
          <w:szCs w:val="28"/>
        </w:rPr>
        <w:t>为写字楼6645元</w:t>
      </w:r>
      <w:r>
        <w:rPr>
          <w:rFonts w:ascii="宋体" w:hAnsi="宋体" w:cs="宋体"/>
          <w:sz w:val="28"/>
          <w:szCs w:val="28"/>
        </w:rPr>
        <w:t>/</w:t>
      </w:r>
      <w:r>
        <w:rPr>
          <w:rFonts w:hint="eastAsia" w:ascii="宋体" w:hAnsi="宋体" w:cs="宋体"/>
          <w:sz w:val="28"/>
          <w:szCs w:val="28"/>
        </w:rPr>
        <w:t>平方米。</w:t>
      </w:r>
    </w:p>
    <w:p>
      <w:pPr>
        <w:pStyle w:val="26"/>
        <w:spacing w:after="0" w:line="360" w:lineRule="auto"/>
        <w:ind w:firstLine="560"/>
        <w:rPr>
          <w:rFonts w:ascii="宋体" w:hAnsi="宋体" w:cs="宋体"/>
          <w:sz w:val="28"/>
          <w:szCs w:val="28"/>
        </w:rPr>
      </w:pPr>
      <w:r>
        <w:rPr>
          <w:rFonts w:hint="eastAsia" w:ascii="宋体" w:hAnsi="宋体" w:cs="宋体"/>
          <w:sz w:val="28"/>
          <w:szCs w:val="28"/>
        </w:rPr>
        <w:t>通过对比较案例与估价对象进行交易情况、市场状况、区位状况、实物状况、权益状况等因素修正后，用简单算数平均数确定开发完成后估价对象第5层的单价为6095元</w:t>
      </w:r>
      <w:r>
        <w:rPr>
          <w:rFonts w:ascii="宋体" w:hAnsi="宋体" w:cs="宋体"/>
          <w:sz w:val="28"/>
          <w:szCs w:val="28"/>
        </w:rPr>
        <w:t>/</w:t>
      </w:r>
      <w:r>
        <w:rPr>
          <w:rFonts w:hint="eastAsia" w:ascii="宋体" w:hAnsi="宋体" w:cs="宋体"/>
          <w:sz w:val="28"/>
          <w:szCs w:val="28"/>
        </w:rPr>
        <w:t>平方米。</w:t>
      </w:r>
    </w:p>
    <w:p>
      <w:pPr>
        <w:pStyle w:val="26"/>
        <w:spacing w:after="0" w:line="360" w:lineRule="auto"/>
        <w:ind w:firstLine="560"/>
        <w:rPr>
          <w:rFonts w:ascii="宋体" w:hAnsi="宋体"/>
          <w:sz w:val="28"/>
        </w:rPr>
      </w:pPr>
      <w:r>
        <w:rPr>
          <w:rFonts w:hint="eastAsia" w:ascii="宋体" w:hAnsi="宋体"/>
          <w:sz w:val="28"/>
        </w:rPr>
        <w:t>利用标准价调整法对其他评估对象其它楼层进行修正（根据调查分析，当地类似房地产楼层价差由低层向高层逐层递增，调整系数为0.5%），同时对其他带有装饰装修的房屋给予附加增值，最终确定被评估对象各套房屋的评估价值。（计算结果详见估价结果明细表）</w:t>
      </w:r>
    </w:p>
    <w:p>
      <w:pPr>
        <w:pStyle w:val="26"/>
        <w:numPr>
          <w:ilvl w:val="0"/>
          <w:numId w:val="4"/>
        </w:numPr>
        <w:spacing w:after="0" w:line="360" w:lineRule="auto"/>
        <w:ind w:firstLine="280" w:firstLineChars="100"/>
        <w:rPr>
          <w:rFonts w:ascii="宋体" w:hAnsi="宋体" w:cs="宋体"/>
          <w:sz w:val="28"/>
        </w:rPr>
      </w:pPr>
      <w:r>
        <w:rPr>
          <w:rFonts w:hint="eastAsia" w:ascii="宋体" w:hAnsi="宋体" w:cs="宋体"/>
          <w:sz w:val="28"/>
        </w:rPr>
        <w:t>用收益法测算1层单独用作商业用房开发完成后的价值</w:t>
      </w:r>
    </w:p>
    <w:p>
      <w:pPr>
        <w:rPr>
          <w:rFonts w:ascii="宋体" w:hAnsi="宋体"/>
          <w:sz w:val="28"/>
          <w:szCs w:val="28"/>
        </w:rPr>
      </w:pPr>
      <w:r>
        <w:rPr>
          <w:rFonts w:hint="eastAsia" w:ascii="宋体" w:hAnsi="宋体" w:cs="宋体"/>
          <w:sz w:val="28"/>
        </w:rPr>
        <w:t xml:space="preserve">    </w:t>
      </w:r>
      <w:r>
        <w:rPr>
          <w:rFonts w:hint="eastAsia" w:ascii="宋体" w:hAnsi="宋体"/>
          <w:sz w:val="28"/>
          <w:szCs w:val="28"/>
        </w:rPr>
        <w:t>本次估价选择了以下三个可比出租实例作为比较实例，根据估价对象与可比出租实例的实际情况，进行交易情况、市场状况、区位状况、实物状况和权益状况等因素修正，确定</w:t>
      </w:r>
      <w:r>
        <w:rPr>
          <w:rFonts w:hint="eastAsia" w:ascii="宋体" w:hAnsi="宋体" w:cs="宋体"/>
          <w:sz w:val="28"/>
        </w:rPr>
        <w:t>1层单独用作商业用房的客观月租金水平为75元/平方米,扣除运营费用后年净租金收益为659元/平方米</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报酬率的确定：采用安全利率加风险调整值累加法进行测算，报酬率</w:t>
      </w:r>
      <w:r>
        <w:rPr>
          <w:rFonts w:ascii="宋体" w:hAnsi="宋体"/>
          <w:sz w:val="28"/>
          <w:szCs w:val="28"/>
        </w:rPr>
        <w:t>=1.5%+3%+</w:t>
      </w:r>
      <w:r>
        <w:rPr>
          <w:rFonts w:hint="eastAsia" w:ascii="宋体" w:hAnsi="宋体"/>
          <w:sz w:val="28"/>
          <w:szCs w:val="28"/>
        </w:rPr>
        <w:t>1.5</w:t>
      </w:r>
      <w:r>
        <w:rPr>
          <w:rFonts w:ascii="宋体" w:hAnsi="宋体"/>
          <w:sz w:val="28"/>
          <w:szCs w:val="28"/>
        </w:rPr>
        <w:t>%+1.5%-1%=</w:t>
      </w:r>
      <w:r>
        <w:rPr>
          <w:rFonts w:hint="eastAsia" w:ascii="宋体" w:hAnsi="宋体"/>
          <w:sz w:val="28"/>
          <w:szCs w:val="28"/>
        </w:rPr>
        <w:t>6.5</w:t>
      </w:r>
      <w:r>
        <w:rPr>
          <w:rFonts w:ascii="宋体" w:hAnsi="宋体"/>
          <w:sz w:val="28"/>
          <w:szCs w:val="28"/>
        </w:rPr>
        <w:t>%</w:t>
      </w:r>
      <w:r>
        <w:rPr>
          <w:rFonts w:hint="eastAsia" w:ascii="宋体" w:hAnsi="宋体"/>
          <w:sz w:val="28"/>
          <w:szCs w:val="28"/>
        </w:rPr>
        <w:t>。</w:t>
      </w:r>
    </w:p>
    <w:p>
      <w:pPr>
        <w:snapToGrid w:val="0"/>
        <w:spacing w:line="360" w:lineRule="auto"/>
        <w:ind w:firstLine="560" w:firstLineChars="200"/>
        <w:rPr>
          <w:rFonts w:ascii="黑体" w:hAnsi="黑体" w:eastAsia="黑体"/>
          <w:sz w:val="24"/>
        </w:rPr>
      </w:pPr>
      <w:r>
        <w:rPr>
          <w:rFonts w:hint="eastAsia" w:ascii="宋体" w:hAnsi="宋体"/>
          <w:sz w:val="28"/>
          <w:szCs w:val="28"/>
        </w:rPr>
        <w:t>净收益递增率的确定：根据注册房地产估价师对临沧市近年以来商业房地产租赁市场租金水平的调查，并综合考虑估价对象的位置、自身品质及发展潜力等因素综合确定净收益增长率为3</w:t>
      </w:r>
      <w:r>
        <w:rPr>
          <w:rFonts w:ascii="宋体" w:hAnsi="宋体"/>
          <w:sz w:val="28"/>
          <w:szCs w:val="28"/>
        </w:rPr>
        <w:t>%</w:t>
      </w:r>
      <w:r>
        <w:rPr>
          <w:rFonts w:hint="eastAsia" w:ascii="宋体" w:hAnsi="宋体"/>
          <w:sz w:val="28"/>
          <w:szCs w:val="28"/>
        </w:rPr>
        <w:t>。</w:t>
      </w:r>
    </w:p>
    <w:p>
      <w:pPr>
        <w:spacing w:line="360" w:lineRule="auto"/>
        <w:ind w:firstLine="560" w:firstLineChars="200"/>
        <w:rPr>
          <w:rFonts w:ascii="宋体" w:hAnsi="宋体" w:cs="宋体"/>
          <w:bCs/>
          <w:sz w:val="28"/>
          <w:szCs w:val="28"/>
        </w:rPr>
      </w:pPr>
      <w:r>
        <w:rPr>
          <w:rFonts w:hint="eastAsia" w:ascii="宋体" w:hAnsi="宋体"/>
          <w:sz w:val="28"/>
          <w:szCs w:val="28"/>
        </w:rPr>
        <w:t>收益期确定:</w:t>
      </w:r>
      <w:r>
        <w:rPr>
          <w:rFonts w:hint="eastAsia" w:ascii="宋体" w:hAnsi="宋体" w:cs="宋体"/>
          <w:bCs/>
          <w:sz w:val="28"/>
          <w:szCs w:val="28"/>
        </w:rPr>
        <w:t>估价对象主体工程建成于2015年，钢混结构，房屋经济寿命为60年，已使用6年，房屋剩余经济寿命为54年。土地使用权年限按本次估价对象酒店用途对应的商服用地出让最高年限40年设定，根据孰短原则，确定土地使用权40年为收益年限。</w:t>
      </w:r>
    </w:p>
    <w:p>
      <w:pPr>
        <w:spacing w:line="360" w:lineRule="auto"/>
        <w:ind w:firstLine="560" w:firstLineChars="200"/>
        <w:rPr>
          <w:rFonts w:ascii="宋体" w:hAnsi="宋体"/>
          <w:sz w:val="28"/>
          <w:szCs w:val="28"/>
        </w:rPr>
      </w:pPr>
      <w:r>
        <w:rPr>
          <w:rFonts w:hint="eastAsia" w:ascii="宋体" w:hAnsi="宋体"/>
          <w:sz w:val="28"/>
          <w:szCs w:val="28"/>
        </w:rPr>
        <w:t>持有期内的收益价值折现到价值时点的收益价值＝</w:t>
      </w:r>
      <w:r>
        <w:rPr>
          <w:rFonts w:hint="eastAsia" w:ascii="宋体" w:hAnsi="宋体" w:cs="宋体"/>
          <w:sz w:val="28"/>
          <w:szCs w:val="28"/>
        </w:rPr>
        <w:t>659</w:t>
      </w:r>
      <w:r>
        <w:rPr>
          <w:rFonts w:hint="eastAsia" w:ascii="宋体" w:hAnsi="宋体"/>
          <w:sz w:val="28"/>
          <w:szCs w:val="28"/>
        </w:rPr>
        <w:t>÷（6</w:t>
      </w:r>
      <w:r>
        <w:rPr>
          <w:rFonts w:ascii="宋体" w:hAnsi="宋体"/>
          <w:sz w:val="28"/>
          <w:szCs w:val="28"/>
        </w:rPr>
        <w:t>.5%-</w:t>
      </w:r>
      <w:r>
        <w:rPr>
          <w:rFonts w:hint="eastAsia" w:ascii="宋体" w:hAnsi="宋体"/>
          <w:sz w:val="28"/>
          <w:szCs w:val="28"/>
        </w:rPr>
        <w:t>3</w:t>
      </w:r>
      <w:r>
        <w:rPr>
          <w:rFonts w:ascii="宋体" w:hAnsi="宋体"/>
          <w:sz w:val="28"/>
          <w:szCs w:val="28"/>
        </w:rPr>
        <w:t>%</w:t>
      </w:r>
      <w:r>
        <w:rPr>
          <w:rFonts w:hint="eastAsia" w:ascii="宋体" w:hAnsi="宋体"/>
          <w:sz w:val="28"/>
          <w:szCs w:val="28"/>
        </w:rPr>
        <w:t>）×</w:t>
      </w:r>
      <w:r>
        <w:rPr>
          <w:rFonts w:ascii="宋体"/>
          <w:sz w:val="28"/>
          <w:szCs w:val="28"/>
        </w:rPr>
        <w:t>{</w:t>
      </w:r>
      <w:r>
        <w:rPr>
          <w:rFonts w:ascii="宋体" w:hAnsi="宋体"/>
          <w:sz w:val="28"/>
          <w:szCs w:val="28"/>
        </w:rPr>
        <w:t>1-[(1+</w:t>
      </w:r>
      <w:r>
        <w:rPr>
          <w:rFonts w:hint="eastAsia" w:ascii="宋体" w:hAnsi="宋体"/>
          <w:sz w:val="28"/>
          <w:szCs w:val="28"/>
        </w:rPr>
        <w:t>3</w:t>
      </w:r>
      <w:r>
        <w:rPr>
          <w:rFonts w:ascii="宋体" w:hAnsi="宋体"/>
          <w:sz w:val="28"/>
          <w:szCs w:val="28"/>
        </w:rPr>
        <w:t>%)</w:t>
      </w:r>
      <w:r>
        <w:rPr>
          <w:rFonts w:hint="eastAsia" w:ascii="宋体" w:hAnsi="宋体"/>
          <w:sz w:val="28"/>
          <w:szCs w:val="28"/>
        </w:rPr>
        <w:t>÷</w:t>
      </w:r>
      <w:r>
        <w:rPr>
          <w:rFonts w:ascii="宋体" w:hAnsi="宋体"/>
          <w:sz w:val="28"/>
          <w:szCs w:val="28"/>
        </w:rPr>
        <w:t>(1+</w:t>
      </w:r>
      <w:r>
        <w:rPr>
          <w:rFonts w:hint="eastAsia" w:ascii="宋体" w:hAnsi="宋体"/>
          <w:sz w:val="28"/>
          <w:szCs w:val="28"/>
        </w:rPr>
        <w:t>6</w:t>
      </w:r>
      <w:r>
        <w:rPr>
          <w:rFonts w:ascii="宋体" w:hAnsi="宋体"/>
          <w:sz w:val="28"/>
          <w:szCs w:val="28"/>
        </w:rPr>
        <w:t>.5%)</w:t>
      </w:r>
      <w:r>
        <w:rPr>
          <w:rFonts w:ascii="宋体" w:hAnsi="宋体"/>
          <w:sz w:val="24"/>
        </w:rPr>
        <w:t>]</w:t>
      </w:r>
      <w:r>
        <w:rPr>
          <w:rFonts w:hint="eastAsia" w:ascii="宋体" w:hAnsi="宋体"/>
          <w:sz w:val="24"/>
          <w:vertAlign w:val="superscript"/>
        </w:rPr>
        <w:t>40</w:t>
      </w:r>
      <w:r>
        <w:rPr>
          <w:rFonts w:ascii="宋体"/>
          <w:sz w:val="24"/>
        </w:rPr>
        <w:t>}</w:t>
      </w:r>
      <w:r>
        <w:rPr>
          <w:rFonts w:hint="eastAsia" w:ascii="宋体" w:hAnsi="宋体"/>
          <w:sz w:val="28"/>
          <w:szCs w:val="28"/>
        </w:rPr>
        <w:t>＝13884（元</w:t>
      </w:r>
      <w:r>
        <w:rPr>
          <w:rFonts w:ascii="宋体" w:hAnsi="宋体"/>
          <w:sz w:val="28"/>
          <w:szCs w:val="28"/>
        </w:rPr>
        <w:t>/</w:t>
      </w:r>
      <w:r>
        <w:rPr>
          <w:rFonts w:hint="eastAsia" w:ascii="宋体" w:hAnsi="宋体"/>
          <w:sz w:val="28"/>
          <w:szCs w:val="28"/>
        </w:rPr>
        <w:t>平方米）</w:t>
      </w:r>
    </w:p>
    <w:p>
      <w:pPr>
        <w:spacing w:line="360" w:lineRule="auto"/>
        <w:ind w:firstLine="560" w:firstLineChars="200"/>
        <w:rPr>
          <w:rFonts w:ascii="宋体" w:hAnsi="宋体"/>
          <w:sz w:val="28"/>
          <w:szCs w:val="28"/>
        </w:rPr>
      </w:pPr>
      <w:r>
        <w:rPr>
          <w:rFonts w:hint="eastAsia"/>
          <w:sz w:val="28"/>
          <w:szCs w:val="28"/>
        </w:rPr>
        <w:t>全剩余寿命模式收益法评估测算的收益价值=收益期内收益折现到价值时点的收益价值+期末残余折现到价值时点的价值=</w:t>
      </w:r>
      <w:r>
        <w:rPr>
          <w:rFonts w:hint="eastAsia" w:ascii="宋体" w:hAnsi="宋体"/>
          <w:sz w:val="28"/>
          <w:szCs w:val="28"/>
        </w:rPr>
        <w:t>13884+37=13921元/平方米。</w:t>
      </w:r>
    </w:p>
    <w:p>
      <w:pPr>
        <w:pStyle w:val="26"/>
        <w:numPr>
          <w:ilvl w:val="0"/>
          <w:numId w:val="4"/>
        </w:numPr>
        <w:spacing w:after="0" w:line="360" w:lineRule="auto"/>
        <w:ind w:firstLine="280" w:firstLineChars="100"/>
        <w:rPr>
          <w:rFonts w:ascii="宋体" w:hAnsi="宋体" w:cs="宋体"/>
          <w:sz w:val="28"/>
        </w:rPr>
      </w:pPr>
      <w:r>
        <w:rPr>
          <w:rFonts w:hint="eastAsia" w:ascii="宋体" w:hAnsi="宋体" w:cs="宋体"/>
          <w:sz w:val="28"/>
        </w:rPr>
        <w:t>确定</w:t>
      </w:r>
      <w:r>
        <w:rPr>
          <w:rFonts w:hint="eastAsia" w:ascii="宋体" w:hAnsi="宋体" w:cs="宋体"/>
          <w:kern w:val="2"/>
          <w:sz w:val="28"/>
          <w:szCs w:val="28"/>
        </w:rPr>
        <w:t>后续开发的必要支出及应得利润</w:t>
      </w:r>
    </w:p>
    <w:p>
      <w:pPr>
        <w:spacing w:line="360" w:lineRule="auto"/>
        <w:ind w:firstLine="560" w:firstLineChars="200"/>
        <w:rPr>
          <w:rFonts w:ascii="宋体" w:hAnsi="宋体" w:cs="宋体"/>
          <w:sz w:val="28"/>
          <w:szCs w:val="28"/>
        </w:rPr>
      </w:pPr>
      <w:r>
        <w:rPr>
          <w:rFonts w:hint="eastAsia"/>
          <w:sz w:val="28"/>
          <w:szCs w:val="28"/>
        </w:rPr>
        <w:t>由于估价对象属于整个建设工程已经完成或接近完成，只是尚未交付使用的在建工程，可采用工程形象进度法进行评估，按在建工程建成后的房地产的市场价值结合工程形象进度作适当扣减作为其评估值。本次估价采用形象进度法</w:t>
      </w:r>
      <w:r>
        <w:rPr>
          <w:rFonts w:hint="eastAsia" w:ascii="宋体" w:hAnsi="宋体" w:cs="宋体"/>
          <w:sz w:val="28"/>
        </w:rPr>
        <w:t>确定</w:t>
      </w:r>
      <w:r>
        <w:rPr>
          <w:rFonts w:hint="eastAsia" w:ascii="宋体" w:hAnsi="宋体" w:cs="宋体"/>
          <w:sz w:val="28"/>
          <w:szCs w:val="28"/>
        </w:rPr>
        <w:t>后续开发的必要支出及应得利润。</w:t>
      </w:r>
    </w:p>
    <w:p>
      <w:pPr>
        <w:spacing w:line="360" w:lineRule="auto"/>
        <w:ind w:firstLine="560" w:firstLineChars="200"/>
        <w:rPr>
          <w:sz w:val="28"/>
          <w:szCs w:val="28"/>
        </w:rPr>
      </w:pPr>
      <w:r>
        <w:rPr>
          <w:rFonts w:hint="eastAsia"/>
          <w:sz w:val="28"/>
          <w:szCs w:val="28"/>
        </w:rPr>
        <w:t>工程形象进度百分比 =（实际完成建筑工程量+实际完成安装工程量）/总工程量×100%=99%</w:t>
      </w:r>
    </w:p>
    <w:p>
      <w:pPr>
        <w:spacing w:line="360" w:lineRule="auto"/>
        <w:ind w:firstLine="560" w:firstLineChars="200"/>
        <w:rPr>
          <w:sz w:val="28"/>
          <w:szCs w:val="28"/>
        </w:rPr>
      </w:pPr>
      <w:r>
        <w:rPr>
          <w:rFonts w:hint="eastAsia"/>
          <w:sz w:val="28"/>
          <w:szCs w:val="28"/>
        </w:rPr>
        <w:t>折扣率的确定考虑营销支出、广告费用和风险收益等因素,综合确定为10%。</w:t>
      </w:r>
    </w:p>
    <w:p>
      <w:pPr>
        <w:spacing w:line="360" w:lineRule="auto"/>
        <w:ind w:firstLine="560" w:firstLineChars="200"/>
        <w:rPr>
          <w:rFonts w:ascii="宋体" w:hAnsi="宋体" w:cs="宋体"/>
          <w:sz w:val="28"/>
          <w:szCs w:val="28"/>
        </w:rPr>
      </w:pPr>
      <w:r>
        <w:rPr>
          <w:rFonts w:hint="eastAsia"/>
          <w:sz w:val="28"/>
          <w:szCs w:val="28"/>
        </w:rPr>
        <w:t>通过测算确定</w:t>
      </w:r>
      <w:r>
        <w:rPr>
          <w:rFonts w:hint="eastAsia" w:ascii="宋体" w:hAnsi="宋体" w:cs="宋体"/>
          <w:sz w:val="28"/>
          <w:szCs w:val="28"/>
        </w:rPr>
        <w:t>后续开发的必要支出及应得利润=开发完成后的房地产价值×[1-工程形象进度百分比×（1—折扣率）]=开发完成后的价值×（1-89%）</w:t>
      </w:r>
    </w:p>
    <w:p>
      <w:pPr>
        <w:pStyle w:val="26"/>
        <w:numPr>
          <w:ilvl w:val="0"/>
          <w:numId w:val="4"/>
        </w:numPr>
        <w:spacing w:after="0" w:line="360" w:lineRule="auto"/>
        <w:ind w:firstLine="280" w:firstLineChars="100"/>
        <w:rPr>
          <w:rFonts w:ascii="宋体" w:hAnsi="宋体" w:cs="宋体"/>
          <w:sz w:val="28"/>
        </w:rPr>
      </w:pPr>
      <w:r>
        <w:rPr>
          <w:rFonts w:hint="eastAsia" w:ascii="宋体" w:hAnsi="宋体" w:cs="宋体"/>
          <w:kern w:val="2"/>
          <w:sz w:val="28"/>
          <w:szCs w:val="28"/>
        </w:rPr>
        <w:t>确定估价对象的评估价值</w:t>
      </w:r>
    </w:p>
    <w:p>
      <w:pPr>
        <w:adjustRightInd w:val="0"/>
        <w:snapToGrid w:val="0"/>
        <w:spacing w:line="360" w:lineRule="auto"/>
        <w:ind w:firstLine="420" w:firstLineChars="150"/>
        <w:rPr>
          <w:rFonts w:ascii="宋体" w:hAnsi="宋体" w:cs="宋体"/>
          <w:sz w:val="28"/>
          <w:szCs w:val="28"/>
        </w:rPr>
      </w:pPr>
      <w:r>
        <w:rPr>
          <w:rFonts w:hint="eastAsia" w:ascii="宋体" w:hAnsi="宋体" w:cs="宋体"/>
          <w:sz w:val="28"/>
        </w:rPr>
        <w:t xml:space="preserve"> </w:t>
      </w:r>
      <w:r>
        <w:rPr>
          <w:rFonts w:hint="eastAsia" w:ascii="宋体" w:hAnsi="宋体" w:cs="宋体"/>
          <w:sz w:val="28"/>
          <w:szCs w:val="28"/>
        </w:rPr>
        <w:t>估价对象价值=开发完成后的价值-后续开发的必要支出及应得利润</w:t>
      </w:r>
    </w:p>
    <w:p>
      <w:pPr>
        <w:adjustRightInd w:val="0"/>
        <w:snapToGrid w:val="0"/>
        <w:spacing w:line="360" w:lineRule="auto"/>
        <w:ind w:firstLine="420" w:firstLineChars="150"/>
        <w:rPr>
          <w:rFonts w:ascii="宋体" w:hAnsi="宋体" w:cs="宋体"/>
          <w:sz w:val="28"/>
          <w:szCs w:val="28"/>
        </w:rPr>
      </w:pPr>
      <w:r>
        <w:rPr>
          <w:rFonts w:hint="eastAsia" w:ascii="宋体" w:hAnsi="宋体" w:cs="宋体"/>
          <w:sz w:val="28"/>
          <w:szCs w:val="28"/>
        </w:rPr>
        <w:t xml:space="preserve">             =开发完成后的价值×89%</w:t>
      </w:r>
    </w:p>
    <w:p>
      <w:pPr>
        <w:spacing w:line="360" w:lineRule="auto"/>
        <w:ind w:firstLine="562" w:firstLineChars="200"/>
        <w:outlineLvl w:val="1"/>
        <w:rPr>
          <w:rFonts w:ascii="宋体" w:cs="宋体"/>
          <w:b/>
          <w:sz w:val="28"/>
          <w:szCs w:val="28"/>
        </w:rPr>
      </w:pPr>
      <w:bookmarkStart w:id="686" w:name="_Toc13152"/>
      <w:bookmarkStart w:id="687" w:name="_Toc27198"/>
      <w:bookmarkStart w:id="688" w:name="_Toc20766"/>
      <w:bookmarkStart w:id="689" w:name="_Toc18136"/>
      <w:bookmarkStart w:id="690" w:name="_Toc22170"/>
      <w:bookmarkStart w:id="691" w:name="_Toc6712"/>
      <w:r>
        <w:rPr>
          <w:rFonts w:hint="eastAsia" w:ascii="宋体" w:hAnsi="宋体" w:cs="宋体"/>
          <w:b/>
          <w:sz w:val="28"/>
          <w:szCs w:val="28"/>
        </w:rPr>
        <w:t>十一、估价结果</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spacing w:line="360" w:lineRule="auto"/>
        <w:ind w:firstLine="560" w:firstLineChars="200"/>
        <w:rPr>
          <w:rFonts w:ascii="宋体" w:cs="宋体"/>
          <w:sz w:val="28"/>
        </w:rPr>
      </w:pPr>
      <w:bookmarkStart w:id="692" w:name="_Toc404084883"/>
      <w:bookmarkStart w:id="693" w:name="_Toc30218"/>
      <w:bookmarkStart w:id="694" w:name="_Toc6593"/>
      <w:bookmarkStart w:id="695" w:name="_Toc9485"/>
      <w:bookmarkStart w:id="696" w:name="_Toc23077"/>
      <w:bookmarkStart w:id="697" w:name="_Toc9986"/>
      <w:bookmarkStart w:id="698" w:name="_Toc5273"/>
      <w:bookmarkStart w:id="699" w:name="_Toc9347"/>
      <w:bookmarkStart w:id="700" w:name="_Toc25487"/>
      <w:bookmarkStart w:id="701" w:name="_Toc24932"/>
      <w:bookmarkStart w:id="702" w:name="_Toc355786949"/>
      <w:bookmarkStart w:id="703" w:name="_Toc357774377"/>
      <w:r>
        <w:rPr>
          <w:rFonts w:hint="eastAsia" w:ascii="宋体" w:hAnsi="宋体" w:cs="宋体"/>
          <w:sz w:val="28"/>
          <w:szCs w:val="28"/>
        </w:rPr>
        <w:t>本估价机构依据估价委托人提供的作为估价基础的相关资料，根据国家标准</w:t>
      </w:r>
      <w:r>
        <w:rPr>
          <w:rFonts w:hint="eastAsia" w:ascii="宋体" w:hAnsi="宋体" w:cs="宋体"/>
          <w:sz w:val="28"/>
        </w:rPr>
        <w:t>《房地产估价规范》（</w:t>
      </w:r>
      <w:r>
        <w:rPr>
          <w:rFonts w:ascii="宋体" w:hAnsi="宋体" w:cs="宋体"/>
          <w:sz w:val="28"/>
        </w:rPr>
        <w:t>GB/T50291—2015</w:t>
      </w:r>
      <w:r>
        <w:rPr>
          <w:rFonts w:hint="eastAsia" w:ascii="宋体" w:hAnsi="宋体" w:cs="宋体"/>
          <w:sz w:val="28"/>
        </w:rPr>
        <w:t>）、《房地产估价基本术语标准》（</w:t>
      </w:r>
      <w:r>
        <w:rPr>
          <w:rFonts w:ascii="宋体" w:hAnsi="宋体" w:cs="宋体"/>
          <w:sz w:val="28"/>
        </w:rPr>
        <w:t>GB/T50899—2013</w:t>
      </w:r>
      <w:r>
        <w:rPr>
          <w:rFonts w:hint="eastAsia" w:ascii="宋体" w:hAnsi="宋体" w:cs="宋体"/>
          <w:sz w:val="28"/>
        </w:rPr>
        <w:t>）及国家相关法律、法规和政策规定</w:t>
      </w:r>
      <w:r>
        <w:rPr>
          <w:rFonts w:hint="eastAsia" w:ascii="宋体" w:hAnsi="宋体" w:cs="宋体"/>
          <w:sz w:val="28"/>
          <w:szCs w:val="28"/>
        </w:rPr>
        <w:t>，根据估价目的，遵循估价原则和估价依据，按照估价程序，在实施现场查勘、实物拍照、收集资料、市场调查与询证后，采用公认的、适宜的房地产估价方法，本着“独立、客观、公正”的行为原则，在认真分析评估基础资料及深入市场调查的基础上，结合注册房地产估价师经验判断与对影响房地产市场价值因素的分析，在满足本估价报告中已说明的估价假设和限制条件下，经过评估测算，最终确定估价对象在满足本报告价值类型及价值内涵设定条件下，估价对象</w:t>
      </w:r>
      <w:r>
        <w:rPr>
          <w:rFonts w:hint="eastAsia" w:ascii="宋体" w:hAnsi="宋体" w:cs="宋体"/>
          <w:sz w:val="28"/>
        </w:rPr>
        <w:t>于价值时点</w:t>
      </w:r>
      <w:r>
        <w:rPr>
          <w:rFonts w:ascii="宋体" w:hAnsi="宋体" w:cs="宋体"/>
          <w:bCs/>
          <w:sz w:val="28"/>
        </w:rPr>
        <w:t>2021年05月31日</w:t>
      </w:r>
      <w:r>
        <w:rPr>
          <w:rFonts w:hint="eastAsia" w:ascii="宋体" w:hAnsi="宋体" w:cs="宋体"/>
          <w:sz w:val="28"/>
        </w:rPr>
        <w:t>的市场价值评估结果如下：</w:t>
      </w:r>
    </w:p>
    <w:p>
      <w:pPr>
        <w:spacing w:line="360" w:lineRule="auto"/>
        <w:ind w:firstLine="560" w:firstLineChars="200"/>
        <w:rPr>
          <w:rFonts w:ascii="宋体" w:cs="宋体"/>
          <w:sz w:val="28"/>
          <w:szCs w:val="28"/>
        </w:rPr>
      </w:pPr>
      <w:r>
        <w:rPr>
          <w:rFonts w:hint="eastAsia" w:ascii="宋体" w:hAnsi="宋体" w:cs="宋体"/>
          <w:sz w:val="28"/>
        </w:rPr>
        <w:t>评估价值：人民币8430.99万元；大写：</w:t>
      </w:r>
      <w:r>
        <w:rPr>
          <w:rFonts w:hint="eastAsia" w:ascii="宋体" w:cs="宋体"/>
          <w:sz w:val="28"/>
          <w:szCs w:val="28"/>
        </w:rPr>
        <w:t>人民币</w:t>
      </w:r>
      <w:r>
        <w:rPr>
          <w:rFonts w:hint="eastAsia" w:ascii="宋体" w:hAnsi="宋体" w:cs="宋体"/>
          <w:sz w:val="28"/>
        </w:rPr>
        <w:fldChar w:fldCharType="begin"/>
      </w:r>
      <w:r>
        <w:rPr>
          <w:rFonts w:hint="eastAsia" w:ascii="宋体" w:hAnsi="宋体" w:cs="宋体"/>
          <w:sz w:val="28"/>
        </w:rPr>
        <w:instrText xml:space="preserve"> = 6412361 \* CHINESENUM2 \* MERGEFORMAT </w:instrText>
      </w:r>
      <w:r>
        <w:rPr>
          <w:rFonts w:hint="eastAsia" w:ascii="宋体" w:hAnsi="宋体" w:cs="宋体"/>
          <w:sz w:val="28"/>
        </w:rPr>
        <w:fldChar w:fldCharType="separate"/>
      </w:r>
      <w:r>
        <w:rPr>
          <w:rFonts w:hint="eastAsia" w:ascii="宋体" w:hAnsi="宋体" w:cs="宋体"/>
          <w:sz w:val="28"/>
        </w:rPr>
        <w:t>捌仟肆佰叁拾万玖仟玖佰</w:t>
      </w:r>
      <w:r>
        <w:rPr>
          <w:rFonts w:hint="eastAsia" w:ascii="宋体" w:hAnsi="宋体" w:cs="宋体"/>
          <w:sz w:val="28"/>
        </w:rPr>
        <w:fldChar w:fldCharType="end"/>
      </w:r>
      <w:r>
        <w:rPr>
          <w:rFonts w:hint="eastAsia" w:ascii="宋体" w:cs="宋体"/>
          <w:sz w:val="28"/>
          <w:szCs w:val="28"/>
        </w:rPr>
        <w:t>元整。</w:t>
      </w:r>
    </w:p>
    <w:p>
      <w:pPr>
        <w:spacing w:line="360" w:lineRule="auto"/>
        <w:ind w:firstLine="560" w:firstLineChars="200"/>
        <w:rPr>
          <w:rFonts w:ascii="宋体" w:cs="宋体"/>
          <w:sz w:val="28"/>
          <w:szCs w:val="28"/>
        </w:rPr>
      </w:pPr>
      <w:r>
        <w:rPr>
          <w:rFonts w:hint="eastAsia" w:ascii="宋体" w:cs="宋体"/>
          <w:sz w:val="28"/>
          <w:szCs w:val="28"/>
        </w:rPr>
        <w:t>综合评估单价：人民币</w:t>
      </w:r>
      <w:r>
        <w:rPr>
          <w:rFonts w:hint="eastAsia" w:ascii="宋体" w:hAnsi="宋体" w:cs="宋体"/>
          <w:sz w:val="28"/>
        </w:rPr>
        <w:t>5764</w:t>
      </w:r>
      <w:r>
        <w:rPr>
          <w:rFonts w:hint="eastAsia" w:ascii="宋体" w:cs="宋体"/>
          <w:sz w:val="28"/>
          <w:szCs w:val="28"/>
        </w:rPr>
        <w:t>元</w:t>
      </w:r>
      <w:r>
        <w:rPr>
          <w:rFonts w:ascii="宋体" w:cs="宋体"/>
          <w:sz w:val="28"/>
          <w:szCs w:val="28"/>
        </w:rPr>
        <w:t>/</w:t>
      </w:r>
      <w:r>
        <w:rPr>
          <w:rFonts w:hint="eastAsia" w:ascii="宋体" w:cs="宋体"/>
          <w:sz w:val="28"/>
          <w:szCs w:val="28"/>
        </w:rPr>
        <w:t>平方米；大写：人民币每平方米伍仟柒佰陆拾肆元整。</w:t>
      </w:r>
    </w:p>
    <w:p>
      <w:pPr>
        <w:spacing w:line="360" w:lineRule="auto"/>
        <w:ind w:firstLine="560" w:firstLineChars="200"/>
        <w:rPr>
          <w:rFonts w:ascii="宋体" w:cs="宋体"/>
          <w:sz w:val="28"/>
          <w:szCs w:val="28"/>
        </w:rPr>
      </w:pPr>
      <w:r>
        <w:rPr>
          <w:rFonts w:hint="eastAsia" w:ascii="宋体" w:cs="宋体"/>
          <w:sz w:val="28"/>
          <w:szCs w:val="28"/>
        </w:rPr>
        <w:t>详见：估价结果汇总表、估价结果明细表。</w:t>
      </w:r>
    </w:p>
    <w:p>
      <w:pPr>
        <w:spacing w:line="360" w:lineRule="auto"/>
        <w:ind w:firstLine="560" w:firstLineChars="200"/>
        <w:rPr>
          <w:rFonts w:ascii="宋体" w:cs="宋体"/>
          <w:sz w:val="28"/>
          <w:szCs w:val="28"/>
        </w:rPr>
      </w:pPr>
    </w:p>
    <w:p>
      <w:pPr>
        <w:spacing w:line="360" w:lineRule="auto"/>
        <w:ind w:firstLine="560" w:firstLineChars="200"/>
        <w:rPr>
          <w:rFonts w:ascii="宋体" w:cs="宋体"/>
          <w:sz w:val="28"/>
          <w:szCs w:val="28"/>
        </w:rPr>
      </w:pPr>
    </w:p>
    <w:p>
      <w:pPr>
        <w:spacing w:line="360" w:lineRule="auto"/>
        <w:ind w:firstLine="560" w:firstLineChars="200"/>
        <w:rPr>
          <w:rFonts w:ascii="宋体" w:cs="宋体"/>
          <w:sz w:val="28"/>
          <w:szCs w:val="28"/>
        </w:rPr>
      </w:pPr>
    </w:p>
    <w:p>
      <w:pPr>
        <w:spacing w:line="360" w:lineRule="auto"/>
        <w:ind w:firstLine="560" w:firstLineChars="200"/>
        <w:rPr>
          <w:rFonts w:ascii="宋体" w:cs="宋体"/>
          <w:sz w:val="28"/>
          <w:szCs w:val="28"/>
        </w:rPr>
      </w:pPr>
    </w:p>
    <w:p>
      <w:pPr>
        <w:spacing w:line="360" w:lineRule="auto"/>
        <w:ind w:firstLine="560" w:firstLineChars="200"/>
        <w:rPr>
          <w:rFonts w:ascii="宋体" w:cs="宋体"/>
          <w:sz w:val="28"/>
          <w:szCs w:val="28"/>
        </w:rPr>
      </w:pPr>
    </w:p>
    <w:p>
      <w:pPr>
        <w:pStyle w:val="26"/>
        <w:spacing w:after="0" w:line="500" w:lineRule="exact"/>
        <w:ind w:firstLine="562" w:firstLineChars="200"/>
        <w:jc w:val="center"/>
        <w:rPr>
          <w:rFonts w:ascii="宋体" w:hAnsi="宋体" w:cs="宋体"/>
          <w:b/>
          <w:sz w:val="28"/>
          <w:highlight w:val="yellow"/>
        </w:rPr>
      </w:pPr>
    </w:p>
    <w:p>
      <w:pPr>
        <w:pStyle w:val="26"/>
        <w:spacing w:after="0" w:line="500" w:lineRule="exact"/>
        <w:ind w:firstLine="562" w:firstLineChars="200"/>
        <w:jc w:val="center"/>
        <w:rPr>
          <w:rFonts w:ascii="宋体" w:cs="宋体"/>
          <w:b/>
          <w:sz w:val="28"/>
        </w:rPr>
      </w:pPr>
      <w:r>
        <w:rPr>
          <w:rFonts w:hint="eastAsia" w:ascii="宋体" w:hAnsi="宋体" w:cs="宋体"/>
          <w:b/>
          <w:sz w:val="28"/>
        </w:rPr>
        <w:t>估价结果汇总表</w:t>
      </w:r>
    </w:p>
    <w:p>
      <w:pPr>
        <w:ind w:firstLine="7140" w:firstLineChars="3400"/>
        <w:rPr>
          <w:rFonts w:ascii="宋体" w:cs="宋体"/>
        </w:rPr>
      </w:pPr>
      <w:r>
        <w:rPr>
          <w:rFonts w:hint="eastAsia" w:ascii="宋体" w:hAnsi="宋体" w:cs="宋体"/>
        </w:rPr>
        <w:t>币种：人民币</w:t>
      </w:r>
    </w:p>
    <w:tbl>
      <w:tblPr>
        <w:tblStyle w:val="29"/>
        <w:tblW w:w="936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47"/>
        <w:gridCol w:w="2805"/>
        <w:gridCol w:w="44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4952" w:type="dxa"/>
            <w:gridSpan w:val="2"/>
            <w:tcBorders>
              <w:top w:val="single" w:color="auto" w:sz="4" w:space="0"/>
              <w:left w:val="single" w:color="auto" w:sz="4" w:space="0"/>
              <w:bottom w:val="single" w:color="auto" w:sz="4" w:space="0"/>
              <w:tl2br w:val="single" w:color="auto" w:sz="4" w:space="0"/>
            </w:tcBorders>
            <w:vAlign w:val="center"/>
          </w:tcPr>
          <w:p>
            <w:pPr>
              <w:jc w:val="center"/>
              <w:rPr>
                <w:rFonts w:ascii="宋体" w:cs="宋体"/>
              </w:rPr>
            </w:pPr>
            <w:r>
              <w:rPr>
                <w:rFonts w:ascii="宋体" w:hAnsi="宋体" w:cs="宋体"/>
              </w:rPr>
              <w:t xml:space="preserve">                                 </w:t>
            </w:r>
            <w:r>
              <w:rPr>
                <w:rFonts w:hint="eastAsia" w:ascii="宋体" w:hAnsi="宋体" w:cs="宋体"/>
              </w:rPr>
              <w:t>估价方法</w:t>
            </w:r>
          </w:p>
          <w:p>
            <w:pPr>
              <w:ind w:firstLine="315" w:firstLineChars="150"/>
              <w:rPr>
                <w:rFonts w:ascii="宋体" w:cs="宋体"/>
              </w:rPr>
            </w:pPr>
            <w:r>
              <w:rPr>
                <w:rFonts w:hint="eastAsia" w:ascii="宋体" w:hAnsi="宋体" w:cs="宋体"/>
              </w:rPr>
              <w:t>相关结果</w:t>
            </w:r>
          </w:p>
        </w:tc>
        <w:tc>
          <w:tcPr>
            <w:tcW w:w="4417" w:type="dxa"/>
            <w:tcBorders>
              <w:top w:val="single" w:color="auto" w:sz="4" w:space="0"/>
              <w:bottom w:val="single" w:color="auto" w:sz="4" w:space="0"/>
              <w:right w:val="single" w:color="auto" w:sz="4" w:space="0"/>
            </w:tcBorders>
            <w:vAlign w:val="center"/>
          </w:tcPr>
          <w:p>
            <w:pPr>
              <w:jc w:val="center"/>
              <w:rPr>
                <w:rFonts w:ascii="宋体" w:cs="宋体"/>
              </w:rPr>
            </w:pPr>
            <w:r>
              <w:rPr>
                <w:rFonts w:hint="eastAsia" w:ascii="宋体" w:hAnsi="宋体" w:cs="宋体"/>
              </w:rPr>
              <w:t>假设开发法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2147" w:type="dxa"/>
            <w:vMerge w:val="restart"/>
            <w:tcBorders>
              <w:top w:val="single" w:color="auto" w:sz="4" w:space="0"/>
              <w:left w:val="single" w:color="auto" w:sz="4" w:space="0"/>
              <w:bottom w:val="single" w:color="auto" w:sz="4" w:space="0"/>
            </w:tcBorders>
            <w:vAlign w:val="center"/>
          </w:tcPr>
          <w:p>
            <w:pPr>
              <w:jc w:val="center"/>
              <w:rPr>
                <w:rFonts w:ascii="宋体" w:cs="宋体"/>
              </w:rPr>
            </w:pPr>
            <w:r>
              <w:rPr>
                <w:rFonts w:hint="eastAsia" w:ascii="宋体" w:hAnsi="宋体" w:cs="宋体"/>
              </w:rPr>
              <w:t>测算结果</w:t>
            </w:r>
          </w:p>
        </w:tc>
        <w:tc>
          <w:tcPr>
            <w:tcW w:w="2805" w:type="dxa"/>
            <w:tcBorders>
              <w:top w:val="single" w:color="auto" w:sz="4" w:space="0"/>
              <w:bottom w:val="single" w:color="auto" w:sz="4" w:space="0"/>
            </w:tcBorders>
            <w:vAlign w:val="center"/>
          </w:tcPr>
          <w:p>
            <w:pPr>
              <w:jc w:val="center"/>
              <w:rPr>
                <w:rFonts w:ascii="宋体" w:cs="宋体"/>
              </w:rPr>
            </w:pPr>
            <w:r>
              <w:rPr>
                <w:rFonts w:hint="eastAsia" w:ascii="宋体" w:hAnsi="宋体" w:cs="宋体"/>
              </w:rPr>
              <w:t>总价（万元）</w:t>
            </w:r>
          </w:p>
        </w:tc>
        <w:tc>
          <w:tcPr>
            <w:tcW w:w="4417" w:type="dxa"/>
            <w:tcBorders>
              <w:top w:val="single" w:color="auto" w:sz="4" w:space="0"/>
              <w:bottom w:val="single" w:color="auto" w:sz="4" w:space="0"/>
              <w:right w:val="single" w:color="auto" w:sz="4" w:space="0"/>
            </w:tcBorders>
            <w:vAlign w:val="center"/>
          </w:tcPr>
          <w:p>
            <w:pPr>
              <w:jc w:val="center"/>
              <w:rPr>
                <w:rFonts w:ascii="宋体" w:cs="宋体"/>
              </w:rPr>
            </w:pPr>
            <w:r>
              <w:rPr>
                <w:rFonts w:hint="eastAsia" w:ascii="宋体" w:cs="宋体"/>
              </w:rPr>
              <w:t>8430.99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2147" w:type="dxa"/>
            <w:vMerge w:val="continue"/>
            <w:tcBorders>
              <w:top w:val="single" w:color="auto" w:sz="4" w:space="0"/>
              <w:left w:val="single" w:color="auto" w:sz="4" w:space="0"/>
              <w:bottom w:val="single" w:color="auto" w:sz="4" w:space="0"/>
            </w:tcBorders>
            <w:vAlign w:val="center"/>
          </w:tcPr>
          <w:p>
            <w:pPr>
              <w:jc w:val="center"/>
              <w:rPr>
                <w:rFonts w:ascii="宋体" w:cs="宋体"/>
              </w:rPr>
            </w:pPr>
          </w:p>
        </w:tc>
        <w:tc>
          <w:tcPr>
            <w:tcW w:w="2805" w:type="dxa"/>
            <w:tcBorders>
              <w:top w:val="single" w:color="auto" w:sz="4" w:space="0"/>
              <w:bottom w:val="single" w:color="auto" w:sz="4" w:space="0"/>
            </w:tcBorders>
            <w:vAlign w:val="center"/>
          </w:tcPr>
          <w:p>
            <w:pPr>
              <w:jc w:val="center"/>
              <w:rPr>
                <w:rFonts w:ascii="宋体" w:cs="宋体"/>
              </w:rPr>
            </w:pPr>
            <w:r>
              <w:rPr>
                <w:rFonts w:hint="eastAsia" w:ascii="宋体" w:hAnsi="宋体" w:cs="宋体"/>
              </w:rPr>
              <w:t>单价（元</w:t>
            </w:r>
            <w:r>
              <w:rPr>
                <w:rFonts w:ascii="宋体" w:hAnsi="宋体" w:cs="宋体"/>
              </w:rPr>
              <w:t>/</w:t>
            </w:r>
            <w:r>
              <w:rPr>
                <w:rFonts w:hint="eastAsia" w:ascii="宋体" w:hAnsi="宋体" w:cs="宋体"/>
              </w:rPr>
              <w:t>㎡）</w:t>
            </w:r>
          </w:p>
        </w:tc>
        <w:tc>
          <w:tcPr>
            <w:tcW w:w="4417" w:type="dxa"/>
            <w:tcBorders>
              <w:top w:val="single" w:color="auto" w:sz="4" w:space="0"/>
              <w:bottom w:val="single" w:color="auto" w:sz="4" w:space="0"/>
              <w:right w:val="single" w:color="auto" w:sz="4" w:space="0"/>
            </w:tcBorders>
            <w:vAlign w:val="center"/>
          </w:tcPr>
          <w:p>
            <w:pPr>
              <w:jc w:val="center"/>
              <w:rPr>
                <w:rFonts w:ascii="宋体" w:cs="宋体"/>
              </w:rPr>
            </w:pPr>
            <w:r>
              <w:rPr>
                <w:rFonts w:hint="eastAsia" w:ascii="宋体" w:cs="宋体"/>
              </w:rPr>
              <w:t>5764.00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147" w:type="dxa"/>
            <w:vMerge w:val="restart"/>
            <w:tcBorders>
              <w:top w:val="single" w:color="auto" w:sz="4" w:space="0"/>
              <w:left w:val="single" w:color="auto" w:sz="4" w:space="0"/>
              <w:bottom w:val="single" w:color="auto" w:sz="4" w:space="0"/>
            </w:tcBorders>
            <w:vAlign w:val="center"/>
          </w:tcPr>
          <w:p>
            <w:pPr>
              <w:jc w:val="center"/>
              <w:rPr>
                <w:rFonts w:ascii="宋体" w:cs="宋体"/>
              </w:rPr>
            </w:pPr>
            <w:r>
              <w:rPr>
                <w:rFonts w:hint="eastAsia" w:ascii="宋体" w:hAnsi="宋体" w:cs="宋体"/>
              </w:rPr>
              <w:t>评估价值</w:t>
            </w:r>
          </w:p>
        </w:tc>
        <w:tc>
          <w:tcPr>
            <w:tcW w:w="2805" w:type="dxa"/>
            <w:tcBorders>
              <w:top w:val="single" w:color="auto" w:sz="4" w:space="0"/>
              <w:bottom w:val="single" w:color="auto" w:sz="4" w:space="0"/>
            </w:tcBorders>
            <w:vAlign w:val="center"/>
          </w:tcPr>
          <w:p>
            <w:pPr>
              <w:jc w:val="center"/>
              <w:rPr>
                <w:rFonts w:ascii="宋体" w:cs="宋体"/>
              </w:rPr>
            </w:pPr>
            <w:r>
              <w:rPr>
                <w:rFonts w:hint="eastAsia" w:ascii="宋体" w:hAnsi="宋体" w:cs="宋体"/>
              </w:rPr>
              <w:t>总价（万元）</w:t>
            </w:r>
          </w:p>
        </w:tc>
        <w:tc>
          <w:tcPr>
            <w:tcW w:w="4417" w:type="dxa"/>
            <w:tcBorders>
              <w:top w:val="single" w:color="auto" w:sz="4" w:space="0"/>
              <w:bottom w:val="single" w:color="auto" w:sz="4" w:space="0"/>
              <w:right w:val="single" w:color="auto" w:sz="4" w:space="0"/>
            </w:tcBorders>
            <w:vAlign w:val="center"/>
          </w:tcPr>
          <w:p>
            <w:pPr>
              <w:jc w:val="center"/>
              <w:rPr>
                <w:rFonts w:ascii="宋体" w:cs="宋体"/>
              </w:rPr>
            </w:pPr>
            <w:r>
              <w:rPr>
                <w:rFonts w:hint="eastAsia" w:ascii="宋体" w:hAnsi="宋体" w:cs="宋体"/>
              </w:rPr>
              <w:t>8430.99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147" w:type="dxa"/>
            <w:vMerge w:val="continue"/>
            <w:tcBorders>
              <w:top w:val="single" w:color="auto" w:sz="4" w:space="0"/>
              <w:left w:val="single" w:color="auto" w:sz="4" w:space="0"/>
              <w:bottom w:val="single" w:color="auto" w:sz="4" w:space="0"/>
            </w:tcBorders>
            <w:vAlign w:val="center"/>
          </w:tcPr>
          <w:p>
            <w:pPr>
              <w:jc w:val="center"/>
              <w:rPr>
                <w:rFonts w:ascii="宋体" w:cs="宋体"/>
              </w:rPr>
            </w:pPr>
          </w:p>
        </w:tc>
        <w:tc>
          <w:tcPr>
            <w:tcW w:w="2805" w:type="dxa"/>
            <w:tcBorders>
              <w:top w:val="single" w:color="auto" w:sz="4" w:space="0"/>
              <w:bottom w:val="single" w:color="auto" w:sz="4" w:space="0"/>
            </w:tcBorders>
            <w:vAlign w:val="center"/>
          </w:tcPr>
          <w:p>
            <w:pPr>
              <w:jc w:val="center"/>
              <w:rPr>
                <w:rFonts w:ascii="宋体" w:cs="宋体"/>
              </w:rPr>
            </w:pPr>
            <w:r>
              <w:rPr>
                <w:rFonts w:hint="eastAsia" w:ascii="宋体" w:hAnsi="宋体" w:cs="宋体"/>
              </w:rPr>
              <w:t>单价（元</w:t>
            </w:r>
            <w:r>
              <w:rPr>
                <w:rFonts w:ascii="宋体" w:hAnsi="宋体" w:cs="宋体"/>
              </w:rPr>
              <w:t>/</w:t>
            </w:r>
            <w:r>
              <w:rPr>
                <w:rFonts w:hint="eastAsia" w:ascii="宋体" w:hAnsi="宋体" w:cs="宋体"/>
              </w:rPr>
              <w:t>㎡）</w:t>
            </w:r>
          </w:p>
        </w:tc>
        <w:tc>
          <w:tcPr>
            <w:tcW w:w="4417" w:type="dxa"/>
            <w:tcBorders>
              <w:top w:val="single" w:color="auto" w:sz="4" w:space="0"/>
              <w:bottom w:val="single" w:color="auto" w:sz="4" w:space="0"/>
              <w:right w:val="single" w:color="auto" w:sz="4" w:space="0"/>
            </w:tcBorders>
            <w:vAlign w:val="center"/>
          </w:tcPr>
          <w:p>
            <w:pPr>
              <w:jc w:val="center"/>
              <w:rPr>
                <w:rFonts w:ascii="宋体" w:cs="宋体"/>
              </w:rPr>
            </w:pPr>
            <w:r>
              <w:rPr>
                <w:rFonts w:hint="eastAsia" w:ascii="宋体" w:hAnsi="宋体" w:cs="宋体"/>
              </w:rPr>
              <w:t>5764.00</w:t>
            </w:r>
          </w:p>
        </w:tc>
      </w:tr>
    </w:tbl>
    <w:p>
      <w:pPr>
        <w:widowControl/>
        <w:rPr>
          <w:rFonts w:ascii="宋体" w:hAnsi="宋体" w:cs="宋体"/>
          <w:b/>
          <w:kern w:val="0"/>
          <w:sz w:val="28"/>
          <w:szCs w:val="28"/>
        </w:rPr>
      </w:pPr>
    </w:p>
    <w:p>
      <w:pPr>
        <w:widowControl/>
        <w:jc w:val="center"/>
        <w:rPr>
          <w:rFonts w:ascii="宋体" w:hAnsi="宋体" w:cs="宋体"/>
          <w:b/>
          <w:kern w:val="0"/>
          <w:sz w:val="28"/>
          <w:szCs w:val="28"/>
        </w:rPr>
      </w:pPr>
      <w:r>
        <w:rPr>
          <w:rFonts w:hint="eastAsia" w:ascii="宋体" w:hAnsi="宋体" w:cs="宋体"/>
          <w:b/>
          <w:kern w:val="0"/>
          <w:sz w:val="28"/>
          <w:szCs w:val="28"/>
        </w:rPr>
        <w:t xml:space="preserve">                     估价结果明细表              </w:t>
      </w:r>
      <w:r>
        <w:rPr>
          <w:rFonts w:hint="eastAsia" w:ascii="宋体" w:hAnsi="宋体" w:cs="宋体"/>
        </w:rPr>
        <w:t>币种：人民币</w:t>
      </w:r>
    </w:p>
    <w:tbl>
      <w:tblPr>
        <w:tblStyle w:val="29"/>
        <w:tblW w:w="9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854"/>
        <w:gridCol w:w="997"/>
        <w:gridCol w:w="918"/>
        <w:gridCol w:w="856"/>
        <w:gridCol w:w="1266"/>
        <w:gridCol w:w="981"/>
        <w:gridCol w:w="742"/>
        <w:gridCol w:w="103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59" w:type="dxa"/>
            <w:vAlign w:val="center"/>
          </w:tcPr>
          <w:p>
            <w:pPr>
              <w:widowControl/>
              <w:jc w:val="center"/>
              <w:rPr>
                <w:rFonts w:cs="宋体" w:asciiTheme="minorEastAsia" w:hAnsiTheme="minorEastAsia" w:eastAsiaTheme="minorEastAsia"/>
                <w:b/>
                <w:kern w:val="0"/>
                <w:sz w:val="28"/>
                <w:szCs w:val="28"/>
              </w:rPr>
            </w:pPr>
            <w:r>
              <w:rPr>
                <w:rFonts w:hint="eastAsia" w:cs="宋体" w:asciiTheme="minorEastAsia" w:hAnsiTheme="minorEastAsia" w:eastAsiaTheme="minorEastAsia"/>
                <w:sz w:val="20"/>
                <w:szCs w:val="20"/>
              </w:rPr>
              <w:t>房屋坐落</w:t>
            </w:r>
          </w:p>
        </w:tc>
        <w:tc>
          <w:tcPr>
            <w:tcW w:w="8713" w:type="dxa"/>
            <w:gridSpan w:val="9"/>
            <w:vAlign w:val="center"/>
          </w:tcPr>
          <w:p>
            <w:pPr>
              <w:widowControl/>
              <w:jc w:val="left"/>
              <w:rPr>
                <w:rFonts w:cs="宋体" w:asciiTheme="minorEastAsia" w:hAnsiTheme="minorEastAsia" w:eastAsiaTheme="minorEastAsia"/>
                <w:b/>
                <w:kern w:val="0"/>
                <w:sz w:val="28"/>
                <w:szCs w:val="28"/>
              </w:rPr>
            </w:pPr>
            <w:r>
              <w:rPr>
                <w:rFonts w:hint="eastAsia" w:cs="宋体" w:asciiTheme="minorEastAsia" w:hAnsiTheme="minorEastAsia" w:eastAsiaTheme="minorEastAsia"/>
                <w:sz w:val="20"/>
                <w:szCs w:val="20"/>
              </w:rPr>
              <w:t>临沧市临翔区沧江路与汀旗路交汇处临都上城19幢B单元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spacing w:line="220" w:lineRule="atLeast"/>
              <w:jc w:val="center"/>
              <w:rPr>
                <w:rFonts w:asciiTheme="minorEastAsia" w:hAnsiTheme="minorEastAsia" w:eastAsiaTheme="minorEastAsia"/>
                <w:sz w:val="20"/>
                <w:szCs w:val="20"/>
              </w:rPr>
            </w:pPr>
            <w:r>
              <w:rPr>
                <w:rFonts w:hint="eastAsia" w:cs="宋体" w:asciiTheme="minorEastAsia" w:hAnsiTheme="minorEastAsia" w:eastAsiaTheme="minorEastAsia"/>
                <w:sz w:val="20"/>
                <w:szCs w:val="20"/>
              </w:rPr>
              <w:t>序号</w:t>
            </w:r>
          </w:p>
        </w:tc>
        <w:tc>
          <w:tcPr>
            <w:tcW w:w="854" w:type="dxa"/>
            <w:vAlign w:val="center"/>
          </w:tcPr>
          <w:p>
            <w:pPr>
              <w:spacing w:line="220" w:lineRule="atLeast"/>
              <w:jc w:val="center"/>
              <w:rPr>
                <w:rFonts w:asciiTheme="minorEastAsia" w:hAnsiTheme="minorEastAsia" w:eastAsiaTheme="minorEastAsia"/>
                <w:sz w:val="20"/>
                <w:szCs w:val="20"/>
              </w:rPr>
            </w:pPr>
            <w:r>
              <w:rPr>
                <w:rFonts w:hint="eastAsia" w:cs="宋体" w:asciiTheme="minorEastAsia" w:hAnsiTheme="minorEastAsia" w:eastAsiaTheme="minorEastAsia"/>
                <w:sz w:val="20"/>
                <w:szCs w:val="20"/>
              </w:rPr>
              <w:t>房号</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cs="宋体" w:asciiTheme="minorEastAsia" w:hAnsiTheme="minorEastAsia" w:eastAsiaTheme="minorEastAsia"/>
                <w:sz w:val="20"/>
                <w:szCs w:val="20"/>
              </w:rPr>
              <w:t>所在层</w:t>
            </w:r>
            <w:r>
              <w:rPr>
                <w:rFonts w:cs="宋体" w:asciiTheme="minorEastAsia" w:hAnsiTheme="minorEastAsia" w:eastAsiaTheme="minorEastAsia"/>
                <w:sz w:val="20"/>
                <w:szCs w:val="20"/>
              </w:rPr>
              <w:t>/</w:t>
            </w:r>
            <w:r>
              <w:rPr>
                <w:rFonts w:hint="eastAsia" w:cs="宋体" w:asciiTheme="minorEastAsia" w:hAnsiTheme="minorEastAsia" w:eastAsiaTheme="minorEastAsia"/>
                <w:sz w:val="20"/>
                <w:szCs w:val="20"/>
              </w:rPr>
              <w:t>总层数</w:t>
            </w:r>
          </w:p>
        </w:tc>
        <w:tc>
          <w:tcPr>
            <w:tcW w:w="918" w:type="dxa"/>
            <w:vAlign w:val="center"/>
          </w:tcPr>
          <w:p>
            <w:pPr>
              <w:jc w:val="center"/>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建筑结构</w:t>
            </w:r>
          </w:p>
        </w:tc>
        <w:tc>
          <w:tcPr>
            <w:tcW w:w="856" w:type="dxa"/>
            <w:vAlign w:val="center"/>
          </w:tcPr>
          <w:p>
            <w:pPr>
              <w:jc w:val="center"/>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登记用途</w:t>
            </w:r>
          </w:p>
        </w:tc>
        <w:tc>
          <w:tcPr>
            <w:tcW w:w="1266" w:type="dxa"/>
            <w:vAlign w:val="center"/>
          </w:tcPr>
          <w:p>
            <w:pPr>
              <w:jc w:val="center"/>
              <w:textAlignment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建筑面积（</w:t>
            </w:r>
            <w:r>
              <w:rPr>
                <w:rFonts w:cs="宋体" w:asciiTheme="minorEastAsia" w:hAnsiTheme="minorEastAsia" w:eastAsiaTheme="minorEastAsia"/>
                <w:sz w:val="20"/>
                <w:szCs w:val="20"/>
              </w:rPr>
              <w:t>m</w:t>
            </w:r>
            <w:r>
              <w:rPr>
                <w:rFonts w:cs="宋体" w:asciiTheme="minorEastAsia" w:hAnsiTheme="minorEastAsia" w:eastAsiaTheme="minorEastAsia"/>
                <w:sz w:val="20"/>
                <w:szCs w:val="20"/>
                <w:vertAlign w:val="superscript"/>
              </w:rPr>
              <w:t>2</w:t>
            </w:r>
            <w:r>
              <w:rPr>
                <w:rFonts w:cs="宋体" w:asciiTheme="minorEastAsia" w:hAnsiTheme="minorEastAsia" w:eastAsiaTheme="minorEastAsia"/>
                <w:sz w:val="20"/>
                <w:szCs w:val="20"/>
              </w:rPr>
              <w:t>)</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评估单价（元/m</w:t>
            </w:r>
            <w:r>
              <w:rPr>
                <w:rFonts w:hint="eastAsia" w:ascii="宋体" w:hAnsi="宋体" w:cs="宋体"/>
                <w:color w:val="000000"/>
                <w:kern w:val="0"/>
                <w:sz w:val="20"/>
                <w:szCs w:val="20"/>
                <w:vertAlign w:val="superscript"/>
              </w:rPr>
              <w:t>2</w:t>
            </w:r>
            <w:r>
              <w:rPr>
                <w:rFonts w:hint="eastAsia" w:ascii="宋体" w:hAnsi="宋体" w:cs="宋体"/>
                <w:color w:val="000000"/>
                <w:kern w:val="0"/>
                <w:sz w:val="20"/>
                <w:szCs w:val="20"/>
              </w:rPr>
              <w:t>)</w:t>
            </w:r>
          </w:p>
        </w:tc>
        <w:tc>
          <w:tcPr>
            <w:tcW w:w="742"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折扣率（%）</w:t>
            </w:r>
          </w:p>
        </w:tc>
        <w:tc>
          <w:tcPr>
            <w:tcW w:w="1035"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评估总价（万元）</w:t>
            </w:r>
          </w:p>
        </w:tc>
        <w:tc>
          <w:tcPr>
            <w:tcW w:w="1064"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102</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1/20</w:t>
            </w:r>
          </w:p>
        </w:tc>
        <w:tc>
          <w:tcPr>
            <w:tcW w:w="918"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826.77</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13921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319.53</w:t>
            </w:r>
          </w:p>
        </w:tc>
        <w:tc>
          <w:tcPr>
            <w:tcW w:w="1064" w:type="dxa"/>
            <w:vAlign w:val="center"/>
          </w:tcPr>
          <w:p>
            <w:pPr>
              <w:widowControl/>
              <w:jc w:val="center"/>
              <w:textAlignment w:val="center"/>
              <w:rPr>
                <w:rFonts w:cs="宋体" w:asciiTheme="minorEastAsia" w:hAnsiTheme="minorEastAsia" w:eastAsiaTheme="minorEastAsia"/>
                <w:b/>
                <w:kern w:val="0"/>
                <w:sz w:val="28"/>
                <w:szCs w:val="28"/>
              </w:rPr>
            </w:pPr>
            <w:r>
              <w:rPr>
                <w:rFonts w:hint="eastAsia" w:ascii="宋体" w:hAnsi="宋体" w:cs="宋体"/>
                <w:color w:val="000000"/>
                <w:kern w:val="0"/>
                <w:sz w:val="20"/>
                <w:szCs w:val="20"/>
              </w:rPr>
              <w:t>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asciiTheme="minorEastAsia" w:hAnsiTheme="minorEastAsia" w:eastAsiaTheme="minorEastAsia"/>
                <w:sz w:val="20"/>
                <w:szCs w:val="20"/>
              </w:rPr>
            </w:pPr>
          </w:p>
        </w:tc>
        <w:tc>
          <w:tcPr>
            <w:tcW w:w="854" w:type="dxa"/>
            <w:vAlign w:val="center"/>
          </w:tcPr>
          <w:p>
            <w:pPr>
              <w:jc w:val="center"/>
              <w:rPr>
                <w:rFonts w:asciiTheme="minorEastAsia" w:hAnsiTheme="minorEastAsia" w:eastAsiaTheme="minorEastAsia"/>
                <w:sz w:val="20"/>
                <w:szCs w:val="20"/>
              </w:rPr>
            </w:pPr>
          </w:p>
        </w:tc>
        <w:tc>
          <w:tcPr>
            <w:tcW w:w="997" w:type="dxa"/>
            <w:vAlign w:val="center"/>
          </w:tcPr>
          <w:p>
            <w:pPr>
              <w:spacing w:line="220" w:lineRule="atLeast"/>
              <w:jc w:val="center"/>
              <w:rPr>
                <w:rFonts w:asciiTheme="minorEastAsia" w:hAnsiTheme="minorEastAsia" w:eastAsiaTheme="minorEastAsia"/>
                <w:sz w:val="20"/>
                <w:szCs w:val="20"/>
              </w:rPr>
            </w:pPr>
          </w:p>
        </w:tc>
        <w:tc>
          <w:tcPr>
            <w:tcW w:w="918" w:type="dxa"/>
            <w:vAlign w:val="center"/>
          </w:tcPr>
          <w:p>
            <w:pPr>
              <w:jc w:val="center"/>
              <w:rPr>
                <w:rFonts w:asciiTheme="minorEastAsia" w:hAnsiTheme="minorEastAsia" w:eastAsiaTheme="minorEastAsia"/>
                <w:sz w:val="20"/>
                <w:szCs w:val="20"/>
              </w:rPr>
            </w:pPr>
          </w:p>
        </w:tc>
        <w:tc>
          <w:tcPr>
            <w:tcW w:w="856" w:type="dxa"/>
            <w:vAlign w:val="center"/>
          </w:tcPr>
          <w:p>
            <w:pPr>
              <w:jc w:val="center"/>
              <w:rPr>
                <w:rFonts w:asciiTheme="minorEastAsia" w:hAnsiTheme="minorEastAsia" w:eastAsiaTheme="minorEastAsia"/>
                <w:sz w:val="20"/>
                <w:szCs w:val="20"/>
              </w:rPr>
            </w:pPr>
          </w:p>
        </w:tc>
        <w:tc>
          <w:tcPr>
            <w:tcW w:w="1266" w:type="dxa"/>
            <w:vAlign w:val="center"/>
          </w:tcPr>
          <w:p>
            <w:pPr>
              <w:jc w:val="center"/>
              <w:rPr>
                <w:rFonts w:asciiTheme="minorEastAsia" w:hAnsiTheme="minorEastAsia" w:eastAsiaTheme="minorEastAsia"/>
                <w:sz w:val="20"/>
                <w:szCs w:val="20"/>
              </w:rPr>
            </w:pPr>
          </w:p>
        </w:tc>
        <w:tc>
          <w:tcPr>
            <w:tcW w:w="981"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5973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asciiTheme="minorEastAsia" w:hAnsiTheme="minorEastAsia" w:eastAsiaTheme="minorEastAsia"/>
                <w:sz w:val="20"/>
                <w:szCs w:val="20"/>
              </w:rPr>
            </w:pPr>
            <w:r>
              <w:rPr>
                <w:rFonts w:hint="eastAsia" w:ascii="宋体" w:hAnsi="宋体" w:cs="宋体"/>
                <w:color w:val="000000"/>
                <w:kern w:val="0"/>
                <w:sz w:val="20"/>
                <w:szCs w:val="20"/>
              </w:rPr>
              <w:t>302.41</w:t>
            </w:r>
          </w:p>
        </w:tc>
        <w:tc>
          <w:tcPr>
            <w:tcW w:w="1064" w:type="dxa"/>
            <w:vAlign w:val="center"/>
          </w:tcPr>
          <w:p>
            <w:pPr>
              <w:widowControl/>
              <w:jc w:val="center"/>
              <w:textAlignment w:val="center"/>
              <w:rPr>
                <w:rFonts w:cs="宋体" w:asciiTheme="minorEastAsia" w:hAnsiTheme="minorEastAsia" w:eastAsiaTheme="minorEastAsia"/>
                <w:b/>
                <w:kern w:val="0"/>
                <w:sz w:val="28"/>
                <w:szCs w:val="28"/>
              </w:rPr>
            </w:pPr>
            <w:r>
              <w:rPr>
                <w:rFonts w:hint="eastAsia" w:ascii="宋体" w:hAnsi="宋体" w:cs="宋体"/>
                <w:color w:val="000000"/>
                <w:kern w:val="0"/>
                <w:sz w:val="20"/>
                <w:szCs w:val="20"/>
              </w:rPr>
              <w:t>非商铺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505</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6095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63.01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6095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28.96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6095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6095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6095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6095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24.29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24.29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63.32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24.29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57.19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26.78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24.29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6125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6156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24.41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702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6156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24.41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6156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24.41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6156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57.48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6156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25.35</w:t>
            </w:r>
          </w:p>
        </w:tc>
        <w:tc>
          <w:tcPr>
            <w:tcW w:w="1064" w:type="dxa"/>
            <w:vAlign w:val="center"/>
          </w:tcPr>
          <w:p>
            <w:pPr>
              <w:jc w:val="center"/>
              <w:rPr>
                <w:rFonts w:cs="宋体"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6156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29.25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6156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25.35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6156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25.35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6156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25.35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6156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25.35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24.53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802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24.53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803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24.53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24.53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63.96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24.53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807</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24.53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57.77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39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51.40</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27.05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24.53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24.53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29.39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6187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24.65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902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24.65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903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24.65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24.65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64.28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24.65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24.65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58.06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51.40</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28.44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27.18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24.65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24.65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29.54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6218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69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6849</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28.2</w:t>
            </w:r>
          </w:p>
        </w:tc>
        <w:tc>
          <w:tcPr>
            <w:tcW w:w="1064"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精装修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6849</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28.2</w:t>
            </w:r>
          </w:p>
        </w:tc>
        <w:tc>
          <w:tcPr>
            <w:tcW w:w="1064" w:type="dxa"/>
            <w:vAlign w:val="center"/>
          </w:tcPr>
          <w:p>
            <w:pPr>
              <w:widowControl/>
              <w:jc w:val="center"/>
              <w:textAlignment w:val="center"/>
              <w:rPr>
                <w:rFonts w:cs="宋体" w:asciiTheme="minorEastAsia" w:hAnsiTheme="minorEastAsia" w:eastAsiaTheme="minorEastAsia"/>
                <w:b/>
                <w:kern w:val="0"/>
                <w:sz w:val="28"/>
                <w:szCs w:val="28"/>
              </w:rPr>
            </w:pPr>
            <w:r>
              <w:rPr>
                <w:rFonts w:hint="eastAsia" w:ascii="宋体" w:hAnsi="宋体" w:cs="宋体"/>
                <w:color w:val="000000"/>
                <w:kern w:val="0"/>
                <w:sz w:val="20"/>
                <w:szCs w:val="20"/>
              </w:rPr>
              <w:t>精装修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64.92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1006</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58.64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79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51.40</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28.73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27.45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24.9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25.86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29.84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25.86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25.86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25.86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25.86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89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25.86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6280</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25.86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1102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1103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65.24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58.93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99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51.40</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28.87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27.59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25.02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29.98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11/20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6311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25.15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1202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25.15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1203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25.15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25.15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1205</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65.58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25.15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25.15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59.22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51.40</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29.02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27.73</w:t>
            </w:r>
          </w:p>
        </w:tc>
        <w:tc>
          <w:tcPr>
            <w:tcW w:w="1064" w:type="dxa"/>
            <w:vAlign w:val="center"/>
          </w:tcPr>
          <w:p>
            <w:pPr>
              <w:jc w:val="center"/>
              <w:rPr>
                <w:rFonts w:cs="宋体" w:asciiTheme="minorEastAsia" w:hAnsiTheme="minorEastAsia" w:eastAsiaTheme="minorEastAsia"/>
                <w:b/>
                <w:kern w:val="0"/>
                <w:sz w:val="28"/>
                <w:szCs w:val="28"/>
              </w:rPr>
            </w:pPr>
          </w:p>
        </w:tc>
      </w:tr>
      <w:tr>
        <w:tblPrEx>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25.15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25.15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26.12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30.13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26.12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26.12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26.12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26.12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26.12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1220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12/20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6343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26.12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1302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1303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59.52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51.40</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29.16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27.87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25.28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26.25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30.29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26.25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26.25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26.25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26.25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26.25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1320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13/20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6375</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26.25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1402</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1403</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1404</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66.24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59.82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51.40</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29.31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28.01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26.38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30.44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26.38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26.38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26.38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26.38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26.38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1420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14/20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6407</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26.38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171</w:t>
            </w:r>
          </w:p>
        </w:tc>
        <w:tc>
          <w:tcPr>
            <w:tcW w:w="854"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1501</w:t>
            </w:r>
          </w:p>
        </w:tc>
        <w:tc>
          <w:tcPr>
            <w:tcW w:w="997" w:type="dxa"/>
            <w:vAlign w:val="center"/>
          </w:tcPr>
          <w:p>
            <w:pPr>
              <w:widowControl/>
              <w:spacing w:line="220" w:lineRule="atLeas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15/20</w:t>
            </w:r>
          </w:p>
        </w:tc>
        <w:tc>
          <w:tcPr>
            <w:tcW w:w="918"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钢混</w:t>
            </w:r>
          </w:p>
        </w:tc>
        <w:tc>
          <w:tcPr>
            <w:tcW w:w="85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酒店</w:t>
            </w:r>
          </w:p>
        </w:tc>
        <w:tc>
          <w:tcPr>
            <w:tcW w:w="126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44.55</w:t>
            </w:r>
          </w:p>
        </w:tc>
        <w:tc>
          <w:tcPr>
            <w:tcW w:w="981"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6439</w:t>
            </w:r>
          </w:p>
        </w:tc>
        <w:tc>
          <w:tcPr>
            <w:tcW w:w="742"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25.53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172</w:t>
            </w:r>
          </w:p>
        </w:tc>
        <w:tc>
          <w:tcPr>
            <w:tcW w:w="854"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1502</w:t>
            </w:r>
          </w:p>
        </w:tc>
        <w:tc>
          <w:tcPr>
            <w:tcW w:w="997"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15/20</w:t>
            </w:r>
          </w:p>
        </w:tc>
        <w:tc>
          <w:tcPr>
            <w:tcW w:w="918"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钢混</w:t>
            </w:r>
          </w:p>
        </w:tc>
        <w:tc>
          <w:tcPr>
            <w:tcW w:w="85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酒店</w:t>
            </w:r>
          </w:p>
        </w:tc>
        <w:tc>
          <w:tcPr>
            <w:tcW w:w="126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44.55</w:t>
            </w:r>
          </w:p>
        </w:tc>
        <w:tc>
          <w:tcPr>
            <w:tcW w:w="981"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6439</w:t>
            </w:r>
          </w:p>
        </w:tc>
        <w:tc>
          <w:tcPr>
            <w:tcW w:w="742"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25.53</w:t>
            </w:r>
          </w:p>
        </w:tc>
        <w:tc>
          <w:tcPr>
            <w:tcW w:w="1064" w:type="dxa"/>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173</w:t>
            </w:r>
          </w:p>
        </w:tc>
        <w:tc>
          <w:tcPr>
            <w:tcW w:w="854"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1503</w:t>
            </w:r>
          </w:p>
        </w:tc>
        <w:tc>
          <w:tcPr>
            <w:tcW w:w="997"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15/20</w:t>
            </w:r>
          </w:p>
        </w:tc>
        <w:tc>
          <w:tcPr>
            <w:tcW w:w="918"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钢混</w:t>
            </w:r>
          </w:p>
        </w:tc>
        <w:tc>
          <w:tcPr>
            <w:tcW w:w="85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酒店</w:t>
            </w:r>
          </w:p>
        </w:tc>
        <w:tc>
          <w:tcPr>
            <w:tcW w:w="126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44.55</w:t>
            </w:r>
          </w:p>
        </w:tc>
        <w:tc>
          <w:tcPr>
            <w:tcW w:w="981"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6439</w:t>
            </w:r>
          </w:p>
        </w:tc>
        <w:tc>
          <w:tcPr>
            <w:tcW w:w="742"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25.53</w:t>
            </w:r>
          </w:p>
        </w:tc>
        <w:tc>
          <w:tcPr>
            <w:tcW w:w="1064" w:type="dxa"/>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174</w:t>
            </w:r>
          </w:p>
        </w:tc>
        <w:tc>
          <w:tcPr>
            <w:tcW w:w="854"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1504</w:t>
            </w:r>
          </w:p>
        </w:tc>
        <w:tc>
          <w:tcPr>
            <w:tcW w:w="997"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15/20</w:t>
            </w:r>
          </w:p>
        </w:tc>
        <w:tc>
          <w:tcPr>
            <w:tcW w:w="918"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钢混</w:t>
            </w:r>
          </w:p>
        </w:tc>
        <w:tc>
          <w:tcPr>
            <w:tcW w:w="85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酒店</w:t>
            </w:r>
          </w:p>
        </w:tc>
        <w:tc>
          <w:tcPr>
            <w:tcW w:w="126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44.55</w:t>
            </w:r>
          </w:p>
        </w:tc>
        <w:tc>
          <w:tcPr>
            <w:tcW w:w="981"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6439</w:t>
            </w:r>
          </w:p>
        </w:tc>
        <w:tc>
          <w:tcPr>
            <w:tcW w:w="742"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25.53</w:t>
            </w:r>
          </w:p>
        </w:tc>
        <w:tc>
          <w:tcPr>
            <w:tcW w:w="1064" w:type="dxa"/>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175</w:t>
            </w:r>
          </w:p>
        </w:tc>
        <w:tc>
          <w:tcPr>
            <w:tcW w:w="854"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1505</w:t>
            </w:r>
          </w:p>
        </w:tc>
        <w:tc>
          <w:tcPr>
            <w:tcW w:w="997"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15/20</w:t>
            </w:r>
          </w:p>
        </w:tc>
        <w:tc>
          <w:tcPr>
            <w:tcW w:w="918"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钢混</w:t>
            </w:r>
          </w:p>
        </w:tc>
        <w:tc>
          <w:tcPr>
            <w:tcW w:w="85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酒店</w:t>
            </w:r>
          </w:p>
        </w:tc>
        <w:tc>
          <w:tcPr>
            <w:tcW w:w="126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116.16</w:t>
            </w:r>
          </w:p>
        </w:tc>
        <w:tc>
          <w:tcPr>
            <w:tcW w:w="981"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6439</w:t>
            </w:r>
          </w:p>
        </w:tc>
        <w:tc>
          <w:tcPr>
            <w:tcW w:w="742"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66.57</w:t>
            </w:r>
          </w:p>
        </w:tc>
        <w:tc>
          <w:tcPr>
            <w:tcW w:w="1064" w:type="dxa"/>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176</w:t>
            </w:r>
          </w:p>
        </w:tc>
        <w:tc>
          <w:tcPr>
            <w:tcW w:w="854"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1506</w:t>
            </w:r>
          </w:p>
        </w:tc>
        <w:tc>
          <w:tcPr>
            <w:tcW w:w="997"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15/20</w:t>
            </w:r>
          </w:p>
        </w:tc>
        <w:tc>
          <w:tcPr>
            <w:tcW w:w="918"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钢混</w:t>
            </w:r>
          </w:p>
        </w:tc>
        <w:tc>
          <w:tcPr>
            <w:tcW w:w="85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酒店</w:t>
            </w:r>
          </w:p>
        </w:tc>
        <w:tc>
          <w:tcPr>
            <w:tcW w:w="1266" w:type="dxa"/>
            <w:vAlign w:val="center"/>
          </w:tcPr>
          <w:p>
            <w:pPr>
              <w:widowControl/>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44.55</w:t>
            </w:r>
          </w:p>
        </w:tc>
        <w:tc>
          <w:tcPr>
            <w:tcW w:w="981"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6439</w:t>
            </w:r>
          </w:p>
        </w:tc>
        <w:tc>
          <w:tcPr>
            <w:tcW w:w="742"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25.53</w:t>
            </w:r>
          </w:p>
        </w:tc>
        <w:tc>
          <w:tcPr>
            <w:tcW w:w="1064" w:type="dxa"/>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6439</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25.53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6439</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60.12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29.6</w:t>
            </w:r>
          </w:p>
        </w:tc>
        <w:tc>
          <w:tcPr>
            <w:tcW w:w="1064" w:type="dxa"/>
            <w:vAlign w:val="center"/>
          </w:tcPr>
          <w:p>
            <w:pPr>
              <w:widowControl/>
              <w:jc w:val="center"/>
              <w:textAlignment w:val="center"/>
              <w:rPr>
                <w:rFonts w:cs="宋体" w:asciiTheme="minorEastAsia" w:hAnsiTheme="minorEastAsia" w:eastAsiaTheme="minorEastAsia"/>
                <w:kern w:val="0"/>
                <w:sz w:val="20"/>
                <w:szCs w:val="20"/>
              </w:rPr>
            </w:pPr>
            <w:r>
              <w:rPr>
                <w:rFonts w:hint="eastAsia" w:ascii="宋体" w:hAnsi="宋体" w:cs="宋体"/>
                <w:color w:val="000000"/>
                <w:kern w:val="0"/>
                <w:sz w:val="20"/>
                <w:szCs w:val="20"/>
              </w:rPr>
              <w:t>租户普装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asciiTheme="minorEastAsia" w:hAnsiTheme="minorEastAsia" w:eastAsiaTheme="minorEastAsia"/>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28.29</w:t>
            </w:r>
          </w:p>
        </w:tc>
        <w:tc>
          <w:tcPr>
            <w:tcW w:w="1064" w:type="dxa"/>
            <w:vAlign w:val="center"/>
          </w:tcPr>
          <w:p>
            <w:pPr>
              <w:widowControl/>
              <w:jc w:val="center"/>
              <w:textAlignment w:val="center"/>
              <w:rPr>
                <w:rFonts w:cs="宋体" w:asciiTheme="minorEastAsia" w:hAnsiTheme="minorEastAsia" w:eastAsiaTheme="minorEastAsia"/>
                <w:b/>
                <w:kern w:val="0"/>
                <w:sz w:val="28"/>
                <w:szCs w:val="28"/>
              </w:rPr>
            </w:pPr>
            <w:r>
              <w:rPr>
                <w:rFonts w:hint="eastAsia" w:ascii="宋体" w:hAnsi="宋体" w:cs="宋体"/>
                <w:color w:val="000000"/>
                <w:kern w:val="0"/>
                <w:sz w:val="20"/>
                <w:szCs w:val="20"/>
              </w:rPr>
              <w:t>租户普装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asciiTheme="minorEastAsia" w:hAnsiTheme="minorEastAsia" w:eastAsiaTheme="minorEastAsia"/>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25.66</w:t>
            </w:r>
          </w:p>
        </w:tc>
        <w:tc>
          <w:tcPr>
            <w:tcW w:w="1064" w:type="dxa"/>
            <w:vAlign w:val="center"/>
          </w:tcPr>
          <w:p>
            <w:pPr>
              <w:widowControl/>
              <w:jc w:val="center"/>
              <w:textAlignment w:val="center"/>
              <w:rPr>
                <w:rFonts w:cs="宋体" w:asciiTheme="minorEastAsia" w:hAnsiTheme="minorEastAsia" w:eastAsiaTheme="minorEastAsia"/>
                <w:b/>
                <w:kern w:val="0"/>
                <w:sz w:val="28"/>
                <w:szCs w:val="28"/>
              </w:rPr>
            </w:pPr>
            <w:r>
              <w:rPr>
                <w:rFonts w:hint="eastAsia" w:ascii="宋体" w:hAnsi="宋体" w:cs="宋体"/>
                <w:color w:val="000000"/>
                <w:kern w:val="0"/>
                <w:sz w:val="20"/>
                <w:szCs w:val="20"/>
              </w:rPr>
              <w:t>租户普装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asciiTheme="minorEastAsia" w:hAnsiTheme="minorEastAsia" w:eastAsiaTheme="minorEastAsia"/>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25.66</w:t>
            </w:r>
          </w:p>
        </w:tc>
        <w:tc>
          <w:tcPr>
            <w:tcW w:w="1064" w:type="dxa"/>
            <w:vAlign w:val="center"/>
          </w:tcPr>
          <w:p>
            <w:pPr>
              <w:widowControl/>
              <w:jc w:val="center"/>
              <w:textAlignment w:val="center"/>
              <w:rPr>
                <w:rFonts w:cs="宋体" w:asciiTheme="minorEastAsia" w:hAnsiTheme="minorEastAsia" w:eastAsiaTheme="minorEastAsia"/>
                <w:b/>
                <w:kern w:val="0"/>
                <w:sz w:val="28"/>
                <w:szCs w:val="28"/>
              </w:rPr>
            </w:pPr>
            <w:r>
              <w:rPr>
                <w:rFonts w:hint="eastAsia" w:ascii="宋体" w:hAnsi="宋体" w:cs="宋体"/>
                <w:color w:val="000000"/>
                <w:kern w:val="0"/>
                <w:sz w:val="20"/>
                <w:szCs w:val="20"/>
              </w:rPr>
              <w:t>租户普装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26.64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30.74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26.64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26.64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26.64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26.64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26.64</w:t>
            </w:r>
          </w:p>
        </w:tc>
        <w:tc>
          <w:tcPr>
            <w:tcW w:w="1064" w:type="dxa"/>
            <w:vAlign w:val="center"/>
          </w:tcPr>
          <w:p>
            <w:pPr>
              <w:widowControl/>
              <w:jc w:val="center"/>
              <w:textAlignment w:val="center"/>
              <w:rPr>
                <w:rFonts w:cs="宋体" w:asciiTheme="minorEastAsia" w:hAnsiTheme="minorEastAsia" w:eastAsiaTheme="minorEastAsia"/>
                <w:b/>
                <w:kern w:val="0"/>
                <w:sz w:val="28"/>
                <w:szCs w:val="28"/>
              </w:rPr>
            </w:pPr>
            <w:r>
              <w:rPr>
                <w:rFonts w:hint="eastAsia" w:ascii="宋体" w:hAnsi="宋体" w:cs="宋体"/>
                <w:color w:val="000000"/>
                <w:kern w:val="0"/>
                <w:sz w:val="20"/>
                <w:szCs w:val="20"/>
              </w:rPr>
              <w:t>租户普装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1520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15/20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6471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26.64</w:t>
            </w:r>
          </w:p>
        </w:tc>
        <w:tc>
          <w:tcPr>
            <w:tcW w:w="1064" w:type="dxa"/>
            <w:vAlign w:val="center"/>
          </w:tcPr>
          <w:p>
            <w:pPr>
              <w:widowControl/>
              <w:jc w:val="center"/>
              <w:textAlignment w:val="center"/>
              <w:rPr>
                <w:rFonts w:cs="宋体" w:asciiTheme="minorEastAsia" w:hAnsiTheme="minorEastAsia" w:eastAsiaTheme="minorEastAsia"/>
                <w:b/>
                <w:kern w:val="0"/>
                <w:sz w:val="28"/>
                <w:szCs w:val="28"/>
              </w:rPr>
            </w:pPr>
            <w:r>
              <w:rPr>
                <w:rFonts w:hint="eastAsia" w:ascii="宋体" w:hAnsi="宋体" w:cs="宋体"/>
                <w:color w:val="000000"/>
                <w:kern w:val="0"/>
                <w:sz w:val="20"/>
                <w:szCs w:val="20"/>
              </w:rPr>
              <w:t>租户普装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25.78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1602</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25.78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1603</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25.78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25.78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67.23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25.78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25.78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60.72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51.40</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29.75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28.43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25.78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25.78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26.77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30.89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26.77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26.77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26.77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26.77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26.77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16/20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6503</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26.77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1702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1703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67.57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61.03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219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51.40</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29.9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28.57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25.91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1714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31.05</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1715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1716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1717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1718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229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1719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1720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17/20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6536</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26.91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26.04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1802</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26.04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1803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116.16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67.9</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26.04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44.55</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26.04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104.91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61.33</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51.40</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30.05</w:t>
            </w:r>
          </w:p>
        </w:tc>
        <w:tc>
          <w:tcPr>
            <w:tcW w:w="1064" w:type="dxa"/>
            <w:vAlign w:val="center"/>
          </w:tcPr>
          <w:p>
            <w:pPr>
              <w:jc w:val="center"/>
              <w:rPr>
                <w:rFonts w:cs="宋体" w:asciiTheme="minorEastAsia" w:hAnsiTheme="minorEastAsia" w:eastAsiaTheme="minorEastAsia"/>
                <w:b/>
                <w:kern w:val="0"/>
                <w:sz w:val="28"/>
                <w:szCs w:val="28"/>
              </w:rPr>
            </w:pPr>
          </w:p>
        </w:tc>
      </w:tr>
      <w:tr>
        <w:tblPrEx>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1808</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49.12</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28.71</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239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1809</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31.2</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1810</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27.04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1811</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27.04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242</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1812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27.04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243</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1813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18/20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6568</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27.04</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244</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249.81</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6601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146.76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245</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1902</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249.99</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6601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146.87</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246</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1903</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53.38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6601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31.36</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247</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1904</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6601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27.18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248</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1905</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6601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27.18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249</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1906</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6601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27.18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250</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1907</w:t>
            </w:r>
          </w:p>
        </w:tc>
        <w:tc>
          <w:tcPr>
            <w:tcW w:w="997" w:type="dxa"/>
            <w:vAlign w:val="center"/>
          </w:tcPr>
          <w:p>
            <w:pPr>
              <w:jc w:val="center"/>
              <w:rPr>
                <w:rFonts w:asciiTheme="minorEastAsia" w:hAnsiTheme="minorEastAsia" w:eastAsiaTheme="minorEastAsia"/>
              </w:rPr>
            </w:pPr>
            <w:r>
              <w:rPr>
                <w:rFonts w:hint="eastAsia" w:asciiTheme="minorEastAsia" w:hAnsiTheme="minorEastAsia" w:eastAsiaTheme="minorEastAsia"/>
                <w:sz w:val="20"/>
                <w:szCs w:val="20"/>
              </w:rPr>
              <w:t>19/20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46.26</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6601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27.18</w:t>
            </w:r>
          </w:p>
        </w:tc>
        <w:tc>
          <w:tcPr>
            <w:tcW w:w="1064" w:type="dxa"/>
            <w:vAlign w:val="center"/>
          </w:tcPr>
          <w:p>
            <w:pPr>
              <w:jc w:val="center"/>
              <w:rPr>
                <w:rFonts w:cs="宋体" w:asciiTheme="minorEastAsia" w:hAnsiTheme="minorEastAsia" w:eastAsiaTheme="minorEastAsia"/>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59"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251</w:t>
            </w:r>
          </w:p>
        </w:tc>
        <w:tc>
          <w:tcPr>
            <w:tcW w:w="854"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2001</w:t>
            </w:r>
          </w:p>
        </w:tc>
        <w:tc>
          <w:tcPr>
            <w:tcW w:w="997" w:type="dxa"/>
            <w:vAlign w:val="center"/>
          </w:tcPr>
          <w:p>
            <w:pPr>
              <w:spacing w:line="220" w:lineRule="atLeast"/>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20/20</w:t>
            </w:r>
          </w:p>
        </w:tc>
        <w:tc>
          <w:tcPr>
            <w:tcW w:w="918"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钢混</w:t>
            </w:r>
          </w:p>
        </w:tc>
        <w:tc>
          <w:tcPr>
            <w:tcW w:w="856" w:type="dxa"/>
            <w:vAlign w:val="center"/>
          </w:tcPr>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酒店</w:t>
            </w:r>
          </w:p>
        </w:tc>
        <w:tc>
          <w:tcPr>
            <w:tcW w:w="1266" w:type="dxa"/>
            <w:vAlign w:val="center"/>
          </w:tcPr>
          <w:p>
            <w:pPr>
              <w:jc w:val="center"/>
              <w:rPr>
                <w:rFonts w:cs="宋体" w:asciiTheme="minorEastAsia" w:hAnsiTheme="minorEastAsia" w:eastAsiaTheme="minorEastAsia"/>
                <w:sz w:val="20"/>
                <w:szCs w:val="20"/>
              </w:rPr>
            </w:pPr>
            <w:r>
              <w:rPr>
                <w:rFonts w:hint="eastAsia" w:asciiTheme="minorEastAsia" w:hAnsiTheme="minorEastAsia" w:eastAsiaTheme="minorEastAsia"/>
                <w:sz w:val="20"/>
                <w:szCs w:val="20"/>
              </w:rPr>
              <w:t>162.18</w:t>
            </w:r>
          </w:p>
        </w:tc>
        <w:tc>
          <w:tcPr>
            <w:tcW w:w="981" w:type="dxa"/>
            <w:vAlign w:val="center"/>
          </w:tcPr>
          <w:p>
            <w:pPr>
              <w:widowControl/>
              <w:jc w:val="center"/>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5941</w:t>
            </w:r>
          </w:p>
        </w:tc>
        <w:tc>
          <w:tcPr>
            <w:tcW w:w="742" w:type="dxa"/>
            <w:vAlign w:val="center"/>
          </w:tcPr>
          <w:p>
            <w:pPr>
              <w:widowControl/>
              <w:jc w:val="center"/>
              <w:textAlignment w:val="center"/>
              <w:rPr>
                <w:rFonts w:asciiTheme="minorEastAsia" w:hAnsiTheme="minorEastAsia" w:eastAsiaTheme="minorEastAsia"/>
                <w:sz w:val="20"/>
                <w:szCs w:val="20"/>
              </w:rPr>
            </w:pPr>
            <w:r>
              <w:rPr>
                <w:rFonts w:hint="eastAsia" w:ascii="宋体" w:hAnsi="宋体" w:cs="宋体"/>
                <w:color w:val="000000"/>
                <w:kern w:val="0"/>
                <w:sz w:val="20"/>
                <w:szCs w:val="20"/>
              </w:rPr>
              <w:t>89</w:t>
            </w:r>
          </w:p>
        </w:tc>
        <w:tc>
          <w:tcPr>
            <w:tcW w:w="1035" w:type="dxa"/>
            <w:vAlign w:val="center"/>
          </w:tcPr>
          <w:p>
            <w:pPr>
              <w:widowControl/>
              <w:jc w:val="right"/>
              <w:textAlignment w:val="center"/>
              <w:rPr>
                <w:rFonts w:cs="宋体" w:asciiTheme="minorEastAsia" w:hAnsiTheme="minorEastAsia" w:eastAsiaTheme="minorEastAsia"/>
                <w:sz w:val="20"/>
                <w:szCs w:val="20"/>
              </w:rPr>
            </w:pPr>
            <w:r>
              <w:rPr>
                <w:rFonts w:hint="eastAsia" w:ascii="宋体" w:hAnsi="宋体" w:cs="宋体"/>
                <w:color w:val="000000"/>
                <w:kern w:val="0"/>
                <w:sz w:val="20"/>
                <w:szCs w:val="20"/>
              </w:rPr>
              <w:t>85.75</w:t>
            </w:r>
          </w:p>
        </w:tc>
        <w:tc>
          <w:tcPr>
            <w:tcW w:w="1064" w:type="dxa"/>
            <w:vAlign w:val="center"/>
          </w:tcPr>
          <w:p>
            <w:pPr>
              <w:widowControl/>
              <w:jc w:val="center"/>
              <w:textAlignment w:val="center"/>
              <w:rPr>
                <w:rFonts w:cs="宋体" w:asciiTheme="minorEastAsia" w:hAnsiTheme="minorEastAsia" w:eastAsiaTheme="minorEastAsia"/>
                <w:b/>
                <w:kern w:val="0"/>
                <w:sz w:val="28"/>
                <w:szCs w:val="28"/>
              </w:rPr>
            </w:pPr>
            <w:r>
              <w:rPr>
                <w:rFonts w:hint="eastAsia" w:ascii="宋体" w:hAnsi="宋体" w:cs="宋体"/>
                <w:color w:val="000000"/>
                <w:kern w:val="0"/>
                <w:sz w:val="20"/>
                <w:szCs w:val="20"/>
              </w:rPr>
              <w:t>非套房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4384" w:type="dxa"/>
            <w:gridSpan w:val="5"/>
            <w:vAlign w:val="center"/>
          </w:tcPr>
          <w:p>
            <w:pPr>
              <w:widowControl/>
              <w:jc w:val="center"/>
              <w:rPr>
                <w:rFonts w:cs="宋体" w:asciiTheme="minorEastAsia" w:hAnsiTheme="minorEastAsia" w:eastAsiaTheme="minorEastAsia"/>
                <w:b/>
                <w:kern w:val="0"/>
                <w:sz w:val="22"/>
                <w:szCs w:val="22"/>
              </w:rPr>
            </w:pPr>
            <w:r>
              <w:rPr>
                <w:rFonts w:hint="eastAsia" w:cs="宋体" w:asciiTheme="minorEastAsia" w:hAnsiTheme="minorEastAsia" w:eastAsiaTheme="minorEastAsia"/>
                <w:b/>
                <w:kern w:val="0"/>
                <w:sz w:val="22"/>
                <w:szCs w:val="22"/>
              </w:rPr>
              <w:t>合计</w:t>
            </w:r>
          </w:p>
        </w:tc>
        <w:tc>
          <w:tcPr>
            <w:tcW w:w="1266" w:type="dxa"/>
            <w:vAlign w:val="center"/>
          </w:tcPr>
          <w:p>
            <w:pPr>
              <w:widowControl/>
              <w:jc w:val="center"/>
              <w:rPr>
                <w:rFonts w:cs="宋体" w:asciiTheme="minorEastAsia" w:hAnsiTheme="minorEastAsia" w:eastAsiaTheme="minorEastAsia"/>
                <w:b/>
                <w:kern w:val="0"/>
                <w:sz w:val="22"/>
                <w:szCs w:val="22"/>
              </w:rPr>
            </w:pPr>
            <w:r>
              <w:rPr>
                <w:rFonts w:hint="eastAsia" w:asciiTheme="minorEastAsia" w:hAnsiTheme="minorEastAsia" w:eastAsiaTheme="minorEastAsia"/>
                <w:b/>
                <w:sz w:val="22"/>
                <w:szCs w:val="22"/>
              </w:rPr>
              <w:t>14628.17</w:t>
            </w:r>
          </w:p>
        </w:tc>
        <w:tc>
          <w:tcPr>
            <w:tcW w:w="981" w:type="dxa"/>
            <w:vAlign w:val="center"/>
          </w:tcPr>
          <w:p>
            <w:pPr>
              <w:widowControl/>
              <w:jc w:val="center"/>
              <w:textAlignment w:val="center"/>
              <w:rPr>
                <w:rFonts w:cs="宋体" w:asciiTheme="minorEastAsia" w:hAnsiTheme="minorEastAsia" w:eastAsiaTheme="minorEastAsia"/>
                <w:b/>
                <w:kern w:val="0"/>
                <w:sz w:val="28"/>
                <w:szCs w:val="28"/>
              </w:rPr>
            </w:pPr>
            <w:r>
              <w:rPr>
                <w:rFonts w:hint="eastAsia" w:ascii="宋体" w:hAnsi="宋体" w:cs="宋体"/>
                <w:b/>
                <w:bCs/>
                <w:color w:val="000000"/>
                <w:kern w:val="0"/>
                <w:sz w:val="28"/>
                <w:szCs w:val="28"/>
              </w:rPr>
              <w:t>--</w:t>
            </w:r>
          </w:p>
        </w:tc>
        <w:tc>
          <w:tcPr>
            <w:tcW w:w="742" w:type="dxa"/>
            <w:vAlign w:val="center"/>
          </w:tcPr>
          <w:p>
            <w:pPr>
              <w:jc w:val="center"/>
              <w:rPr>
                <w:rFonts w:cs="宋体" w:asciiTheme="minorEastAsia" w:hAnsiTheme="minorEastAsia" w:eastAsiaTheme="minorEastAsia"/>
                <w:b/>
                <w:kern w:val="0"/>
                <w:sz w:val="22"/>
                <w:szCs w:val="22"/>
              </w:rPr>
            </w:pPr>
          </w:p>
        </w:tc>
        <w:tc>
          <w:tcPr>
            <w:tcW w:w="1035" w:type="dxa"/>
            <w:vAlign w:val="center"/>
          </w:tcPr>
          <w:p>
            <w:pPr>
              <w:widowControl/>
              <w:jc w:val="center"/>
              <w:textAlignment w:val="center"/>
              <w:rPr>
                <w:rFonts w:cs="宋体" w:asciiTheme="minorEastAsia" w:hAnsiTheme="minorEastAsia" w:eastAsiaTheme="minorEastAsia"/>
                <w:b/>
                <w:kern w:val="0"/>
                <w:sz w:val="22"/>
                <w:szCs w:val="22"/>
              </w:rPr>
            </w:pPr>
            <w:r>
              <w:rPr>
                <w:rFonts w:hint="eastAsia" w:ascii="宋体" w:hAnsi="宋体" w:cs="宋体"/>
                <w:b/>
                <w:bCs/>
                <w:color w:val="000000"/>
                <w:kern w:val="0"/>
                <w:sz w:val="22"/>
                <w:szCs w:val="22"/>
              </w:rPr>
              <w:t>8430.99</w:t>
            </w:r>
          </w:p>
        </w:tc>
        <w:tc>
          <w:tcPr>
            <w:tcW w:w="1064" w:type="dxa"/>
            <w:vAlign w:val="center"/>
          </w:tcPr>
          <w:p>
            <w:pPr>
              <w:rPr>
                <w:rFonts w:cs="宋体" w:asciiTheme="minorEastAsia" w:hAnsiTheme="minorEastAsia" w:eastAsiaTheme="minorEastAsia"/>
                <w:b/>
                <w:kern w:val="0"/>
                <w:sz w:val="28"/>
                <w:szCs w:val="28"/>
              </w:rPr>
            </w:pPr>
          </w:p>
        </w:tc>
      </w:tr>
    </w:tbl>
    <w:p>
      <w:pPr>
        <w:widowControl/>
        <w:rPr>
          <w:rFonts w:ascii="宋体" w:cs="宋体"/>
          <w:b/>
          <w:kern w:val="0"/>
          <w:sz w:val="28"/>
          <w:szCs w:val="28"/>
        </w:rPr>
      </w:pPr>
    </w:p>
    <w:p>
      <w:pPr>
        <w:spacing w:line="560" w:lineRule="exact"/>
        <w:ind w:right="-45" w:firstLine="422" w:firstLineChars="150"/>
        <w:outlineLvl w:val="1"/>
        <w:rPr>
          <w:rFonts w:ascii="宋体" w:cs="宋体"/>
          <w:b/>
          <w:sz w:val="28"/>
          <w:szCs w:val="28"/>
        </w:rPr>
      </w:pPr>
      <w:bookmarkStart w:id="704" w:name="_Toc21754"/>
      <w:bookmarkStart w:id="705" w:name="_Toc18356"/>
      <w:r>
        <w:rPr>
          <w:rFonts w:hint="eastAsia" w:ascii="宋体" w:hAnsi="宋体" w:cs="宋体"/>
          <w:b/>
          <w:sz w:val="28"/>
          <w:szCs w:val="28"/>
        </w:rPr>
        <w:t>十二、</w:t>
      </w:r>
      <w:bookmarkEnd w:id="692"/>
      <w:r>
        <w:rPr>
          <w:rFonts w:hint="eastAsia" w:ascii="宋体" w:hAnsi="宋体" w:cs="宋体"/>
          <w:b/>
          <w:sz w:val="28"/>
          <w:szCs w:val="28"/>
        </w:rPr>
        <w:t>注册房地产估价师</w:t>
      </w:r>
      <w:bookmarkEnd w:id="693"/>
      <w:bookmarkEnd w:id="694"/>
      <w:bookmarkEnd w:id="695"/>
      <w:bookmarkEnd w:id="696"/>
      <w:bookmarkEnd w:id="697"/>
      <w:bookmarkEnd w:id="698"/>
      <w:bookmarkEnd w:id="699"/>
      <w:bookmarkEnd w:id="700"/>
      <w:bookmarkEnd w:id="701"/>
      <w:bookmarkEnd w:id="704"/>
      <w:bookmarkEnd w:id="705"/>
    </w:p>
    <w:p>
      <w:pPr>
        <w:pStyle w:val="26"/>
        <w:spacing w:after="0" w:line="560" w:lineRule="exact"/>
        <w:ind w:firstLine="560" w:firstLineChars="200"/>
        <w:jc w:val="center"/>
        <w:rPr>
          <w:rFonts w:ascii="宋体" w:cs="宋体"/>
          <w:sz w:val="28"/>
        </w:rPr>
      </w:pPr>
      <w:bookmarkStart w:id="706" w:name="_Toc17718"/>
      <w:bookmarkStart w:id="707" w:name="_Toc14224"/>
      <w:bookmarkStart w:id="708" w:name="_Toc10943"/>
      <w:bookmarkStart w:id="709" w:name="_Toc4251"/>
      <w:bookmarkStart w:id="710" w:name="_Toc15267"/>
      <w:r>
        <w:rPr>
          <w:rFonts w:hint="eastAsia" w:ascii="宋体" w:hAnsi="宋体" w:cs="宋体"/>
          <w:sz w:val="28"/>
        </w:rPr>
        <w:t>参加估价的注册房地产估价师</w:t>
      </w:r>
    </w:p>
    <w:tbl>
      <w:tblPr>
        <w:tblStyle w:val="29"/>
        <w:tblW w:w="9502"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1701"/>
        <w:gridCol w:w="2053"/>
        <w:gridCol w:w="1779"/>
        <w:gridCol w:w="268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281" w:type="dxa"/>
          </w:tcPr>
          <w:p>
            <w:pPr>
              <w:pStyle w:val="26"/>
              <w:spacing w:after="0" w:line="560" w:lineRule="exact"/>
              <w:jc w:val="center"/>
              <w:rPr>
                <w:rFonts w:ascii="宋体"/>
                <w:sz w:val="28"/>
              </w:rPr>
            </w:pPr>
            <w:r>
              <w:rPr>
                <w:rFonts w:hint="eastAsia" w:ascii="宋体" w:hAnsi="宋体"/>
                <w:sz w:val="28"/>
              </w:rPr>
              <w:t>姓名</w:t>
            </w:r>
          </w:p>
        </w:tc>
        <w:tc>
          <w:tcPr>
            <w:tcW w:w="1701" w:type="dxa"/>
          </w:tcPr>
          <w:p>
            <w:pPr>
              <w:pStyle w:val="26"/>
              <w:spacing w:after="0" w:line="560" w:lineRule="exact"/>
              <w:jc w:val="center"/>
              <w:rPr>
                <w:rFonts w:ascii="宋体"/>
                <w:sz w:val="28"/>
              </w:rPr>
            </w:pPr>
            <w:r>
              <w:rPr>
                <w:rFonts w:hint="eastAsia" w:ascii="宋体" w:hAnsi="宋体"/>
                <w:sz w:val="28"/>
              </w:rPr>
              <w:t>注册号</w:t>
            </w:r>
          </w:p>
        </w:tc>
        <w:tc>
          <w:tcPr>
            <w:tcW w:w="2053" w:type="dxa"/>
          </w:tcPr>
          <w:p>
            <w:pPr>
              <w:pStyle w:val="26"/>
              <w:spacing w:after="0" w:line="560" w:lineRule="exact"/>
              <w:jc w:val="center"/>
              <w:rPr>
                <w:rFonts w:ascii="宋体"/>
                <w:sz w:val="28"/>
              </w:rPr>
            </w:pPr>
            <w:r>
              <w:rPr>
                <w:rFonts w:hint="eastAsia" w:ascii="宋体" w:hAnsi="宋体"/>
                <w:sz w:val="28"/>
              </w:rPr>
              <w:t>签名</w:t>
            </w:r>
          </w:p>
        </w:tc>
        <w:tc>
          <w:tcPr>
            <w:tcW w:w="1779" w:type="dxa"/>
          </w:tcPr>
          <w:p>
            <w:pPr>
              <w:pStyle w:val="26"/>
              <w:spacing w:after="0" w:line="560" w:lineRule="exact"/>
              <w:jc w:val="center"/>
              <w:rPr>
                <w:rFonts w:ascii="宋体"/>
                <w:sz w:val="28"/>
              </w:rPr>
            </w:pPr>
            <w:r>
              <w:rPr>
                <w:rFonts w:hint="eastAsia" w:ascii="宋体"/>
                <w:sz w:val="28"/>
              </w:rPr>
              <w:t>签章</w:t>
            </w:r>
          </w:p>
        </w:tc>
        <w:tc>
          <w:tcPr>
            <w:tcW w:w="2688" w:type="dxa"/>
          </w:tcPr>
          <w:p>
            <w:pPr>
              <w:pStyle w:val="26"/>
              <w:spacing w:after="0" w:line="560" w:lineRule="exact"/>
              <w:jc w:val="center"/>
              <w:rPr>
                <w:rFonts w:ascii="宋体"/>
                <w:sz w:val="28"/>
              </w:rPr>
            </w:pPr>
            <w:r>
              <w:rPr>
                <w:rFonts w:hint="eastAsia" w:ascii="宋体" w:hAnsi="宋体"/>
                <w:sz w:val="28"/>
              </w:rPr>
              <w:t>签名日期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67" w:hRule="exact"/>
          <w:jc w:val="center"/>
        </w:trPr>
        <w:tc>
          <w:tcPr>
            <w:tcW w:w="1281" w:type="dxa"/>
            <w:vAlign w:val="center"/>
          </w:tcPr>
          <w:p>
            <w:pPr>
              <w:pStyle w:val="26"/>
              <w:spacing w:after="0" w:line="560" w:lineRule="exact"/>
              <w:jc w:val="center"/>
              <w:rPr>
                <w:rFonts w:ascii="宋体"/>
                <w:sz w:val="28"/>
              </w:rPr>
            </w:pPr>
            <w:r>
              <w:rPr>
                <w:rFonts w:hint="eastAsia" w:ascii="宋体" w:hAnsi="宋体"/>
                <w:sz w:val="28"/>
              </w:rPr>
              <w:t>邓跃章</w:t>
            </w:r>
            <w:r>
              <w:rPr>
                <w:rFonts w:ascii="宋体" w:hAnsi="宋体"/>
                <w:sz w:val="28"/>
              </w:rPr>
              <w:t xml:space="preserve">  </w:t>
            </w:r>
          </w:p>
        </w:tc>
        <w:tc>
          <w:tcPr>
            <w:tcW w:w="1701" w:type="dxa"/>
            <w:vAlign w:val="center"/>
          </w:tcPr>
          <w:p>
            <w:pPr>
              <w:pStyle w:val="26"/>
              <w:spacing w:after="0" w:line="560" w:lineRule="exact"/>
              <w:jc w:val="center"/>
              <w:rPr>
                <w:rFonts w:ascii="宋体"/>
                <w:sz w:val="28"/>
              </w:rPr>
            </w:pPr>
            <w:r>
              <w:rPr>
                <w:rFonts w:ascii="宋体" w:hAnsi="宋体"/>
                <w:sz w:val="28"/>
              </w:rPr>
              <w:t>5320130012</w:t>
            </w:r>
          </w:p>
        </w:tc>
        <w:tc>
          <w:tcPr>
            <w:tcW w:w="2053" w:type="dxa"/>
            <w:vAlign w:val="center"/>
          </w:tcPr>
          <w:p>
            <w:pPr>
              <w:pStyle w:val="26"/>
              <w:spacing w:after="0" w:line="560" w:lineRule="exact"/>
              <w:jc w:val="center"/>
              <w:rPr>
                <w:rFonts w:ascii="宋体"/>
                <w:sz w:val="28"/>
              </w:rPr>
            </w:pPr>
          </w:p>
        </w:tc>
        <w:tc>
          <w:tcPr>
            <w:tcW w:w="1779" w:type="dxa"/>
            <w:vAlign w:val="center"/>
          </w:tcPr>
          <w:p>
            <w:pPr>
              <w:pStyle w:val="26"/>
              <w:spacing w:after="0" w:line="560" w:lineRule="exact"/>
              <w:jc w:val="center"/>
              <w:rPr>
                <w:rFonts w:ascii="宋体"/>
                <w:sz w:val="28"/>
              </w:rPr>
            </w:pPr>
          </w:p>
        </w:tc>
        <w:tc>
          <w:tcPr>
            <w:tcW w:w="2688" w:type="dxa"/>
            <w:vAlign w:val="center"/>
          </w:tcPr>
          <w:p>
            <w:pPr>
              <w:pStyle w:val="26"/>
              <w:spacing w:after="0" w:line="560" w:lineRule="exact"/>
              <w:ind w:firstLine="840" w:firstLineChars="300"/>
              <w:rPr>
                <w:rFonts w:ascii="宋体"/>
                <w:sz w:val="28"/>
              </w:rPr>
            </w:pPr>
            <w:r>
              <w:rPr>
                <w:rFonts w:hint="eastAsia" w:ascii="宋体" w:hAnsi="宋体"/>
                <w:sz w:val="28"/>
              </w:rPr>
              <w:t>年</w:t>
            </w:r>
            <w:r>
              <w:rPr>
                <w:rFonts w:ascii="宋体" w:hAnsi="宋体"/>
                <w:sz w:val="28"/>
              </w:rPr>
              <w:t xml:space="preserve">  </w:t>
            </w:r>
            <w:r>
              <w:rPr>
                <w:rFonts w:hint="eastAsia" w:ascii="宋体" w:hAnsi="宋体"/>
                <w:sz w:val="28"/>
              </w:rPr>
              <w:t xml:space="preserve"> 月</w:t>
            </w:r>
            <w:r>
              <w:rPr>
                <w:rFonts w:ascii="宋体" w:hAnsi="宋体"/>
                <w:sz w:val="28"/>
              </w:rPr>
              <w:t xml:space="preserve">  </w:t>
            </w:r>
            <w:r>
              <w:rPr>
                <w:rFonts w:hint="eastAsia" w:ascii="宋体" w:hAnsi="宋体"/>
                <w:sz w:val="28"/>
              </w:rPr>
              <w:t>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71" w:hRule="exact"/>
          <w:jc w:val="center"/>
        </w:trPr>
        <w:tc>
          <w:tcPr>
            <w:tcW w:w="1281" w:type="dxa"/>
            <w:vAlign w:val="center"/>
          </w:tcPr>
          <w:p>
            <w:pPr>
              <w:pStyle w:val="26"/>
              <w:spacing w:after="0" w:line="560" w:lineRule="exact"/>
              <w:jc w:val="center"/>
              <w:rPr>
                <w:rFonts w:ascii="宋体"/>
                <w:sz w:val="28"/>
              </w:rPr>
            </w:pPr>
            <w:r>
              <w:rPr>
                <w:rFonts w:hint="eastAsia" w:ascii="宋体" w:hAnsi="宋体"/>
                <w:sz w:val="28"/>
              </w:rPr>
              <w:t>覃新生</w:t>
            </w:r>
          </w:p>
        </w:tc>
        <w:tc>
          <w:tcPr>
            <w:tcW w:w="1701" w:type="dxa"/>
            <w:vAlign w:val="center"/>
          </w:tcPr>
          <w:p>
            <w:pPr>
              <w:pStyle w:val="26"/>
              <w:spacing w:after="0" w:line="560" w:lineRule="exact"/>
              <w:jc w:val="center"/>
              <w:rPr>
                <w:rFonts w:ascii="宋体"/>
                <w:sz w:val="28"/>
              </w:rPr>
            </w:pPr>
            <w:r>
              <w:rPr>
                <w:rFonts w:ascii="宋体" w:hAnsi="宋体"/>
                <w:sz w:val="28"/>
              </w:rPr>
              <w:t>5320150063</w:t>
            </w:r>
          </w:p>
        </w:tc>
        <w:tc>
          <w:tcPr>
            <w:tcW w:w="2053" w:type="dxa"/>
            <w:vAlign w:val="center"/>
          </w:tcPr>
          <w:p>
            <w:pPr>
              <w:pStyle w:val="26"/>
              <w:spacing w:after="0" w:line="560" w:lineRule="exact"/>
              <w:jc w:val="center"/>
              <w:rPr>
                <w:rFonts w:ascii="宋体"/>
                <w:sz w:val="28"/>
              </w:rPr>
            </w:pPr>
          </w:p>
        </w:tc>
        <w:tc>
          <w:tcPr>
            <w:tcW w:w="1779" w:type="dxa"/>
            <w:vAlign w:val="center"/>
          </w:tcPr>
          <w:p>
            <w:pPr>
              <w:pStyle w:val="26"/>
              <w:spacing w:after="0" w:line="560" w:lineRule="exact"/>
              <w:jc w:val="center"/>
              <w:rPr>
                <w:rFonts w:ascii="宋体"/>
                <w:sz w:val="28"/>
              </w:rPr>
            </w:pPr>
          </w:p>
        </w:tc>
        <w:tc>
          <w:tcPr>
            <w:tcW w:w="2688" w:type="dxa"/>
            <w:vAlign w:val="center"/>
          </w:tcPr>
          <w:p>
            <w:pPr>
              <w:pStyle w:val="26"/>
              <w:spacing w:after="0" w:line="560" w:lineRule="exact"/>
              <w:ind w:firstLine="840" w:firstLineChars="300"/>
              <w:rPr>
                <w:rFonts w:ascii="宋体"/>
                <w:sz w:val="28"/>
              </w:rPr>
            </w:pPr>
            <w:r>
              <w:rPr>
                <w:rFonts w:hint="eastAsia" w:ascii="宋体" w:hAnsi="宋体"/>
                <w:sz w:val="28"/>
              </w:rPr>
              <w:t>年</w:t>
            </w:r>
            <w:r>
              <w:rPr>
                <w:rFonts w:ascii="宋体" w:hAnsi="宋体"/>
                <w:sz w:val="28"/>
              </w:rPr>
              <w:t xml:space="preserve">  </w:t>
            </w:r>
            <w:r>
              <w:rPr>
                <w:rFonts w:hint="eastAsia" w:ascii="宋体" w:hAnsi="宋体"/>
                <w:sz w:val="28"/>
              </w:rPr>
              <w:t xml:space="preserve"> 月</w:t>
            </w:r>
            <w:r>
              <w:rPr>
                <w:rFonts w:ascii="宋体" w:hAnsi="宋体"/>
                <w:sz w:val="28"/>
              </w:rPr>
              <w:t xml:space="preserve">  </w:t>
            </w:r>
            <w:r>
              <w:rPr>
                <w:rFonts w:hint="eastAsia" w:ascii="宋体" w:hAnsi="宋体"/>
                <w:sz w:val="28"/>
              </w:rPr>
              <w:t>日</w:t>
            </w:r>
          </w:p>
        </w:tc>
      </w:tr>
    </w:tbl>
    <w:p>
      <w:pPr>
        <w:pStyle w:val="26"/>
        <w:spacing w:after="0" w:line="440" w:lineRule="exact"/>
        <w:ind w:firstLine="562" w:firstLineChars="200"/>
        <w:outlineLvl w:val="1"/>
        <w:rPr>
          <w:rFonts w:ascii="宋体" w:cs="宋体"/>
          <w:b/>
          <w:sz w:val="28"/>
          <w:szCs w:val="28"/>
        </w:rPr>
      </w:pPr>
      <w:bookmarkStart w:id="711" w:name="_Toc11106"/>
      <w:bookmarkStart w:id="712" w:name="_Toc19945"/>
      <w:bookmarkStart w:id="713" w:name="_Toc16132"/>
      <w:bookmarkStart w:id="714" w:name="_Toc5595"/>
      <w:bookmarkStart w:id="715" w:name="_Toc1720"/>
      <w:bookmarkStart w:id="716" w:name="_Toc31282"/>
      <w:r>
        <w:rPr>
          <w:rFonts w:hint="eastAsia" w:ascii="宋体" w:hAnsi="宋体" w:cs="宋体"/>
          <w:b/>
          <w:sz w:val="28"/>
          <w:szCs w:val="28"/>
        </w:rPr>
        <w:t>十三、实地查勘期</w:t>
      </w:r>
      <w:bookmarkEnd w:id="706"/>
      <w:bookmarkEnd w:id="707"/>
      <w:bookmarkEnd w:id="708"/>
      <w:bookmarkEnd w:id="709"/>
      <w:bookmarkEnd w:id="710"/>
      <w:bookmarkEnd w:id="711"/>
      <w:bookmarkEnd w:id="712"/>
      <w:bookmarkEnd w:id="713"/>
      <w:bookmarkEnd w:id="714"/>
      <w:bookmarkEnd w:id="715"/>
      <w:bookmarkEnd w:id="716"/>
    </w:p>
    <w:p>
      <w:pPr>
        <w:spacing w:line="440" w:lineRule="exact"/>
        <w:ind w:firstLine="560" w:firstLineChars="200"/>
        <w:outlineLvl w:val="1"/>
        <w:rPr>
          <w:rFonts w:ascii="宋体" w:cs="宋体"/>
          <w:sz w:val="28"/>
        </w:rPr>
      </w:pPr>
      <w:bookmarkStart w:id="717" w:name="_Toc28430"/>
      <w:bookmarkStart w:id="718" w:name="_Toc15216"/>
      <w:bookmarkStart w:id="719" w:name="_Toc19486"/>
      <w:bookmarkStart w:id="720" w:name="_Toc4603"/>
      <w:bookmarkStart w:id="721" w:name="_Toc18326"/>
      <w:bookmarkStart w:id="722" w:name="_Toc17834"/>
      <w:bookmarkStart w:id="723" w:name="_Toc27"/>
      <w:bookmarkStart w:id="724" w:name="_Toc19985"/>
      <w:bookmarkStart w:id="725" w:name="_Toc6665"/>
      <w:bookmarkStart w:id="726" w:name="_Toc16807"/>
      <w:bookmarkStart w:id="727" w:name="_Toc13578"/>
      <w:bookmarkStart w:id="728" w:name="_Toc30810"/>
      <w:bookmarkStart w:id="729" w:name="_Toc4651"/>
      <w:bookmarkStart w:id="730" w:name="_Toc3885"/>
      <w:bookmarkStart w:id="731" w:name="_Toc325114467"/>
      <w:bookmarkStart w:id="732" w:name="_Toc404084884"/>
      <w:bookmarkStart w:id="733" w:name="_Toc325114653"/>
      <w:r>
        <w:rPr>
          <w:rFonts w:ascii="宋体" w:hAnsi="宋体" w:cs="宋体"/>
          <w:sz w:val="28"/>
        </w:rPr>
        <w:t>2021年05月31日</w:t>
      </w:r>
      <w:r>
        <w:rPr>
          <w:rFonts w:hint="eastAsia" w:ascii="宋体" w:hAnsi="宋体" w:cs="宋体"/>
          <w:sz w:val="28"/>
        </w:rPr>
        <w:t>起至</w:t>
      </w:r>
      <w:r>
        <w:rPr>
          <w:rFonts w:ascii="宋体" w:hAnsi="宋体" w:cs="宋体"/>
          <w:sz w:val="28"/>
        </w:rPr>
        <w:t>2021年05月31日</w:t>
      </w:r>
      <w:r>
        <w:rPr>
          <w:rFonts w:hint="eastAsia" w:ascii="宋体" w:hAnsi="宋体" w:cs="宋体"/>
          <w:sz w:val="28"/>
        </w:rPr>
        <w:t>止。</w:t>
      </w:r>
      <w:bookmarkEnd w:id="717"/>
      <w:bookmarkEnd w:id="718"/>
      <w:bookmarkEnd w:id="719"/>
      <w:bookmarkEnd w:id="720"/>
      <w:bookmarkEnd w:id="721"/>
      <w:bookmarkEnd w:id="722"/>
      <w:bookmarkEnd w:id="723"/>
      <w:bookmarkEnd w:id="724"/>
      <w:bookmarkEnd w:id="725"/>
    </w:p>
    <w:p>
      <w:pPr>
        <w:spacing w:line="440" w:lineRule="exact"/>
        <w:ind w:firstLine="562" w:firstLineChars="200"/>
        <w:outlineLvl w:val="1"/>
        <w:rPr>
          <w:rFonts w:ascii="宋体" w:cs="宋体"/>
          <w:b/>
          <w:sz w:val="28"/>
          <w:szCs w:val="28"/>
        </w:rPr>
      </w:pPr>
      <w:bookmarkStart w:id="734" w:name="_Toc11421"/>
      <w:bookmarkStart w:id="735" w:name="_Toc31778"/>
      <w:bookmarkStart w:id="736" w:name="_Toc8417"/>
      <w:bookmarkStart w:id="737" w:name="_Toc11734"/>
      <w:bookmarkStart w:id="738" w:name="_Toc9502"/>
      <w:bookmarkStart w:id="739" w:name="_Toc25375"/>
      <w:r>
        <w:rPr>
          <w:rFonts w:hint="eastAsia" w:ascii="宋体" w:hAnsi="宋体" w:cs="宋体"/>
          <w:b/>
          <w:sz w:val="28"/>
          <w:szCs w:val="28"/>
        </w:rPr>
        <w:t>十四、估价作业期</w:t>
      </w:r>
      <w:bookmarkEnd w:id="726"/>
      <w:bookmarkEnd w:id="727"/>
      <w:bookmarkEnd w:id="728"/>
      <w:bookmarkEnd w:id="729"/>
      <w:bookmarkEnd w:id="730"/>
      <w:bookmarkEnd w:id="734"/>
      <w:bookmarkEnd w:id="735"/>
      <w:bookmarkEnd w:id="736"/>
      <w:bookmarkEnd w:id="737"/>
      <w:bookmarkEnd w:id="738"/>
      <w:bookmarkEnd w:id="739"/>
    </w:p>
    <w:p>
      <w:pPr>
        <w:pStyle w:val="26"/>
        <w:spacing w:after="0" w:line="440" w:lineRule="exact"/>
        <w:ind w:firstLine="560" w:firstLineChars="200"/>
        <w:rPr>
          <w:rFonts w:ascii="宋体" w:hAnsi="宋体" w:cs="宋体"/>
          <w:sz w:val="28"/>
        </w:rPr>
      </w:pPr>
      <w:r>
        <w:rPr>
          <w:rFonts w:ascii="宋体" w:hAnsi="宋体" w:cs="宋体"/>
          <w:sz w:val="28"/>
        </w:rPr>
        <w:t>2021年05月31日</w:t>
      </w:r>
      <w:r>
        <w:rPr>
          <w:rFonts w:hint="eastAsia" w:ascii="宋体" w:hAnsi="宋体" w:cs="宋体"/>
          <w:sz w:val="28"/>
        </w:rPr>
        <w:t>至</w:t>
      </w:r>
      <w:bookmarkEnd w:id="731"/>
      <w:bookmarkEnd w:id="732"/>
      <w:bookmarkEnd w:id="733"/>
      <w:r>
        <w:rPr>
          <w:rFonts w:hint="eastAsia" w:ascii="宋体" w:hAnsi="宋体" w:cs="宋体"/>
          <w:sz w:val="28"/>
        </w:rPr>
        <w:t>2021年12月22日。</w:t>
      </w:r>
    </w:p>
    <w:p>
      <w:pPr>
        <w:pStyle w:val="26"/>
        <w:spacing w:after="0" w:line="440" w:lineRule="exact"/>
        <w:ind w:firstLine="560" w:firstLineChars="200"/>
        <w:rPr>
          <w:rFonts w:ascii="宋体" w:hAnsi="宋体" w:cs="宋体"/>
          <w:sz w:val="28"/>
        </w:rPr>
      </w:pPr>
    </w:p>
    <w:p>
      <w:pPr>
        <w:pStyle w:val="26"/>
        <w:spacing w:after="0" w:line="440" w:lineRule="exact"/>
        <w:ind w:firstLine="560" w:firstLineChars="200"/>
        <w:rPr>
          <w:rFonts w:ascii="宋体" w:hAnsi="宋体" w:cs="宋体"/>
          <w:sz w:val="28"/>
        </w:rPr>
      </w:pPr>
    </w:p>
    <w:p>
      <w:pPr>
        <w:pStyle w:val="26"/>
        <w:spacing w:after="0" w:line="440" w:lineRule="exact"/>
        <w:ind w:firstLine="560" w:firstLineChars="200"/>
        <w:rPr>
          <w:rFonts w:ascii="宋体" w:hAnsi="宋体" w:cs="宋体"/>
          <w:sz w:val="28"/>
        </w:rPr>
      </w:pPr>
    </w:p>
    <w:p>
      <w:pPr>
        <w:pStyle w:val="26"/>
        <w:spacing w:after="0" w:line="440" w:lineRule="exact"/>
        <w:ind w:firstLine="560" w:firstLineChars="200"/>
        <w:rPr>
          <w:rFonts w:ascii="宋体" w:hAnsi="宋体" w:cs="宋体"/>
          <w:sz w:val="28"/>
        </w:rPr>
      </w:pPr>
    </w:p>
    <w:p>
      <w:pPr>
        <w:autoSpaceDE w:val="0"/>
        <w:autoSpaceDN w:val="0"/>
        <w:adjustRightInd w:val="0"/>
        <w:spacing w:line="440" w:lineRule="exact"/>
        <w:ind w:left="839" w:right="1120"/>
        <w:jc w:val="right"/>
        <w:rPr>
          <w:rFonts w:ascii="宋体" w:cs="宋体"/>
          <w:kern w:val="0"/>
          <w:sz w:val="28"/>
        </w:rPr>
      </w:pPr>
      <w:r>
        <w:rPr>
          <w:rFonts w:hint="eastAsia" w:ascii="宋体" w:hAnsi="宋体" w:cs="宋体"/>
          <w:kern w:val="0"/>
          <w:sz w:val="28"/>
        </w:rPr>
        <w:t>昆明正序房地产土地资产评估有限公司</w:t>
      </w:r>
    </w:p>
    <w:p>
      <w:pPr>
        <w:autoSpaceDE w:val="0"/>
        <w:autoSpaceDN w:val="0"/>
        <w:adjustRightInd w:val="0"/>
        <w:spacing w:line="800" w:lineRule="exact"/>
        <w:ind w:firstLine="4760" w:firstLineChars="1700"/>
        <w:jc w:val="left"/>
        <w:rPr>
          <w:rFonts w:ascii="宋体" w:cs="宋体"/>
          <w:b/>
          <w:bCs/>
          <w:sz w:val="36"/>
          <w:szCs w:val="36"/>
        </w:rPr>
      </w:pPr>
      <w:r>
        <w:rPr>
          <w:rFonts w:hint="eastAsia" w:ascii="宋体" w:hAnsi="宋体" w:cs="宋体"/>
          <w:kern w:val="0"/>
          <w:sz w:val="28"/>
        </w:rPr>
        <w:t>二〇二一年十二月二十二日</w:t>
      </w:r>
    </w:p>
    <w:bookmarkEnd w:id="702"/>
    <w:bookmarkEnd w:id="703"/>
    <w:p>
      <w:pPr>
        <w:autoSpaceDE w:val="0"/>
        <w:autoSpaceDN w:val="0"/>
        <w:adjustRightInd w:val="0"/>
        <w:spacing w:line="560" w:lineRule="exact"/>
        <w:ind w:firstLine="630"/>
        <w:jc w:val="center"/>
        <w:outlineLvl w:val="0"/>
        <w:rPr>
          <w:rFonts w:ascii="宋体" w:cs="宋体"/>
          <w:b/>
          <w:bCs/>
          <w:sz w:val="36"/>
          <w:szCs w:val="36"/>
        </w:rPr>
      </w:pPr>
      <w:bookmarkStart w:id="740" w:name="_Toc20701"/>
      <w:bookmarkStart w:id="741" w:name="_Toc378591701"/>
      <w:bookmarkStart w:id="742" w:name="_Toc4378"/>
      <w:bookmarkStart w:id="743" w:name="_Toc20861"/>
      <w:bookmarkStart w:id="744" w:name="_Toc378591287"/>
      <w:bookmarkStart w:id="745" w:name="_Toc355786957"/>
      <w:bookmarkStart w:id="746" w:name="_Toc357774386"/>
      <w:bookmarkStart w:id="747" w:name="_Toc11494"/>
      <w:bookmarkStart w:id="748" w:name="_Toc31284"/>
      <w:bookmarkStart w:id="749" w:name="_Toc378590577"/>
      <w:bookmarkStart w:id="750" w:name="_Toc378495859"/>
      <w:r>
        <w:rPr>
          <w:rFonts w:ascii="宋体" w:cs="宋体"/>
          <w:b/>
          <w:bCs/>
          <w:sz w:val="36"/>
          <w:szCs w:val="36"/>
        </w:rPr>
        <w:br w:type="page"/>
      </w:r>
      <w:bookmarkStart w:id="751" w:name="_Toc11633"/>
      <w:bookmarkStart w:id="752" w:name="_Toc14087"/>
      <w:bookmarkStart w:id="753" w:name="_Toc24237"/>
      <w:bookmarkStart w:id="754" w:name="_Toc23300"/>
      <w:bookmarkStart w:id="755" w:name="_Toc6127"/>
      <w:bookmarkStart w:id="756" w:name="_Toc21139"/>
      <w:r>
        <w:rPr>
          <w:rFonts w:hint="eastAsia" w:ascii="宋体" w:hAnsi="宋体" w:cs="宋体"/>
          <w:b/>
          <w:bCs/>
          <w:sz w:val="36"/>
          <w:szCs w:val="36"/>
        </w:rPr>
        <w:t>附</w:t>
      </w:r>
      <w:r>
        <w:rPr>
          <w:rFonts w:ascii="宋体" w:hAnsi="宋体" w:cs="宋体"/>
          <w:b/>
          <w:bCs/>
          <w:sz w:val="36"/>
          <w:szCs w:val="36"/>
        </w:rPr>
        <w:t xml:space="preserve">  </w:t>
      </w:r>
      <w:r>
        <w:rPr>
          <w:rFonts w:hint="eastAsia" w:ascii="宋体" w:hAnsi="宋体" w:cs="宋体"/>
          <w:b/>
          <w:bCs/>
          <w:sz w:val="36"/>
          <w:szCs w:val="36"/>
        </w:rPr>
        <w:t>件</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Start w:id="757" w:name="_Toc3408"/>
      <w:bookmarkStart w:id="758" w:name="_Toc7041"/>
      <w:bookmarkStart w:id="759" w:name="_Toc745"/>
      <w:bookmarkStart w:id="760" w:name="_Toc17990"/>
      <w:bookmarkStart w:id="761" w:name="_Toc22405"/>
      <w:bookmarkStart w:id="762" w:name="_Toc29961"/>
      <w:bookmarkStart w:id="763" w:name="_Toc457982829"/>
      <w:bookmarkStart w:id="764" w:name="_Toc20183"/>
      <w:bookmarkStart w:id="765" w:name="_Toc23308"/>
      <w:bookmarkStart w:id="766" w:name="_Toc457982773"/>
      <w:bookmarkStart w:id="767" w:name="_Toc445907667"/>
      <w:bookmarkStart w:id="768" w:name="_Toc30673"/>
      <w:bookmarkStart w:id="769" w:name="_Toc17142"/>
      <w:bookmarkStart w:id="770" w:name="_Toc20581"/>
      <w:bookmarkStart w:id="771" w:name="_Toc2469"/>
      <w:bookmarkStart w:id="772" w:name="_Toc31674"/>
      <w:bookmarkStart w:id="773" w:name="_Toc445907666"/>
      <w:bookmarkStart w:id="774" w:name="_Toc28143"/>
      <w:bookmarkStart w:id="775" w:name="_Toc20339"/>
      <w:bookmarkStart w:id="776" w:name="_Toc21797"/>
      <w:bookmarkStart w:id="777" w:name="_Toc363564649"/>
      <w:bookmarkStart w:id="778" w:name="_Toc378591703"/>
      <w:bookmarkStart w:id="779" w:name="_Toc404084907"/>
      <w:bookmarkStart w:id="780" w:name="_Toc378591289"/>
      <w:bookmarkStart w:id="781" w:name="_Toc378495860"/>
      <w:bookmarkStart w:id="782" w:name="_Toc362529659"/>
      <w:bookmarkStart w:id="783" w:name="_Toc378590579"/>
      <w:bookmarkStart w:id="784" w:name="_Toc344125534"/>
      <w:bookmarkStart w:id="785" w:name="_Toc357773983"/>
      <w:bookmarkStart w:id="786" w:name="_Toc357774131"/>
      <w:bookmarkStart w:id="787" w:name="_Toc357774387"/>
      <w:bookmarkStart w:id="788" w:name="_Toc355786958"/>
    </w:p>
    <w:p>
      <w:pPr>
        <w:pStyle w:val="28"/>
        <w:spacing w:before="0" w:after="0" w:line="360" w:lineRule="auto"/>
        <w:ind w:firstLine="560" w:firstLineChars="200"/>
        <w:jc w:val="both"/>
        <w:rPr>
          <w:rFonts w:ascii="宋体" w:cs="宋体"/>
          <w:b w:val="0"/>
          <w:bCs w:val="0"/>
          <w:sz w:val="28"/>
          <w:szCs w:val="28"/>
        </w:rPr>
      </w:pPr>
      <w:bookmarkStart w:id="789" w:name="_Toc15811"/>
      <w:bookmarkStart w:id="790" w:name="_Toc7096"/>
      <w:bookmarkStart w:id="791" w:name="_Toc4363"/>
      <w:bookmarkStart w:id="792" w:name="_Toc21195"/>
      <w:bookmarkStart w:id="793" w:name="_Toc22725"/>
      <w:bookmarkStart w:id="794" w:name="_Toc29559"/>
      <w:r>
        <w:rPr>
          <w:rFonts w:hint="eastAsia" w:ascii="宋体" w:hAnsi="宋体" w:cs="宋体"/>
          <w:b w:val="0"/>
          <w:bCs w:val="0"/>
          <w:sz w:val="28"/>
          <w:szCs w:val="28"/>
        </w:rPr>
        <w:t>一、《云南省临沧市中级人民法院委托书》（复印件）；</w:t>
      </w:r>
      <w:bookmarkEnd w:id="757"/>
      <w:bookmarkEnd w:id="758"/>
      <w:bookmarkEnd w:id="759"/>
      <w:bookmarkEnd w:id="760"/>
      <w:bookmarkEnd w:id="761"/>
      <w:bookmarkEnd w:id="762"/>
      <w:bookmarkEnd w:id="763"/>
      <w:bookmarkEnd w:id="764"/>
      <w:bookmarkEnd w:id="765"/>
      <w:bookmarkEnd w:id="766"/>
      <w:bookmarkEnd w:id="767"/>
      <w:bookmarkEnd w:id="789"/>
      <w:bookmarkEnd w:id="790"/>
      <w:bookmarkEnd w:id="791"/>
      <w:bookmarkEnd w:id="792"/>
      <w:bookmarkEnd w:id="793"/>
      <w:bookmarkEnd w:id="794"/>
      <w:bookmarkStart w:id="795" w:name="_Toc457982774"/>
      <w:bookmarkStart w:id="796" w:name="_Toc457982830"/>
    </w:p>
    <w:p>
      <w:pPr>
        <w:pStyle w:val="28"/>
        <w:spacing w:before="0" w:after="0" w:line="360" w:lineRule="auto"/>
        <w:ind w:firstLine="560" w:firstLineChars="200"/>
        <w:jc w:val="both"/>
        <w:rPr>
          <w:rFonts w:ascii="宋体" w:cs="宋体"/>
          <w:b w:val="0"/>
          <w:bCs w:val="0"/>
          <w:sz w:val="28"/>
          <w:szCs w:val="28"/>
        </w:rPr>
      </w:pPr>
      <w:bookmarkStart w:id="797" w:name="_Toc5364"/>
      <w:bookmarkStart w:id="798" w:name="_Toc22613"/>
      <w:bookmarkStart w:id="799" w:name="_Toc841"/>
      <w:bookmarkStart w:id="800" w:name="_Toc29279"/>
      <w:bookmarkStart w:id="801" w:name="_Toc31376"/>
      <w:bookmarkStart w:id="802" w:name="_Toc4198"/>
      <w:r>
        <w:rPr>
          <w:rFonts w:hint="eastAsia" w:ascii="宋体" w:hAnsi="宋体" w:cs="宋体"/>
          <w:b w:val="0"/>
          <w:bCs w:val="0"/>
          <w:sz w:val="28"/>
          <w:szCs w:val="28"/>
        </w:rPr>
        <w:t>二、《临都上城19幢B单元房源信息登记表》（复印件）；</w:t>
      </w:r>
      <w:bookmarkEnd w:id="768"/>
      <w:bookmarkEnd w:id="769"/>
      <w:bookmarkEnd w:id="770"/>
      <w:bookmarkEnd w:id="771"/>
      <w:bookmarkEnd w:id="772"/>
      <w:bookmarkEnd w:id="773"/>
      <w:bookmarkEnd w:id="774"/>
      <w:bookmarkEnd w:id="775"/>
      <w:bookmarkEnd w:id="776"/>
      <w:bookmarkEnd w:id="795"/>
      <w:bookmarkEnd w:id="796"/>
      <w:bookmarkEnd w:id="797"/>
      <w:bookmarkEnd w:id="798"/>
      <w:bookmarkEnd w:id="799"/>
      <w:bookmarkEnd w:id="800"/>
      <w:bookmarkEnd w:id="801"/>
      <w:bookmarkEnd w:id="802"/>
    </w:p>
    <w:p>
      <w:pPr>
        <w:pStyle w:val="28"/>
        <w:spacing w:before="0" w:after="0" w:line="360" w:lineRule="auto"/>
        <w:ind w:firstLine="560" w:firstLineChars="200"/>
        <w:jc w:val="both"/>
        <w:rPr>
          <w:rFonts w:ascii="宋体" w:cs="宋体"/>
          <w:b w:val="0"/>
          <w:bCs w:val="0"/>
          <w:sz w:val="28"/>
          <w:szCs w:val="28"/>
        </w:rPr>
      </w:pPr>
      <w:bookmarkStart w:id="803" w:name="_Toc25881"/>
      <w:bookmarkStart w:id="804" w:name="_Toc18642"/>
      <w:bookmarkStart w:id="805" w:name="_Toc2460"/>
      <w:bookmarkStart w:id="806" w:name="_Toc15867"/>
      <w:bookmarkStart w:id="807" w:name="_Toc447"/>
      <w:bookmarkStart w:id="808" w:name="_Toc31346"/>
      <w:r>
        <w:rPr>
          <w:rFonts w:hint="eastAsia" w:ascii="宋体" w:hAnsi="宋体" w:cs="宋体"/>
          <w:b w:val="0"/>
          <w:bCs w:val="0"/>
          <w:sz w:val="28"/>
          <w:szCs w:val="28"/>
        </w:rPr>
        <w:t>三、估价委托人提供的其他相关资料（复印件）；</w:t>
      </w:r>
      <w:bookmarkEnd w:id="803"/>
      <w:bookmarkEnd w:id="804"/>
      <w:bookmarkEnd w:id="805"/>
      <w:bookmarkEnd w:id="806"/>
      <w:bookmarkEnd w:id="807"/>
      <w:bookmarkEnd w:id="808"/>
    </w:p>
    <w:p>
      <w:pPr>
        <w:pStyle w:val="28"/>
        <w:spacing w:before="0" w:after="0" w:line="360" w:lineRule="auto"/>
        <w:ind w:firstLine="560" w:firstLineChars="200"/>
        <w:jc w:val="both"/>
        <w:rPr>
          <w:rFonts w:ascii="宋体" w:cs="宋体"/>
          <w:b w:val="0"/>
          <w:bCs w:val="0"/>
          <w:sz w:val="28"/>
          <w:szCs w:val="28"/>
        </w:rPr>
      </w:pPr>
      <w:bookmarkStart w:id="809" w:name="_Toc1304"/>
      <w:bookmarkStart w:id="810" w:name="_Toc32546"/>
      <w:bookmarkStart w:id="811" w:name="_Toc8175"/>
      <w:bookmarkStart w:id="812" w:name="_Toc30978"/>
      <w:bookmarkStart w:id="813" w:name="_Toc19231"/>
      <w:bookmarkStart w:id="814" w:name="_Toc141"/>
      <w:bookmarkStart w:id="815" w:name="_Toc445907668"/>
      <w:bookmarkStart w:id="816" w:name="_Toc457982831"/>
      <w:bookmarkStart w:id="817" w:name="_Toc10814"/>
      <w:bookmarkStart w:id="818" w:name="_Toc11417"/>
      <w:bookmarkStart w:id="819" w:name="_Toc12147"/>
      <w:bookmarkStart w:id="820" w:name="_Toc11418"/>
      <w:bookmarkStart w:id="821" w:name="_Toc457982775"/>
      <w:bookmarkStart w:id="822" w:name="_Toc3028"/>
      <w:bookmarkStart w:id="823" w:name="_Toc23408"/>
      <w:bookmarkStart w:id="824" w:name="_Toc14894"/>
      <w:bookmarkStart w:id="825" w:name="_Toc17782"/>
      <w:r>
        <w:rPr>
          <w:rFonts w:hint="eastAsia" w:ascii="宋体" w:hAnsi="宋体" w:cs="宋体"/>
          <w:b w:val="0"/>
          <w:bCs w:val="0"/>
          <w:sz w:val="28"/>
          <w:szCs w:val="28"/>
        </w:rPr>
        <w:t>四、估价对象区位图；</w:t>
      </w:r>
      <w:bookmarkEnd w:id="809"/>
      <w:bookmarkEnd w:id="810"/>
      <w:bookmarkEnd w:id="811"/>
      <w:bookmarkEnd w:id="812"/>
      <w:bookmarkEnd w:id="813"/>
      <w:bookmarkEnd w:id="814"/>
    </w:p>
    <w:p>
      <w:pPr>
        <w:pStyle w:val="28"/>
        <w:spacing w:before="0" w:after="0" w:line="360" w:lineRule="auto"/>
        <w:ind w:firstLine="560" w:firstLineChars="200"/>
        <w:jc w:val="both"/>
        <w:rPr>
          <w:rFonts w:ascii="宋体" w:cs="宋体"/>
          <w:b w:val="0"/>
          <w:bCs w:val="0"/>
          <w:sz w:val="28"/>
          <w:szCs w:val="28"/>
        </w:rPr>
      </w:pPr>
      <w:bookmarkStart w:id="826" w:name="_Toc32416"/>
      <w:bookmarkStart w:id="827" w:name="_Toc6798"/>
      <w:bookmarkStart w:id="828" w:name="_Toc9526"/>
      <w:bookmarkStart w:id="829" w:name="_Toc554"/>
      <w:bookmarkStart w:id="830" w:name="_Toc9622"/>
      <w:bookmarkStart w:id="831" w:name="_Toc6793"/>
      <w:r>
        <w:rPr>
          <w:rFonts w:hint="eastAsia" w:ascii="宋体" w:hAnsi="宋体" w:cs="宋体"/>
          <w:b w:val="0"/>
          <w:bCs w:val="0"/>
          <w:sz w:val="28"/>
          <w:szCs w:val="28"/>
        </w:rPr>
        <w:t>五、估价对象实地查勘照片；</w:t>
      </w:r>
      <w:bookmarkEnd w:id="826"/>
      <w:bookmarkEnd w:id="827"/>
      <w:bookmarkEnd w:id="828"/>
      <w:bookmarkEnd w:id="829"/>
      <w:bookmarkEnd w:id="830"/>
      <w:bookmarkEnd w:id="831"/>
    </w:p>
    <w:p>
      <w:pPr>
        <w:pStyle w:val="28"/>
        <w:spacing w:before="0" w:after="0" w:line="360" w:lineRule="auto"/>
        <w:ind w:firstLine="560" w:firstLineChars="200"/>
        <w:jc w:val="both"/>
        <w:rPr>
          <w:rFonts w:ascii="宋体" w:cs="宋体"/>
          <w:b w:val="0"/>
          <w:bCs w:val="0"/>
          <w:sz w:val="28"/>
          <w:szCs w:val="28"/>
        </w:rPr>
      </w:pPr>
      <w:bookmarkStart w:id="832" w:name="_Toc23624"/>
      <w:bookmarkStart w:id="833" w:name="_Toc8274"/>
      <w:bookmarkStart w:id="834" w:name="_Toc20736"/>
      <w:bookmarkStart w:id="835" w:name="_Toc17245"/>
      <w:bookmarkStart w:id="836" w:name="_Toc6504"/>
      <w:bookmarkStart w:id="837" w:name="_Toc24531"/>
      <w:r>
        <w:rPr>
          <w:rFonts w:hint="eastAsia" w:ascii="宋体" w:hAnsi="宋体" w:cs="宋体"/>
          <w:b w:val="0"/>
          <w:bCs w:val="0"/>
          <w:sz w:val="28"/>
          <w:szCs w:val="28"/>
        </w:rPr>
        <w:t>六、估价机构营业执照</w:t>
      </w:r>
      <w:bookmarkEnd w:id="777"/>
      <w:bookmarkEnd w:id="778"/>
      <w:bookmarkEnd w:id="779"/>
      <w:bookmarkEnd w:id="780"/>
      <w:bookmarkEnd w:id="781"/>
      <w:bookmarkEnd w:id="782"/>
      <w:bookmarkEnd w:id="783"/>
      <w:bookmarkEnd w:id="815"/>
      <w:r>
        <w:rPr>
          <w:rFonts w:hint="eastAsia" w:ascii="宋体" w:hAnsi="宋体" w:cs="宋体"/>
          <w:b w:val="0"/>
          <w:bCs w:val="0"/>
          <w:sz w:val="28"/>
          <w:szCs w:val="28"/>
        </w:rPr>
        <w:t>副本（复印件）；</w:t>
      </w:r>
      <w:bookmarkEnd w:id="816"/>
      <w:bookmarkEnd w:id="817"/>
      <w:bookmarkEnd w:id="818"/>
      <w:bookmarkEnd w:id="819"/>
      <w:bookmarkEnd w:id="820"/>
      <w:bookmarkEnd w:id="821"/>
      <w:bookmarkEnd w:id="822"/>
      <w:bookmarkEnd w:id="823"/>
      <w:bookmarkEnd w:id="824"/>
      <w:bookmarkEnd w:id="825"/>
      <w:bookmarkEnd w:id="832"/>
      <w:bookmarkEnd w:id="833"/>
      <w:bookmarkEnd w:id="834"/>
      <w:bookmarkEnd w:id="835"/>
      <w:bookmarkEnd w:id="836"/>
      <w:bookmarkEnd w:id="837"/>
    </w:p>
    <w:p>
      <w:pPr>
        <w:pStyle w:val="28"/>
        <w:spacing w:before="0" w:after="0" w:line="360" w:lineRule="auto"/>
        <w:ind w:firstLine="560" w:firstLineChars="200"/>
        <w:jc w:val="both"/>
        <w:rPr>
          <w:rFonts w:ascii="宋体" w:cs="宋体"/>
          <w:b w:val="0"/>
          <w:bCs w:val="0"/>
          <w:sz w:val="28"/>
          <w:szCs w:val="28"/>
        </w:rPr>
      </w:pPr>
      <w:bookmarkStart w:id="838" w:name="_Toc8871"/>
      <w:bookmarkStart w:id="839" w:name="_Toc16361"/>
      <w:bookmarkStart w:id="840" w:name="_Toc9620"/>
      <w:bookmarkStart w:id="841" w:name="_Toc2479"/>
      <w:bookmarkStart w:id="842" w:name="_Toc11341"/>
      <w:bookmarkStart w:id="843" w:name="_Toc5858"/>
      <w:bookmarkStart w:id="844" w:name="_Toc378591704"/>
      <w:bookmarkStart w:id="845" w:name="_Toc457982832"/>
      <w:bookmarkStart w:id="846" w:name="_Toc14539"/>
      <w:bookmarkStart w:id="847" w:name="_Toc378591290"/>
      <w:bookmarkStart w:id="848" w:name="_Toc445907669"/>
      <w:bookmarkStart w:id="849" w:name="_Toc26603"/>
      <w:bookmarkStart w:id="850" w:name="_Toc24606"/>
      <w:bookmarkStart w:id="851" w:name="_Toc32504"/>
      <w:bookmarkStart w:id="852" w:name="_Toc457982776"/>
      <w:bookmarkStart w:id="853" w:name="_Toc378590580"/>
      <w:bookmarkStart w:id="854" w:name="_Toc378495861"/>
      <w:bookmarkStart w:id="855" w:name="_Toc362529660"/>
      <w:bookmarkStart w:id="856" w:name="_Toc13633"/>
      <w:bookmarkStart w:id="857" w:name="_Toc363564650"/>
      <w:bookmarkStart w:id="858" w:name="_Toc24090"/>
      <w:bookmarkStart w:id="859" w:name="_Toc404084908"/>
      <w:bookmarkStart w:id="860" w:name="_Toc14008"/>
      <w:bookmarkStart w:id="861" w:name="_Toc8695"/>
      <w:r>
        <w:rPr>
          <w:rFonts w:hint="eastAsia" w:ascii="宋体" w:hAnsi="宋体" w:cs="宋体"/>
          <w:b w:val="0"/>
          <w:bCs w:val="0"/>
          <w:sz w:val="28"/>
          <w:szCs w:val="28"/>
        </w:rPr>
        <w:t>七、房地产估价机构备案证书（复印件）；</w:t>
      </w:r>
      <w:bookmarkEnd w:id="838"/>
      <w:bookmarkEnd w:id="839"/>
      <w:bookmarkEnd w:id="840"/>
      <w:bookmarkEnd w:id="841"/>
      <w:bookmarkEnd w:id="842"/>
      <w:bookmarkEnd w:id="843"/>
    </w:p>
    <w:p>
      <w:pPr>
        <w:pStyle w:val="28"/>
        <w:spacing w:before="0" w:after="0" w:line="360" w:lineRule="auto"/>
        <w:ind w:firstLine="560" w:firstLineChars="200"/>
        <w:jc w:val="both"/>
        <w:rPr>
          <w:rFonts w:ascii="宋体" w:cs="宋体"/>
          <w:b w:val="0"/>
          <w:bCs w:val="0"/>
          <w:sz w:val="28"/>
          <w:szCs w:val="28"/>
        </w:rPr>
      </w:pPr>
      <w:bookmarkStart w:id="862" w:name="_Toc18691"/>
      <w:bookmarkStart w:id="863" w:name="_Toc11506"/>
      <w:bookmarkStart w:id="864" w:name="_Toc27537"/>
      <w:bookmarkStart w:id="865" w:name="_Toc14945"/>
      <w:bookmarkStart w:id="866" w:name="_Toc9978"/>
      <w:bookmarkStart w:id="867" w:name="_Toc25512"/>
      <w:r>
        <w:rPr>
          <w:rFonts w:hint="eastAsia" w:ascii="宋体" w:hAnsi="宋体" w:cs="宋体"/>
          <w:b w:val="0"/>
          <w:bCs w:val="0"/>
          <w:sz w:val="28"/>
          <w:szCs w:val="28"/>
        </w:rPr>
        <w:t>八、签名房地产估价师注册证书</w:t>
      </w:r>
      <w:bookmarkEnd w:id="784"/>
      <w:bookmarkEnd w:id="785"/>
      <w:bookmarkEnd w:id="786"/>
      <w:bookmarkEnd w:id="787"/>
      <w:bookmarkEnd w:id="788"/>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Pr>
          <w:rFonts w:hint="eastAsia" w:ascii="宋体" w:hAnsi="宋体" w:cs="宋体"/>
          <w:b w:val="0"/>
          <w:bCs w:val="0"/>
          <w:sz w:val="28"/>
          <w:szCs w:val="28"/>
        </w:rPr>
        <w:t>（复印件）。</w:t>
      </w:r>
      <w:bookmarkEnd w:id="862"/>
      <w:bookmarkEnd w:id="863"/>
      <w:bookmarkEnd w:id="864"/>
      <w:bookmarkEnd w:id="865"/>
      <w:bookmarkEnd w:id="866"/>
      <w:bookmarkEnd w:id="867"/>
    </w:p>
    <w:p>
      <w:pPr>
        <w:autoSpaceDE w:val="0"/>
        <w:autoSpaceDN w:val="0"/>
        <w:adjustRightInd w:val="0"/>
        <w:spacing w:line="800" w:lineRule="exact"/>
        <w:jc w:val="left"/>
        <w:rPr>
          <w:rFonts w:ascii="宋体" w:cs="宋体"/>
        </w:rPr>
      </w:pPr>
    </w:p>
    <w:p>
      <w:pPr>
        <w:autoSpaceDE w:val="0"/>
        <w:autoSpaceDN w:val="0"/>
        <w:adjustRightInd w:val="0"/>
        <w:spacing w:line="800" w:lineRule="exact"/>
        <w:jc w:val="left"/>
        <w:rPr>
          <w:rFonts w:ascii="宋体" w:cs="宋体"/>
        </w:rPr>
      </w:pPr>
    </w:p>
    <w:p>
      <w:pPr>
        <w:autoSpaceDE w:val="0"/>
        <w:autoSpaceDN w:val="0"/>
        <w:adjustRightInd w:val="0"/>
        <w:spacing w:line="800" w:lineRule="exact"/>
        <w:jc w:val="left"/>
        <w:rPr>
          <w:rFonts w:ascii="宋体" w:cs="宋体"/>
        </w:rPr>
      </w:pPr>
    </w:p>
    <w:p>
      <w:pPr>
        <w:autoSpaceDE w:val="0"/>
        <w:autoSpaceDN w:val="0"/>
        <w:adjustRightInd w:val="0"/>
        <w:spacing w:line="800" w:lineRule="exact"/>
        <w:jc w:val="left"/>
        <w:rPr>
          <w:rFonts w:ascii="宋体" w:cs="宋体"/>
        </w:rPr>
      </w:pPr>
    </w:p>
    <w:p>
      <w:pPr>
        <w:pStyle w:val="28"/>
        <w:spacing w:before="0" w:after="0" w:line="360" w:lineRule="auto"/>
        <w:ind w:firstLine="560" w:firstLineChars="200"/>
        <w:jc w:val="both"/>
        <w:rPr>
          <w:rFonts w:ascii="宋体" w:cs="宋体"/>
          <w:b w:val="0"/>
          <w:bCs w:val="0"/>
          <w:sz w:val="28"/>
          <w:szCs w:val="28"/>
        </w:rPr>
      </w:pPr>
    </w:p>
    <w:p>
      <w:pPr>
        <w:autoSpaceDE w:val="0"/>
        <w:autoSpaceDN w:val="0"/>
        <w:adjustRightInd w:val="0"/>
        <w:spacing w:line="360" w:lineRule="auto"/>
        <w:jc w:val="center"/>
        <w:rPr>
          <w:rFonts w:ascii="宋体" w:cs="宋体"/>
          <w:b/>
          <w:kern w:val="0"/>
          <w:sz w:val="52"/>
        </w:rPr>
      </w:pPr>
    </w:p>
    <w:p>
      <w:pPr>
        <w:pStyle w:val="28"/>
        <w:spacing w:before="0" w:after="0" w:line="360" w:lineRule="auto"/>
        <w:ind w:firstLine="560" w:firstLineChars="200"/>
        <w:jc w:val="both"/>
        <w:rPr>
          <w:rFonts w:ascii="宋体" w:cs="宋体"/>
          <w:b w:val="0"/>
          <w:bCs w:val="0"/>
          <w:sz w:val="28"/>
          <w:szCs w:val="28"/>
        </w:rPr>
      </w:pPr>
    </w:p>
    <w:p>
      <w:pPr>
        <w:autoSpaceDE w:val="0"/>
        <w:autoSpaceDN w:val="0"/>
        <w:adjustRightInd w:val="0"/>
        <w:spacing w:line="360" w:lineRule="auto"/>
        <w:jc w:val="center"/>
        <w:rPr>
          <w:rFonts w:ascii="宋体" w:cs="宋体"/>
          <w:b/>
          <w:kern w:val="0"/>
          <w:sz w:val="52"/>
        </w:rPr>
      </w:pPr>
    </w:p>
    <w:p>
      <w:pPr>
        <w:autoSpaceDE w:val="0"/>
        <w:autoSpaceDN w:val="0"/>
        <w:adjustRightInd w:val="0"/>
        <w:spacing w:line="360" w:lineRule="auto"/>
        <w:jc w:val="center"/>
        <w:rPr>
          <w:rFonts w:ascii="宋体" w:cs="宋体"/>
          <w:b/>
          <w:kern w:val="0"/>
          <w:sz w:val="52"/>
        </w:rPr>
      </w:pPr>
    </w:p>
    <w:p>
      <w:pPr>
        <w:pStyle w:val="28"/>
        <w:spacing w:before="0" w:after="0" w:line="360" w:lineRule="auto"/>
        <w:jc w:val="both"/>
        <w:rPr>
          <w:rFonts w:ascii="宋体" w:cs="宋体"/>
          <w:b w:val="0"/>
          <w:bCs w:val="0"/>
          <w:sz w:val="28"/>
          <w:szCs w:val="28"/>
        </w:rPr>
      </w:pPr>
      <w:bookmarkStart w:id="868" w:name="_GoBack"/>
      <w:bookmarkEnd w:id="868"/>
    </w:p>
    <w:sectPr>
      <w:headerReference r:id="rId3" w:type="default"/>
      <w:footerReference r:id="rId4" w:type="default"/>
      <w:footerReference r:id="rId5" w:type="even"/>
      <w:pgSz w:w="11906" w:h="16838"/>
      <w:pgMar w:top="1440" w:right="1134" w:bottom="1440" w:left="1134"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Style w:val="34"/>
      </w:rPr>
    </w:pPr>
    <w:r>
      <w:rPr>
        <w:rFonts w:hint="eastAsia" w:ascii="宋体" w:hAnsi="宋体"/>
        <w:color w:val="000000"/>
        <w:szCs w:val="21"/>
      </w:rPr>
      <w:t>地址：</w:t>
    </w:r>
    <w:r>
      <w:rPr>
        <w:rFonts w:ascii="楷体_GB2312" w:eastAsia="Times New Roman"/>
        <w:color w:val="000000"/>
        <w:szCs w:val="21"/>
      </w:rPr>
      <w:t>云南省昆明市西山区青年路</w:t>
    </w:r>
    <w:r>
      <w:rPr>
        <w:rFonts w:ascii="楷体_GB2312"/>
        <w:color w:val="000000"/>
        <w:szCs w:val="21"/>
      </w:rPr>
      <w:t>518</w:t>
    </w:r>
    <w:r>
      <w:rPr>
        <w:rFonts w:hint="eastAsia" w:ascii="楷体_GB2312"/>
        <w:color w:val="000000"/>
        <w:szCs w:val="21"/>
      </w:rPr>
      <w:t>号</w:t>
    </w:r>
    <w:r>
      <w:rPr>
        <w:rFonts w:ascii="楷体_GB2312"/>
        <w:color w:val="000000"/>
        <w:szCs w:val="21"/>
      </w:rPr>
      <w:t>3</w:t>
    </w:r>
    <w:r>
      <w:rPr>
        <w:rFonts w:hint="eastAsia" w:ascii="楷体_GB2312"/>
        <w:color w:val="000000"/>
        <w:szCs w:val="21"/>
      </w:rPr>
      <w:t>幢</w:t>
    </w:r>
    <w:r>
      <w:rPr>
        <w:rFonts w:ascii="楷体_GB2312"/>
        <w:color w:val="000000"/>
        <w:szCs w:val="21"/>
      </w:rPr>
      <w:t>4</w:t>
    </w:r>
    <w:r>
      <w:rPr>
        <w:rFonts w:hint="eastAsia" w:ascii="楷体_GB2312"/>
        <w:color w:val="000000"/>
        <w:szCs w:val="21"/>
      </w:rPr>
      <w:t>层</w:t>
    </w:r>
    <w:r>
      <w:rPr>
        <w:rFonts w:ascii="楷体_GB2312"/>
        <w:color w:val="000000"/>
        <w:szCs w:val="21"/>
      </w:rPr>
      <w:t xml:space="preserve">   </w:t>
    </w:r>
    <w:r>
      <w:rPr>
        <w:rFonts w:hint="eastAsia" w:ascii="楷体_GB2312"/>
        <w:color w:val="000000"/>
        <w:szCs w:val="21"/>
      </w:rPr>
      <w:t>电话：</w:t>
    </w:r>
    <w:r>
      <w:rPr>
        <w:rFonts w:ascii="楷体_GB2312"/>
        <w:color w:val="000000"/>
        <w:szCs w:val="21"/>
      </w:rPr>
      <w:t xml:space="preserve">0871-63182502   </w:t>
    </w:r>
    <w:r>
      <w:rPr>
        <w:rFonts w:hint="eastAsia" w:ascii="楷体_GB2312"/>
        <w:color w:val="000000"/>
        <w:szCs w:val="21"/>
      </w:rPr>
      <w:t>传真：</w:t>
    </w:r>
    <w:r>
      <w:rPr>
        <w:rFonts w:ascii="楷体_GB2312"/>
        <w:color w:val="000000"/>
        <w:szCs w:val="21"/>
      </w:rPr>
      <w:t xml:space="preserve">0871-64195019    </w:t>
    </w:r>
    <w:r>
      <w:rPr>
        <w:rStyle w:val="34"/>
      </w:rPr>
      <w:fldChar w:fldCharType="begin"/>
    </w:r>
    <w:r>
      <w:rPr>
        <w:rStyle w:val="34"/>
      </w:rPr>
      <w:instrText xml:space="preserve">PAGE  </w:instrText>
    </w:r>
    <w:r>
      <w:rPr>
        <w:rStyle w:val="34"/>
      </w:rPr>
      <w:fldChar w:fldCharType="separate"/>
    </w:r>
    <w:r>
      <w:rPr>
        <w:rStyle w:val="34"/>
      </w:rPr>
      <w:t>12</w:t>
    </w:r>
    <w:r>
      <w:rPr>
        <w:rStyle w:val="3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- 13 -</w:t>
    </w:r>
    <w:r>
      <w:rPr>
        <w:rStyle w:val="34"/>
      </w:rPr>
      <w:fldChar w:fldCharType="end"/>
    </w: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黑体" w:eastAsia="黑体"/>
        <w:color w:val="0000FF"/>
        <w:spacing w:val="-14"/>
        <w:sz w:val="24"/>
        <w:szCs w:val="24"/>
      </w:rPr>
    </w:pPr>
    <w:r>
      <w:pict>
        <v:shape id="Picture 1" o:spid="_x0000_s2049" o:spt="75" alt="01" type="#_x0000_t75" style="position:absolute;left:0pt;margin-left:55.6pt;margin-top:-16.35pt;height:39.6pt;width:32.9pt;z-index:1024;mso-width-relative:page;mso-height-relative:page;" filled="f" o:preferrelative="t" stroked="f" coordsize="21600,21600">
          <v:path/>
          <v:fill on="f" focussize="0,0"/>
          <v:stroke on="f" joinstyle="miter"/>
          <v:imagedata r:id="rId1" o:title=""/>
          <o:lock v:ext="edit" aspectratio="t"/>
        </v:shape>
      </w:pict>
    </w:r>
    <w:r>
      <w:rPr>
        <w:rFonts w:hint="eastAsia" w:ascii="黑体" w:hAnsi="宋体" w:eastAsia="黑体"/>
        <w:color w:val="0000FF"/>
        <w:spacing w:val="-14"/>
        <w:sz w:val="24"/>
        <w:szCs w:val="24"/>
      </w:rPr>
      <w:t>昆</w:t>
    </w:r>
    <w:r>
      <w:rPr>
        <w:rFonts w:ascii="黑体" w:eastAsia="黑体"/>
        <w:color w:val="0000FF"/>
        <w:spacing w:val="-14"/>
        <w:sz w:val="24"/>
        <w:szCs w:val="24"/>
      </w:rPr>
      <w:t xml:space="preserve"> </w:t>
    </w:r>
    <w:r>
      <w:rPr>
        <w:rFonts w:hint="eastAsia" w:ascii="黑体" w:hAnsi="宋体" w:eastAsia="黑体"/>
        <w:color w:val="0000FF"/>
        <w:spacing w:val="-14"/>
        <w:sz w:val="24"/>
        <w:szCs w:val="24"/>
      </w:rPr>
      <w:t>明</w:t>
    </w:r>
    <w:r>
      <w:rPr>
        <w:rFonts w:ascii="黑体" w:eastAsia="黑体"/>
        <w:color w:val="0000FF"/>
        <w:spacing w:val="-14"/>
        <w:sz w:val="24"/>
        <w:szCs w:val="24"/>
      </w:rPr>
      <w:t xml:space="preserve"> </w:t>
    </w:r>
    <w:r>
      <w:rPr>
        <w:rFonts w:hint="eastAsia" w:ascii="黑体" w:hAnsi="宋体" w:eastAsia="黑体"/>
        <w:color w:val="0000FF"/>
        <w:spacing w:val="-14"/>
        <w:sz w:val="24"/>
        <w:szCs w:val="24"/>
      </w:rPr>
      <w:t>正</w:t>
    </w:r>
    <w:r>
      <w:rPr>
        <w:rFonts w:ascii="黑体" w:eastAsia="黑体"/>
        <w:color w:val="0000FF"/>
        <w:spacing w:val="-14"/>
        <w:sz w:val="24"/>
        <w:szCs w:val="24"/>
      </w:rPr>
      <w:t xml:space="preserve"> </w:t>
    </w:r>
    <w:r>
      <w:rPr>
        <w:rFonts w:hint="eastAsia" w:ascii="黑体" w:hAnsi="宋体" w:eastAsia="黑体"/>
        <w:color w:val="0000FF"/>
        <w:spacing w:val="-14"/>
        <w:sz w:val="24"/>
        <w:szCs w:val="24"/>
      </w:rPr>
      <w:t>序</w:t>
    </w:r>
    <w:r>
      <w:rPr>
        <w:rFonts w:ascii="黑体" w:eastAsia="黑体"/>
        <w:color w:val="0000FF"/>
        <w:spacing w:val="-14"/>
        <w:sz w:val="24"/>
        <w:szCs w:val="24"/>
      </w:rPr>
      <w:t xml:space="preserve"> </w:t>
    </w:r>
    <w:r>
      <w:rPr>
        <w:rFonts w:hint="eastAsia" w:ascii="黑体" w:hAnsi="宋体" w:eastAsia="黑体"/>
        <w:color w:val="0000FF"/>
        <w:spacing w:val="-14"/>
        <w:sz w:val="24"/>
        <w:szCs w:val="24"/>
      </w:rPr>
      <w:t>房</w:t>
    </w:r>
    <w:r>
      <w:rPr>
        <w:rFonts w:ascii="黑体" w:eastAsia="黑体"/>
        <w:color w:val="0000FF"/>
        <w:spacing w:val="-14"/>
        <w:sz w:val="24"/>
        <w:szCs w:val="24"/>
      </w:rPr>
      <w:t xml:space="preserve"> </w:t>
    </w:r>
    <w:r>
      <w:rPr>
        <w:rFonts w:hint="eastAsia" w:ascii="黑体" w:hAnsi="宋体" w:eastAsia="黑体"/>
        <w:color w:val="0000FF"/>
        <w:spacing w:val="-14"/>
        <w:sz w:val="24"/>
        <w:szCs w:val="24"/>
      </w:rPr>
      <w:t>地</w:t>
    </w:r>
    <w:r>
      <w:rPr>
        <w:rFonts w:ascii="黑体" w:eastAsia="黑体"/>
        <w:color w:val="0000FF"/>
        <w:spacing w:val="-14"/>
        <w:sz w:val="24"/>
        <w:szCs w:val="24"/>
      </w:rPr>
      <w:t xml:space="preserve"> </w:t>
    </w:r>
    <w:r>
      <w:rPr>
        <w:rFonts w:hint="eastAsia" w:ascii="黑体" w:hAnsi="宋体" w:eastAsia="黑体"/>
        <w:color w:val="0000FF"/>
        <w:spacing w:val="-14"/>
        <w:sz w:val="24"/>
        <w:szCs w:val="24"/>
      </w:rPr>
      <w:t>产</w:t>
    </w:r>
    <w:r>
      <w:rPr>
        <w:rFonts w:ascii="黑体" w:eastAsia="黑体"/>
        <w:color w:val="0000FF"/>
        <w:spacing w:val="-14"/>
        <w:sz w:val="24"/>
        <w:szCs w:val="24"/>
      </w:rPr>
      <w:t xml:space="preserve"> </w:t>
    </w:r>
    <w:r>
      <w:rPr>
        <w:rFonts w:hint="eastAsia" w:ascii="黑体" w:hAnsi="宋体" w:eastAsia="黑体"/>
        <w:color w:val="0000FF"/>
        <w:spacing w:val="-14"/>
        <w:sz w:val="24"/>
        <w:szCs w:val="24"/>
      </w:rPr>
      <w:t>土</w:t>
    </w:r>
    <w:r>
      <w:rPr>
        <w:rFonts w:ascii="黑体" w:eastAsia="黑体"/>
        <w:color w:val="0000FF"/>
        <w:spacing w:val="-14"/>
        <w:sz w:val="24"/>
        <w:szCs w:val="24"/>
      </w:rPr>
      <w:t xml:space="preserve"> </w:t>
    </w:r>
    <w:r>
      <w:rPr>
        <w:rFonts w:hint="eastAsia" w:ascii="黑体" w:hAnsi="宋体" w:eastAsia="黑体"/>
        <w:color w:val="0000FF"/>
        <w:spacing w:val="-14"/>
        <w:sz w:val="24"/>
        <w:szCs w:val="24"/>
      </w:rPr>
      <w:t>地</w:t>
    </w:r>
    <w:r>
      <w:rPr>
        <w:rFonts w:ascii="黑体" w:eastAsia="黑体"/>
        <w:color w:val="0000FF"/>
        <w:spacing w:val="-14"/>
        <w:sz w:val="24"/>
        <w:szCs w:val="24"/>
      </w:rPr>
      <w:t xml:space="preserve"> </w:t>
    </w:r>
    <w:r>
      <w:rPr>
        <w:rFonts w:hint="eastAsia" w:ascii="黑体" w:hAnsi="宋体" w:eastAsia="黑体"/>
        <w:color w:val="0000FF"/>
        <w:spacing w:val="-14"/>
        <w:sz w:val="24"/>
        <w:szCs w:val="24"/>
      </w:rPr>
      <w:t>资</w:t>
    </w:r>
    <w:r>
      <w:rPr>
        <w:rFonts w:ascii="黑体" w:eastAsia="黑体"/>
        <w:color w:val="0000FF"/>
        <w:spacing w:val="-14"/>
        <w:sz w:val="24"/>
        <w:szCs w:val="24"/>
      </w:rPr>
      <w:t xml:space="preserve"> </w:t>
    </w:r>
    <w:r>
      <w:rPr>
        <w:rFonts w:hint="eastAsia" w:ascii="黑体" w:hAnsi="宋体" w:eastAsia="黑体"/>
        <w:color w:val="0000FF"/>
        <w:spacing w:val="-14"/>
        <w:sz w:val="24"/>
        <w:szCs w:val="24"/>
      </w:rPr>
      <w:t>产</w:t>
    </w:r>
    <w:r>
      <w:rPr>
        <w:rFonts w:ascii="黑体" w:eastAsia="黑体"/>
        <w:color w:val="0000FF"/>
        <w:spacing w:val="-14"/>
        <w:sz w:val="24"/>
        <w:szCs w:val="24"/>
      </w:rPr>
      <w:t xml:space="preserve"> </w:t>
    </w:r>
    <w:r>
      <w:rPr>
        <w:rFonts w:hint="eastAsia" w:ascii="黑体" w:hAnsi="宋体" w:eastAsia="黑体"/>
        <w:color w:val="0000FF"/>
        <w:spacing w:val="-14"/>
        <w:sz w:val="24"/>
        <w:szCs w:val="24"/>
      </w:rPr>
      <w:t>评</w:t>
    </w:r>
    <w:r>
      <w:rPr>
        <w:rFonts w:ascii="黑体" w:eastAsia="黑体"/>
        <w:color w:val="0000FF"/>
        <w:spacing w:val="-14"/>
        <w:sz w:val="24"/>
        <w:szCs w:val="24"/>
      </w:rPr>
      <w:t xml:space="preserve"> </w:t>
    </w:r>
    <w:r>
      <w:rPr>
        <w:rFonts w:hint="eastAsia" w:ascii="黑体" w:hAnsi="宋体" w:eastAsia="黑体"/>
        <w:color w:val="0000FF"/>
        <w:spacing w:val="-14"/>
        <w:sz w:val="24"/>
        <w:szCs w:val="24"/>
      </w:rPr>
      <w:t>估</w:t>
    </w:r>
    <w:r>
      <w:rPr>
        <w:rFonts w:ascii="黑体" w:eastAsia="黑体"/>
        <w:color w:val="0000FF"/>
        <w:spacing w:val="-14"/>
        <w:sz w:val="24"/>
        <w:szCs w:val="24"/>
      </w:rPr>
      <w:t xml:space="preserve"> </w:t>
    </w:r>
    <w:r>
      <w:rPr>
        <w:rFonts w:hint="eastAsia" w:ascii="黑体" w:hAnsi="宋体" w:eastAsia="黑体"/>
        <w:color w:val="0000FF"/>
        <w:spacing w:val="-14"/>
        <w:sz w:val="24"/>
        <w:szCs w:val="24"/>
      </w:rPr>
      <w:t>有</w:t>
    </w:r>
    <w:r>
      <w:rPr>
        <w:rFonts w:ascii="黑体" w:eastAsia="黑体"/>
        <w:color w:val="0000FF"/>
        <w:spacing w:val="-14"/>
        <w:sz w:val="24"/>
        <w:szCs w:val="24"/>
      </w:rPr>
      <w:t xml:space="preserve"> </w:t>
    </w:r>
    <w:r>
      <w:rPr>
        <w:rFonts w:hint="eastAsia" w:ascii="黑体" w:hAnsi="宋体" w:eastAsia="黑体"/>
        <w:color w:val="0000FF"/>
        <w:spacing w:val="-14"/>
        <w:sz w:val="24"/>
        <w:szCs w:val="24"/>
      </w:rPr>
      <w:t>限</w:t>
    </w:r>
    <w:r>
      <w:rPr>
        <w:rFonts w:ascii="黑体" w:eastAsia="黑体"/>
        <w:color w:val="0000FF"/>
        <w:spacing w:val="-14"/>
        <w:sz w:val="24"/>
        <w:szCs w:val="24"/>
      </w:rPr>
      <w:t xml:space="preserve"> </w:t>
    </w:r>
    <w:r>
      <w:rPr>
        <w:rFonts w:hint="eastAsia" w:ascii="黑体" w:hAnsi="宋体" w:eastAsia="黑体"/>
        <w:color w:val="0000FF"/>
        <w:spacing w:val="-14"/>
        <w:sz w:val="24"/>
        <w:szCs w:val="24"/>
      </w:rPr>
      <w:t>公</w:t>
    </w:r>
    <w:r>
      <w:rPr>
        <w:rFonts w:ascii="黑体" w:eastAsia="黑体"/>
        <w:color w:val="0000FF"/>
        <w:spacing w:val="-14"/>
        <w:sz w:val="24"/>
        <w:szCs w:val="24"/>
      </w:rPr>
      <w:t xml:space="preserve"> </w:t>
    </w:r>
    <w:r>
      <w:rPr>
        <w:rFonts w:hint="eastAsia" w:ascii="黑体" w:hAnsi="宋体" w:eastAsia="黑体"/>
        <w:color w:val="0000FF"/>
        <w:spacing w:val="-14"/>
        <w:sz w:val="24"/>
        <w:szCs w:val="24"/>
      </w:rPr>
      <w:t>司</w:t>
    </w:r>
  </w:p>
  <w:p>
    <w:pPr>
      <w:pStyle w:val="18"/>
      <w:rPr>
        <w:rFonts w:ascii="黑体" w:eastAsia="黑体"/>
        <w:b/>
        <w:color w:val="0000FF"/>
        <w:spacing w:val="10"/>
        <w:sz w:val="13"/>
        <w:szCs w:val="13"/>
      </w:rPr>
    </w:pPr>
    <w:r>
      <w:rPr>
        <w:rFonts w:ascii="黑体" w:eastAsia="黑体"/>
        <w:b/>
        <w:color w:val="0000FF"/>
        <w:spacing w:val="10"/>
        <w:sz w:val="13"/>
        <w:szCs w:val="13"/>
      </w:rPr>
      <w:t>KUNMING ZHENGXU REAL ESTATE &amp; LANDS &amp; ASSETS EVALUATION CO., LTD</w:t>
    </w:r>
  </w:p>
  <w:p>
    <w:pPr>
      <w:pStyle w:val="18"/>
      <w:rPr>
        <w:rFonts w:ascii="黑体" w:eastAsia="黑体"/>
        <w:b/>
        <w:color w:val="0000FF"/>
        <w:spacing w:val="10"/>
        <w:sz w:val="13"/>
        <w:szCs w:val="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2A1322"/>
    <w:multiLevelType w:val="singleLevel"/>
    <w:tmpl w:val="CE2A1322"/>
    <w:lvl w:ilvl="0" w:tentative="0">
      <w:start w:val="2"/>
      <w:numFmt w:val="decimal"/>
      <w:suff w:val="nothing"/>
      <w:lvlText w:val="%1、"/>
      <w:lvlJc w:val="left"/>
    </w:lvl>
  </w:abstractNum>
  <w:abstractNum w:abstractNumId="1">
    <w:nsid w:val="224F6EF7"/>
    <w:multiLevelType w:val="multilevel"/>
    <w:tmpl w:val="224F6EF7"/>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6E596DF0"/>
    <w:multiLevelType w:val="singleLevel"/>
    <w:tmpl w:val="6E596DF0"/>
    <w:lvl w:ilvl="0" w:tentative="0">
      <w:start w:val="1"/>
      <w:numFmt w:val="decimal"/>
      <w:suff w:val="nothing"/>
      <w:lvlText w:val="（%1）"/>
      <w:lvlJc w:val="left"/>
    </w:lvl>
  </w:abstractNum>
  <w:abstractNum w:abstractNumId="3">
    <w:nsid w:val="7C151418"/>
    <w:multiLevelType w:val="multilevel"/>
    <w:tmpl w:val="7C151418"/>
    <w:lvl w:ilvl="0" w:tentative="0">
      <w:start w:val="1"/>
      <w:numFmt w:val="decimalEnclosedCircle"/>
      <w:lvlText w:val="%1"/>
      <w:lvlJc w:val="left"/>
      <w:pPr>
        <w:ind w:left="920" w:hanging="36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NotTrackMoves/>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D13"/>
    <w:rsid w:val="00001388"/>
    <w:rsid w:val="00002AAC"/>
    <w:rsid w:val="00003102"/>
    <w:rsid w:val="00003907"/>
    <w:rsid w:val="00003DB8"/>
    <w:rsid w:val="00005B03"/>
    <w:rsid w:val="000060D2"/>
    <w:rsid w:val="00007E60"/>
    <w:rsid w:val="00011A67"/>
    <w:rsid w:val="00012DCA"/>
    <w:rsid w:val="00014901"/>
    <w:rsid w:val="00014A83"/>
    <w:rsid w:val="00015083"/>
    <w:rsid w:val="00015167"/>
    <w:rsid w:val="00015269"/>
    <w:rsid w:val="00015F9C"/>
    <w:rsid w:val="000160AF"/>
    <w:rsid w:val="00017199"/>
    <w:rsid w:val="000179C8"/>
    <w:rsid w:val="0002174A"/>
    <w:rsid w:val="0002191E"/>
    <w:rsid w:val="0002378C"/>
    <w:rsid w:val="00023A00"/>
    <w:rsid w:val="000250A9"/>
    <w:rsid w:val="0002552D"/>
    <w:rsid w:val="0002624B"/>
    <w:rsid w:val="00030431"/>
    <w:rsid w:val="0003085C"/>
    <w:rsid w:val="00031167"/>
    <w:rsid w:val="000322EC"/>
    <w:rsid w:val="00032584"/>
    <w:rsid w:val="00033CD0"/>
    <w:rsid w:val="00033FA4"/>
    <w:rsid w:val="00034585"/>
    <w:rsid w:val="000364A1"/>
    <w:rsid w:val="00041EEA"/>
    <w:rsid w:val="00042430"/>
    <w:rsid w:val="00042502"/>
    <w:rsid w:val="00042BE1"/>
    <w:rsid w:val="00043ECC"/>
    <w:rsid w:val="00045315"/>
    <w:rsid w:val="0004595A"/>
    <w:rsid w:val="000472DC"/>
    <w:rsid w:val="0005077D"/>
    <w:rsid w:val="000509BE"/>
    <w:rsid w:val="000512C2"/>
    <w:rsid w:val="000529AF"/>
    <w:rsid w:val="00055267"/>
    <w:rsid w:val="00056736"/>
    <w:rsid w:val="00061D36"/>
    <w:rsid w:val="0006338E"/>
    <w:rsid w:val="0006340E"/>
    <w:rsid w:val="0006350F"/>
    <w:rsid w:val="000647CA"/>
    <w:rsid w:val="00065053"/>
    <w:rsid w:val="000652BF"/>
    <w:rsid w:val="000679DB"/>
    <w:rsid w:val="0007413E"/>
    <w:rsid w:val="000746F9"/>
    <w:rsid w:val="000766BA"/>
    <w:rsid w:val="000766D2"/>
    <w:rsid w:val="00077DE5"/>
    <w:rsid w:val="000800AA"/>
    <w:rsid w:val="0008077F"/>
    <w:rsid w:val="00080BFE"/>
    <w:rsid w:val="000821A3"/>
    <w:rsid w:val="00082B48"/>
    <w:rsid w:val="00082D52"/>
    <w:rsid w:val="00083654"/>
    <w:rsid w:val="00084D8A"/>
    <w:rsid w:val="0008527A"/>
    <w:rsid w:val="00085DD5"/>
    <w:rsid w:val="000862E5"/>
    <w:rsid w:val="00086BFA"/>
    <w:rsid w:val="00087584"/>
    <w:rsid w:val="00091A20"/>
    <w:rsid w:val="00091CA1"/>
    <w:rsid w:val="00091CFD"/>
    <w:rsid w:val="000925DB"/>
    <w:rsid w:val="00094CD2"/>
    <w:rsid w:val="000977A9"/>
    <w:rsid w:val="000A004F"/>
    <w:rsid w:val="000A148E"/>
    <w:rsid w:val="000A2461"/>
    <w:rsid w:val="000A2A28"/>
    <w:rsid w:val="000A3462"/>
    <w:rsid w:val="000A63B3"/>
    <w:rsid w:val="000B0AAF"/>
    <w:rsid w:val="000B1839"/>
    <w:rsid w:val="000B2B19"/>
    <w:rsid w:val="000B308F"/>
    <w:rsid w:val="000B3DAB"/>
    <w:rsid w:val="000B6090"/>
    <w:rsid w:val="000B6A44"/>
    <w:rsid w:val="000C0287"/>
    <w:rsid w:val="000C2342"/>
    <w:rsid w:val="000C2AAA"/>
    <w:rsid w:val="000C443E"/>
    <w:rsid w:val="000C67F6"/>
    <w:rsid w:val="000C6841"/>
    <w:rsid w:val="000C7D35"/>
    <w:rsid w:val="000D0125"/>
    <w:rsid w:val="000D038B"/>
    <w:rsid w:val="000D20FE"/>
    <w:rsid w:val="000D3AEB"/>
    <w:rsid w:val="000D5D80"/>
    <w:rsid w:val="000D62F7"/>
    <w:rsid w:val="000E11D8"/>
    <w:rsid w:val="000E262A"/>
    <w:rsid w:val="000E2672"/>
    <w:rsid w:val="000E4D55"/>
    <w:rsid w:val="000E5DE9"/>
    <w:rsid w:val="000E610B"/>
    <w:rsid w:val="000F1532"/>
    <w:rsid w:val="000F44D2"/>
    <w:rsid w:val="000F481E"/>
    <w:rsid w:val="000F5560"/>
    <w:rsid w:val="000F6864"/>
    <w:rsid w:val="000F6F8B"/>
    <w:rsid w:val="000F77BE"/>
    <w:rsid w:val="000F79BA"/>
    <w:rsid w:val="000F7A29"/>
    <w:rsid w:val="0010008E"/>
    <w:rsid w:val="001001F6"/>
    <w:rsid w:val="00100630"/>
    <w:rsid w:val="00100DA1"/>
    <w:rsid w:val="00101911"/>
    <w:rsid w:val="00101FA4"/>
    <w:rsid w:val="001020E7"/>
    <w:rsid w:val="00112B96"/>
    <w:rsid w:val="00114DA1"/>
    <w:rsid w:val="00115967"/>
    <w:rsid w:val="00115CD0"/>
    <w:rsid w:val="001162F4"/>
    <w:rsid w:val="00116D8F"/>
    <w:rsid w:val="001175EB"/>
    <w:rsid w:val="00117F94"/>
    <w:rsid w:val="00120717"/>
    <w:rsid w:val="00121948"/>
    <w:rsid w:val="00123401"/>
    <w:rsid w:val="001244EA"/>
    <w:rsid w:val="00124BAA"/>
    <w:rsid w:val="001251D6"/>
    <w:rsid w:val="00125266"/>
    <w:rsid w:val="00125859"/>
    <w:rsid w:val="00127101"/>
    <w:rsid w:val="0012740B"/>
    <w:rsid w:val="00130B58"/>
    <w:rsid w:val="00131A71"/>
    <w:rsid w:val="00131C01"/>
    <w:rsid w:val="0013202E"/>
    <w:rsid w:val="001360C8"/>
    <w:rsid w:val="001377C0"/>
    <w:rsid w:val="001403C1"/>
    <w:rsid w:val="00142137"/>
    <w:rsid w:val="001424EB"/>
    <w:rsid w:val="00144574"/>
    <w:rsid w:val="00144A09"/>
    <w:rsid w:val="00145BB8"/>
    <w:rsid w:val="00145E06"/>
    <w:rsid w:val="00147F88"/>
    <w:rsid w:val="00152274"/>
    <w:rsid w:val="00152F2D"/>
    <w:rsid w:val="001563E4"/>
    <w:rsid w:val="00157D9A"/>
    <w:rsid w:val="00163878"/>
    <w:rsid w:val="00164FA2"/>
    <w:rsid w:val="00165BF0"/>
    <w:rsid w:val="00166626"/>
    <w:rsid w:val="00167902"/>
    <w:rsid w:val="00172A27"/>
    <w:rsid w:val="00173605"/>
    <w:rsid w:val="00175AD9"/>
    <w:rsid w:val="00176882"/>
    <w:rsid w:val="00176E6C"/>
    <w:rsid w:val="00177803"/>
    <w:rsid w:val="00180643"/>
    <w:rsid w:val="00180A04"/>
    <w:rsid w:val="00182EF6"/>
    <w:rsid w:val="00183015"/>
    <w:rsid w:val="0018320B"/>
    <w:rsid w:val="00183FC3"/>
    <w:rsid w:val="001847AD"/>
    <w:rsid w:val="001859D8"/>
    <w:rsid w:val="00191402"/>
    <w:rsid w:val="001925A6"/>
    <w:rsid w:val="00192953"/>
    <w:rsid w:val="00193011"/>
    <w:rsid w:val="00193525"/>
    <w:rsid w:val="00193560"/>
    <w:rsid w:val="0019359D"/>
    <w:rsid w:val="001948FD"/>
    <w:rsid w:val="00194E45"/>
    <w:rsid w:val="00195284"/>
    <w:rsid w:val="001A2192"/>
    <w:rsid w:val="001A42AB"/>
    <w:rsid w:val="001A4B39"/>
    <w:rsid w:val="001A525F"/>
    <w:rsid w:val="001A61EC"/>
    <w:rsid w:val="001A6262"/>
    <w:rsid w:val="001A630A"/>
    <w:rsid w:val="001A71FB"/>
    <w:rsid w:val="001B5AD5"/>
    <w:rsid w:val="001B69C5"/>
    <w:rsid w:val="001B7020"/>
    <w:rsid w:val="001B74DE"/>
    <w:rsid w:val="001C08F5"/>
    <w:rsid w:val="001C31BA"/>
    <w:rsid w:val="001C463B"/>
    <w:rsid w:val="001C5594"/>
    <w:rsid w:val="001C67D9"/>
    <w:rsid w:val="001C6926"/>
    <w:rsid w:val="001D130B"/>
    <w:rsid w:val="001D13F4"/>
    <w:rsid w:val="001D2275"/>
    <w:rsid w:val="001D334C"/>
    <w:rsid w:val="001D3A5B"/>
    <w:rsid w:val="001D60B5"/>
    <w:rsid w:val="001D7C93"/>
    <w:rsid w:val="001E02B3"/>
    <w:rsid w:val="001E0CFC"/>
    <w:rsid w:val="001E17DA"/>
    <w:rsid w:val="001E213A"/>
    <w:rsid w:val="001E2584"/>
    <w:rsid w:val="001E42F0"/>
    <w:rsid w:val="001E5086"/>
    <w:rsid w:val="001E50E2"/>
    <w:rsid w:val="001E7CD7"/>
    <w:rsid w:val="001F067E"/>
    <w:rsid w:val="001F21E6"/>
    <w:rsid w:val="001F222A"/>
    <w:rsid w:val="001F5A3C"/>
    <w:rsid w:val="001F64D5"/>
    <w:rsid w:val="00200E9D"/>
    <w:rsid w:val="002015C1"/>
    <w:rsid w:val="00202BFF"/>
    <w:rsid w:val="00203CCE"/>
    <w:rsid w:val="00204FA3"/>
    <w:rsid w:val="0020767A"/>
    <w:rsid w:val="002108AB"/>
    <w:rsid w:val="00210F4E"/>
    <w:rsid w:val="0021330A"/>
    <w:rsid w:val="00213575"/>
    <w:rsid w:val="00213910"/>
    <w:rsid w:val="00215085"/>
    <w:rsid w:val="00216C84"/>
    <w:rsid w:val="002209ED"/>
    <w:rsid w:val="002227E9"/>
    <w:rsid w:val="00223F9D"/>
    <w:rsid w:val="0022454C"/>
    <w:rsid w:val="00224B80"/>
    <w:rsid w:val="00225011"/>
    <w:rsid w:val="002253BD"/>
    <w:rsid w:val="0022772A"/>
    <w:rsid w:val="0022784B"/>
    <w:rsid w:val="00227A57"/>
    <w:rsid w:val="00230C1F"/>
    <w:rsid w:val="00230F96"/>
    <w:rsid w:val="00231AF5"/>
    <w:rsid w:val="00231C3E"/>
    <w:rsid w:val="00232EF3"/>
    <w:rsid w:val="0023446D"/>
    <w:rsid w:val="002371E4"/>
    <w:rsid w:val="00237B13"/>
    <w:rsid w:val="0024001A"/>
    <w:rsid w:val="002409BE"/>
    <w:rsid w:val="00240E5C"/>
    <w:rsid w:val="00242E61"/>
    <w:rsid w:val="002459EC"/>
    <w:rsid w:val="00245D05"/>
    <w:rsid w:val="002503B1"/>
    <w:rsid w:val="00250F49"/>
    <w:rsid w:val="00251251"/>
    <w:rsid w:val="00251B26"/>
    <w:rsid w:val="00252769"/>
    <w:rsid w:val="00252896"/>
    <w:rsid w:val="002531BC"/>
    <w:rsid w:val="002533F4"/>
    <w:rsid w:val="00254A15"/>
    <w:rsid w:val="00254D35"/>
    <w:rsid w:val="00256059"/>
    <w:rsid w:val="00257C4F"/>
    <w:rsid w:val="00257CA3"/>
    <w:rsid w:val="0026108F"/>
    <w:rsid w:val="00264671"/>
    <w:rsid w:val="002657BA"/>
    <w:rsid w:val="00265F8D"/>
    <w:rsid w:val="00267D62"/>
    <w:rsid w:val="00270868"/>
    <w:rsid w:val="00271C8A"/>
    <w:rsid w:val="00276296"/>
    <w:rsid w:val="002762BC"/>
    <w:rsid w:val="002764E9"/>
    <w:rsid w:val="00277425"/>
    <w:rsid w:val="002810A8"/>
    <w:rsid w:val="002816C6"/>
    <w:rsid w:val="00281B8F"/>
    <w:rsid w:val="002834E9"/>
    <w:rsid w:val="002839D0"/>
    <w:rsid w:val="0028585A"/>
    <w:rsid w:val="0028674E"/>
    <w:rsid w:val="00286BDE"/>
    <w:rsid w:val="002903E2"/>
    <w:rsid w:val="00291B49"/>
    <w:rsid w:val="00291C6E"/>
    <w:rsid w:val="002936A9"/>
    <w:rsid w:val="00294B1D"/>
    <w:rsid w:val="00295431"/>
    <w:rsid w:val="002966FA"/>
    <w:rsid w:val="0029672D"/>
    <w:rsid w:val="0029749C"/>
    <w:rsid w:val="002975AE"/>
    <w:rsid w:val="002A1822"/>
    <w:rsid w:val="002A3184"/>
    <w:rsid w:val="002A450E"/>
    <w:rsid w:val="002A5BE7"/>
    <w:rsid w:val="002A75B2"/>
    <w:rsid w:val="002A7C94"/>
    <w:rsid w:val="002B0789"/>
    <w:rsid w:val="002B08DF"/>
    <w:rsid w:val="002B1D2F"/>
    <w:rsid w:val="002B1D53"/>
    <w:rsid w:val="002B2303"/>
    <w:rsid w:val="002B2B56"/>
    <w:rsid w:val="002B4D4A"/>
    <w:rsid w:val="002B796C"/>
    <w:rsid w:val="002C0667"/>
    <w:rsid w:val="002C0AFA"/>
    <w:rsid w:val="002C4BCE"/>
    <w:rsid w:val="002C50E4"/>
    <w:rsid w:val="002C5827"/>
    <w:rsid w:val="002C6462"/>
    <w:rsid w:val="002C74BF"/>
    <w:rsid w:val="002C76A5"/>
    <w:rsid w:val="002C7C5F"/>
    <w:rsid w:val="002D105F"/>
    <w:rsid w:val="002D115C"/>
    <w:rsid w:val="002D1F72"/>
    <w:rsid w:val="002D2C52"/>
    <w:rsid w:val="002D4764"/>
    <w:rsid w:val="002D4907"/>
    <w:rsid w:val="002D5287"/>
    <w:rsid w:val="002D6851"/>
    <w:rsid w:val="002E0638"/>
    <w:rsid w:val="002E3229"/>
    <w:rsid w:val="002E4D07"/>
    <w:rsid w:val="002E4FC6"/>
    <w:rsid w:val="002E6A25"/>
    <w:rsid w:val="002F132B"/>
    <w:rsid w:val="002F2B5D"/>
    <w:rsid w:val="002F2BCE"/>
    <w:rsid w:val="002F74D6"/>
    <w:rsid w:val="00301BB6"/>
    <w:rsid w:val="00302348"/>
    <w:rsid w:val="003025A9"/>
    <w:rsid w:val="0030292A"/>
    <w:rsid w:val="0030387D"/>
    <w:rsid w:val="00304F98"/>
    <w:rsid w:val="00306CC1"/>
    <w:rsid w:val="00310317"/>
    <w:rsid w:val="00310816"/>
    <w:rsid w:val="003111E9"/>
    <w:rsid w:val="00311888"/>
    <w:rsid w:val="003123AD"/>
    <w:rsid w:val="0031287C"/>
    <w:rsid w:val="003129D3"/>
    <w:rsid w:val="00312D4C"/>
    <w:rsid w:val="00313499"/>
    <w:rsid w:val="00313C7D"/>
    <w:rsid w:val="00313E14"/>
    <w:rsid w:val="0031569A"/>
    <w:rsid w:val="00320C3B"/>
    <w:rsid w:val="003222E6"/>
    <w:rsid w:val="00322FC7"/>
    <w:rsid w:val="00325A56"/>
    <w:rsid w:val="00325C94"/>
    <w:rsid w:val="003276C1"/>
    <w:rsid w:val="0033255F"/>
    <w:rsid w:val="003329C4"/>
    <w:rsid w:val="003330CF"/>
    <w:rsid w:val="0033359B"/>
    <w:rsid w:val="00334767"/>
    <w:rsid w:val="00334D8D"/>
    <w:rsid w:val="00334FFF"/>
    <w:rsid w:val="003351B4"/>
    <w:rsid w:val="003374AC"/>
    <w:rsid w:val="00341758"/>
    <w:rsid w:val="00342E15"/>
    <w:rsid w:val="00343C7E"/>
    <w:rsid w:val="0034445A"/>
    <w:rsid w:val="00344967"/>
    <w:rsid w:val="00344987"/>
    <w:rsid w:val="0034641C"/>
    <w:rsid w:val="00346521"/>
    <w:rsid w:val="00350E0B"/>
    <w:rsid w:val="00351296"/>
    <w:rsid w:val="00351A6F"/>
    <w:rsid w:val="0035473D"/>
    <w:rsid w:val="00355FB3"/>
    <w:rsid w:val="003561CC"/>
    <w:rsid w:val="0036097F"/>
    <w:rsid w:val="00360D06"/>
    <w:rsid w:val="00362C24"/>
    <w:rsid w:val="00362FF7"/>
    <w:rsid w:val="00363008"/>
    <w:rsid w:val="00364537"/>
    <w:rsid w:val="0036474A"/>
    <w:rsid w:val="00364BF7"/>
    <w:rsid w:val="00366BFD"/>
    <w:rsid w:val="0036756F"/>
    <w:rsid w:val="00367811"/>
    <w:rsid w:val="003678ED"/>
    <w:rsid w:val="003700C5"/>
    <w:rsid w:val="00372C83"/>
    <w:rsid w:val="00374273"/>
    <w:rsid w:val="00376183"/>
    <w:rsid w:val="00380A2D"/>
    <w:rsid w:val="003822D8"/>
    <w:rsid w:val="00382A5E"/>
    <w:rsid w:val="00382A76"/>
    <w:rsid w:val="00383004"/>
    <w:rsid w:val="00384683"/>
    <w:rsid w:val="00384998"/>
    <w:rsid w:val="00384DB7"/>
    <w:rsid w:val="00385729"/>
    <w:rsid w:val="0038577A"/>
    <w:rsid w:val="003860CF"/>
    <w:rsid w:val="003900FE"/>
    <w:rsid w:val="00390AC1"/>
    <w:rsid w:val="003912BA"/>
    <w:rsid w:val="00392DAE"/>
    <w:rsid w:val="003938AB"/>
    <w:rsid w:val="00394B20"/>
    <w:rsid w:val="00394F3C"/>
    <w:rsid w:val="00396EBC"/>
    <w:rsid w:val="0039790A"/>
    <w:rsid w:val="003A1AD8"/>
    <w:rsid w:val="003A2CFA"/>
    <w:rsid w:val="003A303E"/>
    <w:rsid w:val="003A4A81"/>
    <w:rsid w:val="003A51A0"/>
    <w:rsid w:val="003A6811"/>
    <w:rsid w:val="003A7CC8"/>
    <w:rsid w:val="003B0176"/>
    <w:rsid w:val="003B0A29"/>
    <w:rsid w:val="003B1A17"/>
    <w:rsid w:val="003B2791"/>
    <w:rsid w:val="003B33D8"/>
    <w:rsid w:val="003B55A4"/>
    <w:rsid w:val="003C2346"/>
    <w:rsid w:val="003C24E2"/>
    <w:rsid w:val="003C4F62"/>
    <w:rsid w:val="003C5578"/>
    <w:rsid w:val="003C6B90"/>
    <w:rsid w:val="003C7933"/>
    <w:rsid w:val="003D1EB5"/>
    <w:rsid w:val="003D2028"/>
    <w:rsid w:val="003D2C44"/>
    <w:rsid w:val="003D5737"/>
    <w:rsid w:val="003D5A38"/>
    <w:rsid w:val="003D602D"/>
    <w:rsid w:val="003D6E61"/>
    <w:rsid w:val="003E0EB4"/>
    <w:rsid w:val="003E2638"/>
    <w:rsid w:val="003E36E5"/>
    <w:rsid w:val="003E3EDF"/>
    <w:rsid w:val="003E49B1"/>
    <w:rsid w:val="003E7BEB"/>
    <w:rsid w:val="003F1291"/>
    <w:rsid w:val="003F2B03"/>
    <w:rsid w:val="003F41A4"/>
    <w:rsid w:val="003F44E7"/>
    <w:rsid w:val="003F7099"/>
    <w:rsid w:val="0040082A"/>
    <w:rsid w:val="00402F8E"/>
    <w:rsid w:val="00403BE4"/>
    <w:rsid w:val="0040468E"/>
    <w:rsid w:val="00405AE8"/>
    <w:rsid w:val="0040644F"/>
    <w:rsid w:val="00406B2B"/>
    <w:rsid w:val="00407B52"/>
    <w:rsid w:val="00413A71"/>
    <w:rsid w:val="00413BD1"/>
    <w:rsid w:val="00415117"/>
    <w:rsid w:val="00415254"/>
    <w:rsid w:val="00415327"/>
    <w:rsid w:val="00415C7D"/>
    <w:rsid w:val="0041724D"/>
    <w:rsid w:val="004222F6"/>
    <w:rsid w:val="00424519"/>
    <w:rsid w:val="004245D5"/>
    <w:rsid w:val="00425BCC"/>
    <w:rsid w:val="004269D8"/>
    <w:rsid w:val="00426B39"/>
    <w:rsid w:val="00430F59"/>
    <w:rsid w:val="00431EA4"/>
    <w:rsid w:val="004326B3"/>
    <w:rsid w:val="00433082"/>
    <w:rsid w:val="00433444"/>
    <w:rsid w:val="00433B54"/>
    <w:rsid w:val="00434CDA"/>
    <w:rsid w:val="0043610D"/>
    <w:rsid w:val="00436A34"/>
    <w:rsid w:val="004407C3"/>
    <w:rsid w:val="004410FB"/>
    <w:rsid w:val="004413D1"/>
    <w:rsid w:val="00445FD6"/>
    <w:rsid w:val="0044619D"/>
    <w:rsid w:val="0044629D"/>
    <w:rsid w:val="00451C81"/>
    <w:rsid w:val="00455A96"/>
    <w:rsid w:val="004567C5"/>
    <w:rsid w:val="004574CF"/>
    <w:rsid w:val="00457B2A"/>
    <w:rsid w:val="00460189"/>
    <w:rsid w:val="0046120F"/>
    <w:rsid w:val="004612B9"/>
    <w:rsid w:val="004628DF"/>
    <w:rsid w:val="00463927"/>
    <w:rsid w:val="00463970"/>
    <w:rsid w:val="00463E6C"/>
    <w:rsid w:val="00464853"/>
    <w:rsid w:val="00465C88"/>
    <w:rsid w:val="00466A2C"/>
    <w:rsid w:val="00467DA8"/>
    <w:rsid w:val="004703A8"/>
    <w:rsid w:val="0047095D"/>
    <w:rsid w:val="00471103"/>
    <w:rsid w:val="00471D2C"/>
    <w:rsid w:val="00472B40"/>
    <w:rsid w:val="004800A0"/>
    <w:rsid w:val="0048078F"/>
    <w:rsid w:val="004814AC"/>
    <w:rsid w:val="004819BC"/>
    <w:rsid w:val="00481BD8"/>
    <w:rsid w:val="00483BDC"/>
    <w:rsid w:val="00484C2E"/>
    <w:rsid w:val="00485F53"/>
    <w:rsid w:val="004908E2"/>
    <w:rsid w:val="004912B1"/>
    <w:rsid w:val="00491AA8"/>
    <w:rsid w:val="00491B89"/>
    <w:rsid w:val="00491E6F"/>
    <w:rsid w:val="00492325"/>
    <w:rsid w:val="00492C8D"/>
    <w:rsid w:val="0049536A"/>
    <w:rsid w:val="004957A2"/>
    <w:rsid w:val="004A1028"/>
    <w:rsid w:val="004A183C"/>
    <w:rsid w:val="004A1C91"/>
    <w:rsid w:val="004A3572"/>
    <w:rsid w:val="004A3594"/>
    <w:rsid w:val="004A40EE"/>
    <w:rsid w:val="004A504D"/>
    <w:rsid w:val="004B0076"/>
    <w:rsid w:val="004B11F2"/>
    <w:rsid w:val="004B1D27"/>
    <w:rsid w:val="004B1E68"/>
    <w:rsid w:val="004B3EBA"/>
    <w:rsid w:val="004B536D"/>
    <w:rsid w:val="004B5C83"/>
    <w:rsid w:val="004B6721"/>
    <w:rsid w:val="004B6DA1"/>
    <w:rsid w:val="004B73DE"/>
    <w:rsid w:val="004B7470"/>
    <w:rsid w:val="004B7CD7"/>
    <w:rsid w:val="004C07D3"/>
    <w:rsid w:val="004C14C3"/>
    <w:rsid w:val="004C213C"/>
    <w:rsid w:val="004C54F9"/>
    <w:rsid w:val="004D04A4"/>
    <w:rsid w:val="004D26AF"/>
    <w:rsid w:val="004D2A07"/>
    <w:rsid w:val="004D2E31"/>
    <w:rsid w:val="004D3AD5"/>
    <w:rsid w:val="004D3D8A"/>
    <w:rsid w:val="004D469B"/>
    <w:rsid w:val="004D491A"/>
    <w:rsid w:val="004D4D00"/>
    <w:rsid w:val="004D57B3"/>
    <w:rsid w:val="004D79AC"/>
    <w:rsid w:val="004E2A76"/>
    <w:rsid w:val="004E3CD0"/>
    <w:rsid w:val="004E47AC"/>
    <w:rsid w:val="004E4F51"/>
    <w:rsid w:val="004E52DD"/>
    <w:rsid w:val="004E5DED"/>
    <w:rsid w:val="004F0A6D"/>
    <w:rsid w:val="004F3228"/>
    <w:rsid w:val="004F32E5"/>
    <w:rsid w:val="004F7E82"/>
    <w:rsid w:val="0050379A"/>
    <w:rsid w:val="0050385B"/>
    <w:rsid w:val="005042DD"/>
    <w:rsid w:val="005049BC"/>
    <w:rsid w:val="0050573E"/>
    <w:rsid w:val="005057A5"/>
    <w:rsid w:val="0050708B"/>
    <w:rsid w:val="00507655"/>
    <w:rsid w:val="005106B0"/>
    <w:rsid w:val="0051182A"/>
    <w:rsid w:val="0051216F"/>
    <w:rsid w:val="005127B8"/>
    <w:rsid w:val="00513377"/>
    <w:rsid w:val="00513455"/>
    <w:rsid w:val="00513678"/>
    <w:rsid w:val="00513683"/>
    <w:rsid w:val="00515796"/>
    <w:rsid w:val="005212B4"/>
    <w:rsid w:val="0052143E"/>
    <w:rsid w:val="00522E7B"/>
    <w:rsid w:val="005251C7"/>
    <w:rsid w:val="00525FA5"/>
    <w:rsid w:val="00526988"/>
    <w:rsid w:val="00526CB5"/>
    <w:rsid w:val="00527039"/>
    <w:rsid w:val="00530454"/>
    <w:rsid w:val="00531846"/>
    <w:rsid w:val="00531CB5"/>
    <w:rsid w:val="005328BB"/>
    <w:rsid w:val="00533016"/>
    <w:rsid w:val="00534F9A"/>
    <w:rsid w:val="00537B53"/>
    <w:rsid w:val="0054047D"/>
    <w:rsid w:val="005425D0"/>
    <w:rsid w:val="005443A2"/>
    <w:rsid w:val="005453A7"/>
    <w:rsid w:val="005477DB"/>
    <w:rsid w:val="005526EF"/>
    <w:rsid w:val="005537DD"/>
    <w:rsid w:val="0055430B"/>
    <w:rsid w:val="00554A1A"/>
    <w:rsid w:val="00554B48"/>
    <w:rsid w:val="00555450"/>
    <w:rsid w:val="00555AFF"/>
    <w:rsid w:val="00555DF8"/>
    <w:rsid w:val="00557E29"/>
    <w:rsid w:val="0056043B"/>
    <w:rsid w:val="00560B6A"/>
    <w:rsid w:val="00560C6D"/>
    <w:rsid w:val="00560DF2"/>
    <w:rsid w:val="0056117C"/>
    <w:rsid w:val="005613F7"/>
    <w:rsid w:val="00563EEA"/>
    <w:rsid w:val="005642A2"/>
    <w:rsid w:val="005657F8"/>
    <w:rsid w:val="0056590C"/>
    <w:rsid w:val="00565BD8"/>
    <w:rsid w:val="005674ED"/>
    <w:rsid w:val="00567ED0"/>
    <w:rsid w:val="00567FDB"/>
    <w:rsid w:val="005706AE"/>
    <w:rsid w:val="00570CE2"/>
    <w:rsid w:val="0057112C"/>
    <w:rsid w:val="00571DB2"/>
    <w:rsid w:val="00571F85"/>
    <w:rsid w:val="00571FBA"/>
    <w:rsid w:val="00572B3E"/>
    <w:rsid w:val="00572B6C"/>
    <w:rsid w:val="0057305C"/>
    <w:rsid w:val="00573955"/>
    <w:rsid w:val="00573BC5"/>
    <w:rsid w:val="0057439B"/>
    <w:rsid w:val="0057590B"/>
    <w:rsid w:val="00575940"/>
    <w:rsid w:val="005809D1"/>
    <w:rsid w:val="00580BBC"/>
    <w:rsid w:val="00580E25"/>
    <w:rsid w:val="00580F05"/>
    <w:rsid w:val="005810E6"/>
    <w:rsid w:val="005819B7"/>
    <w:rsid w:val="00584079"/>
    <w:rsid w:val="0058437B"/>
    <w:rsid w:val="00584AD4"/>
    <w:rsid w:val="00586AAC"/>
    <w:rsid w:val="00586F4A"/>
    <w:rsid w:val="00587105"/>
    <w:rsid w:val="00587A75"/>
    <w:rsid w:val="00590151"/>
    <w:rsid w:val="00592429"/>
    <w:rsid w:val="00592A14"/>
    <w:rsid w:val="00592F04"/>
    <w:rsid w:val="00594053"/>
    <w:rsid w:val="00594B1F"/>
    <w:rsid w:val="0059533E"/>
    <w:rsid w:val="00596FFD"/>
    <w:rsid w:val="005A0374"/>
    <w:rsid w:val="005A2001"/>
    <w:rsid w:val="005A2255"/>
    <w:rsid w:val="005A2BC2"/>
    <w:rsid w:val="005A3232"/>
    <w:rsid w:val="005A40D8"/>
    <w:rsid w:val="005A4DB3"/>
    <w:rsid w:val="005A660A"/>
    <w:rsid w:val="005A7CA2"/>
    <w:rsid w:val="005A7CDA"/>
    <w:rsid w:val="005B2858"/>
    <w:rsid w:val="005B2D3C"/>
    <w:rsid w:val="005B48E7"/>
    <w:rsid w:val="005B4BD4"/>
    <w:rsid w:val="005B5F64"/>
    <w:rsid w:val="005C324F"/>
    <w:rsid w:val="005C33B8"/>
    <w:rsid w:val="005C34DE"/>
    <w:rsid w:val="005C44E3"/>
    <w:rsid w:val="005C5B9A"/>
    <w:rsid w:val="005C5C81"/>
    <w:rsid w:val="005C7FD0"/>
    <w:rsid w:val="005D1C9F"/>
    <w:rsid w:val="005D3C93"/>
    <w:rsid w:val="005D499A"/>
    <w:rsid w:val="005D5835"/>
    <w:rsid w:val="005D5AEC"/>
    <w:rsid w:val="005D61D2"/>
    <w:rsid w:val="005D63A9"/>
    <w:rsid w:val="005D747C"/>
    <w:rsid w:val="005E0BF2"/>
    <w:rsid w:val="005E1141"/>
    <w:rsid w:val="005E1D9F"/>
    <w:rsid w:val="005E3142"/>
    <w:rsid w:val="005E35D2"/>
    <w:rsid w:val="005E43AF"/>
    <w:rsid w:val="005E4A61"/>
    <w:rsid w:val="005E57FB"/>
    <w:rsid w:val="005E5E45"/>
    <w:rsid w:val="005E5E83"/>
    <w:rsid w:val="005E6469"/>
    <w:rsid w:val="005F1BA1"/>
    <w:rsid w:val="005F2033"/>
    <w:rsid w:val="005F6967"/>
    <w:rsid w:val="005F77B8"/>
    <w:rsid w:val="005F7C30"/>
    <w:rsid w:val="00600643"/>
    <w:rsid w:val="00601E36"/>
    <w:rsid w:val="00602BBF"/>
    <w:rsid w:val="0060597F"/>
    <w:rsid w:val="006077DA"/>
    <w:rsid w:val="00607BA7"/>
    <w:rsid w:val="00610D5A"/>
    <w:rsid w:val="0061103B"/>
    <w:rsid w:val="0061232C"/>
    <w:rsid w:val="00612425"/>
    <w:rsid w:val="00612689"/>
    <w:rsid w:val="006131F7"/>
    <w:rsid w:val="00616DC0"/>
    <w:rsid w:val="0061725B"/>
    <w:rsid w:val="00620E33"/>
    <w:rsid w:val="00620FF8"/>
    <w:rsid w:val="0062175D"/>
    <w:rsid w:val="00622FE2"/>
    <w:rsid w:val="006237EE"/>
    <w:rsid w:val="00623A3A"/>
    <w:rsid w:val="00624021"/>
    <w:rsid w:val="00624259"/>
    <w:rsid w:val="0063091A"/>
    <w:rsid w:val="006327B0"/>
    <w:rsid w:val="00632E5E"/>
    <w:rsid w:val="00633093"/>
    <w:rsid w:val="00633CD0"/>
    <w:rsid w:val="00635895"/>
    <w:rsid w:val="006367B8"/>
    <w:rsid w:val="006373A9"/>
    <w:rsid w:val="00642E24"/>
    <w:rsid w:val="0064303E"/>
    <w:rsid w:val="00643E52"/>
    <w:rsid w:val="00647173"/>
    <w:rsid w:val="00651CF6"/>
    <w:rsid w:val="006540D7"/>
    <w:rsid w:val="00654EB6"/>
    <w:rsid w:val="00654FF5"/>
    <w:rsid w:val="0065500A"/>
    <w:rsid w:val="0065532C"/>
    <w:rsid w:val="00656038"/>
    <w:rsid w:val="00656E79"/>
    <w:rsid w:val="00656FF8"/>
    <w:rsid w:val="00660DE5"/>
    <w:rsid w:val="00660ECC"/>
    <w:rsid w:val="00660F1F"/>
    <w:rsid w:val="006624C2"/>
    <w:rsid w:val="006625B7"/>
    <w:rsid w:val="00662680"/>
    <w:rsid w:val="00662C39"/>
    <w:rsid w:val="00662CF8"/>
    <w:rsid w:val="0066414D"/>
    <w:rsid w:val="0066537B"/>
    <w:rsid w:val="006656B2"/>
    <w:rsid w:val="0066594E"/>
    <w:rsid w:val="00667A3D"/>
    <w:rsid w:val="006721FC"/>
    <w:rsid w:val="006733FD"/>
    <w:rsid w:val="0067382B"/>
    <w:rsid w:val="0067721E"/>
    <w:rsid w:val="006775C9"/>
    <w:rsid w:val="00677D08"/>
    <w:rsid w:val="00680D5F"/>
    <w:rsid w:val="00682FC2"/>
    <w:rsid w:val="00683A68"/>
    <w:rsid w:val="006852A0"/>
    <w:rsid w:val="006860B8"/>
    <w:rsid w:val="006905D5"/>
    <w:rsid w:val="006908A6"/>
    <w:rsid w:val="0069125A"/>
    <w:rsid w:val="00691887"/>
    <w:rsid w:val="00691B06"/>
    <w:rsid w:val="00692A3C"/>
    <w:rsid w:val="006940E8"/>
    <w:rsid w:val="006956B0"/>
    <w:rsid w:val="00696C0E"/>
    <w:rsid w:val="00696F9F"/>
    <w:rsid w:val="006A17CC"/>
    <w:rsid w:val="006A1DBD"/>
    <w:rsid w:val="006A21F6"/>
    <w:rsid w:val="006A2794"/>
    <w:rsid w:val="006A2A5A"/>
    <w:rsid w:val="006A2B6E"/>
    <w:rsid w:val="006A3239"/>
    <w:rsid w:val="006A3AE2"/>
    <w:rsid w:val="006A428D"/>
    <w:rsid w:val="006A4D2B"/>
    <w:rsid w:val="006A5D35"/>
    <w:rsid w:val="006A67CE"/>
    <w:rsid w:val="006A6864"/>
    <w:rsid w:val="006A7DBC"/>
    <w:rsid w:val="006B17F8"/>
    <w:rsid w:val="006B1CF1"/>
    <w:rsid w:val="006B295B"/>
    <w:rsid w:val="006B31CF"/>
    <w:rsid w:val="006B464B"/>
    <w:rsid w:val="006B4A68"/>
    <w:rsid w:val="006B4DB9"/>
    <w:rsid w:val="006B540A"/>
    <w:rsid w:val="006B5901"/>
    <w:rsid w:val="006B5F00"/>
    <w:rsid w:val="006B5FE3"/>
    <w:rsid w:val="006B64AA"/>
    <w:rsid w:val="006B6518"/>
    <w:rsid w:val="006B7AD8"/>
    <w:rsid w:val="006C09EC"/>
    <w:rsid w:val="006C0DB1"/>
    <w:rsid w:val="006C183A"/>
    <w:rsid w:val="006C1AEE"/>
    <w:rsid w:val="006C2884"/>
    <w:rsid w:val="006C4906"/>
    <w:rsid w:val="006C4CBE"/>
    <w:rsid w:val="006C6DF9"/>
    <w:rsid w:val="006C7660"/>
    <w:rsid w:val="006C7F44"/>
    <w:rsid w:val="006D071E"/>
    <w:rsid w:val="006D0818"/>
    <w:rsid w:val="006D151B"/>
    <w:rsid w:val="006D2FD8"/>
    <w:rsid w:val="006D3D41"/>
    <w:rsid w:val="006D47A4"/>
    <w:rsid w:val="006D48DE"/>
    <w:rsid w:val="006D4B4B"/>
    <w:rsid w:val="006D4D72"/>
    <w:rsid w:val="006D5C43"/>
    <w:rsid w:val="006D5F27"/>
    <w:rsid w:val="006D728A"/>
    <w:rsid w:val="006D7DDC"/>
    <w:rsid w:val="006E2307"/>
    <w:rsid w:val="006E2430"/>
    <w:rsid w:val="006E31D3"/>
    <w:rsid w:val="006E3C1F"/>
    <w:rsid w:val="006E3EE9"/>
    <w:rsid w:val="006E4441"/>
    <w:rsid w:val="006E560E"/>
    <w:rsid w:val="006E5BC4"/>
    <w:rsid w:val="006E5C9D"/>
    <w:rsid w:val="006E6B8F"/>
    <w:rsid w:val="006E6C71"/>
    <w:rsid w:val="006E75FD"/>
    <w:rsid w:val="006F118A"/>
    <w:rsid w:val="006F25B6"/>
    <w:rsid w:val="006F273E"/>
    <w:rsid w:val="006F4366"/>
    <w:rsid w:val="006F5BF5"/>
    <w:rsid w:val="006F6665"/>
    <w:rsid w:val="006F6B39"/>
    <w:rsid w:val="006F7626"/>
    <w:rsid w:val="006F77C7"/>
    <w:rsid w:val="0070042A"/>
    <w:rsid w:val="00701107"/>
    <w:rsid w:val="00701250"/>
    <w:rsid w:val="0070289D"/>
    <w:rsid w:val="00702E6C"/>
    <w:rsid w:val="00704731"/>
    <w:rsid w:val="00706111"/>
    <w:rsid w:val="0070727A"/>
    <w:rsid w:val="0071112C"/>
    <w:rsid w:val="0071290F"/>
    <w:rsid w:val="00712B4E"/>
    <w:rsid w:val="00713687"/>
    <w:rsid w:val="00714900"/>
    <w:rsid w:val="007149FA"/>
    <w:rsid w:val="00714EE6"/>
    <w:rsid w:val="00714F4D"/>
    <w:rsid w:val="00715BC1"/>
    <w:rsid w:val="00715BF6"/>
    <w:rsid w:val="00722BA9"/>
    <w:rsid w:val="0072688C"/>
    <w:rsid w:val="00726A07"/>
    <w:rsid w:val="00730C4C"/>
    <w:rsid w:val="00731599"/>
    <w:rsid w:val="0073285E"/>
    <w:rsid w:val="00734740"/>
    <w:rsid w:val="00735F92"/>
    <w:rsid w:val="0073743F"/>
    <w:rsid w:val="00737903"/>
    <w:rsid w:val="00740009"/>
    <w:rsid w:val="007401B2"/>
    <w:rsid w:val="007404D1"/>
    <w:rsid w:val="00741F42"/>
    <w:rsid w:val="00742986"/>
    <w:rsid w:val="00742BA6"/>
    <w:rsid w:val="00742BAD"/>
    <w:rsid w:val="00743361"/>
    <w:rsid w:val="007467B3"/>
    <w:rsid w:val="00746A23"/>
    <w:rsid w:val="0074774F"/>
    <w:rsid w:val="00750851"/>
    <w:rsid w:val="007508B7"/>
    <w:rsid w:val="00751375"/>
    <w:rsid w:val="00752704"/>
    <w:rsid w:val="00756192"/>
    <w:rsid w:val="007563A8"/>
    <w:rsid w:val="00761CA3"/>
    <w:rsid w:val="00762CBB"/>
    <w:rsid w:val="00763A49"/>
    <w:rsid w:val="0076417E"/>
    <w:rsid w:val="00764B29"/>
    <w:rsid w:val="007651B3"/>
    <w:rsid w:val="00766790"/>
    <w:rsid w:val="00767577"/>
    <w:rsid w:val="0077025A"/>
    <w:rsid w:val="00771366"/>
    <w:rsid w:val="00771F81"/>
    <w:rsid w:val="00772249"/>
    <w:rsid w:val="00774816"/>
    <w:rsid w:val="00774BCD"/>
    <w:rsid w:val="00774ECD"/>
    <w:rsid w:val="00775F09"/>
    <w:rsid w:val="00776520"/>
    <w:rsid w:val="007772F1"/>
    <w:rsid w:val="00777E98"/>
    <w:rsid w:val="00780699"/>
    <w:rsid w:val="00781AF6"/>
    <w:rsid w:val="00781F0A"/>
    <w:rsid w:val="00782189"/>
    <w:rsid w:val="00782A8A"/>
    <w:rsid w:val="0078333E"/>
    <w:rsid w:val="00783FA2"/>
    <w:rsid w:val="00786F77"/>
    <w:rsid w:val="00787F00"/>
    <w:rsid w:val="0079116C"/>
    <w:rsid w:val="007917D8"/>
    <w:rsid w:val="00792C4F"/>
    <w:rsid w:val="007932A5"/>
    <w:rsid w:val="0079352D"/>
    <w:rsid w:val="00795434"/>
    <w:rsid w:val="00795783"/>
    <w:rsid w:val="00796989"/>
    <w:rsid w:val="0079699F"/>
    <w:rsid w:val="007A01AF"/>
    <w:rsid w:val="007A0ED6"/>
    <w:rsid w:val="007A1D00"/>
    <w:rsid w:val="007A2916"/>
    <w:rsid w:val="007A2F03"/>
    <w:rsid w:val="007A510B"/>
    <w:rsid w:val="007A6E7B"/>
    <w:rsid w:val="007A7411"/>
    <w:rsid w:val="007B0638"/>
    <w:rsid w:val="007B2351"/>
    <w:rsid w:val="007B2753"/>
    <w:rsid w:val="007B3FC8"/>
    <w:rsid w:val="007B524C"/>
    <w:rsid w:val="007B6031"/>
    <w:rsid w:val="007B72F4"/>
    <w:rsid w:val="007B79F1"/>
    <w:rsid w:val="007C012F"/>
    <w:rsid w:val="007C1B98"/>
    <w:rsid w:val="007C22AE"/>
    <w:rsid w:val="007C2816"/>
    <w:rsid w:val="007C363D"/>
    <w:rsid w:val="007C41F3"/>
    <w:rsid w:val="007C5F3D"/>
    <w:rsid w:val="007C65B5"/>
    <w:rsid w:val="007D04AA"/>
    <w:rsid w:val="007D0875"/>
    <w:rsid w:val="007D1122"/>
    <w:rsid w:val="007D1741"/>
    <w:rsid w:val="007D2538"/>
    <w:rsid w:val="007D46EC"/>
    <w:rsid w:val="007D478C"/>
    <w:rsid w:val="007D4FD3"/>
    <w:rsid w:val="007D505E"/>
    <w:rsid w:val="007D532B"/>
    <w:rsid w:val="007E1916"/>
    <w:rsid w:val="007E290A"/>
    <w:rsid w:val="007F0680"/>
    <w:rsid w:val="007F0D33"/>
    <w:rsid w:val="007F184F"/>
    <w:rsid w:val="007F247E"/>
    <w:rsid w:val="007F271B"/>
    <w:rsid w:val="007F314A"/>
    <w:rsid w:val="007F3502"/>
    <w:rsid w:val="007F428D"/>
    <w:rsid w:val="007F487F"/>
    <w:rsid w:val="007F581C"/>
    <w:rsid w:val="007F5D87"/>
    <w:rsid w:val="007F60A4"/>
    <w:rsid w:val="00800204"/>
    <w:rsid w:val="00801EDA"/>
    <w:rsid w:val="008026BB"/>
    <w:rsid w:val="00803901"/>
    <w:rsid w:val="00805396"/>
    <w:rsid w:val="00811AE9"/>
    <w:rsid w:val="00811C8D"/>
    <w:rsid w:val="00811D82"/>
    <w:rsid w:val="00812E2D"/>
    <w:rsid w:val="008135FB"/>
    <w:rsid w:val="00813ED2"/>
    <w:rsid w:val="00814CA4"/>
    <w:rsid w:val="00815471"/>
    <w:rsid w:val="008170DA"/>
    <w:rsid w:val="00821802"/>
    <w:rsid w:val="008234A6"/>
    <w:rsid w:val="00823609"/>
    <w:rsid w:val="00824257"/>
    <w:rsid w:val="008254FE"/>
    <w:rsid w:val="00827841"/>
    <w:rsid w:val="00827AD6"/>
    <w:rsid w:val="00830EB5"/>
    <w:rsid w:val="00832322"/>
    <w:rsid w:val="0083258F"/>
    <w:rsid w:val="00832F39"/>
    <w:rsid w:val="00833593"/>
    <w:rsid w:val="008343C9"/>
    <w:rsid w:val="008359E6"/>
    <w:rsid w:val="0083628E"/>
    <w:rsid w:val="00836483"/>
    <w:rsid w:val="00841044"/>
    <w:rsid w:val="00844574"/>
    <w:rsid w:val="00845BAA"/>
    <w:rsid w:val="00845CE3"/>
    <w:rsid w:val="008464F9"/>
    <w:rsid w:val="00852276"/>
    <w:rsid w:val="00853A89"/>
    <w:rsid w:val="00853DF2"/>
    <w:rsid w:val="00855403"/>
    <w:rsid w:val="00855D4A"/>
    <w:rsid w:val="008566DC"/>
    <w:rsid w:val="00857CBC"/>
    <w:rsid w:val="00860D68"/>
    <w:rsid w:val="0086109D"/>
    <w:rsid w:val="008613F6"/>
    <w:rsid w:val="00861668"/>
    <w:rsid w:val="008618CB"/>
    <w:rsid w:val="00861C09"/>
    <w:rsid w:val="00861E77"/>
    <w:rsid w:val="00862CD7"/>
    <w:rsid w:val="008639B9"/>
    <w:rsid w:val="00864099"/>
    <w:rsid w:val="008647C7"/>
    <w:rsid w:val="0086567D"/>
    <w:rsid w:val="008678CD"/>
    <w:rsid w:val="0087076E"/>
    <w:rsid w:val="008708F0"/>
    <w:rsid w:val="00872EE9"/>
    <w:rsid w:val="00874998"/>
    <w:rsid w:val="0087508B"/>
    <w:rsid w:val="008807C9"/>
    <w:rsid w:val="00880F8A"/>
    <w:rsid w:val="00881067"/>
    <w:rsid w:val="00881E19"/>
    <w:rsid w:val="00882066"/>
    <w:rsid w:val="008822AD"/>
    <w:rsid w:val="008831EB"/>
    <w:rsid w:val="00884A15"/>
    <w:rsid w:val="00885B27"/>
    <w:rsid w:val="00887EB4"/>
    <w:rsid w:val="0089133F"/>
    <w:rsid w:val="008922D8"/>
    <w:rsid w:val="00894167"/>
    <w:rsid w:val="008954BD"/>
    <w:rsid w:val="008A04A9"/>
    <w:rsid w:val="008A0E0C"/>
    <w:rsid w:val="008A1066"/>
    <w:rsid w:val="008A1A90"/>
    <w:rsid w:val="008A24A8"/>
    <w:rsid w:val="008A2FCB"/>
    <w:rsid w:val="008A4146"/>
    <w:rsid w:val="008A4682"/>
    <w:rsid w:val="008A4AE5"/>
    <w:rsid w:val="008B0B22"/>
    <w:rsid w:val="008B2558"/>
    <w:rsid w:val="008B4CA2"/>
    <w:rsid w:val="008B5540"/>
    <w:rsid w:val="008B5602"/>
    <w:rsid w:val="008B6AF3"/>
    <w:rsid w:val="008C270B"/>
    <w:rsid w:val="008C2C08"/>
    <w:rsid w:val="008C5106"/>
    <w:rsid w:val="008C621C"/>
    <w:rsid w:val="008C6689"/>
    <w:rsid w:val="008C70FE"/>
    <w:rsid w:val="008C78D3"/>
    <w:rsid w:val="008D036B"/>
    <w:rsid w:val="008D0389"/>
    <w:rsid w:val="008D1465"/>
    <w:rsid w:val="008D1E90"/>
    <w:rsid w:val="008D22D8"/>
    <w:rsid w:val="008D3ADC"/>
    <w:rsid w:val="008D5FB2"/>
    <w:rsid w:val="008D6794"/>
    <w:rsid w:val="008D69C6"/>
    <w:rsid w:val="008D779D"/>
    <w:rsid w:val="008D7C66"/>
    <w:rsid w:val="008E01CF"/>
    <w:rsid w:val="008E1DCA"/>
    <w:rsid w:val="008E2230"/>
    <w:rsid w:val="008E4BDC"/>
    <w:rsid w:val="008E4FDC"/>
    <w:rsid w:val="008E5205"/>
    <w:rsid w:val="008E57B2"/>
    <w:rsid w:val="008E61FD"/>
    <w:rsid w:val="008E71EA"/>
    <w:rsid w:val="008E7626"/>
    <w:rsid w:val="008F00D9"/>
    <w:rsid w:val="008F0607"/>
    <w:rsid w:val="008F077D"/>
    <w:rsid w:val="008F0C6B"/>
    <w:rsid w:val="008F5106"/>
    <w:rsid w:val="008F7A3D"/>
    <w:rsid w:val="00900E9B"/>
    <w:rsid w:val="00901473"/>
    <w:rsid w:val="00901746"/>
    <w:rsid w:val="009022B2"/>
    <w:rsid w:val="00902335"/>
    <w:rsid w:val="009046A0"/>
    <w:rsid w:val="00904D2D"/>
    <w:rsid w:val="00907045"/>
    <w:rsid w:val="00907C14"/>
    <w:rsid w:val="00910B6B"/>
    <w:rsid w:val="00911340"/>
    <w:rsid w:val="009113BF"/>
    <w:rsid w:val="009114CF"/>
    <w:rsid w:val="0091164B"/>
    <w:rsid w:val="00912EF4"/>
    <w:rsid w:val="0091348E"/>
    <w:rsid w:val="00915473"/>
    <w:rsid w:val="00915C25"/>
    <w:rsid w:val="00916269"/>
    <w:rsid w:val="00917250"/>
    <w:rsid w:val="00920443"/>
    <w:rsid w:val="00920738"/>
    <w:rsid w:val="00920A0B"/>
    <w:rsid w:val="00921146"/>
    <w:rsid w:val="00921202"/>
    <w:rsid w:val="009215B2"/>
    <w:rsid w:val="00921977"/>
    <w:rsid w:val="009225B4"/>
    <w:rsid w:val="0092309E"/>
    <w:rsid w:val="00923EEF"/>
    <w:rsid w:val="00925021"/>
    <w:rsid w:val="009256D9"/>
    <w:rsid w:val="0092638D"/>
    <w:rsid w:val="009263D5"/>
    <w:rsid w:val="00926F91"/>
    <w:rsid w:val="009305CA"/>
    <w:rsid w:val="00930658"/>
    <w:rsid w:val="009308A4"/>
    <w:rsid w:val="009318A8"/>
    <w:rsid w:val="00931E59"/>
    <w:rsid w:val="00932A26"/>
    <w:rsid w:val="0093518E"/>
    <w:rsid w:val="00937B60"/>
    <w:rsid w:val="009415B0"/>
    <w:rsid w:val="0094252C"/>
    <w:rsid w:val="00943177"/>
    <w:rsid w:val="00945AB7"/>
    <w:rsid w:val="009508BC"/>
    <w:rsid w:val="009509EA"/>
    <w:rsid w:val="00951A86"/>
    <w:rsid w:val="0095217B"/>
    <w:rsid w:val="00952AF7"/>
    <w:rsid w:val="00954CCF"/>
    <w:rsid w:val="00955050"/>
    <w:rsid w:val="0095652C"/>
    <w:rsid w:val="00956894"/>
    <w:rsid w:val="0095725D"/>
    <w:rsid w:val="00957B0A"/>
    <w:rsid w:val="00957E07"/>
    <w:rsid w:val="0096033E"/>
    <w:rsid w:val="0096288D"/>
    <w:rsid w:val="00963AA1"/>
    <w:rsid w:val="00963D1E"/>
    <w:rsid w:val="00963E7F"/>
    <w:rsid w:val="009666A1"/>
    <w:rsid w:val="00966F0C"/>
    <w:rsid w:val="00970075"/>
    <w:rsid w:val="009712BC"/>
    <w:rsid w:val="009716EA"/>
    <w:rsid w:val="0097253F"/>
    <w:rsid w:val="0097275A"/>
    <w:rsid w:val="0097293B"/>
    <w:rsid w:val="00972C90"/>
    <w:rsid w:val="0097331D"/>
    <w:rsid w:val="00974B56"/>
    <w:rsid w:val="00976CA7"/>
    <w:rsid w:val="00976DB5"/>
    <w:rsid w:val="00977ADA"/>
    <w:rsid w:val="00980785"/>
    <w:rsid w:val="009820A6"/>
    <w:rsid w:val="00985623"/>
    <w:rsid w:val="00985D3B"/>
    <w:rsid w:val="00985EE3"/>
    <w:rsid w:val="00986065"/>
    <w:rsid w:val="00986207"/>
    <w:rsid w:val="00986602"/>
    <w:rsid w:val="00986BB3"/>
    <w:rsid w:val="009909F2"/>
    <w:rsid w:val="0099121F"/>
    <w:rsid w:val="00991B45"/>
    <w:rsid w:val="00991DF7"/>
    <w:rsid w:val="00991E1F"/>
    <w:rsid w:val="009950DE"/>
    <w:rsid w:val="009956BF"/>
    <w:rsid w:val="0099596A"/>
    <w:rsid w:val="009A3ADE"/>
    <w:rsid w:val="009A5254"/>
    <w:rsid w:val="009A6D77"/>
    <w:rsid w:val="009B0FE7"/>
    <w:rsid w:val="009B1A46"/>
    <w:rsid w:val="009B1B2C"/>
    <w:rsid w:val="009B3AAF"/>
    <w:rsid w:val="009B3C47"/>
    <w:rsid w:val="009B4D02"/>
    <w:rsid w:val="009B5782"/>
    <w:rsid w:val="009B5A3F"/>
    <w:rsid w:val="009B5C69"/>
    <w:rsid w:val="009B63B9"/>
    <w:rsid w:val="009B6852"/>
    <w:rsid w:val="009B7A45"/>
    <w:rsid w:val="009B7F8D"/>
    <w:rsid w:val="009C0232"/>
    <w:rsid w:val="009C0E66"/>
    <w:rsid w:val="009C1449"/>
    <w:rsid w:val="009C1DE6"/>
    <w:rsid w:val="009C2BB6"/>
    <w:rsid w:val="009C2F93"/>
    <w:rsid w:val="009C38C7"/>
    <w:rsid w:val="009C4776"/>
    <w:rsid w:val="009C4F80"/>
    <w:rsid w:val="009C6B61"/>
    <w:rsid w:val="009C6EAA"/>
    <w:rsid w:val="009D078A"/>
    <w:rsid w:val="009D290D"/>
    <w:rsid w:val="009D32DA"/>
    <w:rsid w:val="009D64EC"/>
    <w:rsid w:val="009D6732"/>
    <w:rsid w:val="009D6EE4"/>
    <w:rsid w:val="009E1A2B"/>
    <w:rsid w:val="009E2AA1"/>
    <w:rsid w:val="009E2D3C"/>
    <w:rsid w:val="009E3D31"/>
    <w:rsid w:val="009E4BA2"/>
    <w:rsid w:val="009E686B"/>
    <w:rsid w:val="009E7286"/>
    <w:rsid w:val="009E7913"/>
    <w:rsid w:val="009F0FAC"/>
    <w:rsid w:val="009F48BB"/>
    <w:rsid w:val="009F61D1"/>
    <w:rsid w:val="009F65E7"/>
    <w:rsid w:val="009F66EC"/>
    <w:rsid w:val="00A00C2B"/>
    <w:rsid w:val="00A00E35"/>
    <w:rsid w:val="00A01D01"/>
    <w:rsid w:val="00A0262A"/>
    <w:rsid w:val="00A02850"/>
    <w:rsid w:val="00A02C36"/>
    <w:rsid w:val="00A0518A"/>
    <w:rsid w:val="00A0659F"/>
    <w:rsid w:val="00A10B12"/>
    <w:rsid w:val="00A1125A"/>
    <w:rsid w:val="00A11B7C"/>
    <w:rsid w:val="00A11E48"/>
    <w:rsid w:val="00A141B6"/>
    <w:rsid w:val="00A144C2"/>
    <w:rsid w:val="00A144C6"/>
    <w:rsid w:val="00A14579"/>
    <w:rsid w:val="00A14889"/>
    <w:rsid w:val="00A14A77"/>
    <w:rsid w:val="00A167F0"/>
    <w:rsid w:val="00A201D2"/>
    <w:rsid w:val="00A20343"/>
    <w:rsid w:val="00A206C3"/>
    <w:rsid w:val="00A20781"/>
    <w:rsid w:val="00A230E7"/>
    <w:rsid w:val="00A234E1"/>
    <w:rsid w:val="00A240BA"/>
    <w:rsid w:val="00A24D7C"/>
    <w:rsid w:val="00A25FF4"/>
    <w:rsid w:val="00A26809"/>
    <w:rsid w:val="00A26D4D"/>
    <w:rsid w:val="00A272B8"/>
    <w:rsid w:val="00A27921"/>
    <w:rsid w:val="00A337E2"/>
    <w:rsid w:val="00A35E7C"/>
    <w:rsid w:val="00A35F77"/>
    <w:rsid w:val="00A36B81"/>
    <w:rsid w:val="00A3787B"/>
    <w:rsid w:val="00A411B0"/>
    <w:rsid w:val="00A4216A"/>
    <w:rsid w:val="00A43741"/>
    <w:rsid w:val="00A43763"/>
    <w:rsid w:val="00A444F6"/>
    <w:rsid w:val="00A447A5"/>
    <w:rsid w:val="00A44CD4"/>
    <w:rsid w:val="00A45116"/>
    <w:rsid w:val="00A460F0"/>
    <w:rsid w:val="00A5398D"/>
    <w:rsid w:val="00A53B98"/>
    <w:rsid w:val="00A55C65"/>
    <w:rsid w:val="00A56ADE"/>
    <w:rsid w:val="00A620A2"/>
    <w:rsid w:val="00A62218"/>
    <w:rsid w:val="00A627FD"/>
    <w:rsid w:val="00A63A48"/>
    <w:rsid w:val="00A6528D"/>
    <w:rsid w:val="00A65879"/>
    <w:rsid w:val="00A674BF"/>
    <w:rsid w:val="00A72C75"/>
    <w:rsid w:val="00A74361"/>
    <w:rsid w:val="00A757D1"/>
    <w:rsid w:val="00A813CB"/>
    <w:rsid w:val="00A82962"/>
    <w:rsid w:val="00A82A43"/>
    <w:rsid w:val="00A83892"/>
    <w:rsid w:val="00A85193"/>
    <w:rsid w:val="00A90F7C"/>
    <w:rsid w:val="00A911A3"/>
    <w:rsid w:val="00A91307"/>
    <w:rsid w:val="00A92420"/>
    <w:rsid w:val="00A93997"/>
    <w:rsid w:val="00A939D6"/>
    <w:rsid w:val="00A94914"/>
    <w:rsid w:val="00A95D4F"/>
    <w:rsid w:val="00A97C8D"/>
    <w:rsid w:val="00AA0BB5"/>
    <w:rsid w:val="00AA0EAB"/>
    <w:rsid w:val="00AA137B"/>
    <w:rsid w:val="00AA146F"/>
    <w:rsid w:val="00AA1B55"/>
    <w:rsid w:val="00AA3562"/>
    <w:rsid w:val="00AA439E"/>
    <w:rsid w:val="00AA4E0D"/>
    <w:rsid w:val="00AA5331"/>
    <w:rsid w:val="00AA5459"/>
    <w:rsid w:val="00AA5FA9"/>
    <w:rsid w:val="00AA75FD"/>
    <w:rsid w:val="00AB039F"/>
    <w:rsid w:val="00AB05F9"/>
    <w:rsid w:val="00AB0B02"/>
    <w:rsid w:val="00AB1223"/>
    <w:rsid w:val="00AB1331"/>
    <w:rsid w:val="00AB2F3A"/>
    <w:rsid w:val="00AB314B"/>
    <w:rsid w:val="00AB4038"/>
    <w:rsid w:val="00AB4CF6"/>
    <w:rsid w:val="00AB4DCF"/>
    <w:rsid w:val="00AB5A0B"/>
    <w:rsid w:val="00AC223E"/>
    <w:rsid w:val="00AC25E7"/>
    <w:rsid w:val="00AC2D90"/>
    <w:rsid w:val="00AC3544"/>
    <w:rsid w:val="00AC3F09"/>
    <w:rsid w:val="00AC4A0F"/>
    <w:rsid w:val="00AC4C50"/>
    <w:rsid w:val="00AC5AA9"/>
    <w:rsid w:val="00AC6A84"/>
    <w:rsid w:val="00AC6A97"/>
    <w:rsid w:val="00AD1A75"/>
    <w:rsid w:val="00AD1DE7"/>
    <w:rsid w:val="00AD278B"/>
    <w:rsid w:val="00AD2CD3"/>
    <w:rsid w:val="00AD3691"/>
    <w:rsid w:val="00AD3AA0"/>
    <w:rsid w:val="00AD3FF9"/>
    <w:rsid w:val="00AD419F"/>
    <w:rsid w:val="00AD466D"/>
    <w:rsid w:val="00AD49B4"/>
    <w:rsid w:val="00AD5EA4"/>
    <w:rsid w:val="00AD71D3"/>
    <w:rsid w:val="00AD7C56"/>
    <w:rsid w:val="00AE128E"/>
    <w:rsid w:val="00AE3514"/>
    <w:rsid w:val="00AE4425"/>
    <w:rsid w:val="00AE5DC4"/>
    <w:rsid w:val="00AE63E1"/>
    <w:rsid w:val="00AE66FA"/>
    <w:rsid w:val="00AE7195"/>
    <w:rsid w:val="00AF14F3"/>
    <w:rsid w:val="00AF183A"/>
    <w:rsid w:val="00AF44D3"/>
    <w:rsid w:val="00AF500A"/>
    <w:rsid w:val="00AF63B0"/>
    <w:rsid w:val="00B00DC8"/>
    <w:rsid w:val="00B01803"/>
    <w:rsid w:val="00B01C2E"/>
    <w:rsid w:val="00B02166"/>
    <w:rsid w:val="00B026D4"/>
    <w:rsid w:val="00B02E81"/>
    <w:rsid w:val="00B0344A"/>
    <w:rsid w:val="00B0377C"/>
    <w:rsid w:val="00B04840"/>
    <w:rsid w:val="00B04DE7"/>
    <w:rsid w:val="00B04FC3"/>
    <w:rsid w:val="00B05CE5"/>
    <w:rsid w:val="00B05FF9"/>
    <w:rsid w:val="00B11C52"/>
    <w:rsid w:val="00B12614"/>
    <w:rsid w:val="00B146FC"/>
    <w:rsid w:val="00B14BAC"/>
    <w:rsid w:val="00B14F9E"/>
    <w:rsid w:val="00B15AFE"/>
    <w:rsid w:val="00B165C1"/>
    <w:rsid w:val="00B16BBA"/>
    <w:rsid w:val="00B17960"/>
    <w:rsid w:val="00B17E4F"/>
    <w:rsid w:val="00B22CD2"/>
    <w:rsid w:val="00B24220"/>
    <w:rsid w:val="00B305AB"/>
    <w:rsid w:val="00B33A6D"/>
    <w:rsid w:val="00B367B3"/>
    <w:rsid w:val="00B43B33"/>
    <w:rsid w:val="00B44F34"/>
    <w:rsid w:val="00B4538A"/>
    <w:rsid w:val="00B45F92"/>
    <w:rsid w:val="00B466E0"/>
    <w:rsid w:val="00B46838"/>
    <w:rsid w:val="00B51128"/>
    <w:rsid w:val="00B5140B"/>
    <w:rsid w:val="00B518B1"/>
    <w:rsid w:val="00B5466F"/>
    <w:rsid w:val="00B55729"/>
    <w:rsid w:val="00B56CA8"/>
    <w:rsid w:val="00B61A5E"/>
    <w:rsid w:val="00B62065"/>
    <w:rsid w:val="00B628EE"/>
    <w:rsid w:val="00B64653"/>
    <w:rsid w:val="00B65312"/>
    <w:rsid w:val="00B666D8"/>
    <w:rsid w:val="00B6748A"/>
    <w:rsid w:val="00B713B9"/>
    <w:rsid w:val="00B75732"/>
    <w:rsid w:val="00B80366"/>
    <w:rsid w:val="00B80B46"/>
    <w:rsid w:val="00B817D1"/>
    <w:rsid w:val="00B81DBE"/>
    <w:rsid w:val="00B87447"/>
    <w:rsid w:val="00B87534"/>
    <w:rsid w:val="00B87ABE"/>
    <w:rsid w:val="00B87EFD"/>
    <w:rsid w:val="00B90913"/>
    <w:rsid w:val="00B90CBB"/>
    <w:rsid w:val="00B91582"/>
    <w:rsid w:val="00B93D96"/>
    <w:rsid w:val="00B96722"/>
    <w:rsid w:val="00B97F0D"/>
    <w:rsid w:val="00BA18E8"/>
    <w:rsid w:val="00BA2654"/>
    <w:rsid w:val="00BA2710"/>
    <w:rsid w:val="00BA336E"/>
    <w:rsid w:val="00BA3861"/>
    <w:rsid w:val="00BA4451"/>
    <w:rsid w:val="00BA5035"/>
    <w:rsid w:val="00BA5853"/>
    <w:rsid w:val="00BA66AE"/>
    <w:rsid w:val="00BA7BFB"/>
    <w:rsid w:val="00BB1495"/>
    <w:rsid w:val="00BB3949"/>
    <w:rsid w:val="00BB4D78"/>
    <w:rsid w:val="00BB5DF1"/>
    <w:rsid w:val="00BC0CD3"/>
    <w:rsid w:val="00BC2670"/>
    <w:rsid w:val="00BC3DD9"/>
    <w:rsid w:val="00BC5CD0"/>
    <w:rsid w:val="00BC7874"/>
    <w:rsid w:val="00BD17F6"/>
    <w:rsid w:val="00BD19B7"/>
    <w:rsid w:val="00BD412A"/>
    <w:rsid w:val="00BD4757"/>
    <w:rsid w:val="00BE0AC2"/>
    <w:rsid w:val="00BE0BD9"/>
    <w:rsid w:val="00BE0C69"/>
    <w:rsid w:val="00BE0EAC"/>
    <w:rsid w:val="00BE181E"/>
    <w:rsid w:val="00BE34B0"/>
    <w:rsid w:val="00BE3FEC"/>
    <w:rsid w:val="00BE41F7"/>
    <w:rsid w:val="00BE45F2"/>
    <w:rsid w:val="00BE464B"/>
    <w:rsid w:val="00BE5A85"/>
    <w:rsid w:val="00BE5B11"/>
    <w:rsid w:val="00BE5C99"/>
    <w:rsid w:val="00BE6237"/>
    <w:rsid w:val="00BE694A"/>
    <w:rsid w:val="00BE7457"/>
    <w:rsid w:val="00BF006C"/>
    <w:rsid w:val="00BF1656"/>
    <w:rsid w:val="00BF412F"/>
    <w:rsid w:val="00BF4DC6"/>
    <w:rsid w:val="00BF5FA0"/>
    <w:rsid w:val="00BF6819"/>
    <w:rsid w:val="00BF7AE4"/>
    <w:rsid w:val="00C035C5"/>
    <w:rsid w:val="00C0443E"/>
    <w:rsid w:val="00C11FC8"/>
    <w:rsid w:val="00C1447B"/>
    <w:rsid w:val="00C158F3"/>
    <w:rsid w:val="00C16ADE"/>
    <w:rsid w:val="00C17B6A"/>
    <w:rsid w:val="00C20F56"/>
    <w:rsid w:val="00C219EB"/>
    <w:rsid w:val="00C22DF5"/>
    <w:rsid w:val="00C23C90"/>
    <w:rsid w:val="00C2665E"/>
    <w:rsid w:val="00C302A2"/>
    <w:rsid w:val="00C315B3"/>
    <w:rsid w:val="00C3176F"/>
    <w:rsid w:val="00C32568"/>
    <w:rsid w:val="00C32DBA"/>
    <w:rsid w:val="00C337DD"/>
    <w:rsid w:val="00C34141"/>
    <w:rsid w:val="00C355FC"/>
    <w:rsid w:val="00C36732"/>
    <w:rsid w:val="00C367B4"/>
    <w:rsid w:val="00C373C2"/>
    <w:rsid w:val="00C37925"/>
    <w:rsid w:val="00C37EA5"/>
    <w:rsid w:val="00C42874"/>
    <w:rsid w:val="00C430E2"/>
    <w:rsid w:val="00C43DC3"/>
    <w:rsid w:val="00C44790"/>
    <w:rsid w:val="00C45307"/>
    <w:rsid w:val="00C503AA"/>
    <w:rsid w:val="00C5245E"/>
    <w:rsid w:val="00C52977"/>
    <w:rsid w:val="00C53F69"/>
    <w:rsid w:val="00C5479C"/>
    <w:rsid w:val="00C54D4B"/>
    <w:rsid w:val="00C57916"/>
    <w:rsid w:val="00C60AAD"/>
    <w:rsid w:val="00C60E54"/>
    <w:rsid w:val="00C60F2B"/>
    <w:rsid w:val="00C61194"/>
    <w:rsid w:val="00C615AE"/>
    <w:rsid w:val="00C63A5A"/>
    <w:rsid w:val="00C64551"/>
    <w:rsid w:val="00C64ABF"/>
    <w:rsid w:val="00C650AF"/>
    <w:rsid w:val="00C65BB6"/>
    <w:rsid w:val="00C6617C"/>
    <w:rsid w:val="00C66CEE"/>
    <w:rsid w:val="00C670F6"/>
    <w:rsid w:val="00C67C09"/>
    <w:rsid w:val="00C67CC0"/>
    <w:rsid w:val="00C67EB4"/>
    <w:rsid w:val="00C72B01"/>
    <w:rsid w:val="00C7307C"/>
    <w:rsid w:val="00C73101"/>
    <w:rsid w:val="00C7445D"/>
    <w:rsid w:val="00C74685"/>
    <w:rsid w:val="00C74746"/>
    <w:rsid w:val="00C75738"/>
    <w:rsid w:val="00C75835"/>
    <w:rsid w:val="00C75A96"/>
    <w:rsid w:val="00C764ED"/>
    <w:rsid w:val="00C77039"/>
    <w:rsid w:val="00C800A5"/>
    <w:rsid w:val="00C8039A"/>
    <w:rsid w:val="00C8147E"/>
    <w:rsid w:val="00C81944"/>
    <w:rsid w:val="00C8271B"/>
    <w:rsid w:val="00C845A4"/>
    <w:rsid w:val="00C85EF1"/>
    <w:rsid w:val="00C87299"/>
    <w:rsid w:val="00C87666"/>
    <w:rsid w:val="00C903BA"/>
    <w:rsid w:val="00C90D05"/>
    <w:rsid w:val="00C9530C"/>
    <w:rsid w:val="00C964BF"/>
    <w:rsid w:val="00C9765B"/>
    <w:rsid w:val="00C97663"/>
    <w:rsid w:val="00C977C1"/>
    <w:rsid w:val="00C97CC2"/>
    <w:rsid w:val="00CA0719"/>
    <w:rsid w:val="00CA2572"/>
    <w:rsid w:val="00CA2838"/>
    <w:rsid w:val="00CA5D28"/>
    <w:rsid w:val="00CA6139"/>
    <w:rsid w:val="00CA6545"/>
    <w:rsid w:val="00CA7470"/>
    <w:rsid w:val="00CA750F"/>
    <w:rsid w:val="00CB0B4F"/>
    <w:rsid w:val="00CB0B91"/>
    <w:rsid w:val="00CB31AA"/>
    <w:rsid w:val="00CB31C9"/>
    <w:rsid w:val="00CB36E2"/>
    <w:rsid w:val="00CB5305"/>
    <w:rsid w:val="00CB69A2"/>
    <w:rsid w:val="00CC0D08"/>
    <w:rsid w:val="00CC149E"/>
    <w:rsid w:val="00CC4186"/>
    <w:rsid w:val="00CC6427"/>
    <w:rsid w:val="00CD0771"/>
    <w:rsid w:val="00CD1E6B"/>
    <w:rsid w:val="00CD21FF"/>
    <w:rsid w:val="00CD3777"/>
    <w:rsid w:val="00CD3835"/>
    <w:rsid w:val="00CD3C23"/>
    <w:rsid w:val="00CD3C76"/>
    <w:rsid w:val="00CD3E57"/>
    <w:rsid w:val="00CD4F95"/>
    <w:rsid w:val="00CE1EF7"/>
    <w:rsid w:val="00CE2AEB"/>
    <w:rsid w:val="00CE3A9B"/>
    <w:rsid w:val="00CE4440"/>
    <w:rsid w:val="00CE5346"/>
    <w:rsid w:val="00CE5567"/>
    <w:rsid w:val="00CE7D3D"/>
    <w:rsid w:val="00CF0157"/>
    <w:rsid w:val="00CF020F"/>
    <w:rsid w:val="00CF19C9"/>
    <w:rsid w:val="00CF203D"/>
    <w:rsid w:val="00CF6E2D"/>
    <w:rsid w:val="00CF722F"/>
    <w:rsid w:val="00CF76B0"/>
    <w:rsid w:val="00D0036D"/>
    <w:rsid w:val="00D006F5"/>
    <w:rsid w:val="00D00C92"/>
    <w:rsid w:val="00D024D6"/>
    <w:rsid w:val="00D0442E"/>
    <w:rsid w:val="00D0792F"/>
    <w:rsid w:val="00D121B0"/>
    <w:rsid w:val="00D12D7B"/>
    <w:rsid w:val="00D13A59"/>
    <w:rsid w:val="00D152F3"/>
    <w:rsid w:val="00D209CA"/>
    <w:rsid w:val="00D213B5"/>
    <w:rsid w:val="00D216C6"/>
    <w:rsid w:val="00D21B42"/>
    <w:rsid w:val="00D24122"/>
    <w:rsid w:val="00D2619A"/>
    <w:rsid w:val="00D307D7"/>
    <w:rsid w:val="00D30BE3"/>
    <w:rsid w:val="00D30CC2"/>
    <w:rsid w:val="00D30D1B"/>
    <w:rsid w:val="00D3122A"/>
    <w:rsid w:val="00D316EA"/>
    <w:rsid w:val="00D31F64"/>
    <w:rsid w:val="00D322F3"/>
    <w:rsid w:val="00D32AD8"/>
    <w:rsid w:val="00D33331"/>
    <w:rsid w:val="00D34DE5"/>
    <w:rsid w:val="00D3585E"/>
    <w:rsid w:val="00D35DBD"/>
    <w:rsid w:val="00D365D3"/>
    <w:rsid w:val="00D366FF"/>
    <w:rsid w:val="00D36888"/>
    <w:rsid w:val="00D3753D"/>
    <w:rsid w:val="00D40CDC"/>
    <w:rsid w:val="00D410C8"/>
    <w:rsid w:val="00D42CC8"/>
    <w:rsid w:val="00D42D66"/>
    <w:rsid w:val="00D45325"/>
    <w:rsid w:val="00D456FA"/>
    <w:rsid w:val="00D45FD4"/>
    <w:rsid w:val="00D4736E"/>
    <w:rsid w:val="00D47A11"/>
    <w:rsid w:val="00D53D89"/>
    <w:rsid w:val="00D57CB4"/>
    <w:rsid w:val="00D60502"/>
    <w:rsid w:val="00D6149E"/>
    <w:rsid w:val="00D6278D"/>
    <w:rsid w:val="00D629DA"/>
    <w:rsid w:val="00D63FE5"/>
    <w:rsid w:val="00D642FB"/>
    <w:rsid w:val="00D64F2F"/>
    <w:rsid w:val="00D65C5E"/>
    <w:rsid w:val="00D6644E"/>
    <w:rsid w:val="00D66C0A"/>
    <w:rsid w:val="00D66FC1"/>
    <w:rsid w:val="00D67909"/>
    <w:rsid w:val="00D711E9"/>
    <w:rsid w:val="00D717E3"/>
    <w:rsid w:val="00D722A9"/>
    <w:rsid w:val="00D726D3"/>
    <w:rsid w:val="00D72BBA"/>
    <w:rsid w:val="00D76247"/>
    <w:rsid w:val="00D76869"/>
    <w:rsid w:val="00D769A9"/>
    <w:rsid w:val="00D808CF"/>
    <w:rsid w:val="00D81126"/>
    <w:rsid w:val="00D8351B"/>
    <w:rsid w:val="00D83CB1"/>
    <w:rsid w:val="00D84F7B"/>
    <w:rsid w:val="00D855EB"/>
    <w:rsid w:val="00D85EF1"/>
    <w:rsid w:val="00D86A0D"/>
    <w:rsid w:val="00D878A2"/>
    <w:rsid w:val="00D9174D"/>
    <w:rsid w:val="00D91BBE"/>
    <w:rsid w:val="00D955A4"/>
    <w:rsid w:val="00D95D7A"/>
    <w:rsid w:val="00D95E80"/>
    <w:rsid w:val="00D96817"/>
    <w:rsid w:val="00D96CCF"/>
    <w:rsid w:val="00DA07AD"/>
    <w:rsid w:val="00DA0933"/>
    <w:rsid w:val="00DA2A84"/>
    <w:rsid w:val="00DA3729"/>
    <w:rsid w:val="00DB0931"/>
    <w:rsid w:val="00DB0AE9"/>
    <w:rsid w:val="00DB0E6A"/>
    <w:rsid w:val="00DB1A4D"/>
    <w:rsid w:val="00DB20B1"/>
    <w:rsid w:val="00DB25BD"/>
    <w:rsid w:val="00DB381A"/>
    <w:rsid w:val="00DB4C3D"/>
    <w:rsid w:val="00DB5E4C"/>
    <w:rsid w:val="00DB7B72"/>
    <w:rsid w:val="00DB7C56"/>
    <w:rsid w:val="00DC03D6"/>
    <w:rsid w:val="00DC04E2"/>
    <w:rsid w:val="00DC1129"/>
    <w:rsid w:val="00DC1DCB"/>
    <w:rsid w:val="00DC25BF"/>
    <w:rsid w:val="00DC2815"/>
    <w:rsid w:val="00DC4078"/>
    <w:rsid w:val="00DC4706"/>
    <w:rsid w:val="00DC4CC5"/>
    <w:rsid w:val="00DC7476"/>
    <w:rsid w:val="00DD036A"/>
    <w:rsid w:val="00DD07CB"/>
    <w:rsid w:val="00DD0D0C"/>
    <w:rsid w:val="00DD237C"/>
    <w:rsid w:val="00DD3A84"/>
    <w:rsid w:val="00DD3CC0"/>
    <w:rsid w:val="00DD6082"/>
    <w:rsid w:val="00DE078F"/>
    <w:rsid w:val="00DE1697"/>
    <w:rsid w:val="00DE2BCE"/>
    <w:rsid w:val="00DE300F"/>
    <w:rsid w:val="00DE411F"/>
    <w:rsid w:val="00DE78E4"/>
    <w:rsid w:val="00DF0D44"/>
    <w:rsid w:val="00DF1598"/>
    <w:rsid w:val="00DF1E49"/>
    <w:rsid w:val="00DF4D16"/>
    <w:rsid w:val="00DF4F45"/>
    <w:rsid w:val="00DF7A87"/>
    <w:rsid w:val="00DF7E39"/>
    <w:rsid w:val="00E01715"/>
    <w:rsid w:val="00E018B6"/>
    <w:rsid w:val="00E02DE5"/>
    <w:rsid w:val="00E02EEE"/>
    <w:rsid w:val="00E03370"/>
    <w:rsid w:val="00E03A87"/>
    <w:rsid w:val="00E049CE"/>
    <w:rsid w:val="00E052EA"/>
    <w:rsid w:val="00E06438"/>
    <w:rsid w:val="00E06E45"/>
    <w:rsid w:val="00E0786A"/>
    <w:rsid w:val="00E1135B"/>
    <w:rsid w:val="00E1147C"/>
    <w:rsid w:val="00E117C8"/>
    <w:rsid w:val="00E12D77"/>
    <w:rsid w:val="00E137D7"/>
    <w:rsid w:val="00E14671"/>
    <w:rsid w:val="00E204C4"/>
    <w:rsid w:val="00E2074F"/>
    <w:rsid w:val="00E20AC3"/>
    <w:rsid w:val="00E222FF"/>
    <w:rsid w:val="00E24CAB"/>
    <w:rsid w:val="00E24ED4"/>
    <w:rsid w:val="00E25BC7"/>
    <w:rsid w:val="00E30BBA"/>
    <w:rsid w:val="00E30EA4"/>
    <w:rsid w:val="00E3112D"/>
    <w:rsid w:val="00E32377"/>
    <w:rsid w:val="00E32A14"/>
    <w:rsid w:val="00E3405F"/>
    <w:rsid w:val="00E34456"/>
    <w:rsid w:val="00E34BA1"/>
    <w:rsid w:val="00E35360"/>
    <w:rsid w:val="00E37061"/>
    <w:rsid w:val="00E3788E"/>
    <w:rsid w:val="00E37D8F"/>
    <w:rsid w:val="00E44094"/>
    <w:rsid w:val="00E44391"/>
    <w:rsid w:val="00E468B9"/>
    <w:rsid w:val="00E50E98"/>
    <w:rsid w:val="00E51CCB"/>
    <w:rsid w:val="00E51D7D"/>
    <w:rsid w:val="00E51E2C"/>
    <w:rsid w:val="00E52BEF"/>
    <w:rsid w:val="00E53590"/>
    <w:rsid w:val="00E54CFD"/>
    <w:rsid w:val="00E55E0E"/>
    <w:rsid w:val="00E600D5"/>
    <w:rsid w:val="00E608AE"/>
    <w:rsid w:val="00E64B48"/>
    <w:rsid w:val="00E65AD1"/>
    <w:rsid w:val="00E71E41"/>
    <w:rsid w:val="00E722BC"/>
    <w:rsid w:val="00E73B5E"/>
    <w:rsid w:val="00E73DCC"/>
    <w:rsid w:val="00E74759"/>
    <w:rsid w:val="00E76439"/>
    <w:rsid w:val="00E772B2"/>
    <w:rsid w:val="00E80118"/>
    <w:rsid w:val="00E80C82"/>
    <w:rsid w:val="00E835E2"/>
    <w:rsid w:val="00E83786"/>
    <w:rsid w:val="00E838EE"/>
    <w:rsid w:val="00E839CF"/>
    <w:rsid w:val="00E853E2"/>
    <w:rsid w:val="00E85C20"/>
    <w:rsid w:val="00E86496"/>
    <w:rsid w:val="00E90274"/>
    <w:rsid w:val="00E906BB"/>
    <w:rsid w:val="00E92141"/>
    <w:rsid w:val="00E93694"/>
    <w:rsid w:val="00E94F89"/>
    <w:rsid w:val="00E95655"/>
    <w:rsid w:val="00EA0B70"/>
    <w:rsid w:val="00EA1600"/>
    <w:rsid w:val="00EA44C6"/>
    <w:rsid w:val="00EA5302"/>
    <w:rsid w:val="00EA7743"/>
    <w:rsid w:val="00EB0035"/>
    <w:rsid w:val="00EB0AFE"/>
    <w:rsid w:val="00EB1BCE"/>
    <w:rsid w:val="00EB2F74"/>
    <w:rsid w:val="00EB32AC"/>
    <w:rsid w:val="00EB3F37"/>
    <w:rsid w:val="00EB5231"/>
    <w:rsid w:val="00EB62E1"/>
    <w:rsid w:val="00EB6A1A"/>
    <w:rsid w:val="00EB7D24"/>
    <w:rsid w:val="00EC0F65"/>
    <w:rsid w:val="00EC1984"/>
    <w:rsid w:val="00EC4529"/>
    <w:rsid w:val="00EC5FFE"/>
    <w:rsid w:val="00EC72C9"/>
    <w:rsid w:val="00EC7A03"/>
    <w:rsid w:val="00EC7FD6"/>
    <w:rsid w:val="00ED0D87"/>
    <w:rsid w:val="00ED2618"/>
    <w:rsid w:val="00ED2EC2"/>
    <w:rsid w:val="00ED509C"/>
    <w:rsid w:val="00ED5279"/>
    <w:rsid w:val="00ED6974"/>
    <w:rsid w:val="00ED6BEF"/>
    <w:rsid w:val="00ED6C53"/>
    <w:rsid w:val="00ED7BC5"/>
    <w:rsid w:val="00EE01DA"/>
    <w:rsid w:val="00EE1662"/>
    <w:rsid w:val="00EE1AB7"/>
    <w:rsid w:val="00EE1CFF"/>
    <w:rsid w:val="00EE5F8D"/>
    <w:rsid w:val="00EE75BD"/>
    <w:rsid w:val="00EF03CE"/>
    <w:rsid w:val="00EF1D55"/>
    <w:rsid w:val="00EF3B84"/>
    <w:rsid w:val="00EF485B"/>
    <w:rsid w:val="00EF763C"/>
    <w:rsid w:val="00F00BA4"/>
    <w:rsid w:val="00F0226A"/>
    <w:rsid w:val="00F027B2"/>
    <w:rsid w:val="00F03893"/>
    <w:rsid w:val="00F03C47"/>
    <w:rsid w:val="00F056A9"/>
    <w:rsid w:val="00F10EAE"/>
    <w:rsid w:val="00F11096"/>
    <w:rsid w:val="00F11097"/>
    <w:rsid w:val="00F1261B"/>
    <w:rsid w:val="00F145D2"/>
    <w:rsid w:val="00F15A5E"/>
    <w:rsid w:val="00F16252"/>
    <w:rsid w:val="00F17F4F"/>
    <w:rsid w:val="00F217CA"/>
    <w:rsid w:val="00F2184E"/>
    <w:rsid w:val="00F21FBF"/>
    <w:rsid w:val="00F2211D"/>
    <w:rsid w:val="00F227FF"/>
    <w:rsid w:val="00F2321C"/>
    <w:rsid w:val="00F2415B"/>
    <w:rsid w:val="00F25D8E"/>
    <w:rsid w:val="00F26DB7"/>
    <w:rsid w:val="00F30779"/>
    <w:rsid w:val="00F348C4"/>
    <w:rsid w:val="00F34CF3"/>
    <w:rsid w:val="00F36BCD"/>
    <w:rsid w:val="00F3712C"/>
    <w:rsid w:val="00F37347"/>
    <w:rsid w:val="00F40359"/>
    <w:rsid w:val="00F40618"/>
    <w:rsid w:val="00F41705"/>
    <w:rsid w:val="00F42402"/>
    <w:rsid w:val="00F4416B"/>
    <w:rsid w:val="00F45235"/>
    <w:rsid w:val="00F4532E"/>
    <w:rsid w:val="00F50D6E"/>
    <w:rsid w:val="00F52820"/>
    <w:rsid w:val="00F528E1"/>
    <w:rsid w:val="00F54E1C"/>
    <w:rsid w:val="00F554A3"/>
    <w:rsid w:val="00F56215"/>
    <w:rsid w:val="00F602C2"/>
    <w:rsid w:val="00F60BFD"/>
    <w:rsid w:val="00F64B93"/>
    <w:rsid w:val="00F65C6F"/>
    <w:rsid w:val="00F6715D"/>
    <w:rsid w:val="00F70BDA"/>
    <w:rsid w:val="00F733D7"/>
    <w:rsid w:val="00F757BB"/>
    <w:rsid w:val="00F759B6"/>
    <w:rsid w:val="00F772AA"/>
    <w:rsid w:val="00F81232"/>
    <w:rsid w:val="00F82569"/>
    <w:rsid w:val="00F84A00"/>
    <w:rsid w:val="00F84AC5"/>
    <w:rsid w:val="00F84E22"/>
    <w:rsid w:val="00F866FF"/>
    <w:rsid w:val="00F86986"/>
    <w:rsid w:val="00F923AE"/>
    <w:rsid w:val="00F948AD"/>
    <w:rsid w:val="00F959A8"/>
    <w:rsid w:val="00F95E67"/>
    <w:rsid w:val="00F96150"/>
    <w:rsid w:val="00F978BB"/>
    <w:rsid w:val="00FA1849"/>
    <w:rsid w:val="00FA758F"/>
    <w:rsid w:val="00FB01FA"/>
    <w:rsid w:val="00FB069B"/>
    <w:rsid w:val="00FB0ECE"/>
    <w:rsid w:val="00FB1E03"/>
    <w:rsid w:val="00FB288C"/>
    <w:rsid w:val="00FB2B83"/>
    <w:rsid w:val="00FB4FF3"/>
    <w:rsid w:val="00FB571A"/>
    <w:rsid w:val="00FB698A"/>
    <w:rsid w:val="00FB6B63"/>
    <w:rsid w:val="00FC05FE"/>
    <w:rsid w:val="00FC2816"/>
    <w:rsid w:val="00FC3BD7"/>
    <w:rsid w:val="00FC64D1"/>
    <w:rsid w:val="00FC65D2"/>
    <w:rsid w:val="00FC7533"/>
    <w:rsid w:val="00FD0970"/>
    <w:rsid w:val="00FD1707"/>
    <w:rsid w:val="00FD2A4C"/>
    <w:rsid w:val="00FD43B8"/>
    <w:rsid w:val="00FD48E8"/>
    <w:rsid w:val="00FD7EFA"/>
    <w:rsid w:val="00FE0C3A"/>
    <w:rsid w:val="00FE1982"/>
    <w:rsid w:val="00FE31E8"/>
    <w:rsid w:val="00FE61E3"/>
    <w:rsid w:val="00FF0E9E"/>
    <w:rsid w:val="00FF1B0B"/>
    <w:rsid w:val="00FF3134"/>
    <w:rsid w:val="00FF3D98"/>
    <w:rsid w:val="00FF4116"/>
    <w:rsid w:val="00FF59E6"/>
    <w:rsid w:val="011236A9"/>
    <w:rsid w:val="01227A73"/>
    <w:rsid w:val="01293C29"/>
    <w:rsid w:val="01314CD7"/>
    <w:rsid w:val="015C3B20"/>
    <w:rsid w:val="01690551"/>
    <w:rsid w:val="01857B78"/>
    <w:rsid w:val="01977F8A"/>
    <w:rsid w:val="01A42AB9"/>
    <w:rsid w:val="01AE0C47"/>
    <w:rsid w:val="01EA115E"/>
    <w:rsid w:val="01FB073D"/>
    <w:rsid w:val="02147854"/>
    <w:rsid w:val="0224225A"/>
    <w:rsid w:val="0236194D"/>
    <w:rsid w:val="023C5BEC"/>
    <w:rsid w:val="025267CE"/>
    <w:rsid w:val="02597B65"/>
    <w:rsid w:val="025B4F1C"/>
    <w:rsid w:val="02761A06"/>
    <w:rsid w:val="027E23FA"/>
    <w:rsid w:val="028120C7"/>
    <w:rsid w:val="028B0287"/>
    <w:rsid w:val="02927F9B"/>
    <w:rsid w:val="02EB3155"/>
    <w:rsid w:val="02EC6083"/>
    <w:rsid w:val="02FE5138"/>
    <w:rsid w:val="0300000F"/>
    <w:rsid w:val="03004FC5"/>
    <w:rsid w:val="03027686"/>
    <w:rsid w:val="030575AB"/>
    <w:rsid w:val="03290873"/>
    <w:rsid w:val="03321266"/>
    <w:rsid w:val="033A7AE0"/>
    <w:rsid w:val="033F1FB0"/>
    <w:rsid w:val="03534479"/>
    <w:rsid w:val="03626AC5"/>
    <w:rsid w:val="0365089C"/>
    <w:rsid w:val="038334BA"/>
    <w:rsid w:val="038F3185"/>
    <w:rsid w:val="03B93AD4"/>
    <w:rsid w:val="03C40443"/>
    <w:rsid w:val="03C60403"/>
    <w:rsid w:val="03CC0729"/>
    <w:rsid w:val="03D43866"/>
    <w:rsid w:val="03D578D0"/>
    <w:rsid w:val="03DF0783"/>
    <w:rsid w:val="03E00297"/>
    <w:rsid w:val="03E04700"/>
    <w:rsid w:val="03E14559"/>
    <w:rsid w:val="03E40DFB"/>
    <w:rsid w:val="03FB0292"/>
    <w:rsid w:val="040E318F"/>
    <w:rsid w:val="04141C50"/>
    <w:rsid w:val="041D0F4C"/>
    <w:rsid w:val="042206CE"/>
    <w:rsid w:val="042370C1"/>
    <w:rsid w:val="042F0BA3"/>
    <w:rsid w:val="0447536D"/>
    <w:rsid w:val="044E6FDF"/>
    <w:rsid w:val="04516CD7"/>
    <w:rsid w:val="04651069"/>
    <w:rsid w:val="046C233B"/>
    <w:rsid w:val="047415D1"/>
    <w:rsid w:val="0474493D"/>
    <w:rsid w:val="049B342A"/>
    <w:rsid w:val="04A8157D"/>
    <w:rsid w:val="04AE2086"/>
    <w:rsid w:val="04E74EBC"/>
    <w:rsid w:val="04E84CFD"/>
    <w:rsid w:val="04EB0656"/>
    <w:rsid w:val="04F954B6"/>
    <w:rsid w:val="052A4DBC"/>
    <w:rsid w:val="054026E1"/>
    <w:rsid w:val="05462E71"/>
    <w:rsid w:val="055B2E03"/>
    <w:rsid w:val="056713D4"/>
    <w:rsid w:val="05741041"/>
    <w:rsid w:val="05A6172B"/>
    <w:rsid w:val="05B4693F"/>
    <w:rsid w:val="05D06495"/>
    <w:rsid w:val="05DE42CA"/>
    <w:rsid w:val="05F04076"/>
    <w:rsid w:val="05F54255"/>
    <w:rsid w:val="05FF3919"/>
    <w:rsid w:val="060E6B21"/>
    <w:rsid w:val="06242960"/>
    <w:rsid w:val="062B6FAB"/>
    <w:rsid w:val="062C5C7E"/>
    <w:rsid w:val="064E08F7"/>
    <w:rsid w:val="065C5B92"/>
    <w:rsid w:val="067D3B82"/>
    <w:rsid w:val="067F3546"/>
    <w:rsid w:val="06863F1E"/>
    <w:rsid w:val="06A40DB6"/>
    <w:rsid w:val="06A75A55"/>
    <w:rsid w:val="06B77CEB"/>
    <w:rsid w:val="06CE08EF"/>
    <w:rsid w:val="06CF12A2"/>
    <w:rsid w:val="06D87C11"/>
    <w:rsid w:val="06DB7DD2"/>
    <w:rsid w:val="06E92433"/>
    <w:rsid w:val="071A0F10"/>
    <w:rsid w:val="07292611"/>
    <w:rsid w:val="074F2A12"/>
    <w:rsid w:val="0751249A"/>
    <w:rsid w:val="07592E32"/>
    <w:rsid w:val="075F4A26"/>
    <w:rsid w:val="07830D07"/>
    <w:rsid w:val="078A52B8"/>
    <w:rsid w:val="07BF0C42"/>
    <w:rsid w:val="07C96FB3"/>
    <w:rsid w:val="07CC093E"/>
    <w:rsid w:val="07D12376"/>
    <w:rsid w:val="07DD71DF"/>
    <w:rsid w:val="07DF6C10"/>
    <w:rsid w:val="07E1567E"/>
    <w:rsid w:val="081C226B"/>
    <w:rsid w:val="083F0B28"/>
    <w:rsid w:val="084575FF"/>
    <w:rsid w:val="084F74BA"/>
    <w:rsid w:val="08517B91"/>
    <w:rsid w:val="08571AAF"/>
    <w:rsid w:val="086240D9"/>
    <w:rsid w:val="086D0B69"/>
    <w:rsid w:val="087573DC"/>
    <w:rsid w:val="08A37484"/>
    <w:rsid w:val="08A7325D"/>
    <w:rsid w:val="08B4664A"/>
    <w:rsid w:val="08B54C9C"/>
    <w:rsid w:val="08BB2B70"/>
    <w:rsid w:val="08CE5A4D"/>
    <w:rsid w:val="08F543F5"/>
    <w:rsid w:val="08F65F66"/>
    <w:rsid w:val="08FA19DB"/>
    <w:rsid w:val="09013FCD"/>
    <w:rsid w:val="091B27D4"/>
    <w:rsid w:val="093576CE"/>
    <w:rsid w:val="09493F1D"/>
    <w:rsid w:val="09555279"/>
    <w:rsid w:val="096255DE"/>
    <w:rsid w:val="0969683B"/>
    <w:rsid w:val="097E1A23"/>
    <w:rsid w:val="097E6690"/>
    <w:rsid w:val="09826F7E"/>
    <w:rsid w:val="098828E0"/>
    <w:rsid w:val="0995452F"/>
    <w:rsid w:val="099929C1"/>
    <w:rsid w:val="09B237EF"/>
    <w:rsid w:val="09E456C9"/>
    <w:rsid w:val="09ED3186"/>
    <w:rsid w:val="09F322CF"/>
    <w:rsid w:val="0A093153"/>
    <w:rsid w:val="0A175A78"/>
    <w:rsid w:val="0A1B532E"/>
    <w:rsid w:val="0A300ECB"/>
    <w:rsid w:val="0A564D21"/>
    <w:rsid w:val="0A8205CE"/>
    <w:rsid w:val="0A887167"/>
    <w:rsid w:val="0A8A5CCB"/>
    <w:rsid w:val="0A8D2CEB"/>
    <w:rsid w:val="0AE76271"/>
    <w:rsid w:val="0AF018F3"/>
    <w:rsid w:val="0AF10D21"/>
    <w:rsid w:val="0B1149B0"/>
    <w:rsid w:val="0B203064"/>
    <w:rsid w:val="0B243D1B"/>
    <w:rsid w:val="0B3074A6"/>
    <w:rsid w:val="0B545489"/>
    <w:rsid w:val="0B5967AA"/>
    <w:rsid w:val="0B684EC2"/>
    <w:rsid w:val="0B8B39B5"/>
    <w:rsid w:val="0BA16A94"/>
    <w:rsid w:val="0BB60077"/>
    <w:rsid w:val="0BC50A9D"/>
    <w:rsid w:val="0BCC57BF"/>
    <w:rsid w:val="0BD61229"/>
    <w:rsid w:val="0BDD473E"/>
    <w:rsid w:val="0BE02579"/>
    <w:rsid w:val="0BE73FB0"/>
    <w:rsid w:val="0BEE6EB0"/>
    <w:rsid w:val="0BF004B2"/>
    <w:rsid w:val="0BF949AF"/>
    <w:rsid w:val="0BFE10B8"/>
    <w:rsid w:val="0C0429E2"/>
    <w:rsid w:val="0C062AD9"/>
    <w:rsid w:val="0C1700AD"/>
    <w:rsid w:val="0C2067BD"/>
    <w:rsid w:val="0C317EAD"/>
    <w:rsid w:val="0C342C27"/>
    <w:rsid w:val="0C3967F6"/>
    <w:rsid w:val="0C401BCD"/>
    <w:rsid w:val="0C483381"/>
    <w:rsid w:val="0C564D64"/>
    <w:rsid w:val="0C5D168B"/>
    <w:rsid w:val="0C605C8C"/>
    <w:rsid w:val="0C871CCA"/>
    <w:rsid w:val="0C9914DC"/>
    <w:rsid w:val="0CA92A55"/>
    <w:rsid w:val="0CAD2DAF"/>
    <w:rsid w:val="0CB35245"/>
    <w:rsid w:val="0CB63034"/>
    <w:rsid w:val="0CCD70E8"/>
    <w:rsid w:val="0CD84EA8"/>
    <w:rsid w:val="0CF3194F"/>
    <w:rsid w:val="0CFC1BBF"/>
    <w:rsid w:val="0D0049C1"/>
    <w:rsid w:val="0D100FF0"/>
    <w:rsid w:val="0D1C34DD"/>
    <w:rsid w:val="0D2E143E"/>
    <w:rsid w:val="0D2E163F"/>
    <w:rsid w:val="0D5B2C7B"/>
    <w:rsid w:val="0D60266A"/>
    <w:rsid w:val="0D6261EB"/>
    <w:rsid w:val="0D8E532D"/>
    <w:rsid w:val="0D996D0D"/>
    <w:rsid w:val="0DA57FA9"/>
    <w:rsid w:val="0DBA6320"/>
    <w:rsid w:val="0DC811C9"/>
    <w:rsid w:val="0DCF12B0"/>
    <w:rsid w:val="0DE42FDB"/>
    <w:rsid w:val="0DFC5E85"/>
    <w:rsid w:val="0E034B06"/>
    <w:rsid w:val="0E171561"/>
    <w:rsid w:val="0E280FA0"/>
    <w:rsid w:val="0E3B01BC"/>
    <w:rsid w:val="0E3E437F"/>
    <w:rsid w:val="0E4A6A2A"/>
    <w:rsid w:val="0E5965A4"/>
    <w:rsid w:val="0E642454"/>
    <w:rsid w:val="0E707E3D"/>
    <w:rsid w:val="0E7816B8"/>
    <w:rsid w:val="0E7B0A80"/>
    <w:rsid w:val="0E7F2C29"/>
    <w:rsid w:val="0E800D00"/>
    <w:rsid w:val="0E8568F8"/>
    <w:rsid w:val="0E921BDC"/>
    <w:rsid w:val="0E970B01"/>
    <w:rsid w:val="0E9A4E59"/>
    <w:rsid w:val="0EAC28D5"/>
    <w:rsid w:val="0EBB16E3"/>
    <w:rsid w:val="0EC91737"/>
    <w:rsid w:val="0ECA3425"/>
    <w:rsid w:val="0ECE1118"/>
    <w:rsid w:val="0ED16B2E"/>
    <w:rsid w:val="0EF22958"/>
    <w:rsid w:val="0F130F81"/>
    <w:rsid w:val="0F39010C"/>
    <w:rsid w:val="0F411A0F"/>
    <w:rsid w:val="0F492F1C"/>
    <w:rsid w:val="0F6242C9"/>
    <w:rsid w:val="0F6923DC"/>
    <w:rsid w:val="0F6E561A"/>
    <w:rsid w:val="0F750339"/>
    <w:rsid w:val="0F7E42EB"/>
    <w:rsid w:val="0F807471"/>
    <w:rsid w:val="0F8134E8"/>
    <w:rsid w:val="0F826D4C"/>
    <w:rsid w:val="0F8676F0"/>
    <w:rsid w:val="0F8C5B61"/>
    <w:rsid w:val="0F9378FC"/>
    <w:rsid w:val="0FAE4869"/>
    <w:rsid w:val="0FB26B22"/>
    <w:rsid w:val="0FC00E74"/>
    <w:rsid w:val="0FCA6D17"/>
    <w:rsid w:val="0FCF0144"/>
    <w:rsid w:val="0FD56832"/>
    <w:rsid w:val="0FE316E1"/>
    <w:rsid w:val="0FEE27C0"/>
    <w:rsid w:val="0FFC1AE2"/>
    <w:rsid w:val="0FFF1B89"/>
    <w:rsid w:val="100519AD"/>
    <w:rsid w:val="10221966"/>
    <w:rsid w:val="103F3C1F"/>
    <w:rsid w:val="10530FE3"/>
    <w:rsid w:val="10716D20"/>
    <w:rsid w:val="108C1994"/>
    <w:rsid w:val="109242A3"/>
    <w:rsid w:val="109A262B"/>
    <w:rsid w:val="10A2429D"/>
    <w:rsid w:val="10A64BCD"/>
    <w:rsid w:val="10AB64BE"/>
    <w:rsid w:val="10AF1793"/>
    <w:rsid w:val="10AF4CD4"/>
    <w:rsid w:val="10BC6D31"/>
    <w:rsid w:val="10CA5541"/>
    <w:rsid w:val="10D104ED"/>
    <w:rsid w:val="10DD3E5A"/>
    <w:rsid w:val="10EC6F82"/>
    <w:rsid w:val="10FA1D90"/>
    <w:rsid w:val="110178C9"/>
    <w:rsid w:val="11067161"/>
    <w:rsid w:val="111B63B5"/>
    <w:rsid w:val="113B1F9A"/>
    <w:rsid w:val="11413C4D"/>
    <w:rsid w:val="1152481B"/>
    <w:rsid w:val="11530EC7"/>
    <w:rsid w:val="115A5BE5"/>
    <w:rsid w:val="11656A24"/>
    <w:rsid w:val="11676652"/>
    <w:rsid w:val="116F6ED4"/>
    <w:rsid w:val="117A27D8"/>
    <w:rsid w:val="11881552"/>
    <w:rsid w:val="119F03CC"/>
    <w:rsid w:val="11A23AFD"/>
    <w:rsid w:val="11BF566D"/>
    <w:rsid w:val="11FB4832"/>
    <w:rsid w:val="120A53A6"/>
    <w:rsid w:val="122475EF"/>
    <w:rsid w:val="12287A09"/>
    <w:rsid w:val="122E7E3E"/>
    <w:rsid w:val="1234132D"/>
    <w:rsid w:val="12342B7C"/>
    <w:rsid w:val="123B6ADB"/>
    <w:rsid w:val="12443CDB"/>
    <w:rsid w:val="1245748C"/>
    <w:rsid w:val="1249072F"/>
    <w:rsid w:val="1259019E"/>
    <w:rsid w:val="1259117F"/>
    <w:rsid w:val="126D1B52"/>
    <w:rsid w:val="127647C9"/>
    <w:rsid w:val="12791B9C"/>
    <w:rsid w:val="127A2D83"/>
    <w:rsid w:val="129C415F"/>
    <w:rsid w:val="12A53CB8"/>
    <w:rsid w:val="12B01EA1"/>
    <w:rsid w:val="12B65FC4"/>
    <w:rsid w:val="12BF3816"/>
    <w:rsid w:val="12C22EB7"/>
    <w:rsid w:val="12C6705C"/>
    <w:rsid w:val="12F14C3F"/>
    <w:rsid w:val="132F411F"/>
    <w:rsid w:val="135B3796"/>
    <w:rsid w:val="13606650"/>
    <w:rsid w:val="13703D41"/>
    <w:rsid w:val="13712071"/>
    <w:rsid w:val="1388310E"/>
    <w:rsid w:val="138A3CDF"/>
    <w:rsid w:val="139A1FC7"/>
    <w:rsid w:val="13A90CA2"/>
    <w:rsid w:val="13C6128C"/>
    <w:rsid w:val="13C73347"/>
    <w:rsid w:val="13D01ED2"/>
    <w:rsid w:val="13D22A5B"/>
    <w:rsid w:val="13DA6057"/>
    <w:rsid w:val="13EE6D1D"/>
    <w:rsid w:val="141056B9"/>
    <w:rsid w:val="14134B7C"/>
    <w:rsid w:val="14314B82"/>
    <w:rsid w:val="14332A09"/>
    <w:rsid w:val="144D59D6"/>
    <w:rsid w:val="145D6D12"/>
    <w:rsid w:val="147335A2"/>
    <w:rsid w:val="14780087"/>
    <w:rsid w:val="148D4F22"/>
    <w:rsid w:val="14977CD7"/>
    <w:rsid w:val="14AE4163"/>
    <w:rsid w:val="14C771F4"/>
    <w:rsid w:val="14CD2691"/>
    <w:rsid w:val="14D11CF4"/>
    <w:rsid w:val="14DA3938"/>
    <w:rsid w:val="14E43654"/>
    <w:rsid w:val="14E500F6"/>
    <w:rsid w:val="14EC04FC"/>
    <w:rsid w:val="14FD15C9"/>
    <w:rsid w:val="1503560D"/>
    <w:rsid w:val="150F7737"/>
    <w:rsid w:val="15242DBE"/>
    <w:rsid w:val="15473574"/>
    <w:rsid w:val="154D6AFB"/>
    <w:rsid w:val="154E4D4F"/>
    <w:rsid w:val="15584EAE"/>
    <w:rsid w:val="1559124F"/>
    <w:rsid w:val="15A33E8B"/>
    <w:rsid w:val="15A9161A"/>
    <w:rsid w:val="15BB3305"/>
    <w:rsid w:val="15C260F2"/>
    <w:rsid w:val="15CD16AA"/>
    <w:rsid w:val="15D11385"/>
    <w:rsid w:val="15E573AC"/>
    <w:rsid w:val="15F76060"/>
    <w:rsid w:val="160B72EF"/>
    <w:rsid w:val="160F1CB8"/>
    <w:rsid w:val="16116360"/>
    <w:rsid w:val="161B59F3"/>
    <w:rsid w:val="162F130C"/>
    <w:rsid w:val="16376AD2"/>
    <w:rsid w:val="16821F89"/>
    <w:rsid w:val="169203A4"/>
    <w:rsid w:val="16A56372"/>
    <w:rsid w:val="16A74008"/>
    <w:rsid w:val="16AF3884"/>
    <w:rsid w:val="16B1372A"/>
    <w:rsid w:val="16C35FDD"/>
    <w:rsid w:val="16C66FF3"/>
    <w:rsid w:val="16DB13F8"/>
    <w:rsid w:val="16E0051D"/>
    <w:rsid w:val="16F4262E"/>
    <w:rsid w:val="16FE577A"/>
    <w:rsid w:val="16FF51A4"/>
    <w:rsid w:val="171A236A"/>
    <w:rsid w:val="17295C85"/>
    <w:rsid w:val="17325C25"/>
    <w:rsid w:val="17351E49"/>
    <w:rsid w:val="174F406A"/>
    <w:rsid w:val="17503C87"/>
    <w:rsid w:val="175135FB"/>
    <w:rsid w:val="17576A66"/>
    <w:rsid w:val="17585C0B"/>
    <w:rsid w:val="1770331A"/>
    <w:rsid w:val="17851CDA"/>
    <w:rsid w:val="17C010E6"/>
    <w:rsid w:val="17D2795B"/>
    <w:rsid w:val="17DC77B5"/>
    <w:rsid w:val="17E824C8"/>
    <w:rsid w:val="17F03EF7"/>
    <w:rsid w:val="17F16DE4"/>
    <w:rsid w:val="18052AB3"/>
    <w:rsid w:val="18236745"/>
    <w:rsid w:val="182473A4"/>
    <w:rsid w:val="1835464D"/>
    <w:rsid w:val="186E7E6A"/>
    <w:rsid w:val="1872576E"/>
    <w:rsid w:val="18765595"/>
    <w:rsid w:val="189B7870"/>
    <w:rsid w:val="18A454F7"/>
    <w:rsid w:val="18B72219"/>
    <w:rsid w:val="18CE102A"/>
    <w:rsid w:val="18D2218D"/>
    <w:rsid w:val="18E61AF7"/>
    <w:rsid w:val="18EA0C76"/>
    <w:rsid w:val="1920221F"/>
    <w:rsid w:val="192363A5"/>
    <w:rsid w:val="192C4173"/>
    <w:rsid w:val="1946071B"/>
    <w:rsid w:val="194E421F"/>
    <w:rsid w:val="195E3D01"/>
    <w:rsid w:val="196E0FB8"/>
    <w:rsid w:val="19704099"/>
    <w:rsid w:val="19704708"/>
    <w:rsid w:val="197F1C34"/>
    <w:rsid w:val="19937144"/>
    <w:rsid w:val="19B33FB7"/>
    <w:rsid w:val="19B92872"/>
    <w:rsid w:val="19EC7D76"/>
    <w:rsid w:val="1A0F55F3"/>
    <w:rsid w:val="1A26412C"/>
    <w:rsid w:val="1A27161E"/>
    <w:rsid w:val="1A341219"/>
    <w:rsid w:val="1A537DCB"/>
    <w:rsid w:val="1A54357A"/>
    <w:rsid w:val="1A8874A1"/>
    <w:rsid w:val="1A8D239B"/>
    <w:rsid w:val="1AA4472A"/>
    <w:rsid w:val="1AC122CB"/>
    <w:rsid w:val="1AC619CC"/>
    <w:rsid w:val="1AC81D06"/>
    <w:rsid w:val="1AC92D84"/>
    <w:rsid w:val="1AD017AE"/>
    <w:rsid w:val="1AD353C2"/>
    <w:rsid w:val="1AD42CAC"/>
    <w:rsid w:val="1AE81606"/>
    <w:rsid w:val="1AF17249"/>
    <w:rsid w:val="1AF363EC"/>
    <w:rsid w:val="1B021592"/>
    <w:rsid w:val="1B237944"/>
    <w:rsid w:val="1B2A7374"/>
    <w:rsid w:val="1B35377E"/>
    <w:rsid w:val="1B3A5C58"/>
    <w:rsid w:val="1B3D0EDD"/>
    <w:rsid w:val="1B43679D"/>
    <w:rsid w:val="1B446D5B"/>
    <w:rsid w:val="1B7536B1"/>
    <w:rsid w:val="1B795279"/>
    <w:rsid w:val="1B8063F3"/>
    <w:rsid w:val="1B922CB1"/>
    <w:rsid w:val="1B932278"/>
    <w:rsid w:val="1B944CE9"/>
    <w:rsid w:val="1B9A4D19"/>
    <w:rsid w:val="1BA426E5"/>
    <w:rsid w:val="1BB672B7"/>
    <w:rsid w:val="1BBE417A"/>
    <w:rsid w:val="1BC852B5"/>
    <w:rsid w:val="1C06540F"/>
    <w:rsid w:val="1C167B97"/>
    <w:rsid w:val="1C6976F0"/>
    <w:rsid w:val="1CAD58FE"/>
    <w:rsid w:val="1CB73968"/>
    <w:rsid w:val="1CCD4F60"/>
    <w:rsid w:val="1CDF09FC"/>
    <w:rsid w:val="1CE22DFC"/>
    <w:rsid w:val="1CEC77FC"/>
    <w:rsid w:val="1D1A7E73"/>
    <w:rsid w:val="1D1C5FC3"/>
    <w:rsid w:val="1D2C072E"/>
    <w:rsid w:val="1D38510A"/>
    <w:rsid w:val="1D4E496C"/>
    <w:rsid w:val="1D643EA0"/>
    <w:rsid w:val="1D6F10DF"/>
    <w:rsid w:val="1D7348BD"/>
    <w:rsid w:val="1D7F75B0"/>
    <w:rsid w:val="1D8462A1"/>
    <w:rsid w:val="1DAA15FC"/>
    <w:rsid w:val="1DB332A4"/>
    <w:rsid w:val="1DEC3ACB"/>
    <w:rsid w:val="1DF57A30"/>
    <w:rsid w:val="1DFE315C"/>
    <w:rsid w:val="1E0B2520"/>
    <w:rsid w:val="1E10034E"/>
    <w:rsid w:val="1E271829"/>
    <w:rsid w:val="1E2C1DA3"/>
    <w:rsid w:val="1E3250C7"/>
    <w:rsid w:val="1E5828D6"/>
    <w:rsid w:val="1E6C44B1"/>
    <w:rsid w:val="1E7D187C"/>
    <w:rsid w:val="1E7D67D7"/>
    <w:rsid w:val="1E7E4C12"/>
    <w:rsid w:val="1E8E3FDB"/>
    <w:rsid w:val="1EA768DD"/>
    <w:rsid w:val="1EB53087"/>
    <w:rsid w:val="1EBB562E"/>
    <w:rsid w:val="1EC7544D"/>
    <w:rsid w:val="1EC85489"/>
    <w:rsid w:val="1EC85895"/>
    <w:rsid w:val="1ED504F8"/>
    <w:rsid w:val="1EDF2D53"/>
    <w:rsid w:val="1EEE368A"/>
    <w:rsid w:val="1EFE32A1"/>
    <w:rsid w:val="1EFE4206"/>
    <w:rsid w:val="1F0F1246"/>
    <w:rsid w:val="1F124668"/>
    <w:rsid w:val="1F5355F5"/>
    <w:rsid w:val="1F695AE7"/>
    <w:rsid w:val="1F6B4F57"/>
    <w:rsid w:val="1F752BAF"/>
    <w:rsid w:val="1F8321F1"/>
    <w:rsid w:val="1F8A4CDE"/>
    <w:rsid w:val="1F9D516C"/>
    <w:rsid w:val="1FA201A4"/>
    <w:rsid w:val="1FA36050"/>
    <w:rsid w:val="1FBD30DE"/>
    <w:rsid w:val="1FC31CB1"/>
    <w:rsid w:val="1FC33722"/>
    <w:rsid w:val="1FE33433"/>
    <w:rsid w:val="2013220A"/>
    <w:rsid w:val="201A4E7C"/>
    <w:rsid w:val="202D61AF"/>
    <w:rsid w:val="20305AD8"/>
    <w:rsid w:val="20321DB5"/>
    <w:rsid w:val="204B3578"/>
    <w:rsid w:val="204E38B2"/>
    <w:rsid w:val="207B5574"/>
    <w:rsid w:val="20976DE0"/>
    <w:rsid w:val="209A4C63"/>
    <w:rsid w:val="20A70172"/>
    <w:rsid w:val="20A84565"/>
    <w:rsid w:val="20CD2EC6"/>
    <w:rsid w:val="210701E5"/>
    <w:rsid w:val="210B0AFA"/>
    <w:rsid w:val="21235336"/>
    <w:rsid w:val="214054F7"/>
    <w:rsid w:val="21670D01"/>
    <w:rsid w:val="217A4238"/>
    <w:rsid w:val="217B4E89"/>
    <w:rsid w:val="21810261"/>
    <w:rsid w:val="21824268"/>
    <w:rsid w:val="219D300C"/>
    <w:rsid w:val="21A373D8"/>
    <w:rsid w:val="21AC34F9"/>
    <w:rsid w:val="21B7390B"/>
    <w:rsid w:val="21BD768A"/>
    <w:rsid w:val="21C32E31"/>
    <w:rsid w:val="21C71E93"/>
    <w:rsid w:val="21C97CC2"/>
    <w:rsid w:val="21D33718"/>
    <w:rsid w:val="21EB09EA"/>
    <w:rsid w:val="21EC02FF"/>
    <w:rsid w:val="21EE228C"/>
    <w:rsid w:val="21F514E0"/>
    <w:rsid w:val="21FC54D1"/>
    <w:rsid w:val="22043CAA"/>
    <w:rsid w:val="221A11EF"/>
    <w:rsid w:val="22283100"/>
    <w:rsid w:val="222F6CF9"/>
    <w:rsid w:val="223C7833"/>
    <w:rsid w:val="223F13CE"/>
    <w:rsid w:val="224A73CA"/>
    <w:rsid w:val="2256696D"/>
    <w:rsid w:val="225A3516"/>
    <w:rsid w:val="22671092"/>
    <w:rsid w:val="227A4FA9"/>
    <w:rsid w:val="228342F9"/>
    <w:rsid w:val="229149CD"/>
    <w:rsid w:val="22A07ADA"/>
    <w:rsid w:val="22AF26D7"/>
    <w:rsid w:val="22C64712"/>
    <w:rsid w:val="22C72786"/>
    <w:rsid w:val="22D06E76"/>
    <w:rsid w:val="22D543EF"/>
    <w:rsid w:val="22FE24BB"/>
    <w:rsid w:val="2302404B"/>
    <w:rsid w:val="23135DDA"/>
    <w:rsid w:val="23157115"/>
    <w:rsid w:val="233C4520"/>
    <w:rsid w:val="23486BC6"/>
    <w:rsid w:val="234C3EAC"/>
    <w:rsid w:val="23510911"/>
    <w:rsid w:val="2355520D"/>
    <w:rsid w:val="235E2503"/>
    <w:rsid w:val="23940C0F"/>
    <w:rsid w:val="239E190C"/>
    <w:rsid w:val="23BE5E20"/>
    <w:rsid w:val="23C0771C"/>
    <w:rsid w:val="23C12035"/>
    <w:rsid w:val="23C44AB2"/>
    <w:rsid w:val="23C60596"/>
    <w:rsid w:val="23E41681"/>
    <w:rsid w:val="23E42499"/>
    <w:rsid w:val="23FA2E0C"/>
    <w:rsid w:val="23FB4DB6"/>
    <w:rsid w:val="240E695B"/>
    <w:rsid w:val="240F486A"/>
    <w:rsid w:val="2415458B"/>
    <w:rsid w:val="2434708A"/>
    <w:rsid w:val="2436672E"/>
    <w:rsid w:val="243F1B8E"/>
    <w:rsid w:val="245C3DB7"/>
    <w:rsid w:val="245E024A"/>
    <w:rsid w:val="2463288D"/>
    <w:rsid w:val="24641241"/>
    <w:rsid w:val="246D1234"/>
    <w:rsid w:val="24732F09"/>
    <w:rsid w:val="249066D4"/>
    <w:rsid w:val="249207BB"/>
    <w:rsid w:val="249B2A7C"/>
    <w:rsid w:val="24A83376"/>
    <w:rsid w:val="24BC5A30"/>
    <w:rsid w:val="24CE2A7C"/>
    <w:rsid w:val="24D63ABB"/>
    <w:rsid w:val="24E03B61"/>
    <w:rsid w:val="24E10230"/>
    <w:rsid w:val="24F431DE"/>
    <w:rsid w:val="24F62669"/>
    <w:rsid w:val="24FC7E96"/>
    <w:rsid w:val="25022251"/>
    <w:rsid w:val="25296CC8"/>
    <w:rsid w:val="253B472F"/>
    <w:rsid w:val="254042EF"/>
    <w:rsid w:val="2542291B"/>
    <w:rsid w:val="254326AB"/>
    <w:rsid w:val="25444CBD"/>
    <w:rsid w:val="255E42C0"/>
    <w:rsid w:val="256028B2"/>
    <w:rsid w:val="256742F7"/>
    <w:rsid w:val="25676AF1"/>
    <w:rsid w:val="25776299"/>
    <w:rsid w:val="25846113"/>
    <w:rsid w:val="25954003"/>
    <w:rsid w:val="259F7AE6"/>
    <w:rsid w:val="25B337B9"/>
    <w:rsid w:val="25B83208"/>
    <w:rsid w:val="25CA648E"/>
    <w:rsid w:val="25D475BC"/>
    <w:rsid w:val="25DE320E"/>
    <w:rsid w:val="25E6252D"/>
    <w:rsid w:val="25E71A8E"/>
    <w:rsid w:val="25F13E50"/>
    <w:rsid w:val="260A6570"/>
    <w:rsid w:val="260C53DD"/>
    <w:rsid w:val="26100E3A"/>
    <w:rsid w:val="261133B6"/>
    <w:rsid w:val="26161FEF"/>
    <w:rsid w:val="262C227C"/>
    <w:rsid w:val="263922BF"/>
    <w:rsid w:val="264A4563"/>
    <w:rsid w:val="26533E06"/>
    <w:rsid w:val="265908D3"/>
    <w:rsid w:val="265A462D"/>
    <w:rsid w:val="265C109B"/>
    <w:rsid w:val="26612A68"/>
    <w:rsid w:val="26630AE0"/>
    <w:rsid w:val="26774C80"/>
    <w:rsid w:val="26830B39"/>
    <w:rsid w:val="269E1EED"/>
    <w:rsid w:val="26AA390F"/>
    <w:rsid w:val="26B301AA"/>
    <w:rsid w:val="26B5711B"/>
    <w:rsid w:val="26E80C90"/>
    <w:rsid w:val="26E9063D"/>
    <w:rsid w:val="26ED178A"/>
    <w:rsid w:val="26F1188C"/>
    <w:rsid w:val="27013FA9"/>
    <w:rsid w:val="270331B5"/>
    <w:rsid w:val="270813C2"/>
    <w:rsid w:val="271747B1"/>
    <w:rsid w:val="272D53B8"/>
    <w:rsid w:val="274D10FB"/>
    <w:rsid w:val="27694B0B"/>
    <w:rsid w:val="277E4D99"/>
    <w:rsid w:val="2781194F"/>
    <w:rsid w:val="278143A6"/>
    <w:rsid w:val="27AB620F"/>
    <w:rsid w:val="27C857C2"/>
    <w:rsid w:val="280A17D4"/>
    <w:rsid w:val="28180FBC"/>
    <w:rsid w:val="28252EFA"/>
    <w:rsid w:val="289A5D46"/>
    <w:rsid w:val="289D3A7D"/>
    <w:rsid w:val="28AA0215"/>
    <w:rsid w:val="28AC3D54"/>
    <w:rsid w:val="28AE5860"/>
    <w:rsid w:val="28F0321B"/>
    <w:rsid w:val="28F3129B"/>
    <w:rsid w:val="28F8683A"/>
    <w:rsid w:val="2907735C"/>
    <w:rsid w:val="29196579"/>
    <w:rsid w:val="2928182F"/>
    <w:rsid w:val="294A7141"/>
    <w:rsid w:val="294B7065"/>
    <w:rsid w:val="295C25E7"/>
    <w:rsid w:val="297F752F"/>
    <w:rsid w:val="298526EE"/>
    <w:rsid w:val="298B6DDE"/>
    <w:rsid w:val="298C7BAE"/>
    <w:rsid w:val="29911A8A"/>
    <w:rsid w:val="29B54F9B"/>
    <w:rsid w:val="29B67D57"/>
    <w:rsid w:val="29BE3E82"/>
    <w:rsid w:val="29C5583C"/>
    <w:rsid w:val="29C57622"/>
    <w:rsid w:val="29D130A5"/>
    <w:rsid w:val="29D73FF0"/>
    <w:rsid w:val="29E07B56"/>
    <w:rsid w:val="29F16E0F"/>
    <w:rsid w:val="29F27713"/>
    <w:rsid w:val="29FB1C84"/>
    <w:rsid w:val="2A0F5D0D"/>
    <w:rsid w:val="2A122B50"/>
    <w:rsid w:val="2A2F6762"/>
    <w:rsid w:val="2A300E9D"/>
    <w:rsid w:val="2A5C3C08"/>
    <w:rsid w:val="2A6F7B33"/>
    <w:rsid w:val="2A7C0108"/>
    <w:rsid w:val="2AB31808"/>
    <w:rsid w:val="2AB54438"/>
    <w:rsid w:val="2ADF5D1C"/>
    <w:rsid w:val="2AF61EDD"/>
    <w:rsid w:val="2AF72C7A"/>
    <w:rsid w:val="2AFF0EC9"/>
    <w:rsid w:val="2B054538"/>
    <w:rsid w:val="2B2C158B"/>
    <w:rsid w:val="2B32723A"/>
    <w:rsid w:val="2B372DE1"/>
    <w:rsid w:val="2B474DE7"/>
    <w:rsid w:val="2B6D062A"/>
    <w:rsid w:val="2B6F6687"/>
    <w:rsid w:val="2B864F65"/>
    <w:rsid w:val="2B937A07"/>
    <w:rsid w:val="2B9A60A6"/>
    <w:rsid w:val="2B9B574F"/>
    <w:rsid w:val="2BC74B27"/>
    <w:rsid w:val="2BE30D3B"/>
    <w:rsid w:val="2BF249C4"/>
    <w:rsid w:val="2BFF0A4F"/>
    <w:rsid w:val="2C09534F"/>
    <w:rsid w:val="2C0F1423"/>
    <w:rsid w:val="2C1A7842"/>
    <w:rsid w:val="2C252ED6"/>
    <w:rsid w:val="2C377EAC"/>
    <w:rsid w:val="2C4A3BF6"/>
    <w:rsid w:val="2C4A7F05"/>
    <w:rsid w:val="2C4D1577"/>
    <w:rsid w:val="2C5D304B"/>
    <w:rsid w:val="2C656B02"/>
    <w:rsid w:val="2C6B57F0"/>
    <w:rsid w:val="2C7E5311"/>
    <w:rsid w:val="2C8031B0"/>
    <w:rsid w:val="2C863EA6"/>
    <w:rsid w:val="2C9F7B08"/>
    <w:rsid w:val="2CCB6D47"/>
    <w:rsid w:val="2CD16471"/>
    <w:rsid w:val="2CDB235D"/>
    <w:rsid w:val="2CE33EC8"/>
    <w:rsid w:val="2D063148"/>
    <w:rsid w:val="2D170719"/>
    <w:rsid w:val="2D3E4CEE"/>
    <w:rsid w:val="2D400CCF"/>
    <w:rsid w:val="2D430243"/>
    <w:rsid w:val="2D857CD4"/>
    <w:rsid w:val="2D8A1E3E"/>
    <w:rsid w:val="2D8B6007"/>
    <w:rsid w:val="2D9B4B64"/>
    <w:rsid w:val="2D9E2FF2"/>
    <w:rsid w:val="2DA076D4"/>
    <w:rsid w:val="2DAB722D"/>
    <w:rsid w:val="2DAE016B"/>
    <w:rsid w:val="2DAF0F8D"/>
    <w:rsid w:val="2DAF1629"/>
    <w:rsid w:val="2DB36E6A"/>
    <w:rsid w:val="2DBD227C"/>
    <w:rsid w:val="2DC364BF"/>
    <w:rsid w:val="2DC65806"/>
    <w:rsid w:val="2DC70C1C"/>
    <w:rsid w:val="2DCA578F"/>
    <w:rsid w:val="2DCE1FE5"/>
    <w:rsid w:val="2DDD654E"/>
    <w:rsid w:val="2DF97474"/>
    <w:rsid w:val="2DFE6A5F"/>
    <w:rsid w:val="2E042EE5"/>
    <w:rsid w:val="2E0A26AB"/>
    <w:rsid w:val="2E141800"/>
    <w:rsid w:val="2E80258F"/>
    <w:rsid w:val="2E8149E3"/>
    <w:rsid w:val="2E9A3E1F"/>
    <w:rsid w:val="2EB71E20"/>
    <w:rsid w:val="2EBC58CF"/>
    <w:rsid w:val="2EBD1858"/>
    <w:rsid w:val="2EE76F1D"/>
    <w:rsid w:val="2F1B61D9"/>
    <w:rsid w:val="2F234959"/>
    <w:rsid w:val="2F2B1CFD"/>
    <w:rsid w:val="2F2B5697"/>
    <w:rsid w:val="2F377822"/>
    <w:rsid w:val="2F497FC6"/>
    <w:rsid w:val="2F4A728F"/>
    <w:rsid w:val="2F561FF0"/>
    <w:rsid w:val="2F5E2B77"/>
    <w:rsid w:val="2F5E621E"/>
    <w:rsid w:val="2F6118F0"/>
    <w:rsid w:val="2F740087"/>
    <w:rsid w:val="2F8775E2"/>
    <w:rsid w:val="2F94243C"/>
    <w:rsid w:val="2F9C39F1"/>
    <w:rsid w:val="2F9E1EC3"/>
    <w:rsid w:val="2FA04009"/>
    <w:rsid w:val="2FA53E40"/>
    <w:rsid w:val="2FC4738E"/>
    <w:rsid w:val="2FC800D7"/>
    <w:rsid w:val="2FD05688"/>
    <w:rsid w:val="2FDB79D3"/>
    <w:rsid w:val="2FE01AC8"/>
    <w:rsid w:val="2FE047E6"/>
    <w:rsid w:val="30025F97"/>
    <w:rsid w:val="30027445"/>
    <w:rsid w:val="300A6548"/>
    <w:rsid w:val="301F3C74"/>
    <w:rsid w:val="30346E27"/>
    <w:rsid w:val="30570F57"/>
    <w:rsid w:val="30704487"/>
    <w:rsid w:val="307716A8"/>
    <w:rsid w:val="308A2375"/>
    <w:rsid w:val="30901837"/>
    <w:rsid w:val="3096767A"/>
    <w:rsid w:val="30A27C73"/>
    <w:rsid w:val="30A53D7C"/>
    <w:rsid w:val="30AB6FB9"/>
    <w:rsid w:val="30B56150"/>
    <w:rsid w:val="30C2571F"/>
    <w:rsid w:val="30D34CB9"/>
    <w:rsid w:val="30DC0A09"/>
    <w:rsid w:val="30E47BC2"/>
    <w:rsid w:val="310D0187"/>
    <w:rsid w:val="311271C6"/>
    <w:rsid w:val="31402788"/>
    <w:rsid w:val="314A0B53"/>
    <w:rsid w:val="315E7FCB"/>
    <w:rsid w:val="31611F20"/>
    <w:rsid w:val="316D48B5"/>
    <w:rsid w:val="31745563"/>
    <w:rsid w:val="317970E8"/>
    <w:rsid w:val="31897A9D"/>
    <w:rsid w:val="31946A23"/>
    <w:rsid w:val="319B48B5"/>
    <w:rsid w:val="319E0FEA"/>
    <w:rsid w:val="319F34BB"/>
    <w:rsid w:val="31B044C6"/>
    <w:rsid w:val="31C8795B"/>
    <w:rsid w:val="31D5072E"/>
    <w:rsid w:val="31E26C13"/>
    <w:rsid w:val="31E50862"/>
    <w:rsid w:val="32032F67"/>
    <w:rsid w:val="321D039F"/>
    <w:rsid w:val="322C6FD4"/>
    <w:rsid w:val="32553DD3"/>
    <w:rsid w:val="328442B4"/>
    <w:rsid w:val="3288098A"/>
    <w:rsid w:val="32895DF2"/>
    <w:rsid w:val="328C3678"/>
    <w:rsid w:val="32982A33"/>
    <w:rsid w:val="329E2005"/>
    <w:rsid w:val="32AB1E2E"/>
    <w:rsid w:val="32B24779"/>
    <w:rsid w:val="32B90926"/>
    <w:rsid w:val="32BA5629"/>
    <w:rsid w:val="32C974CE"/>
    <w:rsid w:val="32DF158B"/>
    <w:rsid w:val="32E85976"/>
    <w:rsid w:val="32ED1B13"/>
    <w:rsid w:val="32FB03EE"/>
    <w:rsid w:val="33026AFE"/>
    <w:rsid w:val="33077941"/>
    <w:rsid w:val="33195616"/>
    <w:rsid w:val="3328325C"/>
    <w:rsid w:val="333B06A3"/>
    <w:rsid w:val="333B4D9E"/>
    <w:rsid w:val="33446FC2"/>
    <w:rsid w:val="334C50AD"/>
    <w:rsid w:val="33603C79"/>
    <w:rsid w:val="33641936"/>
    <w:rsid w:val="336E12AE"/>
    <w:rsid w:val="337C53B6"/>
    <w:rsid w:val="33AE5735"/>
    <w:rsid w:val="33B46867"/>
    <w:rsid w:val="33C01A9D"/>
    <w:rsid w:val="33C16C24"/>
    <w:rsid w:val="33CE1155"/>
    <w:rsid w:val="33D34F45"/>
    <w:rsid w:val="33E665DC"/>
    <w:rsid w:val="340356AF"/>
    <w:rsid w:val="34402C12"/>
    <w:rsid w:val="3446006F"/>
    <w:rsid w:val="34555BD4"/>
    <w:rsid w:val="345C054F"/>
    <w:rsid w:val="346521D9"/>
    <w:rsid w:val="346553FC"/>
    <w:rsid w:val="346B5FBD"/>
    <w:rsid w:val="34813084"/>
    <w:rsid w:val="348D1A41"/>
    <w:rsid w:val="34A63923"/>
    <w:rsid w:val="34A649AE"/>
    <w:rsid w:val="34C62E1C"/>
    <w:rsid w:val="34D74D9B"/>
    <w:rsid w:val="34E75E58"/>
    <w:rsid w:val="34F20EA7"/>
    <w:rsid w:val="34F52F52"/>
    <w:rsid w:val="350A7EBD"/>
    <w:rsid w:val="35124FB0"/>
    <w:rsid w:val="35157AB5"/>
    <w:rsid w:val="354D3B18"/>
    <w:rsid w:val="3552131E"/>
    <w:rsid w:val="359E1A90"/>
    <w:rsid w:val="35A71143"/>
    <w:rsid w:val="35B367CC"/>
    <w:rsid w:val="35C32E1E"/>
    <w:rsid w:val="35CF566B"/>
    <w:rsid w:val="35D45268"/>
    <w:rsid w:val="35DC3E16"/>
    <w:rsid w:val="35EB0452"/>
    <w:rsid w:val="35F12B72"/>
    <w:rsid w:val="35F12CD3"/>
    <w:rsid w:val="35FD53A8"/>
    <w:rsid w:val="360F1596"/>
    <w:rsid w:val="362B1528"/>
    <w:rsid w:val="36306144"/>
    <w:rsid w:val="363411DF"/>
    <w:rsid w:val="363A02BD"/>
    <w:rsid w:val="36684322"/>
    <w:rsid w:val="367A1CD2"/>
    <w:rsid w:val="367A7F22"/>
    <w:rsid w:val="367F535D"/>
    <w:rsid w:val="36801E08"/>
    <w:rsid w:val="369C2DB3"/>
    <w:rsid w:val="369D79BB"/>
    <w:rsid w:val="36A45B94"/>
    <w:rsid w:val="36DB71E0"/>
    <w:rsid w:val="36EC0635"/>
    <w:rsid w:val="36EF23C5"/>
    <w:rsid w:val="371B1D40"/>
    <w:rsid w:val="371C058A"/>
    <w:rsid w:val="37222B3E"/>
    <w:rsid w:val="37252688"/>
    <w:rsid w:val="3755163E"/>
    <w:rsid w:val="375F54C9"/>
    <w:rsid w:val="377D0FFB"/>
    <w:rsid w:val="379561D4"/>
    <w:rsid w:val="37AA1438"/>
    <w:rsid w:val="37C62C24"/>
    <w:rsid w:val="37C70126"/>
    <w:rsid w:val="37E156C6"/>
    <w:rsid w:val="37E416E2"/>
    <w:rsid w:val="381F0A62"/>
    <w:rsid w:val="382806A9"/>
    <w:rsid w:val="383202B4"/>
    <w:rsid w:val="383F69E8"/>
    <w:rsid w:val="3848049A"/>
    <w:rsid w:val="38501454"/>
    <w:rsid w:val="38507C4A"/>
    <w:rsid w:val="38606B18"/>
    <w:rsid w:val="386C0105"/>
    <w:rsid w:val="386E49AD"/>
    <w:rsid w:val="38862EFD"/>
    <w:rsid w:val="389C1809"/>
    <w:rsid w:val="38A41EE7"/>
    <w:rsid w:val="38B325B7"/>
    <w:rsid w:val="38B67937"/>
    <w:rsid w:val="38CA4031"/>
    <w:rsid w:val="38E34EAC"/>
    <w:rsid w:val="38FE3A82"/>
    <w:rsid w:val="39112273"/>
    <w:rsid w:val="39172CB2"/>
    <w:rsid w:val="3917670A"/>
    <w:rsid w:val="391D3B60"/>
    <w:rsid w:val="39242E4B"/>
    <w:rsid w:val="39390325"/>
    <w:rsid w:val="393A446F"/>
    <w:rsid w:val="39414650"/>
    <w:rsid w:val="396677AA"/>
    <w:rsid w:val="397E3F82"/>
    <w:rsid w:val="399D77EB"/>
    <w:rsid w:val="399F29D7"/>
    <w:rsid w:val="39AA528A"/>
    <w:rsid w:val="39BE2C9A"/>
    <w:rsid w:val="39C844C3"/>
    <w:rsid w:val="39CE4598"/>
    <w:rsid w:val="39CF7E51"/>
    <w:rsid w:val="39DD628C"/>
    <w:rsid w:val="39EC6594"/>
    <w:rsid w:val="39FD41E6"/>
    <w:rsid w:val="3A0247C7"/>
    <w:rsid w:val="3A035774"/>
    <w:rsid w:val="3A213E40"/>
    <w:rsid w:val="3A2153C6"/>
    <w:rsid w:val="3A3A30AB"/>
    <w:rsid w:val="3A3D3E04"/>
    <w:rsid w:val="3A3F35F0"/>
    <w:rsid w:val="3A48671C"/>
    <w:rsid w:val="3A5404D8"/>
    <w:rsid w:val="3A5853D6"/>
    <w:rsid w:val="3A5A2D8C"/>
    <w:rsid w:val="3A602327"/>
    <w:rsid w:val="3A657124"/>
    <w:rsid w:val="3A7C4C6C"/>
    <w:rsid w:val="3A813C27"/>
    <w:rsid w:val="3A841114"/>
    <w:rsid w:val="3ABA4A9B"/>
    <w:rsid w:val="3ABD203A"/>
    <w:rsid w:val="3AC04CCF"/>
    <w:rsid w:val="3AC27C3C"/>
    <w:rsid w:val="3AD85027"/>
    <w:rsid w:val="3ADE0490"/>
    <w:rsid w:val="3AF61589"/>
    <w:rsid w:val="3B0013C1"/>
    <w:rsid w:val="3B0B1465"/>
    <w:rsid w:val="3B2C32E2"/>
    <w:rsid w:val="3B2F103B"/>
    <w:rsid w:val="3B337DA7"/>
    <w:rsid w:val="3B3E5EBA"/>
    <w:rsid w:val="3B4B4219"/>
    <w:rsid w:val="3B54517F"/>
    <w:rsid w:val="3B651318"/>
    <w:rsid w:val="3B716330"/>
    <w:rsid w:val="3B836528"/>
    <w:rsid w:val="3B917D1E"/>
    <w:rsid w:val="3B924118"/>
    <w:rsid w:val="3B9C1455"/>
    <w:rsid w:val="3BAE1B28"/>
    <w:rsid w:val="3BBE5F15"/>
    <w:rsid w:val="3BCE1383"/>
    <w:rsid w:val="3BD21BF9"/>
    <w:rsid w:val="3BE079B8"/>
    <w:rsid w:val="3BE42C8F"/>
    <w:rsid w:val="3BE6281B"/>
    <w:rsid w:val="3C141B32"/>
    <w:rsid w:val="3C273880"/>
    <w:rsid w:val="3C3446C8"/>
    <w:rsid w:val="3C3710EC"/>
    <w:rsid w:val="3C387780"/>
    <w:rsid w:val="3C3A354D"/>
    <w:rsid w:val="3C3B476E"/>
    <w:rsid w:val="3C555911"/>
    <w:rsid w:val="3C617BA5"/>
    <w:rsid w:val="3C655D68"/>
    <w:rsid w:val="3C942A29"/>
    <w:rsid w:val="3C974314"/>
    <w:rsid w:val="3CA94984"/>
    <w:rsid w:val="3CB2438E"/>
    <w:rsid w:val="3CD657A3"/>
    <w:rsid w:val="3CE20E91"/>
    <w:rsid w:val="3CE343AC"/>
    <w:rsid w:val="3CF2092D"/>
    <w:rsid w:val="3CF5099A"/>
    <w:rsid w:val="3D066E57"/>
    <w:rsid w:val="3D0B7E83"/>
    <w:rsid w:val="3D19255C"/>
    <w:rsid w:val="3D1A11F6"/>
    <w:rsid w:val="3D1B543E"/>
    <w:rsid w:val="3D34571F"/>
    <w:rsid w:val="3D357A0C"/>
    <w:rsid w:val="3D3E627A"/>
    <w:rsid w:val="3D42426B"/>
    <w:rsid w:val="3D537B3E"/>
    <w:rsid w:val="3D5F0E0E"/>
    <w:rsid w:val="3D5F4FD5"/>
    <w:rsid w:val="3D707CD0"/>
    <w:rsid w:val="3D8A6ACB"/>
    <w:rsid w:val="3D8B0DD8"/>
    <w:rsid w:val="3DAC3871"/>
    <w:rsid w:val="3DB02032"/>
    <w:rsid w:val="3DDD59D0"/>
    <w:rsid w:val="3DDE31C1"/>
    <w:rsid w:val="3DFB05A2"/>
    <w:rsid w:val="3E072867"/>
    <w:rsid w:val="3E0934F3"/>
    <w:rsid w:val="3E13757C"/>
    <w:rsid w:val="3E317183"/>
    <w:rsid w:val="3E317442"/>
    <w:rsid w:val="3E4F2E56"/>
    <w:rsid w:val="3E5C2C1E"/>
    <w:rsid w:val="3E5E6D6E"/>
    <w:rsid w:val="3E6051AC"/>
    <w:rsid w:val="3E614B34"/>
    <w:rsid w:val="3E734858"/>
    <w:rsid w:val="3E8847CC"/>
    <w:rsid w:val="3E8B096C"/>
    <w:rsid w:val="3EA374B7"/>
    <w:rsid w:val="3EB275E9"/>
    <w:rsid w:val="3EB37796"/>
    <w:rsid w:val="3EC8495A"/>
    <w:rsid w:val="3ECF425B"/>
    <w:rsid w:val="3ED045BF"/>
    <w:rsid w:val="3EE6413A"/>
    <w:rsid w:val="3EF00712"/>
    <w:rsid w:val="3EF6199D"/>
    <w:rsid w:val="3F063544"/>
    <w:rsid w:val="3F070F24"/>
    <w:rsid w:val="3F08422F"/>
    <w:rsid w:val="3F181BD1"/>
    <w:rsid w:val="3F1E7B89"/>
    <w:rsid w:val="3F243374"/>
    <w:rsid w:val="3F332E47"/>
    <w:rsid w:val="3F555689"/>
    <w:rsid w:val="3F716EE7"/>
    <w:rsid w:val="3F7223CD"/>
    <w:rsid w:val="3F7C0CC5"/>
    <w:rsid w:val="3F8027C9"/>
    <w:rsid w:val="3F830415"/>
    <w:rsid w:val="3F940AF6"/>
    <w:rsid w:val="3FA44DCE"/>
    <w:rsid w:val="3FAA52E1"/>
    <w:rsid w:val="3FBD449C"/>
    <w:rsid w:val="3FE72D4D"/>
    <w:rsid w:val="3FF326FD"/>
    <w:rsid w:val="40060EF1"/>
    <w:rsid w:val="40075EC9"/>
    <w:rsid w:val="4016488A"/>
    <w:rsid w:val="40181A6E"/>
    <w:rsid w:val="40286A5A"/>
    <w:rsid w:val="403A5B92"/>
    <w:rsid w:val="40436C58"/>
    <w:rsid w:val="404A61DD"/>
    <w:rsid w:val="406F0CFD"/>
    <w:rsid w:val="40796CCE"/>
    <w:rsid w:val="407B022F"/>
    <w:rsid w:val="407C3977"/>
    <w:rsid w:val="409502B2"/>
    <w:rsid w:val="40A27D55"/>
    <w:rsid w:val="40F85569"/>
    <w:rsid w:val="41122281"/>
    <w:rsid w:val="41240A3D"/>
    <w:rsid w:val="414B708F"/>
    <w:rsid w:val="416D739D"/>
    <w:rsid w:val="41704D6A"/>
    <w:rsid w:val="41755FB9"/>
    <w:rsid w:val="417A0CD4"/>
    <w:rsid w:val="417E313F"/>
    <w:rsid w:val="417E63F2"/>
    <w:rsid w:val="41886379"/>
    <w:rsid w:val="419A50DE"/>
    <w:rsid w:val="41AD2FBA"/>
    <w:rsid w:val="41B04307"/>
    <w:rsid w:val="41B96014"/>
    <w:rsid w:val="41C0606D"/>
    <w:rsid w:val="41FD0C22"/>
    <w:rsid w:val="421E694D"/>
    <w:rsid w:val="42475415"/>
    <w:rsid w:val="424A69B1"/>
    <w:rsid w:val="42531ABC"/>
    <w:rsid w:val="42571AF8"/>
    <w:rsid w:val="42687DF8"/>
    <w:rsid w:val="42690E87"/>
    <w:rsid w:val="426977D8"/>
    <w:rsid w:val="4279171C"/>
    <w:rsid w:val="428817AA"/>
    <w:rsid w:val="42931E81"/>
    <w:rsid w:val="429F2DB0"/>
    <w:rsid w:val="42CF2AD8"/>
    <w:rsid w:val="42CF5071"/>
    <w:rsid w:val="42D569BE"/>
    <w:rsid w:val="42D638AA"/>
    <w:rsid w:val="42DE0FD7"/>
    <w:rsid w:val="42EE0ADD"/>
    <w:rsid w:val="42FA0FF4"/>
    <w:rsid w:val="42FD0179"/>
    <w:rsid w:val="430B05B7"/>
    <w:rsid w:val="43240D22"/>
    <w:rsid w:val="432E3F58"/>
    <w:rsid w:val="433051B7"/>
    <w:rsid w:val="43330AA1"/>
    <w:rsid w:val="4333320C"/>
    <w:rsid w:val="43334B09"/>
    <w:rsid w:val="43492DFB"/>
    <w:rsid w:val="4352361E"/>
    <w:rsid w:val="437064D2"/>
    <w:rsid w:val="43825EA2"/>
    <w:rsid w:val="4383372D"/>
    <w:rsid w:val="43907D64"/>
    <w:rsid w:val="43A54452"/>
    <w:rsid w:val="43AE0A87"/>
    <w:rsid w:val="43DA750C"/>
    <w:rsid w:val="43DB2D0E"/>
    <w:rsid w:val="43E07550"/>
    <w:rsid w:val="43E25BDE"/>
    <w:rsid w:val="43E4121F"/>
    <w:rsid w:val="43FC4BC8"/>
    <w:rsid w:val="440505AB"/>
    <w:rsid w:val="440D0C33"/>
    <w:rsid w:val="440F5737"/>
    <w:rsid w:val="442775FA"/>
    <w:rsid w:val="442946AD"/>
    <w:rsid w:val="442D3A9E"/>
    <w:rsid w:val="4443534E"/>
    <w:rsid w:val="44457804"/>
    <w:rsid w:val="44627211"/>
    <w:rsid w:val="447240F3"/>
    <w:rsid w:val="447607C6"/>
    <w:rsid w:val="447C60BC"/>
    <w:rsid w:val="449A376C"/>
    <w:rsid w:val="449A5CA6"/>
    <w:rsid w:val="449D6BD6"/>
    <w:rsid w:val="44B20116"/>
    <w:rsid w:val="44C4139D"/>
    <w:rsid w:val="44C9052E"/>
    <w:rsid w:val="44CB2AAA"/>
    <w:rsid w:val="44FD71F7"/>
    <w:rsid w:val="450F5B1C"/>
    <w:rsid w:val="451B7DBA"/>
    <w:rsid w:val="452275CD"/>
    <w:rsid w:val="453B72C2"/>
    <w:rsid w:val="454F3DCA"/>
    <w:rsid w:val="455E5E34"/>
    <w:rsid w:val="457126C8"/>
    <w:rsid w:val="45801500"/>
    <w:rsid w:val="458B62A5"/>
    <w:rsid w:val="45901729"/>
    <w:rsid w:val="45F35198"/>
    <w:rsid w:val="46022CFA"/>
    <w:rsid w:val="460E3D73"/>
    <w:rsid w:val="46347C75"/>
    <w:rsid w:val="4640796B"/>
    <w:rsid w:val="46702D1F"/>
    <w:rsid w:val="467F326B"/>
    <w:rsid w:val="468E2279"/>
    <w:rsid w:val="469A6941"/>
    <w:rsid w:val="46B82431"/>
    <w:rsid w:val="46BE5678"/>
    <w:rsid w:val="46CB311E"/>
    <w:rsid w:val="46CE03F6"/>
    <w:rsid w:val="46FB2CE5"/>
    <w:rsid w:val="470F4A3B"/>
    <w:rsid w:val="471B3DAE"/>
    <w:rsid w:val="471B5028"/>
    <w:rsid w:val="47287F09"/>
    <w:rsid w:val="472A0115"/>
    <w:rsid w:val="475C69E4"/>
    <w:rsid w:val="475E274F"/>
    <w:rsid w:val="47653329"/>
    <w:rsid w:val="4778726E"/>
    <w:rsid w:val="47864570"/>
    <w:rsid w:val="478E0D81"/>
    <w:rsid w:val="479D0F91"/>
    <w:rsid w:val="47AA0484"/>
    <w:rsid w:val="47C37745"/>
    <w:rsid w:val="47D0603B"/>
    <w:rsid w:val="47D711BF"/>
    <w:rsid w:val="47F4172C"/>
    <w:rsid w:val="47F76039"/>
    <w:rsid w:val="47F87BF6"/>
    <w:rsid w:val="48124294"/>
    <w:rsid w:val="4820322F"/>
    <w:rsid w:val="4848234A"/>
    <w:rsid w:val="485724FE"/>
    <w:rsid w:val="486014CB"/>
    <w:rsid w:val="486C7D9B"/>
    <w:rsid w:val="48710EF6"/>
    <w:rsid w:val="488512C3"/>
    <w:rsid w:val="48893F1A"/>
    <w:rsid w:val="488C509A"/>
    <w:rsid w:val="489362A4"/>
    <w:rsid w:val="4895018B"/>
    <w:rsid w:val="48BC4264"/>
    <w:rsid w:val="48EC3A5A"/>
    <w:rsid w:val="48F35AA4"/>
    <w:rsid w:val="49004DDF"/>
    <w:rsid w:val="490F4494"/>
    <w:rsid w:val="49344D5B"/>
    <w:rsid w:val="493B78F8"/>
    <w:rsid w:val="49593761"/>
    <w:rsid w:val="495E1392"/>
    <w:rsid w:val="49657577"/>
    <w:rsid w:val="496747B2"/>
    <w:rsid w:val="496D3093"/>
    <w:rsid w:val="49716F9A"/>
    <w:rsid w:val="497410AB"/>
    <w:rsid w:val="497A6D81"/>
    <w:rsid w:val="498F2E44"/>
    <w:rsid w:val="49944E84"/>
    <w:rsid w:val="499C651E"/>
    <w:rsid w:val="49A163E1"/>
    <w:rsid w:val="49AD43E2"/>
    <w:rsid w:val="49B5409F"/>
    <w:rsid w:val="49CC77DE"/>
    <w:rsid w:val="49D949A2"/>
    <w:rsid w:val="4A052505"/>
    <w:rsid w:val="4A130884"/>
    <w:rsid w:val="4A1722C7"/>
    <w:rsid w:val="4A1B3BFD"/>
    <w:rsid w:val="4A3311AF"/>
    <w:rsid w:val="4A3C7B54"/>
    <w:rsid w:val="4A3E07C1"/>
    <w:rsid w:val="4A4B1E38"/>
    <w:rsid w:val="4A751E2A"/>
    <w:rsid w:val="4A881F04"/>
    <w:rsid w:val="4A9618EA"/>
    <w:rsid w:val="4A987B0E"/>
    <w:rsid w:val="4AC845A9"/>
    <w:rsid w:val="4ADD1AD8"/>
    <w:rsid w:val="4AE3172D"/>
    <w:rsid w:val="4AE719CC"/>
    <w:rsid w:val="4AF91F8E"/>
    <w:rsid w:val="4AFC3FB6"/>
    <w:rsid w:val="4B063314"/>
    <w:rsid w:val="4B07669A"/>
    <w:rsid w:val="4B177F55"/>
    <w:rsid w:val="4B1A004D"/>
    <w:rsid w:val="4B2345DD"/>
    <w:rsid w:val="4B355425"/>
    <w:rsid w:val="4B4819E3"/>
    <w:rsid w:val="4B4C4142"/>
    <w:rsid w:val="4B7F0802"/>
    <w:rsid w:val="4B87501D"/>
    <w:rsid w:val="4BA55E18"/>
    <w:rsid w:val="4BA81679"/>
    <w:rsid w:val="4BB93655"/>
    <w:rsid w:val="4BE41C6C"/>
    <w:rsid w:val="4BEE3B42"/>
    <w:rsid w:val="4BF94AD5"/>
    <w:rsid w:val="4BFB6EBD"/>
    <w:rsid w:val="4BFD06AD"/>
    <w:rsid w:val="4BFE57F6"/>
    <w:rsid w:val="4C046FC9"/>
    <w:rsid w:val="4C05550C"/>
    <w:rsid w:val="4C3325F3"/>
    <w:rsid w:val="4C44435A"/>
    <w:rsid w:val="4C4C4B2B"/>
    <w:rsid w:val="4C532B13"/>
    <w:rsid w:val="4C603ED1"/>
    <w:rsid w:val="4C677482"/>
    <w:rsid w:val="4C716DF5"/>
    <w:rsid w:val="4C730E4F"/>
    <w:rsid w:val="4C7C0394"/>
    <w:rsid w:val="4C8B417B"/>
    <w:rsid w:val="4CC715E8"/>
    <w:rsid w:val="4CC74BE3"/>
    <w:rsid w:val="4CE4331D"/>
    <w:rsid w:val="4CE87693"/>
    <w:rsid w:val="4CFF1559"/>
    <w:rsid w:val="4D000BA8"/>
    <w:rsid w:val="4D1B3A5F"/>
    <w:rsid w:val="4D234BCB"/>
    <w:rsid w:val="4D24134D"/>
    <w:rsid w:val="4D264BF6"/>
    <w:rsid w:val="4D356D57"/>
    <w:rsid w:val="4D4901B9"/>
    <w:rsid w:val="4D5A0DA0"/>
    <w:rsid w:val="4D62672A"/>
    <w:rsid w:val="4D6747DD"/>
    <w:rsid w:val="4D6779E0"/>
    <w:rsid w:val="4D8561E0"/>
    <w:rsid w:val="4D9E400B"/>
    <w:rsid w:val="4DAB2F95"/>
    <w:rsid w:val="4DB64C59"/>
    <w:rsid w:val="4DB95574"/>
    <w:rsid w:val="4DBA4057"/>
    <w:rsid w:val="4DCD0144"/>
    <w:rsid w:val="4DDC72C3"/>
    <w:rsid w:val="4DEF64E3"/>
    <w:rsid w:val="4E024087"/>
    <w:rsid w:val="4E063408"/>
    <w:rsid w:val="4E096925"/>
    <w:rsid w:val="4E2519DF"/>
    <w:rsid w:val="4E273944"/>
    <w:rsid w:val="4E3F5DC4"/>
    <w:rsid w:val="4E487506"/>
    <w:rsid w:val="4E7661B0"/>
    <w:rsid w:val="4EA25884"/>
    <w:rsid w:val="4EA773CC"/>
    <w:rsid w:val="4EA82373"/>
    <w:rsid w:val="4EB22893"/>
    <w:rsid w:val="4EB45A96"/>
    <w:rsid w:val="4EC63749"/>
    <w:rsid w:val="4ECA0FAE"/>
    <w:rsid w:val="4EE67A3E"/>
    <w:rsid w:val="4EEC7433"/>
    <w:rsid w:val="4EEF295C"/>
    <w:rsid w:val="4EF52AF7"/>
    <w:rsid w:val="4EFA0276"/>
    <w:rsid w:val="4EFB3E30"/>
    <w:rsid w:val="4F121247"/>
    <w:rsid w:val="4F1C5860"/>
    <w:rsid w:val="4F2252BA"/>
    <w:rsid w:val="4F2E4715"/>
    <w:rsid w:val="4F402711"/>
    <w:rsid w:val="4F6D3B1D"/>
    <w:rsid w:val="4F9410F4"/>
    <w:rsid w:val="4FC4182D"/>
    <w:rsid w:val="4FC65A67"/>
    <w:rsid w:val="4FCA041A"/>
    <w:rsid w:val="4FD21C3F"/>
    <w:rsid w:val="4FE83C70"/>
    <w:rsid w:val="4FE843EF"/>
    <w:rsid w:val="4FEC17C9"/>
    <w:rsid w:val="50022FE2"/>
    <w:rsid w:val="50357851"/>
    <w:rsid w:val="50487810"/>
    <w:rsid w:val="504A2BED"/>
    <w:rsid w:val="50653A94"/>
    <w:rsid w:val="5074214C"/>
    <w:rsid w:val="50A85DA9"/>
    <w:rsid w:val="50A93CFF"/>
    <w:rsid w:val="50B84B3A"/>
    <w:rsid w:val="50D672CC"/>
    <w:rsid w:val="50D73A8E"/>
    <w:rsid w:val="50E00268"/>
    <w:rsid w:val="50EA6518"/>
    <w:rsid w:val="50F420CE"/>
    <w:rsid w:val="50F73E4E"/>
    <w:rsid w:val="50FE7A4A"/>
    <w:rsid w:val="50FF1845"/>
    <w:rsid w:val="51030E3A"/>
    <w:rsid w:val="51085080"/>
    <w:rsid w:val="511653F3"/>
    <w:rsid w:val="51774EEE"/>
    <w:rsid w:val="518D60B4"/>
    <w:rsid w:val="519F5845"/>
    <w:rsid w:val="51B30749"/>
    <w:rsid w:val="51B4408D"/>
    <w:rsid w:val="51B87C82"/>
    <w:rsid w:val="51C31A3A"/>
    <w:rsid w:val="51D003E3"/>
    <w:rsid w:val="51D56341"/>
    <w:rsid w:val="51DC750C"/>
    <w:rsid w:val="51E70A0A"/>
    <w:rsid w:val="51EB1E13"/>
    <w:rsid w:val="51EE37BC"/>
    <w:rsid w:val="51F513B6"/>
    <w:rsid w:val="51FC2623"/>
    <w:rsid w:val="52074BE4"/>
    <w:rsid w:val="52231E4B"/>
    <w:rsid w:val="522401BF"/>
    <w:rsid w:val="5234072A"/>
    <w:rsid w:val="52360090"/>
    <w:rsid w:val="524736B0"/>
    <w:rsid w:val="52570BC9"/>
    <w:rsid w:val="52717134"/>
    <w:rsid w:val="52841924"/>
    <w:rsid w:val="528E6072"/>
    <w:rsid w:val="52A03CEC"/>
    <w:rsid w:val="52A942D6"/>
    <w:rsid w:val="52AC13C7"/>
    <w:rsid w:val="52DA2BF4"/>
    <w:rsid w:val="52DD1940"/>
    <w:rsid w:val="52E10D06"/>
    <w:rsid w:val="52E36BFF"/>
    <w:rsid w:val="52F0608D"/>
    <w:rsid w:val="52F16986"/>
    <w:rsid w:val="53062A64"/>
    <w:rsid w:val="530F5772"/>
    <w:rsid w:val="531138D6"/>
    <w:rsid w:val="532449F3"/>
    <w:rsid w:val="53344700"/>
    <w:rsid w:val="5340079C"/>
    <w:rsid w:val="53447011"/>
    <w:rsid w:val="534A2434"/>
    <w:rsid w:val="53502A63"/>
    <w:rsid w:val="535A3C1E"/>
    <w:rsid w:val="537F7CCC"/>
    <w:rsid w:val="53861F22"/>
    <w:rsid w:val="53980885"/>
    <w:rsid w:val="539E05ED"/>
    <w:rsid w:val="53A66C67"/>
    <w:rsid w:val="53BF4D26"/>
    <w:rsid w:val="53C56529"/>
    <w:rsid w:val="53EC485C"/>
    <w:rsid w:val="540203EA"/>
    <w:rsid w:val="540672AC"/>
    <w:rsid w:val="540C0307"/>
    <w:rsid w:val="54142635"/>
    <w:rsid w:val="541A6917"/>
    <w:rsid w:val="541F61B6"/>
    <w:rsid w:val="54226B76"/>
    <w:rsid w:val="54445D38"/>
    <w:rsid w:val="5455257F"/>
    <w:rsid w:val="54851D03"/>
    <w:rsid w:val="54891EA3"/>
    <w:rsid w:val="548C69BA"/>
    <w:rsid w:val="549D1B98"/>
    <w:rsid w:val="549F2FD7"/>
    <w:rsid w:val="54B419DE"/>
    <w:rsid w:val="54C11C57"/>
    <w:rsid w:val="54C50127"/>
    <w:rsid w:val="54DB1A26"/>
    <w:rsid w:val="55016495"/>
    <w:rsid w:val="550D1FCB"/>
    <w:rsid w:val="5523169F"/>
    <w:rsid w:val="55307509"/>
    <w:rsid w:val="55322886"/>
    <w:rsid w:val="55351D47"/>
    <w:rsid w:val="553841FE"/>
    <w:rsid w:val="55414800"/>
    <w:rsid w:val="555C201E"/>
    <w:rsid w:val="557907C7"/>
    <w:rsid w:val="55804DC6"/>
    <w:rsid w:val="558360C4"/>
    <w:rsid w:val="55977D76"/>
    <w:rsid w:val="559B60C5"/>
    <w:rsid w:val="55A74102"/>
    <w:rsid w:val="55AF3DFA"/>
    <w:rsid w:val="55C0537E"/>
    <w:rsid w:val="55C2082B"/>
    <w:rsid w:val="55C35A41"/>
    <w:rsid w:val="55E529D3"/>
    <w:rsid w:val="55E57D42"/>
    <w:rsid w:val="560039D7"/>
    <w:rsid w:val="56205141"/>
    <w:rsid w:val="563224F3"/>
    <w:rsid w:val="56350E9C"/>
    <w:rsid w:val="563869A2"/>
    <w:rsid w:val="56402119"/>
    <w:rsid w:val="564813B0"/>
    <w:rsid w:val="56572E69"/>
    <w:rsid w:val="56725DBA"/>
    <w:rsid w:val="56797717"/>
    <w:rsid w:val="568F4901"/>
    <w:rsid w:val="56AE580F"/>
    <w:rsid w:val="56CC4C50"/>
    <w:rsid w:val="56E57DA3"/>
    <w:rsid w:val="56F910C7"/>
    <w:rsid w:val="5734219F"/>
    <w:rsid w:val="57362A41"/>
    <w:rsid w:val="573A3D93"/>
    <w:rsid w:val="57535D4C"/>
    <w:rsid w:val="57670B2D"/>
    <w:rsid w:val="576F062A"/>
    <w:rsid w:val="57782FB1"/>
    <w:rsid w:val="577E0E41"/>
    <w:rsid w:val="578301AF"/>
    <w:rsid w:val="57AE2652"/>
    <w:rsid w:val="57D70CCE"/>
    <w:rsid w:val="581B725A"/>
    <w:rsid w:val="583B5A7B"/>
    <w:rsid w:val="583D7F9E"/>
    <w:rsid w:val="5844361F"/>
    <w:rsid w:val="58486672"/>
    <w:rsid w:val="58520A1F"/>
    <w:rsid w:val="585E21D9"/>
    <w:rsid w:val="589C793B"/>
    <w:rsid w:val="589D1387"/>
    <w:rsid w:val="58A0270A"/>
    <w:rsid w:val="58BC3C2D"/>
    <w:rsid w:val="58BF4E9B"/>
    <w:rsid w:val="58C734E7"/>
    <w:rsid w:val="58C755F1"/>
    <w:rsid w:val="58E24FA1"/>
    <w:rsid w:val="58E75193"/>
    <w:rsid w:val="590411BC"/>
    <w:rsid w:val="590B676B"/>
    <w:rsid w:val="591219E5"/>
    <w:rsid w:val="592E2B14"/>
    <w:rsid w:val="594554DD"/>
    <w:rsid w:val="594C50D5"/>
    <w:rsid w:val="594E2989"/>
    <w:rsid w:val="5969255E"/>
    <w:rsid w:val="59C26C7E"/>
    <w:rsid w:val="59DF42EA"/>
    <w:rsid w:val="59E9339F"/>
    <w:rsid w:val="59EC0FE9"/>
    <w:rsid w:val="59ED528A"/>
    <w:rsid w:val="59F11F41"/>
    <w:rsid w:val="59FD649F"/>
    <w:rsid w:val="59FE490F"/>
    <w:rsid w:val="5A04541F"/>
    <w:rsid w:val="5A086C49"/>
    <w:rsid w:val="5A095499"/>
    <w:rsid w:val="5A1F7605"/>
    <w:rsid w:val="5A2604AA"/>
    <w:rsid w:val="5A2B6A3A"/>
    <w:rsid w:val="5A2C046E"/>
    <w:rsid w:val="5A3624EE"/>
    <w:rsid w:val="5A3B6A39"/>
    <w:rsid w:val="5A3D111F"/>
    <w:rsid w:val="5A3F7917"/>
    <w:rsid w:val="5A483A0C"/>
    <w:rsid w:val="5A4C6692"/>
    <w:rsid w:val="5A4D2D93"/>
    <w:rsid w:val="5A552E5E"/>
    <w:rsid w:val="5A6842CB"/>
    <w:rsid w:val="5A6B5D26"/>
    <w:rsid w:val="5A6D6A09"/>
    <w:rsid w:val="5A854A3A"/>
    <w:rsid w:val="5A8F2C30"/>
    <w:rsid w:val="5A9213D0"/>
    <w:rsid w:val="5A944C03"/>
    <w:rsid w:val="5AA25CFA"/>
    <w:rsid w:val="5AAA189B"/>
    <w:rsid w:val="5ACE3FCA"/>
    <w:rsid w:val="5B206DFB"/>
    <w:rsid w:val="5B2474D7"/>
    <w:rsid w:val="5B25637A"/>
    <w:rsid w:val="5B433808"/>
    <w:rsid w:val="5B440F55"/>
    <w:rsid w:val="5B4B141E"/>
    <w:rsid w:val="5B550115"/>
    <w:rsid w:val="5B611B64"/>
    <w:rsid w:val="5B633B7E"/>
    <w:rsid w:val="5B7552A0"/>
    <w:rsid w:val="5B861DC1"/>
    <w:rsid w:val="5B8C7E32"/>
    <w:rsid w:val="5BA76573"/>
    <w:rsid w:val="5BD03FD3"/>
    <w:rsid w:val="5BD36FA0"/>
    <w:rsid w:val="5BFB24D7"/>
    <w:rsid w:val="5BFE4F89"/>
    <w:rsid w:val="5C094FE5"/>
    <w:rsid w:val="5C184E70"/>
    <w:rsid w:val="5C1A66CD"/>
    <w:rsid w:val="5C222B56"/>
    <w:rsid w:val="5C274B04"/>
    <w:rsid w:val="5C347373"/>
    <w:rsid w:val="5C645A68"/>
    <w:rsid w:val="5C6D71F7"/>
    <w:rsid w:val="5C6E296D"/>
    <w:rsid w:val="5C725476"/>
    <w:rsid w:val="5C76306E"/>
    <w:rsid w:val="5C7C6B18"/>
    <w:rsid w:val="5C812FC1"/>
    <w:rsid w:val="5C9B3EAD"/>
    <w:rsid w:val="5CB13979"/>
    <w:rsid w:val="5CBE1120"/>
    <w:rsid w:val="5CBE1FA3"/>
    <w:rsid w:val="5CD070C9"/>
    <w:rsid w:val="5CD34DF7"/>
    <w:rsid w:val="5D020E61"/>
    <w:rsid w:val="5D09162D"/>
    <w:rsid w:val="5D113E5E"/>
    <w:rsid w:val="5D116DCC"/>
    <w:rsid w:val="5D226A7A"/>
    <w:rsid w:val="5D325519"/>
    <w:rsid w:val="5D3B58FA"/>
    <w:rsid w:val="5D414B5A"/>
    <w:rsid w:val="5D4F04E6"/>
    <w:rsid w:val="5D5538FA"/>
    <w:rsid w:val="5D620DD2"/>
    <w:rsid w:val="5D940E99"/>
    <w:rsid w:val="5D985138"/>
    <w:rsid w:val="5DC11B54"/>
    <w:rsid w:val="5DD44E2A"/>
    <w:rsid w:val="5DE655EF"/>
    <w:rsid w:val="5DE939B5"/>
    <w:rsid w:val="5DEC504B"/>
    <w:rsid w:val="5DFF128A"/>
    <w:rsid w:val="5E041DB4"/>
    <w:rsid w:val="5E107EC2"/>
    <w:rsid w:val="5E163EF5"/>
    <w:rsid w:val="5E1F1982"/>
    <w:rsid w:val="5E447215"/>
    <w:rsid w:val="5E49617F"/>
    <w:rsid w:val="5E526ED8"/>
    <w:rsid w:val="5E58232B"/>
    <w:rsid w:val="5E812B98"/>
    <w:rsid w:val="5E841E41"/>
    <w:rsid w:val="5E8E2834"/>
    <w:rsid w:val="5EA423DD"/>
    <w:rsid w:val="5EB94356"/>
    <w:rsid w:val="5EBB1011"/>
    <w:rsid w:val="5EC65D58"/>
    <w:rsid w:val="5ECE1003"/>
    <w:rsid w:val="5EEB3CEB"/>
    <w:rsid w:val="5EED327A"/>
    <w:rsid w:val="5EFF29B0"/>
    <w:rsid w:val="5F014593"/>
    <w:rsid w:val="5F086908"/>
    <w:rsid w:val="5F166BAD"/>
    <w:rsid w:val="5F2C622C"/>
    <w:rsid w:val="5F374E7B"/>
    <w:rsid w:val="5F42233C"/>
    <w:rsid w:val="5F561CA7"/>
    <w:rsid w:val="5F6D68C0"/>
    <w:rsid w:val="5F6E1B85"/>
    <w:rsid w:val="5FAC18F3"/>
    <w:rsid w:val="5FB96E59"/>
    <w:rsid w:val="5FCE0756"/>
    <w:rsid w:val="5FD336D4"/>
    <w:rsid w:val="5FD738BB"/>
    <w:rsid w:val="5FF212AF"/>
    <w:rsid w:val="600E57E4"/>
    <w:rsid w:val="601C7620"/>
    <w:rsid w:val="60384966"/>
    <w:rsid w:val="603B5378"/>
    <w:rsid w:val="60426265"/>
    <w:rsid w:val="6094729B"/>
    <w:rsid w:val="60A011F3"/>
    <w:rsid w:val="60A04658"/>
    <w:rsid w:val="60B021B0"/>
    <w:rsid w:val="60B22BBC"/>
    <w:rsid w:val="60B4560E"/>
    <w:rsid w:val="60DC1312"/>
    <w:rsid w:val="60EC3D4E"/>
    <w:rsid w:val="611501F7"/>
    <w:rsid w:val="611B0DA0"/>
    <w:rsid w:val="611B3126"/>
    <w:rsid w:val="611C7A8F"/>
    <w:rsid w:val="614B27CC"/>
    <w:rsid w:val="614D65AB"/>
    <w:rsid w:val="61697D3D"/>
    <w:rsid w:val="61837602"/>
    <w:rsid w:val="61AB7F2E"/>
    <w:rsid w:val="61B57B23"/>
    <w:rsid w:val="61CD0A73"/>
    <w:rsid w:val="61E32136"/>
    <w:rsid w:val="61E371D2"/>
    <w:rsid w:val="61E7073C"/>
    <w:rsid w:val="620E42E6"/>
    <w:rsid w:val="62446039"/>
    <w:rsid w:val="627A7338"/>
    <w:rsid w:val="628A50D8"/>
    <w:rsid w:val="62A22ECB"/>
    <w:rsid w:val="62B272AD"/>
    <w:rsid w:val="62B362FE"/>
    <w:rsid w:val="62B7574E"/>
    <w:rsid w:val="62B759BB"/>
    <w:rsid w:val="62B918BE"/>
    <w:rsid w:val="62C024E0"/>
    <w:rsid w:val="62D60049"/>
    <w:rsid w:val="63072FA9"/>
    <w:rsid w:val="632E5144"/>
    <w:rsid w:val="63506E20"/>
    <w:rsid w:val="63865456"/>
    <w:rsid w:val="63AD7746"/>
    <w:rsid w:val="63BA21AB"/>
    <w:rsid w:val="63BB3AA2"/>
    <w:rsid w:val="63C32EFD"/>
    <w:rsid w:val="63C84097"/>
    <w:rsid w:val="63ED17E8"/>
    <w:rsid w:val="64055E5A"/>
    <w:rsid w:val="64353F4F"/>
    <w:rsid w:val="64357412"/>
    <w:rsid w:val="644676F3"/>
    <w:rsid w:val="645023D7"/>
    <w:rsid w:val="64523385"/>
    <w:rsid w:val="64700EF9"/>
    <w:rsid w:val="649A6205"/>
    <w:rsid w:val="64AB2DFD"/>
    <w:rsid w:val="64AE1C50"/>
    <w:rsid w:val="64B80042"/>
    <w:rsid w:val="64DB11B5"/>
    <w:rsid w:val="64FB0ACD"/>
    <w:rsid w:val="64FB48D5"/>
    <w:rsid w:val="65022630"/>
    <w:rsid w:val="65026341"/>
    <w:rsid w:val="65045496"/>
    <w:rsid w:val="65053261"/>
    <w:rsid w:val="65065D03"/>
    <w:rsid w:val="65155F23"/>
    <w:rsid w:val="652F7906"/>
    <w:rsid w:val="65305C50"/>
    <w:rsid w:val="65387314"/>
    <w:rsid w:val="65483B9A"/>
    <w:rsid w:val="65520570"/>
    <w:rsid w:val="65570297"/>
    <w:rsid w:val="65684D8B"/>
    <w:rsid w:val="65691067"/>
    <w:rsid w:val="658B1C77"/>
    <w:rsid w:val="658B326E"/>
    <w:rsid w:val="65964237"/>
    <w:rsid w:val="659E3DF6"/>
    <w:rsid w:val="65A749BB"/>
    <w:rsid w:val="65B15DAB"/>
    <w:rsid w:val="65BB00E5"/>
    <w:rsid w:val="65C556A5"/>
    <w:rsid w:val="65CB0F43"/>
    <w:rsid w:val="65CB2B1C"/>
    <w:rsid w:val="65E576A9"/>
    <w:rsid w:val="65F1714E"/>
    <w:rsid w:val="65F568CA"/>
    <w:rsid w:val="660B0C31"/>
    <w:rsid w:val="660C4BB8"/>
    <w:rsid w:val="662E3367"/>
    <w:rsid w:val="66417327"/>
    <w:rsid w:val="66445C9C"/>
    <w:rsid w:val="664B4380"/>
    <w:rsid w:val="66557621"/>
    <w:rsid w:val="66623023"/>
    <w:rsid w:val="66785310"/>
    <w:rsid w:val="66814BE7"/>
    <w:rsid w:val="668B02AD"/>
    <w:rsid w:val="669F0171"/>
    <w:rsid w:val="66BB3C04"/>
    <w:rsid w:val="66C53D6D"/>
    <w:rsid w:val="66C558B5"/>
    <w:rsid w:val="66C83001"/>
    <w:rsid w:val="66CE3B30"/>
    <w:rsid w:val="66E343CD"/>
    <w:rsid w:val="66E47FD9"/>
    <w:rsid w:val="66FC73EE"/>
    <w:rsid w:val="67015747"/>
    <w:rsid w:val="670D0FE5"/>
    <w:rsid w:val="670F77CA"/>
    <w:rsid w:val="672C40BD"/>
    <w:rsid w:val="673F4146"/>
    <w:rsid w:val="67516BC3"/>
    <w:rsid w:val="67556511"/>
    <w:rsid w:val="67560801"/>
    <w:rsid w:val="67595C0C"/>
    <w:rsid w:val="675E11B3"/>
    <w:rsid w:val="67623F53"/>
    <w:rsid w:val="676661A1"/>
    <w:rsid w:val="678F0E1A"/>
    <w:rsid w:val="678F1314"/>
    <w:rsid w:val="67976742"/>
    <w:rsid w:val="67B61D31"/>
    <w:rsid w:val="67B913DC"/>
    <w:rsid w:val="67BE533A"/>
    <w:rsid w:val="67BF57E5"/>
    <w:rsid w:val="67FB07A7"/>
    <w:rsid w:val="680933A9"/>
    <w:rsid w:val="68195125"/>
    <w:rsid w:val="68373C84"/>
    <w:rsid w:val="68536F55"/>
    <w:rsid w:val="685802EA"/>
    <w:rsid w:val="68886BD8"/>
    <w:rsid w:val="689D6D8E"/>
    <w:rsid w:val="68A66CD3"/>
    <w:rsid w:val="68BB76F3"/>
    <w:rsid w:val="68BC70A0"/>
    <w:rsid w:val="68CA3FBD"/>
    <w:rsid w:val="68CE675D"/>
    <w:rsid w:val="68DE3B4D"/>
    <w:rsid w:val="68DF27D4"/>
    <w:rsid w:val="68EA61E8"/>
    <w:rsid w:val="68EC23C6"/>
    <w:rsid w:val="68F42EF6"/>
    <w:rsid w:val="69194735"/>
    <w:rsid w:val="69325C1F"/>
    <w:rsid w:val="693D55C1"/>
    <w:rsid w:val="694B494A"/>
    <w:rsid w:val="69671CEC"/>
    <w:rsid w:val="696D77C6"/>
    <w:rsid w:val="69743BB2"/>
    <w:rsid w:val="69801B9F"/>
    <w:rsid w:val="69887A32"/>
    <w:rsid w:val="69B80378"/>
    <w:rsid w:val="69BC6301"/>
    <w:rsid w:val="69CA641F"/>
    <w:rsid w:val="69DA0059"/>
    <w:rsid w:val="69EA653F"/>
    <w:rsid w:val="69F21848"/>
    <w:rsid w:val="6A104E8F"/>
    <w:rsid w:val="6A206EC1"/>
    <w:rsid w:val="6A300072"/>
    <w:rsid w:val="6A4C4AA3"/>
    <w:rsid w:val="6A7742B2"/>
    <w:rsid w:val="6A795AEB"/>
    <w:rsid w:val="6A9571B4"/>
    <w:rsid w:val="6AA54BE5"/>
    <w:rsid w:val="6AA738CE"/>
    <w:rsid w:val="6ABD04D0"/>
    <w:rsid w:val="6ACD728D"/>
    <w:rsid w:val="6AD12368"/>
    <w:rsid w:val="6AF24055"/>
    <w:rsid w:val="6B166866"/>
    <w:rsid w:val="6B2A5730"/>
    <w:rsid w:val="6B2B2F83"/>
    <w:rsid w:val="6B2E3C1A"/>
    <w:rsid w:val="6B357785"/>
    <w:rsid w:val="6B3B0E2A"/>
    <w:rsid w:val="6B3E7B54"/>
    <w:rsid w:val="6B5A5441"/>
    <w:rsid w:val="6B6A632A"/>
    <w:rsid w:val="6B79587C"/>
    <w:rsid w:val="6B8A5C7B"/>
    <w:rsid w:val="6B8C4D5E"/>
    <w:rsid w:val="6B922C8B"/>
    <w:rsid w:val="6B9E5315"/>
    <w:rsid w:val="6BBA4615"/>
    <w:rsid w:val="6BBBE619"/>
    <w:rsid w:val="6BC55E25"/>
    <w:rsid w:val="6BC77B2E"/>
    <w:rsid w:val="6BEC3C4F"/>
    <w:rsid w:val="6C022A50"/>
    <w:rsid w:val="6C0C38DE"/>
    <w:rsid w:val="6C173BD0"/>
    <w:rsid w:val="6C231AD9"/>
    <w:rsid w:val="6C3C40EF"/>
    <w:rsid w:val="6C4471B6"/>
    <w:rsid w:val="6C552EC5"/>
    <w:rsid w:val="6C8D2041"/>
    <w:rsid w:val="6C904214"/>
    <w:rsid w:val="6C911FA0"/>
    <w:rsid w:val="6CA83FCB"/>
    <w:rsid w:val="6CD03C65"/>
    <w:rsid w:val="6CD10D93"/>
    <w:rsid w:val="6CD85A68"/>
    <w:rsid w:val="6CE03A27"/>
    <w:rsid w:val="6CEF5E19"/>
    <w:rsid w:val="6CF41529"/>
    <w:rsid w:val="6D0678B5"/>
    <w:rsid w:val="6D0A1E3D"/>
    <w:rsid w:val="6D0D70D9"/>
    <w:rsid w:val="6D3E5D05"/>
    <w:rsid w:val="6D4278B1"/>
    <w:rsid w:val="6D49598A"/>
    <w:rsid w:val="6D61239A"/>
    <w:rsid w:val="6D6B0293"/>
    <w:rsid w:val="6D6F616E"/>
    <w:rsid w:val="6D7D45E9"/>
    <w:rsid w:val="6D7D5D08"/>
    <w:rsid w:val="6D7F47D8"/>
    <w:rsid w:val="6D9129B0"/>
    <w:rsid w:val="6D944059"/>
    <w:rsid w:val="6D9B3C95"/>
    <w:rsid w:val="6DA04ABF"/>
    <w:rsid w:val="6DAC5A21"/>
    <w:rsid w:val="6DB846A7"/>
    <w:rsid w:val="6DD60E78"/>
    <w:rsid w:val="6DE36538"/>
    <w:rsid w:val="6DE53DE9"/>
    <w:rsid w:val="6DEA2535"/>
    <w:rsid w:val="6E061BE9"/>
    <w:rsid w:val="6E093663"/>
    <w:rsid w:val="6E1C3E98"/>
    <w:rsid w:val="6E3815C6"/>
    <w:rsid w:val="6E4306F4"/>
    <w:rsid w:val="6E5615CA"/>
    <w:rsid w:val="6E584B1B"/>
    <w:rsid w:val="6E585DF1"/>
    <w:rsid w:val="6E603005"/>
    <w:rsid w:val="6E9D1476"/>
    <w:rsid w:val="6EA03A79"/>
    <w:rsid w:val="6EC80DAB"/>
    <w:rsid w:val="6ED33348"/>
    <w:rsid w:val="6ED81707"/>
    <w:rsid w:val="6EEE0F32"/>
    <w:rsid w:val="6EFC12C3"/>
    <w:rsid w:val="6F022F3A"/>
    <w:rsid w:val="6F09346B"/>
    <w:rsid w:val="6F0B31C8"/>
    <w:rsid w:val="6F1E1245"/>
    <w:rsid w:val="6F4B7E07"/>
    <w:rsid w:val="6F680F79"/>
    <w:rsid w:val="6F7B69FF"/>
    <w:rsid w:val="6F846AAE"/>
    <w:rsid w:val="6F891FE0"/>
    <w:rsid w:val="6F9D1B15"/>
    <w:rsid w:val="6F9F4DBF"/>
    <w:rsid w:val="6FA340CB"/>
    <w:rsid w:val="6FD331D1"/>
    <w:rsid w:val="6FD91FED"/>
    <w:rsid w:val="6FDB381E"/>
    <w:rsid w:val="6FDB4DBF"/>
    <w:rsid w:val="6FE7340A"/>
    <w:rsid w:val="6FEA49F5"/>
    <w:rsid w:val="6FF77C5D"/>
    <w:rsid w:val="700302E3"/>
    <w:rsid w:val="704D384F"/>
    <w:rsid w:val="705A299A"/>
    <w:rsid w:val="705A40BF"/>
    <w:rsid w:val="705B06E7"/>
    <w:rsid w:val="706F5845"/>
    <w:rsid w:val="70730D49"/>
    <w:rsid w:val="70871040"/>
    <w:rsid w:val="7089524C"/>
    <w:rsid w:val="708A1868"/>
    <w:rsid w:val="70902D14"/>
    <w:rsid w:val="70936515"/>
    <w:rsid w:val="709D4737"/>
    <w:rsid w:val="70A3279C"/>
    <w:rsid w:val="70FA009C"/>
    <w:rsid w:val="71096B3E"/>
    <w:rsid w:val="710E1F23"/>
    <w:rsid w:val="711A5FB9"/>
    <w:rsid w:val="71422C45"/>
    <w:rsid w:val="71504F94"/>
    <w:rsid w:val="715D791F"/>
    <w:rsid w:val="715EC917"/>
    <w:rsid w:val="7165795E"/>
    <w:rsid w:val="71674D0F"/>
    <w:rsid w:val="71695399"/>
    <w:rsid w:val="71A24FF9"/>
    <w:rsid w:val="71A45F5C"/>
    <w:rsid w:val="71A97FE9"/>
    <w:rsid w:val="71C14AC0"/>
    <w:rsid w:val="71CB0D88"/>
    <w:rsid w:val="71D32DBE"/>
    <w:rsid w:val="71F3104F"/>
    <w:rsid w:val="71F450C1"/>
    <w:rsid w:val="71FB3278"/>
    <w:rsid w:val="72080356"/>
    <w:rsid w:val="721B119B"/>
    <w:rsid w:val="72317574"/>
    <w:rsid w:val="72402AFD"/>
    <w:rsid w:val="724A1629"/>
    <w:rsid w:val="725902F9"/>
    <w:rsid w:val="7259724A"/>
    <w:rsid w:val="727E416B"/>
    <w:rsid w:val="72800022"/>
    <w:rsid w:val="7289204E"/>
    <w:rsid w:val="729D4D6F"/>
    <w:rsid w:val="72B614AD"/>
    <w:rsid w:val="72C70A30"/>
    <w:rsid w:val="72C834D8"/>
    <w:rsid w:val="72CB5170"/>
    <w:rsid w:val="72CF2DEF"/>
    <w:rsid w:val="72D448FE"/>
    <w:rsid w:val="72D73F07"/>
    <w:rsid w:val="72D8600E"/>
    <w:rsid w:val="72DE338E"/>
    <w:rsid w:val="72F11655"/>
    <w:rsid w:val="731513AA"/>
    <w:rsid w:val="731C156C"/>
    <w:rsid w:val="733C214D"/>
    <w:rsid w:val="735137C9"/>
    <w:rsid w:val="73673C15"/>
    <w:rsid w:val="73755305"/>
    <w:rsid w:val="73833C2B"/>
    <w:rsid w:val="73A207D4"/>
    <w:rsid w:val="73A57D0F"/>
    <w:rsid w:val="73D23792"/>
    <w:rsid w:val="73D75EBF"/>
    <w:rsid w:val="73F14EBA"/>
    <w:rsid w:val="73F82ACE"/>
    <w:rsid w:val="7403488B"/>
    <w:rsid w:val="74171767"/>
    <w:rsid w:val="74221429"/>
    <w:rsid w:val="742246F3"/>
    <w:rsid w:val="742608BD"/>
    <w:rsid w:val="74504B47"/>
    <w:rsid w:val="74530FA6"/>
    <w:rsid w:val="747A2D4E"/>
    <w:rsid w:val="747F576D"/>
    <w:rsid w:val="74816D4F"/>
    <w:rsid w:val="749A11E9"/>
    <w:rsid w:val="74A06933"/>
    <w:rsid w:val="74B30DE9"/>
    <w:rsid w:val="74CA3413"/>
    <w:rsid w:val="74CD148B"/>
    <w:rsid w:val="74ED3722"/>
    <w:rsid w:val="74EE74BE"/>
    <w:rsid w:val="74EF5CD3"/>
    <w:rsid w:val="74F208A5"/>
    <w:rsid w:val="74F42052"/>
    <w:rsid w:val="74FD18A4"/>
    <w:rsid w:val="74FF1912"/>
    <w:rsid w:val="75087534"/>
    <w:rsid w:val="750E1E18"/>
    <w:rsid w:val="75157CB4"/>
    <w:rsid w:val="751937E4"/>
    <w:rsid w:val="7525186E"/>
    <w:rsid w:val="754A6EFF"/>
    <w:rsid w:val="75556162"/>
    <w:rsid w:val="755B3CCC"/>
    <w:rsid w:val="758C74B5"/>
    <w:rsid w:val="758D40E1"/>
    <w:rsid w:val="759347B4"/>
    <w:rsid w:val="75976FF8"/>
    <w:rsid w:val="75B65541"/>
    <w:rsid w:val="75BB6A7A"/>
    <w:rsid w:val="75C76C84"/>
    <w:rsid w:val="75CE700D"/>
    <w:rsid w:val="75E550AE"/>
    <w:rsid w:val="75F35B84"/>
    <w:rsid w:val="75F459E2"/>
    <w:rsid w:val="75F9130C"/>
    <w:rsid w:val="76082A83"/>
    <w:rsid w:val="761A6BA8"/>
    <w:rsid w:val="767D47E9"/>
    <w:rsid w:val="76800F24"/>
    <w:rsid w:val="7685515A"/>
    <w:rsid w:val="76961E97"/>
    <w:rsid w:val="769C468D"/>
    <w:rsid w:val="76A024D0"/>
    <w:rsid w:val="76C26EBE"/>
    <w:rsid w:val="76C80C31"/>
    <w:rsid w:val="76CC743E"/>
    <w:rsid w:val="76E455CA"/>
    <w:rsid w:val="76E53354"/>
    <w:rsid w:val="76FC3C31"/>
    <w:rsid w:val="77187C04"/>
    <w:rsid w:val="771C5B2B"/>
    <w:rsid w:val="771E4EBC"/>
    <w:rsid w:val="77207F06"/>
    <w:rsid w:val="773E4FF9"/>
    <w:rsid w:val="773E50BF"/>
    <w:rsid w:val="7745134B"/>
    <w:rsid w:val="77486BE7"/>
    <w:rsid w:val="775D1C7B"/>
    <w:rsid w:val="776329BF"/>
    <w:rsid w:val="7768140A"/>
    <w:rsid w:val="776932BA"/>
    <w:rsid w:val="777C1643"/>
    <w:rsid w:val="77894340"/>
    <w:rsid w:val="778E3D76"/>
    <w:rsid w:val="77B2047D"/>
    <w:rsid w:val="77B54FA3"/>
    <w:rsid w:val="77C5062C"/>
    <w:rsid w:val="77C80F68"/>
    <w:rsid w:val="77CB45BF"/>
    <w:rsid w:val="77CE5E7C"/>
    <w:rsid w:val="77D20E5B"/>
    <w:rsid w:val="77D937FA"/>
    <w:rsid w:val="77E1345A"/>
    <w:rsid w:val="77E52ECC"/>
    <w:rsid w:val="77ED62C0"/>
    <w:rsid w:val="77FC3763"/>
    <w:rsid w:val="780947C4"/>
    <w:rsid w:val="781D123C"/>
    <w:rsid w:val="782716E6"/>
    <w:rsid w:val="784B2E0C"/>
    <w:rsid w:val="784C5B19"/>
    <w:rsid w:val="786717A6"/>
    <w:rsid w:val="786C3B6A"/>
    <w:rsid w:val="786E04C2"/>
    <w:rsid w:val="7881156E"/>
    <w:rsid w:val="78951BEF"/>
    <w:rsid w:val="789D47A1"/>
    <w:rsid w:val="78A4318E"/>
    <w:rsid w:val="78AB6511"/>
    <w:rsid w:val="78BA2245"/>
    <w:rsid w:val="78BC78A1"/>
    <w:rsid w:val="78C10E4C"/>
    <w:rsid w:val="78DE2C58"/>
    <w:rsid w:val="78F226F3"/>
    <w:rsid w:val="78F53C30"/>
    <w:rsid w:val="79014D73"/>
    <w:rsid w:val="790D7B34"/>
    <w:rsid w:val="791326C4"/>
    <w:rsid w:val="79201C26"/>
    <w:rsid w:val="79216523"/>
    <w:rsid w:val="79234ABF"/>
    <w:rsid w:val="792FCC9D"/>
    <w:rsid w:val="794A7F71"/>
    <w:rsid w:val="794F0D25"/>
    <w:rsid w:val="795A25E5"/>
    <w:rsid w:val="79652C23"/>
    <w:rsid w:val="796C6253"/>
    <w:rsid w:val="797A5FE7"/>
    <w:rsid w:val="79822D1A"/>
    <w:rsid w:val="79893D3C"/>
    <w:rsid w:val="7990602F"/>
    <w:rsid w:val="79A15812"/>
    <w:rsid w:val="79C47B2C"/>
    <w:rsid w:val="79DD7A9F"/>
    <w:rsid w:val="79F668AC"/>
    <w:rsid w:val="79FEBF2A"/>
    <w:rsid w:val="7A031C1C"/>
    <w:rsid w:val="7A271BAF"/>
    <w:rsid w:val="7A2D3413"/>
    <w:rsid w:val="7A4B13D0"/>
    <w:rsid w:val="7A565B62"/>
    <w:rsid w:val="7A5B5CE3"/>
    <w:rsid w:val="7A6713A4"/>
    <w:rsid w:val="7A6E7B41"/>
    <w:rsid w:val="7A7766CF"/>
    <w:rsid w:val="7A82788F"/>
    <w:rsid w:val="7A896BA5"/>
    <w:rsid w:val="7A967E6C"/>
    <w:rsid w:val="7AA45B22"/>
    <w:rsid w:val="7AA908B0"/>
    <w:rsid w:val="7AA92C88"/>
    <w:rsid w:val="7AE714AE"/>
    <w:rsid w:val="7AEE6ADC"/>
    <w:rsid w:val="7AFD06AD"/>
    <w:rsid w:val="7AFE6CFA"/>
    <w:rsid w:val="7B044AC5"/>
    <w:rsid w:val="7B077B89"/>
    <w:rsid w:val="7B1A10E1"/>
    <w:rsid w:val="7B221E76"/>
    <w:rsid w:val="7B227F88"/>
    <w:rsid w:val="7B4E2400"/>
    <w:rsid w:val="7B514233"/>
    <w:rsid w:val="7B66232F"/>
    <w:rsid w:val="7B6A65A2"/>
    <w:rsid w:val="7B713EDE"/>
    <w:rsid w:val="7B855C39"/>
    <w:rsid w:val="7B9826D9"/>
    <w:rsid w:val="7B9E159F"/>
    <w:rsid w:val="7BAD6292"/>
    <w:rsid w:val="7BB21F49"/>
    <w:rsid w:val="7BB722F3"/>
    <w:rsid w:val="7BB94623"/>
    <w:rsid w:val="7BC530B2"/>
    <w:rsid w:val="7BCD233D"/>
    <w:rsid w:val="7BD0463F"/>
    <w:rsid w:val="7BD353F2"/>
    <w:rsid w:val="7BE13FC6"/>
    <w:rsid w:val="7BEA13C5"/>
    <w:rsid w:val="7BF45445"/>
    <w:rsid w:val="7C031078"/>
    <w:rsid w:val="7C1719EC"/>
    <w:rsid w:val="7C284033"/>
    <w:rsid w:val="7C2B1B39"/>
    <w:rsid w:val="7C515DA7"/>
    <w:rsid w:val="7C570A72"/>
    <w:rsid w:val="7C63309F"/>
    <w:rsid w:val="7C7531DC"/>
    <w:rsid w:val="7C7B3D7A"/>
    <w:rsid w:val="7C972B7C"/>
    <w:rsid w:val="7C985985"/>
    <w:rsid w:val="7C9B5E7F"/>
    <w:rsid w:val="7CAB1493"/>
    <w:rsid w:val="7CB053DC"/>
    <w:rsid w:val="7CE10539"/>
    <w:rsid w:val="7CE83942"/>
    <w:rsid w:val="7CEC6A0B"/>
    <w:rsid w:val="7CF02174"/>
    <w:rsid w:val="7CF32D2C"/>
    <w:rsid w:val="7CF46A5D"/>
    <w:rsid w:val="7D082B8B"/>
    <w:rsid w:val="7D1675BB"/>
    <w:rsid w:val="7D204D94"/>
    <w:rsid w:val="7D23779D"/>
    <w:rsid w:val="7D2F719C"/>
    <w:rsid w:val="7D433FD7"/>
    <w:rsid w:val="7D4617AE"/>
    <w:rsid w:val="7D463BCF"/>
    <w:rsid w:val="7D4D4F07"/>
    <w:rsid w:val="7D5B25B7"/>
    <w:rsid w:val="7D670F80"/>
    <w:rsid w:val="7D782414"/>
    <w:rsid w:val="7D822062"/>
    <w:rsid w:val="7D8E6323"/>
    <w:rsid w:val="7D9C7492"/>
    <w:rsid w:val="7DAE65DE"/>
    <w:rsid w:val="7DC11972"/>
    <w:rsid w:val="7DD40C17"/>
    <w:rsid w:val="7DF72358"/>
    <w:rsid w:val="7E0B425D"/>
    <w:rsid w:val="7E1E6E30"/>
    <w:rsid w:val="7E296A7C"/>
    <w:rsid w:val="7E2D051F"/>
    <w:rsid w:val="7E3765D1"/>
    <w:rsid w:val="7E3F312D"/>
    <w:rsid w:val="7E410D34"/>
    <w:rsid w:val="7E782E21"/>
    <w:rsid w:val="7E9D52A9"/>
    <w:rsid w:val="7EBF1455"/>
    <w:rsid w:val="7ED66B6E"/>
    <w:rsid w:val="7EE80DDD"/>
    <w:rsid w:val="7EE81F6D"/>
    <w:rsid w:val="7EEA29D1"/>
    <w:rsid w:val="7EF74E5B"/>
    <w:rsid w:val="7F031249"/>
    <w:rsid w:val="7F311079"/>
    <w:rsid w:val="7F3F1753"/>
    <w:rsid w:val="7F424747"/>
    <w:rsid w:val="7F6015A4"/>
    <w:rsid w:val="7F662D39"/>
    <w:rsid w:val="7F75147C"/>
    <w:rsid w:val="7F835D6F"/>
    <w:rsid w:val="7F8419B7"/>
    <w:rsid w:val="7FCE60D5"/>
    <w:rsid w:val="7FD17A04"/>
    <w:rsid w:val="7FD35AC0"/>
    <w:rsid w:val="7FDEE904"/>
    <w:rsid w:val="7FDF19A9"/>
    <w:rsid w:val="7FE30BDF"/>
    <w:rsid w:val="7FEF3E2D"/>
    <w:rsid w:val="7FFE7CEF"/>
    <w:rsid w:val="9FFFDF86"/>
    <w:rsid w:val="EFBEF2AC"/>
    <w:rsid w:val="FFAD49C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0" w:semiHidden="0"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47"/>
    <w:qFormat/>
    <w:uiPriority w:val="99"/>
    <w:pPr>
      <w:keepNext/>
      <w:keepLines/>
      <w:spacing w:before="260" w:after="260" w:line="416" w:lineRule="auto"/>
      <w:outlineLvl w:val="1"/>
    </w:pPr>
    <w:rPr>
      <w:rFonts w:ascii="Cambria" w:hAnsi="Cambria"/>
      <w:b/>
      <w:bCs/>
      <w:kern w:val="0"/>
      <w:sz w:val="32"/>
      <w:szCs w:val="32"/>
    </w:rPr>
  </w:style>
  <w:style w:type="character" w:default="1" w:styleId="31">
    <w:name w:val="Default Paragraph Font"/>
    <w:semiHidden/>
    <w:unhideWhenUsed/>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4">
    <w:name w:val="toc 7"/>
    <w:basedOn w:val="1"/>
    <w:next w:val="1"/>
    <w:semiHidden/>
    <w:qFormat/>
    <w:uiPriority w:val="99"/>
    <w:pPr>
      <w:ind w:left="2520" w:leftChars="1200"/>
    </w:pPr>
  </w:style>
  <w:style w:type="paragraph" w:styleId="5">
    <w:name w:val="Normal Indent"/>
    <w:basedOn w:val="1"/>
    <w:qFormat/>
    <w:uiPriority w:val="99"/>
    <w:pPr>
      <w:ind w:firstLine="420"/>
    </w:pPr>
    <w:rPr>
      <w:szCs w:val="20"/>
    </w:rPr>
  </w:style>
  <w:style w:type="paragraph" w:styleId="6">
    <w:name w:val="Document Map"/>
    <w:basedOn w:val="1"/>
    <w:link w:val="111"/>
    <w:qFormat/>
    <w:locked/>
    <w:uiPriority w:val="0"/>
    <w:rPr>
      <w:rFonts w:ascii="宋体"/>
      <w:sz w:val="18"/>
      <w:szCs w:val="18"/>
    </w:rPr>
  </w:style>
  <w:style w:type="paragraph" w:styleId="7">
    <w:name w:val="annotation text"/>
    <w:basedOn w:val="1"/>
    <w:link w:val="48"/>
    <w:semiHidden/>
    <w:qFormat/>
    <w:uiPriority w:val="99"/>
    <w:pPr>
      <w:jc w:val="left"/>
    </w:pPr>
    <w:rPr>
      <w:kern w:val="0"/>
      <w:sz w:val="24"/>
    </w:rPr>
  </w:style>
  <w:style w:type="paragraph" w:styleId="8">
    <w:name w:val="Body Text Indent"/>
    <w:basedOn w:val="1"/>
    <w:link w:val="49"/>
    <w:qFormat/>
    <w:uiPriority w:val="99"/>
    <w:pPr>
      <w:spacing w:line="720" w:lineRule="exact"/>
      <w:ind w:firstLine="615"/>
    </w:pPr>
    <w:rPr>
      <w:kern w:val="0"/>
      <w:sz w:val="24"/>
    </w:rPr>
  </w:style>
  <w:style w:type="paragraph" w:styleId="9">
    <w:name w:val="toc 5"/>
    <w:basedOn w:val="1"/>
    <w:next w:val="1"/>
    <w:semiHidden/>
    <w:qFormat/>
    <w:uiPriority w:val="99"/>
    <w:pPr>
      <w:ind w:left="1680" w:leftChars="800"/>
    </w:pPr>
  </w:style>
  <w:style w:type="paragraph" w:styleId="10">
    <w:name w:val="toc 3"/>
    <w:basedOn w:val="1"/>
    <w:next w:val="1"/>
    <w:qFormat/>
    <w:uiPriority w:val="99"/>
    <w:pPr>
      <w:ind w:left="840" w:leftChars="400"/>
    </w:pPr>
  </w:style>
  <w:style w:type="paragraph" w:styleId="11">
    <w:name w:val="Plain Text"/>
    <w:basedOn w:val="1"/>
    <w:link w:val="50"/>
    <w:qFormat/>
    <w:uiPriority w:val="99"/>
    <w:rPr>
      <w:rFonts w:ascii="宋体" w:hAnsi="Courier New"/>
      <w:kern w:val="0"/>
      <w:szCs w:val="21"/>
    </w:rPr>
  </w:style>
  <w:style w:type="paragraph" w:styleId="12">
    <w:name w:val="toc 8"/>
    <w:basedOn w:val="1"/>
    <w:next w:val="1"/>
    <w:semiHidden/>
    <w:qFormat/>
    <w:uiPriority w:val="99"/>
    <w:pPr>
      <w:ind w:left="2940" w:leftChars="1400"/>
    </w:pPr>
  </w:style>
  <w:style w:type="paragraph" w:styleId="13">
    <w:name w:val="Date"/>
    <w:basedOn w:val="1"/>
    <w:next w:val="1"/>
    <w:link w:val="51"/>
    <w:qFormat/>
    <w:uiPriority w:val="99"/>
    <w:pPr>
      <w:ind w:left="100" w:leftChars="2500"/>
    </w:pPr>
    <w:rPr>
      <w:kern w:val="0"/>
      <w:sz w:val="24"/>
    </w:rPr>
  </w:style>
  <w:style w:type="paragraph" w:styleId="14">
    <w:name w:val="Body Text Indent 2"/>
    <w:basedOn w:val="1"/>
    <w:link w:val="52"/>
    <w:qFormat/>
    <w:uiPriority w:val="99"/>
    <w:pPr>
      <w:spacing w:line="720" w:lineRule="exact"/>
      <w:ind w:left="2" w:firstLine="630" w:firstLineChars="175"/>
      <w:jc w:val="left"/>
    </w:pPr>
    <w:rPr>
      <w:kern w:val="0"/>
      <w:sz w:val="24"/>
    </w:rPr>
  </w:style>
  <w:style w:type="paragraph" w:styleId="15">
    <w:name w:val="endnote text"/>
    <w:basedOn w:val="1"/>
    <w:link w:val="53"/>
    <w:semiHidden/>
    <w:qFormat/>
    <w:uiPriority w:val="99"/>
    <w:pPr>
      <w:snapToGrid w:val="0"/>
      <w:jc w:val="left"/>
    </w:pPr>
    <w:rPr>
      <w:kern w:val="0"/>
      <w:sz w:val="24"/>
    </w:rPr>
  </w:style>
  <w:style w:type="paragraph" w:styleId="16">
    <w:name w:val="Balloon Text"/>
    <w:basedOn w:val="1"/>
    <w:link w:val="54"/>
    <w:semiHidden/>
    <w:qFormat/>
    <w:uiPriority w:val="99"/>
    <w:rPr>
      <w:kern w:val="0"/>
      <w:sz w:val="2"/>
      <w:szCs w:val="20"/>
    </w:rPr>
  </w:style>
  <w:style w:type="paragraph" w:styleId="17">
    <w:name w:val="footer"/>
    <w:basedOn w:val="1"/>
    <w:link w:val="55"/>
    <w:qFormat/>
    <w:uiPriority w:val="99"/>
    <w:pPr>
      <w:tabs>
        <w:tab w:val="center" w:pos="4153"/>
        <w:tab w:val="right" w:pos="8306"/>
      </w:tabs>
      <w:snapToGrid w:val="0"/>
      <w:jc w:val="left"/>
    </w:pPr>
    <w:rPr>
      <w:kern w:val="0"/>
      <w:sz w:val="18"/>
      <w:szCs w:val="18"/>
    </w:rPr>
  </w:style>
  <w:style w:type="paragraph" w:styleId="18">
    <w:name w:val="header"/>
    <w:basedOn w:val="1"/>
    <w:link w:val="56"/>
    <w:qFormat/>
    <w:uiPriority w:val="99"/>
    <w:pPr>
      <w:pBdr>
        <w:bottom w:val="single" w:color="auto" w:sz="6" w:space="1"/>
      </w:pBdr>
      <w:tabs>
        <w:tab w:val="center" w:pos="4153"/>
        <w:tab w:val="right" w:pos="8306"/>
      </w:tabs>
      <w:snapToGrid w:val="0"/>
      <w:jc w:val="center"/>
    </w:pPr>
    <w:rPr>
      <w:kern w:val="0"/>
      <w:sz w:val="18"/>
      <w:szCs w:val="18"/>
    </w:rPr>
  </w:style>
  <w:style w:type="paragraph" w:styleId="19">
    <w:name w:val="toc 1"/>
    <w:basedOn w:val="1"/>
    <w:next w:val="1"/>
    <w:qFormat/>
    <w:uiPriority w:val="99"/>
  </w:style>
  <w:style w:type="paragraph" w:styleId="20">
    <w:name w:val="toc 4"/>
    <w:basedOn w:val="1"/>
    <w:next w:val="1"/>
    <w:semiHidden/>
    <w:qFormat/>
    <w:uiPriority w:val="99"/>
    <w:pPr>
      <w:ind w:left="1260" w:leftChars="600"/>
    </w:pPr>
  </w:style>
  <w:style w:type="paragraph" w:styleId="21">
    <w:name w:val="footnote text"/>
    <w:basedOn w:val="1"/>
    <w:link w:val="57"/>
    <w:semiHidden/>
    <w:qFormat/>
    <w:uiPriority w:val="99"/>
    <w:pPr>
      <w:snapToGrid w:val="0"/>
      <w:jc w:val="left"/>
    </w:pPr>
    <w:rPr>
      <w:kern w:val="0"/>
      <w:sz w:val="18"/>
      <w:szCs w:val="18"/>
    </w:rPr>
  </w:style>
  <w:style w:type="paragraph" w:styleId="22">
    <w:name w:val="toc 6"/>
    <w:basedOn w:val="1"/>
    <w:next w:val="1"/>
    <w:semiHidden/>
    <w:qFormat/>
    <w:uiPriority w:val="99"/>
    <w:pPr>
      <w:ind w:left="2100" w:leftChars="1000"/>
    </w:pPr>
  </w:style>
  <w:style w:type="paragraph" w:styleId="23">
    <w:name w:val="Body Text Indent 3"/>
    <w:basedOn w:val="1"/>
    <w:link w:val="58"/>
    <w:qFormat/>
    <w:uiPriority w:val="99"/>
    <w:pPr>
      <w:spacing w:line="720" w:lineRule="exact"/>
      <w:ind w:left="178" w:leftChars="85" w:firstLine="540" w:firstLineChars="180"/>
    </w:pPr>
    <w:rPr>
      <w:rFonts w:ascii="仿宋_GB2312" w:eastAsia="Times New Roman"/>
      <w:sz w:val="24"/>
    </w:rPr>
  </w:style>
  <w:style w:type="paragraph" w:styleId="24">
    <w:name w:val="toc 2"/>
    <w:basedOn w:val="1"/>
    <w:next w:val="1"/>
    <w:qFormat/>
    <w:uiPriority w:val="99"/>
    <w:pPr>
      <w:ind w:left="420" w:leftChars="200"/>
    </w:pPr>
  </w:style>
  <w:style w:type="paragraph" w:styleId="25">
    <w:name w:val="toc 9"/>
    <w:basedOn w:val="1"/>
    <w:next w:val="1"/>
    <w:semiHidden/>
    <w:qFormat/>
    <w:uiPriority w:val="99"/>
    <w:pPr>
      <w:ind w:left="3360" w:leftChars="1600"/>
    </w:pPr>
  </w:style>
  <w:style w:type="paragraph" w:styleId="26">
    <w:name w:val="Body Text 2"/>
    <w:basedOn w:val="1"/>
    <w:link w:val="59"/>
    <w:qFormat/>
    <w:uiPriority w:val="99"/>
    <w:pPr>
      <w:spacing w:after="120" w:line="480" w:lineRule="auto"/>
    </w:pPr>
    <w:rPr>
      <w:kern w:val="0"/>
      <w:sz w:val="24"/>
    </w:rPr>
  </w:style>
  <w:style w:type="paragraph" w:styleId="27">
    <w:name w:val="Normal (Web)"/>
    <w:basedOn w:val="1"/>
    <w:qFormat/>
    <w:uiPriority w:val="99"/>
    <w:pPr>
      <w:widowControl/>
      <w:spacing w:before="100" w:beforeAutospacing="1" w:after="100" w:afterAutospacing="1" w:line="480" w:lineRule="auto"/>
      <w:ind w:firstLine="450"/>
      <w:jc w:val="left"/>
    </w:pPr>
    <w:rPr>
      <w:rFonts w:ascii="宋体" w:hAnsi="宋体"/>
      <w:kern w:val="0"/>
      <w:sz w:val="24"/>
    </w:rPr>
  </w:style>
  <w:style w:type="paragraph" w:styleId="28">
    <w:name w:val="Title"/>
    <w:basedOn w:val="1"/>
    <w:next w:val="1"/>
    <w:link w:val="60"/>
    <w:qFormat/>
    <w:uiPriority w:val="99"/>
    <w:pPr>
      <w:spacing w:before="240" w:after="60"/>
      <w:jc w:val="center"/>
      <w:outlineLvl w:val="0"/>
    </w:pPr>
    <w:rPr>
      <w:rFonts w:ascii="Cambria" w:hAnsi="Cambria"/>
      <w:b/>
      <w:bCs/>
      <w:sz w:val="32"/>
      <w:szCs w:val="32"/>
    </w:rPr>
  </w:style>
  <w:style w:type="table" w:styleId="30">
    <w:name w:val="Table Grid"/>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2">
    <w:name w:val="Strong"/>
    <w:basedOn w:val="31"/>
    <w:qFormat/>
    <w:uiPriority w:val="99"/>
    <w:rPr>
      <w:rFonts w:cs="Times New Roman"/>
      <w:b/>
    </w:rPr>
  </w:style>
  <w:style w:type="character" w:styleId="33">
    <w:name w:val="endnote reference"/>
    <w:basedOn w:val="31"/>
    <w:semiHidden/>
    <w:qFormat/>
    <w:uiPriority w:val="99"/>
    <w:rPr>
      <w:rFonts w:cs="Times New Roman"/>
      <w:vertAlign w:val="superscript"/>
    </w:rPr>
  </w:style>
  <w:style w:type="character" w:styleId="34">
    <w:name w:val="page number"/>
    <w:basedOn w:val="31"/>
    <w:qFormat/>
    <w:uiPriority w:val="99"/>
    <w:rPr>
      <w:rFonts w:cs="Times New Roman"/>
    </w:rPr>
  </w:style>
  <w:style w:type="character" w:styleId="35">
    <w:name w:val="FollowedHyperlink"/>
    <w:basedOn w:val="31"/>
    <w:qFormat/>
    <w:uiPriority w:val="99"/>
    <w:rPr>
      <w:rFonts w:cs="Times New Roman"/>
      <w:color w:val="338DE6"/>
      <w:u w:val="none"/>
    </w:rPr>
  </w:style>
  <w:style w:type="character" w:styleId="36">
    <w:name w:val="Emphasis"/>
    <w:basedOn w:val="31"/>
    <w:qFormat/>
    <w:uiPriority w:val="99"/>
    <w:rPr>
      <w:rFonts w:cs="Times New Roman"/>
    </w:rPr>
  </w:style>
  <w:style w:type="character" w:styleId="37">
    <w:name w:val="HTML Definition"/>
    <w:basedOn w:val="31"/>
    <w:qFormat/>
    <w:uiPriority w:val="99"/>
    <w:rPr>
      <w:rFonts w:cs="Times New Roman"/>
    </w:rPr>
  </w:style>
  <w:style w:type="character" w:styleId="38">
    <w:name w:val="HTML Variable"/>
    <w:basedOn w:val="31"/>
    <w:qFormat/>
    <w:uiPriority w:val="99"/>
    <w:rPr>
      <w:rFonts w:cs="Times New Roman"/>
    </w:rPr>
  </w:style>
  <w:style w:type="character" w:styleId="39">
    <w:name w:val="Hyperlink"/>
    <w:basedOn w:val="31"/>
    <w:qFormat/>
    <w:uiPriority w:val="99"/>
    <w:rPr>
      <w:rFonts w:cs="Times New Roman"/>
      <w:color w:val="338DE6"/>
      <w:u w:val="none"/>
    </w:rPr>
  </w:style>
  <w:style w:type="character" w:styleId="40">
    <w:name w:val="HTML Code"/>
    <w:basedOn w:val="31"/>
    <w:qFormat/>
    <w:uiPriority w:val="99"/>
    <w:rPr>
      <w:rFonts w:ascii="monospace" w:hAnsi="monospace" w:cs="Times New Roman"/>
      <w:sz w:val="21"/>
      <w:u w:val="single"/>
    </w:rPr>
  </w:style>
  <w:style w:type="character" w:styleId="41">
    <w:name w:val="annotation reference"/>
    <w:basedOn w:val="31"/>
    <w:semiHidden/>
    <w:qFormat/>
    <w:uiPriority w:val="99"/>
    <w:rPr>
      <w:rFonts w:cs="Times New Roman"/>
      <w:sz w:val="21"/>
    </w:rPr>
  </w:style>
  <w:style w:type="character" w:styleId="42">
    <w:name w:val="HTML Cite"/>
    <w:basedOn w:val="31"/>
    <w:qFormat/>
    <w:uiPriority w:val="99"/>
    <w:rPr>
      <w:rFonts w:cs="Times New Roman"/>
    </w:rPr>
  </w:style>
  <w:style w:type="character" w:styleId="43">
    <w:name w:val="footnote reference"/>
    <w:basedOn w:val="31"/>
    <w:semiHidden/>
    <w:qFormat/>
    <w:uiPriority w:val="99"/>
    <w:rPr>
      <w:rFonts w:cs="Times New Roman"/>
      <w:vertAlign w:val="superscript"/>
    </w:rPr>
  </w:style>
  <w:style w:type="character" w:styleId="44">
    <w:name w:val="HTML Keyboard"/>
    <w:basedOn w:val="31"/>
    <w:qFormat/>
    <w:uiPriority w:val="99"/>
    <w:rPr>
      <w:rFonts w:ascii="monospace" w:hAnsi="monospace" w:cs="Times New Roman"/>
      <w:sz w:val="21"/>
    </w:rPr>
  </w:style>
  <w:style w:type="character" w:styleId="45">
    <w:name w:val="HTML Sample"/>
    <w:basedOn w:val="31"/>
    <w:qFormat/>
    <w:uiPriority w:val="99"/>
    <w:rPr>
      <w:rFonts w:ascii="monospace" w:hAnsi="monospace" w:cs="Times New Roman"/>
      <w:sz w:val="21"/>
    </w:rPr>
  </w:style>
  <w:style w:type="character" w:customStyle="1" w:styleId="46">
    <w:name w:val="标题 1 Char"/>
    <w:basedOn w:val="31"/>
    <w:link w:val="2"/>
    <w:qFormat/>
    <w:locked/>
    <w:uiPriority w:val="99"/>
    <w:rPr>
      <w:rFonts w:cs="Times New Roman"/>
      <w:b/>
      <w:bCs/>
      <w:kern w:val="44"/>
      <w:sz w:val="44"/>
      <w:szCs w:val="44"/>
    </w:rPr>
  </w:style>
  <w:style w:type="character" w:customStyle="1" w:styleId="47">
    <w:name w:val="标题 2 Char"/>
    <w:basedOn w:val="31"/>
    <w:link w:val="3"/>
    <w:qFormat/>
    <w:locked/>
    <w:uiPriority w:val="99"/>
    <w:rPr>
      <w:rFonts w:ascii="Cambria" w:hAnsi="Cambria" w:eastAsia="宋体" w:cs="Times New Roman"/>
      <w:b/>
      <w:sz w:val="32"/>
    </w:rPr>
  </w:style>
  <w:style w:type="character" w:customStyle="1" w:styleId="48">
    <w:name w:val="批注文字 Char"/>
    <w:basedOn w:val="31"/>
    <w:link w:val="7"/>
    <w:semiHidden/>
    <w:qFormat/>
    <w:locked/>
    <w:uiPriority w:val="99"/>
    <w:rPr>
      <w:rFonts w:cs="Times New Roman"/>
      <w:sz w:val="24"/>
    </w:rPr>
  </w:style>
  <w:style w:type="character" w:customStyle="1" w:styleId="49">
    <w:name w:val="正文文本缩进 Char"/>
    <w:basedOn w:val="31"/>
    <w:link w:val="8"/>
    <w:qFormat/>
    <w:locked/>
    <w:uiPriority w:val="99"/>
    <w:rPr>
      <w:rFonts w:cs="Times New Roman"/>
      <w:sz w:val="24"/>
    </w:rPr>
  </w:style>
  <w:style w:type="character" w:customStyle="1" w:styleId="50">
    <w:name w:val="纯文本 Char"/>
    <w:basedOn w:val="31"/>
    <w:link w:val="11"/>
    <w:qFormat/>
    <w:locked/>
    <w:uiPriority w:val="99"/>
    <w:rPr>
      <w:rFonts w:ascii="宋体" w:hAnsi="Courier New" w:cs="Times New Roman"/>
      <w:sz w:val="21"/>
    </w:rPr>
  </w:style>
  <w:style w:type="character" w:customStyle="1" w:styleId="51">
    <w:name w:val="日期 Char"/>
    <w:basedOn w:val="31"/>
    <w:link w:val="13"/>
    <w:qFormat/>
    <w:locked/>
    <w:uiPriority w:val="99"/>
    <w:rPr>
      <w:rFonts w:cs="Times New Roman"/>
      <w:sz w:val="24"/>
    </w:rPr>
  </w:style>
  <w:style w:type="character" w:customStyle="1" w:styleId="52">
    <w:name w:val="正文文本缩进 2 Char"/>
    <w:basedOn w:val="31"/>
    <w:link w:val="14"/>
    <w:qFormat/>
    <w:locked/>
    <w:uiPriority w:val="99"/>
    <w:rPr>
      <w:rFonts w:cs="Times New Roman"/>
      <w:sz w:val="24"/>
    </w:rPr>
  </w:style>
  <w:style w:type="character" w:customStyle="1" w:styleId="53">
    <w:name w:val="尾注文本 Char"/>
    <w:basedOn w:val="31"/>
    <w:link w:val="15"/>
    <w:semiHidden/>
    <w:qFormat/>
    <w:locked/>
    <w:uiPriority w:val="99"/>
    <w:rPr>
      <w:rFonts w:cs="Times New Roman"/>
      <w:sz w:val="24"/>
    </w:rPr>
  </w:style>
  <w:style w:type="character" w:customStyle="1" w:styleId="54">
    <w:name w:val="批注框文本 Char"/>
    <w:basedOn w:val="31"/>
    <w:link w:val="16"/>
    <w:semiHidden/>
    <w:qFormat/>
    <w:locked/>
    <w:uiPriority w:val="99"/>
    <w:rPr>
      <w:rFonts w:cs="Times New Roman"/>
      <w:sz w:val="2"/>
    </w:rPr>
  </w:style>
  <w:style w:type="character" w:customStyle="1" w:styleId="55">
    <w:name w:val="页脚 Char"/>
    <w:basedOn w:val="31"/>
    <w:link w:val="17"/>
    <w:qFormat/>
    <w:locked/>
    <w:uiPriority w:val="99"/>
    <w:rPr>
      <w:rFonts w:cs="Times New Roman"/>
      <w:sz w:val="18"/>
    </w:rPr>
  </w:style>
  <w:style w:type="character" w:customStyle="1" w:styleId="56">
    <w:name w:val="页眉 Char"/>
    <w:basedOn w:val="31"/>
    <w:link w:val="18"/>
    <w:qFormat/>
    <w:locked/>
    <w:uiPriority w:val="99"/>
    <w:rPr>
      <w:rFonts w:cs="Times New Roman"/>
      <w:sz w:val="18"/>
    </w:rPr>
  </w:style>
  <w:style w:type="character" w:customStyle="1" w:styleId="57">
    <w:name w:val="脚注文本 Char"/>
    <w:basedOn w:val="31"/>
    <w:link w:val="21"/>
    <w:semiHidden/>
    <w:qFormat/>
    <w:locked/>
    <w:uiPriority w:val="99"/>
    <w:rPr>
      <w:rFonts w:cs="Times New Roman"/>
      <w:sz w:val="18"/>
    </w:rPr>
  </w:style>
  <w:style w:type="character" w:customStyle="1" w:styleId="58">
    <w:name w:val="正文文本缩进 3 Char"/>
    <w:basedOn w:val="31"/>
    <w:link w:val="23"/>
    <w:qFormat/>
    <w:locked/>
    <w:uiPriority w:val="99"/>
    <w:rPr>
      <w:rFonts w:ascii="仿宋_GB2312" w:eastAsia="Times New Roman" w:cs="Times New Roman"/>
      <w:kern w:val="2"/>
      <w:sz w:val="24"/>
      <w:lang w:val="en-US" w:eastAsia="zh-CN"/>
    </w:rPr>
  </w:style>
  <w:style w:type="character" w:customStyle="1" w:styleId="59">
    <w:name w:val="正文文本 2 Char"/>
    <w:basedOn w:val="31"/>
    <w:link w:val="26"/>
    <w:qFormat/>
    <w:locked/>
    <w:uiPriority w:val="99"/>
    <w:rPr>
      <w:rFonts w:cs="Times New Roman"/>
      <w:sz w:val="24"/>
    </w:rPr>
  </w:style>
  <w:style w:type="character" w:customStyle="1" w:styleId="60">
    <w:name w:val="标题 Char"/>
    <w:basedOn w:val="31"/>
    <w:link w:val="28"/>
    <w:qFormat/>
    <w:locked/>
    <w:uiPriority w:val="99"/>
    <w:rPr>
      <w:rFonts w:ascii="Cambria" w:hAnsi="Cambria" w:cs="Times New Roman"/>
      <w:b/>
      <w:kern w:val="2"/>
      <w:sz w:val="32"/>
    </w:rPr>
  </w:style>
  <w:style w:type="character" w:customStyle="1" w:styleId="61">
    <w:name w:val="nb_dis1"/>
    <w:qFormat/>
    <w:uiPriority w:val="99"/>
  </w:style>
  <w:style w:type="character" w:customStyle="1" w:styleId="62">
    <w:name w:val="headline-content2"/>
    <w:qFormat/>
    <w:uiPriority w:val="99"/>
  </w:style>
  <w:style w:type="character" w:customStyle="1" w:styleId="63">
    <w:name w:val="title21"/>
    <w:qFormat/>
    <w:uiPriority w:val="99"/>
  </w:style>
  <w:style w:type="character" w:customStyle="1" w:styleId="64">
    <w:name w:val="font21"/>
    <w:qFormat/>
    <w:uiPriority w:val="99"/>
    <w:rPr>
      <w:rFonts w:ascii="宋体" w:hAnsi="宋体" w:eastAsia="宋体"/>
      <w:color w:val="000000"/>
      <w:sz w:val="20"/>
      <w:u w:val="none"/>
    </w:rPr>
  </w:style>
  <w:style w:type="character" w:customStyle="1" w:styleId="65">
    <w:name w:val="bacb-title1"/>
    <w:qFormat/>
    <w:uiPriority w:val="99"/>
    <w:rPr>
      <w:b/>
      <w:sz w:val="21"/>
    </w:rPr>
  </w:style>
  <w:style w:type="character" w:customStyle="1" w:styleId="66">
    <w:name w:val="font11"/>
    <w:qFormat/>
    <w:uiPriority w:val="99"/>
    <w:rPr>
      <w:rFonts w:ascii="宋体" w:hAnsi="宋体" w:eastAsia="宋体"/>
      <w:color w:val="000000"/>
      <w:sz w:val="20"/>
      <w:u w:val="none"/>
      <w:vertAlign w:val="superscript"/>
    </w:rPr>
  </w:style>
  <w:style w:type="paragraph" w:customStyle="1" w:styleId="67">
    <w:name w:val="pic-info"/>
    <w:basedOn w:val="1"/>
    <w:qFormat/>
    <w:uiPriority w:val="99"/>
    <w:pPr>
      <w:widowControl/>
      <w:spacing w:before="100" w:beforeAutospacing="1" w:after="100" w:afterAutospacing="1"/>
      <w:jc w:val="left"/>
    </w:pPr>
    <w:rPr>
      <w:rFonts w:ascii="宋体" w:hAnsi="宋体" w:cs="宋体"/>
      <w:kern w:val="0"/>
      <w:sz w:val="24"/>
    </w:rPr>
  </w:style>
  <w:style w:type="paragraph" w:customStyle="1" w:styleId="68">
    <w:name w:val="正文左缩进2字符"/>
    <w:basedOn w:val="1"/>
    <w:qFormat/>
    <w:uiPriority w:val="99"/>
    <w:pPr>
      <w:ind w:firstLine="560"/>
    </w:pPr>
    <w:rPr>
      <w:rFonts w:ascii="仿宋_GB2312" w:cs="宋体"/>
      <w:szCs w:val="28"/>
    </w:rPr>
  </w:style>
  <w:style w:type="paragraph" w:customStyle="1" w:styleId="69">
    <w:name w:val="poititlew"/>
    <w:basedOn w:val="1"/>
    <w:qFormat/>
    <w:uiPriority w:val="99"/>
    <w:pPr>
      <w:widowControl/>
      <w:jc w:val="left"/>
    </w:pPr>
    <w:rPr>
      <w:rFonts w:ascii="宋体" w:hAnsi="宋体" w:cs="宋体"/>
      <w:kern w:val="0"/>
      <w:sz w:val="24"/>
    </w:rPr>
  </w:style>
  <w:style w:type="paragraph" w:customStyle="1" w:styleId="70">
    <w:name w:val="表格"/>
    <w:basedOn w:val="1"/>
    <w:qFormat/>
    <w:uiPriority w:val="99"/>
    <w:pPr>
      <w:jc w:val="center"/>
    </w:pPr>
  </w:style>
  <w:style w:type="paragraph" w:customStyle="1" w:styleId="71">
    <w:name w:val="房地产价值评估_正文"/>
    <w:basedOn w:val="1"/>
    <w:qFormat/>
    <w:uiPriority w:val="99"/>
    <w:pPr>
      <w:ind w:firstLine="560" w:firstLineChars="200"/>
    </w:pPr>
    <w:rPr>
      <w:rFonts w:ascii="仿宋_GB2312" w:hAnsi="宋体" w:eastAsia="Times New Roman" w:cs="Courier New"/>
      <w:sz w:val="28"/>
      <w:szCs w:val="28"/>
    </w:rPr>
  </w:style>
  <w:style w:type="paragraph" w:customStyle="1" w:styleId="72">
    <w:name w:val="Char1"/>
    <w:basedOn w:val="1"/>
    <w:qFormat/>
    <w:uiPriority w:val="99"/>
    <w:pPr>
      <w:widowControl/>
      <w:spacing w:after="160" w:line="240" w:lineRule="exact"/>
      <w:jc w:val="left"/>
    </w:pPr>
  </w:style>
  <w:style w:type="paragraph" w:customStyle="1" w:styleId="73">
    <w:name w:val="单位加粗"/>
    <w:basedOn w:val="1"/>
    <w:qFormat/>
    <w:uiPriority w:val="99"/>
    <w:pPr>
      <w:ind w:firstLine="570"/>
      <w:jc w:val="left"/>
    </w:pPr>
    <w:rPr>
      <w:rFonts w:ascii="仿宋_GB2312" w:hAnsi="仿宋" w:cs="宋体"/>
      <w:bCs/>
      <w:szCs w:val="28"/>
    </w:rPr>
  </w:style>
  <w:style w:type="paragraph" w:customStyle="1" w:styleId="74">
    <w:name w:val="列出段落1"/>
    <w:basedOn w:val="1"/>
    <w:qFormat/>
    <w:uiPriority w:val="99"/>
    <w:pPr>
      <w:ind w:firstLine="420" w:firstLineChars="200"/>
    </w:pPr>
  </w:style>
  <w:style w:type="character" w:customStyle="1" w:styleId="75">
    <w:name w:val="imjs-user-online1"/>
    <w:qFormat/>
    <w:uiPriority w:val="99"/>
    <w:rPr>
      <w:vanish/>
    </w:rPr>
  </w:style>
  <w:style w:type="character" w:customStyle="1" w:styleId="76">
    <w:name w:val="bds_nopic"/>
    <w:qFormat/>
    <w:uiPriority w:val="99"/>
  </w:style>
  <w:style w:type="character" w:customStyle="1" w:styleId="77">
    <w:name w:val="imjs-user-offline"/>
    <w:qFormat/>
    <w:uiPriority w:val="99"/>
    <w:rPr>
      <w:vanish/>
    </w:rPr>
  </w:style>
  <w:style w:type="character" w:customStyle="1" w:styleId="78">
    <w:name w:val="bds_nopic1"/>
    <w:qFormat/>
    <w:uiPriority w:val="99"/>
  </w:style>
  <w:style w:type="character" w:customStyle="1" w:styleId="79">
    <w:name w:val="imjs-user-offline1"/>
    <w:qFormat/>
    <w:uiPriority w:val="99"/>
  </w:style>
  <w:style w:type="character" w:customStyle="1" w:styleId="80">
    <w:name w:val="bds_nopic2"/>
    <w:qFormat/>
    <w:uiPriority w:val="99"/>
  </w:style>
  <w:style w:type="character" w:customStyle="1" w:styleId="81">
    <w:name w:val="webim-times"/>
    <w:qFormat/>
    <w:uiPriority w:val="99"/>
    <w:rPr>
      <w:color w:val="C0C0C0"/>
    </w:rPr>
  </w:style>
  <w:style w:type="character" w:customStyle="1" w:styleId="82">
    <w:name w:val="gcn-title"/>
    <w:qFormat/>
    <w:uiPriority w:val="99"/>
  </w:style>
  <w:style w:type="character" w:customStyle="1" w:styleId="83">
    <w:name w:val="webim-times1"/>
    <w:qFormat/>
    <w:uiPriority w:val="99"/>
    <w:rPr>
      <w:color w:val="C0C0C0"/>
    </w:rPr>
  </w:style>
  <w:style w:type="character" w:customStyle="1" w:styleId="84">
    <w:name w:val="bds_more1"/>
    <w:qFormat/>
    <w:uiPriority w:val="99"/>
    <w:rPr>
      <w:rFonts w:ascii="宋体" w:hAnsi="宋体" w:eastAsia="宋体"/>
    </w:rPr>
  </w:style>
  <w:style w:type="character" w:customStyle="1" w:styleId="85">
    <w:name w:val="bds_more"/>
    <w:qFormat/>
    <w:uiPriority w:val="99"/>
  </w:style>
  <w:style w:type="character" w:customStyle="1" w:styleId="86">
    <w:name w:val="gcn-info12"/>
    <w:qFormat/>
    <w:uiPriority w:val="99"/>
  </w:style>
  <w:style w:type="character" w:customStyle="1" w:styleId="87">
    <w:name w:val="bds_more2"/>
    <w:qFormat/>
    <w:uiPriority w:val="99"/>
  </w:style>
  <w:style w:type="character" w:customStyle="1" w:styleId="88">
    <w:name w:val="ktxtr-p2"/>
    <w:qFormat/>
    <w:uiPriority w:val="99"/>
  </w:style>
  <w:style w:type="character" w:customStyle="1" w:styleId="89">
    <w:name w:val="imjs-user-online"/>
    <w:qFormat/>
    <w:uiPriority w:val="99"/>
  </w:style>
  <w:style w:type="character" w:customStyle="1" w:styleId="90">
    <w:name w:val="webim-quick-submit-arrow2"/>
    <w:qFormat/>
    <w:uiPriority w:val="99"/>
  </w:style>
  <w:style w:type="character" w:customStyle="1" w:styleId="91">
    <w:name w:val="gcn-title4"/>
    <w:qFormat/>
    <w:uiPriority w:val="99"/>
  </w:style>
  <w:style w:type="character" w:customStyle="1" w:styleId="92">
    <w:name w:val="font41"/>
    <w:qFormat/>
    <w:uiPriority w:val="99"/>
    <w:rPr>
      <w:rFonts w:ascii="宋体" w:hAnsi="宋体" w:eastAsia="宋体"/>
      <w:color w:val="000000"/>
      <w:sz w:val="21"/>
      <w:u w:val="none"/>
      <w:vertAlign w:val="superscript"/>
    </w:rPr>
  </w:style>
  <w:style w:type="paragraph" w:customStyle="1" w:styleId="93">
    <w:name w:val="Char11"/>
    <w:basedOn w:val="1"/>
    <w:qFormat/>
    <w:uiPriority w:val="99"/>
    <w:pPr>
      <w:widowControl/>
      <w:spacing w:after="160" w:line="240" w:lineRule="exact"/>
      <w:jc w:val="left"/>
    </w:pPr>
  </w:style>
  <w:style w:type="paragraph" w:customStyle="1" w:styleId="94">
    <w:name w:val="poititlew poititlew--short"/>
    <w:basedOn w:val="1"/>
    <w:qFormat/>
    <w:uiPriority w:val="99"/>
    <w:pPr>
      <w:widowControl/>
      <w:jc w:val="left"/>
    </w:pPr>
    <w:rPr>
      <w:rFonts w:ascii="宋体" w:hAnsi="宋体" w:cs="宋体"/>
      <w:kern w:val="0"/>
      <w:sz w:val="24"/>
    </w:rPr>
  </w:style>
  <w:style w:type="paragraph" w:customStyle="1" w:styleId="95">
    <w:name w:val="列出段落2"/>
    <w:basedOn w:val="1"/>
    <w:qFormat/>
    <w:uiPriority w:val="99"/>
    <w:pPr>
      <w:ind w:firstLine="420" w:firstLineChars="200"/>
    </w:pPr>
  </w:style>
  <w:style w:type="character" w:customStyle="1" w:styleId="96">
    <w:name w:val="font31"/>
    <w:qFormat/>
    <w:uiPriority w:val="99"/>
    <w:rPr>
      <w:rFonts w:ascii="宋体" w:hAnsi="宋体" w:eastAsia="宋体"/>
      <w:color w:val="000000"/>
      <w:sz w:val="21"/>
      <w:u w:val="none"/>
    </w:rPr>
  </w:style>
  <w:style w:type="character" w:customStyle="1" w:styleId="97">
    <w:name w:val="fontstrikethrough"/>
    <w:qFormat/>
    <w:uiPriority w:val="99"/>
    <w:rPr>
      <w:strike/>
    </w:rPr>
  </w:style>
  <w:style w:type="character" w:customStyle="1" w:styleId="98">
    <w:name w:val="fontborder"/>
    <w:qFormat/>
    <w:uiPriority w:val="99"/>
    <w:rPr>
      <w:bdr w:val="single" w:color="000000" w:sz="6" w:space="0"/>
    </w:rPr>
  </w:style>
  <w:style w:type="character" w:customStyle="1" w:styleId="99">
    <w:name w:val="font01"/>
    <w:qFormat/>
    <w:uiPriority w:val="99"/>
    <w:rPr>
      <w:rFonts w:ascii="宋体" w:hAnsi="宋体" w:eastAsia="宋体"/>
      <w:color w:val="000000"/>
      <w:sz w:val="21"/>
      <w:u w:val="none"/>
      <w:vertAlign w:val="superscript"/>
    </w:rPr>
  </w:style>
  <w:style w:type="paragraph" w:customStyle="1" w:styleId="100">
    <w:name w:val="龙泰正文"/>
    <w:basedOn w:val="1"/>
    <w:link w:val="103"/>
    <w:qFormat/>
    <w:uiPriority w:val="99"/>
    <w:pPr>
      <w:autoSpaceDE w:val="0"/>
      <w:autoSpaceDN w:val="0"/>
      <w:adjustRightInd w:val="0"/>
      <w:spacing w:line="360" w:lineRule="auto"/>
      <w:ind w:firstLine="200" w:firstLineChars="200"/>
      <w:textAlignment w:val="baseline"/>
    </w:pPr>
    <w:rPr>
      <w:rFonts w:ascii="仿宋_GB2312" w:hAnsi="Arial"/>
      <w:kern w:val="0"/>
      <w:sz w:val="28"/>
      <w:szCs w:val="20"/>
    </w:rPr>
  </w:style>
  <w:style w:type="character" w:customStyle="1" w:styleId="101">
    <w:name w:val="样式6 Char"/>
    <w:link w:val="102"/>
    <w:qFormat/>
    <w:locked/>
    <w:uiPriority w:val="99"/>
    <w:rPr>
      <w:rFonts w:ascii="Arial" w:hAnsi="Arial" w:eastAsia="黑体"/>
      <w:sz w:val="20"/>
    </w:rPr>
  </w:style>
  <w:style w:type="paragraph" w:customStyle="1" w:styleId="102">
    <w:name w:val="样式6"/>
    <w:basedOn w:val="3"/>
    <w:link w:val="101"/>
    <w:qFormat/>
    <w:uiPriority w:val="99"/>
    <w:rPr>
      <w:rFonts w:ascii="Arial" w:hAnsi="Arial" w:eastAsia="黑体"/>
      <w:b w:val="0"/>
      <w:bCs w:val="0"/>
      <w:sz w:val="20"/>
      <w:szCs w:val="20"/>
    </w:rPr>
  </w:style>
  <w:style w:type="character" w:customStyle="1" w:styleId="103">
    <w:name w:val="龙泰正文 Char1"/>
    <w:link w:val="100"/>
    <w:qFormat/>
    <w:locked/>
    <w:uiPriority w:val="99"/>
    <w:rPr>
      <w:rFonts w:ascii="仿宋_GB2312" w:hAnsi="Arial"/>
      <w:sz w:val="28"/>
      <w:lang w:val="en-US" w:eastAsia="zh-CN"/>
    </w:rPr>
  </w:style>
  <w:style w:type="paragraph" w:customStyle="1" w:styleId="104">
    <w:name w:val="article-info"/>
    <w:basedOn w:val="1"/>
    <w:qFormat/>
    <w:uiPriority w:val="99"/>
    <w:pPr>
      <w:widowControl/>
      <w:spacing w:before="100" w:beforeAutospacing="1" w:after="100" w:afterAutospacing="1"/>
      <w:jc w:val="left"/>
    </w:pPr>
    <w:rPr>
      <w:rFonts w:ascii="宋体" w:hAnsi="宋体" w:cs="宋体"/>
      <w:kern w:val="0"/>
      <w:sz w:val="24"/>
    </w:rPr>
  </w:style>
  <w:style w:type="character" w:customStyle="1" w:styleId="105">
    <w:name w:val="source"/>
    <w:basedOn w:val="31"/>
    <w:qFormat/>
    <w:uiPriority w:val="99"/>
    <w:rPr>
      <w:rFonts w:cs="Times New Roman"/>
    </w:rPr>
  </w:style>
  <w:style w:type="paragraph" w:customStyle="1" w:styleId="106">
    <w:name w:val="Char Char Char Char1 Char Char Char Char Char Char"/>
    <w:basedOn w:val="1"/>
    <w:qFormat/>
    <w:uiPriority w:val="0"/>
  </w:style>
  <w:style w:type="character" w:customStyle="1" w:styleId="107">
    <w:name w:val="font71"/>
    <w:basedOn w:val="31"/>
    <w:qFormat/>
    <w:uiPriority w:val="0"/>
    <w:rPr>
      <w:rFonts w:hint="eastAsia" w:ascii="宋体" w:hAnsi="宋体" w:eastAsia="宋体" w:cs="宋体"/>
      <w:color w:val="000000"/>
      <w:sz w:val="18"/>
      <w:szCs w:val="18"/>
      <w:u w:val="none"/>
      <w:vertAlign w:val="superscript"/>
    </w:rPr>
  </w:style>
  <w:style w:type="character" w:customStyle="1" w:styleId="108">
    <w:name w:val="font61"/>
    <w:basedOn w:val="31"/>
    <w:qFormat/>
    <w:uiPriority w:val="0"/>
    <w:rPr>
      <w:rFonts w:hint="eastAsia" w:ascii="宋体" w:hAnsi="宋体" w:eastAsia="宋体" w:cs="宋体"/>
      <w:color w:val="000000"/>
      <w:sz w:val="21"/>
      <w:szCs w:val="21"/>
      <w:u w:val="none"/>
      <w:vertAlign w:val="superscript"/>
    </w:rPr>
  </w:style>
  <w:style w:type="character" w:customStyle="1" w:styleId="109">
    <w:name w:val="font51"/>
    <w:basedOn w:val="31"/>
    <w:qFormat/>
    <w:uiPriority w:val="0"/>
    <w:rPr>
      <w:rFonts w:hint="eastAsia" w:ascii="宋体" w:hAnsi="宋体" w:eastAsia="宋体" w:cs="宋体"/>
      <w:color w:val="000000"/>
      <w:sz w:val="21"/>
      <w:szCs w:val="21"/>
      <w:u w:val="none"/>
    </w:rPr>
  </w:style>
  <w:style w:type="paragraph" w:styleId="110">
    <w:name w:val="List Paragraph"/>
    <w:basedOn w:val="1"/>
    <w:unhideWhenUsed/>
    <w:qFormat/>
    <w:uiPriority w:val="99"/>
    <w:pPr>
      <w:ind w:firstLine="420" w:firstLineChars="200"/>
    </w:pPr>
  </w:style>
  <w:style w:type="character" w:customStyle="1" w:styleId="111">
    <w:name w:val="文档结构图 Char"/>
    <w:basedOn w:val="31"/>
    <w:link w:val="6"/>
    <w:qFormat/>
    <w:uiPriority w:val="0"/>
    <w:rPr>
      <w:rFonts w:ascii="宋体"/>
      <w:kern w:val="2"/>
      <w:sz w:val="18"/>
      <w:szCs w:val="18"/>
    </w:rPr>
  </w:style>
  <w:style w:type="paragraph" w:customStyle="1" w:styleId="112">
    <w:name w:val="Default"/>
    <w:qFormat/>
    <w:uiPriority w:val="0"/>
    <w:pPr>
      <w:widowControl w:val="0"/>
      <w:autoSpaceDE w:val="0"/>
      <w:autoSpaceDN w:val="0"/>
      <w:adjustRightInd w:val="0"/>
    </w:pPr>
    <w:rPr>
      <w:rFonts w:ascii=".." w:hAnsi="Calibri" w:eastAsia=".."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52F435-C473-447F-A599-A03FA9C5DDEF}">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68</Pages>
  <Words>4254</Words>
  <Characters>24253</Characters>
  <Lines>202</Lines>
  <Paragraphs>56</Paragraphs>
  <TotalTime>67</TotalTime>
  <ScaleCrop>false</ScaleCrop>
  <LinksUpToDate>false</LinksUpToDate>
  <CharactersWithSpaces>28451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2018-09-20T15:21:00Z</dcterms:created>
  <dc:creator>dj7984</dc:creator>
  <cp:lastModifiedBy>Administrator</cp:lastModifiedBy>
  <cp:lastPrinted>2021-12-22T06:27:00Z</cp:lastPrinted>
  <dcterms:modified xsi:type="dcterms:W3CDTF">2022-10-10T09:25:41Z</dcterms:modified>
  <dc:title>房 地 产 估 价 报 告</dc:title>
  <cp:revision>2164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docranid">
    <vt:lpwstr>970CAB3D4B7D45E5BD343F9725531FF0</vt:lpwstr>
  </property>
  <property fmtid="{D5CDD505-2E9C-101B-9397-08002B2CF9AE}" pid="4" name="ICV">
    <vt:lpwstr>C9B9A524937E455780D9AEB1CA65256A</vt:lpwstr>
  </property>
</Properties>
</file>