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300"/>
        </w:tabs>
        <w:snapToGrid w:val="0"/>
        <w:spacing w:line="360" w:lineRule="auto"/>
        <w:jc w:val="center"/>
        <w:rPr>
          <w:rFonts w:eastAsia="仿宋_GB2312"/>
          <w:b/>
          <w:color w:val="000000"/>
          <w:sz w:val="44"/>
          <w:szCs w:val="44"/>
        </w:rPr>
      </w:pPr>
    </w:p>
    <w:p>
      <w:pPr>
        <w:tabs>
          <w:tab w:val="left" w:pos="3300"/>
        </w:tabs>
        <w:snapToGrid w:val="0"/>
        <w:spacing w:line="360" w:lineRule="auto"/>
        <w:jc w:val="center"/>
        <w:rPr>
          <w:rFonts w:eastAsia="仿宋_GB2312"/>
          <w:b/>
          <w:color w:val="000000"/>
          <w:sz w:val="44"/>
          <w:szCs w:val="44"/>
        </w:rPr>
      </w:pPr>
    </w:p>
    <w:p>
      <w:pPr>
        <w:tabs>
          <w:tab w:val="left" w:pos="3300"/>
        </w:tabs>
        <w:snapToGrid w:val="0"/>
        <w:spacing w:line="360" w:lineRule="auto"/>
        <w:jc w:val="center"/>
        <w:rPr>
          <w:rFonts w:eastAsia="仿宋_GB2312"/>
          <w:b/>
          <w:color w:val="000000"/>
          <w:sz w:val="44"/>
          <w:szCs w:val="44"/>
        </w:rPr>
      </w:pPr>
    </w:p>
    <w:p>
      <w:pPr>
        <w:tabs>
          <w:tab w:val="left" w:pos="3300"/>
        </w:tabs>
        <w:snapToGrid w:val="0"/>
        <w:spacing w:before="120" w:beforeLines="50" w:line="360" w:lineRule="auto"/>
        <w:jc w:val="center"/>
        <w:rPr>
          <w:rFonts w:eastAsia="仿宋_GB2312"/>
          <w:b/>
          <w:color w:val="000000"/>
          <w:sz w:val="44"/>
          <w:szCs w:val="44"/>
        </w:rPr>
      </w:pPr>
    </w:p>
    <w:p>
      <w:pPr>
        <w:tabs>
          <w:tab w:val="left" w:pos="3300"/>
        </w:tabs>
        <w:snapToGrid w:val="0"/>
        <w:spacing w:line="360" w:lineRule="auto"/>
        <w:ind w:firstLine="1325" w:firstLineChars="300"/>
        <w:jc w:val="both"/>
        <w:rPr>
          <w:rFonts w:eastAsia="仿宋_GB2312"/>
          <w:b/>
          <w:color w:val="000000"/>
          <w:sz w:val="44"/>
          <w:szCs w:val="44"/>
        </w:rPr>
      </w:pPr>
      <w:r>
        <w:rPr>
          <w:rFonts w:eastAsia="仿宋_GB2312"/>
          <w:b/>
          <w:color w:val="000000"/>
          <w:sz w:val="44"/>
          <w:szCs w:val="44"/>
        </w:rPr>
        <w:t>涉执房地产处置司法评估报告</w:t>
      </w:r>
      <w:bookmarkStart w:id="72" w:name="_GoBack"/>
      <w:bookmarkEnd w:id="72"/>
    </w:p>
    <w:p>
      <w:pPr>
        <w:tabs>
          <w:tab w:val="left" w:pos="3300"/>
        </w:tabs>
        <w:snapToGrid w:val="0"/>
        <w:spacing w:line="360" w:lineRule="auto"/>
        <w:jc w:val="center"/>
        <w:rPr>
          <w:rFonts w:eastAsia="仿宋_GB2312"/>
          <w:b/>
          <w:color w:val="000000"/>
          <w:sz w:val="44"/>
          <w:szCs w:val="44"/>
        </w:rPr>
      </w:pPr>
    </w:p>
    <w:p>
      <w:pPr>
        <w:tabs>
          <w:tab w:val="left" w:pos="5220"/>
        </w:tabs>
        <w:snapToGrid w:val="0"/>
        <w:spacing w:before="429" w:after="429" w:line="440" w:lineRule="exact"/>
        <w:ind w:left="2269" w:hanging="2269" w:hangingChars="698"/>
        <w:jc w:val="left"/>
        <w:rPr>
          <w:rFonts w:eastAsia="仿宋_GB2312"/>
          <w:b/>
          <w:color w:val="000000"/>
          <w:spacing w:val="23"/>
          <w:sz w:val="28"/>
          <w:szCs w:val="28"/>
        </w:rPr>
      </w:pPr>
      <w:r>
        <w:rPr>
          <w:rFonts w:eastAsia="仿宋_GB2312"/>
          <w:b/>
          <w:color w:val="000000"/>
          <w:spacing w:val="22"/>
          <w:sz w:val="28"/>
          <w:szCs w:val="28"/>
        </w:rPr>
        <w:t>估价报告编号：</w:t>
      </w:r>
      <w:r>
        <w:rPr>
          <w:rFonts w:eastAsia="仿宋_GB2312"/>
          <w:kern w:val="28"/>
          <w:sz w:val="28"/>
          <w:szCs w:val="28"/>
        </w:rPr>
        <w:t>云南中和金乾房评（2022）第ZHJQR10</w:t>
      </w:r>
      <w:r>
        <w:rPr>
          <w:rFonts w:hint="eastAsia" w:eastAsia="仿宋_GB2312"/>
          <w:kern w:val="28"/>
          <w:sz w:val="28"/>
          <w:szCs w:val="28"/>
        </w:rPr>
        <w:t>78</w:t>
      </w:r>
      <w:r>
        <w:rPr>
          <w:rFonts w:eastAsia="仿宋_GB2312"/>
          <w:kern w:val="28"/>
          <w:sz w:val="28"/>
          <w:szCs w:val="28"/>
        </w:rPr>
        <w:t>号</w:t>
      </w:r>
    </w:p>
    <w:p>
      <w:pPr>
        <w:tabs>
          <w:tab w:val="left" w:pos="5220"/>
        </w:tabs>
        <w:snapToGrid w:val="0"/>
        <w:spacing w:before="429" w:after="429" w:line="440" w:lineRule="exact"/>
        <w:ind w:left="2283" w:hanging="2283" w:hangingChars="698"/>
        <w:jc w:val="left"/>
        <w:rPr>
          <w:rFonts w:eastAsia="仿宋_GB2312"/>
          <w:color w:val="FF0000"/>
          <w:kern w:val="28"/>
          <w:sz w:val="28"/>
          <w:szCs w:val="28"/>
        </w:rPr>
      </w:pPr>
      <w:r>
        <w:rPr>
          <w:rFonts w:eastAsia="仿宋_GB2312"/>
          <w:b/>
          <w:color w:val="000000"/>
          <w:spacing w:val="23"/>
          <w:sz w:val="28"/>
          <w:szCs w:val="28"/>
        </w:rPr>
        <w:t>估价项目名称</w:t>
      </w:r>
      <w:r>
        <w:rPr>
          <w:rFonts w:eastAsia="仿宋_GB2312"/>
          <w:b/>
          <w:color w:val="000000"/>
          <w:spacing w:val="36"/>
          <w:sz w:val="28"/>
          <w:szCs w:val="28"/>
        </w:rPr>
        <w:t>：</w:t>
      </w:r>
      <w:r>
        <w:rPr>
          <w:rFonts w:hint="eastAsia" w:eastAsia="仿宋_GB2312"/>
          <w:spacing w:val="-2"/>
          <w:sz w:val="28"/>
        </w:rPr>
        <w:t>熊建林名下位于永胜县永北镇华程小区2幢1单元101室房地产市场价值评估项目</w:t>
      </w:r>
    </w:p>
    <w:p>
      <w:pPr>
        <w:tabs>
          <w:tab w:val="left" w:pos="5220"/>
        </w:tabs>
        <w:snapToGrid w:val="0"/>
        <w:spacing w:before="429" w:after="429" w:line="240" w:lineRule="auto"/>
        <w:ind w:left="2720" w:hanging="2720" w:hangingChars="692"/>
        <w:jc w:val="left"/>
        <w:rPr>
          <w:rFonts w:eastAsia="仿宋_GB2312"/>
          <w:color w:val="000000"/>
          <w:kern w:val="28"/>
          <w:sz w:val="28"/>
          <w:szCs w:val="28"/>
        </w:rPr>
      </w:pPr>
      <w:r>
        <w:rPr>
          <w:rFonts w:eastAsia="仿宋_GB2312"/>
          <w:b/>
          <w:bCs/>
          <w:color w:val="000000"/>
          <w:spacing w:val="56"/>
          <w:sz w:val="28"/>
          <w:szCs w:val="28"/>
        </w:rPr>
        <w:t>估价委托人</w:t>
      </w:r>
      <w:r>
        <w:rPr>
          <w:rFonts w:eastAsia="仿宋_GB2312"/>
          <w:b/>
          <w:bCs/>
          <w:color w:val="000000"/>
          <w:spacing w:val="1"/>
          <w:sz w:val="28"/>
          <w:szCs w:val="28"/>
        </w:rPr>
        <w:t>：</w:t>
      </w:r>
      <w:r>
        <w:rPr>
          <w:rFonts w:hint="eastAsia" w:eastAsia="仿宋_GB2312"/>
          <w:bCs/>
          <w:color w:val="000000"/>
          <w:spacing w:val="1"/>
          <w:sz w:val="28"/>
          <w:szCs w:val="28"/>
        </w:rPr>
        <w:t>云南省永胜县人民法院</w:t>
      </w:r>
    </w:p>
    <w:p>
      <w:pPr>
        <w:tabs>
          <w:tab w:val="left" w:pos="2268"/>
          <w:tab w:val="left" w:pos="5220"/>
        </w:tabs>
        <w:snapToGrid w:val="0"/>
        <w:spacing w:before="429" w:after="429" w:line="240" w:lineRule="auto"/>
        <w:ind w:left="1985" w:hanging="1980" w:hangingChars="692"/>
        <w:jc w:val="left"/>
        <w:rPr>
          <w:rFonts w:eastAsia="仿宋_GB2312"/>
          <w:color w:val="000000"/>
          <w:kern w:val="28"/>
          <w:sz w:val="28"/>
          <w:szCs w:val="28"/>
        </w:rPr>
      </w:pPr>
      <w:r>
        <w:rPr>
          <w:rFonts w:hint="eastAsia" w:eastAsia="仿宋_GB2312"/>
          <w:b/>
          <w:color w:val="000000"/>
          <w:spacing w:val="4"/>
          <w:w w:val="99"/>
          <w:sz w:val="28"/>
          <w:szCs w:val="28"/>
        </w:rPr>
        <w:t>房地产估价机构</w:t>
      </w:r>
      <w:r>
        <w:rPr>
          <w:rFonts w:hint="eastAsia" w:eastAsia="仿宋_GB2312"/>
          <w:b/>
          <w:color w:val="000000"/>
          <w:sz w:val="28"/>
          <w:szCs w:val="28"/>
        </w:rPr>
        <w:t>：</w:t>
      </w:r>
      <w:r>
        <w:rPr>
          <w:rFonts w:eastAsia="仿宋_GB2312"/>
          <w:sz w:val="28"/>
          <w:szCs w:val="28"/>
        </w:rPr>
        <w:t>云南中和金乾房地产土地资产评估有限公司</w:t>
      </w:r>
    </w:p>
    <w:p>
      <w:pPr>
        <w:tabs>
          <w:tab w:val="left" w:pos="5220"/>
        </w:tabs>
        <w:snapToGrid w:val="0"/>
        <w:spacing w:before="429" w:after="429" w:line="240" w:lineRule="auto"/>
        <w:ind w:left="2212" w:hanging="2206" w:hangingChars="900"/>
        <w:jc w:val="left"/>
        <w:rPr>
          <w:rFonts w:eastAsia="仿宋_GB2312"/>
          <w:color w:val="000000"/>
          <w:sz w:val="28"/>
        </w:rPr>
      </w:pPr>
      <w:r>
        <w:rPr>
          <w:rFonts w:eastAsia="仿宋_GB2312"/>
          <w:b/>
          <w:bCs/>
          <w:color w:val="000000"/>
          <w:spacing w:val="2"/>
          <w:w w:val="86"/>
          <w:sz w:val="28"/>
          <w:szCs w:val="28"/>
        </w:rPr>
        <w:t>注册房地产估价</w:t>
      </w:r>
      <w:r>
        <w:rPr>
          <w:rFonts w:eastAsia="仿宋_GB2312"/>
          <w:b/>
          <w:bCs/>
          <w:color w:val="000000"/>
          <w:spacing w:val="-6"/>
          <w:w w:val="86"/>
          <w:sz w:val="28"/>
          <w:szCs w:val="28"/>
        </w:rPr>
        <w:t>师：</w:t>
      </w:r>
      <w:r>
        <w:rPr>
          <w:rFonts w:hint="eastAsia" w:eastAsia="仿宋_GB2312"/>
          <w:color w:val="000000"/>
          <w:kern w:val="28"/>
          <w:sz w:val="28"/>
          <w:szCs w:val="28"/>
        </w:rPr>
        <w:t>杨倩</w:t>
      </w:r>
      <w:r>
        <w:rPr>
          <w:rFonts w:eastAsia="仿宋_GB2312"/>
          <w:color w:val="000000"/>
          <w:kern w:val="28"/>
          <w:sz w:val="28"/>
          <w:szCs w:val="28"/>
        </w:rPr>
        <w:t>（注册号：53201</w:t>
      </w:r>
      <w:r>
        <w:rPr>
          <w:rFonts w:hint="eastAsia" w:eastAsia="仿宋_GB2312"/>
          <w:color w:val="000000"/>
          <w:kern w:val="28"/>
          <w:sz w:val="28"/>
          <w:szCs w:val="28"/>
        </w:rPr>
        <w:t>4</w:t>
      </w:r>
      <w:r>
        <w:rPr>
          <w:rFonts w:eastAsia="仿宋_GB2312"/>
          <w:color w:val="000000"/>
          <w:kern w:val="28"/>
          <w:sz w:val="28"/>
          <w:szCs w:val="28"/>
        </w:rPr>
        <w:t>00</w:t>
      </w:r>
      <w:r>
        <w:rPr>
          <w:rFonts w:hint="eastAsia" w:eastAsia="仿宋_GB2312"/>
          <w:color w:val="000000"/>
          <w:kern w:val="28"/>
          <w:sz w:val="28"/>
          <w:szCs w:val="28"/>
        </w:rPr>
        <w:t>67</w:t>
      </w:r>
      <w:r>
        <w:rPr>
          <w:rFonts w:eastAsia="仿宋_GB2312"/>
          <w:color w:val="000000"/>
          <w:kern w:val="28"/>
          <w:sz w:val="28"/>
          <w:szCs w:val="28"/>
        </w:rPr>
        <w:t>）</w:t>
      </w:r>
      <w:permStart w:id="0" w:edGrp="everyone"/>
      <w:permEnd w:id="0"/>
    </w:p>
    <w:p>
      <w:pPr>
        <w:tabs>
          <w:tab w:val="left" w:pos="5220"/>
        </w:tabs>
        <w:snapToGrid w:val="0"/>
        <w:spacing w:before="429" w:after="429" w:line="240" w:lineRule="auto"/>
        <w:ind w:left="2514" w:leftChars="1064" w:hanging="280" w:hangingChars="100"/>
        <w:jc w:val="left"/>
        <w:rPr>
          <w:rFonts w:eastAsia="仿宋_GB2312"/>
          <w:color w:val="000000"/>
          <w:kern w:val="28"/>
          <w:sz w:val="28"/>
          <w:szCs w:val="28"/>
        </w:rPr>
      </w:pPr>
      <w:r>
        <w:rPr>
          <w:rFonts w:hint="eastAsia" w:eastAsia="仿宋_GB2312"/>
          <w:color w:val="000000"/>
          <w:kern w:val="28"/>
          <w:sz w:val="28"/>
          <w:szCs w:val="28"/>
        </w:rPr>
        <w:t>杨维</w:t>
      </w:r>
      <w:r>
        <w:rPr>
          <w:rFonts w:eastAsia="仿宋_GB2312"/>
          <w:color w:val="000000"/>
          <w:kern w:val="28"/>
          <w:sz w:val="28"/>
          <w:szCs w:val="28"/>
        </w:rPr>
        <w:t>（注册号：</w:t>
      </w:r>
      <w:r>
        <w:rPr>
          <w:rFonts w:eastAsia="仿宋_GB2312"/>
          <w:sz w:val="28"/>
          <w:szCs w:val="28"/>
        </w:rPr>
        <w:t>5320150022</w:t>
      </w:r>
      <w:r>
        <w:rPr>
          <w:rFonts w:eastAsia="仿宋_GB2312"/>
          <w:color w:val="000000"/>
          <w:kern w:val="28"/>
          <w:sz w:val="28"/>
          <w:szCs w:val="28"/>
        </w:rPr>
        <w:t>）</w:t>
      </w:r>
    </w:p>
    <w:p>
      <w:pPr>
        <w:tabs>
          <w:tab w:val="left" w:pos="1843"/>
          <w:tab w:val="left" w:pos="5220"/>
        </w:tabs>
        <w:snapToGrid w:val="0"/>
        <w:spacing w:before="429" w:after="429" w:line="240" w:lineRule="auto"/>
        <w:ind w:left="1700" w:hanging="1696" w:hangingChars="692"/>
        <w:jc w:val="left"/>
        <w:rPr>
          <w:rFonts w:hint="eastAsia" w:eastAsia="仿宋_GB2312"/>
          <w:color w:val="548DD4" w:themeColor="text2" w:themeTint="99"/>
          <w:kern w:val="28"/>
          <w:sz w:val="28"/>
          <w:szCs w:val="28"/>
          <w:lang w:eastAsia="zh-CN"/>
        </w:rPr>
      </w:pPr>
      <w:r>
        <w:rPr>
          <w:rFonts w:eastAsia="仿宋_GB2312"/>
          <w:b/>
          <w:color w:val="000000"/>
          <w:spacing w:val="2"/>
          <w:w w:val="86"/>
          <w:sz w:val="28"/>
          <w:szCs w:val="28"/>
        </w:rPr>
        <w:t>估价报告出具日期</w:t>
      </w:r>
      <w:r>
        <w:rPr>
          <w:rFonts w:eastAsia="仿宋_GB2312"/>
          <w:b/>
          <w:color w:val="000000"/>
          <w:sz w:val="28"/>
          <w:szCs w:val="28"/>
        </w:rPr>
        <w:t>：</w:t>
      </w:r>
      <w:r>
        <w:rPr>
          <w:rFonts w:hint="eastAsia" w:eastAsia="仿宋_GB2312"/>
          <w:kern w:val="28"/>
          <w:sz w:val="28"/>
          <w:szCs w:val="28"/>
          <w:lang w:eastAsia="zh-CN"/>
        </w:rPr>
        <w:t>二〇二二年十月十日</w:t>
      </w:r>
    </w:p>
    <w:p>
      <w:pPr>
        <w:tabs>
          <w:tab w:val="left" w:pos="2410"/>
          <w:tab w:val="left" w:pos="2552"/>
          <w:tab w:val="left" w:pos="2694"/>
          <w:tab w:val="left" w:pos="5220"/>
        </w:tabs>
        <w:snapToGrid w:val="0"/>
        <w:spacing w:before="429" w:after="429" w:line="240" w:lineRule="auto"/>
        <w:ind w:left="2239" w:hanging="2239" w:hangingChars="697"/>
        <w:jc w:val="left"/>
        <w:rPr>
          <w:rFonts w:eastAsia="仿宋_GB2312"/>
          <w:color w:val="000000"/>
          <w:sz w:val="20"/>
          <w:szCs w:val="21"/>
        </w:rPr>
      </w:pPr>
      <w:bookmarkStart w:id="0" w:name="_Hlk3898799"/>
      <w:r>
        <w:rPr>
          <w:rFonts w:eastAsia="仿宋_GB2312"/>
          <w:b/>
          <w:sz w:val="32"/>
        </w:rPr>
        <w:drawing>
          <wp:inline distT="0" distB="0" distL="0" distR="0">
            <wp:extent cx="5721985" cy="57594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721985" cy="575945"/>
                    </a:xfrm>
                    <a:prstGeom prst="rect">
                      <a:avLst/>
                    </a:prstGeom>
                    <a:noFill/>
                    <a:ln>
                      <a:noFill/>
                    </a:ln>
                  </pic:spPr>
                </pic:pic>
              </a:graphicData>
            </a:graphic>
          </wp:inline>
        </w:drawing>
      </w:r>
      <w:bookmarkEnd w:id="0"/>
    </w:p>
    <w:p>
      <w:pPr>
        <w:tabs>
          <w:tab w:val="left" w:pos="2410"/>
          <w:tab w:val="left" w:pos="2552"/>
          <w:tab w:val="left" w:pos="2694"/>
          <w:tab w:val="left" w:pos="5220"/>
        </w:tabs>
        <w:snapToGrid w:val="0"/>
        <w:spacing w:before="429" w:after="429" w:line="240" w:lineRule="auto"/>
        <w:ind w:left="1394" w:hanging="1394" w:hangingChars="697"/>
        <w:jc w:val="left"/>
        <w:rPr>
          <w:rFonts w:eastAsia="仿宋_GB2312"/>
          <w:color w:val="000000"/>
          <w:sz w:val="20"/>
          <w:szCs w:val="21"/>
        </w:rPr>
        <w:sectPr>
          <w:headerReference r:id="rId6" w:type="first"/>
          <w:footerReference r:id="rId8" w:type="first"/>
          <w:headerReference r:id="rId5" w:type="default"/>
          <w:footerReference r:id="rId7" w:type="default"/>
          <w:pgSz w:w="11906" w:h="16838"/>
          <w:pgMar w:top="1134" w:right="1134" w:bottom="1134" w:left="1134" w:header="851" w:footer="992" w:gutter="567"/>
          <w:pgNumType w:start="1"/>
          <w:cols w:space="425" w:num="1"/>
          <w:titlePg/>
          <w:docGrid w:linePitch="286" w:charSpace="0"/>
        </w:sectPr>
      </w:pPr>
    </w:p>
    <w:p>
      <w:pPr>
        <w:tabs>
          <w:tab w:val="left" w:pos="142"/>
          <w:tab w:val="left" w:pos="1560"/>
          <w:tab w:val="left" w:pos="1843"/>
          <w:tab w:val="left" w:pos="1985"/>
        </w:tabs>
        <w:snapToGrid w:val="0"/>
        <w:spacing w:before="120" w:line="600" w:lineRule="auto"/>
        <w:jc w:val="center"/>
        <w:rPr>
          <w:rFonts w:eastAsia="仿宋_GB2312"/>
          <w:color w:val="000000"/>
          <w:sz w:val="36"/>
          <w:szCs w:val="36"/>
        </w:rPr>
      </w:pPr>
      <w:r>
        <w:rPr>
          <w:rFonts w:eastAsia="仿宋_GB2312"/>
          <w:b/>
          <w:color w:val="000000"/>
          <w:kern w:val="2"/>
          <w:sz w:val="36"/>
          <w:szCs w:val="36"/>
        </w:rPr>
        <w:t>致估价委托人函</w:t>
      </w:r>
    </w:p>
    <w:p>
      <w:pPr>
        <w:snapToGrid w:val="0"/>
        <w:spacing w:before="156" w:line="360" w:lineRule="auto"/>
        <w:rPr>
          <w:rFonts w:eastAsia="仿宋_GB2312"/>
          <w:bCs/>
          <w:sz w:val="28"/>
          <w:szCs w:val="28"/>
        </w:rPr>
      </w:pPr>
      <w:r>
        <w:rPr>
          <w:rFonts w:hint="eastAsia" w:eastAsia="仿宋_GB2312"/>
          <w:b/>
          <w:sz w:val="28"/>
          <w:szCs w:val="28"/>
        </w:rPr>
        <w:t>云南省永胜县人民法院</w:t>
      </w:r>
      <w:r>
        <w:rPr>
          <w:rFonts w:eastAsia="仿宋_GB2312"/>
          <w:bCs/>
          <w:sz w:val="28"/>
          <w:szCs w:val="28"/>
        </w:rPr>
        <w:t>：</w:t>
      </w:r>
    </w:p>
    <w:p>
      <w:pPr>
        <w:tabs>
          <w:tab w:val="left" w:pos="3060"/>
        </w:tabs>
        <w:snapToGrid w:val="0"/>
        <w:spacing w:line="360" w:lineRule="auto"/>
        <w:ind w:firstLine="560" w:firstLineChars="200"/>
        <w:rPr>
          <w:rFonts w:eastAsia="仿宋_GB2312"/>
          <w:sz w:val="28"/>
          <w:szCs w:val="28"/>
        </w:rPr>
      </w:pPr>
      <w:r>
        <w:rPr>
          <w:rFonts w:eastAsia="仿宋_GB2312"/>
          <w:sz w:val="28"/>
          <w:szCs w:val="28"/>
        </w:rPr>
        <w:t>承蒙委托，本机构依据中华人民共和国《房地产估价规范》等规定，组织</w:t>
      </w:r>
      <w:r>
        <w:rPr>
          <w:rFonts w:hint="eastAsia" w:eastAsia="仿宋_GB2312"/>
          <w:sz w:val="28"/>
          <w:szCs w:val="28"/>
        </w:rPr>
        <w:t>评估专业人员</w:t>
      </w:r>
      <w:r>
        <w:rPr>
          <w:rFonts w:eastAsia="仿宋_GB2312"/>
          <w:sz w:val="28"/>
          <w:szCs w:val="28"/>
        </w:rPr>
        <w:t>对贵</w:t>
      </w:r>
      <w:r>
        <w:rPr>
          <w:rFonts w:hint="eastAsia" w:eastAsia="仿宋_GB2312"/>
          <w:sz w:val="28"/>
          <w:szCs w:val="28"/>
        </w:rPr>
        <w:t>院</w:t>
      </w:r>
      <w:r>
        <w:rPr>
          <w:rFonts w:eastAsia="仿宋_GB2312"/>
          <w:sz w:val="28"/>
          <w:szCs w:val="28"/>
        </w:rPr>
        <w:t>委托的</w:t>
      </w:r>
      <w:r>
        <w:rPr>
          <w:rFonts w:hint="eastAsia" w:eastAsia="仿宋_GB2312"/>
          <w:sz w:val="28"/>
          <w:szCs w:val="28"/>
        </w:rPr>
        <w:t>坐落于</w:t>
      </w:r>
      <w:r>
        <w:rPr>
          <w:rFonts w:hint="eastAsia" w:eastAsia="仿宋_GB2312"/>
          <w:spacing w:val="-2"/>
          <w:sz w:val="28"/>
        </w:rPr>
        <w:t>永胜县永北镇华程小区2幢1单元101室</w:t>
      </w:r>
      <w:r>
        <w:rPr>
          <w:rFonts w:eastAsia="仿宋_GB2312"/>
          <w:kern w:val="28"/>
          <w:sz w:val="28"/>
          <w:szCs w:val="28"/>
        </w:rPr>
        <w:t>房地产</w:t>
      </w:r>
      <w:r>
        <w:rPr>
          <w:rFonts w:eastAsia="仿宋_GB2312"/>
          <w:sz w:val="28"/>
          <w:szCs w:val="28"/>
        </w:rPr>
        <w:t>进行了现场实地勘查，做出了具体测评。现将估价</w:t>
      </w:r>
      <w:r>
        <w:rPr>
          <w:rFonts w:hint="eastAsia" w:eastAsia="仿宋_GB2312"/>
          <w:sz w:val="28"/>
          <w:szCs w:val="28"/>
        </w:rPr>
        <w:t>情况</w:t>
      </w:r>
      <w:r>
        <w:rPr>
          <w:rFonts w:eastAsia="仿宋_GB2312"/>
          <w:sz w:val="28"/>
          <w:szCs w:val="28"/>
        </w:rPr>
        <w:t>归纳如下：</w:t>
      </w:r>
    </w:p>
    <w:p>
      <w:pPr>
        <w:tabs>
          <w:tab w:val="left" w:pos="567"/>
        </w:tabs>
        <w:snapToGrid w:val="0"/>
        <w:spacing w:line="360" w:lineRule="auto"/>
        <w:ind w:firstLine="562" w:firstLineChars="200"/>
        <w:rPr>
          <w:rFonts w:eastAsia="仿宋_GB2312"/>
          <w:sz w:val="28"/>
          <w:szCs w:val="28"/>
        </w:rPr>
      </w:pPr>
      <w:r>
        <w:rPr>
          <w:rFonts w:eastAsia="仿宋_GB2312"/>
          <w:b/>
          <w:sz w:val="28"/>
          <w:szCs w:val="28"/>
        </w:rPr>
        <w:t>估价目的：</w:t>
      </w:r>
      <w:r>
        <w:rPr>
          <w:rFonts w:eastAsia="仿宋_GB2312"/>
          <w:sz w:val="28"/>
          <w:szCs w:val="28"/>
        </w:rPr>
        <w:t>为</w:t>
      </w:r>
      <w:r>
        <w:rPr>
          <w:rFonts w:hint="eastAsia" w:eastAsia="仿宋_GB2312"/>
          <w:sz w:val="28"/>
          <w:szCs w:val="28"/>
        </w:rPr>
        <w:t>云南省永胜县人民法院</w:t>
      </w:r>
      <w:r>
        <w:rPr>
          <w:rFonts w:eastAsia="仿宋_GB2312"/>
          <w:sz w:val="28"/>
          <w:szCs w:val="28"/>
        </w:rPr>
        <w:t>确定财产处置</w:t>
      </w:r>
      <w:r>
        <w:rPr>
          <w:rFonts w:hint="eastAsia" w:eastAsia="仿宋_GB2312"/>
          <w:sz w:val="28"/>
          <w:szCs w:val="28"/>
        </w:rPr>
        <w:t>参考价</w:t>
      </w:r>
      <w:r>
        <w:rPr>
          <w:rFonts w:eastAsia="仿宋_GB2312"/>
          <w:sz w:val="28"/>
          <w:szCs w:val="28"/>
        </w:rPr>
        <w:t>提供参考依据。</w:t>
      </w:r>
    </w:p>
    <w:p>
      <w:pPr>
        <w:snapToGrid w:val="0"/>
        <w:spacing w:line="360" w:lineRule="auto"/>
        <w:ind w:firstLine="562" w:firstLineChars="200"/>
        <w:rPr>
          <w:rFonts w:eastAsia="仿宋_GB2312"/>
          <w:sz w:val="28"/>
          <w:szCs w:val="28"/>
        </w:rPr>
      </w:pPr>
      <w:r>
        <w:rPr>
          <w:rFonts w:eastAsia="仿宋_GB2312"/>
          <w:b/>
          <w:bCs/>
          <w:sz w:val="28"/>
          <w:szCs w:val="28"/>
        </w:rPr>
        <w:t>估价对象</w:t>
      </w:r>
      <w:r>
        <w:rPr>
          <w:rFonts w:eastAsia="仿宋_GB2312"/>
          <w:bCs/>
          <w:sz w:val="28"/>
          <w:szCs w:val="28"/>
        </w:rPr>
        <w:t>：</w:t>
      </w:r>
      <w:r>
        <w:rPr>
          <w:rFonts w:hint="eastAsia" w:eastAsia="仿宋_GB2312"/>
          <w:spacing w:val="-2"/>
          <w:sz w:val="28"/>
        </w:rPr>
        <w:t>永胜县永北镇华程小区2幢1单元101室</w:t>
      </w:r>
      <w:r>
        <w:rPr>
          <w:rFonts w:eastAsia="仿宋_GB2312"/>
          <w:sz w:val="28"/>
          <w:szCs w:val="28"/>
        </w:rPr>
        <w:t>房地产</w:t>
      </w:r>
      <w:bookmarkStart w:id="1" w:name="_Hlk11184272"/>
      <w:bookmarkStart w:id="2" w:name="_Hlk11184316"/>
      <w:r>
        <w:rPr>
          <w:rFonts w:hint="eastAsia" w:eastAsia="仿宋_GB2312"/>
          <w:sz w:val="28"/>
          <w:szCs w:val="28"/>
        </w:rPr>
        <w:t>（</w:t>
      </w:r>
      <w:r>
        <w:rPr>
          <w:rFonts w:eastAsia="仿宋_GB2312"/>
          <w:sz w:val="28"/>
          <w:szCs w:val="28"/>
        </w:rPr>
        <w:t>含其相应分摊的国有建设用地使用权</w:t>
      </w:r>
      <w:r>
        <w:rPr>
          <w:rFonts w:hint="eastAsia" w:eastAsia="仿宋_GB2312"/>
          <w:sz w:val="28"/>
          <w:szCs w:val="28"/>
        </w:rPr>
        <w:t>、</w:t>
      </w:r>
      <w:r>
        <w:rPr>
          <w:rFonts w:eastAsia="仿宋_GB2312"/>
          <w:sz w:val="28"/>
          <w:szCs w:val="28"/>
        </w:rPr>
        <w:t>房屋所有权及</w:t>
      </w:r>
      <w:r>
        <w:rPr>
          <w:rFonts w:hint="eastAsia" w:eastAsia="仿宋_GB2312"/>
          <w:sz w:val="28"/>
          <w:szCs w:val="28"/>
        </w:rPr>
        <w:t>不可移动的</w:t>
      </w:r>
      <w:r>
        <w:rPr>
          <w:rFonts w:eastAsia="仿宋_GB2312"/>
          <w:sz w:val="28"/>
          <w:szCs w:val="28"/>
        </w:rPr>
        <w:t>装饰装修，不含动产、特许经营权等</w:t>
      </w:r>
      <w:r>
        <w:rPr>
          <w:rFonts w:hint="eastAsia" w:eastAsia="仿宋_GB2312"/>
          <w:sz w:val="28"/>
          <w:szCs w:val="28"/>
        </w:rPr>
        <w:t>）</w:t>
      </w:r>
      <w:bookmarkEnd w:id="1"/>
      <w:bookmarkEnd w:id="2"/>
      <w:r>
        <w:rPr>
          <w:rFonts w:hint="eastAsia" w:eastAsia="仿宋_GB2312"/>
          <w:sz w:val="28"/>
          <w:szCs w:val="28"/>
        </w:rPr>
        <w:t>，建筑面积为104.49m</w:t>
      </w:r>
      <w:r>
        <w:rPr>
          <w:rFonts w:eastAsia="仿宋_GB2312"/>
          <w:sz w:val="28"/>
          <w:szCs w:val="28"/>
          <w:vertAlign w:val="superscript"/>
        </w:rPr>
        <w:t>2</w:t>
      </w:r>
      <w:r>
        <w:rPr>
          <w:rStyle w:val="27"/>
          <w:rFonts w:hint="eastAsia"/>
        </w:rPr>
        <w:t>，</w:t>
      </w:r>
      <w:r>
        <w:rPr>
          <w:rFonts w:hint="eastAsia" w:eastAsia="仿宋_GB2312"/>
          <w:sz w:val="28"/>
          <w:szCs w:val="28"/>
        </w:rPr>
        <w:t>土地分摊面积为20.89㎡</w:t>
      </w:r>
      <w:r>
        <w:rPr>
          <w:rFonts w:eastAsia="仿宋_GB2312"/>
          <w:sz w:val="28"/>
          <w:szCs w:val="28"/>
        </w:rPr>
        <w:t>。</w:t>
      </w:r>
    </w:p>
    <w:p>
      <w:pPr>
        <w:tabs>
          <w:tab w:val="left" w:pos="6450"/>
        </w:tabs>
        <w:snapToGrid w:val="0"/>
        <w:spacing w:line="360" w:lineRule="auto"/>
        <w:ind w:firstLine="562" w:firstLineChars="200"/>
        <w:rPr>
          <w:rFonts w:eastAsia="仿宋_GB2312"/>
          <w:sz w:val="28"/>
          <w:szCs w:val="28"/>
        </w:rPr>
      </w:pPr>
      <w:r>
        <w:rPr>
          <w:rFonts w:eastAsia="仿宋_GB2312"/>
          <w:b/>
          <w:sz w:val="28"/>
          <w:szCs w:val="28"/>
        </w:rPr>
        <w:t>价值时点：</w:t>
      </w:r>
      <w:r>
        <w:rPr>
          <w:rFonts w:hint="eastAsia" w:eastAsia="仿宋_GB2312"/>
          <w:sz w:val="28"/>
          <w:szCs w:val="28"/>
        </w:rPr>
        <w:t>2022年9月19日</w:t>
      </w:r>
    </w:p>
    <w:p>
      <w:pPr>
        <w:snapToGrid w:val="0"/>
        <w:spacing w:line="360" w:lineRule="auto"/>
        <w:ind w:firstLine="562" w:firstLineChars="200"/>
        <w:rPr>
          <w:rFonts w:eastAsia="仿宋_GB2312"/>
          <w:sz w:val="28"/>
          <w:szCs w:val="28"/>
        </w:rPr>
      </w:pPr>
      <w:r>
        <w:rPr>
          <w:rFonts w:eastAsia="仿宋_GB2312"/>
          <w:b/>
          <w:sz w:val="28"/>
          <w:szCs w:val="28"/>
        </w:rPr>
        <w:t>价值类型：</w:t>
      </w:r>
      <w:r>
        <w:rPr>
          <w:rFonts w:hint="eastAsia" w:eastAsia="仿宋_GB2312"/>
          <w:sz w:val="28"/>
          <w:szCs w:val="28"/>
        </w:rPr>
        <w:t>市场价值</w:t>
      </w:r>
    </w:p>
    <w:p>
      <w:pPr>
        <w:snapToGrid w:val="0"/>
        <w:spacing w:line="360" w:lineRule="auto"/>
        <w:ind w:firstLine="562" w:firstLineChars="200"/>
        <w:jc w:val="left"/>
        <w:rPr>
          <w:rFonts w:eastAsia="仿宋_GB2312"/>
          <w:sz w:val="28"/>
          <w:szCs w:val="28"/>
        </w:rPr>
      </w:pPr>
      <w:r>
        <w:rPr>
          <w:rFonts w:eastAsia="仿宋_GB2312"/>
          <w:b/>
          <w:sz w:val="28"/>
          <w:szCs w:val="28"/>
        </w:rPr>
        <w:t>估价方法：</w:t>
      </w:r>
      <w:r>
        <w:rPr>
          <w:rFonts w:hint="eastAsia" w:eastAsia="仿宋_GB2312"/>
          <w:sz w:val="28"/>
        </w:rPr>
        <w:t>比较法</w:t>
      </w:r>
    </w:p>
    <w:p>
      <w:pPr>
        <w:snapToGrid w:val="0"/>
        <w:spacing w:line="360" w:lineRule="auto"/>
        <w:ind w:firstLine="562" w:firstLineChars="200"/>
        <w:jc w:val="left"/>
        <w:rPr>
          <w:rFonts w:eastAsia="仿宋_GB2312"/>
          <w:sz w:val="28"/>
          <w:szCs w:val="28"/>
        </w:rPr>
      </w:pPr>
      <w:r>
        <w:rPr>
          <w:rFonts w:eastAsia="仿宋_GB2312"/>
          <w:b/>
          <w:sz w:val="28"/>
          <w:szCs w:val="28"/>
        </w:rPr>
        <w:t>估价结果：</w:t>
      </w:r>
      <w:bookmarkStart w:id="3" w:name="_Hlk11186117"/>
      <w:r>
        <w:rPr>
          <w:rFonts w:eastAsia="仿宋_GB2312"/>
          <w:sz w:val="28"/>
          <w:szCs w:val="28"/>
        </w:rPr>
        <w:t>估价人员经过实地查勘和市场调查，根据估价目的，遵照国家的相关法规及估价原则，按照估价程序，采用科学合理的估价方法，在认真分析相关资料的基础上，并综合考虑影响房地产市场价格的各项因素，结合估价师的专业经验和周密测算与判断，确定估价对象在价值时点的估价结果</w:t>
      </w:r>
      <w:bookmarkEnd w:id="3"/>
      <w:r>
        <w:rPr>
          <w:rFonts w:eastAsia="仿宋_GB2312"/>
          <w:sz w:val="28"/>
          <w:szCs w:val="28"/>
        </w:rPr>
        <w:t>为</w:t>
      </w:r>
      <w:r>
        <w:rPr>
          <w:rFonts w:hint="eastAsia" w:eastAsia="仿宋_GB2312"/>
          <w:sz w:val="28"/>
          <w:szCs w:val="28"/>
        </w:rPr>
        <w:t>人民币</w:t>
      </w:r>
      <w:r>
        <w:rPr>
          <w:rFonts w:hint="eastAsia" w:eastAsia="仿宋_GB2312"/>
          <w:sz w:val="28"/>
          <w:szCs w:val="28"/>
          <w:lang w:eastAsia="zh-CN"/>
        </w:rPr>
        <w:t>509,500.00</w:t>
      </w:r>
      <w:r>
        <w:rPr>
          <w:rFonts w:hint="eastAsia" w:eastAsia="仿宋_GB2312"/>
          <w:sz w:val="28"/>
          <w:szCs w:val="28"/>
        </w:rPr>
        <w:t>元（大写：</w:t>
      </w:r>
      <w:r>
        <w:rPr>
          <w:rFonts w:hint="eastAsia" w:eastAsia="仿宋_GB2312"/>
          <w:sz w:val="28"/>
          <w:szCs w:val="28"/>
          <w:lang w:eastAsia="zh-CN"/>
        </w:rPr>
        <w:t>伍拾万零玖仟伍佰元整</w:t>
      </w:r>
      <w:r>
        <w:rPr>
          <w:rFonts w:hint="eastAsia" w:eastAsia="仿宋_GB2312"/>
          <w:sz w:val="28"/>
          <w:szCs w:val="28"/>
        </w:rPr>
        <w:t>）。</w:t>
      </w:r>
    </w:p>
    <w:p>
      <w:pPr>
        <w:widowControl/>
        <w:adjustRightInd/>
        <w:spacing w:line="240" w:lineRule="auto"/>
        <w:jc w:val="center"/>
        <w:textAlignment w:val="auto"/>
        <w:rPr>
          <w:rFonts w:ascii="仿宋_GB2312" w:eastAsia="仿宋_GB2312"/>
          <w:b/>
          <w:sz w:val="28"/>
          <w:szCs w:val="28"/>
        </w:rPr>
      </w:pPr>
      <w:r>
        <w:rPr>
          <w:rFonts w:hint="eastAsia" w:ascii="仿宋_GB2312" w:eastAsia="仿宋_GB2312"/>
          <w:b/>
          <w:sz w:val="28"/>
          <w:szCs w:val="28"/>
        </w:rPr>
        <w:t>估价结果汇总表</w:t>
      </w:r>
    </w:p>
    <w:p>
      <w:pPr>
        <w:snapToGrid w:val="0"/>
        <w:spacing w:line="360" w:lineRule="auto"/>
        <w:ind w:firstLine="422" w:firstLineChars="200"/>
        <w:jc w:val="right"/>
        <w:rPr>
          <w:rFonts w:ascii="仿宋_GB2312" w:eastAsia="仿宋_GB2312"/>
          <w:b/>
          <w:sz w:val="28"/>
          <w:szCs w:val="28"/>
        </w:rPr>
      </w:pPr>
      <w:r>
        <w:rPr>
          <w:rFonts w:hint="eastAsia" w:ascii="仿宋_GB2312" w:eastAsia="仿宋_GB2312" w:cs="宋体"/>
          <w:b/>
          <w:szCs w:val="21"/>
        </w:rPr>
        <w:t>币种：人民币</w:t>
      </w:r>
    </w:p>
    <w:tbl>
      <w:tblPr>
        <w:tblStyle w:val="24"/>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18"/>
        <w:gridCol w:w="2820"/>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blHeader/>
          <w:jc w:val="center"/>
        </w:trPr>
        <w:tc>
          <w:tcPr>
            <w:tcW w:w="3369" w:type="pct"/>
            <w:gridSpan w:val="2"/>
            <w:tcBorders>
              <w:tl2br w:val="single" w:color="auto" w:sz="4" w:space="0"/>
            </w:tcBorders>
            <w:vAlign w:val="center"/>
          </w:tcPr>
          <w:p>
            <w:pPr>
              <w:snapToGrid w:val="0"/>
              <w:spacing w:line="360" w:lineRule="auto"/>
              <w:jc w:val="right"/>
              <w:rPr>
                <w:rFonts w:eastAsia="仿宋_GB2312"/>
                <w:szCs w:val="21"/>
              </w:rPr>
            </w:pPr>
            <w:r>
              <w:rPr>
                <w:rFonts w:hint="eastAsia" w:eastAsia="仿宋_GB2312"/>
                <w:szCs w:val="21"/>
              </w:rPr>
              <w:t>估价方法</w:t>
            </w:r>
          </w:p>
          <w:p>
            <w:pPr>
              <w:snapToGrid w:val="0"/>
              <w:spacing w:line="240" w:lineRule="auto"/>
              <w:rPr>
                <w:rFonts w:eastAsia="仿宋_GB2312"/>
                <w:szCs w:val="21"/>
              </w:rPr>
            </w:pPr>
            <w:r>
              <w:rPr>
                <w:rFonts w:hint="eastAsia" w:eastAsia="仿宋_GB2312"/>
                <w:szCs w:val="21"/>
              </w:rPr>
              <w:t>相关结果</w:t>
            </w:r>
          </w:p>
        </w:tc>
        <w:tc>
          <w:tcPr>
            <w:tcW w:w="1630" w:type="pct"/>
            <w:vAlign w:val="center"/>
          </w:tcPr>
          <w:p>
            <w:pPr>
              <w:snapToGrid w:val="0"/>
              <w:spacing w:line="240" w:lineRule="auto"/>
              <w:jc w:val="center"/>
              <w:rPr>
                <w:rFonts w:eastAsia="仿宋_GB2312"/>
                <w:szCs w:val="21"/>
              </w:rPr>
            </w:pPr>
            <w:r>
              <w:rPr>
                <w:rFonts w:hint="eastAsia" w:eastAsia="仿宋_GB2312"/>
                <w:szCs w:val="21"/>
              </w:rPr>
              <w:t>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846" w:type="pct"/>
            <w:vMerge w:val="restart"/>
            <w:vAlign w:val="center"/>
          </w:tcPr>
          <w:p>
            <w:pPr>
              <w:snapToGrid w:val="0"/>
              <w:spacing w:line="240" w:lineRule="auto"/>
              <w:jc w:val="center"/>
              <w:rPr>
                <w:rFonts w:eastAsia="仿宋_GB2312"/>
                <w:szCs w:val="21"/>
              </w:rPr>
            </w:pPr>
            <w:r>
              <w:rPr>
                <w:rFonts w:hint="eastAsia" w:eastAsia="仿宋_GB2312"/>
                <w:szCs w:val="21"/>
              </w:rPr>
              <w:t>永胜县永北镇华程小区2幢1单元101室房地产</w:t>
            </w:r>
          </w:p>
        </w:tc>
        <w:tc>
          <w:tcPr>
            <w:tcW w:w="1523" w:type="pct"/>
            <w:vAlign w:val="center"/>
          </w:tcPr>
          <w:p>
            <w:pPr>
              <w:snapToGrid w:val="0"/>
              <w:spacing w:line="240" w:lineRule="auto"/>
              <w:jc w:val="left"/>
              <w:rPr>
                <w:rFonts w:eastAsia="仿宋_GB2312"/>
                <w:szCs w:val="21"/>
              </w:rPr>
            </w:pPr>
            <w:r>
              <w:rPr>
                <w:rFonts w:hint="eastAsia" w:eastAsia="仿宋_GB2312"/>
                <w:szCs w:val="21"/>
              </w:rPr>
              <w:t>总价（元）</w:t>
            </w:r>
          </w:p>
        </w:tc>
        <w:tc>
          <w:tcPr>
            <w:tcW w:w="1630" w:type="pct"/>
            <w:vAlign w:val="center"/>
          </w:tcPr>
          <w:p>
            <w:pPr>
              <w:snapToGrid w:val="0"/>
              <w:spacing w:line="240" w:lineRule="auto"/>
              <w:jc w:val="right"/>
              <w:rPr>
                <w:rFonts w:hint="eastAsia" w:eastAsia="仿宋_GB2312"/>
                <w:szCs w:val="21"/>
                <w:lang w:eastAsia="zh-CN"/>
              </w:rPr>
            </w:pPr>
            <w:r>
              <w:rPr>
                <w:rFonts w:hint="eastAsia" w:eastAsia="仿宋_GB2312"/>
                <w:color w:val="000000"/>
                <w:szCs w:val="21"/>
                <w:lang w:eastAsia="zh-CN"/>
              </w:rPr>
              <w:t>509,500.00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846" w:type="pct"/>
            <w:vMerge w:val="continue"/>
            <w:vAlign w:val="center"/>
          </w:tcPr>
          <w:p>
            <w:pPr>
              <w:snapToGrid w:val="0"/>
              <w:spacing w:line="360" w:lineRule="auto"/>
              <w:jc w:val="center"/>
              <w:rPr>
                <w:rFonts w:eastAsia="仿宋_GB2312"/>
                <w:szCs w:val="21"/>
              </w:rPr>
            </w:pPr>
          </w:p>
        </w:tc>
        <w:tc>
          <w:tcPr>
            <w:tcW w:w="1523" w:type="pct"/>
            <w:vAlign w:val="center"/>
          </w:tcPr>
          <w:p>
            <w:pPr>
              <w:snapToGrid w:val="0"/>
              <w:spacing w:line="240" w:lineRule="auto"/>
              <w:jc w:val="left"/>
              <w:rPr>
                <w:rFonts w:eastAsia="仿宋_GB2312"/>
                <w:szCs w:val="21"/>
              </w:rPr>
            </w:pPr>
            <w:r>
              <w:rPr>
                <w:rFonts w:hint="eastAsia" w:eastAsia="仿宋_GB2312"/>
                <w:szCs w:val="21"/>
              </w:rPr>
              <w:t>单价（元</w:t>
            </w:r>
            <w:r>
              <w:rPr>
                <w:rFonts w:eastAsia="仿宋_GB2312"/>
                <w:szCs w:val="21"/>
              </w:rPr>
              <w:t>/</w:t>
            </w:r>
            <w:r>
              <w:rPr>
                <w:rFonts w:hint="eastAsia" w:ascii="Batang" w:hAnsi="Batang" w:eastAsia="Batang" w:cs="Batang"/>
                <w:szCs w:val="21"/>
              </w:rPr>
              <w:t>㎡</w:t>
            </w:r>
            <w:r>
              <w:rPr>
                <w:rFonts w:hint="eastAsia" w:eastAsia="仿宋_GB2312"/>
                <w:szCs w:val="21"/>
              </w:rPr>
              <w:t>）</w:t>
            </w:r>
          </w:p>
        </w:tc>
        <w:tc>
          <w:tcPr>
            <w:tcW w:w="1630" w:type="pct"/>
            <w:vAlign w:val="center"/>
          </w:tcPr>
          <w:p>
            <w:pPr>
              <w:snapToGrid w:val="0"/>
              <w:spacing w:line="240" w:lineRule="auto"/>
              <w:jc w:val="right"/>
              <w:rPr>
                <w:rFonts w:hint="eastAsia" w:eastAsia="仿宋_GB2312"/>
                <w:szCs w:val="21"/>
                <w:lang w:eastAsia="zh-CN"/>
              </w:rPr>
            </w:pPr>
            <w:r>
              <w:rPr>
                <w:rFonts w:hint="eastAsia" w:eastAsia="仿宋_GB2312"/>
                <w:color w:val="000000"/>
                <w:szCs w:val="21"/>
                <w:lang w:eastAsia="zh-CN"/>
              </w:rPr>
              <w:t>4,876.00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846" w:type="pct"/>
            <w:vMerge w:val="restart"/>
            <w:vAlign w:val="center"/>
          </w:tcPr>
          <w:p>
            <w:pPr>
              <w:snapToGrid w:val="0"/>
              <w:spacing w:line="360" w:lineRule="auto"/>
              <w:jc w:val="center"/>
              <w:rPr>
                <w:rFonts w:eastAsia="仿宋_GB2312"/>
                <w:szCs w:val="21"/>
              </w:rPr>
            </w:pPr>
            <w:r>
              <w:rPr>
                <w:rFonts w:hint="eastAsia" w:eastAsia="仿宋_GB2312"/>
                <w:szCs w:val="21"/>
              </w:rPr>
              <w:t>评估价值</w:t>
            </w:r>
          </w:p>
        </w:tc>
        <w:tc>
          <w:tcPr>
            <w:tcW w:w="1523" w:type="pct"/>
            <w:vAlign w:val="center"/>
          </w:tcPr>
          <w:p>
            <w:pPr>
              <w:snapToGrid w:val="0"/>
              <w:spacing w:line="240" w:lineRule="auto"/>
              <w:jc w:val="left"/>
              <w:rPr>
                <w:rFonts w:eastAsia="仿宋_GB2312"/>
                <w:szCs w:val="21"/>
              </w:rPr>
            </w:pPr>
            <w:r>
              <w:rPr>
                <w:rFonts w:hint="eastAsia" w:eastAsia="仿宋_GB2312"/>
                <w:szCs w:val="21"/>
              </w:rPr>
              <w:t>总价（元）</w:t>
            </w:r>
          </w:p>
        </w:tc>
        <w:tc>
          <w:tcPr>
            <w:tcW w:w="1630" w:type="pct"/>
            <w:vAlign w:val="center"/>
          </w:tcPr>
          <w:p>
            <w:pPr>
              <w:snapToGrid w:val="0"/>
              <w:spacing w:line="240" w:lineRule="auto"/>
              <w:jc w:val="right"/>
              <w:rPr>
                <w:rFonts w:hint="eastAsia" w:eastAsia="仿宋_GB2312"/>
                <w:color w:val="000000"/>
                <w:szCs w:val="21"/>
                <w:lang w:eastAsia="zh-CN"/>
              </w:rPr>
            </w:pPr>
            <w:r>
              <w:rPr>
                <w:rFonts w:hint="eastAsia" w:eastAsia="仿宋_GB2312"/>
                <w:color w:val="000000"/>
                <w:szCs w:val="21"/>
                <w:lang w:eastAsia="zh-CN"/>
              </w:rPr>
              <w:t>509,500.00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46" w:type="pct"/>
            <w:vMerge w:val="continue"/>
            <w:vAlign w:val="center"/>
          </w:tcPr>
          <w:p>
            <w:pPr>
              <w:snapToGrid w:val="0"/>
              <w:spacing w:line="360" w:lineRule="auto"/>
              <w:jc w:val="center"/>
              <w:rPr>
                <w:rFonts w:eastAsia="仿宋_GB2312"/>
                <w:szCs w:val="21"/>
              </w:rPr>
            </w:pPr>
          </w:p>
        </w:tc>
        <w:tc>
          <w:tcPr>
            <w:tcW w:w="1523" w:type="pct"/>
            <w:vAlign w:val="center"/>
          </w:tcPr>
          <w:p>
            <w:pPr>
              <w:snapToGrid w:val="0"/>
              <w:spacing w:line="240" w:lineRule="auto"/>
              <w:jc w:val="left"/>
              <w:rPr>
                <w:rFonts w:eastAsia="仿宋_GB2312"/>
                <w:szCs w:val="21"/>
              </w:rPr>
            </w:pPr>
            <w:r>
              <w:rPr>
                <w:rFonts w:hint="eastAsia" w:eastAsia="仿宋_GB2312"/>
                <w:szCs w:val="21"/>
              </w:rPr>
              <w:t>单价（元</w:t>
            </w:r>
            <w:r>
              <w:rPr>
                <w:rFonts w:eastAsia="仿宋_GB2312"/>
                <w:szCs w:val="21"/>
              </w:rPr>
              <w:t>/</w:t>
            </w:r>
            <w:r>
              <w:rPr>
                <w:rFonts w:hint="eastAsia" w:ascii="Batang" w:hAnsi="Batang" w:eastAsia="Batang" w:cs="Batang"/>
                <w:szCs w:val="21"/>
              </w:rPr>
              <w:t>㎡</w:t>
            </w:r>
            <w:r>
              <w:rPr>
                <w:rFonts w:hint="eastAsia" w:eastAsia="仿宋_GB2312"/>
                <w:szCs w:val="21"/>
              </w:rPr>
              <w:t>）</w:t>
            </w:r>
          </w:p>
        </w:tc>
        <w:tc>
          <w:tcPr>
            <w:tcW w:w="1630" w:type="pct"/>
            <w:vAlign w:val="center"/>
          </w:tcPr>
          <w:p>
            <w:pPr>
              <w:snapToGrid w:val="0"/>
              <w:spacing w:line="240" w:lineRule="auto"/>
              <w:jc w:val="right"/>
              <w:rPr>
                <w:rFonts w:hint="eastAsia" w:eastAsia="仿宋_GB2312"/>
                <w:color w:val="000000"/>
                <w:szCs w:val="21"/>
                <w:lang w:eastAsia="zh-CN"/>
              </w:rPr>
            </w:pPr>
            <w:r>
              <w:rPr>
                <w:rFonts w:hint="eastAsia" w:eastAsia="仿宋_GB2312"/>
                <w:color w:val="000000"/>
                <w:szCs w:val="21"/>
                <w:lang w:eastAsia="zh-CN"/>
              </w:rPr>
              <w:t>4,876.00</w:t>
            </w:r>
          </w:p>
        </w:tc>
      </w:tr>
    </w:tbl>
    <w:p>
      <w:pPr>
        <w:snapToGrid w:val="0"/>
        <w:spacing w:line="560" w:lineRule="exact"/>
        <w:ind w:firstLine="562" w:firstLineChars="200"/>
        <w:jc w:val="left"/>
        <w:rPr>
          <w:rFonts w:eastAsia="仿宋_GB2312"/>
          <w:b/>
          <w:sz w:val="28"/>
          <w:szCs w:val="28"/>
        </w:rPr>
      </w:pPr>
      <w:r>
        <w:rPr>
          <w:rFonts w:eastAsia="仿宋_GB2312"/>
          <w:b/>
          <w:sz w:val="28"/>
          <w:szCs w:val="28"/>
        </w:rPr>
        <w:t>特别提示：</w:t>
      </w:r>
    </w:p>
    <w:p>
      <w:pPr>
        <w:snapToGrid w:val="0"/>
        <w:spacing w:line="600" w:lineRule="exact"/>
        <w:ind w:firstLine="560" w:firstLineChars="200"/>
        <w:rPr>
          <w:rFonts w:eastAsia="仿宋_GB2312"/>
          <w:sz w:val="28"/>
          <w:szCs w:val="28"/>
        </w:rPr>
      </w:pPr>
      <w:r>
        <w:rPr>
          <w:rFonts w:eastAsia="仿宋_GB2312"/>
          <w:bCs/>
          <w:sz w:val="28"/>
          <w:szCs w:val="28"/>
        </w:rPr>
        <w:t>1</w:t>
      </w:r>
      <w:r>
        <w:rPr>
          <w:rFonts w:eastAsia="仿宋_GB2312"/>
          <w:sz w:val="28"/>
          <w:szCs w:val="28"/>
        </w:rPr>
        <w:t>、本估价报告必须整体使用，敬请估价委托人及估价利害关系人仔细阅读报告全文，特别是</w:t>
      </w:r>
      <w:r>
        <w:rPr>
          <w:rFonts w:hint="eastAsia" w:eastAsia="仿宋_GB2312"/>
          <w:sz w:val="28"/>
          <w:szCs w:val="28"/>
        </w:rPr>
        <w:t>“</w:t>
      </w:r>
      <w:r>
        <w:rPr>
          <w:rFonts w:eastAsia="仿宋_GB2312"/>
          <w:sz w:val="28"/>
          <w:szCs w:val="28"/>
        </w:rPr>
        <w:t>估价的假设和限制条件</w:t>
      </w:r>
      <w:r>
        <w:rPr>
          <w:rFonts w:hint="eastAsia" w:eastAsia="仿宋_GB2312"/>
          <w:sz w:val="28"/>
          <w:szCs w:val="28"/>
        </w:rPr>
        <w:t>”</w:t>
      </w:r>
      <w:r>
        <w:rPr>
          <w:rFonts w:eastAsia="仿宋_GB2312"/>
          <w:sz w:val="28"/>
          <w:szCs w:val="28"/>
        </w:rPr>
        <w:t>和</w:t>
      </w:r>
      <w:r>
        <w:rPr>
          <w:rFonts w:hint="eastAsia" w:eastAsia="仿宋_GB2312"/>
          <w:sz w:val="28"/>
          <w:szCs w:val="28"/>
        </w:rPr>
        <w:t>“</w:t>
      </w:r>
      <w:r>
        <w:rPr>
          <w:rFonts w:eastAsia="仿宋_GB2312"/>
          <w:sz w:val="28"/>
          <w:szCs w:val="28"/>
        </w:rPr>
        <w:t>价值定义</w:t>
      </w:r>
      <w:r>
        <w:rPr>
          <w:rFonts w:hint="eastAsia" w:eastAsia="仿宋_GB2312"/>
          <w:sz w:val="28"/>
          <w:szCs w:val="28"/>
        </w:rPr>
        <w:t>”</w:t>
      </w:r>
      <w:r>
        <w:rPr>
          <w:rFonts w:eastAsia="仿宋_GB2312"/>
          <w:sz w:val="28"/>
          <w:szCs w:val="28"/>
        </w:rPr>
        <w:t>，以免使用不当造成损失。</w:t>
      </w:r>
    </w:p>
    <w:p>
      <w:pPr>
        <w:snapToGrid w:val="0"/>
        <w:spacing w:line="600" w:lineRule="exact"/>
        <w:ind w:firstLine="560" w:firstLineChars="200"/>
        <w:rPr>
          <w:rFonts w:eastAsia="仿宋_GB2312"/>
          <w:sz w:val="28"/>
          <w:szCs w:val="28"/>
        </w:rPr>
      </w:pPr>
      <w:r>
        <w:rPr>
          <w:rFonts w:eastAsia="仿宋_GB2312"/>
          <w:sz w:val="28"/>
          <w:szCs w:val="28"/>
        </w:rPr>
        <w:t>2、本估价报告受到估价目的的限制，仅为估价委托人为本报告载明的目的下使用，不得用作其他用途。</w:t>
      </w:r>
    </w:p>
    <w:p>
      <w:pPr>
        <w:snapToGrid w:val="0"/>
        <w:spacing w:line="600" w:lineRule="exact"/>
        <w:ind w:firstLine="560" w:firstLineChars="200"/>
        <w:rPr>
          <w:rFonts w:eastAsia="仿宋_GB2312"/>
          <w:sz w:val="28"/>
          <w:szCs w:val="28"/>
        </w:rPr>
      </w:pPr>
      <w:r>
        <w:rPr>
          <w:rFonts w:hint="eastAsia" w:eastAsia="仿宋_GB2312"/>
          <w:sz w:val="28"/>
          <w:szCs w:val="28"/>
        </w:rPr>
        <w:t>3、本次估价现场查勘时，委托人、申请人未到场，在与委托人确定不影响现场实地勘查的前提下，估价人员在被申请人的带领下对估价对象进行现场清查核实，因申请人未参与现场查勘工作，对申请人放弃参与现场查勘工作造成的不利影响，我机构不承担相应责任。</w:t>
      </w:r>
    </w:p>
    <w:p>
      <w:pPr>
        <w:snapToGrid w:val="0"/>
        <w:spacing w:line="600" w:lineRule="exact"/>
        <w:ind w:firstLine="560" w:firstLineChars="200"/>
        <w:rPr>
          <w:rFonts w:eastAsia="仿宋_GB2312"/>
          <w:sz w:val="28"/>
          <w:szCs w:val="28"/>
        </w:rPr>
      </w:pPr>
      <w:r>
        <w:rPr>
          <w:rFonts w:hint="eastAsia" w:eastAsia="仿宋_GB2312"/>
          <w:sz w:val="28"/>
          <w:szCs w:val="28"/>
        </w:rPr>
        <w:t>4、由于委托人及相关权利人未提供估价对象是否存在欠缴税费，拖欠物业费、供暖费、水电气费等情况及金额，估价人员难于确定估价对象是否存在应缴未缴税费，本次估价结论不考虑可能存在的应缴未缴税费对估价结论的影响。委托人及相关权利人未提供估价对象继承赠与的相关情况说明，由于估价人员权利受限无法获取估价对象是否存在继承赠与情况，本次估价结论不考虑存在的应缴未缴费用及其他权利情况对估价结论的影响。</w:t>
      </w:r>
    </w:p>
    <w:p>
      <w:pPr>
        <w:snapToGrid w:val="0"/>
        <w:spacing w:line="540" w:lineRule="exact"/>
        <w:ind w:firstLine="560" w:firstLineChars="200"/>
        <w:rPr>
          <w:rFonts w:eastAsia="仿宋_GB2312"/>
          <w:sz w:val="28"/>
          <w:szCs w:val="28"/>
        </w:rPr>
      </w:pPr>
      <w:r>
        <w:rPr>
          <w:rFonts w:hint="eastAsia" w:eastAsia="仿宋_GB2312"/>
          <w:sz w:val="28"/>
          <w:szCs w:val="28"/>
        </w:rPr>
        <w:t>5、</w:t>
      </w:r>
      <w:r>
        <w:rPr>
          <w:rFonts w:eastAsia="仿宋_GB2312"/>
          <w:snapToGrid w:val="0"/>
          <w:sz w:val="28"/>
          <w:szCs w:val="28"/>
        </w:rPr>
        <w:t>本次估价对象</w:t>
      </w:r>
      <w:r>
        <w:rPr>
          <w:rFonts w:eastAsia="仿宋_GB2312"/>
          <w:sz w:val="28"/>
          <w:szCs w:val="28"/>
        </w:rPr>
        <w:t>根据</w:t>
      </w:r>
      <w:r>
        <w:rPr>
          <w:rFonts w:hint="eastAsia" w:eastAsia="仿宋_GB2312"/>
          <w:sz w:val="28"/>
          <w:szCs w:val="28"/>
        </w:rPr>
        <w:t>委托人及当事人提供的《自然资源部房地产权结果信息一览表》、《房屋所有权证》及《国有土地使用证》知悉</w:t>
      </w:r>
      <w:r>
        <w:rPr>
          <w:rFonts w:eastAsia="仿宋_GB2312"/>
          <w:sz w:val="28"/>
          <w:szCs w:val="28"/>
        </w:rPr>
        <w:t>，</w:t>
      </w:r>
      <w:r>
        <w:rPr>
          <w:rFonts w:hint="eastAsia" w:eastAsia="仿宋_GB2312"/>
          <w:sz w:val="28"/>
          <w:szCs w:val="28"/>
        </w:rPr>
        <w:t>《房屋所有权证》中</w:t>
      </w:r>
      <w:r>
        <w:rPr>
          <w:rFonts w:eastAsia="仿宋_GB2312"/>
          <w:sz w:val="28"/>
          <w:szCs w:val="28"/>
        </w:rPr>
        <w:t>估价对象房屋</w:t>
      </w:r>
      <w:r>
        <w:rPr>
          <w:rFonts w:hint="eastAsia" w:eastAsia="仿宋_GB2312"/>
          <w:sz w:val="28"/>
          <w:szCs w:val="28"/>
        </w:rPr>
        <w:t>坐落为</w:t>
      </w:r>
      <w:r>
        <w:rPr>
          <w:rFonts w:hint="eastAsia" w:eastAsia="仿宋_GB2312"/>
          <w:spacing w:val="-2"/>
          <w:sz w:val="28"/>
        </w:rPr>
        <w:t>永胜县永北镇华程小区2幢1单元101室</w:t>
      </w:r>
      <w:r>
        <w:rPr>
          <w:rFonts w:eastAsia="仿宋_GB2312"/>
          <w:sz w:val="28"/>
          <w:szCs w:val="28"/>
        </w:rPr>
        <w:t>，</w:t>
      </w:r>
      <w:r>
        <w:rPr>
          <w:rFonts w:hint="eastAsia" w:eastAsia="仿宋_GB2312"/>
          <w:sz w:val="28"/>
          <w:szCs w:val="28"/>
        </w:rPr>
        <w:t>《国有土地使用证》中估价对象</w:t>
      </w:r>
      <w:r>
        <w:rPr>
          <w:rFonts w:eastAsia="仿宋_GB2312"/>
          <w:sz w:val="28"/>
          <w:szCs w:val="28"/>
        </w:rPr>
        <w:t>房屋</w:t>
      </w:r>
      <w:r>
        <w:rPr>
          <w:rFonts w:hint="eastAsia" w:eastAsia="仿宋_GB2312"/>
          <w:sz w:val="28"/>
          <w:szCs w:val="28"/>
        </w:rPr>
        <w:t>坐落为</w:t>
      </w:r>
      <w:r>
        <w:rPr>
          <w:rFonts w:hint="eastAsia" w:eastAsia="仿宋_GB2312"/>
          <w:spacing w:val="-2"/>
          <w:sz w:val="28"/>
        </w:rPr>
        <w:t>永胜县永北镇华辰小区2幢1单元101室</w:t>
      </w:r>
      <w:r>
        <w:rPr>
          <w:rFonts w:eastAsia="仿宋_GB2312"/>
          <w:sz w:val="28"/>
          <w:szCs w:val="28"/>
        </w:rPr>
        <w:t>，</w:t>
      </w:r>
      <w:r>
        <w:rPr>
          <w:rFonts w:hint="eastAsia" w:eastAsia="仿宋_GB2312"/>
          <w:sz w:val="28"/>
          <w:szCs w:val="28"/>
        </w:rPr>
        <w:t>经估价人员现场勘查房屋坐落为</w:t>
      </w:r>
      <w:r>
        <w:rPr>
          <w:rFonts w:hint="eastAsia" w:eastAsia="仿宋_GB2312"/>
          <w:spacing w:val="-2"/>
          <w:sz w:val="28"/>
        </w:rPr>
        <w:t>永胜县永北镇华辰小区，位置属一致。</w:t>
      </w:r>
    </w:p>
    <w:p>
      <w:pPr>
        <w:spacing w:line="600" w:lineRule="exact"/>
        <w:ind w:firstLine="560" w:firstLineChars="200"/>
        <w:rPr>
          <w:rFonts w:eastAsia="仿宋_GB2312"/>
          <w:sz w:val="28"/>
          <w:szCs w:val="28"/>
        </w:rPr>
      </w:pPr>
      <w:r>
        <w:rPr>
          <w:rFonts w:hint="eastAsia" w:eastAsia="仿宋_GB2312"/>
          <w:sz w:val="28"/>
          <w:szCs w:val="28"/>
        </w:rPr>
        <w:t>6、根据相关规定本次估价不考虑估价对象被查封以及原有的担保物权和其他优先受偿权对估价结论的影响。</w:t>
      </w:r>
    </w:p>
    <w:p>
      <w:pPr>
        <w:spacing w:line="600" w:lineRule="exact"/>
        <w:ind w:firstLine="560" w:firstLineChars="200"/>
        <w:rPr>
          <w:rFonts w:eastAsia="仿宋_GB2312"/>
          <w:sz w:val="28"/>
          <w:szCs w:val="28"/>
        </w:rPr>
      </w:pPr>
      <w:r>
        <w:rPr>
          <w:rFonts w:hint="eastAsia" w:eastAsia="仿宋_GB2312"/>
          <w:sz w:val="28"/>
          <w:szCs w:val="28"/>
        </w:rPr>
        <w:t>7、本次估价结论未考虑估价对象处置时可能产生的拍卖费、诉讼费、律师费等处置费用对估价结论的影响。</w:t>
      </w:r>
    </w:p>
    <w:p>
      <w:pPr>
        <w:spacing w:line="600" w:lineRule="exact"/>
        <w:ind w:firstLine="560" w:firstLineChars="200"/>
        <w:rPr>
          <w:rFonts w:eastAsia="仿宋_GB2312"/>
          <w:sz w:val="28"/>
          <w:szCs w:val="28"/>
        </w:rPr>
      </w:pPr>
      <w:r>
        <w:rPr>
          <w:rFonts w:hint="eastAsia" w:eastAsia="仿宋_GB2312"/>
          <w:sz w:val="28"/>
          <w:szCs w:val="28"/>
        </w:rPr>
        <w:t>8、本次估价价值内涵为买卖双方各自承担交易税费，未考虑可能存在的交易税费转嫁对估价结论的影响。</w:t>
      </w:r>
    </w:p>
    <w:p>
      <w:pPr>
        <w:spacing w:line="600" w:lineRule="exact"/>
        <w:ind w:firstLine="560" w:firstLineChars="200"/>
        <w:rPr>
          <w:rFonts w:eastAsia="仿宋_GB2312"/>
          <w:sz w:val="28"/>
          <w:szCs w:val="28"/>
        </w:rPr>
      </w:pPr>
      <w:r>
        <w:rPr>
          <w:rFonts w:hint="eastAsia" w:eastAsia="仿宋_GB2312"/>
          <w:sz w:val="28"/>
          <w:szCs w:val="28"/>
        </w:rPr>
        <w:t>9、财产拍卖（或者变卖）日期与估价报告载明的价值时点不一致的，估价对象状况或者房地产市场状况的变化会对估价结果产生影响。</w:t>
      </w:r>
    </w:p>
    <w:p>
      <w:pPr>
        <w:spacing w:line="600" w:lineRule="exact"/>
        <w:ind w:firstLine="560" w:firstLineChars="200"/>
        <w:rPr>
          <w:rFonts w:eastAsia="仿宋_GB2312"/>
          <w:sz w:val="28"/>
          <w:szCs w:val="28"/>
        </w:rPr>
      </w:pPr>
      <w:r>
        <w:rPr>
          <w:rFonts w:hint="eastAsia" w:eastAsia="仿宋_GB2312"/>
          <w:sz w:val="28"/>
          <w:szCs w:val="28"/>
        </w:rPr>
        <w:t>10、本报告中估价结果不等于估价对象可实现的成交价，不应被认为是对估价对象成交价的保证。</w:t>
      </w:r>
    </w:p>
    <w:p>
      <w:pPr>
        <w:snapToGrid w:val="0"/>
        <w:spacing w:line="600" w:lineRule="exact"/>
        <w:ind w:firstLine="560" w:firstLineChars="200"/>
        <w:rPr>
          <w:rFonts w:eastAsia="仿宋_GB2312"/>
          <w:sz w:val="28"/>
          <w:szCs w:val="28"/>
        </w:rPr>
      </w:pPr>
      <w:r>
        <w:rPr>
          <w:rFonts w:hint="eastAsia" w:eastAsia="仿宋_GB2312"/>
          <w:sz w:val="28"/>
          <w:szCs w:val="28"/>
        </w:rPr>
        <w:t>11</w:t>
      </w:r>
      <w:r>
        <w:rPr>
          <w:rFonts w:eastAsia="仿宋_GB2312"/>
          <w:sz w:val="28"/>
          <w:szCs w:val="28"/>
        </w:rPr>
        <w:t>、本次估价中无法考虑不可抗力等因素对估价对象造成的意外损害。</w:t>
      </w:r>
    </w:p>
    <w:p>
      <w:pPr>
        <w:snapToGrid w:val="0"/>
        <w:spacing w:line="600" w:lineRule="exact"/>
        <w:ind w:firstLine="560" w:firstLineChars="200"/>
        <w:rPr>
          <w:rFonts w:eastAsia="仿宋_GB2312"/>
          <w:sz w:val="28"/>
          <w:szCs w:val="28"/>
        </w:rPr>
      </w:pPr>
      <w:r>
        <w:rPr>
          <w:rFonts w:hint="eastAsia" w:eastAsia="仿宋_GB2312"/>
          <w:sz w:val="28"/>
          <w:szCs w:val="28"/>
        </w:rPr>
        <w:t>12</w:t>
      </w:r>
      <w:r>
        <w:rPr>
          <w:rFonts w:eastAsia="仿宋_GB2312"/>
          <w:sz w:val="28"/>
          <w:szCs w:val="28"/>
        </w:rPr>
        <w:t>、本估价报告应用的有效期为一年，自</w:t>
      </w:r>
      <w:r>
        <w:rPr>
          <w:rFonts w:hint="eastAsia" w:eastAsia="仿宋_GB2312"/>
          <w:sz w:val="28"/>
          <w:szCs w:val="28"/>
          <w:lang w:eastAsia="zh-CN"/>
        </w:rPr>
        <w:t>2022年10月10日</w:t>
      </w:r>
      <w:r>
        <w:rPr>
          <w:rFonts w:hint="eastAsia" w:eastAsia="仿宋_GB2312"/>
          <w:sz w:val="28"/>
          <w:szCs w:val="28"/>
        </w:rPr>
        <w:t>至</w:t>
      </w:r>
      <w:r>
        <w:rPr>
          <w:rFonts w:hint="eastAsia" w:eastAsia="仿宋_GB2312"/>
          <w:sz w:val="28"/>
          <w:szCs w:val="28"/>
          <w:lang w:eastAsia="zh-CN"/>
        </w:rPr>
        <w:t>2023年10月9日</w:t>
      </w:r>
      <w:r>
        <w:rPr>
          <w:rFonts w:eastAsia="仿宋_GB2312"/>
          <w:sz w:val="28"/>
          <w:szCs w:val="28"/>
        </w:rPr>
        <w:t>。</w:t>
      </w:r>
    </w:p>
    <w:p>
      <w:pPr>
        <w:snapToGrid w:val="0"/>
        <w:spacing w:line="600" w:lineRule="exact"/>
        <w:ind w:firstLine="560" w:firstLineChars="200"/>
        <w:rPr>
          <w:rFonts w:eastAsia="仿宋_GB2312"/>
          <w:sz w:val="28"/>
          <w:szCs w:val="28"/>
        </w:rPr>
      </w:pPr>
    </w:p>
    <w:p>
      <w:pPr>
        <w:snapToGrid w:val="0"/>
        <w:spacing w:before="156" w:line="600" w:lineRule="exact"/>
        <w:ind w:firstLine="3640" w:firstLineChars="1300"/>
        <w:rPr>
          <w:rFonts w:eastAsia="仿宋_GB2312"/>
          <w:sz w:val="28"/>
        </w:rPr>
      </w:pPr>
      <w:r>
        <w:rPr>
          <w:rFonts w:eastAsia="仿宋_GB2312"/>
          <w:sz w:val="28"/>
        </w:rPr>
        <w:t>云南中和金乾房地产土地资产评估有限公司</w:t>
      </w:r>
    </w:p>
    <w:p>
      <w:pPr>
        <w:snapToGrid w:val="0"/>
        <w:spacing w:before="156" w:line="600" w:lineRule="exact"/>
        <w:ind w:firstLine="3640" w:firstLineChars="1300"/>
        <w:rPr>
          <w:rFonts w:eastAsia="仿宋_GB2312"/>
          <w:kern w:val="2"/>
          <w:sz w:val="28"/>
          <w:szCs w:val="28"/>
        </w:rPr>
      </w:pPr>
      <w:r>
        <w:rPr>
          <w:rFonts w:eastAsia="仿宋_GB2312"/>
          <w:kern w:val="2"/>
          <w:sz w:val="28"/>
          <w:szCs w:val="28"/>
        </w:rPr>
        <w:t>法定代表人：</w:t>
      </w:r>
    </w:p>
    <w:p>
      <w:pPr>
        <w:snapToGrid w:val="0"/>
        <w:spacing w:before="156" w:after="156" w:line="600" w:lineRule="exact"/>
        <w:ind w:right="561" w:firstLine="5320" w:firstLineChars="1900"/>
        <w:rPr>
          <w:rFonts w:eastAsia="仿宋_GB2312"/>
          <w:kern w:val="2"/>
          <w:sz w:val="28"/>
          <w:szCs w:val="28"/>
        </w:rPr>
      </w:pPr>
      <w:r>
        <w:rPr>
          <w:rFonts w:hint="eastAsia" w:eastAsia="仿宋_GB2312"/>
          <w:kern w:val="2"/>
          <w:sz w:val="28"/>
          <w:szCs w:val="28"/>
          <w:lang w:eastAsia="zh-CN"/>
        </w:rPr>
        <w:t>二〇二二年十月十日</w:t>
      </w:r>
      <w:r>
        <w:rPr>
          <w:sz w:val="20"/>
        </w:rPr>
        <w:br w:type="page"/>
      </w:r>
    </w:p>
    <w:p>
      <w:pPr>
        <w:snapToGrid w:val="0"/>
        <w:spacing w:before="636" w:after="276" w:line="360" w:lineRule="auto"/>
        <w:ind w:right="561"/>
        <w:jc w:val="center"/>
        <w:rPr>
          <w:rFonts w:eastAsia="仿宋_GB2312"/>
          <w:bCs/>
          <w:sz w:val="28"/>
        </w:rPr>
      </w:pPr>
      <w:bookmarkStart w:id="4" w:name="_Toc27468999"/>
      <w:bookmarkStart w:id="5" w:name="_Toc12274427"/>
      <w:bookmarkStart w:id="6" w:name="_Toc11854469"/>
      <w:bookmarkStart w:id="7" w:name="_Toc11851798"/>
      <w:r>
        <w:rPr>
          <w:rFonts w:ascii="黑体" w:hAnsi="黑体" w:eastAsia="黑体"/>
          <w:bCs/>
          <w:color w:val="000000"/>
          <w:sz w:val="44"/>
          <w:szCs w:val="44"/>
        </w:rPr>
        <w:t>目</w:t>
      </w:r>
      <w:r>
        <w:rPr>
          <w:rFonts w:hint="eastAsia" w:ascii="黑体" w:hAnsi="黑体" w:eastAsia="黑体"/>
          <w:bCs/>
          <w:color w:val="000000"/>
          <w:sz w:val="44"/>
          <w:szCs w:val="44"/>
          <w:lang w:val="en-US" w:eastAsia="zh-CN"/>
        </w:rPr>
        <w:t xml:space="preserve"> </w:t>
      </w:r>
      <w:r>
        <w:rPr>
          <w:rFonts w:ascii="黑体" w:hAnsi="黑体" w:eastAsia="黑体"/>
          <w:bCs/>
          <w:color w:val="000000"/>
          <w:sz w:val="44"/>
          <w:szCs w:val="44"/>
        </w:rPr>
        <w:t>录</w:t>
      </w:r>
      <w:bookmarkEnd w:id="4"/>
      <w:bookmarkEnd w:id="5"/>
      <w:bookmarkEnd w:id="6"/>
      <w:bookmarkEnd w:id="7"/>
    </w:p>
    <w:p>
      <w:pPr>
        <w:pStyle w:val="17"/>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rPr>
          <w:rFonts w:ascii="Times New Roman" w:hAnsi="Times New Roman" w:eastAsia="仿宋_GB2312"/>
          <w:bCs w:val="0"/>
          <w:smallCaps/>
          <w:color w:val="000000" w:themeColor="text1"/>
          <w:sz w:val="20"/>
          <w:szCs w:val="24"/>
        </w:rPr>
        <w:fldChar w:fldCharType="begin"/>
      </w:r>
      <w:r>
        <w:rPr>
          <w:rFonts w:ascii="Times New Roman" w:hAnsi="Times New Roman" w:eastAsia="仿宋_GB2312"/>
          <w:color w:val="000000" w:themeColor="text1"/>
          <w:sz w:val="20"/>
          <w:szCs w:val="24"/>
        </w:rPr>
        <w:instrText xml:space="preserve"> TOC \o "1-2" \h \z \u </w:instrText>
      </w:r>
      <w:r>
        <w:rPr>
          <w:rFonts w:ascii="Times New Roman" w:hAnsi="Times New Roman" w:eastAsia="仿宋_GB2312"/>
          <w:bCs w:val="0"/>
          <w:smallCaps/>
          <w:color w:val="000000" w:themeColor="text1"/>
          <w:sz w:val="20"/>
          <w:szCs w:val="24"/>
        </w:rPr>
        <w:fldChar w:fldCharType="separate"/>
      </w:r>
      <w:r>
        <w:fldChar w:fldCharType="begin"/>
      </w:r>
      <w:r>
        <w:instrText xml:space="preserve"> HYPERLINK \l "_Toc192" </w:instrText>
      </w:r>
      <w:r>
        <w:fldChar w:fldCharType="separate"/>
      </w:r>
      <w:r>
        <w:rPr>
          <w:rFonts w:ascii="Times New Roman" w:hAnsi="Times New Roman" w:eastAsia="仿宋_GB2312"/>
        </w:rPr>
        <w:t>一、估价师声明</w:t>
      </w:r>
      <w:r>
        <w:tab/>
      </w:r>
      <w:r>
        <w:fldChar w:fldCharType="begin"/>
      </w:r>
      <w:r>
        <w:instrText xml:space="preserve"> PAGEREF _Toc192 \h </w:instrText>
      </w:r>
      <w:r>
        <w:fldChar w:fldCharType="separate"/>
      </w:r>
      <w:r>
        <w:t>1</w:t>
      </w:r>
      <w:r>
        <w:fldChar w:fldCharType="end"/>
      </w:r>
      <w:r>
        <w:fldChar w:fldCharType="end"/>
      </w:r>
    </w:p>
    <w:p>
      <w:pPr>
        <w:pStyle w:val="17"/>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"_Toc30660" </w:instrText>
      </w:r>
      <w:r>
        <w:fldChar w:fldCharType="separate"/>
      </w:r>
      <w:r>
        <w:rPr>
          <w:rFonts w:ascii="Times New Roman" w:hAnsi="Times New Roman" w:eastAsia="仿宋_GB2312"/>
        </w:rPr>
        <w:t>二、估价假设和限制条件</w:t>
      </w:r>
      <w:r>
        <w:tab/>
      </w:r>
      <w:r>
        <w:fldChar w:fldCharType="begin"/>
      </w:r>
      <w:r>
        <w:instrText xml:space="preserve"> PAGEREF _Toc30660 \h </w:instrText>
      </w:r>
      <w:r>
        <w:fldChar w:fldCharType="separate"/>
      </w:r>
      <w:r>
        <w:t>3</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"_Toc14831" </w:instrText>
      </w:r>
      <w:r>
        <w:fldChar w:fldCharType="separate"/>
      </w:r>
      <w:r>
        <w:rPr>
          <w:rFonts w:ascii="Times New Roman" w:hAnsi="Times New Roman" w:eastAsia="仿宋_GB2312"/>
        </w:rPr>
        <w:t>（一）本项估价的假设条件</w:t>
      </w:r>
      <w:r>
        <w:tab/>
      </w:r>
      <w:r>
        <w:fldChar w:fldCharType="begin"/>
      </w:r>
      <w:r>
        <w:instrText xml:space="preserve"> PAGEREF _Toc14831 \h </w:instrText>
      </w:r>
      <w:r>
        <w:fldChar w:fldCharType="separate"/>
      </w:r>
      <w:r>
        <w:t>3</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"_Toc9972" </w:instrText>
      </w:r>
      <w:r>
        <w:fldChar w:fldCharType="separate"/>
      </w:r>
      <w:r>
        <w:rPr>
          <w:rFonts w:ascii="Times New Roman" w:hAnsi="Times New Roman" w:eastAsia="仿宋_GB2312"/>
        </w:rPr>
        <w:t>（二）本估价报告使用的限制条件</w:t>
      </w:r>
      <w:r>
        <w:tab/>
      </w:r>
      <w:r>
        <w:fldChar w:fldCharType="begin"/>
      </w:r>
      <w:r>
        <w:instrText xml:space="preserve"> PAGEREF _Toc9972 \h </w:instrText>
      </w:r>
      <w:r>
        <w:fldChar w:fldCharType="separate"/>
      </w:r>
      <w:r>
        <w:t>5</w:t>
      </w:r>
      <w:r>
        <w:fldChar w:fldCharType="end"/>
      </w:r>
      <w:r>
        <w:fldChar w:fldCharType="end"/>
      </w:r>
    </w:p>
    <w:p>
      <w:pPr>
        <w:pStyle w:val="17"/>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"_Toc2498" </w:instrText>
      </w:r>
      <w:r>
        <w:fldChar w:fldCharType="separate"/>
      </w:r>
      <w:r>
        <w:rPr>
          <w:rFonts w:ascii="Times New Roman" w:hAnsi="Times New Roman" w:eastAsia="仿宋_GB2312"/>
        </w:rPr>
        <w:t>三、估价结果报告</w:t>
      </w:r>
      <w:r>
        <w:tab/>
      </w:r>
      <w:r>
        <w:fldChar w:fldCharType="begin"/>
      </w:r>
      <w:r>
        <w:instrText xml:space="preserve"> PAGEREF _Toc2498 \h </w:instrText>
      </w:r>
      <w:r>
        <w:fldChar w:fldCharType="separate"/>
      </w:r>
      <w:r>
        <w:t>7</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"_Toc22130" </w:instrText>
      </w:r>
      <w:r>
        <w:fldChar w:fldCharType="separate"/>
      </w:r>
      <w:r>
        <w:rPr>
          <w:rFonts w:ascii="Times New Roman" w:hAnsi="Times New Roman" w:eastAsia="仿宋_GB2312"/>
        </w:rPr>
        <w:t>（一）估价委托人</w:t>
      </w:r>
      <w:r>
        <w:tab/>
      </w:r>
      <w:r>
        <w:fldChar w:fldCharType="begin"/>
      </w:r>
      <w:r>
        <w:instrText xml:space="preserve"> PAGEREF _Toc22130 \h </w:instrText>
      </w:r>
      <w:r>
        <w:fldChar w:fldCharType="separate"/>
      </w:r>
      <w:r>
        <w:t>7</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"_Toc30982" </w:instrText>
      </w:r>
      <w:r>
        <w:fldChar w:fldCharType="separate"/>
      </w:r>
      <w:r>
        <w:rPr>
          <w:rFonts w:ascii="Times New Roman" w:hAnsi="Times New Roman" w:eastAsia="仿宋_GB2312"/>
        </w:rPr>
        <w:t>（二）房地产估价机构</w:t>
      </w:r>
      <w:r>
        <w:tab/>
      </w:r>
      <w:r>
        <w:fldChar w:fldCharType="begin"/>
      </w:r>
      <w:r>
        <w:instrText xml:space="preserve"> PAGEREF _Toc30982 \h </w:instrText>
      </w:r>
      <w:r>
        <w:fldChar w:fldCharType="separate"/>
      </w:r>
      <w:r>
        <w:t>7</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"_Toc32655" </w:instrText>
      </w:r>
      <w:r>
        <w:fldChar w:fldCharType="separate"/>
      </w:r>
      <w:r>
        <w:rPr>
          <w:rFonts w:ascii="Times New Roman" w:hAnsi="Times New Roman" w:eastAsia="仿宋_GB2312"/>
        </w:rPr>
        <w:t>（三）估价目的</w:t>
      </w:r>
      <w:r>
        <w:tab/>
      </w:r>
      <w:r>
        <w:fldChar w:fldCharType="begin"/>
      </w:r>
      <w:r>
        <w:instrText xml:space="preserve"> PAGEREF _Toc32655 \h </w:instrText>
      </w:r>
      <w:r>
        <w:fldChar w:fldCharType="separate"/>
      </w:r>
      <w:r>
        <w:t>7</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"_Toc18585" </w:instrText>
      </w:r>
      <w:r>
        <w:fldChar w:fldCharType="separate"/>
      </w:r>
      <w:r>
        <w:rPr>
          <w:rFonts w:ascii="Times New Roman" w:hAnsi="Times New Roman" w:eastAsia="仿宋_GB2312"/>
        </w:rPr>
        <w:t>（四）估价对象</w:t>
      </w:r>
      <w:r>
        <w:tab/>
      </w:r>
      <w:r>
        <w:fldChar w:fldCharType="begin"/>
      </w:r>
      <w:r>
        <w:instrText xml:space="preserve"> PAGEREF _Toc18585 \h </w:instrText>
      </w:r>
      <w:r>
        <w:fldChar w:fldCharType="separate"/>
      </w:r>
      <w:r>
        <w:t>7</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"_Toc8505" </w:instrText>
      </w:r>
      <w:r>
        <w:fldChar w:fldCharType="separate"/>
      </w:r>
      <w:r>
        <w:rPr>
          <w:rFonts w:ascii="Times New Roman" w:hAnsi="Times New Roman" w:eastAsia="仿宋_GB2312"/>
        </w:rPr>
        <w:t>（五）价值时点</w:t>
      </w:r>
      <w:r>
        <w:tab/>
      </w:r>
      <w:r>
        <w:fldChar w:fldCharType="begin"/>
      </w:r>
      <w:r>
        <w:instrText xml:space="preserve"> PAGEREF _Toc8505 \h </w:instrText>
      </w:r>
      <w:r>
        <w:fldChar w:fldCharType="separate"/>
      </w:r>
      <w:r>
        <w:t>12</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"_Toc24341" </w:instrText>
      </w:r>
      <w:r>
        <w:fldChar w:fldCharType="separate"/>
      </w:r>
      <w:r>
        <w:rPr>
          <w:rFonts w:ascii="Times New Roman" w:hAnsi="Times New Roman" w:eastAsia="仿宋_GB2312"/>
        </w:rPr>
        <w:t>（六）价值类型</w:t>
      </w:r>
      <w:r>
        <w:tab/>
      </w:r>
      <w:r>
        <w:fldChar w:fldCharType="begin"/>
      </w:r>
      <w:r>
        <w:instrText xml:space="preserve"> PAGEREF _Toc24341 \h </w:instrText>
      </w:r>
      <w:r>
        <w:fldChar w:fldCharType="separate"/>
      </w:r>
      <w:r>
        <w:t>12</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"_Toc25979" </w:instrText>
      </w:r>
      <w:r>
        <w:fldChar w:fldCharType="separate"/>
      </w:r>
      <w:r>
        <w:rPr>
          <w:rFonts w:ascii="Times New Roman" w:hAnsi="Times New Roman" w:eastAsia="仿宋_GB2312"/>
        </w:rPr>
        <w:t>（七）估价原则</w:t>
      </w:r>
      <w:r>
        <w:tab/>
      </w:r>
      <w:r>
        <w:fldChar w:fldCharType="begin"/>
      </w:r>
      <w:r>
        <w:instrText xml:space="preserve"> PAGEREF _Toc25979 \h </w:instrText>
      </w:r>
      <w:r>
        <w:fldChar w:fldCharType="separate"/>
      </w:r>
      <w:r>
        <w:t>12</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"_Toc3270" </w:instrText>
      </w:r>
      <w:r>
        <w:fldChar w:fldCharType="separate"/>
      </w:r>
      <w:r>
        <w:rPr>
          <w:rFonts w:ascii="Times New Roman" w:hAnsi="Times New Roman" w:eastAsia="仿宋_GB2312"/>
        </w:rPr>
        <w:t>（八）估价依据</w:t>
      </w:r>
      <w:r>
        <w:tab/>
      </w:r>
      <w:r>
        <w:fldChar w:fldCharType="begin"/>
      </w:r>
      <w:r>
        <w:instrText xml:space="preserve"> PAGEREF _Toc3270 \h </w:instrText>
      </w:r>
      <w:r>
        <w:fldChar w:fldCharType="separate"/>
      </w:r>
      <w:r>
        <w:t>14</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"_Toc14367" </w:instrText>
      </w:r>
      <w:r>
        <w:fldChar w:fldCharType="separate"/>
      </w:r>
      <w:r>
        <w:rPr>
          <w:rFonts w:ascii="Times New Roman" w:hAnsi="Times New Roman" w:eastAsia="仿宋_GB2312"/>
        </w:rPr>
        <w:t>（九）估价方法</w:t>
      </w:r>
      <w:r>
        <w:tab/>
      </w:r>
      <w:r>
        <w:fldChar w:fldCharType="begin"/>
      </w:r>
      <w:r>
        <w:instrText xml:space="preserve"> PAGEREF _Toc14367 \h </w:instrText>
      </w:r>
      <w:r>
        <w:fldChar w:fldCharType="separate"/>
      </w:r>
      <w:r>
        <w:t>15</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"_Toc8276" </w:instrText>
      </w:r>
      <w:r>
        <w:fldChar w:fldCharType="separate"/>
      </w:r>
      <w:r>
        <w:rPr>
          <w:rFonts w:ascii="Times New Roman" w:hAnsi="Times New Roman" w:eastAsia="仿宋_GB2312"/>
        </w:rPr>
        <w:t>（十）估价结果</w:t>
      </w:r>
      <w:r>
        <w:tab/>
      </w:r>
      <w:r>
        <w:fldChar w:fldCharType="begin"/>
      </w:r>
      <w:r>
        <w:instrText xml:space="preserve"> PAGEREF _Toc8276 \h </w:instrText>
      </w:r>
      <w:r>
        <w:fldChar w:fldCharType="separate"/>
      </w:r>
      <w:r>
        <w:t>16</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"_Toc32551" </w:instrText>
      </w:r>
      <w:r>
        <w:fldChar w:fldCharType="separate"/>
      </w:r>
      <w:r>
        <w:rPr>
          <w:rFonts w:ascii="Times New Roman" w:hAnsi="Times New Roman" w:eastAsia="仿宋_GB2312"/>
        </w:rPr>
        <w:t>（十一）注册房地产估价师</w:t>
      </w:r>
      <w:r>
        <w:tab/>
      </w:r>
      <w:r>
        <w:fldChar w:fldCharType="begin"/>
      </w:r>
      <w:r>
        <w:instrText xml:space="preserve"> PAGEREF _Toc32551 \h </w:instrText>
      </w:r>
      <w:r>
        <w:fldChar w:fldCharType="separate"/>
      </w:r>
      <w:r>
        <w:t>17</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"_Toc22988" </w:instrText>
      </w:r>
      <w:r>
        <w:fldChar w:fldCharType="separate"/>
      </w:r>
      <w:r>
        <w:rPr>
          <w:rFonts w:ascii="Times New Roman" w:hAnsi="Times New Roman" w:eastAsia="仿宋_GB2312"/>
        </w:rPr>
        <w:t>（十二）实地查勘期</w:t>
      </w:r>
      <w:r>
        <w:tab/>
      </w:r>
      <w:r>
        <w:fldChar w:fldCharType="begin"/>
      </w:r>
      <w:r>
        <w:instrText xml:space="preserve"> PAGEREF _Toc22988 \h </w:instrText>
      </w:r>
      <w:r>
        <w:fldChar w:fldCharType="separate"/>
      </w:r>
      <w:r>
        <w:t>17</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"_Toc27698" </w:instrText>
      </w:r>
      <w:r>
        <w:fldChar w:fldCharType="separate"/>
      </w:r>
      <w:r>
        <w:rPr>
          <w:rFonts w:ascii="Times New Roman" w:hAnsi="Times New Roman" w:eastAsia="仿宋_GB2312"/>
        </w:rPr>
        <w:t>（十三）估价作业期</w:t>
      </w:r>
      <w:r>
        <w:tab/>
      </w:r>
      <w:r>
        <w:fldChar w:fldCharType="begin"/>
      </w:r>
      <w:r>
        <w:instrText xml:space="preserve"> PAGEREF _Toc27698 \h </w:instrText>
      </w:r>
      <w:r>
        <w:fldChar w:fldCharType="separate"/>
      </w:r>
      <w:r>
        <w:t>17</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"_Toc30448" </w:instrText>
      </w:r>
      <w:r>
        <w:fldChar w:fldCharType="separate"/>
      </w:r>
      <w:r>
        <w:rPr>
          <w:rFonts w:ascii="Times New Roman" w:hAnsi="Times New Roman" w:eastAsia="仿宋_GB2312"/>
        </w:rPr>
        <w:t>（十四）估价报告使用期限</w:t>
      </w:r>
      <w:r>
        <w:tab/>
      </w:r>
      <w:r>
        <w:fldChar w:fldCharType="begin"/>
      </w:r>
      <w:r>
        <w:instrText xml:space="preserve"> PAGEREF _Toc30448 \h </w:instrText>
      </w:r>
      <w:r>
        <w:fldChar w:fldCharType="separate"/>
      </w:r>
      <w:r>
        <w:t>17</w:t>
      </w:r>
      <w:r>
        <w:fldChar w:fldCharType="end"/>
      </w:r>
      <w:r>
        <w:fldChar w:fldCharType="end"/>
      </w:r>
    </w:p>
    <w:p>
      <w:pPr>
        <w:pStyle w:val="17"/>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rPr>
          <w:rFonts w:eastAsia="仿宋_GB2312"/>
          <w:sz w:val="20"/>
          <w:szCs w:val="21"/>
        </w:rPr>
        <w:sectPr>
          <w:headerReference r:id="rId10" w:type="first"/>
          <w:footerReference r:id="rId12" w:type="first"/>
          <w:headerReference r:id="rId9" w:type="default"/>
          <w:footerReference r:id="rId11" w:type="default"/>
          <w:pgSz w:w="11906" w:h="16838"/>
          <w:pgMar w:top="1134" w:right="1134" w:bottom="1134" w:left="1134" w:header="454" w:footer="454" w:gutter="567"/>
          <w:pgNumType w:start="1"/>
          <w:cols w:space="425" w:num="1"/>
          <w:titlePg/>
          <w:docGrid w:linePitch="312" w:charSpace="0"/>
        </w:sectPr>
      </w:pPr>
      <w:r>
        <w:fldChar w:fldCharType="begin"/>
      </w:r>
      <w:r>
        <w:instrText xml:space="preserve"> HYPERLINK \l "_Toc21705" </w:instrText>
      </w:r>
      <w:r>
        <w:fldChar w:fldCharType="separate"/>
      </w:r>
      <w:r>
        <w:rPr>
          <w:rFonts w:hint="eastAsia"/>
          <w:lang w:val="en-US" w:eastAsia="zh-CN"/>
        </w:rPr>
        <w:t>四</w:t>
      </w:r>
      <w:r>
        <w:rPr>
          <w:rFonts w:ascii="Times New Roman" w:hAnsi="Times New Roman" w:eastAsia="仿宋_GB2312"/>
        </w:rPr>
        <w:t>、附件</w:t>
      </w:r>
      <w:r>
        <w:tab/>
      </w:r>
      <w:r>
        <w:fldChar w:fldCharType="begin"/>
      </w:r>
      <w:r>
        <w:instrText xml:space="preserve"> PAGEREF _Toc21705 \h </w:instrText>
      </w:r>
      <w:r>
        <w:fldChar w:fldCharType="separate"/>
      </w:r>
      <w:r>
        <w:t>18</w:t>
      </w:r>
      <w:r>
        <w:fldChar w:fldCharType="end"/>
      </w:r>
      <w:r>
        <w:fldChar w:fldCharType="end"/>
      </w:r>
      <w:r>
        <w:rPr>
          <w:rFonts w:eastAsia="仿宋_GB2312"/>
          <w:bCs w:val="0"/>
          <w:color w:val="000000" w:themeColor="text1"/>
          <w:szCs w:val="24"/>
        </w:rPr>
        <w:fldChar w:fldCharType="end"/>
      </w:r>
      <w:r>
        <w:rPr>
          <w:rFonts w:eastAsia="仿宋_GB2312"/>
          <w:szCs w:val="21"/>
        </w:rPr>
        <w:tab/>
      </w:r>
      <w:r>
        <w:rPr>
          <w:rFonts w:eastAsia="仿宋_GB2312"/>
          <w:szCs w:val="21"/>
        </w:rPr>
        <w:tab/>
      </w:r>
    </w:p>
    <w:p>
      <w:pPr>
        <w:pStyle w:val="2"/>
        <w:snapToGrid w:val="0"/>
        <w:spacing w:before="240" w:line="720" w:lineRule="auto"/>
        <w:textAlignment w:val="baseline"/>
        <w:rPr>
          <w:rFonts w:ascii="Times New Roman" w:hAnsi="Times New Roman" w:eastAsia="仿宋_GB2312" w:cs="Times New Roman"/>
          <w:color w:val="000000"/>
          <w:sz w:val="36"/>
        </w:rPr>
      </w:pPr>
      <w:bookmarkStart w:id="8" w:name="_Toc485393183"/>
      <w:bookmarkStart w:id="9" w:name="_Toc480967869"/>
      <w:bookmarkStart w:id="10" w:name="_Toc192"/>
      <w:r>
        <w:rPr>
          <w:rFonts w:ascii="Times New Roman" w:hAnsi="Times New Roman" w:eastAsia="仿宋_GB2312" w:cs="Times New Roman"/>
          <w:color w:val="000000"/>
          <w:sz w:val="36"/>
        </w:rPr>
        <w:t>一、估价师声明</w:t>
      </w:r>
      <w:bookmarkEnd w:id="8"/>
      <w:bookmarkEnd w:id="9"/>
      <w:bookmarkEnd w:id="10"/>
    </w:p>
    <w:p>
      <w:pPr>
        <w:widowControl/>
        <w:snapToGrid w:val="0"/>
        <w:spacing w:line="360" w:lineRule="auto"/>
        <w:ind w:firstLine="562" w:firstLineChars="200"/>
        <w:rPr>
          <w:rFonts w:eastAsia="仿宋_GB2312"/>
          <w:b/>
          <w:sz w:val="28"/>
          <w:szCs w:val="28"/>
        </w:rPr>
      </w:pPr>
      <w:r>
        <w:rPr>
          <w:rFonts w:eastAsia="仿宋_GB2312"/>
          <w:b/>
          <w:sz w:val="28"/>
          <w:szCs w:val="28"/>
        </w:rPr>
        <w:t>我们郑重声明：</w:t>
      </w:r>
    </w:p>
    <w:p>
      <w:pPr>
        <w:widowControl/>
        <w:snapToGrid w:val="0"/>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一</w:t>
      </w:r>
      <w:r>
        <w:rPr>
          <w:rFonts w:hint="eastAsia" w:eastAsia="仿宋_GB2312"/>
          <w:sz w:val="28"/>
          <w:szCs w:val="28"/>
        </w:rPr>
        <w:t>）</w:t>
      </w:r>
      <w:r>
        <w:rPr>
          <w:rFonts w:eastAsia="仿宋_GB2312"/>
          <w:sz w:val="28"/>
          <w:szCs w:val="28"/>
        </w:rPr>
        <w:t>注册房地产估价师对遵守法律、行政法规和房地产估价标准，坚持独立、客观、公正的原则，并对所出具的估价报告依法承担责任。</w:t>
      </w:r>
    </w:p>
    <w:p>
      <w:pPr>
        <w:widowControl/>
        <w:snapToGrid w:val="0"/>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二</w:t>
      </w:r>
      <w:r>
        <w:rPr>
          <w:rFonts w:hint="eastAsia" w:eastAsia="仿宋_GB2312"/>
          <w:sz w:val="28"/>
          <w:szCs w:val="28"/>
        </w:rPr>
        <w:t>）</w:t>
      </w:r>
      <w:r>
        <w:rPr>
          <w:rFonts w:eastAsia="仿宋_GB2312"/>
          <w:sz w:val="28"/>
          <w:szCs w:val="28"/>
        </w:rPr>
        <w:t>注册房地产估价师在估价报告中对事实的说明是真实和准确的</w:t>
      </w:r>
      <w:r>
        <w:rPr>
          <w:rFonts w:hint="eastAsia" w:eastAsia="仿宋_GB2312"/>
          <w:sz w:val="28"/>
          <w:szCs w:val="28"/>
        </w:rPr>
        <w:t>，</w:t>
      </w:r>
      <w:r>
        <w:rPr>
          <w:rFonts w:eastAsia="仿宋_GB2312"/>
          <w:sz w:val="28"/>
          <w:szCs w:val="28"/>
        </w:rPr>
        <w:t>没有虚假记载、误导性陈述和重大遗漏。</w:t>
      </w:r>
    </w:p>
    <w:p>
      <w:pPr>
        <w:widowControl/>
        <w:snapToGrid w:val="0"/>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三</w:t>
      </w:r>
      <w:r>
        <w:rPr>
          <w:rFonts w:hint="eastAsia" w:eastAsia="仿宋_GB2312"/>
          <w:sz w:val="28"/>
          <w:szCs w:val="28"/>
        </w:rPr>
        <w:t>）</w:t>
      </w:r>
      <w:r>
        <w:rPr>
          <w:rFonts w:eastAsia="仿宋_GB2312"/>
          <w:sz w:val="28"/>
          <w:szCs w:val="28"/>
        </w:rPr>
        <w:t>估价报告中的分析、意见和结论是注册房地产估价师独立、客观、公正的专业分析、意见和结论，但受到估价报告中已说明的估价假设和限制条件的限制。</w:t>
      </w:r>
    </w:p>
    <w:p>
      <w:pPr>
        <w:widowControl/>
        <w:snapToGrid w:val="0"/>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四</w:t>
      </w:r>
      <w:r>
        <w:rPr>
          <w:rFonts w:hint="eastAsia" w:eastAsia="仿宋_GB2312"/>
          <w:sz w:val="28"/>
          <w:szCs w:val="28"/>
        </w:rPr>
        <w:t>）</w:t>
      </w:r>
      <w:r>
        <w:rPr>
          <w:rFonts w:eastAsia="仿宋_GB2312"/>
          <w:sz w:val="28"/>
          <w:szCs w:val="28"/>
        </w:rPr>
        <w:t>注册房地产估价师与本估价报告中的估价对象没有现实或潜在的利益，与估价委托人及估价利害关系人没有利害关系，也对估价对象、估价委托人及估价利害关系人没有偏见。</w:t>
      </w:r>
    </w:p>
    <w:p>
      <w:pPr>
        <w:widowControl/>
        <w:snapToGrid w:val="0"/>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五</w:t>
      </w:r>
      <w:r>
        <w:rPr>
          <w:rFonts w:hint="eastAsia" w:eastAsia="仿宋_GB2312"/>
          <w:sz w:val="28"/>
          <w:szCs w:val="28"/>
        </w:rPr>
        <w:t>）</w:t>
      </w:r>
      <w:r>
        <w:rPr>
          <w:rFonts w:eastAsia="仿宋_GB2312"/>
          <w:sz w:val="28"/>
          <w:szCs w:val="28"/>
        </w:rPr>
        <w:t>注册房地产估价师依照中华人民共和国国家标准《房地产估价规范》（GB/T 50291-2015）、《房地产估价基本术语标准》（GB/T 50899-2013）</w:t>
      </w:r>
      <w:r>
        <w:rPr>
          <w:rFonts w:hint="eastAsia" w:eastAsia="仿宋_GB2312"/>
          <w:sz w:val="28"/>
          <w:szCs w:val="28"/>
        </w:rPr>
        <w:t>及《城镇土地估价规程》(GB/T 508-2014) 进行分析，形成意见和结论</w:t>
      </w:r>
      <w:r>
        <w:rPr>
          <w:rFonts w:eastAsia="仿宋_GB2312"/>
          <w:sz w:val="28"/>
          <w:szCs w:val="28"/>
        </w:rPr>
        <w:t>，撰写估价报告。</w:t>
      </w:r>
    </w:p>
    <w:p>
      <w:pPr>
        <w:widowControl/>
        <w:snapToGrid w:val="0"/>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六</w:t>
      </w:r>
      <w:r>
        <w:rPr>
          <w:rFonts w:hint="eastAsia" w:eastAsia="仿宋_GB2312"/>
          <w:sz w:val="28"/>
          <w:szCs w:val="28"/>
        </w:rPr>
        <w:t>）评估专业人员</w:t>
      </w:r>
      <w:r>
        <w:rPr>
          <w:rFonts w:eastAsia="仿宋_GB2312"/>
          <w:sz w:val="28"/>
          <w:szCs w:val="28"/>
        </w:rPr>
        <w:t>于</w:t>
      </w:r>
      <w:r>
        <w:rPr>
          <w:rFonts w:hint="eastAsia" w:eastAsia="仿宋_GB2312"/>
          <w:sz w:val="28"/>
          <w:szCs w:val="28"/>
        </w:rPr>
        <w:t>2022年9月19日</w:t>
      </w:r>
      <w:r>
        <w:rPr>
          <w:rFonts w:eastAsia="仿宋_GB2312"/>
          <w:sz w:val="28"/>
          <w:szCs w:val="28"/>
        </w:rPr>
        <w:t>对本报告中估价对象的权益、实体、区位状况进行了实地查勘、记录等尽职调查，但仅限于估价对象权益状况资料、估价对象的外观和使用状况的常规性检查</w:t>
      </w:r>
      <w:r>
        <w:rPr>
          <w:rFonts w:hint="eastAsia" w:eastAsia="仿宋_GB2312"/>
          <w:sz w:val="28"/>
          <w:szCs w:val="28"/>
        </w:rPr>
        <w:t>。本估价报告是依据委托人提供的资料及现场勘验情况记录表的基础上进行估价的，估价人员对上述资料已进行检查、核对，在无理由怀疑其合法性、真实性、准确性的情况下，假定委托人提供的资料合法、真实、准确、完整。因本估价机构专业资质受限，对被遮盖、未暴露及难以接触到的部分，估价机构不承担其检视和建筑结构质量调查的责任。</w:t>
      </w:r>
    </w:p>
    <w:p>
      <w:pPr>
        <w:widowControl/>
        <w:snapToGrid w:val="0"/>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七</w:t>
      </w:r>
      <w:r>
        <w:rPr>
          <w:rFonts w:hint="eastAsia" w:eastAsia="仿宋_GB2312"/>
          <w:sz w:val="28"/>
          <w:szCs w:val="28"/>
        </w:rPr>
        <w:t>）</w:t>
      </w:r>
      <w:bookmarkStart w:id="11" w:name="_Hlk11188603"/>
      <w:r>
        <w:rPr>
          <w:rFonts w:eastAsia="仿宋_GB2312"/>
          <w:sz w:val="28"/>
          <w:szCs w:val="28"/>
        </w:rPr>
        <w:t>没有其他行业的专业人士对本估价报告提供重要专业帮助。</w:t>
      </w:r>
      <w:bookmarkEnd w:id="11"/>
    </w:p>
    <w:p>
      <w:pPr>
        <w:widowControl/>
        <w:snapToGrid w:val="0"/>
        <w:spacing w:after="312" w:afterAutospacing="1" w:line="360" w:lineRule="auto"/>
        <w:ind w:firstLine="560" w:firstLineChars="200"/>
        <w:rPr>
          <w:rFonts w:eastAsia="仿宋_GB2312"/>
          <w:color w:val="000000"/>
          <w:sz w:val="28"/>
          <w:szCs w:val="28"/>
        </w:rPr>
      </w:pPr>
      <w:r>
        <w:rPr>
          <w:rFonts w:hint="eastAsia" w:eastAsia="仿宋_GB2312"/>
          <w:sz w:val="28"/>
          <w:szCs w:val="28"/>
        </w:rPr>
        <w:t>（</w:t>
      </w:r>
      <w:r>
        <w:rPr>
          <w:rFonts w:eastAsia="仿宋_GB2312"/>
          <w:sz w:val="28"/>
          <w:szCs w:val="28"/>
        </w:rPr>
        <w:t>八</w:t>
      </w:r>
      <w:r>
        <w:rPr>
          <w:rFonts w:hint="eastAsia" w:eastAsia="仿宋_GB2312"/>
          <w:sz w:val="28"/>
          <w:szCs w:val="28"/>
        </w:rPr>
        <w:t>）</w:t>
      </w:r>
      <w:r>
        <w:rPr>
          <w:rFonts w:eastAsia="仿宋_GB2312"/>
          <w:sz w:val="28"/>
          <w:szCs w:val="28"/>
        </w:rPr>
        <w:t>本报告必须完整使用，对仅使用报告中的部分内容而导致的有关纠纷和损失，本估价机构和估价师不承担任何法律责任。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6"/>
        <w:gridCol w:w="2262"/>
        <w:gridCol w:w="2262"/>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221" w:type="pct"/>
            <w:vAlign w:val="center"/>
          </w:tcPr>
          <w:p>
            <w:pPr>
              <w:snapToGrid w:val="0"/>
              <w:spacing w:line="240" w:lineRule="auto"/>
              <w:jc w:val="center"/>
              <w:rPr>
                <w:rFonts w:eastAsia="仿宋_GB2312"/>
                <w:b/>
                <w:bCs/>
                <w:color w:val="000000"/>
                <w:sz w:val="28"/>
                <w:szCs w:val="21"/>
              </w:rPr>
            </w:pPr>
            <w:r>
              <w:rPr>
                <w:rFonts w:eastAsia="仿宋_GB2312"/>
                <w:b/>
                <w:bCs/>
                <w:color w:val="000000"/>
                <w:sz w:val="28"/>
                <w:szCs w:val="21"/>
              </w:rPr>
              <w:t>姓名</w:t>
            </w:r>
          </w:p>
        </w:tc>
        <w:tc>
          <w:tcPr>
            <w:tcW w:w="1280" w:type="pct"/>
            <w:vAlign w:val="center"/>
          </w:tcPr>
          <w:p>
            <w:pPr>
              <w:snapToGrid w:val="0"/>
              <w:spacing w:line="240" w:lineRule="auto"/>
              <w:jc w:val="center"/>
              <w:rPr>
                <w:rFonts w:eastAsia="仿宋_GB2312"/>
                <w:b/>
                <w:bCs/>
                <w:color w:val="000000"/>
                <w:sz w:val="28"/>
                <w:szCs w:val="21"/>
              </w:rPr>
            </w:pPr>
            <w:r>
              <w:rPr>
                <w:rFonts w:eastAsia="仿宋_GB2312"/>
                <w:b/>
                <w:bCs/>
                <w:color w:val="000000"/>
                <w:sz w:val="28"/>
                <w:szCs w:val="21"/>
              </w:rPr>
              <w:t>注册号</w:t>
            </w:r>
          </w:p>
        </w:tc>
        <w:tc>
          <w:tcPr>
            <w:tcW w:w="1280" w:type="pct"/>
            <w:vAlign w:val="center"/>
          </w:tcPr>
          <w:p>
            <w:pPr>
              <w:snapToGrid w:val="0"/>
              <w:spacing w:line="240" w:lineRule="auto"/>
              <w:jc w:val="center"/>
              <w:rPr>
                <w:rFonts w:eastAsia="仿宋_GB2312"/>
                <w:b/>
                <w:bCs/>
                <w:color w:val="000000"/>
                <w:sz w:val="28"/>
                <w:szCs w:val="21"/>
              </w:rPr>
            </w:pPr>
            <w:r>
              <w:rPr>
                <w:rFonts w:eastAsia="仿宋_GB2312"/>
                <w:b/>
                <w:bCs/>
                <w:color w:val="000000"/>
                <w:sz w:val="28"/>
                <w:szCs w:val="21"/>
              </w:rPr>
              <w:t>签名</w:t>
            </w:r>
          </w:p>
        </w:tc>
        <w:tc>
          <w:tcPr>
            <w:tcW w:w="1220" w:type="pct"/>
            <w:vAlign w:val="center"/>
          </w:tcPr>
          <w:p>
            <w:pPr>
              <w:snapToGrid w:val="0"/>
              <w:spacing w:line="240" w:lineRule="auto"/>
              <w:jc w:val="center"/>
              <w:rPr>
                <w:rFonts w:eastAsia="仿宋_GB2312"/>
                <w:b/>
                <w:bCs/>
                <w:color w:val="000000"/>
                <w:sz w:val="28"/>
                <w:szCs w:val="21"/>
              </w:rPr>
            </w:pPr>
            <w:r>
              <w:rPr>
                <w:rFonts w:eastAsia="仿宋_GB2312"/>
                <w:b/>
                <w:bCs/>
                <w:color w:val="000000"/>
                <w:sz w:val="28"/>
                <w:szCs w:val="21"/>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1221" w:type="pct"/>
            <w:vAlign w:val="center"/>
          </w:tcPr>
          <w:p>
            <w:pPr>
              <w:snapToGrid w:val="0"/>
              <w:spacing w:line="240" w:lineRule="auto"/>
              <w:jc w:val="center"/>
              <w:rPr>
                <w:rFonts w:eastAsia="仿宋_GB2312"/>
                <w:bCs/>
                <w:color w:val="000000"/>
                <w:sz w:val="28"/>
                <w:szCs w:val="21"/>
              </w:rPr>
            </w:pPr>
            <w:r>
              <w:rPr>
                <w:rFonts w:hint="eastAsia" w:eastAsia="仿宋_GB2312"/>
                <w:bCs/>
                <w:color w:val="000000"/>
                <w:sz w:val="28"/>
                <w:szCs w:val="21"/>
              </w:rPr>
              <w:t>杨倩</w:t>
            </w:r>
          </w:p>
        </w:tc>
        <w:tc>
          <w:tcPr>
            <w:tcW w:w="1280" w:type="pct"/>
            <w:vAlign w:val="center"/>
          </w:tcPr>
          <w:p>
            <w:pPr>
              <w:snapToGrid w:val="0"/>
              <w:spacing w:line="240" w:lineRule="auto"/>
              <w:jc w:val="center"/>
              <w:rPr>
                <w:rFonts w:eastAsia="仿宋_GB2312"/>
                <w:bCs/>
                <w:color w:val="000000"/>
                <w:sz w:val="28"/>
                <w:szCs w:val="21"/>
              </w:rPr>
            </w:pPr>
            <w:r>
              <w:rPr>
                <w:rFonts w:eastAsia="仿宋_GB2312"/>
                <w:color w:val="000000"/>
                <w:kern w:val="28"/>
                <w:sz w:val="28"/>
                <w:szCs w:val="28"/>
              </w:rPr>
              <w:t>53201</w:t>
            </w:r>
            <w:r>
              <w:rPr>
                <w:rFonts w:hint="eastAsia" w:eastAsia="仿宋_GB2312"/>
                <w:color w:val="000000"/>
                <w:kern w:val="28"/>
                <w:sz w:val="28"/>
                <w:szCs w:val="28"/>
              </w:rPr>
              <w:t>4</w:t>
            </w:r>
            <w:r>
              <w:rPr>
                <w:rFonts w:eastAsia="仿宋_GB2312"/>
                <w:color w:val="000000"/>
                <w:kern w:val="28"/>
                <w:sz w:val="28"/>
                <w:szCs w:val="28"/>
              </w:rPr>
              <w:t>00</w:t>
            </w:r>
            <w:r>
              <w:rPr>
                <w:rFonts w:hint="eastAsia" w:eastAsia="仿宋_GB2312"/>
                <w:color w:val="000000"/>
                <w:kern w:val="28"/>
                <w:sz w:val="28"/>
                <w:szCs w:val="28"/>
              </w:rPr>
              <w:t>67</w:t>
            </w:r>
          </w:p>
        </w:tc>
        <w:tc>
          <w:tcPr>
            <w:tcW w:w="1280" w:type="pct"/>
            <w:vAlign w:val="center"/>
          </w:tcPr>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tc>
        <w:tc>
          <w:tcPr>
            <w:tcW w:w="1220" w:type="pct"/>
            <w:vAlign w:val="center"/>
          </w:tcPr>
          <w:p>
            <w:pPr>
              <w:snapToGrid w:val="0"/>
              <w:spacing w:line="240" w:lineRule="auto"/>
              <w:jc w:val="center"/>
              <w:rPr>
                <w:rFonts w:eastAsia="仿宋_GB2312"/>
                <w:b/>
                <w:bCs/>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1221" w:type="pct"/>
            <w:vAlign w:val="center"/>
          </w:tcPr>
          <w:p>
            <w:pPr>
              <w:snapToGrid w:val="0"/>
              <w:spacing w:line="240" w:lineRule="auto"/>
              <w:jc w:val="center"/>
              <w:rPr>
                <w:rFonts w:eastAsia="仿宋_GB2312"/>
                <w:bCs/>
                <w:color w:val="000000"/>
                <w:sz w:val="28"/>
                <w:szCs w:val="21"/>
              </w:rPr>
            </w:pPr>
            <w:r>
              <w:rPr>
                <w:rFonts w:eastAsia="仿宋_GB2312"/>
                <w:bCs/>
                <w:color w:val="000000"/>
                <w:sz w:val="28"/>
                <w:szCs w:val="21"/>
              </w:rPr>
              <w:t>杨维</w:t>
            </w:r>
          </w:p>
        </w:tc>
        <w:tc>
          <w:tcPr>
            <w:tcW w:w="1280" w:type="pct"/>
            <w:vAlign w:val="center"/>
          </w:tcPr>
          <w:p>
            <w:pPr>
              <w:snapToGrid w:val="0"/>
              <w:spacing w:line="240" w:lineRule="auto"/>
              <w:jc w:val="center"/>
              <w:rPr>
                <w:rFonts w:eastAsia="仿宋_GB2312"/>
                <w:bCs/>
                <w:color w:val="000000"/>
                <w:sz w:val="28"/>
                <w:szCs w:val="21"/>
              </w:rPr>
            </w:pPr>
            <w:r>
              <w:rPr>
                <w:rFonts w:eastAsia="仿宋_GB2312"/>
                <w:sz w:val="28"/>
                <w:szCs w:val="28"/>
              </w:rPr>
              <w:t>5320150022</w:t>
            </w:r>
          </w:p>
        </w:tc>
        <w:tc>
          <w:tcPr>
            <w:tcW w:w="1280" w:type="pct"/>
            <w:vAlign w:val="center"/>
          </w:tcPr>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tc>
        <w:tc>
          <w:tcPr>
            <w:tcW w:w="1220" w:type="pct"/>
            <w:vAlign w:val="center"/>
          </w:tcPr>
          <w:p>
            <w:pPr>
              <w:snapToGrid w:val="0"/>
              <w:spacing w:line="240" w:lineRule="auto"/>
              <w:jc w:val="center"/>
              <w:rPr>
                <w:rFonts w:eastAsia="仿宋_GB2312"/>
                <w:b/>
                <w:bCs/>
                <w:color w:val="000000"/>
                <w:sz w:val="28"/>
                <w:szCs w:val="21"/>
              </w:rPr>
            </w:pPr>
          </w:p>
        </w:tc>
      </w:tr>
    </w:tbl>
    <w:p>
      <w:pPr>
        <w:widowControl/>
        <w:snapToGrid w:val="0"/>
        <w:spacing w:line="240" w:lineRule="auto"/>
        <w:jc w:val="left"/>
        <w:rPr>
          <w:rFonts w:eastAsia="仿宋_GB2312"/>
          <w:color w:val="000000"/>
          <w:sz w:val="20"/>
          <w:szCs w:val="21"/>
        </w:rPr>
      </w:pPr>
      <w:r>
        <w:rPr>
          <w:sz w:val="20"/>
        </w:rPr>
        <w:br w:type="page"/>
      </w:r>
    </w:p>
    <w:p>
      <w:pPr>
        <w:pStyle w:val="2"/>
        <w:snapToGrid w:val="0"/>
        <w:spacing w:before="240" w:after="504" w:line="360" w:lineRule="auto"/>
        <w:textAlignment w:val="baseline"/>
        <w:rPr>
          <w:rFonts w:ascii="Times New Roman" w:hAnsi="Times New Roman" w:eastAsia="仿宋_GB2312" w:cs="Times New Roman"/>
          <w:color w:val="000000"/>
          <w:sz w:val="36"/>
        </w:rPr>
      </w:pPr>
      <w:bookmarkStart w:id="12" w:name="_Toc30660"/>
      <w:bookmarkStart w:id="13" w:name="_Toc485393184"/>
      <w:r>
        <w:rPr>
          <w:rFonts w:ascii="Times New Roman" w:hAnsi="Times New Roman" w:eastAsia="仿宋_GB2312" w:cs="Times New Roman"/>
          <w:color w:val="000000"/>
          <w:sz w:val="36"/>
        </w:rPr>
        <w:t>二、估价假设和限制条件</w:t>
      </w:r>
      <w:bookmarkEnd w:id="12"/>
      <w:bookmarkEnd w:id="13"/>
    </w:p>
    <w:p>
      <w:pPr>
        <w:snapToGrid w:val="0"/>
        <w:spacing w:line="560" w:lineRule="exact"/>
        <w:ind w:firstLine="560" w:firstLineChars="200"/>
        <w:rPr>
          <w:rFonts w:eastAsia="仿宋_GB2312"/>
          <w:sz w:val="28"/>
          <w:szCs w:val="28"/>
        </w:rPr>
      </w:pPr>
      <w:r>
        <w:rPr>
          <w:rFonts w:eastAsia="仿宋_GB2312"/>
          <w:sz w:val="28"/>
          <w:szCs w:val="28"/>
        </w:rPr>
        <w:t>本估价报告是我们独立、客观、公正的专业分析、意见和结论，但受以下及本估价报告中已说明的假设和限制条件的限制：</w:t>
      </w:r>
    </w:p>
    <w:p>
      <w:pPr>
        <w:pStyle w:val="3"/>
        <w:snapToGrid w:val="0"/>
        <w:spacing w:before="120" w:after="156"/>
        <w:rPr>
          <w:rFonts w:ascii="Times New Roman" w:hAnsi="Times New Roman" w:eastAsia="仿宋_GB2312" w:cs="Times New Roman"/>
          <w:b w:val="0"/>
          <w:color w:val="000000"/>
          <w:sz w:val="32"/>
        </w:rPr>
      </w:pPr>
      <w:bookmarkStart w:id="14" w:name="_Toc355619684"/>
      <w:bookmarkStart w:id="15" w:name="_Toc360010001"/>
      <w:bookmarkStart w:id="16" w:name="_Toc14831"/>
      <w:r>
        <w:rPr>
          <w:rFonts w:ascii="Times New Roman" w:hAnsi="Times New Roman" w:eastAsia="仿宋_GB2312" w:cs="Times New Roman"/>
          <w:color w:val="000000"/>
          <w:sz w:val="32"/>
        </w:rPr>
        <w:t>（一）本项估价的假设条件</w:t>
      </w:r>
      <w:bookmarkEnd w:id="14"/>
      <w:bookmarkEnd w:id="15"/>
      <w:bookmarkEnd w:id="16"/>
    </w:p>
    <w:p>
      <w:pPr>
        <w:snapToGrid w:val="0"/>
        <w:spacing w:before="156" w:line="540" w:lineRule="exact"/>
        <w:ind w:firstLine="562" w:firstLineChars="200"/>
        <w:rPr>
          <w:rFonts w:eastAsia="仿宋_GB2312"/>
          <w:b/>
          <w:sz w:val="28"/>
          <w:szCs w:val="28"/>
        </w:rPr>
      </w:pPr>
      <w:r>
        <w:rPr>
          <w:rFonts w:eastAsia="仿宋_GB2312"/>
          <w:b/>
          <w:sz w:val="28"/>
          <w:szCs w:val="28"/>
        </w:rPr>
        <w:t>1、一般性假设</w:t>
      </w:r>
    </w:p>
    <w:p>
      <w:pPr>
        <w:snapToGrid w:val="0"/>
        <w:spacing w:line="540" w:lineRule="exact"/>
        <w:ind w:firstLine="560" w:firstLineChars="200"/>
        <w:rPr>
          <w:rFonts w:eastAsia="仿宋_GB2312"/>
          <w:sz w:val="28"/>
          <w:szCs w:val="28"/>
        </w:rPr>
      </w:pPr>
      <w:r>
        <w:rPr>
          <w:rFonts w:eastAsia="仿宋_GB2312"/>
          <w:sz w:val="28"/>
          <w:szCs w:val="28"/>
        </w:rPr>
        <w:t>（1）估价对象产权明晰，手续齐全，可在公开市场上自由转让。</w:t>
      </w:r>
    </w:p>
    <w:p>
      <w:pPr>
        <w:snapToGrid w:val="0"/>
        <w:spacing w:line="54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估价人员对委托人及被申请人提供的估价对象相关权属证件上记载的权属、面积、用途等资料进行了审慎检查，在无理由怀疑其合法性、真实性、准确性和完整性的情况下，假定委托人提供的估价对象相关权属证件合法、真实、准确、完整。如因资料失实而导致估价结果失实、失误和错误，估价机构和估价人员不承担相应责任</w:t>
      </w:r>
      <w:r>
        <w:rPr>
          <w:rFonts w:eastAsia="仿宋_GB2312"/>
          <w:sz w:val="28"/>
          <w:szCs w:val="28"/>
        </w:rPr>
        <w:t>。</w:t>
      </w:r>
    </w:p>
    <w:p>
      <w:pPr>
        <w:snapToGrid w:val="0"/>
        <w:spacing w:line="540" w:lineRule="exact"/>
        <w:ind w:firstLine="560" w:firstLineChars="200"/>
        <w:rPr>
          <w:rFonts w:eastAsia="仿宋_GB2312"/>
          <w:sz w:val="28"/>
          <w:szCs w:val="28"/>
        </w:rPr>
      </w:pPr>
      <w:r>
        <w:rPr>
          <w:rFonts w:eastAsia="仿宋_GB2312"/>
          <w:sz w:val="28"/>
          <w:szCs w:val="28"/>
        </w:rPr>
        <w:t>（3）市场供求关系未发生重大变化或实质性改变。</w:t>
      </w:r>
    </w:p>
    <w:p>
      <w:pPr>
        <w:snapToGrid w:val="0"/>
        <w:spacing w:line="540" w:lineRule="exact"/>
        <w:ind w:firstLine="560" w:firstLineChars="200"/>
        <w:rPr>
          <w:rFonts w:eastAsia="仿宋_GB2312"/>
          <w:sz w:val="28"/>
          <w:szCs w:val="28"/>
        </w:rPr>
      </w:pPr>
      <w:r>
        <w:rPr>
          <w:rFonts w:eastAsia="仿宋_GB2312"/>
          <w:sz w:val="28"/>
          <w:szCs w:val="28"/>
        </w:rPr>
        <w:t>（4）假设</w:t>
      </w:r>
      <w:r>
        <w:rPr>
          <w:rFonts w:hint="eastAsia" w:eastAsia="仿宋_GB2312"/>
          <w:sz w:val="28"/>
          <w:szCs w:val="28"/>
        </w:rPr>
        <w:t>估价对象</w:t>
      </w:r>
      <w:r>
        <w:rPr>
          <w:rFonts w:eastAsia="仿宋_GB2312"/>
          <w:sz w:val="28"/>
          <w:szCs w:val="28"/>
        </w:rPr>
        <w:t>现状满足所采用的城市规划、用途管制和限制条件，另有说明的除外。</w:t>
      </w:r>
    </w:p>
    <w:p>
      <w:pPr>
        <w:snapToGrid w:val="0"/>
        <w:spacing w:line="540" w:lineRule="exact"/>
        <w:ind w:firstLine="560" w:firstLineChars="200"/>
        <w:rPr>
          <w:rFonts w:eastAsia="仿宋_GB2312"/>
          <w:sz w:val="28"/>
          <w:szCs w:val="28"/>
        </w:rPr>
      </w:pPr>
      <w:r>
        <w:rPr>
          <w:rFonts w:eastAsia="仿宋_GB2312"/>
          <w:sz w:val="28"/>
          <w:szCs w:val="28"/>
        </w:rPr>
        <w:t>（5）</w:t>
      </w:r>
      <w:bookmarkStart w:id="17" w:name="_Hlk11188837"/>
      <w:r>
        <w:rPr>
          <w:rFonts w:eastAsia="仿宋_GB2312"/>
          <w:sz w:val="28"/>
          <w:szCs w:val="28"/>
        </w:rPr>
        <w:t>估价人员已对房屋安全、环境污染等影响估价对象价值的重大因素给予了关注，在无理由怀疑估价对象存在安全隐患且无相应的专业机构进行鉴定、检测的情况下，假定估价对象能正常安全使用</w:t>
      </w:r>
      <w:bookmarkEnd w:id="17"/>
      <w:r>
        <w:rPr>
          <w:rFonts w:eastAsia="仿宋_GB2312"/>
          <w:sz w:val="28"/>
          <w:szCs w:val="28"/>
        </w:rPr>
        <w:t>。</w:t>
      </w:r>
    </w:p>
    <w:p>
      <w:pPr>
        <w:snapToGrid w:val="0"/>
        <w:spacing w:line="540" w:lineRule="exact"/>
        <w:ind w:firstLine="560" w:firstLineChars="200"/>
        <w:rPr>
          <w:rFonts w:eastAsia="仿宋_GB2312"/>
          <w:sz w:val="28"/>
          <w:szCs w:val="28"/>
        </w:rPr>
      </w:pPr>
      <w:r>
        <w:rPr>
          <w:rFonts w:eastAsia="仿宋_GB2312"/>
          <w:sz w:val="28"/>
          <w:szCs w:val="28"/>
        </w:rPr>
        <w:t>（</w:t>
      </w:r>
      <w:r>
        <w:rPr>
          <w:rFonts w:hint="eastAsia" w:eastAsia="仿宋_GB2312"/>
          <w:sz w:val="28"/>
          <w:szCs w:val="28"/>
        </w:rPr>
        <w:t>6</w:t>
      </w:r>
      <w:r>
        <w:rPr>
          <w:rFonts w:eastAsia="仿宋_GB2312"/>
          <w:sz w:val="28"/>
          <w:szCs w:val="28"/>
        </w:rPr>
        <w:t>）本次估价以估价对象能够按估价设定的用途不变并持续正常使用为估价前提。</w:t>
      </w:r>
    </w:p>
    <w:p>
      <w:pPr>
        <w:snapToGrid w:val="0"/>
        <w:spacing w:line="580" w:lineRule="exact"/>
        <w:ind w:firstLine="560" w:firstLineChars="200"/>
        <w:rPr>
          <w:rFonts w:eastAsia="仿宋_GB2312"/>
          <w:sz w:val="28"/>
          <w:szCs w:val="28"/>
        </w:rPr>
      </w:pPr>
      <w:r>
        <w:rPr>
          <w:rFonts w:hint="eastAsia" w:eastAsia="仿宋_GB2312"/>
          <w:sz w:val="28"/>
          <w:szCs w:val="28"/>
        </w:rPr>
        <w:t>（7）估价对象在价值时点的房地产市场为公开、平等、自愿的交易市场，即能满足以下条件：</w:t>
      </w:r>
    </w:p>
    <w:p>
      <w:pPr>
        <w:snapToGrid w:val="0"/>
        <w:spacing w:line="540" w:lineRule="exact"/>
        <w:ind w:firstLine="560" w:firstLineChars="200"/>
        <w:rPr>
          <w:rFonts w:eastAsia="仿宋_GB2312"/>
          <w:sz w:val="28"/>
          <w:szCs w:val="28"/>
        </w:rPr>
      </w:pPr>
      <w:r>
        <w:rPr>
          <w:rFonts w:hint="eastAsia" w:ascii="宋体" w:hAnsi="宋体" w:cs="宋体"/>
          <w:sz w:val="28"/>
          <w:szCs w:val="28"/>
        </w:rPr>
        <w:t>①</w:t>
      </w:r>
      <w:r>
        <w:rPr>
          <w:rFonts w:eastAsia="仿宋_GB2312"/>
          <w:sz w:val="28"/>
          <w:szCs w:val="28"/>
        </w:rPr>
        <w:t>交易双方自愿地进行交易；</w:t>
      </w:r>
    </w:p>
    <w:p>
      <w:pPr>
        <w:snapToGrid w:val="0"/>
        <w:spacing w:line="540" w:lineRule="exact"/>
        <w:ind w:firstLine="560" w:firstLineChars="200"/>
        <w:rPr>
          <w:rFonts w:eastAsia="仿宋_GB2312"/>
          <w:sz w:val="28"/>
          <w:szCs w:val="28"/>
        </w:rPr>
      </w:pPr>
      <w:r>
        <w:rPr>
          <w:rFonts w:hint="eastAsia" w:ascii="宋体" w:hAnsi="宋体" w:cs="宋体"/>
          <w:sz w:val="28"/>
          <w:szCs w:val="28"/>
        </w:rPr>
        <w:t>②</w:t>
      </w:r>
      <w:r>
        <w:rPr>
          <w:rFonts w:eastAsia="仿宋_GB2312"/>
          <w:sz w:val="28"/>
          <w:szCs w:val="28"/>
        </w:rPr>
        <w:t>交易双方处于利己动机进行交易；</w:t>
      </w:r>
    </w:p>
    <w:p>
      <w:pPr>
        <w:snapToGrid w:val="0"/>
        <w:spacing w:line="540" w:lineRule="exact"/>
        <w:ind w:firstLine="560" w:firstLineChars="200"/>
        <w:rPr>
          <w:rFonts w:eastAsia="仿宋_GB2312"/>
          <w:sz w:val="28"/>
          <w:szCs w:val="28"/>
        </w:rPr>
      </w:pPr>
      <w:r>
        <w:rPr>
          <w:rFonts w:hint="eastAsia" w:ascii="宋体" w:hAnsi="宋体" w:cs="宋体"/>
          <w:sz w:val="28"/>
          <w:szCs w:val="28"/>
        </w:rPr>
        <w:t>③</w:t>
      </w:r>
      <w:r>
        <w:rPr>
          <w:rFonts w:eastAsia="仿宋_GB2312"/>
          <w:sz w:val="28"/>
          <w:szCs w:val="28"/>
        </w:rPr>
        <w:t>交易双方精明、谨慎行事，并了解交易对象、知晓市场行情；</w:t>
      </w:r>
    </w:p>
    <w:p>
      <w:pPr>
        <w:snapToGrid w:val="0"/>
        <w:spacing w:line="540" w:lineRule="exact"/>
        <w:ind w:firstLine="560" w:firstLineChars="200"/>
        <w:rPr>
          <w:rFonts w:eastAsia="仿宋_GB2312"/>
          <w:sz w:val="28"/>
          <w:szCs w:val="28"/>
        </w:rPr>
      </w:pPr>
      <w:r>
        <w:rPr>
          <w:rFonts w:hint="eastAsia" w:ascii="宋体" w:hAnsi="宋体" w:cs="宋体"/>
          <w:sz w:val="28"/>
          <w:szCs w:val="28"/>
        </w:rPr>
        <w:t>④</w:t>
      </w:r>
      <w:r>
        <w:rPr>
          <w:rFonts w:eastAsia="仿宋_GB2312"/>
          <w:sz w:val="28"/>
          <w:szCs w:val="28"/>
        </w:rPr>
        <w:t>交易双方有较充裕的时间进行交易；</w:t>
      </w:r>
    </w:p>
    <w:p>
      <w:pPr>
        <w:snapToGrid w:val="0"/>
        <w:spacing w:line="540" w:lineRule="exact"/>
        <w:ind w:firstLine="560" w:firstLineChars="200"/>
        <w:rPr>
          <w:rFonts w:eastAsia="仿宋_GB2312"/>
          <w:sz w:val="28"/>
          <w:szCs w:val="28"/>
        </w:rPr>
      </w:pPr>
      <w:r>
        <w:rPr>
          <w:rFonts w:hint="eastAsia" w:ascii="宋体" w:hAnsi="宋体" w:cs="宋体"/>
          <w:sz w:val="28"/>
          <w:szCs w:val="28"/>
        </w:rPr>
        <w:t>⑤</w:t>
      </w:r>
      <w:r>
        <w:rPr>
          <w:rFonts w:eastAsia="仿宋_GB2312"/>
          <w:sz w:val="28"/>
          <w:szCs w:val="28"/>
        </w:rPr>
        <w:t>不存在买者因特殊兴趣而给予附加出价。</w:t>
      </w:r>
    </w:p>
    <w:p>
      <w:pPr>
        <w:snapToGrid w:val="0"/>
        <w:spacing w:before="156" w:line="540" w:lineRule="exact"/>
        <w:ind w:firstLine="562" w:firstLineChars="200"/>
        <w:rPr>
          <w:rFonts w:eastAsia="仿宋_GB2312"/>
          <w:b/>
          <w:sz w:val="28"/>
          <w:szCs w:val="28"/>
        </w:rPr>
      </w:pPr>
      <w:r>
        <w:rPr>
          <w:rFonts w:eastAsia="仿宋_GB2312"/>
          <w:b/>
          <w:sz w:val="28"/>
          <w:szCs w:val="28"/>
        </w:rPr>
        <w:t>2、未定事项假设</w:t>
      </w:r>
    </w:p>
    <w:p>
      <w:pPr>
        <w:suppressAutoHyphens/>
        <w:spacing w:line="54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估价人员查询到《自然资源部房地产权结果信息一览表》、《房屋所有权证》及《国有土地使用证》</w:t>
      </w:r>
      <w:r>
        <w:rPr>
          <w:rFonts w:eastAsia="仿宋_GB2312"/>
          <w:sz w:val="28"/>
          <w:szCs w:val="28"/>
        </w:rPr>
        <w:t>未记载估价对象房屋的建成年份，</w:t>
      </w:r>
      <w:r>
        <w:rPr>
          <w:rFonts w:hint="eastAsia" w:eastAsia="仿宋_GB2312"/>
          <w:sz w:val="28"/>
          <w:szCs w:val="28"/>
        </w:rPr>
        <w:t>估价委托人亦未提供相关建成资料，</w:t>
      </w:r>
      <w:r>
        <w:rPr>
          <w:rFonts w:eastAsia="仿宋_GB2312"/>
          <w:sz w:val="28"/>
          <w:szCs w:val="28"/>
        </w:rPr>
        <w:t>经估价人员实地调查，估价对象</w:t>
      </w:r>
      <w:r>
        <w:rPr>
          <w:rFonts w:hint="eastAsia" w:eastAsia="仿宋_GB2312"/>
          <w:sz w:val="28"/>
          <w:szCs w:val="28"/>
        </w:rPr>
        <w:t>约</w:t>
      </w:r>
      <w:r>
        <w:rPr>
          <w:rFonts w:eastAsia="仿宋_GB2312"/>
          <w:sz w:val="28"/>
          <w:szCs w:val="28"/>
        </w:rPr>
        <w:t>建成于20</w:t>
      </w:r>
      <w:r>
        <w:rPr>
          <w:rFonts w:hint="eastAsia" w:eastAsia="仿宋_GB2312"/>
          <w:sz w:val="28"/>
          <w:szCs w:val="28"/>
        </w:rPr>
        <w:t>10</w:t>
      </w:r>
      <w:r>
        <w:rPr>
          <w:rFonts w:eastAsia="仿宋_GB2312"/>
          <w:sz w:val="28"/>
          <w:szCs w:val="28"/>
        </w:rPr>
        <w:t>年，本次估价建筑物的建成年份以实际调查为准，仅在本报告中使用，不作其他任何用途使用。</w:t>
      </w:r>
    </w:p>
    <w:p>
      <w:pPr>
        <w:suppressAutoHyphens/>
        <w:spacing w:line="540" w:lineRule="exact"/>
        <w:ind w:firstLine="544" w:firstLineChars="200"/>
        <w:rPr>
          <w:rFonts w:eastAsia="仿宋_GB2312"/>
          <w:spacing w:val="-4"/>
          <w:sz w:val="28"/>
          <w:szCs w:val="28"/>
        </w:rPr>
      </w:pPr>
      <w:r>
        <w:rPr>
          <w:rFonts w:eastAsia="仿宋_GB2312"/>
          <w:spacing w:val="-4"/>
          <w:sz w:val="28"/>
          <w:szCs w:val="28"/>
        </w:rPr>
        <w:t>（2）估价工作小组已在能力范围内核实了委托人（或估价利害关系人）指认的物业位置和界址，但不排除委托人（或估价利害关系人）误指的可能，</w:t>
      </w:r>
      <w:r>
        <w:rPr>
          <w:rFonts w:hint="eastAsia" w:eastAsia="仿宋_GB2312"/>
          <w:spacing w:val="-4"/>
          <w:sz w:val="28"/>
          <w:szCs w:val="28"/>
        </w:rPr>
        <w:t>本</w:t>
      </w:r>
      <w:r>
        <w:rPr>
          <w:rFonts w:eastAsia="仿宋_GB2312"/>
          <w:spacing w:val="-4"/>
          <w:sz w:val="28"/>
          <w:szCs w:val="28"/>
        </w:rPr>
        <w:t>估价报告以查勘现场勘验准确、估价对象的实物、权益状况与价值时点时一致为估价假设前提。</w:t>
      </w:r>
    </w:p>
    <w:p>
      <w:pPr>
        <w:suppressAutoHyphens/>
        <w:spacing w:line="540" w:lineRule="exact"/>
        <w:ind w:firstLine="560" w:firstLineChars="200"/>
        <w:rPr>
          <w:rFonts w:eastAsia="仿宋_GB2312"/>
          <w:sz w:val="28"/>
          <w:szCs w:val="28"/>
        </w:rPr>
      </w:pPr>
      <w:r>
        <w:rPr>
          <w:rFonts w:eastAsia="仿宋_GB2312"/>
          <w:sz w:val="28"/>
          <w:szCs w:val="28"/>
        </w:rPr>
        <w:t>（3）</w:t>
      </w:r>
      <w:r>
        <w:rPr>
          <w:rFonts w:hint="eastAsia" w:eastAsia="仿宋_GB2312"/>
          <w:sz w:val="28"/>
          <w:szCs w:val="28"/>
        </w:rPr>
        <w:t>本报告出具的估价结果中房地产的价值包含了建筑物占用的国有土地使用权价值。若至价值时点止，估价对象尚存在任何有关估价对象的应缴未缴税额，应按照规定缴纳或从估价结果中相应扣减</w:t>
      </w:r>
      <w:r>
        <w:rPr>
          <w:rFonts w:eastAsia="仿宋_GB2312"/>
          <w:sz w:val="28"/>
          <w:szCs w:val="28"/>
        </w:rPr>
        <w:t>。</w:t>
      </w:r>
    </w:p>
    <w:p>
      <w:pPr>
        <w:snapToGrid w:val="0"/>
        <w:spacing w:before="156" w:line="540" w:lineRule="exact"/>
        <w:ind w:firstLine="562" w:firstLineChars="200"/>
        <w:rPr>
          <w:rFonts w:eastAsia="仿宋_GB2312"/>
          <w:b/>
          <w:sz w:val="28"/>
          <w:szCs w:val="28"/>
        </w:rPr>
      </w:pPr>
      <w:r>
        <w:rPr>
          <w:rFonts w:eastAsia="仿宋_GB2312"/>
          <w:b/>
          <w:sz w:val="28"/>
          <w:szCs w:val="28"/>
        </w:rPr>
        <w:t>3、背离事实假设</w:t>
      </w:r>
    </w:p>
    <w:p>
      <w:pPr>
        <w:suppressAutoHyphens/>
        <w:spacing w:line="540" w:lineRule="exact"/>
        <w:ind w:firstLine="544" w:firstLineChars="200"/>
        <w:rPr>
          <w:rFonts w:eastAsia="仿宋_GB2312"/>
          <w:spacing w:val="-4"/>
          <w:sz w:val="28"/>
          <w:szCs w:val="28"/>
        </w:rPr>
      </w:pPr>
      <w:r>
        <w:rPr>
          <w:rFonts w:hint="eastAsia" w:eastAsia="仿宋_GB2312"/>
          <w:spacing w:val="-4"/>
          <w:sz w:val="28"/>
          <w:szCs w:val="28"/>
        </w:rPr>
        <w:t>于价值时点估价对象已设立抵押他项权利的情况。</w:t>
      </w:r>
      <w:r>
        <w:rPr>
          <w:rFonts w:eastAsia="仿宋_GB2312"/>
          <w:spacing w:val="-4"/>
          <w:sz w:val="28"/>
          <w:szCs w:val="28"/>
        </w:rPr>
        <w:t>根据中华人民共和国国家标准《房地产估价规范》</w:t>
      </w:r>
      <w:r>
        <w:rPr>
          <w:rFonts w:hint="eastAsia" w:eastAsia="仿宋_GB2312"/>
          <w:spacing w:val="-4"/>
          <w:sz w:val="28"/>
          <w:szCs w:val="28"/>
        </w:rPr>
        <w:t>（</w:t>
      </w:r>
      <w:r>
        <w:rPr>
          <w:rFonts w:eastAsia="仿宋_GB2312"/>
          <w:spacing w:val="-4"/>
          <w:sz w:val="28"/>
          <w:szCs w:val="28"/>
        </w:rPr>
        <w:t>GB/T 50291—2015</w:t>
      </w:r>
      <w:r>
        <w:rPr>
          <w:rFonts w:hint="eastAsia" w:eastAsia="仿宋_GB2312"/>
          <w:spacing w:val="-4"/>
          <w:sz w:val="28"/>
          <w:szCs w:val="28"/>
        </w:rPr>
        <w:t>）</w:t>
      </w:r>
      <w:r>
        <w:rPr>
          <w:rFonts w:eastAsia="仿宋_GB2312"/>
          <w:spacing w:val="-4"/>
          <w:sz w:val="28"/>
          <w:szCs w:val="28"/>
        </w:rPr>
        <w:t>，在房地产拍卖、变卖估价过程中，其评估价值影响因素不包括拍卖房地产被查封及拍卖房地产上原有的担保物权和其他优先受偿权。因此本次估价假定估价对象于估价时点不存在被查封、担保物权和其他优先受偿权。</w:t>
      </w:r>
    </w:p>
    <w:p>
      <w:pPr>
        <w:snapToGrid w:val="0"/>
        <w:spacing w:before="156" w:line="540" w:lineRule="exact"/>
        <w:ind w:firstLine="562" w:firstLineChars="200"/>
        <w:rPr>
          <w:rFonts w:eastAsia="仿宋_GB2312"/>
          <w:b/>
          <w:sz w:val="28"/>
          <w:szCs w:val="28"/>
        </w:rPr>
      </w:pPr>
      <w:r>
        <w:rPr>
          <w:rFonts w:eastAsia="仿宋_GB2312"/>
          <w:b/>
          <w:sz w:val="28"/>
          <w:szCs w:val="28"/>
        </w:rPr>
        <w:t>4、不相一致假设</w:t>
      </w:r>
    </w:p>
    <w:p>
      <w:pPr>
        <w:snapToGrid w:val="0"/>
        <w:spacing w:line="360" w:lineRule="auto"/>
        <w:ind w:firstLine="560" w:firstLineChars="200"/>
        <w:rPr>
          <w:rFonts w:eastAsia="仿宋_GB2312"/>
          <w:sz w:val="28"/>
          <w:szCs w:val="28"/>
        </w:rPr>
      </w:pPr>
      <w:r>
        <w:rPr>
          <w:rFonts w:hint="eastAsia" w:eastAsia="仿宋_GB2312"/>
          <w:sz w:val="28"/>
          <w:szCs w:val="28"/>
        </w:rPr>
        <w:t>本次估价的估价对象不存在不相一致事项，故本估价报告无不相一致事项假设。</w:t>
      </w:r>
    </w:p>
    <w:p>
      <w:pPr>
        <w:snapToGrid w:val="0"/>
        <w:spacing w:before="156" w:line="540" w:lineRule="exact"/>
        <w:ind w:firstLine="562" w:firstLineChars="200"/>
        <w:rPr>
          <w:rFonts w:eastAsia="仿宋_GB2312"/>
          <w:b/>
          <w:sz w:val="28"/>
          <w:szCs w:val="28"/>
        </w:rPr>
      </w:pPr>
      <w:r>
        <w:rPr>
          <w:rFonts w:eastAsia="仿宋_GB2312"/>
          <w:b/>
          <w:sz w:val="28"/>
          <w:szCs w:val="28"/>
        </w:rPr>
        <w:t>5、依据不足假设</w:t>
      </w:r>
    </w:p>
    <w:p>
      <w:pPr>
        <w:snapToGrid w:val="0"/>
        <w:spacing w:line="540" w:lineRule="exact"/>
        <w:ind w:firstLine="560" w:firstLineChars="200"/>
        <w:rPr>
          <w:rFonts w:eastAsia="仿宋_GB2312"/>
          <w:sz w:val="28"/>
          <w:szCs w:val="28"/>
        </w:rPr>
      </w:pPr>
      <w:r>
        <w:rPr>
          <w:rFonts w:hint="eastAsia" w:eastAsia="仿宋_GB2312"/>
          <w:sz w:val="28"/>
          <w:szCs w:val="28"/>
        </w:rPr>
        <w:t>本次估价的估价对象不存在依据不足事项，故本估价报告无依据不足假设。</w:t>
      </w:r>
    </w:p>
    <w:p>
      <w:pPr>
        <w:pStyle w:val="3"/>
        <w:snapToGrid w:val="0"/>
        <w:spacing w:before="120" w:after="120" w:afterLines="50"/>
        <w:rPr>
          <w:rFonts w:ascii="Times New Roman" w:hAnsi="Times New Roman" w:eastAsia="仿宋_GB2312" w:cs="Times New Roman"/>
          <w:b w:val="0"/>
          <w:color w:val="000000"/>
          <w:sz w:val="32"/>
        </w:rPr>
      </w:pPr>
      <w:bookmarkStart w:id="18" w:name="_Toc9972"/>
      <w:r>
        <w:rPr>
          <w:rFonts w:ascii="Times New Roman" w:hAnsi="Times New Roman" w:eastAsia="仿宋_GB2312" w:cs="Times New Roman"/>
          <w:color w:val="000000"/>
          <w:sz w:val="32"/>
        </w:rPr>
        <w:t>（二）本估价报告使用的限制条件</w:t>
      </w:r>
      <w:bookmarkEnd w:id="18"/>
    </w:p>
    <w:p>
      <w:pPr>
        <w:snapToGrid w:val="0"/>
        <w:spacing w:line="360" w:lineRule="auto"/>
        <w:ind w:firstLine="528" w:firstLineChars="200"/>
        <w:rPr>
          <w:rFonts w:eastAsia="仿宋_GB2312"/>
          <w:sz w:val="28"/>
          <w:szCs w:val="28"/>
        </w:rPr>
      </w:pPr>
      <w:r>
        <w:rPr>
          <w:rFonts w:eastAsia="仿宋_GB2312"/>
          <w:spacing w:val="-8"/>
          <w:sz w:val="28"/>
          <w:szCs w:val="28"/>
        </w:rPr>
        <w:t>1、</w:t>
      </w:r>
      <w:r>
        <w:rPr>
          <w:rFonts w:eastAsia="仿宋_GB2312"/>
          <w:sz w:val="28"/>
          <w:szCs w:val="28"/>
        </w:rPr>
        <w:t>本估价报告仅作为估价委托人在本次估价目的下使用，不得做其他用途。</w:t>
      </w:r>
    </w:p>
    <w:p>
      <w:pPr>
        <w:snapToGrid w:val="0"/>
        <w:spacing w:line="360" w:lineRule="auto"/>
        <w:ind w:firstLine="544" w:firstLineChars="200"/>
        <w:rPr>
          <w:rFonts w:eastAsia="仿宋_GB2312"/>
          <w:sz w:val="28"/>
          <w:szCs w:val="28"/>
        </w:rPr>
      </w:pPr>
      <w:r>
        <w:rPr>
          <w:rFonts w:eastAsia="仿宋_GB2312"/>
          <w:spacing w:val="-4"/>
          <w:sz w:val="28"/>
          <w:szCs w:val="28"/>
        </w:rPr>
        <w:t>2、本估价报告使用期限自估价报告出具之日起壹年内有效。若报告使用期限内，房地产市场或估价对象状况发生重大变化，估价结果需做相应调整或委托估价机构重新估价。</w:t>
      </w:r>
    </w:p>
    <w:p>
      <w:pPr>
        <w:snapToGrid w:val="0"/>
        <w:spacing w:line="360" w:lineRule="auto"/>
        <w:ind w:firstLine="560" w:firstLineChars="200"/>
        <w:rPr>
          <w:rFonts w:eastAsia="仿宋_GB2312"/>
          <w:sz w:val="28"/>
          <w:szCs w:val="28"/>
        </w:rPr>
      </w:pPr>
      <w:r>
        <w:rPr>
          <w:rFonts w:hint="eastAsia" w:eastAsia="仿宋_GB2312"/>
          <w:sz w:val="28"/>
          <w:szCs w:val="28"/>
        </w:rPr>
        <w:t>3</w:t>
      </w:r>
      <w:r>
        <w:rPr>
          <w:rFonts w:eastAsia="仿宋_GB2312"/>
          <w:sz w:val="28"/>
          <w:szCs w:val="28"/>
        </w:rPr>
        <w:t>、本估价报告分为</w:t>
      </w:r>
      <w:r>
        <w:rPr>
          <w:rFonts w:hint="eastAsia" w:eastAsia="仿宋_GB2312"/>
          <w:sz w:val="28"/>
          <w:szCs w:val="28"/>
        </w:rPr>
        <w:t>“</w:t>
      </w:r>
      <w:r>
        <w:rPr>
          <w:rFonts w:eastAsia="仿宋_GB2312"/>
          <w:sz w:val="28"/>
          <w:szCs w:val="28"/>
        </w:rPr>
        <w:t>估价结果报告</w:t>
      </w:r>
      <w:r>
        <w:rPr>
          <w:rFonts w:hint="eastAsia" w:eastAsia="仿宋_GB2312"/>
          <w:sz w:val="28"/>
          <w:szCs w:val="28"/>
        </w:rPr>
        <w:t>”</w:t>
      </w:r>
      <w:r>
        <w:rPr>
          <w:rFonts w:eastAsia="仿宋_GB2312"/>
          <w:sz w:val="28"/>
          <w:szCs w:val="28"/>
        </w:rPr>
        <w:t>和</w:t>
      </w:r>
      <w:r>
        <w:rPr>
          <w:rFonts w:hint="eastAsia" w:eastAsia="仿宋_GB2312"/>
          <w:sz w:val="28"/>
          <w:szCs w:val="28"/>
        </w:rPr>
        <w:t>“</w:t>
      </w:r>
      <w:r>
        <w:rPr>
          <w:rFonts w:eastAsia="仿宋_GB2312"/>
          <w:sz w:val="28"/>
          <w:szCs w:val="28"/>
        </w:rPr>
        <w:t>估价技术报告</w:t>
      </w:r>
      <w:r>
        <w:rPr>
          <w:rFonts w:hint="eastAsia" w:eastAsia="仿宋_GB2312"/>
          <w:sz w:val="28"/>
          <w:szCs w:val="28"/>
        </w:rPr>
        <w:t>”</w:t>
      </w:r>
      <w:r>
        <w:rPr>
          <w:rFonts w:eastAsia="仿宋_GB2312"/>
          <w:sz w:val="28"/>
          <w:szCs w:val="28"/>
        </w:rPr>
        <w:t>两部分。</w:t>
      </w:r>
      <w:r>
        <w:rPr>
          <w:rFonts w:hint="eastAsia" w:eastAsia="仿宋_GB2312"/>
          <w:sz w:val="28"/>
          <w:szCs w:val="28"/>
        </w:rPr>
        <w:t>“</w:t>
      </w:r>
      <w:r>
        <w:rPr>
          <w:rFonts w:eastAsia="仿宋_GB2312"/>
          <w:sz w:val="28"/>
          <w:szCs w:val="28"/>
        </w:rPr>
        <w:t>估价结果报告</w:t>
      </w:r>
      <w:r>
        <w:rPr>
          <w:rFonts w:hint="eastAsia" w:eastAsia="仿宋_GB2312"/>
          <w:sz w:val="28"/>
          <w:szCs w:val="28"/>
        </w:rPr>
        <w:t>”</w:t>
      </w:r>
      <w:r>
        <w:rPr>
          <w:rFonts w:eastAsia="仿宋_GB2312"/>
          <w:sz w:val="28"/>
          <w:szCs w:val="28"/>
        </w:rPr>
        <w:t>提供给估价委托人，</w:t>
      </w:r>
      <w:r>
        <w:rPr>
          <w:rFonts w:hint="eastAsia" w:eastAsia="仿宋_GB2312"/>
          <w:sz w:val="28"/>
          <w:szCs w:val="28"/>
        </w:rPr>
        <w:t>“</w:t>
      </w:r>
      <w:r>
        <w:rPr>
          <w:rFonts w:eastAsia="仿宋_GB2312"/>
          <w:sz w:val="28"/>
          <w:szCs w:val="28"/>
        </w:rPr>
        <w:t>估价技术报告</w:t>
      </w:r>
      <w:r>
        <w:rPr>
          <w:rFonts w:hint="eastAsia" w:eastAsia="仿宋_GB2312"/>
          <w:sz w:val="28"/>
          <w:szCs w:val="28"/>
        </w:rPr>
        <w:t>”</w:t>
      </w:r>
      <w:r>
        <w:rPr>
          <w:rFonts w:eastAsia="仿宋_GB2312"/>
          <w:sz w:val="28"/>
          <w:szCs w:val="28"/>
        </w:rPr>
        <w:t>按有关规定留存估价机构备查。</w:t>
      </w:r>
    </w:p>
    <w:p>
      <w:pPr>
        <w:snapToGrid w:val="0"/>
        <w:spacing w:line="360" w:lineRule="auto"/>
        <w:ind w:firstLine="560" w:firstLineChars="200"/>
        <w:rPr>
          <w:rFonts w:eastAsia="仿宋_GB2312"/>
          <w:sz w:val="28"/>
          <w:szCs w:val="28"/>
        </w:rPr>
      </w:pPr>
      <w:r>
        <w:rPr>
          <w:rFonts w:hint="eastAsia" w:eastAsia="仿宋_GB2312"/>
          <w:sz w:val="28"/>
          <w:szCs w:val="28"/>
        </w:rPr>
        <w:t>4、估价人员未对房屋建筑面积进行专业测量，仅对估价对象权益状况资料、估价对象的外观和使用状况的常规性检查。本估价报告是依据委托人提供的相关资料基础上进行估价的，委托人应对提供的相关资料真实性、合法性负责。对被遮盖、未暴露及难以接触到的部分，依据估价委托人提供的资料和常规设计标准规定进行估价，估价机构不承担其被遮盖、未暴露及难以接触到的部分进行检视和建筑结构质量调查的责任。</w:t>
      </w:r>
    </w:p>
    <w:p>
      <w:pPr>
        <w:snapToGrid w:val="0"/>
        <w:spacing w:line="360" w:lineRule="auto"/>
        <w:ind w:firstLine="536" w:firstLineChars="200"/>
        <w:rPr>
          <w:rFonts w:eastAsia="仿宋_GB2312"/>
          <w:sz w:val="28"/>
          <w:szCs w:val="28"/>
        </w:rPr>
      </w:pPr>
      <w:r>
        <w:rPr>
          <w:rFonts w:hint="eastAsia" w:eastAsia="仿宋_GB2312"/>
          <w:spacing w:val="-6"/>
          <w:sz w:val="28"/>
          <w:szCs w:val="28"/>
        </w:rPr>
        <w:t>5</w:t>
      </w:r>
      <w:r>
        <w:rPr>
          <w:rFonts w:eastAsia="仿宋_GB2312"/>
          <w:spacing w:val="-6"/>
          <w:sz w:val="28"/>
          <w:szCs w:val="28"/>
        </w:rPr>
        <w:t>、未经估价机构书面同意，本估价报告的全部或部分及任何参考资料均不允许在任何公开发表的文件、通告或声明中引用，亦不得以其他任何方式公开发表。凡因估价委托人使用本报告不当引起的后果，本估价机构和估价人员不承担任何责任。本估价机构保留对违规使用本报告追究相关法律责任的权利。</w:t>
      </w:r>
    </w:p>
    <w:p>
      <w:pPr>
        <w:snapToGrid w:val="0"/>
        <w:spacing w:line="360" w:lineRule="auto"/>
        <w:ind w:firstLine="560" w:firstLineChars="200"/>
        <w:rPr>
          <w:rFonts w:eastAsia="仿宋_GB2312"/>
          <w:sz w:val="28"/>
          <w:szCs w:val="28"/>
        </w:rPr>
      </w:pPr>
      <w:r>
        <w:rPr>
          <w:rFonts w:hint="eastAsia" w:eastAsia="仿宋_GB2312"/>
          <w:sz w:val="28"/>
          <w:szCs w:val="28"/>
        </w:rPr>
        <w:t>6</w:t>
      </w:r>
      <w:r>
        <w:rPr>
          <w:rFonts w:eastAsia="仿宋_GB2312"/>
          <w:sz w:val="28"/>
          <w:szCs w:val="28"/>
        </w:rPr>
        <w:t>、本估价报告是在公开市场条件下进行的价值评估，未考虑可能承担或将来承担的费用，以及特殊的交易方式可能追加付出的费用等对其评估价值有影响的因素，也未考虑国家宏观经济政策发生变化以及遇有自然力和其它不可抗力对评估价值的影响。</w:t>
      </w:r>
    </w:p>
    <w:p>
      <w:pPr>
        <w:snapToGrid w:val="0"/>
        <w:spacing w:line="360" w:lineRule="auto"/>
        <w:ind w:firstLine="560" w:firstLineChars="200"/>
        <w:rPr>
          <w:rFonts w:eastAsia="仿宋_GB2312"/>
          <w:sz w:val="28"/>
          <w:szCs w:val="28"/>
        </w:rPr>
      </w:pPr>
      <w:r>
        <w:rPr>
          <w:rFonts w:hint="eastAsia" w:eastAsia="仿宋_GB2312"/>
          <w:sz w:val="28"/>
          <w:szCs w:val="28"/>
        </w:rPr>
        <w:t>7</w:t>
      </w:r>
      <w:r>
        <w:rPr>
          <w:rFonts w:eastAsia="仿宋_GB2312"/>
          <w:sz w:val="28"/>
          <w:szCs w:val="28"/>
        </w:rPr>
        <w:t>、</w:t>
      </w:r>
      <w:r>
        <w:rPr>
          <w:rFonts w:hint="eastAsia" w:eastAsia="仿宋_GB2312"/>
          <w:sz w:val="28"/>
          <w:szCs w:val="28"/>
        </w:rPr>
        <w:t>本估价</w:t>
      </w:r>
      <w:r>
        <w:rPr>
          <w:rFonts w:eastAsia="仿宋_GB2312"/>
          <w:sz w:val="28"/>
          <w:szCs w:val="28"/>
        </w:rPr>
        <w:t>机构仅对</w:t>
      </w:r>
      <w:r>
        <w:rPr>
          <w:rFonts w:hint="eastAsia" w:eastAsia="仿宋_GB2312"/>
          <w:sz w:val="28"/>
          <w:szCs w:val="28"/>
        </w:rPr>
        <w:t>估价</w:t>
      </w:r>
      <w:r>
        <w:rPr>
          <w:rFonts w:eastAsia="仿宋_GB2312"/>
          <w:sz w:val="28"/>
          <w:szCs w:val="28"/>
        </w:rPr>
        <w:t>程序和方法的合规、合理和科学性负责，根据</w:t>
      </w:r>
      <w:r>
        <w:rPr>
          <w:rFonts w:hint="eastAsia" w:eastAsia="仿宋_GB2312"/>
          <w:sz w:val="28"/>
          <w:szCs w:val="28"/>
        </w:rPr>
        <w:t>估价</w:t>
      </w:r>
      <w:r>
        <w:rPr>
          <w:rFonts w:eastAsia="仿宋_GB2312"/>
          <w:sz w:val="28"/>
          <w:szCs w:val="28"/>
        </w:rPr>
        <w:t>结果作出的任何经济行为决策都由估价委托人自行决定。报告使用者应合理使用</w:t>
      </w:r>
      <w:r>
        <w:rPr>
          <w:rFonts w:hint="eastAsia" w:eastAsia="仿宋_GB2312"/>
          <w:sz w:val="28"/>
          <w:szCs w:val="28"/>
        </w:rPr>
        <w:t>估价结果</w:t>
      </w:r>
      <w:r>
        <w:rPr>
          <w:rFonts w:eastAsia="仿宋_GB2312"/>
          <w:sz w:val="28"/>
          <w:szCs w:val="28"/>
        </w:rPr>
        <w:t>，请充分注意市场风险及估价对象的变现能力，合理使用本市场价值。</w:t>
      </w:r>
    </w:p>
    <w:p>
      <w:pPr>
        <w:snapToGrid w:val="0"/>
        <w:spacing w:line="360" w:lineRule="auto"/>
        <w:ind w:firstLine="560" w:firstLineChars="200"/>
        <w:rPr>
          <w:rFonts w:eastAsia="仿宋_GB2312"/>
          <w:sz w:val="28"/>
          <w:szCs w:val="28"/>
        </w:rPr>
      </w:pPr>
      <w:r>
        <w:rPr>
          <w:rFonts w:hint="eastAsia" w:eastAsia="仿宋_GB2312"/>
          <w:sz w:val="28"/>
          <w:szCs w:val="28"/>
        </w:rPr>
        <w:t>8</w:t>
      </w:r>
      <w:r>
        <w:rPr>
          <w:rFonts w:eastAsia="仿宋_GB2312"/>
          <w:sz w:val="28"/>
          <w:szCs w:val="28"/>
        </w:rPr>
        <w:t>、估价报告的估价结果，需经云南中和金乾房地产土地资产评估有限公司及在该公司注册的两名房地产估价师签字，云南中和金乾房地产土地资产评估有限公司对本次估价结果拥有最终解释权。</w:t>
      </w:r>
    </w:p>
    <w:p>
      <w:pPr>
        <w:snapToGrid w:val="0"/>
        <w:spacing w:line="360" w:lineRule="auto"/>
        <w:ind w:firstLine="560" w:firstLineChars="200"/>
        <w:rPr>
          <w:rFonts w:eastAsia="仿宋_GB2312"/>
          <w:sz w:val="28"/>
          <w:szCs w:val="28"/>
        </w:rPr>
      </w:pPr>
      <w:r>
        <w:rPr>
          <w:rFonts w:hint="eastAsia" w:eastAsia="仿宋_GB2312"/>
          <w:sz w:val="28"/>
          <w:szCs w:val="28"/>
        </w:rPr>
        <w:t>9</w:t>
      </w:r>
      <w:r>
        <w:rPr>
          <w:rFonts w:eastAsia="仿宋_GB2312"/>
          <w:sz w:val="28"/>
          <w:szCs w:val="28"/>
        </w:rPr>
        <w:t>、</w:t>
      </w:r>
      <w:r>
        <w:rPr>
          <w:rFonts w:eastAsia="仿宋_GB2312"/>
          <w:spacing w:val="-6"/>
          <w:sz w:val="28"/>
          <w:szCs w:val="28"/>
        </w:rPr>
        <w:t>本房地产估价报告经估价机构加盖公章并由估价师签字后方可使用，估价机构仅对本报告的原件承担责任，对任何形式的复制件概不认可且不承担责任。</w:t>
      </w:r>
    </w:p>
    <w:p>
      <w:pPr>
        <w:snapToGrid w:val="0"/>
        <w:spacing w:line="360" w:lineRule="auto"/>
        <w:ind w:firstLine="536" w:firstLineChars="200"/>
        <w:rPr>
          <w:rFonts w:eastAsia="仿宋_GB2312"/>
          <w:color w:val="000000"/>
          <w:sz w:val="20"/>
        </w:rPr>
      </w:pPr>
      <w:r>
        <w:rPr>
          <w:rFonts w:eastAsia="仿宋_GB2312"/>
          <w:spacing w:val="-6"/>
          <w:sz w:val="28"/>
          <w:szCs w:val="28"/>
        </w:rPr>
        <w:t>1</w:t>
      </w:r>
      <w:r>
        <w:rPr>
          <w:rFonts w:hint="eastAsia" w:eastAsia="仿宋_GB2312"/>
          <w:spacing w:val="-6"/>
          <w:sz w:val="28"/>
          <w:szCs w:val="28"/>
        </w:rPr>
        <w:t>0</w:t>
      </w:r>
      <w:r>
        <w:rPr>
          <w:rFonts w:eastAsia="仿宋_GB2312"/>
          <w:spacing w:val="-6"/>
          <w:sz w:val="28"/>
          <w:szCs w:val="28"/>
        </w:rPr>
        <w:t>、</w:t>
      </w:r>
      <w:r>
        <w:rPr>
          <w:rFonts w:eastAsia="仿宋_GB2312"/>
          <w:sz w:val="28"/>
          <w:szCs w:val="28"/>
        </w:rPr>
        <w:t>如在自提交估价报告之日起未来一年中该区域同类型房地产市场行情无大的变化时，本估价报告使用期为一年（</w:t>
      </w:r>
      <w:r>
        <w:rPr>
          <w:rFonts w:hint="eastAsia" w:eastAsia="仿宋_GB2312"/>
          <w:sz w:val="28"/>
          <w:szCs w:val="28"/>
          <w:lang w:eastAsia="zh-CN"/>
        </w:rPr>
        <w:t>2022年10月10日</w:t>
      </w:r>
      <w:r>
        <w:rPr>
          <w:rFonts w:hint="eastAsia" w:eastAsia="仿宋_GB2312"/>
          <w:sz w:val="28"/>
          <w:szCs w:val="28"/>
        </w:rPr>
        <w:t>至</w:t>
      </w:r>
      <w:r>
        <w:rPr>
          <w:rFonts w:hint="eastAsia" w:eastAsia="仿宋_GB2312"/>
          <w:sz w:val="28"/>
          <w:szCs w:val="28"/>
          <w:lang w:eastAsia="zh-CN"/>
        </w:rPr>
        <w:t>2023年10月9日</w:t>
      </w:r>
      <w:r>
        <w:rPr>
          <w:rFonts w:eastAsia="仿宋_GB2312"/>
          <w:sz w:val="28"/>
          <w:szCs w:val="28"/>
        </w:rPr>
        <w:t>）。如果使用本估价结果的时间超过了报告的使用期，我们对此结果造成的损失不承担责任。</w:t>
      </w:r>
      <w:bookmarkStart w:id="19" w:name="_Toc485393185"/>
      <w:r>
        <w:rPr>
          <w:sz w:val="20"/>
        </w:rPr>
        <w:br w:type="page"/>
      </w:r>
    </w:p>
    <w:p>
      <w:pPr>
        <w:pStyle w:val="2"/>
        <w:snapToGrid w:val="0"/>
        <w:spacing w:before="240" w:after="624" w:line="360" w:lineRule="auto"/>
        <w:textAlignment w:val="baseline"/>
        <w:rPr>
          <w:rFonts w:ascii="Times New Roman" w:hAnsi="Times New Roman" w:eastAsia="仿宋_GB2312" w:cs="Times New Roman"/>
          <w:color w:val="000000"/>
          <w:sz w:val="36"/>
        </w:rPr>
      </w:pPr>
      <w:bookmarkStart w:id="20" w:name="_Toc2498"/>
      <w:r>
        <w:rPr>
          <w:rFonts w:ascii="Times New Roman" w:hAnsi="Times New Roman" w:eastAsia="仿宋_GB2312" w:cs="Times New Roman"/>
          <w:color w:val="000000"/>
          <w:sz w:val="36"/>
        </w:rPr>
        <w:t>三、估价结果报告</w:t>
      </w:r>
      <w:bookmarkEnd w:id="19"/>
      <w:bookmarkEnd w:id="20"/>
    </w:p>
    <w:p>
      <w:pPr>
        <w:pStyle w:val="3"/>
        <w:snapToGrid w:val="0"/>
        <w:spacing w:before="120"/>
        <w:rPr>
          <w:rFonts w:ascii="Times New Roman" w:hAnsi="Times New Roman" w:eastAsia="仿宋_GB2312" w:cs="Times New Roman"/>
          <w:color w:val="000000"/>
          <w:sz w:val="32"/>
        </w:rPr>
      </w:pPr>
      <w:bookmarkStart w:id="21" w:name="_Toc480967872"/>
      <w:bookmarkStart w:id="22" w:name="_Toc485393186"/>
      <w:bookmarkStart w:id="23" w:name="_Toc22130"/>
      <w:r>
        <w:rPr>
          <w:rFonts w:ascii="Times New Roman" w:hAnsi="Times New Roman" w:eastAsia="仿宋_GB2312" w:cs="Times New Roman"/>
          <w:color w:val="000000"/>
          <w:sz w:val="32"/>
        </w:rPr>
        <w:t>（一）估价委托人</w:t>
      </w:r>
      <w:bookmarkEnd w:id="21"/>
      <w:bookmarkEnd w:id="22"/>
      <w:bookmarkEnd w:id="23"/>
    </w:p>
    <w:p>
      <w:pPr>
        <w:snapToGrid w:val="0"/>
        <w:spacing w:line="560" w:lineRule="exact"/>
        <w:ind w:firstLine="560" w:firstLineChars="200"/>
        <w:rPr>
          <w:rFonts w:eastAsia="仿宋_GB2312"/>
          <w:sz w:val="28"/>
          <w:szCs w:val="28"/>
        </w:rPr>
      </w:pPr>
      <w:r>
        <w:rPr>
          <w:rFonts w:hint="eastAsia" w:eastAsia="仿宋_GB2312"/>
          <w:sz w:val="28"/>
          <w:szCs w:val="28"/>
        </w:rPr>
        <w:t>云南省永胜县人民法院。</w:t>
      </w:r>
    </w:p>
    <w:p>
      <w:pPr>
        <w:pStyle w:val="3"/>
        <w:snapToGrid w:val="0"/>
        <w:spacing w:before="120"/>
        <w:rPr>
          <w:rFonts w:ascii="Times New Roman" w:hAnsi="Times New Roman" w:eastAsia="仿宋_GB2312" w:cs="Times New Roman"/>
          <w:color w:val="000000"/>
          <w:sz w:val="32"/>
        </w:rPr>
      </w:pPr>
      <w:bookmarkStart w:id="24" w:name="_Toc480967873"/>
      <w:bookmarkStart w:id="25" w:name="_Toc485393187"/>
      <w:bookmarkStart w:id="26" w:name="_Toc30982"/>
      <w:r>
        <w:rPr>
          <w:rFonts w:ascii="Times New Roman" w:hAnsi="Times New Roman" w:eastAsia="仿宋_GB2312" w:cs="Times New Roman"/>
          <w:color w:val="000000"/>
          <w:sz w:val="32"/>
        </w:rPr>
        <w:t>（二）房地产估价机构</w:t>
      </w:r>
      <w:bookmarkEnd w:id="24"/>
      <w:bookmarkEnd w:id="25"/>
      <w:bookmarkEnd w:id="26"/>
    </w:p>
    <w:p>
      <w:pPr>
        <w:snapToGrid w:val="0"/>
        <w:spacing w:line="560" w:lineRule="exact"/>
        <w:ind w:firstLine="560" w:firstLineChars="200"/>
        <w:rPr>
          <w:rFonts w:eastAsia="仿宋_GB2312"/>
          <w:sz w:val="28"/>
          <w:szCs w:val="28"/>
        </w:rPr>
      </w:pPr>
      <w:r>
        <w:rPr>
          <w:rFonts w:eastAsia="仿宋_GB2312"/>
          <w:sz w:val="28"/>
          <w:szCs w:val="28"/>
        </w:rPr>
        <w:t>名称：云南中和金乾房地产土地资产评估有限公司</w:t>
      </w:r>
    </w:p>
    <w:p>
      <w:pPr>
        <w:snapToGrid w:val="0"/>
        <w:spacing w:line="560" w:lineRule="exact"/>
        <w:ind w:firstLine="560" w:firstLineChars="200"/>
        <w:rPr>
          <w:rFonts w:eastAsia="仿宋_GB2312"/>
          <w:sz w:val="28"/>
          <w:szCs w:val="28"/>
        </w:rPr>
      </w:pPr>
      <w:r>
        <w:rPr>
          <w:rFonts w:eastAsia="仿宋_GB2312"/>
          <w:sz w:val="28"/>
          <w:szCs w:val="28"/>
        </w:rPr>
        <w:t>统一社会信用代码：915301025718613577</w:t>
      </w:r>
    </w:p>
    <w:p>
      <w:pPr>
        <w:snapToGrid w:val="0"/>
        <w:spacing w:line="560" w:lineRule="exact"/>
        <w:ind w:firstLine="560" w:firstLineChars="200"/>
        <w:rPr>
          <w:rFonts w:eastAsia="仿宋_GB2312"/>
          <w:sz w:val="28"/>
          <w:szCs w:val="28"/>
        </w:rPr>
      </w:pPr>
      <w:r>
        <w:rPr>
          <w:rFonts w:eastAsia="仿宋_GB2312"/>
          <w:sz w:val="28"/>
          <w:szCs w:val="28"/>
        </w:rPr>
        <w:t>地址：云南省昆明市西山区云投财富商业广场B3幢23层</w:t>
      </w:r>
    </w:p>
    <w:p>
      <w:pPr>
        <w:snapToGrid w:val="0"/>
        <w:spacing w:line="560" w:lineRule="exact"/>
        <w:ind w:firstLine="560" w:firstLineChars="200"/>
        <w:rPr>
          <w:rFonts w:eastAsia="仿宋_GB2312"/>
          <w:sz w:val="28"/>
          <w:szCs w:val="28"/>
        </w:rPr>
      </w:pPr>
      <w:r>
        <w:rPr>
          <w:rFonts w:eastAsia="仿宋_GB2312"/>
          <w:sz w:val="28"/>
          <w:szCs w:val="28"/>
        </w:rPr>
        <w:t>法定代表人：</w:t>
      </w:r>
      <w:r>
        <w:rPr>
          <w:rFonts w:hint="eastAsia" w:eastAsia="仿宋_GB2312"/>
          <w:sz w:val="28"/>
          <w:szCs w:val="28"/>
        </w:rPr>
        <w:t>杨倩</w:t>
      </w:r>
    </w:p>
    <w:p>
      <w:pPr>
        <w:snapToGrid w:val="0"/>
        <w:spacing w:line="560" w:lineRule="exact"/>
        <w:ind w:firstLine="560" w:firstLineChars="200"/>
        <w:rPr>
          <w:rFonts w:eastAsia="仿宋_GB2312"/>
          <w:sz w:val="28"/>
          <w:szCs w:val="28"/>
        </w:rPr>
      </w:pPr>
      <w:r>
        <w:rPr>
          <w:rFonts w:eastAsia="仿宋_GB2312"/>
          <w:sz w:val="28"/>
          <w:szCs w:val="28"/>
        </w:rPr>
        <w:t>类型：有限责任公司</w:t>
      </w:r>
    </w:p>
    <w:p>
      <w:pPr>
        <w:snapToGrid w:val="0"/>
        <w:spacing w:line="560" w:lineRule="exact"/>
        <w:ind w:firstLine="560" w:firstLineChars="200"/>
        <w:rPr>
          <w:rFonts w:eastAsia="仿宋_GB2312"/>
          <w:sz w:val="28"/>
          <w:szCs w:val="28"/>
        </w:rPr>
      </w:pPr>
      <w:r>
        <w:rPr>
          <w:rFonts w:eastAsia="仿宋_GB2312"/>
          <w:sz w:val="28"/>
          <w:szCs w:val="28"/>
        </w:rPr>
        <w:t>注册资本：</w:t>
      </w:r>
      <w:r>
        <w:rPr>
          <w:rFonts w:hint="eastAsia" w:eastAsia="仿宋_GB2312"/>
          <w:sz w:val="28"/>
          <w:szCs w:val="28"/>
        </w:rPr>
        <w:t>壹仟</w:t>
      </w:r>
      <w:r>
        <w:rPr>
          <w:rFonts w:eastAsia="仿宋_GB2312"/>
          <w:sz w:val="28"/>
          <w:szCs w:val="28"/>
        </w:rPr>
        <w:t>万元整</w:t>
      </w:r>
    </w:p>
    <w:p>
      <w:pPr>
        <w:snapToGrid w:val="0"/>
        <w:spacing w:line="560" w:lineRule="exact"/>
        <w:ind w:firstLine="560" w:firstLineChars="200"/>
        <w:rPr>
          <w:rFonts w:eastAsia="仿宋_GB2312"/>
          <w:sz w:val="28"/>
          <w:szCs w:val="28"/>
        </w:rPr>
      </w:pPr>
      <w:r>
        <w:rPr>
          <w:rFonts w:eastAsia="仿宋_GB2312"/>
          <w:sz w:val="28"/>
          <w:szCs w:val="28"/>
        </w:rPr>
        <w:t>资质等级：</w:t>
      </w:r>
      <w:r>
        <w:rPr>
          <w:rFonts w:hint="eastAsia" w:eastAsia="仿宋_GB2312"/>
          <w:sz w:val="28"/>
          <w:szCs w:val="28"/>
        </w:rPr>
        <w:t>贰</w:t>
      </w:r>
      <w:r>
        <w:rPr>
          <w:rFonts w:eastAsia="仿宋_GB2312"/>
          <w:sz w:val="28"/>
          <w:szCs w:val="28"/>
        </w:rPr>
        <w:t>级</w:t>
      </w:r>
    </w:p>
    <w:p>
      <w:pPr>
        <w:snapToGrid w:val="0"/>
        <w:spacing w:line="560" w:lineRule="exact"/>
        <w:ind w:firstLine="560" w:firstLineChars="200"/>
        <w:rPr>
          <w:rFonts w:eastAsia="仿宋_GB2312"/>
          <w:sz w:val="28"/>
          <w:szCs w:val="28"/>
        </w:rPr>
      </w:pPr>
      <w:r>
        <w:rPr>
          <w:rFonts w:eastAsia="仿宋_GB2312"/>
          <w:sz w:val="28"/>
          <w:szCs w:val="28"/>
        </w:rPr>
        <w:t>资质证书编号：云建房证估字第177号</w:t>
      </w:r>
    </w:p>
    <w:p>
      <w:pPr>
        <w:snapToGrid w:val="0"/>
        <w:spacing w:line="560" w:lineRule="exact"/>
        <w:ind w:firstLine="560" w:firstLineChars="200"/>
        <w:rPr>
          <w:rFonts w:eastAsia="仿宋_GB2312"/>
          <w:sz w:val="28"/>
          <w:szCs w:val="28"/>
        </w:rPr>
      </w:pPr>
      <w:r>
        <w:rPr>
          <w:rFonts w:hint="eastAsia" w:eastAsia="仿宋_GB2312"/>
          <w:sz w:val="28"/>
          <w:szCs w:val="28"/>
        </w:rPr>
        <w:t>经营范围：许可项目：司法鉴定服务；测绘服务（依法须经批准的项目，经相关部门批准后方可开展经营活动，具体经营项目以审批结果为准）一般项目：房地产评估；资产评估；土地调查评估服务；不动产登记代理服务；艺（美）术品、收藏品鉴定评估服务；市场调查（不含涉外调查）（除依法须经批准的项目，凭营业执照依法自主开展经营活动）。</w:t>
      </w:r>
    </w:p>
    <w:p>
      <w:pPr>
        <w:pStyle w:val="3"/>
        <w:snapToGrid w:val="0"/>
        <w:spacing w:before="120"/>
        <w:rPr>
          <w:rFonts w:ascii="Times New Roman" w:hAnsi="Times New Roman" w:eastAsia="仿宋_GB2312" w:cs="Times New Roman"/>
          <w:color w:val="000000"/>
          <w:sz w:val="32"/>
        </w:rPr>
      </w:pPr>
      <w:bookmarkStart w:id="27" w:name="_Toc485393188"/>
      <w:bookmarkStart w:id="28" w:name="_Toc480967874"/>
      <w:bookmarkStart w:id="29" w:name="_Toc32655"/>
      <w:r>
        <w:rPr>
          <w:rFonts w:ascii="Times New Roman" w:hAnsi="Times New Roman" w:eastAsia="仿宋_GB2312" w:cs="Times New Roman"/>
          <w:color w:val="000000"/>
          <w:sz w:val="32"/>
        </w:rPr>
        <w:t>（三）估价目的</w:t>
      </w:r>
      <w:bookmarkEnd w:id="27"/>
      <w:bookmarkEnd w:id="28"/>
      <w:bookmarkEnd w:id="29"/>
    </w:p>
    <w:p>
      <w:pPr>
        <w:snapToGrid w:val="0"/>
        <w:spacing w:line="560" w:lineRule="exact"/>
        <w:ind w:firstLine="560" w:firstLineChars="200"/>
        <w:rPr>
          <w:rFonts w:eastAsia="仿宋_GB2312"/>
          <w:sz w:val="28"/>
          <w:szCs w:val="28"/>
        </w:rPr>
      </w:pPr>
      <w:r>
        <w:rPr>
          <w:rFonts w:eastAsia="仿宋_GB2312"/>
          <w:sz w:val="28"/>
          <w:szCs w:val="28"/>
        </w:rPr>
        <w:t>为</w:t>
      </w:r>
      <w:r>
        <w:rPr>
          <w:rFonts w:hint="eastAsia" w:eastAsia="仿宋_GB2312"/>
          <w:sz w:val="28"/>
          <w:szCs w:val="28"/>
        </w:rPr>
        <w:t>云南省永胜县人民法院</w:t>
      </w:r>
      <w:r>
        <w:rPr>
          <w:rFonts w:eastAsia="仿宋_GB2312"/>
          <w:sz w:val="28"/>
          <w:szCs w:val="28"/>
        </w:rPr>
        <w:t>确定财产处置</w:t>
      </w:r>
      <w:r>
        <w:rPr>
          <w:rFonts w:hint="eastAsia" w:eastAsia="仿宋_GB2312"/>
          <w:sz w:val="28"/>
          <w:szCs w:val="28"/>
        </w:rPr>
        <w:t>参考价</w:t>
      </w:r>
      <w:r>
        <w:rPr>
          <w:rFonts w:eastAsia="仿宋_GB2312"/>
          <w:sz w:val="28"/>
          <w:szCs w:val="28"/>
        </w:rPr>
        <w:t>提供参考依据。</w:t>
      </w:r>
    </w:p>
    <w:p>
      <w:pPr>
        <w:pStyle w:val="3"/>
        <w:snapToGrid w:val="0"/>
        <w:spacing w:before="120"/>
        <w:rPr>
          <w:rFonts w:ascii="Times New Roman" w:hAnsi="Times New Roman" w:eastAsia="仿宋_GB2312" w:cs="Times New Roman"/>
          <w:color w:val="000000"/>
          <w:sz w:val="32"/>
        </w:rPr>
      </w:pPr>
      <w:bookmarkStart w:id="30" w:name="_Toc480967875"/>
      <w:bookmarkStart w:id="31" w:name="_Toc18585"/>
      <w:bookmarkStart w:id="32" w:name="_Toc485393189"/>
      <w:r>
        <w:rPr>
          <w:rFonts w:ascii="Times New Roman" w:hAnsi="Times New Roman" w:eastAsia="仿宋_GB2312" w:cs="Times New Roman"/>
          <w:color w:val="000000"/>
          <w:sz w:val="32"/>
        </w:rPr>
        <w:t>（四）估价对象</w:t>
      </w:r>
      <w:bookmarkEnd w:id="30"/>
      <w:bookmarkEnd w:id="31"/>
      <w:bookmarkEnd w:id="32"/>
    </w:p>
    <w:p>
      <w:pPr>
        <w:snapToGrid w:val="0"/>
        <w:spacing w:before="156" w:line="560" w:lineRule="exact"/>
        <w:ind w:firstLine="562" w:firstLineChars="200"/>
        <w:rPr>
          <w:rFonts w:eastAsia="仿宋_GB2312"/>
          <w:b/>
          <w:sz w:val="28"/>
          <w:szCs w:val="28"/>
        </w:rPr>
      </w:pPr>
      <w:r>
        <w:rPr>
          <w:rFonts w:eastAsia="仿宋_GB2312"/>
          <w:b/>
          <w:sz w:val="28"/>
          <w:szCs w:val="28"/>
        </w:rPr>
        <w:t>1、估价对象财产范围</w:t>
      </w:r>
    </w:p>
    <w:p>
      <w:pPr>
        <w:snapToGrid w:val="0"/>
        <w:spacing w:line="560" w:lineRule="exact"/>
        <w:ind w:firstLine="560" w:firstLineChars="200"/>
        <w:rPr>
          <w:rFonts w:eastAsia="仿宋_GB2312"/>
          <w:sz w:val="28"/>
          <w:szCs w:val="28"/>
        </w:rPr>
      </w:pPr>
      <w:r>
        <w:rPr>
          <w:rFonts w:eastAsia="仿宋_GB2312"/>
          <w:sz w:val="28"/>
          <w:szCs w:val="28"/>
        </w:rPr>
        <w:t>纳入估价范围的房地产为</w:t>
      </w:r>
      <w:r>
        <w:rPr>
          <w:rFonts w:hint="eastAsia" w:eastAsia="仿宋_GB2312"/>
          <w:spacing w:val="-2"/>
          <w:sz w:val="28"/>
        </w:rPr>
        <w:t>永胜县永北镇华程小区2幢1单元101室</w:t>
      </w:r>
      <w:r>
        <w:rPr>
          <w:rFonts w:eastAsia="仿宋_GB2312"/>
          <w:sz w:val="28"/>
          <w:szCs w:val="28"/>
        </w:rPr>
        <w:t>的房地产</w:t>
      </w:r>
      <w:r>
        <w:rPr>
          <w:rFonts w:hint="eastAsia" w:eastAsia="仿宋_GB2312"/>
          <w:sz w:val="28"/>
          <w:szCs w:val="28"/>
        </w:rPr>
        <w:t>（</w:t>
      </w:r>
      <w:r>
        <w:rPr>
          <w:rFonts w:eastAsia="仿宋_GB2312"/>
          <w:sz w:val="28"/>
          <w:szCs w:val="28"/>
        </w:rPr>
        <w:t>含其相应分摊的国有建设用地使用权</w:t>
      </w:r>
      <w:r>
        <w:rPr>
          <w:rFonts w:hint="eastAsia" w:eastAsia="仿宋_GB2312"/>
          <w:sz w:val="28"/>
          <w:szCs w:val="28"/>
        </w:rPr>
        <w:t>、</w:t>
      </w:r>
      <w:r>
        <w:rPr>
          <w:rFonts w:eastAsia="仿宋_GB2312"/>
          <w:sz w:val="28"/>
          <w:szCs w:val="28"/>
        </w:rPr>
        <w:t>房屋所有权及</w:t>
      </w:r>
      <w:r>
        <w:rPr>
          <w:rFonts w:hint="eastAsia" w:eastAsia="仿宋_GB2312"/>
          <w:sz w:val="28"/>
          <w:szCs w:val="28"/>
        </w:rPr>
        <w:t>不可移动的</w:t>
      </w:r>
      <w:r>
        <w:rPr>
          <w:rFonts w:eastAsia="仿宋_GB2312"/>
          <w:sz w:val="28"/>
          <w:szCs w:val="28"/>
        </w:rPr>
        <w:t>装饰装修，不含动产、特许经营权等</w:t>
      </w:r>
      <w:r>
        <w:rPr>
          <w:rFonts w:hint="eastAsia" w:eastAsia="仿宋_GB2312"/>
          <w:sz w:val="28"/>
          <w:szCs w:val="28"/>
        </w:rPr>
        <w:t>），建筑面积为104.49m</w:t>
      </w:r>
      <w:r>
        <w:rPr>
          <w:rFonts w:eastAsia="仿宋_GB2312"/>
          <w:sz w:val="28"/>
          <w:szCs w:val="28"/>
          <w:vertAlign w:val="superscript"/>
        </w:rPr>
        <w:t>2</w:t>
      </w:r>
      <w:r>
        <w:rPr>
          <w:rStyle w:val="27"/>
          <w:rFonts w:hint="eastAsia"/>
        </w:rPr>
        <w:t>，</w:t>
      </w:r>
      <w:r>
        <w:rPr>
          <w:rFonts w:hint="eastAsia" w:eastAsia="仿宋_GB2312"/>
          <w:sz w:val="28"/>
          <w:szCs w:val="28"/>
        </w:rPr>
        <w:t>土地分摊面积为20.89 m</w:t>
      </w:r>
      <w:r>
        <w:rPr>
          <w:rFonts w:eastAsia="仿宋_GB2312"/>
          <w:sz w:val="28"/>
          <w:szCs w:val="28"/>
          <w:vertAlign w:val="superscript"/>
        </w:rPr>
        <w:t>2</w:t>
      </w:r>
      <w:r>
        <w:rPr>
          <w:rFonts w:eastAsia="仿宋_GB2312"/>
          <w:sz w:val="28"/>
          <w:szCs w:val="28"/>
        </w:rPr>
        <w:t>。</w:t>
      </w:r>
    </w:p>
    <w:p>
      <w:pPr>
        <w:snapToGrid w:val="0"/>
        <w:spacing w:before="156" w:line="560" w:lineRule="exact"/>
        <w:ind w:firstLine="562" w:firstLineChars="200"/>
        <w:rPr>
          <w:rFonts w:eastAsia="仿宋_GB2312"/>
          <w:b/>
          <w:sz w:val="28"/>
          <w:szCs w:val="28"/>
        </w:rPr>
      </w:pPr>
      <w:r>
        <w:rPr>
          <w:rFonts w:eastAsia="仿宋_GB2312"/>
          <w:b/>
          <w:sz w:val="28"/>
          <w:szCs w:val="28"/>
        </w:rPr>
        <w:t>2、估价对象名称</w:t>
      </w:r>
    </w:p>
    <w:p>
      <w:pPr>
        <w:snapToGrid w:val="0"/>
        <w:spacing w:before="156" w:line="560" w:lineRule="exact"/>
        <w:ind w:firstLine="560" w:firstLineChars="200"/>
        <w:rPr>
          <w:rFonts w:eastAsia="仿宋_GB2312"/>
          <w:sz w:val="28"/>
          <w:szCs w:val="28"/>
        </w:rPr>
      </w:pPr>
      <w:r>
        <w:rPr>
          <w:rFonts w:hint="eastAsia" w:eastAsia="仿宋_GB2312"/>
          <w:sz w:val="28"/>
          <w:szCs w:val="28"/>
        </w:rPr>
        <w:t>熊建林名下坐落于</w:t>
      </w:r>
      <w:r>
        <w:rPr>
          <w:rFonts w:hint="eastAsia" w:eastAsia="仿宋_GB2312"/>
          <w:spacing w:val="-2"/>
          <w:sz w:val="28"/>
        </w:rPr>
        <w:t>永胜县永北镇华程小区2幢1单元101室</w:t>
      </w:r>
      <w:r>
        <w:rPr>
          <w:rFonts w:eastAsia="仿宋_GB2312"/>
          <w:sz w:val="28"/>
          <w:szCs w:val="28"/>
        </w:rPr>
        <w:t>房地产。</w:t>
      </w:r>
    </w:p>
    <w:p>
      <w:pPr>
        <w:snapToGrid w:val="0"/>
        <w:spacing w:before="156" w:line="560" w:lineRule="exact"/>
        <w:ind w:firstLine="562" w:firstLineChars="200"/>
        <w:rPr>
          <w:rFonts w:eastAsia="仿宋_GB2312"/>
          <w:b/>
          <w:sz w:val="28"/>
          <w:szCs w:val="28"/>
        </w:rPr>
      </w:pPr>
      <w:r>
        <w:rPr>
          <w:rFonts w:eastAsia="仿宋_GB2312"/>
          <w:b/>
          <w:sz w:val="28"/>
          <w:szCs w:val="28"/>
        </w:rPr>
        <w:t>3、估价对象坐落</w:t>
      </w:r>
    </w:p>
    <w:p>
      <w:pPr>
        <w:snapToGrid w:val="0"/>
        <w:spacing w:line="560" w:lineRule="exact"/>
        <w:ind w:firstLine="552" w:firstLineChars="200"/>
        <w:rPr>
          <w:rFonts w:eastAsia="仿宋_GB2312"/>
          <w:sz w:val="28"/>
          <w:szCs w:val="28"/>
        </w:rPr>
      </w:pPr>
      <w:r>
        <w:rPr>
          <w:rFonts w:hint="eastAsia" w:eastAsia="仿宋_GB2312"/>
          <w:spacing w:val="-2"/>
          <w:sz w:val="28"/>
        </w:rPr>
        <w:t>永胜县永北镇华程小区（华辰小区）2幢1单元101室</w:t>
      </w:r>
      <w:r>
        <w:rPr>
          <w:rFonts w:eastAsia="仿宋_GB2312"/>
          <w:sz w:val="28"/>
          <w:szCs w:val="28"/>
        </w:rPr>
        <w:t>。</w:t>
      </w:r>
    </w:p>
    <w:p>
      <w:pPr>
        <w:snapToGrid w:val="0"/>
        <w:spacing w:before="156" w:line="560" w:lineRule="exact"/>
        <w:ind w:firstLine="562" w:firstLineChars="200"/>
        <w:rPr>
          <w:rFonts w:eastAsia="仿宋_GB2312"/>
          <w:b/>
          <w:sz w:val="28"/>
          <w:szCs w:val="28"/>
        </w:rPr>
      </w:pPr>
      <w:r>
        <w:rPr>
          <w:rFonts w:eastAsia="仿宋_GB2312"/>
          <w:b/>
          <w:sz w:val="28"/>
          <w:szCs w:val="28"/>
        </w:rPr>
        <w:t>4、估价对象基本状况</w:t>
      </w:r>
    </w:p>
    <w:p>
      <w:pPr>
        <w:snapToGrid w:val="0"/>
        <w:spacing w:line="560" w:lineRule="exact"/>
        <w:ind w:firstLine="560" w:firstLineChars="200"/>
        <w:rPr>
          <w:rFonts w:eastAsia="仿宋_GB2312"/>
          <w:sz w:val="28"/>
          <w:szCs w:val="28"/>
        </w:rPr>
      </w:pPr>
      <w:r>
        <w:rPr>
          <w:rFonts w:eastAsia="仿宋_GB2312"/>
          <w:sz w:val="28"/>
          <w:szCs w:val="28"/>
        </w:rPr>
        <w:t>（1）土地基本状况</w:t>
      </w:r>
    </w:p>
    <w:p>
      <w:pPr>
        <w:snapToGrid w:val="0"/>
        <w:spacing w:line="560" w:lineRule="exact"/>
        <w:ind w:firstLine="560" w:firstLineChars="200"/>
        <w:rPr>
          <w:rFonts w:eastAsia="仿宋_GB2312"/>
          <w:sz w:val="28"/>
          <w:szCs w:val="28"/>
        </w:rPr>
      </w:pPr>
      <w:r>
        <w:rPr>
          <w:rFonts w:hint="eastAsia" w:ascii="宋体" w:hAnsi="宋体" w:cs="宋体"/>
          <w:sz w:val="28"/>
          <w:szCs w:val="28"/>
        </w:rPr>
        <w:t>①</w:t>
      </w:r>
      <w:r>
        <w:rPr>
          <w:rFonts w:eastAsia="仿宋_GB2312"/>
          <w:sz w:val="28"/>
          <w:szCs w:val="28"/>
        </w:rPr>
        <w:t>四至：</w:t>
      </w:r>
      <w:r>
        <w:rPr>
          <w:rFonts w:hint="eastAsia" w:eastAsia="仿宋_GB2312"/>
          <w:sz w:val="28"/>
          <w:szCs w:val="28"/>
        </w:rPr>
        <w:t>估价对象东至其他用地，西至凤鸣路，南至无名道路，北至凤凰花园</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②</w:t>
      </w:r>
      <w:r>
        <w:rPr>
          <w:rFonts w:eastAsia="仿宋_GB2312"/>
          <w:sz w:val="28"/>
          <w:szCs w:val="28"/>
        </w:rPr>
        <w:t>权益及使用期限：</w:t>
      </w:r>
      <w:r>
        <w:rPr>
          <w:rFonts w:hint="eastAsia" w:eastAsia="仿宋_GB2312"/>
          <w:sz w:val="28"/>
          <w:szCs w:val="28"/>
        </w:rPr>
        <w:t>根据《国有土地使用证》记载，土地使用权类型为出让，土地用途为住宅用地，土地终止日期为2077年03月29日止，土地分摊面积为20.89平方米，土地使用权人为熊建林。</w:t>
      </w:r>
    </w:p>
    <w:p>
      <w:pPr>
        <w:snapToGrid w:val="0"/>
        <w:spacing w:line="560" w:lineRule="exact"/>
        <w:ind w:firstLine="560" w:firstLineChars="200"/>
        <w:rPr>
          <w:rFonts w:eastAsia="仿宋_GB2312"/>
          <w:sz w:val="28"/>
          <w:szCs w:val="28"/>
        </w:rPr>
      </w:pPr>
      <w:r>
        <w:rPr>
          <w:rFonts w:hint="eastAsia" w:ascii="宋体" w:hAnsi="宋体" w:cs="宋体"/>
          <w:sz w:val="28"/>
          <w:szCs w:val="28"/>
        </w:rPr>
        <w:t>③</w:t>
      </w:r>
      <w:r>
        <w:rPr>
          <w:rFonts w:eastAsia="仿宋_GB2312"/>
          <w:sz w:val="28"/>
          <w:szCs w:val="28"/>
        </w:rPr>
        <w:t>形状：估价对象所占用的共用宗地形状</w:t>
      </w:r>
      <w:r>
        <w:rPr>
          <w:rFonts w:hint="eastAsia" w:eastAsia="仿宋_GB2312"/>
          <w:sz w:val="28"/>
          <w:szCs w:val="28"/>
        </w:rPr>
        <w:t>不</w:t>
      </w:r>
      <w:r>
        <w:rPr>
          <w:rFonts w:eastAsia="仿宋_GB2312"/>
          <w:sz w:val="28"/>
          <w:szCs w:val="28"/>
        </w:rPr>
        <w:t>规则。</w:t>
      </w:r>
    </w:p>
    <w:p>
      <w:pPr>
        <w:snapToGrid w:val="0"/>
        <w:spacing w:line="560" w:lineRule="exact"/>
        <w:ind w:firstLine="560" w:firstLineChars="200"/>
        <w:rPr>
          <w:rFonts w:eastAsia="仿宋_GB2312"/>
          <w:sz w:val="28"/>
          <w:szCs w:val="28"/>
        </w:rPr>
      </w:pPr>
      <w:r>
        <w:rPr>
          <w:rFonts w:hint="eastAsia" w:ascii="宋体" w:hAnsi="宋体" w:cs="宋体"/>
          <w:sz w:val="28"/>
          <w:szCs w:val="28"/>
        </w:rPr>
        <w:t>④</w:t>
      </w:r>
      <w:r>
        <w:rPr>
          <w:rFonts w:eastAsia="仿宋_GB2312"/>
          <w:sz w:val="28"/>
          <w:szCs w:val="28"/>
        </w:rPr>
        <w:t>地形地势：宗地内平坦，与相邻地块</w:t>
      </w:r>
      <w:r>
        <w:rPr>
          <w:rFonts w:hint="eastAsia" w:eastAsia="仿宋_GB2312"/>
          <w:sz w:val="28"/>
          <w:szCs w:val="28"/>
        </w:rPr>
        <w:t>无明显</w:t>
      </w:r>
      <w:r>
        <w:rPr>
          <w:rFonts w:eastAsia="仿宋_GB2312"/>
          <w:sz w:val="28"/>
          <w:szCs w:val="28"/>
        </w:rPr>
        <w:t>落差</w:t>
      </w:r>
      <w:r>
        <w:rPr>
          <w:rFonts w:hint="eastAsia" w:eastAsia="仿宋_GB2312"/>
          <w:sz w:val="28"/>
          <w:szCs w:val="28"/>
        </w:rPr>
        <w:t>，</w:t>
      </w:r>
      <w:r>
        <w:rPr>
          <w:rFonts w:eastAsia="仿宋_GB2312"/>
          <w:sz w:val="28"/>
          <w:szCs w:val="28"/>
        </w:rPr>
        <w:t>不影响使用。</w:t>
      </w:r>
    </w:p>
    <w:p>
      <w:pPr>
        <w:snapToGrid w:val="0"/>
        <w:spacing w:line="560" w:lineRule="exact"/>
        <w:ind w:firstLine="560" w:firstLineChars="200"/>
        <w:rPr>
          <w:rFonts w:eastAsia="仿宋_GB2312"/>
          <w:sz w:val="28"/>
          <w:szCs w:val="28"/>
        </w:rPr>
      </w:pPr>
      <w:r>
        <w:rPr>
          <w:rFonts w:hint="eastAsia" w:ascii="宋体" w:hAnsi="宋体" w:cs="宋体"/>
          <w:sz w:val="28"/>
          <w:szCs w:val="28"/>
        </w:rPr>
        <w:t>⑤</w:t>
      </w:r>
      <w:r>
        <w:rPr>
          <w:rFonts w:eastAsia="仿宋_GB2312"/>
          <w:sz w:val="28"/>
          <w:szCs w:val="28"/>
        </w:rPr>
        <w:t>地质条件：地质条件好，地基承载力高。</w:t>
      </w:r>
    </w:p>
    <w:p>
      <w:pPr>
        <w:snapToGrid w:val="0"/>
        <w:spacing w:line="560" w:lineRule="exact"/>
        <w:ind w:firstLine="560" w:firstLineChars="200"/>
        <w:rPr>
          <w:rFonts w:eastAsia="仿宋_GB2312"/>
          <w:sz w:val="28"/>
          <w:szCs w:val="28"/>
        </w:rPr>
      </w:pPr>
      <w:r>
        <w:rPr>
          <w:rFonts w:hint="eastAsia" w:ascii="宋体" w:hAnsi="宋体" w:cs="宋体"/>
          <w:sz w:val="28"/>
          <w:szCs w:val="28"/>
        </w:rPr>
        <w:t>⑥</w:t>
      </w:r>
      <w:r>
        <w:rPr>
          <w:rFonts w:eastAsia="仿宋_GB2312"/>
          <w:sz w:val="28"/>
          <w:szCs w:val="28"/>
        </w:rPr>
        <w:t>宗地内开发程度：宗地内</w:t>
      </w:r>
      <w:r>
        <w:rPr>
          <w:rFonts w:hint="eastAsia" w:eastAsia="仿宋_GB2312"/>
          <w:sz w:val="28"/>
          <w:szCs w:val="28"/>
        </w:rPr>
        <w:t>“五</w:t>
      </w:r>
      <w:r>
        <w:rPr>
          <w:rFonts w:eastAsia="仿宋_GB2312"/>
          <w:sz w:val="28"/>
          <w:szCs w:val="28"/>
        </w:rPr>
        <w:t>通一平</w:t>
      </w:r>
      <w:r>
        <w:rPr>
          <w:rFonts w:hint="eastAsia" w:eastAsia="仿宋_GB2312"/>
          <w:sz w:val="28"/>
          <w:szCs w:val="28"/>
        </w:rPr>
        <w:t>”</w:t>
      </w:r>
      <w:r>
        <w:rPr>
          <w:rFonts w:eastAsia="仿宋_GB2312"/>
          <w:sz w:val="28"/>
          <w:szCs w:val="28"/>
        </w:rPr>
        <w:t>（即通上水、通下水、通电、通路、通讯及土地平整）。</w:t>
      </w:r>
    </w:p>
    <w:p>
      <w:pPr>
        <w:snapToGrid w:val="0"/>
        <w:spacing w:line="560" w:lineRule="exact"/>
        <w:ind w:firstLine="560" w:firstLineChars="200"/>
        <w:rPr>
          <w:rFonts w:eastAsia="仿宋_GB2312"/>
          <w:sz w:val="28"/>
          <w:szCs w:val="28"/>
        </w:rPr>
      </w:pPr>
      <w:r>
        <w:rPr>
          <w:rFonts w:eastAsia="仿宋_GB2312"/>
          <w:sz w:val="28"/>
          <w:szCs w:val="28"/>
        </w:rPr>
        <w:t>（2）建筑物基本状况</w:t>
      </w:r>
    </w:p>
    <w:p>
      <w:pPr>
        <w:snapToGrid w:val="0"/>
        <w:spacing w:line="560" w:lineRule="exact"/>
        <w:ind w:firstLine="560" w:firstLineChars="200"/>
        <w:rPr>
          <w:rFonts w:eastAsia="仿宋_GB2312"/>
          <w:sz w:val="28"/>
          <w:szCs w:val="28"/>
        </w:rPr>
      </w:pPr>
      <w:r>
        <w:rPr>
          <w:rFonts w:hint="eastAsia" w:ascii="宋体" w:hAnsi="宋体" w:cs="宋体"/>
          <w:sz w:val="28"/>
          <w:szCs w:val="28"/>
        </w:rPr>
        <w:t>①</w:t>
      </w:r>
      <w:r>
        <w:rPr>
          <w:rFonts w:eastAsia="仿宋_GB2312"/>
          <w:sz w:val="28"/>
          <w:szCs w:val="28"/>
        </w:rPr>
        <w:t>建筑功能：</w:t>
      </w:r>
      <w:r>
        <w:rPr>
          <w:rFonts w:hint="eastAsia" w:eastAsia="仿宋_GB2312"/>
          <w:sz w:val="28"/>
          <w:szCs w:val="28"/>
        </w:rPr>
        <w:t>防水、保温、隔热、隔声、通风等功能齐备</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②</w:t>
      </w:r>
      <w:r>
        <w:rPr>
          <w:rFonts w:eastAsia="仿宋_GB2312"/>
          <w:sz w:val="28"/>
          <w:szCs w:val="28"/>
        </w:rPr>
        <w:t>规模：建筑面积为</w:t>
      </w:r>
      <w:r>
        <w:rPr>
          <w:rFonts w:hint="eastAsia" w:eastAsia="仿宋_GB2312"/>
          <w:sz w:val="28"/>
          <w:szCs w:val="28"/>
        </w:rPr>
        <w:t>104.49</w:t>
      </w:r>
      <w:r>
        <w:rPr>
          <w:rFonts w:eastAsia="仿宋_GB2312"/>
          <w:sz w:val="28"/>
          <w:szCs w:val="28"/>
        </w:rPr>
        <w:t>平方米。</w:t>
      </w:r>
    </w:p>
    <w:p>
      <w:pPr>
        <w:snapToGrid w:val="0"/>
        <w:spacing w:line="560" w:lineRule="exact"/>
        <w:ind w:firstLine="560" w:firstLineChars="200"/>
        <w:rPr>
          <w:rFonts w:eastAsia="仿宋_GB2312"/>
          <w:sz w:val="28"/>
          <w:szCs w:val="28"/>
        </w:rPr>
      </w:pPr>
      <w:r>
        <w:rPr>
          <w:rFonts w:hint="eastAsia" w:ascii="宋体" w:hAnsi="宋体" w:cs="宋体"/>
          <w:sz w:val="28"/>
          <w:szCs w:val="28"/>
        </w:rPr>
        <w:t>③</w:t>
      </w:r>
      <w:r>
        <w:rPr>
          <w:rFonts w:eastAsia="仿宋_GB2312"/>
          <w:sz w:val="28"/>
          <w:szCs w:val="28"/>
        </w:rPr>
        <w:t>用途：规划用途为</w:t>
      </w:r>
      <w:r>
        <w:rPr>
          <w:rFonts w:hint="eastAsia" w:eastAsia="仿宋_GB2312"/>
          <w:sz w:val="28"/>
          <w:szCs w:val="28"/>
        </w:rPr>
        <w:t>住宅</w:t>
      </w:r>
      <w:r>
        <w:rPr>
          <w:rFonts w:eastAsia="仿宋_GB2312"/>
          <w:sz w:val="28"/>
          <w:szCs w:val="28"/>
        </w:rPr>
        <w:t>，实际用途为</w:t>
      </w:r>
      <w:r>
        <w:rPr>
          <w:rFonts w:hint="eastAsia" w:eastAsia="仿宋_GB2312"/>
          <w:sz w:val="28"/>
          <w:szCs w:val="28"/>
        </w:rPr>
        <w:t>住宅</w:t>
      </w:r>
      <w:r>
        <w:rPr>
          <w:rFonts w:eastAsia="仿宋_GB2312"/>
          <w:sz w:val="28"/>
          <w:szCs w:val="28"/>
        </w:rPr>
        <w:t>。</w:t>
      </w:r>
    </w:p>
    <w:p>
      <w:pPr>
        <w:snapToGrid w:val="0"/>
        <w:spacing w:line="560" w:lineRule="exact"/>
        <w:ind w:firstLine="560" w:firstLineChars="200"/>
        <w:rPr>
          <w:rFonts w:eastAsia="仿宋_GB2312"/>
          <w:color w:val="0000FF"/>
          <w:sz w:val="28"/>
          <w:szCs w:val="28"/>
        </w:rPr>
      </w:pPr>
      <w:r>
        <w:rPr>
          <w:rFonts w:hint="eastAsia" w:ascii="宋体" w:hAnsi="宋体" w:cs="宋体"/>
          <w:sz w:val="28"/>
          <w:szCs w:val="28"/>
        </w:rPr>
        <w:t>④</w:t>
      </w:r>
      <w:r>
        <w:rPr>
          <w:rFonts w:eastAsia="仿宋_GB2312"/>
          <w:sz w:val="28"/>
          <w:szCs w:val="28"/>
        </w:rPr>
        <w:t>建成年代及结构成新率：</w:t>
      </w:r>
      <w:bookmarkStart w:id="33" w:name="_Hlk57646221"/>
      <w:r>
        <w:rPr>
          <w:rFonts w:eastAsia="仿宋_GB2312"/>
          <w:sz w:val="28"/>
          <w:szCs w:val="28"/>
        </w:rPr>
        <w:t>于</w:t>
      </w:r>
      <w:r>
        <w:rPr>
          <w:rFonts w:hint="eastAsia" w:eastAsia="仿宋_GB2312"/>
          <w:sz w:val="28"/>
          <w:szCs w:val="28"/>
        </w:rPr>
        <w:t>2010</w:t>
      </w:r>
      <w:r>
        <w:rPr>
          <w:rFonts w:eastAsia="仿宋_GB2312"/>
          <w:sz w:val="28"/>
          <w:szCs w:val="28"/>
        </w:rPr>
        <w:t>年建成，至价值时点已有</w:t>
      </w:r>
      <w:r>
        <w:rPr>
          <w:rFonts w:hint="eastAsia" w:eastAsia="仿宋_GB2312"/>
          <w:sz w:val="28"/>
          <w:szCs w:val="28"/>
        </w:rPr>
        <w:t>12</w:t>
      </w:r>
      <w:r>
        <w:rPr>
          <w:rFonts w:eastAsia="仿宋_GB2312"/>
          <w:sz w:val="28"/>
          <w:szCs w:val="28"/>
        </w:rPr>
        <w:t>年，根据国家有关同类结构房屋的经济耐用年限的规定和估价对象已使用的年限，结合</w:t>
      </w:r>
      <w:r>
        <w:rPr>
          <w:rFonts w:hint="eastAsia" w:eastAsia="仿宋_GB2312"/>
          <w:sz w:val="28"/>
          <w:szCs w:val="28"/>
        </w:rPr>
        <w:t>估价</w:t>
      </w:r>
      <w:r>
        <w:rPr>
          <w:rFonts w:eastAsia="仿宋_GB2312"/>
          <w:sz w:val="28"/>
          <w:szCs w:val="28"/>
        </w:rPr>
        <w:t>人员实地对估价对象建筑物进行勘察，确定结构成新率为</w:t>
      </w:r>
      <w:r>
        <w:rPr>
          <w:rFonts w:hint="eastAsia" w:eastAsia="仿宋_GB2312"/>
          <w:sz w:val="28"/>
          <w:szCs w:val="28"/>
        </w:rPr>
        <w:t>80</w:t>
      </w:r>
      <w:r>
        <w:rPr>
          <w:rFonts w:eastAsia="仿宋_GB2312"/>
          <w:sz w:val="28"/>
          <w:szCs w:val="28"/>
        </w:rPr>
        <w:t>%</w:t>
      </w:r>
      <w:bookmarkEnd w:id="33"/>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⑤</w:t>
      </w:r>
      <w:r>
        <w:rPr>
          <w:rFonts w:eastAsia="仿宋_GB2312"/>
          <w:sz w:val="28"/>
          <w:szCs w:val="28"/>
        </w:rPr>
        <w:t>权属：权利人为</w:t>
      </w:r>
      <w:r>
        <w:rPr>
          <w:rFonts w:hint="eastAsia" w:eastAsia="仿宋_GB2312"/>
          <w:sz w:val="28"/>
          <w:szCs w:val="28"/>
        </w:rPr>
        <w:t>熊建林</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⑥</w:t>
      </w:r>
      <w:r>
        <w:rPr>
          <w:rFonts w:eastAsia="仿宋_GB2312"/>
          <w:sz w:val="28"/>
          <w:szCs w:val="28"/>
        </w:rPr>
        <w:t>工程质量：该建筑物工程质量</w:t>
      </w:r>
      <w:r>
        <w:rPr>
          <w:rFonts w:hint="eastAsia" w:eastAsia="仿宋_GB2312"/>
          <w:sz w:val="28"/>
          <w:szCs w:val="28"/>
        </w:rPr>
        <w:t>合格</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⑦</w:t>
      </w:r>
      <w:r>
        <w:rPr>
          <w:rFonts w:eastAsia="仿宋_GB2312"/>
          <w:sz w:val="28"/>
          <w:szCs w:val="28"/>
        </w:rPr>
        <w:t>建筑结构：估价对象为</w:t>
      </w:r>
      <w:r>
        <w:rPr>
          <w:rFonts w:hint="eastAsia" w:eastAsia="仿宋_GB2312"/>
          <w:sz w:val="28"/>
          <w:szCs w:val="28"/>
        </w:rPr>
        <w:t>混合</w:t>
      </w:r>
      <w:r>
        <w:rPr>
          <w:rFonts w:eastAsia="仿宋_GB2312"/>
          <w:sz w:val="28"/>
          <w:szCs w:val="28"/>
        </w:rPr>
        <w:t>结构。</w:t>
      </w:r>
    </w:p>
    <w:p>
      <w:pPr>
        <w:snapToGrid w:val="0"/>
        <w:spacing w:line="560" w:lineRule="exact"/>
        <w:ind w:firstLine="560" w:firstLineChars="200"/>
        <w:rPr>
          <w:rFonts w:eastAsia="仿宋_GB2312"/>
          <w:sz w:val="28"/>
          <w:szCs w:val="28"/>
        </w:rPr>
      </w:pPr>
      <w:r>
        <w:rPr>
          <w:rFonts w:hint="eastAsia" w:ascii="宋体" w:hAnsi="宋体" w:cs="宋体"/>
          <w:sz w:val="28"/>
          <w:szCs w:val="28"/>
        </w:rPr>
        <w:t>⑧</w:t>
      </w:r>
      <w:r>
        <w:rPr>
          <w:rFonts w:eastAsia="仿宋_GB2312"/>
          <w:sz w:val="28"/>
          <w:szCs w:val="28"/>
        </w:rPr>
        <w:t>装饰装修：建筑物外立面主要以</w:t>
      </w:r>
      <w:r>
        <w:rPr>
          <w:rFonts w:hint="eastAsia" w:eastAsia="仿宋_GB2312"/>
          <w:sz w:val="28"/>
          <w:szCs w:val="28"/>
        </w:rPr>
        <w:t>涂料装饰</w:t>
      </w:r>
      <w:r>
        <w:rPr>
          <w:rFonts w:eastAsia="仿宋_GB2312"/>
          <w:sz w:val="28"/>
          <w:szCs w:val="28"/>
        </w:rPr>
        <w:t>为主</w:t>
      </w:r>
      <w:r>
        <w:rPr>
          <w:rFonts w:hint="eastAsia" w:eastAsia="仿宋_GB2312"/>
          <w:sz w:val="28"/>
          <w:szCs w:val="28"/>
        </w:rPr>
        <w:t>；室内</w:t>
      </w:r>
      <w:r>
        <w:rPr>
          <w:rFonts w:eastAsia="仿宋_GB2312"/>
          <w:sz w:val="28"/>
          <w:szCs w:val="28"/>
        </w:rPr>
        <w:t>卧室地面为木地板</w:t>
      </w:r>
      <w:r>
        <w:rPr>
          <w:rFonts w:hint="eastAsia" w:eastAsia="仿宋_GB2312"/>
          <w:sz w:val="28"/>
          <w:szCs w:val="28"/>
        </w:rPr>
        <w:t>，墙面为涂料，天棚为涂料，儿童房</w:t>
      </w:r>
      <w:r>
        <w:rPr>
          <w:rFonts w:eastAsia="仿宋_GB2312"/>
          <w:sz w:val="28"/>
          <w:szCs w:val="28"/>
        </w:rPr>
        <w:t>地面为木地板</w:t>
      </w:r>
      <w:r>
        <w:rPr>
          <w:rFonts w:hint="eastAsia" w:eastAsia="仿宋_GB2312"/>
          <w:sz w:val="28"/>
          <w:szCs w:val="28"/>
        </w:rPr>
        <w:t>，墙面为墙纸，天棚为涂料；</w:t>
      </w:r>
      <w:r>
        <w:rPr>
          <w:rFonts w:eastAsia="仿宋_GB2312"/>
          <w:sz w:val="28"/>
          <w:szCs w:val="28"/>
        </w:rPr>
        <w:t>厨房地面为地砖</w:t>
      </w:r>
      <w:r>
        <w:rPr>
          <w:rFonts w:hint="eastAsia" w:eastAsia="仿宋_GB2312"/>
          <w:sz w:val="28"/>
          <w:szCs w:val="28"/>
        </w:rPr>
        <w:t>，墙面为墙砖，天棚为扣板；卫生间地面为地砖，墙面墙砖，天棚为扣板；客厅</w:t>
      </w:r>
      <w:r>
        <w:rPr>
          <w:rFonts w:eastAsia="仿宋_GB2312"/>
          <w:sz w:val="28"/>
          <w:szCs w:val="28"/>
        </w:rPr>
        <w:t>地面为地砖</w:t>
      </w:r>
      <w:r>
        <w:rPr>
          <w:rFonts w:hint="eastAsia" w:eastAsia="仿宋_GB2312"/>
          <w:sz w:val="28"/>
          <w:szCs w:val="28"/>
        </w:rPr>
        <w:t>，墙面为涂料，天棚为石膏板吊顶；餐厅</w:t>
      </w:r>
      <w:r>
        <w:rPr>
          <w:rFonts w:eastAsia="仿宋_GB2312"/>
          <w:sz w:val="28"/>
          <w:szCs w:val="28"/>
        </w:rPr>
        <w:t>地面为地砖</w:t>
      </w:r>
      <w:r>
        <w:rPr>
          <w:rFonts w:hint="eastAsia" w:eastAsia="仿宋_GB2312"/>
          <w:sz w:val="28"/>
          <w:szCs w:val="28"/>
        </w:rPr>
        <w:t>，墙面为墙砖，天棚为石膏板吊顶；阳台地面为地砖，墙面部分墙砖、部分涂料，天棚为涂料。</w:t>
      </w:r>
    </w:p>
    <w:p>
      <w:pPr>
        <w:snapToGrid w:val="0"/>
        <w:spacing w:line="560" w:lineRule="exact"/>
        <w:ind w:firstLine="560" w:firstLineChars="200"/>
        <w:rPr>
          <w:rFonts w:eastAsia="仿宋_GB2312"/>
          <w:sz w:val="28"/>
          <w:szCs w:val="28"/>
        </w:rPr>
      </w:pPr>
      <w:r>
        <w:rPr>
          <w:rFonts w:hint="eastAsia" w:ascii="宋体" w:hAnsi="宋体" w:cs="宋体"/>
          <w:sz w:val="28"/>
          <w:szCs w:val="28"/>
        </w:rPr>
        <w:t>⑨</w:t>
      </w:r>
      <w:r>
        <w:rPr>
          <w:rFonts w:eastAsia="仿宋_GB2312"/>
          <w:sz w:val="28"/>
          <w:szCs w:val="28"/>
        </w:rPr>
        <w:t>设施设备：该建筑物配有</w:t>
      </w:r>
      <w:r>
        <w:rPr>
          <w:rFonts w:eastAsia="仿宋_GB2312"/>
          <w:color w:val="000000"/>
          <w:sz w:val="28"/>
          <w:szCs w:val="28"/>
        </w:rPr>
        <w:t>供水、排水、电力、</w:t>
      </w:r>
      <w:r>
        <w:rPr>
          <w:rFonts w:hint="eastAsia" w:eastAsia="仿宋_GB2312"/>
          <w:color w:val="000000"/>
          <w:sz w:val="28"/>
          <w:szCs w:val="28"/>
        </w:rPr>
        <w:t>天然气、消防、</w:t>
      </w:r>
      <w:r>
        <w:rPr>
          <w:rFonts w:eastAsia="仿宋_GB2312"/>
          <w:color w:val="000000"/>
          <w:sz w:val="28"/>
          <w:szCs w:val="28"/>
        </w:rPr>
        <w:t>网络</w:t>
      </w:r>
      <w:r>
        <w:rPr>
          <w:rFonts w:eastAsia="仿宋_GB2312"/>
          <w:sz w:val="28"/>
          <w:szCs w:val="28"/>
        </w:rPr>
        <w:t>等。</w:t>
      </w:r>
    </w:p>
    <w:p>
      <w:pPr>
        <w:snapToGrid w:val="0"/>
        <w:spacing w:line="560" w:lineRule="exact"/>
        <w:ind w:firstLine="560" w:firstLineChars="200"/>
        <w:rPr>
          <w:rFonts w:eastAsia="仿宋_GB2312"/>
          <w:sz w:val="28"/>
          <w:szCs w:val="28"/>
        </w:rPr>
      </w:pPr>
      <w:r>
        <w:rPr>
          <w:rFonts w:hint="eastAsia" w:ascii="宋体" w:hAnsi="宋体" w:cs="宋体"/>
          <w:sz w:val="28"/>
          <w:szCs w:val="28"/>
        </w:rPr>
        <w:t>⑩</w:t>
      </w:r>
      <w:r>
        <w:rPr>
          <w:rFonts w:eastAsia="仿宋_GB2312"/>
          <w:sz w:val="28"/>
          <w:szCs w:val="28"/>
        </w:rPr>
        <w:t>层高：室内净层高为</w:t>
      </w:r>
      <w:r>
        <w:rPr>
          <w:rFonts w:hint="eastAsia" w:eastAsia="仿宋_GB2312"/>
          <w:sz w:val="28"/>
          <w:szCs w:val="28"/>
        </w:rPr>
        <w:t>2.8</w:t>
      </w:r>
      <w:r>
        <w:rPr>
          <w:rFonts w:eastAsia="仿宋_GB2312"/>
          <w:sz w:val="28"/>
          <w:szCs w:val="28"/>
        </w:rPr>
        <w:t>米。</w:t>
      </w:r>
    </w:p>
    <w:p>
      <w:pPr>
        <w:snapToGrid w:val="0"/>
        <w:spacing w:line="560" w:lineRule="exact"/>
        <w:ind w:firstLine="560" w:firstLineChars="200"/>
        <w:rPr>
          <w:rFonts w:eastAsia="仿宋_GB2312"/>
          <w:sz w:val="28"/>
          <w:szCs w:val="28"/>
        </w:rPr>
      </w:pPr>
      <w:r>
        <w:rPr>
          <w:rFonts w:ascii="MS Mincho" w:hAnsi="MS Mincho" w:eastAsia="仿宋_GB2312" w:cs="MS Mincho"/>
          <w:sz w:val="28"/>
          <w:szCs w:val="28"/>
        </w:rPr>
        <w:t>⑪</w:t>
      </w:r>
      <w:r>
        <w:rPr>
          <w:rFonts w:eastAsia="仿宋_GB2312"/>
          <w:sz w:val="28"/>
          <w:szCs w:val="28"/>
        </w:rPr>
        <w:t>楼梯类型：</w:t>
      </w:r>
      <w:r>
        <w:rPr>
          <w:rFonts w:hint="eastAsia" w:eastAsia="仿宋_GB2312"/>
          <w:sz w:val="28"/>
          <w:szCs w:val="28"/>
        </w:rPr>
        <w:t>步梯</w:t>
      </w:r>
      <w:r>
        <w:rPr>
          <w:rFonts w:eastAsia="仿宋_GB2312"/>
          <w:sz w:val="28"/>
          <w:szCs w:val="28"/>
        </w:rPr>
        <w:t>。</w:t>
      </w:r>
    </w:p>
    <w:p>
      <w:pPr>
        <w:snapToGrid w:val="0"/>
        <w:spacing w:line="560" w:lineRule="exact"/>
        <w:ind w:firstLine="560" w:firstLineChars="200"/>
        <w:rPr>
          <w:rFonts w:eastAsia="仿宋_GB2312"/>
          <w:sz w:val="28"/>
          <w:szCs w:val="28"/>
        </w:rPr>
      </w:pPr>
      <w:r>
        <w:rPr>
          <w:rFonts w:ascii="MS Mincho" w:hAnsi="MS Mincho" w:eastAsia="仿宋_GB2312" w:cs="MS Mincho"/>
          <w:sz w:val="28"/>
          <w:szCs w:val="28"/>
        </w:rPr>
        <w:t>⑫</w:t>
      </w:r>
      <w:r>
        <w:rPr>
          <w:rFonts w:eastAsia="仿宋_GB2312"/>
          <w:sz w:val="28"/>
          <w:szCs w:val="28"/>
        </w:rPr>
        <w:t>户型及户型结构：估价对象为</w:t>
      </w:r>
      <w:r>
        <w:rPr>
          <w:rFonts w:hint="eastAsia" w:eastAsia="仿宋_GB2312"/>
          <w:sz w:val="28"/>
          <w:szCs w:val="28"/>
        </w:rPr>
        <w:t>三室两厅一厨一卫，户型布局合理</w:t>
      </w:r>
      <w:r>
        <w:rPr>
          <w:rFonts w:eastAsia="仿宋_GB2312"/>
          <w:sz w:val="28"/>
          <w:szCs w:val="28"/>
        </w:rPr>
        <w:t>。</w:t>
      </w:r>
    </w:p>
    <w:p>
      <w:pPr>
        <w:snapToGrid w:val="0"/>
        <w:spacing w:line="560" w:lineRule="exact"/>
        <w:ind w:firstLine="560" w:firstLineChars="200"/>
        <w:rPr>
          <w:rFonts w:eastAsia="仿宋_GB2312"/>
          <w:sz w:val="28"/>
          <w:szCs w:val="28"/>
        </w:rPr>
      </w:pPr>
      <w:r>
        <w:rPr>
          <w:rFonts w:ascii="MS Mincho" w:hAnsi="MS Mincho" w:eastAsia="仿宋_GB2312" w:cs="MS Mincho"/>
          <w:sz w:val="28"/>
          <w:szCs w:val="28"/>
        </w:rPr>
        <w:t>⑬</w:t>
      </w:r>
      <w:r>
        <w:rPr>
          <w:rFonts w:eastAsia="仿宋_GB2312"/>
          <w:sz w:val="28"/>
          <w:szCs w:val="28"/>
        </w:rPr>
        <w:t>通风采光：</w:t>
      </w:r>
      <w:r>
        <w:rPr>
          <w:rFonts w:hint="eastAsia" w:eastAsia="仿宋_GB2312"/>
          <w:sz w:val="28"/>
          <w:szCs w:val="28"/>
        </w:rPr>
        <w:t>通风较畅通，建筑物光线较为充足</w:t>
      </w:r>
      <w:r>
        <w:rPr>
          <w:rFonts w:eastAsia="仿宋_GB2312"/>
          <w:sz w:val="28"/>
          <w:szCs w:val="28"/>
        </w:rPr>
        <w:t>。</w:t>
      </w:r>
    </w:p>
    <w:p>
      <w:pPr>
        <w:snapToGrid w:val="0"/>
        <w:spacing w:line="560" w:lineRule="exact"/>
        <w:ind w:firstLine="560" w:firstLineChars="200"/>
        <w:rPr>
          <w:rFonts w:eastAsia="仿宋_GB2312"/>
          <w:sz w:val="28"/>
          <w:szCs w:val="28"/>
        </w:rPr>
      </w:pPr>
      <w:r>
        <w:rPr>
          <w:rFonts w:ascii="MS Mincho" w:hAnsi="MS Mincho" w:eastAsia="仿宋_GB2312" w:cs="MS Mincho"/>
          <w:sz w:val="28"/>
          <w:szCs w:val="28"/>
        </w:rPr>
        <w:t>⑭</w:t>
      </w:r>
      <w:r>
        <w:rPr>
          <w:rFonts w:hint="eastAsia" w:ascii="MS Mincho" w:hAnsi="MS Mincho" w:eastAsia="仿宋_GB2312" w:cs="MS Mincho"/>
          <w:sz w:val="28"/>
          <w:szCs w:val="28"/>
        </w:rPr>
        <w:t>建筑物</w:t>
      </w:r>
      <w:r>
        <w:rPr>
          <w:rFonts w:eastAsia="仿宋_GB2312"/>
          <w:sz w:val="28"/>
          <w:szCs w:val="28"/>
        </w:rPr>
        <w:t>外观状况：</w:t>
      </w:r>
      <w:r>
        <w:rPr>
          <w:rFonts w:hint="eastAsia" w:eastAsia="仿宋_GB2312"/>
          <w:sz w:val="28"/>
          <w:szCs w:val="28"/>
        </w:rPr>
        <w:t>建筑外观风格单调，可视性一般</w:t>
      </w:r>
      <w:r>
        <w:rPr>
          <w:rFonts w:eastAsia="仿宋_GB2312"/>
          <w:sz w:val="28"/>
          <w:szCs w:val="28"/>
        </w:rPr>
        <w:t>。</w:t>
      </w:r>
    </w:p>
    <w:p>
      <w:pPr>
        <w:snapToGrid w:val="0"/>
        <w:spacing w:line="560" w:lineRule="exact"/>
        <w:ind w:firstLine="560" w:firstLineChars="200"/>
        <w:rPr>
          <w:rFonts w:eastAsia="仿宋_GB2312"/>
          <w:sz w:val="28"/>
          <w:szCs w:val="28"/>
        </w:rPr>
      </w:pPr>
      <w:r>
        <w:rPr>
          <w:rFonts w:ascii="MS Mincho" w:hAnsi="MS Mincho" w:eastAsia="仿宋_GB2312" w:cs="MS Mincho"/>
          <w:sz w:val="28"/>
          <w:szCs w:val="28"/>
        </w:rPr>
        <w:t>⑮</w:t>
      </w:r>
      <w:r>
        <w:rPr>
          <w:rFonts w:eastAsia="仿宋_GB2312"/>
          <w:sz w:val="28"/>
          <w:szCs w:val="28"/>
        </w:rPr>
        <w:t>小区情况：</w:t>
      </w:r>
      <w:r>
        <w:rPr>
          <w:rFonts w:hint="eastAsia" w:eastAsia="仿宋_GB2312"/>
          <w:sz w:val="28"/>
          <w:szCs w:val="28"/>
        </w:rPr>
        <w:t>小区临凤鸣路；小区绿化一般，楼间距一般，各建筑物楼层、外观一致</w:t>
      </w:r>
      <w:r>
        <w:rPr>
          <w:rFonts w:eastAsia="仿宋_GB2312"/>
          <w:sz w:val="28"/>
          <w:szCs w:val="28"/>
        </w:rPr>
        <w:t>。</w:t>
      </w:r>
    </w:p>
    <w:p>
      <w:pPr>
        <w:snapToGrid w:val="0"/>
        <w:spacing w:line="560" w:lineRule="exact"/>
        <w:ind w:firstLine="560" w:firstLineChars="200"/>
        <w:rPr>
          <w:rFonts w:eastAsia="仿宋_GB2312"/>
          <w:sz w:val="28"/>
          <w:szCs w:val="28"/>
        </w:rPr>
      </w:pPr>
      <w:r>
        <w:rPr>
          <w:rFonts w:ascii="MS Mincho" w:hAnsi="MS Mincho" w:eastAsia="仿宋_GB2312" w:cs="MS Mincho"/>
          <w:sz w:val="28"/>
          <w:szCs w:val="28"/>
        </w:rPr>
        <w:t>⑯</w:t>
      </w:r>
      <w:r>
        <w:rPr>
          <w:rFonts w:eastAsia="仿宋_GB2312"/>
          <w:sz w:val="28"/>
          <w:szCs w:val="28"/>
        </w:rPr>
        <w:t>特殊景观：</w:t>
      </w:r>
      <w:r>
        <w:rPr>
          <w:rFonts w:hint="eastAsia" w:eastAsia="仿宋_GB2312"/>
          <w:sz w:val="28"/>
          <w:szCs w:val="28"/>
        </w:rPr>
        <w:t>无</w:t>
      </w:r>
      <w:r>
        <w:rPr>
          <w:rFonts w:eastAsia="仿宋_GB2312"/>
          <w:sz w:val="28"/>
          <w:szCs w:val="28"/>
        </w:rPr>
        <w:t>。</w:t>
      </w:r>
    </w:p>
    <w:p>
      <w:pPr>
        <w:snapToGrid w:val="0"/>
        <w:spacing w:before="156" w:line="560" w:lineRule="exact"/>
        <w:ind w:firstLine="562" w:firstLineChars="200"/>
        <w:rPr>
          <w:rFonts w:eastAsia="仿宋_GB2312"/>
          <w:b/>
          <w:sz w:val="28"/>
          <w:szCs w:val="28"/>
        </w:rPr>
      </w:pPr>
      <w:r>
        <w:rPr>
          <w:rFonts w:eastAsia="仿宋_GB2312"/>
          <w:b/>
          <w:sz w:val="28"/>
          <w:szCs w:val="28"/>
        </w:rPr>
        <w:t>5、估价对象权益状况</w:t>
      </w:r>
    </w:p>
    <w:tbl>
      <w:tblPr>
        <w:tblStyle w:val="23"/>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2151"/>
        <w:gridCol w:w="1527"/>
        <w:gridCol w:w="2056"/>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blHeader/>
          <w:jc w:val="center"/>
        </w:trPr>
        <w:tc>
          <w:tcPr>
            <w:tcW w:w="3398" w:type="dxa"/>
            <w:gridSpan w:val="2"/>
            <w:shd w:val="clear" w:color="auto" w:fill="auto"/>
            <w:vAlign w:val="center"/>
          </w:tcPr>
          <w:p>
            <w:pPr>
              <w:widowControl/>
              <w:snapToGrid w:val="0"/>
              <w:jc w:val="center"/>
              <w:rPr>
                <w:rFonts w:eastAsia="仿宋_GB2312"/>
                <w:sz w:val="20"/>
                <w:szCs w:val="21"/>
              </w:rPr>
            </w:pPr>
            <w:r>
              <w:rPr>
                <w:rFonts w:hint="eastAsia" w:eastAsia="仿宋_GB2312"/>
                <w:szCs w:val="21"/>
              </w:rPr>
              <w:t>权属依据</w:t>
            </w:r>
          </w:p>
        </w:tc>
        <w:tc>
          <w:tcPr>
            <w:tcW w:w="5741" w:type="dxa"/>
            <w:gridSpan w:val="3"/>
            <w:shd w:val="clear" w:color="auto" w:fill="auto"/>
            <w:vAlign w:val="center"/>
          </w:tcPr>
          <w:p>
            <w:pPr>
              <w:widowControl/>
              <w:snapToGrid w:val="0"/>
              <w:jc w:val="center"/>
              <w:rPr>
                <w:rFonts w:eastAsia="仿宋_GB2312"/>
                <w:color w:val="FF0000"/>
                <w:sz w:val="20"/>
                <w:szCs w:val="21"/>
              </w:rPr>
            </w:pPr>
            <w:r>
              <w:rPr>
                <w:rFonts w:eastAsia="仿宋_GB2312"/>
                <w:szCs w:val="21"/>
              </w:rPr>
              <w:t>《</w:t>
            </w:r>
            <w:r>
              <w:rPr>
                <w:rFonts w:hint="eastAsia" w:eastAsia="仿宋_GB2312"/>
                <w:szCs w:val="21"/>
              </w:rPr>
              <w:t>房屋所有权证</w:t>
            </w:r>
            <w:r>
              <w:rPr>
                <w:rFonts w:eastAsia="仿宋_GB2312"/>
                <w:szCs w:val="21"/>
              </w:rPr>
              <w:t>》</w:t>
            </w:r>
            <w:r>
              <w:rPr>
                <w:rFonts w:hint="eastAsia" w:eastAsia="仿宋_GB2312"/>
                <w:szCs w:val="21"/>
              </w:rPr>
              <w:t>（永房权证永北镇字第00010399号）、《国有土地使用权证》（永国用（2013）第00141号）及《房地产权结果信息一览表》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3398" w:type="dxa"/>
            <w:gridSpan w:val="2"/>
            <w:shd w:val="clear" w:color="auto" w:fill="auto"/>
            <w:vAlign w:val="center"/>
          </w:tcPr>
          <w:p>
            <w:pPr>
              <w:widowControl/>
              <w:snapToGrid w:val="0"/>
              <w:jc w:val="center"/>
              <w:rPr>
                <w:rFonts w:eastAsia="仿宋_GB2312"/>
                <w:sz w:val="20"/>
                <w:szCs w:val="21"/>
              </w:rPr>
            </w:pPr>
            <w:r>
              <w:rPr>
                <w:rFonts w:eastAsia="仿宋_GB2312"/>
                <w:szCs w:val="21"/>
              </w:rPr>
              <w:t>权利人</w:t>
            </w:r>
          </w:p>
        </w:tc>
        <w:tc>
          <w:tcPr>
            <w:tcW w:w="5741" w:type="dxa"/>
            <w:gridSpan w:val="3"/>
            <w:shd w:val="clear" w:color="auto" w:fill="auto"/>
            <w:vAlign w:val="center"/>
          </w:tcPr>
          <w:p>
            <w:pPr>
              <w:widowControl/>
              <w:snapToGrid w:val="0"/>
              <w:jc w:val="center"/>
              <w:rPr>
                <w:rFonts w:eastAsia="仿宋_GB2312"/>
                <w:sz w:val="20"/>
                <w:szCs w:val="21"/>
              </w:rPr>
            </w:pPr>
            <w:r>
              <w:rPr>
                <w:rFonts w:hint="eastAsia" w:eastAsia="仿宋_GB2312"/>
                <w:szCs w:val="21"/>
              </w:rPr>
              <w:t>熊建林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1247" w:type="dxa"/>
            <w:vMerge w:val="restart"/>
            <w:shd w:val="clear" w:color="auto" w:fill="auto"/>
            <w:vAlign w:val="center"/>
          </w:tcPr>
          <w:p>
            <w:pPr>
              <w:widowControl/>
              <w:snapToGrid w:val="0"/>
              <w:jc w:val="center"/>
              <w:rPr>
                <w:rFonts w:eastAsia="仿宋_GB2312"/>
                <w:sz w:val="20"/>
                <w:szCs w:val="21"/>
              </w:rPr>
            </w:pPr>
            <w:r>
              <w:rPr>
                <w:rFonts w:hint="eastAsia" w:eastAsia="仿宋_GB2312"/>
                <w:szCs w:val="21"/>
              </w:rPr>
              <w:t>房屋情况</w:t>
            </w:r>
          </w:p>
        </w:tc>
        <w:tc>
          <w:tcPr>
            <w:tcW w:w="2151" w:type="dxa"/>
            <w:shd w:val="clear" w:color="auto" w:fill="auto"/>
            <w:vAlign w:val="center"/>
          </w:tcPr>
          <w:p>
            <w:pPr>
              <w:widowControl/>
              <w:snapToGrid w:val="0"/>
              <w:jc w:val="center"/>
              <w:rPr>
                <w:rFonts w:eastAsia="仿宋_GB2312"/>
                <w:sz w:val="20"/>
                <w:szCs w:val="21"/>
              </w:rPr>
            </w:pPr>
            <w:r>
              <w:rPr>
                <w:rFonts w:eastAsia="仿宋_GB2312"/>
                <w:szCs w:val="21"/>
              </w:rPr>
              <w:t>房屋坐落</w:t>
            </w:r>
          </w:p>
        </w:tc>
        <w:tc>
          <w:tcPr>
            <w:tcW w:w="5741" w:type="dxa"/>
            <w:gridSpan w:val="3"/>
            <w:shd w:val="clear" w:color="auto" w:fill="auto"/>
            <w:vAlign w:val="center"/>
          </w:tcPr>
          <w:p>
            <w:pPr>
              <w:widowControl/>
              <w:snapToGrid w:val="0"/>
              <w:jc w:val="center"/>
              <w:rPr>
                <w:rFonts w:eastAsia="仿宋_GB2312"/>
                <w:sz w:val="20"/>
                <w:szCs w:val="21"/>
              </w:rPr>
            </w:pPr>
            <w:r>
              <w:rPr>
                <w:rFonts w:hint="eastAsia" w:eastAsia="仿宋_GB2312"/>
                <w:szCs w:val="21"/>
              </w:rPr>
              <w:t>永胜县永北镇华程小区2幢1单元101室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1247" w:type="dxa"/>
            <w:vMerge w:val="continue"/>
            <w:vAlign w:val="center"/>
          </w:tcPr>
          <w:p>
            <w:pPr>
              <w:widowControl/>
              <w:snapToGrid w:val="0"/>
              <w:jc w:val="left"/>
              <w:rPr>
                <w:rFonts w:eastAsia="仿宋_GB2312"/>
                <w:sz w:val="20"/>
                <w:szCs w:val="21"/>
              </w:rPr>
            </w:pPr>
          </w:p>
        </w:tc>
        <w:tc>
          <w:tcPr>
            <w:tcW w:w="2151" w:type="dxa"/>
            <w:shd w:val="clear" w:color="auto" w:fill="auto"/>
            <w:vAlign w:val="center"/>
          </w:tcPr>
          <w:p>
            <w:pPr>
              <w:widowControl/>
              <w:snapToGrid w:val="0"/>
              <w:jc w:val="center"/>
              <w:rPr>
                <w:rFonts w:eastAsia="仿宋_GB2312"/>
                <w:sz w:val="20"/>
                <w:szCs w:val="21"/>
              </w:rPr>
            </w:pPr>
            <w:r>
              <w:rPr>
                <w:rFonts w:eastAsia="仿宋_GB2312"/>
                <w:szCs w:val="21"/>
              </w:rPr>
              <w:t>实际用途</w:t>
            </w:r>
          </w:p>
        </w:tc>
        <w:tc>
          <w:tcPr>
            <w:tcW w:w="1527" w:type="dxa"/>
            <w:shd w:val="clear" w:color="auto" w:fill="auto"/>
            <w:vAlign w:val="center"/>
          </w:tcPr>
          <w:p>
            <w:pPr>
              <w:widowControl/>
              <w:snapToGrid w:val="0"/>
              <w:jc w:val="center"/>
              <w:rPr>
                <w:rFonts w:eastAsia="仿宋_GB2312"/>
                <w:sz w:val="20"/>
                <w:szCs w:val="21"/>
              </w:rPr>
            </w:pPr>
            <w:r>
              <w:rPr>
                <w:rFonts w:hint="eastAsia" w:eastAsia="仿宋_GB2312"/>
                <w:szCs w:val="21"/>
              </w:rPr>
              <w:t>住宅</w:t>
            </w:r>
          </w:p>
        </w:tc>
        <w:tc>
          <w:tcPr>
            <w:tcW w:w="2056" w:type="dxa"/>
            <w:shd w:val="clear" w:color="auto" w:fill="auto"/>
            <w:vAlign w:val="center"/>
          </w:tcPr>
          <w:p>
            <w:pPr>
              <w:widowControl/>
              <w:snapToGrid w:val="0"/>
              <w:jc w:val="center"/>
              <w:rPr>
                <w:rFonts w:eastAsia="仿宋_GB2312"/>
                <w:sz w:val="20"/>
                <w:szCs w:val="21"/>
              </w:rPr>
            </w:pPr>
            <w:r>
              <w:rPr>
                <w:rFonts w:eastAsia="仿宋_GB2312"/>
                <w:szCs w:val="21"/>
              </w:rPr>
              <w:t>规划用途</w:t>
            </w:r>
          </w:p>
        </w:tc>
        <w:tc>
          <w:tcPr>
            <w:tcW w:w="2158" w:type="dxa"/>
            <w:shd w:val="clear" w:color="auto" w:fill="auto"/>
            <w:vAlign w:val="center"/>
          </w:tcPr>
          <w:p>
            <w:pPr>
              <w:widowControl/>
              <w:snapToGrid w:val="0"/>
              <w:jc w:val="center"/>
              <w:rPr>
                <w:rFonts w:eastAsia="仿宋_GB2312"/>
                <w:sz w:val="20"/>
                <w:szCs w:val="21"/>
              </w:rPr>
            </w:pPr>
            <w:r>
              <w:rPr>
                <w:rFonts w:hint="eastAsia" w:eastAsia="仿宋_GB2312"/>
                <w:szCs w:val="21"/>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1247" w:type="dxa"/>
            <w:vMerge w:val="continue"/>
            <w:vAlign w:val="center"/>
          </w:tcPr>
          <w:p>
            <w:pPr>
              <w:widowControl/>
              <w:snapToGrid w:val="0"/>
              <w:jc w:val="left"/>
              <w:rPr>
                <w:rFonts w:eastAsia="仿宋_GB2312"/>
                <w:sz w:val="20"/>
                <w:szCs w:val="21"/>
              </w:rPr>
            </w:pPr>
          </w:p>
        </w:tc>
        <w:tc>
          <w:tcPr>
            <w:tcW w:w="2151" w:type="dxa"/>
            <w:shd w:val="clear" w:color="auto" w:fill="auto"/>
            <w:vAlign w:val="center"/>
          </w:tcPr>
          <w:p>
            <w:pPr>
              <w:widowControl/>
              <w:snapToGrid w:val="0"/>
              <w:jc w:val="center"/>
              <w:rPr>
                <w:rFonts w:eastAsia="仿宋_GB2312"/>
                <w:sz w:val="20"/>
                <w:szCs w:val="21"/>
              </w:rPr>
            </w:pPr>
            <w:r>
              <w:rPr>
                <w:rFonts w:eastAsia="仿宋_GB2312"/>
                <w:szCs w:val="21"/>
              </w:rPr>
              <w:t>房屋结构</w:t>
            </w:r>
          </w:p>
        </w:tc>
        <w:tc>
          <w:tcPr>
            <w:tcW w:w="1527" w:type="dxa"/>
            <w:shd w:val="clear" w:color="auto" w:fill="auto"/>
            <w:vAlign w:val="center"/>
          </w:tcPr>
          <w:p>
            <w:pPr>
              <w:widowControl/>
              <w:snapToGrid w:val="0"/>
              <w:jc w:val="center"/>
              <w:rPr>
                <w:rFonts w:eastAsia="仿宋_GB2312"/>
                <w:sz w:val="20"/>
                <w:szCs w:val="21"/>
              </w:rPr>
            </w:pPr>
            <w:r>
              <w:rPr>
                <w:rFonts w:hint="eastAsia" w:eastAsia="仿宋_GB2312"/>
                <w:szCs w:val="21"/>
              </w:rPr>
              <w:t>混合</w:t>
            </w:r>
            <w:r>
              <w:rPr>
                <w:rFonts w:eastAsia="仿宋_GB2312"/>
                <w:szCs w:val="21"/>
              </w:rPr>
              <w:t>结构</w:t>
            </w:r>
          </w:p>
        </w:tc>
        <w:tc>
          <w:tcPr>
            <w:tcW w:w="2056" w:type="dxa"/>
            <w:shd w:val="clear" w:color="auto" w:fill="auto"/>
            <w:vAlign w:val="center"/>
          </w:tcPr>
          <w:p>
            <w:pPr>
              <w:widowControl/>
              <w:snapToGrid w:val="0"/>
              <w:jc w:val="center"/>
              <w:rPr>
                <w:rFonts w:eastAsia="仿宋_GB2312"/>
                <w:sz w:val="20"/>
                <w:szCs w:val="21"/>
              </w:rPr>
            </w:pPr>
            <w:r>
              <w:rPr>
                <w:rFonts w:eastAsia="仿宋_GB2312"/>
                <w:szCs w:val="21"/>
              </w:rPr>
              <w:t>竣工年份（年）</w:t>
            </w:r>
          </w:p>
        </w:tc>
        <w:tc>
          <w:tcPr>
            <w:tcW w:w="2158" w:type="dxa"/>
            <w:shd w:val="clear" w:color="auto" w:fill="auto"/>
            <w:vAlign w:val="center"/>
          </w:tcPr>
          <w:p>
            <w:pPr>
              <w:widowControl/>
              <w:snapToGrid w:val="0"/>
              <w:jc w:val="center"/>
              <w:rPr>
                <w:rFonts w:eastAsia="仿宋_GB2312"/>
                <w:sz w:val="20"/>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1247" w:type="dxa"/>
            <w:vMerge w:val="continue"/>
            <w:vAlign w:val="center"/>
          </w:tcPr>
          <w:p>
            <w:pPr>
              <w:widowControl/>
              <w:snapToGrid w:val="0"/>
              <w:jc w:val="left"/>
              <w:rPr>
                <w:rFonts w:eastAsia="仿宋_GB2312"/>
                <w:sz w:val="20"/>
                <w:szCs w:val="21"/>
              </w:rPr>
            </w:pPr>
          </w:p>
        </w:tc>
        <w:tc>
          <w:tcPr>
            <w:tcW w:w="2151" w:type="dxa"/>
            <w:shd w:val="clear" w:color="auto" w:fill="auto"/>
            <w:vAlign w:val="center"/>
          </w:tcPr>
          <w:p>
            <w:pPr>
              <w:widowControl/>
              <w:snapToGrid w:val="0"/>
              <w:jc w:val="center"/>
              <w:rPr>
                <w:rFonts w:eastAsia="仿宋_GB2312"/>
                <w:sz w:val="20"/>
                <w:szCs w:val="21"/>
              </w:rPr>
            </w:pPr>
            <w:r>
              <w:rPr>
                <w:rFonts w:eastAsia="仿宋_GB2312"/>
                <w:szCs w:val="21"/>
              </w:rPr>
              <w:t>所在层/总层数</w:t>
            </w:r>
          </w:p>
        </w:tc>
        <w:tc>
          <w:tcPr>
            <w:tcW w:w="1527" w:type="dxa"/>
            <w:shd w:val="clear" w:color="auto" w:fill="auto"/>
            <w:vAlign w:val="center"/>
          </w:tcPr>
          <w:p>
            <w:pPr>
              <w:widowControl/>
              <w:snapToGrid w:val="0"/>
              <w:jc w:val="center"/>
              <w:rPr>
                <w:rFonts w:eastAsia="仿宋_GB2312"/>
                <w:sz w:val="20"/>
                <w:szCs w:val="21"/>
              </w:rPr>
            </w:pPr>
            <w:r>
              <w:rPr>
                <w:rFonts w:hint="eastAsia" w:eastAsia="仿宋_GB2312"/>
                <w:szCs w:val="21"/>
              </w:rPr>
              <w:t>1层/5层</w:t>
            </w:r>
          </w:p>
        </w:tc>
        <w:tc>
          <w:tcPr>
            <w:tcW w:w="2056" w:type="dxa"/>
            <w:shd w:val="clear" w:color="auto" w:fill="auto"/>
            <w:vAlign w:val="center"/>
          </w:tcPr>
          <w:p>
            <w:pPr>
              <w:widowControl/>
              <w:snapToGrid w:val="0"/>
              <w:jc w:val="center"/>
              <w:rPr>
                <w:rFonts w:eastAsia="仿宋_GB2312"/>
                <w:sz w:val="20"/>
                <w:szCs w:val="21"/>
              </w:rPr>
            </w:pPr>
            <w:r>
              <w:rPr>
                <w:rFonts w:eastAsia="仿宋_GB2312"/>
                <w:szCs w:val="21"/>
              </w:rPr>
              <w:t>权利性质</w:t>
            </w:r>
          </w:p>
        </w:tc>
        <w:tc>
          <w:tcPr>
            <w:tcW w:w="2158" w:type="dxa"/>
            <w:shd w:val="clear" w:color="auto" w:fill="auto"/>
            <w:vAlign w:val="center"/>
          </w:tcPr>
          <w:p>
            <w:pPr>
              <w:widowControl/>
              <w:snapToGrid w:val="0"/>
              <w:jc w:val="center"/>
              <w:rPr>
                <w:rFonts w:eastAsia="仿宋_GB2312"/>
                <w:sz w:val="20"/>
                <w:szCs w:val="21"/>
              </w:rPr>
            </w:pPr>
            <w:r>
              <w:rPr>
                <w:rFonts w:hint="eastAsia" w:eastAsia="仿宋_GB2312"/>
                <w:szCs w:val="21"/>
              </w:rPr>
              <w:t>普通商品房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1247" w:type="dxa"/>
            <w:vMerge w:val="continue"/>
            <w:vAlign w:val="center"/>
          </w:tcPr>
          <w:p>
            <w:pPr>
              <w:widowControl/>
              <w:snapToGrid w:val="0"/>
              <w:jc w:val="left"/>
              <w:rPr>
                <w:rFonts w:eastAsia="仿宋_GB2312"/>
                <w:sz w:val="20"/>
                <w:szCs w:val="21"/>
              </w:rPr>
            </w:pPr>
          </w:p>
        </w:tc>
        <w:tc>
          <w:tcPr>
            <w:tcW w:w="2151" w:type="dxa"/>
            <w:shd w:val="clear" w:color="auto" w:fill="auto"/>
            <w:vAlign w:val="center"/>
          </w:tcPr>
          <w:p>
            <w:pPr>
              <w:widowControl/>
              <w:snapToGrid w:val="0"/>
              <w:jc w:val="center"/>
              <w:rPr>
                <w:rFonts w:eastAsia="仿宋_GB2312"/>
                <w:sz w:val="20"/>
                <w:szCs w:val="21"/>
              </w:rPr>
            </w:pPr>
            <w:r>
              <w:rPr>
                <w:rFonts w:eastAsia="仿宋_GB2312"/>
                <w:szCs w:val="21"/>
              </w:rPr>
              <w:t>建筑面积（m²）</w:t>
            </w:r>
          </w:p>
        </w:tc>
        <w:tc>
          <w:tcPr>
            <w:tcW w:w="1527" w:type="dxa"/>
            <w:shd w:val="clear" w:color="auto" w:fill="auto"/>
            <w:vAlign w:val="center"/>
          </w:tcPr>
          <w:p>
            <w:pPr>
              <w:widowControl/>
              <w:snapToGrid w:val="0"/>
              <w:jc w:val="center"/>
              <w:rPr>
                <w:rFonts w:eastAsia="仿宋_GB2312"/>
                <w:sz w:val="20"/>
                <w:szCs w:val="21"/>
              </w:rPr>
            </w:pPr>
            <w:r>
              <w:rPr>
                <w:rFonts w:hint="eastAsia" w:eastAsia="仿宋_GB2312"/>
                <w:szCs w:val="21"/>
              </w:rPr>
              <w:t>104.49</w:t>
            </w:r>
          </w:p>
        </w:tc>
        <w:tc>
          <w:tcPr>
            <w:tcW w:w="2056" w:type="dxa"/>
            <w:shd w:val="clear" w:color="auto" w:fill="auto"/>
            <w:vAlign w:val="center"/>
          </w:tcPr>
          <w:p>
            <w:pPr>
              <w:widowControl/>
              <w:snapToGrid w:val="0"/>
              <w:jc w:val="center"/>
              <w:rPr>
                <w:rFonts w:eastAsia="仿宋_GB2312"/>
                <w:sz w:val="20"/>
                <w:szCs w:val="21"/>
              </w:rPr>
            </w:pPr>
            <w:r>
              <w:rPr>
                <w:rFonts w:eastAsia="仿宋_GB2312"/>
                <w:szCs w:val="21"/>
              </w:rPr>
              <w:t>共有情况</w:t>
            </w:r>
          </w:p>
        </w:tc>
        <w:tc>
          <w:tcPr>
            <w:tcW w:w="2158" w:type="dxa"/>
            <w:shd w:val="clear" w:color="auto" w:fill="auto"/>
            <w:vAlign w:val="center"/>
          </w:tcPr>
          <w:p>
            <w:pPr>
              <w:widowControl/>
              <w:snapToGrid w:val="0"/>
              <w:jc w:val="center"/>
              <w:rPr>
                <w:rFonts w:eastAsia="仿宋_GB2312"/>
                <w:color w:val="FF0000"/>
                <w:sz w:val="20"/>
                <w:szCs w:val="21"/>
              </w:rPr>
            </w:pPr>
            <w:r>
              <w:rPr>
                <w:rFonts w:hint="eastAsia" w:eastAsia="仿宋_GB2312"/>
                <w:szCs w:val="21"/>
              </w:rPr>
              <w:t>共同共有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1247" w:type="dxa"/>
            <w:vMerge w:val="continue"/>
            <w:vAlign w:val="center"/>
          </w:tcPr>
          <w:p>
            <w:pPr>
              <w:widowControl/>
              <w:snapToGrid w:val="0"/>
              <w:jc w:val="left"/>
              <w:rPr>
                <w:rFonts w:eastAsia="仿宋_GB2312"/>
                <w:sz w:val="20"/>
                <w:szCs w:val="21"/>
              </w:rPr>
            </w:pPr>
          </w:p>
        </w:tc>
        <w:tc>
          <w:tcPr>
            <w:tcW w:w="2151" w:type="dxa"/>
            <w:shd w:val="clear" w:color="auto" w:fill="auto"/>
            <w:vAlign w:val="center"/>
          </w:tcPr>
          <w:p>
            <w:pPr>
              <w:widowControl/>
              <w:snapToGrid w:val="0"/>
              <w:jc w:val="center"/>
              <w:rPr>
                <w:rFonts w:eastAsia="仿宋_GB2312"/>
                <w:sz w:val="20"/>
                <w:szCs w:val="21"/>
              </w:rPr>
            </w:pPr>
            <w:r>
              <w:rPr>
                <w:rFonts w:eastAsia="仿宋_GB2312"/>
                <w:szCs w:val="21"/>
              </w:rPr>
              <w:t>套内建筑面积（m²）</w:t>
            </w:r>
          </w:p>
        </w:tc>
        <w:tc>
          <w:tcPr>
            <w:tcW w:w="1527" w:type="dxa"/>
            <w:shd w:val="clear" w:color="auto" w:fill="auto"/>
            <w:vAlign w:val="center"/>
          </w:tcPr>
          <w:p>
            <w:pPr>
              <w:widowControl/>
              <w:snapToGrid w:val="0"/>
              <w:jc w:val="center"/>
              <w:rPr>
                <w:rFonts w:eastAsia="仿宋_GB2312"/>
                <w:kern w:val="28"/>
                <w:sz w:val="20"/>
                <w:szCs w:val="21"/>
              </w:rPr>
            </w:pPr>
            <w:r>
              <w:rPr>
                <w:rFonts w:hint="eastAsia" w:eastAsia="仿宋_GB2312"/>
                <w:szCs w:val="21"/>
              </w:rPr>
              <w:t>-</w:t>
            </w:r>
          </w:p>
        </w:tc>
        <w:tc>
          <w:tcPr>
            <w:tcW w:w="2056" w:type="dxa"/>
            <w:shd w:val="clear" w:color="auto" w:fill="auto"/>
            <w:vAlign w:val="center"/>
          </w:tcPr>
          <w:p>
            <w:pPr>
              <w:widowControl/>
              <w:snapToGrid w:val="0"/>
              <w:jc w:val="center"/>
              <w:rPr>
                <w:rFonts w:eastAsia="仿宋_GB2312"/>
                <w:sz w:val="20"/>
                <w:szCs w:val="21"/>
              </w:rPr>
            </w:pPr>
            <w:r>
              <w:rPr>
                <w:rFonts w:eastAsia="仿宋_GB2312"/>
                <w:szCs w:val="21"/>
              </w:rPr>
              <w:t>权利类型</w:t>
            </w:r>
          </w:p>
        </w:tc>
        <w:tc>
          <w:tcPr>
            <w:tcW w:w="2158" w:type="dxa"/>
            <w:shd w:val="clear" w:color="auto" w:fill="auto"/>
            <w:vAlign w:val="center"/>
          </w:tcPr>
          <w:p>
            <w:pPr>
              <w:widowControl/>
              <w:snapToGrid w:val="0"/>
              <w:jc w:val="center"/>
              <w:rPr>
                <w:rFonts w:eastAsia="仿宋_GB2312"/>
                <w:sz w:val="20"/>
                <w:szCs w:val="21"/>
              </w:rPr>
            </w:pPr>
            <w:r>
              <w:rPr>
                <w:rFonts w:eastAsia="仿宋_GB2312"/>
                <w:szCs w:val="21"/>
              </w:rPr>
              <w:t>房屋所有权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247" w:type="dxa"/>
            <w:vMerge w:val="restart"/>
            <w:shd w:val="clear" w:color="auto" w:fill="auto"/>
            <w:vAlign w:val="center"/>
          </w:tcPr>
          <w:p>
            <w:pPr>
              <w:snapToGrid w:val="0"/>
              <w:jc w:val="center"/>
              <w:rPr>
                <w:rFonts w:eastAsia="仿宋_GB2312"/>
                <w:sz w:val="20"/>
                <w:szCs w:val="21"/>
              </w:rPr>
            </w:pPr>
            <w:r>
              <w:rPr>
                <w:rFonts w:eastAsia="仿宋_GB2312"/>
                <w:szCs w:val="21"/>
              </w:rPr>
              <w:t>土地情况</w:t>
            </w:r>
          </w:p>
        </w:tc>
        <w:tc>
          <w:tcPr>
            <w:tcW w:w="2151" w:type="dxa"/>
            <w:shd w:val="clear" w:color="auto" w:fill="auto"/>
            <w:vAlign w:val="center"/>
          </w:tcPr>
          <w:p>
            <w:pPr>
              <w:widowControl/>
              <w:snapToGrid w:val="0"/>
              <w:jc w:val="center"/>
              <w:rPr>
                <w:rFonts w:eastAsia="仿宋_GB2312"/>
                <w:szCs w:val="21"/>
              </w:rPr>
            </w:pPr>
            <w:r>
              <w:rPr>
                <w:rFonts w:hint="eastAsia" w:eastAsia="仿宋_GB2312"/>
                <w:szCs w:val="21"/>
              </w:rPr>
              <w:t>不动产单元号</w:t>
            </w:r>
          </w:p>
        </w:tc>
        <w:tc>
          <w:tcPr>
            <w:tcW w:w="5741" w:type="dxa"/>
            <w:gridSpan w:val="3"/>
            <w:shd w:val="clear" w:color="auto" w:fill="auto"/>
            <w:vAlign w:val="center"/>
          </w:tcPr>
          <w:p>
            <w:pPr>
              <w:widowControl/>
              <w:snapToGrid w:val="0"/>
              <w:jc w:val="center"/>
              <w:rPr>
                <w:rFonts w:eastAsia="仿宋_GB2312"/>
                <w:sz w:val="20"/>
                <w:szCs w:val="21"/>
              </w:rPr>
            </w:pPr>
            <w:r>
              <w:rPr>
                <w:rFonts w:hint="eastAsia" w:eastAsia="仿宋_GB2312"/>
                <w:szCs w:val="21"/>
              </w:rPr>
              <w:t>530722101223GB00076F00020001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1247" w:type="dxa"/>
            <w:vMerge w:val="continue"/>
            <w:shd w:val="clear" w:color="auto" w:fill="auto"/>
            <w:vAlign w:val="center"/>
          </w:tcPr>
          <w:p>
            <w:pPr>
              <w:widowControl/>
              <w:snapToGrid w:val="0"/>
              <w:jc w:val="center"/>
              <w:rPr>
                <w:rFonts w:eastAsia="仿宋_GB2312"/>
                <w:sz w:val="20"/>
                <w:szCs w:val="21"/>
              </w:rPr>
            </w:pPr>
          </w:p>
        </w:tc>
        <w:tc>
          <w:tcPr>
            <w:tcW w:w="2151" w:type="dxa"/>
            <w:shd w:val="clear" w:color="auto" w:fill="auto"/>
            <w:vAlign w:val="center"/>
          </w:tcPr>
          <w:p>
            <w:pPr>
              <w:widowControl/>
              <w:snapToGrid w:val="0"/>
              <w:jc w:val="center"/>
              <w:rPr>
                <w:rFonts w:eastAsia="仿宋_GB2312"/>
                <w:szCs w:val="21"/>
              </w:rPr>
            </w:pPr>
            <w:r>
              <w:rPr>
                <w:rFonts w:hint="eastAsia" w:eastAsia="仿宋_GB2312"/>
                <w:szCs w:val="21"/>
              </w:rPr>
              <w:t>使用权类型</w:t>
            </w:r>
          </w:p>
        </w:tc>
        <w:tc>
          <w:tcPr>
            <w:tcW w:w="1527" w:type="dxa"/>
            <w:shd w:val="clear" w:color="auto" w:fill="auto"/>
            <w:vAlign w:val="center"/>
          </w:tcPr>
          <w:p>
            <w:pPr>
              <w:widowControl/>
              <w:snapToGrid w:val="0"/>
              <w:jc w:val="center"/>
              <w:rPr>
                <w:rFonts w:eastAsia="仿宋_GB2312"/>
                <w:sz w:val="20"/>
                <w:szCs w:val="21"/>
              </w:rPr>
            </w:pPr>
            <w:r>
              <w:rPr>
                <w:rFonts w:hint="eastAsia" w:eastAsia="仿宋_GB2312"/>
                <w:szCs w:val="21"/>
              </w:rPr>
              <w:t>出让</w:t>
            </w:r>
          </w:p>
        </w:tc>
        <w:tc>
          <w:tcPr>
            <w:tcW w:w="2056" w:type="dxa"/>
            <w:shd w:val="clear" w:color="auto" w:fill="auto"/>
            <w:vAlign w:val="center"/>
          </w:tcPr>
          <w:p>
            <w:pPr>
              <w:widowControl/>
              <w:snapToGrid w:val="0"/>
              <w:jc w:val="center"/>
              <w:rPr>
                <w:rFonts w:eastAsia="仿宋_GB2312"/>
                <w:sz w:val="20"/>
                <w:szCs w:val="21"/>
              </w:rPr>
            </w:pPr>
            <w:r>
              <w:rPr>
                <w:rFonts w:eastAsia="仿宋_GB2312"/>
                <w:szCs w:val="21"/>
              </w:rPr>
              <w:t>宗地</w:t>
            </w:r>
            <w:r>
              <w:rPr>
                <w:rFonts w:hint="eastAsia" w:eastAsia="仿宋_GB2312"/>
                <w:szCs w:val="21"/>
              </w:rPr>
              <w:t>分摊</w:t>
            </w:r>
            <w:r>
              <w:rPr>
                <w:rFonts w:eastAsia="仿宋_GB2312"/>
                <w:szCs w:val="21"/>
              </w:rPr>
              <w:t>面积（m²）</w:t>
            </w:r>
          </w:p>
        </w:tc>
        <w:tc>
          <w:tcPr>
            <w:tcW w:w="2158" w:type="dxa"/>
            <w:shd w:val="clear" w:color="auto" w:fill="auto"/>
            <w:vAlign w:val="center"/>
          </w:tcPr>
          <w:p>
            <w:pPr>
              <w:widowControl/>
              <w:snapToGrid w:val="0"/>
              <w:jc w:val="center"/>
              <w:rPr>
                <w:rFonts w:eastAsia="仿宋_GB2312"/>
                <w:sz w:val="20"/>
                <w:szCs w:val="21"/>
              </w:rPr>
            </w:pPr>
            <w:r>
              <w:rPr>
                <w:rFonts w:hint="eastAsia" w:eastAsia="仿宋_GB2312"/>
                <w:szCs w:val="21"/>
              </w:rPr>
              <w:t>20.89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1247" w:type="dxa"/>
            <w:vMerge w:val="continue"/>
            <w:vAlign w:val="center"/>
          </w:tcPr>
          <w:p>
            <w:pPr>
              <w:widowControl/>
              <w:snapToGrid w:val="0"/>
              <w:jc w:val="left"/>
              <w:rPr>
                <w:rFonts w:eastAsia="仿宋_GB2312"/>
                <w:sz w:val="20"/>
                <w:szCs w:val="21"/>
              </w:rPr>
            </w:pPr>
          </w:p>
        </w:tc>
        <w:tc>
          <w:tcPr>
            <w:tcW w:w="2151" w:type="dxa"/>
            <w:shd w:val="clear" w:color="auto" w:fill="auto"/>
            <w:vAlign w:val="center"/>
          </w:tcPr>
          <w:p>
            <w:pPr>
              <w:widowControl/>
              <w:snapToGrid w:val="0"/>
              <w:jc w:val="center"/>
              <w:rPr>
                <w:rFonts w:eastAsia="仿宋_GB2312"/>
                <w:szCs w:val="21"/>
              </w:rPr>
            </w:pPr>
            <w:r>
              <w:rPr>
                <w:rFonts w:hint="eastAsia" w:eastAsia="仿宋_GB2312"/>
                <w:szCs w:val="21"/>
              </w:rPr>
              <w:t>地类(用途）</w:t>
            </w:r>
          </w:p>
        </w:tc>
        <w:tc>
          <w:tcPr>
            <w:tcW w:w="1527" w:type="dxa"/>
            <w:shd w:val="clear" w:color="auto" w:fill="auto"/>
            <w:vAlign w:val="center"/>
          </w:tcPr>
          <w:p>
            <w:pPr>
              <w:widowControl/>
              <w:snapToGrid w:val="0"/>
              <w:jc w:val="center"/>
              <w:rPr>
                <w:rFonts w:eastAsia="仿宋_GB2312"/>
                <w:sz w:val="20"/>
                <w:szCs w:val="21"/>
              </w:rPr>
            </w:pPr>
            <w:r>
              <w:rPr>
                <w:rFonts w:hint="eastAsia" w:eastAsia="仿宋_GB2312"/>
                <w:szCs w:val="21"/>
              </w:rPr>
              <w:t>住宅用地</w:t>
            </w:r>
          </w:p>
        </w:tc>
        <w:tc>
          <w:tcPr>
            <w:tcW w:w="2056" w:type="dxa"/>
            <w:shd w:val="clear" w:color="auto" w:fill="auto"/>
            <w:vAlign w:val="center"/>
          </w:tcPr>
          <w:p>
            <w:pPr>
              <w:widowControl/>
              <w:snapToGrid w:val="0"/>
              <w:jc w:val="center"/>
              <w:rPr>
                <w:rFonts w:eastAsia="仿宋_GB2312"/>
                <w:sz w:val="20"/>
                <w:szCs w:val="21"/>
              </w:rPr>
            </w:pPr>
            <w:r>
              <w:rPr>
                <w:rFonts w:hint="eastAsia" w:eastAsia="仿宋_GB2312"/>
                <w:szCs w:val="21"/>
              </w:rPr>
              <w:t>土地终止日期</w:t>
            </w:r>
          </w:p>
        </w:tc>
        <w:tc>
          <w:tcPr>
            <w:tcW w:w="2158" w:type="dxa"/>
            <w:shd w:val="clear" w:color="auto" w:fill="auto"/>
            <w:vAlign w:val="center"/>
          </w:tcPr>
          <w:p>
            <w:pPr>
              <w:widowControl/>
              <w:snapToGrid w:val="0"/>
              <w:jc w:val="center"/>
              <w:rPr>
                <w:rFonts w:eastAsia="仿宋_GB2312"/>
                <w:sz w:val="20"/>
                <w:szCs w:val="21"/>
              </w:rPr>
            </w:pPr>
            <w:r>
              <w:rPr>
                <w:rFonts w:hint="eastAsia" w:eastAsia="仿宋_GB2312"/>
                <w:szCs w:val="21"/>
              </w:rPr>
              <w:t>2077年3月29日止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1247" w:type="dxa"/>
            <w:vAlign w:val="center"/>
          </w:tcPr>
          <w:p>
            <w:pPr>
              <w:widowControl/>
              <w:snapToGrid w:val="0"/>
              <w:jc w:val="center"/>
              <w:rPr>
                <w:rFonts w:eastAsia="仿宋_GB2312"/>
                <w:sz w:val="20"/>
                <w:szCs w:val="21"/>
              </w:rPr>
            </w:pPr>
            <w:r>
              <w:rPr>
                <w:rFonts w:eastAsia="仿宋_GB2312"/>
                <w:szCs w:val="21"/>
              </w:rPr>
              <w:t>附记</w:t>
            </w:r>
          </w:p>
        </w:tc>
        <w:tc>
          <w:tcPr>
            <w:tcW w:w="7892" w:type="dxa"/>
            <w:gridSpan w:val="4"/>
            <w:shd w:val="clear" w:color="auto" w:fill="auto"/>
            <w:vAlign w:val="center"/>
          </w:tcPr>
          <w:p>
            <w:pPr>
              <w:widowControl/>
              <w:snapToGrid w:val="0"/>
              <w:jc w:val="center"/>
              <w:rPr>
                <w:rFonts w:eastAsia="仿宋_GB2312"/>
                <w:sz w:val="20"/>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1247" w:type="dxa"/>
            <w:vMerge w:val="restart"/>
            <w:shd w:val="clear" w:color="auto" w:fill="auto"/>
            <w:vAlign w:val="center"/>
          </w:tcPr>
          <w:p>
            <w:pPr>
              <w:widowControl/>
              <w:snapToGrid w:val="0"/>
              <w:jc w:val="center"/>
              <w:rPr>
                <w:rFonts w:eastAsia="仿宋_GB2312"/>
                <w:sz w:val="20"/>
                <w:szCs w:val="21"/>
              </w:rPr>
            </w:pPr>
            <w:r>
              <w:rPr>
                <w:rFonts w:eastAsia="仿宋_GB2312"/>
                <w:szCs w:val="21"/>
              </w:rPr>
              <w:t>他项权利情况</w:t>
            </w:r>
          </w:p>
        </w:tc>
        <w:tc>
          <w:tcPr>
            <w:tcW w:w="2151" w:type="dxa"/>
            <w:shd w:val="clear" w:color="auto" w:fill="auto"/>
            <w:vAlign w:val="center"/>
          </w:tcPr>
          <w:p>
            <w:pPr>
              <w:widowControl/>
              <w:snapToGrid w:val="0"/>
              <w:jc w:val="center"/>
              <w:rPr>
                <w:rFonts w:eastAsia="仿宋_GB2312"/>
                <w:sz w:val="20"/>
                <w:szCs w:val="21"/>
              </w:rPr>
            </w:pPr>
            <w:r>
              <w:rPr>
                <w:rFonts w:eastAsia="仿宋_GB2312"/>
                <w:szCs w:val="21"/>
              </w:rPr>
              <w:t>担保物权设立情况</w:t>
            </w:r>
          </w:p>
        </w:tc>
        <w:tc>
          <w:tcPr>
            <w:tcW w:w="5741" w:type="dxa"/>
            <w:gridSpan w:val="3"/>
            <w:shd w:val="clear" w:color="auto" w:fill="auto"/>
            <w:vAlign w:val="center"/>
          </w:tcPr>
          <w:p>
            <w:pPr>
              <w:widowControl/>
              <w:snapToGrid w:val="0"/>
              <w:rPr>
                <w:rFonts w:eastAsia="仿宋_GB2312"/>
                <w:sz w:val="20"/>
                <w:szCs w:val="21"/>
              </w:rPr>
            </w:pPr>
            <w:r>
              <w:rPr>
                <w:rFonts w:hint="eastAsia" w:eastAsia="仿宋_GB2312"/>
                <w:spacing w:val="-4"/>
                <w:szCs w:val="21"/>
              </w:rPr>
              <w:t>至价值时点，估价对象已抵押登记，根据《房地产估价规范》在房地产拍卖、变卖估价过程中，其评估价值影响因素不包括拍卖房地产被查封及拍卖房地产上原有的担保物权和其他优先受偿权。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1247" w:type="dxa"/>
            <w:vMerge w:val="continue"/>
            <w:vAlign w:val="center"/>
          </w:tcPr>
          <w:p>
            <w:pPr>
              <w:widowControl/>
              <w:snapToGrid w:val="0"/>
              <w:jc w:val="left"/>
              <w:rPr>
                <w:rFonts w:eastAsia="仿宋_GB2312"/>
                <w:sz w:val="20"/>
                <w:szCs w:val="21"/>
              </w:rPr>
            </w:pPr>
          </w:p>
        </w:tc>
        <w:tc>
          <w:tcPr>
            <w:tcW w:w="2151" w:type="dxa"/>
            <w:shd w:val="clear" w:color="auto" w:fill="auto"/>
            <w:vAlign w:val="center"/>
          </w:tcPr>
          <w:p>
            <w:pPr>
              <w:widowControl/>
              <w:snapToGrid w:val="0"/>
              <w:jc w:val="center"/>
              <w:rPr>
                <w:rFonts w:eastAsia="仿宋_GB2312"/>
                <w:sz w:val="20"/>
                <w:szCs w:val="21"/>
              </w:rPr>
            </w:pPr>
            <w:r>
              <w:rPr>
                <w:rFonts w:eastAsia="仿宋_GB2312"/>
                <w:szCs w:val="21"/>
              </w:rPr>
              <w:t>租赁或占用情况</w:t>
            </w:r>
          </w:p>
        </w:tc>
        <w:tc>
          <w:tcPr>
            <w:tcW w:w="5741" w:type="dxa"/>
            <w:gridSpan w:val="3"/>
            <w:shd w:val="clear" w:color="auto" w:fill="auto"/>
            <w:vAlign w:val="center"/>
          </w:tcPr>
          <w:p>
            <w:pPr>
              <w:widowControl/>
              <w:snapToGrid w:val="0"/>
              <w:rPr>
                <w:rFonts w:eastAsia="仿宋_GB2312"/>
                <w:sz w:val="20"/>
                <w:szCs w:val="21"/>
              </w:rPr>
            </w:pPr>
            <w:r>
              <w:rPr>
                <w:rFonts w:eastAsia="仿宋_GB2312"/>
                <w:szCs w:val="21"/>
              </w:rPr>
              <w:t>至价值时点，</w:t>
            </w:r>
            <w:r>
              <w:rPr>
                <w:rFonts w:hint="eastAsia" w:eastAsia="仿宋_GB2312"/>
                <w:szCs w:val="21"/>
              </w:rPr>
              <w:t>估价对象处于使用状态</w:t>
            </w: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1247" w:type="dxa"/>
            <w:vMerge w:val="continue"/>
            <w:vAlign w:val="center"/>
          </w:tcPr>
          <w:p>
            <w:pPr>
              <w:widowControl/>
              <w:snapToGrid w:val="0"/>
              <w:jc w:val="left"/>
              <w:rPr>
                <w:rFonts w:eastAsia="仿宋_GB2312"/>
                <w:sz w:val="20"/>
                <w:szCs w:val="21"/>
              </w:rPr>
            </w:pPr>
          </w:p>
        </w:tc>
        <w:tc>
          <w:tcPr>
            <w:tcW w:w="2151" w:type="dxa"/>
            <w:shd w:val="clear" w:color="auto" w:fill="auto"/>
            <w:vAlign w:val="center"/>
          </w:tcPr>
          <w:p>
            <w:pPr>
              <w:widowControl/>
              <w:snapToGrid w:val="0"/>
              <w:jc w:val="center"/>
              <w:rPr>
                <w:rFonts w:eastAsia="仿宋_GB2312"/>
                <w:sz w:val="20"/>
                <w:szCs w:val="21"/>
              </w:rPr>
            </w:pPr>
            <w:r>
              <w:rPr>
                <w:rFonts w:eastAsia="仿宋_GB2312"/>
                <w:szCs w:val="21"/>
              </w:rPr>
              <w:t>法定优先受偿款情况</w:t>
            </w:r>
          </w:p>
        </w:tc>
        <w:tc>
          <w:tcPr>
            <w:tcW w:w="5741" w:type="dxa"/>
            <w:gridSpan w:val="3"/>
            <w:shd w:val="clear" w:color="auto" w:fill="auto"/>
            <w:vAlign w:val="center"/>
          </w:tcPr>
          <w:p>
            <w:pPr>
              <w:widowControl/>
              <w:snapToGrid w:val="0"/>
              <w:rPr>
                <w:rFonts w:eastAsia="仿宋_GB2312"/>
                <w:sz w:val="20"/>
                <w:szCs w:val="21"/>
              </w:rPr>
            </w:pPr>
            <w:r>
              <w:rPr>
                <w:rFonts w:hint="eastAsia" w:eastAsia="仿宋_GB2312"/>
                <w:szCs w:val="21"/>
              </w:rPr>
              <w:t>至价值时点，估价对象已设定抵押登记，根据《房地产估价规范》，在房地产拍卖、变卖估价过程中，其评估价值影响因素不包括拍卖房地产被查封及拍卖房地产上原有的担保物权和其他优先受偿权，因此本次估价未考虑法定优先受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3" w:hRule="atLeast"/>
          <w:jc w:val="center"/>
        </w:trPr>
        <w:tc>
          <w:tcPr>
            <w:tcW w:w="1247" w:type="dxa"/>
            <w:vMerge w:val="continue"/>
            <w:vAlign w:val="center"/>
          </w:tcPr>
          <w:p>
            <w:pPr>
              <w:widowControl/>
              <w:snapToGrid w:val="0"/>
              <w:jc w:val="left"/>
              <w:rPr>
                <w:rFonts w:eastAsia="仿宋_GB2312"/>
                <w:sz w:val="20"/>
                <w:szCs w:val="21"/>
              </w:rPr>
            </w:pPr>
          </w:p>
        </w:tc>
        <w:tc>
          <w:tcPr>
            <w:tcW w:w="2151" w:type="dxa"/>
            <w:shd w:val="clear" w:color="auto" w:fill="auto"/>
            <w:vAlign w:val="center"/>
          </w:tcPr>
          <w:p>
            <w:pPr>
              <w:widowControl/>
              <w:snapToGrid w:val="0"/>
              <w:jc w:val="center"/>
              <w:rPr>
                <w:rFonts w:eastAsia="仿宋_GB2312"/>
                <w:sz w:val="20"/>
                <w:szCs w:val="21"/>
              </w:rPr>
            </w:pPr>
            <w:r>
              <w:rPr>
                <w:rFonts w:eastAsia="仿宋_GB2312"/>
                <w:szCs w:val="21"/>
              </w:rPr>
              <w:t>其他权利情况</w:t>
            </w:r>
          </w:p>
        </w:tc>
        <w:tc>
          <w:tcPr>
            <w:tcW w:w="5741" w:type="dxa"/>
            <w:gridSpan w:val="3"/>
            <w:shd w:val="clear" w:color="auto" w:fill="auto"/>
            <w:vAlign w:val="center"/>
          </w:tcPr>
          <w:p>
            <w:pPr>
              <w:widowControl/>
              <w:snapToGrid w:val="0"/>
              <w:jc w:val="left"/>
              <w:rPr>
                <w:rFonts w:eastAsia="仿宋_GB2312"/>
                <w:sz w:val="20"/>
                <w:szCs w:val="21"/>
              </w:rPr>
            </w:pPr>
            <w:r>
              <w:rPr>
                <w:rFonts w:eastAsia="仿宋_GB2312"/>
                <w:szCs w:val="21"/>
              </w:rPr>
              <w:t>1</w:t>
            </w:r>
            <w:r>
              <w:rPr>
                <w:rFonts w:hint="eastAsia" w:eastAsia="仿宋_GB2312"/>
                <w:szCs w:val="21"/>
              </w:rPr>
              <w:t>、根据估价委托人提供的资料及估价人员查询，估价对象属于查封房地产。</w:t>
            </w:r>
          </w:p>
          <w:p>
            <w:pPr>
              <w:widowControl/>
              <w:snapToGrid w:val="0"/>
              <w:jc w:val="left"/>
              <w:rPr>
                <w:rFonts w:eastAsia="仿宋_GB2312"/>
                <w:szCs w:val="21"/>
              </w:rPr>
            </w:pPr>
            <w:r>
              <w:rPr>
                <w:rFonts w:eastAsia="仿宋_GB2312"/>
                <w:szCs w:val="21"/>
              </w:rPr>
              <w:t>2</w:t>
            </w:r>
            <w:r>
              <w:rPr>
                <w:rFonts w:hint="eastAsia" w:eastAsia="仿宋_GB2312"/>
                <w:szCs w:val="21"/>
              </w:rPr>
              <w:t>、产权明晰，产权证件齐全，未知悉估价对象所有权不明确或者归属有争议。</w:t>
            </w:r>
          </w:p>
          <w:p>
            <w:pPr>
              <w:widowControl/>
              <w:snapToGrid w:val="0"/>
              <w:jc w:val="left"/>
              <w:rPr>
                <w:rFonts w:eastAsia="仿宋_GB2312"/>
                <w:sz w:val="20"/>
                <w:szCs w:val="21"/>
              </w:rPr>
            </w:pPr>
            <w:r>
              <w:rPr>
                <w:rFonts w:hint="eastAsia" w:eastAsia="仿宋_GB2312"/>
                <w:szCs w:val="21"/>
              </w:rPr>
              <w:t>3、根据中华人民共和国国家标准《房地产估价规范》（GB/T 50291—2015），在房地产拍卖、变卖估价过程中，其评估价值影响因素不包括拍卖房地产被查封及拍卖房地产上原有的担保物权和其他优先受偿权。因此本次估价对象于估价时点不考虑被查封情况。</w:t>
            </w:r>
          </w:p>
        </w:tc>
      </w:tr>
    </w:tbl>
    <w:p>
      <w:pPr>
        <w:snapToGrid w:val="0"/>
        <w:spacing w:before="360" w:line="360" w:lineRule="auto"/>
        <w:ind w:firstLine="562" w:firstLineChars="200"/>
        <w:rPr>
          <w:rFonts w:eastAsia="仿宋_GB2312"/>
          <w:b/>
          <w:sz w:val="28"/>
          <w:szCs w:val="28"/>
        </w:rPr>
      </w:pPr>
      <w:r>
        <w:rPr>
          <w:rFonts w:eastAsia="仿宋_GB2312"/>
          <w:b/>
          <w:sz w:val="28"/>
          <w:szCs w:val="28"/>
        </w:rPr>
        <w:t>6、估价对象区位状况</w:t>
      </w:r>
    </w:p>
    <w:p>
      <w:pPr>
        <w:snapToGrid w:val="0"/>
        <w:spacing w:line="360" w:lineRule="auto"/>
        <w:ind w:firstLine="560" w:firstLineChars="200"/>
        <w:rPr>
          <w:rFonts w:eastAsia="仿宋_GB2312"/>
          <w:sz w:val="28"/>
          <w:szCs w:val="28"/>
        </w:rPr>
      </w:pPr>
      <w:r>
        <w:rPr>
          <w:rFonts w:eastAsia="仿宋_GB2312"/>
          <w:sz w:val="28"/>
          <w:szCs w:val="28"/>
        </w:rPr>
        <w:t>（1）位置状况</w:t>
      </w:r>
    </w:p>
    <w:p>
      <w:pPr>
        <w:snapToGrid w:val="0"/>
        <w:spacing w:line="360" w:lineRule="auto"/>
        <w:ind w:firstLine="560" w:firstLineChars="200"/>
        <w:rPr>
          <w:rFonts w:eastAsia="仿宋_GB2312"/>
          <w:sz w:val="28"/>
          <w:szCs w:val="28"/>
        </w:rPr>
      </w:pPr>
      <w:r>
        <w:rPr>
          <w:rFonts w:hint="eastAsia" w:ascii="宋体" w:hAnsi="宋体" w:cs="宋体"/>
          <w:sz w:val="28"/>
          <w:szCs w:val="28"/>
        </w:rPr>
        <w:t>①</w:t>
      </w:r>
      <w:r>
        <w:rPr>
          <w:rFonts w:eastAsia="仿宋_GB2312"/>
          <w:sz w:val="28"/>
          <w:szCs w:val="28"/>
        </w:rPr>
        <w:t>坐落：</w:t>
      </w:r>
      <w:r>
        <w:rPr>
          <w:rFonts w:hint="eastAsia" w:eastAsia="仿宋_GB2312"/>
          <w:sz w:val="28"/>
          <w:szCs w:val="28"/>
        </w:rPr>
        <w:t>永胜县永北镇华程小区2幢1单元101室</w:t>
      </w:r>
      <w:r>
        <w:rPr>
          <w:rFonts w:eastAsia="仿宋_GB2312"/>
          <w:sz w:val="28"/>
          <w:szCs w:val="28"/>
        </w:rPr>
        <w:t>。</w:t>
      </w:r>
    </w:p>
    <w:p>
      <w:pPr>
        <w:snapToGrid w:val="0"/>
        <w:spacing w:line="360" w:lineRule="auto"/>
        <w:ind w:firstLine="560" w:firstLineChars="200"/>
        <w:rPr>
          <w:rFonts w:eastAsia="仿宋_GB2312"/>
          <w:sz w:val="28"/>
          <w:szCs w:val="28"/>
        </w:rPr>
      </w:pPr>
      <w:r>
        <w:rPr>
          <w:rFonts w:hint="eastAsia" w:ascii="宋体" w:hAnsi="宋体" w:cs="宋体"/>
          <w:sz w:val="28"/>
          <w:szCs w:val="28"/>
        </w:rPr>
        <w:t>②</w:t>
      </w:r>
      <w:r>
        <w:rPr>
          <w:rFonts w:eastAsia="仿宋_GB2312"/>
          <w:sz w:val="28"/>
          <w:szCs w:val="28"/>
        </w:rPr>
        <w:t>区域功能定位：估价对象所在区域</w:t>
      </w:r>
      <w:r>
        <w:rPr>
          <w:rFonts w:hint="eastAsia" w:eastAsia="仿宋_GB2312"/>
          <w:sz w:val="28"/>
          <w:szCs w:val="28"/>
        </w:rPr>
        <w:t>为中档</w:t>
      </w:r>
      <w:r>
        <w:rPr>
          <w:rFonts w:eastAsia="仿宋_GB2312"/>
          <w:sz w:val="28"/>
          <w:szCs w:val="28"/>
        </w:rPr>
        <w:t>商品</w:t>
      </w:r>
      <w:r>
        <w:rPr>
          <w:rFonts w:hint="eastAsia" w:eastAsia="仿宋_GB2312"/>
          <w:sz w:val="28"/>
          <w:szCs w:val="28"/>
        </w:rPr>
        <w:t>住宅区</w:t>
      </w:r>
      <w:r>
        <w:rPr>
          <w:rFonts w:eastAsia="仿宋_GB2312"/>
          <w:sz w:val="28"/>
          <w:szCs w:val="28"/>
        </w:rPr>
        <w:t>。</w:t>
      </w:r>
    </w:p>
    <w:p>
      <w:pPr>
        <w:snapToGrid w:val="0"/>
        <w:spacing w:line="360" w:lineRule="auto"/>
        <w:ind w:firstLine="560" w:firstLineChars="200"/>
        <w:rPr>
          <w:rFonts w:eastAsia="仿宋_GB2312"/>
          <w:sz w:val="28"/>
          <w:szCs w:val="28"/>
        </w:rPr>
      </w:pPr>
      <w:r>
        <w:rPr>
          <w:rFonts w:hint="eastAsia" w:ascii="宋体" w:hAnsi="宋体" w:cs="宋体"/>
          <w:sz w:val="28"/>
          <w:szCs w:val="28"/>
        </w:rPr>
        <w:t>③</w:t>
      </w:r>
      <w:r>
        <w:rPr>
          <w:rFonts w:eastAsia="仿宋_GB2312"/>
          <w:sz w:val="28"/>
          <w:szCs w:val="28"/>
        </w:rPr>
        <w:t>四至：</w:t>
      </w:r>
      <w:r>
        <w:rPr>
          <w:rFonts w:hint="eastAsia" w:eastAsia="仿宋_GB2312"/>
          <w:sz w:val="28"/>
          <w:szCs w:val="28"/>
        </w:rPr>
        <w:t>估价对象东至其他用地，西至凤鸣路，南至无名道路，北至凤凰花园</w:t>
      </w:r>
      <w:r>
        <w:rPr>
          <w:rFonts w:eastAsia="仿宋_GB2312"/>
          <w:sz w:val="28"/>
          <w:szCs w:val="28"/>
        </w:rPr>
        <w:t>。</w:t>
      </w:r>
    </w:p>
    <w:p>
      <w:pPr>
        <w:snapToGrid w:val="0"/>
        <w:spacing w:line="360" w:lineRule="auto"/>
        <w:ind w:firstLine="560" w:firstLineChars="200"/>
        <w:rPr>
          <w:rFonts w:eastAsia="仿宋_GB2312"/>
          <w:sz w:val="28"/>
          <w:szCs w:val="28"/>
        </w:rPr>
      </w:pPr>
      <w:r>
        <w:rPr>
          <w:rFonts w:hint="eastAsia" w:ascii="宋体" w:hAnsi="宋体" w:cs="宋体"/>
          <w:sz w:val="28"/>
          <w:szCs w:val="28"/>
        </w:rPr>
        <w:t>④</w:t>
      </w:r>
      <w:r>
        <w:rPr>
          <w:rFonts w:eastAsia="仿宋_GB2312"/>
          <w:sz w:val="28"/>
          <w:szCs w:val="28"/>
        </w:rPr>
        <w:t>与重要场所的距离：</w:t>
      </w:r>
      <w:r>
        <w:rPr>
          <w:rFonts w:hint="eastAsia" w:eastAsia="仿宋_GB2312"/>
          <w:sz w:val="28"/>
          <w:szCs w:val="28"/>
        </w:rPr>
        <w:t>距离民主广场1.3公里；距离永胜县人民政府1.4公里；距离永胜县人民医院0.4公里，距离永北客运站1.2公里</w:t>
      </w:r>
      <w:r>
        <w:rPr>
          <w:rFonts w:eastAsia="仿宋_GB2312"/>
          <w:sz w:val="28"/>
          <w:szCs w:val="28"/>
        </w:rPr>
        <w:t>。</w:t>
      </w:r>
    </w:p>
    <w:p>
      <w:pPr>
        <w:snapToGrid w:val="0"/>
        <w:spacing w:line="360" w:lineRule="auto"/>
        <w:ind w:firstLine="560" w:firstLineChars="200"/>
        <w:rPr>
          <w:rFonts w:eastAsia="仿宋_GB2312"/>
          <w:sz w:val="28"/>
          <w:szCs w:val="28"/>
        </w:rPr>
      </w:pPr>
      <w:r>
        <w:rPr>
          <w:rFonts w:hint="eastAsia" w:ascii="宋体" w:hAnsi="宋体" w:cs="宋体"/>
          <w:sz w:val="28"/>
          <w:szCs w:val="28"/>
        </w:rPr>
        <w:t>⑤</w:t>
      </w:r>
      <w:r>
        <w:rPr>
          <w:rFonts w:eastAsia="仿宋_GB2312"/>
          <w:sz w:val="28"/>
          <w:szCs w:val="28"/>
        </w:rPr>
        <w:t>临街（路）状况：估价对象小区</w:t>
      </w:r>
      <w:r>
        <w:rPr>
          <w:rFonts w:hint="eastAsia" w:eastAsia="仿宋_GB2312"/>
          <w:sz w:val="28"/>
          <w:szCs w:val="28"/>
        </w:rPr>
        <w:t>临凤鸣路。</w:t>
      </w:r>
    </w:p>
    <w:p>
      <w:pPr>
        <w:snapToGrid w:val="0"/>
        <w:spacing w:line="360" w:lineRule="auto"/>
        <w:ind w:firstLine="560" w:firstLineChars="200"/>
        <w:rPr>
          <w:rFonts w:eastAsia="仿宋_GB2312"/>
          <w:sz w:val="28"/>
          <w:szCs w:val="28"/>
        </w:rPr>
      </w:pPr>
      <w:r>
        <w:rPr>
          <w:rFonts w:hint="eastAsia" w:ascii="宋体" w:hAnsi="宋体" w:cs="宋体"/>
          <w:sz w:val="28"/>
          <w:szCs w:val="28"/>
        </w:rPr>
        <w:t>⑥</w:t>
      </w:r>
      <w:r>
        <w:rPr>
          <w:rFonts w:eastAsia="仿宋_GB2312"/>
          <w:sz w:val="28"/>
          <w:szCs w:val="28"/>
        </w:rPr>
        <w:t>楼层：</w:t>
      </w:r>
      <w:r>
        <w:rPr>
          <w:rFonts w:hint="eastAsia" w:eastAsia="仿宋_GB2312"/>
          <w:sz w:val="28"/>
          <w:szCs w:val="28"/>
        </w:rPr>
        <w:t>建筑物</w:t>
      </w:r>
      <w:r>
        <w:rPr>
          <w:rFonts w:eastAsia="仿宋_GB2312"/>
          <w:sz w:val="28"/>
          <w:szCs w:val="28"/>
        </w:rPr>
        <w:t>总楼层为</w:t>
      </w:r>
      <w:r>
        <w:rPr>
          <w:rFonts w:hint="eastAsia" w:eastAsia="仿宋_GB2312"/>
          <w:sz w:val="28"/>
          <w:szCs w:val="28"/>
        </w:rPr>
        <w:t>5层</w:t>
      </w:r>
      <w:r>
        <w:rPr>
          <w:rFonts w:eastAsia="仿宋_GB2312"/>
          <w:sz w:val="28"/>
          <w:szCs w:val="28"/>
        </w:rPr>
        <w:t>，估价对象所在楼层为</w:t>
      </w:r>
      <w:r>
        <w:rPr>
          <w:rFonts w:hint="eastAsia" w:eastAsia="仿宋_GB2312"/>
          <w:sz w:val="28"/>
          <w:szCs w:val="28"/>
        </w:rPr>
        <w:t>1</w:t>
      </w:r>
      <w:r>
        <w:rPr>
          <w:rFonts w:eastAsia="仿宋_GB2312"/>
          <w:sz w:val="28"/>
          <w:szCs w:val="28"/>
        </w:rPr>
        <w:t>层。</w:t>
      </w:r>
    </w:p>
    <w:p>
      <w:pPr>
        <w:snapToGrid w:val="0"/>
        <w:spacing w:line="360" w:lineRule="auto"/>
        <w:ind w:firstLine="560" w:firstLineChars="200"/>
        <w:rPr>
          <w:rFonts w:eastAsia="仿宋_GB2312"/>
          <w:sz w:val="28"/>
          <w:szCs w:val="28"/>
        </w:rPr>
      </w:pPr>
      <w:r>
        <w:rPr>
          <w:rFonts w:hint="eastAsia" w:ascii="宋体" w:hAnsi="宋体" w:cs="宋体"/>
          <w:sz w:val="28"/>
          <w:szCs w:val="28"/>
        </w:rPr>
        <w:t>⑦</w:t>
      </w:r>
      <w:r>
        <w:rPr>
          <w:rFonts w:eastAsia="仿宋_GB2312"/>
          <w:sz w:val="28"/>
          <w:szCs w:val="28"/>
        </w:rPr>
        <w:t>朝向：</w:t>
      </w:r>
      <w:r>
        <w:rPr>
          <w:rFonts w:hint="eastAsia" w:eastAsia="仿宋_GB2312"/>
          <w:sz w:val="28"/>
          <w:szCs w:val="28"/>
        </w:rPr>
        <w:t>南北向</w:t>
      </w:r>
      <w:r>
        <w:rPr>
          <w:rFonts w:eastAsia="仿宋_GB2312"/>
          <w:sz w:val="28"/>
          <w:szCs w:val="28"/>
        </w:rPr>
        <w:t>。</w:t>
      </w:r>
    </w:p>
    <w:p>
      <w:pPr>
        <w:snapToGrid w:val="0"/>
        <w:spacing w:line="360" w:lineRule="auto"/>
        <w:ind w:firstLine="560" w:firstLineChars="200"/>
        <w:rPr>
          <w:rFonts w:eastAsia="仿宋_GB2312"/>
          <w:sz w:val="28"/>
          <w:szCs w:val="28"/>
        </w:rPr>
      </w:pPr>
      <w:r>
        <w:rPr>
          <w:rFonts w:hint="eastAsia" w:eastAsia="仿宋_GB2312"/>
          <w:sz w:val="28"/>
          <w:szCs w:val="28"/>
        </w:rPr>
        <w:t>⑧楼栋位置：</w:t>
      </w:r>
      <w:bookmarkStart w:id="34" w:name="_Hlk57645996"/>
      <w:r>
        <w:rPr>
          <w:rFonts w:hint="eastAsia" w:eastAsia="仿宋_GB2312"/>
          <w:sz w:val="28"/>
          <w:szCs w:val="28"/>
        </w:rPr>
        <w:t>估价对象位于小区西南侧，楼栋位置</w:t>
      </w:r>
      <w:bookmarkEnd w:id="34"/>
      <w:r>
        <w:rPr>
          <w:rFonts w:hint="eastAsia" w:eastAsia="仿宋_GB2312"/>
          <w:sz w:val="28"/>
          <w:szCs w:val="28"/>
        </w:rPr>
        <w:t>一般。</w:t>
      </w:r>
    </w:p>
    <w:p>
      <w:pPr>
        <w:snapToGrid w:val="0"/>
        <w:spacing w:line="360" w:lineRule="auto"/>
        <w:ind w:firstLine="560" w:firstLineChars="200"/>
        <w:rPr>
          <w:rFonts w:eastAsia="仿宋_GB2312"/>
          <w:sz w:val="28"/>
          <w:szCs w:val="28"/>
        </w:rPr>
      </w:pPr>
      <w:r>
        <w:rPr>
          <w:rFonts w:eastAsia="仿宋_GB2312"/>
          <w:sz w:val="28"/>
          <w:szCs w:val="28"/>
        </w:rPr>
        <w:t>（2）交通情况</w:t>
      </w:r>
    </w:p>
    <w:p>
      <w:pPr>
        <w:snapToGrid w:val="0"/>
        <w:spacing w:line="360" w:lineRule="auto"/>
        <w:ind w:firstLine="560" w:firstLineChars="200"/>
        <w:rPr>
          <w:rFonts w:eastAsia="仿宋_GB2312"/>
          <w:sz w:val="28"/>
          <w:szCs w:val="28"/>
        </w:rPr>
      </w:pPr>
      <w:r>
        <w:rPr>
          <w:rFonts w:hint="eastAsia" w:ascii="宋体" w:hAnsi="宋体" w:cs="宋体"/>
          <w:sz w:val="28"/>
          <w:szCs w:val="28"/>
        </w:rPr>
        <w:t>①</w:t>
      </w:r>
      <w:r>
        <w:rPr>
          <w:rFonts w:eastAsia="仿宋_GB2312"/>
          <w:sz w:val="28"/>
          <w:szCs w:val="28"/>
        </w:rPr>
        <w:t>道路状况：估价对象所在区域</w:t>
      </w:r>
      <w:r>
        <w:rPr>
          <w:rFonts w:hint="eastAsia" w:eastAsia="仿宋_GB2312"/>
          <w:sz w:val="28"/>
          <w:szCs w:val="28"/>
        </w:rPr>
        <w:t>路面硬化，</w:t>
      </w:r>
      <w:r>
        <w:rPr>
          <w:rFonts w:eastAsia="仿宋_GB2312"/>
          <w:sz w:val="28"/>
          <w:szCs w:val="28"/>
        </w:rPr>
        <w:t>道路</w:t>
      </w:r>
      <w:r>
        <w:rPr>
          <w:rFonts w:hint="eastAsia" w:eastAsia="仿宋_GB2312"/>
          <w:sz w:val="28"/>
          <w:szCs w:val="28"/>
        </w:rPr>
        <w:t>通行良好</w:t>
      </w:r>
      <w:r>
        <w:rPr>
          <w:rFonts w:eastAsia="仿宋_GB2312"/>
          <w:sz w:val="28"/>
          <w:szCs w:val="28"/>
        </w:rPr>
        <w:t>，</w:t>
      </w:r>
      <w:r>
        <w:rPr>
          <w:rFonts w:hint="eastAsia" w:eastAsia="仿宋_GB2312"/>
          <w:sz w:val="28"/>
          <w:szCs w:val="28"/>
        </w:rPr>
        <w:t>通达度较好</w:t>
      </w:r>
      <w:r>
        <w:rPr>
          <w:rFonts w:eastAsia="仿宋_GB2312"/>
          <w:sz w:val="28"/>
          <w:szCs w:val="28"/>
        </w:rPr>
        <w:t>，</w:t>
      </w:r>
      <w:r>
        <w:rPr>
          <w:rFonts w:hint="eastAsia" w:eastAsia="仿宋_GB2312"/>
          <w:sz w:val="28"/>
          <w:szCs w:val="28"/>
        </w:rPr>
        <w:t>区域内</w:t>
      </w:r>
      <w:r>
        <w:rPr>
          <w:rFonts w:eastAsia="仿宋_GB2312"/>
          <w:sz w:val="28"/>
          <w:szCs w:val="28"/>
        </w:rPr>
        <w:t>车辆流量</w:t>
      </w:r>
      <w:r>
        <w:rPr>
          <w:rFonts w:hint="eastAsia" w:eastAsia="仿宋_GB2312"/>
          <w:sz w:val="28"/>
          <w:szCs w:val="28"/>
        </w:rPr>
        <w:t>较好</w:t>
      </w:r>
      <w:r>
        <w:rPr>
          <w:rFonts w:eastAsia="仿宋_GB2312"/>
          <w:sz w:val="28"/>
          <w:szCs w:val="28"/>
        </w:rPr>
        <w:t>。</w:t>
      </w:r>
    </w:p>
    <w:p>
      <w:pPr>
        <w:snapToGrid w:val="0"/>
        <w:spacing w:line="360" w:lineRule="auto"/>
        <w:ind w:firstLine="560" w:firstLineChars="200"/>
        <w:rPr>
          <w:rFonts w:eastAsia="仿宋_GB2312"/>
          <w:color w:val="FF0000"/>
          <w:sz w:val="28"/>
          <w:szCs w:val="28"/>
        </w:rPr>
      </w:pPr>
      <w:r>
        <w:rPr>
          <w:rFonts w:hint="eastAsia" w:ascii="宋体" w:hAnsi="宋体" w:cs="宋体"/>
          <w:sz w:val="28"/>
          <w:szCs w:val="28"/>
        </w:rPr>
        <w:t>②</w:t>
      </w:r>
      <w:r>
        <w:rPr>
          <w:rFonts w:eastAsia="仿宋_GB2312"/>
          <w:sz w:val="28"/>
          <w:szCs w:val="28"/>
        </w:rPr>
        <w:t>交通工具及设施：</w:t>
      </w:r>
      <w:r>
        <w:rPr>
          <w:rFonts w:hint="eastAsia" w:eastAsia="仿宋_GB2312"/>
          <w:sz w:val="28"/>
          <w:szCs w:val="28"/>
        </w:rPr>
        <w:t>附近公交车站有县医院公交站，公交车有9路</w:t>
      </w:r>
      <w:r>
        <w:rPr>
          <w:rFonts w:eastAsia="仿宋_GB2312"/>
          <w:sz w:val="28"/>
          <w:szCs w:val="28"/>
        </w:rPr>
        <w:t>公交车经过</w:t>
      </w:r>
      <w:r>
        <w:rPr>
          <w:rFonts w:hint="eastAsia" w:eastAsia="仿宋_GB2312"/>
          <w:sz w:val="28"/>
          <w:szCs w:val="28"/>
        </w:rPr>
        <w:t>，出行</w:t>
      </w:r>
      <w:r>
        <w:rPr>
          <w:rFonts w:eastAsia="仿宋_GB2312"/>
          <w:sz w:val="28"/>
          <w:szCs w:val="28"/>
        </w:rPr>
        <w:t>交通</w:t>
      </w:r>
      <w:r>
        <w:rPr>
          <w:rFonts w:hint="eastAsia" w:eastAsia="仿宋_GB2312"/>
          <w:sz w:val="28"/>
          <w:szCs w:val="28"/>
        </w:rPr>
        <w:t>便捷度一般</w:t>
      </w:r>
      <w:r>
        <w:rPr>
          <w:rFonts w:eastAsia="仿宋_GB2312"/>
          <w:sz w:val="28"/>
          <w:szCs w:val="28"/>
        </w:rPr>
        <w:t>。</w:t>
      </w:r>
    </w:p>
    <w:p>
      <w:pPr>
        <w:snapToGrid w:val="0"/>
        <w:spacing w:line="360" w:lineRule="auto"/>
        <w:ind w:firstLine="560" w:firstLineChars="200"/>
        <w:rPr>
          <w:rFonts w:eastAsia="仿宋_GB2312"/>
          <w:sz w:val="28"/>
          <w:szCs w:val="28"/>
        </w:rPr>
      </w:pPr>
      <w:r>
        <w:rPr>
          <w:rFonts w:hint="eastAsia" w:ascii="宋体" w:hAnsi="宋体" w:cs="宋体"/>
          <w:sz w:val="28"/>
          <w:szCs w:val="28"/>
        </w:rPr>
        <w:t>③</w:t>
      </w:r>
      <w:r>
        <w:rPr>
          <w:rFonts w:eastAsia="仿宋_GB2312"/>
          <w:sz w:val="28"/>
          <w:szCs w:val="28"/>
        </w:rPr>
        <w:t>交通管制情况：附近无交通管制。</w:t>
      </w:r>
    </w:p>
    <w:p>
      <w:pPr>
        <w:snapToGrid w:val="0"/>
        <w:spacing w:line="360" w:lineRule="auto"/>
        <w:ind w:firstLine="560" w:firstLineChars="200"/>
        <w:rPr>
          <w:rFonts w:eastAsia="仿宋_GB2312"/>
          <w:sz w:val="28"/>
          <w:szCs w:val="28"/>
        </w:rPr>
      </w:pPr>
      <w:r>
        <w:rPr>
          <w:rFonts w:hint="eastAsia" w:ascii="宋体" w:hAnsi="宋体" w:cs="宋体"/>
          <w:sz w:val="28"/>
          <w:szCs w:val="28"/>
        </w:rPr>
        <w:t>④</w:t>
      </w:r>
      <w:r>
        <w:rPr>
          <w:rFonts w:eastAsia="仿宋_GB2312"/>
          <w:sz w:val="28"/>
          <w:szCs w:val="28"/>
        </w:rPr>
        <w:t>停车方便程度：</w:t>
      </w:r>
      <w:r>
        <w:rPr>
          <w:rFonts w:hint="eastAsia" w:eastAsia="仿宋_GB2312"/>
          <w:sz w:val="28"/>
          <w:szCs w:val="28"/>
        </w:rPr>
        <w:t>建筑物配备的停车设施为地上停车位，</w:t>
      </w:r>
      <w:r>
        <w:rPr>
          <w:rFonts w:hint="eastAsia" w:eastAsia="仿宋_GB2312"/>
          <w:color w:val="000000"/>
          <w:sz w:val="28"/>
          <w:szCs w:val="28"/>
        </w:rPr>
        <w:t>停车较方便、停车位基本充足</w:t>
      </w:r>
      <w:r>
        <w:rPr>
          <w:rFonts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（3）外部配套设施状况</w:t>
      </w:r>
    </w:p>
    <w:p>
      <w:pPr>
        <w:snapToGrid w:val="0"/>
        <w:spacing w:line="360" w:lineRule="auto"/>
        <w:ind w:firstLine="560" w:firstLineChars="200"/>
        <w:rPr>
          <w:rFonts w:eastAsia="仿宋_GB2312"/>
          <w:sz w:val="28"/>
          <w:szCs w:val="28"/>
        </w:rPr>
      </w:pPr>
      <w:r>
        <w:rPr>
          <w:rFonts w:hint="eastAsia" w:ascii="宋体" w:hAnsi="宋体" w:cs="宋体"/>
          <w:sz w:val="28"/>
          <w:szCs w:val="28"/>
        </w:rPr>
        <w:t>①</w:t>
      </w:r>
      <w:r>
        <w:rPr>
          <w:rFonts w:eastAsia="仿宋_GB2312"/>
          <w:sz w:val="28"/>
          <w:szCs w:val="28"/>
        </w:rPr>
        <w:t>基础设施：宗地外基础设施达到</w:t>
      </w:r>
      <w:r>
        <w:rPr>
          <w:rFonts w:hint="eastAsia" w:eastAsia="仿宋_GB2312"/>
          <w:sz w:val="28"/>
          <w:szCs w:val="28"/>
        </w:rPr>
        <w:t>“五</w:t>
      </w:r>
      <w:r>
        <w:rPr>
          <w:rFonts w:eastAsia="仿宋_GB2312"/>
          <w:sz w:val="28"/>
          <w:szCs w:val="28"/>
        </w:rPr>
        <w:t>通</w:t>
      </w:r>
      <w:r>
        <w:rPr>
          <w:rFonts w:hint="eastAsia" w:eastAsia="仿宋_GB2312"/>
          <w:sz w:val="28"/>
          <w:szCs w:val="28"/>
        </w:rPr>
        <w:t>”</w:t>
      </w:r>
      <w:r>
        <w:rPr>
          <w:rFonts w:eastAsia="仿宋_GB2312"/>
          <w:sz w:val="28"/>
          <w:szCs w:val="28"/>
        </w:rPr>
        <w:t>（即通上水、通下水、通电、通路</w:t>
      </w:r>
      <w:r>
        <w:rPr>
          <w:rFonts w:hint="eastAsia" w:eastAsia="仿宋_GB2312"/>
          <w:sz w:val="28"/>
          <w:szCs w:val="28"/>
        </w:rPr>
        <w:t>及</w:t>
      </w:r>
      <w:r>
        <w:rPr>
          <w:rFonts w:eastAsia="仿宋_GB2312"/>
          <w:sz w:val="28"/>
          <w:szCs w:val="28"/>
        </w:rPr>
        <w:t>通讯）。</w:t>
      </w:r>
    </w:p>
    <w:p>
      <w:pPr>
        <w:snapToGrid w:val="0"/>
        <w:spacing w:line="360" w:lineRule="auto"/>
        <w:ind w:firstLine="560" w:firstLineChars="200"/>
        <w:rPr>
          <w:rFonts w:eastAsia="仿宋_GB2312"/>
          <w:sz w:val="28"/>
          <w:szCs w:val="28"/>
        </w:rPr>
      </w:pPr>
      <w:r>
        <w:rPr>
          <w:rFonts w:hint="eastAsia" w:ascii="宋体" w:hAnsi="宋体" w:cs="宋体"/>
          <w:sz w:val="28"/>
          <w:szCs w:val="28"/>
        </w:rPr>
        <w:t>②</w:t>
      </w:r>
      <w:r>
        <w:rPr>
          <w:rFonts w:eastAsia="仿宋_GB2312"/>
          <w:sz w:val="28"/>
          <w:szCs w:val="28"/>
        </w:rPr>
        <w:t>公共服务设施：估价对象附近商业有</w:t>
      </w:r>
      <w:r>
        <w:rPr>
          <w:rFonts w:hint="eastAsia" w:eastAsia="仿宋_GB2312"/>
          <w:sz w:val="28"/>
          <w:szCs w:val="28"/>
        </w:rPr>
        <w:t>永胜县第二农贸市场、百惠连锁超市(永胜店)、南兴超市、友联超市等；银行有中国邮政储蓄银行、永胜农村商业银行(凤凰支行)、富滇银行(丽江永胜支行)等；学校有永胜县永北镇小学、永胜县永北镇中学、云南省永胜一中、永胜四中、永胜县职业高级中学等；医院有永胜县人民医院、永大医院、永胜县中医医院</w:t>
      </w:r>
      <w:r>
        <w:rPr>
          <w:rFonts w:eastAsia="仿宋_GB2312"/>
          <w:sz w:val="28"/>
          <w:szCs w:val="28"/>
        </w:rPr>
        <w:t>等</w:t>
      </w:r>
      <w:r>
        <w:rPr>
          <w:rFonts w:hint="eastAsia" w:eastAsia="仿宋_GB2312"/>
          <w:sz w:val="28"/>
          <w:szCs w:val="28"/>
        </w:rPr>
        <w:t>；公园有凤凰公园</w:t>
      </w:r>
      <w:r>
        <w:rPr>
          <w:rFonts w:eastAsia="仿宋_GB2312"/>
          <w:sz w:val="28"/>
          <w:szCs w:val="28"/>
        </w:rPr>
        <w:t>等</w:t>
      </w:r>
      <w:r>
        <w:rPr>
          <w:rFonts w:hint="eastAsia" w:eastAsia="仿宋_GB2312"/>
          <w:sz w:val="28"/>
          <w:szCs w:val="28"/>
        </w:rPr>
        <w:t>。公共配套较齐全，设施较完善</w:t>
      </w:r>
      <w:r>
        <w:rPr>
          <w:rFonts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（4）周边环境状况</w:t>
      </w:r>
    </w:p>
    <w:p>
      <w:pPr>
        <w:snapToGrid w:val="0"/>
        <w:spacing w:line="360" w:lineRule="auto"/>
        <w:ind w:firstLine="560" w:firstLineChars="200"/>
        <w:rPr>
          <w:rFonts w:eastAsia="仿宋_GB2312"/>
          <w:sz w:val="28"/>
          <w:szCs w:val="28"/>
        </w:rPr>
      </w:pPr>
      <w:r>
        <w:rPr>
          <w:rFonts w:hint="eastAsia" w:ascii="宋体" w:hAnsi="宋体" w:cs="宋体"/>
          <w:sz w:val="28"/>
          <w:szCs w:val="28"/>
        </w:rPr>
        <w:t>①</w:t>
      </w:r>
      <w:r>
        <w:rPr>
          <w:rFonts w:eastAsia="仿宋_GB2312"/>
          <w:sz w:val="28"/>
          <w:szCs w:val="28"/>
        </w:rPr>
        <w:t>自然环境：</w:t>
      </w:r>
      <w:bookmarkStart w:id="35" w:name="_Hlk57646078"/>
      <w:r>
        <w:rPr>
          <w:rFonts w:eastAsia="仿宋_GB2312"/>
          <w:sz w:val="28"/>
          <w:szCs w:val="28"/>
        </w:rPr>
        <w:t>估价对象所处区域</w:t>
      </w:r>
      <w:bookmarkEnd w:id="35"/>
      <w:r>
        <w:rPr>
          <w:rFonts w:hint="eastAsia" w:eastAsia="仿宋_GB2312"/>
          <w:color w:val="000000"/>
          <w:sz w:val="28"/>
          <w:szCs w:val="28"/>
        </w:rPr>
        <w:t>绿化达标、环境一般</w:t>
      </w:r>
      <w:r>
        <w:rPr>
          <w:rFonts w:eastAsia="仿宋_GB2312"/>
          <w:sz w:val="28"/>
          <w:szCs w:val="28"/>
        </w:rPr>
        <w:t>。</w:t>
      </w:r>
    </w:p>
    <w:p>
      <w:pPr>
        <w:snapToGrid w:val="0"/>
        <w:spacing w:line="360" w:lineRule="auto"/>
        <w:ind w:firstLine="560" w:firstLineChars="200"/>
        <w:rPr>
          <w:rFonts w:eastAsia="仿宋_GB2312"/>
          <w:sz w:val="28"/>
          <w:szCs w:val="28"/>
        </w:rPr>
      </w:pPr>
      <w:r>
        <w:rPr>
          <w:rFonts w:hint="eastAsia" w:ascii="宋体" w:hAnsi="宋体" w:cs="宋体"/>
          <w:sz w:val="28"/>
          <w:szCs w:val="28"/>
        </w:rPr>
        <w:t>②</w:t>
      </w:r>
      <w:r>
        <w:rPr>
          <w:rFonts w:eastAsia="仿宋_GB2312"/>
          <w:sz w:val="28"/>
          <w:szCs w:val="28"/>
        </w:rPr>
        <w:t>人文环境：估价对象所在区域人文环境较好</w:t>
      </w:r>
      <w:r>
        <w:rPr>
          <w:rFonts w:hint="eastAsia" w:eastAsia="仿宋_GB2312"/>
          <w:sz w:val="28"/>
          <w:szCs w:val="28"/>
        </w:rPr>
        <w:t>，</w:t>
      </w:r>
      <w:r>
        <w:rPr>
          <w:rFonts w:eastAsia="仿宋_GB2312"/>
          <w:sz w:val="28"/>
          <w:szCs w:val="28"/>
        </w:rPr>
        <w:t>治安状况较好。</w:t>
      </w:r>
    </w:p>
    <w:p>
      <w:pPr>
        <w:snapToGrid w:val="0"/>
        <w:spacing w:line="360" w:lineRule="auto"/>
        <w:ind w:firstLine="560" w:firstLineChars="200"/>
        <w:rPr>
          <w:rFonts w:eastAsia="仿宋_GB2312"/>
          <w:sz w:val="28"/>
          <w:szCs w:val="28"/>
        </w:rPr>
      </w:pPr>
      <w:r>
        <w:rPr>
          <w:rFonts w:hint="eastAsia" w:ascii="宋体" w:hAnsi="宋体" w:cs="宋体"/>
          <w:sz w:val="28"/>
          <w:szCs w:val="28"/>
        </w:rPr>
        <w:t>③</w:t>
      </w:r>
      <w:r>
        <w:rPr>
          <w:rFonts w:eastAsia="仿宋_GB2312"/>
          <w:sz w:val="28"/>
          <w:szCs w:val="28"/>
        </w:rPr>
        <w:t>景观：</w:t>
      </w:r>
      <w:r>
        <w:rPr>
          <w:rFonts w:hint="eastAsia" w:eastAsia="仿宋_GB2312"/>
          <w:spacing w:val="-6"/>
          <w:sz w:val="28"/>
          <w:szCs w:val="28"/>
        </w:rPr>
        <w:t>无景观、周边建筑式样一般</w:t>
      </w:r>
      <w:r>
        <w:rPr>
          <w:rFonts w:eastAsia="仿宋_GB2312"/>
          <w:sz w:val="28"/>
          <w:szCs w:val="28"/>
        </w:rPr>
        <w:t>。</w:t>
      </w:r>
    </w:p>
    <w:p>
      <w:pPr>
        <w:snapToGrid w:val="0"/>
        <w:spacing w:line="360" w:lineRule="auto"/>
        <w:ind w:firstLine="560" w:firstLineChars="200"/>
        <w:rPr>
          <w:rFonts w:eastAsia="仿宋_GB2312"/>
          <w:sz w:val="28"/>
          <w:szCs w:val="28"/>
        </w:rPr>
      </w:pPr>
      <w:r>
        <w:rPr>
          <w:rFonts w:hint="eastAsia" w:ascii="宋体" w:hAnsi="宋体" w:cs="宋体"/>
          <w:sz w:val="28"/>
          <w:szCs w:val="28"/>
        </w:rPr>
        <w:t>④</w:t>
      </w:r>
      <w:r>
        <w:rPr>
          <w:rFonts w:eastAsia="仿宋_GB2312"/>
          <w:sz w:val="28"/>
          <w:szCs w:val="28"/>
        </w:rPr>
        <w:t>不良影响设施：无。</w:t>
      </w:r>
    </w:p>
    <w:p>
      <w:pPr>
        <w:pStyle w:val="3"/>
        <w:snapToGrid w:val="0"/>
        <w:spacing w:before="120" w:line="360" w:lineRule="auto"/>
        <w:rPr>
          <w:rFonts w:ascii="Times New Roman" w:hAnsi="Times New Roman" w:eastAsia="仿宋_GB2312" w:cs="Times New Roman"/>
          <w:color w:val="000000"/>
          <w:sz w:val="32"/>
        </w:rPr>
      </w:pPr>
      <w:bookmarkStart w:id="36" w:name="_Toc480967876"/>
      <w:bookmarkStart w:id="37" w:name="_Toc485393190"/>
      <w:bookmarkStart w:id="38" w:name="_Toc8505"/>
      <w:r>
        <w:rPr>
          <w:rFonts w:ascii="Times New Roman" w:hAnsi="Times New Roman" w:eastAsia="仿宋_GB2312" w:cs="Times New Roman"/>
          <w:color w:val="000000"/>
          <w:sz w:val="32"/>
        </w:rPr>
        <w:t>（五）价值时点</w:t>
      </w:r>
      <w:bookmarkEnd w:id="36"/>
      <w:bookmarkEnd w:id="37"/>
      <w:bookmarkEnd w:id="38"/>
    </w:p>
    <w:p>
      <w:pPr>
        <w:snapToGrid w:val="0"/>
        <w:spacing w:line="360" w:lineRule="auto"/>
        <w:ind w:firstLine="560" w:firstLineChars="200"/>
        <w:rPr>
          <w:rFonts w:eastAsia="仿宋_GB2312"/>
          <w:sz w:val="28"/>
          <w:szCs w:val="28"/>
        </w:rPr>
      </w:pPr>
      <w:r>
        <w:rPr>
          <w:rFonts w:hint="eastAsia" w:eastAsia="仿宋_GB2312"/>
          <w:sz w:val="28"/>
          <w:szCs w:val="28"/>
        </w:rPr>
        <w:t>2022年9月19日</w:t>
      </w:r>
      <w:r>
        <w:rPr>
          <w:rFonts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价值时点确定的理由：本次估价以</w:t>
      </w:r>
      <w:r>
        <w:rPr>
          <w:rFonts w:hint="eastAsia" w:eastAsia="仿宋_GB2312"/>
          <w:sz w:val="28"/>
          <w:szCs w:val="28"/>
        </w:rPr>
        <w:t>价值</w:t>
      </w:r>
      <w:r>
        <w:rPr>
          <w:rFonts w:eastAsia="仿宋_GB2312"/>
          <w:sz w:val="28"/>
          <w:szCs w:val="28"/>
        </w:rPr>
        <w:t>时点为现场查勘日</w:t>
      </w:r>
      <w:r>
        <w:rPr>
          <w:rFonts w:hint="eastAsia" w:eastAsia="仿宋_GB2312"/>
          <w:sz w:val="28"/>
          <w:szCs w:val="28"/>
        </w:rPr>
        <w:t>；价值时点根据委托人确定</w:t>
      </w:r>
      <w:r>
        <w:rPr>
          <w:rFonts w:eastAsia="仿宋_GB2312"/>
          <w:sz w:val="28"/>
          <w:szCs w:val="28"/>
        </w:rPr>
        <w:t>。</w:t>
      </w:r>
    </w:p>
    <w:p>
      <w:pPr>
        <w:pStyle w:val="3"/>
        <w:snapToGrid w:val="0"/>
        <w:spacing w:before="120" w:line="360" w:lineRule="auto"/>
        <w:rPr>
          <w:rFonts w:ascii="Times New Roman" w:hAnsi="Times New Roman" w:eastAsia="仿宋_GB2312" w:cs="Times New Roman"/>
          <w:color w:val="000000"/>
          <w:sz w:val="32"/>
        </w:rPr>
      </w:pPr>
      <w:bookmarkStart w:id="39" w:name="_Toc484869468"/>
      <w:bookmarkStart w:id="40" w:name="_Toc3144"/>
      <w:bookmarkStart w:id="41" w:name="_Toc24341"/>
      <w:r>
        <w:rPr>
          <w:rFonts w:ascii="Times New Roman" w:hAnsi="Times New Roman" w:eastAsia="仿宋_GB2312" w:cs="Times New Roman"/>
          <w:color w:val="000000"/>
          <w:sz w:val="32"/>
        </w:rPr>
        <w:t>（六）价值类型</w:t>
      </w:r>
      <w:bookmarkEnd w:id="39"/>
      <w:bookmarkEnd w:id="40"/>
      <w:bookmarkEnd w:id="41"/>
    </w:p>
    <w:p>
      <w:pPr>
        <w:snapToGrid w:val="0"/>
        <w:spacing w:line="360" w:lineRule="auto"/>
        <w:ind w:firstLine="560" w:firstLineChars="200"/>
        <w:rPr>
          <w:rFonts w:eastAsia="仿宋_GB2312"/>
          <w:sz w:val="28"/>
          <w:szCs w:val="28"/>
        </w:rPr>
      </w:pPr>
      <w:r>
        <w:rPr>
          <w:rFonts w:eastAsia="仿宋_GB2312"/>
          <w:sz w:val="28"/>
          <w:szCs w:val="28"/>
        </w:rPr>
        <w:t>1、本估价结果是估价对象在价值时点的房地产市场价值（等于房地产普通拍卖过程中，拍卖标的物的保留价，即不包括拍卖房地产被查封及拍卖房地产上原有的担保物权和其他优先受偿权）。</w:t>
      </w:r>
    </w:p>
    <w:p>
      <w:pPr>
        <w:snapToGrid w:val="0"/>
        <w:spacing w:line="360" w:lineRule="auto"/>
        <w:ind w:firstLine="560" w:firstLineChars="200"/>
        <w:rPr>
          <w:rFonts w:eastAsia="仿宋_GB2312"/>
          <w:sz w:val="28"/>
          <w:szCs w:val="28"/>
        </w:rPr>
      </w:pPr>
      <w:r>
        <w:rPr>
          <w:rFonts w:eastAsia="仿宋_GB2312"/>
          <w:sz w:val="28"/>
          <w:szCs w:val="28"/>
        </w:rPr>
        <w:t>2、本报告的市场价值是指估价对象在价值时点现状利用条件下，满足全部假设和限制条件，当地房地产市场自由开放、完全竞争状态下的公开市场价值。所谓公开市场价值是在公开市场最可能形成的价格；采用公开市场价值标准时，要求评估的客观合理价值应是公开市场价值。</w:t>
      </w:r>
    </w:p>
    <w:p>
      <w:pPr>
        <w:snapToGrid w:val="0"/>
        <w:spacing w:line="360" w:lineRule="auto"/>
        <w:ind w:firstLine="560" w:firstLineChars="200"/>
        <w:rPr>
          <w:rFonts w:eastAsia="仿宋_GB2312"/>
          <w:sz w:val="28"/>
          <w:szCs w:val="28"/>
        </w:rPr>
      </w:pPr>
      <w:r>
        <w:rPr>
          <w:rFonts w:eastAsia="仿宋_GB2312"/>
          <w:sz w:val="28"/>
          <w:szCs w:val="28"/>
        </w:rPr>
        <w:t>3、本估价结果受到本估价报告中已说明的假设和限制条件的限制。</w:t>
      </w:r>
    </w:p>
    <w:p>
      <w:pPr>
        <w:snapToGrid w:val="0"/>
        <w:spacing w:line="360" w:lineRule="auto"/>
        <w:ind w:firstLine="560" w:firstLineChars="200"/>
        <w:rPr>
          <w:rFonts w:eastAsia="仿宋_GB2312"/>
          <w:sz w:val="28"/>
          <w:szCs w:val="28"/>
        </w:rPr>
      </w:pPr>
      <w:r>
        <w:rPr>
          <w:rFonts w:eastAsia="仿宋_GB2312"/>
          <w:sz w:val="28"/>
          <w:szCs w:val="28"/>
        </w:rPr>
        <w:t>4、本估价结果中的价值、价格的货币计量单位均为人民币。</w:t>
      </w:r>
    </w:p>
    <w:p>
      <w:pPr>
        <w:pStyle w:val="3"/>
        <w:snapToGrid w:val="0"/>
        <w:spacing w:before="120" w:line="360" w:lineRule="auto"/>
        <w:rPr>
          <w:rFonts w:ascii="Times New Roman" w:hAnsi="Times New Roman" w:eastAsia="仿宋_GB2312" w:cs="Times New Roman"/>
          <w:color w:val="000000"/>
          <w:sz w:val="32"/>
        </w:rPr>
      </w:pPr>
      <w:bookmarkStart w:id="42" w:name="_Toc25979"/>
      <w:bookmarkStart w:id="43" w:name="_Toc480967878"/>
      <w:bookmarkStart w:id="44" w:name="_Toc485393192"/>
      <w:r>
        <w:rPr>
          <w:rFonts w:ascii="Times New Roman" w:hAnsi="Times New Roman" w:eastAsia="仿宋_GB2312" w:cs="Times New Roman"/>
          <w:color w:val="000000"/>
          <w:sz w:val="32"/>
        </w:rPr>
        <w:t>（七）估价原则</w:t>
      </w:r>
      <w:bookmarkEnd w:id="42"/>
      <w:bookmarkEnd w:id="43"/>
      <w:bookmarkEnd w:id="44"/>
    </w:p>
    <w:p>
      <w:pPr>
        <w:snapToGrid w:val="0"/>
        <w:spacing w:line="360" w:lineRule="auto"/>
        <w:ind w:firstLine="560" w:firstLineChars="200"/>
        <w:rPr>
          <w:rFonts w:eastAsia="仿宋_GB2312"/>
          <w:sz w:val="28"/>
          <w:szCs w:val="28"/>
        </w:rPr>
      </w:pPr>
      <w:r>
        <w:rPr>
          <w:rFonts w:eastAsia="仿宋_GB2312"/>
          <w:sz w:val="28"/>
          <w:szCs w:val="28"/>
        </w:rPr>
        <w:t>本次估价遵循的估价原则有：</w:t>
      </w:r>
    </w:p>
    <w:p>
      <w:pPr>
        <w:snapToGrid w:val="0"/>
        <w:spacing w:line="360" w:lineRule="auto"/>
        <w:ind w:firstLine="560" w:firstLineChars="200"/>
        <w:rPr>
          <w:rFonts w:eastAsia="仿宋_GB2312"/>
          <w:sz w:val="28"/>
          <w:szCs w:val="28"/>
        </w:rPr>
      </w:pPr>
      <w:r>
        <w:rPr>
          <w:rFonts w:eastAsia="仿宋_GB2312"/>
          <w:sz w:val="28"/>
          <w:szCs w:val="28"/>
        </w:rPr>
        <w:t>1、独立、客观、公正原则</w:t>
      </w:r>
    </w:p>
    <w:p>
      <w:pPr>
        <w:snapToGrid w:val="0"/>
        <w:spacing w:line="360" w:lineRule="auto"/>
        <w:ind w:firstLine="560" w:firstLineChars="200"/>
        <w:rPr>
          <w:rFonts w:eastAsia="仿宋_GB2312"/>
          <w:sz w:val="28"/>
          <w:szCs w:val="28"/>
        </w:rPr>
      </w:pPr>
      <w:r>
        <w:rPr>
          <w:rFonts w:eastAsia="仿宋_GB2312"/>
          <w:sz w:val="28"/>
          <w:szCs w:val="28"/>
        </w:rPr>
        <w:t>独立、客观、公正原则是要求房地产估价师站在中立的立场上，事实求是、公平正直地评估出对各方估价利害关系人均是公平合理的价值或价格。</w:t>
      </w:r>
    </w:p>
    <w:p>
      <w:pPr>
        <w:snapToGrid w:val="0"/>
        <w:spacing w:line="360" w:lineRule="auto"/>
        <w:ind w:firstLine="560" w:firstLineChars="200"/>
        <w:rPr>
          <w:rFonts w:eastAsia="仿宋_GB2312"/>
          <w:sz w:val="28"/>
          <w:szCs w:val="28"/>
        </w:rPr>
      </w:pPr>
      <w:r>
        <w:rPr>
          <w:rFonts w:eastAsia="仿宋_GB2312"/>
          <w:sz w:val="28"/>
          <w:szCs w:val="28"/>
        </w:rPr>
        <w:t>2、合法原则</w:t>
      </w:r>
    </w:p>
    <w:p>
      <w:pPr>
        <w:snapToGrid w:val="0"/>
        <w:spacing w:line="360" w:lineRule="auto"/>
        <w:ind w:firstLine="560" w:firstLineChars="200"/>
        <w:rPr>
          <w:rFonts w:eastAsia="仿宋_GB2312"/>
          <w:sz w:val="28"/>
          <w:szCs w:val="28"/>
        </w:rPr>
      </w:pPr>
      <w:bookmarkStart w:id="45" w:name="_Hlk11190824"/>
      <w:r>
        <w:rPr>
          <w:rFonts w:eastAsia="仿宋_GB2312"/>
          <w:sz w:val="28"/>
          <w:szCs w:val="28"/>
        </w:rPr>
        <w:t>所谓合法，是指符合国家的法律、法规和当地政府的有关规定，其权益才能受法律保护，并体现其权益价值。在考虑估价对象的用途时，应以合法利用、合法交易、合法处置为前提。评估报告充分考虑了估价对象权属合法取得、合法使用以及今后合法处分，并以此作为本项评估的前提</w:t>
      </w:r>
      <w:bookmarkEnd w:id="45"/>
      <w:r>
        <w:rPr>
          <w:rFonts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3、价值时点原则</w:t>
      </w:r>
    </w:p>
    <w:p>
      <w:pPr>
        <w:snapToGrid w:val="0"/>
        <w:spacing w:line="360" w:lineRule="auto"/>
        <w:ind w:firstLine="560" w:firstLineChars="200"/>
        <w:rPr>
          <w:rFonts w:eastAsia="仿宋_GB2312"/>
          <w:sz w:val="28"/>
          <w:szCs w:val="28"/>
        </w:rPr>
      </w:pPr>
      <w:r>
        <w:rPr>
          <w:rFonts w:eastAsia="仿宋_GB2312"/>
          <w:sz w:val="28"/>
          <w:szCs w:val="28"/>
        </w:rPr>
        <w:t>房地产市场处于不断变化之中，其价格具有很强的时间性。本次估价对房地产的市场情况及其本身状况的界定，均以其在价值时点的状况为准。</w:t>
      </w:r>
    </w:p>
    <w:p>
      <w:pPr>
        <w:snapToGrid w:val="0"/>
        <w:spacing w:line="360" w:lineRule="auto"/>
        <w:ind w:firstLine="560" w:firstLineChars="200"/>
        <w:rPr>
          <w:rFonts w:eastAsia="仿宋_GB2312"/>
          <w:sz w:val="28"/>
          <w:szCs w:val="28"/>
        </w:rPr>
      </w:pPr>
      <w:r>
        <w:rPr>
          <w:rFonts w:eastAsia="仿宋_GB2312"/>
          <w:sz w:val="28"/>
          <w:szCs w:val="28"/>
        </w:rPr>
        <w:t>4、替代原则</w:t>
      </w:r>
    </w:p>
    <w:p>
      <w:pPr>
        <w:snapToGrid w:val="0"/>
        <w:spacing w:line="360" w:lineRule="auto"/>
        <w:ind w:firstLine="560" w:firstLineChars="200"/>
        <w:rPr>
          <w:rFonts w:eastAsia="仿宋_GB2312"/>
          <w:sz w:val="28"/>
          <w:szCs w:val="28"/>
        </w:rPr>
      </w:pPr>
      <w:r>
        <w:rPr>
          <w:rFonts w:eastAsia="仿宋_GB2312"/>
          <w:sz w:val="28"/>
          <w:szCs w:val="28"/>
        </w:rPr>
        <w:t>根据市场运行规律，在同一商品市场中，商品或提供服务的效用相同或大致相似时，价格低者吸引需求，即有两个以上互有替代性的商品或服务同时存在时，商品或服务的价格是经过相互影响与比较之后来决定的。在房地产市场中也是如此，即在同一市场供需圈内，可以通过调查近期发生交易的、与待估房地产有替代可能的房地产价格和条件，通过与待估房地产进行比较，然后对其间的差别作适当的修正，确定待估房地产的市场价值。</w:t>
      </w:r>
    </w:p>
    <w:p>
      <w:pPr>
        <w:snapToGrid w:val="0"/>
        <w:spacing w:line="360" w:lineRule="auto"/>
        <w:ind w:firstLine="560" w:firstLineChars="200"/>
        <w:rPr>
          <w:rFonts w:eastAsia="仿宋_GB2312"/>
          <w:sz w:val="28"/>
          <w:szCs w:val="28"/>
        </w:rPr>
      </w:pPr>
      <w:r>
        <w:rPr>
          <w:rFonts w:eastAsia="仿宋_GB2312"/>
          <w:sz w:val="28"/>
          <w:szCs w:val="28"/>
        </w:rPr>
        <w:t>5、最高最佳利用原则</w:t>
      </w:r>
    </w:p>
    <w:p>
      <w:pPr>
        <w:snapToGrid w:val="0"/>
        <w:spacing w:line="360" w:lineRule="auto"/>
        <w:ind w:firstLine="560" w:firstLineChars="200"/>
        <w:rPr>
          <w:rFonts w:eastAsia="仿宋_GB2312"/>
          <w:sz w:val="28"/>
          <w:szCs w:val="28"/>
        </w:rPr>
      </w:pPr>
      <w:bookmarkStart w:id="46" w:name="_Hlk11190899"/>
      <w:r>
        <w:rPr>
          <w:rFonts w:eastAsia="仿宋_GB2312"/>
          <w:sz w:val="28"/>
          <w:szCs w:val="28"/>
        </w:rPr>
        <w:t>房地产估价中所确定的客观合理价格或价值，其实质是房地产的经济价值，它体现在房地产的使用过程中。在考虑估价对象的用途时，应取其最高最佳利用状态，是指法律上允许、技术上可能、经济上可行、能使估价对象发挥最高价值的利用状态。</w:t>
      </w:r>
    </w:p>
    <w:bookmarkEnd w:id="46"/>
    <w:p>
      <w:pPr>
        <w:snapToGrid w:val="0"/>
        <w:spacing w:line="360" w:lineRule="auto"/>
        <w:ind w:firstLine="560" w:firstLineChars="200"/>
        <w:rPr>
          <w:rFonts w:eastAsia="仿宋_GB2312"/>
          <w:sz w:val="28"/>
          <w:szCs w:val="28"/>
        </w:rPr>
      </w:pPr>
      <w:bookmarkStart w:id="47" w:name="_Hlk11190920"/>
      <w:r>
        <w:rPr>
          <w:rFonts w:eastAsia="仿宋_GB2312"/>
          <w:sz w:val="28"/>
          <w:szCs w:val="28"/>
        </w:rPr>
        <w:t>6、谨慎原则</w:t>
      </w:r>
    </w:p>
    <w:p>
      <w:pPr>
        <w:snapToGrid w:val="0"/>
        <w:spacing w:line="360" w:lineRule="auto"/>
        <w:ind w:firstLine="560" w:firstLineChars="200"/>
        <w:rPr>
          <w:rFonts w:eastAsia="仿宋_GB2312"/>
          <w:sz w:val="28"/>
          <w:szCs w:val="28"/>
        </w:rPr>
      </w:pPr>
      <w:r>
        <w:rPr>
          <w:rFonts w:eastAsia="仿宋_GB2312"/>
          <w:sz w:val="28"/>
          <w:szCs w:val="28"/>
        </w:rPr>
        <w:t>在面临不确定因素的情况下做出判断时，应当保持必要的谨慎，充分估计到各种风险和损失，不高估市场价值，不低估房地产估价师知悉的法定优先受偿款额。</w:t>
      </w:r>
    </w:p>
    <w:bookmarkEnd w:id="47"/>
    <w:p>
      <w:pPr>
        <w:snapToGrid w:val="0"/>
        <w:spacing w:line="360" w:lineRule="auto"/>
        <w:ind w:firstLine="560" w:firstLineChars="200"/>
        <w:rPr>
          <w:rFonts w:eastAsia="仿宋_GB2312"/>
          <w:sz w:val="28"/>
          <w:szCs w:val="28"/>
        </w:rPr>
      </w:pPr>
      <w:bookmarkStart w:id="48" w:name="_Hlk11190971"/>
      <w:r>
        <w:rPr>
          <w:rFonts w:eastAsia="仿宋_GB2312"/>
          <w:sz w:val="28"/>
          <w:szCs w:val="28"/>
        </w:rPr>
        <w:t>总之，在估价过程中，要按国家、地方有关规定，遵守客观、公正、科学、合法的原则进行房地产价格评估，做到估价过程合法合理，估价方法科学，估价结果准确，严格保守估价秘密。</w:t>
      </w:r>
    </w:p>
    <w:bookmarkEnd w:id="48"/>
    <w:p>
      <w:pPr>
        <w:pStyle w:val="3"/>
        <w:snapToGrid w:val="0"/>
        <w:spacing w:before="120" w:line="360" w:lineRule="auto"/>
        <w:rPr>
          <w:rFonts w:ascii="Times New Roman" w:hAnsi="Times New Roman" w:eastAsia="仿宋_GB2312" w:cs="Times New Roman"/>
          <w:color w:val="000000"/>
          <w:sz w:val="32"/>
        </w:rPr>
      </w:pPr>
      <w:bookmarkStart w:id="49" w:name="_Toc3270"/>
      <w:r>
        <w:rPr>
          <w:rFonts w:ascii="Times New Roman" w:hAnsi="Times New Roman" w:eastAsia="仿宋_GB2312" w:cs="Times New Roman"/>
          <w:color w:val="000000"/>
          <w:sz w:val="32"/>
        </w:rPr>
        <w:t>（八）估价依据</w:t>
      </w:r>
      <w:bookmarkEnd w:id="49"/>
    </w:p>
    <w:p>
      <w:pPr>
        <w:snapToGrid w:val="0"/>
        <w:spacing w:line="360" w:lineRule="auto"/>
        <w:ind w:firstLine="560" w:firstLineChars="200"/>
        <w:rPr>
          <w:rFonts w:eastAsia="仿宋_GB2312"/>
          <w:sz w:val="28"/>
          <w:szCs w:val="28"/>
        </w:rPr>
      </w:pPr>
      <w:bookmarkStart w:id="50" w:name="_Hlk11191015"/>
      <w:r>
        <w:rPr>
          <w:rFonts w:eastAsia="仿宋_GB2312"/>
          <w:sz w:val="28"/>
          <w:szCs w:val="28"/>
        </w:rPr>
        <w:t>1、依据的有关法律、法规和部门规章</w:t>
      </w:r>
    </w:p>
    <w:p>
      <w:pPr>
        <w:snapToGrid w:val="0"/>
        <w:spacing w:line="360" w:lineRule="auto"/>
        <w:ind w:firstLine="560" w:firstLineChars="200"/>
        <w:rPr>
          <w:rFonts w:eastAsia="仿宋_GB2312"/>
          <w:sz w:val="28"/>
          <w:szCs w:val="28"/>
        </w:rPr>
      </w:pPr>
      <w:r>
        <w:rPr>
          <w:rFonts w:eastAsia="仿宋_GB2312"/>
          <w:sz w:val="28"/>
          <w:szCs w:val="28"/>
        </w:rPr>
        <w:t>（1）《中华人民共和国资产评估法》（中华人民共和国主席令第46号，中华人民共和国第十二届全国人民代表大会第二十一条会议通过，自2016年12月1日起施行）；</w:t>
      </w:r>
    </w:p>
    <w:p>
      <w:pPr>
        <w:snapToGrid w:val="0"/>
        <w:spacing w:line="360" w:lineRule="auto"/>
        <w:ind w:firstLine="560" w:firstLineChars="200"/>
        <w:rPr>
          <w:rFonts w:eastAsia="仿宋_GB2312"/>
          <w:sz w:val="28"/>
          <w:szCs w:val="28"/>
        </w:rPr>
      </w:pPr>
      <w:r>
        <w:rPr>
          <w:rFonts w:eastAsia="仿宋_GB2312"/>
          <w:sz w:val="28"/>
          <w:szCs w:val="28"/>
        </w:rPr>
        <w:t>（</w:t>
      </w:r>
      <w:r>
        <w:rPr>
          <w:rFonts w:hint="eastAsia" w:eastAsia="仿宋_GB2312"/>
          <w:sz w:val="28"/>
          <w:szCs w:val="28"/>
        </w:rPr>
        <w:t>2</w:t>
      </w:r>
      <w:r>
        <w:rPr>
          <w:rFonts w:eastAsia="仿宋_GB2312"/>
          <w:sz w:val="28"/>
          <w:szCs w:val="28"/>
        </w:rPr>
        <w:t>）《中华人民共和国城市房地产管理法》</w:t>
      </w:r>
      <w:r>
        <w:rPr>
          <w:rFonts w:hint="eastAsia" w:eastAsia="仿宋_GB2312"/>
          <w:sz w:val="28"/>
          <w:szCs w:val="28"/>
        </w:rPr>
        <w:t>（2019年8月26日第十三届全国人民代表大会常务委员会第十二次会议修订）</w:t>
      </w:r>
      <w:r>
        <w:rPr>
          <w:rFonts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w:t>
      </w:r>
      <w:r>
        <w:rPr>
          <w:rFonts w:hint="eastAsia" w:eastAsia="仿宋_GB2312"/>
          <w:sz w:val="28"/>
          <w:szCs w:val="28"/>
        </w:rPr>
        <w:t>3</w:t>
      </w:r>
      <w:r>
        <w:rPr>
          <w:rFonts w:eastAsia="仿宋_GB2312"/>
          <w:sz w:val="28"/>
          <w:szCs w:val="28"/>
        </w:rPr>
        <w:t>）《中华人民共和国土地管理法》（</w:t>
      </w:r>
      <w:r>
        <w:rPr>
          <w:rFonts w:hint="eastAsia" w:eastAsia="仿宋_GB2312"/>
          <w:sz w:val="28"/>
          <w:szCs w:val="28"/>
        </w:rPr>
        <w:t>2019年8月26日第十三届全国人民代表大会常务委员会第十二次会议修订</w:t>
      </w:r>
      <w:r>
        <w:rPr>
          <w:rFonts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w:t>
      </w:r>
      <w:r>
        <w:rPr>
          <w:rFonts w:hint="eastAsia" w:eastAsia="仿宋_GB2312"/>
          <w:sz w:val="28"/>
          <w:szCs w:val="28"/>
        </w:rPr>
        <w:t>4</w:t>
      </w:r>
      <w:r>
        <w:rPr>
          <w:rFonts w:eastAsia="仿宋_GB2312"/>
          <w:sz w:val="28"/>
          <w:szCs w:val="28"/>
        </w:rPr>
        <w:t>）</w:t>
      </w:r>
      <w:r>
        <w:rPr>
          <w:rFonts w:hint="eastAsia" w:eastAsia="仿宋_GB2312"/>
          <w:sz w:val="28"/>
          <w:szCs w:val="28"/>
        </w:rPr>
        <w:t>《最高人民法院关于人民法院确定财产处置参考价若干问题的规定》（法释〔2018〕15号）（2018年6月4日最高人民法院审判委员会第1741次会议通过，自2018年9月1日起施行）；</w:t>
      </w:r>
    </w:p>
    <w:p>
      <w:pPr>
        <w:snapToGrid w:val="0"/>
        <w:spacing w:line="360" w:lineRule="auto"/>
        <w:ind w:firstLine="560" w:firstLineChars="200"/>
        <w:rPr>
          <w:rFonts w:eastAsia="仿宋_GB2312"/>
          <w:sz w:val="28"/>
          <w:szCs w:val="28"/>
        </w:rPr>
      </w:pPr>
      <w:r>
        <w:rPr>
          <w:rFonts w:hint="eastAsia" w:eastAsia="仿宋_GB2312"/>
          <w:sz w:val="28"/>
          <w:szCs w:val="28"/>
        </w:rPr>
        <w:t>（5）《人民法院委托评估工作规范》（法办〔2018〕273号）；</w:t>
      </w:r>
    </w:p>
    <w:p>
      <w:pPr>
        <w:snapToGrid w:val="0"/>
        <w:spacing w:line="360" w:lineRule="auto"/>
        <w:ind w:firstLine="560" w:firstLineChars="200"/>
        <w:rPr>
          <w:rFonts w:eastAsia="仿宋_GB2312"/>
          <w:sz w:val="28"/>
          <w:szCs w:val="28"/>
        </w:rPr>
      </w:pPr>
      <w:r>
        <w:rPr>
          <w:rFonts w:eastAsia="仿宋_GB2312"/>
          <w:sz w:val="28"/>
        </w:rPr>
        <w:t>（</w:t>
      </w:r>
      <w:r>
        <w:rPr>
          <w:rFonts w:hint="eastAsia" w:eastAsia="仿宋_GB2312"/>
          <w:sz w:val="28"/>
        </w:rPr>
        <w:t>6</w:t>
      </w:r>
      <w:r>
        <w:rPr>
          <w:rFonts w:eastAsia="仿宋_GB2312"/>
          <w:sz w:val="28"/>
        </w:rPr>
        <w:t>）</w:t>
      </w:r>
      <w:r>
        <w:rPr>
          <w:rFonts w:hint="eastAsia" w:eastAsia="仿宋_GB2312"/>
          <w:sz w:val="28"/>
        </w:rPr>
        <w:t>《</w:t>
      </w:r>
      <w:r>
        <w:rPr>
          <w:rFonts w:eastAsia="仿宋_GB2312"/>
          <w:sz w:val="28"/>
          <w:szCs w:val="28"/>
        </w:rPr>
        <w:t>中华人民共和国民法典</w:t>
      </w:r>
      <w:r>
        <w:rPr>
          <w:rFonts w:hint="eastAsia" w:eastAsia="仿宋_GB2312"/>
          <w:sz w:val="28"/>
        </w:rPr>
        <w:t>》（2020年5月28日第十三届全国人民代表大会第三次会议通过，自2021年1月1日起施行）；</w:t>
      </w:r>
    </w:p>
    <w:p>
      <w:pPr>
        <w:snapToGrid w:val="0"/>
        <w:spacing w:line="360" w:lineRule="auto"/>
        <w:ind w:firstLine="560" w:firstLineChars="200"/>
        <w:rPr>
          <w:rFonts w:eastAsia="仿宋_GB2312"/>
          <w:sz w:val="28"/>
          <w:szCs w:val="28"/>
        </w:rPr>
      </w:pPr>
      <w:r>
        <w:rPr>
          <w:rFonts w:eastAsia="仿宋_GB2312"/>
          <w:sz w:val="28"/>
        </w:rPr>
        <w:t>（</w:t>
      </w:r>
      <w:r>
        <w:rPr>
          <w:rFonts w:hint="eastAsia" w:eastAsia="仿宋_GB2312"/>
          <w:sz w:val="28"/>
        </w:rPr>
        <w:t>7</w:t>
      </w:r>
      <w:r>
        <w:rPr>
          <w:rFonts w:eastAsia="仿宋_GB2312"/>
          <w:sz w:val="28"/>
        </w:rPr>
        <w:t>）与本次估</w:t>
      </w:r>
      <w:r>
        <w:rPr>
          <w:rFonts w:hint="eastAsia" w:eastAsia="仿宋_GB2312"/>
          <w:sz w:val="28"/>
        </w:rPr>
        <w:t>价</w:t>
      </w:r>
      <w:r>
        <w:rPr>
          <w:rFonts w:eastAsia="仿宋_GB2312"/>
          <w:sz w:val="28"/>
        </w:rPr>
        <w:t>有关的其他法律法规</w:t>
      </w:r>
      <w:r>
        <w:rPr>
          <w:rFonts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2、采用的技术规程</w:t>
      </w:r>
    </w:p>
    <w:p>
      <w:pPr>
        <w:snapToGrid w:val="0"/>
        <w:spacing w:line="360" w:lineRule="auto"/>
        <w:ind w:firstLine="560" w:firstLineChars="200"/>
        <w:rPr>
          <w:rFonts w:eastAsia="仿宋_GB2312"/>
          <w:sz w:val="28"/>
          <w:szCs w:val="28"/>
        </w:rPr>
      </w:pPr>
      <w:r>
        <w:rPr>
          <w:rFonts w:eastAsia="仿宋_GB2312"/>
          <w:sz w:val="28"/>
          <w:szCs w:val="28"/>
        </w:rPr>
        <w:t>（1）中华人民共和国国家标准《房地产估价规范》</w:t>
      </w:r>
      <w:r>
        <w:rPr>
          <w:rFonts w:hint="eastAsia" w:eastAsia="仿宋_GB2312"/>
          <w:sz w:val="28"/>
          <w:szCs w:val="28"/>
        </w:rPr>
        <w:t>（</w:t>
      </w:r>
      <w:r>
        <w:rPr>
          <w:rFonts w:eastAsia="仿宋_GB2312"/>
          <w:sz w:val="28"/>
          <w:szCs w:val="28"/>
        </w:rPr>
        <w:t>GB/T 50291</w:t>
      </w:r>
      <w:r>
        <w:rPr>
          <w:rFonts w:hint="eastAsia" w:eastAsia="仿宋_GB2312"/>
          <w:sz w:val="28"/>
          <w:szCs w:val="28"/>
        </w:rPr>
        <w:t>-</w:t>
      </w:r>
      <w:r>
        <w:rPr>
          <w:rFonts w:eastAsia="仿宋_GB2312"/>
          <w:sz w:val="28"/>
          <w:szCs w:val="28"/>
        </w:rPr>
        <w:t>2015）；</w:t>
      </w:r>
    </w:p>
    <w:p>
      <w:pPr>
        <w:snapToGrid w:val="0"/>
        <w:spacing w:line="360" w:lineRule="auto"/>
        <w:ind w:firstLine="560" w:firstLineChars="200"/>
        <w:rPr>
          <w:rFonts w:eastAsia="仿宋_GB2312"/>
          <w:sz w:val="28"/>
          <w:szCs w:val="28"/>
        </w:rPr>
      </w:pPr>
      <w:r>
        <w:rPr>
          <w:rFonts w:eastAsia="仿宋_GB2312"/>
          <w:sz w:val="28"/>
          <w:szCs w:val="28"/>
        </w:rPr>
        <w:t>（2）中华人民共和国国家标准《房地产估价基本术语标准》（GB/T50899-2013）；</w:t>
      </w:r>
    </w:p>
    <w:p>
      <w:pPr>
        <w:snapToGrid w:val="0"/>
        <w:spacing w:line="360" w:lineRule="auto"/>
        <w:ind w:firstLine="560" w:firstLineChars="200"/>
        <w:rPr>
          <w:rFonts w:eastAsia="仿宋_GB2312"/>
          <w:sz w:val="28"/>
          <w:szCs w:val="28"/>
        </w:rPr>
      </w:pPr>
      <w:r>
        <w:rPr>
          <w:rFonts w:eastAsia="仿宋_GB2312"/>
          <w:sz w:val="28"/>
          <w:szCs w:val="28"/>
        </w:rPr>
        <w:t>（3）中华人民共和国国家标准《城镇土地估价规程》（GB/T 508-2014，2014年12月1日）</w:t>
      </w:r>
      <w:r>
        <w:rPr>
          <w:rFonts w:hint="eastAsia"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3、估价委托人提供的有关资料</w:t>
      </w:r>
    </w:p>
    <w:p>
      <w:pPr>
        <w:snapToGrid w:val="0"/>
        <w:spacing w:line="360" w:lineRule="auto"/>
        <w:ind w:firstLine="560" w:firstLineChars="200"/>
        <w:rPr>
          <w:rFonts w:eastAsia="仿宋_GB2312"/>
          <w:sz w:val="28"/>
          <w:szCs w:val="28"/>
        </w:rPr>
      </w:pPr>
      <w:r>
        <w:rPr>
          <w:rFonts w:hint="eastAsia" w:eastAsia="仿宋_GB2312"/>
          <w:sz w:val="28"/>
          <w:szCs w:val="28"/>
        </w:rPr>
        <w:t>（1）云南省永胜县人民法院《委托评估函》[（2022）云0722执605号]；</w:t>
      </w:r>
    </w:p>
    <w:p>
      <w:pPr>
        <w:snapToGrid w:val="0"/>
        <w:spacing w:line="360" w:lineRule="auto"/>
        <w:ind w:firstLine="560" w:firstLineChars="200"/>
        <w:rPr>
          <w:rFonts w:eastAsia="仿宋_GB2312"/>
          <w:sz w:val="28"/>
          <w:szCs w:val="28"/>
        </w:rPr>
      </w:pPr>
      <w:r>
        <w:rPr>
          <w:rFonts w:hint="eastAsia" w:eastAsia="仿宋_GB2312"/>
          <w:sz w:val="28"/>
          <w:szCs w:val="28"/>
        </w:rPr>
        <w:t>（2）《自然资源部房地产权结果信息一览表》。</w:t>
      </w:r>
    </w:p>
    <w:p>
      <w:pPr>
        <w:snapToGrid w:val="0"/>
        <w:spacing w:line="360" w:lineRule="auto"/>
        <w:ind w:firstLine="560" w:firstLineChars="200"/>
        <w:rPr>
          <w:rFonts w:eastAsia="仿宋_GB2312"/>
          <w:sz w:val="28"/>
          <w:szCs w:val="28"/>
        </w:rPr>
      </w:pPr>
      <w:r>
        <w:rPr>
          <w:rFonts w:eastAsia="仿宋_GB2312"/>
          <w:sz w:val="28"/>
          <w:szCs w:val="28"/>
        </w:rPr>
        <w:t>4、估价机构和估价人员所搜集掌握的有关资料：</w:t>
      </w:r>
    </w:p>
    <w:p>
      <w:pPr>
        <w:snapToGrid w:val="0"/>
        <w:spacing w:line="360" w:lineRule="auto"/>
        <w:ind w:firstLine="560" w:firstLineChars="200"/>
        <w:rPr>
          <w:rFonts w:eastAsia="仿宋_GB2312"/>
          <w:sz w:val="28"/>
          <w:szCs w:val="28"/>
        </w:rPr>
      </w:pPr>
      <w:r>
        <w:rPr>
          <w:rFonts w:hint="eastAsia" w:eastAsia="仿宋_GB2312"/>
          <w:sz w:val="28"/>
          <w:szCs w:val="28"/>
        </w:rPr>
        <w:t>（1）《房屋所有权证》；</w:t>
      </w:r>
    </w:p>
    <w:p>
      <w:pPr>
        <w:snapToGrid w:val="0"/>
        <w:spacing w:line="360" w:lineRule="auto"/>
        <w:ind w:firstLine="560" w:firstLineChars="200"/>
        <w:rPr>
          <w:rFonts w:eastAsia="仿宋_GB2312"/>
          <w:sz w:val="28"/>
          <w:szCs w:val="28"/>
        </w:rPr>
      </w:pPr>
      <w:r>
        <w:rPr>
          <w:rFonts w:hint="eastAsia" w:eastAsia="仿宋_GB2312"/>
          <w:sz w:val="28"/>
          <w:szCs w:val="28"/>
        </w:rPr>
        <w:t>（2）《国有土地使用证》；</w:t>
      </w:r>
    </w:p>
    <w:p>
      <w:pPr>
        <w:snapToGrid w:val="0"/>
        <w:spacing w:line="360" w:lineRule="auto"/>
        <w:ind w:firstLine="560" w:firstLineChars="200"/>
        <w:rPr>
          <w:rFonts w:eastAsia="仿宋_GB2312"/>
          <w:sz w:val="28"/>
          <w:szCs w:val="28"/>
        </w:rPr>
      </w:pPr>
      <w:r>
        <w:rPr>
          <w:rFonts w:eastAsia="仿宋_GB2312"/>
          <w:sz w:val="28"/>
          <w:szCs w:val="28"/>
        </w:rPr>
        <w:t>（</w:t>
      </w:r>
      <w:r>
        <w:rPr>
          <w:rFonts w:hint="eastAsia" w:eastAsia="仿宋_GB2312"/>
          <w:sz w:val="28"/>
          <w:szCs w:val="28"/>
        </w:rPr>
        <w:t>3</w:t>
      </w:r>
      <w:r>
        <w:rPr>
          <w:rFonts w:eastAsia="仿宋_GB2312"/>
          <w:sz w:val="28"/>
          <w:szCs w:val="28"/>
        </w:rPr>
        <w:t>）估价对象照片</w:t>
      </w:r>
      <w:r>
        <w:rPr>
          <w:rFonts w:hint="eastAsia" w:eastAsia="仿宋_GB2312"/>
          <w:sz w:val="28"/>
          <w:szCs w:val="28"/>
        </w:rPr>
        <w:t>；</w:t>
      </w:r>
    </w:p>
    <w:p>
      <w:pPr>
        <w:snapToGrid w:val="0"/>
        <w:spacing w:line="360" w:lineRule="auto"/>
        <w:ind w:firstLine="560" w:firstLineChars="200"/>
        <w:rPr>
          <w:rFonts w:eastAsia="仿宋_GB2312"/>
          <w:sz w:val="28"/>
          <w:szCs w:val="28"/>
        </w:rPr>
      </w:pPr>
      <w:bookmarkStart w:id="51" w:name="_Hlk57879573"/>
      <w:r>
        <w:rPr>
          <w:rFonts w:eastAsia="仿宋_GB2312"/>
          <w:sz w:val="28"/>
          <w:szCs w:val="28"/>
        </w:rPr>
        <w:t>（</w:t>
      </w:r>
      <w:r>
        <w:rPr>
          <w:rFonts w:hint="eastAsia" w:eastAsia="仿宋_GB2312"/>
          <w:sz w:val="28"/>
          <w:szCs w:val="28"/>
        </w:rPr>
        <w:t>4</w:t>
      </w:r>
      <w:r>
        <w:rPr>
          <w:rFonts w:eastAsia="仿宋_GB2312"/>
          <w:sz w:val="28"/>
          <w:szCs w:val="28"/>
        </w:rPr>
        <w:t>）</w:t>
      </w:r>
      <w:bookmarkEnd w:id="51"/>
      <w:r>
        <w:rPr>
          <w:rFonts w:eastAsia="仿宋_GB2312"/>
          <w:sz w:val="28"/>
          <w:szCs w:val="28"/>
        </w:rPr>
        <w:t>实地查勘记录</w:t>
      </w:r>
      <w:r>
        <w:rPr>
          <w:rFonts w:hint="eastAsia"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w:t>
      </w:r>
      <w:r>
        <w:rPr>
          <w:rFonts w:hint="eastAsia" w:eastAsia="仿宋_GB2312"/>
          <w:sz w:val="28"/>
          <w:szCs w:val="28"/>
        </w:rPr>
        <w:t>5</w:t>
      </w:r>
      <w:r>
        <w:rPr>
          <w:rFonts w:eastAsia="仿宋_GB2312"/>
          <w:sz w:val="28"/>
          <w:szCs w:val="28"/>
        </w:rPr>
        <w:t>）估价师搜集到的资料</w:t>
      </w:r>
      <w:r>
        <w:rPr>
          <w:rFonts w:hint="eastAsia"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w:t>
      </w:r>
      <w:r>
        <w:rPr>
          <w:rFonts w:hint="eastAsia" w:eastAsia="仿宋_GB2312"/>
          <w:sz w:val="28"/>
          <w:szCs w:val="28"/>
        </w:rPr>
        <w:t>6</w:t>
      </w:r>
      <w:r>
        <w:rPr>
          <w:rFonts w:eastAsia="仿宋_GB2312"/>
          <w:sz w:val="28"/>
          <w:szCs w:val="28"/>
        </w:rPr>
        <w:t>）估价对象所在区域的房地产市场状况、同类房地产市场交易等数据资料</w:t>
      </w:r>
      <w:r>
        <w:rPr>
          <w:rFonts w:hint="eastAsia"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w:t>
      </w:r>
      <w:r>
        <w:rPr>
          <w:rFonts w:hint="eastAsia" w:eastAsia="仿宋_GB2312"/>
          <w:sz w:val="28"/>
          <w:szCs w:val="28"/>
        </w:rPr>
        <w:t>7</w:t>
      </w:r>
      <w:r>
        <w:rPr>
          <w:rFonts w:eastAsia="仿宋_GB2312"/>
          <w:sz w:val="28"/>
          <w:szCs w:val="28"/>
        </w:rPr>
        <w:t>）审判、执行人员、当事人评估人员现场查勘记录。</w:t>
      </w:r>
    </w:p>
    <w:bookmarkEnd w:id="50"/>
    <w:p>
      <w:pPr>
        <w:pStyle w:val="3"/>
        <w:snapToGrid w:val="0"/>
        <w:spacing w:before="120" w:line="360" w:lineRule="auto"/>
        <w:rPr>
          <w:rFonts w:ascii="Times New Roman" w:hAnsi="Times New Roman" w:eastAsia="仿宋_GB2312" w:cs="Times New Roman"/>
          <w:color w:val="000000"/>
          <w:sz w:val="32"/>
        </w:rPr>
      </w:pPr>
      <w:bookmarkStart w:id="52" w:name="_Toc485393194"/>
      <w:bookmarkStart w:id="53" w:name="_Toc480967880"/>
      <w:bookmarkStart w:id="54" w:name="_Toc14367"/>
      <w:r>
        <w:rPr>
          <w:rFonts w:ascii="Times New Roman" w:hAnsi="Times New Roman" w:eastAsia="仿宋_GB2312" w:cs="Times New Roman"/>
          <w:color w:val="000000"/>
          <w:sz w:val="32"/>
        </w:rPr>
        <w:t>（九）估价方法</w:t>
      </w:r>
      <w:bookmarkEnd w:id="52"/>
      <w:bookmarkEnd w:id="53"/>
      <w:bookmarkEnd w:id="54"/>
    </w:p>
    <w:p>
      <w:pPr>
        <w:snapToGrid w:val="0"/>
        <w:spacing w:before="156" w:after="240" w:afterLines="100" w:line="360" w:lineRule="auto"/>
        <w:ind w:firstLine="562" w:firstLineChars="200"/>
        <w:rPr>
          <w:rFonts w:eastAsia="仿宋_GB2312"/>
          <w:sz w:val="28"/>
          <w:szCs w:val="28"/>
        </w:rPr>
      </w:pPr>
      <w:r>
        <w:rPr>
          <w:rFonts w:eastAsia="仿宋_GB2312"/>
          <w:b/>
          <w:kern w:val="2"/>
          <w:sz w:val="28"/>
          <w:szCs w:val="28"/>
        </w:rPr>
        <w:t>1、确定估价方法</w:t>
      </w:r>
    </w:p>
    <w:p>
      <w:pPr>
        <w:snapToGrid w:val="0"/>
        <w:spacing w:line="360" w:lineRule="auto"/>
        <w:ind w:firstLine="520" w:firstLineChars="200"/>
        <w:rPr>
          <w:rFonts w:eastAsia="仿宋_GB2312"/>
          <w:sz w:val="28"/>
          <w:szCs w:val="28"/>
        </w:rPr>
      </w:pPr>
      <w:r>
        <w:rPr>
          <w:rFonts w:eastAsia="仿宋_GB2312"/>
          <w:spacing w:val="-10"/>
          <w:kern w:val="2"/>
          <w:sz w:val="28"/>
          <w:szCs w:val="28"/>
        </w:rPr>
        <w:t>根据《房地产估价规范》</w:t>
      </w:r>
      <w:r>
        <w:rPr>
          <w:rFonts w:eastAsia="仿宋_GB2312"/>
          <w:kern w:val="2"/>
          <w:sz w:val="28"/>
          <w:szCs w:val="28"/>
        </w:rPr>
        <w:t>(GB/T 50291</w:t>
      </w:r>
      <w:r>
        <w:rPr>
          <w:rFonts w:hint="eastAsia" w:eastAsia="仿宋_GB2312"/>
          <w:kern w:val="2"/>
          <w:sz w:val="28"/>
          <w:szCs w:val="28"/>
        </w:rPr>
        <w:t>-</w:t>
      </w:r>
      <w:r>
        <w:rPr>
          <w:rFonts w:eastAsia="仿宋_GB2312"/>
          <w:kern w:val="2"/>
          <w:sz w:val="28"/>
          <w:szCs w:val="28"/>
        </w:rPr>
        <w:t>2015)、《房地产估价基本术语标准》</w:t>
      </w:r>
      <w:r>
        <w:rPr>
          <w:rFonts w:eastAsia="仿宋_GB2312"/>
          <w:spacing w:val="-10"/>
          <w:kern w:val="2"/>
          <w:sz w:val="28"/>
          <w:szCs w:val="28"/>
        </w:rPr>
        <w:t>，通行的房地产估价方法有比较法、收益法、成本法、假设开发法等。估价人员在认真分析所掌握的资料，并对估价对象进行了实地查勘及对周边房地产市场进行调查后，本项估</w:t>
      </w:r>
      <w:r>
        <w:rPr>
          <w:rFonts w:eastAsia="仿宋_GB2312"/>
          <w:kern w:val="2"/>
          <w:sz w:val="28"/>
          <w:szCs w:val="28"/>
        </w:rPr>
        <w:t>价中，选择估价方法适用性分析如下：</w:t>
      </w:r>
    </w:p>
    <w:p>
      <w:pPr>
        <w:snapToGrid w:val="0"/>
        <w:spacing w:line="360" w:lineRule="auto"/>
        <w:ind w:firstLine="520" w:firstLineChars="200"/>
        <w:rPr>
          <w:rFonts w:eastAsia="仿宋_GB2312"/>
          <w:sz w:val="28"/>
          <w:szCs w:val="28"/>
        </w:rPr>
      </w:pPr>
      <w:r>
        <w:rPr>
          <w:rFonts w:eastAsia="仿宋_GB2312"/>
          <w:spacing w:val="-10"/>
          <w:kern w:val="2"/>
          <w:sz w:val="28"/>
          <w:szCs w:val="28"/>
        </w:rPr>
        <w:t>（1）</w:t>
      </w:r>
      <w:r>
        <w:rPr>
          <w:rFonts w:eastAsia="仿宋_GB2312"/>
          <w:kern w:val="2"/>
          <w:sz w:val="28"/>
          <w:szCs w:val="28"/>
        </w:rPr>
        <w:t>估价对象为</w:t>
      </w:r>
      <w:r>
        <w:rPr>
          <w:rFonts w:hint="eastAsia" w:eastAsia="仿宋_GB2312"/>
          <w:kern w:val="2"/>
          <w:sz w:val="28"/>
          <w:szCs w:val="28"/>
        </w:rPr>
        <w:t>住宅</w:t>
      </w:r>
      <w:r>
        <w:rPr>
          <w:rFonts w:eastAsia="仿宋_GB2312"/>
          <w:kern w:val="2"/>
          <w:sz w:val="28"/>
          <w:szCs w:val="28"/>
        </w:rPr>
        <w:t>房地产，经估价人员调查</w:t>
      </w:r>
      <w:r>
        <w:rPr>
          <w:rFonts w:hint="eastAsia" w:eastAsia="仿宋_GB2312"/>
          <w:kern w:val="2"/>
          <w:sz w:val="28"/>
          <w:szCs w:val="28"/>
        </w:rPr>
        <w:t>，</w:t>
      </w:r>
      <w:r>
        <w:rPr>
          <w:rFonts w:eastAsia="仿宋_GB2312"/>
          <w:kern w:val="2"/>
          <w:sz w:val="28"/>
          <w:szCs w:val="28"/>
        </w:rPr>
        <w:t>近期同区域类似房地产交易较活跃</w:t>
      </w:r>
      <w:r>
        <w:rPr>
          <w:rFonts w:hint="eastAsia" w:eastAsia="仿宋_GB2312"/>
          <w:kern w:val="2"/>
          <w:sz w:val="28"/>
          <w:szCs w:val="28"/>
        </w:rPr>
        <w:t>，</w:t>
      </w:r>
      <w:r>
        <w:rPr>
          <w:rFonts w:eastAsia="仿宋_GB2312"/>
          <w:kern w:val="2"/>
          <w:sz w:val="28"/>
          <w:szCs w:val="28"/>
        </w:rPr>
        <w:t>市场案例</w:t>
      </w:r>
      <w:r>
        <w:rPr>
          <w:rFonts w:hint="eastAsia" w:eastAsia="仿宋_GB2312"/>
          <w:kern w:val="2"/>
          <w:sz w:val="28"/>
          <w:szCs w:val="28"/>
        </w:rPr>
        <w:t>、</w:t>
      </w:r>
      <w:r>
        <w:rPr>
          <w:rFonts w:eastAsia="仿宋_GB2312"/>
          <w:kern w:val="2"/>
          <w:sz w:val="28"/>
          <w:szCs w:val="28"/>
        </w:rPr>
        <w:t>交易情况等</w:t>
      </w:r>
      <w:r>
        <w:rPr>
          <w:rFonts w:hint="eastAsia" w:eastAsia="仿宋_GB2312"/>
          <w:kern w:val="2"/>
          <w:sz w:val="28"/>
          <w:szCs w:val="28"/>
        </w:rPr>
        <w:t>较易</w:t>
      </w:r>
      <w:r>
        <w:rPr>
          <w:rFonts w:eastAsia="仿宋_GB2312"/>
          <w:kern w:val="2"/>
          <w:sz w:val="28"/>
          <w:szCs w:val="28"/>
        </w:rPr>
        <w:t>获取，适宜采用比较法。</w:t>
      </w:r>
    </w:p>
    <w:p>
      <w:pPr>
        <w:snapToGrid w:val="0"/>
        <w:spacing w:line="360" w:lineRule="auto"/>
        <w:ind w:firstLine="560" w:firstLineChars="200"/>
        <w:rPr>
          <w:rFonts w:eastAsia="仿宋_GB2312"/>
          <w:sz w:val="28"/>
          <w:szCs w:val="28"/>
        </w:rPr>
      </w:pPr>
      <w:r>
        <w:rPr>
          <w:rFonts w:eastAsia="仿宋_GB2312"/>
          <w:kern w:val="2"/>
          <w:sz w:val="28"/>
          <w:szCs w:val="28"/>
        </w:rPr>
        <w:t>（2）</w:t>
      </w:r>
      <w:r>
        <w:rPr>
          <w:rFonts w:hint="eastAsia" w:eastAsia="仿宋_GB2312"/>
          <w:kern w:val="2"/>
          <w:sz w:val="28"/>
          <w:szCs w:val="28"/>
        </w:rPr>
        <w:t>在估价对象所在区域丽江市永胜县，周边区域租赁市场不活跃，类似房地产出租的情况较少，出租的租金明显偏低，采用收益法估算出的住宅房地产价值大大低于正常市场交易价格，因此本次评估不宜采用收益法估价。</w:t>
      </w:r>
    </w:p>
    <w:p>
      <w:pPr>
        <w:snapToGrid w:val="0"/>
        <w:spacing w:line="360" w:lineRule="auto"/>
        <w:ind w:firstLine="560" w:firstLineChars="200"/>
        <w:rPr>
          <w:rFonts w:eastAsia="仿宋_GB2312"/>
          <w:sz w:val="28"/>
          <w:szCs w:val="28"/>
        </w:rPr>
      </w:pPr>
      <w:r>
        <w:rPr>
          <w:rFonts w:eastAsia="仿宋_GB2312"/>
          <w:kern w:val="2"/>
          <w:sz w:val="28"/>
          <w:szCs w:val="28"/>
        </w:rPr>
        <w:t>（3）由于成本法一般用于既无收益又很少发生交易的房地产的</w:t>
      </w:r>
      <w:r>
        <w:rPr>
          <w:rFonts w:hint="eastAsia" w:eastAsia="仿宋_GB2312"/>
          <w:kern w:val="2"/>
          <w:sz w:val="28"/>
          <w:szCs w:val="28"/>
        </w:rPr>
        <w:t>估价</w:t>
      </w:r>
      <w:r>
        <w:rPr>
          <w:rFonts w:eastAsia="仿宋_GB2312"/>
          <w:kern w:val="2"/>
          <w:sz w:val="28"/>
          <w:szCs w:val="28"/>
        </w:rPr>
        <w:t>，现实</w:t>
      </w:r>
      <w:r>
        <w:rPr>
          <w:rFonts w:hint="eastAsia" w:eastAsia="仿宋_GB2312"/>
          <w:kern w:val="2"/>
          <w:sz w:val="28"/>
          <w:szCs w:val="28"/>
        </w:rPr>
        <w:t>住宅</w:t>
      </w:r>
      <w:r>
        <w:rPr>
          <w:rFonts w:eastAsia="仿宋_GB2312"/>
          <w:kern w:val="2"/>
          <w:sz w:val="28"/>
          <w:szCs w:val="28"/>
        </w:rPr>
        <w:t>房地产价格与成本关联性弱，房地产的开发成本不能准确反映房地产的实际市场价值，故不宜采用成本法进行估价。</w:t>
      </w:r>
    </w:p>
    <w:p>
      <w:pPr>
        <w:snapToGrid w:val="0"/>
        <w:spacing w:line="360" w:lineRule="auto"/>
        <w:ind w:firstLine="560" w:firstLineChars="200"/>
        <w:rPr>
          <w:rFonts w:eastAsia="仿宋_GB2312"/>
          <w:sz w:val="28"/>
          <w:szCs w:val="28"/>
        </w:rPr>
      </w:pPr>
      <w:r>
        <w:rPr>
          <w:rFonts w:eastAsia="仿宋_GB2312"/>
          <w:kern w:val="2"/>
          <w:sz w:val="28"/>
          <w:szCs w:val="28"/>
        </w:rPr>
        <w:t>（4）由于假设开发法适用于具有投资开发或再开发潜力的房地产的评估，估价对象属于建成并已投入使用的物业，就目前状态处于最佳利用，不存在重新开发利用，因此不适宜采用假设开发法进行评估</w:t>
      </w:r>
      <w:r>
        <w:rPr>
          <w:rFonts w:hint="eastAsia" w:eastAsia="仿宋_GB2312"/>
          <w:kern w:val="2"/>
          <w:sz w:val="28"/>
          <w:szCs w:val="28"/>
        </w:rPr>
        <w:t>。</w:t>
      </w:r>
    </w:p>
    <w:p>
      <w:pPr>
        <w:snapToGrid w:val="0"/>
        <w:spacing w:line="360" w:lineRule="auto"/>
        <w:ind w:firstLine="560" w:firstLineChars="200"/>
        <w:rPr>
          <w:rFonts w:eastAsia="仿宋_GB2312"/>
          <w:sz w:val="28"/>
          <w:szCs w:val="28"/>
        </w:rPr>
      </w:pPr>
      <w:r>
        <w:rPr>
          <w:rFonts w:eastAsia="仿宋_GB2312"/>
          <w:kern w:val="2"/>
          <w:sz w:val="28"/>
          <w:szCs w:val="28"/>
        </w:rPr>
        <w:t>据此分析，本次</w:t>
      </w:r>
      <w:r>
        <w:rPr>
          <w:rFonts w:hint="eastAsia" w:eastAsia="仿宋_GB2312"/>
          <w:kern w:val="2"/>
          <w:sz w:val="28"/>
          <w:szCs w:val="28"/>
        </w:rPr>
        <w:t>估价</w:t>
      </w:r>
      <w:r>
        <w:rPr>
          <w:rFonts w:eastAsia="仿宋_GB2312"/>
          <w:kern w:val="2"/>
          <w:sz w:val="28"/>
          <w:szCs w:val="28"/>
        </w:rPr>
        <w:t>采用比较法</w:t>
      </w:r>
      <w:r>
        <w:rPr>
          <w:rFonts w:hint="eastAsia" w:eastAsia="仿宋_GB2312"/>
          <w:kern w:val="2"/>
          <w:sz w:val="28"/>
          <w:szCs w:val="28"/>
        </w:rPr>
        <w:t>进行测算</w:t>
      </w:r>
      <w:r>
        <w:rPr>
          <w:rFonts w:eastAsia="仿宋_GB2312"/>
          <w:kern w:val="2"/>
          <w:sz w:val="28"/>
          <w:szCs w:val="28"/>
        </w:rPr>
        <w:t>。</w:t>
      </w:r>
    </w:p>
    <w:p>
      <w:pPr>
        <w:snapToGrid w:val="0"/>
        <w:spacing w:before="156" w:line="360" w:lineRule="auto"/>
        <w:ind w:firstLine="562" w:firstLineChars="200"/>
        <w:rPr>
          <w:rFonts w:eastAsia="仿宋_GB2312"/>
          <w:sz w:val="28"/>
          <w:szCs w:val="28"/>
        </w:rPr>
      </w:pPr>
      <w:r>
        <w:rPr>
          <w:rFonts w:eastAsia="仿宋_GB2312"/>
          <w:b/>
          <w:kern w:val="2"/>
          <w:sz w:val="28"/>
          <w:szCs w:val="28"/>
        </w:rPr>
        <w:t>2、估价方法简介</w:t>
      </w:r>
    </w:p>
    <w:p>
      <w:pPr>
        <w:snapToGrid w:val="0"/>
        <w:spacing w:line="360" w:lineRule="auto"/>
        <w:ind w:firstLine="560" w:firstLineChars="200"/>
        <w:rPr>
          <w:rFonts w:eastAsia="仿宋_GB2312"/>
          <w:sz w:val="28"/>
          <w:szCs w:val="28"/>
        </w:rPr>
      </w:pPr>
      <w:r>
        <w:rPr>
          <w:rFonts w:eastAsia="仿宋_GB2312"/>
          <w:kern w:val="2"/>
          <w:sz w:val="28"/>
          <w:szCs w:val="28"/>
        </w:rPr>
        <w:t>比较法：选取一定数量的可比实例，将它们与估价对象进行比较，根据其间的差异对可比实例成交价格进行处理后得到估价对象价值或价格的方法。</w:t>
      </w:r>
    </w:p>
    <w:p>
      <w:pPr>
        <w:snapToGrid w:val="0"/>
        <w:spacing w:line="360" w:lineRule="auto"/>
        <w:ind w:firstLine="560" w:firstLineChars="200"/>
        <w:rPr>
          <w:rFonts w:eastAsia="仿宋_GB2312"/>
          <w:kern w:val="2"/>
          <w:sz w:val="28"/>
          <w:szCs w:val="28"/>
        </w:rPr>
      </w:pPr>
      <w:r>
        <w:rPr>
          <w:rFonts w:eastAsia="仿宋_GB2312"/>
          <w:kern w:val="2"/>
          <w:sz w:val="28"/>
          <w:szCs w:val="28"/>
        </w:rPr>
        <w:t>计算公式：估价对象价格=可比实例价格×交易情况修正系数×市场状况修正系数×区位状况修正系数×实物状况修正系数×权益状况修正系数</w:t>
      </w:r>
    </w:p>
    <w:p>
      <w:pPr>
        <w:pStyle w:val="3"/>
        <w:snapToGrid w:val="0"/>
        <w:spacing w:before="120" w:line="360" w:lineRule="auto"/>
        <w:rPr>
          <w:rFonts w:ascii="Times New Roman" w:hAnsi="Times New Roman" w:eastAsia="仿宋_GB2312" w:cs="Times New Roman"/>
          <w:color w:val="000000"/>
          <w:sz w:val="32"/>
        </w:rPr>
      </w:pPr>
      <w:bookmarkStart w:id="55" w:name="_Toc60997061"/>
      <w:bookmarkStart w:id="56" w:name="_Toc480967881"/>
      <w:bookmarkStart w:id="57" w:name="_Toc485393195"/>
      <w:bookmarkStart w:id="58" w:name="_Toc8276"/>
      <w:r>
        <w:rPr>
          <w:rFonts w:ascii="Times New Roman" w:hAnsi="Times New Roman" w:eastAsia="仿宋_GB2312" w:cs="Times New Roman"/>
          <w:color w:val="000000"/>
          <w:sz w:val="32"/>
        </w:rPr>
        <w:t>（十）估价结果</w:t>
      </w:r>
      <w:bookmarkEnd w:id="55"/>
      <w:bookmarkEnd w:id="56"/>
      <w:bookmarkEnd w:id="57"/>
      <w:bookmarkEnd w:id="58"/>
    </w:p>
    <w:p>
      <w:pPr>
        <w:snapToGrid w:val="0"/>
        <w:spacing w:line="360" w:lineRule="auto"/>
        <w:ind w:firstLine="560" w:firstLineChars="200"/>
        <w:jc w:val="left"/>
        <w:rPr>
          <w:rFonts w:eastAsia="仿宋_GB2312"/>
          <w:sz w:val="28"/>
          <w:szCs w:val="28"/>
        </w:rPr>
      </w:pPr>
      <w:bookmarkStart w:id="59" w:name="_Toc485393196"/>
      <w:bookmarkStart w:id="60" w:name="_Toc480967882"/>
      <w:r>
        <w:rPr>
          <w:rFonts w:eastAsia="仿宋_GB2312"/>
          <w:sz w:val="28"/>
          <w:szCs w:val="28"/>
        </w:rPr>
        <w:t>估价人员经过实地查勘和市场调查，根据估价目的，遵照国家的相关法规及估价原则，按照估价程序，采用科学合理的估价方法，在认真分析相关资料的基础上，并综合考虑影响房地产市场价格的各项因素，结合估价师的专业经验和周密测算与判断，确定估价对象在价值时点的估价结果为</w:t>
      </w:r>
      <w:r>
        <w:rPr>
          <w:rFonts w:hint="eastAsia" w:eastAsia="仿宋_GB2312"/>
          <w:sz w:val="28"/>
          <w:szCs w:val="28"/>
        </w:rPr>
        <w:t>人民币</w:t>
      </w:r>
      <w:r>
        <w:rPr>
          <w:rFonts w:hint="eastAsia" w:eastAsia="仿宋_GB2312"/>
          <w:sz w:val="28"/>
          <w:szCs w:val="28"/>
          <w:lang w:eastAsia="zh-CN"/>
        </w:rPr>
        <w:t>509,500.00</w:t>
      </w:r>
      <w:r>
        <w:rPr>
          <w:rFonts w:hint="eastAsia" w:eastAsia="仿宋_GB2312"/>
          <w:sz w:val="28"/>
          <w:szCs w:val="28"/>
        </w:rPr>
        <w:t>元（大写：</w:t>
      </w:r>
      <w:r>
        <w:rPr>
          <w:rFonts w:hint="eastAsia" w:eastAsia="仿宋_GB2312"/>
          <w:sz w:val="28"/>
          <w:szCs w:val="28"/>
          <w:lang w:eastAsia="zh-CN"/>
        </w:rPr>
        <w:t>伍拾万零玖仟伍佰元整</w:t>
      </w:r>
      <w:r>
        <w:rPr>
          <w:rFonts w:hint="eastAsia" w:eastAsia="仿宋_GB2312"/>
          <w:sz w:val="28"/>
          <w:szCs w:val="28"/>
        </w:rPr>
        <w:t>）。</w:t>
      </w:r>
    </w:p>
    <w:p>
      <w:pPr>
        <w:widowControl/>
        <w:adjustRightInd/>
        <w:spacing w:line="520" w:lineRule="atLeast"/>
        <w:jc w:val="center"/>
        <w:textAlignment w:val="auto"/>
        <w:rPr>
          <w:rFonts w:ascii="仿宋_GB2312" w:eastAsia="仿宋_GB2312"/>
          <w:b/>
          <w:sz w:val="28"/>
          <w:szCs w:val="28"/>
        </w:rPr>
      </w:pPr>
      <w:r>
        <w:rPr>
          <w:rFonts w:hint="eastAsia" w:ascii="仿宋_GB2312" w:eastAsia="仿宋_GB2312"/>
          <w:b/>
          <w:sz w:val="28"/>
          <w:szCs w:val="28"/>
        </w:rPr>
        <w:t>估价结果汇总表</w:t>
      </w:r>
    </w:p>
    <w:p>
      <w:pPr>
        <w:snapToGrid w:val="0"/>
        <w:spacing w:line="360" w:lineRule="auto"/>
        <w:ind w:firstLine="422" w:firstLineChars="200"/>
        <w:jc w:val="right"/>
        <w:rPr>
          <w:rFonts w:ascii="仿宋_GB2312" w:eastAsia="仿宋_GB2312"/>
          <w:b/>
          <w:sz w:val="28"/>
          <w:szCs w:val="28"/>
        </w:rPr>
      </w:pPr>
      <w:r>
        <w:rPr>
          <w:rFonts w:hint="eastAsia" w:ascii="仿宋_GB2312" w:eastAsia="仿宋_GB2312" w:cs="宋体"/>
          <w:b/>
          <w:szCs w:val="21"/>
        </w:rPr>
        <w:t>币种：人民币</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0"/>
        <w:gridCol w:w="2691"/>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368" w:type="pct"/>
            <w:gridSpan w:val="2"/>
            <w:tcBorders>
              <w:tl2br w:val="single" w:color="auto" w:sz="4" w:space="0"/>
            </w:tcBorders>
            <w:vAlign w:val="center"/>
          </w:tcPr>
          <w:p>
            <w:pPr>
              <w:snapToGrid w:val="0"/>
              <w:spacing w:line="360" w:lineRule="auto"/>
              <w:jc w:val="right"/>
              <w:rPr>
                <w:rFonts w:eastAsia="仿宋_GB2312"/>
                <w:szCs w:val="21"/>
              </w:rPr>
            </w:pPr>
            <w:r>
              <w:rPr>
                <w:rFonts w:hint="eastAsia" w:eastAsia="仿宋_GB2312"/>
                <w:szCs w:val="21"/>
              </w:rPr>
              <w:t>估价方法</w:t>
            </w:r>
          </w:p>
          <w:p>
            <w:pPr>
              <w:snapToGrid w:val="0"/>
              <w:spacing w:line="240" w:lineRule="auto"/>
              <w:rPr>
                <w:rFonts w:eastAsia="仿宋_GB2312"/>
                <w:szCs w:val="21"/>
              </w:rPr>
            </w:pPr>
            <w:r>
              <w:rPr>
                <w:rFonts w:hint="eastAsia" w:eastAsia="仿宋_GB2312"/>
                <w:szCs w:val="21"/>
              </w:rPr>
              <w:t>相关结果</w:t>
            </w:r>
          </w:p>
        </w:tc>
        <w:tc>
          <w:tcPr>
            <w:tcW w:w="1631" w:type="pct"/>
            <w:vAlign w:val="center"/>
          </w:tcPr>
          <w:p>
            <w:pPr>
              <w:snapToGrid w:val="0"/>
              <w:spacing w:line="240" w:lineRule="auto"/>
              <w:jc w:val="center"/>
              <w:rPr>
                <w:rFonts w:eastAsia="仿宋_GB2312"/>
                <w:szCs w:val="21"/>
              </w:rPr>
            </w:pPr>
            <w:r>
              <w:rPr>
                <w:rFonts w:hint="eastAsia" w:eastAsia="仿宋_GB2312"/>
                <w:szCs w:val="21"/>
              </w:rPr>
              <w:t>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5" w:type="pct"/>
            <w:vMerge w:val="restart"/>
            <w:vAlign w:val="center"/>
          </w:tcPr>
          <w:p>
            <w:pPr>
              <w:snapToGrid w:val="0"/>
              <w:spacing w:line="240" w:lineRule="auto"/>
              <w:jc w:val="center"/>
              <w:rPr>
                <w:rFonts w:eastAsia="仿宋_GB2312"/>
                <w:szCs w:val="21"/>
              </w:rPr>
            </w:pPr>
            <w:r>
              <w:rPr>
                <w:rFonts w:hint="eastAsia" w:eastAsia="仿宋_GB2312"/>
                <w:szCs w:val="21"/>
              </w:rPr>
              <w:t>永胜县永北镇华程小区2幢1单元101室房地产</w:t>
            </w:r>
          </w:p>
        </w:tc>
        <w:tc>
          <w:tcPr>
            <w:tcW w:w="1523" w:type="pct"/>
            <w:vAlign w:val="center"/>
          </w:tcPr>
          <w:p>
            <w:pPr>
              <w:snapToGrid w:val="0"/>
              <w:spacing w:line="240" w:lineRule="auto"/>
              <w:jc w:val="left"/>
              <w:rPr>
                <w:rFonts w:eastAsia="仿宋_GB2312"/>
                <w:szCs w:val="21"/>
              </w:rPr>
            </w:pPr>
            <w:r>
              <w:rPr>
                <w:rFonts w:hint="eastAsia" w:eastAsia="仿宋_GB2312"/>
                <w:szCs w:val="21"/>
              </w:rPr>
              <w:t>总价（元）</w:t>
            </w:r>
          </w:p>
        </w:tc>
        <w:tc>
          <w:tcPr>
            <w:tcW w:w="1631" w:type="pct"/>
            <w:vAlign w:val="center"/>
          </w:tcPr>
          <w:p>
            <w:pPr>
              <w:snapToGrid w:val="0"/>
              <w:spacing w:line="240" w:lineRule="auto"/>
              <w:jc w:val="right"/>
              <w:rPr>
                <w:rFonts w:hint="eastAsia" w:eastAsia="仿宋_GB2312"/>
                <w:szCs w:val="21"/>
                <w:lang w:eastAsia="zh-CN"/>
              </w:rPr>
            </w:pPr>
            <w:r>
              <w:rPr>
                <w:rFonts w:hint="eastAsia" w:eastAsia="仿宋_GB2312"/>
                <w:color w:val="000000"/>
                <w:szCs w:val="21"/>
                <w:lang w:eastAsia="zh-CN"/>
              </w:rPr>
              <w:t>509,500.00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5" w:type="pct"/>
            <w:vMerge w:val="continue"/>
            <w:vAlign w:val="center"/>
          </w:tcPr>
          <w:p>
            <w:pPr>
              <w:snapToGrid w:val="0"/>
              <w:spacing w:line="360" w:lineRule="auto"/>
              <w:jc w:val="center"/>
              <w:rPr>
                <w:rFonts w:eastAsia="仿宋_GB2312"/>
                <w:szCs w:val="21"/>
              </w:rPr>
            </w:pPr>
          </w:p>
        </w:tc>
        <w:tc>
          <w:tcPr>
            <w:tcW w:w="1523" w:type="pct"/>
            <w:vAlign w:val="center"/>
          </w:tcPr>
          <w:p>
            <w:pPr>
              <w:snapToGrid w:val="0"/>
              <w:spacing w:line="240" w:lineRule="auto"/>
              <w:jc w:val="left"/>
              <w:rPr>
                <w:rFonts w:eastAsia="仿宋_GB2312"/>
                <w:szCs w:val="21"/>
              </w:rPr>
            </w:pPr>
            <w:r>
              <w:rPr>
                <w:rFonts w:hint="eastAsia" w:eastAsia="仿宋_GB2312"/>
                <w:szCs w:val="21"/>
              </w:rPr>
              <w:t>单价（元</w:t>
            </w:r>
            <w:r>
              <w:rPr>
                <w:rFonts w:eastAsia="仿宋_GB2312"/>
                <w:szCs w:val="21"/>
              </w:rPr>
              <w:t>/</w:t>
            </w:r>
            <w:r>
              <w:rPr>
                <w:rFonts w:hint="eastAsia" w:ascii="Batang" w:hAnsi="Batang" w:eastAsia="Batang" w:cs="Batang"/>
                <w:szCs w:val="21"/>
              </w:rPr>
              <w:t>㎡</w:t>
            </w:r>
            <w:r>
              <w:rPr>
                <w:rFonts w:hint="eastAsia" w:eastAsia="仿宋_GB2312"/>
                <w:szCs w:val="21"/>
              </w:rPr>
              <w:t>）</w:t>
            </w:r>
          </w:p>
        </w:tc>
        <w:tc>
          <w:tcPr>
            <w:tcW w:w="1631" w:type="pct"/>
            <w:vAlign w:val="center"/>
          </w:tcPr>
          <w:p>
            <w:pPr>
              <w:snapToGrid w:val="0"/>
              <w:spacing w:line="240" w:lineRule="auto"/>
              <w:jc w:val="right"/>
              <w:rPr>
                <w:rFonts w:hint="eastAsia" w:eastAsia="仿宋_GB2312"/>
                <w:szCs w:val="21"/>
                <w:lang w:eastAsia="zh-CN"/>
              </w:rPr>
            </w:pPr>
            <w:r>
              <w:rPr>
                <w:rFonts w:hint="eastAsia" w:eastAsia="仿宋_GB2312"/>
                <w:color w:val="000000"/>
                <w:szCs w:val="21"/>
                <w:lang w:eastAsia="zh-CN"/>
              </w:rPr>
              <w:t>4,876.00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5" w:type="pct"/>
            <w:vMerge w:val="restart"/>
            <w:vAlign w:val="center"/>
          </w:tcPr>
          <w:p>
            <w:pPr>
              <w:snapToGrid w:val="0"/>
              <w:spacing w:line="240" w:lineRule="auto"/>
              <w:jc w:val="center"/>
              <w:rPr>
                <w:rFonts w:eastAsia="仿宋_GB2312"/>
                <w:szCs w:val="21"/>
              </w:rPr>
            </w:pPr>
            <w:r>
              <w:rPr>
                <w:rFonts w:hint="eastAsia" w:eastAsia="仿宋_GB2312"/>
                <w:szCs w:val="21"/>
              </w:rPr>
              <w:t>评估价值</w:t>
            </w:r>
          </w:p>
        </w:tc>
        <w:tc>
          <w:tcPr>
            <w:tcW w:w="2691" w:type="dxa"/>
            <w:vAlign w:val="center"/>
          </w:tcPr>
          <w:p>
            <w:pPr>
              <w:snapToGrid w:val="0"/>
              <w:spacing w:line="240" w:lineRule="auto"/>
              <w:jc w:val="left"/>
              <w:rPr>
                <w:rFonts w:eastAsia="仿宋_GB2312"/>
                <w:szCs w:val="21"/>
              </w:rPr>
            </w:pPr>
            <w:r>
              <w:rPr>
                <w:rFonts w:hint="eastAsia" w:eastAsia="仿宋_GB2312"/>
                <w:szCs w:val="21"/>
              </w:rPr>
              <w:t>总价（元）</w:t>
            </w:r>
          </w:p>
        </w:tc>
        <w:tc>
          <w:tcPr>
            <w:tcW w:w="2883" w:type="dxa"/>
            <w:vAlign w:val="center"/>
          </w:tcPr>
          <w:p>
            <w:pPr>
              <w:snapToGrid w:val="0"/>
              <w:spacing w:line="240" w:lineRule="auto"/>
              <w:jc w:val="right"/>
              <w:rPr>
                <w:rFonts w:hint="eastAsia" w:eastAsia="仿宋_GB2312"/>
                <w:color w:val="000000"/>
                <w:szCs w:val="21"/>
                <w:lang w:eastAsia="zh-CN"/>
              </w:rPr>
            </w:pPr>
            <w:r>
              <w:rPr>
                <w:rFonts w:hint="eastAsia" w:eastAsia="仿宋_GB2312"/>
                <w:color w:val="000000"/>
                <w:szCs w:val="21"/>
                <w:lang w:eastAsia="zh-CN"/>
              </w:rPr>
              <w:t>509,500.00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5" w:type="pct"/>
            <w:vMerge w:val="continue"/>
            <w:vAlign w:val="center"/>
          </w:tcPr>
          <w:p>
            <w:pPr>
              <w:snapToGrid w:val="0"/>
              <w:spacing w:line="240" w:lineRule="auto"/>
              <w:jc w:val="center"/>
              <w:rPr>
                <w:rFonts w:eastAsia="仿宋_GB2312"/>
                <w:szCs w:val="21"/>
              </w:rPr>
            </w:pPr>
          </w:p>
        </w:tc>
        <w:tc>
          <w:tcPr>
            <w:tcW w:w="2691" w:type="dxa"/>
            <w:vAlign w:val="center"/>
          </w:tcPr>
          <w:p>
            <w:pPr>
              <w:snapToGrid w:val="0"/>
              <w:spacing w:line="240" w:lineRule="auto"/>
              <w:jc w:val="left"/>
              <w:rPr>
                <w:rFonts w:eastAsia="仿宋_GB2312"/>
                <w:szCs w:val="21"/>
              </w:rPr>
            </w:pPr>
            <w:r>
              <w:rPr>
                <w:rFonts w:hint="eastAsia" w:eastAsia="仿宋_GB2312"/>
                <w:szCs w:val="21"/>
              </w:rPr>
              <w:t>单价（元</w:t>
            </w:r>
            <w:r>
              <w:rPr>
                <w:rFonts w:eastAsia="仿宋_GB2312"/>
                <w:szCs w:val="21"/>
              </w:rPr>
              <w:t>/</w:t>
            </w:r>
            <w:r>
              <w:rPr>
                <w:rFonts w:hint="eastAsia" w:ascii="Batang" w:hAnsi="Batang" w:eastAsia="Batang" w:cs="Batang"/>
                <w:szCs w:val="21"/>
              </w:rPr>
              <w:t>㎡</w:t>
            </w:r>
            <w:r>
              <w:rPr>
                <w:rFonts w:hint="eastAsia" w:eastAsia="仿宋_GB2312"/>
                <w:szCs w:val="21"/>
              </w:rPr>
              <w:t>）</w:t>
            </w:r>
          </w:p>
        </w:tc>
        <w:tc>
          <w:tcPr>
            <w:tcW w:w="2883" w:type="dxa"/>
            <w:vAlign w:val="center"/>
          </w:tcPr>
          <w:p>
            <w:pPr>
              <w:snapToGrid w:val="0"/>
              <w:spacing w:line="240" w:lineRule="auto"/>
              <w:jc w:val="right"/>
              <w:rPr>
                <w:rFonts w:hint="eastAsia" w:eastAsia="仿宋_GB2312"/>
                <w:color w:val="000000"/>
                <w:szCs w:val="21"/>
                <w:lang w:eastAsia="zh-CN"/>
              </w:rPr>
            </w:pPr>
            <w:r>
              <w:rPr>
                <w:rFonts w:hint="eastAsia" w:eastAsia="仿宋_GB2312"/>
                <w:color w:val="000000"/>
                <w:szCs w:val="21"/>
                <w:lang w:eastAsia="zh-CN"/>
              </w:rPr>
              <w:t>4,876.00</w:t>
            </w:r>
          </w:p>
        </w:tc>
      </w:tr>
    </w:tbl>
    <w:p/>
    <w:p>
      <w:pPr>
        <w:pStyle w:val="3"/>
        <w:snapToGrid w:val="0"/>
        <w:spacing w:before="120" w:line="360" w:lineRule="auto"/>
        <w:rPr>
          <w:rFonts w:ascii="Times New Roman" w:hAnsi="Times New Roman" w:eastAsia="仿宋_GB2312" w:cs="Times New Roman"/>
          <w:color w:val="000000"/>
          <w:sz w:val="32"/>
        </w:rPr>
      </w:pPr>
      <w:bookmarkStart w:id="61" w:name="_Toc32551"/>
      <w:r>
        <w:rPr>
          <w:rFonts w:ascii="Times New Roman" w:hAnsi="Times New Roman" w:eastAsia="仿宋_GB2312" w:cs="Times New Roman"/>
          <w:color w:val="000000"/>
          <w:sz w:val="32"/>
        </w:rPr>
        <w:t>（十一）注册房地产估价师</w:t>
      </w:r>
      <w:bookmarkEnd w:id="59"/>
      <w:bookmarkEnd w:id="60"/>
      <w:bookmarkEnd w:id="61"/>
    </w:p>
    <w:tbl>
      <w:tblPr>
        <w:tblStyle w:val="23"/>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2175"/>
        <w:gridCol w:w="2405"/>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2038" w:type="dxa"/>
            <w:vAlign w:val="center"/>
          </w:tcPr>
          <w:p>
            <w:pPr>
              <w:snapToGrid w:val="0"/>
              <w:spacing w:line="240" w:lineRule="auto"/>
              <w:jc w:val="center"/>
              <w:rPr>
                <w:rFonts w:eastAsia="仿宋_GB2312"/>
                <w:b/>
                <w:bCs/>
                <w:sz w:val="28"/>
                <w:szCs w:val="28"/>
              </w:rPr>
            </w:pPr>
            <w:bookmarkStart w:id="62" w:name="_Toc485393197"/>
            <w:bookmarkStart w:id="63" w:name="_Toc480967883"/>
            <w:r>
              <w:rPr>
                <w:rFonts w:eastAsia="仿宋_GB2312"/>
                <w:b/>
                <w:bCs/>
                <w:sz w:val="28"/>
                <w:szCs w:val="28"/>
              </w:rPr>
              <w:t>姓名</w:t>
            </w:r>
          </w:p>
        </w:tc>
        <w:tc>
          <w:tcPr>
            <w:tcW w:w="2175" w:type="dxa"/>
            <w:vAlign w:val="center"/>
          </w:tcPr>
          <w:p>
            <w:pPr>
              <w:snapToGrid w:val="0"/>
              <w:spacing w:line="240" w:lineRule="auto"/>
              <w:jc w:val="center"/>
              <w:rPr>
                <w:rFonts w:eastAsia="仿宋_GB2312"/>
                <w:b/>
                <w:bCs/>
                <w:sz w:val="28"/>
                <w:szCs w:val="28"/>
              </w:rPr>
            </w:pPr>
            <w:r>
              <w:rPr>
                <w:rFonts w:eastAsia="仿宋_GB2312"/>
                <w:b/>
                <w:bCs/>
                <w:sz w:val="28"/>
                <w:szCs w:val="28"/>
              </w:rPr>
              <w:t>注册号</w:t>
            </w:r>
          </w:p>
        </w:tc>
        <w:tc>
          <w:tcPr>
            <w:tcW w:w="2405" w:type="dxa"/>
            <w:vAlign w:val="center"/>
          </w:tcPr>
          <w:p>
            <w:pPr>
              <w:snapToGrid w:val="0"/>
              <w:spacing w:line="240" w:lineRule="auto"/>
              <w:jc w:val="center"/>
              <w:rPr>
                <w:rFonts w:eastAsia="仿宋_GB2312"/>
                <w:b/>
                <w:bCs/>
                <w:sz w:val="28"/>
                <w:szCs w:val="28"/>
              </w:rPr>
            </w:pPr>
            <w:r>
              <w:rPr>
                <w:rFonts w:eastAsia="仿宋_GB2312"/>
                <w:b/>
                <w:bCs/>
                <w:sz w:val="28"/>
                <w:szCs w:val="28"/>
              </w:rPr>
              <w:t>签名</w:t>
            </w:r>
          </w:p>
        </w:tc>
        <w:tc>
          <w:tcPr>
            <w:tcW w:w="2315" w:type="dxa"/>
            <w:vAlign w:val="center"/>
          </w:tcPr>
          <w:p>
            <w:pPr>
              <w:snapToGrid w:val="0"/>
              <w:spacing w:line="240" w:lineRule="auto"/>
              <w:jc w:val="center"/>
              <w:rPr>
                <w:rFonts w:eastAsia="仿宋_GB2312"/>
                <w:b/>
                <w:bCs/>
                <w:sz w:val="28"/>
                <w:szCs w:val="28"/>
              </w:rPr>
            </w:pPr>
            <w:r>
              <w:rPr>
                <w:rFonts w:eastAsia="仿宋_GB2312"/>
                <w:b/>
                <w:bCs/>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2038" w:type="dxa"/>
            <w:vAlign w:val="center"/>
          </w:tcPr>
          <w:p>
            <w:pPr>
              <w:snapToGrid w:val="0"/>
              <w:spacing w:line="240" w:lineRule="auto"/>
              <w:jc w:val="center"/>
              <w:rPr>
                <w:rFonts w:eastAsia="仿宋_GB2312"/>
                <w:bCs/>
                <w:sz w:val="28"/>
                <w:szCs w:val="28"/>
              </w:rPr>
            </w:pPr>
            <w:r>
              <w:rPr>
                <w:rFonts w:hint="eastAsia" w:eastAsia="仿宋_GB2312"/>
                <w:bCs/>
                <w:sz w:val="28"/>
                <w:szCs w:val="28"/>
              </w:rPr>
              <w:t>杨倩</w:t>
            </w:r>
          </w:p>
        </w:tc>
        <w:tc>
          <w:tcPr>
            <w:tcW w:w="2175" w:type="dxa"/>
            <w:vAlign w:val="center"/>
          </w:tcPr>
          <w:p>
            <w:pPr>
              <w:snapToGrid w:val="0"/>
              <w:spacing w:line="240" w:lineRule="auto"/>
              <w:jc w:val="center"/>
              <w:rPr>
                <w:rFonts w:eastAsia="仿宋_GB2312"/>
                <w:bCs/>
                <w:sz w:val="28"/>
                <w:szCs w:val="28"/>
              </w:rPr>
            </w:pPr>
            <w:r>
              <w:rPr>
                <w:rFonts w:eastAsia="仿宋_GB2312"/>
                <w:color w:val="000000"/>
                <w:kern w:val="28"/>
                <w:sz w:val="28"/>
                <w:szCs w:val="28"/>
              </w:rPr>
              <w:t>53201</w:t>
            </w:r>
            <w:r>
              <w:rPr>
                <w:rFonts w:hint="eastAsia" w:eastAsia="仿宋_GB2312"/>
                <w:color w:val="000000"/>
                <w:kern w:val="28"/>
                <w:sz w:val="28"/>
                <w:szCs w:val="28"/>
              </w:rPr>
              <w:t>4</w:t>
            </w:r>
            <w:r>
              <w:rPr>
                <w:rFonts w:eastAsia="仿宋_GB2312"/>
                <w:color w:val="000000"/>
                <w:kern w:val="28"/>
                <w:sz w:val="28"/>
                <w:szCs w:val="28"/>
              </w:rPr>
              <w:t>00</w:t>
            </w:r>
            <w:r>
              <w:rPr>
                <w:rFonts w:hint="eastAsia" w:eastAsia="仿宋_GB2312"/>
                <w:color w:val="000000"/>
                <w:kern w:val="28"/>
                <w:sz w:val="28"/>
                <w:szCs w:val="28"/>
              </w:rPr>
              <w:t>67</w:t>
            </w:r>
          </w:p>
        </w:tc>
        <w:tc>
          <w:tcPr>
            <w:tcW w:w="2405" w:type="dxa"/>
            <w:vAlign w:val="center"/>
          </w:tcPr>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rPr>
                <w:rFonts w:eastAsia="仿宋_GB2312"/>
                <w:b/>
                <w:bCs/>
                <w:sz w:val="28"/>
                <w:szCs w:val="28"/>
              </w:rPr>
            </w:pPr>
          </w:p>
          <w:p>
            <w:pPr>
              <w:snapToGrid w:val="0"/>
              <w:spacing w:line="240" w:lineRule="auto"/>
              <w:rPr>
                <w:rFonts w:eastAsia="仿宋_GB2312"/>
                <w:b/>
                <w:bCs/>
                <w:sz w:val="28"/>
                <w:szCs w:val="28"/>
              </w:rPr>
            </w:pPr>
          </w:p>
        </w:tc>
        <w:tc>
          <w:tcPr>
            <w:tcW w:w="2315" w:type="dxa"/>
            <w:vAlign w:val="center"/>
          </w:tcPr>
          <w:p>
            <w:pPr>
              <w:snapToGrid w:val="0"/>
              <w:spacing w:line="240" w:lineRule="auto"/>
              <w:jc w:val="center"/>
              <w:rPr>
                <w:rFonts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2038" w:type="dxa"/>
            <w:vAlign w:val="center"/>
          </w:tcPr>
          <w:p>
            <w:pPr>
              <w:snapToGrid w:val="0"/>
              <w:spacing w:line="240" w:lineRule="auto"/>
              <w:jc w:val="center"/>
              <w:rPr>
                <w:rFonts w:eastAsia="仿宋_GB2312"/>
                <w:bCs/>
                <w:sz w:val="28"/>
                <w:szCs w:val="28"/>
              </w:rPr>
            </w:pPr>
            <w:r>
              <w:rPr>
                <w:rFonts w:hint="eastAsia" w:eastAsia="仿宋_GB2312"/>
                <w:bCs/>
                <w:sz w:val="28"/>
                <w:szCs w:val="28"/>
              </w:rPr>
              <w:t>杨维</w:t>
            </w:r>
          </w:p>
        </w:tc>
        <w:tc>
          <w:tcPr>
            <w:tcW w:w="2175" w:type="dxa"/>
            <w:vAlign w:val="center"/>
          </w:tcPr>
          <w:p>
            <w:pPr>
              <w:snapToGrid w:val="0"/>
              <w:spacing w:line="240" w:lineRule="auto"/>
              <w:jc w:val="center"/>
              <w:rPr>
                <w:rFonts w:eastAsia="仿宋_GB2312"/>
                <w:bCs/>
                <w:sz w:val="28"/>
                <w:szCs w:val="28"/>
              </w:rPr>
            </w:pPr>
            <w:r>
              <w:rPr>
                <w:rFonts w:eastAsia="仿宋_GB2312"/>
                <w:sz w:val="28"/>
                <w:szCs w:val="28"/>
              </w:rPr>
              <w:t>5320150022</w:t>
            </w:r>
          </w:p>
        </w:tc>
        <w:tc>
          <w:tcPr>
            <w:tcW w:w="2405" w:type="dxa"/>
            <w:vAlign w:val="center"/>
          </w:tcPr>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rPr>
                <w:rFonts w:eastAsia="仿宋_GB2312"/>
                <w:b/>
                <w:bCs/>
                <w:sz w:val="28"/>
                <w:szCs w:val="28"/>
              </w:rPr>
            </w:pPr>
          </w:p>
        </w:tc>
        <w:tc>
          <w:tcPr>
            <w:tcW w:w="2315" w:type="dxa"/>
            <w:vAlign w:val="center"/>
          </w:tcPr>
          <w:p>
            <w:pPr>
              <w:snapToGrid w:val="0"/>
              <w:spacing w:line="240" w:lineRule="auto"/>
              <w:jc w:val="center"/>
              <w:rPr>
                <w:rFonts w:eastAsia="仿宋_GB2312"/>
                <w:b/>
                <w:bCs/>
                <w:sz w:val="28"/>
                <w:szCs w:val="28"/>
              </w:rPr>
            </w:pPr>
          </w:p>
        </w:tc>
      </w:tr>
    </w:tbl>
    <w:p>
      <w:pPr>
        <w:pStyle w:val="3"/>
        <w:snapToGrid w:val="0"/>
        <w:spacing w:before="240" w:beforeLines="100" w:line="360" w:lineRule="auto"/>
        <w:rPr>
          <w:rFonts w:ascii="Times New Roman" w:hAnsi="Times New Roman" w:eastAsia="仿宋_GB2312" w:cs="Times New Roman"/>
          <w:color w:val="000000"/>
          <w:sz w:val="32"/>
        </w:rPr>
      </w:pPr>
      <w:bookmarkStart w:id="64" w:name="_Toc22988"/>
      <w:r>
        <w:rPr>
          <w:rFonts w:ascii="Times New Roman" w:hAnsi="Times New Roman" w:eastAsia="仿宋_GB2312" w:cs="Times New Roman"/>
          <w:color w:val="000000"/>
          <w:sz w:val="32"/>
        </w:rPr>
        <w:t>（十二）实地查勘期</w:t>
      </w:r>
      <w:bookmarkEnd w:id="62"/>
      <w:bookmarkEnd w:id="63"/>
      <w:bookmarkEnd w:id="64"/>
    </w:p>
    <w:p>
      <w:pPr>
        <w:snapToGrid w:val="0"/>
        <w:spacing w:line="360" w:lineRule="auto"/>
        <w:ind w:firstLine="560" w:firstLineChars="200"/>
        <w:rPr>
          <w:rFonts w:eastAsia="仿宋_GB2312"/>
          <w:sz w:val="28"/>
          <w:szCs w:val="28"/>
        </w:rPr>
      </w:pPr>
      <w:r>
        <w:rPr>
          <w:rFonts w:hint="eastAsia" w:eastAsia="仿宋_GB2312"/>
          <w:sz w:val="28"/>
          <w:szCs w:val="28"/>
        </w:rPr>
        <w:t>2022年9月19日</w:t>
      </w:r>
      <w:r>
        <w:rPr>
          <w:rFonts w:eastAsia="仿宋_GB2312"/>
          <w:sz w:val="28"/>
          <w:szCs w:val="28"/>
        </w:rPr>
        <w:t>。</w:t>
      </w:r>
    </w:p>
    <w:p>
      <w:pPr>
        <w:pStyle w:val="3"/>
        <w:snapToGrid w:val="0"/>
        <w:spacing w:before="120" w:line="360" w:lineRule="auto"/>
        <w:rPr>
          <w:rFonts w:ascii="Times New Roman" w:hAnsi="Times New Roman" w:eastAsia="仿宋_GB2312" w:cs="Times New Roman"/>
          <w:color w:val="000000"/>
          <w:sz w:val="32"/>
        </w:rPr>
      </w:pPr>
      <w:bookmarkStart w:id="65" w:name="_Toc27698"/>
      <w:bookmarkStart w:id="66" w:name="_Toc480967884"/>
      <w:bookmarkStart w:id="67" w:name="_Toc485393198"/>
      <w:r>
        <w:rPr>
          <w:rFonts w:ascii="Times New Roman" w:hAnsi="Times New Roman" w:eastAsia="仿宋_GB2312" w:cs="Times New Roman"/>
          <w:color w:val="000000"/>
          <w:sz w:val="32"/>
        </w:rPr>
        <w:t>（十三）估价作业期</w:t>
      </w:r>
      <w:bookmarkEnd w:id="65"/>
      <w:bookmarkEnd w:id="66"/>
      <w:bookmarkEnd w:id="67"/>
    </w:p>
    <w:p>
      <w:pPr>
        <w:snapToGrid w:val="0"/>
        <w:spacing w:line="360" w:lineRule="auto"/>
        <w:ind w:firstLine="560" w:firstLineChars="200"/>
        <w:rPr>
          <w:rFonts w:eastAsia="仿宋_GB2312"/>
          <w:sz w:val="28"/>
          <w:szCs w:val="28"/>
        </w:rPr>
      </w:pPr>
      <w:r>
        <w:rPr>
          <w:rFonts w:hint="eastAsia" w:eastAsia="仿宋_GB2312"/>
          <w:sz w:val="28"/>
          <w:szCs w:val="28"/>
        </w:rPr>
        <w:t>2022年9月19日</w:t>
      </w:r>
      <w:r>
        <w:rPr>
          <w:rFonts w:eastAsia="仿宋_GB2312"/>
          <w:sz w:val="28"/>
          <w:szCs w:val="28"/>
        </w:rPr>
        <w:t>—</w:t>
      </w:r>
      <w:r>
        <w:rPr>
          <w:rFonts w:hint="eastAsia" w:eastAsia="仿宋_GB2312"/>
          <w:sz w:val="28"/>
          <w:szCs w:val="28"/>
          <w:lang w:eastAsia="zh-CN"/>
        </w:rPr>
        <w:t>2022年10月10日</w:t>
      </w:r>
      <w:r>
        <w:rPr>
          <w:rFonts w:eastAsia="仿宋_GB2312"/>
          <w:sz w:val="28"/>
          <w:szCs w:val="28"/>
        </w:rPr>
        <w:t>。</w:t>
      </w:r>
    </w:p>
    <w:p>
      <w:pPr>
        <w:pStyle w:val="3"/>
        <w:snapToGrid w:val="0"/>
        <w:spacing w:before="120" w:line="360" w:lineRule="auto"/>
        <w:rPr>
          <w:rFonts w:ascii="Times New Roman" w:hAnsi="Times New Roman" w:eastAsia="仿宋_GB2312" w:cs="Times New Roman"/>
          <w:color w:val="000000"/>
          <w:sz w:val="32"/>
        </w:rPr>
      </w:pPr>
      <w:bookmarkStart w:id="68" w:name="_Toc30448"/>
      <w:r>
        <w:rPr>
          <w:rFonts w:ascii="Times New Roman" w:hAnsi="Times New Roman" w:eastAsia="仿宋_GB2312" w:cs="Times New Roman"/>
          <w:color w:val="000000"/>
          <w:sz w:val="32"/>
        </w:rPr>
        <w:t>（十四）估价报告使用期限</w:t>
      </w:r>
      <w:bookmarkEnd w:id="68"/>
    </w:p>
    <w:p>
      <w:pPr>
        <w:widowControl/>
        <w:snapToGrid w:val="0"/>
        <w:spacing w:line="360" w:lineRule="auto"/>
        <w:ind w:firstLine="560" w:firstLineChars="200"/>
        <w:jc w:val="left"/>
        <w:rPr>
          <w:rFonts w:eastAsia="仿宋_GB2312"/>
          <w:sz w:val="28"/>
        </w:rPr>
      </w:pPr>
      <w:r>
        <w:rPr>
          <w:rFonts w:eastAsia="仿宋_GB2312"/>
          <w:sz w:val="28"/>
          <w:szCs w:val="28"/>
        </w:rPr>
        <w:t>本估价报告使用期限为自报告出具之日起一年（自</w:t>
      </w:r>
      <w:r>
        <w:rPr>
          <w:rFonts w:hint="eastAsia" w:eastAsia="仿宋_GB2312"/>
          <w:sz w:val="28"/>
          <w:szCs w:val="28"/>
          <w:lang w:eastAsia="zh-CN"/>
        </w:rPr>
        <w:t>2022年10月10日</w:t>
      </w:r>
      <w:r>
        <w:rPr>
          <w:rFonts w:hint="eastAsia" w:eastAsia="仿宋_GB2312"/>
          <w:sz w:val="28"/>
          <w:szCs w:val="28"/>
        </w:rPr>
        <w:t>至</w:t>
      </w:r>
      <w:r>
        <w:rPr>
          <w:rFonts w:hint="eastAsia" w:eastAsia="仿宋_GB2312"/>
          <w:sz w:val="28"/>
          <w:szCs w:val="28"/>
          <w:lang w:eastAsia="zh-CN"/>
        </w:rPr>
        <w:t>2023年10月9日</w:t>
      </w:r>
      <w:r>
        <w:rPr>
          <w:rFonts w:eastAsia="仿宋_GB2312"/>
          <w:sz w:val="28"/>
          <w:szCs w:val="28"/>
        </w:rPr>
        <w:t>止）</w:t>
      </w:r>
      <w:r>
        <w:rPr>
          <w:rFonts w:hint="eastAsia" w:eastAsia="仿宋_GB2312"/>
          <w:sz w:val="28"/>
        </w:rPr>
        <w:t>。</w:t>
      </w:r>
      <w:bookmarkStart w:id="69" w:name="_Toc485393203"/>
      <w:r>
        <w:rPr>
          <w:sz w:val="20"/>
        </w:rPr>
        <w:br w:type="page"/>
      </w:r>
    </w:p>
    <w:bookmarkEnd w:id="69"/>
    <w:p>
      <w:pPr>
        <w:pStyle w:val="2"/>
        <w:snapToGrid w:val="0"/>
        <w:spacing w:before="240" w:after="624" w:line="360" w:lineRule="auto"/>
        <w:textAlignment w:val="baseline"/>
        <w:rPr>
          <w:rFonts w:eastAsia="仿宋_GB2312"/>
          <w:b w:val="0"/>
          <w:sz w:val="36"/>
        </w:rPr>
      </w:pPr>
      <w:bookmarkStart w:id="70" w:name="_Toc21705"/>
      <w:r>
        <w:rPr>
          <w:rFonts w:hint="eastAsia" w:ascii="Times New Roman" w:hAnsi="Times New Roman" w:eastAsia="仿宋_GB2312" w:cs="Times New Roman"/>
          <w:color w:val="000000"/>
          <w:sz w:val="36"/>
          <w:lang w:val="en-US" w:eastAsia="zh-CN"/>
        </w:rPr>
        <w:t>四</w:t>
      </w:r>
      <w:r>
        <w:rPr>
          <w:rFonts w:ascii="Times New Roman" w:hAnsi="Times New Roman" w:eastAsia="仿宋_GB2312" w:cs="Times New Roman"/>
          <w:color w:val="000000"/>
          <w:sz w:val="36"/>
        </w:rPr>
        <w:t>、附件</w:t>
      </w:r>
      <w:bookmarkEnd w:id="70"/>
    </w:p>
    <w:p>
      <w:pPr>
        <w:snapToGrid w:val="0"/>
        <w:spacing w:line="360" w:lineRule="auto"/>
        <w:rPr>
          <w:rFonts w:ascii="仿宋_GB2312" w:eastAsia="仿宋_GB2312"/>
          <w:b/>
          <w:sz w:val="28"/>
        </w:rPr>
      </w:pPr>
      <w:r>
        <w:rPr>
          <w:rFonts w:hint="eastAsia" w:ascii="仿宋_GB2312" w:eastAsia="仿宋_GB2312"/>
          <w:b/>
          <w:sz w:val="28"/>
        </w:rPr>
        <w:t>（一）委托评估函；</w:t>
      </w:r>
    </w:p>
    <w:p>
      <w:pPr>
        <w:snapToGrid w:val="0"/>
        <w:spacing w:line="360" w:lineRule="auto"/>
        <w:rPr>
          <w:rFonts w:ascii="仿宋_GB2312" w:eastAsia="仿宋_GB2312"/>
          <w:b/>
          <w:sz w:val="28"/>
        </w:rPr>
      </w:pPr>
      <w:r>
        <w:rPr>
          <w:rFonts w:hint="eastAsia" w:ascii="仿宋_GB2312" w:eastAsia="仿宋_GB2312"/>
          <w:b/>
          <w:sz w:val="28"/>
        </w:rPr>
        <w:t>（二）房地产权属信息；</w:t>
      </w:r>
    </w:p>
    <w:p>
      <w:pPr>
        <w:snapToGrid w:val="0"/>
        <w:spacing w:line="360" w:lineRule="auto"/>
        <w:rPr>
          <w:rFonts w:ascii="仿宋_GB2312" w:eastAsia="仿宋_GB2312"/>
          <w:b/>
          <w:sz w:val="28"/>
        </w:rPr>
      </w:pPr>
      <w:r>
        <w:rPr>
          <w:rFonts w:hint="eastAsia" w:ascii="仿宋_GB2312" w:eastAsia="仿宋_GB2312"/>
          <w:b/>
          <w:sz w:val="28"/>
        </w:rPr>
        <w:t>（三）估价对象位置图及内外部状况照片；</w:t>
      </w:r>
    </w:p>
    <w:p>
      <w:pPr>
        <w:snapToGrid w:val="0"/>
        <w:spacing w:line="360" w:lineRule="auto"/>
        <w:rPr>
          <w:rFonts w:ascii="仿宋_GB2312" w:eastAsia="仿宋_GB2312"/>
          <w:b/>
          <w:sz w:val="28"/>
        </w:rPr>
      </w:pPr>
      <w:r>
        <w:rPr>
          <w:rFonts w:hint="eastAsia" w:ascii="仿宋_GB2312" w:eastAsia="仿宋_GB2312"/>
          <w:b/>
          <w:sz w:val="28"/>
        </w:rPr>
        <w:t>（四）房地产估价机构营业执照复印件；</w:t>
      </w:r>
    </w:p>
    <w:p>
      <w:pPr>
        <w:snapToGrid w:val="0"/>
        <w:spacing w:line="360" w:lineRule="auto"/>
        <w:rPr>
          <w:rFonts w:ascii="仿宋_GB2312" w:eastAsia="仿宋_GB2312"/>
          <w:b/>
          <w:sz w:val="28"/>
        </w:rPr>
      </w:pPr>
      <w:r>
        <w:rPr>
          <w:rFonts w:hint="eastAsia" w:ascii="仿宋_GB2312" w:eastAsia="仿宋_GB2312"/>
          <w:b/>
          <w:sz w:val="28"/>
        </w:rPr>
        <w:t>（五）房地产估价机构资质证书复印件；</w:t>
      </w:r>
    </w:p>
    <w:p>
      <w:pPr>
        <w:snapToGrid w:val="0"/>
        <w:rPr>
          <w:sz w:val="20"/>
        </w:rPr>
      </w:pPr>
      <w:r>
        <w:rPr>
          <w:rFonts w:hint="eastAsia" w:ascii="仿宋_GB2312" w:eastAsia="仿宋_GB2312"/>
          <w:b/>
          <w:sz w:val="28"/>
        </w:rPr>
        <w:t>（六）注册房地产估价师注册证书复印件。</w:t>
      </w:r>
    </w:p>
    <w:p>
      <w:pPr>
        <w:snapToGrid w:val="0"/>
        <w:rPr>
          <w:sz w:val="20"/>
        </w:rPr>
      </w:pPr>
    </w:p>
    <w:p>
      <w:pPr>
        <w:snapToGrid w:val="0"/>
        <w:rPr>
          <w:sz w:val="20"/>
        </w:rPr>
      </w:pPr>
    </w:p>
    <w:p>
      <w:pPr>
        <w:snapToGrid w:val="0"/>
        <w:rPr>
          <w:sz w:val="20"/>
        </w:rPr>
      </w:pPr>
    </w:p>
    <w:p>
      <w:pPr>
        <w:snapToGrid w:val="0"/>
        <w:rPr>
          <w:sz w:val="20"/>
        </w:rPr>
      </w:pPr>
    </w:p>
    <w:p>
      <w:pPr>
        <w:snapToGrid w:val="0"/>
        <w:rPr>
          <w:sz w:val="20"/>
        </w:rPr>
      </w:pPr>
    </w:p>
    <w:p>
      <w:pPr>
        <w:snapToGrid w:val="0"/>
        <w:rPr>
          <w:sz w:val="20"/>
        </w:rPr>
      </w:pPr>
    </w:p>
    <w:p>
      <w:pPr>
        <w:snapToGrid w:val="0"/>
        <w:rPr>
          <w:sz w:val="20"/>
        </w:rPr>
      </w:pPr>
    </w:p>
    <w:p>
      <w:pPr>
        <w:snapToGrid w:val="0"/>
        <w:ind w:right="735"/>
        <w:rPr>
          <w:sz w:val="20"/>
        </w:rPr>
      </w:pPr>
    </w:p>
    <w:p/>
    <w:sectPr>
      <w:headerReference r:id="rId13" w:type="default"/>
      <w:footerReference r:id="rId14" w:type="default"/>
      <w:pgSz w:w="11906" w:h="16838"/>
      <w:pgMar w:top="1418" w:right="1247" w:bottom="1418" w:left="1474" w:header="510" w:footer="454" w:gutter="567"/>
      <w:pgNumType w:start="1"/>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thinThickSmallGap" w:color="auto" w:sz="24" w:space="1"/>
      </w:pBdr>
      <w:tabs>
        <w:tab w:val="left" w:pos="1800"/>
      </w:tabs>
      <w:rPr>
        <w:rFonts w:ascii="仿宋_GB2312" w:eastAsia="仿宋_GB2312"/>
        <w:b/>
        <w:spacing w:val="-6"/>
        <w:sz w:val="22"/>
      </w:rPr>
    </w:pPr>
    <w:r>
      <w:rPr>
        <w:rFonts w:hint="eastAsia" w:ascii="仿宋_GB2312" w:eastAsia="仿宋_GB2312"/>
        <w:b/>
        <w:spacing w:val="-6"/>
        <w:sz w:val="22"/>
      </w:rPr>
      <w:t xml:space="preserve">通信地址:昆明市五华区祥云街59号国资银佳大厦15楼（南侧）                         </w:t>
    </w:r>
    <w:r>
      <w:rPr>
        <w:rFonts w:ascii="仿宋_GB2312" w:eastAsia="仿宋_GB2312"/>
        <w:b/>
        <w:spacing w:val="-6"/>
        <w:sz w:val="22"/>
      </w:rPr>
      <w:fldChar w:fldCharType="begin"/>
    </w:r>
    <w:r>
      <w:rPr>
        <w:rFonts w:ascii="仿宋_GB2312" w:eastAsia="仿宋_GB2312"/>
        <w:b/>
        <w:spacing w:val="-6"/>
        <w:sz w:val="22"/>
      </w:rPr>
      <w:instrText xml:space="preserve"> PAGE   \* MERGEFORMAT </w:instrText>
    </w:r>
    <w:r>
      <w:rPr>
        <w:rFonts w:ascii="仿宋_GB2312" w:eastAsia="仿宋_GB2312"/>
        <w:b/>
        <w:spacing w:val="-6"/>
        <w:sz w:val="22"/>
      </w:rPr>
      <w:fldChar w:fldCharType="separate"/>
    </w:r>
    <w:r>
      <w:rPr>
        <w:rFonts w:ascii="仿宋_GB2312" w:eastAsia="仿宋_GB2312"/>
        <w:b/>
        <w:spacing w:val="-6"/>
        <w:sz w:val="22"/>
      </w:rPr>
      <w:t>2</w:t>
    </w:r>
    <w:r>
      <w:rPr>
        <w:rFonts w:ascii="仿宋_GB2312" w:eastAsia="仿宋_GB2312"/>
        <w:b/>
        <w:spacing w:val="-6"/>
        <w:sz w:val="22"/>
      </w:rPr>
      <w:fldChar w:fldCharType="end"/>
    </w:r>
  </w:p>
  <w:p>
    <w:pPr>
      <w:pStyle w:val="15"/>
      <w:tabs>
        <w:tab w:val="left" w:pos="1800"/>
      </w:tabs>
      <w:spacing w:line="300" w:lineRule="auto"/>
      <w:ind w:right="6"/>
      <w:rPr>
        <w:rFonts w:ascii="仿宋_GB2312" w:eastAsia="仿宋_GB2312"/>
      </w:rPr>
    </w:pPr>
    <w:r>
      <w:rPr>
        <w:rFonts w:hint="eastAsia" w:ascii="仿宋_GB2312" w:eastAsia="仿宋_GB2312"/>
        <w:b/>
        <w:sz w:val="22"/>
      </w:rPr>
      <w:t>邮政编码: 650021        电话: (0871)68383636        传真: (0871)68376929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1800"/>
      </w:tabs>
      <w:spacing w:line="300" w:lineRule="auto"/>
      <w:ind w:right="6"/>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thinThickSmallGap" w:color="auto" w:sz="24" w:space="1"/>
      </w:pBdr>
      <w:tabs>
        <w:tab w:val="left" w:pos="1800"/>
      </w:tabs>
      <w:rPr>
        <w:rFonts w:ascii="仿宋_GB2312" w:eastAsia="仿宋_GB2312"/>
        <w:b/>
        <w:spacing w:val="-6"/>
        <w:sz w:val="22"/>
        <w:szCs w:val="22"/>
      </w:rPr>
    </w:pPr>
    <w:r>
      <w:rPr>
        <w:rFonts w:hint="eastAsia" w:ascii="仿宋_GB2312" w:eastAsia="仿宋_GB2312"/>
        <w:b/>
        <w:spacing w:val="-6"/>
        <w:sz w:val="22"/>
      </w:rPr>
      <w:t>通信地址:</w:t>
    </w:r>
    <w:r>
      <w:rPr>
        <w:rFonts w:hint="eastAsia"/>
      </w:rPr>
      <w:t xml:space="preserve"> </w:t>
    </w:r>
    <w:r>
      <w:rPr>
        <w:rFonts w:hint="eastAsia" w:ascii="仿宋_GB2312" w:eastAsia="仿宋_GB2312"/>
        <w:b/>
        <w:spacing w:val="-6"/>
        <w:sz w:val="22"/>
      </w:rPr>
      <w:t xml:space="preserve">云南省昆明市西山区云投财富商业广场B3幢23层     </w:t>
    </w:r>
    <w:r>
      <w:rPr>
        <w:rFonts w:ascii="仿宋_GB2312" w:eastAsia="仿宋_GB2312"/>
        <w:b/>
        <w:spacing w:val="-6"/>
        <w:sz w:val="22"/>
      </w:rPr>
      <w:t xml:space="preserve">        </w:t>
    </w:r>
    <w:r>
      <w:rPr>
        <w:rFonts w:hint="eastAsia" w:ascii="仿宋_GB2312" w:eastAsia="仿宋_GB2312"/>
        <w:b/>
        <w:spacing w:val="-6"/>
        <w:sz w:val="22"/>
      </w:rPr>
      <w:t xml:space="preserve">       </w:t>
    </w:r>
    <w:r>
      <w:rPr>
        <w:rFonts w:hint="eastAsia" w:ascii="隶书" w:eastAsia="隶书"/>
        <w:b/>
        <w:sz w:val="22"/>
        <w:szCs w:val="22"/>
      </w:rPr>
      <w:fldChar w:fldCharType="begin"/>
    </w:r>
    <w:r>
      <w:rPr>
        <w:rFonts w:hint="eastAsia" w:ascii="隶书" w:eastAsia="隶书"/>
        <w:b/>
        <w:sz w:val="22"/>
        <w:szCs w:val="22"/>
      </w:rPr>
      <w:instrText xml:space="preserve"> PAGE   \* MERGEFORMAT </w:instrText>
    </w:r>
    <w:r>
      <w:rPr>
        <w:rFonts w:hint="eastAsia" w:ascii="隶书" w:eastAsia="隶书"/>
        <w:b/>
        <w:sz w:val="22"/>
        <w:szCs w:val="22"/>
      </w:rPr>
      <w:fldChar w:fldCharType="separate"/>
    </w:r>
    <w:r>
      <w:rPr>
        <w:rFonts w:ascii="隶书" w:eastAsia="隶书"/>
        <w:b/>
        <w:sz w:val="22"/>
        <w:szCs w:val="22"/>
      </w:rPr>
      <w:t>8</w:t>
    </w:r>
    <w:r>
      <w:rPr>
        <w:rFonts w:hint="eastAsia" w:ascii="隶书" w:eastAsia="隶书"/>
        <w:b/>
        <w:sz w:val="22"/>
        <w:szCs w:val="22"/>
      </w:rPr>
      <w:fldChar w:fldCharType="end"/>
    </w:r>
  </w:p>
  <w:p>
    <w:pPr>
      <w:pStyle w:val="15"/>
      <w:tabs>
        <w:tab w:val="left" w:pos="1800"/>
      </w:tabs>
      <w:spacing w:line="300" w:lineRule="auto"/>
      <w:ind w:right="6"/>
      <w:rPr>
        <w:rFonts w:ascii="仿宋_GB2312" w:eastAsia="仿宋_GB2312"/>
      </w:rPr>
    </w:pPr>
    <w:r>
      <w:rPr>
        <w:rFonts w:hint="eastAsia" w:ascii="仿宋_GB2312" w:eastAsia="仿宋_GB2312"/>
        <w:b/>
        <w:sz w:val="22"/>
      </w:rPr>
      <w:t>邮政编码: 650000        电话: (0871)68383636         传真: (0871)68376929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nThickSmallGap" w:color="auto" w:sz="24" w:space="1"/>
      </w:pBdr>
      <w:tabs>
        <w:tab w:val="left" w:pos="720"/>
        <w:tab w:val="left" w:pos="900"/>
        <w:tab w:val="left" w:pos="1800"/>
        <w:tab w:val="left" w:pos="7797"/>
        <w:tab w:val="right" w:pos="8505"/>
      </w:tabs>
      <w:spacing w:line="160" w:lineRule="atLeast"/>
      <w:jc w:val="both"/>
      <w:rPr>
        <w:rFonts w:ascii="隶书"/>
        <w:sz w:val="24"/>
        <w:szCs w:val="24"/>
      </w:rPr>
    </w:pPr>
    <w:r>
      <w:rPr>
        <w:sz w:val="18"/>
      </w:rPr>
      <w:pict>
        <v:shape id="PowerPlusWaterMarkObject34212" o:spid="_x0000_s2049" o:spt="136" type="#_x0000_t136" style="position:absolute;left:0pt;height:33.2pt;width:554.0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云南中和金乾房地产土地资产评估有限公司" style="font-family:新宋体;font-size:36pt;v-same-letter-heights:f;v-text-align:center;"/>
        </v:shape>
      </w:pict>
    </w:r>
    <w:r>
      <w:rPr>
        <w:rFonts w:ascii="仿宋_GB2312" w:hAnsi="宋体" w:eastAsia="仿宋_GB2312"/>
        <w:szCs w:val="28"/>
      </w:rPr>
      <w:drawing>
        <wp:inline distT="0" distB="0" distL="0" distR="0">
          <wp:extent cx="533400" cy="393700"/>
          <wp:effectExtent l="0" t="0" r="0" b="0"/>
          <wp:docPr id="14" name="图片 14" descr="商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商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3400" cy="393700"/>
                  </a:xfrm>
                  <a:prstGeom prst="rect">
                    <a:avLst/>
                  </a:prstGeom>
                  <a:noFill/>
                  <a:ln>
                    <a:noFill/>
                  </a:ln>
                </pic:spPr>
              </pic:pic>
            </a:graphicData>
          </a:graphic>
        </wp:inline>
      </w:drawing>
    </w:r>
    <w:bookmarkStart w:id="71" w:name="_Hlk11185755"/>
    <w:r>
      <w:rPr>
        <w:rFonts w:hint="eastAsia" w:ascii="隶书" w:eastAsia="隶书"/>
        <w:sz w:val="21"/>
        <w:szCs w:val="21"/>
      </w:rPr>
      <w:t>蔡仲起、代春娥共有的位于曲靖寥廓南路86号麒麟区社保中心6幢A-4-1房地产估价报告</w:t>
    </w:r>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w:pict>
        <v:shape id="_x0000_s2050" o:spid="_x0000_s2050" o:spt="136" type="#_x0000_t136" style="position:absolute;left:0pt;height:33.2pt;width:554.05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32768f" focussize="0,0"/>
          <v:stroke on="f"/>
          <v:imagedata o:title=""/>
          <o:lock v:ext="edit" aspectratio="t"/>
          <v:textpath on="t" fitshape="t" fitpath="t" trim="t" xscale="f" string="云南中和金乾房地产土地资产评估有限公司" style="font-family:新宋体;font-size:3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720"/>
        <w:tab w:val="left" w:pos="900"/>
        <w:tab w:val="left" w:pos="1800"/>
        <w:tab w:val="left" w:pos="7797"/>
        <w:tab w:val="right" w:pos="8505"/>
      </w:tabs>
      <w:spacing w:line="240" w:lineRule="auto"/>
      <w:jc w:val="both"/>
      <w:rPr>
        <w:rFonts w:ascii="隶书"/>
        <w:sz w:val="24"/>
        <w:szCs w:val="24"/>
      </w:rPr>
    </w:pPr>
    <w:r>
      <w:rPr>
        <w:sz w:val="18"/>
      </w:rPr>
      <w:pict>
        <v:shape id="_x0000_s2051" o:spid="_x0000_s2051" o:spt="136" type="#_x0000_t136" style="position:absolute;left:0pt;height:33.2pt;width:554.05pt;mso-position-horizontal:center;mso-position-horizontal-relative:margin;mso-position-vertical:center;mso-position-vertical-relative:margin;rotation:-2949120f;z-index:-251655168;mso-width-relative:page;mso-height-relative:page;" fillcolor="#C0C0C0" filled="t" stroked="f" coordsize="21600,21600" adj="10800">
          <v:path/>
          <v:fill on="t" opacity="32768f" focussize="0,0"/>
          <v:stroke on="f"/>
          <v:imagedata o:title=""/>
          <o:lock v:ext="edit" aspectratio="t"/>
          <v:textpath on="t" fitshape="t" fitpath="t" trim="t" xscale="f" string="云南中和金乾房地产土地资产评估有限公司" style="font-family:新宋体;font-size:3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720"/>
        <w:tab w:val="left" w:pos="900"/>
        <w:tab w:val="left" w:pos="1800"/>
        <w:tab w:val="left" w:pos="7797"/>
        <w:tab w:val="right" w:pos="8505"/>
      </w:tabs>
      <w:spacing w:line="160" w:lineRule="atLeast"/>
      <w:jc w:val="both"/>
      <w:rPr>
        <w:rFonts w:ascii="隶书"/>
        <w:sz w:val="24"/>
        <w:szCs w:val="24"/>
      </w:rPr>
    </w:pPr>
    <w:r>
      <w:rPr>
        <w:sz w:val="18"/>
      </w:rPr>
      <w:pict>
        <v:shape id="_x0000_s2052" o:spid="_x0000_s2052" o:spt="136" type="#_x0000_t136" style="position:absolute;left:0pt;height:33.2pt;width:554.05pt;mso-position-horizontal:center;mso-position-horizontal-relative:margin;mso-position-vertical:center;mso-position-vertical-relative:margin;rotation:-2949120f;z-index:-251654144;mso-width-relative:page;mso-height-relative:page;" fillcolor="#C0C0C0" filled="t" stroked="f" coordsize="21600,21600" adj="10800">
          <v:path/>
          <v:fill on="t" opacity="32768f" focussize="0,0"/>
          <v:stroke on="f"/>
          <v:imagedata o:title=""/>
          <o:lock v:ext="edit" aspectratio="t"/>
          <v:textpath on="t" fitshape="t" fitpath="t" trim="t" xscale="f" string="云南中和金乾房地产土地资产评估有限公司" style="font-family:新宋体;font-size:36pt;v-same-letter-heights:f;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tabs>
        <w:tab w:val="left" w:pos="720"/>
        <w:tab w:val="left" w:pos="900"/>
        <w:tab w:val="left" w:pos="1800"/>
        <w:tab w:val="left" w:pos="7797"/>
        <w:tab w:val="right" w:pos="8505"/>
      </w:tabs>
      <w:spacing w:line="240" w:lineRule="auto"/>
      <w:jc w:val="both"/>
      <w:rPr>
        <w:rFonts w:ascii="隶书"/>
      </w:rPr>
    </w:pPr>
    <w:r>
      <w:rPr>
        <w:sz w:val="18"/>
      </w:rPr>
      <w:pict>
        <v:shape id="_x0000_s2053" o:spid="_x0000_s2053" o:spt="136" type="#_x0000_t136" style="position:absolute;left:0pt;height:33.2pt;width:554.05pt;mso-position-horizontal:center;mso-position-horizontal-relative:margin;mso-position-vertical:center;mso-position-vertical-relative:margin;rotation:-2949120f;z-index:-251653120;mso-width-relative:page;mso-height-relative:page;" fillcolor="#C0C0C0" filled="t" stroked="f" coordsize="21600,21600" adj="10800">
          <v:path/>
          <v:fill on="t" opacity="32768f" focussize="0,0"/>
          <v:stroke on="f"/>
          <v:imagedata o:title=""/>
          <o:lock v:ext="edit" aspectratio="t"/>
          <v:textpath on="t" fitshape="t" fitpath="t" trim="t" xscale="f" string="云南中和金乾房地产土地资产评估有限公司" style="font-family:新宋体;font-size:36pt;v-same-letter-heights:f;v-text-align:center;"/>
        </v:shape>
      </w:pict>
    </w:r>
    <w:r>
      <w:rPr>
        <w:rFonts w:ascii="仿宋_GB2312" w:hAnsi="宋体" w:eastAsia="仿宋_GB2312"/>
        <w:szCs w:val="28"/>
      </w:rPr>
      <w:drawing>
        <wp:inline distT="0" distB="0" distL="0" distR="0">
          <wp:extent cx="883920" cy="359410"/>
          <wp:effectExtent l="0" t="0" r="0" b="254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83920" cy="359410"/>
                  </a:xfrm>
                  <a:prstGeom prst="rect">
                    <a:avLst/>
                  </a:prstGeom>
                  <a:noFill/>
                  <a:ln>
                    <a:noFill/>
                  </a:ln>
                </pic:spPr>
              </pic:pic>
            </a:graphicData>
          </a:graphic>
        </wp:inline>
      </w:drawing>
    </w:r>
    <w:r>
      <w:rPr>
        <w:rFonts w:hint="eastAsia" w:ascii="仿宋_GB2312" w:hAnsi="宋体" w:eastAsia="仿宋_GB2312"/>
        <w:szCs w:val="28"/>
      </w:rPr>
      <w:t xml:space="preserve"> </w:t>
    </w:r>
    <w:r>
      <w:rPr>
        <w:rFonts w:hint="eastAsia" w:ascii="隶书" w:eastAsia="隶书"/>
        <w:sz w:val="20"/>
        <w:szCs w:val="16"/>
      </w:rPr>
      <w:t>熊建林名下位于永胜县永北镇华程小区2幢1单元101室房地产市场价值评估项目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dit="readOnly" w:formatting="1" w:enforcement="1" w:cryptProviderType="rsaFull" w:cryptAlgorithmClass="hash" w:cryptAlgorithmType="typeAny" w:cryptAlgorithmSid="4" w:cryptSpinCount="0" w:hash="miPnLp0sgQhEBPI4kktWrnjHEz8=" w:salt="PZ+95MJJ2+GxgkKi6gPr/A=="/>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BlYTgyYzgyYjA3NmQ5Y2IwMmI3YjZkZDAxOGMyN2YifQ=="/>
  </w:docVars>
  <w:rsids>
    <w:rsidRoot w:val="003C0E08"/>
    <w:rsid w:val="00000B58"/>
    <w:rsid w:val="00001112"/>
    <w:rsid w:val="00001A41"/>
    <w:rsid w:val="000043B7"/>
    <w:rsid w:val="0000511C"/>
    <w:rsid w:val="000058E5"/>
    <w:rsid w:val="0001022B"/>
    <w:rsid w:val="00010608"/>
    <w:rsid w:val="00010D8B"/>
    <w:rsid w:val="0001321B"/>
    <w:rsid w:val="00016550"/>
    <w:rsid w:val="000173D0"/>
    <w:rsid w:val="000201B1"/>
    <w:rsid w:val="00020694"/>
    <w:rsid w:val="0002281C"/>
    <w:rsid w:val="00022AC3"/>
    <w:rsid w:val="000236EE"/>
    <w:rsid w:val="00023759"/>
    <w:rsid w:val="00025877"/>
    <w:rsid w:val="00026893"/>
    <w:rsid w:val="000273BE"/>
    <w:rsid w:val="000304ED"/>
    <w:rsid w:val="000307A2"/>
    <w:rsid w:val="00032D71"/>
    <w:rsid w:val="0003343C"/>
    <w:rsid w:val="0003485D"/>
    <w:rsid w:val="000362BB"/>
    <w:rsid w:val="0003679B"/>
    <w:rsid w:val="0004139F"/>
    <w:rsid w:val="00042774"/>
    <w:rsid w:val="00042EA6"/>
    <w:rsid w:val="00044D97"/>
    <w:rsid w:val="0004640C"/>
    <w:rsid w:val="00051685"/>
    <w:rsid w:val="00051D8E"/>
    <w:rsid w:val="00052DF1"/>
    <w:rsid w:val="0005735A"/>
    <w:rsid w:val="00060C5F"/>
    <w:rsid w:val="0006130E"/>
    <w:rsid w:val="000654C9"/>
    <w:rsid w:val="00066851"/>
    <w:rsid w:val="0006687A"/>
    <w:rsid w:val="00070F70"/>
    <w:rsid w:val="00071408"/>
    <w:rsid w:val="000714DA"/>
    <w:rsid w:val="00072E0C"/>
    <w:rsid w:val="0007355E"/>
    <w:rsid w:val="00074D89"/>
    <w:rsid w:val="000807F6"/>
    <w:rsid w:val="00085270"/>
    <w:rsid w:val="00087565"/>
    <w:rsid w:val="00090DED"/>
    <w:rsid w:val="000920AF"/>
    <w:rsid w:val="000927DC"/>
    <w:rsid w:val="000935F2"/>
    <w:rsid w:val="00096D68"/>
    <w:rsid w:val="000A03AB"/>
    <w:rsid w:val="000A1133"/>
    <w:rsid w:val="000A18A8"/>
    <w:rsid w:val="000A1FD5"/>
    <w:rsid w:val="000A3BB0"/>
    <w:rsid w:val="000A6C20"/>
    <w:rsid w:val="000B027F"/>
    <w:rsid w:val="000B5031"/>
    <w:rsid w:val="000B59E0"/>
    <w:rsid w:val="000B7457"/>
    <w:rsid w:val="000C3FF9"/>
    <w:rsid w:val="000C4747"/>
    <w:rsid w:val="000C4F85"/>
    <w:rsid w:val="000D015C"/>
    <w:rsid w:val="000D0292"/>
    <w:rsid w:val="000D2019"/>
    <w:rsid w:val="000D34D0"/>
    <w:rsid w:val="000D4071"/>
    <w:rsid w:val="000D409B"/>
    <w:rsid w:val="000D4C4D"/>
    <w:rsid w:val="000E0349"/>
    <w:rsid w:val="000E0883"/>
    <w:rsid w:val="000E118C"/>
    <w:rsid w:val="000E1D25"/>
    <w:rsid w:val="000E4F25"/>
    <w:rsid w:val="000E6D2C"/>
    <w:rsid w:val="000E79BC"/>
    <w:rsid w:val="000F0275"/>
    <w:rsid w:val="000F0450"/>
    <w:rsid w:val="000F0C51"/>
    <w:rsid w:val="000F2179"/>
    <w:rsid w:val="000F3A59"/>
    <w:rsid w:val="000F45D7"/>
    <w:rsid w:val="000F5945"/>
    <w:rsid w:val="000F6E73"/>
    <w:rsid w:val="0010089E"/>
    <w:rsid w:val="0010096F"/>
    <w:rsid w:val="00100F26"/>
    <w:rsid w:val="00101460"/>
    <w:rsid w:val="0010237E"/>
    <w:rsid w:val="00102CBB"/>
    <w:rsid w:val="001046F9"/>
    <w:rsid w:val="0010512A"/>
    <w:rsid w:val="00110261"/>
    <w:rsid w:val="00111753"/>
    <w:rsid w:val="00111EDF"/>
    <w:rsid w:val="00113F1D"/>
    <w:rsid w:val="00121026"/>
    <w:rsid w:val="001216B5"/>
    <w:rsid w:val="00122EEB"/>
    <w:rsid w:val="00123638"/>
    <w:rsid w:val="00124511"/>
    <w:rsid w:val="00125EAD"/>
    <w:rsid w:val="00126D41"/>
    <w:rsid w:val="00127365"/>
    <w:rsid w:val="00127DFA"/>
    <w:rsid w:val="00140F4A"/>
    <w:rsid w:val="00140F85"/>
    <w:rsid w:val="001413C0"/>
    <w:rsid w:val="001508C0"/>
    <w:rsid w:val="001513E4"/>
    <w:rsid w:val="001518A7"/>
    <w:rsid w:val="00152254"/>
    <w:rsid w:val="00153286"/>
    <w:rsid w:val="00154A1E"/>
    <w:rsid w:val="00154FED"/>
    <w:rsid w:val="001567A8"/>
    <w:rsid w:val="00157CDA"/>
    <w:rsid w:val="00157E77"/>
    <w:rsid w:val="00160223"/>
    <w:rsid w:val="001621B6"/>
    <w:rsid w:val="001622C7"/>
    <w:rsid w:val="001631C3"/>
    <w:rsid w:val="00164134"/>
    <w:rsid w:val="00164A70"/>
    <w:rsid w:val="0017152F"/>
    <w:rsid w:val="00171C0A"/>
    <w:rsid w:val="001774B2"/>
    <w:rsid w:val="0018159D"/>
    <w:rsid w:val="001823EB"/>
    <w:rsid w:val="0018600F"/>
    <w:rsid w:val="00186C8E"/>
    <w:rsid w:val="00187247"/>
    <w:rsid w:val="001927C8"/>
    <w:rsid w:val="0019295F"/>
    <w:rsid w:val="00192B57"/>
    <w:rsid w:val="00192EF8"/>
    <w:rsid w:val="0019419E"/>
    <w:rsid w:val="00195BCB"/>
    <w:rsid w:val="0019745A"/>
    <w:rsid w:val="001A0013"/>
    <w:rsid w:val="001A2346"/>
    <w:rsid w:val="001A27D8"/>
    <w:rsid w:val="001A71F1"/>
    <w:rsid w:val="001A7FF8"/>
    <w:rsid w:val="001B295E"/>
    <w:rsid w:val="001B40E3"/>
    <w:rsid w:val="001B5712"/>
    <w:rsid w:val="001B5EBF"/>
    <w:rsid w:val="001B6371"/>
    <w:rsid w:val="001B78AC"/>
    <w:rsid w:val="001B7BD4"/>
    <w:rsid w:val="001C16FA"/>
    <w:rsid w:val="001C290B"/>
    <w:rsid w:val="001C462C"/>
    <w:rsid w:val="001C6B2A"/>
    <w:rsid w:val="001C7001"/>
    <w:rsid w:val="001D04B2"/>
    <w:rsid w:val="001D1C79"/>
    <w:rsid w:val="001D2EE7"/>
    <w:rsid w:val="001D5A33"/>
    <w:rsid w:val="001D5D51"/>
    <w:rsid w:val="001D6326"/>
    <w:rsid w:val="001D6754"/>
    <w:rsid w:val="001E21D6"/>
    <w:rsid w:val="001E5FEA"/>
    <w:rsid w:val="001F15A7"/>
    <w:rsid w:val="001F24BA"/>
    <w:rsid w:val="001F2BB3"/>
    <w:rsid w:val="001F30BE"/>
    <w:rsid w:val="001F391F"/>
    <w:rsid w:val="001F6EC2"/>
    <w:rsid w:val="002007A8"/>
    <w:rsid w:val="00200C98"/>
    <w:rsid w:val="00211227"/>
    <w:rsid w:val="002126EC"/>
    <w:rsid w:val="002146B7"/>
    <w:rsid w:val="0021604B"/>
    <w:rsid w:val="002173AA"/>
    <w:rsid w:val="00217977"/>
    <w:rsid w:val="002215CA"/>
    <w:rsid w:val="00221AFB"/>
    <w:rsid w:val="00225A08"/>
    <w:rsid w:val="00225CA1"/>
    <w:rsid w:val="002266D9"/>
    <w:rsid w:val="00230375"/>
    <w:rsid w:val="002312BC"/>
    <w:rsid w:val="0023195A"/>
    <w:rsid w:val="00234550"/>
    <w:rsid w:val="00235A31"/>
    <w:rsid w:val="00235CFD"/>
    <w:rsid w:val="00236E2C"/>
    <w:rsid w:val="00237743"/>
    <w:rsid w:val="00237F2A"/>
    <w:rsid w:val="00240720"/>
    <w:rsid w:val="0024156C"/>
    <w:rsid w:val="002449C4"/>
    <w:rsid w:val="002455F3"/>
    <w:rsid w:val="002469B4"/>
    <w:rsid w:val="00250333"/>
    <w:rsid w:val="00251691"/>
    <w:rsid w:val="002545AF"/>
    <w:rsid w:val="002550AB"/>
    <w:rsid w:val="0025615D"/>
    <w:rsid w:val="00256C0A"/>
    <w:rsid w:val="00262892"/>
    <w:rsid w:val="00263CEA"/>
    <w:rsid w:val="00264F2F"/>
    <w:rsid w:val="00271086"/>
    <w:rsid w:val="002715F0"/>
    <w:rsid w:val="00273EDC"/>
    <w:rsid w:val="00275FF2"/>
    <w:rsid w:val="0027610C"/>
    <w:rsid w:val="00277220"/>
    <w:rsid w:val="002777C0"/>
    <w:rsid w:val="00280822"/>
    <w:rsid w:val="00280F49"/>
    <w:rsid w:val="00281C5B"/>
    <w:rsid w:val="00284046"/>
    <w:rsid w:val="002842EE"/>
    <w:rsid w:val="0028575A"/>
    <w:rsid w:val="00285A9A"/>
    <w:rsid w:val="0028607D"/>
    <w:rsid w:val="00291A93"/>
    <w:rsid w:val="00291DF2"/>
    <w:rsid w:val="00292081"/>
    <w:rsid w:val="002945A3"/>
    <w:rsid w:val="00294CA2"/>
    <w:rsid w:val="00294E21"/>
    <w:rsid w:val="0029776F"/>
    <w:rsid w:val="002A07BE"/>
    <w:rsid w:val="002A107C"/>
    <w:rsid w:val="002A2BFE"/>
    <w:rsid w:val="002A2E02"/>
    <w:rsid w:val="002A33B2"/>
    <w:rsid w:val="002A5DD5"/>
    <w:rsid w:val="002A617C"/>
    <w:rsid w:val="002A7C41"/>
    <w:rsid w:val="002B38C9"/>
    <w:rsid w:val="002B515B"/>
    <w:rsid w:val="002B5607"/>
    <w:rsid w:val="002C11F2"/>
    <w:rsid w:val="002C28CA"/>
    <w:rsid w:val="002D04E5"/>
    <w:rsid w:val="002D090B"/>
    <w:rsid w:val="002D37AA"/>
    <w:rsid w:val="002D4638"/>
    <w:rsid w:val="002D6763"/>
    <w:rsid w:val="002D67F0"/>
    <w:rsid w:val="002D6812"/>
    <w:rsid w:val="002D6A0C"/>
    <w:rsid w:val="002E09D9"/>
    <w:rsid w:val="002E36F4"/>
    <w:rsid w:val="002E49E9"/>
    <w:rsid w:val="002E5544"/>
    <w:rsid w:val="002F095A"/>
    <w:rsid w:val="002F0AEC"/>
    <w:rsid w:val="002F1B73"/>
    <w:rsid w:val="002F21EA"/>
    <w:rsid w:val="002F323D"/>
    <w:rsid w:val="002F7443"/>
    <w:rsid w:val="002F771D"/>
    <w:rsid w:val="0030048E"/>
    <w:rsid w:val="00300EB0"/>
    <w:rsid w:val="003010BF"/>
    <w:rsid w:val="003013A8"/>
    <w:rsid w:val="00304F6A"/>
    <w:rsid w:val="003060EC"/>
    <w:rsid w:val="00306FC3"/>
    <w:rsid w:val="003138A4"/>
    <w:rsid w:val="003142EB"/>
    <w:rsid w:val="00314A86"/>
    <w:rsid w:val="00320A43"/>
    <w:rsid w:val="00323026"/>
    <w:rsid w:val="0032383B"/>
    <w:rsid w:val="00323B36"/>
    <w:rsid w:val="003276C1"/>
    <w:rsid w:val="00331CBF"/>
    <w:rsid w:val="00332CEC"/>
    <w:rsid w:val="003339F0"/>
    <w:rsid w:val="00337373"/>
    <w:rsid w:val="0034440F"/>
    <w:rsid w:val="00344AAD"/>
    <w:rsid w:val="00344E1E"/>
    <w:rsid w:val="003477CD"/>
    <w:rsid w:val="003514FA"/>
    <w:rsid w:val="0035513B"/>
    <w:rsid w:val="003571BA"/>
    <w:rsid w:val="0036189D"/>
    <w:rsid w:val="00366286"/>
    <w:rsid w:val="00367A3F"/>
    <w:rsid w:val="003715A2"/>
    <w:rsid w:val="00372B9E"/>
    <w:rsid w:val="003734BB"/>
    <w:rsid w:val="003752D5"/>
    <w:rsid w:val="00375413"/>
    <w:rsid w:val="00375A3E"/>
    <w:rsid w:val="003765E8"/>
    <w:rsid w:val="0038349F"/>
    <w:rsid w:val="00385B42"/>
    <w:rsid w:val="00385C30"/>
    <w:rsid w:val="00387A70"/>
    <w:rsid w:val="00391876"/>
    <w:rsid w:val="00392D22"/>
    <w:rsid w:val="00393E78"/>
    <w:rsid w:val="003942EE"/>
    <w:rsid w:val="00396841"/>
    <w:rsid w:val="00397731"/>
    <w:rsid w:val="003A0C74"/>
    <w:rsid w:val="003A1A2D"/>
    <w:rsid w:val="003A2536"/>
    <w:rsid w:val="003A3C0B"/>
    <w:rsid w:val="003B01B2"/>
    <w:rsid w:val="003B30E0"/>
    <w:rsid w:val="003B68A3"/>
    <w:rsid w:val="003B70C9"/>
    <w:rsid w:val="003C0E08"/>
    <w:rsid w:val="003C167B"/>
    <w:rsid w:val="003C2104"/>
    <w:rsid w:val="003C3496"/>
    <w:rsid w:val="003C3713"/>
    <w:rsid w:val="003C42E5"/>
    <w:rsid w:val="003C4A01"/>
    <w:rsid w:val="003C7437"/>
    <w:rsid w:val="003D1EC6"/>
    <w:rsid w:val="003D3225"/>
    <w:rsid w:val="003D44DB"/>
    <w:rsid w:val="003D49CA"/>
    <w:rsid w:val="003D4F0E"/>
    <w:rsid w:val="003D5E3C"/>
    <w:rsid w:val="003D68FF"/>
    <w:rsid w:val="003E0002"/>
    <w:rsid w:val="003E00C8"/>
    <w:rsid w:val="003E2DA4"/>
    <w:rsid w:val="003E4BF4"/>
    <w:rsid w:val="003E7ADC"/>
    <w:rsid w:val="003F092C"/>
    <w:rsid w:val="003F2615"/>
    <w:rsid w:val="003F4D5D"/>
    <w:rsid w:val="00400395"/>
    <w:rsid w:val="004007B9"/>
    <w:rsid w:val="004013D4"/>
    <w:rsid w:val="00405D7B"/>
    <w:rsid w:val="00406EEA"/>
    <w:rsid w:val="00411122"/>
    <w:rsid w:val="0041229E"/>
    <w:rsid w:val="00413E70"/>
    <w:rsid w:val="00417ADC"/>
    <w:rsid w:val="00423CEE"/>
    <w:rsid w:val="00426416"/>
    <w:rsid w:val="0042744E"/>
    <w:rsid w:val="00427E39"/>
    <w:rsid w:val="004325D5"/>
    <w:rsid w:val="004416FD"/>
    <w:rsid w:val="00442292"/>
    <w:rsid w:val="0044590C"/>
    <w:rsid w:val="00445B8C"/>
    <w:rsid w:val="00445EAC"/>
    <w:rsid w:val="00447C3A"/>
    <w:rsid w:val="0045054E"/>
    <w:rsid w:val="004509B5"/>
    <w:rsid w:val="00450A23"/>
    <w:rsid w:val="00450A77"/>
    <w:rsid w:val="0045209C"/>
    <w:rsid w:val="0045386C"/>
    <w:rsid w:val="00455268"/>
    <w:rsid w:val="00461917"/>
    <w:rsid w:val="00462D89"/>
    <w:rsid w:val="004667BE"/>
    <w:rsid w:val="00466B6A"/>
    <w:rsid w:val="00466E78"/>
    <w:rsid w:val="00467A5A"/>
    <w:rsid w:val="00471688"/>
    <w:rsid w:val="0047226A"/>
    <w:rsid w:val="00473F15"/>
    <w:rsid w:val="004748CC"/>
    <w:rsid w:val="00475968"/>
    <w:rsid w:val="00477351"/>
    <w:rsid w:val="0048074D"/>
    <w:rsid w:val="00480D12"/>
    <w:rsid w:val="00480EF1"/>
    <w:rsid w:val="004834AE"/>
    <w:rsid w:val="00485D2E"/>
    <w:rsid w:val="00487E9F"/>
    <w:rsid w:val="00493F97"/>
    <w:rsid w:val="00494152"/>
    <w:rsid w:val="004A0EA6"/>
    <w:rsid w:val="004A2127"/>
    <w:rsid w:val="004A2803"/>
    <w:rsid w:val="004A355D"/>
    <w:rsid w:val="004A4B0A"/>
    <w:rsid w:val="004A505E"/>
    <w:rsid w:val="004A56DB"/>
    <w:rsid w:val="004B02BE"/>
    <w:rsid w:val="004B0E2A"/>
    <w:rsid w:val="004B1DB7"/>
    <w:rsid w:val="004B236D"/>
    <w:rsid w:val="004B2861"/>
    <w:rsid w:val="004B303F"/>
    <w:rsid w:val="004B7D82"/>
    <w:rsid w:val="004C2F9D"/>
    <w:rsid w:val="004C4DED"/>
    <w:rsid w:val="004C64DC"/>
    <w:rsid w:val="004D3108"/>
    <w:rsid w:val="004D3A91"/>
    <w:rsid w:val="004E0171"/>
    <w:rsid w:val="004E0B0E"/>
    <w:rsid w:val="004E172D"/>
    <w:rsid w:val="004E1A59"/>
    <w:rsid w:val="004E2055"/>
    <w:rsid w:val="004E23B9"/>
    <w:rsid w:val="004E31F8"/>
    <w:rsid w:val="004E44C9"/>
    <w:rsid w:val="004E4A18"/>
    <w:rsid w:val="004E61ED"/>
    <w:rsid w:val="004E7323"/>
    <w:rsid w:val="004F0B0F"/>
    <w:rsid w:val="004F2282"/>
    <w:rsid w:val="004F3566"/>
    <w:rsid w:val="004F46DB"/>
    <w:rsid w:val="004F51DB"/>
    <w:rsid w:val="004F605C"/>
    <w:rsid w:val="004F676D"/>
    <w:rsid w:val="004F7E63"/>
    <w:rsid w:val="00501424"/>
    <w:rsid w:val="00503B57"/>
    <w:rsid w:val="00511751"/>
    <w:rsid w:val="0051204B"/>
    <w:rsid w:val="00512B91"/>
    <w:rsid w:val="00513058"/>
    <w:rsid w:val="00513F89"/>
    <w:rsid w:val="005172B5"/>
    <w:rsid w:val="00517D3C"/>
    <w:rsid w:val="00520519"/>
    <w:rsid w:val="00522315"/>
    <w:rsid w:val="00524320"/>
    <w:rsid w:val="005245AF"/>
    <w:rsid w:val="005247BC"/>
    <w:rsid w:val="00530B21"/>
    <w:rsid w:val="00532B85"/>
    <w:rsid w:val="00532C4A"/>
    <w:rsid w:val="00535862"/>
    <w:rsid w:val="00536574"/>
    <w:rsid w:val="005379DB"/>
    <w:rsid w:val="00542043"/>
    <w:rsid w:val="00544855"/>
    <w:rsid w:val="0054490C"/>
    <w:rsid w:val="005453DB"/>
    <w:rsid w:val="00546079"/>
    <w:rsid w:val="00553BAC"/>
    <w:rsid w:val="00555162"/>
    <w:rsid w:val="0055538A"/>
    <w:rsid w:val="005564A5"/>
    <w:rsid w:val="00570581"/>
    <w:rsid w:val="00572095"/>
    <w:rsid w:val="00572740"/>
    <w:rsid w:val="0057440B"/>
    <w:rsid w:val="0057621E"/>
    <w:rsid w:val="0058052E"/>
    <w:rsid w:val="00580677"/>
    <w:rsid w:val="00581394"/>
    <w:rsid w:val="0058155E"/>
    <w:rsid w:val="00582E5E"/>
    <w:rsid w:val="00587003"/>
    <w:rsid w:val="00593825"/>
    <w:rsid w:val="005939BD"/>
    <w:rsid w:val="0059428A"/>
    <w:rsid w:val="00594468"/>
    <w:rsid w:val="005966AF"/>
    <w:rsid w:val="005A11EE"/>
    <w:rsid w:val="005A5229"/>
    <w:rsid w:val="005A710C"/>
    <w:rsid w:val="005A71F4"/>
    <w:rsid w:val="005B0986"/>
    <w:rsid w:val="005B2FAD"/>
    <w:rsid w:val="005B3487"/>
    <w:rsid w:val="005B47A4"/>
    <w:rsid w:val="005B5833"/>
    <w:rsid w:val="005B71AF"/>
    <w:rsid w:val="005C08CB"/>
    <w:rsid w:val="005C348B"/>
    <w:rsid w:val="005C36C8"/>
    <w:rsid w:val="005C493A"/>
    <w:rsid w:val="005C6361"/>
    <w:rsid w:val="005C79FC"/>
    <w:rsid w:val="005D0823"/>
    <w:rsid w:val="005D2369"/>
    <w:rsid w:val="005D5283"/>
    <w:rsid w:val="005D569A"/>
    <w:rsid w:val="005D75E1"/>
    <w:rsid w:val="005D7F0F"/>
    <w:rsid w:val="005E0B9B"/>
    <w:rsid w:val="005E17A3"/>
    <w:rsid w:val="005E450D"/>
    <w:rsid w:val="005E70E4"/>
    <w:rsid w:val="005F48F7"/>
    <w:rsid w:val="005F6162"/>
    <w:rsid w:val="005F6186"/>
    <w:rsid w:val="005F7EFE"/>
    <w:rsid w:val="00600A4C"/>
    <w:rsid w:val="0060264F"/>
    <w:rsid w:val="00604008"/>
    <w:rsid w:val="00604719"/>
    <w:rsid w:val="00604A4F"/>
    <w:rsid w:val="006067A1"/>
    <w:rsid w:val="00607CD3"/>
    <w:rsid w:val="00610160"/>
    <w:rsid w:val="006105FF"/>
    <w:rsid w:val="006121CD"/>
    <w:rsid w:val="00613BF1"/>
    <w:rsid w:val="006145A9"/>
    <w:rsid w:val="00621171"/>
    <w:rsid w:val="00621D19"/>
    <w:rsid w:val="00622103"/>
    <w:rsid w:val="00622245"/>
    <w:rsid w:val="006237F4"/>
    <w:rsid w:val="00624196"/>
    <w:rsid w:val="00625806"/>
    <w:rsid w:val="00627F8A"/>
    <w:rsid w:val="006357E9"/>
    <w:rsid w:val="00635AB6"/>
    <w:rsid w:val="00640587"/>
    <w:rsid w:val="0064219F"/>
    <w:rsid w:val="006430CC"/>
    <w:rsid w:val="00645E79"/>
    <w:rsid w:val="00646A7C"/>
    <w:rsid w:val="00647C3A"/>
    <w:rsid w:val="006513A7"/>
    <w:rsid w:val="006537EF"/>
    <w:rsid w:val="00654E3F"/>
    <w:rsid w:val="00655DF5"/>
    <w:rsid w:val="006560BF"/>
    <w:rsid w:val="00656163"/>
    <w:rsid w:val="00657C4C"/>
    <w:rsid w:val="006613DB"/>
    <w:rsid w:val="0066584F"/>
    <w:rsid w:val="00667472"/>
    <w:rsid w:val="00670CE5"/>
    <w:rsid w:val="00670F1A"/>
    <w:rsid w:val="0067450E"/>
    <w:rsid w:val="0067485A"/>
    <w:rsid w:val="0067574F"/>
    <w:rsid w:val="00680B0A"/>
    <w:rsid w:val="0068190E"/>
    <w:rsid w:val="0068344B"/>
    <w:rsid w:val="00685320"/>
    <w:rsid w:val="00687008"/>
    <w:rsid w:val="00687D2A"/>
    <w:rsid w:val="0069054E"/>
    <w:rsid w:val="00691FEE"/>
    <w:rsid w:val="006921B4"/>
    <w:rsid w:val="006A0D9D"/>
    <w:rsid w:val="006A3300"/>
    <w:rsid w:val="006A4A32"/>
    <w:rsid w:val="006A5E3F"/>
    <w:rsid w:val="006A61A0"/>
    <w:rsid w:val="006A7D85"/>
    <w:rsid w:val="006A7ECC"/>
    <w:rsid w:val="006B2039"/>
    <w:rsid w:val="006B24BE"/>
    <w:rsid w:val="006B41F7"/>
    <w:rsid w:val="006B6109"/>
    <w:rsid w:val="006B6441"/>
    <w:rsid w:val="006B64F1"/>
    <w:rsid w:val="006B77C0"/>
    <w:rsid w:val="006C0556"/>
    <w:rsid w:val="006C118F"/>
    <w:rsid w:val="006C1388"/>
    <w:rsid w:val="006C3635"/>
    <w:rsid w:val="006C3724"/>
    <w:rsid w:val="006C3B9E"/>
    <w:rsid w:val="006C40E1"/>
    <w:rsid w:val="006D38F7"/>
    <w:rsid w:val="006D690E"/>
    <w:rsid w:val="006D77D9"/>
    <w:rsid w:val="006E07C1"/>
    <w:rsid w:val="006E2992"/>
    <w:rsid w:val="006E321F"/>
    <w:rsid w:val="006E383E"/>
    <w:rsid w:val="006F21CD"/>
    <w:rsid w:val="006F34D0"/>
    <w:rsid w:val="006F3ED1"/>
    <w:rsid w:val="006F4E88"/>
    <w:rsid w:val="006F5D06"/>
    <w:rsid w:val="006F7622"/>
    <w:rsid w:val="006F7C8F"/>
    <w:rsid w:val="00700BC6"/>
    <w:rsid w:val="00700C6F"/>
    <w:rsid w:val="00701803"/>
    <w:rsid w:val="00703465"/>
    <w:rsid w:val="00707018"/>
    <w:rsid w:val="00711168"/>
    <w:rsid w:val="00711680"/>
    <w:rsid w:val="00712A20"/>
    <w:rsid w:val="00712D07"/>
    <w:rsid w:val="0071532D"/>
    <w:rsid w:val="00716901"/>
    <w:rsid w:val="00717260"/>
    <w:rsid w:val="007175A9"/>
    <w:rsid w:val="007241C9"/>
    <w:rsid w:val="00724694"/>
    <w:rsid w:val="0072475B"/>
    <w:rsid w:val="00725521"/>
    <w:rsid w:val="007266EA"/>
    <w:rsid w:val="00726900"/>
    <w:rsid w:val="00726CC2"/>
    <w:rsid w:val="00730F1F"/>
    <w:rsid w:val="00732974"/>
    <w:rsid w:val="00733417"/>
    <w:rsid w:val="0073488E"/>
    <w:rsid w:val="00734981"/>
    <w:rsid w:val="00735019"/>
    <w:rsid w:val="0073509B"/>
    <w:rsid w:val="0073723B"/>
    <w:rsid w:val="00745191"/>
    <w:rsid w:val="00745F1F"/>
    <w:rsid w:val="00750B98"/>
    <w:rsid w:val="00753288"/>
    <w:rsid w:val="00753E5A"/>
    <w:rsid w:val="0075551B"/>
    <w:rsid w:val="0075580F"/>
    <w:rsid w:val="007565C2"/>
    <w:rsid w:val="00757342"/>
    <w:rsid w:val="0075762F"/>
    <w:rsid w:val="00763248"/>
    <w:rsid w:val="00765E63"/>
    <w:rsid w:val="00767A03"/>
    <w:rsid w:val="00770B16"/>
    <w:rsid w:val="007723C4"/>
    <w:rsid w:val="0077555E"/>
    <w:rsid w:val="00775C58"/>
    <w:rsid w:val="00776ABA"/>
    <w:rsid w:val="00777070"/>
    <w:rsid w:val="00783FC3"/>
    <w:rsid w:val="0078435D"/>
    <w:rsid w:val="007845D8"/>
    <w:rsid w:val="00786D64"/>
    <w:rsid w:val="00786F97"/>
    <w:rsid w:val="00792E2E"/>
    <w:rsid w:val="007943A4"/>
    <w:rsid w:val="007953A4"/>
    <w:rsid w:val="00796AFA"/>
    <w:rsid w:val="00796BF0"/>
    <w:rsid w:val="0079767E"/>
    <w:rsid w:val="007A20A3"/>
    <w:rsid w:val="007A246E"/>
    <w:rsid w:val="007A2E22"/>
    <w:rsid w:val="007A3242"/>
    <w:rsid w:val="007A6737"/>
    <w:rsid w:val="007B2BC2"/>
    <w:rsid w:val="007B3635"/>
    <w:rsid w:val="007B3D9D"/>
    <w:rsid w:val="007B4168"/>
    <w:rsid w:val="007B4B77"/>
    <w:rsid w:val="007B58C2"/>
    <w:rsid w:val="007B60AC"/>
    <w:rsid w:val="007B62F2"/>
    <w:rsid w:val="007B72DC"/>
    <w:rsid w:val="007B773F"/>
    <w:rsid w:val="007C0736"/>
    <w:rsid w:val="007C0EEC"/>
    <w:rsid w:val="007C1BF1"/>
    <w:rsid w:val="007C4C75"/>
    <w:rsid w:val="007C61AB"/>
    <w:rsid w:val="007C6338"/>
    <w:rsid w:val="007C65DA"/>
    <w:rsid w:val="007C723D"/>
    <w:rsid w:val="007D0CFE"/>
    <w:rsid w:val="007D203B"/>
    <w:rsid w:val="007D3313"/>
    <w:rsid w:val="007D40BA"/>
    <w:rsid w:val="007D732C"/>
    <w:rsid w:val="007E0454"/>
    <w:rsid w:val="007E07E5"/>
    <w:rsid w:val="007E200E"/>
    <w:rsid w:val="007E32D8"/>
    <w:rsid w:val="007E3ADC"/>
    <w:rsid w:val="007E47FF"/>
    <w:rsid w:val="007E5BF3"/>
    <w:rsid w:val="007E7D3F"/>
    <w:rsid w:val="007E7FAA"/>
    <w:rsid w:val="007F25DB"/>
    <w:rsid w:val="007F4ECD"/>
    <w:rsid w:val="007F68A0"/>
    <w:rsid w:val="00800EB5"/>
    <w:rsid w:val="00803568"/>
    <w:rsid w:val="00805B28"/>
    <w:rsid w:val="00806F6A"/>
    <w:rsid w:val="008074BF"/>
    <w:rsid w:val="00807A02"/>
    <w:rsid w:val="008103EE"/>
    <w:rsid w:val="00811B4F"/>
    <w:rsid w:val="008153CD"/>
    <w:rsid w:val="00816826"/>
    <w:rsid w:val="008179ED"/>
    <w:rsid w:val="00820EC1"/>
    <w:rsid w:val="00822264"/>
    <w:rsid w:val="00822836"/>
    <w:rsid w:val="00823B85"/>
    <w:rsid w:val="00826EEC"/>
    <w:rsid w:val="008333CC"/>
    <w:rsid w:val="008334D6"/>
    <w:rsid w:val="008336E8"/>
    <w:rsid w:val="00833841"/>
    <w:rsid w:val="00834891"/>
    <w:rsid w:val="0083523D"/>
    <w:rsid w:val="008406DC"/>
    <w:rsid w:val="00840718"/>
    <w:rsid w:val="00846158"/>
    <w:rsid w:val="008503DE"/>
    <w:rsid w:val="00852EF4"/>
    <w:rsid w:val="008551C9"/>
    <w:rsid w:val="008569CC"/>
    <w:rsid w:val="00856A57"/>
    <w:rsid w:val="00861C6B"/>
    <w:rsid w:val="00863961"/>
    <w:rsid w:val="008644E0"/>
    <w:rsid w:val="0086459D"/>
    <w:rsid w:val="008670BF"/>
    <w:rsid w:val="0086714A"/>
    <w:rsid w:val="0087045B"/>
    <w:rsid w:val="0087190B"/>
    <w:rsid w:val="00873EDE"/>
    <w:rsid w:val="00874DF1"/>
    <w:rsid w:val="00882539"/>
    <w:rsid w:val="00882FDF"/>
    <w:rsid w:val="00890390"/>
    <w:rsid w:val="008922B2"/>
    <w:rsid w:val="00895240"/>
    <w:rsid w:val="008958CF"/>
    <w:rsid w:val="008963F6"/>
    <w:rsid w:val="00897443"/>
    <w:rsid w:val="0089758F"/>
    <w:rsid w:val="008A1D03"/>
    <w:rsid w:val="008A24AC"/>
    <w:rsid w:val="008A32F9"/>
    <w:rsid w:val="008B0898"/>
    <w:rsid w:val="008B5CD8"/>
    <w:rsid w:val="008B64AC"/>
    <w:rsid w:val="008B690F"/>
    <w:rsid w:val="008B70A2"/>
    <w:rsid w:val="008C2E58"/>
    <w:rsid w:val="008C4462"/>
    <w:rsid w:val="008C4D65"/>
    <w:rsid w:val="008C5628"/>
    <w:rsid w:val="008C612F"/>
    <w:rsid w:val="008C66A0"/>
    <w:rsid w:val="008C7D28"/>
    <w:rsid w:val="008D4FDD"/>
    <w:rsid w:val="008D50A9"/>
    <w:rsid w:val="008D5A63"/>
    <w:rsid w:val="008D7EBB"/>
    <w:rsid w:val="008E10EF"/>
    <w:rsid w:val="008E3640"/>
    <w:rsid w:val="008E3D04"/>
    <w:rsid w:val="008E4B4F"/>
    <w:rsid w:val="008E5DEF"/>
    <w:rsid w:val="008F0617"/>
    <w:rsid w:val="008F6FB3"/>
    <w:rsid w:val="00902510"/>
    <w:rsid w:val="0090292C"/>
    <w:rsid w:val="00905064"/>
    <w:rsid w:val="00905EEB"/>
    <w:rsid w:val="009063F3"/>
    <w:rsid w:val="00906C1C"/>
    <w:rsid w:val="0091384E"/>
    <w:rsid w:val="00914030"/>
    <w:rsid w:val="0091603E"/>
    <w:rsid w:val="00916493"/>
    <w:rsid w:val="009205A6"/>
    <w:rsid w:val="00924DC2"/>
    <w:rsid w:val="00925AB6"/>
    <w:rsid w:val="00926556"/>
    <w:rsid w:val="00927CD4"/>
    <w:rsid w:val="00930BCF"/>
    <w:rsid w:val="00930DDE"/>
    <w:rsid w:val="00932124"/>
    <w:rsid w:val="00933E92"/>
    <w:rsid w:val="00934609"/>
    <w:rsid w:val="00936452"/>
    <w:rsid w:val="009367C4"/>
    <w:rsid w:val="00942E5E"/>
    <w:rsid w:val="00943618"/>
    <w:rsid w:val="009439C3"/>
    <w:rsid w:val="009440F1"/>
    <w:rsid w:val="00947F96"/>
    <w:rsid w:val="009507F9"/>
    <w:rsid w:val="00950ABE"/>
    <w:rsid w:val="00950F5F"/>
    <w:rsid w:val="009531C2"/>
    <w:rsid w:val="00953513"/>
    <w:rsid w:val="00956C1F"/>
    <w:rsid w:val="00956EA2"/>
    <w:rsid w:val="00960199"/>
    <w:rsid w:val="0096152C"/>
    <w:rsid w:val="00962C50"/>
    <w:rsid w:val="009655E3"/>
    <w:rsid w:val="00965BC5"/>
    <w:rsid w:val="009666CB"/>
    <w:rsid w:val="0096682B"/>
    <w:rsid w:val="00966C7C"/>
    <w:rsid w:val="0097077D"/>
    <w:rsid w:val="009749B0"/>
    <w:rsid w:val="00980B61"/>
    <w:rsid w:val="00980F45"/>
    <w:rsid w:val="00981A6E"/>
    <w:rsid w:val="009820A2"/>
    <w:rsid w:val="00982F45"/>
    <w:rsid w:val="00983B33"/>
    <w:rsid w:val="00983F41"/>
    <w:rsid w:val="00986D43"/>
    <w:rsid w:val="00992422"/>
    <w:rsid w:val="009926F4"/>
    <w:rsid w:val="00995C9A"/>
    <w:rsid w:val="00995E0B"/>
    <w:rsid w:val="00997E7B"/>
    <w:rsid w:val="009A2678"/>
    <w:rsid w:val="009A4352"/>
    <w:rsid w:val="009A641F"/>
    <w:rsid w:val="009A645C"/>
    <w:rsid w:val="009B16A3"/>
    <w:rsid w:val="009B2B3C"/>
    <w:rsid w:val="009B4F09"/>
    <w:rsid w:val="009B7406"/>
    <w:rsid w:val="009C3CA5"/>
    <w:rsid w:val="009C4D69"/>
    <w:rsid w:val="009C7CEC"/>
    <w:rsid w:val="009D012D"/>
    <w:rsid w:val="009D1BDA"/>
    <w:rsid w:val="009D3DE7"/>
    <w:rsid w:val="009D4322"/>
    <w:rsid w:val="009D48CA"/>
    <w:rsid w:val="009D5B74"/>
    <w:rsid w:val="009E1D56"/>
    <w:rsid w:val="009E2188"/>
    <w:rsid w:val="009E2969"/>
    <w:rsid w:val="009E3435"/>
    <w:rsid w:val="009F351A"/>
    <w:rsid w:val="009F4FD2"/>
    <w:rsid w:val="009F5C2E"/>
    <w:rsid w:val="00A00407"/>
    <w:rsid w:val="00A0518C"/>
    <w:rsid w:val="00A05A95"/>
    <w:rsid w:val="00A0691C"/>
    <w:rsid w:val="00A078AF"/>
    <w:rsid w:val="00A14E12"/>
    <w:rsid w:val="00A17BD8"/>
    <w:rsid w:val="00A22C26"/>
    <w:rsid w:val="00A2477D"/>
    <w:rsid w:val="00A2754C"/>
    <w:rsid w:val="00A30497"/>
    <w:rsid w:val="00A31BDD"/>
    <w:rsid w:val="00A32CAF"/>
    <w:rsid w:val="00A33111"/>
    <w:rsid w:val="00A3416D"/>
    <w:rsid w:val="00A35753"/>
    <w:rsid w:val="00A35C84"/>
    <w:rsid w:val="00A3609A"/>
    <w:rsid w:val="00A40715"/>
    <w:rsid w:val="00A41915"/>
    <w:rsid w:val="00A430E2"/>
    <w:rsid w:val="00A43646"/>
    <w:rsid w:val="00A51A3C"/>
    <w:rsid w:val="00A53D6F"/>
    <w:rsid w:val="00A54499"/>
    <w:rsid w:val="00A55B1C"/>
    <w:rsid w:val="00A5606C"/>
    <w:rsid w:val="00A606D1"/>
    <w:rsid w:val="00A61775"/>
    <w:rsid w:val="00A63C10"/>
    <w:rsid w:val="00A665BD"/>
    <w:rsid w:val="00A66B52"/>
    <w:rsid w:val="00A774FD"/>
    <w:rsid w:val="00A80BC5"/>
    <w:rsid w:val="00A834C9"/>
    <w:rsid w:val="00A925E3"/>
    <w:rsid w:val="00A93D4B"/>
    <w:rsid w:val="00A94A2E"/>
    <w:rsid w:val="00A95A93"/>
    <w:rsid w:val="00AA172E"/>
    <w:rsid w:val="00AA1E99"/>
    <w:rsid w:val="00AA34E8"/>
    <w:rsid w:val="00AA733D"/>
    <w:rsid w:val="00AB10E7"/>
    <w:rsid w:val="00AB10F0"/>
    <w:rsid w:val="00AB14D1"/>
    <w:rsid w:val="00AB23C2"/>
    <w:rsid w:val="00AB4C16"/>
    <w:rsid w:val="00AB62B3"/>
    <w:rsid w:val="00AB6AAC"/>
    <w:rsid w:val="00AB7D0D"/>
    <w:rsid w:val="00AC094E"/>
    <w:rsid w:val="00AC11C2"/>
    <w:rsid w:val="00AC2E8B"/>
    <w:rsid w:val="00AC4001"/>
    <w:rsid w:val="00AC46D6"/>
    <w:rsid w:val="00AC68F3"/>
    <w:rsid w:val="00AC6DC2"/>
    <w:rsid w:val="00AD0785"/>
    <w:rsid w:val="00AD099D"/>
    <w:rsid w:val="00AD2477"/>
    <w:rsid w:val="00AD2E6D"/>
    <w:rsid w:val="00AD4E46"/>
    <w:rsid w:val="00AD74B9"/>
    <w:rsid w:val="00AE108C"/>
    <w:rsid w:val="00AE5183"/>
    <w:rsid w:val="00AF1E0B"/>
    <w:rsid w:val="00AF34C6"/>
    <w:rsid w:val="00AF3981"/>
    <w:rsid w:val="00AF773E"/>
    <w:rsid w:val="00B0314C"/>
    <w:rsid w:val="00B03254"/>
    <w:rsid w:val="00B03439"/>
    <w:rsid w:val="00B03AB1"/>
    <w:rsid w:val="00B03D24"/>
    <w:rsid w:val="00B03DDB"/>
    <w:rsid w:val="00B0496F"/>
    <w:rsid w:val="00B05158"/>
    <w:rsid w:val="00B07D8E"/>
    <w:rsid w:val="00B10735"/>
    <w:rsid w:val="00B1143D"/>
    <w:rsid w:val="00B12DF6"/>
    <w:rsid w:val="00B1590C"/>
    <w:rsid w:val="00B164DB"/>
    <w:rsid w:val="00B168BB"/>
    <w:rsid w:val="00B17423"/>
    <w:rsid w:val="00B17876"/>
    <w:rsid w:val="00B21F72"/>
    <w:rsid w:val="00B2384B"/>
    <w:rsid w:val="00B23EAB"/>
    <w:rsid w:val="00B2409F"/>
    <w:rsid w:val="00B254C1"/>
    <w:rsid w:val="00B26FD1"/>
    <w:rsid w:val="00B31FB4"/>
    <w:rsid w:val="00B32611"/>
    <w:rsid w:val="00B33DEC"/>
    <w:rsid w:val="00B34273"/>
    <w:rsid w:val="00B4049D"/>
    <w:rsid w:val="00B40D89"/>
    <w:rsid w:val="00B41120"/>
    <w:rsid w:val="00B449BA"/>
    <w:rsid w:val="00B45447"/>
    <w:rsid w:val="00B46A5E"/>
    <w:rsid w:val="00B503E5"/>
    <w:rsid w:val="00B50F4F"/>
    <w:rsid w:val="00B51FFA"/>
    <w:rsid w:val="00B53E39"/>
    <w:rsid w:val="00B540FC"/>
    <w:rsid w:val="00B56C76"/>
    <w:rsid w:val="00B6342B"/>
    <w:rsid w:val="00B6382A"/>
    <w:rsid w:val="00B63B6B"/>
    <w:rsid w:val="00B64219"/>
    <w:rsid w:val="00B64BF9"/>
    <w:rsid w:val="00B677D1"/>
    <w:rsid w:val="00B70990"/>
    <w:rsid w:val="00B70ED3"/>
    <w:rsid w:val="00B73B1E"/>
    <w:rsid w:val="00B778C9"/>
    <w:rsid w:val="00B83258"/>
    <w:rsid w:val="00B839BF"/>
    <w:rsid w:val="00B84219"/>
    <w:rsid w:val="00B84C69"/>
    <w:rsid w:val="00B85EBA"/>
    <w:rsid w:val="00B87913"/>
    <w:rsid w:val="00B90026"/>
    <w:rsid w:val="00B90BF6"/>
    <w:rsid w:val="00B91C53"/>
    <w:rsid w:val="00B929F9"/>
    <w:rsid w:val="00B95512"/>
    <w:rsid w:val="00B95994"/>
    <w:rsid w:val="00B96EA2"/>
    <w:rsid w:val="00B96EF6"/>
    <w:rsid w:val="00B96F75"/>
    <w:rsid w:val="00BA04C3"/>
    <w:rsid w:val="00BA36CB"/>
    <w:rsid w:val="00BA5100"/>
    <w:rsid w:val="00BA7463"/>
    <w:rsid w:val="00BA7733"/>
    <w:rsid w:val="00BB2443"/>
    <w:rsid w:val="00BB5D19"/>
    <w:rsid w:val="00BB6D2A"/>
    <w:rsid w:val="00BB6FAD"/>
    <w:rsid w:val="00BC0B30"/>
    <w:rsid w:val="00BC5DBA"/>
    <w:rsid w:val="00BC69F4"/>
    <w:rsid w:val="00BC6B39"/>
    <w:rsid w:val="00BD1781"/>
    <w:rsid w:val="00BD331F"/>
    <w:rsid w:val="00BD47FD"/>
    <w:rsid w:val="00BD6C1A"/>
    <w:rsid w:val="00BE14EA"/>
    <w:rsid w:val="00BE38EF"/>
    <w:rsid w:val="00BE3D99"/>
    <w:rsid w:val="00BE41CD"/>
    <w:rsid w:val="00BE5353"/>
    <w:rsid w:val="00BE631F"/>
    <w:rsid w:val="00BE6C8A"/>
    <w:rsid w:val="00BE734A"/>
    <w:rsid w:val="00BF36DD"/>
    <w:rsid w:val="00BF3EF6"/>
    <w:rsid w:val="00BF3FCA"/>
    <w:rsid w:val="00C02551"/>
    <w:rsid w:val="00C03E2B"/>
    <w:rsid w:val="00C0779D"/>
    <w:rsid w:val="00C07A25"/>
    <w:rsid w:val="00C07AB0"/>
    <w:rsid w:val="00C1029E"/>
    <w:rsid w:val="00C10757"/>
    <w:rsid w:val="00C114F9"/>
    <w:rsid w:val="00C11757"/>
    <w:rsid w:val="00C13544"/>
    <w:rsid w:val="00C138E9"/>
    <w:rsid w:val="00C13CE5"/>
    <w:rsid w:val="00C167E7"/>
    <w:rsid w:val="00C169DB"/>
    <w:rsid w:val="00C17D60"/>
    <w:rsid w:val="00C17DC0"/>
    <w:rsid w:val="00C20064"/>
    <w:rsid w:val="00C21124"/>
    <w:rsid w:val="00C21495"/>
    <w:rsid w:val="00C218A2"/>
    <w:rsid w:val="00C21BF9"/>
    <w:rsid w:val="00C23D03"/>
    <w:rsid w:val="00C23EFD"/>
    <w:rsid w:val="00C244A1"/>
    <w:rsid w:val="00C32023"/>
    <w:rsid w:val="00C3356D"/>
    <w:rsid w:val="00C33BC5"/>
    <w:rsid w:val="00C41A99"/>
    <w:rsid w:val="00C424B5"/>
    <w:rsid w:val="00C43D91"/>
    <w:rsid w:val="00C44474"/>
    <w:rsid w:val="00C44ECC"/>
    <w:rsid w:val="00C46F68"/>
    <w:rsid w:val="00C46FDD"/>
    <w:rsid w:val="00C478B0"/>
    <w:rsid w:val="00C500D8"/>
    <w:rsid w:val="00C50344"/>
    <w:rsid w:val="00C5051D"/>
    <w:rsid w:val="00C5149C"/>
    <w:rsid w:val="00C51B2E"/>
    <w:rsid w:val="00C529EC"/>
    <w:rsid w:val="00C54783"/>
    <w:rsid w:val="00C5622A"/>
    <w:rsid w:val="00C566D2"/>
    <w:rsid w:val="00C56D19"/>
    <w:rsid w:val="00C57822"/>
    <w:rsid w:val="00C57E72"/>
    <w:rsid w:val="00C60349"/>
    <w:rsid w:val="00C62499"/>
    <w:rsid w:val="00C709AE"/>
    <w:rsid w:val="00C721D9"/>
    <w:rsid w:val="00C72B31"/>
    <w:rsid w:val="00C76742"/>
    <w:rsid w:val="00C7761F"/>
    <w:rsid w:val="00C80976"/>
    <w:rsid w:val="00C82E41"/>
    <w:rsid w:val="00C85802"/>
    <w:rsid w:val="00C85A57"/>
    <w:rsid w:val="00C870D8"/>
    <w:rsid w:val="00C870F3"/>
    <w:rsid w:val="00C944AE"/>
    <w:rsid w:val="00C9511D"/>
    <w:rsid w:val="00C96A18"/>
    <w:rsid w:val="00C96BA7"/>
    <w:rsid w:val="00C97CA8"/>
    <w:rsid w:val="00CA0089"/>
    <w:rsid w:val="00CA5320"/>
    <w:rsid w:val="00CA5656"/>
    <w:rsid w:val="00CA5E60"/>
    <w:rsid w:val="00CB14AC"/>
    <w:rsid w:val="00CB14BA"/>
    <w:rsid w:val="00CB1905"/>
    <w:rsid w:val="00CB2825"/>
    <w:rsid w:val="00CB4475"/>
    <w:rsid w:val="00CB4AFE"/>
    <w:rsid w:val="00CB5B2C"/>
    <w:rsid w:val="00CB5FE9"/>
    <w:rsid w:val="00CB6969"/>
    <w:rsid w:val="00CB7EF5"/>
    <w:rsid w:val="00CC0130"/>
    <w:rsid w:val="00CC1296"/>
    <w:rsid w:val="00CC1828"/>
    <w:rsid w:val="00CC29EA"/>
    <w:rsid w:val="00CC4E41"/>
    <w:rsid w:val="00CC5814"/>
    <w:rsid w:val="00CD0BC2"/>
    <w:rsid w:val="00CD2C7C"/>
    <w:rsid w:val="00CE61DE"/>
    <w:rsid w:val="00CE67BB"/>
    <w:rsid w:val="00CE690D"/>
    <w:rsid w:val="00CE7631"/>
    <w:rsid w:val="00CE7CA8"/>
    <w:rsid w:val="00CF043B"/>
    <w:rsid w:val="00CF0D30"/>
    <w:rsid w:val="00CF0FA7"/>
    <w:rsid w:val="00CF262C"/>
    <w:rsid w:val="00CF3634"/>
    <w:rsid w:val="00CF57DF"/>
    <w:rsid w:val="00CF767D"/>
    <w:rsid w:val="00D04866"/>
    <w:rsid w:val="00D04917"/>
    <w:rsid w:val="00D0647D"/>
    <w:rsid w:val="00D111CD"/>
    <w:rsid w:val="00D11AD8"/>
    <w:rsid w:val="00D120F1"/>
    <w:rsid w:val="00D1434C"/>
    <w:rsid w:val="00D15CD6"/>
    <w:rsid w:val="00D15FEC"/>
    <w:rsid w:val="00D16176"/>
    <w:rsid w:val="00D17F70"/>
    <w:rsid w:val="00D204B5"/>
    <w:rsid w:val="00D21D27"/>
    <w:rsid w:val="00D228FA"/>
    <w:rsid w:val="00D22CA2"/>
    <w:rsid w:val="00D23368"/>
    <w:rsid w:val="00D24179"/>
    <w:rsid w:val="00D24B6F"/>
    <w:rsid w:val="00D26112"/>
    <w:rsid w:val="00D2615C"/>
    <w:rsid w:val="00D27D74"/>
    <w:rsid w:val="00D30CB7"/>
    <w:rsid w:val="00D32B35"/>
    <w:rsid w:val="00D341C3"/>
    <w:rsid w:val="00D351F0"/>
    <w:rsid w:val="00D35C93"/>
    <w:rsid w:val="00D374DE"/>
    <w:rsid w:val="00D4015C"/>
    <w:rsid w:val="00D4270C"/>
    <w:rsid w:val="00D4273A"/>
    <w:rsid w:val="00D47D92"/>
    <w:rsid w:val="00D508B1"/>
    <w:rsid w:val="00D50C5A"/>
    <w:rsid w:val="00D52820"/>
    <w:rsid w:val="00D53771"/>
    <w:rsid w:val="00D53AFF"/>
    <w:rsid w:val="00D57546"/>
    <w:rsid w:val="00D57608"/>
    <w:rsid w:val="00D61F50"/>
    <w:rsid w:val="00D62D1D"/>
    <w:rsid w:val="00D64846"/>
    <w:rsid w:val="00D65823"/>
    <w:rsid w:val="00D65BB2"/>
    <w:rsid w:val="00D65D38"/>
    <w:rsid w:val="00D65F84"/>
    <w:rsid w:val="00D66936"/>
    <w:rsid w:val="00D704F8"/>
    <w:rsid w:val="00D70919"/>
    <w:rsid w:val="00D72D73"/>
    <w:rsid w:val="00D75952"/>
    <w:rsid w:val="00D8053B"/>
    <w:rsid w:val="00D809FB"/>
    <w:rsid w:val="00D83372"/>
    <w:rsid w:val="00D856AE"/>
    <w:rsid w:val="00D85FD9"/>
    <w:rsid w:val="00D87436"/>
    <w:rsid w:val="00D87661"/>
    <w:rsid w:val="00D87A2B"/>
    <w:rsid w:val="00D9209A"/>
    <w:rsid w:val="00D94C7E"/>
    <w:rsid w:val="00D950D2"/>
    <w:rsid w:val="00D960DC"/>
    <w:rsid w:val="00D9729F"/>
    <w:rsid w:val="00DA17DE"/>
    <w:rsid w:val="00DA1AD5"/>
    <w:rsid w:val="00DA5F4D"/>
    <w:rsid w:val="00DB2663"/>
    <w:rsid w:val="00DB2749"/>
    <w:rsid w:val="00DB377D"/>
    <w:rsid w:val="00DB405A"/>
    <w:rsid w:val="00DB480E"/>
    <w:rsid w:val="00DB5610"/>
    <w:rsid w:val="00DB734F"/>
    <w:rsid w:val="00DC0020"/>
    <w:rsid w:val="00DC0230"/>
    <w:rsid w:val="00DC06DE"/>
    <w:rsid w:val="00DC48E5"/>
    <w:rsid w:val="00DC575F"/>
    <w:rsid w:val="00DC5A85"/>
    <w:rsid w:val="00DC63FB"/>
    <w:rsid w:val="00DC6CCA"/>
    <w:rsid w:val="00DD06C1"/>
    <w:rsid w:val="00DD0D5C"/>
    <w:rsid w:val="00DD2540"/>
    <w:rsid w:val="00DD305A"/>
    <w:rsid w:val="00DD3694"/>
    <w:rsid w:val="00DD75CD"/>
    <w:rsid w:val="00DE168B"/>
    <w:rsid w:val="00DE3CDD"/>
    <w:rsid w:val="00DE3F6E"/>
    <w:rsid w:val="00DE4E39"/>
    <w:rsid w:val="00DE50F9"/>
    <w:rsid w:val="00DE5255"/>
    <w:rsid w:val="00DE53A8"/>
    <w:rsid w:val="00DE65E5"/>
    <w:rsid w:val="00DE7AF3"/>
    <w:rsid w:val="00DF0A5A"/>
    <w:rsid w:val="00DF0D4B"/>
    <w:rsid w:val="00DF13F0"/>
    <w:rsid w:val="00DF6DE8"/>
    <w:rsid w:val="00E00D79"/>
    <w:rsid w:val="00E01688"/>
    <w:rsid w:val="00E01B07"/>
    <w:rsid w:val="00E024F3"/>
    <w:rsid w:val="00E02758"/>
    <w:rsid w:val="00E033FF"/>
    <w:rsid w:val="00E0525C"/>
    <w:rsid w:val="00E077B4"/>
    <w:rsid w:val="00E10C1E"/>
    <w:rsid w:val="00E125B0"/>
    <w:rsid w:val="00E14360"/>
    <w:rsid w:val="00E146C6"/>
    <w:rsid w:val="00E15002"/>
    <w:rsid w:val="00E202B3"/>
    <w:rsid w:val="00E20815"/>
    <w:rsid w:val="00E24E14"/>
    <w:rsid w:val="00E2559D"/>
    <w:rsid w:val="00E25B3B"/>
    <w:rsid w:val="00E26705"/>
    <w:rsid w:val="00E30AC0"/>
    <w:rsid w:val="00E32571"/>
    <w:rsid w:val="00E33011"/>
    <w:rsid w:val="00E35DFA"/>
    <w:rsid w:val="00E36900"/>
    <w:rsid w:val="00E36CDD"/>
    <w:rsid w:val="00E36D02"/>
    <w:rsid w:val="00E40DF3"/>
    <w:rsid w:val="00E410CA"/>
    <w:rsid w:val="00E41158"/>
    <w:rsid w:val="00E4219B"/>
    <w:rsid w:val="00E4274B"/>
    <w:rsid w:val="00E43828"/>
    <w:rsid w:val="00E44EC2"/>
    <w:rsid w:val="00E45526"/>
    <w:rsid w:val="00E45790"/>
    <w:rsid w:val="00E50A4F"/>
    <w:rsid w:val="00E56269"/>
    <w:rsid w:val="00E5643E"/>
    <w:rsid w:val="00E61E04"/>
    <w:rsid w:val="00E638B7"/>
    <w:rsid w:val="00E64123"/>
    <w:rsid w:val="00E679DF"/>
    <w:rsid w:val="00E739A1"/>
    <w:rsid w:val="00E7634A"/>
    <w:rsid w:val="00E77B2F"/>
    <w:rsid w:val="00E77B90"/>
    <w:rsid w:val="00E83A10"/>
    <w:rsid w:val="00E84B33"/>
    <w:rsid w:val="00E85C75"/>
    <w:rsid w:val="00E86B1D"/>
    <w:rsid w:val="00E92539"/>
    <w:rsid w:val="00E94493"/>
    <w:rsid w:val="00E94B39"/>
    <w:rsid w:val="00E94BDA"/>
    <w:rsid w:val="00E94DD2"/>
    <w:rsid w:val="00E950CD"/>
    <w:rsid w:val="00E95E0C"/>
    <w:rsid w:val="00EA0B41"/>
    <w:rsid w:val="00EA1B02"/>
    <w:rsid w:val="00EA5FCA"/>
    <w:rsid w:val="00EA7F02"/>
    <w:rsid w:val="00EB28FD"/>
    <w:rsid w:val="00EB2B33"/>
    <w:rsid w:val="00EB717C"/>
    <w:rsid w:val="00EC1594"/>
    <w:rsid w:val="00EC3797"/>
    <w:rsid w:val="00EC3931"/>
    <w:rsid w:val="00EC50E1"/>
    <w:rsid w:val="00EC7379"/>
    <w:rsid w:val="00ED0943"/>
    <w:rsid w:val="00ED118D"/>
    <w:rsid w:val="00ED166A"/>
    <w:rsid w:val="00ED4288"/>
    <w:rsid w:val="00ED61AE"/>
    <w:rsid w:val="00ED67C8"/>
    <w:rsid w:val="00EE2614"/>
    <w:rsid w:val="00EE26D5"/>
    <w:rsid w:val="00EE3C08"/>
    <w:rsid w:val="00EE4DD2"/>
    <w:rsid w:val="00EE6A24"/>
    <w:rsid w:val="00EF043D"/>
    <w:rsid w:val="00EF1F00"/>
    <w:rsid w:val="00EF26C7"/>
    <w:rsid w:val="00EF488C"/>
    <w:rsid w:val="00EF4DD2"/>
    <w:rsid w:val="00EF57D4"/>
    <w:rsid w:val="00EF6EDB"/>
    <w:rsid w:val="00EF77BB"/>
    <w:rsid w:val="00F0041C"/>
    <w:rsid w:val="00F020F2"/>
    <w:rsid w:val="00F04D82"/>
    <w:rsid w:val="00F0540F"/>
    <w:rsid w:val="00F0691A"/>
    <w:rsid w:val="00F07344"/>
    <w:rsid w:val="00F07ED6"/>
    <w:rsid w:val="00F105BB"/>
    <w:rsid w:val="00F11B3E"/>
    <w:rsid w:val="00F12147"/>
    <w:rsid w:val="00F14098"/>
    <w:rsid w:val="00F144B6"/>
    <w:rsid w:val="00F164E1"/>
    <w:rsid w:val="00F20F74"/>
    <w:rsid w:val="00F219A4"/>
    <w:rsid w:val="00F24745"/>
    <w:rsid w:val="00F27235"/>
    <w:rsid w:val="00F30C33"/>
    <w:rsid w:val="00F336A1"/>
    <w:rsid w:val="00F33BF2"/>
    <w:rsid w:val="00F35B55"/>
    <w:rsid w:val="00F4056B"/>
    <w:rsid w:val="00F41C98"/>
    <w:rsid w:val="00F42545"/>
    <w:rsid w:val="00F42870"/>
    <w:rsid w:val="00F50245"/>
    <w:rsid w:val="00F525FE"/>
    <w:rsid w:val="00F56298"/>
    <w:rsid w:val="00F56B2E"/>
    <w:rsid w:val="00F60C2B"/>
    <w:rsid w:val="00F61CE7"/>
    <w:rsid w:val="00F63ADD"/>
    <w:rsid w:val="00F63EF7"/>
    <w:rsid w:val="00F63EFE"/>
    <w:rsid w:val="00F6439F"/>
    <w:rsid w:val="00F64446"/>
    <w:rsid w:val="00F648AB"/>
    <w:rsid w:val="00F6687A"/>
    <w:rsid w:val="00F67F5D"/>
    <w:rsid w:val="00F70636"/>
    <w:rsid w:val="00F71C95"/>
    <w:rsid w:val="00F74187"/>
    <w:rsid w:val="00F74285"/>
    <w:rsid w:val="00F742EB"/>
    <w:rsid w:val="00F75577"/>
    <w:rsid w:val="00F77A7C"/>
    <w:rsid w:val="00F8215C"/>
    <w:rsid w:val="00F83606"/>
    <w:rsid w:val="00F83D43"/>
    <w:rsid w:val="00F83EF4"/>
    <w:rsid w:val="00F84611"/>
    <w:rsid w:val="00F86936"/>
    <w:rsid w:val="00F87B89"/>
    <w:rsid w:val="00F9141A"/>
    <w:rsid w:val="00F918FD"/>
    <w:rsid w:val="00F92B48"/>
    <w:rsid w:val="00F94064"/>
    <w:rsid w:val="00F9523D"/>
    <w:rsid w:val="00F97CBD"/>
    <w:rsid w:val="00FA095C"/>
    <w:rsid w:val="00FA0D11"/>
    <w:rsid w:val="00FA1854"/>
    <w:rsid w:val="00FA2EEC"/>
    <w:rsid w:val="00FA3D12"/>
    <w:rsid w:val="00FA4F01"/>
    <w:rsid w:val="00FA71DA"/>
    <w:rsid w:val="00FB0B18"/>
    <w:rsid w:val="00FB1708"/>
    <w:rsid w:val="00FB4533"/>
    <w:rsid w:val="00FB5D3C"/>
    <w:rsid w:val="00FB72A0"/>
    <w:rsid w:val="00FB794A"/>
    <w:rsid w:val="00FC015E"/>
    <w:rsid w:val="00FC6D01"/>
    <w:rsid w:val="00FD2C7B"/>
    <w:rsid w:val="00FD4F06"/>
    <w:rsid w:val="00FD5637"/>
    <w:rsid w:val="00FE05B1"/>
    <w:rsid w:val="00FE27C2"/>
    <w:rsid w:val="00FE38D2"/>
    <w:rsid w:val="00FE4BAE"/>
    <w:rsid w:val="00FF0144"/>
    <w:rsid w:val="00FF388D"/>
    <w:rsid w:val="00FF6AEE"/>
    <w:rsid w:val="00FF7D82"/>
    <w:rsid w:val="00FF7E2A"/>
    <w:rsid w:val="044F61F4"/>
    <w:rsid w:val="054A4F7A"/>
    <w:rsid w:val="06791DB7"/>
    <w:rsid w:val="06FD269B"/>
    <w:rsid w:val="07660C0D"/>
    <w:rsid w:val="076D50D5"/>
    <w:rsid w:val="086939B9"/>
    <w:rsid w:val="08DF686E"/>
    <w:rsid w:val="09A42E06"/>
    <w:rsid w:val="0A4529E9"/>
    <w:rsid w:val="0B9C1046"/>
    <w:rsid w:val="0BB24258"/>
    <w:rsid w:val="0CE75980"/>
    <w:rsid w:val="0CF41CEA"/>
    <w:rsid w:val="0D1B27B4"/>
    <w:rsid w:val="0D8E274E"/>
    <w:rsid w:val="0D953CAF"/>
    <w:rsid w:val="0E401EAE"/>
    <w:rsid w:val="0E59465B"/>
    <w:rsid w:val="104A0DAC"/>
    <w:rsid w:val="138A20A0"/>
    <w:rsid w:val="13D14B5B"/>
    <w:rsid w:val="148E62C9"/>
    <w:rsid w:val="15352B7F"/>
    <w:rsid w:val="15914A83"/>
    <w:rsid w:val="16633B3C"/>
    <w:rsid w:val="16B4623B"/>
    <w:rsid w:val="16FB5406"/>
    <w:rsid w:val="17185EA1"/>
    <w:rsid w:val="17AA34F5"/>
    <w:rsid w:val="18833434"/>
    <w:rsid w:val="18C837EE"/>
    <w:rsid w:val="1CB94C78"/>
    <w:rsid w:val="1D580BCE"/>
    <w:rsid w:val="1E1B351B"/>
    <w:rsid w:val="1E655919"/>
    <w:rsid w:val="1E96351C"/>
    <w:rsid w:val="20FC0BBA"/>
    <w:rsid w:val="220627D7"/>
    <w:rsid w:val="22154351"/>
    <w:rsid w:val="23DB7ABD"/>
    <w:rsid w:val="23ED6570"/>
    <w:rsid w:val="2569553E"/>
    <w:rsid w:val="26D41EF0"/>
    <w:rsid w:val="2755427C"/>
    <w:rsid w:val="284853BE"/>
    <w:rsid w:val="285E4DD3"/>
    <w:rsid w:val="28AD414D"/>
    <w:rsid w:val="299646F0"/>
    <w:rsid w:val="29AA7843"/>
    <w:rsid w:val="29C376DC"/>
    <w:rsid w:val="2ADC66BD"/>
    <w:rsid w:val="2BC80609"/>
    <w:rsid w:val="2C143F01"/>
    <w:rsid w:val="2C9247C1"/>
    <w:rsid w:val="2D902BC0"/>
    <w:rsid w:val="2E132621"/>
    <w:rsid w:val="303E64B5"/>
    <w:rsid w:val="30757D02"/>
    <w:rsid w:val="31321EFB"/>
    <w:rsid w:val="31C4231E"/>
    <w:rsid w:val="32EE50F7"/>
    <w:rsid w:val="33313714"/>
    <w:rsid w:val="33837FFF"/>
    <w:rsid w:val="34057F47"/>
    <w:rsid w:val="34E0199B"/>
    <w:rsid w:val="357946A4"/>
    <w:rsid w:val="35D54B9D"/>
    <w:rsid w:val="362E33F8"/>
    <w:rsid w:val="36590F2B"/>
    <w:rsid w:val="36E031B8"/>
    <w:rsid w:val="370A6B47"/>
    <w:rsid w:val="38221EDE"/>
    <w:rsid w:val="39822FDF"/>
    <w:rsid w:val="39877358"/>
    <w:rsid w:val="3A4A3A8A"/>
    <w:rsid w:val="3A7C222D"/>
    <w:rsid w:val="3ABC7A47"/>
    <w:rsid w:val="3ABD184F"/>
    <w:rsid w:val="3AF83011"/>
    <w:rsid w:val="3B025606"/>
    <w:rsid w:val="3B4E14F1"/>
    <w:rsid w:val="3D0A2E41"/>
    <w:rsid w:val="407E454B"/>
    <w:rsid w:val="409C6260"/>
    <w:rsid w:val="41FE2C02"/>
    <w:rsid w:val="43DF4CDF"/>
    <w:rsid w:val="442C623A"/>
    <w:rsid w:val="45B62694"/>
    <w:rsid w:val="46192F54"/>
    <w:rsid w:val="461A1FFF"/>
    <w:rsid w:val="46CC48FF"/>
    <w:rsid w:val="47E66F6E"/>
    <w:rsid w:val="493121A7"/>
    <w:rsid w:val="49647205"/>
    <w:rsid w:val="49D94C48"/>
    <w:rsid w:val="4AD44677"/>
    <w:rsid w:val="4B5123AB"/>
    <w:rsid w:val="4BCE04A9"/>
    <w:rsid w:val="4BDB1311"/>
    <w:rsid w:val="4C8C16C3"/>
    <w:rsid w:val="4C9611E3"/>
    <w:rsid w:val="4C9F1763"/>
    <w:rsid w:val="4D8E3ACE"/>
    <w:rsid w:val="4DA15A2A"/>
    <w:rsid w:val="4ECE1BA9"/>
    <w:rsid w:val="4ED42D94"/>
    <w:rsid w:val="4EDF50F4"/>
    <w:rsid w:val="4F3971DA"/>
    <w:rsid w:val="4F6B7816"/>
    <w:rsid w:val="50133AF9"/>
    <w:rsid w:val="50EB27DB"/>
    <w:rsid w:val="51036DA7"/>
    <w:rsid w:val="51BA7404"/>
    <w:rsid w:val="544C71FD"/>
    <w:rsid w:val="555A209C"/>
    <w:rsid w:val="561F6327"/>
    <w:rsid w:val="564E6122"/>
    <w:rsid w:val="5765363E"/>
    <w:rsid w:val="58025D42"/>
    <w:rsid w:val="581A15C8"/>
    <w:rsid w:val="588C0849"/>
    <w:rsid w:val="58B25FC0"/>
    <w:rsid w:val="5A0802B0"/>
    <w:rsid w:val="5AE746BC"/>
    <w:rsid w:val="5C563555"/>
    <w:rsid w:val="5C624F46"/>
    <w:rsid w:val="5D22293D"/>
    <w:rsid w:val="5D40528D"/>
    <w:rsid w:val="5D4C1217"/>
    <w:rsid w:val="5D5F49D3"/>
    <w:rsid w:val="5F364FDE"/>
    <w:rsid w:val="60893734"/>
    <w:rsid w:val="60A14AA0"/>
    <w:rsid w:val="61767804"/>
    <w:rsid w:val="622D04E5"/>
    <w:rsid w:val="626F3619"/>
    <w:rsid w:val="63831D9F"/>
    <w:rsid w:val="6434665B"/>
    <w:rsid w:val="644F528A"/>
    <w:rsid w:val="64E36CF8"/>
    <w:rsid w:val="64E9644F"/>
    <w:rsid w:val="656F74C2"/>
    <w:rsid w:val="671450A4"/>
    <w:rsid w:val="675319C5"/>
    <w:rsid w:val="67681BF7"/>
    <w:rsid w:val="67A317C3"/>
    <w:rsid w:val="67BA72CE"/>
    <w:rsid w:val="67D94C9E"/>
    <w:rsid w:val="68F44821"/>
    <w:rsid w:val="6ADA6A48"/>
    <w:rsid w:val="6B302230"/>
    <w:rsid w:val="6B4224B5"/>
    <w:rsid w:val="6B446DC2"/>
    <w:rsid w:val="6B6E08BB"/>
    <w:rsid w:val="6BD02009"/>
    <w:rsid w:val="6BDB3A77"/>
    <w:rsid w:val="6C7B38B9"/>
    <w:rsid w:val="6D7D2938"/>
    <w:rsid w:val="6E606D21"/>
    <w:rsid w:val="6E7D7067"/>
    <w:rsid w:val="6ECC2C12"/>
    <w:rsid w:val="6EE11147"/>
    <w:rsid w:val="6EFC0F99"/>
    <w:rsid w:val="6FA16534"/>
    <w:rsid w:val="70C908EF"/>
    <w:rsid w:val="718A55F2"/>
    <w:rsid w:val="72420EA0"/>
    <w:rsid w:val="72730E2C"/>
    <w:rsid w:val="72AB398F"/>
    <w:rsid w:val="735F5415"/>
    <w:rsid w:val="766C02EF"/>
    <w:rsid w:val="770F4A19"/>
    <w:rsid w:val="785C73AB"/>
    <w:rsid w:val="78900930"/>
    <w:rsid w:val="7900153F"/>
    <w:rsid w:val="794C1B10"/>
    <w:rsid w:val="79D55FA9"/>
    <w:rsid w:val="7A823C25"/>
    <w:rsid w:val="7A97500D"/>
    <w:rsid w:val="7B5C738E"/>
    <w:rsid w:val="7B5D6256"/>
    <w:rsid w:val="7BD75D31"/>
    <w:rsid w:val="7CB2222F"/>
    <w:rsid w:val="7D9079FA"/>
    <w:rsid w:val="7DA94550"/>
    <w:rsid w:val="7E7D1925"/>
    <w:rsid w:val="7E86290A"/>
    <w:rsid w:val="7F4C2DCD"/>
    <w:rsid w:val="7FB360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28"/>
    <w:qFormat/>
    <w:uiPriority w:val="0"/>
    <w:pPr>
      <w:keepNext/>
      <w:keepLines/>
      <w:topLinePunct/>
      <w:adjustRightInd/>
      <w:spacing w:beforeLines="100" w:line="240" w:lineRule="auto"/>
      <w:jc w:val="center"/>
      <w:textAlignment w:val="auto"/>
      <w:outlineLvl w:val="0"/>
    </w:pPr>
    <w:rPr>
      <w:rFonts w:cs="Arial" w:asciiTheme="minorEastAsia" w:hAnsiTheme="minorEastAsia" w:eastAsiaTheme="minorEastAsia"/>
      <w:b/>
      <w:bCs/>
      <w:kern w:val="2"/>
      <w:sz w:val="32"/>
      <w:szCs w:val="32"/>
    </w:rPr>
  </w:style>
  <w:style w:type="paragraph" w:styleId="3">
    <w:name w:val="heading 2"/>
    <w:basedOn w:val="1"/>
    <w:next w:val="1"/>
    <w:link w:val="29"/>
    <w:unhideWhenUsed/>
    <w:qFormat/>
    <w:uiPriority w:val="9"/>
    <w:pPr>
      <w:keepNext/>
      <w:keepLines/>
      <w:spacing w:beforeLines="50" w:line="560" w:lineRule="exact"/>
      <w:outlineLvl w:val="1"/>
    </w:pPr>
    <w:rPr>
      <w:rFonts w:asciiTheme="minorEastAsia" w:hAnsiTheme="minorEastAsia" w:eastAsiaTheme="minorEastAsia" w:cstheme="majorBidi"/>
      <w:b/>
      <w:bCs/>
      <w:color w:val="000000" w:themeColor="text1"/>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260"/>
      <w:jc w:val="left"/>
    </w:pPr>
    <w:rPr>
      <w:rFonts w:asciiTheme="minorHAnsi" w:hAnsiTheme="minorHAnsi"/>
      <w:sz w:val="18"/>
      <w:szCs w:val="18"/>
    </w:rPr>
  </w:style>
  <w:style w:type="paragraph" w:styleId="5">
    <w:name w:val="Document Map"/>
    <w:basedOn w:val="1"/>
    <w:link w:val="45"/>
    <w:semiHidden/>
    <w:unhideWhenUsed/>
    <w:qFormat/>
    <w:uiPriority w:val="99"/>
    <w:rPr>
      <w:rFonts w:ascii="宋体"/>
      <w:sz w:val="18"/>
      <w:szCs w:val="18"/>
    </w:rPr>
  </w:style>
  <w:style w:type="paragraph" w:styleId="6">
    <w:name w:val="annotation text"/>
    <w:basedOn w:val="1"/>
    <w:link w:val="40"/>
    <w:unhideWhenUsed/>
    <w:qFormat/>
    <w:uiPriority w:val="0"/>
    <w:pPr>
      <w:jc w:val="left"/>
    </w:pPr>
  </w:style>
  <w:style w:type="paragraph" w:styleId="7">
    <w:name w:val="Salutation"/>
    <w:basedOn w:val="1"/>
    <w:next w:val="1"/>
    <w:link w:val="39"/>
    <w:qFormat/>
    <w:uiPriority w:val="0"/>
    <w:pPr>
      <w:adjustRightInd/>
      <w:spacing w:line="240" w:lineRule="auto"/>
      <w:textAlignment w:val="auto"/>
    </w:pPr>
    <w:rPr>
      <w:kern w:val="2"/>
      <w:sz w:val="28"/>
    </w:rPr>
  </w:style>
  <w:style w:type="paragraph" w:styleId="8">
    <w:name w:val="Closing"/>
    <w:basedOn w:val="1"/>
    <w:link w:val="37"/>
    <w:qFormat/>
    <w:uiPriority w:val="0"/>
    <w:pPr>
      <w:adjustRightInd/>
      <w:spacing w:line="240" w:lineRule="auto"/>
      <w:ind w:left="100" w:leftChars="2100"/>
      <w:textAlignment w:val="auto"/>
    </w:pPr>
    <w:rPr>
      <w:kern w:val="2"/>
      <w:sz w:val="28"/>
      <w:szCs w:val="24"/>
    </w:rPr>
  </w:style>
  <w:style w:type="paragraph" w:styleId="9">
    <w:name w:val="toc 5"/>
    <w:basedOn w:val="1"/>
    <w:next w:val="1"/>
    <w:unhideWhenUsed/>
    <w:qFormat/>
    <w:uiPriority w:val="39"/>
    <w:pPr>
      <w:ind w:left="840"/>
      <w:jc w:val="left"/>
    </w:pPr>
    <w:rPr>
      <w:rFonts w:asciiTheme="minorHAnsi" w:hAnsiTheme="minorHAnsi"/>
      <w:sz w:val="18"/>
      <w:szCs w:val="18"/>
    </w:rPr>
  </w:style>
  <w:style w:type="paragraph" w:styleId="10">
    <w:name w:val="toc 3"/>
    <w:basedOn w:val="1"/>
    <w:next w:val="1"/>
    <w:unhideWhenUsed/>
    <w:qFormat/>
    <w:uiPriority w:val="39"/>
    <w:pPr>
      <w:ind w:left="420"/>
      <w:jc w:val="left"/>
    </w:pPr>
    <w:rPr>
      <w:rFonts w:asciiTheme="minorHAnsi" w:hAnsiTheme="minorHAnsi"/>
      <w:i/>
      <w:iCs/>
      <w:sz w:val="20"/>
    </w:rPr>
  </w:style>
  <w:style w:type="paragraph" w:styleId="11">
    <w:name w:val="Plain Text"/>
    <w:basedOn w:val="1"/>
    <w:link w:val="38"/>
    <w:qFormat/>
    <w:uiPriority w:val="0"/>
    <w:pPr>
      <w:autoSpaceDE w:val="0"/>
      <w:autoSpaceDN w:val="0"/>
      <w:textAlignment w:val="auto"/>
    </w:pPr>
    <w:rPr>
      <w:rFonts w:ascii="Courier New" w:hAnsi="Courier New"/>
      <w:kern w:val="2"/>
      <w:szCs w:val="22"/>
    </w:rPr>
  </w:style>
  <w:style w:type="paragraph" w:styleId="12">
    <w:name w:val="toc 8"/>
    <w:basedOn w:val="1"/>
    <w:next w:val="1"/>
    <w:unhideWhenUsed/>
    <w:qFormat/>
    <w:uiPriority w:val="39"/>
    <w:pPr>
      <w:ind w:left="1470"/>
      <w:jc w:val="left"/>
    </w:pPr>
    <w:rPr>
      <w:rFonts w:asciiTheme="minorHAnsi" w:hAnsiTheme="minorHAnsi"/>
      <w:sz w:val="18"/>
      <w:szCs w:val="18"/>
    </w:rPr>
  </w:style>
  <w:style w:type="paragraph" w:styleId="13">
    <w:name w:val="Date"/>
    <w:basedOn w:val="1"/>
    <w:next w:val="1"/>
    <w:link w:val="43"/>
    <w:semiHidden/>
    <w:unhideWhenUsed/>
    <w:qFormat/>
    <w:uiPriority w:val="99"/>
    <w:pPr>
      <w:ind w:left="100" w:leftChars="2500"/>
    </w:pPr>
  </w:style>
  <w:style w:type="paragraph" w:styleId="14">
    <w:name w:val="Balloon Text"/>
    <w:basedOn w:val="1"/>
    <w:link w:val="42"/>
    <w:semiHidden/>
    <w:unhideWhenUsed/>
    <w:qFormat/>
    <w:uiPriority w:val="99"/>
    <w:pPr>
      <w:spacing w:line="240" w:lineRule="auto"/>
    </w:pPr>
    <w:rPr>
      <w:sz w:val="18"/>
      <w:szCs w:val="18"/>
    </w:rPr>
  </w:style>
  <w:style w:type="paragraph" w:styleId="15">
    <w:name w:val="footer"/>
    <w:basedOn w:val="1"/>
    <w:link w:val="31"/>
    <w:unhideWhenUsed/>
    <w:qFormat/>
    <w:uiPriority w:val="99"/>
    <w:pPr>
      <w:tabs>
        <w:tab w:val="center" w:pos="4153"/>
        <w:tab w:val="right" w:pos="8306"/>
      </w:tabs>
      <w:snapToGrid w:val="0"/>
      <w:jc w:val="left"/>
    </w:pPr>
    <w:rPr>
      <w:sz w:val="18"/>
      <w:szCs w:val="18"/>
    </w:rPr>
  </w:style>
  <w:style w:type="paragraph" w:styleId="16">
    <w:name w:val="header"/>
    <w:basedOn w:val="1"/>
    <w:link w:val="30"/>
    <w:unhideWhenUsed/>
    <w:qFormat/>
    <w:uiPriority w:val="99"/>
    <w:pPr>
      <w:tabs>
        <w:tab w:val="center" w:pos="4153"/>
        <w:tab w:val="right" w:pos="8306"/>
      </w:tabs>
      <w:snapToGrid w:val="0"/>
      <w:jc w:val="center"/>
    </w:pPr>
    <w:rPr>
      <w:sz w:val="18"/>
      <w:szCs w:val="18"/>
    </w:rPr>
  </w:style>
  <w:style w:type="paragraph" w:styleId="17">
    <w:name w:val="toc 1"/>
    <w:basedOn w:val="1"/>
    <w:next w:val="1"/>
    <w:unhideWhenUsed/>
    <w:qFormat/>
    <w:uiPriority w:val="39"/>
    <w:pPr>
      <w:spacing w:line="400" w:lineRule="exact"/>
      <w:jc w:val="left"/>
    </w:pPr>
    <w:rPr>
      <w:rFonts w:asciiTheme="minorHAnsi" w:hAnsiTheme="minorHAnsi"/>
      <w:b/>
      <w:bCs/>
      <w:caps/>
      <w:sz w:val="24"/>
    </w:rPr>
  </w:style>
  <w:style w:type="paragraph" w:styleId="18">
    <w:name w:val="toc 4"/>
    <w:basedOn w:val="1"/>
    <w:next w:val="1"/>
    <w:unhideWhenUsed/>
    <w:qFormat/>
    <w:uiPriority w:val="39"/>
    <w:pPr>
      <w:ind w:left="630"/>
      <w:jc w:val="left"/>
    </w:pPr>
    <w:rPr>
      <w:rFonts w:asciiTheme="minorHAnsi" w:hAnsiTheme="minorHAnsi"/>
      <w:sz w:val="18"/>
      <w:szCs w:val="18"/>
    </w:rPr>
  </w:style>
  <w:style w:type="paragraph" w:styleId="19">
    <w:name w:val="toc 6"/>
    <w:basedOn w:val="1"/>
    <w:next w:val="1"/>
    <w:unhideWhenUsed/>
    <w:qFormat/>
    <w:uiPriority w:val="39"/>
    <w:pPr>
      <w:ind w:left="1050"/>
      <w:jc w:val="left"/>
    </w:pPr>
    <w:rPr>
      <w:rFonts w:asciiTheme="minorHAnsi" w:hAnsiTheme="minorHAnsi"/>
      <w:sz w:val="18"/>
      <w:szCs w:val="18"/>
    </w:rPr>
  </w:style>
  <w:style w:type="paragraph" w:styleId="20">
    <w:name w:val="toc 2"/>
    <w:basedOn w:val="1"/>
    <w:next w:val="1"/>
    <w:unhideWhenUsed/>
    <w:qFormat/>
    <w:uiPriority w:val="39"/>
    <w:pPr>
      <w:spacing w:line="400" w:lineRule="exact"/>
      <w:ind w:left="210"/>
      <w:jc w:val="left"/>
    </w:pPr>
    <w:rPr>
      <w:rFonts w:asciiTheme="minorHAnsi" w:hAnsiTheme="minorHAnsi"/>
      <w:smallCaps/>
      <w:sz w:val="24"/>
    </w:rPr>
  </w:style>
  <w:style w:type="paragraph" w:styleId="21">
    <w:name w:val="toc 9"/>
    <w:basedOn w:val="1"/>
    <w:next w:val="1"/>
    <w:unhideWhenUsed/>
    <w:qFormat/>
    <w:uiPriority w:val="39"/>
    <w:pPr>
      <w:ind w:left="1680"/>
      <w:jc w:val="left"/>
    </w:pPr>
    <w:rPr>
      <w:rFonts w:asciiTheme="minorHAnsi" w:hAnsiTheme="minorHAnsi"/>
      <w:sz w:val="18"/>
      <w:szCs w:val="18"/>
    </w:rPr>
  </w:style>
  <w:style w:type="paragraph" w:styleId="22">
    <w:name w:val="annotation subject"/>
    <w:basedOn w:val="6"/>
    <w:next w:val="6"/>
    <w:link w:val="41"/>
    <w:semiHidden/>
    <w:unhideWhenUsed/>
    <w:qFormat/>
    <w:uiPriority w:val="99"/>
    <w:rPr>
      <w:b/>
      <w:bCs/>
    </w:rPr>
  </w:style>
  <w:style w:type="table" w:styleId="24">
    <w:name w:val="Table Grid"/>
    <w:basedOn w:val="2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unhideWhenUsed/>
    <w:qFormat/>
    <w:uiPriority w:val="99"/>
    <w:rPr>
      <w:color w:val="0000FF" w:themeColor="hyperlink"/>
      <w:u w:val="single"/>
    </w:rPr>
  </w:style>
  <w:style w:type="character" w:styleId="27">
    <w:name w:val="annotation reference"/>
    <w:basedOn w:val="25"/>
    <w:unhideWhenUsed/>
    <w:qFormat/>
    <w:uiPriority w:val="0"/>
    <w:rPr>
      <w:sz w:val="21"/>
      <w:szCs w:val="21"/>
    </w:rPr>
  </w:style>
  <w:style w:type="character" w:customStyle="1" w:styleId="28">
    <w:name w:val="标题 1 字符"/>
    <w:basedOn w:val="25"/>
    <w:link w:val="2"/>
    <w:qFormat/>
    <w:uiPriority w:val="0"/>
    <w:rPr>
      <w:rFonts w:cs="Arial" w:asciiTheme="minorEastAsia" w:hAnsiTheme="minorEastAsia"/>
      <w:b/>
      <w:bCs/>
      <w:sz w:val="32"/>
      <w:szCs w:val="32"/>
    </w:rPr>
  </w:style>
  <w:style w:type="character" w:customStyle="1" w:styleId="29">
    <w:name w:val="标题 2 字符"/>
    <w:basedOn w:val="25"/>
    <w:link w:val="3"/>
    <w:qFormat/>
    <w:uiPriority w:val="9"/>
    <w:rPr>
      <w:rFonts w:asciiTheme="minorEastAsia" w:hAnsiTheme="minorEastAsia" w:cstheme="majorBidi"/>
      <w:b/>
      <w:bCs/>
      <w:color w:val="000000" w:themeColor="text1"/>
      <w:sz w:val="28"/>
      <w:szCs w:val="28"/>
    </w:rPr>
  </w:style>
  <w:style w:type="character" w:customStyle="1" w:styleId="30">
    <w:name w:val="页眉 字符"/>
    <w:basedOn w:val="25"/>
    <w:link w:val="16"/>
    <w:qFormat/>
    <w:uiPriority w:val="99"/>
    <w:rPr>
      <w:rFonts w:ascii="Times New Roman" w:hAnsi="Times New Roman" w:eastAsia="宋体" w:cs="Times New Roman"/>
      <w:sz w:val="18"/>
      <w:szCs w:val="18"/>
    </w:rPr>
  </w:style>
  <w:style w:type="character" w:customStyle="1" w:styleId="31">
    <w:name w:val="页脚 字符"/>
    <w:basedOn w:val="25"/>
    <w:link w:val="15"/>
    <w:qFormat/>
    <w:uiPriority w:val="99"/>
    <w:rPr>
      <w:rFonts w:ascii="Times New Roman" w:hAnsi="Times New Roman" w:eastAsia="宋体" w:cs="Times New Roman"/>
      <w:kern w:val="0"/>
      <w:sz w:val="18"/>
      <w:szCs w:val="18"/>
    </w:rPr>
  </w:style>
  <w:style w:type="paragraph" w:customStyle="1" w:styleId="32">
    <w:name w:val="列出段落1"/>
    <w:basedOn w:val="1"/>
    <w:qFormat/>
    <w:uiPriority w:val="34"/>
    <w:pPr>
      <w:ind w:firstLine="420" w:firstLineChars="200"/>
    </w:pPr>
  </w:style>
  <w:style w:type="character" w:customStyle="1" w:styleId="33">
    <w:name w:val="content1"/>
    <w:qFormat/>
    <w:uiPriority w:val="0"/>
    <w:rPr>
      <w:color w:val="000000"/>
      <w:kern w:val="2"/>
      <w:sz w:val="21"/>
      <w:szCs w:val="21"/>
    </w:rPr>
  </w:style>
  <w:style w:type="paragraph" w:customStyle="1" w:styleId="34">
    <w:name w:val="列出段落11"/>
    <w:basedOn w:val="1"/>
    <w:qFormat/>
    <w:uiPriority w:val="34"/>
    <w:pPr>
      <w:widowControl/>
      <w:adjustRightInd/>
      <w:spacing w:line="360" w:lineRule="auto"/>
      <w:ind w:firstLine="420" w:firstLineChars="200"/>
      <w:jc w:val="left"/>
      <w:textAlignment w:val="auto"/>
    </w:pPr>
    <w:rPr>
      <w:sz w:val="20"/>
    </w:rPr>
  </w:style>
  <w:style w:type="paragraph" w:customStyle="1" w:styleId="35">
    <w:name w:val="四级缩2"/>
    <w:basedOn w:val="1"/>
    <w:qFormat/>
    <w:uiPriority w:val="0"/>
    <w:pPr>
      <w:autoSpaceDE w:val="0"/>
      <w:autoSpaceDN w:val="0"/>
      <w:spacing w:line="360" w:lineRule="auto"/>
      <w:ind w:firstLine="544"/>
      <w:textAlignment w:val="auto"/>
    </w:pPr>
    <w:rPr>
      <w:rFonts w:ascii="仿宋_GB2312" w:eastAsia="仿宋_GB2312"/>
      <w:color w:val="000000"/>
      <w:kern w:val="2"/>
      <w:sz w:val="28"/>
      <w:szCs w:val="24"/>
    </w:rPr>
  </w:style>
  <w:style w:type="paragraph" w:customStyle="1" w:styleId="36">
    <w:name w:val="reader-word-layer"/>
    <w:basedOn w:val="1"/>
    <w:qFormat/>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character" w:customStyle="1" w:styleId="37">
    <w:name w:val="结束语 字符"/>
    <w:basedOn w:val="25"/>
    <w:link w:val="8"/>
    <w:qFormat/>
    <w:uiPriority w:val="0"/>
    <w:rPr>
      <w:rFonts w:ascii="Times New Roman" w:hAnsi="Times New Roman" w:eastAsia="宋体" w:cs="Times New Roman"/>
      <w:sz w:val="28"/>
      <w:szCs w:val="24"/>
    </w:rPr>
  </w:style>
  <w:style w:type="character" w:customStyle="1" w:styleId="38">
    <w:name w:val="纯文本 字符"/>
    <w:basedOn w:val="25"/>
    <w:link w:val="11"/>
    <w:qFormat/>
    <w:uiPriority w:val="0"/>
    <w:rPr>
      <w:rFonts w:ascii="Courier New" w:hAnsi="Courier New" w:eastAsia="宋体" w:cs="Times New Roman"/>
    </w:rPr>
  </w:style>
  <w:style w:type="character" w:customStyle="1" w:styleId="39">
    <w:name w:val="称呼 字符"/>
    <w:basedOn w:val="25"/>
    <w:link w:val="7"/>
    <w:qFormat/>
    <w:uiPriority w:val="0"/>
    <w:rPr>
      <w:rFonts w:ascii="Times New Roman" w:hAnsi="Times New Roman" w:eastAsia="宋体" w:cs="Times New Roman"/>
      <w:sz w:val="28"/>
      <w:szCs w:val="20"/>
    </w:rPr>
  </w:style>
  <w:style w:type="character" w:customStyle="1" w:styleId="40">
    <w:name w:val="批注文字 字符"/>
    <w:basedOn w:val="25"/>
    <w:link w:val="6"/>
    <w:qFormat/>
    <w:uiPriority w:val="0"/>
    <w:rPr>
      <w:rFonts w:ascii="Times New Roman" w:hAnsi="Times New Roman" w:eastAsia="宋体" w:cs="Times New Roman"/>
      <w:sz w:val="21"/>
    </w:rPr>
  </w:style>
  <w:style w:type="character" w:customStyle="1" w:styleId="41">
    <w:name w:val="批注主题 字符"/>
    <w:basedOn w:val="40"/>
    <w:link w:val="22"/>
    <w:semiHidden/>
    <w:qFormat/>
    <w:uiPriority w:val="99"/>
    <w:rPr>
      <w:rFonts w:ascii="Times New Roman" w:hAnsi="Times New Roman" w:eastAsia="宋体" w:cs="Times New Roman"/>
      <w:b/>
      <w:bCs/>
      <w:sz w:val="21"/>
    </w:rPr>
  </w:style>
  <w:style w:type="character" w:customStyle="1" w:styleId="42">
    <w:name w:val="批注框文本 字符"/>
    <w:basedOn w:val="25"/>
    <w:link w:val="14"/>
    <w:semiHidden/>
    <w:qFormat/>
    <w:uiPriority w:val="99"/>
    <w:rPr>
      <w:rFonts w:ascii="Times New Roman" w:hAnsi="Times New Roman" w:eastAsia="宋体" w:cs="Times New Roman"/>
      <w:sz w:val="18"/>
      <w:szCs w:val="18"/>
    </w:rPr>
  </w:style>
  <w:style w:type="character" w:customStyle="1" w:styleId="43">
    <w:name w:val="日期 字符"/>
    <w:basedOn w:val="25"/>
    <w:link w:val="13"/>
    <w:semiHidden/>
    <w:qFormat/>
    <w:uiPriority w:val="99"/>
    <w:rPr>
      <w:rFonts w:ascii="Times New Roman" w:hAnsi="Times New Roman" w:eastAsia="宋体" w:cs="Times New Roman"/>
      <w:sz w:val="21"/>
    </w:rPr>
  </w:style>
  <w:style w:type="paragraph" w:styleId="44">
    <w:name w:val="List Paragraph"/>
    <w:basedOn w:val="1"/>
    <w:qFormat/>
    <w:uiPriority w:val="99"/>
    <w:pPr>
      <w:ind w:firstLine="420" w:firstLineChars="200"/>
    </w:pPr>
  </w:style>
  <w:style w:type="character" w:customStyle="1" w:styleId="45">
    <w:name w:val="文档结构图 字符"/>
    <w:basedOn w:val="25"/>
    <w:link w:val="5"/>
    <w:semiHidden/>
    <w:qFormat/>
    <w:uiPriority w:val="99"/>
    <w:rPr>
      <w:rFonts w:ascii="宋体" w:hAnsi="Times New Roman" w:eastAsia="宋体" w:cs="Times New Roman"/>
      <w:sz w:val="18"/>
      <w:szCs w:val="18"/>
    </w:rPr>
  </w:style>
  <w:style w:type="character" w:customStyle="1" w:styleId="46">
    <w:name w:val="bjh-p"/>
    <w:basedOn w:val="25"/>
    <w:qFormat/>
    <w:uiPriority w:val="0"/>
  </w:style>
  <w:style w:type="character" w:customStyle="1" w:styleId="47">
    <w:name w:val="font51"/>
    <w:basedOn w:val="25"/>
    <w:qFormat/>
    <w:uiPriority w:val="0"/>
    <w:rPr>
      <w:rFonts w:ascii="仿宋_GB2312" w:eastAsia="仿宋_GB2312" w:cs="仿宋_GB2312"/>
      <w:color w:val="000000"/>
      <w:sz w:val="21"/>
      <w:szCs w:val="21"/>
      <w:u w:val="none"/>
    </w:rPr>
  </w:style>
  <w:style w:type="character" w:customStyle="1" w:styleId="48">
    <w:name w:val="font61"/>
    <w:basedOn w:val="25"/>
    <w:qFormat/>
    <w:uiPriority w:val="0"/>
    <w:rPr>
      <w:rFonts w:hint="default" w:ascii="Times New Roman" w:hAnsi="Times New Roman" w:cs="Times New Roman"/>
      <w:color w:val="000000"/>
      <w:sz w:val="21"/>
      <w:szCs w:val="21"/>
      <w:u w:val="none"/>
    </w:rPr>
  </w:style>
  <w:style w:type="character" w:customStyle="1" w:styleId="49">
    <w:name w:val="font41"/>
    <w:basedOn w:val="25"/>
    <w:qFormat/>
    <w:uiPriority w:val="0"/>
    <w:rPr>
      <w:rFonts w:ascii="仿宋_GB2312" w:eastAsia="仿宋_GB2312" w:cs="仿宋_GB2312"/>
      <w:color w:val="000000"/>
      <w:sz w:val="21"/>
      <w:szCs w:val="21"/>
      <w:u w:val="none"/>
    </w:rPr>
  </w:style>
  <w:style w:type="character" w:customStyle="1" w:styleId="50">
    <w:name w:val="font21"/>
    <w:basedOn w:val="25"/>
    <w:qFormat/>
    <w:uiPriority w:val="0"/>
    <w:rPr>
      <w:rFonts w:ascii="仿宋_GB2312" w:eastAsia="仿宋_GB2312" w:cs="仿宋_GB2312"/>
      <w:color w:val="000000"/>
      <w:sz w:val="21"/>
      <w:szCs w:val="21"/>
      <w:u w:val="none"/>
    </w:rPr>
  </w:style>
  <w:style w:type="character" w:customStyle="1" w:styleId="51">
    <w:name w:val="font01"/>
    <w:basedOn w:val="25"/>
    <w:qFormat/>
    <w:uiPriority w:val="0"/>
    <w:rPr>
      <w:rFonts w:hint="default" w:ascii="Times New Roman" w:hAnsi="Times New Roman" w:cs="Times New Roman"/>
      <w:color w:val="000000"/>
      <w:sz w:val="21"/>
      <w:szCs w:val="21"/>
      <w:u w:val="none"/>
    </w:rPr>
  </w:style>
  <w:style w:type="paragraph" w:customStyle="1" w:styleId="52">
    <w:name w:val="修订1"/>
    <w:hidden/>
    <w:semiHidden/>
    <w:qFormat/>
    <w:uiPriority w:val="99"/>
    <w:rPr>
      <w:rFonts w:ascii="Times New Roman" w:hAnsi="Times New Roman" w:eastAsia="宋体" w:cs="Times New Roman"/>
      <w:sz w:val="21"/>
      <w:lang w:val="en-US" w:eastAsia="zh-CN" w:bidi="ar-SA"/>
    </w:rPr>
  </w:style>
  <w:style w:type="character" w:customStyle="1" w:styleId="53">
    <w:name w:val="font11"/>
    <w:basedOn w:val="25"/>
    <w:qFormat/>
    <w:uiPriority w:val="0"/>
    <w:rPr>
      <w:rFonts w:hint="eastAsia" w:ascii="宋体" w:hAnsi="宋体" w:eastAsia="宋体" w:cs="宋体"/>
      <w:color w:val="000000"/>
      <w:sz w:val="20"/>
      <w:szCs w:val="20"/>
      <w:u w:val="none"/>
    </w:rPr>
  </w:style>
  <w:style w:type="paragraph" w:customStyle="1" w:styleId="54">
    <w:name w:val="修订2"/>
    <w:hidden/>
    <w:semiHidden/>
    <w:qFormat/>
    <w:uiPriority w:val="99"/>
    <w:rPr>
      <w:rFonts w:ascii="Times New Roman" w:hAnsi="Times New Roman" w:eastAsia="宋体" w:cs="Times New Roman"/>
      <w:sz w:val="21"/>
      <w:lang w:val="en-US" w:eastAsia="zh-CN" w:bidi="ar-SA"/>
    </w:rPr>
  </w:style>
  <w:style w:type="character" w:customStyle="1" w:styleId="55">
    <w:name w:val="font31"/>
    <w:basedOn w:val="25"/>
    <w:qFormat/>
    <w:uiPriority w:val="0"/>
    <w:rPr>
      <w:rFonts w:hint="default" w:ascii="仿宋_GB2312" w:eastAsia="仿宋_GB2312" w:cs="仿宋_GB2312"/>
      <w:color w:val="000000"/>
      <w:sz w:val="28"/>
      <w:szCs w:val="28"/>
      <w:u w:val="none"/>
    </w:rPr>
  </w:style>
  <w:style w:type="paragraph" w:customStyle="1" w:styleId="56">
    <w:name w:val="修订3"/>
    <w:hidden/>
    <w:semiHidden/>
    <w:qFormat/>
    <w:uiPriority w:val="99"/>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Desktop\&#25151;&#22320;&#20135;&#20272;&#20215;&#27169;&#29256;&#25991;&#20214;\&#25151;&#22320;&#20135;&#35780;&#20272;&#25253;&#21578;&#27169;&#2925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2051"/>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2E4CE1-54AD-4EC1-B23F-085EF4179DAA}">
  <ds:schemaRefs/>
</ds:datastoreItem>
</file>

<file path=docProps/app.xml><?xml version="1.0" encoding="utf-8"?>
<Properties xmlns="http://schemas.openxmlformats.org/officeDocument/2006/extended-properties" xmlns:vt="http://schemas.openxmlformats.org/officeDocument/2006/docPropsVTypes">
  <Template>房地产评估报告模版</Template>
  <Company>Zhuozhengsoft</Company>
  <Pages>23</Pages>
  <Words>10214</Words>
  <Characters>10745</Characters>
  <Lines>208</Lines>
  <Paragraphs>58</Paragraphs>
  <TotalTime>1</TotalTime>
  <ScaleCrop>false</ScaleCrop>
  <LinksUpToDate>false</LinksUpToDate>
  <CharactersWithSpaces>10778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2020-12-07T02:07:00Z</dcterms:created>
  <dc:creator>Windows 用户</dc:creator>
  <cp:lastModifiedBy>向日葵在、追逐の是→梦…</cp:lastModifiedBy>
  <cp:lastPrinted>2022-10-09T07:37:00Z</cp:lastPrinted>
  <dcterms:modified xsi:type="dcterms:W3CDTF">2022-10-11T08:59:35Z</dcterms:modified>
  <cp:revision>276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D10213F47F77480D83559FCC6A549BAA</vt:lpwstr>
  </property>
</Properties>
</file>