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156" w:beforeLines="50" w:after="156" w:afterLines="50" w:line="360" w:lineRule="auto"/>
        <w:ind w:firstLine="642" w:firstLineChars="100"/>
        <w:jc w:val="center"/>
        <w:rPr>
          <w:rFonts w:hAnsi="宋体"/>
          <w:spacing w:val="100"/>
        </w:rPr>
      </w:pPr>
      <w:bookmarkStart w:id="0" w:name="_Toc12138"/>
      <w:bookmarkStart w:id="1" w:name="_Toc43"/>
      <w:bookmarkStart w:id="2" w:name="_Toc24036"/>
      <w:bookmarkStart w:id="3" w:name="_Toc31681"/>
      <w:bookmarkStart w:id="4" w:name="_Toc19939"/>
      <w:bookmarkStart w:id="5" w:name="_Toc19778"/>
      <w:bookmarkStart w:id="6" w:name="_Toc8790"/>
      <w:bookmarkStart w:id="7" w:name="_Toc27133"/>
      <w:bookmarkStart w:id="8" w:name="_Toc27543"/>
      <w:bookmarkStart w:id="9" w:name="_Toc18536"/>
      <w:bookmarkStart w:id="10" w:name="_Toc11274"/>
      <w:bookmarkStart w:id="11" w:name="_Toc18945"/>
      <w:bookmarkStart w:id="12" w:name="_Toc4018"/>
      <w:bookmarkStart w:id="13" w:name="_Toc8452"/>
      <w:bookmarkStart w:id="14" w:name="_Toc1659"/>
      <w:bookmarkStart w:id="15" w:name="_Toc12628"/>
      <w:bookmarkStart w:id="16" w:name="_Toc30581"/>
      <w:bookmarkStart w:id="17" w:name="_Toc19625"/>
      <w:bookmarkStart w:id="18" w:name="_Toc6263"/>
      <w:bookmarkStart w:id="19" w:name="_Toc22739"/>
      <w:bookmarkStart w:id="20" w:name="_Toc28266"/>
      <w:bookmarkStart w:id="21" w:name="_Toc23734"/>
      <w:bookmarkStart w:id="22" w:name="_Toc2429"/>
      <w:bookmarkStart w:id="23" w:name="_Toc21761"/>
      <w:bookmarkStart w:id="24" w:name="_Toc31678"/>
      <w:bookmarkStart w:id="25" w:name="_Toc28845"/>
      <w:bookmarkStart w:id="26" w:name="_Toc17480"/>
      <w:bookmarkStart w:id="27" w:name="_Toc25582"/>
      <w:bookmarkStart w:id="28" w:name="_Toc31087"/>
      <w:r>
        <w:rPr>
          <w:rFonts w:hAnsi="宋体"/>
          <w:spacing w:val="100"/>
        </w:rPr>
        <w:t>致委托</w:t>
      </w:r>
      <w:r>
        <w:rPr>
          <w:rFonts w:hint="eastAsia" w:hAnsi="宋体"/>
          <w:spacing w:val="100"/>
        </w:rPr>
        <w:t>人</w:t>
      </w:r>
      <w:r>
        <w:rPr>
          <w:rFonts w:hAnsi="宋体"/>
          <w:spacing w:val="100"/>
        </w:rPr>
        <w:t>函</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都匀市人民法院</w:t>
      </w:r>
      <w:r>
        <w:rPr>
          <w:rFonts w:hint="eastAsia" w:ascii="Times New Roman" w:hAnsi="Times New Roman" w:eastAsia="宋体" w:cs="Times New Roman"/>
          <w:b/>
          <w:szCs w:val="28"/>
        </w:rPr>
        <w:t>：</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我公司接受</w:t>
      </w:r>
      <w:r>
        <w:rPr>
          <w:rFonts w:hint="eastAsia" w:ascii="Times New Roman" w:hAnsi="Times New Roman" w:eastAsia="宋体" w:cs="Times New Roman"/>
          <w:bCs/>
          <w:szCs w:val="28"/>
          <w:lang w:val="en-US" w:eastAsia="zh-CN"/>
        </w:rPr>
        <w:t>贵单位</w:t>
      </w:r>
      <w:r>
        <w:rPr>
          <w:rFonts w:hint="eastAsia" w:ascii="Times New Roman" w:hAnsi="Times New Roman" w:eastAsia="宋体" w:cs="Times New Roman"/>
          <w:bCs/>
          <w:szCs w:val="28"/>
        </w:rPr>
        <w:t>的委托，</w:t>
      </w:r>
      <w:r>
        <w:rPr>
          <w:rFonts w:hint="eastAsia" w:asciiTheme="minorEastAsia" w:hAnsiTheme="minorEastAsia" w:eastAsiaTheme="minorEastAsia"/>
          <w:spacing w:val="-2"/>
          <w:szCs w:val="24"/>
        </w:rPr>
        <w:t>根据</w:t>
      </w:r>
      <w:r>
        <w:rPr>
          <w:rFonts w:hint="eastAsia" w:ascii="Times New Roman" w:hAnsi="Times New Roman" w:eastAsia="宋体" w:cs="Times New Roman"/>
          <w:bCs/>
          <w:sz w:val="28"/>
          <w:szCs w:val="28"/>
          <w:highlight w:val="none"/>
          <w:lang w:val="en-US" w:eastAsia="zh-CN" w:bidi="ar-SA"/>
        </w:rPr>
        <w:t>《房地产估价规范》</w:t>
      </w:r>
      <w:r>
        <w:rPr>
          <w:rFonts w:hint="eastAsia" w:asciiTheme="minorEastAsia" w:hAnsiTheme="minorEastAsia" w:eastAsiaTheme="minorEastAsia"/>
          <w:spacing w:val="-2"/>
          <w:szCs w:val="24"/>
        </w:rPr>
        <w:t>的规定，本着独立、客观、公正、科学的原则，按照必要的估价程序，采用合理的估价方法</w:t>
      </w:r>
      <w:r>
        <w:rPr>
          <w:rFonts w:hint="eastAsia" w:ascii="Times New Roman" w:hAnsi="Times New Roman" w:eastAsia="宋体" w:cs="Times New Roman"/>
          <w:bCs/>
          <w:szCs w:val="28"/>
        </w:rPr>
        <w:t>，对</w:t>
      </w:r>
      <w:r>
        <w:rPr>
          <w:rFonts w:hint="eastAsia" w:hAnsi="宋体" w:eastAsia="宋体"/>
          <w:szCs w:val="28"/>
          <w:lang w:val="en-US" w:eastAsia="zh-CN"/>
        </w:rPr>
        <w:t>委托评估的房地产市场价值</w:t>
      </w:r>
      <w:r>
        <w:rPr>
          <w:rFonts w:hint="eastAsia" w:ascii="Times New Roman" w:hAnsi="Times New Roman" w:eastAsia="宋体" w:cs="Times New Roman"/>
          <w:bCs/>
          <w:szCs w:val="28"/>
        </w:rPr>
        <w:t>进行了</w:t>
      </w:r>
      <w:r>
        <w:rPr>
          <w:rFonts w:hint="eastAsia" w:ascii="Times New Roman" w:hAnsi="Times New Roman" w:eastAsia="宋体" w:cs="Times New Roman"/>
          <w:bCs/>
          <w:szCs w:val="28"/>
          <w:lang w:val="en-US" w:eastAsia="zh-CN"/>
        </w:rPr>
        <w:t>估价</w:t>
      </w:r>
      <w:r>
        <w:rPr>
          <w:rFonts w:hint="eastAsia" w:ascii="Times New Roman" w:hAnsi="Times New Roman" w:eastAsia="宋体" w:cs="Times New Roman"/>
          <w:bCs/>
          <w:szCs w:val="28"/>
        </w:rPr>
        <w:t>, 评估基本事项如下：</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估价目的：</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27"/>
        <w:autoSpaceDE/>
        <w:autoSpaceDN/>
        <w:adjustRightInd/>
        <w:spacing w:before="156" w:beforeLines="50" w:after="156" w:afterLines="50" w:line="360" w:lineRule="auto"/>
        <w:ind w:firstLine="562" w:firstLineChars="200"/>
        <w:jc w:val="both"/>
        <w:textAlignment w:val="auto"/>
        <w:rPr>
          <w:rFonts w:hint="eastAsia" w:hAnsi="宋体"/>
          <w:szCs w:val="28"/>
          <w:lang w:val="en-US" w:eastAsia="zh-CN"/>
        </w:rPr>
      </w:pPr>
      <w:r>
        <w:rPr>
          <w:rFonts w:hint="eastAsia" w:ascii="Times New Roman" w:hAnsi="Times New Roman" w:eastAsia="宋体" w:cs="Times New Roman"/>
          <w:b/>
          <w:szCs w:val="28"/>
        </w:rPr>
        <w:t>估价对象：</w:t>
      </w:r>
      <w:r>
        <w:rPr>
          <w:rFonts w:hint="eastAsia" w:hAnsi="宋体"/>
          <w:szCs w:val="28"/>
          <w:lang w:val="en-US" w:eastAsia="zh-CN"/>
        </w:rPr>
        <w:t>基本状况如下表所示：</w:t>
      </w:r>
    </w:p>
    <w:tbl>
      <w:tblPr>
        <w:tblStyle w:val="17"/>
        <w:tblpPr w:leftFromText="180" w:rightFromText="180" w:vertAnchor="text" w:horzAnchor="page" w:tblpXSpec="center" w:tblpY="181"/>
        <w:tblOverlap w:val="never"/>
        <w:tblW w:w="9384" w:type="dxa"/>
        <w:jc w:val="center"/>
        <w:tblLayout w:type="fixed"/>
        <w:tblCellMar>
          <w:top w:w="0" w:type="dxa"/>
          <w:left w:w="108" w:type="dxa"/>
          <w:bottom w:w="0" w:type="dxa"/>
          <w:right w:w="108" w:type="dxa"/>
        </w:tblCellMar>
      </w:tblPr>
      <w:tblGrid>
        <w:gridCol w:w="483"/>
        <w:gridCol w:w="1395"/>
        <w:gridCol w:w="1500"/>
        <w:gridCol w:w="1654"/>
        <w:gridCol w:w="822"/>
        <w:gridCol w:w="645"/>
        <w:gridCol w:w="990"/>
        <w:gridCol w:w="665"/>
        <w:gridCol w:w="1230"/>
      </w:tblGrid>
      <w:tr>
        <w:tblPrEx>
          <w:tblCellMar>
            <w:top w:w="0" w:type="dxa"/>
            <w:left w:w="108" w:type="dxa"/>
            <w:bottom w:w="0" w:type="dxa"/>
            <w:right w:w="108" w:type="dxa"/>
          </w:tblCellMar>
        </w:tblPrEx>
        <w:trPr>
          <w:trHeight w:val="587" w:hRule="atLeast"/>
          <w:jc w:val="center"/>
        </w:trPr>
        <w:tc>
          <w:tcPr>
            <w:tcW w:w="483"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1395"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房屋所有权证号</w:t>
            </w:r>
          </w:p>
        </w:tc>
        <w:tc>
          <w:tcPr>
            <w:tcW w:w="150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654"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822"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房屋所有权人</w:t>
            </w:r>
          </w:p>
        </w:tc>
        <w:tc>
          <w:tcPr>
            <w:tcW w:w="64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99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66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123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备注</w:t>
            </w:r>
          </w:p>
        </w:tc>
      </w:tr>
      <w:tr>
        <w:tblPrEx>
          <w:tblCellMar>
            <w:top w:w="0" w:type="dxa"/>
            <w:left w:w="108" w:type="dxa"/>
            <w:bottom w:w="0" w:type="dxa"/>
            <w:right w:w="108" w:type="dxa"/>
          </w:tblCellMar>
        </w:tblPrEx>
        <w:trPr>
          <w:trHeight w:val="760" w:hRule="atLeast"/>
          <w:jc w:val="center"/>
        </w:trPr>
        <w:tc>
          <w:tcPr>
            <w:tcW w:w="483"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39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平房权证平湖镇字第A0002556号</w:t>
            </w:r>
          </w:p>
        </w:tc>
        <w:tc>
          <w:tcPr>
            <w:tcW w:w="150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平塘县平湖镇中山路43号房产</w:t>
            </w:r>
          </w:p>
        </w:tc>
        <w:tc>
          <w:tcPr>
            <w:tcW w:w="1654"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平塘县平湖镇中山路43号</w:t>
            </w:r>
          </w:p>
        </w:tc>
        <w:tc>
          <w:tcPr>
            <w:tcW w:w="822"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陆晓鹏</w:t>
            </w:r>
          </w:p>
        </w:tc>
        <w:tc>
          <w:tcPr>
            <w:tcW w:w="64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9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187.96</w:t>
            </w:r>
          </w:p>
        </w:tc>
        <w:tc>
          <w:tcPr>
            <w:tcW w:w="6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混合</w:t>
            </w:r>
          </w:p>
        </w:tc>
        <w:tc>
          <w:tcPr>
            <w:tcW w:w="1230"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hAnsi="宋体" w:eastAsia="宋体" w:cs="宋体"/>
                <w:b w:val="0"/>
                <w:bCs w:val="0"/>
                <w:i w:val="0"/>
                <w:iCs w:val="0"/>
                <w:color w:val="000000"/>
                <w:kern w:val="0"/>
                <w:sz w:val="18"/>
                <w:szCs w:val="18"/>
                <w:u w:val="none"/>
                <w:lang w:val="en-US" w:eastAsia="zh-CN" w:bidi="ar"/>
              </w:rPr>
              <w:t>户型：五室两厅一厨两卫</w:t>
            </w:r>
          </w:p>
        </w:tc>
      </w:tr>
    </w:tbl>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 w:val="0"/>
          <w:bCs/>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价值时点：</w:t>
      </w: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ind w:firstLine="560"/>
      </w:pPr>
      <w:r>
        <w:rPr>
          <w:rFonts w:hint="eastAsia" w:ascii="Times New Roman" w:hAnsi="Times New Roman" w:eastAsia="宋体" w:cs="Times New Roman"/>
          <w:b/>
          <w:szCs w:val="28"/>
        </w:rPr>
        <w:t>价值类型：</w:t>
      </w:r>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rPr>
        <w:t>市场价值是指估价对象经适当营销后，由熟悉情况、谨慎行事且不受强迫的交易双方，以公平交易方式在价值时点自愿进行交易的金额。</w:t>
      </w:r>
    </w:p>
    <w:p>
      <w:pPr>
        <w:pStyle w:val="27"/>
        <w:autoSpaceDE/>
        <w:autoSpaceDN/>
        <w:adjustRightInd/>
        <w:spacing w:before="156" w:beforeLines="50" w:after="156" w:afterLines="50" w:line="360" w:lineRule="auto"/>
        <w:ind w:firstLine="562"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
          <w:szCs w:val="28"/>
        </w:rPr>
        <w:t>估价方法：</w:t>
      </w:r>
      <w:r>
        <w:rPr>
          <w:rFonts w:hint="eastAsia" w:ascii="Times New Roman" w:hAnsi="Times New Roman" w:eastAsia="宋体" w:cs="Times New Roman"/>
          <w:bCs/>
          <w:szCs w:val="28"/>
          <w:lang w:val="en-US" w:eastAsia="zh-CN"/>
        </w:rPr>
        <w:t>比较法</w:t>
      </w:r>
    </w:p>
    <w:p>
      <w:pPr>
        <w:spacing w:before="156" w:beforeLines="50" w:after="156" w:afterLines="50" w:line="360" w:lineRule="auto"/>
        <w:ind w:firstLine="562" w:firstLineChars="200"/>
        <w:rPr>
          <w:rFonts w:hint="eastAsia" w:ascii="Times New Roman" w:hAnsi="Times New Roman" w:eastAsia="宋体" w:cs="Times New Roman"/>
          <w:b/>
          <w:bCs w:val="0"/>
          <w:szCs w:val="28"/>
        </w:rPr>
      </w:pPr>
      <w:r>
        <w:rPr>
          <w:rFonts w:hint="eastAsia" w:ascii="Times New Roman" w:hAnsi="Times New Roman" w:eastAsia="宋体" w:cs="Times New Roman"/>
          <w:b/>
          <w:szCs w:val="28"/>
        </w:rPr>
        <w:t>估价结果：</w:t>
      </w:r>
      <w:r>
        <w:rPr>
          <w:rFonts w:hint="eastAsia" w:ascii="Times New Roman" w:hAnsi="Times New Roman" w:eastAsia="宋体" w:cs="Times New Roman"/>
          <w:bCs/>
          <w:szCs w:val="28"/>
        </w:rPr>
        <w:t>我公司估价人员经过实地查勘和市场调查，遵照《中华人民共和国房地产管理法》及国家标准《房地产估价规范》等法律法规和技术标准，遵循估价原则，按照估价工作程序，采用</w:t>
      </w:r>
      <w:r>
        <w:rPr>
          <w:rFonts w:hint="eastAsia" w:ascii="Times New Roman" w:hAnsi="Times New Roman" w:eastAsia="宋体" w:cs="Times New Roman"/>
          <w:bCs/>
          <w:szCs w:val="28"/>
          <w:lang w:val="en-US" w:eastAsia="zh-CN"/>
        </w:rPr>
        <w:t>适当的估价方法</w:t>
      </w:r>
      <w:r>
        <w:rPr>
          <w:rFonts w:hint="eastAsia" w:ascii="Times New Roman" w:hAnsi="Times New Roman" w:eastAsia="宋体" w:cs="Times New Roman"/>
          <w:bCs/>
          <w:szCs w:val="28"/>
        </w:rPr>
        <w:t>对估价对象进行了全面细致的测算，并结合估价经验和对影响价值因素的分析，在满足本次估价的假设和限制条件下，确定估价对象于价值时点的</w:t>
      </w:r>
      <w:r>
        <w:rPr>
          <w:rFonts w:hint="eastAsia" w:ascii="Times New Roman" w:hAnsi="Times New Roman" w:eastAsia="宋体" w:cs="Times New Roman"/>
          <w:bCs/>
          <w:szCs w:val="28"/>
          <w:lang w:val="en-US" w:eastAsia="zh-CN"/>
        </w:rPr>
        <w:t>市场价值共计</w:t>
      </w:r>
      <w:r>
        <w:rPr>
          <w:rFonts w:hint="eastAsia" w:ascii="Times New Roman" w:hAnsi="Times New Roman" w:eastAsia="宋体" w:cs="Times New Roman"/>
          <w:bCs/>
          <w:szCs w:val="28"/>
        </w:rPr>
        <w:t>人民币</w:t>
      </w:r>
      <w:r>
        <w:rPr>
          <w:rFonts w:hint="eastAsia" w:ascii="Times New Roman" w:hAnsi="Times New Roman" w:eastAsia="宋体" w:cs="Times New Roman"/>
          <w:b/>
          <w:bCs w:val="0"/>
          <w:szCs w:val="28"/>
        </w:rPr>
        <w:t>（大写）</w:t>
      </w:r>
      <w:r>
        <w:rPr>
          <w:rFonts w:hint="eastAsia" w:ascii="Times New Roman" w:hAnsi="Times New Roman" w:eastAsia="宋体" w:cs="Times New Roman"/>
          <w:b/>
          <w:bCs w:val="0"/>
          <w:szCs w:val="28"/>
          <w:lang w:eastAsia="zh-CN"/>
        </w:rPr>
        <w:t>：</w:t>
      </w:r>
      <w:r>
        <w:rPr>
          <w:rFonts w:hint="eastAsia" w:ascii="Times New Roman" w:hAnsi="Times New Roman" w:eastAsia="宋体" w:cs="Times New Roman"/>
          <w:b/>
          <w:bCs w:val="0"/>
          <w:szCs w:val="28"/>
          <w:lang w:val="en-US" w:eastAsia="zh-CN"/>
        </w:rPr>
        <w:t>柒拾伍万贰仟玖佰陆拾捌元</w:t>
      </w:r>
      <w:r>
        <w:rPr>
          <w:rFonts w:hint="eastAsia" w:ascii="Times New Roman" w:hAnsi="Times New Roman" w:eastAsia="宋体" w:cs="Times New Roman"/>
          <w:b/>
          <w:bCs w:val="0"/>
          <w:szCs w:val="28"/>
          <w:lang w:eastAsia="zh-CN"/>
        </w:rPr>
        <w:t>整（￥</w:t>
      </w:r>
      <w:r>
        <w:rPr>
          <w:rFonts w:hint="eastAsia" w:ascii="Times New Roman" w:hAnsi="Times New Roman" w:eastAsia="宋体" w:cs="Times New Roman"/>
          <w:b/>
          <w:bCs w:val="0"/>
          <w:szCs w:val="28"/>
          <w:lang w:val="en-US" w:eastAsia="zh-CN"/>
        </w:rPr>
        <w:t>752,968.00</w:t>
      </w:r>
      <w:r>
        <w:rPr>
          <w:rFonts w:hint="eastAsia" w:ascii="Times New Roman" w:hAnsi="Times New Roman" w:eastAsia="宋体" w:cs="Times New Roman"/>
          <w:b/>
          <w:bCs w:val="0"/>
          <w:szCs w:val="28"/>
          <w:lang w:eastAsia="zh-CN"/>
        </w:rPr>
        <w:t>元），</w:t>
      </w:r>
      <w:r>
        <w:rPr>
          <w:rFonts w:hint="eastAsia" w:ascii="Times New Roman" w:hAnsi="Times New Roman" w:eastAsia="宋体" w:cs="Times New Roman"/>
          <w:b/>
          <w:bCs w:val="0"/>
          <w:szCs w:val="28"/>
          <w:lang w:val="en-US" w:eastAsia="zh-CN"/>
        </w:rPr>
        <w:t>综合评估单价为4,006.00元/平方米（取整至个位）</w:t>
      </w:r>
      <w:r>
        <w:rPr>
          <w:rFonts w:hint="eastAsia" w:ascii="Times New Roman" w:hAnsi="Times New Roman" w:eastAsia="宋体" w:cs="Times New Roman"/>
          <w:b/>
          <w:bCs w:val="0"/>
          <w:szCs w:val="28"/>
        </w:rPr>
        <w:t>。</w:t>
      </w:r>
    </w:p>
    <w:p>
      <w:pPr>
        <w:spacing w:before="156" w:beforeLines="50" w:after="156" w:afterLines="50" w:line="360" w:lineRule="auto"/>
        <w:ind w:firstLine="560" w:firstLineChars="200"/>
        <w:rPr>
          <w:rFonts w:hint="eastAsia" w:ascii="Times New Roman" w:hAnsi="Times New Roman" w:eastAsia="宋体" w:cs="Times New Roman"/>
          <w:bCs/>
          <w:szCs w:val="28"/>
        </w:rPr>
      </w:pPr>
      <w:r>
        <w:rPr>
          <w:rFonts w:hint="eastAsia" w:ascii="Times New Roman" w:hAnsi="Times New Roman" w:eastAsia="宋体" w:cs="Times New Roman"/>
          <w:bCs/>
          <w:szCs w:val="28"/>
        </w:rPr>
        <w:t>特别提示：</w:t>
      </w:r>
    </w:p>
    <w:p>
      <w:pPr>
        <w:pStyle w:val="2"/>
        <w:numPr>
          <w:ilvl w:val="0"/>
          <w:numId w:val="1"/>
        </w:numPr>
        <w:adjustRightInd/>
        <w:spacing w:line="360" w:lineRule="auto"/>
        <w:ind w:firstLine="560" w:firstLineChars="200"/>
        <w:jc w:val="both"/>
        <w:rPr>
          <w:rFonts w:hint="eastAsia" w:ascii="Times New Roman" w:hAnsi="Times New Roman"/>
          <w:sz w:val="28"/>
          <w:szCs w:val="28"/>
          <w:lang w:val="en-US" w:eastAsia="zh-CN"/>
        </w:rPr>
      </w:pPr>
      <w:r>
        <w:rPr>
          <w:rFonts w:hint="eastAsia" w:ascii="Times New Roman" w:hAnsi="Times New Roman"/>
          <w:sz w:val="28"/>
          <w:szCs w:val="28"/>
          <w:lang w:val="en-US" w:eastAsia="zh-CN"/>
        </w:rPr>
        <w:t>估价对象涉及抵押、查封等他项权利，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numPr>
          <w:ilvl w:val="0"/>
          <w:numId w:val="0"/>
        </w:numPr>
        <w:ind w:firstLine="560" w:firstLineChars="200"/>
        <w:rPr>
          <w:rFonts w:hint="eastAsia"/>
          <w:lang w:val="en-US" w:eastAsia="zh-CN"/>
        </w:rPr>
      </w:pPr>
      <w:r>
        <w:rPr>
          <w:rFonts w:hint="eastAsia" w:ascii="Times New Roman" w:hAnsi="Times New Roman"/>
          <w:sz w:val="28"/>
          <w:szCs w:val="28"/>
          <w:lang w:val="en-US" w:eastAsia="zh-CN"/>
        </w:rPr>
        <w:t>2、由于未能获取估价对象土地相关信息，根据委托人提供的资料，通过注册房地产估价师对该楼盘房屋进行调查走访，该小区性质为商品房，本次评估假定估价对象土地使用权类型为出让，土地使用权类型地类（用途）为住宅前提下进行评估，提请报告使用者予以关注。</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3、委托人或者估价报告使用人应当按照法律规定和估价报告载明的使用范围使用估价报告，违反该规定使用估价报告的，房地产估价机构和注册房地产估价师依法不承担责任。</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4、估价结果不等于估价对象处置可实现的成交价，不应被认为是估价对象处置成交价的保证。</w:t>
      </w:r>
    </w:p>
    <w:p>
      <w:pPr>
        <w:pStyle w:val="8"/>
        <w:adjustRightInd/>
        <w:snapToGrid/>
        <w:spacing w:line="360" w:lineRule="auto"/>
        <w:ind w:firstLine="560" w:firstLineChars="200"/>
        <w:jc w:val="both"/>
        <w:rPr>
          <w:rFonts w:hint="eastAsia" w:ascii="Times New Roman" w:hAnsi="Times New Roman" w:eastAsia="宋体" w:cs="Times New Roman"/>
          <w:bCs/>
          <w:sz w:val="30"/>
          <w:szCs w:val="30"/>
          <w:lang w:val="en-US" w:eastAsia="zh-CN" w:bidi="ar-SA"/>
        </w:rPr>
      </w:pPr>
      <w:r>
        <w:rPr>
          <w:rFonts w:hint="eastAsia" w:ascii="Times New Roman" w:hAnsi="Times New Roman" w:eastAsia="宋体" w:cs="Times New Roman"/>
          <w:bCs/>
          <w:sz w:val="28"/>
          <w:szCs w:val="28"/>
          <w:lang w:val="en-US" w:eastAsia="zh-CN" w:bidi="ar-SA"/>
        </w:rPr>
        <w:t>5、根据《最高人民法院关于人民法院确定财产处置参考价若干问题的规定》，当事人、利害关系人认为评估报告具有（一）财产基本信息错误；（二）超出财产范围或者遗漏财产；（三）评估机构或者评估人员不具备相应评估资质；（四）评估程序严重违法等情形之一的，可以在收到报告后五日内提出书面异议，</w:t>
      </w:r>
      <w:r>
        <w:rPr>
          <w:rFonts w:hint="eastAsia" w:ascii="Times New Roman" w:hAnsi="Times New Roman" w:eastAsia="宋体" w:cs="Times New Roman"/>
          <w:bCs/>
          <w:sz w:val="30"/>
          <w:szCs w:val="30"/>
          <w:lang w:val="en-US" w:eastAsia="zh-CN" w:bidi="ar-SA"/>
        </w:rPr>
        <w:t>若在此期间内未予书面回复，我公司视为对估价报告无异议。</w:t>
      </w:r>
    </w:p>
    <w:p>
      <w:pPr>
        <w:pStyle w:val="8"/>
        <w:adjustRightInd/>
        <w:snapToGrid/>
        <w:spacing w:line="360" w:lineRule="auto"/>
        <w:ind w:firstLine="560" w:firstLineChars="200"/>
        <w:jc w:val="both"/>
        <w:rPr>
          <w:rFonts w:hint="eastAsia" w:ascii="Times New Roman" w:hAnsi="Times New Roman" w:eastAsia="宋体" w:cs="Times New Roman"/>
          <w:bCs/>
          <w:sz w:val="28"/>
          <w:szCs w:val="28"/>
          <w:lang w:val="en-US" w:eastAsia="zh-CN" w:bidi="ar-SA"/>
        </w:rPr>
      </w:pPr>
      <w:r>
        <w:rPr>
          <w:rFonts w:hint="eastAsia" w:ascii="Times New Roman" w:hAnsi="Times New Roman" w:eastAsia="宋体" w:cs="Times New Roman"/>
          <w:bCs/>
          <w:sz w:val="28"/>
          <w:szCs w:val="28"/>
          <w:lang w:val="en-US" w:eastAsia="zh-CN" w:bidi="ar-SA"/>
        </w:rPr>
        <w:t>6、本机构提醒报告使用方在使用本估价结论时，应认真阅读本报告书全文，提请关注本报告各种假设和限制条件等对该估价结果的影响。</w:t>
      </w: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8"/>
        <w:snapToGrid w:val="0"/>
        <w:spacing w:line="560" w:lineRule="exact"/>
        <w:ind w:firstLine="560" w:firstLineChars="200"/>
        <w:rPr>
          <w:rFonts w:hint="eastAsia" w:ascii="Times New Roman" w:hAnsi="Times New Roman" w:eastAsia="宋体" w:cs="Times New Roman"/>
          <w:bCs/>
          <w:sz w:val="28"/>
          <w:szCs w:val="28"/>
          <w:lang w:val="en-US" w:eastAsia="zh-CN" w:bidi="ar-SA"/>
        </w:rPr>
      </w:pPr>
    </w:p>
    <w:p>
      <w:pPr>
        <w:pStyle w:val="27"/>
        <w:spacing w:before="156" w:beforeLines="50" w:after="156" w:afterLines="50" w:line="360" w:lineRule="auto"/>
        <w:ind w:firstLine="3360" w:firstLineChars="1200"/>
        <w:rPr>
          <w:rFonts w:hint="eastAsia" w:ascii="Times New Roman" w:hAnsi="Times New Roman" w:eastAsia="宋体" w:cs="Times New Roman"/>
          <w:bCs/>
          <w:szCs w:val="28"/>
          <w:lang w:eastAsia="zh-CN"/>
        </w:rPr>
      </w:pPr>
      <w:r>
        <w:rPr>
          <w:rFonts w:hint="eastAsia" w:hAnsi="宋体" w:eastAsia="宋体"/>
          <w:szCs w:val="28"/>
          <w:lang w:eastAsia="zh-CN"/>
        </w:rPr>
        <w:t>贵州瑞华亚太房地产土地资产评估有限公司</w:t>
      </w:r>
    </w:p>
    <w:p>
      <w:pPr>
        <w:wordWrap w:val="0"/>
        <w:spacing w:line="360" w:lineRule="auto"/>
        <w:ind w:right="1120" w:firstLine="5040" w:firstLineChars="1800"/>
        <w:rPr>
          <w:rFonts w:hAnsi="宋体"/>
          <w:szCs w:val="28"/>
        </w:rPr>
      </w:pPr>
      <w:r>
        <w:rPr>
          <w:rFonts w:hAnsi="宋体"/>
          <w:szCs w:val="28"/>
        </w:rPr>
        <w:t>法定代表人：</w:t>
      </w:r>
    </w:p>
    <w:p>
      <w:pPr>
        <w:ind w:right="560"/>
        <w:jc w:val="center"/>
        <w:rPr>
          <w:rFonts w:hint="eastAsia" w:hAnsi="宋体"/>
          <w:szCs w:val="28"/>
          <w:lang w:eastAsia="zh-CN"/>
        </w:rPr>
        <w:sectPr>
          <w:footerReference r:id="rId5" w:type="first"/>
          <w:headerReference r:id="rId3" w:type="default"/>
          <w:footerReference r:id="rId4" w:type="default"/>
          <w:pgSz w:w="11906" w:h="16838"/>
          <w:pgMar w:top="1418" w:right="1418" w:bottom="1134" w:left="1418" w:header="851" w:footer="851"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hAnsi="宋体"/>
          <w:szCs w:val="28"/>
        </w:rPr>
        <w:t xml:space="preserve"> </w:t>
      </w:r>
      <w:r>
        <w:rPr>
          <w:rFonts w:hint="eastAsia" w:hAnsi="宋体"/>
          <w:szCs w:val="28"/>
          <w:lang w:val="en-US" w:eastAsia="zh-CN"/>
        </w:rPr>
        <w:t xml:space="preserve"> </w:t>
      </w:r>
      <w:r>
        <w:rPr>
          <w:rFonts w:hint="eastAsia" w:hAnsi="宋体"/>
          <w:szCs w:val="28"/>
        </w:rPr>
        <w:t xml:space="preserve">                     </w:t>
      </w:r>
      <w:r>
        <w:rPr>
          <w:rFonts w:hint="eastAsia" w:hAnsi="宋体"/>
          <w:szCs w:val="28"/>
          <w:lang w:val="en-US" w:eastAsia="zh-CN"/>
        </w:rPr>
        <w:t xml:space="preserve">    </w:t>
      </w:r>
      <w:r>
        <w:rPr>
          <w:rFonts w:hint="eastAsia" w:hAnsi="宋体"/>
          <w:szCs w:val="28"/>
          <w:lang w:eastAsia="zh-CN"/>
        </w:rPr>
        <w:t>二○二</w:t>
      </w:r>
      <w:r>
        <w:rPr>
          <w:rFonts w:hint="eastAsia" w:hAnsi="宋体"/>
          <w:szCs w:val="28"/>
          <w:lang w:val="en-US" w:eastAsia="zh-CN"/>
        </w:rPr>
        <w:t>二</w:t>
      </w:r>
      <w:r>
        <w:rPr>
          <w:rFonts w:hint="eastAsia" w:hAnsi="宋体"/>
          <w:szCs w:val="28"/>
          <w:lang w:eastAsia="zh-CN"/>
        </w:rPr>
        <w:t>年</w:t>
      </w:r>
      <w:r>
        <w:rPr>
          <w:rFonts w:hint="eastAsia" w:hAnsi="宋体"/>
          <w:szCs w:val="28"/>
          <w:lang w:val="en-US" w:eastAsia="zh-CN"/>
        </w:rPr>
        <w:t>八</w:t>
      </w:r>
      <w:r>
        <w:rPr>
          <w:rFonts w:hint="eastAsia" w:hAnsi="宋体"/>
          <w:szCs w:val="28"/>
          <w:lang w:eastAsia="zh-CN"/>
        </w:rPr>
        <w:t>月</w:t>
      </w:r>
      <w:r>
        <w:rPr>
          <w:rFonts w:hint="eastAsia" w:hAnsi="宋体"/>
          <w:szCs w:val="28"/>
          <w:lang w:val="en-US" w:eastAsia="zh-CN"/>
        </w:rPr>
        <w:t>二十五</w:t>
      </w:r>
      <w:r>
        <w:rPr>
          <w:rFonts w:hint="eastAsia" w:hAnsi="宋体"/>
          <w:szCs w:val="28"/>
          <w:lang w:eastAsia="zh-CN"/>
        </w:rPr>
        <w:t>日</w:t>
      </w:r>
    </w:p>
    <w:p>
      <w:pPr>
        <w:spacing w:line="360" w:lineRule="auto"/>
        <w:ind w:firstLine="0" w:firstLineChars="0"/>
        <w:jc w:val="center"/>
        <w:rPr>
          <w:rFonts w:ascii="宋体" w:hAnsi="宋体" w:eastAsiaTheme="minorEastAsia" w:cstheme="minorBidi"/>
          <w:color w:val="000000"/>
          <w:sz w:val="28"/>
          <w:szCs w:val="44"/>
          <w:lang w:val="zh-CN" w:eastAsia="zh-CN" w:bidi="ar-SA"/>
        </w:rPr>
      </w:pPr>
      <w:bookmarkStart w:id="29" w:name="_Toc22251"/>
      <w:r>
        <mc:AlternateContent>
          <mc:Choice Requires="wps">
            <w:drawing>
              <wp:anchor distT="0" distB="0" distL="114300" distR="114300" simplePos="0" relativeHeight="251659264" behindDoc="0" locked="0" layoutInCell="1" allowOverlap="1">
                <wp:simplePos x="0" y="0"/>
                <wp:positionH relativeFrom="column">
                  <wp:posOffset>-90805</wp:posOffset>
                </wp:positionH>
                <wp:positionV relativeFrom="paragraph">
                  <wp:posOffset>387350</wp:posOffset>
                </wp:positionV>
                <wp:extent cx="5924550" cy="0"/>
                <wp:effectExtent l="0" t="19050" r="0" b="19050"/>
                <wp:wrapNone/>
                <wp:docPr id="5" name="自选图形 2"/>
                <wp:cNvGraphicFramePr/>
                <a:graphic xmlns:a="http://schemas.openxmlformats.org/drawingml/2006/main">
                  <a:graphicData uri="http://schemas.microsoft.com/office/word/2010/wordprocessingShape">
                    <wps:wsp>
                      <wps:cNvCnPr/>
                      <wps:spPr>
                        <a:xfrm>
                          <a:off x="0" y="0"/>
                          <a:ext cx="5924550" cy="0"/>
                        </a:xfrm>
                        <a:prstGeom prst="straightConnector1">
                          <a:avLst/>
                        </a:prstGeom>
                        <a:ln w="38100" cap="flat" cmpd="sng">
                          <a:solidFill>
                            <a:srgbClr val="00B050"/>
                          </a:solidFill>
                          <a:prstDash val="solid"/>
                          <a:headEnd type="none" w="med" len="med"/>
                          <a:tailEnd type="none" w="med" len="med"/>
                        </a:ln>
                        <a:effectLst/>
                      </wps:spPr>
                      <wps:bodyPr/>
                    </wps:wsp>
                  </a:graphicData>
                </a:graphic>
              </wp:anchor>
            </w:drawing>
          </mc:Choice>
          <mc:Fallback>
            <w:pict>
              <v:shape id="自选图形 2" o:spid="_x0000_s1026" o:spt="32" type="#_x0000_t32" style="position:absolute;left:0pt;margin-left:-7.15pt;margin-top:30.5pt;height:0pt;width:466.5pt;z-index:251659264;mso-width-relative:page;mso-height-relative:page;" filled="f" stroked="t" coordsize="21600,21600" o:gfxdata="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a9roLWAAAACQEAAA8A&#10;AAAAAAAAAQAgAAAAIgAAAGRycy9kb3ducmV2LnhtbFBLAQIUABQAAAAIAIdO4kDSUQj+4AEAAKQD&#10;AAAOAAAAAAAAAAEAIAAAACUBAABkcnMvZTJvRG9jLnhtbFBLBQYAAAAABgAGAFkBAAB3BQAAAAA=&#10;">
                <v:fill on="f" focussize="0,0"/>
                <v:stroke weight="3pt" color="#00B050" joinstyle="round"/>
                <v:imagedata o:title=""/>
                <o:lock v:ext="edit" aspectratio="f"/>
              </v:shape>
            </w:pict>
          </mc:Fallback>
        </mc:AlternateContent>
      </w:r>
      <w:r>
        <w:rPr>
          <w:rFonts w:hAnsi="宋体"/>
          <w:b/>
          <w:bCs/>
          <w:color w:val="000000"/>
          <w:sz w:val="44"/>
          <w:szCs w:val="44"/>
          <w:lang w:val="zh-CN"/>
        </w:rPr>
        <w:t>目</w:t>
      </w:r>
      <w:r>
        <w:rPr>
          <w:rFonts w:hint="eastAsia" w:hAnsi="宋体"/>
          <w:b/>
          <w:bCs/>
          <w:color w:val="000000"/>
          <w:sz w:val="44"/>
          <w:szCs w:val="44"/>
        </w:rPr>
        <w:t xml:space="preserve">   </w:t>
      </w:r>
      <w:r>
        <w:rPr>
          <w:rFonts w:hAnsi="宋体"/>
          <w:b/>
          <w:bCs/>
          <w:color w:val="000000"/>
          <w:sz w:val="44"/>
          <w:szCs w:val="44"/>
          <w:lang w:val="zh-CN"/>
        </w:rPr>
        <w:t>录</w:t>
      </w:r>
      <w:bookmarkEnd w:id="29"/>
      <w:r>
        <w:rPr>
          <w:rFonts w:hAnsi="宋体"/>
          <w:color w:val="000000"/>
          <w:sz w:val="44"/>
          <w:szCs w:val="44"/>
          <w:lang w:val="zh-CN"/>
        </w:rPr>
        <w:fldChar w:fldCharType="begin"/>
      </w:r>
      <w:r>
        <w:rPr>
          <w:rFonts w:hAnsi="宋体"/>
          <w:color w:val="000000"/>
          <w:sz w:val="44"/>
          <w:szCs w:val="44"/>
          <w:lang w:val="zh-CN"/>
        </w:rPr>
        <w:instrText xml:space="preserve">TOC \o "1-3" \h \u </w:instrText>
      </w:r>
      <w:r>
        <w:rPr>
          <w:rFonts w:hAnsi="宋体"/>
          <w:color w:val="000000"/>
          <w:sz w:val="44"/>
          <w:szCs w:val="44"/>
          <w:lang w:val="zh-CN"/>
        </w:rPr>
        <w:fldChar w:fldCharType="separate"/>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_Toc23578 </w:instrText>
      </w:r>
      <w:r>
        <w:rPr>
          <w:rFonts w:hAnsi="宋体"/>
          <w:szCs w:val="44"/>
          <w:lang w:val="zh-CN"/>
        </w:rPr>
        <w:fldChar w:fldCharType="separate"/>
      </w:r>
      <w:r>
        <w:t>估价师声明</w:t>
      </w:r>
      <w:r>
        <w:tab/>
      </w:r>
      <w:r>
        <w:fldChar w:fldCharType="begin"/>
      </w:r>
      <w:r>
        <w:instrText xml:space="preserve"> PAGEREF _Toc23578 </w:instrText>
      </w:r>
      <w:r>
        <w:fldChar w:fldCharType="separate"/>
      </w:r>
      <w:r>
        <w:t>1</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_Toc12851 </w:instrText>
      </w:r>
      <w:r>
        <w:rPr>
          <w:rFonts w:hAnsi="宋体"/>
          <w:szCs w:val="44"/>
          <w:lang w:val="zh-CN"/>
        </w:rPr>
        <w:fldChar w:fldCharType="separate"/>
      </w:r>
      <w:r>
        <w:rPr>
          <w:rFonts w:hint="eastAsia"/>
        </w:rPr>
        <w:t>估价的假设和限制条件</w:t>
      </w:r>
      <w:r>
        <w:tab/>
      </w:r>
      <w:r>
        <w:fldChar w:fldCharType="begin"/>
      </w:r>
      <w:r>
        <w:instrText xml:space="preserve"> PAGEREF _Toc12851 </w:instrText>
      </w:r>
      <w:r>
        <w:fldChar w:fldCharType="separate"/>
      </w:r>
      <w:r>
        <w:t>2</w:t>
      </w:r>
      <w:r>
        <w:fldChar w:fldCharType="end"/>
      </w:r>
      <w:r>
        <w:rPr>
          <w:rFonts w:hAnsi="宋体"/>
          <w:color w:val="000000"/>
          <w:szCs w:val="44"/>
          <w:lang w:val="zh-CN"/>
        </w:rPr>
        <w:fldChar w:fldCharType="end"/>
      </w:r>
    </w:p>
    <w:p>
      <w:pPr>
        <w:pStyle w:val="14"/>
        <w:tabs>
          <w:tab w:val="right" w:leader="dot" w:pos="9070"/>
        </w:tabs>
      </w:pPr>
      <w:r>
        <w:rPr>
          <w:rFonts w:hAnsi="宋体"/>
          <w:color w:val="000000"/>
          <w:szCs w:val="44"/>
          <w:lang w:val="zh-CN"/>
        </w:rPr>
        <w:fldChar w:fldCharType="begin"/>
      </w:r>
      <w:r>
        <w:rPr>
          <w:rFonts w:hAnsi="宋体"/>
          <w:szCs w:val="44"/>
          <w:lang w:val="zh-CN"/>
        </w:rPr>
        <w:instrText xml:space="preserve"> HYPERLINK \l _Toc13481 </w:instrText>
      </w:r>
      <w:r>
        <w:rPr>
          <w:rFonts w:hAnsi="宋体"/>
          <w:szCs w:val="44"/>
          <w:lang w:val="zh-CN"/>
        </w:rPr>
        <w:fldChar w:fldCharType="separate"/>
      </w:r>
      <w:r>
        <w:rPr>
          <w:rFonts w:hint="eastAsia" w:hAnsi="宋体"/>
          <w:spacing w:val="40"/>
        </w:rPr>
        <w:t>房地产估价结果报告</w:t>
      </w:r>
      <w:r>
        <w:tab/>
      </w:r>
      <w:r>
        <w:fldChar w:fldCharType="begin"/>
      </w:r>
      <w:r>
        <w:instrText xml:space="preserve"> PAGEREF _Toc13481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_Toc2614 </w:instrText>
      </w:r>
      <w:r>
        <w:rPr>
          <w:rFonts w:hAnsi="宋体"/>
          <w:szCs w:val="44"/>
          <w:lang w:val="zh-CN"/>
        </w:rPr>
        <w:fldChar w:fldCharType="separate"/>
      </w:r>
      <w:r>
        <w:rPr>
          <w:rFonts w:hint="default" w:ascii="宋体" w:hAnsiTheme="minorHAnsi" w:eastAsiaTheme="minorEastAsia" w:cstheme="minorBidi"/>
          <w:szCs w:val="28"/>
        </w:rPr>
        <w:t>一、估价委托人</w:t>
      </w:r>
      <w:r>
        <w:tab/>
      </w:r>
      <w:r>
        <w:fldChar w:fldCharType="begin"/>
      </w:r>
      <w:r>
        <w:instrText xml:space="preserve"> PAGEREF _Toc2614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_Toc28984 </w:instrText>
      </w:r>
      <w:r>
        <w:rPr>
          <w:rFonts w:hAnsi="宋体"/>
          <w:szCs w:val="44"/>
          <w:lang w:val="zh-CN"/>
        </w:rPr>
        <w:fldChar w:fldCharType="separate"/>
      </w:r>
      <w:r>
        <w:rPr>
          <w:rFonts w:hint="default" w:ascii="宋体" w:hAnsiTheme="minorHAnsi" w:eastAsiaTheme="minorEastAsia" w:cstheme="minorBidi"/>
          <w:szCs w:val="28"/>
        </w:rPr>
        <w:t>二、房地产估价机构</w:t>
      </w:r>
      <w:r>
        <w:tab/>
      </w:r>
      <w:r>
        <w:fldChar w:fldCharType="begin"/>
      </w:r>
      <w:r>
        <w:instrText xml:space="preserve"> PAGEREF _Toc28984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_Toc18917 </w:instrText>
      </w:r>
      <w:r>
        <w:rPr>
          <w:rFonts w:hAnsi="宋体"/>
          <w:szCs w:val="44"/>
          <w:lang w:val="zh-CN"/>
        </w:rPr>
        <w:fldChar w:fldCharType="separate"/>
      </w:r>
      <w:r>
        <w:rPr>
          <w:rFonts w:hint="default" w:ascii="宋体" w:hAnsiTheme="minorHAnsi" w:eastAsiaTheme="minorEastAsia" w:cstheme="minorBidi"/>
          <w:szCs w:val="28"/>
          <w:lang w:val="en-US" w:eastAsia="zh-CN"/>
        </w:rPr>
        <w:t>三</w:t>
      </w:r>
      <w:r>
        <w:rPr>
          <w:rFonts w:hint="default" w:ascii="宋体" w:hAnsiTheme="minorHAnsi" w:eastAsiaTheme="minorEastAsia" w:cstheme="minorBidi"/>
          <w:szCs w:val="28"/>
        </w:rPr>
        <w:t>、估价目的</w:t>
      </w:r>
      <w:r>
        <w:tab/>
      </w:r>
      <w:r>
        <w:fldChar w:fldCharType="begin"/>
      </w:r>
      <w:r>
        <w:instrText xml:space="preserve"> PAGEREF _Toc18917 </w:instrText>
      </w:r>
      <w:r>
        <w:fldChar w:fldCharType="separate"/>
      </w:r>
      <w:r>
        <w:t>5</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_Toc2225 </w:instrText>
      </w:r>
      <w:r>
        <w:rPr>
          <w:rFonts w:hAnsi="宋体"/>
          <w:szCs w:val="44"/>
          <w:lang w:val="zh-CN"/>
        </w:rPr>
        <w:fldChar w:fldCharType="separate"/>
      </w:r>
      <w:r>
        <w:rPr>
          <w:rFonts w:hint="default" w:ascii="宋体" w:hAnsiTheme="minorHAnsi" w:eastAsiaTheme="minorEastAsia" w:cstheme="minorBidi"/>
          <w:szCs w:val="28"/>
          <w:lang w:val="en-US" w:eastAsia="zh-CN"/>
        </w:rPr>
        <w:t>四</w:t>
      </w:r>
      <w:r>
        <w:rPr>
          <w:rFonts w:hint="default" w:ascii="宋体" w:hAnsiTheme="minorHAnsi" w:eastAsiaTheme="minorEastAsia" w:cstheme="minorBidi"/>
          <w:szCs w:val="28"/>
        </w:rPr>
        <w:t>、估价对象</w:t>
      </w:r>
      <w:r>
        <w:tab/>
      </w:r>
      <w:r>
        <w:fldChar w:fldCharType="begin"/>
      </w:r>
      <w:r>
        <w:instrText xml:space="preserve"> PAGEREF _Toc2225 </w:instrText>
      </w:r>
      <w:r>
        <w:fldChar w:fldCharType="separate"/>
      </w:r>
      <w:r>
        <w:t>6</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_Toc23552 </w:instrText>
      </w:r>
      <w:r>
        <w:rPr>
          <w:rFonts w:hAnsi="宋体"/>
          <w:szCs w:val="44"/>
          <w:lang w:val="zh-CN"/>
        </w:rPr>
        <w:fldChar w:fldCharType="separate"/>
      </w:r>
      <w:r>
        <w:rPr>
          <w:rFonts w:hint="default" w:ascii="宋体" w:hAnsiTheme="minorHAnsi" w:eastAsiaTheme="minorEastAsia" w:cstheme="minorBidi"/>
          <w:szCs w:val="28"/>
        </w:rPr>
        <w:t>五、价值时点</w:t>
      </w:r>
      <w:r>
        <w:tab/>
      </w:r>
      <w:r>
        <w:fldChar w:fldCharType="begin"/>
      </w:r>
      <w:r>
        <w:instrText xml:space="preserve"> PAGEREF _Toc23552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_Toc13423 </w:instrText>
      </w:r>
      <w:r>
        <w:rPr>
          <w:rFonts w:hAnsi="宋体"/>
          <w:szCs w:val="44"/>
          <w:lang w:val="zh-CN"/>
        </w:rPr>
        <w:fldChar w:fldCharType="separate"/>
      </w:r>
      <w:r>
        <w:rPr>
          <w:rFonts w:hint="default" w:ascii="宋体" w:hAnsiTheme="minorHAnsi" w:eastAsiaTheme="minorEastAsia" w:cstheme="minorBidi"/>
          <w:szCs w:val="28"/>
        </w:rPr>
        <w:t>六、价值</w:t>
      </w:r>
      <w:r>
        <w:rPr>
          <w:rFonts w:hint="default" w:ascii="宋体" w:hAnsiTheme="minorHAnsi" w:eastAsiaTheme="minorEastAsia" w:cstheme="minorBidi"/>
          <w:szCs w:val="28"/>
          <w:lang w:val="en-US" w:eastAsia="zh-CN"/>
        </w:rPr>
        <w:t>类型</w:t>
      </w:r>
      <w:r>
        <w:tab/>
      </w:r>
      <w:r>
        <w:fldChar w:fldCharType="begin"/>
      </w:r>
      <w:r>
        <w:instrText xml:space="preserve"> PAGEREF _Toc13423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_Toc28608 </w:instrText>
      </w:r>
      <w:r>
        <w:rPr>
          <w:rFonts w:hAnsi="宋体"/>
          <w:szCs w:val="44"/>
          <w:lang w:val="zh-CN"/>
        </w:rPr>
        <w:fldChar w:fldCharType="separate"/>
      </w:r>
      <w:r>
        <w:rPr>
          <w:rFonts w:hint="default" w:ascii="宋体" w:hAnsiTheme="minorHAnsi" w:eastAsiaTheme="minorEastAsia" w:cstheme="minorBidi"/>
          <w:szCs w:val="28"/>
          <w:lang w:val="en-US" w:eastAsia="zh-CN"/>
        </w:rPr>
        <w:t>七</w:t>
      </w:r>
      <w:r>
        <w:rPr>
          <w:rFonts w:hint="default" w:ascii="宋体" w:hAnsiTheme="minorHAnsi" w:eastAsiaTheme="minorEastAsia" w:cstheme="minorBidi"/>
          <w:szCs w:val="28"/>
        </w:rPr>
        <w:t>、估价原则</w:t>
      </w:r>
      <w:r>
        <w:tab/>
      </w:r>
      <w:r>
        <w:fldChar w:fldCharType="begin"/>
      </w:r>
      <w:r>
        <w:instrText xml:space="preserve"> PAGEREF _Toc28608 </w:instrText>
      </w:r>
      <w:r>
        <w:fldChar w:fldCharType="separate"/>
      </w:r>
      <w:r>
        <w:t>7</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_Toc31970 </w:instrText>
      </w:r>
      <w:r>
        <w:rPr>
          <w:rFonts w:hAnsi="宋体"/>
          <w:szCs w:val="44"/>
          <w:lang w:val="zh-CN"/>
        </w:rPr>
        <w:fldChar w:fldCharType="separate"/>
      </w:r>
      <w:r>
        <w:rPr>
          <w:rFonts w:hint="default" w:ascii="宋体" w:hAnsiTheme="minorHAnsi" w:eastAsiaTheme="minorEastAsia" w:cstheme="minorBidi"/>
          <w:szCs w:val="28"/>
          <w:lang w:val="en-US" w:eastAsia="zh-CN"/>
        </w:rPr>
        <w:t>八</w:t>
      </w:r>
      <w:r>
        <w:rPr>
          <w:rFonts w:hint="default" w:ascii="宋体" w:hAnsiTheme="minorHAnsi" w:eastAsiaTheme="minorEastAsia" w:cstheme="minorBidi"/>
          <w:szCs w:val="28"/>
        </w:rPr>
        <w:t>、估价依据</w:t>
      </w:r>
      <w:r>
        <w:tab/>
      </w:r>
      <w:r>
        <w:fldChar w:fldCharType="begin"/>
      </w:r>
      <w:r>
        <w:instrText xml:space="preserve"> PAGEREF _Toc31970 </w:instrText>
      </w:r>
      <w:r>
        <w:fldChar w:fldCharType="separate"/>
      </w:r>
      <w:r>
        <w:t>8</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_Toc12654 </w:instrText>
      </w:r>
      <w:r>
        <w:rPr>
          <w:rFonts w:hAnsi="宋体"/>
          <w:szCs w:val="44"/>
          <w:lang w:val="zh-CN"/>
        </w:rPr>
        <w:fldChar w:fldCharType="separate"/>
      </w:r>
      <w:r>
        <w:rPr>
          <w:rFonts w:hint="default" w:ascii="宋体" w:hAnsiTheme="minorHAnsi" w:eastAsiaTheme="minorEastAsia" w:cstheme="minorBidi"/>
          <w:szCs w:val="28"/>
        </w:rPr>
        <w:t>九、估价方法</w:t>
      </w:r>
      <w:r>
        <w:tab/>
      </w:r>
      <w:r>
        <w:fldChar w:fldCharType="begin"/>
      </w:r>
      <w:r>
        <w:instrText xml:space="preserve"> PAGEREF _Toc12654 </w:instrText>
      </w:r>
      <w:r>
        <w:fldChar w:fldCharType="separate"/>
      </w:r>
      <w:r>
        <w:t>10</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_Toc29796 </w:instrText>
      </w:r>
      <w:r>
        <w:rPr>
          <w:rFonts w:hAnsi="宋体"/>
          <w:szCs w:val="44"/>
          <w:lang w:val="zh-CN"/>
        </w:rPr>
        <w:fldChar w:fldCharType="separate"/>
      </w:r>
      <w:r>
        <w:rPr>
          <w:rFonts w:hint="default" w:ascii="宋体" w:hAnsiTheme="minorHAnsi" w:eastAsiaTheme="minorEastAsia" w:cstheme="minorBidi"/>
          <w:szCs w:val="28"/>
        </w:rPr>
        <w:t>十、估价结果</w:t>
      </w:r>
      <w:r>
        <w:tab/>
      </w:r>
      <w:r>
        <w:fldChar w:fldCharType="begin"/>
      </w:r>
      <w:r>
        <w:instrText xml:space="preserve"> PAGEREF _Toc29796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_Toc27751 </w:instrText>
      </w:r>
      <w:r>
        <w:rPr>
          <w:rFonts w:hAnsi="宋体"/>
          <w:szCs w:val="44"/>
          <w:lang w:val="zh-CN"/>
        </w:rPr>
        <w:fldChar w:fldCharType="separate"/>
      </w:r>
      <w:r>
        <w:rPr>
          <w:rFonts w:hint="eastAsia" w:cstheme="minorBidi"/>
          <w:szCs w:val="28"/>
          <w:lang w:val="en-US" w:eastAsia="zh-CN"/>
        </w:rPr>
        <w:t>十一、</w:t>
      </w:r>
      <w:r>
        <w:rPr>
          <w:rFonts w:hint="default" w:ascii="宋体" w:hAnsiTheme="minorHAnsi" w:eastAsiaTheme="minorEastAsia" w:cstheme="minorBidi"/>
          <w:szCs w:val="28"/>
          <w:lang w:val="en-US" w:eastAsia="zh-CN"/>
        </w:rPr>
        <w:t>注册房地产估价师</w:t>
      </w:r>
      <w:r>
        <w:tab/>
      </w:r>
      <w:r>
        <w:fldChar w:fldCharType="begin"/>
      </w:r>
      <w:r>
        <w:instrText xml:space="preserve"> PAGEREF _Toc27751 </w:instrText>
      </w:r>
      <w:r>
        <w:fldChar w:fldCharType="separate"/>
      </w:r>
      <w:r>
        <w:t>11</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_Toc22942 </w:instrText>
      </w:r>
      <w:r>
        <w:rPr>
          <w:rFonts w:hAnsi="宋体"/>
          <w:szCs w:val="44"/>
          <w:lang w:val="zh-CN"/>
        </w:rPr>
        <w:fldChar w:fldCharType="separate"/>
      </w:r>
      <w:r>
        <w:rPr>
          <w:rFonts w:hint="eastAsia" w:ascii="宋体" w:hAnsiTheme="minorHAnsi" w:eastAsiaTheme="minorEastAsia" w:cstheme="minorBidi"/>
          <w:szCs w:val="28"/>
        </w:rPr>
        <w:t>十二、实地查勘期</w:t>
      </w:r>
      <w:r>
        <w:tab/>
      </w:r>
      <w:r>
        <w:fldChar w:fldCharType="begin"/>
      </w:r>
      <w:r>
        <w:instrText xml:space="preserve"> PAGEREF _Toc22942 </w:instrText>
      </w:r>
      <w:r>
        <w:fldChar w:fldCharType="separate"/>
      </w:r>
      <w:r>
        <w:t>12</w:t>
      </w:r>
      <w:r>
        <w:fldChar w:fldCharType="end"/>
      </w:r>
      <w:r>
        <w:rPr>
          <w:rFonts w:hAnsi="宋体"/>
          <w:color w:val="000000"/>
          <w:szCs w:val="44"/>
          <w:lang w:val="zh-CN"/>
        </w:rPr>
        <w:fldChar w:fldCharType="end"/>
      </w:r>
    </w:p>
    <w:p>
      <w:pPr>
        <w:pStyle w:val="14"/>
        <w:tabs>
          <w:tab w:val="right" w:leader="dot" w:pos="9070"/>
        </w:tabs>
        <w:ind w:firstLine="560" w:firstLineChars="200"/>
      </w:pPr>
      <w:r>
        <w:rPr>
          <w:rFonts w:hAnsi="宋体"/>
          <w:color w:val="000000"/>
          <w:szCs w:val="44"/>
          <w:lang w:val="zh-CN"/>
        </w:rPr>
        <w:fldChar w:fldCharType="begin"/>
      </w:r>
      <w:r>
        <w:rPr>
          <w:rFonts w:hAnsi="宋体"/>
          <w:szCs w:val="44"/>
          <w:lang w:val="zh-CN"/>
        </w:rPr>
        <w:instrText xml:space="preserve"> HYPERLINK \l _Toc2662 </w:instrText>
      </w:r>
      <w:r>
        <w:rPr>
          <w:rFonts w:hAnsi="宋体"/>
          <w:szCs w:val="44"/>
          <w:lang w:val="zh-CN"/>
        </w:rPr>
        <w:fldChar w:fldCharType="separate"/>
      </w:r>
      <w:r>
        <w:rPr>
          <w:rFonts w:hint="eastAsia" w:ascii="宋体" w:hAnsiTheme="minorHAnsi" w:eastAsiaTheme="minorEastAsia" w:cstheme="minorBidi"/>
          <w:szCs w:val="28"/>
        </w:rPr>
        <w:t>十三、估价作业期</w:t>
      </w:r>
      <w:r>
        <w:tab/>
      </w:r>
      <w:r>
        <w:fldChar w:fldCharType="begin"/>
      </w:r>
      <w:r>
        <w:instrText xml:space="preserve"> PAGEREF _Toc2662 </w:instrText>
      </w:r>
      <w:r>
        <w:fldChar w:fldCharType="separate"/>
      </w:r>
      <w:r>
        <w:t>12</w:t>
      </w:r>
      <w:r>
        <w:fldChar w:fldCharType="end"/>
      </w:r>
      <w:r>
        <w:rPr>
          <w:rFonts w:hAnsi="宋体"/>
          <w:color w:val="000000"/>
          <w:szCs w:val="44"/>
          <w:lang w:val="zh-CN"/>
        </w:rPr>
        <w:fldChar w:fldCharType="end"/>
      </w:r>
    </w:p>
    <w:p>
      <w:pPr>
        <w:spacing w:line="360" w:lineRule="auto"/>
        <w:ind w:firstLine="0" w:firstLineChars="0"/>
        <w:jc w:val="center"/>
        <w:rPr>
          <w:rFonts w:hAnsi="宋体"/>
          <w:spacing w:val="100"/>
        </w:rPr>
        <w:sectPr>
          <w:footerReference r:id="rId7" w:type="first"/>
          <w:footerReference r:id="rId6" w:type="default"/>
          <w:pgSz w:w="11906" w:h="16838"/>
          <w:pgMar w:top="1418" w:right="1418" w:bottom="1134" w:left="1418" w:header="851" w:footer="851" w:gutter="0"/>
          <w:pgBorders>
            <w:top w:val="none" w:sz="0" w:space="0"/>
            <w:left w:val="none" w:sz="0" w:space="0"/>
            <w:bottom w:val="none" w:sz="0" w:space="0"/>
            <w:right w:val="none" w:sz="0" w:space="0"/>
          </w:pgBorders>
          <w:pgNumType w:fmt="decimal"/>
          <w:cols w:space="720" w:num="1"/>
          <w:titlePg/>
          <w:docGrid w:type="lines" w:linePitch="312" w:charSpace="0"/>
        </w:sectPr>
      </w:pPr>
      <w:r>
        <w:rPr>
          <w:rFonts w:hAnsi="宋体"/>
          <w:color w:val="000000"/>
          <w:szCs w:val="44"/>
          <w:lang w:val="zh-CN"/>
        </w:rPr>
        <w:fldChar w:fldCharType="end"/>
      </w:r>
      <w:r>
        <w:rPr>
          <w:rFonts w:hint="eastAsia" w:hAnsi="宋体"/>
          <w:color w:val="000000"/>
          <w:szCs w:val="44"/>
          <w:lang w:val="en-US" w:eastAsia="zh-CN"/>
        </w:rPr>
        <w:t xml:space="preserve">    </w:t>
      </w:r>
      <w:r>
        <w:rPr>
          <w:rFonts w:hint="eastAsia" w:hAnsi="宋体"/>
          <w:color w:val="000000"/>
          <w:szCs w:val="28"/>
        </w:rPr>
        <w:t>附</w:t>
      </w:r>
      <w:r>
        <w:rPr>
          <w:rFonts w:hAnsi="宋体"/>
          <w:color w:val="000000"/>
          <w:szCs w:val="28"/>
        </w:rPr>
        <w:t>件：</w:t>
      </w:r>
      <w:r>
        <w:rPr>
          <w:color w:val="000000"/>
          <w:szCs w:val="28"/>
        </w:rPr>
        <w:t>1</w:t>
      </w:r>
      <w:r>
        <w:rPr>
          <w:rFonts w:hAnsi="宋体"/>
          <w:color w:val="000000"/>
          <w:szCs w:val="28"/>
        </w:rPr>
        <w:t>、</w:t>
      </w:r>
      <w:r>
        <w:rPr>
          <w:rFonts w:hint="eastAsia" w:hAnsi="宋体"/>
          <w:color w:val="000000"/>
          <w:szCs w:val="28"/>
        </w:rPr>
        <w:t>委托书</w:t>
      </w:r>
      <w:r>
        <w:rPr>
          <w:rFonts w:hAnsi="宋体"/>
          <w:color w:val="000000"/>
          <w:szCs w:val="28"/>
        </w:rPr>
        <w:t>；</w:t>
      </w:r>
      <w:r>
        <w:rPr>
          <w:color w:val="000000"/>
          <w:szCs w:val="28"/>
        </w:rPr>
        <w:t>2</w:t>
      </w:r>
      <w:r>
        <w:rPr>
          <w:rFonts w:hAnsi="宋体"/>
          <w:color w:val="000000"/>
          <w:szCs w:val="28"/>
        </w:rPr>
        <w:t>、估价对象</w:t>
      </w:r>
      <w:r>
        <w:rPr>
          <w:rFonts w:hint="eastAsia" w:hAnsi="宋体"/>
          <w:color w:val="000000"/>
          <w:szCs w:val="28"/>
        </w:rPr>
        <w:t>位置图及</w:t>
      </w:r>
      <w:r>
        <w:rPr>
          <w:rFonts w:hAnsi="宋体"/>
          <w:color w:val="000000"/>
          <w:szCs w:val="28"/>
        </w:rPr>
        <w:t>照片</w:t>
      </w:r>
      <w:r>
        <w:rPr>
          <w:rFonts w:hint="eastAsia" w:hAnsi="宋体"/>
          <w:color w:val="000000"/>
          <w:szCs w:val="28"/>
        </w:rPr>
        <w:t>；3、</w:t>
      </w:r>
      <w:r>
        <w:rPr>
          <w:rFonts w:hint="eastAsia" w:hAnsi="宋体"/>
          <w:color w:val="000000"/>
          <w:szCs w:val="28"/>
          <w:lang w:val="en-US" w:eastAsia="zh-CN"/>
        </w:rPr>
        <w:t>估价对象权属证明复印件</w:t>
      </w:r>
      <w:r>
        <w:rPr>
          <w:rFonts w:hAnsi="宋体"/>
          <w:color w:val="000000"/>
          <w:szCs w:val="28"/>
        </w:rPr>
        <w:t>；</w:t>
      </w:r>
      <w:r>
        <w:rPr>
          <w:rFonts w:hint="eastAsia"/>
          <w:color w:val="000000"/>
          <w:szCs w:val="28"/>
        </w:rPr>
        <w:t>4</w:t>
      </w:r>
      <w:r>
        <w:rPr>
          <w:rFonts w:hAnsi="宋体"/>
          <w:color w:val="000000"/>
          <w:szCs w:val="28"/>
        </w:rPr>
        <w:t>、</w:t>
      </w:r>
      <w:r>
        <w:rPr>
          <w:rFonts w:hint="eastAsia" w:hAnsi="宋体"/>
          <w:color w:val="000000"/>
          <w:szCs w:val="28"/>
          <w:lang w:val="en-US" w:eastAsia="zh-CN"/>
        </w:rPr>
        <w:t>房地产估价机构营业执照和估价资质证书复印件；4、注册房地产估价师资格证书复印件</w:t>
      </w:r>
      <w:r>
        <w:rPr>
          <w:rFonts w:hint="eastAsia" w:hAnsi="宋体"/>
          <w:color w:val="000000"/>
          <w:szCs w:val="28"/>
        </w:rPr>
        <w:t>。</w:t>
      </w:r>
    </w:p>
    <w:p>
      <w:pPr>
        <w:pStyle w:val="3"/>
        <w:tabs>
          <w:tab w:val="left" w:pos="2760"/>
          <w:tab w:val="center" w:pos="4535"/>
        </w:tabs>
        <w:spacing w:before="312" w:beforeLines="100" w:after="312" w:afterLines="100" w:line="360" w:lineRule="auto"/>
        <w:jc w:val="center"/>
        <w:rPr>
          <w:rFonts w:hAnsi="宋体"/>
        </w:rPr>
      </w:pPr>
      <w:bookmarkStart w:id="30" w:name="_Toc20817"/>
      <w:bookmarkStart w:id="31" w:name="_Toc6754"/>
      <w:bookmarkStart w:id="32" w:name="_Toc8650"/>
      <w:bookmarkStart w:id="33" w:name="_Toc8421"/>
      <w:bookmarkStart w:id="34" w:name="_Toc27650"/>
      <w:bookmarkStart w:id="35" w:name="_Toc19470"/>
      <w:bookmarkStart w:id="36" w:name="_Toc11515"/>
      <w:bookmarkStart w:id="37" w:name="_Toc26105"/>
      <w:bookmarkStart w:id="38" w:name="_Toc11028"/>
      <w:bookmarkStart w:id="39" w:name="_Toc23048"/>
      <w:bookmarkStart w:id="40" w:name="_Toc11212"/>
      <w:bookmarkStart w:id="41" w:name="_Toc14451"/>
      <w:bookmarkStart w:id="42" w:name="_Toc352"/>
      <w:bookmarkStart w:id="43" w:name="_Toc12909"/>
      <w:bookmarkStart w:id="44" w:name="_Toc27605"/>
      <w:bookmarkStart w:id="45" w:name="_Toc146"/>
      <w:bookmarkStart w:id="46" w:name="_Toc29161"/>
      <w:bookmarkStart w:id="47" w:name="_Toc31701"/>
      <w:bookmarkStart w:id="48" w:name="_Toc16029"/>
      <w:bookmarkStart w:id="49" w:name="_Toc5978"/>
      <w:bookmarkStart w:id="50" w:name="_Toc16557"/>
      <w:bookmarkStart w:id="51" w:name="_Toc4750"/>
      <w:bookmarkStart w:id="52" w:name="_Toc6148"/>
      <w:bookmarkStart w:id="53" w:name="_Toc9282"/>
      <w:bookmarkStart w:id="54" w:name="_Toc23340"/>
      <w:bookmarkStart w:id="55" w:name="_Toc20100"/>
      <w:bookmarkStart w:id="56" w:name="_Toc14653"/>
      <w:bookmarkStart w:id="57" w:name="_Toc15840"/>
      <w:bookmarkStart w:id="58" w:name="_Toc1196"/>
      <w:bookmarkStart w:id="59" w:name="_Toc28867"/>
      <w:bookmarkStart w:id="60" w:name="_Toc25092"/>
      <w:bookmarkStart w:id="61" w:name="_Toc23578"/>
      <w:r>
        <w:t>估价师声明</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pPr>
        <w:pStyle w:val="27"/>
        <w:autoSpaceDE/>
        <w:autoSpaceDN/>
        <w:adjustRightInd/>
        <w:spacing w:before="156" w:beforeLines="50" w:after="156" w:afterLines="50" w:line="360" w:lineRule="auto"/>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对本报告我们特作如下郑重声明：</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1、注册房地产估价师在估价报告中对事实的说明是真实和准确的，没有虚假记载、误导性陈述和重大遗漏</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2、估价报告中的分析、意见和结论是注册房地产估价师独立、客观、公正的专业分析、意见和结论，但受到本估价报告中已说明的估价假设和限制条件的限制。</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3、注册房地产估价师与估价报告中的估价对象没有现实或潜在的利害，与估价委托人及估价利害关系人没有利害关系，也对估价对象、估价委托人及估价利害关系人没有偏见。</w:t>
      </w:r>
    </w:p>
    <w:p>
      <w:pPr>
        <w:ind w:firstLine="560"/>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4、注册房地产估价师是按照中华人民共和国国家标准GB/T50291—2015《房地产估价规范》及《房地产估价基本术语标准》(GB/T50899-2013)进行估价工作，撰写本估价报告。</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lang w:val="en-US" w:eastAsia="zh-CN"/>
        </w:rPr>
        <w:t>5</w:t>
      </w:r>
      <w:r>
        <w:rPr>
          <w:rFonts w:hint="eastAsia" w:ascii="Times New Roman" w:hAnsi="Times New Roman" w:eastAsia="宋体" w:cs="Times New Roman"/>
          <w:bCs/>
          <w:szCs w:val="28"/>
          <w:highlight w:val="none"/>
        </w:rPr>
        <w:t>、没有其他人对本估价报告提供重要的专业帮助。</w:t>
      </w:r>
    </w:p>
    <w:p>
      <w:pPr>
        <w:pStyle w:val="3"/>
        <w:spacing w:before="312" w:beforeLines="100" w:after="312" w:afterLines="100" w:line="360" w:lineRule="auto"/>
        <w:jc w:val="center"/>
        <w:rPr>
          <w:rFonts w:hint="eastAsia"/>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bookmarkStart w:id="62" w:name="_Toc440992054"/>
      <w:bookmarkStart w:id="63" w:name="_Toc25142"/>
      <w:bookmarkStart w:id="64" w:name="_Toc28492"/>
      <w:bookmarkStart w:id="65" w:name="_Toc464207624"/>
      <w:bookmarkStart w:id="66" w:name="_Toc19359"/>
      <w:bookmarkStart w:id="67" w:name="_Toc440990674"/>
      <w:bookmarkStart w:id="68" w:name="_Toc29726"/>
    </w:p>
    <w:p>
      <w:pPr>
        <w:pStyle w:val="3"/>
        <w:spacing w:before="312" w:beforeLines="100" w:after="312" w:afterLines="100" w:line="360" w:lineRule="auto"/>
        <w:jc w:val="center"/>
        <w:rPr>
          <w:rFonts w:ascii="Times New Roman" w:hAnsi="Times New Roman" w:eastAsia="宋体" w:cs="Times New Roman"/>
          <w:b w:val="0"/>
          <w:kern w:val="0"/>
          <w:sz w:val="28"/>
          <w:szCs w:val="28"/>
        </w:rPr>
      </w:pPr>
      <w:bookmarkStart w:id="69" w:name="_Toc5901"/>
      <w:bookmarkStart w:id="70" w:name="_Toc17852"/>
      <w:bookmarkStart w:id="71" w:name="_Toc13683"/>
      <w:bookmarkStart w:id="72" w:name="_Toc21567"/>
      <w:bookmarkStart w:id="73" w:name="_Toc31186"/>
      <w:bookmarkStart w:id="74" w:name="_Toc1598"/>
      <w:bookmarkStart w:id="75" w:name="_Toc575"/>
      <w:bookmarkStart w:id="76" w:name="_Toc27564"/>
      <w:bookmarkStart w:id="77" w:name="_Toc2326"/>
      <w:bookmarkStart w:id="78" w:name="_Toc5684"/>
      <w:bookmarkStart w:id="79" w:name="_Toc31400"/>
      <w:bookmarkStart w:id="80" w:name="_Toc12851"/>
      <w:bookmarkStart w:id="81" w:name="_Toc11702"/>
      <w:bookmarkStart w:id="82" w:name="_Toc21292"/>
      <w:bookmarkStart w:id="83" w:name="_Toc21057"/>
      <w:bookmarkStart w:id="84" w:name="_Toc4080"/>
      <w:bookmarkStart w:id="85" w:name="_Toc12953"/>
      <w:bookmarkStart w:id="86" w:name="_Toc2563"/>
      <w:bookmarkStart w:id="87" w:name="_Toc17960"/>
      <w:bookmarkStart w:id="88" w:name="_Toc2193"/>
      <w:bookmarkStart w:id="89" w:name="_Toc2044"/>
      <w:bookmarkStart w:id="90" w:name="_Toc25438"/>
      <w:bookmarkStart w:id="91" w:name="_Toc27765"/>
      <w:bookmarkStart w:id="92" w:name="_Toc32410"/>
      <w:bookmarkStart w:id="93" w:name="_Toc21825"/>
      <w:bookmarkStart w:id="94" w:name="_Toc14884"/>
      <w:bookmarkStart w:id="95" w:name="_Toc16514"/>
      <w:bookmarkStart w:id="96" w:name="_Toc21599"/>
      <w:r>
        <w:rPr>
          <w:rFonts w:hint="eastAsia"/>
        </w:rPr>
        <w:t>估价的假设和限制条件</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一、一般假设</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1、房地产估价师对估价对象的权属、面积、用途等资料进行了检查，在无理由怀疑其合法性、真实性、准确性、完整性的情况下，假设委托人提供的相关产权资料合法、真实、准确、完整。</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val="en-US" w:eastAsia="zh-CN"/>
        </w:rPr>
      </w:pPr>
      <w:r>
        <w:rPr>
          <w:rFonts w:hint="eastAsia" w:ascii="Times New Roman" w:hAnsi="Times New Roman" w:eastAsia="宋体" w:cs="Times New Roman"/>
          <w:bCs/>
          <w:szCs w:val="28"/>
          <w:highlight w:val="none"/>
          <w:lang w:val="en-US" w:eastAsia="zh-CN"/>
        </w:rPr>
        <w:t>2、注册房地产估价师已对房屋安全、环境污染等影响估价对象价值的重大因素给予了关注，在无理由怀疑估价对象存在安全隐患且无相应的专业机构进行鉴定、检测的情况下，假定估价对象能正常安全使用。</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Cs w:val="28"/>
          <w:highlight w:val="none"/>
          <w:lang w:eastAsia="zh-CN"/>
        </w:rPr>
      </w:pPr>
      <w:r>
        <w:rPr>
          <w:rFonts w:hint="eastAsia" w:ascii="Times New Roman" w:hAnsi="Times New Roman" w:eastAsia="宋体" w:cs="Times New Roman"/>
          <w:bCs/>
          <w:szCs w:val="28"/>
          <w:highlight w:val="none"/>
          <w:lang w:val="en-US" w:eastAsia="zh-CN"/>
        </w:rPr>
        <w:t>3、对房地产</w:t>
      </w:r>
      <w:r>
        <w:rPr>
          <w:rFonts w:hint="eastAsia" w:ascii="Times New Roman" w:hAnsi="Times New Roman" w:eastAsia="宋体" w:cs="Times New Roman"/>
          <w:bCs/>
          <w:szCs w:val="28"/>
          <w:highlight w:val="none"/>
        </w:rPr>
        <w:t>市场</w:t>
      </w:r>
      <w:r>
        <w:rPr>
          <w:rFonts w:hint="eastAsia" w:ascii="Times New Roman" w:hAnsi="Times New Roman" w:eastAsia="宋体" w:cs="Times New Roman"/>
          <w:bCs/>
          <w:szCs w:val="28"/>
          <w:highlight w:val="none"/>
          <w:lang w:val="en-US" w:eastAsia="zh-CN"/>
        </w:rPr>
        <w:t>的</w:t>
      </w:r>
      <w:r>
        <w:rPr>
          <w:rFonts w:hint="eastAsia" w:ascii="Times New Roman" w:hAnsi="Times New Roman" w:eastAsia="宋体" w:cs="Times New Roman"/>
          <w:bCs/>
          <w:szCs w:val="28"/>
          <w:highlight w:val="none"/>
        </w:rPr>
        <w:t>假设</w:t>
      </w:r>
      <w:r>
        <w:rPr>
          <w:rFonts w:hint="eastAsia" w:ascii="Times New Roman" w:hAnsi="Times New Roman" w:eastAsia="宋体" w:cs="Times New Roman"/>
          <w:bCs/>
          <w:szCs w:val="28"/>
          <w:highlight w:val="none"/>
          <w:lang w:eastAsia="zh-CN"/>
        </w:rPr>
        <w:t>：</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①交易双方均是自愿地进行交易的；</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②交易双方均是出于利己动机，交易双方具有关于交易对象的必要的专业知识，了解交易对象、知晓市场行情，交易目的在于最大限度地追求经济利益；</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③市场上有多个买家、卖家，交易条件公开并不具有排他性，交易价格支付为一次性在成交时支付。</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④交易房地产在市场上公开足够时间，买卖双方掌握足够的关于交易房地产的信息，并有充裕的时间进行房地产交易；</w:t>
      </w:r>
    </w:p>
    <w:p>
      <w:pPr>
        <w:pStyle w:val="27"/>
        <w:autoSpaceDE/>
        <w:autoSpaceDN/>
        <w:adjustRightInd/>
        <w:spacing w:beforeLines="0" w:afterLines="0" w:line="360" w:lineRule="auto"/>
        <w:ind w:firstLine="560" w:firstLineChars="200"/>
        <w:jc w:val="both"/>
        <w:textAlignment w:val="auto"/>
        <w:rPr>
          <w:rFonts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⑤交易双方均不存在买者因特殊兴趣而给予的附加出价。</w:t>
      </w:r>
    </w:p>
    <w:p>
      <w:pPr>
        <w:pStyle w:val="27"/>
        <w:numPr>
          <w:ilvl w:val="0"/>
          <w:numId w:val="2"/>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不相一致假设</w:t>
      </w:r>
    </w:p>
    <w:p>
      <w:pPr>
        <w:numPr>
          <w:ilvl w:val="-1"/>
          <w:numId w:val="0"/>
        </w:numPr>
        <w:autoSpaceDE/>
        <w:autoSpaceDN/>
        <w:adjustRightInd/>
        <w:spacing w:line="360" w:lineRule="auto"/>
        <w:ind w:firstLine="560" w:firstLineChars="200"/>
        <w:jc w:val="both"/>
        <w:textAlignment w:val="auto"/>
        <w:outlineLvl w:val="9"/>
        <w:rPr>
          <w:rFonts w:hint="eastAsia" w:ascii="Times New Roman" w:hAnsi="Times New Roman"/>
          <w:sz w:val="28"/>
          <w:szCs w:val="28"/>
          <w:lang w:val="en-US" w:eastAsia="zh-CN"/>
        </w:rPr>
      </w:pPr>
      <w:r>
        <w:rPr>
          <w:rFonts w:hint="eastAsia" w:ascii="Times New Roman" w:hAnsi="Times New Roman"/>
          <w:sz w:val="28"/>
          <w:szCs w:val="28"/>
          <w:lang w:val="en-US" w:eastAsia="zh-CN"/>
        </w:rPr>
        <w:t>估价对象涉及抵押、查封等他项权利，</w:t>
      </w:r>
      <w:r>
        <w:rPr>
          <w:rFonts w:hint="eastAsia"/>
          <w:sz w:val="28"/>
          <w:szCs w:val="28"/>
          <w:lang w:eastAsia="zh-CN"/>
        </w:rPr>
        <w:t>结合本次估价目的，</w:t>
      </w:r>
      <w:r>
        <w:rPr>
          <w:rFonts w:hint="eastAsia" w:ascii="Times New Roman" w:hAnsi="Times New Roman"/>
          <w:sz w:val="28"/>
          <w:szCs w:val="28"/>
          <w:lang w:val="en-US" w:eastAsia="zh-CN"/>
        </w:rPr>
        <w:t>本次评估未考虑估价对象抵押、查封他项权利的限制对其估价结果的影响，提请报告使用者予以关注。</w:t>
      </w:r>
    </w:p>
    <w:p>
      <w:pPr>
        <w:pStyle w:val="27"/>
        <w:numPr>
          <w:ilvl w:val="0"/>
          <w:numId w:val="3"/>
        </w:numPr>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未定事项假设</w:t>
      </w:r>
    </w:p>
    <w:p>
      <w:pPr>
        <w:numPr>
          <w:ilvl w:val="0"/>
          <w:numId w:val="0"/>
        </w:numPr>
        <w:ind w:firstLine="560" w:firstLineChars="200"/>
        <w:rPr>
          <w:rFonts w:hint="eastAsia"/>
          <w:lang w:val="en-US" w:eastAsia="zh-CN"/>
        </w:rPr>
      </w:pPr>
      <w:r>
        <w:rPr>
          <w:rFonts w:hint="eastAsia" w:ascii="Times New Roman" w:hAnsi="Times New Roman"/>
          <w:sz w:val="28"/>
          <w:szCs w:val="28"/>
          <w:lang w:val="en-US" w:eastAsia="zh-CN"/>
        </w:rPr>
        <w:t>由于未能获取估价对象土地相关信息，根据委托人提供的资料，通过注册房地产估价师对该楼盘房屋进行调查走访，该小区性质为商品房，本次评估假定估价对象土地使用权类型为出让，土地使用权类型地类（用途）为住宅前提下进行评估，提请报告使用者予以关注。</w:t>
      </w:r>
    </w:p>
    <w:p>
      <w:pPr>
        <w:pStyle w:val="27"/>
        <w:widowControl/>
        <w:numPr>
          <w:ilvl w:val="0"/>
          <w:numId w:val="3"/>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szCs w:val="28"/>
        </w:rPr>
        <w:t>背离事实假设</w:t>
      </w:r>
    </w:p>
    <w:p>
      <w:pPr>
        <w:pStyle w:val="2"/>
        <w:adjustRightInd/>
        <w:spacing w:line="360" w:lineRule="auto"/>
        <w:jc w:val="both"/>
        <w:rPr>
          <w:rFonts w:hint="default" w:eastAsia="宋体"/>
          <w:lang w:val="en-US" w:eastAsia="zh-CN"/>
        </w:rPr>
      </w:pPr>
      <w:r>
        <w:rPr>
          <w:rFonts w:hint="eastAsia" w:ascii="Times New Roman" w:hAnsi="Times New Roman" w:eastAsia="宋体" w:cs="Times New Roman"/>
          <w:bCs/>
          <w:szCs w:val="28"/>
          <w:lang w:val="en-US" w:eastAsia="zh-CN"/>
        </w:rPr>
        <w:t>无</w:t>
      </w:r>
    </w:p>
    <w:p>
      <w:pPr>
        <w:pStyle w:val="27"/>
        <w:widowControl/>
        <w:numPr>
          <w:ilvl w:val="0"/>
          <w:numId w:val="3"/>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lang w:val="en-US" w:eastAsia="zh-CN"/>
        </w:rPr>
      </w:pPr>
      <w:r>
        <w:rPr>
          <w:rFonts w:hint="eastAsia" w:ascii="Times New Roman" w:hAnsi="Times New Roman" w:eastAsia="宋体" w:cs="Times New Roman"/>
          <w:b/>
          <w:szCs w:val="28"/>
        </w:rPr>
        <w:t>依据不足假设</w:t>
      </w:r>
    </w:p>
    <w:p>
      <w:pPr>
        <w:pStyle w:val="27"/>
        <w:widowControl/>
        <w:numPr>
          <w:ilvl w:val="0"/>
          <w:numId w:val="0"/>
        </w:numPr>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 w:val="0"/>
          <w:bCs/>
          <w:szCs w:val="28"/>
          <w:highlight w:val="none"/>
          <w:lang w:val="en-US" w:eastAsia="zh-CN"/>
        </w:rPr>
      </w:pPr>
      <w:r>
        <w:rPr>
          <w:rFonts w:hint="eastAsia" w:ascii="Times New Roman" w:hAnsi="Times New Roman" w:eastAsia="宋体" w:cs="Times New Roman"/>
          <w:b w:val="0"/>
          <w:bCs/>
          <w:szCs w:val="28"/>
          <w:highlight w:val="none"/>
          <w:lang w:val="en-US" w:eastAsia="zh-CN"/>
        </w:rPr>
        <w:t>无</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lang w:val="en-US" w:eastAsia="zh-CN"/>
        </w:rPr>
        <w:t>六</w:t>
      </w:r>
      <w:r>
        <w:rPr>
          <w:rFonts w:hint="eastAsia" w:ascii="Times New Roman" w:hAnsi="Times New Roman" w:eastAsia="宋体" w:cs="Times New Roman"/>
          <w:b/>
          <w:szCs w:val="28"/>
        </w:rPr>
        <w:t>、本报告使用的限制条件</w:t>
      </w:r>
    </w:p>
    <w:p>
      <w:pPr>
        <w:adjustRightInd/>
        <w:spacing w:line="560" w:lineRule="exact"/>
        <w:ind w:firstLine="560" w:firstLineChars="200"/>
        <w:jc w:val="both"/>
        <w:rPr>
          <w:rFonts w:hint="eastAsia" w:ascii="Times New Roman" w:hAnsi="Times New Roman" w:eastAsia="宋体" w:cs="Times New Roman"/>
          <w:bCs/>
          <w:sz w:val="28"/>
          <w:szCs w:val="28"/>
          <w:highlight w:val="none"/>
          <w:lang w:val="en-US" w:eastAsia="zh-CN" w:bidi="ar-SA"/>
        </w:rPr>
      </w:pPr>
      <w:bookmarkStart w:id="97" w:name="_Toc440992055"/>
      <w:bookmarkStart w:id="98" w:name="_Toc440990675"/>
      <w:bookmarkStart w:id="99" w:name="_Toc3076"/>
      <w:bookmarkStart w:id="100" w:name="_Toc20917"/>
      <w:bookmarkStart w:id="101" w:name="_Toc15708"/>
      <w:r>
        <w:rPr>
          <w:rFonts w:hint="eastAsia" w:ascii="Times New Roman" w:hAnsi="Times New Roman" w:eastAsia="宋体" w:cs="Times New Roman"/>
          <w:bCs/>
          <w:sz w:val="28"/>
          <w:szCs w:val="28"/>
          <w:highlight w:val="none"/>
          <w:lang w:val="en-US" w:eastAsia="zh-CN" w:bidi="ar-SA"/>
        </w:rPr>
        <w:t>1、本报告有效期为壹年，自估价报告出具之日起算，若报告有效期内房地产市场或估价对象状况发生重大变化，估价结果需做相应调整或重新进行评估。同时，如果使用本报告的时间超过了估价报告应用的有效期而造成的损失，房地产估价机构及注册房地产估价师不承担责任。</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2、本估价报告仅为委托人及案件相关当事人提供涉案房地产的价值参考依据，将估价报告及估价结果用于其他用途时，估价报告及估价结果无效。</w:t>
      </w:r>
    </w:p>
    <w:p>
      <w:pPr>
        <w:adjustRightInd/>
        <w:spacing w:line="360" w:lineRule="auto"/>
        <w:ind w:firstLine="560" w:firstLineChars="200"/>
        <w:jc w:val="both"/>
        <w:rPr>
          <w:rFonts w:hint="eastAsia" w:ascii="Times New Roman" w:hAnsi="Times New Roman" w:eastAsia="宋体" w:cs="Times New Roman"/>
          <w:bCs/>
          <w:sz w:val="28"/>
          <w:szCs w:val="28"/>
          <w:highlight w:val="none"/>
          <w:lang w:val="en-US" w:eastAsia="zh-CN" w:bidi="ar-SA"/>
        </w:rPr>
      </w:pPr>
      <w:r>
        <w:rPr>
          <w:rFonts w:hint="eastAsia" w:ascii="Times New Roman" w:hAnsi="Times New Roman" w:eastAsia="宋体" w:cs="Times New Roman"/>
          <w:bCs/>
          <w:sz w:val="28"/>
          <w:szCs w:val="28"/>
          <w:highlight w:val="none"/>
          <w:lang w:val="en-US" w:eastAsia="zh-CN" w:bidi="ar-SA"/>
        </w:rPr>
        <w:t>3、本估价报告的使用人为委托人及案件相关当事人，其他单位和个人不能使用本估价报告。未经本估价机构同意，估价报告不得向估价委托人及估价报告审查部门以外的单位和个人提供，凡因估价委托人使用估价报告不当而引起的后果，估价机构和注册房地产估价师不承担相应的责任。</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4、本报告的估价结果的使用权归委托方所有，本公司对估价结果有最终解释权。</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5、未经我公司允许，本估价报告全部或部分内容不得公开发表。</w:t>
      </w:r>
    </w:p>
    <w:p>
      <w:pPr>
        <w:adjustRightInd/>
        <w:spacing w:line="360" w:lineRule="auto"/>
        <w:ind w:firstLine="560" w:firstLineChars="200"/>
        <w:jc w:val="both"/>
        <w:rPr>
          <w:rFonts w:hint="eastAsia" w:ascii="Times New Roman" w:hAnsi="Times New Roman" w:eastAsia="宋体" w:cs="Times New Roman"/>
          <w:bCs/>
          <w:szCs w:val="28"/>
          <w:highlight w:val="none"/>
        </w:rPr>
      </w:pPr>
      <w:r>
        <w:rPr>
          <w:rFonts w:hint="eastAsia" w:ascii="Times New Roman" w:hAnsi="Times New Roman" w:eastAsia="宋体" w:cs="Times New Roman"/>
          <w:bCs/>
          <w:szCs w:val="28"/>
          <w:highlight w:val="none"/>
        </w:rPr>
        <w:t>6、本次评估结果受本估价假设限制条件的影响，当上述条件及评估报告遵循的各种条件和原则发生变化时，本评估结果一般自动失效。</w:t>
      </w:r>
    </w:p>
    <w:p>
      <w:pPr>
        <w:pStyle w:val="2"/>
        <w:ind w:firstLine="560" w:firstLineChars="200"/>
        <w:rPr>
          <w:rFonts w:hint="default" w:eastAsia="宋体"/>
          <w:lang w:val="en-US" w:eastAsia="zh-CN"/>
        </w:rPr>
        <w:sectPr>
          <w:footerReference r:id="rId9"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bookmarkStart w:id="102" w:name="_Toc14891"/>
      <w:r>
        <w:rPr>
          <w:rFonts w:hint="eastAsia" w:ascii="Times New Roman" w:hAnsi="Times New Roman" w:eastAsia="宋体" w:cs="Times New Roman"/>
          <w:bCs/>
          <w:spacing w:val="0"/>
          <w:szCs w:val="28"/>
          <w:highlight w:val="none"/>
          <w:lang w:val="en-US" w:eastAsia="zh-CN"/>
        </w:rPr>
        <w:t>7、贵州瑞华亚太房地产土地评估有限公司已于2021年3月24日变更公司名称，变更后的公司名称为贵州瑞华亚太房地产土地资产评估有限公司，提请报告使用者予以关注。</w:t>
      </w:r>
    </w:p>
    <w:p>
      <w:pPr>
        <w:pStyle w:val="3"/>
        <w:spacing w:before="312" w:beforeLines="100" w:after="312" w:afterLines="100" w:line="360" w:lineRule="auto"/>
        <w:jc w:val="center"/>
        <w:rPr>
          <w:rFonts w:hAnsi="宋体"/>
          <w:spacing w:val="40"/>
        </w:rPr>
      </w:pPr>
      <w:bookmarkStart w:id="103" w:name="_Toc15189"/>
      <w:bookmarkStart w:id="104" w:name="_Toc14734"/>
      <w:bookmarkStart w:id="105" w:name="_Toc5413"/>
      <w:bookmarkStart w:id="106" w:name="_Toc23056"/>
      <w:bookmarkStart w:id="107" w:name="_Toc30814"/>
      <w:bookmarkStart w:id="108" w:name="_Toc12549"/>
      <w:bookmarkStart w:id="109" w:name="_Toc18360"/>
      <w:bookmarkStart w:id="110" w:name="_Toc28479"/>
      <w:bookmarkStart w:id="111" w:name="_Toc32633"/>
      <w:bookmarkStart w:id="112" w:name="_Toc25789"/>
      <w:bookmarkStart w:id="113" w:name="_Toc21936"/>
      <w:bookmarkStart w:id="114" w:name="_Toc21594"/>
      <w:bookmarkStart w:id="115" w:name="_Toc1889"/>
      <w:bookmarkStart w:id="116" w:name="_Toc29091"/>
      <w:bookmarkStart w:id="117" w:name="_Toc15253"/>
      <w:bookmarkStart w:id="118" w:name="_Toc26843"/>
      <w:bookmarkStart w:id="119" w:name="_Toc22185"/>
      <w:bookmarkStart w:id="120" w:name="_Toc6627"/>
      <w:bookmarkStart w:id="121" w:name="_Toc3452"/>
      <w:bookmarkStart w:id="122" w:name="_Toc19953"/>
      <w:bookmarkStart w:id="123" w:name="_Toc20636"/>
      <w:bookmarkStart w:id="124" w:name="_Toc16909"/>
      <w:bookmarkStart w:id="125" w:name="_Toc3762"/>
      <w:bookmarkStart w:id="126" w:name="_Toc17746"/>
      <w:bookmarkStart w:id="127" w:name="_Toc13481"/>
      <w:bookmarkStart w:id="128" w:name="_Toc32193"/>
      <w:bookmarkStart w:id="129" w:name="_Toc15104"/>
      <w:bookmarkStart w:id="130" w:name="_Toc25008"/>
      <w:r>
        <w:rPr>
          <w:rFonts w:hint="eastAsia" w:hAnsi="宋体"/>
          <w:spacing w:val="40"/>
        </w:rPr>
        <w:t>房地产估价结果报告</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31" w:name="_Toc481484538"/>
      <w:bookmarkStart w:id="132" w:name="_Toc25878"/>
      <w:bookmarkStart w:id="133" w:name="_Toc11594"/>
      <w:bookmarkStart w:id="134" w:name="_Toc31541"/>
      <w:bookmarkStart w:id="135" w:name="_Toc31462"/>
      <w:bookmarkStart w:id="136" w:name="_Toc688"/>
      <w:bookmarkStart w:id="137" w:name="_Toc2614"/>
      <w:bookmarkStart w:id="138" w:name="_Toc28137"/>
      <w:bookmarkStart w:id="139" w:name="_Toc23506"/>
      <w:bookmarkStart w:id="140" w:name="_Toc5915"/>
      <w:bookmarkStart w:id="141" w:name="_Toc32616"/>
      <w:bookmarkStart w:id="142" w:name="_Toc6272"/>
      <w:bookmarkStart w:id="143" w:name="_Toc14499"/>
      <w:bookmarkStart w:id="144" w:name="_Toc27668"/>
      <w:bookmarkStart w:id="145" w:name="_Toc19361"/>
      <w:bookmarkStart w:id="146" w:name="_Toc32058"/>
      <w:bookmarkStart w:id="147" w:name="_Toc23681"/>
      <w:bookmarkStart w:id="148" w:name="_Toc22875"/>
      <w:bookmarkStart w:id="149" w:name="_Toc2765"/>
      <w:bookmarkStart w:id="150" w:name="_Toc23058"/>
      <w:bookmarkStart w:id="151" w:name="_Toc5544"/>
      <w:bookmarkStart w:id="152" w:name="_Toc19212"/>
      <w:bookmarkStart w:id="153" w:name="_Toc12290"/>
      <w:bookmarkStart w:id="154" w:name="_Toc16798"/>
      <w:bookmarkStart w:id="155" w:name="_Toc29607"/>
      <w:bookmarkStart w:id="156" w:name="_Toc17409"/>
      <w:bookmarkStart w:id="157" w:name="_Toc8507"/>
      <w:bookmarkStart w:id="158" w:name="_Toc9234"/>
      <w:bookmarkStart w:id="159" w:name="_Toc16883"/>
      <w:r>
        <w:rPr>
          <w:rFonts w:hint="default" w:ascii="宋体" w:hAnsiTheme="minorHAnsi" w:eastAsiaTheme="minorEastAsia" w:cstheme="minorBidi"/>
          <w:b/>
          <w:sz w:val="28"/>
          <w:szCs w:val="28"/>
        </w:rPr>
        <w:t>一、</w:t>
      </w:r>
      <w:bookmarkEnd w:id="131"/>
      <w:r>
        <w:rPr>
          <w:rFonts w:hint="default" w:ascii="宋体" w:hAnsiTheme="minorHAnsi" w:eastAsiaTheme="minorEastAsia" w:cstheme="minorBidi"/>
          <w:b/>
          <w:sz w:val="28"/>
          <w:szCs w:val="28"/>
        </w:rPr>
        <w:t>估价委托人</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160" w:name="_Toc481484539"/>
      <w:bookmarkStart w:id="161" w:name="_Toc8627"/>
      <w:bookmarkStart w:id="162" w:name="_Toc440990678"/>
      <w:bookmarkStart w:id="163" w:name="_Toc25828"/>
      <w:bookmarkStart w:id="164" w:name="_Toc22831"/>
      <w:bookmarkStart w:id="165" w:name="_Toc440992058"/>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都匀市人民法院</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地址</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val="en-US" w:eastAsia="zh-CN"/>
        </w:rPr>
        <w:t>都匀市广惠路167号</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66" w:name="_Toc11884"/>
      <w:bookmarkStart w:id="167" w:name="_Toc21541"/>
      <w:bookmarkStart w:id="168" w:name="_Toc22041"/>
      <w:bookmarkStart w:id="169" w:name="_Toc6003"/>
      <w:bookmarkStart w:id="170" w:name="_Toc21605"/>
      <w:bookmarkStart w:id="171" w:name="_Toc28529"/>
      <w:bookmarkStart w:id="172" w:name="_Toc28599"/>
      <w:bookmarkStart w:id="173" w:name="_Toc27144"/>
      <w:bookmarkStart w:id="174" w:name="_Toc28595"/>
      <w:bookmarkStart w:id="175" w:name="_Toc14748"/>
      <w:bookmarkStart w:id="176" w:name="_Toc15795"/>
      <w:bookmarkStart w:id="177" w:name="_Toc195"/>
      <w:bookmarkStart w:id="178" w:name="_Toc4998"/>
      <w:bookmarkStart w:id="179" w:name="_Toc2062"/>
      <w:bookmarkStart w:id="180" w:name="_Toc15399"/>
      <w:bookmarkStart w:id="181" w:name="_Toc18387"/>
      <w:bookmarkStart w:id="182" w:name="_Toc3315"/>
      <w:bookmarkStart w:id="183" w:name="_Toc21430"/>
      <w:bookmarkStart w:id="184" w:name="_Toc342"/>
      <w:bookmarkStart w:id="185" w:name="_Toc31710"/>
      <w:bookmarkStart w:id="186" w:name="_Toc24092"/>
      <w:bookmarkStart w:id="187" w:name="_Toc28984"/>
      <w:bookmarkStart w:id="188" w:name="_Toc15112"/>
      <w:bookmarkStart w:id="189" w:name="_Toc20410"/>
      <w:bookmarkStart w:id="190" w:name="_Toc20437"/>
      <w:bookmarkStart w:id="191" w:name="_Toc18218"/>
      <w:bookmarkStart w:id="192" w:name="_Toc25797"/>
      <w:r>
        <w:rPr>
          <w:rFonts w:hint="default" w:ascii="宋体" w:hAnsiTheme="minorHAnsi" w:eastAsiaTheme="minorEastAsia" w:cstheme="minorBidi"/>
          <w:b/>
          <w:sz w:val="28"/>
          <w:szCs w:val="28"/>
        </w:rPr>
        <w:t>二、</w:t>
      </w:r>
      <w:bookmarkEnd w:id="160"/>
      <w:r>
        <w:rPr>
          <w:rFonts w:hint="default" w:ascii="宋体" w:hAnsiTheme="minorHAnsi" w:eastAsiaTheme="minorEastAsia" w:cstheme="minorBidi"/>
          <w:b/>
          <w:sz w:val="28"/>
          <w:szCs w:val="28"/>
        </w:rPr>
        <w:t>房地产估价机构</w:t>
      </w:r>
      <w:bookmarkEnd w:id="161"/>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bookmarkEnd w:id="162"/>
    <w:bookmarkEnd w:id="163"/>
    <w:bookmarkEnd w:id="164"/>
    <w:bookmarkEnd w:id="165"/>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bookmarkStart w:id="193" w:name="_Toc2047"/>
      <w:bookmarkStart w:id="194" w:name="_Toc481484541"/>
      <w:r>
        <w:rPr>
          <w:rFonts w:hint="eastAsia" w:ascii="Times New Roman" w:hAnsi="Times New Roman" w:eastAsia="宋体" w:cs="Times New Roman"/>
          <w:bCs/>
          <w:szCs w:val="28"/>
          <w:lang w:val="en-US" w:eastAsia="zh-CN"/>
        </w:rPr>
        <w:t>名称</w:t>
      </w:r>
      <w:r>
        <w:rPr>
          <w:rFonts w:hint="eastAsia" w:ascii="Times New Roman" w:hAnsi="Times New Roman" w:eastAsia="宋体" w:cs="Times New Roman"/>
          <w:bCs/>
          <w:szCs w:val="28"/>
        </w:rPr>
        <w:t>：</w:t>
      </w:r>
      <w:r>
        <w:rPr>
          <w:rFonts w:hint="eastAsia" w:ascii="Times New Roman" w:hAnsi="Times New Roman" w:eastAsia="宋体" w:cs="Times New Roman"/>
          <w:bCs/>
          <w:szCs w:val="28"/>
          <w:lang w:eastAsia="zh-CN"/>
        </w:rPr>
        <w:t>贵州瑞华亚太房地产土地资产评估有限公司</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住所：</w:t>
      </w:r>
      <w:r>
        <w:rPr>
          <w:rFonts w:hint="eastAsia" w:ascii="Times New Roman" w:hAnsi="Times New Roman" w:eastAsia="宋体" w:cs="Times New Roman"/>
          <w:bCs/>
          <w:szCs w:val="28"/>
        </w:rPr>
        <w:t>贵阳市观山湖区诚信北路东侧群升千禧广场</w:t>
      </w:r>
      <w:r>
        <w:rPr>
          <w:rFonts w:hint="eastAsia" w:ascii="Times New Roman" w:hAnsi="Times New Roman" w:eastAsia="宋体" w:cs="Times New Roman"/>
          <w:bCs/>
          <w:szCs w:val="28"/>
          <w:lang w:val="en-US" w:eastAsia="zh-CN"/>
        </w:rPr>
        <w:t>0</w:t>
      </w:r>
      <w:r>
        <w:rPr>
          <w:rFonts w:hint="eastAsia" w:ascii="Times New Roman" w:hAnsi="Times New Roman" w:eastAsia="宋体" w:cs="Times New Roman"/>
          <w:bCs/>
          <w:szCs w:val="28"/>
        </w:rPr>
        <w:t>7B</w:t>
      </w:r>
      <w:r>
        <w:rPr>
          <w:rFonts w:hint="eastAsia" w:ascii="Times New Roman" w:hAnsi="Times New Roman" w:eastAsia="宋体" w:cs="Times New Roman"/>
          <w:bCs/>
          <w:szCs w:val="28"/>
          <w:lang w:val="en-US" w:eastAsia="zh-CN"/>
        </w:rPr>
        <w:t>栋</w:t>
      </w:r>
      <w:r>
        <w:rPr>
          <w:rFonts w:hint="eastAsia" w:ascii="Times New Roman" w:hAnsi="Times New Roman" w:eastAsia="宋体" w:cs="Times New Roman"/>
          <w:bCs/>
          <w:szCs w:val="28"/>
        </w:rPr>
        <w:t>20层</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资质证书编号</w:t>
      </w:r>
      <w:r>
        <w:rPr>
          <w:rFonts w:hint="eastAsia" w:ascii="Times New Roman" w:hAnsi="Times New Roman" w:eastAsia="宋体" w:cs="Times New Roman"/>
          <w:bCs/>
          <w:szCs w:val="28"/>
        </w:rPr>
        <w:t>：黔建房估字【2015】壹52003001</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资质等级：壹级</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法定代表人</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张绍伙</w:t>
      </w:r>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联系电话：180 8513 0337</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195" w:name="_Toc18706"/>
      <w:bookmarkStart w:id="196" w:name="_Toc21959"/>
      <w:bookmarkStart w:id="197" w:name="_Toc4763"/>
      <w:bookmarkStart w:id="198" w:name="_Toc11297"/>
      <w:bookmarkStart w:id="199" w:name="_Toc12589"/>
      <w:bookmarkStart w:id="200" w:name="_Toc32213"/>
      <w:bookmarkStart w:id="201" w:name="_Toc31246"/>
      <w:bookmarkStart w:id="202" w:name="_Toc18917"/>
      <w:bookmarkStart w:id="203" w:name="_Toc5503"/>
      <w:bookmarkStart w:id="204" w:name="_Toc8826"/>
      <w:bookmarkStart w:id="205" w:name="_Toc27385"/>
      <w:bookmarkStart w:id="206" w:name="_Toc22517"/>
      <w:bookmarkStart w:id="207" w:name="_Toc18316"/>
      <w:bookmarkStart w:id="208" w:name="_Toc31155"/>
      <w:bookmarkStart w:id="209" w:name="_Toc28231"/>
      <w:bookmarkStart w:id="210" w:name="_Toc12136"/>
      <w:bookmarkStart w:id="211" w:name="_Toc29579"/>
      <w:bookmarkStart w:id="212" w:name="_Toc20349"/>
      <w:bookmarkStart w:id="213" w:name="_Toc1582"/>
      <w:bookmarkStart w:id="214" w:name="_Toc2573"/>
      <w:bookmarkStart w:id="215" w:name="_Toc31074"/>
      <w:bookmarkStart w:id="216" w:name="_Toc30385"/>
      <w:bookmarkStart w:id="217" w:name="_Toc24607"/>
      <w:bookmarkStart w:id="218" w:name="_Toc13588"/>
      <w:bookmarkStart w:id="219" w:name="_Toc11499"/>
      <w:bookmarkStart w:id="220" w:name="_Toc4798"/>
      <w:bookmarkStart w:id="221" w:name="_Toc30214"/>
      <w:r>
        <w:rPr>
          <w:rFonts w:hint="default" w:ascii="宋体" w:hAnsiTheme="minorHAnsi" w:eastAsiaTheme="minorEastAsia" w:cstheme="minorBidi"/>
          <w:b/>
          <w:sz w:val="28"/>
          <w:szCs w:val="28"/>
          <w:lang w:val="en-US" w:eastAsia="zh-CN"/>
        </w:rPr>
        <w:t>三</w:t>
      </w:r>
      <w:r>
        <w:rPr>
          <w:rFonts w:hint="default" w:ascii="宋体" w:hAnsiTheme="minorHAnsi" w:eastAsiaTheme="minorEastAsia" w:cstheme="minorBidi"/>
          <w:b/>
          <w:sz w:val="28"/>
          <w:szCs w:val="28"/>
        </w:rPr>
        <w:t>、估价目的</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根据都匀市人民法院（2022）黔2701执360号委托书，因贵院在执行黔南州供销社社员股金服务有限责任公司与</w:t>
      </w:r>
      <w:r>
        <w:rPr>
          <w:rFonts w:hint="eastAsia" w:hAnsi="宋体"/>
          <w:sz w:val="28"/>
          <w:szCs w:val="28"/>
          <w:lang w:val="en-US" w:eastAsia="zh-CN"/>
        </w:rPr>
        <w:t>陆晓鹏、邹蕾借款合同纠纷</w:t>
      </w:r>
      <w:r>
        <w:rPr>
          <w:rFonts w:hint="eastAsia" w:ascii="Times New Roman" w:hAnsi="Times New Roman" w:eastAsia="宋体" w:cs="Times New Roman"/>
          <w:bCs/>
          <w:szCs w:val="28"/>
          <w:lang w:val="en-US" w:eastAsia="zh-CN"/>
        </w:rPr>
        <w:t>一案，需对陆晓鹏拥有并位于黔南布依族苗族自治州平塘县平湖镇中山路43号的一套住宅房地产市场价值进行估价，</w:t>
      </w:r>
      <w:r>
        <w:rPr>
          <w:rFonts w:hint="eastAsia" w:hAnsi="宋体"/>
          <w:sz w:val="28"/>
          <w:szCs w:val="28"/>
          <w:highlight w:val="none"/>
          <w:lang w:val="en-US" w:eastAsia="zh-CN"/>
        </w:rPr>
        <w:t>故本次估价目的是</w:t>
      </w:r>
      <w:r>
        <w:rPr>
          <w:rFonts w:hint="eastAsia" w:ascii="Times New Roman" w:hAnsi="Times New Roman" w:eastAsia="宋体" w:cs="Times New Roman"/>
          <w:bCs/>
          <w:szCs w:val="28"/>
        </w:rPr>
        <w:t>为</w:t>
      </w:r>
      <w:r>
        <w:rPr>
          <w:rFonts w:hint="eastAsia" w:ascii="Times New Roman" w:hAnsi="Times New Roman" w:eastAsia="宋体" w:cs="Times New Roman"/>
          <w:bCs/>
          <w:szCs w:val="28"/>
          <w:lang w:val="en-US" w:eastAsia="zh-CN"/>
        </w:rPr>
        <w:t>人民法院</w:t>
      </w:r>
      <w:r>
        <w:rPr>
          <w:rFonts w:hint="eastAsia" w:hAnsi="宋体"/>
          <w:szCs w:val="28"/>
        </w:rPr>
        <w:t>确定</w:t>
      </w:r>
      <w:r>
        <w:rPr>
          <w:rFonts w:hint="eastAsia" w:hAnsi="宋体"/>
          <w:szCs w:val="28"/>
          <w:lang w:val="en-US" w:eastAsia="zh-CN"/>
        </w:rPr>
        <w:t>财产处置参考价提供参考依据</w:t>
      </w:r>
      <w:r>
        <w:rPr>
          <w:rFonts w:hint="eastAsia" w:ascii="Times New Roman" w:hAnsi="Times New Roman" w:eastAsia="宋体" w:cs="Times New Roman"/>
          <w:bCs/>
          <w:szCs w:val="28"/>
        </w:rPr>
        <w:t>。</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ascii="宋体" w:hAnsiTheme="minorHAnsi" w:eastAsiaTheme="minorEastAsia" w:cstheme="minorBidi"/>
          <w:b/>
          <w:sz w:val="28"/>
          <w:szCs w:val="28"/>
        </w:rPr>
      </w:pPr>
      <w:bookmarkStart w:id="222" w:name="_Toc22851"/>
      <w:bookmarkStart w:id="223" w:name="_Toc7256"/>
      <w:bookmarkStart w:id="224" w:name="_Toc8642"/>
      <w:bookmarkStart w:id="225" w:name="_Toc13717"/>
      <w:bookmarkStart w:id="226" w:name="_Toc17444"/>
      <w:bookmarkStart w:id="227" w:name="_Toc24853"/>
      <w:bookmarkStart w:id="228" w:name="_Toc4259"/>
      <w:bookmarkStart w:id="229" w:name="_Toc29263"/>
      <w:bookmarkStart w:id="230" w:name="_Toc9223"/>
      <w:bookmarkStart w:id="231" w:name="_Toc30346"/>
      <w:bookmarkStart w:id="232" w:name="_Toc8942"/>
      <w:bookmarkStart w:id="233" w:name="_Toc25694"/>
      <w:bookmarkStart w:id="234" w:name="_Toc16853"/>
      <w:bookmarkStart w:id="235" w:name="_Toc25479"/>
      <w:bookmarkStart w:id="236" w:name="_Toc26468"/>
      <w:bookmarkStart w:id="237" w:name="_Toc16655"/>
      <w:bookmarkStart w:id="238" w:name="_Toc5052"/>
      <w:bookmarkStart w:id="239" w:name="_Toc6239"/>
      <w:bookmarkStart w:id="240" w:name="_Toc24053"/>
      <w:bookmarkStart w:id="241" w:name="_Toc2225"/>
      <w:bookmarkStart w:id="242" w:name="_Toc17989"/>
      <w:bookmarkStart w:id="243" w:name="_Toc32036"/>
      <w:bookmarkStart w:id="244" w:name="_Toc30221"/>
      <w:bookmarkStart w:id="245" w:name="_Toc17091"/>
      <w:bookmarkStart w:id="246" w:name="_Toc2206"/>
      <w:bookmarkStart w:id="247" w:name="_Toc14229"/>
      <w:bookmarkStart w:id="248" w:name="_Toc31387"/>
      <w:bookmarkStart w:id="249" w:name="_Toc659"/>
      <w:r>
        <w:rPr>
          <w:rFonts w:hint="default" w:ascii="宋体" w:hAnsiTheme="minorHAnsi" w:eastAsiaTheme="minorEastAsia" w:cstheme="minorBidi"/>
          <w:b/>
          <w:sz w:val="28"/>
          <w:szCs w:val="28"/>
          <w:lang w:val="en-US" w:eastAsia="zh-CN"/>
        </w:rPr>
        <w:t>四</w:t>
      </w:r>
      <w:r>
        <w:rPr>
          <w:rFonts w:hint="default" w:ascii="宋体" w:hAnsiTheme="minorHAnsi" w:eastAsiaTheme="minorEastAsia" w:cstheme="minorBidi"/>
          <w:b/>
          <w:sz w:val="28"/>
          <w:szCs w:val="28"/>
        </w:rPr>
        <w:t>、估价对象</w:t>
      </w:r>
      <w:bookmarkEnd w:id="193"/>
      <w:bookmarkEnd w:id="194"/>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
          <w:szCs w:val="28"/>
        </w:rPr>
      </w:pPr>
      <w:r>
        <w:rPr>
          <w:rFonts w:hint="eastAsia" w:ascii="Times New Roman" w:hAnsi="Times New Roman" w:eastAsia="宋体" w:cs="Times New Roman"/>
          <w:b/>
          <w:szCs w:val="28"/>
        </w:rPr>
        <w:t>1、估价对象</w:t>
      </w:r>
      <w:r>
        <w:rPr>
          <w:rFonts w:hint="eastAsia" w:ascii="Times New Roman" w:hAnsi="Times New Roman" w:eastAsia="宋体" w:cs="Times New Roman"/>
          <w:b/>
          <w:szCs w:val="28"/>
          <w:lang w:val="en-US" w:eastAsia="zh-CN"/>
        </w:rPr>
        <w:t>财产</w:t>
      </w:r>
      <w:r>
        <w:rPr>
          <w:rFonts w:hint="eastAsia" w:ascii="Times New Roman" w:hAnsi="Times New Roman" w:eastAsia="宋体" w:cs="Times New Roman"/>
          <w:b/>
          <w:szCs w:val="28"/>
        </w:rPr>
        <w:t>范围</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rPr>
        <w:t>估价对象</w:t>
      </w:r>
      <w:r>
        <w:rPr>
          <w:rFonts w:hint="eastAsia" w:ascii="Times New Roman" w:hAnsi="Times New Roman" w:eastAsia="宋体" w:cs="Times New Roman"/>
          <w:bCs/>
          <w:szCs w:val="28"/>
          <w:lang w:val="en-US" w:eastAsia="zh-CN"/>
        </w:rPr>
        <w:t>系陆晓鹏拥有并位于黔南布依族苗族自治州平塘县平湖镇中山路43号的一套住宅房地产，具体如下所示：</w:t>
      </w:r>
    </w:p>
    <w:tbl>
      <w:tblPr>
        <w:tblStyle w:val="17"/>
        <w:tblpPr w:leftFromText="180" w:rightFromText="180" w:vertAnchor="text" w:horzAnchor="page" w:tblpXSpec="center" w:tblpY="378"/>
        <w:tblOverlap w:val="never"/>
        <w:tblW w:w="9230" w:type="dxa"/>
        <w:jc w:val="center"/>
        <w:tblLayout w:type="fixed"/>
        <w:tblCellMar>
          <w:top w:w="0" w:type="dxa"/>
          <w:left w:w="108" w:type="dxa"/>
          <w:bottom w:w="0" w:type="dxa"/>
          <w:right w:w="108" w:type="dxa"/>
        </w:tblCellMar>
      </w:tblPr>
      <w:tblGrid>
        <w:gridCol w:w="615"/>
        <w:gridCol w:w="1520"/>
        <w:gridCol w:w="1530"/>
        <w:gridCol w:w="1350"/>
        <w:gridCol w:w="825"/>
        <w:gridCol w:w="705"/>
        <w:gridCol w:w="975"/>
        <w:gridCol w:w="645"/>
        <w:gridCol w:w="1065"/>
      </w:tblGrid>
      <w:tr>
        <w:tblPrEx>
          <w:tblCellMar>
            <w:top w:w="0" w:type="dxa"/>
            <w:left w:w="108" w:type="dxa"/>
            <w:bottom w:w="0" w:type="dxa"/>
            <w:right w:w="108" w:type="dxa"/>
          </w:tblCellMar>
        </w:tblPrEx>
        <w:trPr>
          <w:trHeight w:val="587" w:hRule="atLeast"/>
          <w:jc w:val="center"/>
        </w:trPr>
        <w:tc>
          <w:tcPr>
            <w:tcW w:w="615" w:type="dxa"/>
            <w:tcBorders>
              <w:top w:val="single" w:color="000000" w:sz="8" w:space="0"/>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1520" w:type="dxa"/>
            <w:tcBorders>
              <w:top w:val="single" w:color="000000" w:sz="8" w:space="0"/>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房屋所有权证号</w:t>
            </w:r>
          </w:p>
        </w:tc>
        <w:tc>
          <w:tcPr>
            <w:tcW w:w="153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1350"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所在位置</w:t>
            </w:r>
          </w:p>
        </w:tc>
        <w:tc>
          <w:tcPr>
            <w:tcW w:w="82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房屋所有权人</w:t>
            </w:r>
          </w:p>
        </w:tc>
        <w:tc>
          <w:tcPr>
            <w:tcW w:w="70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用途</w:t>
            </w:r>
          </w:p>
        </w:tc>
        <w:tc>
          <w:tcPr>
            <w:tcW w:w="97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64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1065" w:type="dxa"/>
            <w:tcBorders>
              <w:top w:val="single" w:color="000000" w:sz="8" w:space="0"/>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所在层数/总层数</w:t>
            </w:r>
          </w:p>
        </w:tc>
      </w:tr>
      <w:tr>
        <w:tblPrEx>
          <w:tblCellMar>
            <w:top w:w="0" w:type="dxa"/>
            <w:left w:w="108" w:type="dxa"/>
            <w:bottom w:w="0" w:type="dxa"/>
            <w:right w:w="108" w:type="dxa"/>
          </w:tblCellMar>
        </w:tblPrEx>
        <w:trPr>
          <w:trHeight w:val="760" w:hRule="atLeast"/>
          <w:jc w:val="center"/>
        </w:trPr>
        <w:tc>
          <w:tcPr>
            <w:tcW w:w="615" w:type="dxa"/>
            <w:tcBorders>
              <w:top w:val="nil"/>
              <w:left w:val="single" w:color="000000" w:sz="8" w:space="0"/>
              <w:bottom w:val="single" w:color="000000" w:sz="8" w:space="0"/>
              <w:right w:val="single" w:color="000000" w:sz="8"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152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平房权证平湖镇字第A0002556号</w:t>
            </w:r>
          </w:p>
        </w:tc>
        <w:tc>
          <w:tcPr>
            <w:tcW w:w="153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平塘县平湖镇中山路43号房产</w:t>
            </w:r>
          </w:p>
        </w:tc>
        <w:tc>
          <w:tcPr>
            <w:tcW w:w="1350"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eastAsia" w:ascii="宋体" w:hAnsi="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平塘县平湖镇中山路43号</w:t>
            </w:r>
          </w:p>
        </w:tc>
        <w:tc>
          <w:tcPr>
            <w:tcW w:w="825" w:type="dxa"/>
            <w:tcBorders>
              <w:top w:val="nil"/>
              <w:left w:val="nil"/>
              <w:bottom w:val="single" w:color="000000" w:sz="8" w:space="0"/>
              <w:right w:val="single" w:color="000000" w:sz="8" w:space="0"/>
            </w:tcBorders>
            <w:noWrap w:val="0"/>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陆晓鹏</w:t>
            </w:r>
          </w:p>
        </w:tc>
        <w:tc>
          <w:tcPr>
            <w:tcW w:w="70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住宅</w:t>
            </w:r>
          </w:p>
        </w:tc>
        <w:tc>
          <w:tcPr>
            <w:tcW w:w="97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187.96</w:t>
            </w:r>
          </w:p>
        </w:tc>
        <w:tc>
          <w:tcPr>
            <w:tcW w:w="64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混合</w:t>
            </w:r>
          </w:p>
        </w:tc>
        <w:tc>
          <w:tcPr>
            <w:tcW w:w="1065" w:type="dxa"/>
            <w:tcBorders>
              <w:top w:val="nil"/>
              <w:left w:val="nil"/>
              <w:bottom w:val="single" w:color="000000" w:sz="8" w:space="0"/>
              <w:right w:val="single" w:color="000000" w:sz="8"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3/6</w:t>
            </w:r>
          </w:p>
        </w:tc>
      </w:tr>
    </w:tbl>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ascii="Times New Roman" w:hAnsi="Times New Roman" w:eastAsia="宋体" w:cs="Times New Roman"/>
          <w:b/>
          <w:bCs w:val="0"/>
          <w:szCs w:val="28"/>
          <w:lang w:val="en-US" w:eastAsia="zh-CN"/>
        </w:rPr>
      </w:pPr>
      <w:r>
        <w:rPr>
          <w:rFonts w:hint="eastAsia" w:hAnsi="宋体"/>
          <w:szCs w:val="28"/>
          <w:lang w:eastAsia="zh-CN"/>
        </w:rPr>
        <w:t>估价对象</w:t>
      </w:r>
      <w:r>
        <w:rPr>
          <w:rFonts w:hint="eastAsia" w:hAnsi="宋体"/>
          <w:szCs w:val="28"/>
          <w:lang w:val="en-US" w:eastAsia="zh-CN"/>
        </w:rPr>
        <w:t>财产</w:t>
      </w:r>
      <w:r>
        <w:rPr>
          <w:rFonts w:hint="eastAsia" w:hAnsi="宋体"/>
          <w:szCs w:val="28"/>
          <w:lang w:eastAsia="zh-CN"/>
        </w:rPr>
        <w:t>范围包含房屋</w:t>
      </w:r>
      <w:r>
        <w:rPr>
          <w:rFonts w:hint="eastAsia" w:hAnsi="宋体"/>
          <w:szCs w:val="28"/>
          <w:lang w:val="en-US" w:eastAsia="zh-CN"/>
        </w:rPr>
        <w:t>所有</w:t>
      </w:r>
      <w:r>
        <w:rPr>
          <w:rFonts w:hint="eastAsia" w:hAnsi="宋体"/>
          <w:szCs w:val="28"/>
          <w:lang w:eastAsia="zh-CN"/>
        </w:rPr>
        <w:t>权及其对应分摊的国有建设用地使用权价值</w:t>
      </w:r>
      <w:r>
        <w:rPr>
          <w:rFonts w:hint="eastAsia" w:ascii="Times New Roman" w:hAnsi="Times New Roman" w:eastAsia="宋体" w:cs="Times New Roman"/>
          <w:b w:val="0"/>
          <w:bCs/>
          <w:szCs w:val="28"/>
          <w:lang w:val="en-US" w:eastAsia="zh-CN"/>
        </w:rPr>
        <w:t>、不可拆除或不宜拆除的装饰装修，</w:t>
      </w:r>
      <w:r>
        <w:rPr>
          <w:rFonts w:hint="eastAsia" w:hAnsi="宋体"/>
          <w:szCs w:val="28"/>
          <w:lang w:eastAsia="zh-CN"/>
        </w:rPr>
        <w:t>但不包含</w:t>
      </w:r>
      <w:r>
        <w:rPr>
          <w:rFonts w:hint="eastAsia" w:ascii="Times New Roman" w:hAnsi="Times New Roman" w:eastAsia="宋体" w:cs="Times New Roman"/>
          <w:bCs/>
          <w:szCs w:val="28"/>
          <w:lang w:val="en-US" w:eastAsia="zh-CN"/>
        </w:rPr>
        <w:t>室内动产、债权债务等价值</w:t>
      </w:r>
      <w:r>
        <w:rPr>
          <w:rFonts w:hint="eastAsia" w:hAnsi="宋体"/>
          <w:szCs w:val="28"/>
          <w:lang w:eastAsia="zh-CN"/>
        </w:rPr>
        <w:t>。</w:t>
      </w:r>
    </w:p>
    <w:p>
      <w:pPr>
        <w:pStyle w:val="27"/>
        <w:numPr>
          <w:ilvl w:val="-1"/>
          <w:numId w:val="0"/>
        </w:numPr>
        <w:autoSpaceDE/>
        <w:autoSpaceDN/>
        <w:adjustRightInd/>
        <w:spacing w:before="156" w:beforeLines="50" w:after="156" w:afterLines="50" w:line="360" w:lineRule="auto"/>
        <w:ind w:left="0" w:leftChars="0" w:firstLine="562" w:firstLineChars="200"/>
        <w:jc w:val="both"/>
        <w:textAlignment w:val="auto"/>
        <w:rPr>
          <w:rFonts w:hint="eastAsia" w:ascii="Times New Roman" w:hAnsi="Times New Roman" w:eastAsia="宋体" w:cs="Times New Roman"/>
          <w:b/>
          <w:szCs w:val="28"/>
        </w:rPr>
      </w:pPr>
      <w:r>
        <w:rPr>
          <w:rFonts w:hint="eastAsia" w:ascii="Times New Roman" w:hAnsi="Times New Roman" w:eastAsia="宋体" w:cs="Times New Roman"/>
          <w:b/>
          <w:bCs w:val="0"/>
          <w:szCs w:val="28"/>
          <w:lang w:val="en-US" w:eastAsia="zh-CN"/>
        </w:rPr>
        <w:t>2、</w:t>
      </w:r>
      <w:r>
        <w:rPr>
          <w:rFonts w:hint="eastAsia" w:ascii="Times New Roman" w:hAnsi="Times New Roman" w:eastAsia="宋体" w:cs="Times New Roman"/>
          <w:b/>
          <w:szCs w:val="28"/>
        </w:rPr>
        <w:t>估价对象</w:t>
      </w:r>
      <w:r>
        <w:rPr>
          <w:rFonts w:hint="eastAsia" w:ascii="Times New Roman" w:hAnsi="Times New Roman" w:eastAsia="宋体" w:cs="Times New Roman"/>
          <w:b/>
          <w:szCs w:val="28"/>
          <w:lang w:val="en-US" w:eastAsia="zh-CN"/>
        </w:rPr>
        <w:t>基本</w:t>
      </w:r>
      <w:r>
        <w:rPr>
          <w:rFonts w:hint="eastAsia" w:ascii="Times New Roman" w:hAnsi="Times New Roman" w:eastAsia="宋体" w:cs="Times New Roman"/>
          <w:b/>
          <w:szCs w:val="28"/>
        </w:rPr>
        <w:t>状况</w:t>
      </w:r>
    </w:p>
    <w:p>
      <w:pPr>
        <w:pStyle w:val="27"/>
        <w:numPr>
          <w:ilvl w:val="0"/>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 w:val="28"/>
          <w:szCs w:val="28"/>
          <w:lang w:val="en-US" w:eastAsia="zh-CN"/>
        </w:rPr>
        <w:t>2.1</w:t>
      </w:r>
      <w:r>
        <w:rPr>
          <w:rFonts w:hint="eastAsia" w:hAnsi="宋体"/>
          <w:sz w:val="28"/>
          <w:szCs w:val="28"/>
          <w:lang w:val="en-US" w:eastAsia="zh-CN"/>
        </w:rPr>
        <w:t>建筑物基本情况</w:t>
      </w:r>
    </w:p>
    <w:tbl>
      <w:tblPr>
        <w:tblStyle w:val="17"/>
        <w:tblW w:w="8713"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108" w:type="dxa"/>
          <w:bottom w:w="0" w:type="dxa"/>
          <w:right w:w="108" w:type="dxa"/>
        </w:tblCellMar>
      </w:tblPr>
      <w:tblGrid>
        <w:gridCol w:w="1498"/>
        <w:gridCol w:w="7215"/>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72" w:hRule="atLeast"/>
          <w:jc w:val="center"/>
        </w:trPr>
        <w:tc>
          <w:tcPr>
            <w:tcW w:w="1498" w:type="dxa"/>
            <w:tcBorders>
              <w:tl2br w:val="nil"/>
              <w:tr2bl w:val="nil"/>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名称</w:t>
            </w:r>
          </w:p>
        </w:tc>
        <w:tc>
          <w:tcPr>
            <w:tcW w:w="7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sz w:val="18"/>
                <w:szCs w:val="18"/>
                <w:u w:val="none"/>
              </w:rPr>
            </w:pPr>
            <w:r>
              <w:rPr>
                <w:rFonts w:hint="eastAsia" w:ascii="宋体" w:hAnsi="宋体" w:eastAsia="宋体" w:cs="宋体"/>
                <w:b w:val="0"/>
                <w:bCs w:val="0"/>
                <w:i w:val="0"/>
                <w:iCs w:val="0"/>
                <w:color w:val="000000"/>
                <w:sz w:val="18"/>
                <w:szCs w:val="18"/>
                <w:u w:val="none"/>
                <w:lang w:val="en-US" w:eastAsia="zh-CN"/>
              </w:rPr>
              <w:t>平塘县平湖镇中山路43号房产</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b w:val="0"/>
                <w:bCs w:val="0"/>
                <w:i w:val="0"/>
                <w:iCs w:val="0"/>
                <w:color w:val="000000"/>
                <w:kern w:val="0"/>
                <w:sz w:val="18"/>
                <w:szCs w:val="18"/>
                <w:u w:val="none"/>
                <w:lang w:val="en-US" w:eastAsia="zh-CN" w:bidi="ar"/>
              </w:rPr>
              <w:t>建筑面积（㎡）</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187.96</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结构</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sz w:val="18"/>
                <w:szCs w:val="18"/>
                <w:u w:val="none"/>
                <w:lang w:val="en-US" w:eastAsia="zh-CN"/>
              </w:rPr>
              <w:t>混合</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设施设备</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水电、消防等设施设备配套较齐全</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装饰装修</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eastAsia="zh-CN"/>
              </w:rPr>
            </w:pPr>
            <w:r>
              <w:rPr>
                <w:rFonts w:hint="default" w:ascii="宋体" w:hAnsi="宋体" w:eastAsia="宋体" w:cs="宋体"/>
                <w:i w:val="0"/>
                <w:iCs w:val="0"/>
                <w:color w:val="000000"/>
                <w:sz w:val="18"/>
                <w:szCs w:val="18"/>
                <w:u w:val="none"/>
                <w:lang w:val="en-US"/>
              </w:rPr>
              <w:t>估价对象</w:t>
            </w:r>
            <w:r>
              <w:rPr>
                <w:rFonts w:hint="eastAsia" w:ascii="宋体" w:hAnsi="宋体" w:eastAsia="宋体" w:cs="宋体"/>
                <w:i w:val="0"/>
                <w:iCs w:val="0"/>
                <w:color w:val="000000"/>
                <w:sz w:val="18"/>
                <w:szCs w:val="18"/>
                <w:u w:val="none"/>
                <w:lang w:val="en-US" w:eastAsia="zh-CN"/>
              </w:rPr>
              <w:t>所在楼幢外墙贴砖，入户门为不锈钢玻璃门，客厅、卧室及过道地面铺设地砖，墙面贴墙砖，顶棚为石膏线条及刮瓷乳；厨房及卫生间铺设地砖、墙砖，扣板吊顶；铝合金窗户，整体使用维护情况一般。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空间布局</w:t>
            </w:r>
          </w:p>
        </w:tc>
        <w:tc>
          <w:tcPr>
            <w:tcW w:w="7215"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五</w:t>
            </w:r>
            <w:r>
              <w:rPr>
                <w:rFonts w:hint="default" w:ascii="宋体" w:hAnsi="宋体" w:eastAsia="宋体" w:cs="宋体"/>
                <w:i w:val="0"/>
                <w:iCs w:val="0"/>
                <w:color w:val="000000"/>
                <w:sz w:val="18"/>
                <w:szCs w:val="18"/>
                <w:u w:val="none"/>
                <w:lang w:val="en-US"/>
              </w:rPr>
              <w:t>室</w:t>
            </w:r>
            <w:r>
              <w:rPr>
                <w:rFonts w:hint="eastAsia" w:ascii="宋体" w:hAnsi="宋体" w:eastAsia="宋体" w:cs="宋体"/>
                <w:i w:val="0"/>
                <w:iCs w:val="0"/>
                <w:color w:val="000000"/>
                <w:sz w:val="18"/>
                <w:szCs w:val="18"/>
                <w:u w:val="none"/>
                <w:lang w:val="en-US" w:eastAsia="zh-CN"/>
              </w:rPr>
              <w:t>二</w:t>
            </w:r>
            <w:r>
              <w:rPr>
                <w:rFonts w:hint="default" w:ascii="宋体" w:hAnsi="宋体" w:eastAsia="宋体" w:cs="宋体"/>
                <w:i w:val="0"/>
                <w:iCs w:val="0"/>
                <w:color w:val="000000"/>
                <w:sz w:val="18"/>
                <w:szCs w:val="18"/>
                <w:u w:val="none"/>
                <w:lang w:val="en-US"/>
              </w:rPr>
              <w:t>厅一厨</w:t>
            </w:r>
            <w:r>
              <w:rPr>
                <w:rFonts w:hint="eastAsia" w:ascii="宋体" w:hAnsi="宋体" w:eastAsia="宋体" w:cs="宋体"/>
                <w:i w:val="0"/>
                <w:iCs w:val="0"/>
                <w:color w:val="000000"/>
                <w:sz w:val="18"/>
                <w:szCs w:val="18"/>
                <w:u w:val="none"/>
                <w:lang w:val="en-US" w:eastAsia="zh-CN"/>
              </w:rPr>
              <w:t>两</w:t>
            </w:r>
            <w:r>
              <w:rPr>
                <w:rFonts w:hint="default" w:ascii="宋体" w:hAnsi="宋体" w:eastAsia="宋体" w:cs="宋体"/>
                <w:i w:val="0"/>
                <w:iCs w:val="0"/>
                <w:color w:val="000000"/>
                <w:sz w:val="18"/>
                <w:szCs w:val="18"/>
                <w:u w:val="none"/>
                <w:lang w:val="en-US"/>
              </w:rPr>
              <w:t>卫</w:t>
            </w:r>
            <w:r>
              <w:rPr>
                <w:rFonts w:hint="eastAsia" w:ascii="宋体" w:hAnsi="宋体" w:eastAsia="宋体" w:cs="宋体"/>
                <w:i w:val="0"/>
                <w:iCs w:val="0"/>
                <w:color w:val="000000"/>
                <w:sz w:val="18"/>
                <w:szCs w:val="18"/>
                <w:u w:val="none"/>
                <w:lang w:val="en-US" w:eastAsia="zh-CN"/>
              </w:rPr>
              <w:t>、位于第3层，共6层。</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建筑功能</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能够满足一般居住使用需要</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外观</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外形规整，装饰颜色比较稳重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108" w:type="dxa"/>
            <w:bottom w:w="0" w:type="dxa"/>
            <w:right w:w="108" w:type="dxa"/>
          </w:tblCellMar>
        </w:tblPrEx>
        <w:trPr>
          <w:trHeight w:val="342" w:hRule="atLeast"/>
          <w:jc w:val="center"/>
        </w:trPr>
        <w:tc>
          <w:tcPr>
            <w:tcW w:w="1498" w:type="dxa"/>
            <w:tcBorders>
              <w:tl2br w:val="nil"/>
              <w:tr2bl w:val="nil"/>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新旧程度</w:t>
            </w:r>
          </w:p>
        </w:tc>
        <w:tc>
          <w:tcPr>
            <w:tcW w:w="7215" w:type="dxa"/>
            <w:tcBorders>
              <w:tl2br w:val="nil"/>
              <w:tr2bl w:val="nil"/>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8"/>
                <w:szCs w:val="18"/>
                <w:u w:val="none"/>
                <w:lang w:val="en-US"/>
              </w:rPr>
            </w:pPr>
            <w:r>
              <w:rPr>
                <w:rFonts w:hint="eastAsia" w:ascii="宋体" w:hAnsi="宋体" w:eastAsia="宋体" w:cs="宋体"/>
                <w:i w:val="0"/>
                <w:iCs w:val="0"/>
                <w:color w:val="000000"/>
                <w:kern w:val="0"/>
                <w:sz w:val="18"/>
                <w:szCs w:val="18"/>
                <w:u w:val="none"/>
                <w:lang w:val="en-US" w:eastAsia="zh-CN" w:bidi="ar"/>
              </w:rPr>
              <w:t>一般（约为2013年建成）</w:t>
            </w:r>
          </w:p>
        </w:tc>
      </w:tr>
    </w:tbl>
    <w:p>
      <w:pPr>
        <w:pStyle w:val="27"/>
        <w:numPr>
          <w:ilvl w:val="0"/>
          <w:numId w:val="0"/>
        </w:numPr>
        <w:autoSpaceDE/>
        <w:autoSpaceDN/>
        <w:adjustRightInd/>
        <w:spacing w:before="156" w:beforeLines="50" w:after="156" w:afterLines="50" w:line="360" w:lineRule="auto"/>
        <w:ind w:left="0" w:leftChars="0" w:firstLine="0" w:firstLineChars="0"/>
        <w:jc w:val="both"/>
        <w:textAlignment w:val="auto"/>
        <w:rPr>
          <w:rFonts w:hint="eastAsia" w:hAnsi="宋体"/>
          <w:sz w:val="28"/>
          <w:szCs w:val="28"/>
          <w:lang w:val="en-US" w:eastAsia="zh-CN"/>
        </w:rPr>
      </w:pPr>
      <w:r>
        <w:rPr>
          <w:rFonts w:hint="eastAsia" w:hAnsi="宋体"/>
          <w:sz w:val="28"/>
          <w:szCs w:val="28"/>
          <w:lang w:val="en-US" w:eastAsia="zh-CN"/>
        </w:rPr>
        <w:t xml:space="preserve">  </w:t>
      </w:r>
      <w:r>
        <w:rPr>
          <w:rFonts w:hint="eastAsia" w:ascii="Times New Roman" w:hAnsi="Times New Roman" w:eastAsia="宋体" w:cs="Times New Roman"/>
          <w:bCs/>
          <w:sz w:val="28"/>
          <w:szCs w:val="28"/>
          <w:lang w:val="en-US" w:eastAsia="zh-CN"/>
        </w:rPr>
        <w:t>2.2</w:t>
      </w:r>
      <w:r>
        <w:rPr>
          <w:rFonts w:hint="eastAsia" w:hAnsi="宋体"/>
          <w:sz w:val="28"/>
          <w:szCs w:val="28"/>
          <w:lang w:val="en-US" w:eastAsia="zh-CN"/>
        </w:rPr>
        <w:t>共用宗地基本情况</w:t>
      </w:r>
    </w:p>
    <w:p>
      <w:pPr>
        <w:pStyle w:val="27"/>
        <w:numPr>
          <w:ilvl w:val="0"/>
          <w:numId w:val="0"/>
        </w:numPr>
        <w:autoSpaceDE/>
        <w:autoSpaceDN/>
        <w:adjustRightInd/>
        <w:spacing w:before="156" w:beforeLines="50" w:after="156" w:afterLines="50" w:line="360" w:lineRule="auto"/>
        <w:ind w:left="0" w:leftChars="0" w:firstLine="0" w:firstLineChars="0"/>
        <w:jc w:val="both"/>
        <w:textAlignment w:val="auto"/>
        <w:rPr>
          <w:rFonts w:hint="eastAsia" w:hAnsi="宋体"/>
          <w:sz w:val="28"/>
          <w:szCs w:val="28"/>
          <w:lang w:val="en-US" w:eastAsia="zh-CN"/>
        </w:rPr>
      </w:pPr>
    </w:p>
    <w:tbl>
      <w:tblPr>
        <w:tblStyle w:val="17"/>
        <w:tblW w:w="5616" w:type="pct"/>
        <w:jc w:val="center"/>
        <w:tblLayout w:type="autofit"/>
        <w:tblCellMar>
          <w:top w:w="0" w:type="dxa"/>
          <w:left w:w="108" w:type="dxa"/>
          <w:bottom w:w="0" w:type="dxa"/>
          <w:right w:w="108" w:type="dxa"/>
        </w:tblCellMar>
      </w:tblPr>
      <w:tblGrid>
        <w:gridCol w:w="724"/>
        <w:gridCol w:w="1643"/>
        <w:gridCol w:w="1521"/>
        <w:gridCol w:w="1932"/>
        <w:gridCol w:w="915"/>
        <w:gridCol w:w="1532"/>
        <w:gridCol w:w="1305"/>
      </w:tblGrid>
      <w:tr>
        <w:tblPrEx>
          <w:tblCellMar>
            <w:top w:w="0" w:type="dxa"/>
            <w:left w:w="108" w:type="dxa"/>
            <w:bottom w:w="0" w:type="dxa"/>
            <w:right w:w="108" w:type="dxa"/>
          </w:tblCellMar>
        </w:tblPrEx>
        <w:trPr>
          <w:trHeight w:val="420" w:hRule="atLeast"/>
          <w:jc w:val="center"/>
        </w:trPr>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序号</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名称</w:t>
            </w:r>
          </w:p>
        </w:tc>
        <w:tc>
          <w:tcPr>
            <w:tcW w:w="79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cs="宋体"/>
                <w:b w:val="0"/>
                <w:bCs w:val="0"/>
                <w:i w:val="0"/>
                <w:iCs w:val="0"/>
                <w:color w:val="000000"/>
                <w:kern w:val="0"/>
                <w:sz w:val="18"/>
                <w:szCs w:val="18"/>
                <w:u w:val="none"/>
                <w:lang w:val="en-US" w:eastAsia="zh-CN" w:bidi="ar"/>
              </w:rPr>
              <w:t>土地使用权</w:t>
            </w:r>
            <w:r>
              <w:rPr>
                <w:rFonts w:hint="eastAsia" w:ascii="宋体" w:hAnsi="宋体" w:eastAsia="宋体" w:cs="宋体"/>
                <w:b w:val="0"/>
                <w:bCs w:val="0"/>
                <w:i w:val="0"/>
                <w:iCs w:val="0"/>
                <w:color w:val="000000"/>
                <w:kern w:val="0"/>
                <w:sz w:val="18"/>
                <w:szCs w:val="18"/>
                <w:u w:val="none"/>
                <w:lang w:val="en-US" w:eastAsia="zh-CN" w:bidi="ar"/>
              </w:rPr>
              <w:t>用途</w:t>
            </w:r>
          </w:p>
        </w:tc>
        <w:tc>
          <w:tcPr>
            <w:tcW w:w="10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四至</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形状</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土地使用权类型</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土地使用</w:t>
            </w:r>
            <w:r>
              <w:rPr>
                <w:rFonts w:hint="eastAsia" w:hAnsi="宋体" w:eastAsia="宋体" w:cs="宋体"/>
                <w:b w:val="0"/>
                <w:bCs w:val="0"/>
                <w:i w:val="0"/>
                <w:iCs w:val="0"/>
                <w:color w:val="000000"/>
                <w:kern w:val="0"/>
                <w:sz w:val="18"/>
                <w:szCs w:val="18"/>
                <w:u w:val="none"/>
                <w:lang w:val="en-US" w:eastAsia="zh-CN" w:bidi="ar"/>
              </w:rPr>
              <w:t>年限</w:t>
            </w:r>
          </w:p>
        </w:tc>
      </w:tr>
      <w:tr>
        <w:tblPrEx>
          <w:tblCellMar>
            <w:top w:w="0" w:type="dxa"/>
            <w:left w:w="108" w:type="dxa"/>
            <w:bottom w:w="0" w:type="dxa"/>
            <w:right w:w="108" w:type="dxa"/>
          </w:tblCellMar>
        </w:tblPrEx>
        <w:trPr>
          <w:trHeight w:val="720" w:hRule="atLeast"/>
          <w:jc w:val="center"/>
        </w:trPr>
        <w:tc>
          <w:tcPr>
            <w:tcW w:w="3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1</w:t>
            </w:r>
          </w:p>
        </w:tc>
        <w:tc>
          <w:tcPr>
            <w:tcW w:w="85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sz w:val="18"/>
                <w:szCs w:val="18"/>
                <w:u w:val="none"/>
                <w:lang w:val="en-US" w:eastAsia="zh-CN"/>
              </w:rPr>
              <w:t>平塘县平湖镇中山路43号房产</w:t>
            </w:r>
          </w:p>
        </w:tc>
        <w:tc>
          <w:tcPr>
            <w:tcW w:w="79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住宅用地</w:t>
            </w:r>
          </w:p>
        </w:tc>
        <w:tc>
          <w:tcPr>
            <w:tcW w:w="100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北至相邻楼栋、南至相邻楼栋、西至新华路、东至中山路</w:t>
            </w:r>
          </w:p>
        </w:tc>
        <w:tc>
          <w:tcPr>
            <w:tcW w:w="478"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多边形</w:t>
            </w:r>
          </w:p>
        </w:tc>
        <w:tc>
          <w:tcPr>
            <w:tcW w:w="80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18"/>
                <w:szCs w:val="18"/>
                <w:u w:val="none"/>
                <w:lang w:val="en-US" w:eastAsia="zh-CN" w:bidi="ar"/>
              </w:rPr>
            </w:pPr>
            <w:r>
              <w:rPr>
                <w:rFonts w:hint="eastAsia" w:ascii="宋体" w:hAnsi="宋体" w:eastAsia="宋体" w:cs="宋体"/>
                <w:b w:val="0"/>
                <w:bCs w:val="0"/>
                <w:i w:val="0"/>
                <w:iCs w:val="0"/>
                <w:color w:val="000000"/>
                <w:kern w:val="0"/>
                <w:sz w:val="18"/>
                <w:szCs w:val="18"/>
                <w:u w:val="none"/>
                <w:lang w:val="en-US" w:eastAsia="zh-CN" w:bidi="ar"/>
              </w:rPr>
              <w:t>出让</w:t>
            </w:r>
          </w:p>
        </w:tc>
        <w:tc>
          <w:tcPr>
            <w:tcW w:w="68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18"/>
                <w:szCs w:val="18"/>
                <w:u w:val="none"/>
                <w:lang w:val="en-US" w:eastAsia="zh-CN" w:bidi="ar"/>
              </w:rPr>
            </w:pPr>
            <w:r>
              <w:rPr>
                <w:sz w:val="18"/>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182880</wp:posOffset>
                      </wp:positionV>
                      <wp:extent cx="533400" cy="276225"/>
                      <wp:effectExtent l="1905" t="4445" r="17145" b="5080"/>
                      <wp:wrapNone/>
                      <wp:docPr id="1" name="直接连接符 1"/>
                      <wp:cNvGraphicFramePr/>
                      <a:graphic xmlns:a="http://schemas.openxmlformats.org/drawingml/2006/main">
                        <a:graphicData uri="http://schemas.microsoft.com/office/word/2010/wordprocessingShape">
                          <wps:wsp>
                            <wps:cNvCnPr/>
                            <wps:spPr>
                              <a:xfrm>
                                <a:off x="6242685" y="1384300"/>
                                <a:ext cx="533400" cy="2762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9pt;margin-top:14.4pt;height:21.75pt;width:42pt;z-index:251660288;mso-width-relative:page;mso-height-relative:page;" filled="f" stroked="t" coordsize="21600,21600" o:gfxdata="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RYgrH1QAAAAgBAAAPAAAAAAAAAAEAIAAA&#10;ACIAAABkcnMvZG93bnJldi54bWxQSwECFAAUAAAACACHTuJAJvm85tYBAABzAwAADgAAAAAAAAAB&#10;ACAAAAAkAQAAZHJzL2Uyb0RvYy54bWxQSwUGAAAAAAYABgBZAQAAbAUAAAAA&#10;">
                      <v:fill on="f" focussize="0,0"/>
                      <v:stroke weight="0.5pt" color="#000000 [3213]" miterlimit="8" joinstyle="miter"/>
                      <v:imagedata o:title=""/>
                      <o:lock v:ext="edit" aspectratio="f"/>
                    </v:line>
                  </w:pict>
                </mc:Fallback>
              </mc:AlternateContent>
            </w:r>
          </w:p>
        </w:tc>
      </w:tr>
    </w:tbl>
    <w:p>
      <w:pPr>
        <w:pStyle w:val="3"/>
        <w:tabs>
          <w:tab w:val="left" w:pos="2760"/>
          <w:tab w:val="center" w:pos="4535"/>
        </w:tabs>
        <w:autoSpaceDE w:val="0"/>
        <w:autoSpaceDN w:val="0"/>
        <w:spacing w:before="157" w:beforeLines="50" w:after="157" w:afterLines="50" w:line="579" w:lineRule="auto"/>
        <w:ind w:firstLine="0" w:firstLineChars="0"/>
        <w:jc w:val="left"/>
        <w:textAlignment w:val="baseline"/>
        <w:rPr>
          <w:rFonts w:ascii="宋体" w:hAnsiTheme="minorHAnsi" w:eastAsiaTheme="minorEastAsia" w:cstheme="minorBidi"/>
          <w:b/>
          <w:sz w:val="28"/>
          <w:szCs w:val="28"/>
        </w:rPr>
      </w:pPr>
      <w:r>
        <w:rPr>
          <w:rFonts w:hint="eastAsia" w:hAnsi="宋体"/>
          <w:sz w:val="28"/>
          <w:szCs w:val="28"/>
          <w:lang w:val="en-US" w:eastAsia="zh-CN"/>
        </w:rPr>
        <w:t xml:space="preserve">    </w:t>
      </w:r>
      <w:bookmarkStart w:id="250" w:name="_Toc2774"/>
      <w:bookmarkStart w:id="251" w:name="_Toc19316"/>
      <w:bookmarkStart w:id="252" w:name="_Toc32214"/>
      <w:bookmarkStart w:id="253" w:name="_Toc6137"/>
      <w:bookmarkStart w:id="254" w:name="_Toc133"/>
      <w:bookmarkStart w:id="255" w:name="_Toc21349"/>
      <w:bookmarkStart w:id="256" w:name="_Toc3989"/>
      <w:bookmarkStart w:id="257" w:name="_Toc15030"/>
      <w:bookmarkStart w:id="258" w:name="_Toc23552"/>
      <w:bookmarkStart w:id="259" w:name="_Toc4315"/>
      <w:bookmarkStart w:id="260" w:name="_Toc3186"/>
      <w:bookmarkStart w:id="261" w:name="_Toc25896"/>
      <w:r>
        <w:rPr>
          <w:rFonts w:hint="default" w:ascii="宋体" w:hAnsiTheme="minorHAnsi" w:eastAsiaTheme="minorEastAsia" w:cstheme="minorBidi"/>
          <w:b/>
          <w:sz w:val="28"/>
          <w:szCs w:val="28"/>
        </w:rPr>
        <w:t>五、价值时点</w:t>
      </w:r>
      <w:bookmarkEnd w:id="250"/>
      <w:bookmarkEnd w:id="251"/>
      <w:bookmarkEnd w:id="252"/>
      <w:bookmarkEnd w:id="253"/>
      <w:bookmarkEnd w:id="254"/>
      <w:bookmarkEnd w:id="255"/>
      <w:bookmarkEnd w:id="256"/>
      <w:bookmarkEnd w:id="257"/>
      <w:bookmarkEnd w:id="258"/>
      <w:bookmarkEnd w:id="259"/>
      <w:bookmarkEnd w:id="260"/>
      <w:bookmarkEnd w:id="261"/>
    </w:p>
    <w:p>
      <w:pPr>
        <w:pStyle w:val="27"/>
        <w:numPr>
          <w:ilvl w:val="-1"/>
          <w:numId w:val="0"/>
        </w:numPr>
        <w:autoSpaceDE/>
        <w:autoSpaceDN/>
        <w:adjustRightInd/>
        <w:spacing w:before="156" w:beforeLines="50" w:after="156" w:afterLines="50" w:line="360" w:lineRule="auto"/>
        <w:ind w:left="0" w:leftChars="0" w:firstLine="560" w:firstLineChars="200"/>
        <w:jc w:val="both"/>
        <w:textAlignment w:val="auto"/>
        <w:rPr>
          <w:rFonts w:hint="eastAsia" w:hAnsi="宋体"/>
          <w:sz w:val="28"/>
          <w:szCs w:val="28"/>
          <w:lang w:val="en-US" w:eastAsia="zh-CN"/>
        </w:rPr>
      </w:pPr>
      <w:r>
        <w:rPr>
          <w:rFonts w:hint="eastAsia" w:ascii="Times New Roman" w:hAnsi="Times New Roman" w:eastAsia="宋体" w:cs="Times New Roman"/>
          <w:bCs/>
          <w:szCs w:val="28"/>
        </w:rPr>
        <w:t>价值时点为</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，系</w:t>
      </w:r>
      <w:r>
        <w:rPr>
          <w:rFonts w:hint="eastAsia" w:ascii="Times New Roman" w:hAnsi="Times New Roman" w:eastAsia="宋体" w:cs="Times New Roman"/>
          <w:bCs/>
          <w:szCs w:val="28"/>
          <w:lang w:val="en-US" w:eastAsia="zh-CN"/>
        </w:rPr>
        <w:t>注册房地产估价师</w:t>
      </w:r>
      <w:r>
        <w:rPr>
          <w:rFonts w:hint="eastAsia" w:ascii="Times New Roman" w:hAnsi="Times New Roman" w:eastAsia="宋体" w:cs="Times New Roman"/>
          <w:bCs/>
          <w:szCs w:val="28"/>
        </w:rPr>
        <w:t>现场查勘之日。</w:t>
      </w:r>
    </w:p>
    <w:p>
      <w:pPr>
        <w:pStyle w:val="3"/>
        <w:tabs>
          <w:tab w:val="left" w:pos="2760"/>
          <w:tab w:val="center" w:pos="4535"/>
        </w:tabs>
        <w:autoSpaceDE w:val="0"/>
        <w:autoSpaceDN w:val="0"/>
        <w:spacing w:before="157" w:beforeLines="50" w:after="157" w:afterLines="50" w:line="579" w:lineRule="auto"/>
        <w:ind w:firstLine="562" w:firstLineChars="200"/>
        <w:jc w:val="left"/>
        <w:textAlignment w:val="baseline"/>
        <w:rPr>
          <w:rFonts w:hint="default" w:ascii="宋体" w:hAnsiTheme="minorHAnsi" w:eastAsiaTheme="minorEastAsia" w:cstheme="minorBidi"/>
          <w:b/>
          <w:sz w:val="28"/>
          <w:szCs w:val="28"/>
          <w:lang w:eastAsia="zh-CN"/>
        </w:rPr>
      </w:pPr>
      <w:bookmarkStart w:id="262" w:name="_Toc440992061"/>
      <w:bookmarkStart w:id="263" w:name="_Toc10217"/>
      <w:bookmarkStart w:id="264" w:name="_Toc440990681"/>
      <w:bookmarkStart w:id="265" w:name="_Toc10555"/>
      <w:bookmarkStart w:id="266" w:name="_Toc20501"/>
      <w:bookmarkStart w:id="267" w:name="_Toc10711"/>
      <w:bookmarkStart w:id="268" w:name="_Toc17283"/>
      <w:bookmarkStart w:id="269" w:name="_Toc24785"/>
      <w:bookmarkStart w:id="270" w:name="_Toc27527"/>
      <w:bookmarkStart w:id="271" w:name="_Toc30091"/>
      <w:bookmarkStart w:id="272" w:name="_Toc27953"/>
      <w:bookmarkStart w:id="273" w:name="_Toc29082"/>
      <w:bookmarkStart w:id="274" w:name="_Toc8215"/>
      <w:bookmarkStart w:id="275" w:name="_Toc8490"/>
      <w:bookmarkStart w:id="276" w:name="_Toc4553"/>
      <w:bookmarkStart w:id="277" w:name="_Toc27081"/>
      <w:bookmarkStart w:id="278" w:name="_Toc4837"/>
      <w:bookmarkStart w:id="279" w:name="_Toc2534"/>
      <w:bookmarkStart w:id="280" w:name="_Toc8950"/>
      <w:bookmarkStart w:id="281" w:name="_Toc9585"/>
      <w:bookmarkStart w:id="282" w:name="_Toc14091"/>
      <w:bookmarkStart w:id="283" w:name="_Toc8350"/>
      <w:bookmarkStart w:id="284" w:name="_Toc22932"/>
      <w:bookmarkStart w:id="285" w:name="_Toc4883"/>
      <w:bookmarkStart w:id="286" w:name="_Toc1244"/>
      <w:bookmarkStart w:id="287" w:name="_Toc12520"/>
      <w:bookmarkStart w:id="288" w:name="_Toc25752"/>
      <w:bookmarkStart w:id="289" w:name="_Toc21086"/>
      <w:bookmarkStart w:id="290" w:name="_Toc17597"/>
      <w:bookmarkStart w:id="291" w:name="_Toc1694"/>
      <w:bookmarkStart w:id="292" w:name="_Toc23833"/>
      <w:bookmarkStart w:id="293" w:name="_Toc13423"/>
      <w:bookmarkStart w:id="294" w:name="_Toc10156"/>
      <w:r>
        <w:rPr>
          <w:rFonts w:hint="default" w:ascii="宋体" w:hAnsiTheme="minorHAnsi" w:eastAsiaTheme="minorEastAsia" w:cstheme="minorBidi"/>
          <w:b/>
          <w:sz w:val="28"/>
          <w:szCs w:val="28"/>
        </w:rPr>
        <w:t>六、价值</w:t>
      </w:r>
      <w:bookmarkEnd w:id="262"/>
      <w:bookmarkEnd w:id="263"/>
      <w:bookmarkEnd w:id="264"/>
      <w:bookmarkEnd w:id="265"/>
      <w:bookmarkEnd w:id="266"/>
      <w:r>
        <w:rPr>
          <w:rFonts w:hint="default" w:ascii="宋体" w:hAnsiTheme="minorHAnsi" w:eastAsiaTheme="minorEastAsia" w:cstheme="minorBidi"/>
          <w:b/>
          <w:sz w:val="28"/>
          <w:szCs w:val="28"/>
          <w:lang w:val="en-US" w:eastAsia="zh-CN"/>
        </w:rPr>
        <w:t>类型</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pPr>
        <w:adjustRightInd/>
        <w:ind w:firstLine="561"/>
        <w:jc w:val="both"/>
      </w:pPr>
      <w:bookmarkStart w:id="295" w:name="_Toc8397"/>
      <w:bookmarkStart w:id="296" w:name="_Toc440990682"/>
      <w:bookmarkStart w:id="297" w:name="_Toc27632"/>
      <w:bookmarkStart w:id="298" w:name="_Toc440992062"/>
      <w:bookmarkStart w:id="299" w:name="_Toc31835"/>
      <w:r>
        <w:rPr>
          <w:rFonts w:hint="eastAsia"/>
        </w:rPr>
        <w:t>本报告书提供的房地产价值是满足本报告假设限制条件下于价值时点的房地产市场价值。</w:t>
      </w:r>
    </w:p>
    <w:p>
      <w:pPr>
        <w:ind w:firstLine="560"/>
        <w:rPr>
          <w:rFonts w:hint="eastAsia" w:ascii="Times New Roman" w:hAnsi="Times New Roman" w:eastAsia="宋体" w:cs="Times New Roman"/>
          <w:bCs/>
          <w:szCs w:val="28"/>
          <w:lang w:eastAsia="zh-CN"/>
        </w:rPr>
      </w:pPr>
      <w:r>
        <w:rPr>
          <w:rFonts w:hint="eastAsia" w:hAnsi="宋体"/>
          <w:szCs w:val="28"/>
          <w:lang w:val="en-US" w:eastAsia="zh-CN"/>
        </w:rPr>
        <w:t>价值定义：</w:t>
      </w:r>
      <w:r>
        <w:rPr>
          <w:rFonts w:hint="eastAsia"/>
        </w:rPr>
        <w:t>市场价值是指估价对象经适当营销后，由熟悉情况、谨慎行事且不受强迫的交易双方，以公平交易方式在价值时点自愿进行交易的金额。</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00" w:name="_Toc23081"/>
      <w:bookmarkStart w:id="301" w:name="_Toc5393"/>
      <w:bookmarkStart w:id="302" w:name="_Toc19041"/>
      <w:bookmarkStart w:id="303" w:name="_Toc27086"/>
      <w:bookmarkStart w:id="304" w:name="_Toc12623"/>
      <w:bookmarkStart w:id="305" w:name="_Toc23012"/>
      <w:bookmarkStart w:id="306" w:name="_Toc11211"/>
      <w:bookmarkStart w:id="307" w:name="_Toc1382"/>
      <w:bookmarkStart w:id="308" w:name="_Toc18246"/>
      <w:bookmarkStart w:id="309" w:name="_Toc6297"/>
      <w:bookmarkStart w:id="310" w:name="_Toc8727"/>
      <w:bookmarkStart w:id="311" w:name="_Toc10004"/>
      <w:bookmarkStart w:id="312" w:name="_Toc28608"/>
      <w:bookmarkStart w:id="313" w:name="_Toc270"/>
      <w:bookmarkStart w:id="314" w:name="_Toc12469"/>
      <w:bookmarkStart w:id="315" w:name="_Toc32716"/>
      <w:bookmarkStart w:id="316" w:name="_Toc18750"/>
      <w:bookmarkStart w:id="317" w:name="_Toc7790"/>
      <w:bookmarkStart w:id="318" w:name="_Toc16859"/>
      <w:bookmarkStart w:id="319" w:name="_Toc29698"/>
      <w:bookmarkStart w:id="320" w:name="_Toc25099"/>
      <w:bookmarkStart w:id="321" w:name="_Toc22341"/>
      <w:bookmarkStart w:id="322" w:name="_Toc25893"/>
      <w:bookmarkStart w:id="323" w:name="_Toc15756"/>
      <w:bookmarkStart w:id="324" w:name="_Toc5496"/>
      <w:bookmarkStart w:id="325" w:name="_Toc20371"/>
      <w:bookmarkStart w:id="326" w:name="_Toc12320"/>
      <w:r>
        <w:rPr>
          <w:rFonts w:hint="default" w:ascii="宋体" w:hAnsiTheme="minorHAnsi" w:eastAsiaTheme="minorEastAsia" w:cstheme="minorBidi"/>
          <w:b/>
          <w:sz w:val="28"/>
          <w:szCs w:val="28"/>
          <w:lang w:val="en-US" w:eastAsia="zh-CN"/>
        </w:rPr>
        <w:t>七</w:t>
      </w:r>
      <w:r>
        <w:rPr>
          <w:rFonts w:hint="default" w:ascii="宋体" w:hAnsiTheme="minorHAnsi" w:eastAsiaTheme="minorEastAsia" w:cstheme="minorBidi"/>
          <w:b/>
          <w:sz w:val="28"/>
          <w:szCs w:val="28"/>
        </w:rPr>
        <w:t>、估价原则</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27"/>
        <w:autoSpaceDE/>
        <w:autoSpaceDN/>
        <w:adjustRightInd/>
        <w:spacing w:before="156" w:beforeLines="50" w:after="156" w:afterLines="5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rPr>
        <w:t>本估价报告在遵循客观、公正、科学、合理的基本原则下，结合估价目的对估价对象进行评估。具体依据如下估价原则：客观、独立、公正原则、合法原则、最高最佳使用原则、替代原则、价值时点原则。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1、客观、独立、公正原则</w:t>
      </w:r>
      <w:r>
        <w:rPr>
          <w:rFonts w:hint="eastAsia" w:ascii="Times New Roman" w:hAnsi="Times New Roman" w:eastAsia="宋体" w:cs="Times New Roman"/>
          <w:bCs/>
          <w:szCs w:val="28"/>
        </w:rPr>
        <w:t>：要求站在中立的立场上，实事求是、公平正直地评估出对各方估价利害关系人均是公平合理的价值或价格的原则。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2、合法原则：</w:t>
      </w:r>
      <w:r>
        <w:rPr>
          <w:rFonts w:hint="eastAsia" w:ascii="Times New Roman" w:hAnsi="Times New Roman" w:eastAsia="宋体" w:cs="Times New Roman"/>
          <w:bCs/>
          <w:szCs w:val="28"/>
        </w:rPr>
        <w:t>要求估价结果是在依法判定的估价对象状况下的价值或价格的原则。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3、价值时点原则：</w:t>
      </w:r>
      <w:r>
        <w:rPr>
          <w:rFonts w:hint="eastAsia" w:ascii="Times New Roman" w:hAnsi="Times New Roman" w:eastAsia="宋体" w:cs="Times New Roman"/>
          <w:bCs/>
          <w:szCs w:val="28"/>
        </w:rPr>
        <w:t>要求估价结果是在根据估价目的确定的某一特定时间的价值或价格的原则。</w:t>
      </w:r>
    </w:p>
    <w:p>
      <w:pPr>
        <w:pStyle w:val="27"/>
        <w:autoSpaceDE/>
        <w:autoSpaceDN/>
        <w:adjustRightInd/>
        <w:spacing w:before="156" w:beforeLines="50" w:after="156" w:afterLines="50" w:line="360" w:lineRule="auto"/>
        <w:ind w:firstLine="562"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
          <w:szCs w:val="28"/>
        </w:rPr>
        <w:t>4、替代原则：</w:t>
      </w:r>
      <w:r>
        <w:rPr>
          <w:rFonts w:hint="eastAsia" w:ascii="Times New Roman" w:hAnsi="Times New Roman" w:eastAsia="宋体" w:cs="Times New Roman"/>
          <w:bCs/>
          <w:szCs w:val="28"/>
        </w:rPr>
        <w:t>要求估价结果与估价对象的类似房地产在同等条件下的价值或价格偏差在合理范围内的原则。</w:t>
      </w:r>
    </w:p>
    <w:p>
      <w:pPr>
        <w:pStyle w:val="27"/>
        <w:autoSpaceDE/>
        <w:autoSpaceDN/>
        <w:adjustRightInd/>
        <w:spacing w:before="156" w:beforeLines="50" w:after="156" w:afterLines="50" w:line="360" w:lineRule="auto"/>
        <w:ind w:firstLine="562"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
          <w:szCs w:val="28"/>
        </w:rPr>
        <w:t>5、最高最佳利用原则：</w:t>
      </w:r>
      <w:r>
        <w:rPr>
          <w:rFonts w:hint="eastAsia" w:ascii="Times New Roman" w:hAnsi="Times New Roman" w:eastAsia="宋体" w:cs="Times New Roman"/>
          <w:bCs/>
          <w:szCs w:val="28"/>
        </w:rPr>
        <w:t>要求估价结果是在估价对象最高最佳利用状况下的价值或价格的原则。</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27" w:name="_Toc21738"/>
      <w:bookmarkStart w:id="328" w:name="_Toc10906"/>
      <w:bookmarkStart w:id="329" w:name="_Toc7207"/>
      <w:bookmarkStart w:id="330" w:name="_Toc12757"/>
      <w:bookmarkStart w:id="331" w:name="_Toc21818"/>
      <w:bookmarkStart w:id="332" w:name="_Toc19476"/>
      <w:bookmarkStart w:id="333" w:name="_Toc14589"/>
      <w:bookmarkStart w:id="334" w:name="_Toc26488"/>
      <w:bookmarkStart w:id="335" w:name="_Toc5599"/>
      <w:bookmarkStart w:id="336" w:name="_Toc32163"/>
      <w:bookmarkStart w:id="337" w:name="_Toc2396"/>
      <w:bookmarkStart w:id="338" w:name="_Toc8096"/>
      <w:bookmarkStart w:id="339" w:name="_Toc4132"/>
      <w:bookmarkStart w:id="340" w:name="_Toc4714"/>
      <w:bookmarkStart w:id="341" w:name="_Toc1558"/>
      <w:bookmarkStart w:id="342" w:name="_Toc6788"/>
      <w:bookmarkStart w:id="343" w:name="_Toc24496"/>
      <w:bookmarkStart w:id="344" w:name="_Toc13955"/>
      <w:bookmarkStart w:id="345" w:name="_Toc16291"/>
      <w:bookmarkStart w:id="346" w:name="_Toc8034"/>
      <w:bookmarkStart w:id="347" w:name="_Toc6809"/>
      <w:bookmarkStart w:id="348" w:name="_Toc32182"/>
      <w:bookmarkStart w:id="349" w:name="_Toc10374"/>
      <w:bookmarkStart w:id="350" w:name="_Toc32451"/>
      <w:bookmarkStart w:id="351" w:name="_Toc31970"/>
      <w:bookmarkStart w:id="352" w:name="_Toc19131"/>
      <w:bookmarkStart w:id="353" w:name="_Toc12842"/>
      <w:r>
        <w:rPr>
          <w:rFonts w:hint="default" w:ascii="宋体" w:hAnsiTheme="minorHAnsi" w:eastAsiaTheme="minorEastAsia" w:cstheme="minorBidi"/>
          <w:b/>
          <w:sz w:val="28"/>
          <w:szCs w:val="28"/>
          <w:lang w:val="en-US" w:eastAsia="zh-CN"/>
        </w:rPr>
        <w:t>八</w:t>
      </w:r>
      <w:r>
        <w:rPr>
          <w:rFonts w:hint="default" w:ascii="宋体" w:hAnsiTheme="minorHAnsi" w:eastAsiaTheme="minorEastAsia" w:cstheme="minorBidi"/>
          <w:b/>
          <w:sz w:val="28"/>
          <w:szCs w:val="28"/>
        </w:rPr>
        <w:t>、估价依据</w:t>
      </w:r>
      <w:bookmarkEnd w:id="295"/>
      <w:bookmarkEnd w:id="296"/>
      <w:bookmarkEnd w:id="297"/>
      <w:bookmarkEnd w:id="298"/>
      <w:bookmarkEnd w:id="299"/>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bookmarkStart w:id="354" w:name="_Toc440990683"/>
      <w:bookmarkStart w:id="355" w:name="_Toc23336"/>
      <w:bookmarkStart w:id="356" w:name="_Toc440992063"/>
      <w:bookmarkStart w:id="357" w:name="_Toc290"/>
      <w:bookmarkStart w:id="358" w:name="_Toc27176"/>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一</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有关法律、法规和政策</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《中华人民共和国房地产管理法》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《中华人民共和国土地管理法》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2020年1月1日修订实施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《中华人民共和国民法典》</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2021年1月1日实施</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4、</w:t>
      </w:r>
      <w:r>
        <w:rPr>
          <w:rFonts w:hint="eastAsia" w:ascii="Times New Roman" w:hAnsi="Times New Roman" w:eastAsia="宋体" w:cs="Times New Roman"/>
          <w:bCs/>
          <w:szCs w:val="28"/>
        </w:rPr>
        <w:t>《中华人民共和国资产评估法》</w:t>
      </w:r>
      <w:r>
        <w:rPr>
          <w:rFonts w:hint="eastAsia" w:ascii="Times New Roman" w:hAnsi="Times New Roman" w:eastAsia="宋体" w:cs="Times New Roman"/>
          <w:bCs/>
          <w:szCs w:val="28"/>
          <w:lang w:eastAsia="zh-CN"/>
        </w:rPr>
        <w:t>（</w:t>
      </w:r>
      <w:r>
        <w:rPr>
          <w:rFonts w:hint="eastAsia" w:ascii="Times New Roman" w:hAnsi="Times New Roman" w:eastAsia="宋体" w:cs="Times New Roman"/>
          <w:bCs/>
          <w:szCs w:val="28"/>
          <w:lang w:val="en-US" w:eastAsia="zh-CN"/>
        </w:rPr>
        <w:t>2016年12月1日实施</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5、《人民法院委托评估工作规范》（</w:t>
      </w:r>
      <w:r>
        <w:rPr>
          <w:rFonts w:hint="eastAsia" w:ascii="Times New Roman" w:hAnsi="Times New Roman" w:eastAsia="宋体" w:cs="Times New Roman"/>
          <w:bCs/>
          <w:szCs w:val="28"/>
        </w:rPr>
        <w:t>法办〔2018〕273号</w:t>
      </w:r>
      <w:r>
        <w:rPr>
          <w:rFonts w:hint="eastAsia" w:ascii="Times New Roman" w:hAnsi="Times New Roman" w:eastAsia="宋体" w:cs="Times New Roman"/>
          <w:bCs/>
          <w:szCs w:val="28"/>
          <w:lang w:val="en-US"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6、《最高人民法院关于人民法院确定财产处置参考价若干问题的规定》</w:t>
      </w:r>
      <w:r>
        <w:rPr>
          <w:rFonts w:hint="eastAsia" w:ascii="Times New Roman" w:hAnsi="Times New Roman" w:eastAsia="宋体" w:cs="Times New Roman"/>
          <w:bCs/>
          <w:szCs w:val="28"/>
        </w:rPr>
        <w:t>法释〔2018〕15号</w:t>
      </w:r>
      <w:r>
        <w:rPr>
          <w:rFonts w:hint="eastAsia" w:ascii="Times New Roman" w:hAnsi="Times New Roman" w:eastAsia="宋体" w:cs="Times New Roman"/>
          <w:bCs/>
          <w:szCs w:val="28"/>
          <w:lang w:eastAsia="zh-CN"/>
        </w:rPr>
        <w:t>；</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rPr>
        <w:t>、《司法鉴定程序通则》（司法部令第132号）；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rPr>
        <w:t>、《司法部关于印发〈司法鉴定文书规范〉和〈司法鉴定协议书（示范文本）〉的通知》（司发通〔2007〕71号）；</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9</w:t>
      </w:r>
      <w:r>
        <w:rPr>
          <w:rFonts w:hint="eastAsia" w:ascii="Times New Roman" w:hAnsi="Times New Roman" w:eastAsia="宋体" w:cs="Times New Roman"/>
          <w:bCs/>
          <w:szCs w:val="28"/>
        </w:rPr>
        <w:t>、《贵州省高级人民法院关于本院机关对外委托司法鉴定、评估和拍卖的规定（试行）》；</w:t>
      </w:r>
      <w:r>
        <w:rPr>
          <w:rFonts w:hint="eastAsia" w:ascii="Times New Roman" w:hAnsi="Times New Roman" w:eastAsia="宋体" w:cs="Times New Roman"/>
          <w:bCs/>
          <w:szCs w:val="28"/>
        </w:rPr>
        <w:cr/>
      </w:r>
      <w:r>
        <w:rPr>
          <w:rFonts w:hint="eastAsia" w:ascii="Times New Roman" w:hAnsi="Times New Roman" w:eastAsia="宋体" w:cs="Times New Roman"/>
          <w:bCs/>
          <w:szCs w:val="28"/>
        </w:rPr>
        <w:t xml:space="preserve">    </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rPr>
        <w:t>、《最高人民法院关于人民法院委托评估、拍卖和变卖工作的若干规定》（法释〔2009〕16号）</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default"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（二）技术规程及有关估价标准</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Cs w:val="28"/>
        </w:rPr>
        <w:t>《房地产估价规范GB/T50291-2015》；</w:t>
      </w:r>
    </w:p>
    <w:p>
      <w:pPr>
        <w:pStyle w:val="27"/>
        <w:autoSpaceDE/>
        <w:autoSpaceDN/>
        <w:adjustRightInd/>
        <w:spacing w:before="0" w:beforeLines="0" w:after="0" w:afterLines="0" w:line="360" w:lineRule="auto"/>
        <w:ind w:firstLine="560" w:firstLineChars="200"/>
        <w:jc w:val="both"/>
        <w:textAlignment w:val="auto"/>
        <w:rPr>
          <w:rFonts w:ascii="Times New Roman" w:hAnsi="Times New Roman" w:eastAsia="宋体" w:cs="Times New Roman"/>
          <w:bCs/>
          <w:szCs w:val="28"/>
        </w:rPr>
      </w:pPr>
      <w:r>
        <w:rPr>
          <w:rFonts w:hint="eastAsia" w:ascii="Times New Roman" w:hAnsi="Times New Roman" w:eastAsia="宋体" w:cs="Times New Roman"/>
          <w:bCs/>
          <w:szCs w:val="28"/>
          <w:lang w:val="en-US" w:eastAsia="zh-CN"/>
        </w:rPr>
        <w:t>2、</w:t>
      </w:r>
      <w:r>
        <w:rPr>
          <w:rFonts w:hint="eastAsia" w:ascii="Times New Roman" w:hAnsi="Times New Roman" w:eastAsia="宋体" w:cs="Times New Roman"/>
          <w:bCs/>
          <w:szCs w:val="28"/>
        </w:rPr>
        <w:t>《房地产估价基本术语标准GB/T50899-2013》；</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《城镇土地估价规程》（GB／T18508-2014）</w:t>
      </w:r>
      <w:r>
        <w:rPr>
          <w:rFonts w:hint="eastAsia" w:ascii="Times New Roman" w:hAnsi="Times New Roman" w:eastAsia="宋体" w:cs="Times New Roman"/>
          <w:bCs/>
          <w:szCs w:val="28"/>
          <w:lang w:eastAsia="zh-CN"/>
        </w:rPr>
        <w:t>。</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（三）估价委托书、估价委托合同及估价委托人提供的资料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1、估价委托书</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2、估价对象的产权资料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3、估价委托人提供的其他相关资料</w:t>
      </w:r>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val="en-US" w:eastAsia="zh-CN"/>
        </w:rPr>
      </w:pPr>
      <w:r>
        <w:rPr>
          <w:rFonts w:hint="eastAsia" w:ascii="Times New Roman" w:hAnsi="Times New Roman" w:eastAsia="宋体" w:cs="Times New Roman"/>
          <w:bCs/>
          <w:szCs w:val="28"/>
          <w:lang w:val="en-US" w:eastAsia="zh-CN"/>
        </w:rPr>
        <w:t>（四）房地产估价机构、注册房地产估价师掌握及收集的资料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Cs w:val="28"/>
          <w:lang w:val="en-US" w:eastAsia="zh-CN"/>
        </w:rPr>
        <w:t>1、</w:t>
      </w:r>
      <w:r>
        <w:rPr>
          <w:rFonts w:hint="eastAsia" w:ascii="Times New Roman" w:hAnsi="Times New Roman" w:eastAsia="宋体" w:cs="Times New Roman"/>
          <w:bCs/>
          <w:sz w:val="28"/>
          <w:szCs w:val="28"/>
          <w:lang w:val="en-US" w:eastAsia="zh-CN"/>
        </w:rPr>
        <w:t>注册房地产估价师</w:t>
      </w:r>
      <w:r>
        <w:rPr>
          <w:rFonts w:hint="eastAsia" w:ascii="Times New Roman" w:hAnsi="Times New Roman" w:eastAsia="宋体" w:cs="Times New Roman"/>
          <w:bCs/>
          <w:sz w:val="28"/>
          <w:szCs w:val="28"/>
        </w:rPr>
        <w:t>调查收集的</w:t>
      </w:r>
      <w:r>
        <w:rPr>
          <w:rFonts w:hint="eastAsia" w:ascii="Times New Roman" w:hAnsi="Times New Roman" w:eastAsia="宋体" w:cs="Times New Roman"/>
          <w:bCs/>
          <w:sz w:val="28"/>
          <w:szCs w:val="28"/>
          <w:lang w:val="en-US" w:eastAsia="zh-CN"/>
        </w:rPr>
        <w:t>估价对象</w:t>
      </w:r>
      <w:r>
        <w:rPr>
          <w:rFonts w:hint="eastAsia" w:ascii="Times New Roman" w:hAnsi="Times New Roman" w:eastAsia="宋体" w:cs="Times New Roman"/>
          <w:bCs/>
          <w:sz w:val="28"/>
          <w:szCs w:val="28"/>
        </w:rPr>
        <w:t>所在区域</w:t>
      </w:r>
      <w:r>
        <w:rPr>
          <w:rFonts w:hint="eastAsia" w:ascii="Times New Roman" w:hAnsi="Times New Roman" w:eastAsia="宋体" w:cs="Times New Roman"/>
          <w:bCs/>
          <w:sz w:val="28"/>
          <w:szCs w:val="28"/>
          <w:lang w:val="en-US" w:eastAsia="zh-CN"/>
        </w:rPr>
        <w:t>房地产市场售价及租金</w:t>
      </w:r>
      <w:r>
        <w:rPr>
          <w:rFonts w:hint="eastAsia" w:ascii="Times New Roman" w:hAnsi="Times New Roman" w:eastAsia="宋体" w:cs="Times New Roman"/>
          <w:bCs/>
          <w:sz w:val="28"/>
          <w:szCs w:val="28"/>
        </w:rPr>
        <w:t>等方面的资料；</w:t>
      </w:r>
    </w:p>
    <w:p>
      <w:pPr>
        <w:pStyle w:val="27"/>
        <w:autoSpaceDE/>
        <w:autoSpaceDN/>
        <w:adjustRightInd/>
        <w:spacing w:beforeLines="0" w:afterLines="0" w:line="360" w:lineRule="auto"/>
        <w:ind w:firstLine="560" w:firstLineChars="200"/>
        <w:jc w:val="both"/>
        <w:textAlignment w:val="auto"/>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lang w:val="en-US" w:eastAsia="zh-CN"/>
        </w:rPr>
        <w:t>2、注册房地产估价师</w:t>
      </w:r>
      <w:r>
        <w:rPr>
          <w:rFonts w:hint="eastAsia" w:ascii="Times New Roman" w:hAnsi="Times New Roman" w:eastAsia="宋体" w:cs="Times New Roman"/>
          <w:bCs/>
          <w:sz w:val="28"/>
          <w:szCs w:val="28"/>
        </w:rPr>
        <w:t>调查填写的《现场勘查记录》及估价对象照片等其他相关资料；</w:t>
      </w:r>
    </w:p>
    <w:p>
      <w:pPr>
        <w:pStyle w:val="27"/>
        <w:autoSpaceDE/>
        <w:autoSpaceDN/>
        <w:adjustRightInd/>
        <w:spacing w:before="0" w:beforeLines="0" w:after="0" w:afterLines="0" w:line="360" w:lineRule="auto"/>
        <w:ind w:firstLine="560" w:firstLineChars="200"/>
        <w:jc w:val="both"/>
        <w:textAlignment w:val="auto"/>
        <w:rPr>
          <w:rFonts w:hint="eastAsia" w:ascii="Times New Roman" w:hAnsi="Times New Roman" w:eastAsia="宋体" w:cs="Times New Roman"/>
          <w:bCs/>
          <w:szCs w:val="28"/>
        </w:rPr>
      </w:pPr>
      <w:r>
        <w:rPr>
          <w:rFonts w:hint="eastAsia" w:ascii="Times New Roman" w:hAnsi="Times New Roman" w:eastAsia="宋体" w:cs="Times New Roman"/>
          <w:bCs/>
          <w:szCs w:val="28"/>
          <w:lang w:val="en-US" w:eastAsia="zh-CN"/>
        </w:rPr>
        <w:t>3、</w:t>
      </w:r>
      <w:r>
        <w:rPr>
          <w:rFonts w:hint="eastAsia" w:ascii="Times New Roman" w:hAnsi="Times New Roman" w:eastAsia="宋体" w:cs="Times New Roman"/>
          <w:bCs/>
          <w:szCs w:val="28"/>
        </w:rPr>
        <w:t>本估价机构掌握的</w:t>
      </w:r>
      <w:r>
        <w:rPr>
          <w:rFonts w:hint="eastAsia" w:ascii="Times New Roman" w:hAnsi="Times New Roman" w:eastAsia="宋体" w:cs="Times New Roman"/>
          <w:bCs/>
          <w:szCs w:val="28"/>
          <w:lang w:val="en-US" w:eastAsia="zh-CN"/>
        </w:rPr>
        <w:t>及注册房地产估价师收集的其他</w:t>
      </w:r>
      <w:r>
        <w:rPr>
          <w:rFonts w:hint="eastAsia" w:ascii="Times New Roman" w:hAnsi="Times New Roman" w:eastAsia="宋体" w:cs="Times New Roman"/>
          <w:bCs/>
          <w:szCs w:val="28"/>
        </w:rPr>
        <w:t>相关资料</w:t>
      </w:r>
      <w:r>
        <w:rPr>
          <w:rFonts w:hint="eastAsia" w:ascii="Times New Roman" w:hAnsi="Times New Roman" w:eastAsia="宋体" w:cs="Times New Roman"/>
          <w:bCs/>
          <w:szCs w:val="28"/>
          <w:lang w:eastAsia="zh-CN"/>
        </w:rPr>
        <w:t>。</w:t>
      </w:r>
    </w:p>
    <w:bookmarkEnd w:id="354"/>
    <w:bookmarkEnd w:id="355"/>
    <w:bookmarkEnd w:id="356"/>
    <w:bookmarkEnd w:id="357"/>
    <w:bookmarkEnd w:id="358"/>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59" w:name="_Toc2560"/>
      <w:bookmarkStart w:id="360" w:name="_Toc30095"/>
      <w:bookmarkStart w:id="361" w:name="_Toc26298"/>
      <w:bookmarkStart w:id="362" w:name="_Toc29258"/>
      <w:bookmarkStart w:id="363" w:name="_Toc29519"/>
      <w:bookmarkStart w:id="364" w:name="_Toc16575"/>
      <w:bookmarkStart w:id="365" w:name="_Toc24238"/>
      <w:bookmarkStart w:id="366" w:name="_Toc4844"/>
      <w:bookmarkStart w:id="367" w:name="_Toc12654"/>
      <w:bookmarkStart w:id="368" w:name="_Toc12266"/>
      <w:bookmarkStart w:id="369" w:name="_Toc14162"/>
      <w:bookmarkStart w:id="370" w:name="_Toc22069"/>
      <w:bookmarkStart w:id="371" w:name="_Toc29608"/>
      <w:bookmarkStart w:id="372" w:name="_Toc29380"/>
      <w:bookmarkStart w:id="373" w:name="_Toc10354"/>
      <w:bookmarkStart w:id="374" w:name="_Toc24682"/>
      <w:bookmarkStart w:id="375" w:name="_Toc440992064"/>
      <w:bookmarkStart w:id="376" w:name="_Toc31197"/>
      <w:bookmarkStart w:id="377" w:name="_Toc18755"/>
      <w:bookmarkStart w:id="378" w:name="_Toc9547"/>
      <w:bookmarkStart w:id="379" w:name="_Toc3605"/>
      <w:bookmarkStart w:id="380" w:name="_Toc5507"/>
      <w:bookmarkStart w:id="381" w:name="_Toc28639"/>
      <w:bookmarkStart w:id="382" w:name="_Toc440990684"/>
      <w:bookmarkStart w:id="383" w:name="_Toc8329"/>
      <w:bookmarkStart w:id="384" w:name="_Toc21253"/>
      <w:bookmarkStart w:id="385" w:name="_Toc16723"/>
      <w:bookmarkStart w:id="386" w:name="_Toc31034"/>
      <w:bookmarkStart w:id="387" w:name="_Toc11095"/>
      <w:bookmarkStart w:id="388" w:name="_Toc24026"/>
      <w:bookmarkStart w:id="389" w:name="_Toc29584"/>
      <w:bookmarkStart w:id="390" w:name="_Toc26658"/>
      <w:r>
        <w:rPr>
          <w:rFonts w:hint="default" w:ascii="宋体" w:hAnsiTheme="minorHAnsi" w:eastAsiaTheme="minorEastAsia" w:cstheme="minorBidi"/>
          <w:b/>
          <w:sz w:val="28"/>
          <w:szCs w:val="28"/>
        </w:rPr>
        <w:t>九、估价方法</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27"/>
        <w:spacing w:before="156" w:beforeLines="50" w:after="156" w:afterLines="50" w:line="360" w:lineRule="auto"/>
        <w:ind w:firstLine="560" w:firstLineChars="200"/>
        <w:rPr>
          <w:bCs/>
          <w:szCs w:val="28"/>
        </w:rPr>
      </w:pPr>
      <w:bookmarkStart w:id="391" w:name="_Toc31083"/>
      <w:bookmarkStart w:id="392" w:name="_Toc440990685"/>
      <w:bookmarkStart w:id="393" w:name="_Toc23178"/>
      <w:bookmarkStart w:id="394" w:name="_Toc440992065"/>
      <w:bookmarkStart w:id="395" w:name="_Toc26251"/>
      <w:r>
        <w:rPr>
          <w:rFonts w:hint="eastAsia"/>
          <w:bCs/>
          <w:szCs w:val="28"/>
        </w:rPr>
        <w:t>根据《房地产估价规范》（</w:t>
      </w:r>
      <w:r>
        <w:rPr>
          <w:rFonts w:hint="eastAsia" w:ascii="Times New Roman" w:hAnsi="Times New Roman" w:eastAsia="宋体" w:cs="Times New Roman"/>
          <w:bCs/>
          <w:szCs w:val="28"/>
        </w:rPr>
        <w:t>GB/T50291-2015</w:t>
      </w:r>
      <w:r>
        <w:rPr>
          <w:rFonts w:hint="eastAsia"/>
          <w:bCs/>
          <w:szCs w:val="28"/>
        </w:rPr>
        <w:t>）规定，房地产估价方法有比较法，收益法、假设开发法、成本法等。</w:t>
      </w:r>
      <w:r>
        <w:rPr>
          <w:rFonts w:hint="eastAsia"/>
          <w:sz w:val="28"/>
          <w:szCs w:val="28"/>
        </w:rPr>
        <w:t>本次</w:t>
      </w:r>
      <w:r>
        <w:rPr>
          <w:rFonts w:hint="eastAsia"/>
          <w:sz w:val="28"/>
          <w:szCs w:val="28"/>
          <w:lang w:eastAsia="zh-CN"/>
        </w:rPr>
        <w:t>房地产</w:t>
      </w:r>
      <w:r>
        <w:rPr>
          <w:rFonts w:hint="eastAsia"/>
          <w:sz w:val="28"/>
          <w:szCs w:val="28"/>
        </w:rPr>
        <w:t>选用的估价方法为</w:t>
      </w:r>
      <w:r>
        <w:rPr>
          <w:rFonts w:hint="eastAsia"/>
          <w:sz w:val="28"/>
          <w:szCs w:val="28"/>
          <w:lang w:eastAsia="zh-CN"/>
        </w:rPr>
        <w:t>比较</w:t>
      </w:r>
      <w:r>
        <w:rPr>
          <w:rFonts w:hint="eastAsia"/>
          <w:sz w:val="28"/>
          <w:szCs w:val="28"/>
        </w:rPr>
        <w:t>法，不适宜选用</w:t>
      </w:r>
      <w:r>
        <w:rPr>
          <w:rFonts w:hint="eastAsia"/>
          <w:sz w:val="28"/>
          <w:szCs w:val="28"/>
          <w:lang w:eastAsia="zh-CN"/>
        </w:rPr>
        <w:t>成本</w:t>
      </w:r>
      <w:r>
        <w:rPr>
          <w:rFonts w:hint="eastAsia"/>
          <w:sz w:val="28"/>
          <w:szCs w:val="28"/>
        </w:rPr>
        <w:t>法及假设开发法</w:t>
      </w:r>
      <w:r>
        <w:rPr>
          <w:rFonts w:hint="eastAsia"/>
          <w:sz w:val="28"/>
          <w:szCs w:val="28"/>
          <w:lang w:eastAsia="zh-CN"/>
        </w:rPr>
        <w:t>、</w:t>
      </w:r>
      <w:r>
        <w:rPr>
          <w:rFonts w:hint="eastAsia"/>
          <w:sz w:val="28"/>
          <w:szCs w:val="28"/>
          <w:lang w:val="en-US" w:eastAsia="zh-CN"/>
        </w:rPr>
        <w:t>收益法</w:t>
      </w:r>
      <w:r>
        <w:rPr>
          <w:rFonts w:hint="eastAsia"/>
          <w:bCs/>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outlineLvl w:val="9"/>
        <w:rPr>
          <w:rFonts w:hint="eastAsia" w:ascii="Times New Roman" w:hAnsi="Times New Roman" w:eastAsia="宋体" w:cs="Times New Roman"/>
          <w:b w:val="0"/>
          <w:bCs/>
          <w:sz w:val="28"/>
          <w:szCs w:val="28"/>
        </w:rPr>
      </w:pPr>
      <w:r>
        <w:rPr>
          <w:rFonts w:hint="eastAsia" w:ascii="Times New Roman" w:hAnsi="Times New Roman" w:eastAsia="宋体" w:cs="Times New Roman"/>
          <w:b w:val="0"/>
          <w:bCs/>
          <w:kern w:val="0"/>
          <w:sz w:val="28"/>
          <w:szCs w:val="28"/>
          <w:lang w:val="en-US" w:eastAsia="zh-CN"/>
        </w:rPr>
        <w:t>1</w:t>
      </w:r>
      <w:r>
        <w:rPr>
          <w:rFonts w:hint="eastAsia" w:ascii="Times New Roman" w:hAnsi="Times New Roman" w:eastAsia="宋体" w:cs="Times New Roman"/>
          <w:b w:val="0"/>
          <w:bCs/>
          <w:sz w:val="28"/>
          <w:szCs w:val="28"/>
        </w:rPr>
        <w:t>、选用的估价方法及理由</w:t>
      </w:r>
    </w:p>
    <w:p>
      <w:pPr>
        <w:spacing w:line="360" w:lineRule="auto"/>
        <w:ind w:firstLine="560" w:firstLineChars="200"/>
        <w:rPr>
          <w:rFonts w:hint="eastAsia" w:hAnsi="宋体"/>
          <w:sz w:val="28"/>
          <w:lang w:eastAsia="zh-CN"/>
        </w:rPr>
      </w:pPr>
      <w:r>
        <w:rPr>
          <w:sz w:val="28"/>
          <w:szCs w:val="28"/>
        </w:rPr>
        <w:t>经对</w:t>
      </w:r>
      <w:r>
        <w:rPr>
          <w:rFonts w:hint="eastAsia"/>
          <w:sz w:val="28"/>
          <w:szCs w:val="28"/>
          <w:lang w:val="en-US" w:eastAsia="zh-CN"/>
        </w:rPr>
        <w:t>平塘县住宅</w:t>
      </w:r>
      <w:r>
        <w:rPr>
          <w:sz w:val="28"/>
          <w:szCs w:val="28"/>
        </w:rPr>
        <w:t>房地产市场进行调查分析后，</w:t>
      </w:r>
      <w:r>
        <w:rPr>
          <w:rFonts w:hint="eastAsia"/>
          <w:sz w:val="28"/>
          <w:szCs w:val="28"/>
          <w:lang w:val="en-US" w:eastAsia="zh-CN"/>
        </w:rPr>
        <w:t>周边住宅房地产市场交易比较活跃，</w:t>
      </w:r>
      <w:r>
        <w:rPr>
          <w:rFonts w:hint="eastAsia"/>
          <w:sz w:val="28"/>
          <w:szCs w:val="28"/>
        </w:rPr>
        <w:t>相关的市场交易实例较易收集和获取</w:t>
      </w:r>
      <w:r>
        <w:rPr>
          <w:rFonts w:hint="eastAsia"/>
          <w:sz w:val="28"/>
          <w:szCs w:val="28"/>
          <w:lang w:eastAsia="zh-CN"/>
        </w:rPr>
        <w:t>，</w:t>
      </w:r>
      <w:r>
        <w:rPr>
          <w:rFonts w:hint="eastAsia"/>
          <w:sz w:val="28"/>
          <w:szCs w:val="28"/>
        </w:rPr>
        <w:t>故本次评估</w:t>
      </w:r>
      <w:r>
        <w:rPr>
          <w:rFonts w:hint="eastAsia"/>
          <w:sz w:val="28"/>
          <w:szCs w:val="28"/>
          <w:lang w:val="en-US" w:eastAsia="zh-CN"/>
        </w:rPr>
        <w:t>住宅房地产</w:t>
      </w:r>
      <w:r>
        <w:rPr>
          <w:rFonts w:hint="eastAsia"/>
          <w:sz w:val="28"/>
          <w:szCs w:val="28"/>
        </w:rPr>
        <w:t>采用比较法对估价对象进行评估</w:t>
      </w:r>
      <w:r>
        <w:rPr>
          <w:rFonts w:hint="eastAsia"/>
          <w:sz w:val="28"/>
          <w:szCs w:val="28"/>
          <w:lang w:eastAsia="zh-CN"/>
        </w:rPr>
        <w:t>。</w:t>
      </w:r>
    </w:p>
    <w:p>
      <w:pPr>
        <w:spacing w:line="360" w:lineRule="auto"/>
        <w:ind w:firstLine="560" w:firstLineChars="200"/>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2、不选用的估价方法及其理由</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（1）假设开发法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lang w:eastAsia="zh-CN"/>
        </w:rPr>
      </w:pPr>
      <w:r>
        <w:rPr>
          <w:rFonts w:hint="eastAsia" w:ascii="Times New Roman" w:hAnsi="Times New Roman" w:eastAsia="宋体" w:cs="Times New Roman"/>
          <w:bCs/>
          <w:sz w:val="28"/>
          <w:szCs w:val="28"/>
        </w:rPr>
        <w:t>假设开发法适用于具有投资开发或再开发潜力的房地产估价</w:t>
      </w:r>
      <w:r>
        <w:rPr>
          <w:rFonts w:hint="eastAsia" w:ascii="Times New Roman" w:hAnsi="Times New Roman" w:eastAsia="宋体" w:cs="Times New Roman"/>
          <w:bCs/>
          <w:sz w:val="28"/>
          <w:szCs w:val="28"/>
          <w:lang w:eastAsia="zh-CN"/>
        </w:rPr>
        <w:t>，</w:t>
      </w:r>
      <w:r>
        <w:rPr>
          <w:rFonts w:hint="eastAsia" w:ascii="Times New Roman" w:hAnsi="Times New Roman" w:eastAsia="宋体" w:cs="Times New Roman"/>
          <w:bCs/>
          <w:sz w:val="28"/>
          <w:szCs w:val="28"/>
        </w:rPr>
        <w:t>估价对象是已建造完成的</w:t>
      </w:r>
      <w:r>
        <w:rPr>
          <w:rFonts w:hint="eastAsia" w:ascii="Times New Roman" w:hAnsi="Times New Roman" w:eastAsia="宋体" w:cs="Times New Roman"/>
          <w:bCs/>
          <w:sz w:val="28"/>
          <w:szCs w:val="28"/>
          <w:lang w:val="en-US" w:eastAsia="zh-CN"/>
        </w:rPr>
        <w:t>住宅</w:t>
      </w:r>
      <w:r>
        <w:rPr>
          <w:rFonts w:hint="eastAsia" w:ascii="Times New Roman" w:hAnsi="Times New Roman" w:eastAsia="宋体" w:cs="Times New Roman"/>
          <w:bCs/>
          <w:sz w:val="28"/>
          <w:szCs w:val="28"/>
          <w:lang w:eastAsia="zh-CN"/>
        </w:rPr>
        <w:t>房地产</w:t>
      </w:r>
      <w:r>
        <w:rPr>
          <w:rFonts w:hint="eastAsia" w:ascii="Times New Roman" w:hAnsi="Times New Roman" w:eastAsia="宋体" w:cs="Times New Roman"/>
          <w:bCs/>
          <w:sz w:val="28"/>
          <w:szCs w:val="28"/>
        </w:rPr>
        <w:t>，规划条件未发生变更，估价对象处于最高最佳利用条件下，无开发潜力，故不宜采用假设开发法评估</w:t>
      </w:r>
      <w:r>
        <w:rPr>
          <w:rFonts w:hint="eastAsia" w:ascii="Times New Roman" w:hAnsi="Times New Roman" w:eastAsia="宋体" w:cs="Times New Roman"/>
          <w:bCs/>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eastAsia="zh-CN"/>
        </w:rPr>
      </w:pP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kern w:val="0"/>
          <w:sz w:val="28"/>
          <w:szCs w:val="28"/>
          <w:lang w:val="en-US" w:eastAsia="zh-CN"/>
        </w:rPr>
        <w:t>2</w:t>
      </w:r>
      <w:r>
        <w:rPr>
          <w:rFonts w:hint="eastAsia" w:ascii="Times New Roman" w:hAnsi="Times New Roman" w:eastAsia="宋体" w:cs="Times New Roman"/>
          <w:b w:val="0"/>
          <w:bCs/>
          <w:sz w:val="28"/>
          <w:szCs w:val="28"/>
        </w:rPr>
        <w:t>）</w:t>
      </w:r>
      <w:r>
        <w:rPr>
          <w:rFonts w:hint="eastAsia" w:ascii="Times New Roman" w:hAnsi="Times New Roman" w:eastAsia="宋体" w:cs="Times New Roman"/>
          <w:b w:val="0"/>
          <w:bCs/>
          <w:sz w:val="28"/>
          <w:szCs w:val="28"/>
          <w:lang w:eastAsia="zh-CN"/>
        </w:rPr>
        <w:t>成本法</w:t>
      </w:r>
    </w:p>
    <w:p>
      <w:pPr>
        <w:keepNext w:val="0"/>
        <w:keepLines w:val="0"/>
        <w:pageBreakBefore w:val="0"/>
        <w:widowControl/>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Cs/>
          <w:sz w:val="28"/>
          <w:szCs w:val="28"/>
        </w:rPr>
      </w:pPr>
      <w:r>
        <w:rPr>
          <w:rFonts w:hint="eastAsia" w:ascii="Times New Roman" w:hAnsi="Times New Roman" w:eastAsia="宋体" w:cs="Times New Roman"/>
          <w:bCs/>
          <w:sz w:val="28"/>
          <w:szCs w:val="28"/>
        </w:rPr>
        <w:t>由于</w:t>
      </w:r>
      <w:r>
        <w:rPr>
          <w:rFonts w:hint="eastAsia" w:ascii="Times New Roman" w:hAnsi="Times New Roman" w:eastAsia="宋体" w:cs="Times New Roman"/>
          <w:bCs/>
          <w:sz w:val="28"/>
          <w:szCs w:val="28"/>
          <w:lang w:eastAsia="zh-CN"/>
        </w:rPr>
        <w:t>估价</w:t>
      </w:r>
      <w:r>
        <w:rPr>
          <w:rFonts w:hint="eastAsia" w:ascii="Times New Roman" w:hAnsi="Times New Roman" w:eastAsia="宋体" w:cs="Times New Roman"/>
          <w:bCs/>
          <w:sz w:val="28"/>
          <w:szCs w:val="28"/>
        </w:rPr>
        <w:t>对象为</w:t>
      </w:r>
      <w:r>
        <w:rPr>
          <w:rFonts w:hint="eastAsia" w:ascii="Times New Roman" w:hAnsi="Times New Roman" w:eastAsia="宋体" w:cs="Times New Roman"/>
          <w:bCs/>
          <w:sz w:val="28"/>
          <w:szCs w:val="28"/>
          <w:lang w:val="en-US" w:eastAsia="zh-CN"/>
        </w:rPr>
        <w:t>住宅房地产</w:t>
      </w:r>
      <w:r>
        <w:rPr>
          <w:rFonts w:hint="eastAsia" w:ascii="Times New Roman" w:hAnsi="Times New Roman" w:eastAsia="宋体" w:cs="Times New Roman"/>
          <w:bCs/>
          <w:sz w:val="28"/>
          <w:szCs w:val="28"/>
        </w:rPr>
        <w:t>，</w:t>
      </w:r>
      <w:r>
        <w:rPr>
          <w:rFonts w:hint="eastAsia" w:hAnsi="宋体"/>
          <w:sz w:val="28"/>
          <w:lang w:val="en-US" w:eastAsia="zh-CN"/>
        </w:rPr>
        <w:t>未能获取到房屋分摊的土地使用权面积，土地成本难以分割</w:t>
      </w:r>
      <w:r>
        <w:rPr>
          <w:rFonts w:hint="eastAsia" w:hAnsi="宋体"/>
          <w:sz w:val="28"/>
        </w:rPr>
        <w:t>，</w:t>
      </w:r>
      <w:r>
        <w:rPr>
          <w:rFonts w:hint="eastAsia" w:ascii="Times New Roman" w:hAnsi="Times New Roman" w:eastAsia="宋体" w:cs="Times New Roman"/>
          <w:bCs/>
          <w:sz w:val="28"/>
          <w:szCs w:val="28"/>
        </w:rPr>
        <w:t>故不宜选用成本法进行评估。</w:t>
      </w:r>
    </w:p>
    <w:p>
      <w:pPr>
        <w:keepNext w:val="0"/>
        <w:keepLines w:val="0"/>
        <w:pageBreakBefore w:val="0"/>
        <w:widowControl/>
        <w:numPr>
          <w:ilvl w:val="-1"/>
          <w:numId w:val="0"/>
        </w:numPr>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kern w:val="0"/>
          <w:sz w:val="28"/>
          <w:szCs w:val="28"/>
          <w:lang w:val="en-US" w:eastAsia="zh-CN"/>
        </w:rPr>
      </w:pPr>
      <w:r>
        <w:rPr>
          <w:rFonts w:hint="eastAsia" w:ascii="Times New Roman" w:hAnsi="Times New Roman" w:eastAsia="宋体" w:cs="Times New Roman"/>
          <w:b w:val="0"/>
          <w:bCs/>
          <w:kern w:val="0"/>
          <w:sz w:val="28"/>
          <w:szCs w:val="28"/>
          <w:lang w:val="en-US" w:eastAsia="zh-CN"/>
        </w:rPr>
        <w:t>（3）收益法</w:t>
      </w:r>
    </w:p>
    <w:p>
      <w:pPr>
        <w:pStyle w:val="2"/>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outlineLvl w:val="9"/>
        <w:rPr>
          <w:rFonts w:hint="eastAsia" w:ascii="Times New Roman" w:hAnsi="Times New Roman" w:eastAsia="宋体" w:cs="Times New Roman"/>
          <w:b w:val="0"/>
          <w:bCs/>
          <w:sz w:val="28"/>
          <w:szCs w:val="28"/>
          <w:lang w:val="en-US" w:eastAsia="zh-CN"/>
        </w:rPr>
      </w:pPr>
      <w:r>
        <w:rPr>
          <w:rFonts w:hint="eastAsia" w:ascii="宋体" w:hAnsi="宋体"/>
          <w:sz w:val="28"/>
        </w:rPr>
        <w:t>收益法，</w:t>
      </w:r>
      <w:r>
        <w:rPr>
          <w:rFonts w:hint="eastAsia" w:ascii="宋体" w:hAnsi="宋体"/>
          <w:sz w:val="28"/>
          <w:szCs w:val="28"/>
        </w:rPr>
        <w:t>是求取估价对象未来的正常净收益，选用适当的资本化率将其折现到价值时点后累加，以此估算估价对象的客观合理价格或价值的方法</w:t>
      </w:r>
      <w:r>
        <w:rPr>
          <w:rFonts w:hint="eastAsia" w:ascii="宋体" w:hAnsi="宋体"/>
          <w:sz w:val="28"/>
          <w:szCs w:val="28"/>
          <w:lang w:eastAsia="zh-CN"/>
        </w:rPr>
        <w:t>，</w:t>
      </w:r>
      <w:r>
        <w:rPr>
          <w:rFonts w:hint="eastAsia" w:hAnsi="宋体"/>
          <w:sz w:val="28"/>
          <w:szCs w:val="28"/>
          <w:lang w:val="en-US" w:eastAsia="zh-CN"/>
        </w:rPr>
        <w:t>对于</w:t>
      </w:r>
      <w:r>
        <w:rPr>
          <w:rFonts w:hint="eastAsia" w:ascii="宋体" w:hAnsi="宋体"/>
          <w:sz w:val="28"/>
          <w:szCs w:val="28"/>
          <w:lang w:val="en-US" w:eastAsia="zh-CN"/>
        </w:rPr>
        <w:t>住宅房地产，以居住为主要使用方式，租金收益难以体现房地产的市场价值，故不宜使用收益法进行评估</w:t>
      </w:r>
      <w:r>
        <w:rPr>
          <w:rFonts w:hint="eastAsia" w:ascii="Times New Roman" w:hAnsi="Times New Roman" w:eastAsia="宋体" w:cs="Times New Roman"/>
          <w:bCs/>
          <w:sz w:val="28"/>
          <w:szCs w:val="28"/>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2" w:firstLineChars="200"/>
        <w:textAlignment w:val="auto"/>
        <w:outlineLvl w:val="9"/>
        <w:rPr>
          <w:rFonts w:hint="eastAsia" w:ascii="宋体" w:hAnsi="宋体"/>
          <w:b/>
          <w:color w:val="000000"/>
          <w:sz w:val="28"/>
          <w:szCs w:val="28"/>
        </w:rPr>
      </w:pPr>
      <w:r>
        <w:rPr>
          <w:rFonts w:hint="eastAsia" w:ascii="宋体" w:hAnsi="宋体"/>
          <w:b/>
          <w:color w:val="000000"/>
          <w:sz w:val="28"/>
          <w:szCs w:val="28"/>
          <w:lang w:eastAsia="zh-CN"/>
        </w:rPr>
        <w:t>（</w:t>
      </w:r>
      <w:r>
        <w:rPr>
          <w:rFonts w:hint="eastAsia" w:ascii="宋体" w:hAnsi="宋体"/>
          <w:b/>
          <w:color w:val="000000"/>
          <w:sz w:val="28"/>
          <w:szCs w:val="28"/>
          <w:lang w:val="en-US" w:eastAsia="zh-CN"/>
        </w:rPr>
        <w:t>二</w:t>
      </w:r>
      <w:r>
        <w:rPr>
          <w:rFonts w:hint="eastAsia" w:ascii="宋体" w:hAnsi="宋体"/>
          <w:b/>
          <w:color w:val="000000"/>
          <w:sz w:val="28"/>
          <w:szCs w:val="28"/>
          <w:lang w:eastAsia="zh-CN"/>
        </w:rPr>
        <w:t>）</w:t>
      </w:r>
      <w:r>
        <w:rPr>
          <w:rFonts w:hint="eastAsia" w:ascii="宋体" w:hAnsi="宋体"/>
          <w:b/>
          <w:color w:val="000000"/>
          <w:sz w:val="28"/>
          <w:szCs w:val="28"/>
        </w:rPr>
        <w:t>估价方法说明</w:t>
      </w:r>
    </w:p>
    <w:p>
      <w:pPr>
        <w:spacing w:line="360" w:lineRule="auto"/>
        <w:ind w:firstLine="560" w:firstLineChars="200"/>
        <w:rPr>
          <w:rFonts w:hint="eastAsia"/>
          <w:sz w:val="28"/>
          <w:szCs w:val="28"/>
        </w:rPr>
      </w:pPr>
      <w:r>
        <w:rPr>
          <w:sz w:val="28"/>
          <w:szCs w:val="28"/>
        </w:rPr>
        <w:t>比较法，是选取一定数量的可比实例</w:t>
      </w:r>
      <w:r>
        <w:rPr>
          <w:rFonts w:hint="eastAsia" w:ascii="宋体" w:hAnsi="宋体"/>
          <w:sz w:val="28"/>
          <w:szCs w:val="28"/>
        </w:rPr>
        <w:t>,</w:t>
      </w:r>
      <w:r>
        <w:rPr>
          <w:sz w:val="28"/>
          <w:szCs w:val="28"/>
        </w:rPr>
        <w:t>将它们与估价对象进行比较，</w:t>
      </w:r>
      <w:r>
        <w:rPr>
          <w:rFonts w:hint="eastAsia"/>
          <w:sz w:val="28"/>
          <w:szCs w:val="28"/>
        </w:rPr>
        <w:t>根据其间的差异对可比实例成交价格进行处理后得到估价对象价值或价格的方法。</w:t>
      </w:r>
    </w:p>
    <w:p>
      <w:pPr>
        <w:spacing w:line="360" w:lineRule="auto"/>
        <w:ind w:firstLine="560" w:firstLineChars="200"/>
        <w:rPr>
          <w:rFonts w:hint="eastAsia" w:ascii="宋体" w:hAnsi="宋体"/>
          <w:sz w:val="28"/>
          <w:szCs w:val="28"/>
        </w:rPr>
      </w:pPr>
      <w:r>
        <w:rPr>
          <w:rFonts w:hint="eastAsia" w:ascii="宋体" w:hAnsi="宋体"/>
          <w:sz w:val="28"/>
          <w:szCs w:val="28"/>
        </w:rPr>
        <w:t>比较法具体计算公式为：</w:t>
      </w:r>
    </w:p>
    <w:p>
      <w:pPr>
        <w:spacing w:line="360" w:lineRule="auto"/>
        <w:ind w:firstLine="560" w:firstLineChars="200"/>
        <w:rPr>
          <w:rFonts w:hint="eastAsia" w:ascii="宋体" w:hAnsi="宋体"/>
          <w:color w:val="000000"/>
          <w:kern w:val="0"/>
          <w:sz w:val="28"/>
          <w:szCs w:val="28"/>
        </w:rPr>
      </w:pPr>
      <w:r>
        <w:rPr>
          <w:rFonts w:hint="eastAsia" w:ascii="宋体" w:hAnsi="宋体"/>
          <w:color w:val="000000"/>
          <w:kern w:val="0"/>
          <w:sz w:val="28"/>
          <w:szCs w:val="28"/>
        </w:rPr>
        <w:t>估价对象价值＝可比实例价格×交易情况修正系数×交易日期修正系数×区域状况修正系数×</w:t>
      </w:r>
      <w:r>
        <w:rPr>
          <w:rFonts w:hint="eastAsia"/>
          <w:sz w:val="28"/>
          <w:szCs w:val="28"/>
        </w:rPr>
        <w:t>实物状况</w:t>
      </w:r>
      <w:r>
        <w:rPr>
          <w:rFonts w:hint="eastAsia" w:ascii="宋体" w:hAnsi="宋体"/>
          <w:color w:val="000000"/>
          <w:kern w:val="0"/>
          <w:sz w:val="28"/>
          <w:szCs w:val="28"/>
        </w:rPr>
        <w:t>修正系数×</w:t>
      </w:r>
      <w:r>
        <w:rPr>
          <w:rFonts w:hint="eastAsia"/>
          <w:sz w:val="28"/>
          <w:szCs w:val="28"/>
        </w:rPr>
        <w:t>权益状况</w:t>
      </w:r>
      <w:r>
        <w:rPr>
          <w:rFonts w:hint="eastAsia" w:ascii="宋体" w:hAnsi="宋体"/>
          <w:color w:val="000000"/>
          <w:kern w:val="0"/>
          <w:sz w:val="28"/>
          <w:szCs w:val="28"/>
        </w:rPr>
        <w:t>修正系数。</w:t>
      </w:r>
    </w:p>
    <w:p>
      <w:pPr>
        <w:pStyle w:val="3"/>
        <w:tabs>
          <w:tab w:val="left" w:pos="2760"/>
          <w:tab w:val="center" w:pos="4535"/>
        </w:tabs>
        <w:autoSpaceDE w:val="0"/>
        <w:autoSpaceDN w:val="0"/>
        <w:spacing w:before="157" w:after="157" w:line="579" w:lineRule="auto"/>
        <w:ind w:firstLine="562" w:firstLineChars="200"/>
        <w:jc w:val="left"/>
        <w:textAlignment w:val="baseline"/>
        <w:rPr>
          <w:rFonts w:ascii="宋体" w:hAnsiTheme="minorHAnsi" w:eastAsiaTheme="minorEastAsia" w:cstheme="minorBidi"/>
          <w:b/>
          <w:sz w:val="28"/>
          <w:szCs w:val="28"/>
        </w:rPr>
      </w:pPr>
      <w:bookmarkStart w:id="396" w:name="_Toc17604"/>
      <w:bookmarkStart w:id="397" w:name="_Toc16896"/>
      <w:bookmarkStart w:id="398" w:name="_Toc3907"/>
      <w:bookmarkStart w:id="399" w:name="_Toc23655"/>
      <w:bookmarkStart w:id="400" w:name="_Toc29796"/>
      <w:bookmarkStart w:id="401" w:name="_Toc28464"/>
      <w:bookmarkStart w:id="402" w:name="_Toc23094"/>
      <w:bookmarkStart w:id="403" w:name="_Toc7302"/>
      <w:bookmarkStart w:id="404" w:name="_Toc8119"/>
      <w:bookmarkStart w:id="405" w:name="_Toc9102"/>
      <w:bookmarkStart w:id="406" w:name="_Toc31292"/>
      <w:bookmarkStart w:id="407" w:name="_Toc9407"/>
      <w:bookmarkStart w:id="408" w:name="_Toc25535"/>
      <w:bookmarkStart w:id="409" w:name="_Toc26279"/>
      <w:bookmarkStart w:id="410" w:name="_Toc16417"/>
      <w:bookmarkStart w:id="411" w:name="_Toc17811"/>
      <w:bookmarkStart w:id="412" w:name="_Toc25087"/>
      <w:bookmarkStart w:id="413" w:name="_Toc24195"/>
      <w:bookmarkStart w:id="414" w:name="_Toc2371"/>
      <w:bookmarkStart w:id="415" w:name="_Toc6265"/>
      <w:bookmarkStart w:id="416" w:name="_Toc27882"/>
      <w:bookmarkStart w:id="417" w:name="_Toc16898"/>
      <w:bookmarkStart w:id="418" w:name="_Toc16267"/>
      <w:bookmarkStart w:id="419" w:name="_Toc19997"/>
      <w:bookmarkStart w:id="420" w:name="_Toc28035"/>
      <w:bookmarkStart w:id="421" w:name="_Toc5795"/>
      <w:bookmarkStart w:id="422" w:name="_Toc31736"/>
      <w:r>
        <w:rPr>
          <w:rFonts w:hint="default" w:ascii="宋体" w:hAnsiTheme="minorHAnsi" w:eastAsiaTheme="minorEastAsia" w:cstheme="minorBidi"/>
          <w:b/>
          <w:sz w:val="28"/>
          <w:szCs w:val="28"/>
        </w:rPr>
        <w:t>十、估价结果</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Start w:id="423" w:name="_Toc252558954"/>
    </w:p>
    <w:p>
      <w:pPr>
        <w:spacing w:before="156" w:beforeLines="50" w:after="156" w:afterLines="50" w:line="360" w:lineRule="auto"/>
        <w:ind w:firstLine="560" w:firstLineChars="200"/>
        <w:rPr>
          <w:rFonts w:hint="default"/>
          <w:b/>
          <w:sz w:val="28"/>
          <w:szCs w:val="28"/>
          <w:lang w:val="en-US" w:eastAsia="zh-CN"/>
        </w:rPr>
      </w:pPr>
      <w:bookmarkStart w:id="424" w:name="_Toc6036"/>
      <w:bookmarkStart w:id="425" w:name="_Toc440992066"/>
      <w:bookmarkStart w:id="426" w:name="_Toc440990686"/>
      <w:bookmarkStart w:id="427" w:name="_Toc27149"/>
      <w:r>
        <w:rPr>
          <w:rFonts w:hint="eastAsia" w:ascii="Times New Roman" w:hAnsi="Times New Roman" w:eastAsia="宋体" w:cs="Times New Roman"/>
          <w:bCs/>
          <w:szCs w:val="28"/>
        </w:rPr>
        <w:t>本估价机构根据估价目的，遵循估价原则，采用科学合理的估价方法，在认真分析现有资料的基础上，经过测算，结合估价经验与对影响房地产市场价格因素进行分析，确定估价对象在符合报告中已说明的有关假设以及限制条件的基础上，确定估价对象于价值时点</w:t>
      </w:r>
      <w:r>
        <w:rPr>
          <w:rFonts w:hint="eastAsia" w:ascii="Times New Roman" w:hAnsi="Times New Roman" w:eastAsia="宋体" w:cs="Times New Roman"/>
          <w:bCs/>
          <w:szCs w:val="28"/>
          <w:lang w:val="en-US" w:eastAsia="zh-CN"/>
        </w:rPr>
        <w:t>市场</w:t>
      </w:r>
      <w:r>
        <w:rPr>
          <w:rFonts w:hint="eastAsia" w:ascii="Times New Roman" w:hAnsi="Times New Roman" w:eastAsia="宋体" w:cs="Times New Roman"/>
          <w:bCs/>
          <w:szCs w:val="28"/>
          <w:lang w:eastAsia="zh-CN"/>
        </w:rPr>
        <w:t>价值</w:t>
      </w:r>
      <w:r>
        <w:rPr>
          <w:rFonts w:hint="eastAsia" w:ascii="Times New Roman" w:hAnsi="Times New Roman" w:eastAsia="宋体" w:cs="Times New Roman"/>
          <w:bCs/>
          <w:szCs w:val="28"/>
        </w:rPr>
        <w:t>为人民币</w:t>
      </w:r>
      <w:r>
        <w:rPr>
          <w:rFonts w:hint="eastAsia" w:ascii="Times New Roman" w:hAnsi="Times New Roman" w:eastAsia="宋体" w:cs="Times New Roman"/>
          <w:b/>
          <w:bCs w:val="0"/>
          <w:szCs w:val="28"/>
        </w:rPr>
        <w:t>（大写）：</w:t>
      </w:r>
      <w:r>
        <w:rPr>
          <w:rFonts w:hint="eastAsia" w:ascii="Times New Roman" w:hAnsi="Times New Roman" w:eastAsia="宋体" w:cs="Times New Roman"/>
          <w:b/>
          <w:bCs w:val="0"/>
          <w:szCs w:val="28"/>
          <w:lang w:val="en-US" w:eastAsia="zh-CN"/>
        </w:rPr>
        <w:t>柒拾伍万贰仟玖佰陆拾捌元</w:t>
      </w:r>
      <w:r>
        <w:rPr>
          <w:rFonts w:hint="eastAsia" w:ascii="Times New Roman" w:hAnsi="Times New Roman" w:eastAsia="宋体" w:cs="Times New Roman"/>
          <w:b/>
          <w:bCs w:val="0"/>
          <w:szCs w:val="28"/>
        </w:rPr>
        <w:t>整（￥</w:t>
      </w:r>
      <w:r>
        <w:rPr>
          <w:rFonts w:hint="eastAsia" w:ascii="Times New Roman" w:hAnsi="Times New Roman" w:eastAsia="宋体" w:cs="Times New Roman"/>
          <w:b/>
          <w:bCs w:val="0"/>
          <w:szCs w:val="28"/>
          <w:lang w:val="en-US" w:eastAsia="zh-CN"/>
        </w:rPr>
        <w:t xml:space="preserve">752,968.00 </w:t>
      </w:r>
      <w:r>
        <w:rPr>
          <w:rFonts w:hint="eastAsia" w:ascii="Times New Roman" w:hAnsi="Times New Roman" w:eastAsia="宋体" w:cs="Times New Roman"/>
          <w:b/>
          <w:bCs w:val="0"/>
          <w:szCs w:val="28"/>
        </w:rPr>
        <w:t>元）</w:t>
      </w:r>
      <w:r>
        <w:rPr>
          <w:rFonts w:hint="eastAsia" w:ascii="Times New Roman" w:hAnsi="Times New Roman" w:eastAsia="宋体" w:cs="Times New Roman"/>
          <w:b/>
          <w:bCs w:val="0"/>
          <w:szCs w:val="28"/>
          <w:lang w:eastAsia="zh-CN"/>
        </w:rPr>
        <w:t>，</w:t>
      </w:r>
      <w:r>
        <w:rPr>
          <w:rFonts w:hint="eastAsia" w:ascii="Times New Roman" w:hAnsi="Times New Roman" w:eastAsia="宋体" w:cs="Times New Roman"/>
          <w:b/>
          <w:bCs w:val="0"/>
          <w:szCs w:val="28"/>
          <w:lang w:val="en-US" w:eastAsia="zh-CN"/>
        </w:rPr>
        <w:t>综合评估单价为4,006.00元/平方米（取整至个位）</w:t>
      </w:r>
      <w:r>
        <w:rPr>
          <w:rFonts w:hint="eastAsia" w:ascii="Times New Roman" w:hAnsi="Times New Roman" w:eastAsia="宋体" w:cs="Times New Roman"/>
          <w:b/>
          <w:bCs w:val="0"/>
          <w:szCs w:val="28"/>
        </w:rPr>
        <w:t>。</w:t>
      </w:r>
    </w:p>
    <w:bookmarkEnd w:id="423"/>
    <w:bookmarkEnd w:id="424"/>
    <w:bookmarkEnd w:id="425"/>
    <w:bookmarkEnd w:id="426"/>
    <w:bookmarkEnd w:id="427"/>
    <w:p>
      <w:pPr>
        <w:pStyle w:val="3"/>
        <w:tabs>
          <w:tab w:val="left" w:pos="2760"/>
          <w:tab w:val="center" w:pos="4535"/>
        </w:tabs>
        <w:autoSpaceDE w:val="0"/>
        <w:autoSpaceDN w:val="0"/>
        <w:spacing w:before="157" w:after="157" w:line="579" w:lineRule="auto"/>
        <w:ind w:firstLine="562" w:firstLineChars="200"/>
        <w:jc w:val="left"/>
        <w:textAlignment w:val="baseline"/>
        <w:rPr>
          <w:rFonts w:hint="default" w:ascii="宋体" w:hAnsiTheme="minorHAnsi" w:eastAsiaTheme="minorEastAsia" w:cstheme="minorBidi"/>
          <w:b/>
          <w:sz w:val="28"/>
          <w:szCs w:val="28"/>
          <w:lang w:val="en-US" w:eastAsia="zh-CN"/>
        </w:rPr>
      </w:pPr>
      <w:bookmarkStart w:id="428" w:name="_Toc26554"/>
      <w:bookmarkStart w:id="429" w:name="_Toc19777"/>
      <w:bookmarkStart w:id="430" w:name="_Toc14599"/>
      <w:bookmarkStart w:id="431" w:name="_Toc31247"/>
      <w:bookmarkStart w:id="432" w:name="_Toc27352"/>
      <w:bookmarkStart w:id="433" w:name="_Toc5555"/>
      <w:bookmarkStart w:id="434" w:name="_Toc29865"/>
      <w:bookmarkStart w:id="435" w:name="_Toc7335"/>
      <w:bookmarkStart w:id="436" w:name="_Toc27503"/>
      <w:bookmarkStart w:id="437" w:name="_Toc29500"/>
      <w:bookmarkStart w:id="438" w:name="_Toc31140"/>
      <w:bookmarkStart w:id="439" w:name="_Toc7148"/>
      <w:bookmarkStart w:id="440" w:name="_Toc21706"/>
      <w:bookmarkStart w:id="441" w:name="_Toc31905"/>
      <w:bookmarkStart w:id="442" w:name="_Toc27751"/>
      <w:bookmarkStart w:id="443" w:name="_Toc24082"/>
      <w:bookmarkStart w:id="444" w:name="_Toc11500"/>
      <w:bookmarkStart w:id="445" w:name="_Toc22726"/>
      <w:bookmarkStart w:id="446" w:name="_Toc26119"/>
      <w:bookmarkStart w:id="447" w:name="_Toc2164"/>
      <w:bookmarkStart w:id="448" w:name="_Toc24529"/>
      <w:bookmarkStart w:id="449" w:name="_Toc19702"/>
      <w:bookmarkStart w:id="450" w:name="_Toc24188"/>
      <w:bookmarkStart w:id="451" w:name="_Toc25126"/>
      <w:bookmarkStart w:id="452" w:name="_Toc4404"/>
      <w:bookmarkStart w:id="453" w:name="_Toc4329"/>
      <w:bookmarkStart w:id="454" w:name="_Toc24608"/>
      <w:r>
        <w:rPr>
          <w:rFonts w:hint="eastAsia" w:cstheme="minorBidi"/>
          <w:b/>
          <w:sz w:val="28"/>
          <w:szCs w:val="28"/>
          <w:lang w:val="en-US" w:eastAsia="zh-CN"/>
        </w:rPr>
        <w:t>十一、</w:t>
      </w:r>
      <w:r>
        <w:rPr>
          <w:rFonts w:hint="default" w:ascii="宋体" w:hAnsiTheme="minorHAnsi" w:eastAsiaTheme="minorEastAsia" w:cstheme="minorBidi"/>
          <w:b/>
          <w:sz w:val="28"/>
          <w:szCs w:val="28"/>
          <w:lang w:val="en-US" w:eastAsia="zh-CN"/>
        </w:rPr>
        <w:t>注册房地产估价师</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tbl>
      <w:tblPr>
        <w:tblStyle w:val="17"/>
        <w:tblW w:w="90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7"/>
        <w:gridCol w:w="2010"/>
        <w:gridCol w:w="3110"/>
        <w:gridCol w:w="2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trPr>
        <w:tc>
          <w:tcPr>
            <w:tcW w:w="1407" w:type="dxa"/>
            <w:tcBorders>
              <w:top w:val="single" w:color="auto" w:sz="12" w:space="0"/>
              <w:left w:val="single" w:color="auto" w:sz="12" w:space="0"/>
            </w:tcBorders>
            <w:vAlign w:val="center"/>
          </w:tcPr>
          <w:p>
            <w:pPr>
              <w:keepNext/>
              <w:keepLines/>
              <w:pageBreakBefore w:val="0"/>
              <w:kinsoku/>
              <w:wordWrap/>
              <w:overflowPunct/>
              <w:topLinePunct w:val="0"/>
              <w:bidi w:val="0"/>
              <w:snapToGrid w:val="0"/>
              <w:jc w:val="center"/>
              <w:rPr>
                <w:szCs w:val="28"/>
              </w:rPr>
            </w:pPr>
            <w:bookmarkStart w:id="455" w:name="_Toc12400"/>
            <w:bookmarkStart w:id="456" w:name="_Toc440980990"/>
            <w:bookmarkStart w:id="457" w:name="_Toc440992067"/>
            <w:bookmarkStart w:id="458" w:name="_Toc440977514"/>
            <w:bookmarkStart w:id="459" w:name="_Toc13890"/>
            <w:bookmarkStart w:id="460" w:name="_Toc32732"/>
            <w:bookmarkStart w:id="461" w:name="_Toc440990687"/>
            <w:bookmarkStart w:id="462" w:name="_Toc440980567"/>
            <w:r>
              <w:rPr>
                <w:szCs w:val="28"/>
              </w:rPr>
              <w:t>姓名</w:t>
            </w:r>
          </w:p>
        </w:tc>
        <w:tc>
          <w:tcPr>
            <w:tcW w:w="20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注册号</w:t>
            </w:r>
          </w:p>
        </w:tc>
        <w:tc>
          <w:tcPr>
            <w:tcW w:w="3110" w:type="dxa"/>
            <w:tcBorders>
              <w:top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w:t>
            </w:r>
          </w:p>
        </w:tc>
        <w:tc>
          <w:tcPr>
            <w:tcW w:w="2473" w:type="dxa"/>
            <w:tcBorders>
              <w:top w:val="single" w:color="auto" w:sz="12" w:space="0"/>
              <w:right w:val="single" w:color="auto" w:sz="12" w:space="0"/>
            </w:tcBorders>
            <w:vAlign w:val="center"/>
          </w:tcPr>
          <w:p>
            <w:pPr>
              <w:keepNext/>
              <w:keepLines/>
              <w:pageBreakBefore w:val="0"/>
              <w:kinsoku/>
              <w:wordWrap/>
              <w:overflowPunct/>
              <w:topLinePunct w:val="0"/>
              <w:bidi w:val="0"/>
              <w:snapToGrid w:val="0"/>
              <w:jc w:val="center"/>
              <w:rPr>
                <w:szCs w:val="28"/>
              </w:rPr>
            </w:pPr>
            <w:r>
              <w:rPr>
                <w:szCs w:val="28"/>
              </w:rPr>
              <w:t>签名日期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exact"/>
        </w:trPr>
        <w:tc>
          <w:tcPr>
            <w:tcW w:w="1407" w:type="dxa"/>
            <w:tcBorders>
              <w:left w:val="single" w:color="auto" w:sz="12" w:space="0"/>
            </w:tcBorders>
            <w:vAlign w:val="center"/>
          </w:tcPr>
          <w:p>
            <w:pPr>
              <w:snapToGrid w:val="0"/>
              <w:jc w:val="center"/>
              <w:rPr>
                <w:szCs w:val="28"/>
              </w:rPr>
            </w:pPr>
            <w:r>
              <w:rPr>
                <w:rFonts w:hint="eastAsia"/>
                <w:szCs w:val="28"/>
                <w:lang w:val="en-US" w:eastAsia="zh-CN"/>
              </w:rPr>
              <w:t>谢光明</w:t>
            </w:r>
          </w:p>
        </w:tc>
        <w:tc>
          <w:tcPr>
            <w:tcW w:w="2010" w:type="dxa"/>
            <w:vAlign w:val="center"/>
          </w:tcPr>
          <w:p>
            <w:pPr>
              <w:snapToGrid w:val="0"/>
              <w:jc w:val="center"/>
              <w:rPr>
                <w:rFonts w:hint="default"/>
                <w:szCs w:val="28"/>
                <w:lang w:val="en-US"/>
              </w:rPr>
            </w:pPr>
            <w:r>
              <w:rPr>
                <w:rFonts w:hint="eastAsia" w:ascii="Times New Roman" w:hAnsi="Times New Roman" w:eastAsia="宋体" w:cs="Times New Roman"/>
                <w:kern w:val="2"/>
                <w:sz w:val="28"/>
                <w:szCs w:val="28"/>
                <w:lang w:val="en-US" w:eastAsia="zh-CN"/>
              </w:rPr>
              <w:t>5220180018</w:t>
            </w:r>
          </w:p>
        </w:tc>
        <w:tc>
          <w:tcPr>
            <w:tcW w:w="3110" w:type="dxa"/>
            <w:vAlign w:val="center"/>
          </w:tcPr>
          <w:p>
            <w:pPr>
              <w:snapToGrid w:val="0"/>
              <w:jc w:val="center"/>
              <w:rPr>
                <w:szCs w:val="28"/>
              </w:rPr>
            </w:pPr>
          </w:p>
        </w:tc>
        <w:tc>
          <w:tcPr>
            <w:tcW w:w="2473" w:type="dxa"/>
            <w:tcBorders>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8</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25</w:t>
            </w:r>
            <w:r>
              <w:rPr>
                <w:rFonts w:hint="eastAsia" w:ascii="Times New Roman" w:hAnsi="Times New Roman" w:eastAsia="宋体" w:cs="Times New Roman"/>
                <w:kern w:val="2"/>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exact"/>
        </w:trPr>
        <w:tc>
          <w:tcPr>
            <w:tcW w:w="1407" w:type="dxa"/>
            <w:tcBorders>
              <w:left w:val="single" w:color="auto" w:sz="12" w:space="0"/>
              <w:bottom w:val="single" w:color="auto" w:sz="12" w:space="0"/>
            </w:tcBorders>
            <w:vAlign w:val="center"/>
          </w:tcPr>
          <w:p>
            <w:pPr>
              <w:snapToGrid w:val="0"/>
              <w:jc w:val="center"/>
              <w:rPr>
                <w:rFonts w:hint="default" w:eastAsiaTheme="minorEastAsia"/>
                <w:szCs w:val="28"/>
                <w:lang w:val="en-US" w:eastAsia="zh-CN"/>
              </w:rPr>
            </w:pPr>
            <w:r>
              <w:rPr>
                <w:rFonts w:hint="eastAsia"/>
                <w:color w:val="000000"/>
                <w:szCs w:val="28"/>
                <w:lang w:val="en-US" w:eastAsia="zh-CN"/>
              </w:rPr>
              <w:t>周礼行</w:t>
            </w:r>
          </w:p>
        </w:tc>
        <w:tc>
          <w:tcPr>
            <w:tcW w:w="2010" w:type="dxa"/>
            <w:tcBorders>
              <w:bottom w:val="single" w:color="auto" w:sz="12" w:space="0"/>
            </w:tcBorders>
            <w:vAlign w:val="center"/>
          </w:tcPr>
          <w:p>
            <w:pPr>
              <w:snapToGrid w:val="0"/>
              <w:jc w:val="center"/>
              <w:rPr>
                <w:szCs w:val="28"/>
              </w:rPr>
            </w:pPr>
            <w:r>
              <w:rPr>
                <w:rFonts w:hint="eastAsia" w:ascii="Times New Roman" w:hAnsi="Times New Roman" w:eastAsia="宋体" w:cs="Times New Roman"/>
                <w:kern w:val="2"/>
                <w:sz w:val="28"/>
                <w:szCs w:val="28"/>
                <w:lang w:val="en-US" w:eastAsia="zh-CN"/>
              </w:rPr>
              <w:t>5220180026</w:t>
            </w:r>
          </w:p>
        </w:tc>
        <w:tc>
          <w:tcPr>
            <w:tcW w:w="3110" w:type="dxa"/>
            <w:tcBorders>
              <w:bottom w:val="single" w:color="auto" w:sz="12" w:space="0"/>
            </w:tcBorders>
            <w:vAlign w:val="center"/>
          </w:tcPr>
          <w:p>
            <w:pPr>
              <w:snapToGrid w:val="0"/>
              <w:jc w:val="center"/>
              <w:rPr>
                <w:szCs w:val="28"/>
              </w:rPr>
            </w:pPr>
          </w:p>
        </w:tc>
        <w:tc>
          <w:tcPr>
            <w:tcW w:w="2473" w:type="dxa"/>
            <w:tcBorders>
              <w:bottom w:val="single" w:color="auto" w:sz="12" w:space="0"/>
              <w:right w:val="single" w:color="auto" w:sz="12" w:space="0"/>
            </w:tcBorders>
            <w:vAlign w:val="center"/>
          </w:tcPr>
          <w:p>
            <w:pPr>
              <w:snapToGrid w:val="0"/>
              <w:jc w:val="center"/>
              <w:rPr>
                <w:rFonts w:hint="eastAsia" w:eastAsiaTheme="minorEastAsia"/>
                <w:szCs w:val="28"/>
                <w:lang w:eastAsia="zh-CN"/>
              </w:rPr>
            </w:pPr>
            <w:r>
              <w:rPr>
                <w:rFonts w:hint="eastAsia" w:ascii="Times New Roman" w:hAnsi="Times New Roman" w:eastAsia="宋体" w:cs="Times New Roman"/>
                <w:kern w:val="2"/>
                <w:sz w:val="28"/>
                <w:szCs w:val="28"/>
              </w:rPr>
              <w:t>20</w:t>
            </w:r>
            <w:r>
              <w:rPr>
                <w:rFonts w:hint="eastAsia" w:ascii="Times New Roman" w:hAnsi="Times New Roman" w:eastAsia="宋体" w:cs="Times New Roman"/>
                <w:kern w:val="2"/>
                <w:sz w:val="28"/>
                <w:szCs w:val="28"/>
                <w:lang w:val="en-US" w:eastAsia="zh-CN"/>
              </w:rPr>
              <w:t>22</w:t>
            </w:r>
            <w:r>
              <w:rPr>
                <w:rFonts w:hint="eastAsia" w:ascii="Times New Roman" w:hAnsi="Times New Roman" w:eastAsia="宋体" w:cs="Times New Roman"/>
                <w:kern w:val="2"/>
                <w:sz w:val="28"/>
                <w:szCs w:val="28"/>
              </w:rPr>
              <w:t>年</w:t>
            </w:r>
            <w:r>
              <w:rPr>
                <w:rFonts w:hint="eastAsia" w:ascii="Times New Roman" w:hAnsi="Times New Roman" w:eastAsia="宋体" w:cs="Times New Roman"/>
                <w:kern w:val="2"/>
                <w:sz w:val="28"/>
                <w:szCs w:val="28"/>
                <w:lang w:val="en-US" w:eastAsia="zh-CN"/>
              </w:rPr>
              <w:t>8</w:t>
            </w:r>
            <w:r>
              <w:rPr>
                <w:rFonts w:hint="eastAsia" w:ascii="Times New Roman" w:hAnsi="Times New Roman" w:eastAsia="宋体" w:cs="Times New Roman"/>
                <w:kern w:val="2"/>
                <w:sz w:val="28"/>
                <w:szCs w:val="28"/>
              </w:rPr>
              <w:t>月</w:t>
            </w:r>
            <w:r>
              <w:rPr>
                <w:rFonts w:hint="eastAsia" w:ascii="Times New Roman" w:hAnsi="Times New Roman" w:eastAsia="宋体" w:cs="Times New Roman"/>
                <w:kern w:val="2"/>
                <w:sz w:val="28"/>
                <w:szCs w:val="28"/>
                <w:lang w:val="en-US" w:eastAsia="zh-CN"/>
              </w:rPr>
              <w:t>25</w:t>
            </w:r>
            <w:r>
              <w:rPr>
                <w:rFonts w:hint="eastAsia" w:ascii="Times New Roman" w:hAnsi="Times New Roman" w:eastAsia="宋体" w:cs="Times New Roman"/>
                <w:kern w:val="2"/>
                <w:sz w:val="28"/>
                <w:szCs w:val="28"/>
              </w:rPr>
              <w:t>日</w:t>
            </w:r>
          </w:p>
        </w:tc>
      </w:tr>
    </w:tbl>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463" w:name="_Toc7236"/>
      <w:bookmarkStart w:id="464" w:name="_Toc21571"/>
      <w:bookmarkStart w:id="465" w:name="_Toc2336"/>
      <w:bookmarkStart w:id="466" w:name="_Toc9736"/>
      <w:bookmarkStart w:id="467" w:name="_Toc17805"/>
      <w:bookmarkStart w:id="468" w:name="_Toc29937"/>
      <w:bookmarkStart w:id="469" w:name="_Toc28748"/>
      <w:bookmarkStart w:id="470" w:name="_Toc17258"/>
      <w:bookmarkStart w:id="471" w:name="_Toc16163"/>
      <w:bookmarkStart w:id="472" w:name="_Toc7012"/>
      <w:bookmarkStart w:id="473" w:name="_Toc31174"/>
      <w:bookmarkStart w:id="474" w:name="_Toc21274"/>
      <w:bookmarkStart w:id="475" w:name="_Toc14790"/>
      <w:bookmarkStart w:id="476" w:name="_Toc26122"/>
      <w:bookmarkStart w:id="477" w:name="_Toc30393"/>
      <w:bookmarkStart w:id="478" w:name="_Toc8364"/>
      <w:bookmarkStart w:id="479" w:name="_Toc12421"/>
      <w:bookmarkStart w:id="480" w:name="_Toc18100"/>
      <w:bookmarkStart w:id="481" w:name="_Toc10864"/>
      <w:bookmarkStart w:id="482" w:name="_Toc4364"/>
      <w:bookmarkStart w:id="483" w:name="_Toc13567"/>
      <w:bookmarkStart w:id="484" w:name="_Toc22942"/>
      <w:bookmarkStart w:id="485" w:name="_Toc32119"/>
      <w:bookmarkStart w:id="486" w:name="_Toc16198"/>
      <w:bookmarkStart w:id="487" w:name="_Toc3725"/>
      <w:bookmarkStart w:id="488" w:name="_Toc27726"/>
      <w:bookmarkStart w:id="489" w:name="_Toc19370"/>
      <w:r>
        <w:rPr>
          <w:rFonts w:hint="eastAsia" w:ascii="宋体" w:hAnsiTheme="minorHAnsi" w:eastAsiaTheme="minorEastAsia" w:cstheme="minorBidi"/>
          <w:b/>
          <w:sz w:val="28"/>
          <w:szCs w:val="28"/>
        </w:rPr>
        <w:t>十二、实地查勘期</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27"/>
        <w:autoSpaceDE/>
        <w:autoSpaceDN/>
        <w:adjustRightInd/>
        <w:spacing w:before="156" w:beforeLines="50" w:after="156" w:afterLines="50" w:line="360" w:lineRule="auto"/>
        <w:ind w:firstLine="560" w:firstLineChars="200"/>
        <w:jc w:val="both"/>
        <w:textAlignment w:val="auto"/>
        <w:rPr>
          <w:rFonts w:hint="eastAsia" w:ascii="Times New Roman" w:hAnsi="Times New Roman" w:eastAsia="宋体" w:cs="Times New Roman"/>
          <w:bCs/>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10</w:t>
      </w:r>
      <w:r>
        <w:rPr>
          <w:rFonts w:hint="eastAsia" w:ascii="Times New Roman" w:hAnsi="Times New Roman" w:eastAsia="宋体" w:cs="Times New Roman"/>
          <w:bCs/>
          <w:szCs w:val="28"/>
          <w:lang w:eastAsia="zh-CN"/>
        </w:rPr>
        <w:t>日</w:t>
      </w:r>
    </w:p>
    <w:p>
      <w:pPr>
        <w:pStyle w:val="3"/>
        <w:tabs>
          <w:tab w:val="left" w:pos="2760"/>
          <w:tab w:val="center" w:pos="4535"/>
        </w:tabs>
        <w:autoSpaceDE w:val="0"/>
        <w:autoSpaceDN w:val="0"/>
        <w:spacing w:before="157" w:after="157" w:line="579" w:lineRule="auto"/>
        <w:ind w:firstLine="562" w:firstLineChars="200"/>
        <w:jc w:val="left"/>
        <w:textAlignment w:val="baseline"/>
        <w:rPr>
          <w:rFonts w:hint="eastAsia" w:ascii="宋体" w:hAnsiTheme="minorHAnsi" w:eastAsiaTheme="minorEastAsia" w:cstheme="minorBidi"/>
          <w:b/>
          <w:sz w:val="28"/>
          <w:szCs w:val="28"/>
        </w:rPr>
      </w:pPr>
      <w:bookmarkStart w:id="490" w:name="_Toc29177"/>
      <w:bookmarkStart w:id="491" w:name="_Toc23455"/>
      <w:bookmarkStart w:id="492" w:name="_Toc1848"/>
      <w:bookmarkStart w:id="493" w:name="_Toc30521"/>
      <w:bookmarkStart w:id="494" w:name="_Toc11852"/>
      <w:bookmarkStart w:id="495" w:name="_Toc8617"/>
      <w:bookmarkStart w:id="496" w:name="_Toc2662"/>
      <w:bookmarkStart w:id="497" w:name="_Toc17954"/>
      <w:bookmarkStart w:id="498" w:name="_Toc3140"/>
      <w:bookmarkStart w:id="499" w:name="_Toc440990688"/>
      <w:bookmarkStart w:id="500" w:name="_Toc19619"/>
      <w:bookmarkStart w:id="501" w:name="_Toc17542"/>
      <w:bookmarkStart w:id="502" w:name="_Toc2958"/>
      <w:bookmarkStart w:id="503" w:name="_Toc30599"/>
      <w:bookmarkStart w:id="504" w:name="_Toc15701"/>
      <w:bookmarkStart w:id="505" w:name="_Toc14504"/>
      <w:bookmarkStart w:id="506" w:name="_Toc19250"/>
      <w:bookmarkStart w:id="507" w:name="_Toc7439"/>
      <w:bookmarkStart w:id="508" w:name="_Toc10600"/>
      <w:bookmarkStart w:id="509" w:name="_Toc23116"/>
      <w:bookmarkStart w:id="510" w:name="_Toc28446"/>
      <w:bookmarkStart w:id="511" w:name="_Toc8600"/>
      <w:bookmarkStart w:id="512" w:name="_Toc13668"/>
      <w:bookmarkStart w:id="513" w:name="_Toc7274"/>
      <w:bookmarkStart w:id="514" w:name="_Toc9495"/>
      <w:bookmarkStart w:id="515" w:name="_Toc25257"/>
      <w:bookmarkStart w:id="516" w:name="_Toc440992068"/>
      <w:bookmarkStart w:id="517" w:name="_Toc13936"/>
      <w:bookmarkStart w:id="518" w:name="_Toc17770"/>
      <w:bookmarkStart w:id="519" w:name="_Toc23990"/>
      <w:bookmarkStart w:id="520" w:name="_Toc9522"/>
      <w:bookmarkStart w:id="521" w:name="_Toc2324"/>
      <w:r>
        <w:rPr>
          <w:rFonts w:hint="eastAsia" w:ascii="宋体" w:hAnsiTheme="minorHAnsi" w:eastAsiaTheme="minorEastAsia" w:cstheme="minorBidi"/>
          <w:b/>
          <w:sz w:val="28"/>
          <w:szCs w:val="28"/>
        </w:rPr>
        <w:t>十三、估价作业期</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27"/>
        <w:autoSpaceDE/>
        <w:autoSpaceDN/>
        <w:spacing w:before="156" w:beforeLines="50" w:after="156" w:afterLines="50"/>
        <w:ind w:firstLine="560" w:firstLineChars="200"/>
        <w:jc w:val="both"/>
        <w:textAlignment w:val="auto"/>
        <w:rPr>
          <w:rFonts w:hint="eastAsia" w:ascii="宋体" w:hAnsi="宋体" w:eastAsia="宋体"/>
          <w:spacing w:val="0"/>
          <w:szCs w:val="28"/>
          <w:lang w:eastAsia="zh-CN"/>
        </w:rPr>
      </w:pP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7</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25</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至</w:t>
      </w:r>
      <w:r>
        <w:rPr>
          <w:rFonts w:hint="eastAsia" w:ascii="Times New Roman" w:hAnsi="Times New Roman" w:eastAsia="宋体" w:cs="Times New Roman"/>
          <w:bCs/>
          <w:szCs w:val="28"/>
          <w:lang w:eastAsia="zh-CN"/>
        </w:rPr>
        <w:t>20</w:t>
      </w:r>
      <w:r>
        <w:rPr>
          <w:rFonts w:hint="eastAsia" w:ascii="Times New Roman" w:hAnsi="Times New Roman" w:eastAsia="宋体" w:cs="Times New Roman"/>
          <w:bCs/>
          <w:szCs w:val="28"/>
          <w:lang w:val="en-US" w:eastAsia="zh-CN"/>
        </w:rPr>
        <w:t>22</w:t>
      </w:r>
      <w:r>
        <w:rPr>
          <w:rFonts w:hint="eastAsia" w:ascii="Times New Roman" w:hAnsi="Times New Roman" w:eastAsia="宋体" w:cs="Times New Roman"/>
          <w:bCs/>
          <w:szCs w:val="28"/>
          <w:lang w:eastAsia="zh-CN"/>
        </w:rPr>
        <w:t>年</w:t>
      </w:r>
      <w:r>
        <w:rPr>
          <w:rFonts w:hint="eastAsia" w:ascii="Times New Roman" w:hAnsi="Times New Roman" w:eastAsia="宋体" w:cs="Times New Roman"/>
          <w:bCs/>
          <w:szCs w:val="28"/>
          <w:lang w:val="en-US" w:eastAsia="zh-CN"/>
        </w:rPr>
        <w:t>8</w:t>
      </w:r>
      <w:r>
        <w:rPr>
          <w:rFonts w:hint="eastAsia" w:ascii="Times New Roman" w:hAnsi="Times New Roman" w:eastAsia="宋体" w:cs="Times New Roman"/>
          <w:bCs/>
          <w:szCs w:val="28"/>
          <w:lang w:eastAsia="zh-CN"/>
        </w:rPr>
        <w:t>月</w:t>
      </w:r>
      <w:r>
        <w:rPr>
          <w:rFonts w:hint="eastAsia" w:ascii="Times New Roman" w:hAnsi="Times New Roman" w:eastAsia="宋体" w:cs="Times New Roman"/>
          <w:bCs/>
          <w:szCs w:val="28"/>
          <w:lang w:val="en-US" w:eastAsia="zh-CN"/>
        </w:rPr>
        <w:t>25</w:t>
      </w:r>
      <w:r>
        <w:rPr>
          <w:rFonts w:hint="eastAsia" w:ascii="Times New Roman" w:hAnsi="Times New Roman" w:eastAsia="宋体" w:cs="Times New Roman"/>
          <w:bCs/>
          <w:szCs w:val="28"/>
          <w:lang w:eastAsia="zh-CN"/>
        </w:rPr>
        <w:t>日</w:t>
      </w:r>
      <w:r>
        <w:rPr>
          <w:rFonts w:hint="eastAsia" w:ascii="Times New Roman" w:hAnsi="Times New Roman" w:eastAsia="宋体" w:cs="Times New Roman"/>
          <w:bCs/>
          <w:szCs w:val="28"/>
        </w:rPr>
        <w:t>。</w:t>
      </w:r>
    </w:p>
    <w:p>
      <w:pPr>
        <w:rPr>
          <w:rFonts w:hint="eastAsia"/>
          <w:lang w:eastAsia="zh-CN"/>
        </w:rPr>
      </w:pPr>
      <w:bookmarkStart w:id="522" w:name="_GoBack"/>
      <w:bookmarkEnd w:id="522"/>
    </w:p>
    <w:p>
      <w:pPr>
        <w:pStyle w:val="10"/>
        <w:adjustRightInd/>
        <w:spacing w:line="360" w:lineRule="auto"/>
        <w:ind w:left="0" w:leftChars="0" w:firstLine="200"/>
        <w:jc w:val="left"/>
        <w:rPr>
          <w:rFonts w:hint="eastAsia" w:ascii="宋体" w:hAnsi="宋体" w:eastAsia="宋体"/>
          <w:spacing w:val="0"/>
          <w:szCs w:val="28"/>
          <w:lang w:eastAsia="zh-CN"/>
        </w:rPr>
      </w:pPr>
    </w:p>
    <w:p>
      <w:pPr>
        <w:rPr>
          <w:rFonts w:hint="eastAsia"/>
          <w:lang w:eastAsia="zh-CN"/>
        </w:rPr>
      </w:pPr>
    </w:p>
    <w:p>
      <w:pPr>
        <w:pStyle w:val="10"/>
        <w:adjustRightInd/>
        <w:spacing w:line="360" w:lineRule="auto"/>
        <w:ind w:left="0" w:leftChars="0" w:firstLine="200"/>
        <w:jc w:val="right"/>
        <w:rPr>
          <w:rFonts w:ascii="宋体" w:hAnsi="宋体" w:eastAsia="宋体"/>
          <w:spacing w:val="0"/>
          <w:szCs w:val="28"/>
        </w:rPr>
      </w:pPr>
      <w:r>
        <w:rPr>
          <w:rFonts w:hint="eastAsia" w:ascii="宋体" w:hAnsi="宋体" w:eastAsia="宋体"/>
          <w:spacing w:val="0"/>
          <w:szCs w:val="28"/>
          <w:lang w:eastAsia="zh-CN"/>
        </w:rPr>
        <w:t>贵州瑞华亚太房地产土地资产评估有限公司</w:t>
      </w:r>
      <w:r>
        <w:rPr>
          <w:rFonts w:ascii="宋体" w:hAnsi="宋体" w:eastAsia="宋体"/>
          <w:spacing w:val="0"/>
          <w:szCs w:val="28"/>
        </w:rPr>
        <w:t xml:space="preserve"> </w:t>
      </w:r>
    </w:p>
    <w:p>
      <w:pPr>
        <w:ind w:firstLine="4480" w:firstLineChars="1600"/>
        <w:rPr>
          <w:rFonts w:hint="eastAsia" w:hAnsi="宋体" w:eastAsia="宋体"/>
          <w:szCs w:val="28"/>
          <w:lang w:eastAsia="zh-CN"/>
        </w:rPr>
      </w:pPr>
      <w:r>
        <w:rPr>
          <w:rFonts w:hint="eastAsia" w:hAnsi="宋体" w:eastAsia="宋体"/>
          <w:szCs w:val="28"/>
          <w:lang w:eastAsia="zh-CN"/>
        </w:rPr>
        <w:t>二○</w:t>
      </w:r>
      <w:r>
        <w:rPr>
          <w:rFonts w:hint="eastAsia" w:hAnsi="宋体" w:eastAsia="宋体"/>
          <w:szCs w:val="28"/>
          <w:lang w:val="en-US" w:eastAsia="zh-CN"/>
        </w:rPr>
        <w:t>二二</w:t>
      </w:r>
      <w:r>
        <w:rPr>
          <w:rFonts w:hint="eastAsia" w:hAnsi="宋体" w:eastAsia="宋体"/>
          <w:szCs w:val="28"/>
          <w:lang w:eastAsia="zh-CN"/>
        </w:rPr>
        <w:t>年</w:t>
      </w:r>
      <w:r>
        <w:rPr>
          <w:rFonts w:hint="eastAsia" w:hAnsi="宋体" w:eastAsia="宋体"/>
          <w:szCs w:val="28"/>
          <w:lang w:val="en-US" w:eastAsia="zh-CN"/>
        </w:rPr>
        <w:t>八</w:t>
      </w:r>
      <w:r>
        <w:rPr>
          <w:rFonts w:hint="eastAsia" w:hAnsi="宋体" w:eastAsia="宋体"/>
          <w:szCs w:val="28"/>
          <w:lang w:eastAsia="zh-CN"/>
        </w:rPr>
        <w:t>月</w:t>
      </w:r>
      <w:r>
        <w:rPr>
          <w:rFonts w:hint="eastAsia" w:hAnsi="宋体" w:eastAsia="宋体"/>
          <w:szCs w:val="28"/>
          <w:lang w:val="en-US" w:eastAsia="zh-CN"/>
        </w:rPr>
        <w:t>二十五</w:t>
      </w:r>
      <w:r>
        <w:rPr>
          <w:rFonts w:hint="eastAsia" w:hAnsi="宋体" w:eastAsia="宋体"/>
          <w:szCs w:val="28"/>
          <w:lang w:eastAsia="zh-CN"/>
        </w:rPr>
        <w:t>日</w:t>
      </w:r>
    </w:p>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libri">
    <w:altName w:val="Arial Rounded MT Bold"/>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Cambria">
    <w:altName w:val="Tengwar Annatar"/>
    <w:panose1 w:val="02040503050406030204"/>
    <w:charset w:val="00"/>
    <w:family w:val="roman"/>
    <w:pitch w:val="default"/>
    <w:sig w:usb0="00000000" w:usb1="00000000" w:usb2="00000000" w:usb3="00000000" w:csb0="2000019F"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2</w:t>
                    </w:r>
                    <w:r>
                      <w:fldChar w:fldCharType="end"/>
                    </w:r>
                    <w:r>
                      <w:t xml:space="preserve"> 页 共 </w:t>
                    </w:r>
                    <w:r>
                      <w:rPr>
                        <w:rFonts w:hint="eastAsia"/>
                        <w:lang w:val="en-US" w:eastAsia="zh-CN"/>
                      </w:rPr>
                      <w:t>3</w:t>
                    </w:r>
                    <w:r>
                      <w:t xml:space="preserve"> 页</w:t>
                    </w:r>
                  </w:p>
                </w:txbxContent>
              </v:textbox>
            </v:shape>
          </w:pict>
        </mc:Fallback>
      </mc:AlternateConten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pPr>
                    <w:r>
                      <w:t xml:space="preserve">第 </w:t>
                    </w:r>
                    <w:r>
                      <w:fldChar w:fldCharType="begin"/>
                    </w:r>
                    <w:r>
                      <w:instrText xml:space="preserve"> PAGE  \* MERGEFORMAT </w:instrText>
                    </w:r>
                    <w:r>
                      <w:fldChar w:fldCharType="separate"/>
                    </w:r>
                    <w:r>
                      <w:t>1</w:t>
                    </w:r>
                    <w:r>
                      <w:fldChar w:fldCharType="end"/>
                    </w:r>
                    <w:r>
                      <w:t xml:space="preserve"> 页 共 </w:t>
                    </w:r>
                    <w:r>
                      <w:rPr>
                        <w:rFonts w:hint="eastAsia"/>
                        <w:lang w:val="en-US" w:eastAsia="zh-CN"/>
                      </w:rPr>
                      <w:t>3</w:t>
                    </w:r>
                    <w:r>
                      <w:t xml:space="preserve"> 页</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O11wiEbAgAAIQ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4535"/>
        <w:tab w:val="clear" w:pos="4153"/>
      </w:tabs>
      <w:jc w:val="center"/>
      <w:rPr>
        <w:rFonts w:hint="default" w:eastAsiaTheme="minorEastAsia"/>
        <w:lang w:val="en-US" w:eastAsia="zh-CN"/>
      </w:rPr>
    </w:pPr>
    <w:r>
      <w:rPr>
        <w:rFonts w:hint="eastAsia"/>
        <w:lang w:val="en-US" w:eastAsia="zh-CN"/>
      </w:rPr>
      <w:t>第 3 页 共 11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4320" w:firstLineChars="240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HszzUgbAgAAIwQAAA4A&#10;AAAAAAAAAQAgAAAAHwEAAGRycy9lMm9Eb2MueG1sUEsFBgAAAAAGAAYAWQEAAKwFAAAAAA==&#10;">
              <v:fill on="f" focussize="0,0"/>
              <v:stroke on="f" weight="0.5pt"/>
              <v:imagedata o:title=""/>
              <o:lock v:ext="edit" aspectratio="f"/>
              <v:textbox inset="0mm,0mm,0mm,0mm" style="mso-fit-shape-to-text:t;">
                <w:txbxContent>
                  <w:p>
                    <w:pPr>
                      <w:pStyle w:val="12"/>
                    </w:pP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2336" behindDoc="0" locked="0" layoutInCell="1" allowOverlap="1">
              <wp:simplePos x="0" y="0"/>
              <wp:positionH relativeFrom="margin">
                <wp:posOffset>2176780</wp:posOffset>
              </wp:positionH>
              <wp:positionV relativeFrom="paragraph">
                <wp:posOffset>-9525</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71.4pt;margin-top:-0.75pt;height:144pt;width:144pt;mso-position-horizontal-relative:margin;mso-wrap-style:none;z-index:251662336;mso-width-relative:page;mso-height-relative:page;" filled="f" stroked="f" coordsize="21600,21600" o:gfxdata="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AdVDaT2AAAAAoBAAAPAAAA&#10;AAAAAAEAIAAAACIAAABkcnMvZG93bnJldi54bWxQSwECFAAUAAAACACHTuJALKjCmRUCAAAVBAAA&#10;DgAAAAAAAAABACAAAAAnAQAAZHJzL2Uyb0RvYy54bWxQSwUGAAAAAAYABgBZAQAArgU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tWC3IVAgAAFQ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Theme="minorEastAsia"/>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val="en-US" w:eastAsia="zh-CN"/>
                      </w:rPr>
                      <w:t>12</w:t>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w:t>
    </w:r>
    <w:r>
      <w:rPr>
        <w:rFonts w:hint="eastAsia"/>
        <w:lang w:eastAsia="zh-CN"/>
      </w:rPr>
      <w:t>贵州瑞华亚太房地产土地资产评估有限公司</w:t>
    </w:r>
    <w:r>
      <w:rPr>
        <w:rFonts w:hint="eastAsia"/>
      </w:rPr>
      <w:t>】                                 【房地产估价报告】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93AFA7"/>
    <w:multiLevelType w:val="singleLevel"/>
    <w:tmpl w:val="9093AFA7"/>
    <w:lvl w:ilvl="0" w:tentative="0">
      <w:start w:val="1"/>
      <w:numFmt w:val="decimal"/>
      <w:suff w:val="nothing"/>
      <w:lvlText w:val="%1、"/>
      <w:lvlJc w:val="left"/>
    </w:lvl>
  </w:abstractNum>
  <w:abstractNum w:abstractNumId="1">
    <w:nsid w:val="3F941C80"/>
    <w:multiLevelType w:val="singleLevel"/>
    <w:tmpl w:val="3F941C80"/>
    <w:lvl w:ilvl="0" w:tentative="0">
      <w:start w:val="3"/>
      <w:numFmt w:val="chineseCounting"/>
      <w:suff w:val="nothing"/>
      <w:lvlText w:val="%1、"/>
      <w:lvlJc w:val="left"/>
      <w:rPr>
        <w:rFonts w:hint="eastAsia"/>
      </w:rPr>
    </w:lvl>
  </w:abstractNum>
  <w:abstractNum w:abstractNumId="2">
    <w:nsid w:val="4342AC46"/>
    <w:multiLevelType w:val="singleLevel"/>
    <w:tmpl w:val="4342AC46"/>
    <w:lvl w:ilvl="0" w:tentative="0">
      <w:start w:val="2"/>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E338B"/>
    <w:rsid w:val="00003261"/>
    <w:rsid w:val="00012E1F"/>
    <w:rsid w:val="00020FCE"/>
    <w:rsid w:val="0002733F"/>
    <w:rsid w:val="00027F99"/>
    <w:rsid w:val="00041369"/>
    <w:rsid w:val="0005781E"/>
    <w:rsid w:val="00065942"/>
    <w:rsid w:val="000830CB"/>
    <w:rsid w:val="000A6D35"/>
    <w:rsid w:val="000B4DC7"/>
    <w:rsid w:val="000B5374"/>
    <w:rsid w:val="000C0F9F"/>
    <w:rsid w:val="000D02EA"/>
    <w:rsid w:val="000E144F"/>
    <w:rsid w:val="000E497B"/>
    <w:rsid w:val="00102DDB"/>
    <w:rsid w:val="00115825"/>
    <w:rsid w:val="00115BB7"/>
    <w:rsid w:val="00126195"/>
    <w:rsid w:val="001471F8"/>
    <w:rsid w:val="0017241A"/>
    <w:rsid w:val="00185FA8"/>
    <w:rsid w:val="00193F4C"/>
    <w:rsid w:val="001B357C"/>
    <w:rsid w:val="001B4BAA"/>
    <w:rsid w:val="001B665E"/>
    <w:rsid w:val="001C4D5C"/>
    <w:rsid w:val="001D1894"/>
    <w:rsid w:val="001D1B5C"/>
    <w:rsid w:val="001D76B3"/>
    <w:rsid w:val="001E2545"/>
    <w:rsid w:val="001F6966"/>
    <w:rsid w:val="00207316"/>
    <w:rsid w:val="002077BF"/>
    <w:rsid w:val="0021136E"/>
    <w:rsid w:val="002142E7"/>
    <w:rsid w:val="002234FC"/>
    <w:rsid w:val="002421BC"/>
    <w:rsid w:val="00242F3A"/>
    <w:rsid w:val="002609F1"/>
    <w:rsid w:val="002636F3"/>
    <w:rsid w:val="002747E6"/>
    <w:rsid w:val="002C2BD6"/>
    <w:rsid w:val="002D5F1A"/>
    <w:rsid w:val="002D6DCC"/>
    <w:rsid w:val="002F24B8"/>
    <w:rsid w:val="00304F0F"/>
    <w:rsid w:val="0031798B"/>
    <w:rsid w:val="00337E2B"/>
    <w:rsid w:val="00362362"/>
    <w:rsid w:val="00375B2A"/>
    <w:rsid w:val="003972E2"/>
    <w:rsid w:val="003A420B"/>
    <w:rsid w:val="003D1F87"/>
    <w:rsid w:val="00422389"/>
    <w:rsid w:val="0042668C"/>
    <w:rsid w:val="00454B32"/>
    <w:rsid w:val="00456F4B"/>
    <w:rsid w:val="00460CFD"/>
    <w:rsid w:val="004623D0"/>
    <w:rsid w:val="00466F52"/>
    <w:rsid w:val="00472BCE"/>
    <w:rsid w:val="0047515F"/>
    <w:rsid w:val="0048164E"/>
    <w:rsid w:val="00484B91"/>
    <w:rsid w:val="00485E51"/>
    <w:rsid w:val="004A4467"/>
    <w:rsid w:val="004C5A01"/>
    <w:rsid w:val="004D1DD7"/>
    <w:rsid w:val="004E555A"/>
    <w:rsid w:val="0050222C"/>
    <w:rsid w:val="005078C0"/>
    <w:rsid w:val="00535A04"/>
    <w:rsid w:val="00537268"/>
    <w:rsid w:val="00552686"/>
    <w:rsid w:val="00553789"/>
    <w:rsid w:val="00565480"/>
    <w:rsid w:val="00574752"/>
    <w:rsid w:val="005772D4"/>
    <w:rsid w:val="005822D7"/>
    <w:rsid w:val="00584D62"/>
    <w:rsid w:val="00594010"/>
    <w:rsid w:val="005C270E"/>
    <w:rsid w:val="005F0D92"/>
    <w:rsid w:val="00614AAD"/>
    <w:rsid w:val="00632AD5"/>
    <w:rsid w:val="006367EB"/>
    <w:rsid w:val="00643815"/>
    <w:rsid w:val="00647CEB"/>
    <w:rsid w:val="00670584"/>
    <w:rsid w:val="006839CF"/>
    <w:rsid w:val="006902A4"/>
    <w:rsid w:val="00692864"/>
    <w:rsid w:val="00693C69"/>
    <w:rsid w:val="006A0CDC"/>
    <w:rsid w:val="006B0DAF"/>
    <w:rsid w:val="006C7B07"/>
    <w:rsid w:val="006D0A6B"/>
    <w:rsid w:val="006E737D"/>
    <w:rsid w:val="00713AE3"/>
    <w:rsid w:val="00716C6B"/>
    <w:rsid w:val="00743D48"/>
    <w:rsid w:val="0074422B"/>
    <w:rsid w:val="00751FD2"/>
    <w:rsid w:val="00761B84"/>
    <w:rsid w:val="00764CCE"/>
    <w:rsid w:val="00767EE4"/>
    <w:rsid w:val="0078195D"/>
    <w:rsid w:val="00786E60"/>
    <w:rsid w:val="0079537B"/>
    <w:rsid w:val="00795EDD"/>
    <w:rsid w:val="007B1A28"/>
    <w:rsid w:val="007B30C7"/>
    <w:rsid w:val="007B32EB"/>
    <w:rsid w:val="007C10C3"/>
    <w:rsid w:val="007C376A"/>
    <w:rsid w:val="007D11AA"/>
    <w:rsid w:val="008005D5"/>
    <w:rsid w:val="00802D5D"/>
    <w:rsid w:val="00803B1D"/>
    <w:rsid w:val="008064A4"/>
    <w:rsid w:val="00813088"/>
    <w:rsid w:val="008143F6"/>
    <w:rsid w:val="00826278"/>
    <w:rsid w:val="00855825"/>
    <w:rsid w:val="008568D2"/>
    <w:rsid w:val="00857384"/>
    <w:rsid w:val="00881D50"/>
    <w:rsid w:val="00893A09"/>
    <w:rsid w:val="008C6BD1"/>
    <w:rsid w:val="008D00CA"/>
    <w:rsid w:val="008D3E56"/>
    <w:rsid w:val="008F5D66"/>
    <w:rsid w:val="0090086A"/>
    <w:rsid w:val="00912A68"/>
    <w:rsid w:val="00917E0E"/>
    <w:rsid w:val="009241B2"/>
    <w:rsid w:val="00927E0E"/>
    <w:rsid w:val="009312B6"/>
    <w:rsid w:val="009448D6"/>
    <w:rsid w:val="009C01D4"/>
    <w:rsid w:val="009C52AE"/>
    <w:rsid w:val="009C667B"/>
    <w:rsid w:val="009C7E56"/>
    <w:rsid w:val="009D36CD"/>
    <w:rsid w:val="009E45C5"/>
    <w:rsid w:val="009F5599"/>
    <w:rsid w:val="00A162BB"/>
    <w:rsid w:val="00A26393"/>
    <w:rsid w:val="00A37845"/>
    <w:rsid w:val="00A51329"/>
    <w:rsid w:val="00A56883"/>
    <w:rsid w:val="00A6457D"/>
    <w:rsid w:val="00A71E79"/>
    <w:rsid w:val="00A75A04"/>
    <w:rsid w:val="00A86885"/>
    <w:rsid w:val="00AA3416"/>
    <w:rsid w:val="00AA47EB"/>
    <w:rsid w:val="00AD189D"/>
    <w:rsid w:val="00AD4E73"/>
    <w:rsid w:val="00AE19E3"/>
    <w:rsid w:val="00AE5C26"/>
    <w:rsid w:val="00B0368B"/>
    <w:rsid w:val="00B21D61"/>
    <w:rsid w:val="00B3622A"/>
    <w:rsid w:val="00B3720E"/>
    <w:rsid w:val="00B87C26"/>
    <w:rsid w:val="00BB1E9A"/>
    <w:rsid w:val="00BD7526"/>
    <w:rsid w:val="00BE6D9E"/>
    <w:rsid w:val="00BF033B"/>
    <w:rsid w:val="00C050F3"/>
    <w:rsid w:val="00C34387"/>
    <w:rsid w:val="00C34EB2"/>
    <w:rsid w:val="00C3782E"/>
    <w:rsid w:val="00C42675"/>
    <w:rsid w:val="00C4717C"/>
    <w:rsid w:val="00CA22E1"/>
    <w:rsid w:val="00CA3894"/>
    <w:rsid w:val="00CA7570"/>
    <w:rsid w:val="00CB4529"/>
    <w:rsid w:val="00CC2954"/>
    <w:rsid w:val="00CC2B9A"/>
    <w:rsid w:val="00CD5C86"/>
    <w:rsid w:val="00CF40A2"/>
    <w:rsid w:val="00D11844"/>
    <w:rsid w:val="00D118A2"/>
    <w:rsid w:val="00D13D3D"/>
    <w:rsid w:val="00D20D8D"/>
    <w:rsid w:val="00D22563"/>
    <w:rsid w:val="00D413B3"/>
    <w:rsid w:val="00D427DE"/>
    <w:rsid w:val="00D5190E"/>
    <w:rsid w:val="00D619BB"/>
    <w:rsid w:val="00D6393A"/>
    <w:rsid w:val="00D662B3"/>
    <w:rsid w:val="00D677E7"/>
    <w:rsid w:val="00D73C86"/>
    <w:rsid w:val="00D9452C"/>
    <w:rsid w:val="00D96B28"/>
    <w:rsid w:val="00DA0937"/>
    <w:rsid w:val="00DB1D57"/>
    <w:rsid w:val="00DC562C"/>
    <w:rsid w:val="00DC5706"/>
    <w:rsid w:val="00DC7F32"/>
    <w:rsid w:val="00DD5F10"/>
    <w:rsid w:val="00DE2A17"/>
    <w:rsid w:val="00E04FF5"/>
    <w:rsid w:val="00E06B22"/>
    <w:rsid w:val="00E169E1"/>
    <w:rsid w:val="00E37744"/>
    <w:rsid w:val="00E526D5"/>
    <w:rsid w:val="00E62DA1"/>
    <w:rsid w:val="00E77920"/>
    <w:rsid w:val="00E85FEB"/>
    <w:rsid w:val="00E917C5"/>
    <w:rsid w:val="00E93A9D"/>
    <w:rsid w:val="00EA34D3"/>
    <w:rsid w:val="00EB0B0F"/>
    <w:rsid w:val="00EC00AF"/>
    <w:rsid w:val="00EC542B"/>
    <w:rsid w:val="00ED2197"/>
    <w:rsid w:val="00ED2204"/>
    <w:rsid w:val="00EF5034"/>
    <w:rsid w:val="00F02E07"/>
    <w:rsid w:val="00F0325E"/>
    <w:rsid w:val="00F14FAB"/>
    <w:rsid w:val="00F22B8E"/>
    <w:rsid w:val="00F37F6F"/>
    <w:rsid w:val="00F470FA"/>
    <w:rsid w:val="00F76E47"/>
    <w:rsid w:val="00F969BB"/>
    <w:rsid w:val="00FA2E2B"/>
    <w:rsid w:val="00FB2CAE"/>
    <w:rsid w:val="00FC06C1"/>
    <w:rsid w:val="00FF506C"/>
    <w:rsid w:val="01006E0C"/>
    <w:rsid w:val="01084510"/>
    <w:rsid w:val="01803F2D"/>
    <w:rsid w:val="01A93AB8"/>
    <w:rsid w:val="01B8626C"/>
    <w:rsid w:val="01C64B27"/>
    <w:rsid w:val="01DB6DF2"/>
    <w:rsid w:val="01FB6056"/>
    <w:rsid w:val="02025D76"/>
    <w:rsid w:val="02AD5050"/>
    <w:rsid w:val="02BF75AC"/>
    <w:rsid w:val="02CB1035"/>
    <w:rsid w:val="02D1697A"/>
    <w:rsid w:val="02F50EDF"/>
    <w:rsid w:val="030250E3"/>
    <w:rsid w:val="0324064E"/>
    <w:rsid w:val="033332BC"/>
    <w:rsid w:val="0334625F"/>
    <w:rsid w:val="033A6CE1"/>
    <w:rsid w:val="0358731B"/>
    <w:rsid w:val="03674223"/>
    <w:rsid w:val="03787BE6"/>
    <w:rsid w:val="03B75B74"/>
    <w:rsid w:val="03DD3869"/>
    <w:rsid w:val="045452FF"/>
    <w:rsid w:val="045B0617"/>
    <w:rsid w:val="045F11A2"/>
    <w:rsid w:val="046A1CF3"/>
    <w:rsid w:val="046A7128"/>
    <w:rsid w:val="048D2117"/>
    <w:rsid w:val="04A32F43"/>
    <w:rsid w:val="04AB1AC9"/>
    <w:rsid w:val="04FA6E33"/>
    <w:rsid w:val="050C35F7"/>
    <w:rsid w:val="052D7542"/>
    <w:rsid w:val="053E6E45"/>
    <w:rsid w:val="054F2DC6"/>
    <w:rsid w:val="056E5CB1"/>
    <w:rsid w:val="05D72384"/>
    <w:rsid w:val="0607433F"/>
    <w:rsid w:val="06165B0D"/>
    <w:rsid w:val="0649438D"/>
    <w:rsid w:val="066740F1"/>
    <w:rsid w:val="066F2C48"/>
    <w:rsid w:val="067514EE"/>
    <w:rsid w:val="06815743"/>
    <w:rsid w:val="06A1234B"/>
    <w:rsid w:val="06A5774A"/>
    <w:rsid w:val="06AF3D0D"/>
    <w:rsid w:val="06CD76B2"/>
    <w:rsid w:val="06DD4F87"/>
    <w:rsid w:val="07006AE6"/>
    <w:rsid w:val="070E0D96"/>
    <w:rsid w:val="076607B1"/>
    <w:rsid w:val="077E0533"/>
    <w:rsid w:val="07886256"/>
    <w:rsid w:val="078F6E47"/>
    <w:rsid w:val="07A62941"/>
    <w:rsid w:val="07D42332"/>
    <w:rsid w:val="07E8252A"/>
    <w:rsid w:val="08102E87"/>
    <w:rsid w:val="081638B4"/>
    <w:rsid w:val="084773FD"/>
    <w:rsid w:val="08484F8E"/>
    <w:rsid w:val="085271BA"/>
    <w:rsid w:val="086247EB"/>
    <w:rsid w:val="0891128C"/>
    <w:rsid w:val="089E219D"/>
    <w:rsid w:val="08A46FDC"/>
    <w:rsid w:val="08A80EE8"/>
    <w:rsid w:val="08B64E17"/>
    <w:rsid w:val="08D3609C"/>
    <w:rsid w:val="08E840ED"/>
    <w:rsid w:val="09163423"/>
    <w:rsid w:val="094073CE"/>
    <w:rsid w:val="09486791"/>
    <w:rsid w:val="09490BBC"/>
    <w:rsid w:val="094A513C"/>
    <w:rsid w:val="09BF0553"/>
    <w:rsid w:val="09D935CC"/>
    <w:rsid w:val="09DB7703"/>
    <w:rsid w:val="09E406B6"/>
    <w:rsid w:val="0A26088B"/>
    <w:rsid w:val="0A4F45C5"/>
    <w:rsid w:val="0A542916"/>
    <w:rsid w:val="0A550E7B"/>
    <w:rsid w:val="0A69303C"/>
    <w:rsid w:val="0A6A707B"/>
    <w:rsid w:val="0A6B41FA"/>
    <w:rsid w:val="0AB23EC8"/>
    <w:rsid w:val="0AC3604D"/>
    <w:rsid w:val="0AD63C3B"/>
    <w:rsid w:val="0ADB0822"/>
    <w:rsid w:val="0AE115F0"/>
    <w:rsid w:val="0B1D1FA5"/>
    <w:rsid w:val="0B2A4777"/>
    <w:rsid w:val="0B46347C"/>
    <w:rsid w:val="0BB24377"/>
    <w:rsid w:val="0BBC5B86"/>
    <w:rsid w:val="0BE43639"/>
    <w:rsid w:val="0BE60D5E"/>
    <w:rsid w:val="0BEA61BB"/>
    <w:rsid w:val="0C6A6660"/>
    <w:rsid w:val="0C7D3266"/>
    <w:rsid w:val="0C8603DD"/>
    <w:rsid w:val="0CFE2652"/>
    <w:rsid w:val="0D076A4A"/>
    <w:rsid w:val="0D2437CB"/>
    <w:rsid w:val="0D537A33"/>
    <w:rsid w:val="0D736F27"/>
    <w:rsid w:val="0D96271C"/>
    <w:rsid w:val="0D98089A"/>
    <w:rsid w:val="0DAE66A4"/>
    <w:rsid w:val="0DB85F17"/>
    <w:rsid w:val="0DBB05C0"/>
    <w:rsid w:val="0DE80446"/>
    <w:rsid w:val="0DF029C3"/>
    <w:rsid w:val="0DFB4219"/>
    <w:rsid w:val="0E0421A9"/>
    <w:rsid w:val="0E0A64DF"/>
    <w:rsid w:val="0E502793"/>
    <w:rsid w:val="0E7353F4"/>
    <w:rsid w:val="0E7C3DDE"/>
    <w:rsid w:val="0E7E172C"/>
    <w:rsid w:val="0EB03020"/>
    <w:rsid w:val="0EBC1907"/>
    <w:rsid w:val="0EC52E77"/>
    <w:rsid w:val="0EC960A5"/>
    <w:rsid w:val="0F0802FD"/>
    <w:rsid w:val="0F2A2B5E"/>
    <w:rsid w:val="0F2B066F"/>
    <w:rsid w:val="0F2E0D84"/>
    <w:rsid w:val="0F3114A9"/>
    <w:rsid w:val="0F702F03"/>
    <w:rsid w:val="0FA34B23"/>
    <w:rsid w:val="0FAA55A8"/>
    <w:rsid w:val="102E2A36"/>
    <w:rsid w:val="105D1A57"/>
    <w:rsid w:val="10640648"/>
    <w:rsid w:val="108656A4"/>
    <w:rsid w:val="109F3443"/>
    <w:rsid w:val="10B15905"/>
    <w:rsid w:val="10C210D3"/>
    <w:rsid w:val="10CA6723"/>
    <w:rsid w:val="11072AFE"/>
    <w:rsid w:val="110C5A96"/>
    <w:rsid w:val="11202244"/>
    <w:rsid w:val="112C20DB"/>
    <w:rsid w:val="11564519"/>
    <w:rsid w:val="118B7AAC"/>
    <w:rsid w:val="11EF793B"/>
    <w:rsid w:val="1227765D"/>
    <w:rsid w:val="124C629A"/>
    <w:rsid w:val="125C48DB"/>
    <w:rsid w:val="129B7A18"/>
    <w:rsid w:val="12A91204"/>
    <w:rsid w:val="12AA5DF1"/>
    <w:rsid w:val="12B53FE5"/>
    <w:rsid w:val="12C77EBD"/>
    <w:rsid w:val="12EF457E"/>
    <w:rsid w:val="12F024E3"/>
    <w:rsid w:val="12F3202C"/>
    <w:rsid w:val="12FD1472"/>
    <w:rsid w:val="12FF38DA"/>
    <w:rsid w:val="130D082D"/>
    <w:rsid w:val="130D4E3B"/>
    <w:rsid w:val="1323622C"/>
    <w:rsid w:val="13C45613"/>
    <w:rsid w:val="13E65EA8"/>
    <w:rsid w:val="13F8311F"/>
    <w:rsid w:val="146722EB"/>
    <w:rsid w:val="14DC30B7"/>
    <w:rsid w:val="14EC6D2F"/>
    <w:rsid w:val="151155B0"/>
    <w:rsid w:val="151A36C4"/>
    <w:rsid w:val="151C0BD9"/>
    <w:rsid w:val="15295F0F"/>
    <w:rsid w:val="152C0A0B"/>
    <w:rsid w:val="15385593"/>
    <w:rsid w:val="15717BE9"/>
    <w:rsid w:val="15765003"/>
    <w:rsid w:val="157A0429"/>
    <w:rsid w:val="15B675FE"/>
    <w:rsid w:val="15BB5CAC"/>
    <w:rsid w:val="15DB0FCF"/>
    <w:rsid w:val="15DD5088"/>
    <w:rsid w:val="15E52A7C"/>
    <w:rsid w:val="16047D98"/>
    <w:rsid w:val="161360C1"/>
    <w:rsid w:val="161E7E3B"/>
    <w:rsid w:val="162E51CD"/>
    <w:rsid w:val="16774403"/>
    <w:rsid w:val="16984CA1"/>
    <w:rsid w:val="169C3D1C"/>
    <w:rsid w:val="16B15ED5"/>
    <w:rsid w:val="16CF4F73"/>
    <w:rsid w:val="171371BA"/>
    <w:rsid w:val="17421003"/>
    <w:rsid w:val="17494248"/>
    <w:rsid w:val="17574791"/>
    <w:rsid w:val="17713B34"/>
    <w:rsid w:val="179A757D"/>
    <w:rsid w:val="17A9584B"/>
    <w:rsid w:val="17B506CB"/>
    <w:rsid w:val="17EC5E51"/>
    <w:rsid w:val="18167655"/>
    <w:rsid w:val="183B7A7C"/>
    <w:rsid w:val="183E56AE"/>
    <w:rsid w:val="18917505"/>
    <w:rsid w:val="18940CB1"/>
    <w:rsid w:val="189A17C7"/>
    <w:rsid w:val="18A27AC9"/>
    <w:rsid w:val="18A36726"/>
    <w:rsid w:val="18E57A8F"/>
    <w:rsid w:val="191042DC"/>
    <w:rsid w:val="191345E4"/>
    <w:rsid w:val="192D3F41"/>
    <w:rsid w:val="197B539B"/>
    <w:rsid w:val="198255DB"/>
    <w:rsid w:val="19873650"/>
    <w:rsid w:val="198C03E3"/>
    <w:rsid w:val="19A57120"/>
    <w:rsid w:val="19AA40AE"/>
    <w:rsid w:val="1A020515"/>
    <w:rsid w:val="1A2B0D13"/>
    <w:rsid w:val="1A506245"/>
    <w:rsid w:val="1A540EAB"/>
    <w:rsid w:val="1A5E10FC"/>
    <w:rsid w:val="1A674A96"/>
    <w:rsid w:val="1A8100E9"/>
    <w:rsid w:val="1AB14F1B"/>
    <w:rsid w:val="1AB45720"/>
    <w:rsid w:val="1AD02F01"/>
    <w:rsid w:val="1AEF0A3F"/>
    <w:rsid w:val="1AF306A5"/>
    <w:rsid w:val="1AF4026C"/>
    <w:rsid w:val="1AF749ED"/>
    <w:rsid w:val="1B511C91"/>
    <w:rsid w:val="1B6D3E02"/>
    <w:rsid w:val="1BBB4D35"/>
    <w:rsid w:val="1BD55609"/>
    <w:rsid w:val="1BFE6A15"/>
    <w:rsid w:val="1C0E21D6"/>
    <w:rsid w:val="1C120C68"/>
    <w:rsid w:val="1C136562"/>
    <w:rsid w:val="1C2139E2"/>
    <w:rsid w:val="1C2F257B"/>
    <w:rsid w:val="1C3339B2"/>
    <w:rsid w:val="1C6C2600"/>
    <w:rsid w:val="1C772EE4"/>
    <w:rsid w:val="1C854396"/>
    <w:rsid w:val="1CAF59BF"/>
    <w:rsid w:val="1CB019BA"/>
    <w:rsid w:val="1CE906D9"/>
    <w:rsid w:val="1D0B7450"/>
    <w:rsid w:val="1D1051EB"/>
    <w:rsid w:val="1D17033E"/>
    <w:rsid w:val="1D1E34FF"/>
    <w:rsid w:val="1D3C4D97"/>
    <w:rsid w:val="1D456325"/>
    <w:rsid w:val="1D876363"/>
    <w:rsid w:val="1D9328E2"/>
    <w:rsid w:val="1DAB40F4"/>
    <w:rsid w:val="1DEB38DA"/>
    <w:rsid w:val="1E537224"/>
    <w:rsid w:val="1EBB0C2F"/>
    <w:rsid w:val="1EBC1866"/>
    <w:rsid w:val="1EC766EB"/>
    <w:rsid w:val="1EEB0918"/>
    <w:rsid w:val="1F6F4EC3"/>
    <w:rsid w:val="1F9840A6"/>
    <w:rsid w:val="1FA1268C"/>
    <w:rsid w:val="1FA53772"/>
    <w:rsid w:val="1FCD67E7"/>
    <w:rsid w:val="203E338B"/>
    <w:rsid w:val="20491C57"/>
    <w:rsid w:val="208732F2"/>
    <w:rsid w:val="20A508C5"/>
    <w:rsid w:val="20A63861"/>
    <w:rsid w:val="20C6461A"/>
    <w:rsid w:val="20C91B24"/>
    <w:rsid w:val="20E96098"/>
    <w:rsid w:val="20FD6043"/>
    <w:rsid w:val="21092AA9"/>
    <w:rsid w:val="211C35B6"/>
    <w:rsid w:val="21204FD7"/>
    <w:rsid w:val="212124CD"/>
    <w:rsid w:val="213432DC"/>
    <w:rsid w:val="213B4B25"/>
    <w:rsid w:val="216D54BD"/>
    <w:rsid w:val="216F59FD"/>
    <w:rsid w:val="218161F4"/>
    <w:rsid w:val="21C22B5C"/>
    <w:rsid w:val="21DB455F"/>
    <w:rsid w:val="21DD2120"/>
    <w:rsid w:val="21F902D1"/>
    <w:rsid w:val="224321F6"/>
    <w:rsid w:val="22552807"/>
    <w:rsid w:val="22603678"/>
    <w:rsid w:val="228D7D44"/>
    <w:rsid w:val="22C53104"/>
    <w:rsid w:val="22E1649F"/>
    <w:rsid w:val="22E87783"/>
    <w:rsid w:val="23327B80"/>
    <w:rsid w:val="23817021"/>
    <w:rsid w:val="239177A2"/>
    <w:rsid w:val="23B41DB4"/>
    <w:rsid w:val="23F165BD"/>
    <w:rsid w:val="24060717"/>
    <w:rsid w:val="24150A8C"/>
    <w:rsid w:val="241865C1"/>
    <w:rsid w:val="24476975"/>
    <w:rsid w:val="24737C58"/>
    <w:rsid w:val="248D1B33"/>
    <w:rsid w:val="249950E9"/>
    <w:rsid w:val="24C4423F"/>
    <w:rsid w:val="24CA7727"/>
    <w:rsid w:val="24DB3A0A"/>
    <w:rsid w:val="24DE547D"/>
    <w:rsid w:val="24EF237C"/>
    <w:rsid w:val="251D31E8"/>
    <w:rsid w:val="2520094B"/>
    <w:rsid w:val="252F5C30"/>
    <w:rsid w:val="25855109"/>
    <w:rsid w:val="25A54007"/>
    <w:rsid w:val="25BE5181"/>
    <w:rsid w:val="25DB291A"/>
    <w:rsid w:val="260207AC"/>
    <w:rsid w:val="265B5EEF"/>
    <w:rsid w:val="269C666C"/>
    <w:rsid w:val="26CD6B3F"/>
    <w:rsid w:val="26D513D7"/>
    <w:rsid w:val="26F36753"/>
    <w:rsid w:val="26F611C6"/>
    <w:rsid w:val="27444E5A"/>
    <w:rsid w:val="275020B3"/>
    <w:rsid w:val="2784278F"/>
    <w:rsid w:val="27982D80"/>
    <w:rsid w:val="27A803F9"/>
    <w:rsid w:val="27AD25A9"/>
    <w:rsid w:val="28102EF2"/>
    <w:rsid w:val="2813068B"/>
    <w:rsid w:val="28242295"/>
    <w:rsid w:val="28294D48"/>
    <w:rsid w:val="288475FB"/>
    <w:rsid w:val="28AE6E87"/>
    <w:rsid w:val="28B81055"/>
    <w:rsid w:val="293D5402"/>
    <w:rsid w:val="299522A6"/>
    <w:rsid w:val="29A5578A"/>
    <w:rsid w:val="29F936D8"/>
    <w:rsid w:val="2A187959"/>
    <w:rsid w:val="2A2F107B"/>
    <w:rsid w:val="2A3331A8"/>
    <w:rsid w:val="2A3E561C"/>
    <w:rsid w:val="2A537323"/>
    <w:rsid w:val="2A824616"/>
    <w:rsid w:val="2AB843B4"/>
    <w:rsid w:val="2ABD6112"/>
    <w:rsid w:val="2AC35EF8"/>
    <w:rsid w:val="2AD91853"/>
    <w:rsid w:val="2ADE2519"/>
    <w:rsid w:val="2AEE01E6"/>
    <w:rsid w:val="2AFA451D"/>
    <w:rsid w:val="2B1B173A"/>
    <w:rsid w:val="2B35642A"/>
    <w:rsid w:val="2B401D70"/>
    <w:rsid w:val="2B4D636C"/>
    <w:rsid w:val="2B550E4F"/>
    <w:rsid w:val="2B6646F6"/>
    <w:rsid w:val="2B754563"/>
    <w:rsid w:val="2B7B24F0"/>
    <w:rsid w:val="2BBE552A"/>
    <w:rsid w:val="2C0259C0"/>
    <w:rsid w:val="2C041527"/>
    <w:rsid w:val="2C352496"/>
    <w:rsid w:val="2C3D3EEB"/>
    <w:rsid w:val="2C400718"/>
    <w:rsid w:val="2C8505D1"/>
    <w:rsid w:val="2C983570"/>
    <w:rsid w:val="2C9E0AF7"/>
    <w:rsid w:val="2CBD1A02"/>
    <w:rsid w:val="2CE4317E"/>
    <w:rsid w:val="2D012FF7"/>
    <w:rsid w:val="2D2C6046"/>
    <w:rsid w:val="2D2E74C1"/>
    <w:rsid w:val="2D4D5564"/>
    <w:rsid w:val="2D5A33D6"/>
    <w:rsid w:val="2D7568C2"/>
    <w:rsid w:val="2D8F6E64"/>
    <w:rsid w:val="2D970EC5"/>
    <w:rsid w:val="2DB61775"/>
    <w:rsid w:val="2DB86B7A"/>
    <w:rsid w:val="2DC7102D"/>
    <w:rsid w:val="2DD0300F"/>
    <w:rsid w:val="2DD15C87"/>
    <w:rsid w:val="2DD47474"/>
    <w:rsid w:val="2DE17120"/>
    <w:rsid w:val="2E524AF3"/>
    <w:rsid w:val="2E6C2092"/>
    <w:rsid w:val="2EA3409D"/>
    <w:rsid w:val="2EC66EC5"/>
    <w:rsid w:val="2F2A388D"/>
    <w:rsid w:val="2F4163F6"/>
    <w:rsid w:val="2F5C213F"/>
    <w:rsid w:val="2F733797"/>
    <w:rsid w:val="2FC85026"/>
    <w:rsid w:val="2FD55768"/>
    <w:rsid w:val="2FE45E95"/>
    <w:rsid w:val="2FE90187"/>
    <w:rsid w:val="2FF31CB1"/>
    <w:rsid w:val="304160F8"/>
    <w:rsid w:val="30432D47"/>
    <w:rsid w:val="30752451"/>
    <w:rsid w:val="30787AEE"/>
    <w:rsid w:val="309662DC"/>
    <w:rsid w:val="30A46BA6"/>
    <w:rsid w:val="30A83FD1"/>
    <w:rsid w:val="30E92CF8"/>
    <w:rsid w:val="30ED2C8E"/>
    <w:rsid w:val="30F708AF"/>
    <w:rsid w:val="3114557B"/>
    <w:rsid w:val="31275D8A"/>
    <w:rsid w:val="31342837"/>
    <w:rsid w:val="31513CE2"/>
    <w:rsid w:val="31513D42"/>
    <w:rsid w:val="31820E96"/>
    <w:rsid w:val="31916D43"/>
    <w:rsid w:val="31AB0286"/>
    <w:rsid w:val="31AD7CF0"/>
    <w:rsid w:val="31B64A34"/>
    <w:rsid w:val="31C83682"/>
    <w:rsid w:val="320F1C60"/>
    <w:rsid w:val="323048D2"/>
    <w:rsid w:val="32320A1E"/>
    <w:rsid w:val="323D1CA2"/>
    <w:rsid w:val="326078C9"/>
    <w:rsid w:val="32795B44"/>
    <w:rsid w:val="327F030B"/>
    <w:rsid w:val="329F6FF1"/>
    <w:rsid w:val="32CB4E3F"/>
    <w:rsid w:val="332B6EAE"/>
    <w:rsid w:val="333609B2"/>
    <w:rsid w:val="335F7A86"/>
    <w:rsid w:val="33661EEF"/>
    <w:rsid w:val="338D6159"/>
    <w:rsid w:val="339C13D5"/>
    <w:rsid w:val="33EC5B8E"/>
    <w:rsid w:val="34215097"/>
    <w:rsid w:val="342832F0"/>
    <w:rsid w:val="3450585B"/>
    <w:rsid w:val="34900231"/>
    <w:rsid w:val="349C2F62"/>
    <w:rsid w:val="34A64D76"/>
    <w:rsid w:val="34D90CAE"/>
    <w:rsid w:val="350A1100"/>
    <w:rsid w:val="351112EF"/>
    <w:rsid w:val="35444D91"/>
    <w:rsid w:val="35755765"/>
    <w:rsid w:val="359A1805"/>
    <w:rsid w:val="35B04173"/>
    <w:rsid w:val="35D42410"/>
    <w:rsid w:val="35DA4350"/>
    <w:rsid w:val="36067A29"/>
    <w:rsid w:val="361276D2"/>
    <w:rsid w:val="36415032"/>
    <w:rsid w:val="36655D9D"/>
    <w:rsid w:val="367916AC"/>
    <w:rsid w:val="3682340D"/>
    <w:rsid w:val="368679F1"/>
    <w:rsid w:val="36D11F35"/>
    <w:rsid w:val="36D52385"/>
    <w:rsid w:val="37014050"/>
    <w:rsid w:val="375E56CF"/>
    <w:rsid w:val="378113D6"/>
    <w:rsid w:val="37976515"/>
    <w:rsid w:val="37A553C4"/>
    <w:rsid w:val="37AC07A6"/>
    <w:rsid w:val="37D55A53"/>
    <w:rsid w:val="37EE4AF6"/>
    <w:rsid w:val="381620C9"/>
    <w:rsid w:val="381B7ECC"/>
    <w:rsid w:val="38280A2C"/>
    <w:rsid w:val="38482442"/>
    <w:rsid w:val="384C6FAB"/>
    <w:rsid w:val="38581A14"/>
    <w:rsid w:val="386229F0"/>
    <w:rsid w:val="38742EF7"/>
    <w:rsid w:val="387F56F3"/>
    <w:rsid w:val="38841490"/>
    <w:rsid w:val="38D00635"/>
    <w:rsid w:val="390E350E"/>
    <w:rsid w:val="39110EF1"/>
    <w:rsid w:val="39330B4C"/>
    <w:rsid w:val="393405A2"/>
    <w:rsid w:val="393607E9"/>
    <w:rsid w:val="398C7AEF"/>
    <w:rsid w:val="39A90B97"/>
    <w:rsid w:val="39D87C45"/>
    <w:rsid w:val="39EB43CA"/>
    <w:rsid w:val="39EE6433"/>
    <w:rsid w:val="3A3B0B5F"/>
    <w:rsid w:val="3A724EBA"/>
    <w:rsid w:val="3A971447"/>
    <w:rsid w:val="3ABB3090"/>
    <w:rsid w:val="3ABD4178"/>
    <w:rsid w:val="3AF152E9"/>
    <w:rsid w:val="3B506F70"/>
    <w:rsid w:val="3BBE601B"/>
    <w:rsid w:val="3BD54568"/>
    <w:rsid w:val="3BDF6D36"/>
    <w:rsid w:val="3BEF1118"/>
    <w:rsid w:val="3C190FCE"/>
    <w:rsid w:val="3C7A3523"/>
    <w:rsid w:val="3CA87B28"/>
    <w:rsid w:val="3CDF0A4C"/>
    <w:rsid w:val="3CF72479"/>
    <w:rsid w:val="3CFE0E05"/>
    <w:rsid w:val="3D55032D"/>
    <w:rsid w:val="3D9321F2"/>
    <w:rsid w:val="3DB52001"/>
    <w:rsid w:val="3DD178E9"/>
    <w:rsid w:val="3DD35DD2"/>
    <w:rsid w:val="3DE51856"/>
    <w:rsid w:val="3DF47FD6"/>
    <w:rsid w:val="3E0C71C0"/>
    <w:rsid w:val="3E7543ED"/>
    <w:rsid w:val="3E80203B"/>
    <w:rsid w:val="3EA207F2"/>
    <w:rsid w:val="3EC70647"/>
    <w:rsid w:val="3EC93C52"/>
    <w:rsid w:val="3ECD68A1"/>
    <w:rsid w:val="3EDE4E3F"/>
    <w:rsid w:val="3F3E1F86"/>
    <w:rsid w:val="3FA170C8"/>
    <w:rsid w:val="3FA41008"/>
    <w:rsid w:val="40051582"/>
    <w:rsid w:val="401E6A8D"/>
    <w:rsid w:val="401F24F5"/>
    <w:rsid w:val="40346DA3"/>
    <w:rsid w:val="404E7B9F"/>
    <w:rsid w:val="406420B8"/>
    <w:rsid w:val="407224EF"/>
    <w:rsid w:val="407E2B15"/>
    <w:rsid w:val="40A55698"/>
    <w:rsid w:val="40CE5CCF"/>
    <w:rsid w:val="40DC0E14"/>
    <w:rsid w:val="40E54567"/>
    <w:rsid w:val="41102C50"/>
    <w:rsid w:val="41A13BF5"/>
    <w:rsid w:val="41DB21EA"/>
    <w:rsid w:val="41E23C78"/>
    <w:rsid w:val="41F42D08"/>
    <w:rsid w:val="41F84955"/>
    <w:rsid w:val="424A0B14"/>
    <w:rsid w:val="4251750E"/>
    <w:rsid w:val="42667A51"/>
    <w:rsid w:val="42961224"/>
    <w:rsid w:val="42B21B80"/>
    <w:rsid w:val="42C677DE"/>
    <w:rsid w:val="43172726"/>
    <w:rsid w:val="431F3987"/>
    <w:rsid w:val="432154A3"/>
    <w:rsid w:val="4354229C"/>
    <w:rsid w:val="4354797F"/>
    <w:rsid w:val="43593107"/>
    <w:rsid w:val="43615797"/>
    <w:rsid w:val="436529BE"/>
    <w:rsid w:val="438B166E"/>
    <w:rsid w:val="43A63E1E"/>
    <w:rsid w:val="43B463DE"/>
    <w:rsid w:val="43D963DC"/>
    <w:rsid w:val="4420725F"/>
    <w:rsid w:val="44230047"/>
    <w:rsid w:val="443E61EA"/>
    <w:rsid w:val="444A17E1"/>
    <w:rsid w:val="448205D0"/>
    <w:rsid w:val="44C52D9D"/>
    <w:rsid w:val="44EE013A"/>
    <w:rsid w:val="44EF5F01"/>
    <w:rsid w:val="44FE4F21"/>
    <w:rsid w:val="45050C65"/>
    <w:rsid w:val="45620023"/>
    <w:rsid w:val="456B3CD0"/>
    <w:rsid w:val="45DC51F6"/>
    <w:rsid w:val="461D1547"/>
    <w:rsid w:val="46250654"/>
    <w:rsid w:val="463F058C"/>
    <w:rsid w:val="464B3264"/>
    <w:rsid w:val="465D786B"/>
    <w:rsid w:val="4678522D"/>
    <w:rsid w:val="467E2623"/>
    <w:rsid w:val="46C7757F"/>
    <w:rsid w:val="46EA25EC"/>
    <w:rsid w:val="47003825"/>
    <w:rsid w:val="470F065D"/>
    <w:rsid w:val="47323494"/>
    <w:rsid w:val="47767A96"/>
    <w:rsid w:val="47A10C37"/>
    <w:rsid w:val="47E0354B"/>
    <w:rsid w:val="480D79D5"/>
    <w:rsid w:val="48262B18"/>
    <w:rsid w:val="485F682A"/>
    <w:rsid w:val="4883600D"/>
    <w:rsid w:val="489379F5"/>
    <w:rsid w:val="48951E72"/>
    <w:rsid w:val="489F506F"/>
    <w:rsid w:val="48A5091B"/>
    <w:rsid w:val="48CA1F25"/>
    <w:rsid w:val="48ED5346"/>
    <w:rsid w:val="48F95EC4"/>
    <w:rsid w:val="48FF5750"/>
    <w:rsid w:val="49182783"/>
    <w:rsid w:val="49256FF7"/>
    <w:rsid w:val="497D4F00"/>
    <w:rsid w:val="499F35BB"/>
    <w:rsid w:val="49B93BA1"/>
    <w:rsid w:val="49E82CF0"/>
    <w:rsid w:val="49FC738D"/>
    <w:rsid w:val="49FD0240"/>
    <w:rsid w:val="4A06406B"/>
    <w:rsid w:val="4A165356"/>
    <w:rsid w:val="4A2567F0"/>
    <w:rsid w:val="4A3E3856"/>
    <w:rsid w:val="4A3F2845"/>
    <w:rsid w:val="4A5B6E2D"/>
    <w:rsid w:val="4A5E6DAC"/>
    <w:rsid w:val="4A6077BA"/>
    <w:rsid w:val="4A7123DC"/>
    <w:rsid w:val="4A8A2382"/>
    <w:rsid w:val="4ABE682B"/>
    <w:rsid w:val="4AE37001"/>
    <w:rsid w:val="4AF51571"/>
    <w:rsid w:val="4B2B4045"/>
    <w:rsid w:val="4B445FDC"/>
    <w:rsid w:val="4B573B7D"/>
    <w:rsid w:val="4B8E3D1F"/>
    <w:rsid w:val="4BF83CC4"/>
    <w:rsid w:val="4BF90F26"/>
    <w:rsid w:val="4C0B4AF1"/>
    <w:rsid w:val="4C3F341D"/>
    <w:rsid w:val="4C5E15CB"/>
    <w:rsid w:val="4C635140"/>
    <w:rsid w:val="4C791870"/>
    <w:rsid w:val="4CB4322D"/>
    <w:rsid w:val="4CCD5A11"/>
    <w:rsid w:val="4D3100C7"/>
    <w:rsid w:val="4D4366B3"/>
    <w:rsid w:val="4D627FF4"/>
    <w:rsid w:val="4D7F3188"/>
    <w:rsid w:val="4D943406"/>
    <w:rsid w:val="4DA36CBE"/>
    <w:rsid w:val="4DFD73B7"/>
    <w:rsid w:val="4E01655E"/>
    <w:rsid w:val="4E141073"/>
    <w:rsid w:val="4E146E42"/>
    <w:rsid w:val="4E240E4F"/>
    <w:rsid w:val="4E4C178A"/>
    <w:rsid w:val="4E6F116B"/>
    <w:rsid w:val="4E704166"/>
    <w:rsid w:val="4E750F59"/>
    <w:rsid w:val="4E794F57"/>
    <w:rsid w:val="4EA12B37"/>
    <w:rsid w:val="4EC24C70"/>
    <w:rsid w:val="4EDA418F"/>
    <w:rsid w:val="4EE954AB"/>
    <w:rsid w:val="4F0207D2"/>
    <w:rsid w:val="4F372EB7"/>
    <w:rsid w:val="4F3941D5"/>
    <w:rsid w:val="4F3D28C7"/>
    <w:rsid w:val="4F833186"/>
    <w:rsid w:val="4FA35444"/>
    <w:rsid w:val="4FE111B6"/>
    <w:rsid w:val="50511F8F"/>
    <w:rsid w:val="505C09E2"/>
    <w:rsid w:val="50662D7E"/>
    <w:rsid w:val="508F3857"/>
    <w:rsid w:val="50904C95"/>
    <w:rsid w:val="50A5375D"/>
    <w:rsid w:val="50A63709"/>
    <w:rsid w:val="50A8750D"/>
    <w:rsid w:val="50C428D3"/>
    <w:rsid w:val="50FB45EA"/>
    <w:rsid w:val="5101058A"/>
    <w:rsid w:val="51047F05"/>
    <w:rsid w:val="513C0468"/>
    <w:rsid w:val="51417317"/>
    <w:rsid w:val="5147020F"/>
    <w:rsid w:val="514F72CC"/>
    <w:rsid w:val="519D2F76"/>
    <w:rsid w:val="51B95838"/>
    <w:rsid w:val="51BB7038"/>
    <w:rsid w:val="51CA2DF2"/>
    <w:rsid w:val="51ED5266"/>
    <w:rsid w:val="51F6583F"/>
    <w:rsid w:val="51FD7772"/>
    <w:rsid w:val="520B4714"/>
    <w:rsid w:val="52197D0F"/>
    <w:rsid w:val="523101E1"/>
    <w:rsid w:val="528A4D7B"/>
    <w:rsid w:val="529019CD"/>
    <w:rsid w:val="52AE6FFC"/>
    <w:rsid w:val="52F14319"/>
    <w:rsid w:val="531A422B"/>
    <w:rsid w:val="532446BF"/>
    <w:rsid w:val="5330589A"/>
    <w:rsid w:val="53464CAF"/>
    <w:rsid w:val="534B333B"/>
    <w:rsid w:val="53667568"/>
    <w:rsid w:val="53945662"/>
    <w:rsid w:val="539467ED"/>
    <w:rsid w:val="53A7545B"/>
    <w:rsid w:val="53A913B7"/>
    <w:rsid w:val="53EB0066"/>
    <w:rsid w:val="53FE095E"/>
    <w:rsid w:val="54055DA0"/>
    <w:rsid w:val="545C48F6"/>
    <w:rsid w:val="54607814"/>
    <w:rsid w:val="54831C1C"/>
    <w:rsid w:val="549B42C1"/>
    <w:rsid w:val="549D42C8"/>
    <w:rsid w:val="54B61C48"/>
    <w:rsid w:val="54BA04D0"/>
    <w:rsid w:val="54CA529E"/>
    <w:rsid w:val="54E82986"/>
    <w:rsid w:val="55213A44"/>
    <w:rsid w:val="55213B1F"/>
    <w:rsid w:val="554978A7"/>
    <w:rsid w:val="556F6887"/>
    <w:rsid w:val="55745F36"/>
    <w:rsid w:val="55C72D40"/>
    <w:rsid w:val="55E25B4D"/>
    <w:rsid w:val="55ED757C"/>
    <w:rsid w:val="55FA236E"/>
    <w:rsid w:val="56366E31"/>
    <w:rsid w:val="563D295D"/>
    <w:rsid w:val="56A03510"/>
    <w:rsid w:val="56DB0C3B"/>
    <w:rsid w:val="56F15DE9"/>
    <w:rsid w:val="571D2CC5"/>
    <w:rsid w:val="573A1CFB"/>
    <w:rsid w:val="57623786"/>
    <w:rsid w:val="57721920"/>
    <w:rsid w:val="57B25566"/>
    <w:rsid w:val="57BA7079"/>
    <w:rsid w:val="57E14D67"/>
    <w:rsid w:val="57F95F1E"/>
    <w:rsid w:val="580E740B"/>
    <w:rsid w:val="582A7928"/>
    <w:rsid w:val="583C4F2F"/>
    <w:rsid w:val="58405E83"/>
    <w:rsid w:val="58694541"/>
    <w:rsid w:val="588E427B"/>
    <w:rsid w:val="58946CA1"/>
    <w:rsid w:val="58AC2C5F"/>
    <w:rsid w:val="58AD1419"/>
    <w:rsid w:val="58B341C1"/>
    <w:rsid w:val="58E739ED"/>
    <w:rsid w:val="5902154F"/>
    <w:rsid w:val="59316864"/>
    <w:rsid w:val="594515C3"/>
    <w:rsid w:val="5948251A"/>
    <w:rsid w:val="59524944"/>
    <w:rsid w:val="597A42AE"/>
    <w:rsid w:val="59870360"/>
    <w:rsid w:val="598F4D10"/>
    <w:rsid w:val="59D01FE2"/>
    <w:rsid w:val="59D7630F"/>
    <w:rsid w:val="59E30018"/>
    <w:rsid w:val="59ED641E"/>
    <w:rsid w:val="5A1222DF"/>
    <w:rsid w:val="5A3D69F0"/>
    <w:rsid w:val="5A8F430E"/>
    <w:rsid w:val="5AAB56AF"/>
    <w:rsid w:val="5AD21F65"/>
    <w:rsid w:val="5AF04797"/>
    <w:rsid w:val="5B0C0D52"/>
    <w:rsid w:val="5B121863"/>
    <w:rsid w:val="5B245AA5"/>
    <w:rsid w:val="5B3162E9"/>
    <w:rsid w:val="5B400FDA"/>
    <w:rsid w:val="5B7C0F8D"/>
    <w:rsid w:val="5BAB13CB"/>
    <w:rsid w:val="5BB90779"/>
    <w:rsid w:val="5BD8423B"/>
    <w:rsid w:val="5BDF15F5"/>
    <w:rsid w:val="5BF93B1E"/>
    <w:rsid w:val="5C542C5A"/>
    <w:rsid w:val="5C6226F1"/>
    <w:rsid w:val="5C6C0E29"/>
    <w:rsid w:val="5C7D760E"/>
    <w:rsid w:val="5CAE4A64"/>
    <w:rsid w:val="5CB87CF2"/>
    <w:rsid w:val="5CDA66AC"/>
    <w:rsid w:val="5D334E29"/>
    <w:rsid w:val="5D496448"/>
    <w:rsid w:val="5D4B2718"/>
    <w:rsid w:val="5D576D22"/>
    <w:rsid w:val="5D7974AC"/>
    <w:rsid w:val="5DA91133"/>
    <w:rsid w:val="5DDF3C6C"/>
    <w:rsid w:val="5E23499A"/>
    <w:rsid w:val="5E2E3005"/>
    <w:rsid w:val="5E3720E7"/>
    <w:rsid w:val="5E5C3C9C"/>
    <w:rsid w:val="5E8C517B"/>
    <w:rsid w:val="5E914038"/>
    <w:rsid w:val="5E9B61E1"/>
    <w:rsid w:val="5EA20770"/>
    <w:rsid w:val="5EEA75C5"/>
    <w:rsid w:val="5EF71A5E"/>
    <w:rsid w:val="5F13785F"/>
    <w:rsid w:val="5F2B2B70"/>
    <w:rsid w:val="5F4032D8"/>
    <w:rsid w:val="5F475361"/>
    <w:rsid w:val="5F75697E"/>
    <w:rsid w:val="5F782098"/>
    <w:rsid w:val="5F7872CA"/>
    <w:rsid w:val="5F991EFB"/>
    <w:rsid w:val="5FB20531"/>
    <w:rsid w:val="5FBD6EBF"/>
    <w:rsid w:val="5FC52ADE"/>
    <w:rsid w:val="5FD92C1D"/>
    <w:rsid w:val="602426AF"/>
    <w:rsid w:val="60567C8B"/>
    <w:rsid w:val="605D0750"/>
    <w:rsid w:val="60666BF3"/>
    <w:rsid w:val="607957CC"/>
    <w:rsid w:val="60864B6A"/>
    <w:rsid w:val="609F43E6"/>
    <w:rsid w:val="60CC63E2"/>
    <w:rsid w:val="60EF006B"/>
    <w:rsid w:val="610845E6"/>
    <w:rsid w:val="610D1B42"/>
    <w:rsid w:val="61296849"/>
    <w:rsid w:val="612C17AC"/>
    <w:rsid w:val="615570B6"/>
    <w:rsid w:val="616D556F"/>
    <w:rsid w:val="617317A2"/>
    <w:rsid w:val="618C1E02"/>
    <w:rsid w:val="61C03F0F"/>
    <w:rsid w:val="61D069B4"/>
    <w:rsid w:val="61E355F8"/>
    <w:rsid w:val="622844F0"/>
    <w:rsid w:val="622C7F14"/>
    <w:rsid w:val="626174F3"/>
    <w:rsid w:val="627E73BD"/>
    <w:rsid w:val="62BF1C0C"/>
    <w:rsid w:val="62CB5F9C"/>
    <w:rsid w:val="63080579"/>
    <w:rsid w:val="63136C06"/>
    <w:rsid w:val="63251F93"/>
    <w:rsid w:val="6373404E"/>
    <w:rsid w:val="637A5D1C"/>
    <w:rsid w:val="638A57B1"/>
    <w:rsid w:val="63922C22"/>
    <w:rsid w:val="639F70E3"/>
    <w:rsid w:val="63A4706C"/>
    <w:rsid w:val="63B74E9E"/>
    <w:rsid w:val="63C00A28"/>
    <w:rsid w:val="63E65E32"/>
    <w:rsid w:val="63EB732A"/>
    <w:rsid w:val="63F4131F"/>
    <w:rsid w:val="642A3221"/>
    <w:rsid w:val="644D767C"/>
    <w:rsid w:val="64BD535E"/>
    <w:rsid w:val="64C8649F"/>
    <w:rsid w:val="64C916B5"/>
    <w:rsid w:val="64D23F55"/>
    <w:rsid w:val="64E50C85"/>
    <w:rsid w:val="655D63A4"/>
    <w:rsid w:val="656E648C"/>
    <w:rsid w:val="65727500"/>
    <w:rsid w:val="65774FC7"/>
    <w:rsid w:val="658C73C0"/>
    <w:rsid w:val="659A606C"/>
    <w:rsid w:val="65A920E5"/>
    <w:rsid w:val="65B67E88"/>
    <w:rsid w:val="65C61D54"/>
    <w:rsid w:val="65D52A02"/>
    <w:rsid w:val="65F94944"/>
    <w:rsid w:val="662F34B9"/>
    <w:rsid w:val="662F645A"/>
    <w:rsid w:val="66636EFC"/>
    <w:rsid w:val="667C78B5"/>
    <w:rsid w:val="6686587F"/>
    <w:rsid w:val="66882965"/>
    <w:rsid w:val="66B87850"/>
    <w:rsid w:val="66C538E7"/>
    <w:rsid w:val="66D976EE"/>
    <w:rsid w:val="66E21184"/>
    <w:rsid w:val="66E274C8"/>
    <w:rsid w:val="675F4060"/>
    <w:rsid w:val="67691D87"/>
    <w:rsid w:val="67695EDC"/>
    <w:rsid w:val="67735E24"/>
    <w:rsid w:val="677603B3"/>
    <w:rsid w:val="6783754E"/>
    <w:rsid w:val="67851E50"/>
    <w:rsid w:val="678610CF"/>
    <w:rsid w:val="67C47202"/>
    <w:rsid w:val="67E13313"/>
    <w:rsid w:val="67F40EB7"/>
    <w:rsid w:val="680B7ABF"/>
    <w:rsid w:val="68183E7E"/>
    <w:rsid w:val="6829110C"/>
    <w:rsid w:val="683D35C9"/>
    <w:rsid w:val="6860249A"/>
    <w:rsid w:val="68817CE8"/>
    <w:rsid w:val="68BC6ED7"/>
    <w:rsid w:val="692D7E31"/>
    <w:rsid w:val="694935D8"/>
    <w:rsid w:val="69A41541"/>
    <w:rsid w:val="69C15BFD"/>
    <w:rsid w:val="69F451B0"/>
    <w:rsid w:val="6A06038D"/>
    <w:rsid w:val="6A1161FE"/>
    <w:rsid w:val="6A625145"/>
    <w:rsid w:val="6A7C5296"/>
    <w:rsid w:val="6AB67C96"/>
    <w:rsid w:val="6ABE358C"/>
    <w:rsid w:val="6AFA4628"/>
    <w:rsid w:val="6B4738B9"/>
    <w:rsid w:val="6B551533"/>
    <w:rsid w:val="6B5E1B7E"/>
    <w:rsid w:val="6BB5673E"/>
    <w:rsid w:val="6BC8435B"/>
    <w:rsid w:val="6BFB2372"/>
    <w:rsid w:val="6C106732"/>
    <w:rsid w:val="6C20563E"/>
    <w:rsid w:val="6C8C765F"/>
    <w:rsid w:val="6C9301BE"/>
    <w:rsid w:val="6D5C0D3F"/>
    <w:rsid w:val="6D8140C7"/>
    <w:rsid w:val="6D902BE3"/>
    <w:rsid w:val="6D9E3197"/>
    <w:rsid w:val="6DAE1733"/>
    <w:rsid w:val="6DD9213B"/>
    <w:rsid w:val="6DEC22C4"/>
    <w:rsid w:val="6E022A40"/>
    <w:rsid w:val="6E132676"/>
    <w:rsid w:val="6E262314"/>
    <w:rsid w:val="6E461CFF"/>
    <w:rsid w:val="6E467941"/>
    <w:rsid w:val="6E4953EE"/>
    <w:rsid w:val="6E624079"/>
    <w:rsid w:val="6E787A31"/>
    <w:rsid w:val="6F7438CA"/>
    <w:rsid w:val="6F76352C"/>
    <w:rsid w:val="6F7F35CC"/>
    <w:rsid w:val="6F867A78"/>
    <w:rsid w:val="6F8C7025"/>
    <w:rsid w:val="6FBB5F2E"/>
    <w:rsid w:val="6FCB5EF8"/>
    <w:rsid w:val="6FD64DEF"/>
    <w:rsid w:val="707D3DB4"/>
    <w:rsid w:val="709475F9"/>
    <w:rsid w:val="70B04438"/>
    <w:rsid w:val="70DB278B"/>
    <w:rsid w:val="712108B6"/>
    <w:rsid w:val="71315CEB"/>
    <w:rsid w:val="715C6D8C"/>
    <w:rsid w:val="718C3469"/>
    <w:rsid w:val="71B6518B"/>
    <w:rsid w:val="71DB1943"/>
    <w:rsid w:val="71F00493"/>
    <w:rsid w:val="71F86F8A"/>
    <w:rsid w:val="724F53DD"/>
    <w:rsid w:val="72610297"/>
    <w:rsid w:val="727B1958"/>
    <w:rsid w:val="72953C1A"/>
    <w:rsid w:val="72A002F9"/>
    <w:rsid w:val="72D866D9"/>
    <w:rsid w:val="72EE2832"/>
    <w:rsid w:val="72FC27FA"/>
    <w:rsid w:val="730E014F"/>
    <w:rsid w:val="73397727"/>
    <w:rsid w:val="733A055C"/>
    <w:rsid w:val="73696DF0"/>
    <w:rsid w:val="73781DD7"/>
    <w:rsid w:val="739004A2"/>
    <w:rsid w:val="739958CB"/>
    <w:rsid w:val="73BE01F6"/>
    <w:rsid w:val="73C12F5A"/>
    <w:rsid w:val="73D27975"/>
    <w:rsid w:val="74007354"/>
    <w:rsid w:val="746846B4"/>
    <w:rsid w:val="749D7DE8"/>
    <w:rsid w:val="74B55F10"/>
    <w:rsid w:val="74C64DE2"/>
    <w:rsid w:val="74D9511F"/>
    <w:rsid w:val="74E500B6"/>
    <w:rsid w:val="74E73540"/>
    <w:rsid w:val="75572750"/>
    <w:rsid w:val="75764378"/>
    <w:rsid w:val="75BA6F6E"/>
    <w:rsid w:val="75EA3D5D"/>
    <w:rsid w:val="761F26BA"/>
    <w:rsid w:val="76203753"/>
    <w:rsid w:val="76280A25"/>
    <w:rsid w:val="76316A17"/>
    <w:rsid w:val="763345EF"/>
    <w:rsid w:val="763919E1"/>
    <w:rsid w:val="76522254"/>
    <w:rsid w:val="76542B0E"/>
    <w:rsid w:val="76547112"/>
    <w:rsid w:val="76573031"/>
    <w:rsid w:val="765F304B"/>
    <w:rsid w:val="765F4905"/>
    <w:rsid w:val="76644071"/>
    <w:rsid w:val="76673AC9"/>
    <w:rsid w:val="76732D15"/>
    <w:rsid w:val="76812832"/>
    <w:rsid w:val="76835460"/>
    <w:rsid w:val="76D9398D"/>
    <w:rsid w:val="76E300B2"/>
    <w:rsid w:val="76E732D0"/>
    <w:rsid w:val="77017C0B"/>
    <w:rsid w:val="773A14A3"/>
    <w:rsid w:val="773A490B"/>
    <w:rsid w:val="775307DF"/>
    <w:rsid w:val="775A1098"/>
    <w:rsid w:val="776F09BF"/>
    <w:rsid w:val="77702CD4"/>
    <w:rsid w:val="77823492"/>
    <w:rsid w:val="77886D41"/>
    <w:rsid w:val="77906A0C"/>
    <w:rsid w:val="77AF326A"/>
    <w:rsid w:val="77CC6501"/>
    <w:rsid w:val="77D37CE0"/>
    <w:rsid w:val="77DC33BB"/>
    <w:rsid w:val="77F87BB4"/>
    <w:rsid w:val="77FF05B4"/>
    <w:rsid w:val="78304F77"/>
    <w:rsid w:val="785C1F4C"/>
    <w:rsid w:val="78672983"/>
    <w:rsid w:val="787261A5"/>
    <w:rsid w:val="788700C7"/>
    <w:rsid w:val="789E2565"/>
    <w:rsid w:val="78B92335"/>
    <w:rsid w:val="78D70CF8"/>
    <w:rsid w:val="79292B5A"/>
    <w:rsid w:val="792C6738"/>
    <w:rsid w:val="7931772B"/>
    <w:rsid w:val="7959583B"/>
    <w:rsid w:val="796A7E0B"/>
    <w:rsid w:val="79960C6D"/>
    <w:rsid w:val="79A548AE"/>
    <w:rsid w:val="79AB1380"/>
    <w:rsid w:val="79E5013C"/>
    <w:rsid w:val="79EF0D44"/>
    <w:rsid w:val="79F12139"/>
    <w:rsid w:val="7A0250AD"/>
    <w:rsid w:val="7A0E1142"/>
    <w:rsid w:val="7A4C0BDD"/>
    <w:rsid w:val="7A5B69D5"/>
    <w:rsid w:val="7AB22220"/>
    <w:rsid w:val="7AFA4A23"/>
    <w:rsid w:val="7B1C044D"/>
    <w:rsid w:val="7B6D3A74"/>
    <w:rsid w:val="7B88203E"/>
    <w:rsid w:val="7BC22E22"/>
    <w:rsid w:val="7BCC5730"/>
    <w:rsid w:val="7BD625D3"/>
    <w:rsid w:val="7BF131E7"/>
    <w:rsid w:val="7C1B653F"/>
    <w:rsid w:val="7C442D1A"/>
    <w:rsid w:val="7C5936CD"/>
    <w:rsid w:val="7C7F3DF8"/>
    <w:rsid w:val="7C9B64FD"/>
    <w:rsid w:val="7CBE2865"/>
    <w:rsid w:val="7CEE04A6"/>
    <w:rsid w:val="7D000B1A"/>
    <w:rsid w:val="7D044E9F"/>
    <w:rsid w:val="7D0A0F84"/>
    <w:rsid w:val="7D1D6D06"/>
    <w:rsid w:val="7D3E30B6"/>
    <w:rsid w:val="7D710D2F"/>
    <w:rsid w:val="7DC063B7"/>
    <w:rsid w:val="7DEE367C"/>
    <w:rsid w:val="7DF6136B"/>
    <w:rsid w:val="7DF96D5F"/>
    <w:rsid w:val="7E070526"/>
    <w:rsid w:val="7E24359E"/>
    <w:rsid w:val="7E367079"/>
    <w:rsid w:val="7E633231"/>
    <w:rsid w:val="7E9E7ED3"/>
    <w:rsid w:val="7EC568D6"/>
    <w:rsid w:val="7EE46F93"/>
    <w:rsid w:val="7EF10DD3"/>
    <w:rsid w:val="7F1E615D"/>
    <w:rsid w:val="7F24657D"/>
    <w:rsid w:val="7F2C7816"/>
    <w:rsid w:val="7F7B5819"/>
    <w:rsid w:val="7F801669"/>
    <w:rsid w:val="7F911D55"/>
    <w:rsid w:val="7F991648"/>
    <w:rsid w:val="7F9F2371"/>
    <w:rsid w:val="7FD076DD"/>
    <w:rsid w:val="7FEE5D29"/>
    <w:rsid w:val="7FF834A5"/>
    <w:rsid w:val="7FFE2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utoSpaceDE w:val="0"/>
      <w:autoSpaceDN w:val="0"/>
      <w:adjustRightInd w:val="0"/>
      <w:textAlignment w:val="baseline"/>
    </w:pPr>
    <w:rPr>
      <w:rFonts w:ascii="宋体" w:hAnsiTheme="minorHAnsi" w:eastAsiaTheme="minorEastAsia" w:cstheme="minorBidi"/>
      <w:sz w:val="28"/>
      <w:szCs w:val="22"/>
      <w:lang w:val="en-US" w:eastAsia="zh-CN" w:bidi="ar-SA"/>
    </w:rPr>
  </w:style>
  <w:style w:type="paragraph" w:styleId="3">
    <w:name w:val="heading 1"/>
    <w:basedOn w:val="1"/>
    <w:next w:val="1"/>
    <w:qFormat/>
    <w:uiPriority w:val="0"/>
    <w:pPr>
      <w:keepNext/>
      <w:keepLines/>
      <w:spacing w:line="578" w:lineRule="auto"/>
      <w:outlineLvl w:val="0"/>
    </w:pPr>
    <w:rPr>
      <w:b/>
      <w:bCs/>
      <w:kern w:val="44"/>
      <w:sz w:val="44"/>
      <w:szCs w:val="44"/>
    </w:rPr>
  </w:style>
  <w:style w:type="paragraph" w:styleId="4">
    <w:name w:val="heading 2"/>
    <w:basedOn w:val="1"/>
    <w:next w:val="2"/>
    <w:unhideWhenUsed/>
    <w:qFormat/>
    <w:uiPriority w:val="0"/>
    <w:pPr>
      <w:spacing w:line="660" w:lineRule="atLeast"/>
      <w:jc w:val="center"/>
      <w:outlineLvl w:val="1"/>
    </w:pPr>
    <w:rPr>
      <w:rFonts w:ascii="仿宋_GB2312" w:eastAsia="仿宋_GB2312"/>
      <w:b/>
      <w:bCs/>
      <w:spacing w:val="-16"/>
      <w:sz w:val="32"/>
      <w:szCs w:val="32"/>
    </w:rPr>
  </w:style>
  <w:style w:type="paragraph" w:styleId="5">
    <w:name w:val="heading 3"/>
    <w:basedOn w:val="1"/>
    <w:next w:val="1"/>
    <w:link w:val="25"/>
    <w:unhideWhenUsed/>
    <w:qFormat/>
    <w:uiPriority w:val="0"/>
    <w:pPr>
      <w:keepNext/>
      <w:keepLines/>
      <w:spacing w:line="413" w:lineRule="auto"/>
      <w:outlineLvl w:val="2"/>
    </w:pPr>
    <w:rPr>
      <w:rFonts w:hAnsi="宋体"/>
      <w:b/>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style>
  <w:style w:type="paragraph" w:styleId="6">
    <w:name w:val="Document Map"/>
    <w:basedOn w:val="1"/>
    <w:link w:val="28"/>
    <w:qFormat/>
    <w:uiPriority w:val="0"/>
    <w:rPr>
      <w:rFonts w:eastAsia="宋体"/>
      <w:sz w:val="18"/>
      <w:szCs w:val="18"/>
    </w:rPr>
  </w:style>
  <w:style w:type="paragraph" w:styleId="7">
    <w:name w:val="annotation text"/>
    <w:basedOn w:val="1"/>
    <w:link w:val="29"/>
    <w:qFormat/>
    <w:uiPriority w:val="0"/>
  </w:style>
  <w:style w:type="paragraph" w:styleId="8">
    <w:name w:val="Body Text"/>
    <w:basedOn w:val="1"/>
    <w:qFormat/>
    <w:uiPriority w:val="0"/>
    <w:rPr>
      <w:rFonts w:ascii="仿宋_GB2312" w:eastAsia="仿宋_GB2312"/>
    </w:rPr>
  </w:style>
  <w:style w:type="paragraph" w:styleId="9">
    <w:name w:val="toc 3"/>
    <w:basedOn w:val="1"/>
    <w:next w:val="1"/>
    <w:qFormat/>
    <w:uiPriority w:val="0"/>
    <w:pPr>
      <w:ind w:left="840" w:leftChars="400"/>
    </w:pPr>
  </w:style>
  <w:style w:type="paragraph" w:styleId="10">
    <w:name w:val="Date"/>
    <w:basedOn w:val="1"/>
    <w:next w:val="1"/>
    <w:qFormat/>
    <w:uiPriority w:val="0"/>
    <w:pPr>
      <w:spacing w:line="400" w:lineRule="atLeast"/>
      <w:ind w:left="100" w:leftChars="2500" w:firstLine="454"/>
    </w:pPr>
    <w:rPr>
      <w:rFonts w:ascii="仿宋_GB2312" w:eastAsia="仿宋_GB2312"/>
      <w:spacing w:val="-16"/>
    </w:rPr>
  </w:style>
  <w:style w:type="paragraph" w:styleId="11">
    <w:name w:val="Balloon Text"/>
    <w:basedOn w:val="1"/>
    <w:link w:val="26"/>
    <w:qFormat/>
    <w:uiPriority w:val="0"/>
    <w:rPr>
      <w:sz w:val="18"/>
      <w:szCs w:val="18"/>
    </w:rPr>
  </w:style>
  <w:style w:type="paragraph" w:styleId="12">
    <w:name w:val="footer"/>
    <w:basedOn w:val="1"/>
    <w:qFormat/>
    <w:uiPriority w:val="0"/>
    <w:pPr>
      <w:tabs>
        <w:tab w:val="center" w:pos="4153"/>
        <w:tab w:val="right" w:pos="8306"/>
      </w:tabs>
      <w:snapToGrid w:val="0"/>
    </w:pPr>
    <w:rPr>
      <w:sz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qFormat/>
    <w:uiPriority w:val="39"/>
  </w:style>
  <w:style w:type="paragraph" w:styleId="15">
    <w:name w:val="toc 2"/>
    <w:basedOn w:val="1"/>
    <w:next w:val="1"/>
    <w:qFormat/>
    <w:uiPriority w:val="39"/>
    <w:pPr>
      <w:ind w:left="420" w:leftChars="200"/>
    </w:pPr>
  </w:style>
  <w:style w:type="paragraph" w:styleId="16">
    <w:name w:val="annotation subject"/>
    <w:basedOn w:val="7"/>
    <w:next w:val="7"/>
    <w:link w:val="30"/>
    <w:qFormat/>
    <w:uiPriority w:val="0"/>
    <w:rPr>
      <w:b/>
      <w:bCs/>
    </w:rPr>
  </w:style>
  <w:style w:type="table" w:styleId="18">
    <w:name w:val="Table Grid"/>
    <w:basedOn w:val="17"/>
    <w:qFormat/>
    <w:uiPriority w:val="0"/>
    <w:pPr>
      <w:widowControl w:val="0"/>
      <w:autoSpaceDE w:val="0"/>
      <w:autoSpaceDN w:val="0"/>
      <w:adjustRightInd w:val="0"/>
      <w:spacing w:line="240" w:lineRule="atLeast"/>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0"/>
    <w:rPr>
      <w:b/>
    </w:rPr>
  </w:style>
  <w:style w:type="character" w:styleId="21">
    <w:name w:val="Emphasis"/>
    <w:basedOn w:val="19"/>
    <w:qFormat/>
    <w:uiPriority w:val="0"/>
    <w:rPr>
      <w:i/>
    </w:rPr>
  </w:style>
  <w:style w:type="character" w:styleId="22">
    <w:name w:val="Hyperlink"/>
    <w:basedOn w:val="19"/>
    <w:unhideWhenUsed/>
    <w:qFormat/>
    <w:uiPriority w:val="99"/>
    <w:rPr>
      <w:color w:val="0563C1" w:themeColor="hyperlink"/>
      <w:u w:val="single"/>
      <w14:textFill>
        <w14:solidFill>
          <w14:schemeClr w14:val="hlink"/>
        </w14:solidFill>
      </w14:textFill>
    </w:rPr>
  </w:style>
  <w:style w:type="character" w:styleId="23">
    <w:name w:val="annotation reference"/>
    <w:basedOn w:val="19"/>
    <w:qFormat/>
    <w:uiPriority w:val="0"/>
    <w:rPr>
      <w:sz w:val="21"/>
      <w:szCs w:val="21"/>
    </w:rPr>
  </w:style>
  <w:style w:type="paragraph" w:customStyle="1" w:styleId="24">
    <w:name w:val="_Style 2"/>
    <w:basedOn w:val="3"/>
    <w:next w:val="1"/>
    <w:qFormat/>
    <w:uiPriority w:val="0"/>
    <w:pPr>
      <w:widowControl/>
      <w:spacing w:line="276" w:lineRule="auto"/>
      <w:outlineLvl w:val="9"/>
    </w:pPr>
    <w:rPr>
      <w:rFonts w:ascii="Cambria" w:hAnsi="Cambria" w:eastAsia="宋体" w:cs="Times New Roman"/>
      <w:color w:val="365F91"/>
      <w:kern w:val="0"/>
      <w:sz w:val="28"/>
      <w:szCs w:val="28"/>
    </w:rPr>
  </w:style>
  <w:style w:type="character" w:customStyle="1" w:styleId="25">
    <w:name w:val="标题 3 Char"/>
    <w:link w:val="5"/>
    <w:qFormat/>
    <w:uiPriority w:val="0"/>
    <w:rPr>
      <w:rFonts w:hAnsi="宋体"/>
      <w:b/>
    </w:rPr>
  </w:style>
  <w:style w:type="character" w:customStyle="1" w:styleId="26">
    <w:name w:val="批注框文本 Char"/>
    <w:basedOn w:val="19"/>
    <w:link w:val="11"/>
    <w:qFormat/>
    <w:uiPriority w:val="0"/>
    <w:rPr>
      <w:rFonts w:ascii="宋体"/>
      <w:sz w:val="18"/>
      <w:szCs w:val="18"/>
    </w:rPr>
  </w:style>
  <w:style w:type="paragraph" w:customStyle="1" w:styleId="27">
    <w:name w:val="p0"/>
    <w:basedOn w:val="1"/>
    <w:qFormat/>
    <w:uiPriority w:val="0"/>
    <w:pPr>
      <w:widowControl/>
    </w:pPr>
    <w:rPr>
      <w:szCs w:val="21"/>
    </w:rPr>
  </w:style>
  <w:style w:type="character" w:customStyle="1" w:styleId="28">
    <w:name w:val="文档结构图 Char"/>
    <w:basedOn w:val="19"/>
    <w:link w:val="6"/>
    <w:qFormat/>
    <w:uiPriority w:val="0"/>
    <w:rPr>
      <w:rFonts w:ascii="宋体" w:hAnsiTheme="minorHAnsi" w:cstheme="minorBidi"/>
      <w:sz w:val="18"/>
      <w:szCs w:val="18"/>
    </w:rPr>
  </w:style>
  <w:style w:type="character" w:customStyle="1" w:styleId="29">
    <w:name w:val="批注文字 Char"/>
    <w:basedOn w:val="19"/>
    <w:link w:val="7"/>
    <w:qFormat/>
    <w:uiPriority w:val="0"/>
    <w:rPr>
      <w:rFonts w:ascii="宋体" w:hAnsiTheme="minorHAnsi" w:eastAsiaTheme="minorEastAsia" w:cstheme="minorBidi"/>
      <w:sz w:val="28"/>
      <w:szCs w:val="22"/>
    </w:rPr>
  </w:style>
  <w:style w:type="character" w:customStyle="1" w:styleId="30">
    <w:name w:val="批注主题 Char"/>
    <w:basedOn w:val="29"/>
    <w:link w:val="16"/>
    <w:qFormat/>
    <w:uiPriority w:val="0"/>
    <w:rPr>
      <w:rFonts w:ascii="宋体" w:hAnsiTheme="minorHAnsi" w:eastAsiaTheme="minorEastAsia" w:cstheme="minorBidi"/>
      <w:b/>
      <w:bCs/>
      <w:sz w:val="28"/>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FF1A5F-6A7A-411B-925A-AF3C1F596A4B}">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20</Pages>
  <Words>1530</Words>
  <Characters>8727</Characters>
  <Lines>72</Lines>
  <Paragraphs>20</Paragraphs>
  <TotalTime>6</TotalTime>
  <ScaleCrop>false</ScaleCrop>
  <LinksUpToDate>false</LinksUpToDate>
  <CharactersWithSpaces>10237</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2016-08-21T15:10:00Z</dcterms:created>
  <dc:creator>Administrator</dc:creator>
  <cp:lastModifiedBy>何华</cp:lastModifiedBy>
  <cp:lastPrinted>2022-08-30T02:27:08Z</cp:lastPrinted>
  <dcterms:modified xsi:type="dcterms:W3CDTF">2022-08-30T02:27:16Z</dcterms:modified>
  <cp:revision>137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ICV">
    <vt:lpwstr>340139BB95A04E0CA07F0231CECF851B</vt:lpwstr>
  </property>
</Properties>
</file>