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0"/>
        <w:jc w:val="center"/>
        <w:rPr>
          <w:rFonts w:ascii="宋体" w:hAnsi="宋体"/>
          <w:sz w:val="23"/>
        </w:rPr>
      </w:pPr>
      <w:bookmarkStart w:id="0" w:name="_Hlk74210754"/>
      <w:bookmarkEnd w:id="0"/>
    </w:p>
    <w:p>
      <w:pPr>
        <w:ind w:firstLine="460"/>
        <w:jc w:val="center"/>
        <w:rPr>
          <w:rFonts w:ascii="宋体" w:hAnsi="宋体"/>
          <w:sz w:val="23"/>
        </w:rPr>
      </w:pPr>
    </w:p>
    <w:p>
      <w:pPr>
        <w:ind w:firstLine="460"/>
        <w:jc w:val="center"/>
        <w:rPr>
          <w:rFonts w:ascii="宋体" w:hAnsi="宋体"/>
          <w:sz w:val="23"/>
        </w:rPr>
      </w:pPr>
    </w:p>
    <w:p>
      <w:pPr>
        <w:jc w:val="center"/>
        <w:rPr>
          <w:rFonts w:ascii="华文中宋" w:hAnsi="华文中宋" w:eastAsia="华文中宋"/>
          <w:sz w:val="52"/>
          <w:szCs w:val="52"/>
        </w:rPr>
      </w:pPr>
    </w:p>
    <w:p>
      <w:pPr>
        <w:jc w:val="center"/>
        <w:rPr>
          <w:rFonts w:ascii="华文中宋" w:hAnsi="华文中宋" w:eastAsia="华文中宋"/>
          <w:sz w:val="52"/>
          <w:szCs w:val="52"/>
        </w:rPr>
      </w:pPr>
      <w:r>
        <w:rPr>
          <w:rFonts w:hint="eastAsia" w:ascii="华文中宋" w:hAnsi="华文中宋" w:eastAsia="华文中宋"/>
          <w:sz w:val="52"/>
          <w:szCs w:val="52"/>
        </w:rPr>
        <w:t>房地产估价</w:t>
      </w:r>
      <w:bookmarkStart w:id="146" w:name="_GoBack"/>
      <w:bookmarkEnd w:id="146"/>
      <w:r>
        <w:rPr>
          <w:rFonts w:hint="eastAsia" w:ascii="华文中宋" w:hAnsi="华文中宋" w:eastAsia="华文中宋"/>
          <w:sz w:val="52"/>
          <w:szCs w:val="52"/>
        </w:rPr>
        <w:t>报告</w:t>
      </w:r>
    </w:p>
    <w:p>
      <w:pPr>
        <w:jc w:val="center"/>
        <w:rPr>
          <w:rFonts w:ascii="仿宋" w:hAnsi="仿宋" w:eastAsia="仿宋"/>
          <w:b/>
          <w:sz w:val="30"/>
        </w:rPr>
      </w:pPr>
      <w:r>
        <w:rPr>
          <w:rFonts w:hint="eastAsia" w:ascii="仿宋" w:hAnsi="仿宋" w:eastAsia="仿宋"/>
          <w:bCs/>
          <w:sz w:val="24"/>
          <w:lang w:eastAsia="zh-CN"/>
        </w:rPr>
        <w:t>估价报告</w:t>
      </w:r>
      <w:r>
        <w:rPr>
          <w:rFonts w:hint="eastAsia" w:ascii="仿宋" w:hAnsi="仿宋" w:eastAsia="仿宋"/>
          <w:sz w:val="24"/>
        </w:rPr>
        <w:t>编号：</w:t>
      </w:r>
      <w:r>
        <w:rPr>
          <w:rFonts w:hint="eastAsia" w:ascii="仿宋" w:hAnsi="仿宋" w:eastAsia="仿宋"/>
          <w:sz w:val="24"/>
          <w:lang w:eastAsia="zh-CN"/>
        </w:rPr>
        <w:t>豫远房估字（</w:t>
      </w:r>
      <w:r>
        <w:rPr>
          <w:rFonts w:hint="eastAsia" w:ascii="仿宋" w:hAnsi="仿宋" w:eastAsia="仿宋"/>
          <w:sz w:val="24"/>
          <w:lang w:val="en-US" w:eastAsia="zh-CN"/>
        </w:rPr>
        <w:t>2022</w:t>
      </w:r>
      <w:r>
        <w:rPr>
          <w:rFonts w:hint="eastAsia" w:ascii="仿宋" w:hAnsi="仿宋" w:eastAsia="仿宋"/>
          <w:sz w:val="24"/>
          <w:lang w:eastAsia="zh-CN"/>
        </w:rPr>
        <w:t>）</w:t>
      </w:r>
      <w:r>
        <w:rPr>
          <w:rFonts w:hint="eastAsia" w:ascii="仿宋" w:hAnsi="仿宋" w:eastAsia="仿宋"/>
          <w:sz w:val="24"/>
          <w:lang w:val="en-US" w:eastAsia="zh-CN"/>
        </w:rPr>
        <w:t>07118F号</w:t>
      </w:r>
      <w:r>
        <w:rPr>
          <w:rFonts w:hint="eastAsia" w:ascii="仿宋" w:hAnsi="仿宋" w:eastAsia="仿宋"/>
          <w:b/>
          <w:sz w:val="30"/>
        </w:rPr>
        <w:t xml:space="preserve"> </w:t>
      </w:r>
    </w:p>
    <w:p>
      <w:pPr>
        <w:jc w:val="center"/>
        <w:rPr>
          <w:rFonts w:ascii="仿宋" w:hAnsi="仿宋" w:eastAsia="仿宋"/>
          <w:b/>
          <w:sz w:val="30"/>
        </w:rPr>
      </w:pPr>
    </w:p>
    <w:p>
      <w:pPr>
        <w:jc w:val="center"/>
        <w:rPr>
          <w:rFonts w:ascii="仿宋" w:hAnsi="仿宋" w:eastAsia="仿宋"/>
          <w:b/>
          <w:sz w:val="30"/>
        </w:rPr>
      </w:pPr>
    </w:p>
    <w:p>
      <w:pPr>
        <w:jc w:val="center"/>
        <w:rPr>
          <w:rFonts w:ascii="仿宋" w:hAnsi="仿宋" w:eastAsia="仿宋"/>
          <w:b/>
          <w:sz w:val="30"/>
        </w:rPr>
      </w:pPr>
    </w:p>
    <w:p>
      <w:pPr>
        <w:jc w:val="center"/>
        <w:rPr>
          <w:rFonts w:ascii="仿宋" w:hAnsi="仿宋" w:eastAsia="仿宋"/>
          <w:b/>
          <w:sz w:val="30"/>
        </w:rPr>
      </w:pPr>
    </w:p>
    <w:tbl>
      <w:tblPr>
        <w:tblStyle w:val="30"/>
        <w:tblW w:w="8657" w:type="dxa"/>
        <w:tblInd w:w="-185" w:type="dxa"/>
        <w:tblLayout w:type="fixed"/>
        <w:tblCellMar>
          <w:top w:w="0" w:type="dxa"/>
          <w:left w:w="108" w:type="dxa"/>
          <w:bottom w:w="0" w:type="dxa"/>
          <w:right w:w="108" w:type="dxa"/>
        </w:tblCellMar>
      </w:tblPr>
      <w:tblGrid>
        <w:gridCol w:w="2945"/>
        <w:gridCol w:w="5712"/>
      </w:tblGrid>
      <w:tr>
        <w:tblPrEx>
          <w:tblCellMar>
            <w:top w:w="0" w:type="dxa"/>
            <w:left w:w="108" w:type="dxa"/>
            <w:bottom w:w="0" w:type="dxa"/>
            <w:right w:w="108" w:type="dxa"/>
          </w:tblCellMar>
        </w:tblPrEx>
        <w:trPr>
          <w:trHeight w:val="798" w:hRule="atLeast"/>
        </w:trPr>
        <w:tc>
          <w:tcPr>
            <w:tcW w:w="2945" w:type="dxa"/>
          </w:tcPr>
          <w:p>
            <w:pPr>
              <w:rPr>
                <w:rFonts w:ascii="仿宋" w:hAnsi="仿宋" w:eastAsia="仿宋"/>
                <w:sz w:val="28"/>
                <w:szCs w:val="28"/>
              </w:rPr>
            </w:pPr>
            <w:r>
              <w:rPr>
                <w:rFonts w:hint="eastAsia" w:ascii="仿宋" w:hAnsi="仿宋" w:eastAsia="仿宋"/>
                <w:b/>
                <w:sz w:val="28"/>
                <w:szCs w:val="28"/>
              </w:rPr>
              <w:t>估价项目名称</w:t>
            </w:r>
            <w:r>
              <w:rPr>
                <w:rFonts w:hint="eastAsia" w:ascii="仿宋" w:hAnsi="仿宋" w:eastAsia="仿宋"/>
                <w:sz w:val="28"/>
                <w:szCs w:val="28"/>
              </w:rPr>
              <w:t>：</w:t>
            </w:r>
          </w:p>
        </w:tc>
        <w:tc>
          <w:tcPr>
            <w:tcW w:w="5712" w:type="dxa"/>
          </w:tcPr>
          <w:p>
            <w:pPr>
              <w:rPr>
                <w:rFonts w:ascii="仿宋" w:hAnsi="仿宋" w:eastAsia="仿宋"/>
                <w:sz w:val="28"/>
                <w:szCs w:val="28"/>
              </w:rPr>
            </w:pPr>
            <w:r>
              <w:rPr>
                <w:rFonts w:hint="eastAsia" w:ascii="仿宋" w:hAnsi="仿宋" w:eastAsia="仿宋"/>
                <w:sz w:val="28"/>
                <w:szCs w:val="28"/>
              </w:rPr>
              <w:t>何新全所有登记在王红丽名下的位于许昌市魏都区北大办事处袁庄前街62-3号1至3层独院市场价值估价</w:t>
            </w:r>
          </w:p>
        </w:tc>
      </w:tr>
      <w:tr>
        <w:tblPrEx>
          <w:tblCellMar>
            <w:top w:w="0" w:type="dxa"/>
            <w:left w:w="108" w:type="dxa"/>
            <w:bottom w:w="0" w:type="dxa"/>
            <w:right w:w="108" w:type="dxa"/>
          </w:tblCellMar>
        </w:tblPrEx>
        <w:trPr>
          <w:trHeight w:val="404" w:hRule="atLeast"/>
        </w:trPr>
        <w:tc>
          <w:tcPr>
            <w:tcW w:w="2945" w:type="dxa"/>
          </w:tcPr>
          <w:p>
            <w:pPr>
              <w:rPr>
                <w:rFonts w:ascii="仿宋" w:hAnsi="仿宋" w:eastAsia="仿宋"/>
                <w:sz w:val="28"/>
                <w:szCs w:val="28"/>
              </w:rPr>
            </w:pPr>
            <w:r>
              <w:rPr>
                <w:rFonts w:hint="eastAsia" w:ascii="仿宋" w:hAnsi="仿宋" w:eastAsia="仿宋"/>
                <w:b/>
                <w:sz w:val="28"/>
                <w:szCs w:val="28"/>
              </w:rPr>
              <w:t>估价委托人</w:t>
            </w:r>
            <w:r>
              <w:rPr>
                <w:rFonts w:hint="eastAsia" w:ascii="仿宋" w:hAnsi="仿宋" w:eastAsia="仿宋"/>
                <w:sz w:val="28"/>
                <w:szCs w:val="28"/>
              </w:rPr>
              <w:t>：</w:t>
            </w:r>
          </w:p>
        </w:tc>
        <w:tc>
          <w:tcPr>
            <w:tcW w:w="5712" w:type="dxa"/>
          </w:tcPr>
          <w:p>
            <w:pPr>
              <w:rPr>
                <w:rFonts w:ascii="仿宋" w:hAnsi="仿宋" w:eastAsia="仿宋"/>
                <w:sz w:val="28"/>
                <w:szCs w:val="28"/>
              </w:rPr>
            </w:pPr>
            <w:r>
              <w:rPr>
                <w:rFonts w:hint="eastAsia" w:ascii="仿宋" w:hAnsi="仿宋" w:eastAsia="仿宋"/>
                <w:sz w:val="28"/>
                <w:szCs w:val="28"/>
              </w:rPr>
              <w:t>许昌市魏都区人民法院</w:t>
            </w:r>
          </w:p>
        </w:tc>
      </w:tr>
      <w:tr>
        <w:tblPrEx>
          <w:tblCellMar>
            <w:top w:w="0" w:type="dxa"/>
            <w:left w:w="108" w:type="dxa"/>
            <w:bottom w:w="0" w:type="dxa"/>
            <w:right w:w="108" w:type="dxa"/>
          </w:tblCellMar>
        </w:tblPrEx>
        <w:trPr>
          <w:trHeight w:val="404" w:hRule="atLeast"/>
        </w:trPr>
        <w:tc>
          <w:tcPr>
            <w:tcW w:w="2945" w:type="dxa"/>
          </w:tcPr>
          <w:p>
            <w:pPr>
              <w:rPr>
                <w:rFonts w:ascii="仿宋" w:hAnsi="仿宋" w:eastAsia="仿宋"/>
                <w:sz w:val="28"/>
                <w:szCs w:val="28"/>
              </w:rPr>
            </w:pPr>
            <w:r>
              <w:rPr>
                <w:rFonts w:hint="eastAsia" w:ascii="仿宋" w:hAnsi="仿宋" w:eastAsia="仿宋"/>
                <w:b/>
                <w:sz w:val="28"/>
                <w:szCs w:val="28"/>
              </w:rPr>
              <w:t>房地产估价机构</w:t>
            </w:r>
            <w:r>
              <w:rPr>
                <w:rFonts w:hint="eastAsia" w:ascii="仿宋" w:hAnsi="仿宋" w:eastAsia="仿宋"/>
                <w:sz w:val="28"/>
                <w:szCs w:val="28"/>
              </w:rPr>
              <w:t>：</w:t>
            </w:r>
          </w:p>
        </w:tc>
        <w:tc>
          <w:tcPr>
            <w:tcW w:w="5712" w:type="dxa"/>
          </w:tcPr>
          <w:p>
            <w:pPr>
              <w:rPr>
                <w:rFonts w:ascii="仿宋" w:hAnsi="仿宋" w:eastAsia="仿宋"/>
                <w:sz w:val="28"/>
                <w:szCs w:val="28"/>
              </w:rPr>
            </w:pPr>
            <w:r>
              <w:rPr>
                <w:rFonts w:hint="eastAsia" w:ascii="仿宋" w:hAnsi="仿宋" w:eastAsia="仿宋"/>
                <w:sz w:val="28"/>
                <w:szCs w:val="28"/>
              </w:rPr>
              <w:t>河南远大房地产土地资产评估有限公司</w:t>
            </w:r>
          </w:p>
        </w:tc>
      </w:tr>
      <w:tr>
        <w:tblPrEx>
          <w:tblCellMar>
            <w:top w:w="0" w:type="dxa"/>
            <w:left w:w="108" w:type="dxa"/>
            <w:bottom w:w="0" w:type="dxa"/>
            <w:right w:w="108" w:type="dxa"/>
          </w:tblCellMar>
        </w:tblPrEx>
        <w:trPr>
          <w:trHeight w:val="404" w:hRule="atLeast"/>
        </w:trPr>
        <w:tc>
          <w:tcPr>
            <w:tcW w:w="2945" w:type="dxa"/>
          </w:tcPr>
          <w:p>
            <w:pPr>
              <w:rPr>
                <w:rFonts w:ascii="仿宋" w:hAnsi="仿宋" w:eastAsia="仿宋"/>
                <w:sz w:val="28"/>
                <w:szCs w:val="28"/>
              </w:rPr>
            </w:pPr>
            <w:r>
              <w:rPr>
                <w:rFonts w:hint="eastAsia" w:ascii="仿宋" w:hAnsi="仿宋" w:eastAsia="仿宋"/>
                <w:b/>
                <w:sz w:val="28"/>
                <w:szCs w:val="28"/>
              </w:rPr>
              <w:t>注册房地产估价师</w:t>
            </w:r>
            <w:r>
              <w:rPr>
                <w:rFonts w:hint="eastAsia" w:ascii="仿宋" w:hAnsi="仿宋" w:eastAsia="仿宋"/>
                <w:sz w:val="28"/>
                <w:szCs w:val="28"/>
              </w:rPr>
              <w:t>：</w:t>
            </w:r>
          </w:p>
        </w:tc>
        <w:tc>
          <w:tcPr>
            <w:tcW w:w="5712" w:type="dxa"/>
          </w:tcPr>
          <w:p>
            <w:pPr>
              <w:tabs>
                <w:tab w:val="left" w:pos="2340"/>
              </w:tabs>
              <w:rPr>
                <w:rFonts w:ascii="仿宋" w:hAnsi="仿宋" w:eastAsia="仿宋"/>
                <w:sz w:val="28"/>
                <w:szCs w:val="28"/>
              </w:rPr>
            </w:pPr>
            <w:r>
              <w:rPr>
                <w:rFonts w:hint="eastAsia" w:ascii="仿宋" w:hAnsi="仿宋" w:eastAsia="仿宋"/>
                <w:sz w:val="28"/>
                <w:szCs w:val="28"/>
                <w:lang w:eastAsia="zh-CN"/>
              </w:rPr>
              <w:t>赵慧玲</w:t>
            </w:r>
            <w:r>
              <w:rPr>
                <w:rFonts w:hint="eastAsia" w:ascii="仿宋" w:hAnsi="仿宋" w:eastAsia="仿宋"/>
                <w:sz w:val="28"/>
                <w:szCs w:val="28"/>
              </w:rPr>
              <w:t>（注册号</w:t>
            </w:r>
            <w:r>
              <w:rPr>
                <w:rFonts w:hint="eastAsia" w:ascii="仿宋" w:hAnsi="仿宋" w:eastAsia="仿宋"/>
                <w:sz w:val="28"/>
                <w:szCs w:val="28"/>
                <w:lang w:eastAsia="zh-CN"/>
              </w:rPr>
              <w:t>4120140039</w:t>
            </w:r>
            <w:r>
              <w:rPr>
                <w:rFonts w:hint="eastAsia" w:ascii="仿宋" w:hAnsi="仿宋" w:eastAsia="仿宋"/>
                <w:sz w:val="28"/>
                <w:szCs w:val="28"/>
              </w:rPr>
              <w:t>）</w:t>
            </w:r>
          </w:p>
          <w:p>
            <w:pPr>
              <w:rPr>
                <w:rFonts w:ascii="仿宋" w:hAnsi="仿宋" w:eastAsia="仿宋"/>
                <w:sz w:val="28"/>
                <w:szCs w:val="28"/>
              </w:rPr>
            </w:pPr>
            <w:r>
              <w:rPr>
                <w:rFonts w:hint="eastAsia" w:ascii="仿宋" w:hAnsi="仿宋" w:eastAsia="仿宋"/>
                <w:sz w:val="28"/>
                <w:szCs w:val="28"/>
                <w:lang w:eastAsia="zh-CN"/>
              </w:rPr>
              <w:t>赵艳娜</w:t>
            </w:r>
            <w:r>
              <w:rPr>
                <w:rFonts w:hint="eastAsia" w:ascii="仿宋" w:hAnsi="仿宋" w:eastAsia="仿宋"/>
                <w:sz w:val="28"/>
                <w:szCs w:val="28"/>
              </w:rPr>
              <w:t>（注册号</w:t>
            </w:r>
            <w:r>
              <w:rPr>
                <w:rFonts w:hint="eastAsia" w:ascii="仿宋" w:hAnsi="仿宋" w:eastAsia="仿宋"/>
                <w:sz w:val="28"/>
                <w:szCs w:val="28"/>
                <w:lang w:eastAsia="zh-CN"/>
              </w:rPr>
              <w:t>4120210067</w:t>
            </w:r>
            <w:r>
              <w:rPr>
                <w:rFonts w:hint="eastAsia" w:ascii="仿宋" w:hAnsi="仿宋" w:eastAsia="仿宋"/>
                <w:sz w:val="28"/>
                <w:szCs w:val="28"/>
              </w:rPr>
              <w:t>）</w:t>
            </w:r>
          </w:p>
        </w:tc>
      </w:tr>
      <w:tr>
        <w:tblPrEx>
          <w:tblCellMar>
            <w:top w:w="0" w:type="dxa"/>
            <w:left w:w="108" w:type="dxa"/>
            <w:bottom w:w="0" w:type="dxa"/>
            <w:right w:w="108" w:type="dxa"/>
          </w:tblCellMar>
        </w:tblPrEx>
        <w:trPr>
          <w:trHeight w:val="404" w:hRule="atLeast"/>
        </w:trPr>
        <w:tc>
          <w:tcPr>
            <w:tcW w:w="2945" w:type="dxa"/>
          </w:tcPr>
          <w:p>
            <w:pPr>
              <w:rPr>
                <w:rFonts w:ascii="仿宋" w:hAnsi="仿宋" w:eastAsia="仿宋"/>
                <w:sz w:val="28"/>
                <w:szCs w:val="28"/>
              </w:rPr>
            </w:pPr>
            <w:r>
              <w:rPr>
                <w:rFonts w:hint="eastAsia" w:ascii="仿宋" w:hAnsi="仿宋" w:eastAsia="仿宋"/>
                <w:b/>
                <w:sz w:val="28"/>
                <w:szCs w:val="28"/>
                <w:lang w:eastAsia="zh-CN"/>
              </w:rPr>
              <w:t>估价报告</w:t>
            </w:r>
            <w:r>
              <w:rPr>
                <w:rFonts w:hint="eastAsia" w:ascii="仿宋" w:hAnsi="仿宋" w:eastAsia="仿宋"/>
                <w:b/>
                <w:sz w:val="28"/>
                <w:szCs w:val="28"/>
              </w:rPr>
              <w:t>出具日期</w:t>
            </w:r>
            <w:r>
              <w:rPr>
                <w:rFonts w:hint="eastAsia" w:ascii="仿宋" w:hAnsi="仿宋" w:eastAsia="仿宋"/>
                <w:sz w:val="28"/>
                <w:szCs w:val="28"/>
              </w:rPr>
              <w:t>：</w:t>
            </w:r>
          </w:p>
        </w:tc>
        <w:tc>
          <w:tcPr>
            <w:tcW w:w="5712" w:type="dxa"/>
          </w:tcPr>
          <w:p>
            <w:pPr>
              <w:rPr>
                <w:rFonts w:hint="eastAsia" w:ascii="仿宋" w:hAnsi="仿宋" w:eastAsia="仿宋"/>
                <w:sz w:val="28"/>
                <w:szCs w:val="28"/>
                <w:lang w:eastAsia="zh-CN"/>
              </w:rPr>
            </w:pPr>
            <w:r>
              <w:rPr>
                <w:rFonts w:hint="eastAsia" w:ascii="仿宋" w:hAnsi="仿宋" w:eastAsia="仿宋"/>
                <w:spacing w:val="-11"/>
                <w:sz w:val="28"/>
                <w:szCs w:val="28"/>
                <w:lang w:eastAsia="zh-CN"/>
              </w:rPr>
              <w:t>二〇二二年七月十八日</w:t>
            </w:r>
          </w:p>
        </w:tc>
      </w:tr>
    </w:tbl>
    <w:p>
      <w:bookmarkStart w:id="1" w:name="_Toc492483068"/>
      <w:bookmarkStart w:id="2" w:name="_Toc492484521"/>
      <w:bookmarkStart w:id="3" w:name="_Toc492484548"/>
    </w:p>
    <w:p/>
    <w:p/>
    <w:p/>
    <w:p>
      <w:pPr>
        <w:sectPr>
          <w:pgSz w:w="11906" w:h="16838"/>
          <w:pgMar w:top="1418" w:right="1418" w:bottom="1418" w:left="1814" w:header="851" w:footer="1134" w:gutter="0"/>
          <w:pgNumType w:fmt="decimalFullWidth" w:start="0"/>
          <w:cols w:space="720" w:num="1"/>
          <w:docGrid w:type="lines" w:linePitch="312" w:charSpace="0"/>
        </w:sectPr>
      </w:pPr>
    </w:p>
    <w:p/>
    <w:p>
      <w:pPr>
        <w:spacing w:before="156" w:beforeLines="50" w:after="312" w:afterLines="100" w:line="500" w:lineRule="exact"/>
        <w:jc w:val="center"/>
        <w:rPr>
          <w:rFonts w:ascii="仿宋" w:hAnsi="仿宋" w:eastAsia="仿宋"/>
          <w:b/>
          <w:bCs/>
          <w:sz w:val="36"/>
          <w:szCs w:val="36"/>
        </w:rPr>
      </w:pPr>
      <w:bookmarkStart w:id="4" w:name="_Toc492971784"/>
      <w:r>
        <w:rPr>
          <w:rFonts w:hint="eastAsia" w:ascii="仿宋" w:hAnsi="仿宋" w:eastAsia="仿宋"/>
          <w:b/>
          <w:bCs/>
          <w:sz w:val="36"/>
          <w:szCs w:val="36"/>
        </w:rPr>
        <w:t>致估价委托人函</w:t>
      </w:r>
      <w:bookmarkEnd w:id="1"/>
      <w:bookmarkEnd w:id="2"/>
      <w:bookmarkEnd w:id="3"/>
      <w:bookmarkEnd w:id="4"/>
    </w:p>
    <w:p>
      <w:pPr>
        <w:spacing w:line="500" w:lineRule="exact"/>
        <w:rPr>
          <w:rFonts w:ascii="仿宋" w:hAnsi="仿宋" w:eastAsia="仿宋"/>
          <w:b/>
          <w:sz w:val="28"/>
          <w:szCs w:val="28"/>
        </w:rPr>
      </w:pPr>
      <w:r>
        <w:rPr>
          <w:rFonts w:hint="eastAsia" w:ascii="仿宋" w:hAnsi="仿宋" w:eastAsia="仿宋"/>
          <w:b/>
          <w:sz w:val="28"/>
          <w:szCs w:val="28"/>
        </w:rPr>
        <w:t>许昌市魏都区人民法院：</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受贵单位的委托，我公司对何新全所有登记在王红丽名下的位于许昌市魏都区北大办事处袁庄前街62-3号1至3层独院进行了市场价值估价。</w:t>
      </w:r>
    </w:p>
    <w:p>
      <w:pPr>
        <w:spacing w:line="500" w:lineRule="exact"/>
        <w:ind w:firstLine="551" w:firstLineChars="196"/>
        <w:rPr>
          <w:rFonts w:ascii="仿宋" w:hAnsi="仿宋" w:eastAsia="仿宋"/>
          <w:sz w:val="28"/>
          <w:szCs w:val="28"/>
        </w:rPr>
      </w:pPr>
      <w:r>
        <w:rPr>
          <w:rFonts w:hint="eastAsia" w:ascii="仿宋" w:hAnsi="仿宋" w:eastAsia="仿宋"/>
          <w:b/>
          <w:sz w:val="28"/>
          <w:szCs w:val="28"/>
        </w:rPr>
        <w:t>估价目的：</w:t>
      </w:r>
      <w:r>
        <w:rPr>
          <w:rFonts w:hint="eastAsia" w:ascii="仿宋" w:hAnsi="仿宋" w:eastAsia="仿宋"/>
          <w:sz w:val="28"/>
          <w:szCs w:val="28"/>
        </w:rPr>
        <w:t>为司法拍卖房地产确定拍卖保留价提供参考依据而评估被拍卖房地产的市场价值。</w:t>
      </w:r>
    </w:p>
    <w:p>
      <w:pPr>
        <w:spacing w:line="500" w:lineRule="exact"/>
        <w:ind w:firstLine="562" w:firstLineChars="200"/>
        <w:rPr>
          <w:rFonts w:hint="eastAsia" w:ascii="仿宋" w:hAnsi="仿宋" w:eastAsia="仿宋"/>
          <w:sz w:val="28"/>
          <w:szCs w:val="28"/>
          <w:lang w:eastAsia="zh-CN"/>
        </w:rPr>
      </w:pPr>
      <w:r>
        <w:rPr>
          <w:rFonts w:hint="eastAsia" w:ascii="仿宋" w:hAnsi="仿宋" w:eastAsia="仿宋"/>
          <w:b/>
          <w:sz w:val="28"/>
          <w:szCs w:val="28"/>
        </w:rPr>
        <w:t>估价对象</w:t>
      </w:r>
      <w:r>
        <w:rPr>
          <w:rFonts w:hint="eastAsia" w:ascii="仿宋" w:hAnsi="仿宋" w:eastAsia="仿宋"/>
          <w:sz w:val="28"/>
          <w:szCs w:val="28"/>
        </w:rPr>
        <w:t>：</w:t>
      </w:r>
      <w:bookmarkStart w:id="5" w:name="_Hlk27990158"/>
      <w:r>
        <w:rPr>
          <w:rFonts w:hint="eastAsia" w:ascii="仿宋" w:hAnsi="仿宋" w:eastAsia="仿宋"/>
          <w:sz w:val="28"/>
          <w:szCs w:val="28"/>
        </w:rPr>
        <w:t>估价对象是何新全所有登记在王红丽名下的位于许昌市魏都区北大办事处袁庄前街62-3号1至3层独院</w:t>
      </w:r>
      <w:r>
        <w:rPr>
          <w:rFonts w:hint="eastAsia" w:ascii="仿宋" w:hAnsi="仿宋" w:eastAsia="仿宋"/>
          <w:sz w:val="28"/>
          <w:szCs w:val="28"/>
          <w:lang w:eastAsia="zh-CN"/>
        </w:rPr>
        <w:t>。</w:t>
      </w:r>
    </w:p>
    <w:p>
      <w:pPr>
        <w:spacing w:line="500" w:lineRule="exact"/>
        <w:ind w:firstLine="560" w:firstLineChars="200"/>
        <w:rPr>
          <w:rFonts w:hint="eastAsia" w:ascii="仿宋" w:hAnsi="仿宋" w:eastAsia="仿宋"/>
          <w:sz w:val="28"/>
          <w:szCs w:val="28"/>
        </w:rPr>
      </w:pPr>
      <w:bookmarkStart w:id="6" w:name="_Hlk79055557"/>
      <w:r>
        <w:rPr>
          <w:rFonts w:hint="eastAsia" w:ascii="仿宋" w:hAnsi="仿宋" w:eastAsia="仿宋"/>
          <w:sz w:val="28"/>
          <w:szCs w:val="28"/>
        </w:rPr>
        <w:t>根据估价委托人提供的《查档证明》、《产权档案粘贴纸》显示</w:t>
      </w:r>
      <w:bookmarkEnd w:id="6"/>
      <w:r>
        <w:rPr>
          <w:rFonts w:hint="eastAsia" w:ascii="仿宋" w:hAnsi="仿宋" w:eastAsia="仿宋"/>
          <w:sz w:val="28"/>
          <w:szCs w:val="28"/>
        </w:rPr>
        <w:t>估价对象房屋所有权证号为字第3008590号, 混合结构，共1层，证载建筑面积</w:t>
      </w:r>
      <w:bookmarkStart w:id="7" w:name="_Hlk79054337"/>
      <w:r>
        <w:rPr>
          <w:rFonts w:hint="eastAsia" w:ascii="仿宋" w:hAnsi="仿宋" w:eastAsia="仿宋"/>
          <w:sz w:val="28"/>
          <w:szCs w:val="28"/>
        </w:rPr>
        <w:t>为51.12平方米</w:t>
      </w:r>
      <w:bookmarkEnd w:id="7"/>
      <w:r>
        <w:rPr>
          <w:rFonts w:hint="eastAsia" w:ascii="仿宋" w:hAnsi="仿宋" w:eastAsia="仿宋"/>
          <w:sz w:val="28"/>
          <w:szCs w:val="28"/>
        </w:rPr>
        <w:t>。在价值时点，经向当事人了解，估价对象已转让给何新全，未办理过户，且何新全于2002年对王红丽的房屋进行了拆除，并重建，重建后的房屋为总层数为3层的独院，建筑面积为306.19平方米，混合结构，实际用途为住宅。</w:t>
      </w:r>
      <w:r>
        <w:rPr>
          <w:rFonts w:ascii="仿宋" w:hAnsi="仿宋" w:eastAsia="仿宋"/>
          <w:sz w:val="28"/>
          <w:szCs w:val="28"/>
        </w:rPr>
        <w:t xml:space="preserve"> </w:t>
      </w:r>
      <w:r>
        <w:rPr>
          <w:rFonts w:hint="eastAsia" w:ascii="仿宋" w:hAnsi="仿宋" w:eastAsia="仿宋"/>
          <w:sz w:val="28"/>
          <w:szCs w:val="28"/>
        </w:rPr>
        <w:t>本次估价对象为何新全重建后的3层房屋。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估价范围包含应分摊的土地使用权及室内不可拆除装饰装修，不含室内能够移动的家具家电及相关的债权债务等。</w:t>
      </w:r>
    </w:p>
    <w:bookmarkEnd w:id="5"/>
    <w:p>
      <w:pPr>
        <w:spacing w:line="500" w:lineRule="exact"/>
        <w:ind w:firstLine="551" w:firstLineChars="196"/>
        <w:rPr>
          <w:rFonts w:ascii="仿宋" w:hAnsi="仿宋" w:eastAsia="仿宋" w:cs="宋体"/>
          <w:sz w:val="28"/>
          <w:szCs w:val="28"/>
        </w:rPr>
      </w:pPr>
      <w:r>
        <w:rPr>
          <w:rFonts w:hint="eastAsia" w:ascii="仿宋" w:hAnsi="仿宋" w:eastAsia="仿宋"/>
          <w:b/>
          <w:sz w:val="28"/>
          <w:szCs w:val="28"/>
        </w:rPr>
        <w:t>价值时点：</w:t>
      </w:r>
      <w:r>
        <w:rPr>
          <w:rFonts w:hint="eastAsia" w:ascii="仿宋" w:hAnsi="仿宋" w:eastAsia="仿宋"/>
          <w:sz w:val="28"/>
          <w:szCs w:val="28"/>
        </w:rPr>
        <w:t>二〇二二年六月二十日</w:t>
      </w:r>
    </w:p>
    <w:p>
      <w:pPr>
        <w:spacing w:line="500" w:lineRule="exact"/>
        <w:ind w:firstLine="551" w:firstLineChars="196"/>
        <w:rPr>
          <w:rFonts w:ascii="仿宋" w:hAnsi="仿宋" w:eastAsia="仿宋" w:cs="宋体"/>
          <w:sz w:val="28"/>
          <w:szCs w:val="28"/>
        </w:rPr>
      </w:pPr>
      <w:r>
        <w:rPr>
          <w:rFonts w:hint="eastAsia" w:ascii="仿宋" w:hAnsi="仿宋" w:eastAsia="仿宋" w:cs="宋体"/>
          <w:b/>
          <w:bCs/>
          <w:sz w:val="28"/>
          <w:szCs w:val="28"/>
        </w:rPr>
        <w:t>价值类型：</w:t>
      </w:r>
      <w:r>
        <w:rPr>
          <w:rFonts w:hint="eastAsia" w:ascii="仿宋" w:hAnsi="仿宋" w:eastAsia="仿宋" w:cs="宋体"/>
          <w:sz w:val="28"/>
          <w:szCs w:val="28"/>
        </w:rPr>
        <w:t>市场价值</w:t>
      </w:r>
    </w:p>
    <w:p>
      <w:pPr>
        <w:spacing w:line="500" w:lineRule="exact"/>
        <w:ind w:firstLine="562" w:firstLineChars="200"/>
        <w:rPr>
          <w:rFonts w:hint="eastAsia" w:ascii="仿宋" w:hAnsi="仿宋" w:eastAsia="仿宋"/>
          <w:sz w:val="28"/>
          <w:szCs w:val="28"/>
        </w:rPr>
      </w:pPr>
      <w:r>
        <w:rPr>
          <w:rFonts w:hint="eastAsia" w:ascii="仿宋" w:hAnsi="仿宋" w:eastAsia="仿宋"/>
          <w:b/>
          <w:sz w:val="28"/>
          <w:szCs w:val="28"/>
        </w:rPr>
        <w:t>估价方法：</w:t>
      </w:r>
      <w:r>
        <w:rPr>
          <w:rFonts w:hint="eastAsia" w:ascii="仿宋" w:hAnsi="仿宋" w:eastAsia="仿宋"/>
          <w:sz w:val="28"/>
          <w:szCs w:val="28"/>
        </w:rPr>
        <w:t>比较法、收益法</w:t>
      </w:r>
    </w:p>
    <w:p>
      <w:pPr>
        <w:spacing w:line="500" w:lineRule="exact"/>
        <w:ind w:firstLine="562" w:firstLineChars="200"/>
        <w:rPr>
          <w:rFonts w:ascii="仿宋" w:hAnsi="仿宋" w:eastAsia="仿宋"/>
          <w:sz w:val="30"/>
          <w:szCs w:val="30"/>
          <w:highlight w:val="yellow"/>
        </w:rPr>
      </w:pPr>
      <w:r>
        <w:rPr>
          <w:rFonts w:hint="eastAsia" w:ascii="仿宋" w:hAnsi="仿宋" w:eastAsia="仿宋"/>
          <w:b/>
          <w:sz w:val="28"/>
          <w:szCs w:val="28"/>
        </w:rPr>
        <w:t>估价结果：</w:t>
      </w:r>
      <w:r>
        <w:rPr>
          <w:rFonts w:hint="eastAsia" w:ascii="仿宋" w:hAnsi="仿宋" w:eastAsia="仿宋"/>
          <w:sz w:val="28"/>
          <w:szCs w:val="28"/>
        </w:rPr>
        <w:t>注册房地产估价师根据估价目的，遵循估价原则，按照严谨的估价程序，在认真分析所掌握的资料与影响估价对象价值诸因素的基础上，并综合估价经验，采用比较法、收益法进行评估，经过周密的测算、分析和判断，最终确定估价对象</w:t>
      </w:r>
      <w:bookmarkStart w:id="8" w:name="_Hlk525718103"/>
      <w:r>
        <w:rPr>
          <w:rFonts w:hint="eastAsia" w:ascii="仿宋" w:hAnsi="仿宋" w:eastAsia="仿宋"/>
          <w:sz w:val="28"/>
          <w:szCs w:val="28"/>
        </w:rPr>
        <w:t>在价值时点的房地产市场价值为人民币</w:t>
      </w:r>
      <w:r>
        <w:rPr>
          <w:rFonts w:hint="eastAsia" w:ascii="仿宋" w:hAnsi="仿宋" w:eastAsia="仿宋"/>
          <w:sz w:val="28"/>
          <w:szCs w:val="28"/>
          <w:lang w:eastAsia="zh-CN"/>
        </w:rPr>
        <w:t>1185000</w:t>
      </w:r>
      <w:r>
        <w:rPr>
          <w:rFonts w:hint="eastAsia" w:ascii="仿宋" w:hAnsi="仿宋" w:eastAsia="仿宋"/>
          <w:sz w:val="28"/>
          <w:szCs w:val="28"/>
        </w:rPr>
        <w:t>元，大写：人民币</w:t>
      </w:r>
      <w:r>
        <w:rPr>
          <w:rFonts w:hint="eastAsia" w:ascii="仿宋" w:hAnsi="仿宋" w:eastAsia="仿宋"/>
          <w:sz w:val="28"/>
          <w:szCs w:val="28"/>
          <w:lang w:eastAsia="zh-CN"/>
        </w:rPr>
        <w:t>壹佰壹拾捌万伍仟</w:t>
      </w:r>
      <w:r>
        <w:rPr>
          <w:rFonts w:hint="eastAsia" w:ascii="仿宋" w:hAnsi="仿宋" w:eastAsia="仿宋"/>
          <w:sz w:val="28"/>
          <w:szCs w:val="28"/>
        </w:rPr>
        <w:t>元整；</w:t>
      </w:r>
      <w:r>
        <w:rPr>
          <w:rFonts w:hint="eastAsia" w:ascii="仿宋" w:hAnsi="仿宋" w:eastAsia="仿宋"/>
          <w:sz w:val="28"/>
          <w:szCs w:val="28"/>
          <w:lang w:eastAsia="zh-CN"/>
        </w:rPr>
        <w:t>合建筑面积单价为</w:t>
      </w:r>
      <w:r>
        <w:rPr>
          <w:rFonts w:hint="eastAsia" w:ascii="仿宋" w:hAnsi="仿宋" w:eastAsia="仿宋"/>
          <w:sz w:val="28"/>
          <w:szCs w:val="28"/>
          <w:lang w:val="en-US" w:eastAsia="zh-CN"/>
        </w:rPr>
        <w:t>3870元/平方米，</w:t>
      </w:r>
      <w:r>
        <w:rPr>
          <w:rFonts w:hint="eastAsia" w:ascii="仿宋" w:hAnsi="仿宋" w:eastAsia="仿宋"/>
          <w:sz w:val="28"/>
          <w:szCs w:val="28"/>
        </w:rPr>
        <w:t>变现价值为人民币</w:t>
      </w:r>
      <w:r>
        <w:rPr>
          <w:rFonts w:hint="eastAsia" w:ascii="仿宋" w:hAnsi="仿宋" w:eastAsia="仿宋"/>
          <w:sz w:val="28"/>
          <w:szCs w:val="28"/>
          <w:lang w:eastAsia="zh-CN"/>
        </w:rPr>
        <w:t>1007250</w:t>
      </w:r>
      <w:r>
        <w:rPr>
          <w:rFonts w:hint="eastAsia" w:ascii="仿宋" w:hAnsi="仿宋" w:eastAsia="仿宋"/>
          <w:sz w:val="28"/>
          <w:szCs w:val="28"/>
        </w:rPr>
        <w:t>元，大写：人民币</w:t>
      </w:r>
      <w:r>
        <w:rPr>
          <w:rFonts w:hint="eastAsia" w:ascii="仿宋" w:hAnsi="仿宋" w:eastAsia="仿宋"/>
          <w:sz w:val="28"/>
          <w:szCs w:val="28"/>
          <w:lang w:eastAsia="zh-CN"/>
        </w:rPr>
        <w:t>壹佰万柒仟贰佰伍拾</w:t>
      </w:r>
      <w:r>
        <w:rPr>
          <w:rFonts w:hint="eastAsia" w:ascii="仿宋" w:hAnsi="仿宋" w:eastAsia="仿宋"/>
          <w:sz w:val="28"/>
          <w:szCs w:val="28"/>
        </w:rPr>
        <w:t>元整。</w:t>
      </w:r>
    </w:p>
    <w:bookmarkEnd w:id="8"/>
    <w:p>
      <w:pPr>
        <w:spacing w:line="500" w:lineRule="exact"/>
        <w:ind w:firstLine="562" w:firstLineChars="200"/>
        <w:rPr>
          <w:rFonts w:ascii="仿宋" w:hAnsi="仿宋" w:eastAsia="仿宋"/>
          <w:b/>
          <w:bCs/>
          <w:color w:val="FF0000"/>
          <w:sz w:val="28"/>
          <w:szCs w:val="28"/>
        </w:rPr>
      </w:pPr>
      <w:r>
        <w:rPr>
          <w:rFonts w:hint="eastAsia" w:ascii="仿宋" w:hAnsi="仿宋" w:eastAsia="仿宋"/>
          <w:b/>
          <w:bCs/>
          <w:sz w:val="28"/>
          <w:szCs w:val="28"/>
        </w:rPr>
        <w:t>特别提示：</w:t>
      </w:r>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根据河南省高级人民法院《关于“对外委托评估拍卖相关问题”的通知》（豫高法【2014】151号）的要求，房地产司法拍卖估价应提供市场值和变现价值，为司法拍卖房地产提供价值参考依据。</w:t>
      </w:r>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本次估价按照估价目的和要求进行评估并提供给委托方使用，即为执行拍卖、变现提供价值参考。若改变评估目的及使用条件需向本机构咨询后做出必要的修正甚至重新评估。</w:t>
      </w:r>
    </w:p>
    <w:p>
      <w:pPr>
        <w:spacing w:line="500" w:lineRule="exact"/>
        <w:ind w:firstLine="560" w:firstLineChars="200"/>
        <w:rPr>
          <w:rFonts w:ascii="仿宋" w:hAnsi="仿宋" w:eastAsia="仿宋"/>
          <w:bCs/>
          <w:sz w:val="28"/>
          <w:szCs w:val="28"/>
        </w:rPr>
      </w:pPr>
      <w:bookmarkStart w:id="9" w:name="_Hlk79056940"/>
      <w:r>
        <w:rPr>
          <w:rFonts w:ascii="仿宋" w:hAnsi="仿宋" w:eastAsia="仿宋"/>
          <w:bCs/>
          <w:sz w:val="28"/>
          <w:szCs w:val="28"/>
        </w:rPr>
        <w:t>2</w:t>
      </w:r>
      <w:r>
        <w:rPr>
          <w:rFonts w:ascii="仿宋" w:hAnsi="仿宋" w:eastAsia="仿宋"/>
          <w:sz w:val="28"/>
          <w:szCs w:val="28"/>
        </w:rPr>
        <w:t>.</w:t>
      </w:r>
      <w:r>
        <w:rPr>
          <w:rFonts w:hint="eastAsia" w:ascii="仿宋" w:hAnsi="仿宋" w:eastAsia="仿宋"/>
          <w:bCs/>
          <w:sz w:val="28"/>
          <w:szCs w:val="28"/>
        </w:rPr>
        <w:t>在资产拍卖与产权办理过程中，所涉及的买卖双方所需承担的相关税、费（包括但不限于所得税、增值税、土地增值税、契税、过户手续费、印花税、权证费、土地出让金以及房产土地交易中规定缴纳的各种费用）由买卖双方各自承担相关税费，在资产拍卖与产权办理过程中有可能存在的物业费、水费、电费等欠费均由拍卖买受人自行承担，具体费用请拍卖竞买人于拍卖前至相关单位自行查询，与评估机构、委托人、拍卖人无关。</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3.处置自建住房还应考虑是否拖欠水、电费等。</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4.因当事人对原房屋进行了拆除重建，</w:t>
      </w:r>
      <w:r>
        <w:rPr>
          <w:rFonts w:hint="eastAsia" w:ascii="仿宋" w:hAnsi="仿宋" w:eastAsia="仿宋"/>
          <w:sz w:val="28"/>
          <w:szCs w:val="28"/>
          <w:lang w:eastAsia="zh-CN"/>
        </w:rPr>
        <w:t>且</w:t>
      </w:r>
      <w:r>
        <w:rPr>
          <w:rFonts w:hint="eastAsia" w:ascii="仿宋" w:hAnsi="仿宋" w:eastAsia="仿宋"/>
          <w:sz w:val="28"/>
          <w:szCs w:val="28"/>
          <w:highlight w:val="none"/>
        </w:rPr>
        <w:t>未办</w:t>
      </w:r>
      <w:r>
        <w:rPr>
          <w:rFonts w:hint="eastAsia" w:ascii="仿宋" w:hAnsi="仿宋" w:eastAsia="仿宋"/>
          <w:sz w:val="28"/>
          <w:szCs w:val="28"/>
        </w:rPr>
        <w:t>理产权过户，</w:t>
      </w:r>
      <w:r>
        <w:rPr>
          <w:rFonts w:hint="eastAsia" w:ascii="仿宋" w:hAnsi="仿宋" w:eastAsia="仿宋"/>
          <w:sz w:val="28"/>
          <w:szCs w:val="28"/>
          <w:lang w:eastAsia="zh-CN"/>
        </w:rPr>
        <w:t>在进行交易时</w:t>
      </w:r>
      <w:r>
        <w:rPr>
          <w:rFonts w:hint="eastAsia" w:ascii="仿宋" w:hAnsi="仿宋" w:eastAsia="仿宋"/>
          <w:sz w:val="28"/>
          <w:szCs w:val="28"/>
        </w:rPr>
        <w:t>请予以关注。</w:t>
      </w:r>
    </w:p>
    <w:p>
      <w:pPr>
        <w:spacing w:line="50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5.集体土地上的房屋进行交易时受相关法律及当地政策影响或限制，请予以关注。</w:t>
      </w:r>
    </w:p>
    <w:bookmarkEnd w:id="9"/>
    <w:p>
      <w:pPr>
        <w:spacing w:line="500" w:lineRule="exact"/>
        <w:ind w:firstLine="560" w:firstLineChars="200"/>
        <w:rPr>
          <w:rFonts w:ascii="仿宋" w:hAnsi="仿宋" w:eastAsia="仿宋"/>
          <w:bCs/>
          <w:sz w:val="28"/>
          <w:szCs w:val="28"/>
        </w:rPr>
      </w:pPr>
      <w:r>
        <w:rPr>
          <w:rFonts w:hint="eastAsia" w:ascii="仿宋" w:hAnsi="仿宋" w:eastAsia="仿宋"/>
          <w:bCs/>
          <w:sz w:val="28"/>
          <w:szCs w:val="28"/>
          <w:lang w:val="en-US" w:eastAsia="zh-CN"/>
        </w:rPr>
        <w:t>6</w:t>
      </w:r>
      <w:r>
        <w:rPr>
          <w:rFonts w:ascii="仿宋" w:hAnsi="仿宋" w:eastAsia="仿宋"/>
          <w:bCs/>
          <w:sz w:val="28"/>
          <w:szCs w:val="28"/>
        </w:rPr>
        <w:t>.</w:t>
      </w:r>
      <w:r>
        <w:rPr>
          <w:rFonts w:hint="eastAsia" w:ascii="仿宋" w:hAnsi="仿宋" w:eastAsia="仿宋"/>
          <w:bCs/>
          <w:sz w:val="28"/>
          <w:szCs w:val="28"/>
        </w:rPr>
        <w:t>报告使用人在使用本报告之前须对报告全文认真阅读，以免使用不当，造成损失！</w:t>
      </w:r>
    </w:p>
    <w:p>
      <w:pPr>
        <w:spacing w:line="500" w:lineRule="exact"/>
        <w:rPr>
          <w:rFonts w:ascii="仿宋" w:hAnsi="仿宋" w:eastAsia="仿宋"/>
          <w:bCs/>
          <w:sz w:val="28"/>
          <w:szCs w:val="28"/>
        </w:rPr>
      </w:pPr>
    </w:p>
    <w:p>
      <w:pPr>
        <w:spacing w:line="500" w:lineRule="exact"/>
        <w:ind w:firstLine="560" w:firstLineChars="200"/>
        <w:rPr>
          <w:rFonts w:ascii="仿宋" w:hAnsi="仿宋" w:eastAsia="仿宋"/>
          <w:bCs/>
          <w:sz w:val="28"/>
          <w:szCs w:val="28"/>
        </w:rPr>
      </w:pPr>
    </w:p>
    <w:p>
      <w:pPr>
        <w:spacing w:line="600" w:lineRule="exact"/>
        <w:ind w:right="511" w:firstLine="3092" w:firstLineChars="1100"/>
        <w:rPr>
          <w:rFonts w:ascii="仿宋" w:hAnsi="仿宋" w:eastAsia="仿宋"/>
          <w:b/>
          <w:sz w:val="28"/>
          <w:szCs w:val="28"/>
        </w:rPr>
      </w:pPr>
      <w:r>
        <w:rPr>
          <w:rFonts w:hint="eastAsia" w:ascii="仿宋" w:hAnsi="仿宋" w:eastAsia="仿宋"/>
          <w:b/>
          <w:sz w:val="28"/>
          <w:szCs w:val="28"/>
        </w:rPr>
        <w:t>河南远大房地产土地资产评估有限公司</w:t>
      </w:r>
    </w:p>
    <w:p>
      <w:pPr>
        <w:spacing w:line="600" w:lineRule="exact"/>
        <w:ind w:firstLine="3064" w:firstLineChars="1090"/>
        <w:rPr>
          <w:rFonts w:ascii="仿宋" w:hAnsi="仿宋" w:eastAsia="仿宋"/>
          <w:b/>
          <w:sz w:val="28"/>
          <w:szCs w:val="28"/>
        </w:rPr>
      </w:pPr>
      <w:r>
        <w:rPr>
          <w:rFonts w:hint="eastAsia" w:ascii="仿宋" w:hAnsi="仿宋" w:eastAsia="仿宋"/>
          <w:b/>
          <w:sz w:val="28"/>
          <w:szCs w:val="28"/>
        </w:rPr>
        <w:t>法定代表人：</w:t>
      </w:r>
    </w:p>
    <w:p>
      <w:pPr>
        <w:spacing w:line="600" w:lineRule="exact"/>
        <w:ind w:firstLine="3064" w:firstLineChars="1090"/>
        <w:rPr>
          <w:rFonts w:hint="eastAsia" w:ascii="仿宋" w:hAnsi="仿宋" w:eastAsia="仿宋"/>
          <w:b/>
          <w:sz w:val="28"/>
          <w:szCs w:val="28"/>
          <w:lang w:eastAsia="zh-CN"/>
        </w:rPr>
      </w:pPr>
      <w:r>
        <w:rPr>
          <w:rFonts w:hint="eastAsia" w:ascii="仿宋" w:hAnsi="仿宋" w:eastAsia="仿宋"/>
          <w:b/>
          <w:sz w:val="28"/>
          <w:szCs w:val="28"/>
          <w:lang w:eastAsia="zh-CN"/>
        </w:rPr>
        <w:t>二〇二二年七月十八日</w:t>
      </w:r>
    </w:p>
    <w:p>
      <w:pPr>
        <w:spacing w:line="120" w:lineRule="exact"/>
        <w:jc w:val="center"/>
        <w:rPr>
          <w:b/>
          <w:bCs/>
          <w:sz w:val="36"/>
          <w:szCs w:val="36"/>
        </w:rPr>
      </w:pPr>
    </w:p>
    <w:p>
      <w:pPr>
        <w:spacing w:line="120" w:lineRule="exact"/>
        <w:jc w:val="center"/>
        <w:rPr>
          <w:b/>
          <w:bCs/>
          <w:sz w:val="36"/>
          <w:szCs w:val="36"/>
        </w:rPr>
      </w:pPr>
    </w:p>
    <w:p>
      <w:pPr>
        <w:spacing w:line="120" w:lineRule="exact"/>
        <w:jc w:val="center"/>
        <w:rPr>
          <w:b/>
          <w:bCs/>
          <w:sz w:val="36"/>
          <w:szCs w:val="36"/>
        </w:rPr>
      </w:pPr>
    </w:p>
    <w:p>
      <w:pPr>
        <w:spacing w:line="120" w:lineRule="exact"/>
        <w:jc w:val="center"/>
        <w:rPr>
          <w:b/>
          <w:bCs/>
          <w:sz w:val="36"/>
          <w:szCs w:val="36"/>
        </w:rPr>
      </w:pPr>
    </w:p>
    <w:p>
      <w:pPr>
        <w:spacing w:line="120" w:lineRule="exact"/>
        <w:jc w:val="center"/>
        <w:rPr>
          <w:b/>
          <w:bCs/>
          <w:sz w:val="36"/>
          <w:szCs w:val="36"/>
        </w:rPr>
      </w:pPr>
    </w:p>
    <w:p>
      <w:pPr>
        <w:spacing w:line="120" w:lineRule="exact"/>
        <w:jc w:val="center"/>
        <w:rPr>
          <w:b/>
          <w:bCs/>
          <w:sz w:val="36"/>
          <w:szCs w:val="36"/>
        </w:rPr>
      </w:pPr>
    </w:p>
    <w:p>
      <w:pPr>
        <w:spacing w:line="120" w:lineRule="exact"/>
        <w:jc w:val="center"/>
        <w:rPr>
          <w:b/>
          <w:bCs/>
          <w:sz w:val="36"/>
          <w:szCs w:val="36"/>
        </w:rPr>
      </w:pPr>
    </w:p>
    <w:p>
      <w:pPr>
        <w:jc w:val="center"/>
        <w:rPr>
          <w:b/>
          <w:bCs/>
          <w:sz w:val="36"/>
          <w:szCs w:val="36"/>
        </w:rPr>
      </w:pPr>
      <w:r>
        <w:rPr>
          <w:rFonts w:hint="eastAsia"/>
          <w:b/>
          <w:bCs/>
          <w:sz w:val="36"/>
          <w:szCs w:val="36"/>
        </w:rPr>
        <w:t>目    录</w:t>
      </w:r>
    </w:p>
    <w:p>
      <w:pPr>
        <w:spacing w:line="120" w:lineRule="exact"/>
        <w:jc w:val="center"/>
        <w:rPr>
          <w:b/>
          <w:bCs/>
          <w:sz w:val="36"/>
          <w:szCs w:val="36"/>
        </w:rPr>
      </w:pPr>
    </w:p>
    <w:p>
      <w:pPr>
        <w:pStyle w:val="20"/>
        <w:tabs>
          <w:tab w:val="right" w:leader="dot" w:pos="8449"/>
          <w:tab w:val="clear" w:pos="9231"/>
        </w:tabs>
        <w:spacing w:before="156" w:after="156"/>
      </w:pPr>
      <w:r>
        <w:rPr>
          <w:rFonts w:ascii="仿宋" w:hAnsi="仿宋" w:eastAsia="等线"/>
          <w:b w:val="0"/>
          <w:bCs/>
          <w:sz w:val="28"/>
          <w:szCs w:val="28"/>
        </w:rPr>
        <w:fldChar w:fldCharType="begin"/>
      </w:r>
      <w:r>
        <w:rPr>
          <w:rFonts w:ascii="仿宋" w:hAnsi="仿宋" w:eastAsia="等线"/>
          <w:b w:val="0"/>
          <w:bCs/>
          <w:sz w:val="28"/>
          <w:szCs w:val="28"/>
        </w:rPr>
        <w:instrText xml:space="preserve"> TOC \o "1-3" \h \z \u </w:instrText>
      </w:r>
      <w:r>
        <w:rPr>
          <w:rFonts w:ascii="仿宋" w:hAnsi="仿宋" w:eastAsia="等线"/>
          <w:b w:val="0"/>
          <w:bCs/>
          <w:sz w:val="28"/>
          <w:szCs w:val="28"/>
        </w:rPr>
        <w:fldChar w:fldCharType="separate"/>
      </w:r>
      <w:r>
        <w:fldChar w:fldCharType="begin"/>
      </w:r>
      <w:r>
        <w:instrText xml:space="preserve"> HYPERLINK \l "_Toc30080" </w:instrText>
      </w:r>
      <w:r>
        <w:fldChar w:fldCharType="separate"/>
      </w:r>
      <w:r>
        <w:rPr>
          <w:rFonts w:hint="eastAsia"/>
        </w:rPr>
        <w:t>估 价 师 声 明</w:t>
      </w:r>
      <w:r>
        <w:tab/>
      </w:r>
      <w:r>
        <w:fldChar w:fldCharType="begin"/>
      </w:r>
      <w:r>
        <w:instrText xml:space="preserve"> PAGEREF _Toc30080 \h </w:instrText>
      </w:r>
      <w:r>
        <w:fldChar w:fldCharType="separate"/>
      </w:r>
      <w:r>
        <w:t>4</w:t>
      </w:r>
      <w:r>
        <w:fldChar w:fldCharType="end"/>
      </w:r>
      <w:r>
        <w:fldChar w:fldCharType="end"/>
      </w:r>
    </w:p>
    <w:p>
      <w:pPr>
        <w:pStyle w:val="20"/>
        <w:tabs>
          <w:tab w:val="right" w:leader="dot" w:pos="8449"/>
          <w:tab w:val="clear" w:pos="9231"/>
        </w:tabs>
        <w:spacing w:before="156" w:after="156"/>
      </w:pPr>
      <w:r>
        <w:fldChar w:fldCharType="begin"/>
      </w:r>
      <w:r>
        <w:instrText xml:space="preserve"> HYPERLINK \l "_Toc8258" </w:instrText>
      </w:r>
      <w:r>
        <w:fldChar w:fldCharType="separate"/>
      </w:r>
      <w:r>
        <w:rPr>
          <w:rFonts w:hint="eastAsia"/>
        </w:rPr>
        <w:t>估价假设和限制条件</w:t>
      </w:r>
      <w:r>
        <w:tab/>
      </w:r>
      <w:r>
        <w:fldChar w:fldCharType="begin"/>
      </w:r>
      <w:r>
        <w:instrText xml:space="preserve"> PAGEREF _Toc8258 \h </w:instrText>
      </w:r>
      <w:r>
        <w:fldChar w:fldCharType="separate"/>
      </w:r>
      <w:r>
        <w:t>6</w:t>
      </w:r>
      <w:r>
        <w:fldChar w:fldCharType="end"/>
      </w:r>
      <w:r>
        <w:fldChar w:fldCharType="end"/>
      </w:r>
    </w:p>
    <w:p>
      <w:pPr>
        <w:pStyle w:val="20"/>
        <w:tabs>
          <w:tab w:val="right" w:leader="dot" w:pos="8449"/>
          <w:tab w:val="clear" w:pos="9231"/>
        </w:tabs>
        <w:spacing w:before="156" w:after="156"/>
      </w:pPr>
      <w:r>
        <w:fldChar w:fldCharType="begin"/>
      </w:r>
      <w:r>
        <w:instrText xml:space="preserve"> HYPERLINK \l "_Toc24022" </w:instrText>
      </w:r>
      <w:r>
        <w:fldChar w:fldCharType="separate"/>
      </w:r>
      <w:r>
        <w:rPr>
          <w:rFonts w:hint="eastAsia" w:ascii="宋体" w:hAnsi="宋体"/>
          <w:bCs/>
          <w:kern w:val="44"/>
          <w:szCs w:val="28"/>
          <w:lang w:val="zh-CN"/>
        </w:rPr>
        <w:t>估 价 结 果 报 告</w:t>
      </w:r>
      <w:r>
        <w:tab/>
      </w:r>
      <w:r>
        <w:fldChar w:fldCharType="begin"/>
      </w:r>
      <w:r>
        <w:instrText xml:space="preserve"> PAGEREF _Toc24022 \h </w:instrText>
      </w:r>
      <w:r>
        <w:fldChar w:fldCharType="separate"/>
      </w:r>
      <w:r>
        <w:t>9</w:t>
      </w:r>
      <w:r>
        <w:fldChar w:fldCharType="end"/>
      </w:r>
      <w:r>
        <w:fldChar w:fldCharType="end"/>
      </w:r>
    </w:p>
    <w:p>
      <w:pPr>
        <w:pStyle w:val="25"/>
        <w:tabs>
          <w:tab w:val="right" w:leader="dot" w:pos="8449"/>
          <w:tab w:val="clear" w:pos="9231"/>
        </w:tabs>
        <w:ind w:firstLine="480"/>
      </w:pPr>
      <w:r>
        <w:fldChar w:fldCharType="begin"/>
      </w:r>
      <w:r>
        <w:instrText xml:space="preserve"> HYPERLINK \l "_Toc20033" </w:instrText>
      </w:r>
      <w:r>
        <w:fldChar w:fldCharType="separate"/>
      </w:r>
      <w:r>
        <w:rPr>
          <w:rFonts w:hint="eastAsia" w:ascii="仿宋" w:hAnsi="仿宋"/>
        </w:rPr>
        <w:t>一、估价委托人</w:t>
      </w:r>
      <w:r>
        <w:tab/>
      </w:r>
      <w:r>
        <w:fldChar w:fldCharType="begin"/>
      </w:r>
      <w:r>
        <w:instrText xml:space="preserve"> PAGEREF _Toc20033 \h </w:instrText>
      </w:r>
      <w:r>
        <w:fldChar w:fldCharType="separate"/>
      </w:r>
      <w:r>
        <w:t>9</w:t>
      </w:r>
      <w:r>
        <w:fldChar w:fldCharType="end"/>
      </w:r>
      <w:r>
        <w:fldChar w:fldCharType="end"/>
      </w:r>
    </w:p>
    <w:p>
      <w:pPr>
        <w:pStyle w:val="25"/>
        <w:tabs>
          <w:tab w:val="right" w:leader="dot" w:pos="8449"/>
          <w:tab w:val="clear" w:pos="9231"/>
        </w:tabs>
        <w:ind w:firstLine="480"/>
      </w:pPr>
      <w:r>
        <w:fldChar w:fldCharType="begin"/>
      </w:r>
      <w:r>
        <w:instrText xml:space="preserve"> HYPERLINK \l "_Toc6526" </w:instrText>
      </w:r>
      <w:r>
        <w:fldChar w:fldCharType="separate"/>
      </w:r>
      <w:r>
        <w:rPr>
          <w:rFonts w:hint="eastAsia" w:ascii="仿宋" w:hAnsi="仿宋"/>
        </w:rPr>
        <w:t>二、房地产估价机构</w:t>
      </w:r>
      <w:r>
        <w:tab/>
      </w:r>
      <w:r>
        <w:fldChar w:fldCharType="begin"/>
      </w:r>
      <w:r>
        <w:instrText xml:space="preserve"> PAGEREF _Toc6526 \h </w:instrText>
      </w:r>
      <w:r>
        <w:fldChar w:fldCharType="separate"/>
      </w:r>
      <w:r>
        <w:t>9</w:t>
      </w:r>
      <w:r>
        <w:fldChar w:fldCharType="end"/>
      </w:r>
      <w:r>
        <w:fldChar w:fldCharType="end"/>
      </w:r>
    </w:p>
    <w:p>
      <w:pPr>
        <w:pStyle w:val="25"/>
        <w:tabs>
          <w:tab w:val="right" w:leader="dot" w:pos="8449"/>
          <w:tab w:val="clear" w:pos="9231"/>
        </w:tabs>
        <w:ind w:firstLine="480"/>
      </w:pPr>
      <w:r>
        <w:fldChar w:fldCharType="begin"/>
      </w:r>
      <w:r>
        <w:instrText xml:space="preserve"> HYPERLINK \l "_Toc23158" </w:instrText>
      </w:r>
      <w:r>
        <w:fldChar w:fldCharType="separate"/>
      </w:r>
      <w:r>
        <w:rPr>
          <w:rFonts w:hint="eastAsia" w:ascii="仿宋" w:hAnsi="仿宋"/>
        </w:rPr>
        <w:t>三、估价目的</w:t>
      </w:r>
      <w:r>
        <w:tab/>
      </w:r>
      <w:r>
        <w:fldChar w:fldCharType="begin"/>
      </w:r>
      <w:r>
        <w:instrText xml:space="preserve"> PAGEREF _Toc23158 \h </w:instrText>
      </w:r>
      <w:r>
        <w:fldChar w:fldCharType="separate"/>
      </w:r>
      <w:r>
        <w:t>9</w:t>
      </w:r>
      <w:r>
        <w:fldChar w:fldCharType="end"/>
      </w:r>
      <w:r>
        <w:fldChar w:fldCharType="end"/>
      </w:r>
    </w:p>
    <w:p>
      <w:pPr>
        <w:pStyle w:val="25"/>
        <w:tabs>
          <w:tab w:val="right" w:leader="dot" w:pos="8449"/>
          <w:tab w:val="clear" w:pos="9231"/>
        </w:tabs>
        <w:ind w:firstLine="480"/>
      </w:pPr>
      <w:r>
        <w:fldChar w:fldCharType="begin"/>
      </w:r>
      <w:r>
        <w:instrText xml:space="preserve"> HYPERLINK \l "_Toc1779" </w:instrText>
      </w:r>
      <w:r>
        <w:fldChar w:fldCharType="separate"/>
      </w:r>
      <w:r>
        <w:rPr>
          <w:rFonts w:hint="eastAsia" w:ascii="仿宋" w:hAnsi="仿宋"/>
        </w:rPr>
        <w:t>四、估价对象</w:t>
      </w:r>
      <w:r>
        <w:tab/>
      </w:r>
      <w:r>
        <w:fldChar w:fldCharType="begin"/>
      </w:r>
      <w:r>
        <w:instrText xml:space="preserve"> PAGEREF _Toc1779 \h </w:instrText>
      </w:r>
      <w:r>
        <w:fldChar w:fldCharType="separate"/>
      </w:r>
      <w:r>
        <w:t>9</w:t>
      </w:r>
      <w:r>
        <w:fldChar w:fldCharType="end"/>
      </w:r>
      <w:r>
        <w:fldChar w:fldCharType="end"/>
      </w:r>
    </w:p>
    <w:p>
      <w:pPr>
        <w:pStyle w:val="25"/>
        <w:tabs>
          <w:tab w:val="right" w:leader="dot" w:pos="8449"/>
          <w:tab w:val="clear" w:pos="9231"/>
        </w:tabs>
        <w:ind w:firstLine="480"/>
      </w:pPr>
      <w:r>
        <w:fldChar w:fldCharType="begin"/>
      </w:r>
      <w:r>
        <w:instrText xml:space="preserve"> HYPERLINK \l "_Toc27908" </w:instrText>
      </w:r>
      <w:r>
        <w:fldChar w:fldCharType="separate"/>
      </w:r>
      <w:r>
        <w:rPr>
          <w:rFonts w:hint="eastAsia" w:ascii="仿宋" w:hAnsi="仿宋"/>
        </w:rPr>
        <w:t>五、价值时点</w:t>
      </w:r>
      <w:r>
        <w:tab/>
      </w:r>
      <w:r>
        <w:fldChar w:fldCharType="begin"/>
      </w:r>
      <w:r>
        <w:instrText xml:space="preserve"> PAGEREF _Toc27908 \h </w:instrText>
      </w:r>
      <w:r>
        <w:fldChar w:fldCharType="separate"/>
      </w:r>
      <w:r>
        <w:t>12</w:t>
      </w:r>
      <w:r>
        <w:fldChar w:fldCharType="end"/>
      </w:r>
      <w:r>
        <w:fldChar w:fldCharType="end"/>
      </w:r>
    </w:p>
    <w:p>
      <w:pPr>
        <w:pStyle w:val="25"/>
        <w:tabs>
          <w:tab w:val="right" w:leader="dot" w:pos="8449"/>
          <w:tab w:val="clear" w:pos="9231"/>
        </w:tabs>
        <w:ind w:firstLine="480"/>
      </w:pPr>
      <w:r>
        <w:fldChar w:fldCharType="begin"/>
      </w:r>
      <w:r>
        <w:instrText xml:space="preserve"> HYPERLINK \l "_Toc2856" </w:instrText>
      </w:r>
      <w:r>
        <w:fldChar w:fldCharType="separate"/>
      </w:r>
      <w:r>
        <w:rPr>
          <w:rFonts w:hint="eastAsia" w:ascii="仿宋" w:hAnsi="仿宋"/>
        </w:rPr>
        <w:t>六、价值类型</w:t>
      </w:r>
      <w:r>
        <w:tab/>
      </w:r>
      <w:r>
        <w:fldChar w:fldCharType="begin"/>
      </w:r>
      <w:r>
        <w:instrText xml:space="preserve"> PAGEREF _Toc2856 \h </w:instrText>
      </w:r>
      <w:r>
        <w:fldChar w:fldCharType="separate"/>
      </w:r>
      <w:r>
        <w:t>12</w:t>
      </w:r>
      <w:r>
        <w:fldChar w:fldCharType="end"/>
      </w:r>
      <w:r>
        <w:fldChar w:fldCharType="end"/>
      </w:r>
    </w:p>
    <w:p>
      <w:pPr>
        <w:pStyle w:val="25"/>
        <w:tabs>
          <w:tab w:val="right" w:leader="dot" w:pos="8449"/>
          <w:tab w:val="clear" w:pos="9231"/>
        </w:tabs>
        <w:ind w:firstLine="480"/>
      </w:pPr>
      <w:r>
        <w:fldChar w:fldCharType="begin"/>
      </w:r>
      <w:r>
        <w:instrText xml:space="preserve"> HYPERLINK \l "_Toc18147" </w:instrText>
      </w:r>
      <w:r>
        <w:fldChar w:fldCharType="separate"/>
      </w:r>
      <w:r>
        <w:rPr>
          <w:rFonts w:hint="eastAsia" w:ascii="仿宋" w:hAnsi="仿宋"/>
        </w:rPr>
        <w:t>七、估价原则</w:t>
      </w:r>
      <w:r>
        <w:tab/>
      </w:r>
      <w:r>
        <w:fldChar w:fldCharType="begin"/>
      </w:r>
      <w:r>
        <w:instrText xml:space="preserve"> PAGEREF _Toc18147 \h </w:instrText>
      </w:r>
      <w:r>
        <w:fldChar w:fldCharType="separate"/>
      </w:r>
      <w:r>
        <w:t>12</w:t>
      </w:r>
      <w:r>
        <w:fldChar w:fldCharType="end"/>
      </w:r>
      <w:r>
        <w:fldChar w:fldCharType="end"/>
      </w:r>
    </w:p>
    <w:p>
      <w:pPr>
        <w:pStyle w:val="25"/>
        <w:tabs>
          <w:tab w:val="right" w:leader="dot" w:pos="8449"/>
          <w:tab w:val="clear" w:pos="9231"/>
        </w:tabs>
        <w:ind w:firstLine="480"/>
      </w:pPr>
      <w:r>
        <w:fldChar w:fldCharType="begin"/>
      </w:r>
      <w:r>
        <w:instrText xml:space="preserve"> HYPERLINK \l "_Toc31659" </w:instrText>
      </w:r>
      <w:r>
        <w:fldChar w:fldCharType="separate"/>
      </w:r>
      <w:r>
        <w:rPr>
          <w:rFonts w:hint="eastAsia" w:ascii="仿宋" w:hAnsi="仿宋"/>
        </w:rPr>
        <w:t>八、估价依据</w:t>
      </w:r>
      <w:r>
        <w:tab/>
      </w:r>
      <w:r>
        <w:fldChar w:fldCharType="begin"/>
      </w:r>
      <w:r>
        <w:instrText xml:space="preserve"> PAGEREF _Toc31659 \h </w:instrText>
      </w:r>
      <w:r>
        <w:fldChar w:fldCharType="separate"/>
      </w:r>
      <w:r>
        <w:t>14</w:t>
      </w:r>
      <w:r>
        <w:fldChar w:fldCharType="end"/>
      </w:r>
      <w:r>
        <w:fldChar w:fldCharType="end"/>
      </w:r>
    </w:p>
    <w:p>
      <w:pPr>
        <w:pStyle w:val="25"/>
        <w:tabs>
          <w:tab w:val="right" w:leader="dot" w:pos="8449"/>
          <w:tab w:val="clear" w:pos="9231"/>
        </w:tabs>
        <w:ind w:firstLine="480"/>
      </w:pPr>
      <w:r>
        <w:fldChar w:fldCharType="begin"/>
      </w:r>
      <w:r>
        <w:instrText xml:space="preserve"> HYPERLINK \l "_Toc26139" </w:instrText>
      </w:r>
      <w:r>
        <w:fldChar w:fldCharType="separate"/>
      </w:r>
      <w:r>
        <w:rPr>
          <w:rFonts w:hint="eastAsia" w:ascii="仿宋" w:hAnsi="仿宋"/>
        </w:rPr>
        <w:t>九、估价方法</w:t>
      </w:r>
      <w:r>
        <w:tab/>
      </w:r>
      <w:r>
        <w:fldChar w:fldCharType="begin"/>
      </w:r>
      <w:r>
        <w:instrText xml:space="preserve"> PAGEREF _Toc26139 \h </w:instrText>
      </w:r>
      <w:r>
        <w:fldChar w:fldCharType="separate"/>
      </w:r>
      <w:r>
        <w:t>16</w:t>
      </w:r>
      <w:r>
        <w:fldChar w:fldCharType="end"/>
      </w:r>
      <w:r>
        <w:fldChar w:fldCharType="end"/>
      </w:r>
    </w:p>
    <w:p>
      <w:pPr>
        <w:pStyle w:val="25"/>
        <w:tabs>
          <w:tab w:val="right" w:leader="dot" w:pos="8449"/>
          <w:tab w:val="clear" w:pos="9231"/>
        </w:tabs>
        <w:ind w:firstLine="480"/>
      </w:pPr>
      <w:r>
        <w:fldChar w:fldCharType="begin"/>
      </w:r>
      <w:r>
        <w:instrText xml:space="preserve"> HYPERLINK \l "_Toc2663" </w:instrText>
      </w:r>
      <w:r>
        <w:fldChar w:fldCharType="separate"/>
      </w:r>
      <w:r>
        <w:rPr>
          <w:rFonts w:hint="eastAsia" w:ascii="仿宋" w:hAnsi="仿宋"/>
          <w:bCs/>
          <w:szCs w:val="28"/>
        </w:rPr>
        <w:t>十、估价结果</w:t>
      </w:r>
      <w:r>
        <w:tab/>
      </w:r>
      <w:r>
        <w:fldChar w:fldCharType="begin"/>
      </w:r>
      <w:r>
        <w:instrText xml:space="preserve"> PAGEREF _Toc2663 \h </w:instrText>
      </w:r>
      <w:r>
        <w:fldChar w:fldCharType="separate"/>
      </w:r>
      <w:r>
        <w:t>17</w:t>
      </w:r>
      <w:r>
        <w:fldChar w:fldCharType="end"/>
      </w:r>
      <w:r>
        <w:fldChar w:fldCharType="end"/>
      </w:r>
    </w:p>
    <w:p>
      <w:pPr>
        <w:pStyle w:val="25"/>
        <w:tabs>
          <w:tab w:val="right" w:leader="dot" w:pos="8449"/>
          <w:tab w:val="clear" w:pos="9231"/>
        </w:tabs>
        <w:ind w:firstLine="480"/>
      </w:pPr>
      <w:r>
        <w:fldChar w:fldCharType="begin"/>
      </w:r>
      <w:r>
        <w:instrText xml:space="preserve"> HYPERLINK \l "_Toc14558" </w:instrText>
      </w:r>
      <w:r>
        <w:fldChar w:fldCharType="separate"/>
      </w:r>
      <w:r>
        <w:rPr>
          <w:rFonts w:hint="eastAsia" w:ascii="仿宋" w:hAnsi="仿宋"/>
        </w:rPr>
        <w:t>十一、注册房地产估价师</w:t>
      </w:r>
      <w:r>
        <w:tab/>
      </w:r>
      <w:r>
        <w:fldChar w:fldCharType="begin"/>
      </w:r>
      <w:r>
        <w:instrText xml:space="preserve"> PAGEREF _Toc14558 \h </w:instrText>
      </w:r>
      <w:r>
        <w:fldChar w:fldCharType="separate"/>
      </w:r>
      <w:r>
        <w:t>18</w:t>
      </w:r>
      <w:r>
        <w:fldChar w:fldCharType="end"/>
      </w:r>
      <w:r>
        <w:fldChar w:fldCharType="end"/>
      </w:r>
    </w:p>
    <w:p>
      <w:pPr>
        <w:pStyle w:val="25"/>
        <w:tabs>
          <w:tab w:val="right" w:leader="dot" w:pos="8449"/>
          <w:tab w:val="clear" w:pos="9231"/>
        </w:tabs>
        <w:ind w:firstLine="480"/>
      </w:pPr>
      <w:r>
        <w:fldChar w:fldCharType="begin"/>
      </w:r>
      <w:r>
        <w:instrText xml:space="preserve"> HYPERLINK \l "_Toc18644" </w:instrText>
      </w:r>
      <w:r>
        <w:fldChar w:fldCharType="separate"/>
      </w:r>
      <w:r>
        <w:rPr>
          <w:rFonts w:hint="eastAsia" w:ascii="仿宋" w:hAnsi="仿宋"/>
        </w:rPr>
        <w:t>十二、实地查勘期</w:t>
      </w:r>
      <w:r>
        <w:tab/>
      </w:r>
      <w:r>
        <w:fldChar w:fldCharType="begin"/>
      </w:r>
      <w:r>
        <w:instrText xml:space="preserve"> PAGEREF _Toc18644 \h </w:instrText>
      </w:r>
      <w:r>
        <w:fldChar w:fldCharType="separate"/>
      </w:r>
      <w:r>
        <w:t>18</w:t>
      </w:r>
      <w:r>
        <w:fldChar w:fldCharType="end"/>
      </w:r>
      <w:r>
        <w:fldChar w:fldCharType="end"/>
      </w:r>
    </w:p>
    <w:p>
      <w:pPr>
        <w:pStyle w:val="25"/>
        <w:tabs>
          <w:tab w:val="right" w:leader="dot" w:pos="8449"/>
          <w:tab w:val="clear" w:pos="9231"/>
        </w:tabs>
        <w:ind w:firstLine="480"/>
      </w:pPr>
      <w:r>
        <w:fldChar w:fldCharType="begin"/>
      </w:r>
      <w:r>
        <w:instrText xml:space="preserve"> HYPERLINK \l "_Toc16020" </w:instrText>
      </w:r>
      <w:r>
        <w:fldChar w:fldCharType="separate"/>
      </w:r>
      <w:r>
        <w:rPr>
          <w:rFonts w:hint="eastAsia" w:ascii="仿宋" w:hAnsi="仿宋"/>
        </w:rPr>
        <w:t>十三、估价作业期</w:t>
      </w:r>
      <w:r>
        <w:tab/>
      </w:r>
      <w:r>
        <w:fldChar w:fldCharType="begin"/>
      </w:r>
      <w:r>
        <w:instrText xml:space="preserve"> PAGEREF _Toc16020 \h </w:instrText>
      </w:r>
      <w:r>
        <w:fldChar w:fldCharType="separate"/>
      </w:r>
      <w:r>
        <w:t>18</w:t>
      </w:r>
      <w:r>
        <w:fldChar w:fldCharType="end"/>
      </w:r>
      <w:r>
        <w:fldChar w:fldCharType="end"/>
      </w:r>
    </w:p>
    <w:p>
      <w:pPr>
        <w:pStyle w:val="25"/>
        <w:tabs>
          <w:tab w:val="right" w:leader="dot" w:pos="8449"/>
          <w:tab w:val="clear" w:pos="9231"/>
        </w:tabs>
        <w:ind w:firstLine="480"/>
      </w:pPr>
      <w:r>
        <w:fldChar w:fldCharType="begin"/>
      </w:r>
      <w:r>
        <w:instrText xml:space="preserve"> HYPERLINK \l "_Toc17758" </w:instrText>
      </w:r>
      <w:r>
        <w:fldChar w:fldCharType="separate"/>
      </w:r>
      <w:r>
        <w:rPr>
          <w:rFonts w:hint="eastAsia" w:ascii="仿宋" w:hAnsi="仿宋"/>
        </w:rPr>
        <w:t>十四、估价报告有效期</w:t>
      </w:r>
      <w:r>
        <w:tab/>
      </w:r>
      <w:r>
        <w:fldChar w:fldCharType="begin"/>
      </w:r>
      <w:r>
        <w:instrText xml:space="preserve"> PAGEREF _Toc17758 \h </w:instrText>
      </w:r>
      <w:r>
        <w:fldChar w:fldCharType="separate"/>
      </w:r>
      <w:r>
        <w:t>18</w:t>
      </w:r>
      <w:r>
        <w:fldChar w:fldCharType="end"/>
      </w:r>
      <w:r>
        <w:fldChar w:fldCharType="end"/>
      </w:r>
    </w:p>
    <w:p>
      <w:pPr>
        <w:pStyle w:val="20"/>
        <w:tabs>
          <w:tab w:val="right" w:leader="dot" w:pos="8449"/>
          <w:tab w:val="clear" w:pos="9231"/>
        </w:tabs>
        <w:spacing w:before="156" w:after="156"/>
      </w:pPr>
      <w:r>
        <w:fldChar w:fldCharType="begin"/>
      </w:r>
      <w:r>
        <w:instrText xml:space="preserve"> HYPERLINK \l "_Toc11790" </w:instrText>
      </w:r>
      <w:r>
        <w:fldChar w:fldCharType="separate"/>
      </w:r>
      <w:r>
        <w:rPr>
          <w:rFonts w:hint="eastAsia"/>
        </w:rPr>
        <w:t>附  件</w:t>
      </w:r>
      <w:r>
        <w:tab/>
      </w:r>
      <w:r>
        <w:fldChar w:fldCharType="begin"/>
      </w:r>
      <w:r>
        <w:instrText xml:space="preserve"> PAGEREF _Toc11790 \h </w:instrText>
      </w:r>
      <w:r>
        <w:fldChar w:fldCharType="separate"/>
      </w:r>
      <w:r>
        <w:t>19</w:t>
      </w:r>
      <w:r>
        <w:fldChar w:fldCharType="end"/>
      </w:r>
      <w:r>
        <w:fldChar w:fldCharType="end"/>
      </w:r>
    </w:p>
    <w:p>
      <w:pPr>
        <w:pStyle w:val="25"/>
        <w:tabs>
          <w:tab w:val="right" w:leader="dot" w:pos="8449"/>
          <w:tab w:val="clear" w:pos="9231"/>
        </w:tabs>
        <w:ind w:firstLine="480"/>
      </w:pPr>
      <w:r>
        <w:fldChar w:fldCharType="begin"/>
      </w:r>
      <w:r>
        <w:instrText xml:space="preserve"> HYPERLINK \l "_Toc7494" </w:instrText>
      </w:r>
      <w:r>
        <w:fldChar w:fldCharType="separate"/>
      </w:r>
      <w:r>
        <w:rPr>
          <w:rFonts w:hint="eastAsia"/>
        </w:rPr>
        <w:t>一、估价对象位置示意图</w:t>
      </w:r>
      <w:r>
        <w:tab/>
      </w:r>
      <w:r>
        <w:fldChar w:fldCharType="begin"/>
      </w:r>
      <w:r>
        <w:instrText xml:space="preserve"> PAGEREF _Toc7494 \h </w:instrText>
      </w:r>
      <w:r>
        <w:fldChar w:fldCharType="separate"/>
      </w:r>
      <w:r>
        <w:t>19</w:t>
      </w:r>
      <w:r>
        <w:fldChar w:fldCharType="end"/>
      </w:r>
      <w:r>
        <w:fldChar w:fldCharType="end"/>
      </w:r>
    </w:p>
    <w:p>
      <w:pPr>
        <w:pStyle w:val="25"/>
        <w:tabs>
          <w:tab w:val="right" w:leader="dot" w:pos="8449"/>
          <w:tab w:val="clear" w:pos="9231"/>
        </w:tabs>
        <w:ind w:firstLine="480"/>
      </w:pPr>
      <w:r>
        <w:fldChar w:fldCharType="begin"/>
      </w:r>
      <w:r>
        <w:instrText xml:space="preserve"> HYPERLINK \l "_Toc12918" </w:instrText>
      </w:r>
      <w:r>
        <w:fldChar w:fldCharType="separate"/>
      </w:r>
      <w:r>
        <w:rPr>
          <w:rFonts w:hint="eastAsia"/>
        </w:rPr>
        <w:t>二、许昌市魏都区人民法院执行裁定书复印件</w:t>
      </w:r>
      <w:r>
        <w:tab/>
      </w:r>
      <w:r>
        <w:fldChar w:fldCharType="begin"/>
      </w:r>
      <w:r>
        <w:instrText xml:space="preserve"> PAGEREF _Toc12918 \h </w:instrText>
      </w:r>
      <w:r>
        <w:fldChar w:fldCharType="separate"/>
      </w:r>
      <w:r>
        <w:t>19</w:t>
      </w:r>
      <w:r>
        <w:fldChar w:fldCharType="end"/>
      </w:r>
      <w:r>
        <w:fldChar w:fldCharType="end"/>
      </w:r>
    </w:p>
    <w:p>
      <w:pPr>
        <w:pStyle w:val="25"/>
        <w:tabs>
          <w:tab w:val="right" w:leader="dot" w:pos="8449"/>
          <w:tab w:val="clear" w:pos="9231"/>
        </w:tabs>
        <w:ind w:firstLine="480"/>
      </w:pPr>
      <w:r>
        <w:fldChar w:fldCharType="begin"/>
      </w:r>
      <w:r>
        <w:instrText xml:space="preserve"> HYPERLINK \l "_Toc28237" </w:instrText>
      </w:r>
      <w:r>
        <w:fldChar w:fldCharType="separate"/>
      </w:r>
      <w:r>
        <w:rPr>
          <w:rFonts w:hint="eastAsia"/>
        </w:rPr>
        <w:t>三、估价对象内外部状况照片</w:t>
      </w:r>
      <w:r>
        <w:tab/>
      </w:r>
      <w:r>
        <w:fldChar w:fldCharType="begin"/>
      </w:r>
      <w:r>
        <w:instrText xml:space="preserve"> PAGEREF _Toc28237 \h </w:instrText>
      </w:r>
      <w:r>
        <w:fldChar w:fldCharType="separate"/>
      </w:r>
      <w:r>
        <w:t>19</w:t>
      </w:r>
      <w:r>
        <w:fldChar w:fldCharType="end"/>
      </w:r>
      <w:r>
        <w:fldChar w:fldCharType="end"/>
      </w:r>
    </w:p>
    <w:p>
      <w:pPr>
        <w:pStyle w:val="25"/>
        <w:tabs>
          <w:tab w:val="right" w:leader="dot" w:pos="8449"/>
          <w:tab w:val="clear" w:pos="9231"/>
        </w:tabs>
        <w:ind w:firstLine="480"/>
      </w:pPr>
      <w:r>
        <w:fldChar w:fldCharType="begin"/>
      </w:r>
      <w:r>
        <w:instrText xml:space="preserve"> HYPERLINK \l "_Toc7363" </w:instrText>
      </w:r>
      <w:r>
        <w:fldChar w:fldCharType="separate"/>
      </w:r>
      <w:r>
        <w:rPr>
          <w:rFonts w:hint="eastAsia"/>
        </w:rPr>
        <w:t>四、《查档证明》复印件</w:t>
      </w:r>
      <w:r>
        <w:tab/>
      </w:r>
      <w:r>
        <w:fldChar w:fldCharType="begin"/>
      </w:r>
      <w:r>
        <w:instrText xml:space="preserve"> PAGEREF _Toc7363 \h </w:instrText>
      </w:r>
      <w:r>
        <w:fldChar w:fldCharType="separate"/>
      </w:r>
      <w:r>
        <w:t>19</w:t>
      </w:r>
      <w:r>
        <w:fldChar w:fldCharType="end"/>
      </w:r>
      <w:r>
        <w:fldChar w:fldCharType="end"/>
      </w:r>
    </w:p>
    <w:p>
      <w:pPr>
        <w:pStyle w:val="25"/>
        <w:tabs>
          <w:tab w:val="right" w:leader="dot" w:pos="8449"/>
          <w:tab w:val="clear" w:pos="9231"/>
        </w:tabs>
        <w:ind w:firstLine="480"/>
      </w:pPr>
      <w:r>
        <w:fldChar w:fldCharType="begin"/>
      </w:r>
      <w:r>
        <w:instrText xml:space="preserve"> HYPERLINK \l "_Toc12002" </w:instrText>
      </w:r>
      <w:r>
        <w:fldChar w:fldCharType="separate"/>
      </w:r>
      <w:r>
        <w:rPr>
          <w:rFonts w:hint="eastAsia"/>
        </w:rPr>
        <w:t>五、《产权档案粘贴纸》复印件</w:t>
      </w:r>
      <w:r>
        <w:tab/>
      </w:r>
      <w:r>
        <w:fldChar w:fldCharType="begin"/>
      </w:r>
      <w:r>
        <w:instrText xml:space="preserve"> PAGEREF _Toc12002 \h </w:instrText>
      </w:r>
      <w:r>
        <w:fldChar w:fldCharType="separate"/>
      </w:r>
      <w:r>
        <w:t>19</w:t>
      </w:r>
      <w:r>
        <w:fldChar w:fldCharType="end"/>
      </w:r>
      <w:r>
        <w:fldChar w:fldCharType="end"/>
      </w:r>
    </w:p>
    <w:p>
      <w:pPr>
        <w:pStyle w:val="25"/>
        <w:tabs>
          <w:tab w:val="right" w:leader="dot" w:pos="8449"/>
          <w:tab w:val="clear" w:pos="9231"/>
        </w:tabs>
        <w:ind w:firstLine="480"/>
      </w:pPr>
      <w:r>
        <w:fldChar w:fldCharType="begin"/>
      </w:r>
      <w:r>
        <w:instrText xml:space="preserve"> HYPERLINK \l "_Toc5552" </w:instrText>
      </w:r>
      <w:r>
        <w:fldChar w:fldCharType="separate"/>
      </w:r>
      <w:r>
        <w:rPr>
          <w:rFonts w:hint="eastAsia"/>
        </w:rPr>
        <w:t>六、估价机构营业执照复印件</w:t>
      </w:r>
      <w:r>
        <w:tab/>
      </w:r>
      <w:r>
        <w:fldChar w:fldCharType="begin"/>
      </w:r>
      <w:r>
        <w:instrText xml:space="preserve"> PAGEREF _Toc5552 \h </w:instrText>
      </w:r>
      <w:r>
        <w:fldChar w:fldCharType="separate"/>
      </w:r>
      <w:r>
        <w:t>19</w:t>
      </w:r>
      <w:r>
        <w:fldChar w:fldCharType="end"/>
      </w:r>
      <w:r>
        <w:fldChar w:fldCharType="end"/>
      </w:r>
    </w:p>
    <w:p>
      <w:pPr>
        <w:pStyle w:val="25"/>
        <w:tabs>
          <w:tab w:val="right" w:leader="dot" w:pos="8449"/>
          <w:tab w:val="clear" w:pos="9231"/>
        </w:tabs>
        <w:ind w:firstLine="480"/>
      </w:pPr>
      <w:r>
        <w:fldChar w:fldCharType="begin"/>
      </w:r>
      <w:r>
        <w:instrText xml:space="preserve"> HYPERLINK \l "_Toc26805" </w:instrText>
      </w:r>
      <w:r>
        <w:fldChar w:fldCharType="separate"/>
      </w:r>
      <w:r>
        <w:rPr>
          <w:rFonts w:hint="eastAsia"/>
        </w:rPr>
        <w:t>七、估价机构备案证书复印件</w:t>
      </w:r>
      <w:r>
        <w:tab/>
      </w:r>
      <w:r>
        <w:fldChar w:fldCharType="begin"/>
      </w:r>
      <w:r>
        <w:instrText xml:space="preserve"> PAGEREF _Toc26805 \h </w:instrText>
      </w:r>
      <w:r>
        <w:fldChar w:fldCharType="separate"/>
      </w:r>
      <w:r>
        <w:t>19</w:t>
      </w:r>
      <w:r>
        <w:fldChar w:fldCharType="end"/>
      </w:r>
      <w:r>
        <w:fldChar w:fldCharType="end"/>
      </w:r>
    </w:p>
    <w:p>
      <w:pPr>
        <w:pStyle w:val="25"/>
        <w:tabs>
          <w:tab w:val="right" w:leader="dot" w:pos="8449"/>
          <w:tab w:val="clear" w:pos="9231"/>
        </w:tabs>
        <w:ind w:firstLine="480"/>
      </w:pPr>
      <w:r>
        <w:fldChar w:fldCharType="begin"/>
      </w:r>
      <w:r>
        <w:instrText xml:space="preserve"> HYPERLINK \l "_Toc31881" </w:instrText>
      </w:r>
      <w:r>
        <w:fldChar w:fldCharType="separate"/>
      </w:r>
      <w:r>
        <w:rPr>
          <w:rFonts w:hint="eastAsia"/>
        </w:rPr>
        <w:t>八、估价师注册证书复印件</w:t>
      </w:r>
      <w:r>
        <w:tab/>
      </w:r>
      <w:r>
        <w:fldChar w:fldCharType="begin"/>
      </w:r>
      <w:r>
        <w:instrText xml:space="preserve"> PAGEREF _Toc31881 \h </w:instrText>
      </w:r>
      <w:r>
        <w:fldChar w:fldCharType="separate"/>
      </w:r>
      <w:r>
        <w:t>19</w:t>
      </w:r>
      <w:r>
        <w:fldChar w:fldCharType="end"/>
      </w:r>
      <w:r>
        <w:fldChar w:fldCharType="end"/>
      </w:r>
    </w:p>
    <w:p>
      <w:pPr>
        <w:tabs>
          <w:tab w:val="center" w:pos="4504"/>
        </w:tabs>
        <w:spacing w:line="460" w:lineRule="exact"/>
        <w:rPr>
          <w:rFonts w:ascii="仿宋" w:hAnsi="仿宋" w:eastAsia="等线"/>
          <w:bCs/>
          <w:sz w:val="28"/>
          <w:szCs w:val="28"/>
        </w:rPr>
        <w:sectPr>
          <w:headerReference r:id="rId3" w:type="default"/>
          <w:footerReference r:id="rId4" w:type="default"/>
          <w:pgSz w:w="11906" w:h="16838"/>
          <w:pgMar w:top="1134" w:right="1416" w:bottom="1021" w:left="1644" w:header="680" w:footer="567" w:gutter="397"/>
          <w:pgNumType w:start="1"/>
          <w:cols w:space="720" w:num="1"/>
          <w:docGrid w:type="lines" w:linePitch="312" w:charSpace="0"/>
        </w:sectPr>
      </w:pPr>
      <w:r>
        <w:rPr>
          <w:rFonts w:ascii="仿宋" w:hAnsi="仿宋" w:eastAsia="等线"/>
          <w:bCs/>
          <w:szCs w:val="28"/>
        </w:rPr>
        <w:fldChar w:fldCharType="end"/>
      </w:r>
    </w:p>
    <w:p>
      <w:pPr>
        <w:pStyle w:val="2"/>
      </w:pPr>
      <w:bookmarkStart w:id="10" w:name="_Toc55929835"/>
      <w:bookmarkStart w:id="11" w:name="_Toc492483069"/>
      <w:bookmarkStart w:id="12" w:name="_Toc492481920"/>
      <w:bookmarkStart w:id="13" w:name="_Toc492484522"/>
      <w:bookmarkStart w:id="14" w:name="_Toc30080"/>
      <w:bookmarkStart w:id="15" w:name="_Toc492484549"/>
      <w:r>
        <w:rPr>
          <w:rFonts w:hint="eastAsia"/>
        </w:rPr>
        <w:t>估 价 师 声 明</w:t>
      </w:r>
      <w:bookmarkEnd w:id="10"/>
      <w:bookmarkEnd w:id="11"/>
      <w:bookmarkEnd w:id="12"/>
      <w:bookmarkEnd w:id="13"/>
      <w:bookmarkEnd w:id="14"/>
      <w:bookmarkEnd w:id="15"/>
    </w:p>
    <w:p>
      <w:pPr>
        <w:spacing w:line="500" w:lineRule="exact"/>
        <w:rPr>
          <w:rFonts w:ascii="仿宋" w:hAnsi="仿宋" w:eastAsia="仿宋"/>
          <w:b/>
          <w:sz w:val="28"/>
          <w:szCs w:val="28"/>
        </w:rPr>
      </w:pPr>
      <w:r>
        <w:rPr>
          <w:rFonts w:hint="eastAsia" w:ascii="仿宋" w:hAnsi="仿宋" w:eastAsia="仿宋"/>
          <w:b/>
          <w:sz w:val="28"/>
          <w:szCs w:val="28"/>
        </w:rPr>
        <w:t>我们郑重声明：</w:t>
      </w:r>
    </w:p>
    <w:p>
      <w:pPr>
        <w:spacing w:line="510" w:lineRule="exact"/>
        <w:ind w:firstLine="560" w:firstLineChars="200"/>
        <w:rPr>
          <w:rFonts w:ascii="仿宋" w:hAnsi="仿宋" w:eastAsia="仿宋"/>
          <w:sz w:val="28"/>
          <w:szCs w:val="28"/>
        </w:rPr>
      </w:pPr>
      <w:r>
        <w:rPr>
          <w:rFonts w:hint="eastAsia" w:ascii="仿宋" w:hAnsi="仿宋" w:eastAsia="仿宋"/>
          <w:sz w:val="28"/>
          <w:szCs w:val="28"/>
        </w:rPr>
        <w:t>1.注册房地产估价师在估价报告中对事实的说明是真实和准确的，没有虚假记载、误导性陈述和重大遗漏。</w:t>
      </w:r>
    </w:p>
    <w:p>
      <w:pPr>
        <w:spacing w:line="510" w:lineRule="exact"/>
        <w:ind w:firstLine="560" w:firstLineChars="200"/>
        <w:rPr>
          <w:rFonts w:ascii="仿宋" w:hAnsi="仿宋" w:eastAsia="仿宋"/>
          <w:sz w:val="28"/>
          <w:szCs w:val="28"/>
        </w:rPr>
      </w:pPr>
      <w:r>
        <w:rPr>
          <w:rFonts w:hint="eastAsia" w:ascii="仿宋" w:hAnsi="仿宋" w:eastAsia="仿宋"/>
          <w:sz w:val="28"/>
          <w:szCs w:val="28"/>
        </w:rPr>
        <w:t>2.估价报告中的分析、意见和结论是注册房地产估价师独立、客观、公正的专业分析、意见和结论，但受到估价报告中已说明的假设和限制条件的限制。</w:t>
      </w:r>
    </w:p>
    <w:p>
      <w:pPr>
        <w:spacing w:line="510" w:lineRule="exact"/>
        <w:ind w:firstLine="560" w:firstLineChars="200"/>
        <w:rPr>
          <w:rFonts w:ascii="仿宋" w:hAnsi="仿宋" w:eastAsia="仿宋"/>
          <w:sz w:val="28"/>
          <w:szCs w:val="28"/>
        </w:rPr>
      </w:pPr>
      <w:r>
        <w:rPr>
          <w:rFonts w:hint="eastAsia" w:ascii="仿宋" w:hAnsi="仿宋" w:eastAsia="仿宋"/>
          <w:sz w:val="28"/>
          <w:szCs w:val="28"/>
        </w:rPr>
        <w:t>3.注册房地产估价师与估价报告中的估价对象没有现实或潜在的利益，与估价委托人及估价利害关系人没有任何利害关系。也与估价委托人等有关当事人没有个人利害关系或偏见。</w:t>
      </w:r>
    </w:p>
    <w:p>
      <w:pPr>
        <w:spacing w:line="510" w:lineRule="exact"/>
        <w:ind w:firstLine="560" w:firstLineChars="200"/>
        <w:rPr>
          <w:rFonts w:ascii="仿宋" w:hAnsi="仿宋" w:eastAsia="仿宋"/>
          <w:sz w:val="28"/>
          <w:szCs w:val="28"/>
        </w:rPr>
      </w:pPr>
      <w:r>
        <w:rPr>
          <w:rFonts w:hint="eastAsia" w:ascii="仿宋" w:hAnsi="仿宋" w:eastAsia="仿宋"/>
          <w:sz w:val="28"/>
          <w:szCs w:val="28"/>
        </w:rPr>
        <w:t>4.我们依照《房地产估价规范》</w:t>
      </w:r>
      <w:r>
        <w:rPr>
          <w:rFonts w:ascii="仿宋" w:hAnsi="仿宋" w:eastAsia="仿宋"/>
          <w:sz w:val="28"/>
          <w:szCs w:val="28"/>
        </w:rPr>
        <w:t>（</w:t>
      </w:r>
      <w:r>
        <w:rPr>
          <w:rFonts w:hint="eastAsia" w:ascii="仿宋" w:hAnsi="仿宋" w:eastAsia="仿宋"/>
          <w:sz w:val="28"/>
          <w:szCs w:val="28"/>
        </w:rPr>
        <w:t>GB/T50291-2015</w:t>
      </w:r>
      <w:r>
        <w:rPr>
          <w:rFonts w:ascii="仿宋" w:hAnsi="仿宋" w:eastAsia="仿宋"/>
          <w:sz w:val="28"/>
          <w:szCs w:val="28"/>
        </w:rPr>
        <w:t>）、</w:t>
      </w:r>
      <w:r>
        <w:rPr>
          <w:rFonts w:hint="eastAsia" w:ascii="仿宋" w:hAnsi="仿宋" w:eastAsia="仿宋"/>
          <w:sz w:val="28"/>
          <w:szCs w:val="28"/>
        </w:rPr>
        <w:t>《房地产估价基本术语标准》</w:t>
      </w:r>
      <w:r>
        <w:rPr>
          <w:rFonts w:ascii="仿宋" w:hAnsi="仿宋" w:eastAsia="仿宋"/>
          <w:sz w:val="28"/>
          <w:szCs w:val="28"/>
        </w:rPr>
        <w:t>（</w:t>
      </w:r>
      <w:r>
        <w:rPr>
          <w:rFonts w:hint="eastAsia" w:ascii="仿宋" w:hAnsi="仿宋" w:eastAsia="仿宋"/>
          <w:sz w:val="28"/>
          <w:szCs w:val="28"/>
        </w:rPr>
        <w:t>GB/T50899—2013</w:t>
      </w:r>
      <w:r>
        <w:rPr>
          <w:rFonts w:ascii="仿宋" w:hAnsi="仿宋" w:eastAsia="仿宋"/>
          <w:sz w:val="28"/>
          <w:szCs w:val="28"/>
        </w:rPr>
        <w:t>）</w:t>
      </w:r>
      <w:r>
        <w:rPr>
          <w:rFonts w:hint="eastAsia" w:ascii="仿宋" w:hAnsi="仿宋" w:eastAsia="仿宋"/>
          <w:sz w:val="28"/>
          <w:szCs w:val="28"/>
        </w:rPr>
        <w:t>进行分析，形成意见和结论，撰写本估价报告。</w:t>
      </w:r>
    </w:p>
    <w:p>
      <w:pPr>
        <w:spacing w:line="510" w:lineRule="exact"/>
        <w:ind w:firstLine="560" w:firstLineChars="200"/>
        <w:rPr>
          <w:rFonts w:ascii="仿宋" w:hAnsi="仿宋" w:eastAsia="仿宋"/>
          <w:sz w:val="28"/>
          <w:szCs w:val="28"/>
        </w:rPr>
      </w:pPr>
      <w:r>
        <w:rPr>
          <w:rFonts w:hint="eastAsia" w:ascii="仿宋" w:hAnsi="仿宋" w:eastAsia="仿宋"/>
          <w:sz w:val="28"/>
          <w:szCs w:val="28"/>
        </w:rPr>
        <w:t>5. 我们于二〇二二年六月二十日对本估价报告中的估价对象外观、内外部状况、周围环境及使用状况进行了实地查勘，并做了实地查勘记录和现状拍照，实地查勘人：注册房地产估价师</w:t>
      </w:r>
      <w:r>
        <w:rPr>
          <w:rFonts w:hint="eastAsia" w:ascii="仿宋" w:hAnsi="仿宋" w:eastAsia="仿宋"/>
          <w:sz w:val="28"/>
          <w:szCs w:val="28"/>
          <w:lang w:eastAsia="zh-CN"/>
        </w:rPr>
        <w:t>赵慧玲</w:t>
      </w:r>
      <w:r>
        <w:rPr>
          <w:rFonts w:hint="eastAsia" w:ascii="仿宋" w:hAnsi="仿宋" w:eastAsia="仿宋"/>
          <w:sz w:val="28"/>
          <w:szCs w:val="28"/>
        </w:rPr>
        <w:t>、注册房地产估价师</w:t>
      </w:r>
      <w:r>
        <w:rPr>
          <w:rFonts w:hint="eastAsia" w:ascii="仿宋" w:hAnsi="仿宋" w:eastAsia="仿宋"/>
          <w:sz w:val="28"/>
          <w:szCs w:val="28"/>
          <w:lang w:eastAsia="zh-CN"/>
        </w:rPr>
        <w:t>赵艳娜</w:t>
      </w:r>
      <w:r>
        <w:rPr>
          <w:rFonts w:hint="eastAsia" w:ascii="仿宋" w:hAnsi="仿宋" w:eastAsia="仿宋"/>
          <w:sz w:val="28"/>
          <w:szCs w:val="28"/>
        </w:rPr>
        <w:t>。我们不承担对估价对象建筑结构质量进行调查的责任，也不承担其他被遮盖、未暴露及难于接触到的部分进行检视的责任。</w:t>
      </w:r>
    </w:p>
    <w:p>
      <w:pPr>
        <w:spacing w:line="510" w:lineRule="exact"/>
        <w:ind w:firstLine="560" w:firstLineChars="200"/>
        <w:rPr>
          <w:rFonts w:ascii="仿宋" w:hAnsi="仿宋" w:eastAsia="仿宋"/>
          <w:sz w:val="28"/>
          <w:szCs w:val="28"/>
        </w:rPr>
      </w:pPr>
      <w:r>
        <w:rPr>
          <w:rFonts w:hint="eastAsia" w:ascii="仿宋" w:hAnsi="仿宋" w:eastAsia="仿宋"/>
          <w:sz w:val="28"/>
          <w:szCs w:val="28"/>
        </w:rPr>
        <w:t>6.没有人对本估价报告提供重要专业帮助。</w:t>
      </w:r>
    </w:p>
    <w:p>
      <w:pPr>
        <w:snapToGrid w:val="0"/>
        <w:spacing w:line="500" w:lineRule="exact"/>
        <w:ind w:firstLine="560" w:firstLineChars="200"/>
        <w:rPr>
          <w:rFonts w:ascii="仿宋" w:hAnsi="仿宋" w:eastAsia="仿宋"/>
          <w:sz w:val="30"/>
          <w:szCs w:val="30"/>
        </w:rPr>
      </w:pPr>
      <w:r>
        <w:rPr>
          <w:rFonts w:hint="eastAsia" w:ascii="仿宋" w:hAnsi="仿宋" w:eastAsia="仿宋"/>
          <w:sz w:val="28"/>
          <w:szCs w:val="28"/>
        </w:rPr>
        <w:t>7. 估价对象的建筑面积、建筑结构等以估价委托人、案件当事人、估价人员现场实际测量数据为依据，如与国家有关测绘部门最终确认的面积有差异，本报告结果应作相应调整</w:t>
      </w:r>
      <w:r>
        <w:rPr>
          <w:rFonts w:hint="eastAsia" w:ascii="仿宋" w:hAnsi="仿宋" w:eastAsia="仿宋"/>
          <w:sz w:val="30"/>
          <w:szCs w:val="30"/>
        </w:rPr>
        <w:t>。</w:t>
      </w:r>
    </w:p>
    <w:p>
      <w:pPr>
        <w:snapToGrid w:val="0"/>
        <w:spacing w:line="510" w:lineRule="exact"/>
        <w:ind w:firstLine="560" w:firstLineChars="200"/>
        <w:rPr>
          <w:rFonts w:ascii="仿宋" w:hAnsi="仿宋" w:eastAsia="仿宋"/>
          <w:sz w:val="28"/>
          <w:szCs w:val="28"/>
        </w:rPr>
      </w:pPr>
      <w:r>
        <w:rPr>
          <w:rFonts w:hint="eastAsia" w:ascii="仿宋" w:hAnsi="仿宋" w:eastAsia="仿宋"/>
          <w:sz w:val="28"/>
          <w:szCs w:val="28"/>
        </w:rPr>
        <w:t>8. 如发现本估价报告内的文字或数字因校对或其他类似原因出现差错时，请通知本公司进行更正。</w:t>
      </w:r>
    </w:p>
    <w:p>
      <w:pPr>
        <w:spacing w:line="510" w:lineRule="exact"/>
        <w:ind w:firstLine="560" w:firstLineChars="200"/>
        <w:rPr>
          <w:rFonts w:ascii="仿宋" w:hAnsi="仿宋" w:eastAsia="仿宋"/>
          <w:sz w:val="28"/>
          <w:szCs w:val="28"/>
        </w:rPr>
      </w:pPr>
      <w:r>
        <w:rPr>
          <w:rFonts w:hint="eastAsia" w:ascii="仿宋" w:hAnsi="仿宋" w:eastAsia="仿宋"/>
          <w:sz w:val="28"/>
          <w:szCs w:val="28"/>
        </w:rPr>
        <w:t>9. 数据全部采用电算化连续计算得出，可能出现个别等式左右不完全相等的情况，但不影响计算结果及最终估价结论的准确性。</w:t>
      </w:r>
    </w:p>
    <w:p>
      <w:pPr>
        <w:spacing w:line="510" w:lineRule="exact"/>
        <w:ind w:firstLine="560" w:firstLineChars="200"/>
        <w:rPr>
          <w:rFonts w:ascii="仿宋" w:hAnsi="仿宋" w:eastAsia="仿宋"/>
          <w:sz w:val="28"/>
          <w:szCs w:val="28"/>
        </w:rPr>
      </w:pPr>
      <w:r>
        <w:rPr>
          <w:rFonts w:hint="eastAsia" w:ascii="仿宋" w:hAnsi="仿宋" w:eastAsia="仿宋"/>
          <w:sz w:val="28"/>
          <w:szCs w:val="28"/>
        </w:rPr>
        <w:t>10. 估价委托人以及相关部门在使用本估价报告时，对因忽视本估价报告揭示的相关事实所引起的相关法律责任，本估价机构以及注册房地产估价师不承担相应责任。</w:t>
      </w:r>
    </w:p>
    <w:p>
      <w:pPr>
        <w:spacing w:line="500" w:lineRule="exact"/>
        <w:ind w:firstLine="560" w:firstLineChars="200"/>
        <w:rPr>
          <w:rFonts w:ascii="仿宋" w:hAnsi="仿宋" w:eastAsia="仿宋"/>
          <w:sz w:val="28"/>
          <w:szCs w:val="28"/>
        </w:rPr>
      </w:pPr>
    </w:p>
    <w:p>
      <w:pPr>
        <w:spacing w:after="157" w:afterLines="50" w:line="500" w:lineRule="exact"/>
        <w:ind w:firstLine="562" w:firstLineChars="200"/>
        <w:jc w:val="center"/>
        <w:rPr>
          <w:rFonts w:ascii="仿宋" w:hAnsi="仿宋" w:eastAsia="仿宋"/>
          <w:b/>
          <w:sz w:val="28"/>
          <w:szCs w:val="28"/>
        </w:rPr>
      </w:pPr>
      <w:r>
        <w:rPr>
          <w:rFonts w:hint="eastAsia" w:ascii="仿宋" w:hAnsi="仿宋" w:eastAsia="仿宋"/>
          <w:b/>
          <w:sz w:val="28"/>
          <w:szCs w:val="28"/>
        </w:rPr>
        <w:t>注册房地产估价师签章</w:t>
      </w:r>
    </w:p>
    <w:tbl>
      <w:tblPr>
        <w:tblStyle w:val="30"/>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2160"/>
        <w:gridCol w:w="2478"/>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594" w:type="dxa"/>
            <w:vAlign w:val="center"/>
          </w:tcPr>
          <w:p>
            <w:pPr>
              <w:spacing w:line="500" w:lineRule="exact"/>
              <w:jc w:val="center"/>
              <w:rPr>
                <w:rFonts w:ascii="仿宋" w:hAnsi="仿宋" w:eastAsia="仿宋"/>
                <w:sz w:val="28"/>
                <w:szCs w:val="28"/>
              </w:rPr>
            </w:pPr>
            <w:r>
              <w:rPr>
                <w:rFonts w:hint="eastAsia" w:ascii="仿宋" w:hAnsi="仿宋" w:eastAsia="仿宋"/>
                <w:sz w:val="28"/>
                <w:szCs w:val="28"/>
              </w:rPr>
              <w:t>姓名</w:t>
            </w:r>
          </w:p>
        </w:tc>
        <w:tc>
          <w:tcPr>
            <w:tcW w:w="2160" w:type="dxa"/>
            <w:vAlign w:val="center"/>
          </w:tcPr>
          <w:p>
            <w:pPr>
              <w:spacing w:line="500" w:lineRule="exact"/>
              <w:jc w:val="center"/>
              <w:rPr>
                <w:rFonts w:ascii="仿宋" w:hAnsi="仿宋" w:eastAsia="仿宋"/>
                <w:sz w:val="28"/>
                <w:szCs w:val="28"/>
              </w:rPr>
            </w:pPr>
            <w:r>
              <w:rPr>
                <w:rFonts w:hint="eastAsia" w:ascii="仿宋" w:hAnsi="仿宋" w:eastAsia="仿宋"/>
                <w:sz w:val="28"/>
                <w:szCs w:val="28"/>
              </w:rPr>
              <w:t>注册号</w:t>
            </w:r>
          </w:p>
        </w:tc>
        <w:tc>
          <w:tcPr>
            <w:tcW w:w="2478" w:type="dxa"/>
            <w:vAlign w:val="center"/>
          </w:tcPr>
          <w:p>
            <w:pPr>
              <w:spacing w:line="500" w:lineRule="exact"/>
              <w:jc w:val="center"/>
              <w:rPr>
                <w:rFonts w:ascii="仿宋" w:hAnsi="仿宋" w:eastAsia="仿宋"/>
                <w:sz w:val="28"/>
                <w:szCs w:val="28"/>
              </w:rPr>
            </w:pPr>
            <w:r>
              <w:rPr>
                <w:rFonts w:hint="eastAsia" w:ascii="仿宋" w:hAnsi="仿宋" w:eastAsia="仿宋"/>
                <w:sz w:val="28"/>
                <w:szCs w:val="28"/>
              </w:rPr>
              <w:t>签名</w:t>
            </w:r>
          </w:p>
        </w:tc>
        <w:tc>
          <w:tcPr>
            <w:tcW w:w="2712" w:type="dxa"/>
            <w:vAlign w:val="center"/>
          </w:tcPr>
          <w:p>
            <w:pPr>
              <w:spacing w:line="500" w:lineRule="exact"/>
              <w:jc w:val="center"/>
              <w:rPr>
                <w:rFonts w:ascii="仿宋" w:hAnsi="仿宋" w:eastAsia="仿宋"/>
                <w:sz w:val="28"/>
                <w:szCs w:val="28"/>
              </w:rPr>
            </w:pPr>
            <w:r>
              <w:rPr>
                <w:rFonts w:hint="eastAsia" w:ascii="仿宋" w:hAnsi="仿宋" w:eastAsia="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594"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赵慧玲</w:t>
            </w:r>
          </w:p>
        </w:tc>
        <w:tc>
          <w:tcPr>
            <w:tcW w:w="2160"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4120140039</w:t>
            </w:r>
          </w:p>
        </w:tc>
        <w:tc>
          <w:tcPr>
            <w:tcW w:w="2478" w:type="dxa"/>
            <w:vAlign w:val="center"/>
          </w:tcPr>
          <w:p>
            <w:pPr>
              <w:spacing w:line="480" w:lineRule="exact"/>
              <w:jc w:val="center"/>
              <w:rPr>
                <w:rFonts w:ascii="仿宋" w:hAnsi="仿宋" w:eastAsia="仿宋"/>
                <w:sz w:val="28"/>
                <w:szCs w:val="28"/>
              </w:rPr>
            </w:pPr>
          </w:p>
        </w:tc>
        <w:tc>
          <w:tcPr>
            <w:tcW w:w="2712"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2022年7月18日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1594"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赵艳娜</w:t>
            </w:r>
          </w:p>
        </w:tc>
        <w:tc>
          <w:tcPr>
            <w:tcW w:w="2160"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4120210067</w:t>
            </w:r>
          </w:p>
        </w:tc>
        <w:tc>
          <w:tcPr>
            <w:tcW w:w="2478" w:type="dxa"/>
            <w:vAlign w:val="center"/>
          </w:tcPr>
          <w:p>
            <w:pPr>
              <w:spacing w:line="480" w:lineRule="exact"/>
              <w:jc w:val="center"/>
              <w:rPr>
                <w:rFonts w:ascii="仿宋" w:hAnsi="仿宋" w:eastAsia="仿宋"/>
                <w:sz w:val="28"/>
                <w:szCs w:val="28"/>
              </w:rPr>
            </w:pPr>
          </w:p>
        </w:tc>
        <w:tc>
          <w:tcPr>
            <w:tcW w:w="2712"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2022年7月18日</w:t>
            </w:r>
          </w:p>
        </w:tc>
      </w:tr>
    </w:tbl>
    <w:p>
      <w:pPr>
        <w:spacing w:line="500" w:lineRule="exact"/>
        <w:jc w:val="center"/>
        <w:rPr>
          <w:rFonts w:ascii="仿宋" w:hAnsi="仿宋" w:eastAsia="仿宋"/>
          <w:b/>
          <w:sz w:val="44"/>
          <w:szCs w:val="44"/>
        </w:rPr>
      </w:pPr>
    </w:p>
    <w:p>
      <w:pPr>
        <w:spacing w:line="500" w:lineRule="exact"/>
        <w:jc w:val="center"/>
        <w:rPr>
          <w:rFonts w:ascii="仿宋" w:hAnsi="仿宋" w:eastAsia="仿宋"/>
          <w:b/>
          <w:sz w:val="44"/>
          <w:szCs w:val="44"/>
        </w:rPr>
      </w:pPr>
    </w:p>
    <w:p>
      <w:pPr>
        <w:spacing w:line="500" w:lineRule="exact"/>
        <w:jc w:val="center"/>
        <w:rPr>
          <w:rFonts w:ascii="仿宋" w:hAnsi="仿宋" w:eastAsia="仿宋"/>
          <w:b/>
          <w:sz w:val="44"/>
          <w:szCs w:val="44"/>
        </w:rPr>
      </w:pPr>
    </w:p>
    <w:p>
      <w:pPr>
        <w:spacing w:line="500" w:lineRule="exact"/>
        <w:jc w:val="center"/>
        <w:rPr>
          <w:rFonts w:ascii="仿宋" w:hAnsi="仿宋" w:eastAsia="仿宋"/>
          <w:b/>
          <w:sz w:val="44"/>
          <w:szCs w:val="44"/>
        </w:rPr>
      </w:pPr>
    </w:p>
    <w:p>
      <w:pPr>
        <w:spacing w:line="500" w:lineRule="exact"/>
        <w:jc w:val="center"/>
        <w:rPr>
          <w:rFonts w:ascii="仿宋" w:hAnsi="仿宋" w:eastAsia="仿宋"/>
          <w:b/>
          <w:sz w:val="44"/>
          <w:szCs w:val="44"/>
        </w:rPr>
      </w:pPr>
    </w:p>
    <w:p>
      <w:pPr>
        <w:spacing w:line="500" w:lineRule="exact"/>
        <w:jc w:val="center"/>
        <w:rPr>
          <w:rFonts w:ascii="仿宋" w:hAnsi="仿宋" w:eastAsia="仿宋"/>
          <w:b/>
          <w:sz w:val="44"/>
          <w:szCs w:val="44"/>
        </w:rPr>
      </w:pPr>
    </w:p>
    <w:p>
      <w:pPr>
        <w:spacing w:line="500" w:lineRule="exact"/>
        <w:jc w:val="center"/>
        <w:rPr>
          <w:rFonts w:ascii="仿宋" w:hAnsi="仿宋" w:eastAsia="仿宋"/>
          <w:b/>
          <w:sz w:val="44"/>
          <w:szCs w:val="44"/>
        </w:rPr>
      </w:pPr>
    </w:p>
    <w:p>
      <w:pPr>
        <w:spacing w:line="500" w:lineRule="exact"/>
        <w:jc w:val="center"/>
        <w:rPr>
          <w:rFonts w:ascii="仿宋" w:hAnsi="仿宋" w:eastAsia="仿宋"/>
          <w:b/>
          <w:sz w:val="44"/>
          <w:szCs w:val="44"/>
        </w:rPr>
      </w:pPr>
    </w:p>
    <w:p>
      <w:pPr>
        <w:spacing w:line="500" w:lineRule="exact"/>
        <w:jc w:val="center"/>
        <w:rPr>
          <w:rFonts w:ascii="仿宋" w:hAnsi="仿宋" w:eastAsia="仿宋"/>
          <w:b/>
          <w:sz w:val="44"/>
          <w:szCs w:val="44"/>
        </w:rPr>
      </w:pPr>
    </w:p>
    <w:p>
      <w:pPr>
        <w:spacing w:line="500" w:lineRule="exact"/>
        <w:jc w:val="center"/>
        <w:rPr>
          <w:rFonts w:ascii="仿宋" w:hAnsi="仿宋" w:eastAsia="仿宋"/>
          <w:b/>
          <w:sz w:val="44"/>
          <w:szCs w:val="44"/>
        </w:rPr>
      </w:pPr>
    </w:p>
    <w:p>
      <w:pPr>
        <w:spacing w:line="500" w:lineRule="exact"/>
        <w:jc w:val="center"/>
        <w:rPr>
          <w:rFonts w:ascii="仿宋" w:hAnsi="仿宋" w:eastAsia="仿宋"/>
          <w:b/>
          <w:sz w:val="44"/>
          <w:szCs w:val="44"/>
        </w:rPr>
      </w:pPr>
    </w:p>
    <w:p>
      <w:bookmarkStart w:id="16" w:name="_Toc492483070"/>
      <w:bookmarkStart w:id="17" w:name="_Toc492484523"/>
      <w:bookmarkStart w:id="18" w:name="_Toc492484550"/>
      <w:bookmarkStart w:id="19" w:name="_Toc492481921"/>
      <w:bookmarkStart w:id="20" w:name="_Toc492971785"/>
    </w:p>
    <w:p/>
    <w:p>
      <w:pPr>
        <w:spacing w:line="240" w:lineRule="exact"/>
        <w:ind w:firstLine="420" w:firstLineChars="200"/>
      </w:pPr>
      <w:bookmarkStart w:id="21" w:name="_Toc55929836"/>
    </w:p>
    <w:p>
      <w:pPr>
        <w:pStyle w:val="2"/>
        <w:spacing w:line="480" w:lineRule="exact"/>
      </w:pPr>
      <w:bookmarkStart w:id="22" w:name="_Toc8258"/>
      <w:r>
        <w:rPr>
          <w:rFonts w:hint="eastAsia"/>
        </w:rPr>
        <w:t>估价假设和限制条件</w:t>
      </w:r>
      <w:bookmarkEnd w:id="16"/>
      <w:bookmarkEnd w:id="17"/>
      <w:bookmarkEnd w:id="18"/>
      <w:bookmarkEnd w:id="19"/>
      <w:bookmarkEnd w:id="20"/>
      <w:bookmarkEnd w:id="21"/>
      <w:bookmarkEnd w:id="22"/>
    </w:p>
    <w:p/>
    <w:p>
      <w:pPr>
        <w:spacing w:line="480" w:lineRule="exact"/>
        <w:ind w:firstLine="551" w:firstLineChars="196"/>
        <w:rPr>
          <w:rFonts w:ascii="仿宋" w:hAnsi="仿宋" w:eastAsia="仿宋"/>
          <w:sz w:val="28"/>
          <w:szCs w:val="28"/>
        </w:rPr>
      </w:pPr>
      <w:r>
        <w:rPr>
          <w:rFonts w:hint="eastAsia" w:ascii="仿宋" w:hAnsi="仿宋" w:eastAsia="仿宋"/>
          <w:b/>
          <w:sz w:val="28"/>
          <w:szCs w:val="28"/>
        </w:rPr>
        <w:t>一、估价报告的假设</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(一)一般性假设</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估价委托人提供估价对象的《查档证明》、《产权档案粘贴纸》复印件，我公司注册房地产估价师通过实地查勘，对估价对象的权属、面积、用途等资料进行了审慎检查，但未向房地产管理有关部门进行核实，在无理由怀疑其合法性、真实性、准确性和完整性的情况下，假定估价委托人提供的资料合法、真实、准确、完整。</w:t>
      </w:r>
    </w:p>
    <w:p>
      <w:pPr>
        <w:spacing w:line="480" w:lineRule="exact"/>
        <w:ind w:firstLine="560" w:firstLineChars="200"/>
        <w:rPr>
          <w:rFonts w:ascii="仿宋" w:hAnsi="仿宋" w:eastAsia="仿宋"/>
          <w:color w:val="000000"/>
          <w:sz w:val="28"/>
          <w:szCs w:val="28"/>
        </w:rPr>
      </w:pPr>
      <w:r>
        <w:rPr>
          <w:rFonts w:hint="eastAsia" w:ascii="仿宋" w:hAnsi="仿宋" w:eastAsia="仿宋"/>
          <w:sz w:val="28"/>
          <w:szCs w:val="28"/>
        </w:rPr>
        <w:t>2.</w:t>
      </w:r>
      <w:r>
        <w:rPr>
          <w:rFonts w:ascii="仿宋" w:hAnsi="仿宋" w:eastAsia="仿宋"/>
          <w:color w:val="000000"/>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r>
        <w:rPr>
          <w:rFonts w:hint="eastAsia" w:ascii="仿宋" w:hAnsi="仿宋" w:eastAsia="仿宋"/>
          <w:color w:val="000000"/>
          <w:sz w:val="28"/>
          <w:szCs w:val="28"/>
        </w:rPr>
        <w:t>。</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3.估价对象在价值时点的房地产市场为公开、平等、自愿的交易市场，即能满足以下条件：</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（1）交易双方自愿地进行交易；</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（2）交易双方处于利己动机进行交易；</w:t>
      </w:r>
    </w:p>
    <w:p>
      <w:pPr>
        <w:spacing w:line="480" w:lineRule="exact"/>
        <w:ind w:firstLine="544" w:firstLineChars="200"/>
        <w:rPr>
          <w:rFonts w:ascii="仿宋" w:hAnsi="仿宋" w:eastAsia="仿宋" w:cs="仿宋"/>
          <w:color w:val="000000"/>
          <w:spacing w:val="-4"/>
          <w:sz w:val="28"/>
          <w:szCs w:val="28"/>
        </w:rPr>
      </w:pPr>
      <w:r>
        <w:rPr>
          <w:rFonts w:hint="eastAsia" w:ascii="仿宋" w:hAnsi="仿宋" w:eastAsia="仿宋" w:cs="仿宋"/>
          <w:color w:val="000000"/>
          <w:spacing w:val="-4"/>
          <w:sz w:val="28"/>
          <w:szCs w:val="28"/>
        </w:rPr>
        <w:t>（3）交易双方精明、谨慎行事，并了解交易对象，知晓市场行情；</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（4）交易双方有较充裕的时间进行交易；</w:t>
      </w:r>
    </w:p>
    <w:p>
      <w:pPr>
        <w:spacing w:line="4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（5）不存在买者因特殊兴趣而给予附加出价。</w:t>
      </w:r>
    </w:p>
    <w:p>
      <w:pPr>
        <w:spacing w:line="480" w:lineRule="exact"/>
        <w:ind w:left="559" w:leftChars="266"/>
        <w:rPr>
          <w:rFonts w:ascii="仿宋" w:hAnsi="仿宋" w:eastAsia="仿宋" w:cs="仿宋"/>
          <w:color w:val="000000"/>
          <w:spacing w:val="-3"/>
          <w:sz w:val="28"/>
          <w:szCs w:val="28"/>
        </w:rPr>
      </w:pPr>
      <w:r>
        <w:rPr>
          <w:rFonts w:hint="eastAsia" w:ascii="仿宋" w:hAnsi="仿宋" w:eastAsia="仿宋" w:cs="仿宋"/>
          <w:color w:val="000000"/>
          <w:spacing w:val="-3"/>
          <w:sz w:val="28"/>
          <w:szCs w:val="28"/>
        </w:rPr>
        <w:t>4.估价对象应享有公共部位的通行权及水电等共用设施的使用权。（二）未定事项假设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未定事项假设是指对估价所必需的尚未明确或不够明确的土地用途、容积率等事项所做的合理的、最</w:t>
      </w:r>
      <w:r>
        <w:rPr>
          <w:rFonts w:hint="eastAsia" w:ascii="仿宋" w:hAnsi="仿宋" w:eastAsia="仿宋" w:cs="仿宋"/>
          <w:color w:val="000000"/>
          <w:spacing w:val="-3"/>
          <w:sz w:val="28"/>
          <w:szCs w:val="28"/>
        </w:rPr>
        <w:t>可能</w:t>
      </w:r>
      <w:r>
        <w:rPr>
          <w:rFonts w:hint="eastAsia" w:ascii="仿宋" w:hAnsi="仿宋" w:eastAsia="仿宋" w:cs="仿宋"/>
          <w:sz w:val="28"/>
          <w:szCs w:val="28"/>
        </w:rPr>
        <w:t>的假定，本次估价委托人提供的估价对象权属资料中未显示估价对象的土地信息，</w:t>
      </w:r>
      <w:r>
        <w:rPr>
          <w:rFonts w:hint="eastAsia" w:ascii="仿宋" w:hAnsi="仿宋" w:eastAsia="仿宋" w:cs="仿宋"/>
          <w:sz w:val="28"/>
          <w:szCs w:val="28"/>
          <w:lang w:eastAsia="zh-CN"/>
        </w:rPr>
        <w:t>经向当事人了解，本次估价对象土地应为集体土地。本次估价假设估价对象所在土地为集体土地</w:t>
      </w:r>
      <w:r>
        <w:rPr>
          <w:rFonts w:hint="eastAsia" w:ascii="仿宋" w:hAnsi="仿宋" w:eastAsia="仿宋" w:cs="仿宋"/>
          <w:sz w:val="28"/>
          <w:szCs w:val="28"/>
        </w:rPr>
        <w:t>。</w:t>
      </w:r>
    </w:p>
    <w:p>
      <w:pPr>
        <w:spacing w:line="480" w:lineRule="exact"/>
        <w:ind w:firstLine="548" w:firstLineChars="200"/>
        <w:rPr>
          <w:rFonts w:ascii="仿宋" w:hAnsi="仿宋" w:eastAsia="仿宋" w:cs="仿宋"/>
          <w:color w:val="000000"/>
          <w:spacing w:val="-3"/>
          <w:sz w:val="28"/>
          <w:szCs w:val="28"/>
        </w:rPr>
      </w:pPr>
      <w:r>
        <w:rPr>
          <w:rFonts w:hint="eastAsia" w:ascii="仿宋" w:hAnsi="仿宋" w:eastAsia="仿宋" w:cs="仿宋"/>
          <w:color w:val="000000"/>
          <w:spacing w:val="-3"/>
          <w:sz w:val="28"/>
          <w:szCs w:val="28"/>
        </w:rPr>
        <w:t>（三）背离事实假设</w:t>
      </w:r>
    </w:p>
    <w:p>
      <w:pPr>
        <w:spacing w:line="480" w:lineRule="exact"/>
        <w:ind w:firstLine="548" w:firstLineChars="200"/>
        <w:rPr>
          <w:rFonts w:ascii="仿宋" w:hAnsi="仿宋" w:eastAsia="仿宋" w:cs="仿宋"/>
          <w:color w:val="000000"/>
          <w:spacing w:val="-3"/>
          <w:sz w:val="28"/>
          <w:szCs w:val="28"/>
        </w:rPr>
      </w:pPr>
      <w:r>
        <w:rPr>
          <w:rFonts w:hint="eastAsia" w:ascii="仿宋" w:hAnsi="仿宋" w:eastAsia="仿宋" w:cs="仿宋"/>
          <w:color w:val="000000"/>
          <w:spacing w:val="-3"/>
          <w:sz w:val="28"/>
          <w:szCs w:val="28"/>
        </w:rPr>
        <w:t>背离事实假设是指因估价目的的特殊需要、交易条件设定或约定，对估价对象状况所做的与估价对象在价值时点的状况不一致的合理假定。</w:t>
      </w:r>
    </w:p>
    <w:p>
      <w:pPr>
        <w:spacing w:line="480" w:lineRule="exact"/>
        <w:ind w:firstLine="548" w:firstLineChars="200"/>
        <w:rPr>
          <w:rFonts w:ascii="仿宋" w:hAnsi="仿宋" w:eastAsia="仿宋" w:cs="仿宋"/>
          <w:color w:val="000000"/>
          <w:spacing w:val="-3"/>
          <w:sz w:val="28"/>
          <w:szCs w:val="28"/>
        </w:rPr>
      </w:pPr>
      <w:r>
        <w:rPr>
          <w:rFonts w:hint="eastAsia" w:ascii="仿宋" w:hAnsi="仿宋" w:eastAsia="仿宋" w:cs="仿宋"/>
          <w:color w:val="000000"/>
          <w:spacing w:val="-3"/>
          <w:sz w:val="28"/>
          <w:szCs w:val="28"/>
        </w:rPr>
        <w:t>估价对象为人民法院查封拟处置房地产，根据房地产司法评估需要，不考虑其他优先受偿权及租赁、抵押、查封等因素的影响。</w:t>
      </w:r>
    </w:p>
    <w:p>
      <w:pPr>
        <w:spacing w:line="480" w:lineRule="exact"/>
        <w:ind w:firstLine="548" w:firstLineChars="200"/>
        <w:rPr>
          <w:rFonts w:ascii="仿宋" w:hAnsi="仿宋" w:eastAsia="仿宋" w:cs="仿宋"/>
          <w:color w:val="000000"/>
          <w:spacing w:val="-3"/>
          <w:sz w:val="28"/>
          <w:szCs w:val="28"/>
        </w:rPr>
      </w:pPr>
      <w:r>
        <w:rPr>
          <w:rFonts w:hint="eastAsia" w:ascii="仿宋" w:hAnsi="仿宋" w:eastAsia="仿宋" w:cs="仿宋"/>
          <w:color w:val="000000"/>
          <w:spacing w:val="-3"/>
          <w:sz w:val="28"/>
          <w:szCs w:val="28"/>
        </w:rPr>
        <w:t>（四）不相一致假设</w:t>
      </w:r>
    </w:p>
    <w:p>
      <w:pPr>
        <w:spacing w:line="480" w:lineRule="exact"/>
        <w:ind w:firstLine="548" w:firstLineChars="200"/>
        <w:rPr>
          <w:rFonts w:ascii="仿宋" w:hAnsi="仿宋" w:eastAsia="仿宋" w:cs="仿宋"/>
          <w:color w:val="000000"/>
          <w:spacing w:val="-3"/>
          <w:sz w:val="28"/>
          <w:szCs w:val="28"/>
        </w:rPr>
      </w:pPr>
      <w:r>
        <w:rPr>
          <w:rFonts w:hint="eastAsia" w:ascii="仿宋" w:hAnsi="仿宋" w:eastAsia="仿宋" w:cs="仿宋"/>
          <w:color w:val="000000"/>
          <w:spacing w:val="-3"/>
          <w:sz w:val="28"/>
          <w:szCs w:val="28"/>
        </w:rPr>
        <w:t>不相一致假设是指在估价对象的实际用途、房屋登记用途、土地登记用途、设计用途等用途之间不一致，或房屋权属证明、土地权属证明等上的房屋所有权人不一致，估价对象的名称不一致等情况下，对估价所依据的用途或房屋所有权人、名称等的合理假定。</w:t>
      </w:r>
    </w:p>
    <w:p>
      <w:pPr>
        <w:spacing w:line="480" w:lineRule="exact"/>
        <w:ind w:firstLine="560" w:firstLineChars="200"/>
        <w:rPr>
          <w:rFonts w:ascii="仿宋" w:hAnsi="仿宋" w:eastAsia="仿宋" w:cs="仿宋"/>
          <w:color w:val="000000"/>
          <w:spacing w:val="-3"/>
          <w:sz w:val="28"/>
          <w:szCs w:val="28"/>
        </w:rPr>
      </w:pPr>
      <w:r>
        <w:rPr>
          <w:rFonts w:hint="eastAsia" w:ascii="仿宋" w:hAnsi="仿宋" w:eastAsia="仿宋"/>
          <w:sz w:val="28"/>
          <w:szCs w:val="28"/>
        </w:rPr>
        <w:t>原房屋所有权人为王红丽，在价值时点，经向当事人了解，估价对象已转让给何新全，未办理过户，且何新全于2002年对王红丽的房屋进行了拆除，并重建，现在该估价对象实际归何新全所有。本次根据司法委托书中的鉴定目的和要求，假设估价对象为何新全所有。</w:t>
      </w:r>
    </w:p>
    <w:p>
      <w:pPr>
        <w:spacing w:line="480" w:lineRule="exact"/>
        <w:ind w:firstLine="548" w:firstLineChars="200"/>
        <w:rPr>
          <w:rFonts w:ascii="仿宋" w:hAnsi="仿宋" w:eastAsia="仿宋" w:cs="仿宋"/>
          <w:color w:val="000000"/>
          <w:spacing w:val="-3"/>
          <w:sz w:val="28"/>
          <w:szCs w:val="28"/>
        </w:rPr>
      </w:pPr>
      <w:r>
        <w:rPr>
          <w:rFonts w:hint="eastAsia" w:ascii="仿宋" w:hAnsi="仿宋" w:eastAsia="仿宋" w:cs="仿宋"/>
          <w:color w:val="000000"/>
          <w:spacing w:val="-3"/>
          <w:sz w:val="28"/>
          <w:szCs w:val="28"/>
        </w:rPr>
        <w:t>（五）依据不足假设</w:t>
      </w:r>
    </w:p>
    <w:p>
      <w:pPr>
        <w:spacing w:line="480" w:lineRule="exact"/>
        <w:ind w:firstLine="548" w:firstLineChars="200"/>
        <w:rPr>
          <w:rFonts w:hint="eastAsia" w:ascii="仿宋" w:hAnsi="仿宋" w:eastAsia="仿宋" w:cs="仿宋"/>
          <w:color w:val="000000"/>
          <w:spacing w:val="-3"/>
          <w:sz w:val="28"/>
          <w:szCs w:val="28"/>
          <w:lang w:eastAsia="zh-CN"/>
        </w:rPr>
      </w:pPr>
      <w:r>
        <w:rPr>
          <w:rFonts w:hint="eastAsia" w:ascii="仿宋" w:hAnsi="仿宋" w:eastAsia="仿宋" w:cs="仿宋"/>
          <w:color w:val="000000"/>
          <w:spacing w:val="-3"/>
          <w:sz w:val="28"/>
          <w:szCs w:val="28"/>
        </w:rPr>
        <w:t>估价委托人无法提供估价所必需的反映估价对象状况的资料已经注册房地产估价师进行了尽职调查仍然难以取得该资料的情况下，对缺少该资料的说明及对相应的估价对象状况的合理假定。</w:t>
      </w:r>
      <w:r>
        <w:rPr>
          <w:rFonts w:hint="eastAsia" w:ascii="仿宋" w:hAnsi="仿宋" w:eastAsia="仿宋" w:cs="仿宋"/>
          <w:color w:val="000000"/>
          <w:spacing w:val="-3"/>
          <w:sz w:val="28"/>
          <w:szCs w:val="28"/>
          <w:lang w:eastAsia="zh-CN"/>
        </w:rPr>
        <w:t>本次估价无依据不足假设。</w:t>
      </w:r>
    </w:p>
    <w:p>
      <w:pPr>
        <w:spacing w:line="480" w:lineRule="exact"/>
        <w:ind w:firstLine="551" w:firstLineChars="196"/>
        <w:rPr>
          <w:rFonts w:ascii="仿宋" w:hAnsi="仿宋" w:eastAsia="仿宋"/>
          <w:b/>
          <w:sz w:val="28"/>
          <w:szCs w:val="28"/>
        </w:rPr>
      </w:pPr>
      <w:r>
        <w:rPr>
          <w:rFonts w:hint="eastAsia" w:ascii="仿宋" w:hAnsi="仿宋" w:eastAsia="仿宋"/>
          <w:b/>
          <w:sz w:val="28"/>
          <w:szCs w:val="28"/>
        </w:rPr>
        <w:t>二、估价报告使用的限制条件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1.本估价报告使用期限自估价报告出具之日起为壹年。若报告使用期限内，房地产市场或估价对象状况发生重大变化，估价结果需做相应调整或委托估价机构重新估价。</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2.估价结果为房地产市场价值，是房地产经适当营销后，由熟悉情况、谨慎行事且不受强迫的交易双方，以公平交易方式在价值时点自愿进行交易的金额。</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3.本估价报告按照既定目的提供给估价委托人使用，若改变估价目的及使用条件，需向本公司咨询后作必要调整甚至重新估价。</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4.本估价报告分为“房地产估价报告”和“估价技术报告”两部分。“房地产估价报告”提供给估价委托人，“估价技术报告”根据有关规定由估价机构存档。</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5.未经估价机构书面同意，本估价报告的全部或部分及任何参考资料均不允许在任何公开发表的文件、通知或声明中引用，亦不得以其他任何方式公开发表。</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6.本估价结果</w:t>
      </w:r>
      <w:r>
        <w:rPr>
          <w:rFonts w:ascii="仿宋" w:hAnsi="仿宋" w:eastAsia="仿宋"/>
          <w:sz w:val="28"/>
          <w:szCs w:val="28"/>
        </w:rPr>
        <w:t>在估价委托人提供的资料合法、真实、</w:t>
      </w:r>
      <w:r>
        <w:rPr>
          <w:rFonts w:hint="eastAsia" w:ascii="仿宋" w:hAnsi="仿宋" w:eastAsia="仿宋"/>
          <w:sz w:val="28"/>
          <w:szCs w:val="28"/>
        </w:rPr>
        <w:t>准确、</w:t>
      </w:r>
      <w:r>
        <w:rPr>
          <w:rFonts w:ascii="仿宋" w:hAnsi="仿宋" w:eastAsia="仿宋"/>
          <w:sz w:val="28"/>
          <w:szCs w:val="28"/>
        </w:rPr>
        <w:t>完整、有效基础之上得出的。估价委托人对其所提供的相关资料及各种数据的真实性和有效性负责，并承担相应的法律责任；因估价委托人提供的资料失真造成估价结果有误，估价机构和估价人员不承担责任</w:t>
      </w:r>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7.本估价结果是估价对象在价值时点（实地查勘日）时的正常的经济环境及正常的市场价值基础上的估算价值。未考虑国家经济政策发生变化、未来市场变化风险、短期强制处分及不可抗力等因素对房地产价值的不利影响。</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8.</w:t>
      </w:r>
      <w:r>
        <w:rPr>
          <w:rFonts w:ascii="仿宋" w:hAnsi="仿宋" w:eastAsia="仿宋"/>
          <w:sz w:val="28"/>
          <w:szCs w:val="28"/>
        </w:rPr>
        <w:t>报告及附件须同时完整使用方为有效，本估价机构不对仅使用报告中部分内容或使用不当所可能导致的任何损失承担责任。</w:t>
      </w:r>
    </w:p>
    <w:p>
      <w:pPr>
        <w:spacing w:line="480" w:lineRule="exact"/>
        <w:ind w:firstLine="560" w:firstLineChars="200"/>
        <w:rPr>
          <w:rFonts w:ascii="仿宋" w:hAnsi="仿宋" w:eastAsia="仿宋"/>
          <w:sz w:val="28"/>
          <w:szCs w:val="28"/>
        </w:rPr>
      </w:pPr>
      <w:r>
        <w:rPr>
          <w:rFonts w:ascii="仿宋" w:hAnsi="仿宋" w:eastAsia="仿宋"/>
          <w:sz w:val="28"/>
          <w:szCs w:val="28"/>
        </w:rPr>
        <w:t>　　</w:t>
      </w:r>
      <w:r>
        <w:rPr>
          <w:rFonts w:hint="eastAsia" w:ascii="仿宋" w:hAnsi="仿宋" w:eastAsia="仿宋"/>
          <w:sz w:val="28"/>
          <w:szCs w:val="28"/>
        </w:rPr>
        <w:t>9.估价报告使用期限其他说明</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（1）估</w:t>
      </w:r>
      <w:r>
        <w:rPr>
          <w:rFonts w:ascii="仿宋" w:hAnsi="仿宋" w:eastAsia="仿宋"/>
          <w:sz w:val="28"/>
          <w:szCs w:val="28"/>
        </w:rPr>
        <w:t>价报告的超过估价报告使用期限的，责任由使用者承担；</w:t>
      </w:r>
    </w:p>
    <w:p>
      <w:pPr>
        <w:spacing w:line="480" w:lineRule="exact"/>
        <w:ind w:firstLine="560" w:firstLineChars="200"/>
        <w:rPr>
          <w:rFonts w:ascii="仿宋" w:hAnsi="仿宋" w:eastAsia="仿宋"/>
          <w:sz w:val="28"/>
          <w:szCs w:val="28"/>
        </w:rPr>
      </w:pPr>
      <w:r>
        <w:rPr>
          <w:rFonts w:ascii="仿宋" w:hAnsi="仿宋" w:eastAsia="仿宋"/>
          <w:sz w:val="28"/>
          <w:szCs w:val="28"/>
        </w:rPr>
        <w:t>（2）使用期限内使用估价报告的，责任由估价机构和签名的注册房地产估价师承担；</w:t>
      </w:r>
    </w:p>
    <w:p>
      <w:pPr>
        <w:spacing w:line="480" w:lineRule="exact"/>
        <w:ind w:firstLine="560" w:firstLineChars="200"/>
        <w:rPr>
          <w:rFonts w:ascii="仿宋" w:hAnsi="仿宋" w:eastAsia="仿宋"/>
          <w:sz w:val="28"/>
          <w:szCs w:val="28"/>
        </w:rPr>
      </w:pPr>
      <w:r>
        <w:rPr>
          <w:rFonts w:ascii="仿宋" w:hAnsi="仿宋" w:eastAsia="仿宋"/>
          <w:sz w:val="28"/>
          <w:szCs w:val="28"/>
        </w:rPr>
        <w:t>（3）如果估价报告超过了其使用期限的时间，则估价报告有效期或估价责任期限无效；</w:t>
      </w:r>
    </w:p>
    <w:p>
      <w:pPr>
        <w:spacing w:line="480" w:lineRule="exact"/>
        <w:ind w:firstLine="560" w:firstLineChars="200"/>
        <w:rPr>
          <w:rFonts w:ascii="仿宋" w:hAnsi="仿宋" w:eastAsia="仿宋"/>
          <w:sz w:val="28"/>
          <w:szCs w:val="28"/>
        </w:rPr>
      </w:pPr>
      <w:r>
        <w:rPr>
          <w:rFonts w:ascii="仿宋" w:hAnsi="仿宋" w:eastAsia="仿宋"/>
          <w:sz w:val="28"/>
          <w:szCs w:val="28"/>
        </w:rPr>
        <w:t>（4）如果估价报告在使用期限内被使用，则估价报告有效期或估价责任期限应到估价服务的行为结束为止。</w:t>
      </w:r>
    </w:p>
    <w:p>
      <w:pPr>
        <w:spacing w:line="496" w:lineRule="exact"/>
        <w:ind w:firstLine="723" w:firstLineChars="200"/>
        <w:rPr>
          <w:rFonts w:ascii="宋体" w:hAnsi="宋体"/>
          <w:b/>
          <w:bCs/>
          <w:kern w:val="44"/>
          <w:sz w:val="36"/>
          <w:szCs w:val="36"/>
          <w:lang w:val="zh-CN"/>
        </w:rPr>
      </w:pPr>
      <w:bookmarkStart w:id="23" w:name="_Toc492483071"/>
      <w:bookmarkStart w:id="24" w:name="_Toc492971786"/>
      <w:bookmarkStart w:id="25" w:name="_Toc492484524"/>
      <w:bookmarkStart w:id="26" w:name="_Toc492484551"/>
      <w:bookmarkStart w:id="27" w:name="_Toc492481922"/>
    </w:p>
    <w:p>
      <w:pPr>
        <w:spacing w:line="496" w:lineRule="exact"/>
        <w:ind w:firstLine="723" w:firstLineChars="200"/>
      </w:pPr>
      <w:r>
        <w:rPr>
          <w:rFonts w:ascii="宋体" w:hAnsi="宋体"/>
          <w:b/>
          <w:bCs/>
          <w:kern w:val="44"/>
          <w:sz w:val="36"/>
          <w:szCs w:val="36"/>
          <w:lang w:val="zh-CN"/>
        </w:rPr>
        <w:br w:type="page"/>
      </w:r>
    </w:p>
    <w:p>
      <w:pPr>
        <w:spacing w:line="520" w:lineRule="exact"/>
        <w:ind w:firstLine="560" w:firstLineChars="200"/>
        <w:rPr>
          <w:rFonts w:ascii="仿宋" w:hAnsi="仿宋" w:eastAsia="仿宋"/>
          <w:sz w:val="28"/>
          <w:szCs w:val="28"/>
        </w:rPr>
      </w:pPr>
    </w:p>
    <w:p>
      <w:pPr>
        <w:spacing w:line="496" w:lineRule="exact"/>
        <w:ind w:firstLine="562" w:firstLineChars="200"/>
        <w:jc w:val="center"/>
        <w:outlineLvl w:val="0"/>
        <w:rPr>
          <w:rFonts w:ascii="宋体" w:hAnsi="宋体"/>
          <w:b/>
          <w:bCs/>
          <w:kern w:val="44"/>
          <w:sz w:val="28"/>
          <w:szCs w:val="28"/>
          <w:lang w:val="zh-CN"/>
        </w:rPr>
      </w:pPr>
      <w:bookmarkStart w:id="28" w:name="_Toc24022"/>
      <w:r>
        <w:rPr>
          <w:rFonts w:hint="eastAsia" w:ascii="宋体" w:hAnsi="宋体"/>
          <w:b/>
          <w:bCs/>
          <w:kern w:val="44"/>
          <w:sz w:val="28"/>
          <w:szCs w:val="28"/>
          <w:lang w:val="zh-CN"/>
        </w:rPr>
        <w:t>估 价 结 果 报 告</w:t>
      </w:r>
      <w:bookmarkEnd w:id="23"/>
      <w:bookmarkEnd w:id="24"/>
      <w:bookmarkEnd w:id="25"/>
      <w:bookmarkEnd w:id="26"/>
      <w:bookmarkEnd w:id="27"/>
      <w:bookmarkEnd w:id="28"/>
    </w:p>
    <w:p>
      <w:pPr>
        <w:pStyle w:val="22"/>
        <w:spacing w:before="157" w:beforeLines="50" w:after="157" w:afterLines="50" w:line="500" w:lineRule="exact"/>
        <w:ind w:firstLine="562"/>
        <w:rPr>
          <w:rFonts w:ascii="仿宋" w:hAnsi="仿宋"/>
          <w:kern w:val="2"/>
        </w:rPr>
      </w:pPr>
      <w:bookmarkStart w:id="29" w:name="_Toc492484552"/>
      <w:bookmarkStart w:id="30" w:name="_Toc55929837"/>
      <w:bookmarkStart w:id="31" w:name="_Toc492971787"/>
      <w:bookmarkStart w:id="32" w:name="_Toc492484525"/>
      <w:bookmarkStart w:id="33" w:name="_Toc492483072"/>
      <w:bookmarkStart w:id="34" w:name="_Toc20033"/>
      <w:bookmarkStart w:id="35" w:name="_Toc492481923"/>
      <w:r>
        <w:rPr>
          <w:rFonts w:hint="eastAsia" w:ascii="仿宋" w:hAnsi="仿宋"/>
          <w:kern w:val="2"/>
        </w:rPr>
        <w:t>一、估价委托人</w:t>
      </w:r>
      <w:bookmarkEnd w:id="29"/>
      <w:bookmarkEnd w:id="30"/>
      <w:bookmarkEnd w:id="31"/>
      <w:bookmarkEnd w:id="32"/>
      <w:bookmarkEnd w:id="33"/>
      <w:bookmarkEnd w:id="34"/>
      <w:bookmarkEnd w:id="35"/>
    </w:p>
    <w:p>
      <w:pPr>
        <w:spacing w:line="500" w:lineRule="exact"/>
        <w:ind w:left="596" w:leftChars="284"/>
        <w:rPr>
          <w:rFonts w:ascii="仿宋" w:hAnsi="仿宋" w:eastAsia="仿宋"/>
          <w:sz w:val="28"/>
          <w:szCs w:val="28"/>
        </w:rPr>
      </w:pPr>
      <w:r>
        <w:rPr>
          <w:rFonts w:hint="eastAsia" w:ascii="仿宋" w:hAnsi="仿宋" w:eastAsia="仿宋"/>
          <w:sz w:val="28"/>
          <w:szCs w:val="28"/>
        </w:rPr>
        <w:t>名称：</w:t>
      </w:r>
      <w:bookmarkStart w:id="36" w:name="_Toc492971788"/>
      <w:bookmarkStart w:id="37" w:name="_Toc492484526"/>
      <w:bookmarkStart w:id="38" w:name="_Toc492484553"/>
      <w:bookmarkStart w:id="39" w:name="_Toc492483073"/>
      <w:bookmarkStart w:id="40" w:name="_Toc492481924"/>
      <w:r>
        <w:rPr>
          <w:rFonts w:hint="eastAsia" w:ascii="仿宋" w:hAnsi="仿宋" w:eastAsia="仿宋"/>
          <w:sz w:val="28"/>
          <w:szCs w:val="28"/>
        </w:rPr>
        <w:t>许昌市魏都区人民法院</w:t>
      </w:r>
    </w:p>
    <w:p>
      <w:pPr>
        <w:spacing w:line="500" w:lineRule="exact"/>
        <w:ind w:left="596" w:leftChars="284"/>
        <w:rPr>
          <w:rFonts w:ascii="仿宋" w:hAnsi="仿宋" w:eastAsia="仿宋"/>
          <w:spacing w:val="-20"/>
          <w:sz w:val="28"/>
          <w:szCs w:val="28"/>
        </w:rPr>
      </w:pPr>
      <w:r>
        <w:rPr>
          <w:rFonts w:hint="eastAsia" w:ascii="仿宋" w:hAnsi="仿宋" w:eastAsia="仿宋"/>
          <w:sz w:val="28"/>
          <w:szCs w:val="28"/>
        </w:rPr>
        <w:t>住所：许昌市延安路中段</w:t>
      </w:r>
      <w:r>
        <w:rPr>
          <w:rFonts w:hint="eastAsia" w:ascii="仿宋" w:hAnsi="仿宋" w:eastAsia="仿宋"/>
          <w:spacing w:val="-20"/>
          <w:sz w:val="28"/>
          <w:szCs w:val="28"/>
        </w:rPr>
        <w:t xml:space="preserve"> </w:t>
      </w:r>
    </w:p>
    <w:p>
      <w:pPr>
        <w:pStyle w:val="22"/>
        <w:spacing w:before="157" w:beforeLines="50" w:after="157" w:afterLines="50" w:line="500" w:lineRule="exact"/>
        <w:ind w:firstLine="562"/>
        <w:rPr>
          <w:rFonts w:ascii="仿宋" w:hAnsi="仿宋"/>
          <w:kern w:val="2"/>
        </w:rPr>
      </w:pPr>
      <w:bookmarkStart w:id="41" w:name="_Toc6526"/>
      <w:bookmarkStart w:id="42" w:name="_Toc55929838"/>
      <w:r>
        <w:rPr>
          <w:rFonts w:hint="eastAsia" w:ascii="仿宋" w:hAnsi="仿宋"/>
          <w:kern w:val="2"/>
        </w:rPr>
        <w:t>二、房地产估价机构</w:t>
      </w:r>
      <w:bookmarkEnd w:id="36"/>
      <w:bookmarkEnd w:id="37"/>
      <w:bookmarkEnd w:id="38"/>
      <w:bookmarkEnd w:id="39"/>
      <w:bookmarkEnd w:id="40"/>
      <w:bookmarkEnd w:id="41"/>
      <w:bookmarkEnd w:id="42"/>
    </w:p>
    <w:p>
      <w:pPr>
        <w:spacing w:line="520" w:lineRule="exact"/>
        <w:ind w:firstLine="560" w:firstLineChars="200"/>
        <w:rPr>
          <w:rFonts w:ascii="仿宋" w:hAnsi="仿宋" w:eastAsia="仿宋"/>
          <w:sz w:val="28"/>
          <w:szCs w:val="28"/>
        </w:rPr>
      </w:pPr>
      <w:r>
        <w:rPr>
          <w:rFonts w:hint="eastAsia" w:ascii="仿宋" w:hAnsi="仿宋" w:eastAsia="仿宋"/>
          <w:sz w:val="28"/>
          <w:szCs w:val="28"/>
        </w:rPr>
        <w:t>估价机构全称：河南远大房地产土地资产评估有限公司</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法定代表人：齐伟源</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机构住所：许昌市智慧大道汇通商务苑D幢5层南起东侧第3间</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统一社会信用代码：91411000788097919Q</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证书编号：B41100102</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备案等级：二级</w:t>
      </w:r>
    </w:p>
    <w:p>
      <w:pPr>
        <w:pStyle w:val="22"/>
        <w:spacing w:before="157" w:beforeLines="50" w:after="157" w:afterLines="50" w:line="500" w:lineRule="exact"/>
        <w:ind w:firstLine="562"/>
        <w:rPr>
          <w:rFonts w:ascii="仿宋" w:hAnsi="仿宋"/>
          <w:kern w:val="2"/>
        </w:rPr>
      </w:pPr>
      <w:bookmarkStart w:id="43" w:name="_Toc492971789"/>
      <w:bookmarkStart w:id="44" w:name="_Toc23158"/>
      <w:bookmarkStart w:id="45" w:name="_Toc55929839"/>
      <w:bookmarkStart w:id="46" w:name="_Toc492481925"/>
      <w:bookmarkStart w:id="47" w:name="_Toc492484527"/>
      <w:bookmarkStart w:id="48" w:name="_Toc492484554"/>
      <w:bookmarkStart w:id="49" w:name="_Toc492483074"/>
      <w:r>
        <w:rPr>
          <w:rFonts w:hint="eastAsia" w:ascii="仿宋" w:hAnsi="仿宋"/>
          <w:kern w:val="2"/>
        </w:rPr>
        <w:t>三、估价目的</w:t>
      </w:r>
      <w:bookmarkEnd w:id="43"/>
      <w:bookmarkEnd w:id="44"/>
      <w:bookmarkEnd w:id="45"/>
      <w:bookmarkEnd w:id="46"/>
      <w:bookmarkEnd w:id="47"/>
      <w:bookmarkEnd w:id="48"/>
      <w:bookmarkEnd w:id="49"/>
    </w:p>
    <w:p>
      <w:pPr>
        <w:spacing w:line="500" w:lineRule="exact"/>
        <w:ind w:firstLine="560" w:firstLineChars="200"/>
        <w:rPr>
          <w:rFonts w:ascii="仿宋" w:hAnsi="仿宋" w:eastAsia="仿宋"/>
          <w:sz w:val="28"/>
          <w:szCs w:val="28"/>
        </w:rPr>
      </w:pPr>
      <w:bookmarkStart w:id="50" w:name="_Toc492971790"/>
      <w:bookmarkStart w:id="51" w:name="_Toc492484528"/>
      <w:bookmarkStart w:id="52" w:name="_Toc492481926"/>
      <w:bookmarkStart w:id="53" w:name="_Toc492484555"/>
      <w:bookmarkStart w:id="54" w:name="_Toc492483075"/>
      <w:r>
        <w:rPr>
          <w:rFonts w:hint="eastAsia" w:ascii="仿宋" w:hAnsi="仿宋" w:eastAsia="仿宋"/>
          <w:sz w:val="28"/>
          <w:szCs w:val="28"/>
        </w:rPr>
        <w:t>为司法拍卖房地产确定拍卖保留价提供参考依据而评估被拍卖房地产的市场价值。</w:t>
      </w:r>
    </w:p>
    <w:p>
      <w:pPr>
        <w:pStyle w:val="22"/>
        <w:spacing w:before="157" w:beforeLines="50" w:after="157" w:afterLines="50" w:line="500" w:lineRule="exact"/>
        <w:ind w:firstLine="562"/>
        <w:rPr>
          <w:rFonts w:ascii="仿宋" w:hAnsi="仿宋"/>
          <w:kern w:val="2"/>
        </w:rPr>
      </w:pPr>
      <w:bookmarkStart w:id="55" w:name="_Toc55929840"/>
      <w:bookmarkStart w:id="56" w:name="_Toc1779"/>
      <w:r>
        <w:rPr>
          <w:rFonts w:hint="eastAsia" w:ascii="仿宋" w:hAnsi="仿宋"/>
          <w:kern w:val="2"/>
        </w:rPr>
        <w:t>四、估价对象</w:t>
      </w:r>
      <w:bookmarkEnd w:id="50"/>
      <w:bookmarkEnd w:id="51"/>
      <w:bookmarkEnd w:id="52"/>
      <w:bookmarkEnd w:id="53"/>
      <w:bookmarkEnd w:id="54"/>
      <w:bookmarkEnd w:id="55"/>
      <w:bookmarkEnd w:id="56"/>
    </w:p>
    <w:p>
      <w:pPr>
        <w:spacing w:line="490" w:lineRule="exact"/>
        <w:ind w:firstLine="560" w:firstLineChars="200"/>
        <w:rPr>
          <w:rFonts w:ascii="仿宋" w:hAnsi="仿宋" w:eastAsia="仿宋"/>
          <w:sz w:val="28"/>
          <w:szCs w:val="28"/>
        </w:rPr>
      </w:pPr>
      <w:r>
        <w:rPr>
          <w:rFonts w:hint="eastAsia" w:ascii="仿宋" w:hAnsi="仿宋" w:eastAsia="仿宋"/>
          <w:sz w:val="28"/>
          <w:szCs w:val="28"/>
        </w:rPr>
        <w:t>（一）估价对象范围</w:t>
      </w:r>
    </w:p>
    <w:p>
      <w:pPr>
        <w:spacing w:line="500" w:lineRule="exact"/>
        <w:ind w:firstLine="560" w:firstLineChars="200"/>
        <w:rPr>
          <w:rFonts w:ascii="仿宋" w:hAnsi="仿宋" w:eastAsia="仿宋"/>
          <w:sz w:val="28"/>
          <w:szCs w:val="28"/>
        </w:rPr>
      </w:pPr>
      <w:bookmarkStart w:id="57" w:name="_Toc492484556"/>
      <w:bookmarkStart w:id="58" w:name="_Toc492483076"/>
      <w:bookmarkStart w:id="59" w:name="_Toc492481927"/>
      <w:bookmarkStart w:id="60" w:name="_Toc492971791"/>
      <w:bookmarkStart w:id="61" w:name="_Toc492484529"/>
      <w:r>
        <w:rPr>
          <w:rFonts w:hint="eastAsia" w:ascii="仿宋" w:hAnsi="仿宋" w:eastAsia="仿宋"/>
          <w:sz w:val="28"/>
          <w:szCs w:val="28"/>
        </w:rPr>
        <w:t>估价对象是位于何新全所有登记在王红丽名下的位于许昌市魏都区北大办事处袁庄前街62-3号1至3层独院</w:t>
      </w:r>
      <w:r>
        <w:rPr>
          <w:rFonts w:hint="eastAsia" w:ascii="仿宋" w:hAnsi="仿宋" w:eastAsia="仿宋"/>
          <w:spacing w:val="-6"/>
          <w:sz w:val="28"/>
          <w:szCs w:val="28"/>
        </w:rPr>
        <w:t>，</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根据估价委托人提供的《查档证明》、《产权档案粘贴纸》显示估价对象房屋所有权证号为字第3008590号, 混合结构，共1层，证载建筑面积为51.12平方米。在价值时点，经向当事人了解，估价对象已转让给何新全，未办理过户，且何新全于2002年对王红丽的房屋进行了拆除，并重建，重建后的房屋为总层数为3层的独院，建筑面积为306.19平方米，混合结构，实际用途为住宅。</w:t>
      </w:r>
      <w:r>
        <w:rPr>
          <w:rFonts w:ascii="仿宋" w:hAnsi="仿宋" w:eastAsia="仿宋"/>
          <w:sz w:val="28"/>
          <w:szCs w:val="28"/>
        </w:rPr>
        <w:t xml:space="preserve"> </w:t>
      </w:r>
      <w:r>
        <w:rPr>
          <w:rFonts w:hint="eastAsia" w:ascii="仿宋" w:hAnsi="仿宋" w:eastAsia="仿宋"/>
          <w:sz w:val="28"/>
          <w:szCs w:val="28"/>
        </w:rPr>
        <w:t>本次估价对象为何新全重建后的3层房屋。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估价范围包含应分摊的土地使用权及室内不可拆除装饰装修，不含室内能够移动的家具家电及相关的债权债务等。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（二）估价对象区位状况</w:t>
      </w:r>
    </w:p>
    <w:p>
      <w:pPr>
        <w:spacing w:line="490" w:lineRule="exact"/>
        <w:ind w:firstLine="560" w:firstLineChars="20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2573655</wp:posOffset>
                </wp:positionH>
                <wp:positionV relativeFrom="paragraph">
                  <wp:posOffset>3011805</wp:posOffset>
                </wp:positionV>
                <wp:extent cx="266700" cy="161925"/>
                <wp:effectExtent l="0" t="3175" r="0" b="6350"/>
                <wp:wrapNone/>
                <wp:docPr id="18" name="星形: 五角 18"/>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star5">
                          <a:avLst/>
                        </a:prstGeom>
                        <a:solidFill>
                          <a:srgbClr val="FF0000"/>
                        </a:solidFill>
                        <a:ln>
                          <a:noFill/>
                        </a:ln>
                      </wps:spPr>
                      <wps:bodyPr rot="0" vert="horz" wrap="square" lIns="91440" tIns="45720" rIns="91440" bIns="45720" anchor="t" anchorCtr="0" upright="1">
                        <a:noAutofit/>
                      </wps:bodyPr>
                    </wps:wsp>
                  </a:graphicData>
                </a:graphic>
              </wp:anchor>
            </w:drawing>
          </mc:Choice>
          <mc:Fallback>
            <w:pict>
              <v:shape id="星形: 五角 18" o:spid="_x0000_s1026" style="position:absolute;left:0pt;margin-left:202.65pt;margin-top:237.15pt;height:12.75pt;width:21pt;z-index:251659264;mso-width-relative:page;mso-height-relative:page;" fillcolor="#FF0000" filled="t" stroked="f" coordsize="266700,161925" o:gfxdata="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pWuc+dUAAAALAQAADwAAAAAAAAABACAAAAAiAAAAZHJzL2Rvd25yZXYueG1sUEsBAhQAFAAA&#10;AAgAh07iQP//D/grAgAAMAQAAA4AAAAAAAAAAQAgAAAAJAEAAGRycy9lMm9Eb2MueG1sUEsFBgAA&#10;AAAGAAYAWQEAAMEFAAAAAA==&#10;" path="m0,61849l101870,61850,133350,0,164829,61850,266699,61849,184284,100074,215764,161924,133350,123698,50935,161924,82415,100074xe">
                <v:path o:connectlocs="133350,0;0,61849;50935,161924;215764,161924;266699,61849" o:connectangles="247,164,82,82,0"/>
                <v:fill on="t" focussize="0,0"/>
                <v:stroke on="f"/>
                <v:imagedata o:title=""/>
                <o:lock v:ext="edit" aspectratio="f"/>
              </v:shape>
            </w:pict>
          </mc:Fallback>
        </mc:AlternateContent>
      </w:r>
      <w:r>
        <w:rPr>
          <w:rFonts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1510030</wp:posOffset>
                </wp:positionH>
                <wp:positionV relativeFrom="paragraph">
                  <wp:posOffset>1833880</wp:posOffset>
                </wp:positionV>
                <wp:extent cx="1095375" cy="456565"/>
                <wp:effectExtent l="5080" t="4445" r="103505" b="819150"/>
                <wp:wrapNone/>
                <wp:docPr id="19" name="对话气泡: 矩形 19"/>
                <wp:cNvGraphicFramePr/>
                <a:graphic xmlns:a="http://schemas.openxmlformats.org/drawingml/2006/main">
                  <a:graphicData uri="http://schemas.microsoft.com/office/word/2010/wordprocessingShape">
                    <wps:wsp>
                      <wps:cNvSpPr>
                        <a:spLocks noChangeArrowheads="1"/>
                      </wps:cNvSpPr>
                      <wps:spPr bwMode="auto">
                        <a:xfrm>
                          <a:off x="0" y="0"/>
                          <a:ext cx="1095375" cy="456565"/>
                        </a:xfrm>
                        <a:prstGeom prst="wedgeRectCallout">
                          <a:avLst>
                            <a:gd name="adj1" fmla="val 57594"/>
                            <a:gd name="adj2" fmla="val 219819"/>
                          </a:avLst>
                        </a:prstGeom>
                        <a:noFill/>
                        <a:ln w="9525">
                          <a:solidFill>
                            <a:srgbClr val="000000"/>
                          </a:solidFill>
                          <a:miter lim="800000"/>
                        </a:ln>
                      </wps:spPr>
                      <wps:txbx>
                        <w:txbxContent>
                          <w:p>
                            <w:pPr>
                              <w:jc w:val="center"/>
                            </w:pPr>
                            <w:r>
                              <w:rPr>
                                <w:rFonts w:hint="eastAsia"/>
                                <w:sz w:val="28"/>
                                <w:szCs w:val="28"/>
                              </w:rPr>
                              <w:t>估价对象</w:t>
                            </w:r>
                          </w:p>
                        </w:txbxContent>
                      </wps:txbx>
                      <wps:bodyPr rot="0" vert="horz" wrap="square" lIns="91440" tIns="45720" rIns="91440" bIns="45720" anchor="t" anchorCtr="0" upright="1">
                        <a:noAutofit/>
                      </wps:bodyPr>
                    </wps:wsp>
                  </a:graphicData>
                </a:graphic>
              </wp:anchor>
            </w:drawing>
          </mc:Choice>
          <mc:Fallback>
            <w:pict>
              <v:shape id="对话气泡: 矩形 19" o:spid="_x0000_s1026" o:spt="61" type="#_x0000_t61" style="position:absolute;left:0pt;margin-left:118.9pt;margin-top:144.4pt;height:35.95pt;width:86.25pt;z-index:251661312;mso-width-relative:page;mso-height-relative:page;" filled="f" stroked="t" coordsize="21600,21600" o:gfxdata="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DAZzWAAAACwEAAA8AAAAAAAAAAQAgAAAAIgAAAGRycy9kb3du&#10;cmV2LnhtbFBLAQIUABQAAAAIAIdO4kCtb2o5cwIAAL8EAAAOAAAAAAAAAAEAIAAAACUBAABkcnMv&#10;ZTJvRG9jLnhtbFBLBQYAAAAABgAGAFkBAAAKBgAAAAA=&#10;" adj="23240,58281">
                <v:fill on="f" focussize="0,0"/>
                <v:stroke color="#000000" miterlimit="8" joinstyle="miter"/>
                <v:imagedata o:title=""/>
                <o:lock v:ext="edit" aspectratio="f"/>
                <v:textbox>
                  <w:txbxContent>
                    <w:p>
                      <w:pPr>
                        <w:jc w:val="center"/>
                      </w:pPr>
                      <w:r>
                        <w:rPr>
                          <w:rFonts w:hint="eastAsia"/>
                          <w:sz w:val="28"/>
                          <w:szCs w:val="28"/>
                        </w:rPr>
                        <w:t>估价对象</w:t>
                      </w:r>
                    </w:p>
                  </w:txbxContent>
                </v:textbox>
              </v:shape>
            </w:pict>
          </mc:Fallback>
        </mc:AlternateContent>
      </w:r>
      <w:r>
        <w:rPr>
          <w:rFonts w:hint="eastAsia" w:ascii="仿宋" w:hAnsi="仿宋" w:eastAsia="仿宋"/>
          <w:sz w:val="28"/>
          <w:szCs w:val="28"/>
        </w:rPr>
        <w:t>1.坐落位置：估价对象坐落于许昌市魏都区北大办事处袁庄前街62-3号，为许昌老城区，东至文化路，南至园丁园小区，西至袁庄街居民区，</w:t>
      </w:r>
      <w:bookmarkStart w:id="62" w:name="_Hlk74206267"/>
      <w:r>
        <w:rPr>
          <w:rFonts w:hint="eastAsia" w:ascii="仿宋" w:hAnsi="仿宋" w:eastAsia="仿宋"/>
          <w:sz w:val="28"/>
          <w:szCs w:val="28"/>
        </w:rPr>
        <w:t>北至</w:t>
      </w:r>
      <w:bookmarkEnd w:id="62"/>
      <w:r>
        <w:rPr>
          <w:rFonts w:hint="eastAsia" w:ascii="仿宋" w:hAnsi="仿宋" w:eastAsia="仿宋"/>
          <w:sz w:val="28"/>
          <w:szCs w:val="28"/>
        </w:rPr>
        <w:t>八一西路。估价对象为何新全所有登记在王红丽名下的位于许昌市魏都区北大办事处袁庄前街62-3号1至3层独院，所在楼栋共3层，估价对象位于第1-3层。估价对象位置示意图如下：</w:t>
      </w:r>
    </w:p>
    <w:p>
      <w:pPr>
        <w:spacing w:line="490" w:lineRule="exact"/>
        <w:ind w:firstLine="560" w:firstLineChars="200"/>
        <w:rPr>
          <w:rFonts w:ascii="仿宋" w:hAnsi="仿宋" w:eastAsia="仿宋"/>
          <w:sz w:val="28"/>
          <w:szCs w:val="28"/>
        </w:rPr>
      </w:pPr>
      <w:bookmarkStart w:id="63" w:name="_Hlk525718509"/>
      <w:r>
        <w:rPr>
          <w:rFonts w:ascii="仿宋" w:hAnsi="仿宋" w:eastAsia="仿宋"/>
          <w:sz w:val="28"/>
          <w:szCs w:val="28"/>
        </w:rPr>
        <mc:AlternateContent>
          <mc:Choice Requires="wps">
            <w:drawing>
              <wp:anchor distT="0" distB="0" distL="114300" distR="114300" simplePos="0" relativeHeight="251663360" behindDoc="0" locked="0" layoutInCell="1" allowOverlap="1">
                <wp:simplePos x="0" y="0"/>
                <wp:positionH relativeFrom="column">
                  <wp:posOffset>1917700</wp:posOffset>
                </wp:positionH>
                <wp:positionV relativeFrom="paragraph">
                  <wp:posOffset>1848485</wp:posOffset>
                </wp:positionV>
                <wp:extent cx="266700" cy="161925"/>
                <wp:effectExtent l="0" t="0" r="0" b="9525"/>
                <wp:wrapNone/>
                <wp:docPr id="3" name="星形: 五角 18"/>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star5">
                          <a:avLst/>
                        </a:prstGeom>
                        <a:solidFill>
                          <a:srgbClr val="FF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星形: 五角 18" o:spid="_x0000_s1026" style="position:absolute;left:0pt;margin-left:151pt;margin-top:145.55pt;height:12.75pt;width:21pt;z-index:251663360;mso-width-relative:page;mso-height-relative:page;" fillcolor="#FF0000" filled="t" stroked="f" coordsize="266700,161925" o:gfxdata="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F0kAnbAAAACwEAAA8AAAAAAAAAAQAgAAAAIgAAAGRycy9kb3ducmV2&#10;LnhtbFBLAQIUABQAAAAIAIdO4kA9KfdQMgIAADoEAAAOAAAAAAAAAAEAIAAAACoBAABkcnMvZTJv&#10;RG9jLnhtbFBLBQYAAAAABgAGAFkBAADOBQAAAAA=&#10;" path="m0,61849l101870,61850,133350,0,164829,61850,266699,61849,184284,100074,215764,161924,133350,123698,50935,161924,82415,100074xe">
                <v:path textboxrect="0,0,266700,161925" o:connectlocs="133350,0;0,61849;50935,161924;215764,161924;266699,61849" o:connectangles="247,164,82,82,0"/>
                <v:fill on="t" focussize="0,0"/>
                <v:stroke on="f"/>
                <v:imagedata o:title=""/>
                <o:lock v:ext="edit" aspectratio="f"/>
                <v:textbox>
                  <w:txbxContent>
                    <w:p>
                      <w:pPr>
                        <w:jc w:val="center"/>
                      </w:pPr>
                    </w:p>
                  </w:txbxContent>
                </v:textbox>
              </v:shape>
            </w:pict>
          </mc:Fallback>
        </mc:AlternateContent>
      </w:r>
      <w:r>
        <w:rPr>
          <w:rFonts w:ascii="仿宋" w:hAnsi="仿宋" w:eastAsia="仿宋"/>
          <w:sz w:val="28"/>
          <w:szCs w:val="28"/>
        </w:rPr>
        <mc:AlternateContent>
          <mc:Choice Requires="wps">
            <w:drawing>
              <wp:anchor distT="0" distB="0" distL="114300" distR="114300" simplePos="0" relativeHeight="251664384" behindDoc="0" locked="0" layoutInCell="1" allowOverlap="1">
                <wp:simplePos x="0" y="0"/>
                <wp:positionH relativeFrom="column">
                  <wp:posOffset>1573530</wp:posOffset>
                </wp:positionH>
                <wp:positionV relativeFrom="paragraph">
                  <wp:posOffset>902970</wp:posOffset>
                </wp:positionV>
                <wp:extent cx="838200" cy="276225"/>
                <wp:effectExtent l="5080" t="4445" r="13970" b="709930"/>
                <wp:wrapNone/>
                <wp:docPr id="2" name="对话气泡: 矩形 19"/>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wedgeRectCallout">
                          <a:avLst>
                            <a:gd name="adj1" fmla="val 10833"/>
                            <a:gd name="adj2" fmla="val 292988"/>
                          </a:avLst>
                        </a:prstGeom>
                        <a:noFill/>
                        <a:ln w="9525">
                          <a:solidFill>
                            <a:srgbClr val="000000"/>
                          </a:solidFill>
                          <a:miter lim="800000"/>
                        </a:ln>
                      </wps:spPr>
                      <wps:txbx>
                        <w:txbxContent>
                          <w:p>
                            <w:r>
                              <w:rPr>
                                <w:rFonts w:hint="eastAsia"/>
                              </w:rPr>
                              <w:t>估价对象</w:t>
                            </w:r>
                          </w:p>
                        </w:txbxContent>
                      </wps:txbx>
                      <wps:bodyPr rot="0" vert="horz" wrap="square" lIns="91440" tIns="45720" rIns="91440" bIns="45720" anchor="t" anchorCtr="0" upright="1">
                        <a:noAutofit/>
                      </wps:bodyPr>
                    </wps:wsp>
                  </a:graphicData>
                </a:graphic>
              </wp:anchor>
            </w:drawing>
          </mc:Choice>
          <mc:Fallback>
            <w:pict>
              <v:shape id="对话气泡: 矩形 19" o:spid="_x0000_s1026" o:spt="61" type="#_x0000_t61" style="position:absolute;left:0pt;margin-left:123.9pt;margin-top:71.1pt;height:21.75pt;width:66pt;z-index:251664384;mso-width-relative:page;mso-height-relative:page;" filled="f" stroked="t" coordsize="21600,21600" o:gfxdata="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CjfuPaAAAACwEAAA8AAAAAAAAAAQAgAAAAIgAAAGRycy9k&#10;b3ducmV2LnhtbFBLAQIUABQAAAAIAIdO4kClEjNWcgIAAL0EAAAOAAAAAAAAAAEAIAAAACkBAABk&#10;cnMvZTJvRG9jLnhtbFBLBQYAAAAABgAGAFkBAAANBgAAAAA=&#10;" adj="13140,74085">
                <v:fill on="f" focussize="0,0"/>
                <v:stroke color="#000000" miterlimit="8" joinstyle="miter"/>
                <v:imagedata o:title=""/>
                <o:lock v:ext="edit" aspectratio="f"/>
                <v:textbox>
                  <w:txbxContent>
                    <w:p>
                      <w:r>
                        <w:rPr>
                          <w:rFonts w:hint="eastAsia"/>
                        </w:rPr>
                        <w:t>估价对象</w:t>
                      </w:r>
                    </w:p>
                  </w:txbxContent>
                </v:textbox>
              </v:shape>
            </w:pict>
          </mc:Fallback>
        </mc:AlternateContent>
      </w:r>
      <w:r>
        <w:drawing>
          <wp:anchor distT="0" distB="0" distL="114300" distR="114300" simplePos="0" relativeHeight="251662336" behindDoc="0" locked="0" layoutInCell="1" allowOverlap="1">
            <wp:simplePos x="0" y="0"/>
            <wp:positionH relativeFrom="column">
              <wp:posOffset>-125730</wp:posOffset>
            </wp:positionH>
            <wp:positionV relativeFrom="paragraph">
              <wp:posOffset>70485</wp:posOffset>
            </wp:positionV>
            <wp:extent cx="5360670" cy="3434715"/>
            <wp:effectExtent l="0" t="0" r="11430" b="133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360670" cy="3434715"/>
                    </a:xfrm>
                    <a:prstGeom prst="rect">
                      <a:avLst/>
                    </a:prstGeom>
                    <a:noFill/>
                    <a:ln>
                      <a:noFill/>
                    </a:ln>
                  </pic:spPr>
                </pic:pic>
              </a:graphicData>
            </a:graphic>
          </wp:anchor>
        </w:drawing>
      </w:r>
    </w:p>
    <w:p>
      <w:pPr>
        <w:spacing w:line="490" w:lineRule="exact"/>
        <w:ind w:firstLine="560" w:firstLineChars="200"/>
        <w:rPr>
          <w:rFonts w:ascii="仿宋" w:hAnsi="仿宋" w:eastAsia="仿宋"/>
          <w:sz w:val="28"/>
          <w:szCs w:val="28"/>
        </w:rPr>
      </w:pPr>
      <w:r>
        <w:rPr>
          <w:rFonts w:hint="eastAsia" w:ascii="仿宋" w:hAnsi="仿宋" w:eastAsia="仿宋"/>
          <w:sz w:val="28"/>
          <w:szCs w:val="28"/>
        </w:rPr>
        <w:t>2.交通状况：估价对象位于许昌市魏都区北大办事处袁庄前街62-3号，交通通达度较高。周边交通网络已经成型，可乘坐私家车、出租车等出行，可选择的交通工具种类繁多，出行道路顺畅，交通较便利。</w:t>
      </w:r>
    </w:p>
    <w:p>
      <w:pPr>
        <w:spacing w:line="490" w:lineRule="exact"/>
        <w:ind w:firstLine="560" w:firstLineChars="200"/>
        <w:rPr>
          <w:rFonts w:ascii="仿宋" w:hAnsi="仿宋" w:eastAsia="仿宋"/>
          <w:sz w:val="28"/>
          <w:szCs w:val="28"/>
        </w:rPr>
      </w:pPr>
      <w:r>
        <w:rPr>
          <w:rFonts w:hint="eastAsia" w:ascii="仿宋" w:hAnsi="仿宋" w:eastAsia="仿宋"/>
          <w:sz w:val="28"/>
          <w:szCs w:val="28"/>
        </w:rPr>
        <w:t>3.繁华程度：估价对象位于许昌市魏都区北大办事处袁庄前街62-3号，地处成熟居住区，周边有健康路小学、许昌高中、许昌市人民医院、华兴幼儿园、胖东来超市等，人流量较大，繁华程度较高。</w:t>
      </w:r>
    </w:p>
    <w:p>
      <w:pPr>
        <w:spacing w:line="490" w:lineRule="exact"/>
        <w:ind w:firstLine="560" w:firstLineChars="200"/>
        <w:rPr>
          <w:rFonts w:ascii="仿宋" w:hAnsi="仿宋" w:eastAsia="仿宋"/>
          <w:sz w:val="28"/>
          <w:szCs w:val="28"/>
        </w:rPr>
      </w:pPr>
      <w:r>
        <w:rPr>
          <w:rFonts w:hint="eastAsia" w:ascii="仿宋" w:hAnsi="仿宋" w:eastAsia="仿宋"/>
          <w:sz w:val="28"/>
          <w:szCs w:val="28"/>
        </w:rPr>
        <w:t>4.基础设施：估价对象所在区域内达到“六通一平”，即通上水、通下水、通路、通电、通讯、通燃、场地平整，基础设施齐全。</w:t>
      </w:r>
    </w:p>
    <w:p>
      <w:pPr>
        <w:spacing w:line="490" w:lineRule="exact"/>
        <w:ind w:firstLine="560" w:firstLineChars="200"/>
        <w:rPr>
          <w:rFonts w:ascii="仿宋" w:hAnsi="仿宋" w:eastAsia="仿宋"/>
          <w:sz w:val="28"/>
          <w:szCs w:val="28"/>
        </w:rPr>
      </w:pPr>
      <w:r>
        <w:rPr>
          <w:rFonts w:hint="eastAsia" w:ascii="仿宋" w:hAnsi="仿宋" w:eastAsia="仿宋"/>
          <w:sz w:val="28"/>
          <w:szCs w:val="28"/>
        </w:rPr>
        <w:t>5.公共服务设施：估价对象周边有健康路小学、许昌高中、许昌市人民医院、华兴幼儿园、胖东来超市等，娱乐、金融、购物、教育等机构（场所）齐全，附近停车较方便。</w:t>
      </w:r>
    </w:p>
    <w:p>
      <w:pPr>
        <w:spacing w:line="490" w:lineRule="exact"/>
        <w:ind w:firstLine="560" w:firstLineChars="200"/>
        <w:rPr>
          <w:rFonts w:ascii="仿宋" w:hAnsi="仿宋" w:eastAsia="仿宋"/>
          <w:sz w:val="28"/>
          <w:szCs w:val="28"/>
        </w:rPr>
      </w:pPr>
      <w:r>
        <w:rPr>
          <w:rFonts w:hint="eastAsia" w:ascii="仿宋" w:hAnsi="仿宋" w:eastAsia="仿宋"/>
          <w:sz w:val="28"/>
          <w:szCs w:val="28"/>
        </w:rPr>
        <w:t>6.周围环境状况</w:t>
      </w:r>
    </w:p>
    <w:p>
      <w:pPr>
        <w:spacing w:line="490" w:lineRule="exact"/>
        <w:ind w:firstLine="560" w:firstLineChars="200"/>
        <w:rPr>
          <w:rFonts w:ascii="仿宋" w:hAnsi="仿宋" w:eastAsia="仿宋"/>
          <w:sz w:val="28"/>
          <w:szCs w:val="28"/>
        </w:rPr>
      </w:pPr>
      <w:r>
        <w:rPr>
          <w:rFonts w:hint="eastAsia" w:ascii="仿宋" w:hAnsi="仿宋" w:eastAsia="仿宋"/>
          <w:sz w:val="28"/>
          <w:szCs w:val="28"/>
        </w:rPr>
        <w:t>自然环境：估价对象位于许昌市魏都区北大办事处袁庄前街，无空气、噪声、固体废物、水、辐射等污染，卫生较整洁。周边无高压输电线路、无线电发射塔、垃圾站等设施，自然环境状况较好，绿化率较少。</w:t>
      </w:r>
    </w:p>
    <w:bookmarkEnd w:id="63"/>
    <w:p>
      <w:pPr>
        <w:spacing w:line="500" w:lineRule="exact"/>
        <w:ind w:firstLine="560" w:firstLineChars="200"/>
        <w:rPr>
          <w:rFonts w:ascii="仿宋" w:hAnsi="仿宋" w:eastAsia="仿宋"/>
          <w:sz w:val="28"/>
          <w:szCs w:val="28"/>
        </w:rPr>
      </w:pPr>
      <w:r>
        <w:rPr>
          <w:rFonts w:hint="eastAsia" w:ascii="仿宋" w:hAnsi="仿宋" w:eastAsia="仿宋"/>
          <w:sz w:val="28"/>
          <w:szCs w:val="28"/>
        </w:rPr>
        <w:t>人文环境：估价对象周边有健康路小学、许昌高中等，人员素质较高，人文环境较好。</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景观：估价对象周边自然景观一般。</w:t>
      </w:r>
    </w:p>
    <w:p>
      <w:pPr>
        <w:spacing w:line="490" w:lineRule="exact"/>
        <w:ind w:firstLine="560" w:firstLineChars="200"/>
        <w:rPr>
          <w:rFonts w:ascii="仿宋" w:hAnsi="仿宋" w:eastAsia="仿宋"/>
          <w:sz w:val="28"/>
          <w:szCs w:val="28"/>
        </w:rPr>
      </w:pPr>
      <w:r>
        <w:rPr>
          <w:rFonts w:hint="eastAsia" w:ascii="仿宋" w:hAnsi="仿宋" w:eastAsia="仿宋"/>
          <w:sz w:val="28"/>
          <w:szCs w:val="28"/>
        </w:rPr>
        <w:t>（二）估价对象实物状况</w:t>
      </w:r>
    </w:p>
    <w:p>
      <w:pPr>
        <w:spacing w:line="49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土地状况：</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估价对象所在宗地东至文化路，南至园丁园小区，西至袁庄街居民区，北至八一西路，形状规则，地势平坦，地质条件较好，承载力较高；利用现状为住宅用地，宗地内外开发程度均为“六通一平”（即通上水、通下水、通路、通电、通讯、通燃、场地平整），其具体条件为：土地平整，市政供水、供电、通讯保证率均在98%以上，能满足正常生活、生产经营需要，雨污水分流，排水通畅。</w:t>
      </w:r>
    </w:p>
    <w:p>
      <w:pPr>
        <w:spacing w:line="49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建筑物状况</w:t>
      </w:r>
    </w:p>
    <w:p>
      <w:pPr>
        <w:spacing w:line="500" w:lineRule="exact"/>
        <w:ind w:firstLine="560" w:firstLineChars="200"/>
        <w:rPr>
          <w:rFonts w:ascii="仿宋" w:hAnsi="仿宋" w:eastAsia="仿宋"/>
          <w:sz w:val="28"/>
          <w:szCs w:val="28"/>
        </w:rPr>
      </w:pPr>
      <w:r>
        <w:rPr>
          <w:rFonts w:hint="eastAsia" w:ascii="Calibri" w:hAnsi="Calibri" w:eastAsia="仿宋" w:cs="Calibri"/>
          <w:sz w:val="28"/>
          <w:szCs w:val="28"/>
        </w:rPr>
        <w:t>估价对象为</w:t>
      </w:r>
      <w:r>
        <w:rPr>
          <w:rFonts w:hint="eastAsia" w:ascii="仿宋" w:hAnsi="仿宋" w:eastAsia="仿宋" w:cs="仿宋"/>
          <w:sz w:val="28"/>
          <w:szCs w:val="28"/>
        </w:rPr>
        <w:t>1-3</w:t>
      </w:r>
      <w:r>
        <w:rPr>
          <w:rFonts w:hint="eastAsia" w:ascii="Calibri" w:hAnsi="Calibri" w:eastAsia="仿宋" w:cs="Calibri"/>
          <w:sz w:val="28"/>
          <w:szCs w:val="28"/>
        </w:rPr>
        <w:t>层独院，自建房，混合结构，建筑面积为</w:t>
      </w:r>
      <w:r>
        <w:rPr>
          <w:rFonts w:hint="eastAsia" w:ascii="仿宋" w:hAnsi="仿宋" w:eastAsia="仿宋" w:cs="仿宋"/>
          <w:sz w:val="28"/>
          <w:szCs w:val="28"/>
        </w:rPr>
        <w:t>306.19平方米，室内净高3米，简</w:t>
      </w:r>
      <w:r>
        <w:rPr>
          <w:rFonts w:hint="eastAsia" w:ascii="Calibri" w:hAnsi="Calibri" w:eastAsia="仿宋" w:cs="Calibri"/>
          <w:sz w:val="28"/>
          <w:szCs w:val="28"/>
        </w:rPr>
        <w:t>单装修。室内地面部分铺地板砖，部分铺复合地板，内墙刷乳胶漆，天棚部分为石膏吊顶，部分刷乳胶漆；厨房、卫生间地面铺地板砖，内墙贴瓷砖到顶，天棚石膏吊顶；内置楼梯，地板砖踏步，不锈钢栏杆及扶手；木门、木饰墙裙，木窗套，铝合金窗；外墙为水泥抹面。</w:t>
      </w:r>
      <w:r>
        <w:rPr>
          <w:rFonts w:hint="eastAsia" w:ascii="仿宋" w:hAnsi="仿宋" w:eastAsia="仿宋" w:cs="仿宋"/>
          <w:bCs/>
          <w:sz w:val="28"/>
          <w:szCs w:val="28"/>
        </w:rPr>
        <w:t>估价对象所在楼栋基础坚固，无不均匀沉降，楼板、墙体承重构件平直稳定，结点牢固，能满足居住功能。</w:t>
      </w:r>
    </w:p>
    <w:p>
      <w:pPr>
        <w:spacing w:line="490" w:lineRule="exact"/>
        <w:ind w:firstLine="560" w:firstLineChars="200"/>
        <w:rPr>
          <w:rFonts w:ascii="仿宋" w:hAnsi="仿宋" w:eastAsia="仿宋"/>
          <w:sz w:val="28"/>
          <w:szCs w:val="28"/>
        </w:rPr>
      </w:pPr>
      <w:r>
        <w:rPr>
          <w:rFonts w:hint="eastAsia" w:ascii="仿宋" w:hAnsi="仿宋" w:eastAsia="仿宋"/>
          <w:sz w:val="28"/>
          <w:szCs w:val="28"/>
        </w:rPr>
        <w:t>设施设备：水、电、燃、中央空调（已损坏，不能使用）等设施齐全；采光、通风状况良好,主体状况良好，维护状况较好，室外公共配套设施较完善，周围环境一般。</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（三）估价对象权益状况</w:t>
      </w:r>
    </w:p>
    <w:p>
      <w:pPr>
        <w:spacing w:line="500" w:lineRule="exact"/>
        <w:ind w:firstLine="560" w:firstLineChars="200"/>
        <w:rPr>
          <w:rFonts w:ascii="仿宋" w:hAnsi="仿宋" w:eastAsia="仿宋"/>
          <w:sz w:val="28"/>
          <w:szCs w:val="28"/>
        </w:rPr>
      </w:pPr>
      <w:bookmarkStart w:id="64" w:name="_Toc55929841"/>
      <w:r>
        <w:rPr>
          <w:rFonts w:hint="eastAsia" w:ascii="仿宋" w:hAnsi="仿宋" w:eastAsia="仿宋"/>
          <w:sz w:val="28"/>
          <w:szCs w:val="28"/>
        </w:rPr>
        <w:t>根据估价委托人提供的《查档证明》、《产权档案粘贴纸》显示，估价对象房屋所有权证号为字第3008590号, 混合结构，共1层，证载建筑面积为51.12平方米。在价值时点，经向当事人了解，估价对象已转让给何新全且未办理过户，何新全于2002年对王红丽的房屋进行了拆除，并重建；经现场查勘，重建后的估价对象为1-3层的独院，建筑面积为：306.19平方米，混合结构，自建房，实际用途为住宅，总层数为3层。</w:t>
      </w:r>
      <w:r>
        <w:rPr>
          <w:rFonts w:ascii="仿宋" w:hAnsi="仿宋" w:eastAsia="仿宋"/>
          <w:sz w:val="28"/>
          <w:szCs w:val="28"/>
        </w:rPr>
        <w:t xml:space="preserve"> </w:t>
      </w:r>
    </w:p>
    <w:p>
      <w:pPr>
        <w:pStyle w:val="22"/>
        <w:spacing w:before="157" w:beforeLines="50" w:after="157" w:afterLines="50" w:line="500" w:lineRule="exact"/>
        <w:ind w:firstLine="562"/>
        <w:rPr>
          <w:rFonts w:ascii="仿宋" w:hAnsi="仿宋"/>
          <w:kern w:val="2"/>
        </w:rPr>
      </w:pPr>
      <w:bookmarkStart w:id="65" w:name="_Toc27908"/>
      <w:r>
        <w:rPr>
          <w:rFonts w:hint="eastAsia" w:ascii="仿宋" w:hAnsi="仿宋"/>
          <w:kern w:val="2"/>
        </w:rPr>
        <w:t>五、价值时点</w:t>
      </w:r>
      <w:bookmarkEnd w:id="57"/>
      <w:bookmarkEnd w:id="58"/>
      <w:bookmarkEnd w:id="59"/>
      <w:bookmarkEnd w:id="60"/>
      <w:bookmarkEnd w:id="61"/>
      <w:bookmarkEnd w:id="64"/>
      <w:bookmarkEnd w:id="65"/>
    </w:p>
    <w:p>
      <w:pPr>
        <w:spacing w:line="500" w:lineRule="exact"/>
        <w:ind w:firstLine="548" w:firstLineChars="196"/>
        <w:rPr>
          <w:rFonts w:ascii="仿宋" w:hAnsi="仿宋" w:eastAsia="仿宋"/>
          <w:sz w:val="28"/>
          <w:szCs w:val="28"/>
        </w:rPr>
      </w:pPr>
      <w:r>
        <w:rPr>
          <w:rFonts w:hint="eastAsia" w:ascii="仿宋" w:hAnsi="仿宋" w:eastAsia="仿宋"/>
          <w:sz w:val="28"/>
          <w:szCs w:val="28"/>
        </w:rPr>
        <w:t>根据本次估价目的，经与估价委托人协商一致，确定实地查勘日即为价值时点，价值时点为二〇二二年六月二十日。</w:t>
      </w:r>
    </w:p>
    <w:p>
      <w:pPr>
        <w:pStyle w:val="22"/>
        <w:spacing w:before="157" w:beforeLines="50" w:after="157" w:afterLines="50" w:line="500" w:lineRule="exact"/>
        <w:ind w:firstLine="562"/>
        <w:rPr>
          <w:rFonts w:ascii="仿宋" w:hAnsi="仿宋"/>
          <w:kern w:val="2"/>
        </w:rPr>
      </w:pPr>
      <w:bookmarkStart w:id="66" w:name="_Toc492483077"/>
      <w:bookmarkStart w:id="67" w:name="_Toc492484557"/>
      <w:bookmarkStart w:id="68" w:name="_Toc55929842"/>
      <w:bookmarkStart w:id="69" w:name="_Toc492481928"/>
      <w:bookmarkStart w:id="70" w:name="_Toc2856"/>
      <w:bookmarkStart w:id="71" w:name="_Toc492971792"/>
      <w:bookmarkStart w:id="72" w:name="_Toc492484530"/>
      <w:r>
        <w:rPr>
          <w:rFonts w:hint="eastAsia" w:ascii="仿宋" w:hAnsi="仿宋"/>
          <w:kern w:val="2"/>
        </w:rPr>
        <w:t>六、价值类型</w:t>
      </w:r>
      <w:bookmarkEnd w:id="66"/>
      <w:bookmarkEnd w:id="67"/>
      <w:bookmarkEnd w:id="68"/>
      <w:bookmarkEnd w:id="69"/>
      <w:bookmarkEnd w:id="70"/>
      <w:bookmarkEnd w:id="71"/>
      <w:bookmarkEnd w:id="72"/>
    </w:p>
    <w:p>
      <w:pPr>
        <w:spacing w:line="480" w:lineRule="exact"/>
        <w:ind w:firstLine="560" w:firstLineChars="200"/>
        <w:rPr>
          <w:rFonts w:ascii="仿宋" w:hAnsi="仿宋" w:eastAsia="仿宋"/>
          <w:sz w:val="28"/>
          <w:szCs w:val="28"/>
        </w:rPr>
      </w:pPr>
      <w:bookmarkStart w:id="73" w:name="_Toc492971793"/>
      <w:bookmarkStart w:id="74" w:name="_Toc492483078"/>
      <w:bookmarkStart w:id="75" w:name="_Toc492484558"/>
      <w:bookmarkStart w:id="76" w:name="_Toc492481929"/>
      <w:bookmarkStart w:id="77" w:name="_Toc492484531"/>
      <w:r>
        <w:rPr>
          <w:rFonts w:hint="eastAsia" w:ascii="仿宋" w:hAnsi="仿宋" w:eastAsia="仿宋"/>
          <w:sz w:val="28"/>
          <w:szCs w:val="28"/>
        </w:rPr>
        <w:t>根据《房地产估价规范》（GB/T 50291-2015），此次估价为估价对象于价值时点在现状条件下的公开市场价值。</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所谓</w:t>
      </w:r>
      <w:r>
        <w:rPr>
          <w:rFonts w:hint="eastAsia" w:ascii="仿宋" w:hAnsi="仿宋" w:eastAsia="仿宋" w:cs="仿宋"/>
          <w:sz w:val="28"/>
          <w:szCs w:val="28"/>
        </w:rPr>
        <w:t>市场价值，是估价对象经适当营销后，由熟悉情况、谨慎行事且不受强迫的交易双方，以公平交易方式在价值时点自愿进行交易的金额</w:t>
      </w:r>
      <w:r>
        <w:rPr>
          <w:rFonts w:hint="eastAsia" w:ascii="仿宋" w:hAnsi="仿宋" w:eastAsia="仿宋"/>
          <w:sz w:val="28"/>
          <w:szCs w:val="28"/>
        </w:rPr>
        <w:t>：</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1.有自愿买方；</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2.买卖双方都有一段充分了解房地产有关市场供求状况行情的时间，并且有一段合理的推广、洽谈及促成交易的时间；</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3.交易完成期间的市场状况、价格水平及其他情况，与价值时点没有发生重大变化；</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4.不考虑具有特殊利益买家追加出价；</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5.交易双方均在市场消息充分、理性及非强制情况下进行交易。</w:t>
      </w:r>
    </w:p>
    <w:p>
      <w:pPr>
        <w:pStyle w:val="22"/>
        <w:spacing w:before="157" w:beforeLines="50" w:after="157" w:afterLines="50" w:line="500" w:lineRule="exact"/>
        <w:ind w:firstLine="562"/>
        <w:rPr>
          <w:rFonts w:ascii="仿宋" w:hAnsi="仿宋"/>
          <w:kern w:val="2"/>
        </w:rPr>
      </w:pPr>
      <w:bookmarkStart w:id="78" w:name="_Toc55929843"/>
      <w:bookmarkStart w:id="79" w:name="_Toc18147"/>
      <w:r>
        <w:rPr>
          <w:rFonts w:hint="eastAsia" w:ascii="仿宋" w:hAnsi="仿宋"/>
          <w:kern w:val="2"/>
        </w:rPr>
        <w:t>七、估价原则</w:t>
      </w:r>
      <w:bookmarkEnd w:id="73"/>
      <w:bookmarkEnd w:id="74"/>
      <w:bookmarkEnd w:id="75"/>
      <w:bookmarkEnd w:id="76"/>
      <w:bookmarkEnd w:id="77"/>
      <w:bookmarkEnd w:id="78"/>
      <w:bookmarkEnd w:id="79"/>
    </w:p>
    <w:p>
      <w:pPr>
        <w:spacing w:line="480" w:lineRule="exact"/>
        <w:ind w:firstLine="560" w:firstLineChars="200"/>
        <w:rPr>
          <w:rFonts w:ascii="仿宋" w:hAnsi="仿宋" w:eastAsia="仿宋"/>
          <w:sz w:val="28"/>
          <w:szCs w:val="28"/>
        </w:rPr>
      </w:pPr>
      <w:r>
        <w:rPr>
          <w:rFonts w:hint="eastAsia" w:ascii="仿宋" w:hAnsi="仿宋" w:eastAsia="仿宋"/>
          <w:sz w:val="28"/>
          <w:szCs w:val="28"/>
        </w:rPr>
        <w:t>本估价报告遵循下列原则：</w:t>
      </w:r>
    </w:p>
    <w:p>
      <w:pPr>
        <w:spacing w:line="480" w:lineRule="exact"/>
        <w:ind w:firstLine="560" w:firstLineChars="200"/>
        <w:rPr>
          <w:rFonts w:ascii="仿宋" w:hAnsi="仿宋" w:eastAsia="仿宋"/>
          <w:sz w:val="28"/>
          <w:szCs w:val="28"/>
        </w:rPr>
      </w:pPr>
      <w:bookmarkStart w:id="80" w:name="_Toc492483079"/>
      <w:bookmarkStart w:id="81" w:name="_Toc492484559"/>
      <w:bookmarkStart w:id="82" w:name="_Toc492481930"/>
      <w:bookmarkStart w:id="83" w:name="_Toc492971794"/>
      <w:bookmarkStart w:id="84" w:name="_Toc492484532"/>
      <w:r>
        <w:rPr>
          <w:rFonts w:hint="eastAsia" w:ascii="仿宋" w:hAnsi="仿宋" w:eastAsia="仿宋"/>
          <w:sz w:val="28"/>
          <w:szCs w:val="28"/>
        </w:rPr>
        <w:t>（一）独立、客观、公正原则</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要求站在中立的立场上，实事求是、公平正直地评估出对各方估价利害关系人均是公平合理的价值或价格。</w:t>
      </w:r>
    </w:p>
    <w:p>
      <w:pPr>
        <w:spacing w:line="480" w:lineRule="exact"/>
        <w:ind w:firstLine="560" w:firstLineChars="200"/>
        <w:rPr>
          <w:rFonts w:ascii="仿宋" w:hAnsi="仿宋" w:eastAsia="仿宋"/>
          <w:sz w:val="28"/>
          <w:szCs w:val="28"/>
        </w:rPr>
      </w:pPr>
      <w:r>
        <w:rPr>
          <w:rFonts w:ascii="仿宋" w:hAnsi="仿宋" w:eastAsia="仿宋"/>
          <w:sz w:val="28"/>
          <w:szCs w:val="28"/>
        </w:rPr>
        <w:t>所谓独立，</w:t>
      </w:r>
      <w:r>
        <w:rPr>
          <w:rFonts w:hint="eastAsia" w:ascii="仿宋" w:hAnsi="仿宋" w:eastAsia="仿宋"/>
          <w:sz w:val="28"/>
          <w:szCs w:val="28"/>
        </w:rPr>
        <w:t>就是要求注册房地产估价师和房地产估价机构与估价委托人及估价利害关系人没有利害关系，在估价中不受包括估价委托人在内的任何单位和个人的影响，应凭自己的专业知识、经验和职业道德进行估价。所谓“客观</w:t>
      </w:r>
      <w:r>
        <w:rPr>
          <w:rFonts w:ascii="仿宋" w:hAnsi="仿宋" w:eastAsia="仿宋"/>
          <w:sz w:val="28"/>
          <w:szCs w:val="28"/>
        </w:rPr>
        <w:t>”</w:t>
      </w:r>
      <w:r>
        <w:rPr>
          <w:rFonts w:hint="eastAsia" w:ascii="仿宋" w:hAnsi="仿宋" w:eastAsia="仿宋"/>
          <w:sz w:val="28"/>
          <w:szCs w:val="28"/>
        </w:rPr>
        <w:t>，就是要求注册房地产估价师和房地产估价机构在估价中不带自己的情感、好恶和偏见，就按照事物的本来面目，实事求是地进行估价。所谓“公正”，就是要求注册房地产估价师和房地产估价机构在估价中不偏袒估价利害关系中的任何一方，应坚持原则、公平正直地进行估价。</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（二）合法原则</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估价结果应为在依法判定的估价对象状况下的价值或价格。所谓合法，是指符合国家的法律、法规和当地政府的有关规定，其权益才能受法律保护，并体现其权益价值。合法原则所称依法，是指不仅要依据有关法律、行政法规、最高人民法院和最高人民检察院发布的有关司法解释，还要依据估价对象所在地有关地方性法规，国务院所属部分颁发的有关部门规章和政策，估价对象所在地人民政府颁发的有关地方政府规章和政策，以及估价对象的不动产登记薄、权属证书、有关批文和合同等。因此，合法原则中所讲的“法”，是广义的“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遵循合法原则并不意味着只有合法的房地产才能成为估价对象，而是指依法判定估价对象是哪种状况的房地产，就应将其作为那种状况的房地产来估价。</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（三）最高最佳使用原则</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应以估价对象的最高最佳使用为前提进行。在合法使用前提下，房地产只有在最高最佳使用状态下才能发挥最大效用。最高最佳利用必须同时满足四个条件：一是法律上允许；二是技术上可能；三是财务上可行；四是价值最大化。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（四）价值时点原则</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要求估价结果是在根据估价目的确定的某一特定时间的价值或价格。</w:t>
      </w:r>
    </w:p>
    <w:p>
      <w:pPr>
        <w:spacing w:line="480" w:lineRule="exact"/>
        <w:ind w:firstLine="560" w:firstLineChars="200"/>
        <w:rPr>
          <w:rFonts w:ascii="仿宋" w:hAnsi="仿宋" w:eastAsia="仿宋"/>
          <w:sz w:val="28"/>
          <w:szCs w:val="28"/>
        </w:rPr>
      </w:pPr>
      <w:r>
        <w:rPr>
          <w:rFonts w:ascii="仿宋" w:hAnsi="仿宋" w:eastAsia="仿宋"/>
          <w:sz w:val="28"/>
          <w:szCs w:val="28"/>
        </w:rPr>
        <w:t>估价结论首先具有很强的时间相关性，这主要是考虑到资金的时间价值，在不同时间点上发生的现金流量对其价值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所以强调：</w:t>
      </w:r>
      <w:r>
        <w:rPr>
          <w:rFonts w:hint="eastAsia" w:ascii="仿宋" w:hAnsi="仿宋" w:eastAsia="仿宋"/>
          <w:sz w:val="28"/>
          <w:szCs w:val="28"/>
        </w:rPr>
        <w:t>价值时点原则是在根据估价目的确定的某一特定时间的价值或价格的原则。</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（五）替代原则</w:t>
      </w:r>
    </w:p>
    <w:p>
      <w:pPr>
        <w:spacing w:line="480" w:lineRule="exact"/>
        <w:ind w:firstLine="548" w:firstLineChars="196"/>
        <w:rPr>
          <w:rFonts w:ascii="仿宋" w:hAnsi="仿宋" w:eastAsia="仿宋"/>
          <w:sz w:val="28"/>
          <w:szCs w:val="28"/>
        </w:rPr>
      </w:pPr>
      <w:r>
        <w:rPr>
          <w:rFonts w:hint="eastAsia" w:ascii="仿宋" w:hAnsi="仿宋" w:eastAsia="仿宋"/>
          <w:sz w:val="28"/>
          <w:szCs w:val="28"/>
        </w:rPr>
        <w:t>要求估价结果与估价对象的类似房地产在同等条件下的价值或价格偏差在合理范围内。同一供求范围内，在用途、规模、档次、建筑结构等方面类似的房地产之间具有相互影响作用，其价格会相互牵掣而趋于一致。</w:t>
      </w:r>
    </w:p>
    <w:p>
      <w:pPr>
        <w:pStyle w:val="22"/>
        <w:spacing w:before="157" w:beforeLines="50" w:after="157" w:afterLines="50" w:line="500" w:lineRule="exact"/>
        <w:ind w:firstLine="562"/>
        <w:rPr>
          <w:rFonts w:ascii="仿宋" w:hAnsi="仿宋"/>
          <w:kern w:val="2"/>
        </w:rPr>
      </w:pPr>
      <w:bookmarkStart w:id="85" w:name="_Toc55929844"/>
      <w:bookmarkStart w:id="86" w:name="_Toc31659"/>
      <w:r>
        <w:rPr>
          <w:rFonts w:hint="eastAsia" w:ascii="仿宋" w:hAnsi="仿宋"/>
          <w:kern w:val="2"/>
        </w:rPr>
        <w:t>八、估价依据</w:t>
      </w:r>
      <w:bookmarkEnd w:id="80"/>
      <w:bookmarkEnd w:id="81"/>
      <w:bookmarkEnd w:id="82"/>
      <w:bookmarkEnd w:id="83"/>
      <w:bookmarkEnd w:id="84"/>
      <w:bookmarkEnd w:id="85"/>
      <w:bookmarkEnd w:id="86"/>
    </w:p>
    <w:p>
      <w:pPr>
        <w:spacing w:line="480" w:lineRule="exact"/>
        <w:ind w:firstLine="560" w:firstLineChars="200"/>
        <w:rPr>
          <w:rFonts w:ascii="仿宋" w:hAnsi="仿宋" w:eastAsia="仿宋"/>
          <w:b/>
          <w:sz w:val="28"/>
          <w:szCs w:val="28"/>
        </w:rPr>
      </w:pPr>
      <w:r>
        <w:rPr>
          <w:rFonts w:hint="eastAsia" w:ascii="仿宋" w:hAnsi="仿宋" w:eastAsia="仿宋"/>
          <w:sz w:val="28"/>
          <w:szCs w:val="28"/>
        </w:rPr>
        <w:t>（一）估价所依据的有关法律、法规和部门规章：</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1.《中华人民共和国民法典》（2020年5月28日，十三届全国人大三次会议表决通过，2021年1月1日起施行）；</w:t>
      </w:r>
    </w:p>
    <w:p>
      <w:pPr>
        <w:spacing w:line="48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《中华人民共和国资产评估法》（2016年中华人民共和国主席令第46号）；</w:t>
      </w:r>
    </w:p>
    <w:p>
      <w:pPr>
        <w:spacing w:line="48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.《中华人民共和国土地管理法》（2019年8月26日第十三届全国人民代表大会常务委员会第十二次会议修订,2020年01月01日实施）；</w:t>
      </w:r>
    </w:p>
    <w:p>
      <w:pPr>
        <w:spacing w:line="48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.《中华人民共和国城市房地产管理法》（2019年8月26日第十三届全国人民代表大会常务委员会第十二次会议修订,2020年01月01日实施）；</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《最高人民法院关于人民法院委托评估、拍卖工作的若干规定》（20</w:t>
      </w:r>
      <w:r>
        <w:rPr>
          <w:rFonts w:ascii="仿宋" w:hAnsi="仿宋" w:eastAsia="仿宋"/>
          <w:sz w:val="28"/>
          <w:szCs w:val="28"/>
        </w:rPr>
        <w:t>11</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7</w:t>
      </w:r>
      <w:r>
        <w:rPr>
          <w:rFonts w:hint="eastAsia" w:ascii="仿宋" w:hAnsi="仿宋" w:eastAsia="仿宋"/>
          <w:sz w:val="28"/>
          <w:szCs w:val="28"/>
        </w:rPr>
        <w:t>日法释[20</w:t>
      </w:r>
      <w:r>
        <w:rPr>
          <w:rFonts w:ascii="仿宋" w:hAnsi="仿宋" w:eastAsia="仿宋"/>
          <w:sz w:val="28"/>
          <w:szCs w:val="28"/>
        </w:rPr>
        <w:t>11</w:t>
      </w:r>
      <w:r>
        <w:rPr>
          <w:rFonts w:hint="eastAsia" w:ascii="仿宋" w:hAnsi="仿宋" w:eastAsia="仿宋"/>
          <w:sz w:val="28"/>
          <w:szCs w:val="28"/>
        </w:rPr>
        <w:t>]</w:t>
      </w:r>
      <w:r>
        <w:rPr>
          <w:rFonts w:ascii="仿宋" w:hAnsi="仿宋" w:eastAsia="仿宋"/>
          <w:sz w:val="28"/>
          <w:szCs w:val="28"/>
        </w:rPr>
        <w:t>21</w:t>
      </w:r>
      <w:r>
        <w:rPr>
          <w:rFonts w:hint="eastAsia" w:ascii="仿宋" w:hAnsi="仿宋" w:eastAsia="仿宋"/>
          <w:sz w:val="28"/>
          <w:szCs w:val="28"/>
        </w:rPr>
        <w:t>号）；</w:t>
      </w:r>
    </w:p>
    <w:p>
      <w:pPr>
        <w:spacing w:line="480" w:lineRule="exact"/>
        <w:ind w:firstLine="560" w:firstLineChars="200"/>
        <w:rPr>
          <w:rFonts w:ascii="仿宋" w:hAnsi="仿宋" w:eastAsia="仿宋"/>
          <w:bCs/>
          <w:sz w:val="28"/>
          <w:szCs w:val="28"/>
        </w:rPr>
      </w:pPr>
      <w:r>
        <w:rPr>
          <w:rFonts w:hint="eastAsia" w:ascii="仿宋" w:hAnsi="仿宋" w:eastAsia="仿宋"/>
          <w:bCs/>
          <w:sz w:val="28"/>
          <w:szCs w:val="28"/>
        </w:rPr>
        <w:t>6</w:t>
      </w:r>
      <w:r>
        <w:rPr>
          <w:rFonts w:ascii="仿宋" w:hAnsi="仿宋" w:eastAsia="仿宋"/>
          <w:bCs/>
          <w:sz w:val="28"/>
          <w:szCs w:val="28"/>
        </w:rPr>
        <w:t>.</w:t>
      </w:r>
      <w:r>
        <w:rPr>
          <w:rFonts w:hint="eastAsia" w:ascii="仿宋" w:hAnsi="仿宋" w:eastAsia="仿宋"/>
          <w:bCs/>
          <w:sz w:val="28"/>
          <w:szCs w:val="28"/>
        </w:rPr>
        <w:t>《河南省高级人民法院关于“对外委托评估拍卖相关问题”的通知》（豫高法【2014】151号）；</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w:t>
      </w:r>
      <w:r>
        <w:rPr>
          <w:rFonts w:hint="eastAsia" w:ascii="仿宋" w:hAnsi="仿宋" w:eastAsia="仿宋"/>
          <w:sz w:val="28"/>
          <w:szCs w:val="28"/>
        </w:rPr>
        <w:t>《最高人民法院关于人民法院确定财产处置参考价若干问题的规定》（20</w:t>
      </w:r>
      <w:r>
        <w:rPr>
          <w:rFonts w:ascii="仿宋" w:hAnsi="仿宋" w:eastAsia="仿宋"/>
          <w:sz w:val="28"/>
          <w:szCs w:val="28"/>
        </w:rPr>
        <w:t>18</w:t>
      </w:r>
      <w:r>
        <w:rPr>
          <w:rFonts w:hint="eastAsia" w:ascii="仿宋" w:hAnsi="仿宋" w:eastAsia="仿宋"/>
          <w:sz w:val="28"/>
          <w:szCs w:val="28"/>
        </w:rPr>
        <w:t>年</w:t>
      </w:r>
      <w:r>
        <w:rPr>
          <w:rFonts w:ascii="仿宋" w:hAnsi="仿宋" w:eastAsia="仿宋"/>
          <w:sz w:val="28"/>
          <w:szCs w:val="28"/>
        </w:rPr>
        <w:t>6</w:t>
      </w:r>
      <w:r>
        <w:rPr>
          <w:rFonts w:hint="eastAsia" w:ascii="仿宋" w:hAnsi="仿宋" w:eastAsia="仿宋"/>
          <w:sz w:val="28"/>
          <w:szCs w:val="28"/>
        </w:rPr>
        <w:t>月</w:t>
      </w:r>
      <w:r>
        <w:rPr>
          <w:rFonts w:ascii="仿宋" w:hAnsi="仿宋" w:eastAsia="仿宋"/>
          <w:sz w:val="28"/>
          <w:szCs w:val="28"/>
        </w:rPr>
        <w:t>4</w:t>
      </w:r>
      <w:r>
        <w:rPr>
          <w:rFonts w:hint="eastAsia" w:ascii="仿宋" w:hAnsi="仿宋" w:eastAsia="仿宋"/>
          <w:sz w:val="28"/>
          <w:szCs w:val="28"/>
        </w:rPr>
        <w:t>日法释[20</w:t>
      </w:r>
      <w:r>
        <w:rPr>
          <w:rFonts w:ascii="仿宋" w:hAnsi="仿宋" w:eastAsia="仿宋"/>
          <w:sz w:val="28"/>
          <w:szCs w:val="28"/>
        </w:rPr>
        <w:t>18</w:t>
      </w:r>
      <w:r>
        <w:rPr>
          <w:rFonts w:hint="eastAsia" w:ascii="仿宋" w:hAnsi="仿宋" w:eastAsia="仿宋"/>
          <w:sz w:val="28"/>
          <w:szCs w:val="28"/>
        </w:rPr>
        <w:t>]</w:t>
      </w:r>
      <w:r>
        <w:rPr>
          <w:rFonts w:ascii="仿宋" w:hAnsi="仿宋" w:eastAsia="仿宋"/>
          <w:sz w:val="28"/>
          <w:szCs w:val="28"/>
        </w:rPr>
        <w:t>15</w:t>
      </w:r>
      <w:r>
        <w:rPr>
          <w:rFonts w:hint="eastAsia" w:ascii="仿宋" w:hAnsi="仿宋" w:eastAsia="仿宋"/>
          <w:sz w:val="28"/>
          <w:szCs w:val="28"/>
        </w:rPr>
        <w:t>号）；</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《关于印发&lt;人民法院委托评估工作规范&gt;的通知》（法办[2018]273号）；</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9</w:t>
      </w:r>
      <w:r>
        <w:rPr>
          <w:rFonts w:ascii="仿宋" w:hAnsi="仿宋" w:eastAsia="仿宋"/>
          <w:sz w:val="28"/>
          <w:szCs w:val="28"/>
        </w:rPr>
        <w:t>.</w:t>
      </w:r>
      <w:r>
        <w:rPr>
          <w:rFonts w:hint="eastAsia" w:ascii="仿宋" w:hAnsi="仿宋" w:eastAsia="仿宋"/>
          <w:sz w:val="28"/>
          <w:szCs w:val="28"/>
        </w:rPr>
        <w:t>其它与司法鉴定评估相关的法律、法规和部门规章。</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（二）本次估价采用的技术规程</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中华人民共和国住房和城乡建设部、中华人民共和国国家质量监督检验检疫总局联合发布《房地产估价规范》（GB/T 50291-2015）；</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中华人民共和国住房和城乡建设部、中华人民共和国国家质量监督检验检疫总局联合发布《房地产估价基本术语标准》（GB/T 50899-2013）；</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《河南省房地产估价技术指引之一——报酬率或资本化率求取（修订）》；</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《河南省房地产估价技术指引之二——比较法中市场状况调整（修订）》；</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《河南省房地产估价技术指引之三——估价假设和限制条件运用（修订）》；</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《河南省房地产估价技术指引之四（试行）——营业税改征增值税后房地产估价中应注意的问题》；</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w:t>
      </w:r>
      <w:r>
        <w:rPr>
          <w:rFonts w:hint="eastAsia" w:ascii="仿宋" w:hAnsi="仿宋" w:eastAsia="仿宋"/>
          <w:sz w:val="28"/>
          <w:szCs w:val="28"/>
        </w:rPr>
        <w:t>《河南省房地产估价技术指引之五——估价方法选用及估价结果确定》；</w:t>
      </w:r>
    </w:p>
    <w:p>
      <w:pPr>
        <w:spacing w:line="480" w:lineRule="exact"/>
        <w:ind w:firstLine="560" w:firstLineChars="2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《河南省房地产估价技术指引之六——</w:t>
      </w:r>
      <w:r>
        <w:rPr>
          <w:rFonts w:ascii="仿宋" w:hAnsi="仿宋" w:eastAsia="仿宋"/>
          <w:sz w:val="28"/>
          <w:szCs w:val="28"/>
        </w:rPr>
        <w:t>收益法中直接资本化法运用应注意的问题》;</w:t>
      </w:r>
    </w:p>
    <w:p>
      <w:pPr>
        <w:spacing w:line="480" w:lineRule="exact"/>
        <w:ind w:firstLine="560" w:firstLineChars="200"/>
        <w:rPr>
          <w:rFonts w:ascii="仿宋" w:hAnsi="仿宋" w:eastAsia="仿宋"/>
          <w:sz w:val="28"/>
          <w:szCs w:val="28"/>
        </w:rPr>
      </w:pPr>
      <w:r>
        <w:rPr>
          <w:rFonts w:ascii="仿宋" w:hAnsi="仿宋" w:eastAsia="仿宋"/>
          <w:sz w:val="28"/>
          <w:szCs w:val="28"/>
        </w:rPr>
        <w:t>9.《河南省房地产估价技术指引之七——收益法运营费用中房屋维修费的计算》;</w:t>
      </w:r>
    </w:p>
    <w:p>
      <w:pPr>
        <w:spacing w:line="480" w:lineRule="exact"/>
        <w:ind w:firstLine="560" w:firstLineChars="200"/>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《河南省房地产司法鉴定估价指导意见》（豫房估协〔2018〕16号）；</w:t>
      </w:r>
    </w:p>
    <w:p>
      <w:pPr>
        <w:spacing w:line="480" w:lineRule="exact"/>
        <w:ind w:firstLine="560" w:firstLineChars="200"/>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《房地产估价报告定量评审标准（试行）》。</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（三）估价委托人提供的有关资料</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许昌市魏都区人民法院司法评估委托书；</w:t>
      </w:r>
    </w:p>
    <w:p>
      <w:pPr>
        <w:spacing w:line="480" w:lineRule="exact"/>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bookmarkStart w:id="87" w:name="_Hlk28155232"/>
      <w:r>
        <w:rPr>
          <w:rFonts w:hint="eastAsia" w:ascii="仿宋" w:hAnsi="仿宋" w:eastAsia="仿宋"/>
          <w:sz w:val="28"/>
          <w:szCs w:val="28"/>
        </w:rPr>
        <w:t>许昌市魏都区人民法院执行裁定书</w:t>
      </w:r>
      <w:bookmarkEnd w:id="87"/>
      <w:r>
        <w:rPr>
          <w:rFonts w:hint="eastAsia" w:ascii="仿宋" w:hAnsi="仿宋" w:eastAsia="仿宋"/>
          <w:sz w:val="28"/>
          <w:szCs w:val="28"/>
        </w:rPr>
        <w:t>；</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《查档证明》、《产权档案粘贴纸》复印件。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(四)估价机构和注册房地产估价师所搜集掌握的有关资料</w:t>
      </w:r>
    </w:p>
    <w:p>
      <w:pPr>
        <w:spacing w:line="480" w:lineRule="exact"/>
        <w:ind w:firstLine="560" w:firstLineChars="200"/>
        <w:rPr>
          <w:rFonts w:ascii="仿宋" w:hAnsi="仿宋" w:eastAsia="仿宋"/>
          <w:sz w:val="28"/>
          <w:szCs w:val="28"/>
        </w:rPr>
      </w:pPr>
      <w:bookmarkStart w:id="88" w:name="_Toc492484560"/>
      <w:bookmarkStart w:id="89" w:name="_Toc492483080"/>
      <w:bookmarkStart w:id="90" w:name="_Toc492484533"/>
      <w:bookmarkStart w:id="91" w:name="_Toc492971795"/>
      <w:bookmarkStart w:id="92" w:name="_Toc492481931"/>
      <w:r>
        <w:rPr>
          <w:rFonts w:hint="eastAsia" w:ascii="仿宋" w:hAnsi="仿宋" w:eastAsia="仿宋"/>
          <w:sz w:val="28"/>
          <w:szCs w:val="28"/>
        </w:rPr>
        <w:t>1.注册房地产估价师实地查勘资料和估价机构掌握的房地产相关资料；</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2.估价对象所在区域的房地产市场信息、市场状况、同类房地产市场交易等数据资料；</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3.许昌市市区概况、规划、经济发展及自然、人文环境资料；</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4.其他相关资料。</w:t>
      </w:r>
    </w:p>
    <w:p>
      <w:pPr>
        <w:pStyle w:val="22"/>
        <w:spacing w:before="157" w:beforeLines="50" w:after="157" w:afterLines="50" w:line="500" w:lineRule="exact"/>
        <w:ind w:firstLine="562"/>
        <w:rPr>
          <w:rFonts w:ascii="仿宋" w:hAnsi="仿宋"/>
          <w:kern w:val="2"/>
        </w:rPr>
      </w:pPr>
      <w:bookmarkStart w:id="93" w:name="_Toc26139"/>
      <w:bookmarkStart w:id="94" w:name="_Toc55929845"/>
      <w:r>
        <w:rPr>
          <w:rFonts w:hint="eastAsia" w:ascii="仿宋" w:hAnsi="仿宋"/>
          <w:kern w:val="2"/>
        </w:rPr>
        <w:t>九、估价方法</w:t>
      </w:r>
      <w:bookmarkEnd w:id="88"/>
      <w:bookmarkEnd w:id="89"/>
      <w:bookmarkEnd w:id="90"/>
      <w:bookmarkEnd w:id="91"/>
      <w:bookmarkEnd w:id="92"/>
      <w:bookmarkEnd w:id="93"/>
      <w:bookmarkEnd w:id="94"/>
    </w:p>
    <w:p>
      <w:pPr>
        <w:spacing w:line="480" w:lineRule="exact"/>
        <w:ind w:firstLine="560" w:firstLineChars="200"/>
        <w:rPr>
          <w:rFonts w:ascii="仿宋" w:hAnsi="仿宋" w:eastAsia="仿宋"/>
          <w:sz w:val="28"/>
          <w:szCs w:val="28"/>
        </w:rPr>
      </w:pPr>
      <w:bookmarkStart w:id="95" w:name="_Toc492971796"/>
      <w:bookmarkStart w:id="96" w:name="_Toc492484534"/>
      <w:bookmarkStart w:id="97" w:name="_Toc492483081"/>
      <w:bookmarkStart w:id="98" w:name="_Toc492481932"/>
      <w:bookmarkStart w:id="99" w:name="_Toc492484561"/>
      <w:r>
        <w:rPr>
          <w:rFonts w:hint="eastAsia" w:ascii="仿宋" w:hAnsi="仿宋" w:eastAsia="仿宋"/>
          <w:sz w:val="28"/>
          <w:szCs w:val="28"/>
        </w:rPr>
        <w:t>根据《房地产估价规范》，主要的估价方法有比较法、收益法、成本法、假设开发法等。比较法适用于同类房地产交易案例较多的房地产估价；收益法适用于有收益或潜在收益性的房地产估价；可作为独立的开发建设项目进行重新开发建设的，应选用成本法；假设开发法适用于具有开发或再开发潜力的房地产估价。</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1.本次估价的思路</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本次估价根据估价对象所在区域房地产市场情况并结合估价对象的具体特点及本次估价目的等，采用比较法、收益法测算估价对象。</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2.估价方法的选择</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本次评估中，注册房地产估价师在认真分析所掌握的资料并进行了实地查勘后采用了比较法、收益法求估价对象的价值，主要基于以下考虑：</w:t>
      </w:r>
    </w:p>
    <w:p>
      <w:pPr>
        <w:spacing w:line="480" w:lineRule="exact"/>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 1 \* GB2</w:instrText>
      </w:r>
      <w:r>
        <w:rPr>
          <w:rFonts w:ascii="仿宋" w:hAnsi="仿宋" w:eastAsia="仿宋"/>
          <w:sz w:val="28"/>
          <w:szCs w:val="28"/>
        </w:rPr>
        <w:instrText xml:space="preserve"> </w:instrText>
      </w:r>
      <w:r>
        <w:rPr>
          <w:rFonts w:ascii="仿宋" w:hAnsi="仿宋" w:eastAsia="仿宋"/>
          <w:sz w:val="28"/>
          <w:szCs w:val="28"/>
        </w:rPr>
        <w:fldChar w:fldCharType="separate"/>
      </w:r>
      <w:r>
        <w:rPr>
          <w:rFonts w:hint="eastAsia" w:ascii="仿宋" w:hAnsi="仿宋" w:eastAsia="仿宋"/>
          <w:sz w:val="28"/>
          <w:szCs w:val="28"/>
        </w:rPr>
        <w:t>⑴</w:t>
      </w:r>
      <w:r>
        <w:rPr>
          <w:rFonts w:ascii="仿宋" w:hAnsi="仿宋" w:eastAsia="仿宋"/>
          <w:sz w:val="28"/>
          <w:szCs w:val="28"/>
        </w:rPr>
        <w:fldChar w:fldCharType="end"/>
      </w:r>
      <w:r>
        <w:rPr>
          <w:rFonts w:hint="eastAsia" w:ascii="仿宋" w:hAnsi="仿宋" w:eastAsia="仿宋"/>
          <w:sz w:val="28"/>
          <w:szCs w:val="28"/>
        </w:rPr>
        <w:t>依据《房地产估价规范》（GB/T 50291-2015）第4.1.2.1条规定“估价对象的同类房地产有较多交易的，应选用比较法”，估价对象所在同一供需圈内有类似的交易，较易收集到可比实例，且修正体系较为完善，故本次采用比较法进行估价。</w:t>
      </w:r>
    </w:p>
    <w:p>
      <w:pPr>
        <w:spacing w:line="480" w:lineRule="exact"/>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 2 \* GB2</w:instrText>
      </w:r>
      <w:r>
        <w:rPr>
          <w:rFonts w:ascii="仿宋" w:hAnsi="仿宋" w:eastAsia="仿宋"/>
          <w:sz w:val="28"/>
          <w:szCs w:val="28"/>
        </w:rPr>
        <w:instrText xml:space="preserve"> </w:instrText>
      </w:r>
      <w:r>
        <w:rPr>
          <w:rFonts w:ascii="仿宋" w:hAnsi="仿宋" w:eastAsia="仿宋"/>
          <w:sz w:val="28"/>
          <w:szCs w:val="28"/>
        </w:rPr>
        <w:fldChar w:fldCharType="separate"/>
      </w:r>
      <w:r>
        <w:rPr>
          <w:rFonts w:hint="eastAsia" w:ascii="仿宋" w:hAnsi="仿宋" w:eastAsia="仿宋"/>
          <w:sz w:val="28"/>
          <w:szCs w:val="28"/>
        </w:rPr>
        <w:t>⑵</w:t>
      </w:r>
      <w:r>
        <w:rPr>
          <w:rFonts w:ascii="仿宋" w:hAnsi="仿宋" w:eastAsia="仿宋"/>
          <w:sz w:val="28"/>
          <w:szCs w:val="28"/>
        </w:rPr>
        <w:fldChar w:fldCharType="end"/>
      </w:r>
      <w:r>
        <w:rPr>
          <w:rFonts w:hint="eastAsia" w:ascii="仿宋" w:hAnsi="仿宋" w:eastAsia="仿宋"/>
          <w:sz w:val="28"/>
          <w:szCs w:val="28"/>
        </w:rPr>
        <w:t>估价对象为自建住宅房地产，至价值时点，土地权属、使用权面积等详细信息无法取得，不能作为独立的开发建设项目进行重新开发建设，故不适合采用成本法估价。</w:t>
      </w:r>
    </w:p>
    <w:p>
      <w:pPr>
        <w:spacing w:line="480" w:lineRule="exact"/>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 3 \* GB2</w:instrText>
      </w:r>
      <w:r>
        <w:rPr>
          <w:rFonts w:ascii="仿宋" w:hAnsi="仿宋" w:eastAsia="仿宋"/>
          <w:sz w:val="28"/>
          <w:szCs w:val="28"/>
        </w:rPr>
        <w:instrText xml:space="preserve"> </w:instrText>
      </w:r>
      <w:r>
        <w:rPr>
          <w:rFonts w:ascii="仿宋" w:hAnsi="仿宋" w:eastAsia="仿宋"/>
          <w:sz w:val="28"/>
          <w:szCs w:val="28"/>
        </w:rPr>
        <w:fldChar w:fldCharType="separate"/>
      </w:r>
      <w:r>
        <w:rPr>
          <w:rFonts w:hint="eastAsia" w:ascii="仿宋" w:hAnsi="仿宋" w:eastAsia="仿宋"/>
          <w:sz w:val="28"/>
          <w:szCs w:val="28"/>
        </w:rPr>
        <w:t>⑶</w:t>
      </w:r>
      <w:r>
        <w:rPr>
          <w:rFonts w:ascii="仿宋" w:hAnsi="仿宋" w:eastAsia="仿宋"/>
          <w:sz w:val="28"/>
          <w:szCs w:val="28"/>
        </w:rPr>
        <w:fldChar w:fldCharType="end"/>
      </w:r>
      <w:r>
        <w:rPr>
          <w:rFonts w:hint="eastAsia" w:ascii="仿宋" w:hAnsi="仿宋" w:eastAsia="仿宋"/>
          <w:sz w:val="28"/>
          <w:szCs w:val="28"/>
        </w:rPr>
        <w:t>估价对象为住宅房地产，同一供求圈内类似房地产出租案例较多，市场活跃，租金及运营费用等资料较易收集，因此本次估价采用收益法进行估价。</w:t>
      </w:r>
    </w:p>
    <w:p>
      <w:pPr>
        <w:spacing w:line="480" w:lineRule="exact"/>
        <w:ind w:firstLine="560" w:firstLineChars="2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w:instrText>
      </w:r>
      <w:r>
        <w:rPr>
          <w:rFonts w:hint="eastAsia" w:ascii="仿宋" w:hAnsi="仿宋" w:eastAsia="仿宋"/>
          <w:sz w:val="28"/>
          <w:szCs w:val="28"/>
        </w:rPr>
        <w:instrText xml:space="preserve">= 4 \* GB2</w:instrText>
      </w:r>
      <w:r>
        <w:rPr>
          <w:rFonts w:ascii="仿宋" w:hAnsi="仿宋" w:eastAsia="仿宋"/>
          <w:sz w:val="28"/>
          <w:szCs w:val="28"/>
        </w:rPr>
        <w:instrText xml:space="preserve"> </w:instrText>
      </w:r>
      <w:r>
        <w:rPr>
          <w:rFonts w:ascii="仿宋" w:hAnsi="仿宋" w:eastAsia="仿宋"/>
          <w:sz w:val="28"/>
          <w:szCs w:val="28"/>
        </w:rPr>
        <w:fldChar w:fldCharType="separate"/>
      </w:r>
      <w:r>
        <w:rPr>
          <w:rFonts w:hint="eastAsia" w:ascii="仿宋" w:hAnsi="仿宋" w:eastAsia="仿宋"/>
          <w:sz w:val="28"/>
          <w:szCs w:val="28"/>
        </w:rPr>
        <w:t>⑷</w:t>
      </w:r>
      <w:r>
        <w:rPr>
          <w:rFonts w:ascii="仿宋" w:hAnsi="仿宋" w:eastAsia="仿宋"/>
          <w:sz w:val="28"/>
          <w:szCs w:val="28"/>
        </w:rPr>
        <w:fldChar w:fldCharType="end"/>
      </w:r>
      <w:r>
        <w:rPr>
          <w:rFonts w:hint="eastAsia" w:ascii="仿宋" w:hAnsi="仿宋" w:eastAsia="仿宋"/>
          <w:sz w:val="28"/>
          <w:szCs w:val="28"/>
        </w:rPr>
        <w:t>假设开发法通常用于待开发房屋或重新开发的房屋价值，估价对象房屋为已建成的物业，可再开发能力较低，因此不适宜选用假设开发法进行估价。</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3.估价方法的定义及</w:t>
      </w:r>
      <w:r>
        <w:rPr>
          <w:rFonts w:ascii="仿宋" w:hAnsi="仿宋" w:eastAsia="仿宋"/>
          <w:sz w:val="28"/>
          <w:szCs w:val="28"/>
        </w:rPr>
        <w:t>公式</w:t>
      </w:r>
    </w:p>
    <w:p>
      <w:pPr>
        <w:spacing w:line="480" w:lineRule="exact"/>
        <w:ind w:firstLine="560" w:firstLineChars="200"/>
        <w:rPr>
          <w:rFonts w:ascii="仿宋" w:hAnsi="仿宋" w:eastAsia="仿宋"/>
          <w:sz w:val="28"/>
          <w:szCs w:val="28"/>
        </w:rPr>
      </w:pPr>
      <w:bookmarkStart w:id="100" w:name="_Toc55929846"/>
      <w:r>
        <w:rPr>
          <w:rFonts w:hint="eastAsia" w:ascii="仿宋" w:hAnsi="仿宋" w:eastAsia="仿宋"/>
          <w:sz w:val="28"/>
          <w:szCs w:val="28"/>
        </w:rPr>
        <w:t>本次估价采用了比较法、收益法进行评估。</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比较法指选取一定数量的可比实例，将它们与估价对象进行比较，根据其间的差异对可比实例成交价格进行处理后得到估价对象价值或价格的方法。</w:t>
      </w:r>
    </w:p>
    <w:p>
      <w:pPr>
        <w:spacing w:line="470" w:lineRule="exact"/>
        <w:ind w:firstLine="560" w:firstLineChars="200"/>
        <w:rPr>
          <w:rFonts w:ascii="仿宋" w:hAnsi="仿宋" w:eastAsia="仿宋"/>
          <w:sz w:val="28"/>
          <w:szCs w:val="28"/>
        </w:rPr>
      </w:pPr>
      <w:r>
        <w:rPr>
          <w:rFonts w:hint="eastAsia" w:ascii="仿宋" w:hAnsi="仿宋" w:eastAsia="仿宋"/>
          <w:sz w:val="28"/>
          <w:szCs w:val="28"/>
        </w:rPr>
        <w:t xml:space="preserve">比较价值=可比实例成交价格×交易情况修正系数×市场状况调整系数×区位状况调整系数×实物状况调整系数×权益状况调整系数 </w:t>
      </w:r>
      <w:r>
        <w:rPr>
          <w:rFonts w:ascii="仿宋" w:hAnsi="仿宋" w:eastAsia="仿宋"/>
          <w:sz w:val="28"/>
          <w:szCs w:val="28"/>
        </w:rPr>
        <w:t xml:space="preserve">   </w:t>
      </w:r>
    </w:p>
    <w:p>
      <w:pPr>
        <w:spacing w:line="470" w:lineRule="exact"/>
        <w:ind w:firstLine="560" w:firstLineChars="200"/>
        <w:rPr>
          <w:rFonts w:ascii="仿宋" w:hAnsi="仿宋" w:eastAsia="仿宋"/>
          <w:sz w:val="28"/>
          <w:szCs w:val="28"/>
        </w:rPr>
      </w:pPr>
      <w:r>
        <w:rPr>
          <w:rFonts w:hint="eastAsia" w:ascii="仿宋" w:hAnsi="仿宋" w:eastAsia="仿宋"/>
          <w:sz w:val="28"/>
          <w:szCs w:val="28"/>
        </w:rPr>
        <w:t>收益法，是预测评估对象的未来收益，利用报酬率或报酬率、收益乘数将未来收益转换为价值得到估价对象价值或价格的方法。当收益期较长、难以预测该期限内各年净收益时，宜选用报酬资本化法中的持有加转售模式。本次估价采用持有加转售模型，其计算公式如下：</w:t>
      </w:r>
    </w:p>
    <w:p>
      <w:pPr>
        <w:spacing w:line="720" w:lineRule="auto"/>
        <w:ind w:firstLine="480" w:firstLineChars="200"/>
        <w:rPr>
          <w:rFonts w:ascii="宋体" w:hAnsi="宋体"/>
          <w:sz w:val="24"/>
        </w:rPr>
      </w:pPr>
      <w:r>
        <w:rPr>
          <w:rFonts w:ascii="宋体" w:hAnsi="宋体"/>
          <w:sz w:val="24"/>
        </w:rPr>
        <w:drawing>
          <wp:anchor distT="0" distB="0" distL="0" distR="0" simplePos="0" relativeHeight="251665408" behindDoc="1" locked="0" layoutInCell="1" allowOverlap="1">
            <wp:simplePos x="0" y="0"/>
            <wp:positionH relativeFrom="column">
              <wp:posOffset>304800</wp:posOffset>
            </wp:positionH>
            <wp:positionV relativeFrom="paragraph">
              <wp:posOffset>214630</wp:posOffset>
            </wp:positionV>
            <wp:extent cx="2114550" cy="514350"/>
            <wp:effectExtent l="0" t="0" r="0" b="0"/>
            <wp:wrapTight wrapText="bothSides">
              <wp:wrapPolygon>
                <wp:start x="16151" y="1600"/>
                <wp:lineTo x="389" y="2400"/>
                <wp:lineTo x="195" y="11200"/>
                <wp:lineTo x="4670" y="14400"/>
                <wp:lineTo x="3308" y="14400"/>
                <wp:lineTo x="3503" y="17600"/>
                <wp:lineTo x="8368" y="20800"/>
                <wp:lineTo x="19849" y="20800"/>
                <wp:lineTo x="21405" y="10400"/>
                <wp:lineTo x="21016" y="8800"/>
                <wp:lineTo x="18097" y="1600"/>
                <wp:lineTo x="16151" y="160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514350"/>
                    </a:xfrm>
                    <a:prstGeom prst="rect">
                      <a:avLst/>
                    </a:prstGeom>
                    <a:noFill/>
                    <a:ln>
                      <a:noFill/>
                    </a:ln>
                  </pic:spPr>
                </pic:pic>
              </a:graphicData>
            </a:graphic>
          </wp:anchor>
        </w:drawing>
      </w:r>
    </w:p>
    <w:p>
      <w:pPr>
        <w:spacing w:line="500" w:lineRule="exact"/>
        <w:ind w:firstLine="551" w:firstLineChars="196"/>
        <w:outlineLvl w:val="1"/>
        <w:rPr>
          <w:rFonts w:ascii="仿宋" w:hAnsi="仿宋" w:eastAsia="仿宋"/>
          <w:b/>
          <w:bCs/>
          <w:sz w:val="28"/>
          <w:szCs w:val="28"/>
        </w:rPr>
      </w:pPr>
    </w:p>
    <w:p>
      <w:pPr>
        <w:spacing w:line="500" w:lineRule="exact"/>
        <w:ind w:firstLine="551" w:firstLineChars="196"/>
        <w:outlineLvl w:val="1"/>
        <w:rPr>
          <w:rFonts w:ascii="仿宋" w:hAnsi="仿宋" w:eastAsia="仿宋"/>
          <w:b/>
          <w:bCs/>
          <w:sz w:val="28"/>
          <w:szCs w:val="28"/>
        </w:rPr>
      </w:pPr>
      <w:bookmarkStart w:id="101" w:name="_Toc2663"/>
      <w:r>
        <w:rPr>
          <w:rFonts w:hint="eastAsia" w:ascii="仿宋" w:hAnsi="仿宋" w:eastAsia="仿宋"/>
          <w:b/>
          <w:bCs/>
          <w:sz w:val="28"/>
          <w:szCs w:val="28"/>
        </w:rPr>
        <w:t>十、估价结果</w:t>
      </w:r>
      <w:bookmarkEnd w:id="95"/>
      <w:bookmarkEnd w:id="96"/>
      <w:bookmarkEnd w:id="97"/>
      <w:bookmarkEnd w:id="98"/>
      <w:bookmarkEnd w:id="99"/>
      <w:bookmarkEnd w:id="100"/>
      <w:bookmarkEnd w:id="101"/>
    </w:p>
    <w:p>
      <w:pPr>
        <w:spacing w:line="500" w:lineRule="exact"/>
        <w:ind w:firstLine="560" w:firstLineChars="200"/>
        <w:rPr>
          <w:rFonts w:ascii="仿宋" w:hAnsi="仿宋" w:eastAsia="仿宋"/>
          <w:sz w:val="30"/>
          <w:szCs w:val="30"/>
          <w:highlight w:val="yellow"/>
        </w:rPr>
      </w:pPr>
      <w:bookmarkStart w:id="102" w:name="_Toc492481933"/>
      <w:bookmarkStart w:id="103" w:name="_Toc492484535"/>
      <w:bookmarkStart w:id="104" w:name="_Toc492483082"/>
      <w:bookmarkStart w:id="105" w:name="_Toc492484562"/>
      <w:bookmarkStart w:id="106" w:name="_Toc492971797"/>
      <w:r>
        <w:rPr>
          <w:rFonts w:hint="eastAsia" w:ascii="仿宋" w:hAnsi="仿宋" w:eastAsia="仿宋"/>
          <w:sz w:val="28"/>
          <w:szCs w:val="28"/>
        </w:rPr>
        <w:t>注册房地产估价师根据估价目的，遵循估价原则，按照严谨的估价程序，在认真分析所掌握的资料与影响估价对象价值诸因素的基础上，并综合估价经验，采用比较法、收益法进行评估，经过周密的测算、分析和判断，最终确定估价对象在价值时点的房地产市场价值为人民币</w:t>
      </w:r>
      <w:r>
        <w:rPr>
          <w:rFonts w:hint="eastAsia" w:ascii="仿宋" w:hAnsi="仿宋" w:eastAsia="仿宋"/>
          <w:sz w:val="28"/>
          <w:szCs w:val="28"/>
          <w:lang w:eastAsia="zh-CN"/>
        </w:rPr>
        <w:t>1185000</w:t>
      </w:r>
      <w:r>
        <w:rPr>
          <w:rFonts w:hint="eastAsia" w:ascii="仿宋" w:hAnsi="仿宋" w:eastAsia="仿宋"/>
          <w:sz w:val="28"/>
          <w:szCs w:val="28"/>
        </w:rPr>
        <w:t>元，大写：人民币</w:t>
      </w:r>
      <w:r>
        <w:rPr>
          <w:rFonts w:hint="eastAsia" w:ascii="仿宋" w:hAnsi="仿宋" w:eastAsia="仿宋"/>
          <w:sz w:val="28"/>
          <w:szCs w:val="28"/>
          <w:lang w:eastAsia="zh-CN"/>
        </w:rPr>
        <w:t>壹佰壹拾捌万伍仟</w:t>
      </w:r>
      <w:r>
        <w:rPr>
          <w:rFonts w:hint="eastAsia" w:ascii="仿宋" w:hAnsi="仿宋" w:eastAsia="仿宋"/>
          <w:sz w:val="28"/>
          <w:szCs w:val="28"/>
        </w:rPr>
        <w:t>元整；</w:t>
      </w:r>
      <w:r>
        <w:rPr>
          <w:rFonts w:hint="eastAsia" w:ascii="仿宋" w:hAnsi="仿宋" w:eastAsia="仿宋"/>
          <w:sz w:val="28"/>
          <w:szCs w:val="28"/>
          <w:lang w:eastAsia="zh-CN"/>
        </w:rPr>
        <w:t>合建筑面积单价为</w:t>
      </w:r>
      <w:r>
        <w:rPr>
          <w:rFonts w:hint="eastAsia" w:ascii="仿宋" w:hAnsi="仿宋" w:eastAsia="仿宋"/>
          <w:sz w:val="28"/>
          <w:szCs w:val="28"/>
          <w:lang w:val="en-US" w:eastAsia="zh-CN"/>
        </w:rPr>
        <w:t>3870元/平方米，</w:t>
      </w:r>
      <w:r>
        <w:rPr>
          <w:rFonts w:hint="eastAsia" w:ascii="仿宋" w:hAnsi="仿宋" w:eastAsia="仿宋"/>
          <w:sz w:val="28"/>
          <w:szCs w:val="28"/>
        </w:rPr>
        <w:t>变现价值为人民币</w:t>
      </w:r>
      <w:r>
        <w:rPr>
          <w:rFonts w:hint="eastAsia" w:ascii="仿宋" w:hAnsi="仿宋" w:eastAsia="仿宋"/>
          <w:sz w:val="28"/>
          <w:szCs w:val="28"/>
          <w:lang w:eastAsia="zh-CN"/>
        </w:rPr>
        <w:t>1007250</w:t>
      </w:r>
      <w:r>
        <w:rPr>
          <w:rFonts w:hint="eastAsia" w:ascii="仿宋" w:hAnsi="仿宋" w:eastAsia="仿宋"/>
          <w:sz w:val="28"/>
          <w:szCs w:val="28"/>
        </w:rPr>
        <w:t>元，大写：人民币</w:t>
      </w:r>
      <w:r>
        <w:rPr>
          <w:rFonts w:hint="eastAsia" w:ascii="仿宋" w:hAnsi="仿宋" w:eastAsia="仿宋"/>
          <w:sz w:val="28"/>
          <w:szCs w:val="28"/>
          <w:lang w:eastAsia="zh-CN"/>
        </w:rPr>
        <w:t>壹佰万柒仟贰佰伍拾</w:t>
      </w:r>
      <w:r>
        <w:rPr>
          <w:rFonts w:hint="eastAsia" w:ascii="仿宋" w:hAnsi="仿宋" w:eastAsia="仿宋"/>
          <w:sz w:val="28"/>
          <w:szCs w:val="28"/>
        </w:rPr>
        <w:t>元整。</w:t>
      </w:r>
    </w:p>
    <w:p>
      <w:pPr>
        <w:pStyle w:val="22"/>
        <w:spacing w:before="157" w:beforeLines="50" w:after="157" w:afterLines="50" w:line="500" w:lineRule="exact"/>
        <w:ind w:firstLine="562"/>
        <w:rPr>
          <w:rFonts w:ascii="仿宋" w:hAnsi="仿宋"/>
          <w:kern w:val="2"/>
        </w:rPr>
      </w:pPr>
      <w:bookmarkStart w:id="107" w:name="_Toc55929847"/>
      <w:bookmarkStart w:id="108" w:name="_Toc14558"/>
      <w:r>
        <w:rPr>
          <w:rFonts w:hint="eastAsia" w:ascii="仿宋" w:hAnsi="仿宋"/>
          <w:kern w:val="2"/>
        </w:rPr>
        <w:t>十一、注册房地产估价师</w:t>
      </w:r>
      <w:bookmarkEnd w:id="102"/>
      <w:bookmarkEnd w:id="103"/>
      <w:bookmarkEnd w:id="104"/>
      <w:bookmarkEnd w:id="105"/>
      <w:bookmarkEnd w:id="106"/>
      <w:bookmarkEnd w:id="107"/>
      <w:bookmarkEnd w:id="108"/>
    </w:p>
    <w:tbl>
      <w:tblPr>
        <w:tblStyle w:val="30"/>
        <w:tblW w:w="85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138"/>
        <w:gridCol w:w="2425"/>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70"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姓名</w:t>
            </w:r>
          </w:p>
        </w:tc>
        <w:tc>
          <w:tcPr>
            <w:tcW w:w="2138"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注册号</w:t>
            </w:r>
          </w:p>
        </w:tc>
        <w:tc>
          <w:tcPr>
            <w:tcW w:w="2425"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签名</w:t>
            </w:r>
          </w:p>
        </w:tc>
        <w:tc>
          <w:tcPr>
            <w:tcW w:w="2525" w:type="dxa"/>
            <w:vAlign w:val="center"/>
          </w:tcPr>
          <w:p>
            <w:pPr>
              <w:spacing w:line="480" w:lineRule="exact"/>
              <w:jc w:val="center"/>
              <w:rPr>
                <w:rFonts w:ascii="仿宋" w:hAnsi="仿宋" w:eastAsia="仿宋"/>
                <w:sz w:val="28"/>
                <w:szCs w:val="28"/>
              </w:rPr>
            </w:pPr>
            <w:r>
              <w:rPr>
                <w:rFonts w:hint="eastAsia" w:ascii="仿宋" w:hAnsi="仿宋" w:eastAsia="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470"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赵慧玲</w:t>
            </w:r>
          </w:p>
        </w:tc>
        <w:tc>
          <w:tcPr>
            <w:tcW w:w="2138"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4120140039</w:t>
            </w:r>
          </w:p>
        </w:tc>
        <w:tc>
          <w:tcPr>
            <w:tcW w:w="2425" w:type="dxa"/>
            <w:vAlign w:val="center"/>
          </w:tcPr>
          <w:p>
            <w:pPr>
              <w:spacing w:line="480" w:lineRule="exact"/>
              <w:jc w:val="center"/>
              <w:rPr>
                <w:rFonts w:ascii="仿宋" w:hAnsi="仿宋" w:eastAsia="仿宋"/>
                <w:sz w:val="28"/>
                <w:szCs w:val="28"/>
              </w:rPr>
            </w:pPr>
          </w:p>
        </w:tc>
        <w:tc>
          <w:tcPr>
            <w:tcW w:w="2525"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2022年7月18日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1470"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赵艳娜</w:t>
            </w:r>
          </w:p>
        </w:tc>
        <w:tc>
          <w:tcPr>
            <w:tcW w:w="2138"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4120210067</w:t>
            </w:r>
          </w:p>
        </w:tc>
        <w:tc>
          <w:tcPr>
            <w:tcW w:w="2425" w:type="dxa"/>
            <w:vAlign w:val="center"/>
          </w:tcPr>
          <w:p>
            <w:pPr>
              <w:spacing w:line="480" w:lineRule="exact"/>
              <w:jc w:val="center"/>
              <w:rPr>
                <w:rFonts w:ascii="仿宋" w:hAnsi="仿宋" w:eastAsia="仿宋"/>
                <w:sz w:val="28"/>
                <w:szCs w:val="28"/>
              </w:rPr>
            </w:pPr>
          </w:p>
        </w:tc>
        <w:tc>
          <w:tcPr>
            <w:tcW w:w="2525" w:type="dxa"/>
            <w:vAlign w:val="center"/>
          </w:tcPr>
          <w:p>
            <w:pPr>
              <w:spacing w:line="480" w:lineRule="exact"/>
              <w:jc w:val="center"/>
              <w:rPr>
                <w:rFonts w:hint="eastAsia" w:ascii="仿宋" w:hAnsi="仿宋" w:eastAsia="仿宋"/>
                <w:sz w:val="28"/>
                <w:szCs w:val="28"/>
                <w:lang w:eastAsia="zh-CN"/>
              </w:rPr>
            </w:pPr>
            <w:r>
              <w:rPr>
                <w:rFonts w:hint="eastAsia" w:ascii="仿宋" w:hAnsi="仿宋" w:eastAsia="仿宋"/>
                <w:sz w:val="28"/>
                <w:szCs w:val="28"/>
                <w:lang w:eastAsia="zh-CN"/>
              </w:rPr>
              <w:t>2022年7月18日</w:t>
            </w:r>
          </w:p>
        </w:tc>
      </w:tr>
    </w:tbl>
    <w:p>
      <w:pPr>
        <w:pStyle w:val="22"/>
        <w:spacing w:before="157" w:beforeLines="50" w:after="157" w:afterLines="50" w:line="500" w:lineRule="exact"/>
        <w:ind w:firstLine="562"/>
        <w:rPr>
          <w:rFonts w:ascii="仿宋" w:hAnsi="仿宋"/>
          <w:kern w:val="2"/>
        </w:rPr>
      </w:pPr>
      <w:bookmarkStart w:id="109" w:name="_Toc492484536"/>
      <w:bookmarkStart w:id="110" w:name="_Toc492481934"/>
      <w:bookmarkStart w:id="111" w:name="_Toc18644"/>
      <w:bookmarkStart w:id="112" w:name="_Toc492971798"/>
      <w:bookmarkStart w:id="113" w:name="_Toc492483083"/>
      <w:bookmarkStart w:id="114" w:name="_Toc492484563"/>
      <w:bookmarkStart w:id="115" w:name="_Toc55929848"/>
      <w:r>
        <w:rPr>
          <w:rFonts w:hint="eastAsia" w:ascii="仿宋" w:hAnsi="仿宋"/>
          <w:kern w:val="2"/>
        </w:rPr>
        <w:t>十二、实地查勘期</w:t>
      </w:r>
      <w:bookmarkEnd w:id="109"/>
      <w:bookmarkEnd w:id="110"/>
      <w:bookmarkEnd w:id="111"/>
      <w:bookmarkEnd w:id="112"/>
      <w:bookmarkEnd w:id="113"/>
      <w:bookmarkEnd w:id="114"/>
      <w:bookmarkEnd w:id="115"/>
    </w:p>
    <w:p>
      <w:pPr>
        <w:spacing w:line="500" w:lineRule="exact"/>
        <w:ind w:firstLine="560" w:firstLineChars="200"/>
        <w:rPr>
          <w:rFonts w:ascii="仿宋" w:hAnsi="仿宋" w:eastAsia="仿宋"/>
          <w:sz w:val="28"/>
          <w:szCs w:val="28"/>
        </w:rPr>
      </w:pPr>
      <w:r>
        <w:rPr>
          <w:rFonts w:hint="eastAsia" w:ascii="仿宋" w:hAnsi="仿宋" w:eastAsia="仿宋"/>
          <w:sz w:val="28"/>
          <w:szCs w:val="28"/>
        </w:rPr>
        <w:t>二〇二二年六月二十日</w:t>
      </w:r>
    </w:p>
    <w:p>
      <w:pPr>
        <w:pStyle w:val="22"/>
        <w:spacing w:before="157" w:beforeLines="50" w:after="157" w:afterLines="50" w:line="500" w:lineRule="exact"/>
        <w:ind w:firstLine="562"/>
        <w:rPr>
          <w:rFonts w:ascii="仿宋" w:hAnsi="仿宋"/>
          <w:kern w:val="2"/>
        </w:rPr>
      </w:pPr>
      <w:bookmarkStart w:id="116" w:name="_Toc55929849"/>
      <w:bookmarkStart w:id="117" w:name="_Toc492484564"/>
      <w:bookmarkStart w:id="118" w:name="_Toc492481935"/>
      <w:bookmarkStart w:id="119" w:name="_Toc492483084"/>
      <w:bookmarkStart w:id="120" w:name="_Toc16020"/>
      <w:bookmarkStart w:id="121" w:name="_Toc492484537"/>
      <w:bookmarkStart w:id="122" w:name="_Toc492971799"/>
      <w:r>
        <w:rPr>
          <w:rFonts w:hint="eastAsia" w:ascii="仿宋" w:hAnsi="仿宋"/>
          <w:kern w:val="2"/>
        </w:rPr>
        <w:t>十三、估价作业期</w:t>
      </w:r>
      <w:bookmarkEnd w:id="116"/>
      <w:bookmarkEnd w:id="117"/>
      <w:bookmarkEnd w:id="118"/>
      <w:bookmarkEnd w:id="119"/>
      <w:bookmarkEnd w:id="120"/>
      <w:bookmarkEnd w:id="121"/>
      <w:bookmarkEnd w:id="122"/>
    </w:p>
    <w:p>
      <w:pPr>
        <w:spacing w:line="500" w:lineRule="exact"/>
        <w:ind w:firstLine="560" w:firstLineChars="200"/>
        <w:rPr>
          <w:rFonts w:ascii="仿宋" w:hAnsi="仿宋" w:eastAsia="仿宋"/>
          <w:sz w:val="28"/>
          <w:szCs w:val="28"/>
        </w:rPr>
      </w:pPr>
      <w:r>
        <w:rPr>
          <w:rFonts w:hint="eastAsia" w:ascii="仿宋" w:hAnsi="仿宋" w:eastAsia="仿宋"/>
          <w:sz w:val="28"/>
          <w:szCs w:val="28"/>
        </w:rPr>
        <w:t>二〇二二年六月二十日至二〇二二年</w:t>
      </w:r>
      <w:r>
        <w:rPr>
          <w:rFonts w:hint="eastAsia" w:ascii="仿宋" w:hAnsi="仿宋" w:eastAsia="仿宋"/>
          <w:sz w:val="28"/>
          <w:szCs w:val="28"/>
          <w:lang w:eastAsia="zh-CN"/>
        </w:rPr>
        <w:t>七</w:t>
      </w:r>
      <w:r>
        <w:rPr>
          <w:rFonts w:hint="eastAsia" w:ascii="仿宋" w:hAnsi="仿宋" w:eastAsia="仿宋"/>
          <w:sz w:val="28"/>
          <w:szCs w:val="28"/>
        </w:rPr>
        <w:t>月</w:t>
      </w:r>
      <w:r>
        <w:rPr>
          <w:rFonts w:hint="eastAsia" w:ascii="仿宋" w:hAnsi="仿宋" w:eastAsia="仿宋"/>
          <w:sz w:val="28"/>
          <w:szCs w:val="28"/>
          <w:lang w:eastAsia="zh-CN"/>
        </w:rPr>
        <w:t>十八</w:t>
      </w:r>
      <w:r>
        <w:rPr>
          <w:rFonts w:hint="eastAsia" w:ascii="仿宋" w:hAnsi="仿宋" w:eastAsia="仿宋"/>
          <w:sz w:val="28"/>
          <w:szCs w:val="28"/>
        </w:rPr>
        <w:t>日</w:t>
      </w:r>
    </w:p>
    <w:p>
      <w:pPr>
        <w:pStyle w:val="22"/>
        <w:spacing w:before="157" w:beforeLines="50" w:after="157" w:afterLines="50" w:line="500" w:lineRule="exact"/>
        <w:ind w:firstLine="562"/>
        <w:rPr>
          <w:rFonts w:ascii="仿宋" w:hAnsi="仿宋"/>
          <w:kern w:val="2"/>
        </w:rPr>
      </w:pPr>
      <w:bookmarkStart w:id="123" w:name="_Toc492481936"/>
      <w:bookmarkStart w:id="124" w:name="_Toc492483085"/>
      <w:bookmarkStart w:id="125" w:name="_Toc492971800"/>
      <w:bookmarkStart w:id="126" w:name="_Toc492484538"/>
      <w:bookmarkStart w:id="127" w:name="_Toc492484565"/>
      <w:bookmarkStart w:id="128" w:name="_Toc55929850"/>
      <w:bookmarkStart w:id="129" w:name="_Toc17758"/>
      <w:r>
        <w:rPr>
          <w:rFonts w:hint="eastAsia" w:ascii="仿宋" w:hAnsi="仿宋"/>
          <w:kern w:val="2"/>
        </w:rPr>
        <w:t>十四、估价报告有效期</w:t>
      </w:r>
      <w:bookmarkEnd w:id="123"/>
      <w:bookmarkEnd w:id="124"/>
      <w:bookmarkEnd w:id="125"/>
      <w:bookmarkEnd w:id="126"/>
      <w:bookmarkEnd w:id="127"/>
      <w:bookmarkEnd w:id="128"/>
      <w:bookmarkEnd w:id="129"/>
    </w:p>
    <w:p>
      <w:pPr>
        <w:spacing w:line="500" w:lineRule="exact"/>
        <w:ind w:firstLine="560" w:firstLineChars="200"/>
        <w:rPr>
          <w:rFonts w:ascii="仿宋" w:hAnsi="仿宋" w:eastAsia="仿宋"/>
          <w:sz w:val="28"/>
          <w:szCs w:val="28"/>
        </w:rPr>
      </w:pPr>
      <w:r>
        <w:rPr>
          <w:rFonts w:hint="eastAsia" w:ascii="仿宋" w:hAnsi="仿宋" w:eastAsia="仿宋"/>
          <w:sz w:val="28"/>
          <w:szCs w:val="28"/>
        </w:rPr>
        <w:t>二〇二二年</w:t>
      </w:r>
      <w:r>
        <w:rPr>
          <w:rFonts w:hint="eastAsia" w:ascii="仿宋" w:hAnsi="仿宋" w:eastAsia="仿宋"/>
          <w:sz w:val="28"/>
          <w:szCs w:val="28"/>
          <w:lang w:eastAsia="zh-CN"/>
        </w:rPr>
        <w:t>七</w:t>
      </w:r>
      <w:r>
        <w:rPr>
          <w:rFonts w:hint="eastAsia" w:ascii="仿宋" w:hAnsi="仿宋" w:eastAsia="仿宋"/>
          <w:sz w:val="28"/>
          <w:szCs w:val="28"/>
        </w:rPr>
        <w:t>月</w:t>
      </w:r>
      <w:r>
        <w:rPr>
          <w:rFonts w:hint="eastAsia" w:ascii="仿宋" w:hAnsi="仿宋" w:eastAsia="仿宋"/>
          <w:sz w:val="28"/>
          <w:szCs w:val="28"/>
          <w:lang w:eastAsia="zh-CN"/>
        </w:rPr>
        <w:t>十八</w:t>
      </w:r>
      <w:r>
        <w:rPr>
          <w:rFonts w:hint="eastAsia" w:ascii="仿宋" w:hAnsi="仿宋" w:eastAsia="仿宋"/>
          <w:sz w:val="28"/>
          <w:szCs w:val="28"/>
        </w:rPr>
        <w:t>日至二〇二三年</w:t>
      </w:r>
      <w:r>
        <w:rPr>
          <w:rFonts w:hint="eastAsia" w:ascii="仿宋" w:hAnsi="仿宋" w:eastAsia="仿宋"/>
          <w:sz w:val="28"/>
          <w:szCs w:val="28"/>
          <w:lang w:eastAsia="zh-CN"/>
        </w:rPr>
        <w:t>七</w:t>
      </w:r>
      <w:r>
        <w:rPr>
          <w:rFonts w:hint="eastAsia" w:ascii="仿宋" w:hAnsi="仿宋" w:eastAsia="仿宋"/>
          <w:sz w:val="28"/>
          <w:szCs w:val="28"/>
        </w:rPr>
        <w:t>月</w:t>
      </w:r>
      <w:r>
        <w:rPr>
          <w:rFonts w:hint="eastAsia" w:ascii="仿宋" w:hAnsi="仿宋" w:eastAsia="仿宋"/>
          <w:sz w:val="28"/>
          <w:szCs w:val="28"/>
          <w:lang w:eastAsia="zh-CN"/>
        </w:rPr>
        <w:t>十七</w:t>
      </w:r>
      <w:r>
        <w:rPr>
          <w:rFonts w:hint="eastAsia" w:ascii="仿宋" w:hAnsi="仿宋" w:eastAsia="仿宋"/>
          <w:sz w:val="28"/>
          <w:szCs w:val="28"/>
        </w:rPr>
        <w:t>日</w:t>
      </w:r>
    </w:p>
    <w:p>
      <w:pPr>
        <w:spacing w:line="500" w:lineRule="exact"/>
        <w:ind w:firstLine="560" w:firstLineChars="200"/>
        <w:rPr>
          <w:rFonts w:ascii="仿宋" w:hAnsi="仿宋" w:eastAsia="仿宋"/>
          <w:sz w:val="28"/>
          <w:szCs w:val="28"/>
        </w:rPr>
      </w:pPr>
    </w:p>
    <w:p>
      <w:pPr>
        <w:spacing w:line="500" w:lineRule="exact"/>
        <w:ind w:firstLine="562" w:firstLineChars="200"/>
        <w:rPr>
          <w:rFonts w:ascii="仿宋" w:hAnsi="仿宋" w:eastAsia="仿宋"/>
          <w:b/>
          <w:sz w:val="28"/>
          <w:szCs w:val="28"/>
        </w:rPr>
      </w:pPr>
    </w:p>
    <w:p>
      <w:pPr>
        <w:spacing w:line="500" w:lineRule="exact"/>
        <w:ind w:firstLine="562" w:firstLineChars="200"/>
        <w:rPr>
          <w:rFonts w:ascii="仿宋" w:hAnsi="仿宋" w:eastAsia="仿宋"/>
          <w:b/>
          <w:sz w:val="28"/>
          <w:szCs w:val="28"/>
        </w:rPr>
      </w:pPr>
    </w:p>
    <w:p>
      <w:pPr>
        <w:spacing w:line="500" w:lineRule="exact"/>
        <w:ind w:firstLine="562" w:firstLineChars="200"/>
        <w:rPr>
          <w:rFonts w:ascii="仿宋" w:hAnsi="仿宋" w:eastAsia="仿宋"/>
          <w:b/>
          <w:sz w:val="28"/>
          <w:szCs w:val="28"/>
        </w:rPr>
      </w:pPr>
    </w:p>
    <w:p>
      <w:pPr>
        <w:spacing w:line="520" w:lineRule="exact"/>
        <w:ind w:right="369" w:firstLine="3204" w:firstLineChars="1140"/>
        <w:rPr>
          <w:rFonts w:ascii="仿宋" w:hAnsi="仿宋" w:eastAsia="仿宋"/>
          <w:b/>
          <w:sz w:val="28"/>
          <w:szCs w:val="28"/>
        </w:rPr>
      </w:pPr>
      <w:r>
        <w:rPr>
          <w:rFonts w:hint="eastAsia" w:ascii="仿宋" w:hAnsi="仿宋" w:eastAsia="仿宋"/>
          <w:b/>
          <w:sz w:val="28"/>
          <w:szCs w:val="28"/>
        </w:rPr>
        <w:t>河南远大房地产土地资产评估有限公司</w:t>
      </w:r>
    </w:p>
    <w:p>
      <w:pPr>
        <w:spacing w:line="520" w:lineRule="exact"/>
        <w:ind w:firstLine="4610" w:firstLineChars="1640"/>
        <w:rPr>
          <w:rFonts w:hint="eastAsia" w:ascii="仿宋" w:hAnsi="仿宋" w:eastAsia="仿宋"/>
          <w:b/>
          <w:sz w:val="28"/>
          <w:szCs w:val="28"/>
          <w:lang w:eastAsia="zh-CN"/>
        </w:rPr>
      </w:pPr>
      <w:r>
        <w:rPr>
          <w:rFonts w:hint="eastAsia" w:ascii="仿宋" w:hAnsi="仿宋" w:eastAsia="仿宋"/>
          <w:b/>
          <w:sz w:val="28"/>
          <w:szCs w:val="28"/>
          <w:lang w:eastAsia="zh-CN"/>
        </w:rPr>
        <w:t>二〇二二年七月十八日</w:t>
      </w:r>
    </w:p>
    <w:p>
      <w:pPr>
        <w:widowControl/>
        <w:jc w:val="left"/>
      </w:pPr>
    </w:p>
    <w:p>
      <w:pPr>
        <w:widowControl/>
        <w:jc w:val="left"/>
      </w:pPr>
    </w:p>
    <w:p>
      <w:pPr>
        <w:widowControl/>
        <w:jc w:val="left"/>
      </w:pPr>
    </w:p>
    <w:p>
      <w:pPr>
        <w:widowControl/>
        <w:jc w:val="left"/>
      </w:pPr>
    </w:p>
    <w:p>
      <w:pPr>
        <w:widowControl/>
        <w:jc w:val="left"/>
      </w:pPr>
    </w:p>
    <w:p>
      <w:pPr>
        <w:pStyle w:val="2"/>
      </w:pPr>
      <w:bookmarkStart w:id="130" w:name="_Toc11790"/>
      <w:bookmarkStart w:id="131" w:name="_Toc55929851"/>
      <w:r>
        <w:rPr>
          <w:rFonts w:hint="eastAsia"/>
        </w:rPr>
        <w:t>附  件</w:t>
      </w:r>
      <w:bookmarkEnd w:id="130"/>
      <w:bookmarkEnd w:id="131"/>
    </w:p>
    <w:p>
      <w:pPr>
        <w:pStyle w:val="22"/>
        <w:spacing w:line="500" w:lineRule="exact"/>
        <w:ind w:firstLine="560"/>
        <w:rPr>
          <w:b w:val="0"/>
          <w:bCs w:val="0"/>
        </w:rPr>
      </w:pPr>
      <w:bookmarkStart w:id="132" w:name="_Toc7494"/>
      <w:r>
        <w:rPr>
          <w:rFonts w:hint="eastAsia"/>
          <w:b w:val="0"/>
          <w:bCs w:val="0"/>
        </w:rPr>
        <w:t>一、估价对象位置示意图</w:t>
      </w:r>
      <w:bookmarkEnd w:id="132"/>
    </w:p>
    <w:p>
      <w:pPr>
        <w:pStyle w:val="22"/>
        <w:spacing w:line="500" w:lineRule="exact"/>
        <w:ind w:firstLine="560"/>
        <w:rPr>
          <w:b w:val="0"/>
          <w:bCs w:val="0"/>
        </w:rPr>
      </w:pPr>
      <w:bookmarkStart w:id="133" w:name="_Toc55929853"/>
      <w:bookmarkStart w:id="134" w:name="_Toc12918"/>
      <w:r>
        <w:rPr>
          <w:rFonts w:hint="eastAsia"/>
          <w:b w:val="0"/>
          <w:bCs w:val="0"/>
        </w:rPr>
        <w:t>二、</w:t>
      </w:r>
      <w:bookmarkEnd w:id="133"/>
      <w:r>
        <w:rPr>
          <w:rFonts w:hint="eastAsia"/>
          <w:b w:val="0"/>
          <w:bCs w:val="0"/>
        </w:rPr>
        <w:t>许昌市魏都区人民法院执行裁定书复印件</w:t>
      </w:r>
      <w:bookmarkEnd w:id="134"/>
    </w:p>
    <w:p>
      <w:pPr>
        <w:pStyle w:val="22"/>
        <w:spacing w:line="500" w:lineRule="exact"/>
        <w:ind w:firstLine="560"/>
        <w:rPr>
          <w:b w:val="0"/>
          <w:bCs w:val="0"/>
        </w:rPr>
      </w:pPr>
      <w:bookmarkStart w:id="135" w:name="_Toc55929857"/>
      <w:bookmarkStart w:id="136" w:name="_Toc28237"/>
      <w:r>
        <w:rPr>
          <w:rFonts w:hint="eastAsia"/>
          <w:b w:val="0"/>
          <w:bCs w:val="0"/>
        </w:rPr>
        <w:t>三、</w:t>
      </w:r>
      <w:bookmarkEnd w:id="135"/>
      <w:r>
        <w:rPr>
          <w:rFonts w:hint="eastAsia"/>
          <w:b w:val="0"/>
          <w:bCs w:val="0"/>
        </w:rPr>
        <w:t>估价对象内外部状况照片</w:t>
      </w:r>
      <w:bookmarkEnd w:id="136"/>
    </w:p>
    <w:p>
      <w:pPr>
        <w:pStyle w:val="22"/>
        <w:spacing w:line="500" w:lineRule="exact"/>
        <w:ind w:firstLine="560"/>
        <w:rPr>
          <w:b w:val="0"/>
          <w:bCs w:val="0"/>
        </w:rPr>
      </w:pPr>
      <w:bookmarkStart w:id="137" w:name="_Toc55929855"/>
      <w:bookmarkStart w:id="138" w:name="_Toc7363"/>
      <w:r>
        <w:rPr>
          <w:rFonts w:hint="eastAsia"/>
          <w:b w:val="0"/>
          <w:bCs w:val="0"/>
        </w:rPr>
        <w:t>四、</w:t>
      </w:r>
      <w:bookmarkEnd w:id="137"/>
      <w:r>
        <w:rPr>
          <w:rFonts w:hint="eastAsia"/>
          <w:b w:val="0"/>
          <w:bCs w:val="0"/>
        </w:rPr>
        <w:t>《查档证明》复印件</w:t>
      </w:r>
      <w:bookmarkEnd w:id="138"/>
    </w:p>
    <w:p>
      <w:pPr>
        <w:pStyle w:val="22"/>
        <w:spacing w:line="500" w:lineRule="exact"/>
        <w:ind w:firstLine="560"/>
        <w:rPr>
          <w:b w:val="0"/>
          <w:bCs w:val="0"/>
        </w:rPr>
      </w:pPr>
      <w:bookmarkStart w:id="139" w:name="_Toc12002"/>
      <w:r>
        <w:rPr>
          <w:rFonts w:hint="eastAsia"/>
          <w:b w:val="0"/>
          <w:bCs w:val="0"/>
        </w:rPr>
        <w:t>五、《产权档案粘贴纸》复印件</w:t>
      </w:r>
      <w:bookmarkEnd w:id="139"/>
    </w:p>
    <w:p>
      <w:pPr>
        <w:pStyle w:val="22"/>
        <w:spacing w:line="500" w:lineRule="exact"/>
        <w:ind w:firstLine="560"/>
        <w:rPr>
          <w:b w:val="0"/>
          <w:bCs w:val="0"/>
        </w:rPr>
      </w:pPr>
      <w:bookmarkStart w:id="140" w:name="_Toc5552"/>
      <w:r>
        <w:rPr>
          <w:rFonts w:hint="eastAsia"/>
          <w:b w:val="0"/>
          <w:bCs w:val="0"/>
        </w:rPr>
        <w:t>六、</w:t>
      </w:r>
      <w:bookmarkStart w:id="141" w:name="_Toc55929858"/>
      <w:r>
        <w:rPr>
          <w:rFonts w:hint="eastAsia"/>
          <w:b w:val="0"/>
          <w:bCs w:val="0"/>
        </w:rPr>
        <w:t>估价机构营业执照复印件</w:t>
      </w:r>
      <w:bookmarkEnd w:id="140"/>
    </w:p>
    <w:p>
      <w:pPr>
        <w:pStyle w:val="22"/>
        <w:spacing w:line="500" w:lineRule="exact"/>
        <w:ind w:firstLine="560"/>
        <w:rPr>
          <w:b w:val="0"/>
          <w:bCs w:val="0"/>
        </w:rPr>
      </w:pPr>
      <w:bookmarkStart w:id="142" w:name="_Toc26805"/>
      <w:r>
        <w:rPr>
          <w:rFonts w:hint="eastAsia"/>
          <w:b w:val="0"/>
          <w:bCs w:val="0"/>
        </w:rPr>
        <w:t>七、</w:t>
      </w:r>
      <w:bookmarkEnd w:id="141"/>
      <w:r>
        <w:rPr>
          <w:rFonts w:hint="eastAsia"/>
          <w:b w:val="0"/>
          <w:bCs w:val="0"/>
        </w:rPr>
        <w:t>估价机构备案证书复印件</w:t>
      </w:r>
      <w:bookmarkEnd w:id="142"/>
    </w:p>
    <w:p>
      <w:pPr>
        <w:pStyle w:val="22"/>
        <w:spacing w:line="500" w:lineRule="exact"/>
        <w:ind w:firstLine="560"/>
        <w:rPr>
          <w:b w:val="0"/>
          <w:bCs w:val="0"/>
        </w:rPr>
      </w:pPr>
      <w:bookmarkStart w:id="143" w:name="_Toc55929859"/>
      <w:bookmarkStart w:id="144" w:name="_Toc31881"/>
      <w:r>
        <w:rPr>
          <w:rFonts w:hint="eastAsia"/>
          <w:b w:val="0"/>
          <w:bCs w:val="0"/>
        </w:rPr>
        <w:t>八、</w:t>
      </w:r>
      <w:bookmarkEnd w:id="143"/>
      <w:bookmarkStart w:id="145" w:name="_Toc55929860"/>
      <w:r>
        <w:rPr>
          <w:rFonts w:hint="eastAsia"/>
          <w:b w:val="0"/>
          <w:bCs w:val="0"/>
        </w:rPr>
        <w:t>估价师注册证书复印件</w:t>
      </w:r>
      <w:bookmarkEnd w:id="144"/>
    </w:p>
    <w:bookmarkEnd w:id="145"/>
    <w:p/>
    <w:p>
      <w:pPr>
        <w:spacing w:line="360" w:lineRule="auto"/>
        <w:ind w:firstLine="560" w:firstLineChars="200"/>
        <w:outlineLvl w:val="1"/>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spacing w:line="520" w:lineRule="exact"/>
        <w:rPr>
          <w:rFonts w:ascii="仿宋" w:hAnsi="仿宋" w:eastAsia="仿宋"/>
          <w:sz w:val="28"/>
          <w:szCs w:val="28"/>
        </w:rPr>
      </w:pPr>
    </w:p>
    <w:p>
      <w:pPr>
        <w:rPr>
          <w:rFonts w:ascii="仿宋" w:hAnsi="仿宋" w:eastAsia="仿宋"/>
        </w:rPr>
      </w:pPr>
    </w:p>
    <w:p>
      <w:pPr>
        <w:pStyle w:val="2"/>
        <w:rPr>
          <w:rFonts w:ascii="宋体" w:hAnsi="宋体"/>
          <w:sz w:val="23"/>
        </w:rPr>
      </w:pPr>
    </w:p>
    <w:sectPr>
      <w:footerReference r:id="rId5" w:type="default"/>
      <w:pgSz w:w="11906" w:h="16838"/>
      <w:pgMar w:top="1134" w:right="1417" w:bottom="1020" w:left="1644" w:header="680" w:footer="567" w:gutter="397"/>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5A5A5" w:sz="4" w:space="1"/>
      </w:pBdr>
      <w:jc w:val="both"/>
      <w:rPr>
        <w:rFonts w:ascii="仿宋" w:hAnsi="仿宋" w:eastAsia="仿宋"/>
        <w:bCs/>
      </w:rPr>
    </w:pPr>
    <w:r>
      <w:rPr>
        <w:rFonts w:hint="eastAsia" w:ascii="仿宋" w:hAnsi="仿宋" w:eastAsia="仿宋"/>
        <w:bCs/>
      </w:rPr>
      <w:t>网址：www.hnydcpa.com       地址：许昌市智慧大道汇通商务苑D幢5层        电话：0374-2791560</w:t>
    </w:r>
  </w:p>
  <w:p>
    <w:pPr>
      <w:pStyle w:val="18"/>
      <w:pBdr>
        <w:top w:val="single" w:color="A5A5A5" w:sz="4" w:space="1"/>
      </w:pBdr>
      <w:jc w:val="both"/>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jc w:val="center"/>
      <w:rPr>
        <w:rFonts w:ascii="宋体" w:hAnsi="宋体"/>
        <w:iCs/>
        <w:sz w:val="17"/>
        <w:szCs w:val="17"/>
      </w:rPr>
    </w:pPr>
    <w:r>
      <w:rPr>
        <w:rFonts w:hint="eastAsia" w:ascii="宋体" w:hAnsi="宋体"/>
        <w:iCs/>
        <w:sz w:val="20"/>
        <w:szCs w:val="20"/>
      </w:rPr>
      <w:t>第</w:t>
    </w:r>
    <w:r>
      <w:rPr>
        <w:rFonts w:ascii="宋体" w:hAnsi="宋体"/>
        <w:iCs/>
        <w:sz w:val="20"/>
        <w:szCs w:val="20"/>
      </w:rPr>
      <w:fldChar w:fldCharType="begin"/>
    </w:r>
    <w:r>
      <w:rPr>
        <w:rFonts w:ascii="宋体" w:hAnsi="宋体"/>
        <w:iCs/>
        <w:sz w:val="20"/>
        <w:szCs w:val="20"/>
      </w:rPr>
      <w:instrText xml:space="preserve"> PAGE </w:instrText>
    </w:r>
    <w:r>
      <w:rPr>
        <w:rFonts w:ascii="宋体" w:hAnsi="宋体"/>
        <w:iCs/>
        <w:sz w:val="20"/>
        <w:szCs w:val="20"/>
      </w:rPr>
      <w:fldChar w:fldCharType="separate"/>
    </w:r>
    <w:r>
      <w:rPr>
        <w:rFonts w:ascii="宋体" w:hAnsi="宋体"/>
        <w:iCs/>
        <w:sz w:val="20"/>
        <w:szCs w:val="20"/>
      </w:rPr>
      <w:t>53</w:t>
    </w:r>
    <w:r>
      <w:rPr>
        <w:rFonts w:ascii="宋体" w:hAnsi="宋体"/>
        <w:iCs/>
        <w:sz w:val="20"/>
        <w:szCs w:val="20"/>
      </w:rPr>
      <w:fldChar w:fldCharType="end"/>
    </w:r>
    <w:r>
      <w:rPr>
        <w:rFonts w:hint="eastAsia" w:ascii="宋体" w:hAnsi="宋体"/>
        <w:iCs/>
        <w:sz w:val="20"/>
        <w:szCs w:val="2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6000" w:firstLineChars="3000"/>
      <w:jc w:val="both"/>
      <w:rPr>
        <w:sz w:val="17"/>
        <w:szCs w:val="17"/>
      </w:rPr>
    </w:pPr>
    <w:r>
      <w:rPr>
        <w:rFonts w:hint="eastAsia"/>
        <w:i/>
        <w:sz w:val="20"/>
        <w:szCs w:val="20"/>
        <w:lang w:val="zh-CN"/>
      </w:rPr>
      <w:drawing>
        <wp:anchor distT="0" distB="0" distL="114300" distR="114300" simplePos="0" relativeHeight="251660288" behindDoc="0" locked="0" layoutInCell="1" allowOverlap="1">
          <wp:simplePos x="0" y="0"/>
          <wp:positionH relativeFrom="column">
            <wp:posOffset>-257810</wp:posOffset>
          </wp:positionH>
          <wp:positionV relativeFrom="paragraph">
            <wp:posOffset>-165100</wp:posOffset>
          </wp:positionV>
          <wp:extent cx="464185" cy="4464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4400" cy="446400"/>
                  </a:xfrm>
                  <a:prstGeom prst="rect">
                    <a:avLst/>
                  </a:prstGeom>
                  <a:noFill/>
                  <a:ln>
                    <a:noFill/>
                  </a:ln>
                </pic:spPr>
              </pic:pic>
            </a:graphicData>
          </a:graphic>
        </wp:anchor>
      </w:drawing>
    </w:r>
    <w:r>
      <w:rPr>
        <w:i/>
        <w:sz w:val="20"/>
        <w:szCs w:val="20"/>
      </w:rPr>
      <w:t xml:space="preserve">      </w:t>
    </w:r>
    <w:r>
      <w:rPr>
        <w:rFonts w:hint="eastAsia"/>
        <w:i/>
        <w:sz w:val="20"/>
        <w:szCs w:val="20"/>
      </w:rPr>
      <w:t>房地产司法估价报告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8"/>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wZDA0NzVlNTEwNjMyZmE3NWE1YWRjZTMzNWMzNDAifQ=="/>
  </w:docVars>
  <w:rsids>
    <w:rsidRoot w:val="009F3D13"/>
    <w:rsid w:val="000001CE"/>
    <w:rsid w:val="00000A1D"/>
    <w:rsid w:val="00001615"/>
    <w:rsid w:val="00001E13"/>
    <w:rsid w:val="00002FBE"/>
    <w:rsid w:val="000032D7"/>
    <w:rsid w:val="000032E0"/>
    <w:rsid w:val="0000364F"/>
    <w:rsid w:val="00003832"/>
    <w:rsid w:val="00003E12"/>
    <w:rsid w:val="00004335"/>
    <w:rsid w:val="000050BD"/>
    <w:rsid w:val="00005231"/>
    <w:rsid w:val="00005C7D"/>
    <w:rsid w:val="000060F6"/>
    <w:rsid w:val="00006236"/>
    <w:rsid w:val="00007486"/>
    <w:rsid w:val="000103F1"/>
    <w:rsid w:val="00010579"/>
    <w:rsid w:val="00011504"/>
    <w:rsid w:val="00011625"/>
    <w:rsid w:val="00013A85"/>
    <w:rsid w:val="00013ADD"/>
    <w:rsid w:val="00013DF4"/>
    <w:rsid w:val="00013E63"/>
    <w:rsid w:val="00015136"/>
    <w:rsid w:val="00015C08"/>
    <w:rsid w:val="000173A0"/>
    <w:rsid w:val="00017481"/>
    <w:rsid w:val="00017CF4"/>
    <w:rsid w:val="00021128"/>
    <w:rsid w:val="00021995"/>
    <w:rsid w:val="00021AA7"/>
    <w:rsid w:val="00022AF5"/>
    <w:rsid w:val="0002333C"/>
    <w:rsid w:val="00023F1F"/>
    <w:rsid w:val="00024456"/>
    <w:rsid w:val="00024CD2"/>
    <w:rsid w:val="000259C4"/>
    <w:rsid w:val="00025DDC"/>
    <w:rsid w:val="00025F98"/>
    <w:rsid w:val="00026F8C"/>
    <w:rsid w:val="0003065A"/>
    <w:rsid w:val="000313B2"/>
    <w:rsid w:val="00031CAD"/>
    <w:rsid w:val="00031DFE"/>
    <w:rsid w:val="00032EDC"/>
    <w:rsid w:val="00033393"/>
    <w:rsid w:val="00033709"/>
    <w:rsid w:val="00034A9A"/>
    <w:rsid w:val="000352AE"/>
    <w:rsid w:val="000361D5"/>
    <w:rsid w:val="00036251"/>
    <w:rsid w:val="0003648B"/>
    <w:rsid w:val="00036DF2"/>
    <w:rsid w:val="000372AF"/>
    <w:rsid w:val="000409CB"/>
    <w:rsid w:val="000410D1"/>
    <w:rsid w:val="00042DAE"/>
    <w:rsid w:val="000442DA"/>
    <w:rsid w:val="0004446A"/>
    <w:rsid w:val="000445DB"/>
    <w:rsid w:val="00044BE6"/>
    <w:rsid w:val="00044E72"/>
    <w:rsid w:val="00045799"/>
    <w:rsid w:val="0004618F"/>
    <w:rsid w:val="00046507"/>
    <w:rsid w:val="00046A3F"/>
    <w:rsid w:val="00046CE7"/>
    <w:rsid w:val="00046D6D"/>
    <w:rsid w:val="00046D77"/>
    <w:rsid w:val="0004702E"/>
    <w:rsid w:val="00047060"/>
    <w:rsid w:val="00047604"/>
    <w:rsid w:val="000518CE"/>
    <w:rsid w:val="00051D52"/>
    <w:rsid w:val="00052104"/>
    <w:rsid w:val="00052394"/>
    <w:rsid w:val="000524D9"/>
    <w:rsid w:val="00052A5F"/>
    <w:rsid w:val="000536CA"/>
    <w:rsid w:val="00053917"/>
    <w:rsid w:val="00053B21"/>
    <w:rsid w:val="00053FBB"/>
    <w:rsid w:val="00054447"/>
    <w:rsid w:val="000556B9"/>
    <w:rsid w:val="00055DF6"/>
    <w:rsid w:val="000568A2"/>
    <w:rsid w:val="00056905"/>
    <w:rsid w:val="00056C53"/>
    <w:rsid w:val="00057D0A"/>
    <w:rsid w:val="00057E58"/>
    <w:rsid w:val="0006061B"/>
    <w:rsid w:val="000612D0"/>
    <w:rsid w:val="000614F4"/>
    <w:rsid w:val="00062901"/>
    <w:rsid w:val="00062B63"/>
    <w:rsid w:val="00062E75"/>
    <w:rsid w:val="00063B8F"/>
    <w:rsid w:val="00063C61"/>
    <w:rsid w:val="0006412A"/>
    <w:rsid w:val="0006509F"/>
    <w:rsid w:val="00065903"/>
    <w:rsid w:val="000668FF"/>
    <w:rsid w:val="00067B76"/>
    <w:rsid w:val="00070257"/>
    <w:rsid w:val="00070638"/>
    <w:rsid w:val="00070E59"/>
    <w:rsid w:val="0007107D"/>
    <w:rsid w:val="000710C0"/>
    <w:rsid w:val="0007150F"/>
    <w:rsid w:val="00071C06"/>
    <w:rsid w:val="00071E94"/>
    <w:rsid w:val="00072780"/>
    <w:rsid w:val="00072973"/>
    <w:rsid w:val="0007426C"/>
    <w:rsid w:val="000745D1"/>
    <w:rsid w:val="00074626"/>
    <w:rsid w:val="00074DCB"/>
    <w:rsid w:val="000757A1"/>
    <w:rsid w:val="000758C6"/>
    <w:rsid w:val="00077367"/>
    <w:rsid w:val="00077EC8"/>
    <w:rsid w:val="000804E4"/>
    <w:rsid w:val="0008057B"/>
    <w:rsid w:val="00081228"/>
    <w:rsid w:val="00082197"/>
    <w:rsid w:val="00083541"/>
    <w:rsid w:val="00083644"/>
    <w:rsid w:val="00083FFC"/>
    <w:rsid w:val="00084209"/>
    <w:rsid w:val="00084AEC"/>
    <w:rsid w:val="0008565F"/>
    <w:rsid w:val="00086353"/>
    <w:rsid w:val="00086918"/>
    <w:rsid w:val="00086FAE"/>
    <w:rsid w:val="0008708D"/>
    <w:rsid w:val="00087637"/>
    <w:rsid w:val="0008764D"/>
    <w:rsid w:val="00087A0C"/>
    <w:rsid w:val="00087D0E"/>
    <w:rsid w:val="00090B2A"/>
    <w:rsid w:val="00090B59"/>
    <w:rsid w:val="00091053"/>
    <w:rsid w:val="00091248"/>
    <w:rsid w:val="0009221F"/>
    <w:rsid w:val="00092925"/>
    <w:rsid w:val="00092B3F"/>
    <w:rsid w:val="000934F9"/>
    <w:rsid w:val="0009466F"/>
    <w:rsid w:val="00094787"/>
    <w:rsid w:val="0009533A"/>
    <w:rsid w:val="00095909"/>
    <w:rsid w:val="00096E32"/>
    <w:rsid w:val="0009752B"/>
    <w:rsid w:val="0009773E"/>
    <w:rsid w:val="00097815"/>
    <w:rsid w:val="000A1FFD"/>
    <w:rsid w:val="000A271F"/>
    <w:rsid w:val="000A4953"/>
    <w:rsid w:val="000A5306"/>
    <w:rsid w:val="000A589B"/>
    <w:rsid w:val="000A659B"/>
    <w:rsid w:val="000A65E6"/>
    <w:rsid w:val="000A7F8F"/>
    <w:rsid w:val="000B0411"/>
    <w:rsid w:val="000B0458"/>
    <w:rsid w:val="000B0548"/>
    <w:rsid w:val="000B09AF"/>
    <w:rsid w:val="000B1475"/>
    <w:rsid w:val="000B232C"/>
    <w:rsid w:val="000B26D3"/>
    <w:rsid w:val="000B2CA7"/>
    <w:rsid w:val="000B2E7B"/>
    <w:rsid w:val="000B3017"/>
    <w:rsid w:val="000B3D60"/>
    <w:rsid w:val="000B3E1B"/>
    <w:rsid w:val="000B4347"/>
    <w:rsid w:val="000B4AF9"/>
    <w:rsid w:val="000B5FDA"/>
    <w:rsid w:val="000C047C"/>
    <w:rsid w:val="000C100F"/>
    <w:rsid w:val="000C118A"/>
    <w:rsid w:val="000C1813"/>
    <w:rsid w:val="000C1E13"/>
    <w:rsid w:val="000C1E9E"/>
    <w:rsid w:val="000C28E2"/>
    <w:rsid w:val="000C3DEC"/>
    <w:rsid w:val="000C3F0C"/>
    <w:rsid w:val="000C4558"/>
    <w:rsid w:val="000C4AD3"/>
    <w:rsid w:val="000C4EDA"/>
    <w:rsid w:val="000C7F92"/>
    <w:rsid w:val="000D0327"/>
    <w:rsid w:val="000D08B0"/>
    <w:rsid w:val="000D15CF"/>
    <w:rsid w:val="000D1ADF"/>
    <w:rsid w:val="000D221D"/>
    <w:rsid w:val="000D2392"/>
    <w:rsid w:val="000D3A2E"/>
    <w:rsid w:val="000D4B39"/>
    <w:rsid w:val="000D4E36"/>
    <w:rsid w:val="000D62F6"/>
    <w:rsid w:val="000D6552"/>
    <w:rsid w:val="000D66D8"/>
    <w:rsid w:val="000D73CD"/>
    <w:rsid w:val="000E0900"/>
    <w:rsid w:val="000E0985"/>
    <w:rsid w:val="000E0FDB"/>
    <w:rsid w:val="000E1A08"/>
    <w:rsid w:val="000E2427"/>
    <w:rsid w:val="000E2920"/>
    <w:rsid w:val="000E2CF2"/>
    <w:rsid w:val="000E2D2F"/>
    <w:rsid w:val="000E3A17"/>
    <w:rsid w:val="000E3B96"/>
    <w:rsid w:val="000E5C4D"/>
    <w:rsid w:val="000E60B1"/>
    <w:rsid w:val="000E60E3"/>
    <w:rsid w:val="000E61B4"/>
    <w:rsid w:val="000E7DBC"/>
    <w:rsid w:val="000F0A0E"/>
    <w:rsid w:val="000F0C8E"/>
    <w:rsid w:val="000F1D31"/>
    <w:rsid w:val="000F2BA4"/>
    <w:rsid w:val="000F2D3C"/>
    <w:rsid w:val="000F3404"/>
    <w:rsid w:val="000F45AF"/>
    <w:rsid w:val="000F4C7D"/>
    <w:rsid w:val="000F5D1D"/>
    <w:rsid w:val="000F68AC"/>
    <w:rsid w:val="000F76BD"/>
    <w:rsid w:val="000F7B8E"/>
    <w:rsid w:val="00100571"/>
    <w:rsid w:val="00100794"/>
    <w:rsid w:val="001007AC"/>
    <w:rsid w:val="0010081D"/>
    <w:rsid w:val="001029B3"/>
    <w:rsid w:val="00104C6C"/>
    <w:rsid w:val="00105C95"/>
    <w:rsid w:val="001060DF"/>
    <w:rsid w:val="00106896"/>
    <w:rsid w:val="00107099"/>
    <w:rsid w:val="00107196"/>
    <w:rsid w:val="00107613"/>
    <w:rsid w:val="00107AD6"/>
    <w:rsid w:val="00107BAE"/>
    <w:rsid w:val="00112849"/>
    <w:rsid w:val="0011397B"/>
    <w:rsid w:val="00113AB0"/>
    <w:rsid w:val="00113B32"/>
    <w:rsid w:val="001150EE"/>
    <w:rsid w:val="00115979"/>
    <w:rsid w:val="00116A98"/>
    <w:rsid w:val="00116D3C"/>
    <w:rsid w:val="00117135"/>
    <w:rsid w:val="0011776F"/>
    <w:rsid w:val="001208F6"/>
    <w:rsid w:val="00122073"/>
    <w:rsid w:val="00122A73"/>
    <w:rsid w:val="00122F80"/>
    <w:rsid w:val="0012344E"/>
    <w:rsid w:val="00123719"/>
    <w:rsid w:val="00124996"/>
    <w:rsid w:val="00125499"/>
    <w:rsid w:val="00125B4D"/>
    <w:rsid w:val="00126105"/>
    <w:rsid w:val="001265F4"/>
    <w:rsid w:val="00130136"/>
    <w:rsid w:val="0013053D"/>
    <w:rsid w:val="001311C6"/>
    <w:rsid w:val="00131E60"/>
    <w:rsid w:val="001343E1"/>
    <w:rsid w:val="00134780"/>
    <w:rsid w:val="001351E9"/>
    <w:rsid w:val="001353B4"/>
    <w:rsid w:val="0013585D"/>
    <w:rsid w:val="00135A53"/>
    <w:rsid w:val="00135DEB"/>
    <w:rsid w:val="0013638A"/>
    <w:rsid w:val="00136859"/>
    <w:rsid w:val="001379A5"/>
    <w:rsid w:val="0014043D"/>
    <w:rsid w:val="00140968"/>
    <w:rsid w:val="00140A68"/>
    <w:rsid w:val="00140E3C"/>
    <w:rsid w:val="001414BD"/>
    <w:rsid w:val="00141999"/>
    <w:rsid w:val="0014287C"/>
    <w:rsid w:val="00142D17"/>
    <w:rsid w:val="00143AFA"/>
    <w:rsid w:val="0014482E"/>
    <w:rsid w:val="00145C1E"/>
    <w:rsid w:val="00146195"/>
    <w:rsid w:val="001461FB"/>
    <w:rsid w:val="00146790"/>
    <w:rsid w:val="00146A9D"/>
    <w:rsid w:val="00146AD3"/>
    <w:rsid w:val="00147038"/>
    <w:rsid w:val="0014704D"/>
    <w:rsid w:val="001477A4"/>
    <w:rsid w:val="00147973"/>
    <w:rsid w:val="00147998"/>
    <w:rsid w:val="00147E2A"/>
    <w:rsid w:val="00150072"/>
    <w:rsid w:val="00150210"/>
    <w:rsid w:val="001502C4"/>
    <w:rsid w:val="00151105"/>
    <w:rsid w:val="00152B73"/>
    <w:rsid w:val="00152F74"/>
    <w:rsid w:val="00153138"/>
    <w:rsid w:val="001532F9"/>
    <w:rsid w:val="00153DFC"/>
    <w:rsid w:val="00153FC5"/>
    <w:rsid w:val="00154964"/>
    <w:rsid w:val="0015536D"/>
    <w:rsid w:val="00155696"/>
    <w:rsid w:val="001568D5"/>
    <w:rsid w:val="00157003"/>
    <w:rsid w:val="00160C50"/>
    <w:rsid w:val="00160CB6"/>
    <w:rsid w:val="00161FF4"/>
    <w:rsid w:val="001624FE"/>
    <w:rsid w:val="00162602"/>
    <w:rsid w:val="00163A1C"/>
    <w:rsid w:val="00163AA3"/>
    <w:rsid w:val="00163D44"/>
    <w:rsid w:val="00163DD8"/>
    <w:rsid w:val="00164B91"/>
    <w:rsid w:val="00164C29"/>
    <w:rsid w:val="001650E7"/>
    <w:rsid w:val="00165C4C"/>
    <w:rsid w:val="00166D15"/>
    <w:rsid w:val="00167154"/>
    <w:rsid w:val="00167DFA"/>
    <w:rsid w:val="001715AC"/>
    <w:rsid w:val="00171EF2"/>
    <w:rsid w:val="001723BC"/>
    <w:rsid w:val="0017275E"/>
    <w:rsid w:val="001727C0"/>
    <w:rsid w:val="00172AB0"/>
    <w:rsid w:val="00173F36"/>
    <w:rsid w:val="00174A45"/>
    <w:rsid w:val="00174A6D"/>
    <w:rsid w:val="001760C3"/>
    <w:rsid w:val="00176B1B"/>
    <w:rsid w:val="00176E4D"/>
    <w:rsid w:val="00177648"/>
    <w:rsid w:val="00177AB7"/>
    <w:rsid w:val="00177CE1"/>
    <w:rsid w:val="0018018B"/>
    <w:rsid w:val="00180766"/>
    <w:rsid w:val="0018093F"/>
    <w:rsid w:val="00180A68"/>
    <w:rsid w:val="00180F17"/>
    <w:rsid w:val="001811CD"/>
    <w:rsid w:val="00181680"/>
    <w:rsid w:val="001821B6"/>
    <w:rsid w:val="00182525"/>
    <w:rsid w:val="00182666"/>
    <w:rsid w:val="001836CA"/>
    <w:rsid w:val="00184966"/>
    <w:rsid w:val="00185B82"/>
    <w:rsid w:val="001862C0"/>
    <w:rsid w:val="0018689D"/>
    <w:rsid w:val="00187245"/>
    <w:rsid w:val="00187573"/>
    <w:rsid w:val="001903ED"/>
    <w:rsid w:val="00190B31"/>
    <w:rsid w:val="00190BAA"/>
    <w:rsid w:val="00191516"/>
    <w:rsid w:val="00191656"/>
    <w:rsid w:val="00191D31"/>
    <w:rsid w:val="001921AF"/>
    <w:rsid w:val="0019380D"/>
    <w:rsid w:val="00193968"/>
    <w:rsid w:val="00195DBE"/>
    <w:rsid w:val="00195ECF"/>
    <w:rsid w:val="001965C4"/>
    <w:rsid w:val="0019745E"/>
    <w:rsid w:val="0019788D"/>
    <w:rsid w:val="00197B1B"/>
    <w:rsid w:val="001A0618"/>
    <w:rsid w:val="001A093E"/>
    <w:rsid w:val="001A1077"/>
    <w:rsid w:val="001A3374"/>
    <w:rsid w:val="001A3C20"/>
    <w:rsid w:val="001A3EFC"/>
    <w:rsid w:val="001A4209"/>
    <w:rsid w:val="001A54DF"/>
    <w:rsid w:val="001A5EA1"/>
    <w:rsid w:val="001A5F49"/>
    <w:rsid w:val="001A6051"/>
    <w:rsid w:val="001A6868"/>
    <w:rsid w:val="001A68A9"/>
    <w:rsid w:val="001A6F6E"/>
    <w:rsid w:val="001A78B0"/>
    <w:rsid w:val="001B0952"/>
    <w:rsid w:val="001B1236"/>
    <w:rsid w:val="001B22B3"/>
    <w:rsid w:val="001B2AD4"/>
    <w:rsid w:val="001B2EAA"/>
    <w:rsid w:val="001B570D"/>
    <w:rsid w:val="001B5F29"/>
    <w:rsid w:val="001B72D3"/>
    <w:rsid w:val="001B73D3"/>
    <w:rsid w:val="001B7718"/>
    <w:rsid w:val="001C0029"/>
    <w:rsid w:val="001C09F4"/>
    <w:rsid w:val="001C0E1F"/>
    <w:rsid w:val="001C0FB2"/>
    <w:rsid w:val="001C16AB"/>
    <w:rsid w:val="001C3169"/>
    <w:rsid w:val="001C354C"/>
    <w:rsid w:val="001C35EE"/>
    <w:rsid w:val="001C376C"/>
    <w:rsid w:val="001C3BA1"/>
    <w:rsid w:val="001C3F2E"/>
    <w:rsid w:val="001C5A41"/>
    <w:rsid w:val="001C5A9F"/>
    <w:rsid w:val="001C6043"/>
    <w:rsid w:val="001C6157"/>
    <w:rsid w:val="001C6334"/>
    <w:rsid w:val="001C6434"/>
    <w:rsid w:val="001C6B26"/>
    <w:rsid w:val="001C71B7"/>
    <w:rsid w:val="001D01F5"/>
    <w:rsid w:val="001D0206"/>
    <w:rsid w:val="001D079E"/>
    <w:rsid w:val="001D0BCA"/>
    <w:rsid w:val="001D1146"/>
    <w:rsid w:val="001D18D6"/>
    <w:rsid w:val="001D1D27"/>
    <w:rsid w:val="001D1D6A"/>
    <w:rsid w:val="001D202E"/>
    <w:rsid w:val="001D2447"/>
    <w:rsid w:val="001D2C71"/>
    <w:rsid w:val="001D2FB8"/>
    <w:rsid w:val="001D342F"/>
    <w:rsid w:val="001D3BCE"/>
    <w:rsid w:val="001D47B4"/>
    <w:rsid w:val="001D50A3"/>
    <w:rsid w:val="001D59E6"/>
    <w:rsid w:val="001D5AB0"/>
    <w:rsid w:val="001D5CFF"/>
    <w:rsid w:val="001D5F6F"/>
    <w:rsid w:val="001D619A"/>
    <w:rsid w:val="001E0742"/>
    <w:rsid w:val="001E0865"/>
    <w:rsid w:val="001E1306"/>
    <w:rsid w:val="001E27CE"/>
    <w:rsid w:val="001E2CC0"/>
    <w:rsid w:val="001E30F2"/>
    <w:rsid w:val="001E3FE4"/>
    <w:rsid w:val="001E49B0"/>
    <w:rsid w:val="001E5108"/>
    <w:rsid w:val="001E53D8"/>
    <w:rsid w:val="001E684B"/>
    <w:rsid w:val="001E6859"/>
    <w:rsid w:val="001E6F15"/>
    <w:rsid w:val="001E796B"/>
    <w:rsid w:val="001F1489"/>
    <w:rsid w:val="001F2320"/>
    <w:rsid w:val="001F2C04"/>
    <w:rsid w:val="001F3010"/>
    <w:rsid w:val="001F33C1"/>
    <w:rsid w:val="001F39AA"/>
    <w:rsid w:val="001F39CA"/>
    <w:rsid w:val="001F67EF"/>
    <w:rsid w:val="001F6DE5"/>
    <w:rsid w:val="001F7999"/>
    <w:rsid w:val="0020005A"/>
    <w:rsid w:val="0020084E"/>
    <w:rsid w:val="00201195"/>
    <w:rsid w:val="0020138E"/>
    <w:rsid w:val="00201525"/>
    <w:rsid w:val="00201828"/>
    <w:rsid w:val="00201D42"/>
    <w:rsid w:val="00201DCC"/>
    <w:rsid w:val="00202604"/>
    <w:rsid w:val="00203DAF"/>
    <w:rsid w:val="00203F7A"/>
    <w:rsid w:val="002045B9"/>
    <w:rsid w:val="00204FA5"/>
    <w:rsid w:val="002052CB"/>
    <w:rsid w:val="00205C7F"/>
    <w:rsid w:val="00205EC0"/>
    <w:rsid w:val="0020651C"/>
    <w:rsid w:val="00206DFF"/>
    <w:rsid w:val="00206E51"/>
    <w:rsid w:val="00207A62"/>
    <w:rsid w:val="002100AD"/>
    <w:rsid w:val="00210FE4"/>
    <w:rsid w:val="002117D7"/>
    <w:rsid w:val="00211C85"/>
    <w:rsid w:val="00211E59"/>
    <w:rsid w:val="00212036"/>
    <w:rsid w:val="002122E7"/>
    <w:rsid w:val="00212525"/>
    <w:rsid w:val="002125CF"/>
    <w:rsid w:val="0021314F"/>
    <w:rsid w:val="00213A01"/>
    <w:rsid w:val="00213A3D"/>
    <w:rsid w:val="00213E8B"/>
    <w:rsid w:val="002140CF"/>
    <w:rsid w:val="002146BE"/>
    <w:rsid w:val="00214A1A"/>
    <w:rsid w:val="00215CE0"/>
    <w:rsid w:val="00216374"/>
    <w:rsid w:val="002177BC"/>
    <w:rsid w:val="00220FF8"/>
    <w:rsid w:val="002216F3"/>
    <w:rsid w:val="002228F9"/>
    <w:rsid w:val="00222B9F"/>
    <w:rsid w:val="00223135"/>
    <w:rsid w:val="0022322A"/>
    <w:rsid w:val="002240E9"/>
    <w:rsid w:val="0022496B"/>
    <w:rsid w:val="00225879"/>
    <w:rsid w:val="002264CA"/>
    <w:rsid w:val="00226BEF"/>
    <w:rsid w:val="00226E99"/>
    <w:rsid w:val="002271A2"/>
    <w:rsid w:val="00227613"/>
    <w:rsid w:val="00230A97"/>
    <w:rsid w:val="0023282C"/>
    <w:rsid w:val="002339B9"/>
    <w:rsid w:val="00236C7F"/>
    <w:rsid w:val="002378A0"/>
    <w:rsid w:val="00240179"/>
    <w:rsid w:val="00241D04"/>
    <w:rsid w:val="002426BE"/>
    <w:rsid w:val="002439E6"/>
    <w:rsid w:val="00244667"/>
    <w:rsid w:val="0024467E"/>
    <w:rsid w:val="00245FB4"/>
    <w:rsid w:val="0024606A"/>
    <w:rsid w:val="0024606B"/>
    <w:rsid w:val="00246CB2"/>
    <w:rsid w:val="00246F92"/>
    <w:rsid w:val="00247513"/>
    <w:rsid w:val="0024764D"/>
    <w:rsid w:val="00247C43"/>
    <w:rsid w:val="00247E35"/>
    <w:rsid w:val="00250885"/>
    <w:rsid w:val="002515EA"/>
    <w:rsid w:val="0025190A"/>
    <w:rsid w:val="00252046"/>
    <w:rsid w:val="00252422"/>
    <w:rsid w:val="00252BE3"/>
    <w:rsid w:val="00252E79"/>
    <w:rsid w:val="002532F7"/>
    <w:rsid w:val="00253E8D"/>
    <w:rsid w:val="00254370"/>
    <w:rsid w:val="00254A47"/>
    <w:rsid w:val="00255436"/>
    <w:rsid w:val="002558B5"/>
    <w:rsid w:val="002558F1"/>
    <w:rsid w:val="0025656F"/>
    <w:rsid w:val="002566BF"/>
    <w:rsid w:val="00256850"/>
    <w:rsid w:val="00256ED5"/>
    <w:rsid w:val="00256F2A"/>
    <w:rsid w:val="00256FAA"/>
    <w:rsid w:val="00257D56"/>
    <w:rsid w:val="00260443"/>
    <w:rsid w:val="00260FCC"/>
    <w:rsid w:val="00261AF6"/>
    <w:rsid w:val="00262E0A"/>
    <w:rsid w:val="002633D6"/>
    <w:rsid w:val="002639FC"/>
    <w:rsid w:val="00263C13"/>
    <w:rsid w:val="002648AE"/>
    <w:rsid w:val="00264B16"/>
    <w:rsid w:val="00265448"/>
    <w:rsid w:val="0026549E"/>
    <w:rsid w:val="00265C40"/>
    <w:rsid w:val="00266056"/>
    <w:rsid w:val="00266174"/>
    <w:rsid w:val="00266529"/>
    <w:rsid w:val="00266B74"/>
    <w:rsid w:val="00267201"/>
    <w:rsid w:val="00267783"/>
    <w:rsid w:val="002706AD"/>
    <w:rsid w:val="00271888"/>
    <w:rsid w:val="00271FA9"/>
    <w:rsid w:val="00272F67"/>
    <w:rsid w:val="0027382E"/>
    <w:rsid w:val="00273C69"/>
    <w:rsid w:val="002746EB"/>
    <w:rsid w:val="00274733"/>
    <w:rsid w:val="00274B74"/>
    <w:rsid w:val="00274CEF"/>
    <w:rsid w:val="00276136"/>
    <w:rsid w:val="00276362"/>
    <w:rsid w:val="002769C1"/>
    <w:rsid w:val="00276C56"/>
    <w:rsid w:val="00276DEC"/>
    <w:rsid w:val="00277384"/>
    <w:rsid w:val="00277B8C"/>
    <w:rsid w:val="00277F0A"/>
    <w:rsid w:val="00277FD8"/>
    <w:rsid w:val="00280089"/>
    <w:rsid w:val="00280B36"/>
    <w:rsid w:val="00280BDD"/>
    <w:rsid w:val="0028139D"/>
    <w:rsid w:val="002821F0"/>
    <w:rsid w:val="00282369"/>
    <w:rsid w:val="00282803"/>
    <w:rsid w:val="0028326D"/>
    <w:rsid w:val="0028566B"/>
    <w:rsid w:val="002857AB"/>
    <w:rsid w:val="002861C0"/>
    <w:rsid w:val="00286892"/>
    <w:rsid w:val="002874D6"/>
    <w:rsid w:val="00287DA4"/>
    <w:rsid w:val="00290B5B"/>
    <w:rsid w:val="00291686"/>
    <w:rsid w:val="00294002"/>
    <w:rsid w:val="0029400D"/>
    <w:rsid w:val="002946F7"/>
    <w:rsid w:val="00294D02"/>
    <w:rsid w:val="00294D85"/>
    <w:rsid w:val="00294E74"/>
    <w:rsid w:val="00295471"/>
    <w:rsid w:val="00295E1A"/>
    <w:rsid w:val="00296036"/>
    <w:rsid w:val="00296CF7"/>
    <w:rsid w:val="002973F3"/>
    <w:rsid w:val="00297549"/>
    <w:rsid w:val="002979F1"/>
    <w:rsid w:val="002A04DB"/>
    <w:rsid w:val="002A054F"/>
    <w:rsid w:val="002A0700"/>
    <w:rsid w:val="002A084A"/>
    <w:rsid w:val="002A0F41"/>
    <w:rsid w:val="002A1706"/>
    <w:rsid w:val="002A2043"/>
    <w:rsid w:val="002A286D"/>
    <w:rsid w:val="002A2A4E"/>
    <w:rsid w:val="002A2C69"/>
    <w:rsid w:val="002A3071"/>
    <w:rsid w:val="002A3603"/>
    <w:rsid w:val="002A4490"/>
    <w:rsid w:val="002A5081"/>
    <w:rsid w:val="002A64CD"/>
    <w:rsid w:val="002A663C"/>
    <w:rsid w:val="002A7798"/>
    <w:rsid w:val="002A7A15"/>
    <w:rsid w:val="002B0406"/>
    <w:rsid w:val="002B06F9"/>
    <w:rsid w:val="002B0EF5"/>
    <w:rsid w:val="002B102E"/>
    <w:rsid w:val="002B2019"/>
    <w:rsid w:val="002B2105"/>
    <w:rsid w:val="002B2EE4"/>
    <w:rsid w:val="002B3A78"/>
    <w:rsid w:val="002B4313"/>
    <w:rsid w:val="002B6017"/>
    <w:rsid w:val="002B6B18"/>
    <w:rsid w:val="002B793D"/>
    <w:rsid w:val="002B794D"/>
    <w:rsid w:val="002B7AC9"/>
    <w:rsid w:val="002C0237"/>
    <w:rsid w:val="002C066C"/>
    <w:rsid w:val="002C09C3"/>
    <w:rsid w:val="002C0BD9"/>
    <w:rsid w:val="002C0F55"/>
    <w:rsid w:val="002C11FF"/>
    <w:rsid w:val="002C12B7"/>
    <w:rsid w:val="002C1666"/>
    <w:rsid w:val="002C24AC"/>
    <w:rsid w:val="002C4544"/>
    <w:rsid w:val="002C4556"/>
    <w:rsid w:val="002C465E"/>
    <w:rsid w:val="002C492D"/>
    <w:rsid w:val="002C5AF7"/>
    <w:rsid w:val="002C5DFA"/>
    <w:rsid w:val="002C606F"/>
    <w:rsid w:val="002C65CE"/>
    <w:rsid w:val="002C7D41"/>
    <w:rsid w:val="002D07CB"/>
    <w:rsid w:val="002D08A1"/>
    <w:rsid w:val="002D154D"/>
    <w:rsid w:val="002D18B4"/>
    <w:rsid w:val="002D1EFF"/>
    <w:rsid w:val="002D2253"/>
    <w:rsid w:val="002D2E05"/>
    <w:rsid w:val="002D3FDB"/>
    <w:rsid w:val="002D415F"/>
    <w:rsid w:val="002D4BB2"/>
    <w:rsid w:val="002D645E"/>
    <w:rsid w:val="002E0A3B"/>
    <w:rsid w:val="002E320F"/>
    <w:rsid w:val="002E3496"/>
    <w:rsid w:val="002E4080"/>
    <w:rsid w:val="002E49FA"/>
    <w:rsid w:val="002E5C9B"/>
    <w:rsid w:val="002E6326"/>
    <w:rsid w:val="002E64ED"/>
    <w:rsid w:val="002E699A"/>
    <w:rsid w:val="002E7043"/>
    <w:rsid w:val="002E71B0"/>
    <w:rsid w:val="002E7E00"/>
    <w:rsid w:val="002F0370"/>
    <w:rsid w:val="002F09BF"/>
    <w:rsid w:val="002F0B42"/>
    <w:rsid w:val="002F1C31"/>
    <w:rsid w:val="002F32EB"/>
    <w:rsid w:val="002F33CE"/>
    <w:rsid w:val="002F4083"/>
    <w:rsid w:val="002F540E"/>
    <w:rsid w:val="002F69ED"/>
    <w:rsid w:val="002F6F1B"/>
    <w:rsid w:val="0030009B"/>
    <w:rsid w:val="003014CA"/>
    <w:rsid w:val="00301732"/>
    <w:rsid w:val="00301921"/>
    <w:rsid w:val="00303404"/>
    <w:rsid w:val="003038BC"/>
    <w:rsid w:val="00303B80"/>
    <w:rsid w:val="00303BF1"/>
    <w:rsid w:val="00303F30"/>
    <w:rsid w:val="00304C0E"/>
    <w:rsid w:val="003061D0"/>
    <w:rsid w:val="003069C8"/>
    <w:rsid w:val="00306F86"/>
    <w:rsid w:val="00307A90"/>
    <w:rsid w:val="00307ADD"/>
    <w:rsid w:val="0031021C"/>
    <w:rsid w:val="00310FD8"/>
    <w:rsid w:val="00311501"/>
    <w:rsid w:val="003115AE"/>
    <w:rsid w:val="00311A41"/>
    <w:rsid w:val="00311FD2"/>
    <w:rsid w:val="003123DF"/>
    <w:rsid w:val="0031280F"/>
    <w:rsid w:val="00313245"/>
    <w:rsid w:val="003133BC"/>
    <w:rsid w:val="00313D4C"/>
    <w:rsid w:val="003142B5"/>
    <w:rsid w:val="00314742"/>
    <w:rsid w:val="00314AC4"/>
    <w:rsid w:val="00314EFC"/>
    <w:rsid w:val="003158F2"/>
    <w:rsid w:val="00315F1D"/>
    <w:rsid w:val="0031659E"/>
    <w:rsid w:val="003176D9"/>
    <w:rsid w:val="00317704"/>
    <w:rsid w:val="00317B2C"/>
    <w:rsid w:val="00320B60"/>
    <w:rsid w:val="003225C1"/>
    <w:rsid w:val="003227C5"/>
    <w:rsid w:val="00322938"/>
    <w:rsid w:val="00322CBA"/>
    <w:rsid w:val="00322F98"/>
    <w:rsid w:val="00323950"/>
    <w:rsid w:val="00324EF1"/>
    <w:rsid w:val="00325B1C"/>
    <w:rsid w:val="00325EEA"/>
    <w:rsid w:val="00326D27"/>
    <w:rsid w:val="003272BD"/>
    <w:rsid w:val="00327547"/>
    <w:rsid w:val="003275C3"/>
    <w:rsid w:val="0032797B"/>
    <w:rsid w:val="00327E87"/>
    <w:rsid w:val="00327FF7"/>
    <w:rsid w:val="00330032"/>
    <w:rsid w:val="00330035"/>
    <w:rsid w:val="003302A8"/>
    <w:rsid w:val="0033096B"/>
    <w:rsid w:val="00330B30"/>
    <w:rsid w:val="0033140B"/>
    <w:rsid w:val="003321A6"/>
    <w:rsid w:val="00332230"/>
    <w:rsid w:val="00332877"/>
    <w:rsid w:val="00332945"/>
    <w:rsid w:val="00332D26"/>
    <w:rsid w:val="00332F5F"/>
    <w:rsid w:val="00333107"/>
    <w:rsid w:val="00333220"/>
    <w:rsid w:val="00333DAC"/>
    <w:rsid w:val="003352E1"/>
    <w:rsid w:val="003361CE"/>
    <w:rsid w:val="003368ED"/>
    <w:rsid w:val="0034037E"/>
    <w:rsid w:val="003411CF"/>
    <w:rsid w:val="00341D83"/>
    <w:rsid w:val="003428B9"/>
    <w:rsid w:val="00343161"/>
    <w:rsid w:val="003435EB"/>
    <w:rsid w:val="003443DD"/>
    <w:rsid w:val="00344535"/>
    <w:rsid w:val="00344ADD"/>
    <w:rsid w:val="00345B20"/>
    <w:rsid w:val="00345BBC"/>
    <w:rsid w:val="003470BD"/>
    <w:rsid w:val="003473C8"/>
    <w:rsid w:val="00350A4A"/>
    <w:rsid w:val="00350DE8"/>
    <w:rsid w:val="00351CE9"/>
    <w:rsid w:val="00352080"/>
    <w:rsid w:val="00352846"/>
    <w:rsid w:val="003536F3"/>
    <w:rsid w:val="00353E34"/>
    <w:rsid w:val="003542B2"/>
    <w:rsid w:val="00354443"/>
    <w:rsid w:val="00354D95"/>
    <w:rsid w:val="00354E2F"/>
    <w:rsid w:val="0035507B"/>
    <w:rsid w:val="0035509B"/>
    <w:rsid w:val="00355917"/>
    <w:rsid w:val="003560F6"/>
    <w:rsid w:val="00356735"/>
    <w:rsid w:val="003569CB"/>
    <w:rsid w:val="003575B0"/>
    <w:rsid w:val="0036026A"/>
    <w:rsid w:val="0036107F"/>
    <w:rsid w:val="0036228E"/>
    <w:rsid w:val="00362EF1"/>
    <w:rsid w:val="003633D0"/>
    <w:rsid w:val="003646FB"/>
    <w:rsid w:val="003648C8"/>
    <w:rsid w:val="00364FF2"/>
    <w:rsid w:val="0036704E"/>
    <w:rsid w:val="003707B1"/>
    <w:rsid w:val="00371237"/>
    <w:rsid w:val="00371427"/>
    <w:rsid w:val="00371782"/>
    <w:rsid w:val="00371B74"/>
    <w:rsid w:val="00372794"/>
    <w:rsid w:val="00372DCA"/>
    <w:rsid w:val="00373090"/>
    <w:rsid w:val="0037419C"/>
    <w:rsid w:val="00374BD6"/>
    <w:rsid w:val="00374C72"/>
    <w:rsid w:val="00374FE7"/>
    <w:rsid w:val="00375616"/>
    <w:rsid w:val="00375FB4"/>
    <w:rsid w:val="00376ADC"/>
    <w:rsid w:val="003771FA"/>
    <w:rsid w:val="003806A2"/>
    <w:rsid w:val="00380D14"/>
    <w:rsid w:val="0038115E"/>
    <w:rsid w:val="00381662"/>
    <w:rsid w:val="003819DA"/>
    <w:rsid w:val="00382253"/>
    <w:rsid w:val="003841F2"/>
    <w:rsid w:val="00384BD4"/>
    <w:rsid w:val="00384DC9"/>
    <w:rsid w:val="00384E30"/>
    <w:rsid w:val="0038534B"/>
    <w:rsid w:val="003857ED"/>
    <w:rsid w:val="00385899"/>
    <w:rsid w:val="00385976"/>
    <w:rsid w:val="003866BD"/>
    <w:rsid w:val="0038711A"/>
    <w:rsid w:val="003877AD"/>
    <w:rsid w:val="003907D4"/>
    <w:rsid w:val="00390C93"/>
    <w:rsid w:val="0039105D"/>
    <w:rsid w:val="00391DEB"/>
    <w:rsid w:val="003948AB"/>
    <w:rsid w:val="00394978"/>
    <w:rsid w:val="00394A79"/>
    <w:rsid w:val="00396D41"/>
    <w:rsid w:val="0039733E"/>
    <w:rsid w:val="00397CFD"/>
    <w:rsid w:val="00397E40"/>
    <w:rsid w:val="00397EAB"/>
    <w:rsid w:val="003A04B2"/>
    <w:rsid w:val="003A1F07"/>
    <w:rsid w:val="003A310A"/>
    <w:rsid w:val="003A3303"/>
    <w:rsid w:val="003A36E8"/>
    <w:rsid w:val="003A3EC7"/>
    <w:rsid w:val="003A4130"/>
    <w:rsid w:val="003A429F"/>
    <w:rsid w:val="003A461A"/>
    <w:rsid w:val="003A465F"/>
    <w:rsid w:val="003A4738"/>
    <w:rsid w:val="003A6A92"/>
    <w:rsid w:val="003A704F"/>
    <w:rsid w:val="003A70D4"/>
    <w:rsid w:val="003A7984"/>
    <w:rsid w:val="003A79B3"/>
    <w:rsid w:val="003B0180"/>
    <w:rsid w:val="003B01E3"/>
    <w:rsid w:val="003B05E5"/>
    <w:rsid w:val="003B13CD"/>
    <w:rsid w:val="003B14E5"/>
    <w:rsid w:val="003B1F7D"/>
    <w:rsid w:val="003B1FB5"/>
    <w:rsid w:val="003B2C5C"/>
    <w:rsid w:val="003B3094"/>
    <w:rsid w:val="003B38C7"/>
    <w:rsid w:val="003B4161"/>
    <w:rsid w:val="003B4402"/>
    <w:rsid w:val="003B465F"/>
    <w:rsid w:val="003B48C6"/>
    <w:rsid w:val="003B4DF7"/>
    <w:rsid w:val="003B50C5"/>
    <w:rsid w:val="003B51C7"/>
    <w:rsid w:val="003B5B1B"/>
    <w:rsid w:val="003B62B0"/>
    <w:rsid w:val="003B64E1"/>
    <w:rsid w:val="003B672E"/>
    <w:rsid w:val="003B69CB"/>
    <w:rsid w:val="003B73F5"/>
    <w:rsid w:val="003B781B"/>
    <w:rsid w:val="003C05D3"/>
    <w:rsid w:val="003C0CDC"/>
    <w:rsid w:val="003C28F4"/>
    <w:rsid w:val="003C2A3F"/>
    <w:rsid w:val="003C3525"/>
    <w:rsid w:val="003C35B8"/>
    <w:rsid w:val="003C3D13"/>
    <w:rsid w:val="003C3E3C"/>
    <w:rsid w:val="003C424C"/>
    <w:rsid w:val="003C4E50"/>
    <w:rsid w:val="003C566E"/>
    <w:rsid w:val="003C5E00"/>
    <w:rsid w:val="003C5F39"/>
    <w:rsid w:val="003C612C"/>
    <w:rsid w:val="003C64F8"/>
    <w:rsid w:val="003C6717"/>
    <w:rsid w:val="003C6D89"/>
    <w:rsid w:val="003C7836"/>
    <w:rsid w:val="003C7D17"/>
    <w:rsid w:val="003D0566"/>
    <w:rsid w:val="003D1070"/>
    <w:rsid w:val="003D14C9"/>
    <w:rsid w:val="003D1970"/>
    <w:rsid w:val="003D2105"/>
    <w:rsid w:val="003D21BD"/>
    <w:rsid w:val="003D230A"/>
    <w:rsid w:val="003D28E9"/>
    <w:rsid w:val="003D31FB"/>
    <w:rsid w:val="003D3299"/>
    <w:rsid w:val="003D364A"/>
    <w:rsid w:val="003D38EC"/>
    <w:rsid w:val="003D3D0E"/>
    <w:rsid w:val="003D3ED7"/>
    <w:rsid w:val="003D5489"/>
    <w:rsid w:val="003D5A4C"/>
    <w:rsid w:val="003D5A7D"/>
    <w:rsid w:val="003D5B71"/>
    <w:rsid w:val="003D5BF1"/>
    <w:rsid w:val="003D6163"/>
    <w:rsid w:val="003D6453"/>
    <w:rsid w:val="003D662F"/>
    <w:rsid w:val="003D70AF"/>
    <w:rsid w:val="003D7AED"/>
    <w:rsid w:val="003E0359"/>
    <w:rsid w:val="003E127E"/>
    <w:rsid w:val="003E1880"/>
    <w:rsid w:val="003E18BB"/>
    <w:rsid w:val="003E1DB6"/>
    <w:rsid w:val="003E22B2"/>
    <w:rsid w:val="003E2B46"/>
    <w:rsid w:val="003E5354"/>
    <w:rsid w:val="003E5442"/>
    <w:rsid w:val="003E5681"/>
    <w:rsid w:val="003E68C1"/>
    <w:rsid w:val="003E6C8C"/>
    <w:rsid w:val="003E6FCC"/>
    <w:rsid w:val="003E717C"/>
    <w:rsid w:val="003E76A3"/>
    <w:rsid w:val="003F04F1"/>
    <w:rsid w:val="003F0ECB"/>
    <w:rsid w:val="003F128C"/>
    <w:rsid w:val="003F26E7"/>
    <w:rsid w:val="003F325D"/>
    <w:rsid w:val="003F4608"/>
    <w:rsid w:val="003F5633"/>
    <w:rsid w:val="003F5B28"/>
    <w:rsid w:val="003F6A3A"/>
    <w:rsid w:val="003F6B16"/>
    <w:rsid w:val="003F7755"/>
    <w:rsid w:val="003F7A95"/>
    <w:rsid w:val="003F7AD8"/>
    <w:rsid w:val="003F7F11"/>
    <w:rsid w:val="003F7FF3"/>
    <w:rsid w:val="00400B99"/>
    <w:rsid w:val="00403988"/>
    <w:rsid w:val="00404118"/>
    <w:rsid w:val="00405A03"/>
    <w:rsid w:val="00405B7C"/>
    <w:rsid w:val="00405DC0"/>
    <w:rsid w:val="00405ED0"/>
    <w:rsid w:val="0040626C"/>
    <w:rsid w:val="00406792"/>
    <w:rsid w:val="004073DD"/>
    <w:rsid w:val="00407D3C"/>
    <w:rsid w:val="00410FC4"/>
    <w:rsid w:val="004111E2"/>
    <w:rsid w:val="004111F5"/>
    <w:rsid w:val="00411434"/>
    <w:rsid w:val="0041164B"/>
    <w:rsid w:val="0041185E"/>
    <w:rsid w:val="00411B87"/>
    <w:rsid w:val="004128A5"/>
    <w:rsid w:val="00412EFD"/>
    <w:rsid w:val="00413FD2"/>
    <w:rsid w:val="004141BF"/>
    <w:rsid w:val="004145E4"/>
    <w:rsid w:val="004211F7"/>
    <w:rsid w:val="004213A6"/>
    <w:rsid w:val="004213DF"/>
    <w:rsid w:val="00421759"/>
    <w:rsid w:val="004219EB"/>
    <w:rsid w:val="00421C6E"/>
    <w:rsid w:val="00421DC4"/>
    <w:rsid w:val="00421FF9"/>
    <w:rsid w:val="0042249A"/>
    <w:rsid w:val="00422FBC"/>
    <w:rsid w:val="0042447B"/>
    <w:rsid w:val="00424C3C"/>
    <w:rsid w:val="00425142"/>
    <w:rsid w:val="004253AF"/>
    <w:rsid w:val="004257C1"/>
    <w:rsid w:val="00425DF7"/>
    <w:rsid w:val="00425ECD"/>
    <w:rsid w:val="0042634A"/>
    <w:rsid w:val="00427213"/>
    <w:rsid w:val="00430383"/>
    <w:rsid w:val="00430D80"/>
    <w:rsid w:val="004318E0"/>
    <w:rsid w:val="00432196"/>
    <w:rsid w:val="00432384"/>
    <w:rsid w:val="0043256C"/>
    <w:rsid w:val="00432B12"/>
    <w:rsid w:val="00433900"/>
    <w:rsid w:val="004340E7"/>
    <w:rsid w:val="0043448E"/>
    <w:rsid w:val="00434B82"/>
    <w:rsid w:val="00434C17"/>
    <w:rsid w:val="00435E7A"/>
    <w:rsid w:val="00436411"/>
    <w:rsid w:val="004369BE"/>
    <w:rsid w:val="00436C05"/>
    <w:rsid w:val="004374D8"/>
    <w:rsid w:val="0043752D"/>
    <w:rsid w:val="00437C5A"/>
    <w:rsid w:val="004406C3"/>
    <w:rsid w:val="00441762"/>
    <w:rsid w:val="00442C27"/>
    <w:rsid w:val="00442E8D"/>
    <w:rsid w:val="004438EA"/>
    <w:rsid w:val="00443A59"/>
    <w:rsid w:val="0044456C"/>
    <w:rsid w:val="00444963"/>
    <w:rsid w:val="00444D05"/>
    <w:rsid w:val="00444EBA"/>
    <w:rsid w:val="00445F3B"/>
    <w:rsid w:val="004465B5"/>
    <w:rsid w:val="00446899"/>
    <w:rsid w:val="00446C62"/>
    <w:rsid w:val="00447A44"/>
    <w:rsid w:val="00447BAF"/>
    <w:rsid w:val="0045083D"/>
    <w:rsid w:val="00450F96"/>
    <w:rsid w:val="0045127E"/>
    <w:rsid w:val="0045228F"/>
    <w:rsid w:val="004522EE"/>
    <w:rsid w:val="004529DF"/>
    <w:rsid w:val="004532C0"/>
    <w:rsid w:val="004539D3"/>
    <w:rsid w:val="00454851"/>
    <w:rsid w:val="00454BD6"/>
    <w:rsid w:val="004555CA"/>
    <w:rsid w:val="00455863"/>
    <w:rsid w:val="00455FC5"/>
    <w:rsid w:val="0045686E"/>
    <w:rsid w:val="004568C0"/>
    <w:rsid w:val="00457FD6"/>
    <w:rsid w:val="004616AD"/>
    <w:rsid w:val="00461FBA"/>
    <w:rsid w:val="004621BC"/>
    <w:rsid w:val="004625A4"/>
    <w:rsid w:val="00462702"/>
    <w:rsid w:val="0046287A"/>
    <w:rsid w:val="004628F0"/>
    <w:rsid w:val="004644D8"/>
    <w:rsid w:val="00466B3E"/>
    <w:rsid w:val="00466B69"/>
    <w:rsid w:val="0046763D"/>
    <w:rsid w:val="00467B4A"/>
    <w:rsid w:val="00470632"/>
    <w:rsid w:val="0047122E"/>
    <w:rsid w:val="00472AEA"/>
    <w:rsid w:val="00473B42"/>
    <w:rsid w:val="0047462C"/>
    <w:rsid w:val="00474B61"/>
    <w:rsid w:val="00475465"/>
    <w:rsid w:val="0047598F"/>
    <w:rsid w:val="00476D1F"/>
    <w:rsid w:val="00477E7B"/>
    <w:rsid w:val="004800BB"/>
    <w:rsid w:val="004803C3"/>
    <w:rsid w:val="004815F9"/>
    <w:rsid w:val="00481F5D"/>
    <w:rsid w:val="00482083"/>
    <w:rsid w:val="004821D9"/>
    <w:rsid w:val="00482300"/>
    <w:rsid w:val="00482A8F"/>
    <w:rsid w:val="00482E12"/>
    <w:rsid w:val="0048409B"/>
    <w:rsid w:val="00484E3D"/>
    <w:rsid w:val="00485132"/>
    <w:rsid w:val="00485F00"/>
    <w:rsid w:val="00486AB6"/>
    <w:rsid w:val="00486E20"/>
    <w:rsid w:val="004910E1"/>
    <w:rsid w:val="0049154F"/>
    <w:rsid w:val="0049290F"/>
    <w:rsid w:val="004929B3"/>
    <w:rsid w:val="00493000"/>
    <w:rsid w:val="004939F9"/>
    <w:rsid w:val="00493D78"/>
    <w:rsid w:val="00494202"/>
    <w:rsid w:val="00494382"/>
    <w:rsid w:val="0049466D"/>
    <w:rsid w:val="00494ECE"/>
    <w:rsid w:val="0049535C"/>
    <w:rsid w:val="00495485"/>
    <w:rsid w:val="0049569D"/>
    <w:rsid w:val="00495DAE"/>
    <w:rsid w:val="00496587"/>
    <w:rsid w:val="004972E2"/>
    <w:rsid w:val="0049738D"/>
    <w:rsid w:val="004A0198"/>
    <w:rsid w:val="004A03C7"/>
    <w:rsid w:val="004A0875"/>
    <w:rsid w:val="004A11FF"/>
    <w:rsid w:val="004A3A45"/>
    <w:rsid w:val="004A3E53"/>
    <w:rsid w:val="004A4286"/>
    <w:rsid w:val="004A43A4"/>
    <w:rsid w:val="004A4491"/>
    <w:rsid w:val="004A5A76"/>
    <w:rsid w:val="004A5B44"/>
    <w:rsid w:val="004A658C"/>
    <w:rsid w:val="004A65BC"/>
    <w:rsid w:val="004A79BF"/>
    <w:rsid w:val="004B0379"/>
    <w:rsid w:val="004B0A9F"/>
    <w:rsid w:val="004B0E2D"/>
    <w:rsid w:val="004B0FE6"/>
    <w:rsid w:val="004B11D9"/>
    <w:rsid w:val="004B3699"/>
    <w:rsid w:val="004B393E"/>
    <w:rsid w:val="004B3AED"/>
    <w:rsid w:val="004B60FA"/>
    <w:rsid w:val="004B7652"/>
    <w:rsid w:val="004C077A"/>
    <w:rsid w:val="004C15F4"/>
    <w:rsid w:val="004C1F20"/>
    <w:rsid w:val="004C2E8B"/>
    <w:rsid w:val="004C2FAA"/>
    <w:rsid w:val="004C34D9"/>
    <w:rsid w:val="004C4410"/>
    <w:rsid w:val="004C52B2"/>
    <w:rsid w:val="004C54CA"/>
    <w:rsid w:val="004C5693"/>
    <w:rsid w:val="004C57A8"/>
    <w:rsid w:val="004C62AF"/>
    <w:rsid w:val="004C6792"/>
    <w:rsid w:val="004C7546"/>
    <w:rsid w:val="004C7899"/>
    <w:rsid w:val="004C7939"/>
    <w:rsid w:val="004D011D"/>
    <w:rsid w:val="004D0B50"/>
    <w:rsid w:val="004D12D8"/>
    <w:rsid w:val="004D1B63"/>
    <w:rsid w:val="004D1D1C"/>
    <w:rsid w:val="004D28C5"/>
    <w:rsid w:val="004D304E"/>
    <w:rsid w:val="004D3080"/>
    <w:rsid w:val="004D4474"/>
    <w:rsid w:val="004D55C3"/>
    <w:rsid w:val="004D5806"/>
    <w:rsid w:val="004D5E3E"/>
    <w:rsid w:val="004D6C75"/>
    <w:rsid w:val="004D6F46"/>
    <w:rsid w:val="004E006B"/>
    <w:rsid w:val="004E1086"/>
    <w:rsid w:val="004E20D7"/>
    <w:rsid w:val="004E242A"/>
    <w:rsid w:val="004E25E0"/>
    <w:rsid w:val="004E3CD0"/>
    <w:rsid w:val="004E3F87"/>
    <w:rsid w:val="004E4323"/>
    <w:rsid w:val="004E464C"/>
    <w:rsid w:val="004E4C0C"/>
    <w:rsid w:val="004E5381"/>
    <w:rsid w:val="004E561D"/>
    <w:rsid w:val="004E58C9"/>
    <w:rsid w:val="004E5AF3"/>
    <w:rsid w:val="004E5D60"/>
    <w:rsid w:val="004E63E0"/>
    <w:rsid w:val="004E6C14"/>
    <w:rsid w:val="004E6CC6"/>
    <w:rsid w:val="004E77B8"/>
    <w:rsid w:val="004E78B3"/>
    <w:rsid w:val="004F0453"/>
    <w:rsid w:val="004F1594"/>
    <w:rsid w:val="004F1FD7"/>
    <w:rsid w:val="004F206D"/>
    <w:rsid w:val="004F26B4"/>
    <w:rsid w:val="004F2D08"/>
    <w:rsid w:val="004F31E1"/>
    <w:rsid w:val="004F3B5A"/>
    <w:rsid w:val="004F3C7A"/>
    <w:rsid w:val="004F4298"/>
    <w:rsid w:val="004F4A6F"/>
    <w:rsid w:val="004F510B"/>
    <w:rsid w:val="004F557C"/>
    <w:rsid w:val="004F55BD"/>
    <w:rsid w:val="004F686E"/>
    <w:rsid w:val="00500246"/>
    <w:rsid w:val="00500B80"/>
    <w:rsid w:val="00500D32"/>
    <w:rsid w:val="00502400"/>
    <w:rsid w:val="0050289F"/>
    <w:rsid w:val="0050327E"/>
    <w:rsid w:val="0050459D"/>
    <w:rsid w:val="00504EF8"/>
    <w:rsid w:val="005052AB"/>
    <w:rsid w:val="0050530E"/>
    <w:rsid w:val="005058F7"/>
    <w:rsid w:val="00505CE9"/>
    <w:rsid w:val="00506146"/>
    <w:rsid w:val="0050650D"/>
    <w:rsid w:val="005065D2"/>
    <w:rsid w:val="005073EF"/>
    <w:rsid w:val="00510AC8"/>
    <w:rsid w:val="0051152C"/>
    <w:rsid w:val="005115C1"/>
    <w:rsid w:val="00511D2A"/>
    <w:rsid w:val="00511DBE"/>
    <w:rsid w:val="00511F89"/>
    <w:rsid w:val="005133B3"/>
    <w:rsid w:val="00513563"/>
    <w:rsid w:val="0051364F"/>
    <w:rsid w:val="00513A0C"/>
    <w:rsid w:val="0051429B"/>
    <w:rsid w:val="005143B0"/>
    <w:rsid w:val="0051451A"/>
    <w:rsid w:val="00514802"/>
    <w:rsid w:val="005151E9"/>
    <w:rsid w:val="00515CCC"/>
    <w:rsid w:val="00516B27"/>
    <w:rsid w:val="005207D2"/>
    <w:rsid w:val="00520F46"/>
    <w:rsid w:val="00521B89"/>
    <w:rsid w:val="00522ED7"/>
    <w:rsid w:val="00522F24"/>
    <w:rsid w:val="00523033"/>
    <w:rsid w:val="0052388F"/>
    <w:rsid w:val="00524C94"/>
    <w:rsid w:val="00524FFB"/>
    <w:rsid w:val="0052541E"/>
    <w:rsid w:val="00525F99"/>
    <w:rsid w:val="00526AA2"/>
    <w:rsid w:val="00526DC2"/>
    <w:rsid w:val="00526E2A"/>
    <w:rsid w:val="005302DB"/>
    <w:rsid w:val="00530B06"/>
    <w:rsid w:val="00530B58"/>
    <w:rsid w:val="00531C0F"/>
    <w:rsid w:val="00532287"/>
    <w:rsid w:val="0053401A"/>
    <w:rsid w:val="00534AE2"/>
    <w:rsid w:val="00534BDB"/>
    <w:rsid w:val="00536CC0"/>
    <w:rsid w:val="00537EFE"/>
    <w:rsid w:val="00537F43"/>
    <w:rsid w:val="005421E7"/>
    <w:rsid w:val="0054242D"/>
    <w:rsid w:val="00542EDF"/>
    <w:rsid w:val="005446AD"/>
    <w:rsid w:val="00545616"/>
    <w:rsid w:val="00545667"/>
    <w:rsid w:val="00545910"/>
    <w:rsid w:val="005474F6"/>
    <w:rsid w:val="00547C18"/>
    <w:rsid w:val="00547E0E"/>
    <w:rsid w:val="00550339"/>
    <w:rsid w:val="00551FEA"/>
    <w:rsid w:val="005522E5"/>
    <w:rsid w:val="005525C8"/>
    <w:rsid w:val="00552B80"/>
    <w:rsid w:val="00552EF5"/>
    <w:rsid w:val="0055378F"/>
    <w:rsid w:val="00553B83"/>
    <w:rsid w:val="0055429B"/>
    <w:rsid w:val="0055493A"/>
    <w:rsid w:val="00554C9F"/>
    <w:rsid w:val="00555F90"/>
    <w:rsid w:val="00556048"/>
    <w:rsid w:val="00556B05"/>
    <w:rsid w:val="00557027"/>
    <w:rsid w:val="005573CF"/>
    <w:rsid w:val="00557B23"/>
    <w:rsid w:val="00560922"/>
    <w:rsid w:val="00560A8A"/>
    <w:rsid w:val="00560BEC"/>
    <w:rsid w:val="0056119B"/>
    <w:rsid w:val="005611CC"/>
    <w:rsid w:val="005615B4"/>
    <w:rsid w:val="0056181A"/>
    <w:rsid w:val="00561EED"/>
    <w:rsid w:val="005622F2"/>
    <w:rsid w:val="00562BF0"/>
    <w:rsid w:val="00562D02"/>
    <w:rsid w:val="00563015"/>
    <w:rsid w:val="00563422"/>
    <w:rsid w:val="00563CA7"/>
    <w:rsid w:val="00565EE4"/>
    <w:rsid w:val="00567753"/>
    <w:rsid w:val="00570046"/>
    <w:rsid w:val="005708F2"/>
    <w:rsid w:val="00570AF1"/>
    <w:rsid w:val="005710A4"/>
    <w:rsid w:val="00571CC0"/>
    <w:rsid w:val="0057222A"/>
    <w:rsid w:val="005733D6"/>
    <w:rsid w:val="0057377C"/>
    <w:rsid w:val="00573DFC"/>
    <w:rsid w:val="00574082"/>
    <w:rsid w:val="005740F6"/>
    <w:rsid w:val="0057440A"/>
    <w:rsid w:val="00575296"/>
    <w:rsid w:val="005759CE"/>
    <w:rsid w:val="00576416"/>
    <w:rsid w:val="0057697C"/>
    <w:rsid w:val="0057719F"/>
    <w:rsid w:val="0057747C"/>
    <w:rsid w:val="00577CF9"/>
    <w:rsid w:val="00580DBA"/>
    <w:rsid w:val="005818F2"/>
    <w:rsid w:val="00581EB9"/>
    <w:rsid w:val="00582CFC"/>
    <w:rsid w:val="00582D17"/>
    <w:rsid w:val="00583247"/>
    <w:rsid w:val="005847B8"/>
    <w:rsid w:val="0058508A"/>
    <w:rsid w:val="00585142"/>
    <w:rsid w:val="0058552E"/>
    <w:rsid w:val="005855F1"/>
    <w:rsid w:val="00585708"/>
    <w:rsid w:val="005857EA"/>
    <w:rsid w:val="00585E67"/>
    <w:rsid w:val="0058687F"/>
    <w:rsid w:val="00586F13"/>
    <w:rsid w:val="005872BC"/>
    <w:rsid w:val="0058750B"/>
    <w:rsid w:val="00587843"/>
    <w:rsid w:val="00590045"/>
    <w:rsid w:val="00590423"/>
    <w:rsid w:val="0059082F"/>
    <w:rsid w:val="0059143A"/>
    <w:rsid w:val="00591D75"/>
    <w:rsid w:val="00592893"/>
    <w:rsid w:val="00592DE7"/>
    <w:rsid w:val="005933E6"/>
    <w:rsid w:val="00594411"/>
    <w:rsid w:val="0059586D"/>
    <w:rsid w:val="0059588C"/>
    <w:rsid w:val="00595B14"/>
    <w:rsid w:val="00595C6D"/>
    <w:rsid w:val="00595F5E"/>
    <w:rsid w:val="00596660"/>
    <w:rsid w:val="005969C5"/>
    <w:rsid w:val="00596B7D"/>
    <w:rsid w:val="00596BC9"/>
    <w:rsid w:val="00596CB7"/>
    <w:rsid w:val="00597633"/>
    <w:rsid w:val="00597880"/>
    <w:rsid w:val="00597AFE"/>
    <w:rsid w:val="005A1012"/>
    <w:rsid w:val="005A17DD"/>
    <w:rsid w:val="005A192C"/>
    <w:rsid w:val="005A1F87"/>
    <w:rsid w:val="005A227D"/>
    <w:rsid w:val="005A22AE"/>
    <w:rsid w:val="005A2558"/>
    <w:rsid w:val="005A2649"/>
    <w:rsid w:val="005A2A1C"/>
    <w:rsid w:val="005A2CCB"/>
    <w:rsid w:val="005A36B2"/>
    <w:rsid w:val="005A36DF"/>
    <w:rsid w:val="005A4295"/>
    <w:rsid w:val="005A4627"/>
    <w:rsid w:val="005A5833"/>
    <w:rsid w:val="005A6781"/>
    <w:rsid w:val="005A6A9F"/>
    <w:rsid w:val="005A7BB9"/>
    <w:rsid w:val="005B0148"/>
    <w:rsid w:val="005B06B8"/>
    <w:rsid w:val="005B2888"/>
    <w:rsid w:val="005B49AF"/>
    <w:rsid w:val="005B507E"/>
    <w:rsid w:val="005B53F0"/>
    <w:rsid w:val="005B6503"/>
    <w:rsid w:val="005B65E1"/>
    <w:rsid w:val="005B6603"/>
    <w:rsid w:val="005B74F0"/>
    <w:rsid w:val="005B78A7"/>
    <w:rsid w:val="005C0D1F"/>
    <w:rsid w:val="005C0D65"/>
    <w:rsid w:val="005C1009"/>
    <w:rsid w:val="005C10A7"/>
    <w:rsid w:val="005C1290"/>
    <w:rsid w:val="005C1760"/>
    <w:rsid w:val="005C1806"/>
    <w:rsid w:val="005C19EA"/>
    <w:rsid w:val="005C255F"/>
    <w:rsid w:val="005C26FC"/>
    <w:rsid w:val="005C27F2"/>
    <w:rsid w:val="005C2B66"/>
    <w:rsid w:val="005C2F50"/>
    <w:rsid w:val="005C3B16"/>
    <w:rsid w:val="005C3D88"/>
    <w:rsid w:val="005C3FBE"/>
    <w:rsid w:val="005C4549"/>
    <w:rsid w:val="005C60DC"/>
    <w:rsid w:val="005C6DA4"/>
    <w:rsid w:val="005C6E50"/>
    <w:rsid w:val="005C72B8"/>
    <w:rsid w:val="005C7675"/>
    <w:rsid w:val="005C7694"/>
    <w:rsid w:val="005D0B03"/>
    <w:rsid w:val="005D0B94"/>
    <w:rsid w:val="005D10C0"/>
    <w:rsid w:val="005D1884"/>
    <w:rsid w:val="005D1AFD"/>
    <w:rsid w:val="005D23DF"/>
    <w:rsid w:val="005D24DF"/>
    <w:rsid w:val="005D2A82"/>
    <w:rsid w:val="005D36AD"/>
    <w:rsid w:val="005D3D74"/>
    <w:rsid w:val="005D47EE"/>
    <w:rsid w:val="005D4E5C"/>
    <w:rsid w:val="005D67D8"/>
    <w:rsid w:val="005D6BDC"/>
    <w:rsid w:val="005D72EB"/>
    <w:rsid w:val="005D7966"/>
    <w:rsid w:val="005E1257"/>
    <w:rsid w:val="005E1506"/>
    <w:rsid w:val="005E1810"/>
    <w:rsid w:val="005E208A"/>
    <w:rsid w:val="005E3157"/>
    <w:rsid w:val="005E356C"/>
    <w:rsid w:val="005E47F3"/>
    <w:rsid w:val="005E4970"/>
    <w:rsid w:val="005E4E17"/>
    <w:rsid w:val="005E60DA"/>
    <w:rsid w:val="005E60DD"/>
    <w:rsid w:val="005E62E2"/>
    <w:rsid w:val="005E6790"/>
    <w:rsid w:val="005E767E"/>
    <w:rsid w:val="005E7A47"/>
    <w:rsid w:val="005F01C7"/>
    <w:rsid w:val="005F03A0"/>
    <w:rsid w:val="005F0606"/>
    <w:rsid w:val="005F0EEB"/>
    <w:rsid w:val="005F28B4"/>
    <w:rsid w:val="005F314E"/>
    <w:rsid w:val="005F3334"/>
    <w:rsid w:val="005F394A"/>
    <w:rsid w:val="005F4360"/>
    <w:rsid w:val="005F51AD"/>
    <w:rsid w:val="005F64F0"/>
    <w:rsid w:val="005F686F"/>
    <w:rsid w:val="005F7162"/>
    <w:rsid w:val="005F7EF6"/>
    <w:rsid w:val="005F7F41"/>
    <w:rsid w:val="00600958"/>
    <w:rsid w:val="00600A7E"/>
    <w:rsid w:val="00600D64"/>
    <w:rsid w:val="006015C0"/>
    <w:rsid w:val="0060195B"/>
    <w:rsid w:val="006030FF"/>
    <w:rsid w:val="00603DC9"/>
    <w:rsid w:val="006043BD"/>
    <w:rsid w:val="00604799"/>
    <w:rsid w:val="00604B4A"/>
    <w:rsid w:val="0060570D"/>
    <w:rsid w:val="006059B9"/>
    <w:rsid w:val="00606CB9"/>
    <w:rsid w:val="0060794C"/>
    <w:rsid w:val="00610424"/>
    <w:rsid w:val="006106D7"/>
    <w:rsid w:val="00610973"/>
    <w:rsid w:val="00610992"/>
    <w:rsid w:val="00611D00"/>
    <w:rsid w:val="00611F59"/>
    <w:rsid w:val="00613034"/>
    <w:rsid w:val="00613365"/>
    <w:rsid w:val="00613C38"/>
    <w:rsid w:val="006141D0"/>
    <w:rsid w:val="00614A2F"/>
    <w:rsid w:val="00615D6B"/>
    <w:rsid w:val="006178FB"/>
    <w:rsid w:val="00617F53"/>
    <w:rsid w:val="006213DD"/>
    <w:rsid w:val="0062169F"/>
    <w:rsid w:val="0062211B"/>
    <w:rsid w:val="0062296E"/>
    <w:rsid w:val="0062335E"/>
    <w:rsid w:val="006249B0"/>
    <w:rsid w:val="00624BA7"/>
    <w:rsid w:val="00624BBE"/>
    <w:rsid w:val="00624BD8"/>
    <w:rsid w:val="0062539E"/>
    <w:rsid w:val="00625C1B"/>
    <w:rsid w:val="006261CC"/>
    <w:rsid w:val="006265E8"/>
    <w:rsid w:val="00626C95"/>
    <w:rsid w:val="00626F2C"/>
    <w:rsid w:val="00626FE3"/>
    <w:rsid w:val="006276F8"/>
    <w:rsid w:val="00627C39"/>
    <w:rsid w:val="00627E53"/>
    <w:rsid w:val="00630169"/>
    <w:rsid w:val="00631D76"/>
    <w:rsid w:val="00631E33"/>
    <w:rsid w:val="00632779"/>
    <w:rsid w:val="00632ABF"/>
    <w:rsid w:val="006331E4"/>
    <w:rsid w:val="00634271"/>
    <w:rsid w:val="00634D35"/>
    <w:rsid w:val="006360F2"/>
    <w:rsid w:val="00637788"/>
    <w:rsid w:val="0064156B"/>
    <w:rsid w:val="00643A2B"/>
    <w:rsid w:val="00643B5C"/>
    <w:rsid w:val="00644544"/>
    <w:rsid w:val="006460FC"/>
    <w:rsid w:val="006461A8"/>
    <w:rsid w:val="006463EA"/>
    <w:rsid w:val="006464A6"/>
    <w:rsid w:val="006474F8"/>
    <w:rsid w:val="00647B35"/>
    <w:rsid w:val="00650976"/>
    <w:rsid w:val="006519AB"/>
    <w:rsid w:val="00652517"/>
    <w:rsid w:val="00653438"/>
    <w:rsid w:val="00653CDB"/>
    <w:rsid w:val="0065518B"/>
    <w:rsid w:val="00655B2C"/>
    <w:rsid w:val="006567E4"/>
    <w:rsid w:val="00656A65"/>
    <w:rsid w:val="00656B0B"/>
    <w:rsid w:val="00657867"/>
    <w:rsid w:val="006600D7"/>
    <w:rsid w:val="00660FE3"/>
    <w:rsid w:val="00661306"/>
    <w:rsid w:val="00661988"/>
    <w:rsid w:val="00662042"/>
    <w:rsid w:val="006620F2"/>
    <w:rsid w:val="00663424"/>
    <w:rsid w:val="0066569C"/>
    <w:rsid w:val="00667053"/>
    <w:rsid w:val="0066771D"/>
    <w:rsid w:val="00667731"/>
    <w:rsid w:val="00670703"/>
    <w:rsid w:val="00670844"/>
    <w:rsid w:val="00671836"/>
    <w:rsid w:val="00672620"/>
    <w:rsid w:val="006727B5"/>
    <w:rsid w:val="006727C8"/>
    <w:rsid w:val="006728E5"/>
    <w:rsid w:val="00672CA7"/>
    <w:rsid w:val="00672CF6"/>
    <w:rsid w:val="00672DDE"/>
    <w:rsid w:val="00673055"/>
    <w:rsid w:val="00673DDF"/>
    <w:rsid w:val="00673E9A"/>
    <w:rsid w:val="00674942"/>
    <w:rsid w:val="00674DAF"/>
    <w:rsid w:val="00675931"/>
    <w:rsid w:val="00675F7E"/>
    <w:rsid w:val="00676275"/>
    <w:rsid w:val="00676CD0"/>
    <w:rsid w:val="006771CB"/>
    <w:rsid w:val="00677216"/>
    <w:rsid w:val="00681813"/>
    <w:rsid w:val="00682B63"/>
    <w:rsid w:val="00682F66"/>
    <w:rsid w:val="00683257"/>
    <w:rsid w:val="00683C16"/>
    <w:rsid w:val="00683E7A"/>
    <w:rsid w:val="00683F6F"/>
    <w:rsid w:val="00684838"/>
    <w:rsid w:val="006848B9"/>
    <w:rsid w:val="006850F0"/>
    <w:rsid w:val="00685914"/>
    <w:rsid w:val="00686105"/>
    <w:rsid w:val="00686256"/>
    <w:rsid w:val="0068632B"/>
    <w:rsid w:val="00687088"/>
    <w:rsid w:val="0069086B"/>
    <w:rsid w:val="0069169A"/>
    <w:rsid w:val="00691A47"/>
    <w:rsid w:val="00691E69"/>
    <w:rsid w:val="00691ECC"/>
    <w:rsid w:val="0069256F"/>
    <w:rsid w:val="0069285A"/>
    <w:rsid w:val="00692EE7"/>
    <w:rsid w:val="00693049"/>
    <w:rsid w:val="006938B0"/>
    <w:rsid w:val="0069464E"/>
    <w:rsid w:val="00695154"/>
    <w:rsid w:val="006960A8"/>
    <w:rsid w:val="00696A63"/>
    <w:rsid w:val="006976C5"/>
    <w:rsid w:val="006A0ABA"/>
    <w:rsid w:val="006A10C9"/>
    <w:rsid w:val="006A123E"/>
    <w:rsid w:val="006A2099"/>
    <w:rsid w:val="006A2C01"/>
    <w:rsid w:val="006A31C9"/>
    <w:rsid w:val="006A4980"/>
    <w:rsid w:val="006A4ACF"/>
    <w:rsid w:val="006A553B"/>
    <w:rsid w:val="006A55F8"/>
    <w:rsid w:val="006A58B6"/>
    <w:rsid w:val="006A5F5C"/>
    <w:rsid w:val="006A6417"/>
    <w:rsid w:val="006A68F1"/>
    <w:rsid w:val="006A6D62"/>
    <w:rsid w:val="006A7521"/>
    <w:rsid w:val="006B00A3"/>
    <w:rsid w:val="006B16A7"/>
    <w:rsid w:val="006B1F7F"/>
    <w:rsid w:val="006B23A1"/>
    <w:rsid w:val="006B23E7"/>
    <w:rsid w:val="006B346D"/>
    <w:rsid w:val="006B50B5"/>
    <w:rsid w:val="006B5228"/>
    <w:rsid w:val="006B56BE"/>
    <w:rsid w:val="006B6085"/>
    <w:rsid w:val="006B6358"/>
    <w:rsid w:val="006B675F"/>
    <w:rsid w:val="006B6CC6"/>
    <w:rsid w:val="006B7086"/>
    <w:rsid w:val="006B7117"/>
    <w:rsid w:val="006B7449"/>
    <w:rsid w:val="006B75FB"/>
    <w:rsid w:val="006B7E1C"/>
    <w:rsid w:val="006C03B1"/>
    <w:rsid w:val="006C10FC"/>
    <w:rsid w:val="006C1E65"/>
    <w:rsid w:val="006C1F62"/>
    <w:rsid w:val="006C2A1D"/>
    <w:rsid w:val="006C3112"/>
    <w:rsid w:val="006C3C97"/>
    <w:rsid w:val="006C4E70"/>
    <w:rsid w:val="006C507D"/>
    <w:rsid w:val="006C52BE"/>
    <w:rsid w:val="006C57C9"/>
    <w:rsid w:val="006C6449"/>
    <w:rsid w:val="006C7CF3"/>
    <w:rsid w:val="006D02E3"/>
    <w:rsid w:val="006D04C0"/>
    <w:rsid w:val="006D1262"/>
    <w:rsid w:val="006D1393"/>
    <w:rsid w:val="006D2C56"/>
    <w:rsid w:val="006D3244"/>
    <w:rsid w:val="006D3DDA"/>
    <w:rsid w:val="006D4241"/>
    <w:rsid w:val="006D4BA5"/>
    <w:rsid w:val="006D4EC3"/>
    <w:rsid w:val="006D53D5"/>
    <w:rsid w:val="006D7191"/>
    <w:rsid w:val="006E0B0F"/>
    <w:rsid w:val="006E1C65"/>
    <w:rsid w:val="006E284B"/>
    <w:rsid w:val="006E35F7"/>
    <w:rsid w:val="006E4E03"/>
    <w:rsid w:val="006E609E"/>
    <w:rsid w:val="006E65BC"/>
    <w:rsid w:val="006E67F0"/>
    <w:rsid w:val="006E716E"/>
    <w:rsid w:val="006E775A"/>
    <w:rsid w:val="006E7FD3"/>
    <w:rsid w:val="006F0696"/>
    <w:rsid w:val="006F0745"/>
    <w:rsid w:val="006F07A7"/>
    <w:rsid w:val="006F1474"/>
    <w:rsid w:val="006F1568"/>
    <w:rsid w:val="006F1A9A"/>
    <w:rsid w:val="006F1C5E"/>
    <w:rsid w:val="006F2F30"/>
    <w:rsid w:val="006F2F83"/>
    <w:rsid w:val="006F3318"/>
    <w:rsid w:val="006F3930"/>
    <w:rsid w:val="006F3EE5"/>
    <w:rsid w:val="006F72CF"/>
    <w:rsid w:val="006F7660"/>
    <w:rsid w:val="006F7701"/>
    <w:rsid w:val="006F77D5"/>
    <w:rsid w:val="007006C4"/>
    <w:rsid w:val="00700D72"/>
    <w:rsid w:val="0070118B"/>
    <w:rsid w:val="007016C0"/>
    <w:rsid w:val="0070199F"/>
    <w:rsid w:val="007020EB"/>
    <w:rsid w:val="0070254C"/>
    <w:rsid w:val="007034E7"/>
    <w:rsid w:val="0070368B"/>
    <w:rsid w:val="00703A03"/>
    <w:rsid w:val="00704E16"/>
    <w:rsid w:val="007054DF"/>
    <w:rsid w:val="0070558E"/>
    <w:rsid w:val="0070571C"/>
    <w:rsid w:val="007061A8"/>
    <w:rsid w:val="00706A8D"/>
    <w:rsid w:val="00706E0F"/>
    <w:rsid w:val="007073DD"/>
    <w:rsid w:val="00707881"/>
    <w:rsid w:val="007078E3"/>
    <w:rsid w:val="00707B92"/>
    <w:rsid w:val="00707B9E"/>
    <w:rsid w:val="00707E7B"/>
    <w:rsid w:val="00710318"/>
    <w:rsid w:val="007105C9"/>
    <w:rsid w:val="00710AA3"/>
    <w:rsid w:val="00710BE6"/>
    <w:rsid w:val="007116CE"/>
    <w:rsid w:val="00711BD9"/>
    <w:rsid w:val="0071326F"/>
    <w:rsid w:val="00714019"/>
    <w:rsid w:val="007157BF"/>
    <w:rsid w:val="007160F6"/>
    <w:rsid w:val="00721235"/>
    <w:rsid w:val="007212FE"/>
    <w:rsid w:val="00721CF1"/>
    <w:rsid w:val="0072280B"/>
    <w:rsid w:val="00722921"/>
    <w:rsid w:val="00722ABA"/>
    <w:rsid w:val="00722E95"/>
    <w:rsid w:val="00722FD5"/>
    <w:rsid w:val="0072318D"/>
    <w:rsid w:val="007233ED"/>
    <w:rsid w:val="00723D0C"/>
    <w:rsid w:val="00724A66"/>
    <w:rsid w:val="00724B17"/>
    <w:rsid w:val="00725110"/>
    <w:rsid w:val="007252A6"/>
    <w:rsid w:val="007255B9"/>
    <w:rsid w:val="00725ED8"/>
    <w:rsid w:val="00726CE4"/>
    <w:rsid w:val="00727557"/>
    <w:rsid w:val="00730EBA"/>
    <w:rsid w:val="00730F0E"/>
    <w:rsid w:val="0073211D"/>
    <w:rsid w:val="0073232F"/>
    <w:rsid w:val="007337AD"/>
    <w:rsid w:val="007338EA"/>
    <w:rsid w:val="0073543A"/>
    <w:rsid w:val="007355FE"/>
    <w:rsid w:val="00735C41"/>
    <w:rsid w:val="0073681D"/>
    <w:rsid w:val="007368F0"/>
    <w:rsid w:val="00740147"/>
    <w:rsid w:val="00740B9A"/>
    <w:rsid w:val="00740BD8"/>
    <w:rsid w:val="00741306"/>
    <w:rsid w:val="00742407"/>
    <w:rsid w:val="00742727"/>
    <w:rsid w:val="00743155"/>
    <w:rsid w:val="00743545"/>
    <w:rsid w:val="00743E72"/>
    <w:rsid w:val="007448C6"/>
    <w:rsid w:val="00744ABE"/>
    <w:rsid w:val="0074537E"/>
    <w:rsid w:val="00745620"/>
    <w:rsid w:val="00745F62"/>
    <w:rsid w:val="00746A43"/>
    <w:rsid w:val="00747F8A"/>
    <w:rsid w:val="007508ED"/>
    <w:rsid w:val="00751557"/>
    <w:rsid w:val="007517F6"/>
    <w:rsid w:val="0075206C"/>
    <w:rsid w:val="007526BF"/>
    <w:rsid w:val="00752831"/>
    <w:rsid w:val="00752DF8"/>
    <w:rsid w:val="00753959"/>
    <w:rsid w:val="00756926"/>
    <w:rsid w:val="007570C8"/>
    <w:rsid w:val="00757B58"/>
    <w:rsid w:val="007601CD"/>
    <w:rsid w:val="00760B99"/>
    <w:rsid w:val="00760C7F"/>
    <w:rsid w:val="00760D97"/>
    <w:rsid w:val="007614FE"/>
    <w:rsid w:val="007618C5"/>
    <w:rsid w:val="0076283C"/>
    <w:rsid w:val="00762A33"/>
    <w:rsid w:val="007652BF"/>
    <w:rsid w:val="00765992"/>
    <w:rsid w:val="00766162"/>
    <w:rsid w:val="00766EF8"/>
    <w:rsid w:val="0077051E"/>
    <w:rsid w:val="00770F2E"/>
    <w:rsid w:val="00771073"/>
    <w:rsid w:val="00772773"/>
    <w:rsid w:val="007728DC"/>
    <w:rsid w:val="0077320D"/>
    <w:rsid w:val="0077332F"/>
    <w:rsid w:val="00774BD3"/>
    <w:rsid w:val="007754F0"/>
    <w:rsid w:val="00776FED"/>
    <w:rsid w:val="007810EC"/>
    <w:rsid w:val="00781A70"/>
    <w:rsid w:val="00782284"/>
    <w:rsid w:val="00782A3C"/>
    <w:rsid w:val="007832CC"/>
    <w:rsid w:val="00783C9E"/>
    <w:rsid w:val="00783FDD"/>
    <w:rsid w:val="007847C5"/>
    <w:rsid w:val="00785825"/>
    <w:rsid w:val="00785DFE"/>
    <w:rsid w:val="00786147"/>
    <w:rsid w:val="00786B7A"/>
    <w:rsid w:val="00786F9B"/>
    <w:rsid w:val="00786FD3"/>
    <w:rsid w:val="0078726A"/>
    <w:rsid w:val="00790A5F"/>
    <w:rsid w:val="00790B1C"/>
    <w:rsid w:val="007914C3"/>
    <w:rsid w:val="00791765"/>
    <w:rsid w:val="00791830"/>
    <w:rsid w:val="00792A7F"/>
    <w:rsid w:val="00792B40"/>
    <w:rsid w:val="00792FCC"/>
    <w:rsid w:val="00793E2A"/>
    <w:rsid w:val="00794F98"/>
    <w:rsid w:val="007952A6"/>
    <w:rsid w:val="0079548E"/>
    <w:rsid w:val="00796088"/>
    <w:rsid w:val="007969BF"/>
    <w:rsid w:val="00796B37"/>
    <w:rsid w:val="00797923"/>
    <w:rsid w:val="007979C1"/>
    <w:rsid w:val="00797A43"/>
    <w:rsid w:val="00797DC1"/>
    <w:rsid w:val="007A049D"/>
    <w:rsid w:val="007A0F6B"/>
    <w:rsid w:val="007A0F89"/>
    <w:rsid w:val="007A1032"/>
    <w:rsid w:val="007A1412"/>
    <w:rsid w:val="007A37DC"/>
    <w:rsid w:val="007A3D0C"/>
    <w:rsid w:val="007A404E"/>
    <w:rsid w:val="007A4AA4"/>
    <w:rsid w:val="007A6D43"/>
    <w:rsid w:val="007A7A01"/>
    <w:rsid w:val="007A7B2F"/>
    <w:rsid w:val="007B0DAF"/>
    <w:rsid w:val="007B13B1"/>
    <w:rsid w:val="007B1691"/>
    <w:rsid w:val="007B1E8C"/>
    <w:rsid w:val="007B2650"/>
    <w:rsid w:val="007B2D49"/>
    <w:rsid w:val="007B450E"/>
    <w:rsid w:val="007B4E03"/>
    <w:rsid w:val="007B4F3C"/>
    <w:rsid w:val="007B54DD"/>
    <w:rsid w:val="007B6361"/>
    <w:rsid w:val="007B6455"/>
    <w:rsid w:val="007B72C1"/>
    <w:rsid w:val="007C0C07"/>
    <w:rsid w:val="007C0D36"/>
    <w:rsid w:val="007C1592"/>
    <w:rsid w:val="007C1FCA"/>
    <w:rsid w:val="007C2A66"/>
    <w:rsid w:val="007C3DA2"/>
    <w:rsid w:val="007C468B"/>
    <w:rsid w:val="007C48DB"/>
    <w:rsid w:val="007C511B"/>
    <w:rsid w:val="007C56AD"/>
    <w:rsid w:val="007C574B"/>
    <w:rsid w:val="007C68AF"/>
    <w:rsid w:val="007C6EB9"/>
    <w:rsid w:val="007C7C99"/>
    <w:rsid w:val="007D01A4"/>
    <w:rsid w:val="007D1B97"/>
    <w:rsid w:val="007D1C1B"/>
    <w:rsid w:val="007D1DD9"/>
    <w:rsid w:val="007D1F36"/>
    <w:rsid w:val="007D2427"/>
    <w:rsid w:val="007D249D"/>
    <w:rsid w:val="007D3627"/>
    <w:rsid w:val="007D401B"/>
    <w:rsid w:val="007D424D"/>
    <w:rsid w:val="007D53FF"/>
    <w:rsid w:val="007D570D"/>
    <w:rsid w:val="007D5B9C"/>
    <w:rsid w:val="007D5E2A"/>
    <w:rsid w:val="007D60B6"/>
    <w:rsid w:val="007D6BB6"/>
    <w:rsid w:val="007D7238"/>
    <w:rsid w:val="007E04BA"/>
    <w:rsid w:val="007E0879"/>
    <w:rsid w:val="007E0BC7"/>
    <w:rsid w:val="007E15C7"/>
    <w:rsid w:val="007E1B55"/>
    <w:rsid w:val="007E20B1"/>
    <w:rsid w:val="007E21A7"/>
    <w:rsid w:val="007E247E"/>
    <w:rsid w:val="007E27E4"/>
    <w:rsid w:val="007E2B1C"/>
    <w:rsid w:val="007E2F4E"/>
    <w:rsid w:val="007E4D99"/>
    <w:rsid w:val="007E52D2"/>
    <w:rsid w:val="007E64FB"/>
    <w:rsid w:val="007E691F"/>
    <w:rsid w:val="007E6B44"/>
    <w:rsid w:val="007E6E83"/>
    <w:rsid w:val="007E7412"/>
    <w:rsid w:val="007E7884"/>
    <w:rsid w:val="007F003C"/>
    <w:rsid w:val="007F07A6"/>
    <w:rsid w:val="007F1CB2"/>
    <w:rsid w:val="007F21FC"/>
    <w:rsid w:val="007F2598"/>
    <w:rsid w:val="007F2C8B"/>
    <w:rsid w:val="007F43B3"/>
    <w:rsid w:val="007F46D6"/>
    <w:rsid w:val="007F48FB"/>
    <w:rsid w:val="007F5AF6"/>
    <w:rsid w:val="007F71DD"/>
    <w:rsid w:val="007F7515"/>
    <w:rsid w:val="007F76D8"/>
    <w:rsid w:val="007F78A1"/>
    <w:rsid w:val="007F7FE6"/>
    <w:rsid w:val="0080215E"/>
    <w:rsid w:val="00802EA4"/>
    <w:rsid w:val="00803A39"/>
    <w:rsid w:val="00804713"/>
    <w:rsid w:val="00804C4C"/>
    <w:rsid w:val="00804F34"/>
    <w:rsid w:val="00805812"/>
    <w:rsid w:val="00805BCE"/>
    <w:rsid w:val="008077CC"/>
    <w:rsid w:val="00807BB7"/>
    <w:rsid w:val="008101BE"/>
    <w:rsid w:val="00810D16"/>
    <w:rsid w:val="00812311"/>
    <w:rsid w:val="00812A15"/>
    <w:rsid w:val="00812D7F"/>
    <w:rsid w:val="008139FA"/>
    <w:rsid w:val="00816189"/>
    <w:rsid w:val="008161E2"/>
    <w:rsid w:val="00816551"/>
    <w:rsid w:val="00816BD1"/>
    <w:rsid w:val="0081735E"/>
    <w:rsid w:val="00817A29"/>
    <w:rsid w:val="00817B99"/>
    <w:rsid w:val="008205E1"/>
    <w:rsid w:val="00822779"/>
    <w:rsid w:val="0082302E"/>
    <w:rsid w:val="00824245"/>
    <w:rsid w:val="008249AE"/>
    <w:rsid w:val="00825E1F"/>
    <w:rsid w:val="0082619D"/>
    <w:rsid w:val="008276CC"/>
    <w:rsid w:val="008303EC"/>
    <w:rsid w:val="00830A1E"/>
    <w:rsid w:val="00832031"/>
    <w:rsid w:val="00833ACD"/>
    <w:rsid w:val="00833B96"/>
    <w:rsid w:val="0083406C"/>
    <w:rsid w:val="0083416E"/>
    <w:rsid w:val="008341B5"/>
    <w:rsid w:val="0083481C"/>
    <w:rsid w:val="0083491B"/>
    <w:rsid w:val="00834CC8"/>
    <w:rsid w:val="0083528A"/>
    <w:rsid w:val="0083536D"/>
    <w:rsid w:val="008355FE"/>
    <w:rsid w:val="0083664E"/>
    <w:rsid w:val="00836AA7"/>
    <w:rsid w:val="00836DA1"/>
    <w:rsid w:val="00837211"/>
    <w:rsid w:val="0084045E"/>
    <w:rsid w:val="00840A66"/>
    <w:rsid w:val="00840EDB"/>
    <w:rsid w:val="00841B07"/>
    <w:rsid w:val="00841CAC"/>
    <w:rsid w:val="00841DCB"/>
    <w:rsid w:val="00841EC4"/>
    <w:rsid w:val="00842451"/>
    <w:rsid w:val="00843E1A"/>
    <w:rsid w:val="00843F59"/>
    <w:rsid w:val="00846264"/>
    <w:rsid w:val="008469ED"/>
    <w:rsid w:val="00846F70"/>
    <w:rsid w:val="00847623"/>
    <w:rsid w:val="008506BD"/>
    <w:rsid w:val="00851949"/>
    <w:rsid w:val="00854115"/>
    <w:rsid w:val="008543C6"/>
    <w:rsid w:val="008545AB"/>
    <w:rsid w:val="008549B6"/>
    <w:rsid w:val="00854FE3"/>
    <w:rsid w:val="0085560A"/>
    <w:rsid w:val="00857505"/>
    <w:rsid w:val="00857715"/>
    <w:rsid w:val="008577CD"/>
    <w:rsid w:val="008577E5"/>
    <w:rsid w:val="00857975"/>
    <w:rsid w:val="0086001C"/>
    <w:rsid w:val="008600FB"/>
    <w:rsid w:val="008602E9"/>
    <w:rsid w:val="008606C1"/>
    <w:rsid w:val="00860986"/>
    <w:rsid w:val="00860DC3"/>
    <w:rsid w:val="00860FC5"/>
    <w:rsid w:val="0086121D"/>
    <w:rsid w:val="0086320B"/>
    <w:rsid w:val="008634BD"/>
    <w:rsid w:val="00864329"/>
    <w:rsid w:val="00864477"/>
    <w:rsid w:val="00865886"/>
    <w:rsid w:val="0086592C"/>
    <w:rsid w:val="008659B8"/>
    <w:rsid w:val="008661D7"/>
    <w:rsid w:val="00867174"/>
    <w:rsid w:val="00867C55"/>
    <w:rsid w:val="00870505"/>
    <w:rsid w:val="0087061D"/>
    <w:rsid w:val="00871969"/>
    <w:rsid w:val="00871A3D"/>
    <w:rsid w:val="00871A5C"/>
    <w:rsid w:val="00872674"/>
    <w:rsid w:val="008726A2"/>
    <w:rsid w:val="008736F8"/>
    <w:rsid w:val="00873AA3"/>
    <w:rsid w:val="008755E7"/>
    <w:rsid w:val="00875B00"/>
    <w:rsid w:val="008760B1"/>
    <w:rsid w:val="0087622F"/>
    <w:rsid w:val="00876280"/>
    <w:rsid w:val="0087741B"/>
    <w:rsid w:val="008778B0"/>
    <w:rsid w:val="00877C5F"/>
    <w:rsid w:val="008805CD"/>
    <w:rsid w:val="00880F28"/>
    <w:rsid w:val="008813A6"/>
    <w:rsid w:val="00881A04"/>
    <w:rsid w:val="00881D2B"/>
    <w:rsid w:val="00881D80"/>
    <w:rsid w:val="008829A5"/>
    <w:rsid w:val="0088346C"/>
    <w:rsid w:val="0088446A"/>
    <w:rsid w:val="00884746"/>
    <w:rsid w:val="00884AA2"/>
    <w:rsid w:val="00884DC2"/>
    <w:rsid w:val="008857A8"/>
    <w:rsid w:val="00885D1D"/>
    <w:rsid w:val="00886429"/>
    <w:rsid w:val="00886A18"/>
    <w:rsid w:val="00886B0C"/>
    <w:rsid w:val="00887CC5"/>
    <w:rsid w:val="0089179E"/>
    <w:rsid w:val="00891C8D"/>
    <w:rsid w:val="00892371"/>
    <w:rsid w:val="00892470"/>
    <w:rsid w:val="00892802"/>
    <w:rsid w:val="00893525"/>
    <w:rsid w:val="00893808"/>
    <w:rsid w:val="00894E02"/>
    <w:rsid w:val="00895248"/>
    <w:rsid w:val="008953AD"/>
    <w:rsid w:val="00895588"/>
    <w:rsid w:val="00896C0C"/>
    <w:rsid w:val="008971A2"/>
    <w:rsid w:val="008A0734"/>
    <w:rsid w:val="008A0990"/>
    <w:rsid w:val="008A0EF8"/>
    <w:rsid w:val="008A16C0"/>
    <w:rsid w:val="008A1BFC"/>
    <w:rsid w:val="008A2BE7"/>
    <w:rsid w:val="008A2F3B"/>
    <w:rsid w:val="008A3077"/>
    <w:rsid w:val="008A3ED9"/>
    <w:rsid w:val="008A40AE"/>
    <w:rsid w:val="008A4111"/>
    <w:rsid w:val="008A4313"/>
    <w:rsid w:val="008A4540"/>
    <w:rsid w:val="008B087E"/>
    <w:rsid w:val="008B31B0"/>
    <w:rsid w:val="008B3A50"/>
    <w:rsid w:val="008B42FB"/>
    <w:rsid w:val="008B4875"/>
    <w:rsid w:val="008B4D0F"/>
    <w:rsid w:val="008B4F54"/>
    <w:rsid w:val="008B53D0"/>
    <w:rsid w:val="008B6ABA"/>
    <w:rsid w:val="008B6F5D"/>
    <w:rsid w:val="008B773A"/>
    <w:rsid w:val="008B7855"/>
    <w:rsid w:val="008B791B"/>
    <w:rsid w:val="008C0162"/>
    <w:rsid w:val="008C0765"/>
    <w:rsid w:val="008C16A3"/>
    <w:rsid w:val="008C2EC2"/>
    <w:rsid w:val="008C3221"/>
    <w:rsid w:val="008C3460"/>
    <w:rsid w:val="008C4281"/>
    <w:rsid w:val="008C49AE"/>
    <w:rsid w:val="008C4EFB"/>
    <w:rsid w:val="008C4FAD"/>
    <w:rsid w:val="008C529C"/>
    <w:rsid w:val="008C5962"/>
    <w:rsid w:val="008C742E"/>
    <w:rsid w:val="008C75A9"/>
    <w:rsid w:val="008D06E0"/>
    <w:rsid w:val="008D0805"/>
    <w:rsid w:val="008D0D55"/>
    <w:rsid w:val="008D1606"/>
    <w:rsid w:val="008D2364"/>
    <w:rsid w:val="008D278E"/>
    <w:rsid w:val="008D335A"/>
    <w:rsid w:val="008D3BB0"/>
    <w:rsid w:val="008D4197"/>
    <w:rsid w:val="008D49E3"/>
    <w:rsid w:val="008D5743"/>
    <w:rsid w:val="008D5F03"/>
    <w:rsid w:val="008D5FAE"/>
    <w:rsid w:val="008D63E4"/>
    <w:rsid w:val="008D6672"/>
    <w:rsid w:val="008D6D79"/>
    <w:rsid w:val="008E100D"/>
    <w:rsid w:val="008E1329"/>
    <w:rsid w:val="008E2288"/>
    <w:rsid w:val="008E263F"/>
    <w:rsid w:val="008E2DE0"/>
    <w:rsid w:val="008E3AED"/>
    <w:rsid w:val="008E4168"/>
    <w:rsid w:val="008E51A9"/>
    <w:rsid w:val="008E5B38"/>
    <w:rsid w:val="008E5CF0"/>
    <w:rsid w:val="008E74DD"/>
    <w:rsid w:val="008F0641"/>
    <w:rsid w:val="008F1783"/>
    <w:rsid w:val="008F193B"/>
    <w:rsid w:val="008F1C5D"/>
    <w:rsid w:val="008F1F68"/>
    <w:rsid w:val="008F2062"/>
    <w:rsid w:val="008F2FFC"/>
    <w:rsid w:val="008F4AD9"/>
    <w:rsid w:val="008F5367"/>
    <w:rsid w:val="008F55A7"/>
    <w:rsid w:val="008F587F"/>
    <w:rsid w:val="008F5BB6"/>
    <w:rsid w:val="008F638B"/>
    <w:rsid w:val="008F6698"/>
    <w:rsid w:val="008F692C"/>
    <w:rsid w:val="008F739F"/>
    <w:rsid w:val="008F73B9"/>
    <w:rsid w:val="008F7B5B"/>
    <w:rsid w:val="009002BC"/>
    <w:rsid w:val="00900458"/>
    <w:rsid w:val="00900E96"/>
    <w:rsid w:val="009014A1"/>
    <w:rsid w:val="00901902"/>
    <w:rsid w:val="00902E5B"/>
    <w:rsid w:val="009031D3"/>
    <w:rsid w:val="00904164"/>
    <w:rsid w:val="0090422D"/>
    <w:rsid w:val="009044BF"/>
    <w:rsid w:val="00904E97"/>
    <w:rsid w:val="00906061"/>
    <w:rsid w:val="00906A79"/>
    <w:rsid w:val="00906E88"/>
    <w:rsid w:val="00907239"/>
    <w:rsid w:val="00910202"/>
    <w:rsid w:val="0091193E"/>
    <w:rsid w:val="00911CE3"/>
    <w:rsid w:val="00911E3B"/>
    <w:rsid w:val="00912A4E"/>
    <w:rsid w:val="00912B12"/>
    <w:rsid w:val="0091354C"/>
    <w:rsid w:val="00914275"/>
    <w:rsid w:val="0091490A"/>
    <w:rsid w:val="00914A73"/>
    <w:rsid w:val="00914CCD"/>
    <w:rsid w:val="009157EB"/>
    <w:rsid w:val="00915AF0"/>
    <w:rsid w:val="00916580"/>
    <w:rsid w:val="009203D8"/>
    <w:rsid w:val="009208B3"/>
    <w:rsid w:val="00920FFD"/>
    <w:rsid w:val="00921B60"/>
    <w:rsid w:val="0092221E"/>
    <w:rsid w:val="00922A17"/>
    <w:rsid w:val="00922FB3"/>
    <w:rsid w:val="00923E6B"/>
    <w:rsid w:val="00924B35"/>
    <w:rsid w:val="00924D02"/>
    <w:rsid w:val="009262D5"/>
    <w:rsid w:val="00927241"/>
    <w:rsid w:val="009275E9"/>
    <w:rsid w:val="00930BBA"/>
    <w:rsid w:val="00930D25"/>
    <w:rsid w:val="009316E9"/>
    <w:rsid w:val="00931AB1"/>
    <w:rsid w:val="00931CEA"/>
    <w:rsid w:val="00932DB5"/>
    <w:rsid w:val="00933133"/>
    <w:rsid w:val="009351AF"/>
    <w:rsid w:val="009356BF"/>
    <w:rsid w:val="00937BAF"/>
    <w:rsid w:val="00937E22"/>
    <w:rsid w:val="00940A65"/>
    <w:rsid w:val="00941999"/>
    <w:rsid w:val="00943405"/>
    <w:rsid w:val="00943414"/>
    <w:rsid w:val="00945C0E"/>
    <w:rsid w:val="00945F04"/>
    <w:rsid w:val="00946B2C"/>
    <w:rsid w:val="00946F24"/>
    <w:rsid w:val="00947D3E"/>
    <w:rsid w:val="00950536"/>
    <w:rsid w:val="0095053A"/>
    <w:rsid w:val="00950EB1"/>
    <w:rsid w:val="00951085"/>
    <w:rsid w:val="009514D1"/>
    <w:rsid w:val="00951985"/>
    <w:rsid w:val="009519B7"/>
    <w:rsid w:val="00951E3D"/>
    <w:rsid w:val="0095208E"/>
    <w:rsid w:val="009522E7"/>
    <w:rsid w:val="00952379"/>
    <w:rsid w:val="009525A5"/>
    <w:rsid w:val="00952F43"/>
    <w:rsid w:val="0095378D"/>
    <w:rsid w:val="0095440F"/>
    <w:rsid w:val="00954E57"/>
    <w:rsid w:val="009553E2"/>
    <w:rsid w:val="009559AE"/>
    <w:rsid w:val="00960046"/>
    <w:rsid w:val="00960232"/>
    <w:rsid w:val="0096031D"/>
    <w:rsid w:val="00960C7A"/>
    <w:rsid w:val="00962B45"/>
    <w:rsid w:val="00962C9C"/>
    <w:rsid w:val="00963AB8"/>
    <w:rsid w:val="00963EAB"/>
    <w:rsid w:val="0096472F"/>
    <w:rsid w:val="00964797"/>
    <w:rsid w:val="00964CF6"/>
    <w:rsid w:val="00967BE9"/>
    <w:rsid w:val="00967D48"/>
    <w:rsid w:val="0097031D"/>
    <w:rsid w:val="009714BF"/>
    <w:rsid w:val="009716CA"/>
    <w:rsid w:val="00971B72"/>
    <w:rsid w:val="00972B8D"/>
    <w:rsid w:val="00973D56"/>
    <w:rsid w:val="00973F26"/>
    <w:rsid w:val="00974616"/>
    <w:rsid w:val="00975556"/>
    <w:rsid w:val="00975F78"/>
    <w:rsid w:val="009765A0"/>
    <w:rsid w:val="00976769"/>
    <w:rsid w:val="00976A85"/>
    <w:rsid w:val="00976F0C"/>
    <w:rsid w:val="009779CA"/>
    <w:rsid w:val="00977AF0"/>
    <w:rsid w:val="00980B71"/>
    <w:rsid w:val="0098140C"/>
    <w:rsid w:val="00981FDD"/>
    <w:rsid w:val="00982CF9"/>
    <w:rsid w:val="009832DF"/>
    <w:rsid w:val="0098336B"/>
    <w:rsid w:val="00983F12"/>
    <w:rsid w:val="009854B0"/>
    <w:rsid w:val="0098558D"/>
    <w:rsid w:val="00985EBD"/>
    <w:rsid w:val="00986790"/>
    <w:rsid w:val="0098724C"/>
    <w:rsid w:val="00987D3B"/>
    <w:rsid w:val="0099045D"/>
    <w:rsid w:val="00991D46"/>
    <w:rsid w:val="009929AD"/>
    <w:rsid w:val="00992C4D"/>
    <w:rsid w:val="00992F0A"/>
    <w:rsid w:val="00993034"/>
    <w:rsid w:val="00993858"/>
    <w:rsid w:val="00994014"/>
    <w:rsid w:val="00996FCC"/>
    <w:rsid w:val="00997B12"/>
    <w:rsid w:val="009A03EB"/>
    <w:rsid w:val="009A04CC"/>
    <w:rsid w:val="009A074E"/>
    <w:rsid w:val="009A090D"/>
    <w:rsid w:val="009A144A"/>
    <w:rsid w:val="009A2332"/>
    <w:rsid w:val="009A23A7"/>
    <w:rsid w:val="009A284E"/>
    <w:rsid w:val="009A2D1D"/>
    <w:rsid w:val="009A3461"/>
    <w:rsid w:val="009A43E7"/>
    <w:rsid w:val="009A44BC"/>
    <w:rsid w:val="009A4ABB"/>
    <w:rsid w:val="009A4B48"/>
    <w:rsid w:val="009A5A19"/>
    <w:rsid w:val="009A5F34"/>
    <w:rsid w:val="009A6209"/>
    <w:rsid w:val="009A6AAF"/>
    <w:rsid w:val="009A6B8C"/>
    <w:rsid w:val="009A6E3A"/>
    <w:rsid w:val="009A6F09"/>
    <w:rsid w:val="009A7254"/>
    <w:rsid w:val="009A7CEC"/>
    <w:rsid w:val="009A7F92"/>
    <w:rsid w:val="009B0660"/>
    <w:rsid w:val="009B097B"/>
    <w:rsid w:val="009B1A84"/>
    <w:rsid w:val="009B2390"/>
    <w:rsid w:val="009B2BC5"/>
    <w:rsid w:val="009B301A"/>
    <w:rsid w:val="009B3C21"/>
    <w:rsid w:val="009B4763"/>
    <w:rsid w:val="009B4C87"/>
    <w:rsid w:val="009B5606"/>
    <w:rsid w:val="009B56CE"/>
    <w:rsid w:val="009B61BD"/>
    <w:rsid w:val="009B6B4F"/>
    <w:rsid w:val="009B7B3F"/>
    <w:rsid w:val="009C054B"/>
    <w:rsid w:val="009C16B3"/>
    <w:rsid w:val="009C20B0"/>
    <w:rsid w:val="009C2D7A"/>
    <w:rsid w:val="009C3D08"/>
    <w:rsid w:val="009C3F46"/>
    <w:rsid w:val="009C4324"/>
    <w:rsid w:val="009C44C5"/>
    <w:rsid w:val="009C4506"/>
    <w:rsid w:val="009C4C3E"/>
    <w:rsid w:val="009C4C8B"/>
    <w:rsid w:val="009C683D"/>
    <w:rsid w:val="009C6B24"/>
    <w:rsid w:val="009C708C"/>
    <w:rsid w:val="009C7186"/>
    <w:rsid w:val="009C775D"/>
    <w:rsid w:val="009D0029"/>
    <w:rsid w:val="009D04ED"/>
    <w:rsid w:val="009D1AC3"/>
    <w:rsid w:val="009D21D4"/>
    <w:rsid w:val="009D291F"/>
    <w:rsid w:val="009D2C35"/>
    <w:rsid w:val="009D39B0"/>
    <w:rsid w:val="009D3B90"/>
    <w:rsid w:val="009D4253"/>
    <w:rsid w:val="009D50B7"/>
    <w:rsid w:val="009D50E9"/>
    <w:rsid w:val="009D59C0"/>
    <w:rsid w:val="009D6D8B"/>
    <w:rsid w:val="009D7447"/>
    <w:rsid w:val="009D77C8"/>
    <w:rsid w:val="009E0C5C"/>
    <w:rsid w:val="009E0F24"/>
    <w:rsid w:val="009E144C"/>
    <w:rsid w:val="009E17A1"/>
    <w:rsid w:val="009E1AEC"/>
    <w:rsid w:val="009E1D1F"/>
    <w:rsid w:val="009E221F"/>
    <w:rsid w:val="009E312C"/>
    <w:rsid w:val="009E34FC"/>
    <w:rsid w:val="009E37E0"/>
    <w:rsid w:val="009E4408"/>
    <w:rsid w:val="009E4B5A"/>
    <w:rsid w:val="009E5C8A"/>
    <w:rsid w:val="009E6C98"/>
    <w:rsid w:val="009E7419"/>
    <w:rsid w:val="009E7760"/>
    <w:rsid w:val="009F03C3"/>
    <w:rsid w:val="009F0877"/>
    <w:rsid w:val="009F1261"/>
    <w:rsid w:val="009F201D"/>
    <w:rsid w:val="009F235E"/>
    <w:rsid w:val="009F23A1"/>
    <w:rsid w:val="009F2593"/>
    <w:rsid w:val="009F2BCC"/>
    <w:rsid w:val="009F2C0D"/>
    <w:rsid w:val="009F2C41"/>
    <w:rsid w:val="009F3D13"/>
    <w:rsid w:val="009F45CC"/>
    <w:rsid w:val="009F4602"/>
    <w:rsid w:val="009F5095"/>
    <w:rsid w:val="009F5D5E"/>
    <w:rsid w:val="009F606D"/>
    <w:rsid w:val="009F62BC"/>
    <w:rsid w:val="009F68EC"/>
    <w:rsid w:val="009F6E65"/>
    <w:rsid w:val="009F70AB"/>
    <w:rsid w:val="009F710A"/>
    <w:rsid w:val="009F73C5"/>
    <w:rsid w:val="009F7767"/>
    <w:rsid w:val="00A00D5E"/>
    <w:rsid w:val="00A00D9C"/>
    <w:rsid w:val="00A010BB"/>
    <w:rsid w:val="00A0129F"/>
    <w:rsid w:val="00A02148"/>
    <w:rsid w:val="00A027BA"/>
    <w:rsid w:val="00A02AF8"/>
    <w:rsid w:val="00A0337C"/>
    <w:rsid w:val="00A03713"/>
    <w:rsid w:val="00A03AE8"/>
    <w:rsid w:val="00A04469"/>
    <w:rsid w:val="00A05D3B"/>
    <w:rsid w:val="00A06506"/>
    <w:rsid w:val="00A06B83"/>
    <w:rsid w:val="00A06D93"/>
    <w:rsid w:val="00A06E9D"/>
    <w:rsid w:val="00A07D4D"/>
    <w:rsid w:val="00A07DE1"/>
    <w:rsid w:val="00A07F1A"/>
    <w:rsid w:val="00A10D88"/>
    <w:rsid w:val="00A11397"/>
    <w:rsid w:val="00A11D39"/>
    <w:rsid w:val="00A11FC2"/>
    <w:rsid w:val="00A13524"/>
    <w:rsid w:val="00A138AD"/>
    <w:rsid w:val="00A157D3"/>
    <w:rsid w:val="00A157E6"/>
    <w:rsid w:val="00A16748"/>
    <w:rsid w:val="00A1678F"/>
    <w:rsid w:val="00A17008"/>
    <w:rsid w:val="00A1710E"/>
    <w:rsid w:val="00A17650"/>
    <w:rsid w:val="00A178CD"/>
    <w:rsid w:val="00A179C3"/>
    <w:rsid w:val="00A2007D"/>
    <w:rsid w:val="00A20201"/>
    <w:rsid w:val="00A20921"/>
    <w:rsid w:val="00A210DF"/>
    <w:rsid w:val="00A21469"/>
    <w:rsid w:val="00A21502"/>
    <w:rsid w:val="00A21E31"/>
    <w:rsid w:val="00A21E34"/>
    <w:rsid w:val="00A222AE"/>
    <w:rsid w:val="00A2296B"/>
    <w:rsid w:val="00A23180"/>
    <w:rsid w:val="00A2454A"/>
    <w:rsid w:val="00A248E7"/>
    <w:rsid w:val="00A2495C"/>
    <w:rsid w:val="00A24A4B"/>
    <w:rsid w:val="00A24E4D"/>
    <w:rsid w:val="00A25356"/>
    <w:rsid w:val="00A260C4"/>
    <w:rsid w:val="00A26288"/>
    <w:rsid w:val="00A263CA"/>
    <w:rsid w:val="00A2665E"/>
    <w:rsid w:val="00A26A0D"/>
    <w:rsid w:val="00A2790B"/>
    <w:rsid w:val="00A30747"/>
    <w:rsid w:val="00A309F5"/>
    <w:rsid w:val="00A31549"/>
    <w:rsid w:val="00A3157C"/>
    <w:rsid w:val="00A31E59"/>
    <w:rsid w:val="00A320E9"/>
    <w:rsid w:val="00A32B54"/>
    <w:rsid w:val="00A334C4"/>
    <w:rsid w:val="00A3377A"/>
    <w:rsid w:val="00A33BB9"/>
    <w:rsid w:val="00A350CE"/>
    <w:rsid w:val="00A35E79"/>
    <w:rsid w:val="00A364A1"/>
    <w:rsid w:val="00A36F95"/>
    <w:rsid w:val="00A37442"/>
    <w:rsid w:val="00A37738"/>
    <w:rsid w:val="00A37744"/>
    <w:rsid w:val="00A37F1E"/>
    <w:rsid w:val="00A40160"/>
    <w:rsid w:val="00A40AE2"/>
    <w:rsid w:val="00A40BC6"/>
    <w:rsid w:val="00A41FC6"/>
    <w:rsid w:val="00A4211A"/>
    <w:rsid w:val="00A423DC"/>
    <w:rsid w:val="00A43339"/>
    <w:rsid w:val="00A45483"/>
    <w:rsid w:val="00A46932"/>
    <w:rsid w:val="00A50276"/>
    <w:rsid w:val="00A505C2"/>
    <w:rsid w:val="00A51326"/>
    <w:rsid w:val="00A51486"/>
    <w:rsid w:val="00A516B1"/>
    <w:rsid w:val="00A51D46"/>
    <w:rsid w:val="00A51F84"/>
    <w:rsid w:val="00A52F71"/>
    <w:rsid w:val="00A531FD"/>
    <w:rsid w:val="00A53702"/>
    <w:rsid w:val="00A53CE3"/>
    <w:rsid w:val="00A53EAB"/>
    <w:rsid w:val="00A546A0"/>
    <w:rsid w:val="00A54BB3"/>
    <w:rsid w:val="00A55AFD"/>
    <w:rsid w:val="00A56659"/>
    <w:rsid w:val="00A569C8"/>
    <w:rsid w:val="00A574D2"/>
    <w:rsid w:val="00A57A3E"/>
    <w:rsid w:val="00A60880"/>
    <w:rsid w:val="00A60EDB"/>
    <w:rsid w:val="00A61767"/>
    <w:rsid w:val="00A61BF1"/>
    <w:rsid w:val="00A621D1"/>
    <w:rsid w:val="00A623BD"/>
    <w:rsid w:val="00A629F2"/>
    <w:rsid w:val="00A62DEA"/>
    <w:rsid w:val="00A62E30"/>
    <w:rsid w:val="00A63394"/>
    <w:rsid w:val="00A63945"/>
    <w:rsid w:val="00A63A52"/>
    <w:rsid w:val="00A63F51"/>
    <w:rsid w:val="00A649A9"/>
    <w:rsid w:val="00A64BA0"/>
    <w:rsid w:val="00A6523A"/>
    <w:rsid w:val="00A65624"/>
    <w:rsid w:val="00A65898"/>
    <w:rsid w:val="00A671AB"/>
    <w:rsid w:val="00A674A4"/>
    <w:rsid w:val="00A702BD"/>
    <w:rsid w:val="00A70C71"/>
    <w:rsid w:val="00A70FAF"/>
    <w:rsid w:val="00A712E0"/>
    <w:rsid w:val="00A7147A"/>
    <w:rsid w:val="00A71A8A"/>
    <w:rsid w:val="00A71D95"/>
    <w:rsid w:val="00A71E7F"/>
    <w:rsid w:val="00A728D0"/>
    <w:rsid w:val="00A729B5"/>
    <w:rsid w:val="00A73F94"/>
    <w:rsid w:val="00A75664"/>
    <w:rsid w:val="00A75D8D"/>
    <w:rsid w:val="00A75DAE"/>
    <w:rsid w:val="00A7652F"/>
    <w:rsid w:val="00A76851"/>
    <w:rsid w:val="00A770CB"/>
    <w:rsid w:val="00A8074F"/>
    <w:rsid w:val="00A80DDE"/>
    <w:rsid w:val="00A8124B"/>
    <w:rsid w:val="00A8253A"/>
    <w:rsid w:val="00A82784"/>
    <w:rsid w:val="00A82A7D"/>
    <w:rsid w:val="00A83B54"/>
    <w:rsid w:val="00A84339"/>
    <w:rsid w:val="00A8486F"/>
    <w:rsid w:val="00A84C9F"/>
    <w:rsid w:val="00A85104"/>
    <w:rsid w:val="00A8523D"/>
    <w:rsid w:val="00A85F03"/>
    <w:rsid w:val="00A86648"/>
    <w:rsid w:val="00A86A06"/>
    <w:rsid w:val="00A86DE5"/>
    <w:rsid w:val="00A870F2"/>
    <w:rsid w:val="00A9100C"/>
    <w:rsid w:val="00A912B7"/>
    <w:rsid w:val="00A92422"/>
    <w:rsid w:val="00A95189"/>
    <w:rsid w:val="00A956E5"/>
    <w:rsid w:val="00A95760"/>
    <w:rsid w:val="00A96556"/>
    <w:rsid w:val="00A97B71"/>
    <w:rsid w:val="00A97D23"/>
    <w:rsid w:val="00AA07F4"/>
    <w:rsid w:val="00AA0FC8"/>
    <w:rsid w:val="00AA15CF"/>
    <w:rsid w:val="00AA24DC"/>
    <w:rsid w:val="00AA2ED9"/>
    <w:rsid w:val="00AA3D37"/>
    <w:rsid w:val="00AA4299"/>
    <w:rsid w:val="00AA4480"/>
    <w:rsid w:val="00AA515C"/>
    <w:rsid w:val="00AA5169"/>
    <w:rsid w:val="00AA567E"/>
    <w:rsid w:val="00AA5B5A"/>
    <w:rsid w:val="00AA6E7A"/>
    <w:rsid w:val="00AB0037"/>
    <w:rsid w:val="00AB0340"/>
    <w:rsid w:val="00AB230E"/>
    <w:rsid w:val="00AB27A5"/>
    <w:rsid w:val="00AB2969"/>
    <w:rsid w:val="00AB2DBA"/>
    <w:rsid w:val="00AB3012"/>
    <w:rsid w:val="00AB36FC"/>
    <w:rsid w:val="00AB3932"/>
    <w:rsid w:val="00AB3C75"/>
    <w:rsid w:val="00AB3D70"/>
    <w:rsid w:val="00AB3EAF"/>
    <w:rsid w:val="00AB3ED1"/>
    <w:rsid w:val="00AB3F4E"/>
    <w:rsid w:val="00AB428B"/>
    <w:rsid w:val="00AB4E84"/>
    <w:rsid w:val="00AB508E"/>
    <w:rsid w:val="00AB5104"/>
    <w:rsid w:val="00AB583C"/>
    <w:rsid w:val="00AB5E2E"/>
    <w:rsid w:val="00AB7967"/>
    <w:rsid w:val="00AC04A3"/>
    <w:rsid w:val="00AC412C"/>
    <w:rsid w:val="00AC41FF"/>
    <w:rsid w:val="00AC43DF"/>
    <w:rsid w:val="00AC4AF7"/>
    <w:rsid w:val="00AC4D84"/>
    <w:rsid w:val="00AC5622"/>
    <w:rsid w:val="00AC56C7"/>
    <w:rsid w:val="00AC5D70"/>
    <w:rsid w:val="00AC5F1C"/>
    <w:rsid w:val="00AC66DC"/>
    <w:rsid w:val="00AC6A97"/>
    <w:rsid w:val="00AC6FC8"/>
    <w:rsid w:val="00AC7174"/>
    <w:rsid w:val="00AC7572"/>
    <w:rsid w:val="00AC7B12"/>
    <w:rsid w:val="00AD12D6"/>
    <w:rsid w:val="00AD15F1"/>
    <w:rsid w:val="00AD1D7D"/>
    <w:rsid w:val="00AD1E02"/>
    <w:rsid w:val="00AD227B"/>
    <w:rsid w:val="00AD26CE"/>
    <w:rsid w:val="00AD2B80"/>
    <w:rsid w:val="00AD383B"/>
    <w:rsid w:val="00AD49FF"/>
    <w:rsid w:val="00AD4CC9"/>
    <w:rsid w:val="00AD4DEB"/>
    <w:rsid w:val="00AD5AEC"/>
    <w:rsid w:val="00AD5E28"/>
    <w:rsid w:val="00AD7157"/>
    <w:rsid w:val="00AE024C"/>
    <w:rsid w:val="00AE05AC"/>
    <w:rsid w:val="00AE0684"/>
    <w:rsid w:val="00AE0CE7"/>
    <w:rsid w:val="00AE1388"/>
    <w:rsid w:val="00AE1560"/>
    <w:rsid w:val="00AE1B7F"/>
    <w:rsid w:val="00AE30C0"/>
    <w:rsid w:val="00AE310D"/>
    <w:rsid w:val="00AE358F"/>
    <w:rsid w:val="00AE433F"/>
    <w:rsid w:val="00AE5553"/>
    <w:rsid w:val="00AE60E4"/>
    <w:rsid w:val="00AE6BCE"/>
    <w:rsid w:val="00AE6C78"/>
    <w:rsid w:val="00AE6D92"/>
    <w:rsid w:val="00AF11B0"/>
    <w:rsid w:val="00AF2A0A"/>
    <w:rsid w:val="00AF2AEE"/>
    <w:rsid w:val="00AF2B96"/>
    <w:rsid w:val="00AF3DED"/>
    <w:rsid w:val="00AF5253"/>
    <w:rsid w:val="00AF6B4F"/>
    <w:rsid w:val="00AF6DE6"/>
    <w:rsid w:val="00AF7E81"/>
    <w:rsid w:val="00B0005C"/>
    <w:rsid w:val="00B00C15"/>
    <w:rsid w:val="00B00EBF"/>
    <w:rsid w:val="00B00F2C"/>
    <w:rsid w:val="00B0120F"/>
    <w:rsid w:val="00B028A6"/>
    <w:rsid w:val="00B02B05"/>
    <w:rsid w:val="00B02E67"/>
    <w:rsid w:val="00B03208"/>
    <w:rsid w:val="00B039FE"/>
    <w:rsid w:val="00B04173"/>
    <w:rsid w:val="00B04272"/>
    <w:rsid w:val="00B053C9"/>
    <w:rsid w:val="00B0589A"/>
    <w:rsid w:val="00B066FE"/>
    <w:rsid w:val="00B06F63"/>
    <w:rsid w:val="00B071B1"/>
    <w:rsid w:val="00B073B4"/>
    <w:rsid w:val="00B07967"/>
    <w:rsid w:val="00B07BE5"/>
    <w:rsid w:val="00B101DA"/>
    <w:rsid w:val="00B10FF2"/>
    <w:rsid w:val="00B113BA"/>
    <w:rsid w:val="00B122AD"/>
    <w:rsid w:val="00B15B91"/>
    <w:rsid w:val="00B2054D"/>
    <w:rsid w:val="00B20EBD"/>
    <w:rsid w:val="00B2102D"/>
    <w:rsid w:val="00B21FEE"/>
    <w:rsid w:val="00B23021"/>
    <w:rsid w:val="00B231D5"/>
    <w:rsid w:val="00B238F5"/>
    <w:rsid w:val="00B24B27"/>
    <w:rsid w:val="00B24C69"/>
    <w:rsid w:val="00B25074"/>
    <w:rsid w:val="00B25DA7"/>
    <w:rsid w:val="00B2657C"/>
    <w:rsid w:val="00B267AD"/>
    <w:rsid w:val="00B268CD"/>
    <w:rsid w:val="00B26BFB"/>
    <w:rsid w:val="00B27EE6"/>
    <w:rsid w:val="00B30757"/>
    <w:rsid w:val="00B30A18"/>
    <w:rsid w:val="00B314C9"/>
    <w:rsid w:val="00B31998"/>
    <w:rsid w:val="00B32781"/>
    <w:rsid w:val="00B3285F"/>
    <w:rsid w:val="00B33B10"/>
    <w:rsid w:val="00B34607"/>
    <w:rsid w:val="00B34F82"/>
    <w:rsid w:val="00B350B9"/>
    <w:rsid w:val="00B3607A"/>
    <w:rsid w:val="00B3651B"/>
    <w:rsid w:val="00B36641"/>
    <w:rsid w:val="00B36D90"/>
    <w:rsid w:val="00B374C1"/>
    <w:rsid w:val="00B40498"/>
    <w:rsid w:val="00B416EE"/>
    <w:rsid w:val="00B41A4F"/>
    <w:rsid w:val="00B42922"/>
    <w:rsid w:val="00B43453"/>
    <w:rsid w:val="00B442DE"/>
    <w:rsid w:val="00B44640"/>
    <w:rsid w:val="00B45315"/>
    <w:rsid w:val="00B45AB6"/>
    <w:rsid w:val="00B471AC"/>
    <w:rsid w:val="00B50AD4"/>
    <w:rsid w:val="00B50B8C"/>
    <w:rsid w:val="00B50E89"/>
    <w:rsid w:val="00B50F37"/>
    <w:rsid w:val="00B515B2"/>
    <w:rsid w:val="00B51BE9"/>
    <w:rsid w:val="00B52298"/>
    <w:rsid w:val="00B52919"/>
    <w:rsid w:val="00B53D3D"/>
    <w:rsid w:val="00B54232"/>
    <w:rsid w:val="00B54A1A"/>
    <w:rsid w:val="00B556AE"/>
    <w:rsid w:val="00B56029"/>
    <w:rsid w:val="00B56749"/>
    <w:rsid w:val="00B60051"/>
    <w:rsid w:val="00B606C3"/>
    <w:rsid w:val="00B6089A"/>
    <w:rsid w:val="00B6089B"/>
    <w:rsid w:val="00B61A52"/>
    <w:rsid w:val="00B62C9F"/>
    <w:rsid w:val="00B635E9"/>
    <w:rsid w:val="00B640CA"/>
    <w:rsid w:val="00B64266"/>
    <w:rsid w:val="00B64986"/>
    <w:rsid w:val="00B6578E"/>
    <w:rsid w:val="00B66294"/>
    <w:rsid w:val="00B6638E"/>
    <w:rsid w:val="00B66C9F"/>
    <w:rsid w:val="00B70073"/>
    <w:rsid w:val="00B700FF"/>
    <w:rsid w:val="00B7056B"/>
    <w:rsid w:val="00B70840"/>
    <w:rsid w:val="00B70CAE"/>
    <w:rsid w:val="00B7149A"/>
    <w:rsid w:val="00B7298D"/>
    <w:rsid w:val="00B730B4"/>
    <w:rsid w:val="00B73108"/>
    <w:rsid w:val="00B73397"/>
    <w:rsid w:val="00B73995"/>
    <w:rsid w:val="00B749CE"/>
    <w:rsid w:val="00B74A93"/>
    <w:rsid w:val="00B74F4B"/>
    <w:rsid w:val="00B75728"/>
    <w:rsid w:val="00B76A22"/>
    <w:rsid w:val="00B77DD3"/>
    <w:rsid w:val="00B77EFB"/>
    <w:rsid w:val="00B804BB"/>
    <w:rsid w:val="00B81280"/>
    <w:rsid w:val="00B81469"/>
    <w:rsid w:val="00B81624"/>
    <w:rsid w:val="00B832A0"/>
    <w:rsid w:val="00B83816"/>
    <w:rsid w:val="00B84461"/>
    <w:rsid w:val="00B849B4"/>
    <w:rsid w:val="00B8508A"/>
    <w:rsid w:val="00B85098"/>
    <w:rsid w:val="00B85123"/>
    <w:rsid w:val="00B851EB"/>
    <w:rsid w:val="00B85263"/>
    <w:rsid w:val="00B87007"/>
    <w:rsid w:val="00B8792D"/>
    <w:rsid w:val="00B9076D"/>
    <w:rsid w:val="00B91C5E"/>
    <w:rsid w:val="00B92D0F"/>
    <w:rsid w:val="00B94288"/>
    <w:rsid w:val="00B94679"/>
    <w:rsid w:val="00B94D1F"/>
    <w:rsid w:val="00B95342"/>
    <w:rsid w:val="00B961C4"/>
    <w:rsid w:val="00B966D1"/>
    <w:rsid w:val="00B967E3"/>
    <w:rsid w:val="00B972D7"/>
    <w:rsid w:val="00B9742B"/>
    <w:rsid w:val="00B97706"/>
    <w:rsid w:val="00BA01BA"/>
    <w:rsid w:val="00BA0A93"/>
    <w:rsid w:val="00BA1300"/>
    <w:rsid w:val="00BA1934"/>
    <w:rsid w:val="00BA206D"/>
    <w:rsid w:val="00BA20EF"/>
    <w:rsid w:val="00BA21AA"/>
    <w:rsid w:val="00BA325E"/>
    <w:rsid w:val="00BA3483"/>
    <w:rsid w:val="00BA44AD"/>
    <w:rsid w:val="00BA4663"/>
    <w:rsid w:val="00BA4828"/>
    <w:rsid w:val="00BA554D"/>
    <w:rsid w:val="00BA5BFA"/>
    <w:rsid w:val="00BA63E7"/>
    <w:rsid w:val="00BA665C"/>
    <w:rsid w:val="00BA6FD4"/>
    <w:rsid w:val="00BA70F8"/>
    <w:rsid w:val="00BA799F"/>
    <w:rsid w:val="00BA7EB2"/>
    <w:rsid w:val="00BB02BA"/>
    <w:rsid w:val="00BB05AD"/>
    <w:rsid w:val="00BB1017"/>
    <w:rsid w:val="00BB1640"/>
    <w:rsid w:val="00BB1BC5"/>
    <w:rsid w:val="00BB24F4"/>
    <w:rsid w:val="00BB28ED"/>
    <w:rsid w:val="00BB4174"/>
    <w:rsid w:val="00BB4FE2"/>
    <w:rsid w:val="00BB6B2B"/>
    <w:rsid w:val="00BB79A3"/>
    <w:rsid w:val="00BC0492"/>
    <w:rsid w:val="00BC116C"/>
    <w:rsid w:val="00BC204C"/>
    <w:rsid w:val="00BC209F"/>
    <w:rsid w:val="00BC2157"/>
    <w:rsid w:val="00BC2465"/>
    <w:rsid w:val="00BC2AB2"/>
    <w:rsid w:val="00BC522E"/>
    <w:rsid w:val="00BC599F"/>
    <w:rsid w:val="00BC59D7"/>
    <w:rsid w:val="00BC60E9"/>
    <w:rsid w:val="00BC62D7"/>
    <w:rsid w:val="00BC75E5"/>
    <w:rsid w:val="00BD085C"/>
    <w:rsid w:val="00BD08D4"/>
    <w:rsid w:val="00BD14E0"/>
    <w:rsid w:val="00BD1F0A"/>
    <w:rsid w:val="00BD3B68"/>
    <w:rsid w:val="00BD43D6"/>
    <w:rsid w:val="00BD47F7"/>
    <w:rsid w:val="00BD50A1"/>
    <w:rsid w:val="00BD54AD"/>
    <w:rsid w:val="00BD57A7"/>
    <w:rsid w:val="00BD5DBB"/>
    <w:rsid w:val="00BD6E8C"/>
    <w:rsid w:val="00BD7451"/>
    <w:rsid w:val="00BD75E1"/>
    <w:rsid w:val="00BD7B9F"/>
    <w:rsid w:val="00BD7CB1"/>
    <w:rsid w:val="00BD7E78"/>
    <w:rsid w:val="00BE1DBC"/>
    <w:rsid w:val="00BE2129"/>
    <w:rsid w:val="00BE2377"/>
    <w:rsid w:val="00BE27DE"/>
    <w:rsid w:val="00BE3BF0"/>
    <w:rsid w:val="00BE4453"/>
    <w:rsid w:val="00BE4589"/>
    <w:rsid w:val="00BE49B0"/>
    <w:rsid w:val="00BE520F"/>
    <w:rsid w:val="00BE54B2"/>
    <w:rsid w:val="00BE56C1"/>
    <w:rsid w:val="00BE5EEE"/>
    <w:rsid w:val="00BE5F6D"/>
    <w:rsid w:val="00BE60DB"/>
    <w:rsid w:val="00BE621C"/>
    <w:rsid w:val="00BE6AC0"/>
    <w:rsid w:val="00BE6CDD"/>
    <w:rsid w:val="00BE74BE"/>
    <w:rsid w:val="00BE7CEA"/>
    <w:rsid w:val="00BF0243"/>
    <w:rsid w:val="00BF0D35"/>
    <w:rsid w:val="00BF105D"/>
    <w:rsid w:val="00BF1206"/>
    <w:rsid w:val="00BF22A0"/>
    <w:rsid w:val="00BF22A7"/>
    <w:rsid w:val="00BF3985"/>
    <w:rsid w:val="00BF3BC9"/>
    <w:rsid w:val="00BF3FF2"/>
    <w:rsid w:val="00BF410D"/>
    <w:rsid w:val="00BF4FFE"/>
    <w:rsid w:val="00BF5655"/>
    <w:rsid w:val="00BF6ABE"/>
    <w:rsid w:val="00BF7DDE"/>
    <w:rsid w:val="00C0051B"/>
    <w:rsid w:val="00C00AF6"/>
    <w:rsid w:val="00C00C41"/>
    <w:rsid w:val="00C010BF"/>
    <w:rsid w:val="00C0140B"/>
    <w:rsid w:val="00C01FB8"/>
    <w:rsid w:val="00C0202B"/>
    <w:rsid w:val="00C02DAB"/>
    <w:rsid w:val="00C03962"/>
    <w:rsid w:val="00C04747"/>
    <w:rsid w:val="00C04C39"/>
    <w:rsid w:val="00C04F2E"/>
    <w:rsid w:val="00C059FA"/>
    <w:rsid w:val="00C05A16"/>
    <w:rsid w:val="00C05D51"/>
    <w:rsid w:val="00C05DEA"/>
    <w:rsid w:val="00C05EF0"/>
    <w:rsid w:val="00C069A1"/>
    <w:rsid w:val="00C06ADC"/>
    <w:rsid w:val="00C07867"/>
    <w:rsid w:val="00C07BAB"/>
    <w:rsid w:val="00C07D84"/>
    <w:rsid w:val="00C1148D"/>
    <w:rsid w:val="00C115D4"/>
    <w:rsid w:val="00C119F8"/>
    <w:rsid w:val="00C11C6F"/>
    <w:rsid w:val="00C13948"/>
    <w:rsid w:val="00C14E04"/>
    <w:rsid w:val="00C150E1"/>
    <w:rsid w:val="00C15384"/>
    <w:rsid w:val="00C1697C"/>
    <w:rsid w:val="00C170C9"/>
    <w:rsid w:val="00C17517"/>
    <w:rsid w:val="00C17669"/>
    <w:rsid w:val="00C1770F"/>
    <w:rsid w:val="00C178F4"/>
    <w:rsid w:val="00C17A47"/>
    <w:rsid w:val="00C2015C"/>
    <w:rsid w:val="00C20882"/>
    <w:rsid w:val="00C2101E"/>
    <w:rsid w:val="00C21084"/>
    <w:rsid w:val="00C21F53"/>
    <w:rsid w:val="00C224B7"/>
    <w:rsid w:val="00C22B09"/>
    <w:rsid w:val="00C23626"/>
    <w:rsid w:val="00C2595B"/>
    <w:rsid w:val="00C25CF5"/>
    <w:rsid w:val="00C26103"/>
    <w:rsid w:val="00C26199"/>
    <w:rsid w:val="00C2648C"/>
    <w:rsid w:val="00C26AC1"/>
    <w:rsid w:val="00C27119"/>
    <w:rsid w:val="00C27223"/>
    <w:rsid w:val="00C300ED"/>
    <w:rsid w:val="00C3050A"/>
    <w:rsid w:val="00C327A0"/>
    <w:rsid w:val="00C32977"/>
    <w:rsid w:val="00C336D4"/>
    <w:rsid w:val="00C35870"/>
    <w:rsid w:val="00C35DA6"/>
    <w:rsid w:val="00C36716"/>
    <w:rsid w:val="00C36934"/>
    <w:rsid w:val="00C36E95"/>
    <w:rsid w:val="00C378C1"/>
    <w:rsid w:val="00C40000"/>
    <w:rsid w:val="00C40EF7"/>
    <w:rsid w:val="00C40F8D"/>
    <w:rsid w:val="00C415C8"/>
    <w:rsid w:val="00C41E71"/>
    <w:rsid w:val="00C421BB"/>
    <w:rsid w:val="00C42F80"/>
    <w:rsid w:val="00C430EC"/>
    <w:rsid w:val="00C43480"/>
    <w:rsid w:val="00C43BB5"/>
    <w:rsid w:val="00C44406"/>
    <w:rsid w:val="00C44832"/>
    <w:rsid w:val="00C45CDF"/>
    <w:rsid w:val="00C45FED"/>
    <w:rsid w:val="00C46429"/>
    <w:rsid w:val="00C47CDD"/>
    <w:rsid w:val="00C5007B"/>
    <w:rsid w:val="00C50198"/>
    <w:rsid w:val="00C501D7"/>
    <w:rsid w:val="00C5048B"/>
    <w:rsid w:val="00C5152E"/>
    <w:rsid w:val="00C51730"/>
    <w:rsid w:val="00C5190B"/>
    <w:rsid w:val="00C51B0A"/>
    <w:rsid w:val="00C51FF0"/>
    <w:rsid w:val="00C524CB"/>
    <w:rsid w:val="00C525F9"/>
    <w:rsid w:val="00C52DF0"/>
    <w:rsid w:val="00C52F77"/>
    <w:rsid w:val="00C53CE6"/>
    <w:rsid w:val="00C53FE1"/>
    <w:rsid w:val="00C543A2"/>
    <w:rsid w:val="00C55A71"/>
    <w:rsid w:val="00C56566"/>
    <w:rsid w:val="00C5710D"/>
    <w:rsid w:val="00C5748F"/>
    <w:rsid w:val="00C57850"/>
    <w:rsid w:val="00C6005A"/>
    <w:rsid w:val="00C6123E"/>
    <w:rsid w:val="00C61868"/>
    <w:rsid w:val="00C62F97"/>
    <w:rsid w:val="00C6327E"/>
    <w:rsid w:val="00C63E17"/>
    <w:rsid w:val="00C64192"/>
    <w:rsid w:val="00C644AA"/>
    <w:rsid w:val="00C64789"/>
    <w:rsid w:val="00C6581C"/>
    <w:rsid w:val="00C6657D"/>
    <w:rsid w:val="00C66730"/>
    <w:rsid w:val="00C66BE4"/>
    <w:rsid w:val="00C671C1"/>
    <w:rsid w:val="00C67768"/>
    <w:rsid w:val="00C70ADB"/>
    <w:rsid w:val="00C7146C"/>
    <w:rsid w:val="00C728FE"/>
    <w:rsid w:val="00C739E4"/>
    <w:rsid w:val="00C746DB"/>
    <w:rsid w:val="00C74BBC"/>
    <w:rsid w:val="00C74CB7"/>
    <w:rsid w:val="00C74F9D"/>
    <w:rsid w:val="00C7592F"/>
    <w:rsid w:val="00C7605F"/>
    <w:rsid w:val="00C760E7"/>
    <w:rsid w:val="00C76D3B"/>
    <w:rsid w:val="00C77C44"/>
    <w:rsid w:val="00C805C9"/>
    <w:rsid w:val="00C80DC6"/>
    <w:rsid w:val="00C81072"/>
    <w:rsid w:val="00C813EC"/>
    <w:rsid w:val="00C81606"/>
    <w:rsid w:val="00C8346E"/>
    <w:rsid w:val="00C836B5"/>
    <w:rsid w:val="00C83A6A"/>
    <w:rsid w:val="00C83E0F"/>
    <w:rsid w:val="00C855E7"/>
    <w:rsid w:val="00C85ADC"/>
    <w:rsid w:val="00C86AC5"/>
    <w:rsid w:val="00C87084"/>
    <w:rsid w:val="00C87941"/>
    <w:rsid w:val="00C87A09"/>
    <w:rsid w:val="00C87D04"/>
    <w:rsid w:val="00C90B66"/>
    <w:rsid w:val="00C914A9"/>
    <w:rsid w:val="00C92C9D"/>
    <w:rsid w:val="00C932F3"/>
    <w:rsid w:val="00C93670"/>
    <w:rsid w:val="00C940CC"/>
    <w:rsid w:val="00C95CD5"/>
    <w:rsid w:val="00C960E7"/>
    <w:rsid w:val="00CA11AF"/>
    <w:rsid w:val="00CA1626"/>
    <w:rsid w:val="00CA166E"/>
    <w:rsid w:val="00CA17FB"/>
    <w:rsid w:val="00CA197D"/>
    <w:rsid w:val="00CA2E7A"/>
    <w:rsid w:val="00CA322B"/>
    <w:rsid w:val="00CA377F"/>
    <w:rsid w:val="00CA38CB"/>
    <w:rsid w:val="00CA3E5C"/>
    <w:rsid w:val="00CA41D6"/>
    <w:rsid w:val="00CA4B6F"/>
    <w:rsid w:val="00CA4E08"/>
    <w:rsid w:val="00CA4F41"/>
    <w:rsid w:val="00CA4FF4"/>
    <w:rsid w:val="00CA519E"/>
    <w:rsid w:val="00CA58E3"/>
    <w:rsid w:val="00CA5940"/>
    <w:rsid w:val="00CA5A09"/>
    <w:rsid w:val="00CA60BA"/>
    <w:rsid w:val="00CA652F"/>
    <w:rsid w:val="00CA6640"/>
    <w:rsid w:val="00CA6BCE"/>
    <w:rsid w:val="00CA6DB9"/>
    <w:rsid w:val="00CB0548"/>
    <w:rsid w:val="00CB0654"/>
    <w:rsid w:val="00CB0713"/>
    <w:rsid w:val="00CB086A"/>
    <w:rsid w:val="00CB11A3"/>
    <w:rsid w:val="00CB1708"/>
    <w:rsid w:val="00CB1765"/>
    <w:rsid w:val="00CB1BBB"/>
    <w:rsid w:val="00CB2048"/>
    <w:rsid w:val="00CB2585"/>
    <w:rsid w:val="00CB2E92"/>
    <w:rsid w:val="00CB2F5B"/>
    <w:rsid w:val="00CB3B1D"/>
    <w:rsid w:val="00CB422C"/>
    <w:rsid w:val="00CB4A9E"/>
    <w:rsid w:val="00CB4F64"/>
    <w:rsid w:val="00CB5861"/>
    <w:rsid w:val="00CB594B"/>
    <w:rsid w:val="00CB6B14"/>
    <w:rsid w:val="00CB6CD8"/>
    <w:rsid w:val="00CB7634"/>
    <w:rsid w:val="00CC014F"/>
    <w:rsid w:val="00CC04F7"/>
    <w:rsid w:val="00CC0715"/>
    <w:rsid w:val="00CC0B96"/>
    <w:rsid w:val="00CC1ED1"/>
    <w:rsid w:val="00CC288E"/>
    <w:rsid w:val="00CC300C"/>
    <w:rsid w:val="00CC3421"/>
    <w:rsid w:val="00CC3AC8"/>
    <w:rsid w:val="00CC3B77"/>
    <w:rsid w:val="00CC3F28"/>
    <w:rsid w:val="00CC4167"/>
    <w:rsid w:val="00CC4CC8"/>
    <w:rsid w:val="00CC5D2F"/>
    <w:rsid w:val="00CC5FE8"/>
    <w:rsid w:val="00CC62AD"/>
    <w:rsid w:val="00CC64D5"/>
    <w:rsid w:val="00CC6E0C"/>
    <w:rsid w:val="00CC6F4C"/>
    <w:rsid w:val="00CD014B"/>
    <w:rsid w:val="00CD01DE"/>
    <w:rsid w:val="00CD11AB"/>
    <w:rsid w:val="00CD14FB"/>
    <w:rsid w:val="00CD18CB"/>
    <w:rsid w:val="00CD1E66"/>
    <w:rsid w:val="00CD2ABF"/>
    <w:rsid w:val="00CD33E6"/>
    <w:rsid w:val="00CD38C7"/>
    <w:rsid w:val="00CD3A2D"/>
    <w:rsid w:val="00CD5429"/>
    <w:rsid w:val="00CD549E"/>
    <w:rsid w:val="00CD5D98"/>
    <w:rsid w:val="00CD60A2"/>
    <w:rsid w:val="00CD6822"/>
    <w:rsid w:val="00CD7144"/>
    <w:rsid w:val="00CE0772"/>
    <w:rsid w:val="00CE0ABA"/>
    <w:rsid w:val="00CE0DE8"/>
    <w:rsid w:val="00CE109D"/>
    <w:rsid w:val="00CE119C"/>
    <w:rsid w:val="00CE16F5"/>
    <w:rsid w:val="00CE1ECD"/>
    <w:rsid w:val="00CE25E8"/>
    <w:rsid w:val="00CE2D62"/>
    <w:rsid w:val="00CE2FBF"/>
    <w:rsid w:val="00CE30FC"/>
    <w:rsid w:val="00CE31C9"/>
    <w:rsid w:val="00CE33AA"/>
    <w:rsid w:val="00CE3DF4"/>
    <w:rsid w:val="00CE3FFE"/>
    <w:rsid w:val="00CE4B0A"/>
    <w:rsid w:val="00CE4C8E"/>
    <w:rsid w:val="00CE5094"/>
    <w:rsid w:val="00CE574A"/>
    <w:rsid w:val="00CE57CF"/>
    <w:rsid w:val="00CE5FF3"/>
    <w:rsid w:val="00CE64CA"/>
    <w:rsid w:val="00CE6749"/>
    <w:rsid w:val="00CE74C7"/>
    <w:rsid w:val="00CE7B2B"/>
    <w:rsid w:val="00CE7C8A"/>
    <w:rsid w:val="00CF0FAC"/>
    <w:rsid w:val="00CF17EB"/>
    <w:rsid w:val="00CF3AFE"/>
    <w:rsid w:val="00CF5CBC"/>
    <w:rsid w:val="00CF71D0"/>
    <w:rsid w:val="00CF73C5"/>
    <w:rsid w:val="00CF75BC"/>
    <w:rsid w:val="00CF7606"/>
    <w:rsid w:val="00D00252"/>
    <w:rsid w:val="00D011EC"/>
    <w:rsid w:val="00D01BC6"/>
    <w:rsid w:val="00D01D88"/>
    <w:rsid w:val="00D01ECC"/>
    <w:rsid w:val="00D02276"/>
    <w:rsid w:val="00D024D2"/>
    <w:rsid w:val="00D02652"/>
    <w:rsid w:val="00D03114"/>
    <w:rsid w:val="00D033D8"/>
    <w:rsid w:val="00D03733"/>
    <w:rsid w:val="00D038FA"/>
    <w:rsid w:val="00D0408E"/>
    <w:rsid w:val="00D04C40"/>
    <w:rsid w:val="00D04D6E"/>
    <w:rsid w:val="00D0634F"/>
    <w:rsid w:val="00D0764E"/>
    <w:rsid w:val="00D079AD"/>
    <w:rsid w:val="00D07FC9"/>
    <w:rsid w:val="00D10271"/>
    <w:rsid w:val="00D105E4"/>
    <w:rsid w:val="00D1088F"/>
    <w:rsid w:val="00D1167A"/>
    <w:rsid w:val="00D12D61"/>
    <w:rsid w:val="00D13D0B"/>
    <w:rsid w:val="00D13FE8"/>
    <w:rsid w:val="00D13FF8"/>
    <w:rsid w:val="00D14452"/>
    <w:rsid w:val="00D14CF4"/>
    <w:rsid w:val="00D15341"/>
    <w:rsid w:val="00D15A46"/>
    <w:rsid w:val="00D16208"/>
    <w:rsid w:val="00D163C7"/>
    <w:rsid w:val="00D16F2A"/>
    <w:rsid w:val="00D16F3C"/>
    <w:rsid w:val="00D17C48"/>
    <w:rsid w:val="00D211FE"/>
    <w:rsid w:val="00D214F8"/>
    <w:rsid w:val="00D21AAD"/>
    <w:rsid w:val="00D225A3"/>
    <w:rsid w:val="00D2269E"/>
    <w:rsid w:val="00D227AC"/>
    <w:rsid w:val="00D22C67"/>
    <w:rsid w:val="00D22DFB"/>
    <w:rsid w:val="00D248C6"/>
    <w:rsid w:val="00D260BC"/>
    <w:rsid w:val="00D27007"/>
    <w:rsid w:val="00D2795F"/>
    <w:rsid w:val="00D30CE1"/>
    <w:rsid w:val="00D317B6"/>
    <w:rsid w:val="00D31B51"/>
    <w:rsid w:val="00D31E6D"/>
    <w:rsid w:val="00D3233E"/>
    <w:rsid w:val="00D32B4D"/>
    <w:rsid w:val="00D32BF3"/>
    <w:rsid w:val="00D34218"/>
    <w:rsid w:val="00D34F3D"/>
    <w:rsid w:val="00D35DE7"/>
    <w:rsid w:val="00D36411"/>
    <w:rsid w:val="00D36461"/>
    <w:rsid w:val="00D36F65"/>
    <w:rsid w:val="00D37990"/>
    <w:rsid w:val="00D37BDD"/>
    <w:rsid w:val="00D40206"/>
    <w:rsid w:val="00D40343"/>
    <w:rsid w:val="00D40F21"/>
    <w:rsid w:val="00D42BD8"/>
    <w:rsid w:val="00D42D7E"/>
    <w:rsid w:val="00D4311F"/>
    <w:rsid w:val="00D43B28"/>
    <w:rsid w:val="00D43F8B"/>
    <w:rsid w:val="00D44152"/>
    <w:rsid w:val="00D44717"/>
    <w:rsid w:val="00D45FA1"/>
    <w:rsid w:val="00D46C6D"/>
    <w:rsid w:val="00D4712D"/>
    <w:rsid w:val="00D47B90"/>
    <w:rsid w:val="00D50AEB"/>
    <w:rsid w:val="00D50D4D"/>
    <w:rsid w:val="00D50DCA"/>
    <w:rsid w:val="00D51013"/>
    <w:rsid w:val="00D51ABB"/>
    <w:rsid w:val="00D51E1B"/>
    <w:rsid w:val="00D52721"/>
    <w:rsid w:val="00D5391F"/>
    <w:rsid w:val="00D53C58"/>
    <w:rsid w:val="00D543A3"/>
    <w:rsid w:val="00D543D5"/>
    <w:rsid w:val="00D54576"/>
    <w:rsid w:val="00D54934"/>
    <w:rsid w:val="00D54C69"/>
    <w:rsid w:val="00D5536E"/>
    <w:rsid w:val="00D570B5"/>
    <w:rsid w:val="00D570F0"/>
    <w:rsid w:val="00D604E2"/>
    <w:rsid w:val="00D609D5"/>
    <w:rsid w:val="00D60D70"/>
    <w:rsid w:val="00D61055"/>
    <w:rsid w:val="00D611F8"/>
    <w:rsid w:val="00D615F8"/>
    <w:rsid w:val="00D61970"/>
    <w:rsid w:val="00D634F8"/>
    <w:rsid w:val="00D6425F"/>
    <w:rsid w:val="00D64371"/>
    <w:rsid w:val="00D6482E"/>
    <w:rsid w:val="00D64CEC"/>
    <w:rsid w:val="00D653D7"/>
    <w:rsid w:val="00D6623B"/>
    <w:rsid w:val="00D66D4E"/>
    <w:rsid w:val="00D70DFA"/>
    <w:rsid w:val="00D71005"/>
    <w:rsid w:val="00D71256"/>
    <w:rsid w:val="00D721F8"/>
    <w:rsid w:val="00D7236B"/>
    <w:rsid w:val="00D72D8C"/>
    <w:rsid w:val="00D7718B"/>
    <w:rsid w:val="00D7734F"/>
    <w:rsid w:val="00D7749C"/>
    <w:rsid w:val="00D77CAC"/>
    <w:rsid w:val="00D77EDE"/>
    <w:rsid w:val="00D81424"/>
    <w:rsid w:val="00D81D89"/>
    <w:rsid w:val="00D822CA"/>
    <w:rsid w:val="00D824AB"/>
    <w:rsid w:val="00D82591"/>
    <w:rsid w:val="00D82BBC"/>
    <w:rsid w:val="00D82D79"/>
    <w:rsid w:val="00D830B8"/>
    <w:rsid w:val="00D831F8"/>
    <w:rsid w:val="00D837EA"/>
    <w:rsid w:val="00D84D35"/>
    <w:rsid w:val="00D85CEE"/>
    <w:rsid w:val="00D85D81"/>
    <w:rsid w:val="00D86EE8"/>
    <w:rsid w:val="00D87C0D"/>
    <w:rsid w:val="00D87F3C"/>
    <w:rsid w:val="00D920AD"/>
    <w:rsid w:val="00D92C3E"/>
    <w:rsid w:val="00D934E5"/>
    <w:rsid w:val="00D93A90"/>
    <w:rsid w:val="00D93E33"/>
    <w:rsid w:val="00D940C2"/>
    <w:rsid w:val="00D940CB"/>
    <w:rsid w:val="00D942DB"/>
    <w:rsid w:val="00D9451E"/>
    <w:rsid w:val="00D948C8"/>
    <w:rsid w:val="00D94EBA"/>
    <w:rsid w:val="00D954FD"/>
    <w:rsid w:val="00D955D9"/>
    <w:rsid w:val="00D96D81"/>
    <w:rsid w:val="00D97E0A"/>
    <w:rsid w:val="00DA0252"/>
    <w:rsid w:val="00DA079A"/>
    <w:rsid w:val="00DA104B"/>
    <w:rsid w:val="00DA13EA"/>
    <w:rsid w:val="00DA17F0"/>
    <w:rsid w:val="00DA19E5"/>
    <w:rsid w:val="00DA1F76"/>
    <w:rsid w:val="00DA2494"/>
    <w:rsid w:val="00DA24E8"/>
    <w:rsid w:val="00DA2CCF"/>
    <w:rsid w:val="00DA2E37"/>
    <w:rsid w:val="00DA2EA9"/>
    <w:rsid w:val="00DA2F09"/>
    <w:rsid w:val="00DA3347"/>
    <w:rsid w:val="00DA35C9"/>
    <w:rsid w:val="00DA3E0A"/>
    <w:rsid w:val="00DA4F76"/>
    <w:rsid w:val="00DA5301"/>
    <w:rsid w:val="00DA5E69"/>
    <w:rsid w:val="00DA601B"/>
    <w:rsid w:val="00DA6EDA"/>
    <w:rsid w:val="00DA765B"/>
    <w:rsid w:val="00DB104F"/>
    <w:rsid w:val="00DB21A3"/>
    <w:rsid w:val="00DB2E55"/>
    <w:rsid w:val="00DB3164"/>
    <w:rsid w:val="00DB4BA9"/>
    <w:rsid w:val="00DB50F1"/>
    <w:rsid w:val="00DB5164"/>
    <w:rsid w:val="00DB5FA3"/>
    <w:rsid w:val="00DB77EE"/>
    <w:rsid w:val="00DC0262"/>
    <w:rsid w:val="00DC1261"/>
    <w:rsid w:val="00DC1699"/>
    <w:rsid w:val="00DC2DB1"/>
    <w:rsid w:val="00DC371A"/>
    <w:rsid w:val="00DC386E"/>
    <w:rsid w:val="00DC3F15"/>
    <w:rsid w:val="00DC4DB5"/>
    <w:rsid w:val="00DC6643"/>
    <w:rsid w:val="00DC6BA9"/>
    <w:rsid w:val="00DC7873"/>
    <w:rsid w:val="00DC7887"/>
    <w:rsid w:val="00DD0251"/>
    <w:rsid w:val="00DD0EEA"/>
    <w:rsid w:val="00DD0F31"/>
    <w:rsid w:val="00DD1502"/>
    <w:rsid w:val="00DD1E1E"/>
    <w:rsid w:val="00DD2449"/>
    <w:rsid w:val="00DD24A3"/>
    <w:rsid w:val="00DD278F"/>
    <w:rsid w:val="00DD2799"/>
    <w:rsid w:val="00DD35DB"/>
    <w:rsid w:val="00DD3BA7"/>
    <w:rsid w:val="00DD40C6"/>
    <w:rsid w:val="00DD40D2"/>
    <w:rsid w:val="00DD4A3E"/>
    <w:rsid w:val="00DD51EB"/>
    <w:rsid w:val="00DD5B6C"/>
    <w:rsid w:val="00DD5C2F"/>
    <w:rsid w:val="00DD65F9"/>
    <w:rsid w:val="00DD6644"/>
    <w:rsid w:val="00DD6B33"/>
    <w:rsid w:val="00DD6C55"/>
    <w:rsid w:val="00DD703C"/>
    <w:rsid w:val="00DD730E"/>
    <w:rsid w:val="00DE0448"/>
    <w:rsid w:val="00DE08B8"/>
    <w:rsid w:val="00DE0FF4"/>
    <w:rsid w:val="00DE1E2D"/>
    <w:rsid w:val="00DE2BFC"/>
    <w:rsid w:val="00DE2D38"/>
    <w:rsid w:val="00DE3250"/>
    <w:rsid w:val="00DE39F4"/>
    <w:rsid w:val="00DE409C"/>
    <w:rsid w:val="00DE45AB"/>
    <w:rsid w:val="00DE4736"/>
    <w:rsid w:val="00DE4E3D"/>
    <w:rsid w:val="00DE5587"/>
    <w:rsid w:val="00DE60BA"/>
    <w:rsid w:val="00DE65AB"/>
    <w:rsid w:val="00DE766C"/>
    <w:rsid w:val="00DE78CF"/>
    <w:rsid w:val="00DF1B7C"/>
    <w:rsid w:val="00DF25BC"/>
    <w:rsid w:val="00DF26F2"/>
    <w:rsid w:val="00DF2A63"/>
    <w:rsid w:val="00DF2E03"/>
    <w:rsid w:val="00DF4233"/>
    <w:rsid w:val="00DF570D"/>
    <w:rsid w:val="00DF5B01"/>
    <w:rsid w:val="00DF5E3E"/>
    <w:rsid w:val="00DF5E62"/>
    <w:rsid w:val="00DF623C"/>
    <w:rsid w:val="00DF698F"/>
    <w:rsid w:val="00DF6A41"/>
    <w:rsid w:val="00DF7564"/>
    <w:rsid w:val="00DF7E96"/>
    <w:rsid w:val="00DF7F4D"/>
    <w:rsid w:val="00E00BF2"/>
    <w:rsid w:val="00E00CA0"/>
    <w:rsid w:val="00E020D8"/>
    <w:rsid w:val="00E0232B"/>
    <w:rsid w:val="00E02849"/>
    <w:rsid w:val="00E02A9B"/>
    <w:rsid w:val="00E030D7"/>
    <w:rsid w:val="00E0373D"/>
    <w:rsid w:val="00E037C2"/>
    <w:rsid w:val="00E040B8"/>
    <w:rsid w:val="00E04161"/>
    <w:rsid w:val="00E05BFB"/>
    <w:rsid w:val="00E06CC8"/>
    <w:rsid w:val="00E10EB7"/>
    <w:rsid w:val="00E1169A"/>
    <w:rsid w:val="00E12668"/>
    <w:rsid w:val="00E1537D"/>
    <w:rsid w:val="00E154E8"/>
    <w:rsid w:val="00E17066"/>
    <w:rsid w:val="00E17847"/>
    <w:rsid w:val="00E20731"/>
    <w:rsid w:val="00E21755"/>
    <w:rsid w:val="00E22B8D"/>
    <w:rsid w:val="00E22C83"/>
    <w:rsid w:val="00E24FC2"/>
    <w:rsid w:val="00E25D09"/>
    <w:rsid w:val="00E25E88"/>
    <w:rsid w:val="00E260B4"/>
    <w:rsid w:val="00E2655F"/>
    <w:rsid w:val="00E277AE"/>
    <w:rsid w:val="00E279D1"/>
    <w:rsid w:val="00E27BC9"/>
    <w:rsid w:val="00E27C49"/>
    <w:rsid w:val="00E27F64"/>
    <w:rsid w:val="00E302D3"/>
    <w:rsid w:val="00E30ECF"/>
    <w:rsid w:val="00E30FAA"/>
    <w:rsid w:val="00E319C2"/>
    <w:rsid w:val="00E31F9E"/>
    <w:rsid w:val="00E32304"/>
    <w:rsid w:val="00E338AE"/>
    <w:rsid w:val="00E33ECE"/>
    <w:rsid w:val="00E3421B"/>
    <w:rsid w:val="00E3482E"/>
    <w:rsid w:val="00E352B9"/>
    <w:rsid w:val="00E35C67"/>
    <w:rsid w:val="00E36008"/>
    <w:rsid w:val="00E36046"/>
    <w:rsid w:val="00E36707"/>
    <w:rsid w:val="00E37102"/>
    <w:rsid w:val="00E3722C"/>
    <w:rsid w:val="00E37A2A"/>
    <w:rsid w:val="00E37DE1"/>
    <w:rsid w:val="00E40492"/>
    <w:rsid w:val="00E406FF"/>
    <w:rsid w:val="00E40948"/>
    <w:rsid w:val="00E40C34"/>
    <w:rsid w:val="00E4121A"/>
    <w:rsid w:val="00E4152B"/>
    <w:rsid w:val="00E41BA2"/>
    <w:rsid w:val="00E41BA3"/>
    <w:rsid w:val="00E41D58"/>
    <w:rsid w:val="00E422A9"/>
    <w:rsid w:val="00E426BB"/>
    <w:rsid w:val="00E42B5D"/>
    <w:rsid w:val="00E43DAD"/>
    <w:rsid w:val="00E45CDE"/>
    <w:rsid w:val="00E46399"/>
    <w:rsid w:val="00E47050"/>
    <w:rsid w:val="00E51779"/>
    <w:rsid w:val="00E527F2"/>
    <w:rsid w:val="00E52F08"/>
    <w:rsid w:val="00E53BFB"/>
    <w:rsid w:val="00E53D51"/>
    <w:rsid w:val="00E54CB9"/>
    <w:rsid w:val="00E55850"/>
    <w:rsid w:val="00E55D58"/>
    <w:rsid w:val="00E55DB8"/>
    <w:rsid w:val="00E56111"/>
    <w:rsid w:val="00E56E5C"/>
    <w:rsid w:val="00E56E8E"/>
    <w:rsid w:val="00E56F5E"/>
    <w:rsid w:val="00E57704"/>
    <w:rsid w:val="00E57798"/>
    <w:rsid w:val="00E57DDB"/>
    <w:rsid w:val="00E6024B"/>
    <w:rsid w:val="00E610E1"/>
    <w:rsid w:val="00E614D7"/>
    <w:rsid w:val="00E6180F"/>
    <w:rsid w:val="00E62676"/>
    <w:rsid w:val="00E628B2"/>
    <w:rsid w:val="00E632B4"/>
    <w:rsid w:val="00E635AA"/>
    <w:rsid w:val="00E63C79"/>
    <w:rsid w:val="00E6471E"/>
    <w:rsid w:val="00E64C9D"/>
    <w:rsid w:val="00E65506"/>
    <w:rsid w:val="00E6612E"/>
    <w:rsid w:val="00E66723"/>
    <w:rsid w:val="00E66805"/>
    <w:rsid w:val="00E66CE8"/>
    <w:rsid w:val="00E66D98"/>
    <w:rsid w:val="00E70EA7"/>
    <w:rsid w:val="00E70EC4"/>
    <w:rsid w:val="00E7103A"/>
    <w:rsid w:val="00E71C37"/>
    <w:rsid w:val="00E72F6F"/>
    <w:rsid w:val="00E73167"/>
    <w:rsid w:val="00E740F7"/>
    <w:rsid w:val="00E753F7"/>
    <w:rsid w:val="00E757C9"/>
    <w:rsid w:val="00E75993"/>
    <w:rsid w:val="00E76221"/>
    <w:rsid w:val="00E766AF"/>
    <w:rsid w:val="00E76EDC"/>
    <w:rsid w:val="00E805BD"/>
    <w:rsid w:val="00E807E9"/>
    <w:rsid w:val="00E80B07"/>
    <w:rsid w:val="00E81327"/>
    <w:rsid w:val="00E81BDD"/>
    <w:rsid w:val="00E83375"/>
    <w:rsid w:val="00E834A0"/>
    <w:rsid w:val="00E83C67"/>
    <w:rsid w:val="00E8485D"/>
    <w:rsid w:val="00E84E87"/>
    <w:rsid w:val="00E85380"/>
    <w:rsid w:val="00E85FB9"/>
    <w:rsid w:val="00E86489"/>
    <w:rsid w:val="00E86805"/>
    <w:rsid w:val="00E86A07"/>
    <w:rsid w:val="00E86C80"/>
    <w:rsid w:val="00E87DF6"/>
    <w:rsid w:val="00E87FA9"/>
    <w:rsid w:val="00E920C4"/>
    <w:rsid w:val="00E92CF4"/>
    <w:rsid w:val="00E9324A"/>
    <w:rsid w:val="00E938B1"/>
    <w:rsid w:val="00E93A83"/>
    <w:rsid w:val="00E93C10"/>
    <w:rsid w:val="00E941D6"/>
    <w:rsid w:val="00E94509"/>
    <w:rsid w:val="00E95514"/>
    <w:rsid w:val="00E9587E"/>
    <w:rsid w:val="00E95D66"/>
    <w:rsid w:val="00E96567"/>
    <w:rsid w:val="00E97092"/>
    <w:rsid w:val="00E971FE"/>
    <w:rsid w:val="00E979D9"/>
    <w:rsid w:val="00E97A5A"/>
    <w:rsid w:val="00E97E59"/>
    <w:rsid w:val="00EA0017"/>
    <w:rsid w:val="00EA0709"/>
    <w:rsid w:val="00EA08DB"/>
    <w:rsid w:val="00EA0BAA"/>
    <w:rsid w:val="00EA101B"/>
    <w:rsid w:val="00EA11CB"/>
    <w:rsid w:val="00EA193A"/>
    <w:rsid w:val="00EA2422"/>
    <w:rsid w:val="00EA2819"/>
    <w:rsid w:val="00EA291F"/>
    <w:rsid w:val="00EA2D4E"/>
    <w:rsid w:val="00EA2DC7"/>
    <w:rsid w:val="00EA2ED1"/>
    <w:rsid w:val="00EA33F5"/>
    <w:rsid w:val="00EA3527"/>
    <w:rsid w:val="00EA363D"/>
    <w:rsid w:val="00EA37EE"/>
    <w:rsid w:val="00EA39F9"/>
    <w:rsid w:val="00EA3A36"/>
    <w:rsid w:val="00EA487B"/>
    <w:rsid w:val="00EA4894"/>
    <w:rsid w:val="00EA48AA"/>
    <w:rsid w:val="00EA5319"/>
    <w:rsid w:val="00EA5BC1"/>
    <w:rsid w:val="00EA5CD4"/>
    <w:rsid w:val="00EA60F8"/>
    <w:rsid w:val="00EA731E"/>
    <w:rsid w:val="00EA73CF"/>
    <w:rsid w:val="00EA7DA6"/>
    <w:rsid w:val="00EB0098"/>
    <w:rsid w:val="00EB0162"/>
    <w:rsid w:val="00EB0DD6"/>
    <w:rsid w:val="00EB19A4"/>
    <w:rsid w:val="00EB1BAD"/>
    <w:rsid w:val="00EB1F0D"/>
    <w:rsid w:val="00EB2CA2"/>
    <w:rsid w:val="00EB37A5"/>
    <w:rsid w:val="00EB3B9F"/>
    <w:rsid w:val="00EB4147"/>
    <w:rsid w:val="00EB4AFA"/>
    <w:rsid w:val="00EB5621"/>
    <w:rsid w:val="00EB6A20"/>
    <w:rsid w:val="00EB6E73"/>
    <w:rsid w:val="00EB72CD"/>
    <w:rsid w:val="00EC0CF9"/>
    <w:rsid w:val="00EC0DEA"/>
    <w:rsid w:val="00EC14E4"/>
    <w:rsid w:val="00EC21B2"/>
    <w:rsid w:val="00EC22C9"/>
    <w:rsid w:val="00EC451A"/>
    <w:rsid w:val="00EC4718"/>
    <w:rsid w:val="00EC54D2"/>
    <w:rsid w:val="00EC5C56"/>
    <w:rsid w:val="00EC6505"/>
    <w:rsid w:val="00EC6516"/>
    <w:rsid w:val="00EC7655"/>
    <w:rsid w:val="00ED03E1"/>
    <w:rsid w:val="00ED0722"/>
    <w:rsid w:val="00ED0DBC"/>
    <w:rsid w:val="00ED188B"/>
    <w:rsid w:val="00ED1F9A"/>
    <w:rsid w:val="00ED20E7"/>
    <w:rsid w:val="00ED2796"/>
    <w:rsid w:val="00ED2F7E"/>
    <w:rsid w:val="00ED3641"/>
    <w:rsid w:val="00ED3DF4"/>
    <w:rsid w:val="00ED500D"/>
    <w:rsid w:val="00ED5AF3"/>
    <w:rsid w:val="00ED5B8A"/>
    <w:rsid w:val="00ED7599"/>
    <w:rsid w:val="00EE034A"/>
    <w:rsid w:val="00EE03DA"/>
    <w:rsid w:val="00EE0973"/>
    <w:rsid w:val="00EE0BF5"/>
    <w:rsid w:val="00EE1404"/>
    <w:rsid w:val="00EE1C32"/>
    <w:rsid w:val="00EE1EAA"/>
    <w:rsid w:val="00EE39FA"/>
    <w:rsid w:val="00EE3F44"/>
    <w:rsid w:val="00EE4B2A"/>
    <w:rsid w:val="00EE5BA9"/>
    <w:rsid w:val="00EE6163"/>
    <w:rsid w:val="00EE6611"/>
    <w:rsid w:val="00EE69EA"/>
    <w:rsid w:val="00EE6A30"/>
    <w:rsid w:val="00EE7304"/>
    <w:rsid w:val="00EE73CB"/>
    <w:rsid w:val="00EE7831"/>
    <w:rsid w:val="00EE7E36"/>
    <w:rsid w:val="00EF0385"/>
    <w:rsid w:val="00EF2B30"/>
    <w:rsid w:val="00EF2BE1"/>
    <w:rsid w:val="00EF3E82"/>
    <w:rsid w:val="00EF42DE"/>
    <w:rsid w:val="00EF575F"/>
    <w:rsid w:val="00EF7976"/>
    <w:rsid w:val="00F00B1F"/>
    <w:rsid w:val="00F00F5B"/>
    <w:rsid w:val="00F01C55"/>
    <w:rsid w:val="00F02A06"/>
    <w:rsid w:val="00F03301"/>
    <w:rsid w:val="00F048C7"/>
    <w:rsid w:val="00F060B8"/>
    <w:rsid w:val="00F06822"/>
    <w:rsid w:val="00F06AE1"/>
    <w:rsid w:val="00F073EE"/>
    <w:rsid w:val="00F07D07"/>
    <w:rsid w:val="00F1062B"/>
    <w:rsid w:val="00F1079D"/>
    <w:rsid w:val="00F1085E"/>
    <w:rsid w:val="00F10B32"/>
    <w:rsid w:val="00F110B9"/>
    <w:rsid w:val="00F1251D"/>
    <w:rsid w:val="00F12FAA"/>
    <w:rsid w:val="00F13910"/>
    <w:rsid w:val="00F13D24"/>
    <w:rsid w:val="00F13F78"/>
    <w:rsid w:val="00F147B3"/>
    <w:rsid w:val="00F15027"/>
    <w:rsid w:val="00F152DB"/>
    <w:rsid w:val="00F15537"/>
    <w:rsid w:val="00F15893"/>
    <w:rsid w:val="00F174C8"/>
    <w:rsid w:val="00F17D07"/>
    <w:rsid w:val="00F21FCF"/>
    <w:rsid w:val="00F220D1"/>
    <w:rsid w:val="00F2241A"/>
    <w:rsid w:val="00F22F90"/>
    <w:rsid w:val="00F23877"/>
    <w:rsid w:val="00F239EA"/>
    <w:rsid w:val="00F23C33"/>
    <w:rsid w:val="00F24252"/>
    <w:rsid w:val="00F25294"/>
    <w:rsid w:val="00F2584A"/>
    <w:rsid w:val="00F25E66"/>
    <w:rsid w:val="00F2628C"/>
    <w:rsid w:val="00F262DE"/>
    <w:rsid w:val="00F270C9"/>
    <w:rsid w:val="00F27244"/>
    <w:rsid w:val="00F31D48"/>
    <w:rsid w:val="00F31E44"/>
    <w:rsid w:val="00F31FA6"/>
    <w:rsid w:val="00F32E40"/>
    <w:rsid w:val="00F335D9"/>
    <w:rsid w:val="00F33D54"/>
    <w:rsid w:val="00F343F4"/>
    <w:rsid w:val="00F34509"/>
    <w:rsid w:val="00F3480C"/>
    <w:rsid w:val="00F349BE"/>
    <w:rsid w:val="00F34CE3"/>
    <w:rsid w:val="00F34FC2"/>
    <w:rsid w:val="00F35674"/>
    <w:rsid w:val="00F3586D"/>
    <w:rsid w:val="00F35A3D"/>
    <w:rsid w:val="00F36CF1"/>
    <w:rsid w:val="00F36E66"/>
    <w:rsid w:val="00F370BF"/>
    <w:rsid w:val="00F400A2"/>
    <w:rsid w:val="00F40EBC"/>
    <w:rsid w:val="00F42499"/>
    <w:rsid w:val="00F43368"/>
    <w:rsid w:val="00F44C20"/>
    <w:rsid w:val="00F45CE1"/>
    <w:rsid w:val="00F46258"/>
    <w:rsid w:val="00F46F61"/>
    <w:rsid w:val="00F470BB"/>
    <w:rsid w:val="00F51619"/>
    <w:rsid w:val="00F5281E"/>
    <w:rsid w:val="00F53725"/>
    <w:rsid w:val="00F537FF"/>
    <w:rsid w:val="00F5414B"/>
    <w:rsid w:val="00F54A19"/>
    <w:rsid w:val="00F552D0"/>
    <w:rsid w:val="00F555A3"/>
    <w:rsid w:val="00F557DD"/>
    <w:rsid w:val="00F55CB8"/>
    <w:rsid w:val="00F5656F"/>
    <w:rsid w:val="00F56911"/>
    <w:rsid w:val="00F572DC"/>
    <w:rsid w:val="00F579AB"/>
    <w:rsid w:val="00F60226"/>
    <w:rsid w:val="00F605E6"/>
    <w:rsid w:val="00F60A79"/>
    <w:rsid w:val="00F60AF9"/>
    <w:rsid w:val="00F60C48"/>
    <w:rsid w:val="00F60E48"/>
    <w:rsid w:val="00F6226D"/>
    <w:rsid w:val="00F62B86"/>
    <w:rsid w:val="00F63217"/>
    <w:rsid w:val="00F643A9"/>
    <w:rsid w:val="00F64FD5"/>
    <w:rsid w:val="00F6539A"/>
    <w:rsid w:val="00F7080A"/>
    <w:rsid w:val="00F708AA"/>
    <w:rsid w:val="00F70D67"/>
    <w:rsid w:val="00F7119E"/>
    <w:rsid w:val="00F718DE"/>
    <w:rsid w:val="00F7215B"/>
    <w:rsid w:val="00F73D33"/>
    <w:rsid w:val="00F741E4"/>
    <w:rsid w:val="00F7446F"/>
    <w:rsid w:val="00F7447F"/>
    <w:rsid w:val="00F7504D"/>
    <w:rsid w:val="00F75CF4"/>
    <w:rsid w:val="00F77490"/>
    <w:rsid w:val="00F778E2"/>
    <w:rsid w:val="00F77EF7"/>
    <w:rsid w:val="00F80529"/>
    <w:rsid w:val="00F81ADE"/>
    <w:rsid w:val="00F8228C"/>
    <w:rsid w:val="00F82BC4"/>
    <w:rsid w:val="00F8329B"/>
    <w:rsid w:val="00F8471B"/>
    <w:rsid w:val="00F84DB8"/>
    <w:rsid w:val="00F84E9B"/>
    <w:rsid w:val="00F85E01"/>
    <w:rsid w:val="00F85FD7"/>
    <w:rsid w:val="00F86506"/>
    <w:rsid w:val="00F872BA"/>
    <w:rsid w:val="00F87691"/>
    <w:rsid w:val="00F90772"/>
    <w:rsid w:val="00F90826"/>
    <w:rsid w:val="00F90E02"/>
    <w:rsid w:val="00F912C3"/>
    <w:rsid w:val="00F91349"/>
    <w:rsid w:val="00F927D9"/>
    <w:rsid w:val="00F93124"/>
    <w:rsid w:val="00F93616"/>
    <w:rsid w:val="00F94295"/>
    <w:rsid w:val="00F958A0"/>
    <w:rsid w:val="00F95AFE"/>
    <w:rsid w:val="00F95BD0"/>
    <w:rsid w:val="00F95E09"/>
    <w:rsid w:val="00F95E86"/>
    <w:rsid w:val="00F95F84"/>
    <w:rsid w:val="00F9602A"/>
    <w:rsid w:val="00F969CA"/>
    <w:rsid w:val="00F97171"/>
    <w:rsid w:val="00F975A1"/>
    <w:rsid w:val="00F97A2C"/>
    <w:rsid w:val="00FA019F"/>
    <w:rsid w:val="00FA03BA"/>
    <w:rsid w:val="00FA159C"/>
    <w:rsid w:val="00FA18DD"/>
    <w:rsid w:val="00FA1FA3"/>
    <w:rsid w:val="00FA3008"/>
    <w:rsid w:val="00FA3B2B"/>
    <w:rsid w:val="00FA4042"/>
    <w:rsid w:val="00FA4067"/>
    <w:rsid w:val="00FA49DB"/>
    <w:rsid w:val="00FA54EE"/>
    <w:rsid w:val="00FA5BE6"/>
    <w:rsid w:val="00FA632A"/>
    <w:rsid w:val="00FA6E85"/>
    <w:rsid w:val="00FA7AC3"/>
    <w:rsid w:val="00FB0349"/>
    <w:rsid w:val="00FB0671"/>
    <w:rsid w:val="00FB0BCE"/>
    <w:rsid w:val="00FB1A17"/>
    <w:rsid w:val="00FB2660"/>
    <w:rsid w:val="00FB3339"/>
    <w:rsid w:val="00FB37D8"/>
    <w:rsid w:val="00FB3962"/>
    <w:rsid w:val="00FB4B6C"/>
    <w:rsid w:val="00FB511A"/>
    <w:rsid w:val="00FB579B"/>
    <w:rsid w:val="00FB6570"/>
    <w:rsid w:val="00FB6C00"/>
    <w:rsid w:val="00FB7327"/>
    <w:rsid w:val="00FC001A"/>
    <w:rsid w:val="00FC0330"/>
    <w:rsid w:val="00FC0338"/>
    <w:rsid w:val="00FC0B80"/>
    <w:rsid w:val="00FC0F51"/>
    <w:rsid w:val="00FC0F7E"/>
    <w:rsid w:val="00FC1852"/>
    <w:rsid w:val="00FC2A7A"/>
    <w:rsid w:val="00FC34F1"/>
    <w:rsid w:val="00FC3BF8"/>
    <w:rsid w:val="00FC41AC"/>
    <w:rsid w:val="00FC4482"/>
    <w:rsid w:val="00FC5033"/>
    <w:rsid w:val="00FC5323"/>
    <w:rsid w:val="00FC56FD"/>
    <w:rsid w:val="00FC5FE9"/>
    <w:rsid w:val="00FC6A82"/>
    <w:rsid w:val="00FC6BAC"/>
    <w:rsid w:val="00FC6D2A"/>
    <w:rsid w:val="00FC7982"/>
    <w:rsid w:val="00FD075E"/>
    <w:rsid w:val="00FD1ED7"/>
    <w:rsid w:val="00FD2C1E"/>
    <w:rsid w:val="00FD31F4"/>
    <w:rsid w:val="00FD3551"/>
    <w:rsid w:val="00FD3CDF"/>
    <w:rsid w:val="00FD4172"/>
    <w:rsid w:val="00FD4704"/>
    <w:rsid w:val="00FD4DCE"/>
    <w:rsid w:val="00FD51F0"/>
    <w:rsid w:val="00FD59FD"/>
    <w:rsid w:val="00FD67B5"/>
    <w:rsid w:val="00FD6BCF"/>
    <w:rsid w:val="00FD6C53"/>
    <w:rsid w:val="00FD7C79"/>
    <w:rsid w:val="00FE02F9"/>
    <w:rsid w:val="00FE0540"/>
    <w:rsid w:val="00FE0ED1"/>
    <w:rsid w:val="00FE1266"/>
    <w:rsid w:val="00FE13BA"/>
    <w:rsid w:val="00FE1634"/>
    <w:rsid w:val="00FE169C"/>
    <w:rsid w:val="00FE20DA"/>
    <w:rsid w:val="00FE230A"/>
    <w:rsid w:val="00FE34C0"/>
    <w:rsid w:val="00FE3D76"/>
    <w:rsid w:val="00FE40CC"/>
    <w:rsid w:val="00FE44FB"/>
    <w:rsid w:val="00FE4BCA"/>
    <w:rsid w:val="00FE4C1E"/>
    <w:rsid w:val="00FE4E25"/>
    <w:rsid w:val="00FE4EF8"/>
    <w:rsid w:val="00FE551D"/>
    <w:rsid w:val="00FE59CB"/>
    <w:rsid w:val="00FE6A91"/>
    <w:rsid w:val="00FE6E37"/>
    <w:rsid w:val="00FE7E5C"/>
    <w:rsid w:val="00FF12C7"/>
    <w:rsid w:val="00FF1AAF"/>
    <w:rsid w:val="00FF25AA"/>
    <w:rsid w:val="00FF2604"/>
    <w:rsid w:val="00FF2B80"/>
    <w:rsid w:val="00FF3354"/>
    <w:rsid w:val="00FF3CDE"/>
    <w:rsid w:val="00FF3E58"/>
    <w:rsid w:val="00FF4294"/>
    <w:rsid w:val="00FF4B37"/>
    <w:rsid w:val="00FF5120"/>
    <w:rsid w:val="00FF5360"/>
    <w:rsid w:val="00FF61B8"/>
    <w:rsid w:val="00FF63B7"/>
    <w:rsid w:val="00FF75BA"/>
    <w:rsid w:val="00FF7C82"/>
    <w:rsid w:val="00FF7D13"/>
    <w:rsid w:val="01DF43AC"/>
    <w:rsid w:val="02054A61"/>
    <w:rsid w:val="04900C71"/>
    <w:rsid w:val="06015851"/>
    <w:rsid w:val="063823B8"/>
    <w:rsid w:val="085C1C0D"/>
    <w:rsid w:val="08C745C2"/>
    <w:rsid w:val="09B1407B"/>
    <w:rsid w:val="0B1D57D5"/>
    <w:rsid w:val="0C3646A5"/>
    <w:rsid w:val="0C3E05DB"/>
    <w:rsid w:val="0D4A6D3E"/>
    <w:rsid w:val="0DA17AE9"/>
    <w:rsid w:val="0DD247A9"/>
    <w:rsid w:val="0F9E462B"/>
    <w:rsid w:val="109B0E9F"/>
    <w:rsid w:val="12805E56"/>
    <w:rsid w:val="12880CD1"/>
    <w:rsid w:val="135F0654"/>
    <w:rsid w:val="13D71FCA"/>
    <w:rsid w:val="15E92371"/>
    <w:rsid w:val="163725BB"/>
    <w:rsid w:val="17D169F2"/>
    <w:rsid w:val="17E625C2"/>
    <w:rsid w:val="1AF1534F"/>
    <w:rsid w:val="1B3E4A54"/>
    <w:rsid w:val="1E8C6B1C"/>
    <w:rsid w:val="1E9E3069"/>
    <w:rsid w:val="1F005C44"/>
    <w:rsid w:val="1F2A2F32"/>
    <w:rsid w:val="2056148B"/>
    <w:rsid w:val="24283745"/>
    <w:rsid w:val="27014D4D"/>
    <w:rsid w:val="2B5B1B9E"/>
    <w:rsid w:val="2B700015"/>
    <w:rsid w:val="2DC00706"/>
    <w:rsid w:val="2E116566"/>
    <w:rsid w:val="2FEB09A8"/>
    <w:rsid w:val="313619D3"/>
    <w:rsid w:val="33005661"/>
    <w:rsid w:val="34FF7A62"/>
    <w:rsid w:val="35C01B4D"/>
    <w:rsid w:val="379E7A5E"/>
    <w:rsid w:val="37B547DE"/>
    <w:rsid w:val="3AE34D8F"/>
    <w:rsid w:val="3BA00460"/>
    <w:rsid w:val="3D9617B8"/>
    <w:rsid w:val="3DFA1674"/>
    <w:rsid w:val="3FBB28F3"/>
    <w:rsid w:val="415B617E"/>
    <w:rsid w:val="421F7FE1"/>
    <w:rsid w:val="42372433"/>
    <w:rsid w:val="441D4762"/>
    <w:rsid w:val="44E53C6E"/>
    <w:rsid w:val="47C6723A"/>
    <w:rsid w:val="4846236F"/>
    <w:rsid w:val="49981F38"/>
    <w:rsid w:val="4B3C140E"/>
    <w:rsid w:val="4BED06DC"/>
    <w:rsid w:val="4DC813F0"/>
    <w:rsid w:val="4E1B0266"/>
    <w:rsid w:val="4EB833E0"/>
    <w:rsid w:val="4ECC38F2"/>
    <w:rsid w:val="50B0715D"/>
    <w:rsid w:val="50EE5872"/>
    <w:rsid w:val="53650971"/>
    <w:rsid w:val="546145F3"/>
    <w:rsid w:val="56546203"/>
    <w:rsid w:val="56E829DE"/>
    <w:rsid w:val="57172962"/>
    <w:rsid w:val="57A2793A"/>
    <w:rsid w:val="58813E39"/>
    <w:rsid w:val="58843C1F"/>
    <w:rsid w:val="59146E71"/>
    <w:rsid w:val="5A9263A6"/>
    <w:rsid w:val="5C8455C3"/>
    <w:rsid w:val="5CD73B49"/>
    <w:rsid w:val="5F255FC4"/>
    <w:rsid w:val="600B64E2"/>
    <w:rsid w:val="60424FFB"/>
    <w:rsid w:val="6075247A"/>
    <w:rsid w:val="61275811"/>
    <w:rsid w:val="616E403F"/>
    <w:rsid w:val="61B1482B"/>
    <w:rsid w:val="62727084"/>
    <w:rsid w:val="637720D5"/>
    <w:rsid w:val="63F345C1"/>
    <w:rsid w:val="6440630A"/>
    <w:rsid w:val="658C6FB3"/>
    <w:rsid w:val="676B0A03"/>
    <w:rsid w:val="6B1874FD"/>
    <w:rsid w:val="6CD11517"/>
    <w:rsid w:val="6D3B46CD"/>
    <w:rsid w:val="6DAB1B9A"/>
    <w:rsid w:val="6E0746EB"/>
    <w:rsid w:val="6E46664C"/>
    <w:rsid w:val="6F80797E"/>
    <w:rsid w:val="71971F7D"/>
    <w:rsid w:val="73CB48BD"/>
    <w:rsid w:val="753D53E3"/>
    <w:rsid w:val="76EF0FDF"/>
    <w:rsid w:val="76FC7BEC"/>
    <w:rsid w:val="7C665E1F"/>
    <w:rsid w:val="7CAB5AC7"/>
    <w:rsid w:val="7D7C297E"/>
    <w:rsid w:val="7EFF735D"/>
    <w:rsid w:val="7F3523F1"/>
    <w:rsid w:val="7F694BE1"/>
    <w:rsid w:val="7FBD6E50"/>
    <w:rsid w:val="7FD2083E"/>
    <w:rsid w:val="7FDD19C0"/>
    <w:rsid w:val="AF7F3A8B"/>
    <w:rsid w:val="FE7FD72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0"/>
    <w:pPr>
      <w:keepNext/>
      <w:keepLines/>
      <w:spacing w:before="360" w:after="240"/>
      <w:jc w:val="center"/>
      <w:outlineLvl w:val="0"/>
    </w:pPr>
    <w:rPr>
      <w:b/>
      <w:bCs/>
      <w:kern w:val="44"/>
      <w:sz w:val="28"/>
      <w:szCs w:val="44"/>
    </w:rPr>
  </w:style>
  <w:style w:type="paragraph" w:styleId="3">
    <w:name w:val="heading 2"/>
    <w:basedOn w:val="1"/>
    <w:next w:val="1"/>
    <w:link w:val="60"/>
    <w:qFormat/>
    <w:uiPriority w:val="0"/>
    <w:pPr>
      <w:keepNext/>
      <w:keepLines/>
      <w:spacing w:before="200" w:after="200" w:line="520" w:lineRule="exact"/>
      <w:ind w:firstLine="200" w:firstLineChars="200"/>
      <w:outlineLvl w:val="1"/>
    </w:pPr>
    <w:rPr>
      <w:rFonts w:ascii="Arial" w:hAnsi="Arial"/>
      <w:b/>
      <w:bCs/>
      <w:sz w:val="28"/>
      <w:szCs w:val="32"/>
    </w:rPr>
  </w:style>
  <w:style w:type="paragraph" w:styleId="4">
    <w:name w:val="heading 3"/>
    <w:basedOn w:val="1"/>
    <w:next w:val="1"/>
    <w:link w:val="61"/>
    <w:qFormat/>
    <w:uiPriority w:val="0"/>
    <w:pPr>
      <w:keepNext/>
      <w:keepLines/>
      <w:spacing w:before="260" w:after="260"/>
      <w:ind w:firstLine="200" w:firstLineChars="200"/>
      <w:outlineLvl w:val="2"/>
    </w:pPr>
    <w:rPr>
      <w:b/>
      <w:bCs/>
      <w:sz w:val="24"/>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rFonts w:asciiTheme="minorHAnsi" w:eastAsiaTheme="minorHAnsi"/>
      <w:sz w:val="18"/>
      <w:szCs w:val="18"/>
    </w:rPr>
  </w:style>
  <w:style w:type="paragraph" w:styleId="6">
    <w:name w:val="Document Map"/>
    <w:basedOn w:val="1"/>
    <w:link w:val="57"/>
    <w:qFormat/>
    <w:uiPriority w:val="0"/>
    <w:rPr>
      <w:rFonts w:ascii="宋体"/>
      <w:sz w:val="18"/>
      <w:szCs w:val="18"/>
      <w:lang w:val="zh-CN"/>
    </w:rPr>
  </w:style>
  <w:style w:type="paragraph" w:styleId="7">
    <w:name w:val="annotation text"/>
    <w:basedOn w:val="1"/>
    <w:link w:val="44"/>
    <w:qFormat/>
    <w:uiPriority w:val="0"/>
    <w:pPr>
      <w:jc w:val="left"/>
    </w:pPr>
  </w:style>
  <w:style w:type="paragraph" w:styleId="8">
    <w:name w:val="Body Text 3"/>
    <w:basedOn w:val="1"/>
    <w:link w:val="64"/>
    <w:qFormat/>
    <w:uiPriority w:val="0"/>
    <w:rPr>
      <w:b/>
      <w:bCs/>
      <w:sz w:val="18"/>
      <w:szCs w:val="20"/>
    </w:rPr>
  </w:style>
  <w:style w:type="paragraph" w:styleId="9">
    <w:name w:val="Body Text"/>
    <w:basedOn w:val="1"/>
    <w:link w:val="63"/>
    <w:qFormat/>
    <w:uiPriority w:val="0"/>
    <w:pPr>
      <w:spacing w:after="120"/>
    </w:pPr>
  </w:style>
  <w:style w:type="paragraph" w:styleId="10">
    <w:name w:val="Body Text Indent"/>
    <w:basedOn w:val="1"/>
    <w:link w:val="71"/>
    <w:qFormat/>
    <w:uiPriority w:val="0"/>
    <w:pPr>
      <w:spacing w:line="620" w:lineRule="exact"/>
      <w:ind w:firstLine="560" w:firstLineChars="200"/>
    </w:pPr>
    <w:rPr>
      <w:sz w:val="28"/>
      <w:szCs w:val="28"/>
    </w:rPr>
  </w:style>
  <w:style w:type="paragraph" w:styleId="11">
    <w:name w:val="toc 5"/>
    <w:basedOn w:val="1"/>
    <w:next w:val="1"/>
    <w:qFormat/>
    <w:uiPriority w:val="0"/>
    <w:pPr>
      <w:ind w:left="840"/>
      <w:jc w:val="left"/>
    </w:pPr>
    <w:rPr>
      <w:rFonts w:asciiTheme="minorHAnsi" w:eastAsiaTheme="minorHAnsi"/>
      <w:sz w:val="18"/>
      <w:szCs w:val="18"/>
    </w:rPr>
  </w:style>
  <w:style w:type="paragraph" w:styleId="12">
    <w:name w:val="toc 3"/>
    <w:basedOn w:val="1"/>
    <w:next w:val="1"/>
    <w:qFormat/>
    <w:uiPriority w:val="39"/>
    <w:pPr>
      <w:ind w:left="840" w:leftChars="400"/>
    </w:pPr>
  </w:style>
  <w:style w:type="paragraph" w:styleId="13">
    <w:name w:val="Plain Text"/>
    <w:basedOn w:val="1"/>
    <w:link w:val="42"/>
    <w:qFormat/>
    <w:uiPriority w:val="0"/>
    <w:rPr>
      <w:rFonts w:ascii="宋体" w:hAnsi="Courier New" w:cs="Courier New"/>
      <w:szCs w:val="21"/>
    </w:rPr>
  </w:style>
  <w:style w:type="paragraph" w:styleId="14">
    <w:name w:val="toc 8"/>
    <w:basedOn w:val="1"/>
    <w:next w:val="1"/>
    <w:qFormat/>
    <w:uiPriority w:val="0"/>
    <w:pPr>
      <w:ind w:left="1470"/>
      <w:jc w:val="left"/>
    </w:pPr>
    <w:rPr>
      <w:rFonts w:asciiTheme="minorHAnsi" w:eastAsiaTheme="minorHAnsi"/>
      <w:sz w:val="18"/>
      <w:szCs w:val="18"/>
    </w:rPr>
  </w:style>
  <w:style w:type="paragraph" w:styleId="15">
    <w:name w:val="Date"/>
    <w:basedOn w:val="1"/>
    <w:next w:val="1"/>
    <w:link w:val="70"/>
    <w:qFormat/>
    <w:uiPriority w:val="0"/>
    <w:pPr>
      <w:ind w:left="100" w:leftChars="2500"/>
    </w:pPr>
  </w:style>
  <w:style w:type="paragraph" w:styleId="16">
    <w:name w:val="Body Text Indent 2"/>
    <w:basedOn w:val="1"/>
    <w:link w:val="62"/>
    <w:qFormat/>
    <w:uiPriority w:val="0"/>
    <w:pPr>
      <w:ind w:firstLine="560" w:firstLineChars="200"/>
    </w:pPr>
    <w:rPr>
      <w:rFonts w:eastAsia="仿宋_GB2312"/>
      <w:sz w:val="28"/>
    </w:rPr>
  </w:style>
  <w:style w:type="paragraph" w:styleId="17">
    <w:name w:val="Balloon Text"/>
    <w:basedOn w:val="1"/>
    <w:link w:val="41"/>
    <w:qFormat/>
    <w:uiPriority w:val="0"/>
    <w:rPr>
      <w:sz w:val="18"/>
      <w:szCs w:val="18"/>
      <w:lang w:val="zh-CN"/>
    </w:rPr>
  </w:style>
  <w:style w:type="paragraph" w:styleId="18">
    <w:name w:val="footer"/>
    <w:basedOn w:val="1"/>
    <w:link w:val="40"/>
    <w:qFormat/>
    <w:uiPriority w:val="99"/>
    <w:pPr>
      <w:tabs>
        <w:tab w:val="center" w:pos="4153"/>
        <w:tab w:val="right" w:pos="8306"/>
      </w:tabs>
      <w:snapToGrid w:val="0"/>
      <w:jc w:val="left"/>
    </w:pPr>
    <w:rPr>
      <w:sz w:val="18"/>
      <w:szCs w:val="18"/>
      <w:lang w:val="zh-CN"/>
    </w:rPr>
  </w:style>
  <w:style w:type="paragraph" w:styleId="19">
    <w:name w:val="header"/>
    <w:basedOn w:val="1"/>
    <w:link w:val="69"/>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link w:val="86"/>
    <w:qFormat/>
    <w:uiPriority w:val="39"/>
    <w:pPr>
      <w:tabs>
        <w:tab w:val="right" w:leader="dot" w:pos="9231"/>
      </w:tabs>
      <w:spacing w:before="50" w:beforeLines="50" w:after="50" w:afterLines="50"/>
    </w:pPr>
    <w:rPr>
      <w:rFonts w:eastAsia="仿宋"/>
      <w:b/>
      <w:sz w:val="24"/>
    </w:rPr>
  </w:style>
  <w:style w:type="paragraph" w:styleId="21">
    <w:name w:val="toc 4"/>
    <w:basedOn w:val="1"/>
    <w:next w:val="1"/>
    <w:qFormat/>
    <w:uiPriority w:val="0"/>
    <w:pPr>
      <w:ind w:left="630"/>
      <w:jc w:val="left"/>
    </w:pPr>
    <w:rPr>
      <w:rFonts w:asciiTheme="minorHAnsi" w:eastAsiaTheme="minorHAnsi"/>
      <w:sz w:val="18"/>
      <w:szCs w:val="18"/>
    </w:rPr>
  </w:style>
  <w:style w:type="paragraph" w:styleId="22">
    <w:name w:val="Subtitle"/>
    <w:basedOn w:val="1"/>
    <w:next w:val="1"/>
    <w:link w:val="79"/>
    <w:qFormat/>
    <w:uiPriority w:val="0"/>
    <w:pPr>
      <w:ind w:firstLine="200" w:firstLineChars="200"/>
      <w:jc w:val="left"/>
      <w:outlineLvl w:val="1"/>
    </w:pPr>
    <w:rPr>
      <w:rFonts w:ascii="Cambria" w:hAnsi="Cambria" w:eastAsia="仿宋"/>
      <w:b/>
      <w:bCs/>
      <w:kern w:val="28"/>
      <w:sz w:val="28"/>
      <w:szCs w:val="32"/>
    </w:rPr>
  </w:style>
  <w:style w:type="paragraph" w:styleId="23">
    <w:name w:val="toc 6"/>
    <w:basedOn w:val="1"/>
    <w:next w:val="1"/>
    <w:qFormat/>
    <w:uiPriority w:val="0"/>
    <w:pPr>
      <w:ind w:left="1050"/>
      <w:jc w:val="left"/>
    </w:pPr>
    <w:rPr>
      <w:rFonts w:asciiTheme="minorHAnsi" w:eastAsiaTheme="minorHAnsi"/>
      <w:sz w:val="18"/>
      <w:szCs w:val="18"/>
    </w:rPr>
  </w:style>
  <w:style w:type="paragraph" w:styleId="24">
    <w:name w:val="Body Text Indent 3"/>
    <w:basedOn w:val="1"/>
    <w:link w:val="76"/>
    <w:qFormat/>
    <w:uiPriority w:val="0"/>
    <w:pPr>
      <w:spacing w:after="120"/>
      <w:ind w:left="420" w:leftChars="200"/>
    </w:pPr>
    <w:rPr>
      <w:sz w:val="16"/>
      <w:szCs w:val="16"/>
    </w:rPr>
  </w:style>
  <w:style w:type="paragraph" w:styleId="25">
    <w:name w:val="toc 2"/>
    <w:basedOn w:val="1"/>
    <w:next w:val="1"/>
    <w:link w:val="88"/>
    <w:qFormat/>
    <w:uiPriority w:val="39"/>
    <w:pPr>
      <w:tabs>
        <w:tab w:val="right" w:leader="dot" w:pos="9231"/>
      </w:tabs>
      <w:spacing w:line="440" w:lineRule="exact"/>
      <w:ind w:firstLine="200" w:firstLineChars="200"/>
    </w:pPr>
    <w:rPr>
      <w:rFonts w:eastAsia="仿宋"/>
      <w:sz w:val="24"/>
    </w:rPr>
  </w:style>
  <w:style w:type="paragraph" w:styleId="26">
    <w:name w:val="toc 9"/>
    <w:basedOn w:val="1"/>
    <w:next w:val="1"/>
    <w:qFormat/>
    <w:uiPriority w:val="0"/>
    <w:pPr>
      <w:ind w:left="1680"/>
      <w:jc w:val="left"/>
    </w:pPr>
    <w:rPr>
      <w:rFonts w:asciiTheme="minorHAnsi" w:eastAsiaTheme="minorHAnsi"/>
      <w:sz w:val="18"/>
      <w:szCs w:val="18"/>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8">
    <w:name w:val="Title"/>
    <w:basedOn w:val="1"/>
    <w:next w:val="1"/>
    <w:link w:val="85"/>
    <w:qFormat/>
    <w:uiPriority w:val="0"/>
    <w:pPr>
      <w:spacing w:before="240" w:after="60"/>
      <w:jc w:val="center"/>
      <w:outlineLvl w:val="0"/>
    </w:pPr>
    <w:rPr>
      <w:rFonts w:ascii="Cambria" w:hAnsi="Cambria"/>
      <w:b/>
      <w:bCs/>
      <w:sz w:val="32"/>
      <w:szCs w:val="32"/>
      <w:lang w:val="zh-CN"/>
    </w:rPr>
  </w:style>
  <w:style w:type="paragraph" w:styleId="29">
    <w:name w:val="annotation subject"/>
    <w:basedOn w:val="7"/>
    <w:next w:val="7"/>
    <w:link w:val="39"/>
    <w:qFormat/>
    <w:uiPriority w:val="0"/>
    <w:rPr>
      <w:b/>
      <w:bCs/>
    </w:rPr>
  </w:style>
  <w:style w:type="table" w:styleId="31">
    <w:name w:val="Table Grid"/>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Emphasis"/>
    <w:qFormat/>
    <w:uiPriority w:val="0"/>
    <w:rPr>
      <w:color w:val="CC0000"/>
    </w:rPr>
  </w:style>
  <w:style w:type="character" w:styleId="37">
    <w:name w:val="Hyperlink"/>
    <w:qFormat/>
    <w:uiPriority w:val="99"/>
    <w:rPr>
      <w:color w:val="0000FF"/>
      <w:u w:val="single"/>
    </w:rPr>
  </w:style>
  <w:style w:type="character" w:styleId="38">
    <w:name w:val="annotation reference"/>
    <w:qFormat/>
    <w:uiPriority w:val="0"/>
    <w:rPr>
      <w:sz w:val="21"/>
      <w:szCs w:val="21"/>
    </w:rPr>
  </w:style>
  <w:style w:type="character" w:customStyle="1" w:styleId="39">
    <w:name w:val="批注主题 字符1"/>
    <w:link w:val="29"/>
    <w:qFormat/>
    <w:uiPriority w:val="0"/>
    <w:rPr>
      <w:rFonts w:eastAsia="宋体"/>
      <w:b/>
      <w:bCs/>
      <w:kern w:val="2"/>
      <w:sz w:val="21"/>
      <w:szCs w:val="24"/>
      <w:lang w:val="en-US" w:eastAsia="zh-CN" w:bidi="ar-SA"/>
    </w:rPr>
  </w:style>
  <w:style w:type="character" w:customStyle="1" w:styleId="40">
    <w:name w:val="页脚 字符1"/>
    <w:link w:val="18"/>
    <w:qFormat/>
    <w:uiPriority w:val="99"/>
    <w:rPr>
      <w:kern w:val="2"/>
      <w:sz w:val="18"/>
      <w:szCs w:val="18"/>
    </w:rPr>
  </w:style>
  <w:style w:type="character" w:customStyle="1" w:styleId="41">
    <w:name w:val="批注框文本 字符1"/>
    <w:link w:val="17"/>
    <w:qFormat/>
    <w:uiPriority w:val="0"/>
    <w:rPr>
      <w:kern w:val="2"/>
      <w:sz w:val="18"/>
      <w:szCs w:val="18"/>
    </w:rPr>
  </w:style>
  <w:style w:type="character" w:customStyle="1" w:styleId="42">
    <w:name w:val="纯文本 字符1"/>
    <w:link w:val="13"/>
    <w:qFormat/>
    <w:uiPriority w:val="0"/>
    <w:rPr>
      <w:rFonts w:ascii="宋体" w:hAnsi="Courier New" w:eastAsia="宋体" w:cs="Courier New"/>
      <w:kern w:val="2"/>
      <w:sz w:val="21"/>
      <w:szCs w:val="21"/>
      <w:lang w:val="en-US" w:eastAsia="zh-CN" w:bidi="ar-SA"/>
    </w:rPr>
  </w:style>
  <w:style w:type="character" w:customStyle="1" w:styleId="43">
    <w:name w:val="f142"/>
    <w:qFormat/>
    <w:uiPriority w:val="0"/>
    <w:rPr>
      <w:sz w:val="21"/>
      <w:szCs w:val="21"/>
    </w:rPr>
  </w:style>
  <w:style w:type="character" w:customStyle="1" w:styleId="44">
    <w:name w:val="批注文字 字符1"/>
    <w:link w:val="7"/>
    <w:qFormat/>
    <w:uiPriority w:val="0"/>
    <w:rPr>
      <w:rFonts w:eastAsia="宋体"/>
      <w:kern w:val="2"/>
      <w:sz w:val="21"/>
      <w:szCs w:val="24"/>
      <w:lang w:val="en-US" w:eastAsia="zh-CN" w:bidi="ar-SA"/>
    </w:rPr>
  </w:style>
  <w:style w:type="character" w:customStyle="1" w:styleId="45">
    <w:name w:val="apple-converted-space"/>
    <w:basedOn w:val="32"/>
    <w:qFormat/>
    <w:uiPriority w:val="0"/>
  </w:style>
  <w:style w:type="character" w:customStyle="1" w:styleId="46">
    <w:name w:val="postbody1"/>
    <w:qFormat/>
    <w:uiPriority w:val="0"/>
    <w:rPr>
      <w:sz w:val="18"/>
      <w:szCs w:val="18"/>
    </w:rPr>
  </w:style>
  <w:style w:type="paragraph" w:customStyle="1" w:styleId="47">
    <w:name w:val="目录 21"/>
    <w:basedOn w:val="1"/>
    <w:next w:val="1"/>
    <w:qFormat/>
    <w:uiPriority w:val="39"/>
    <w:pPr>
      <w:spacing w:line="440" w:lineRule="exact"/>
      <w:ind w:left="210"/>
      <w:jc w:val="left"/>
    </w:pPr>
    <w:rPr>
      <w:smallCaps/>
      <w:sz w:val="22"/>
      <w:szCs w:val="20"/>
    </w:rPr>
  </w:style>
  <w:style w:type="paragraph" w:customStyle="1" w:styleId="48">
    <w:name w:val="目录 71"/>
    <w:basedOn w:val="1"/>
    <w:next w:val="1"/>
    <w:semiHidden/>
    <w:qFormat/>
    <w:uiPriority w:val="0"/>
    <w:pPr>
      <w:ind w:left="1260"/>
      <w:jc w:val="left"/>
    </w:pPr>
    <w:rPr>
      <w:sz w:val="18"/>
      <w:szCs w:val="18"/>
    </w:rPr>
  </w:style>
  <w:style w:type="paragraph" w:customStyle="1" w:styleId="49">
    <w:name w:val="p0"/>
    <w:basedOn w:val="1"/>
    <w:qFormat/>
    <w:uiPriority w:val="0"/>
    <w:pPr>
      <w:widowControl/>
    </w:pPr>
    <w:rPr>
      <w:rFonts w:hAnsi="宋体" w:cs="宋体"/>
      <w:bCs/>
      <w:kern w:val="0"/>
      <w:szCs w:val="30"/>
    </w:rPr>
  </w:style>
  <w:style w:type="paragraph" w:customStyle="1" w:styleId="50">
    <w:name w:val="目录 61"/>
    <w:basedOn w:val="1"/>
    <w:next w:val="1"/>
    <w:semiHidden/>
    <w:qFormat/>
    <w:uiPriority w:val="0"/>
    <w:pPr>
      <w:ind w:left="1050"/>
      <w:jc w:val="left"/>
    </w:pPr>
    <w:rPr>
      <w:sz w:val="18"/>
      <w:szCs w:val="18"/>
    </w:rPr>
  </w:style>
  <w:style w:type="paragraph" w:customStyle="1" w:styleId="51">
    <w:name w:val="目录 31"/>
    <w:basedOn w:val="1"/>
    <w:next w:val="1"/>
    <w:qFormat/>
    <w:uiPriority w:val="39"/>
    <w:pPr>
      <w:ind w:left="420"/>
      <w:jc w:val="left"/>
    </w:pPr>
    <w:rPr>
      <w:i/>
      <w:iCs/>
      <w:sz w:val="20"/>
      <w:szCs w:val="20"/>
    </w:rPr>
  </w:style>
  <w:style w:type="paragraph" w:customStyle="1" w:styleId="52">
    <w:name w:val="目录 11"/>
    <w:basedOn w:val="1"/>
    <w:next w:val="1"/>
    <w:qFormat/>
    <w:uiPriority w:val="39"/>
    <w:pPr>
      <w:spacing w:before="50" w:beforeLines="50" w:after="50" w:afterLines="50" w:line="460" w:lineRule="exact"/>
      <w:jc w:val="left"/>
    </w:pPr>
    <w:rPr>
      <w:b/>
      <w:bCs/>
      <w:caps/>
      <w:sz w:val="22"/>
      <w:szCs w:val="20"/>
    </w:rPr>
  </w:style>
  <w:style w:type="paragraph" w:customStyle="1" w:styleId="53">
    <w:name w:val="目录 81"/>
    <w:basedOn w:val="1"/>
    <w:next w:val="1"/>
    <w:semiHidden/>
    <w:qFormat/>
    <w:uiPriority w:val="0"/>
    <w:pPr>
      <w:ind w:left="1470"/>
      <w:jc w:val="left"/>
    </w:pPr>
    <w:rPr>
      <w:sz w:val="18"/>
      <w:szCs w:val="18"/>
    </w:rPr>
  </w:style>
  <w:style w:type="paragraph" w:customStyle="1" w:styleId="54">
    <w:name w:val="目录 51"/>
    <w:basedOn w:val="1"/>
    <w:next w:val="1"/>
    <w:semiHidden/>
    <w:qFormat/>
    <w:uiPriority w:val="0"/>
    <w:pPr>
      <w:ind w:left="840"/>
      <w:jc w:val="left"/>
    </w:pPr>
    <w:rPr>
      <w:sz w:val="18"/>
      <w:szCs w:val="18"/>
    </w:rPr>
  </w:style>
  <w:style w:type="paragraph" w:customStyle="1" w:styleId="55">
    <w:name w:val="目录 91"/>
    <w:basedOn w:val="1"/>
    <w:next w:val="1"/>
    <w:semiHidden/>
    <w:qFormat/>
    <w:uiPriority w:val="0"/>
    <w:pPr>
      <w:ind w:left="1680"/>
      <w:jc w:val="left"/>
    </w:pPr>
    <w:rPr>
      <w:sz w:val="18"/>
      <w:szCs w:val="18"/>
    </w:rPr>
  </w:style>
  <w:style w:type="paragraph" w:customStyle="1" w:styleId="56">
    <w:name w:val="目录 41"/>
    <w:basedOn w:val="1"/>
    <w:next w:val="1"/>
    <w:semiHidden/>
    <w:qFormat/>
    <w:uiPriority w:val="0"/>
    <w:pPr>
      <w:ind w:left="630"/>
      <w:jc w:val="left"/>
    </w:pPr>
    <w:rPr>
      <w:sz w:val="18"/>
      <w:szCs w:val="18"/>
    </w:rPr>
  </w:style>
  <w:style w:type="character" w:customStyle="1" w:styleId="57">
    <w:name w:val="文档结构图 字符1"/>
    <w:link w:val="6"/>
    <w:qFormat/>
    <w:uiPriority w:val="0"/>
    <w:rPr>
      <w:rFonts w:ascii="宋体"/>
      <w:kern w:val="2"/>
      <w:sz w:val="18"/>
      <w:szCs w:val="18"/>
    </w:rPr>
  </w:style>
  <w:style w:type="character" w:customStyle="1" w:styleId="58">
    <w:name w:val="span_zw_2"/>
    <w:qFormat/>
    <w:uiPriority w:val="0"/>
  </w:style>
  <w:style w:type="character" w:customStyle="1" w:styleId="59">
    <w:name w:val="标题 1 字符"/>
    <w:link w:val="2"/>
    <w:qFormat/>
    <w:uiPriority w:val="0"/>
    <w:rPr>
      <w:b/>
      <w:bCs/>
      <w:kern w:val="44"/>
      <w:sz w:val="28"/>
      <w:szCs w:val="44"/>
    </w:rPr>
  </w:style>
  <w:style w:type="character" w:customStyle="1" w:styleId="60">
    <w:name w:val="标题 2 字符"/>
    <w:link w:val="3"/>
    <w:qFormat/>
    <w:uiPriority w:val="0"/>
    <w:rPr>
      <w:rFonts w:ascii="Arial" w:hAnsi="Arial"/>
      <w:b/>
      <w:bCs/>
      <w:kern w:val="2"/>
      <w:sz w:val="28"/>
      <w:szCs w:val="32"/>
    </w:rPr>
  </w:style>
  <w:style w:type="character" w:customStyle="1" w:styleId="61">
    <w:name w:val="标题 3 字符"/>
    <w:link w:val="4"/>
    <w:qFormat/>
    <w:uiPriority w:val="0"/>
    <w:rPr>
      <w:b/>
      <w:bCs/>
      <w:kern w:val="2"/>
      <w:sz w:val="24"/>
      <w:szCs w:val="32"/>
    </w:rPr>
  </w:style>
  <w:style w:type="character" w:customStyle="1" w:styleId="62">
    <w:name w:val="正文文本缩进 2 字符"/>
    <w:link w:val="16"/>
    <w:qFormat/>
    <w:uiPriority w:val="0"/>
    <w:rPr>
      <w:rFonts w:eastAsia="仿宋_GB2312"/>
      <w:kern w:val="2"/>
      <w:sz w:val="28"/>
      <w:szCs w:val="24"/>
    </w:rPr>
  </w:style>
  <w:style w:type="character" w:customStyle="1" w:styleId="63">
    <w:name w:val="正文文本 字符"/>
    <w:link w:val="9"/>
    <w:qFormat/>
    <w:uiPriority w:val="0"/>
    <w:rPr>
      <w:kern w:val="2"/>
      <w:sz w:val="21"/>
      <w:szCs w:val="24"/>
    </w:rPr>
  </w:style>
  <w:style w:type="character" w:customStyle="1" w:styleId="64">
    <w:name w:val="正文文本 3 字符"/>
    <w:link w:val="8"/>
    <w:qFormat/>
    <w:uiPriority w:val="0"/>
    <w:rPr>
      <w:b/>
      <w:bCs/>
      <w:kern w:val="2"/>
      <w:sz w:val="18"/>
    </w:rPr>
  </w:style>
  <w:style w:type="character" w:customStyle="1" w:styleId="65">
    <w:name w:val="批注文字 字符"/>
    <w:qFormat/>
    <w:uiPriority w:val="0"/>
    <w:rPr>
      <w:kern w:val="2"/>
      <w:sz w:val="21"/>
      <w:szCs w:val="24"/>
    </w:rPr>
  </w:style>
  <w:style w:type="character" w:customStyle="1" w:styleId="66">
    <w:name w:val="批注主题 字符"/>
    <w:qFormat/>
    <w:uiPriority w:val="0"/>
    <w:rPr>
      <w:b/>
      <w:bCs/>
      <w:kern w:val="2"/>
      <w:sz w:val="21"/>
      <w:szCs w:val="24"/>
    </w:rPr>
  </w:style>
  <w:style w:type="character" w:customStyle="1" w:styleId="67">
    <w:name w:val="页脚 字符"/>
    <w:qFormat/>
    <w:uiPriority w:val="99"/>
    <w:rPr>
      <w:kern w:val="2"/>
      <w:sz w:val="18"/>
      <w:szCs w:val="18"/>
    </w:rPr>
  </w:style>
  <w:style w:type="character" w:customStyle="1" w:styleId="68">
    <w:name w:val="批注框文本 字符"/>
    <w:qFormat/>
    <w:uiPriority w:val="0"/>
    <w:rPr>
      <w:kern w:val="2"/>
      <w:sz w:val="18"/>
      <w:szCs w:val="18"/>
    </w:rPr>
  </w:style>
  <w:style w:type="character" w:customStyle="1" w:styleId="69">
    <w:name w:val="页眉 字符"/>
    <w:link w:val="19"/>
    <w:qFormat/>
    <w:uiPriority w:val="99"/>
    <w:rPr>
      <w:kern w:val="2"/>
      <w:sz w:val="18"/>
      <w:szCs w:val="18"/>
    </w:rPr>
  </w:style>
  <w:style w:type="character" w:customStyle="1" w:styleId="70">
    <w:name w:val="日期 字符"/>
    <w:link w:val="15"/>
    <w:qFormat/>
    <w:uiPriority w:val="0"/>
    <w:rPr>
      <w:kern w:val="2"/>
      <w:sz w:val="21"/>
      <w:szCs w:val="24"/>
    </w:rPr>
  </w:style>
  <w:style w:type="character" w:customStyle="1" w:styleId="71">
    <w:name w:val="正文文本缩进 字符"/>
    <w:link w:val="10"/>
    <w:qFormat/>
    <w:uiPriority w:val="0"/>
    <w:rPr>
      <w:kern w:val="2"/>
      <w:sz w:val="28"/>
      <w:szCs w:val="28"/>
    </w:rPr>
  </w:style>
  <w:style w:type="character" w:customStyle="1" w:styleId="72">
    <w:name w:val="纯文本 字符"/>
    <w:qFormat/>
    <w:uiPriority w:val="0"/>
    <w:rPr>
      <w:rFonts w:ascii="等线" w:hAnsi="Courier New" w:eastAsia="等线" w:cs="Courier New"/>
      <w:kern w:val="2"/>
      <w:sz w:val="21"/>
      <w:szCs w:val="24"/>
    </w:rPr>
  </w:style>
  <w:style w:type="character" w:customStyle="1" w:styleId="73">
    <w:name w:val="文档结构图 字符"/>
    <w:semiHidden/>
    <w:qFormat/>
    <w:uiPriority w:val="99"/>
    <w:rPr>
      <w:rFonts w:ascii="Microsoft YaHei UI" w:eastAsia="Microsoft YaHei UI"/>
      <w:kern w:val="2"/>
      <w:sz w:val="18"/>
      <w:szCs w:val="18"/>
    </w:rPr>
  </w:style>
  <w:style w:type="character" w:customStyle="1" w:styleId="74">
    <w:name w:val="未处理的提及1"/>
    <w:semiHidden/>
    <w:unhideWhenUsed/>
    <w:qFormat/>
    <w:uiPriority w:val="99"/>
    <w:rPr>
      <w:color w:val="605E5C"/>
      <w:shd w:val="clear" w:color="auto" w:fill="E1DFDD"/>
    </w:rPr>
  </w:style>
  <w:style w:type="character" w:customStyle="1" w:styleId="75">
    <w:name w:val="不明显强调1"/>
    <w:qFormat/>
    <w:uiPriority w:val="19"/>
    <w:rPr>
      <w:i/>
      <w:iCs/>
      <w:color w:val="404040"/>
    </w:rPr>
  </w:style>
  <w:style w:type="character" w:customStyle="1" w:styleId="76">
    <w:name w:val="正文文本缩进 3 字符"/>
    <w:link w:val="24"/>
    <w:qFormat/>
    <w:uiPriority w:val="0"/>
    <w:rPr>
      <w:kern w:val="2"/>
      <w:sz w:val="16"/>
      <w:szCs w:val="16"/>
    </w:rPr>
  </w:style>
  <w:style w:type="character" w:customStyle="1" w:styleId="77">
    <w:name w:val="cp"/>
    <w:qFormat/>
    <w:uiPriority w:val="0"/>
  </w:style>
  <w:style w:type="character" w:customStyle="1" w:styleId="78">
    <w:name w:val="页脚 Char1"/>
    <w:semiHidden/>
    <w:qFormat/>
    <w:uiPriority w:val="99"/>
    <w:rPr>
      <w:kern w:val="2"/>
      <w:sz w:val="18"/>
      <w:szCs w:val="18"/>
    </w:rPr>
  </w:style>
  <w:style w:type="character" w:customStyle="1" w:styleId="79">
    <w:name w:val="副标题 字符"/>
    <w:link w:val="22"/>
    <w:qFormat/>
    <w:uiPriority w:val="0"/>
    <w:rPr>
      <w:rFonts w:ascii="Cambria" w:hAnsi="Cambria" w:eastAsia="仿宋"/>
      <w:b/>
      <w:bCs/>
      <w:kern w:val="28"/>
      <w:sz w:val="28"/>
      <w:szCs w:val="32"/>
    </w:rPr>
  </w:style>
  <w:style w:type="character" w:customStyle="1" w:styleId="80">
    <w:name w:val="批注框文本 Char1"/>
    <w:semiHidden/>
    <w:qFormat/>
    <w:uiPriority w:val="99"/>
    <w:rPr>
      <w:kern w:val="2"/>
      <w:sz w:val="18"/>
      <w:szCs w:val="18"/>
    </w:rPr>
  </w:style>
  <w:style w:type="character" w:customStyle="1" w:styleId="81">
    <w:name w:val="页眉 Char1"/>
    <w:semiHidden/>
    <w:qFormat/>
    <w:uiPriority w:val="99"/>
    <w:rPr>
      <w:kern w:val="2"/>
      <w:sz w:val="18"/>
      <w:szCs w:val="18"/>
    </w:rPr>
  </w:style>
  <w:style w:type="paragraph" w:styleId="8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3">
    <w:name w:val="副标题 字符1"/>
    <w:basedOn w:val="32"/>
    <w:qFormat/>
    <w:uiPriority w:val="0"/>
    <w:rPr>
      <w:rFonts w:asciiTheme="minorHAnsi" w:hAnsiTheme="minorHAnsi" w:eastAsiaTheme="minorEastAsia" w:cstheme="minorBidi"/>
      <w:b/>
      <w:bCs/>
      <w:kern w:val="28"/>
      <w:sz w:val="32"/>
      <w:szCs w:val="32"/>
    </w:rPr>
  </w:style>
  <w:style w:type="paragraph" w:customStyle="1" w:styleId="84">
    <w:name w:val="TOC 标题1"/>
    <w:basedOn w:val="2"/>
    <w:next w:val="1"/>
    <w:qFormat/>
    <w:uiPriority w:val="39"/>
    <w:pPr>
      <w:widowControl/>
      <w:spacing w:before="480" w:after="0" w:line="276" w:lineRule="auto"/>
      <w:jc w:val="left"/>
      <w:outlineLvl w:val="9"/>
    </w:pPr>
    <w:rPr>
      <w:rFonts w:ascii="Cambria" w:hAnsi="Cambria"/>
      <w:color w:val="365F91"/>
      <w:kern w:val="0"/>
      <w:szCs w:val="28"/>
      <w:lang w:val="zh-CN"/>
    </w:rPr>
  </w:style>
  <w:style w:type="character" w:customStyle="1" w:styleId="85">
    <w:name w:val="标题 字符"/>
    <w:basedOn w:val="32"/>
    <w:link w:val="28"/>
    <w:qFormat/>
    <w:uiPriority w:val="0"/>
    <w:rPr>
      <w:rFonts w:ascii="Cambria" w:hAnsi="Cambria"/>
      <w:b/>
      <w:bCs/>
      <w:kern w:val="2"/>
      <w:sz w:val="32"/>
      <w:szCs w:val="32"/>
      <w:lang w:val="zh-CN" w:eastAsia="zh-CN"/>
    </w:rPr>
  </w:style>
  <w:style w:type="character" w:customStyle="1" w:styleId="86">
    <w:name w:val="TOC 1 字符"/>
    <w:link w:val="20"/>
    <w:qFormat/>
    <w:uiPriority w:val="39"/>
    <w:rPr>
      <w:rFonts w:eastAsia="仿宋"/>
      <w:b/>
      <w:kern w:val="2"/>
      <w:sz w:val="24"/>
      <w:szCs w:val="24"/>
    </w:rPr>
  </w:style>
  <w:style w:type="paragraph" w:customStyle="1" w:styleId="87">
    <w:name w:val="样式1"/>
    <w:basedOn w:val="25"/>
    <w:link w:val="89"/>
    <w:qFormat/>
    <w:uiPriority w:val="0"/>
    <w:pPr>
      <w:tabs>
        <w:tab w:val="right" w:leader="dot" w:pos="8608"/>
        <w:tab w:val="left" w:pos="9232"/>
        <w:tab w:val="clear" w:pos="9231"/>
      </w:tabs>
      <w:spacing w:line="420" w:lineRule="exact"/>
      <w:ind w:firstLine="480"/>
      <w:jc w:val="left"/>
    </w:pPr>
  </w:style>
  <w:style w:type="character" w:customStyle="1" w:styleId="88">
    <w:name w:val="TOC 2 字符"/>
    <w:basedOn w:val="32"/>
    <w:link w:val="25"/>
    <w:qFormat/>
    <w:uiPriority w:val="39"/>
    <w:rPr>
      <w:rFonts w:eastAsia="仿宋"/>
      <w:kern w:val="2"/>
      <w:sz w:val="24"/>
      <w:szCs w:val="24"/>
    </w:rPr>
  </w:style>
  <w:style w:type="character" w:customStyle="1" w:styleId="89">
    <w:name w:val="样式1 字符"/>
    <w:basedOn w:val="88"/>
    <w:link w:val="87"/>
    <w:qFormat/>
    <w:uiPriority w:val="0"/>
    <w:rPr>
      <w:rFonts w:eastAsia="仿宋_GB2312"/>
      <w:kern w:val="2"/>
      <w:sz w:val="24"/>
      <w:szCs w:val="24"/>
    </w:rPr>
  </w:style>
  <w:style w:type="character" w:customStyle="1" w:styleId="90">
    <w:name w:val="页脚 Char"/>
    <w:qFormat/>
    <w:uiPriority w:val="99"/>
    <w:rPr>
      <w:kern w:val="2"/>
      <w:sz w:val="18"/>
    </w:rPr>
  </w:style>
  <w:style w:type="paragraph" w:styleId="91">
    <w:name w:val="List Paragraph"/>
    <w:basedOn w:val="1"/>
    <w:qFormat/>
    <w:uiPriority w:val="99"/>
    <w:pPr>
      <w:ind w:firstLine="420" w:firstLineChars="200"/>
    </w:pPr>
  </w:style>
  <w:style w:type="character" w:customStyle="1" w:styleId="92">
    <w:name w:val="font21"/>
    <w:basedOn w:val="32"/>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标题排序" Version="2003"/>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211FB-AAC1-440D-9481-67A32EA1DC21}">
  <ds:schemaRefs/>
</ds:datastoreItem>
</file>

<file path=docProps/app.xml><?xml version="1.0" encoding="utf-8"?>
<Properties xmlns="http://schemas.openxmlformats.org/officeDocument/2006/extended-properties" xmlns:vt="http://schemas.openxmlformats.org/officeDocument/2006/docPropsVTypes">
  <Template>Normal</Template>
  <Pages>20</Pages>
  <Words>9724</Words>
  <Characters>10225</Characters>
  <Lines>86</Lines>
  <Paragraphs>24</Paragraphs>
  <TotalTime>21</TotalTime>
  <ScaleCrop>false</ScaleCrop>
  <LinksUpToDate>false</LinksUpToDate>
  <CharactersWithSpaces>10300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2020-11-12T05:52:00Z</dcterms:created>
  <dc:creator>微软系统</dc:creator>
  <cp:lastModifiedBy>Administrator</cp:lastModifiedBy>
  <cp:lastPrinted>2021-07-01T09:07:00Z</cp:lastPrinted>
  <dcterms:modified xsi:type="dcterms:W3CDTF">2022-07-18T01:43:01Z</dcterms:modified>
  <dc:title>房地产抵押估价报告</dc:title>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32F771E4A9B147A29A253C5B9564C387</vt:lpwstr>
  </property>
</Properties>
</file>