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52"/>
          <w:szCs w:val="52"/>
          <w:highlight w:val="none"/>
        </w:rPr>
      </w:pPr>
    </w:p>
    <w:p>
      <w:pPr>
        <w:spacing w:line="360" w:lineRule="auto"/>
        <w:jc w:val="center"/>
        <w:rPr>
          <w:b/>
          <w:bCs/>
          <w:sz w:val="52"/>
          <w:szCs w:val="52"/>
          <w:highlight w:val="none"/>
        </w:rPr>
      </w:pPr>
      <w:r>
        <w:rPr>
          <w:rFonts w:hint="eastAsia"/>
          <w:b/>
          <w:bCs/>
          <w:sz w:val="52"/>
          <w:szCs w:val="52"/>
          <w:highlight w:val="none"/>
        </w:rPr>
        <w:t>涉执房地产处置司法评估报告</w:t>
      </w:r>
    </w:p>
    <w:p>
      <w:pPr>
        <w:spacing w:line="360" w:lineRule="auto"/>
        <w:rPr>
          <w:b/>
          <w:bCs/>
          <w:sz w:val="44"/>
          <w:szCs w:val="13"/>
          <w:highlight w:val="none"/>
        </w:rPr>
      </w:pPr>
    </w:p>
    <w:p>
      <w:pPr>
        <w:ind w:left="2249" w:hanging="2240" w:hangingChars="700"/>
        <w:jc w:val="left"/>
        <w:rPr>
          <w:b/>
          <w:bCs/>
          <w:sz w:val="32"/>
          <w:highlight w:val="none"/>
        </w:rPr>
      </w:pPr>
      <w:r>
        <w:rPr>
          <w:rFonts w:hint="eastAsia"/>
          <w:b/>
          <w:bCs/>
          <w:sz w:val="32"/>
          <w:highlight w:val="none"/>
        </w:rPr>
        <w:t>估价项目名称：靖江市兰园雅居</w:t>
      </w:r>
      <w:bookmarkStart w:id="177" w:name="_GoBack"/>
      <w:bookmarkEnd w:id="177"/>
      <w:r>
        <w:rPr>
          <w:rFonts w:hint="eastAsia"/>
          <w:b/>
          <w:bCs/>
          <w:sz w:val="32"/>
          <w:highlight w:val="none"/>
        </w:rPr>
        <w:t>10幢04房地产价格司法鉴定</w:t>
      </w:r>
    </w:p>
    <w:p>
      <w:pPr>
        <w:ind w:left="2249" w:hanging="2240" w:hangingChars="700"/>
        <w:jc w:val="left"/>
        <w:rPr>
          <w:b/>
          <w:bCs/>
          <w:sz w:val="32"/>
          <w:highlight w:val="none"/>
        </w:rPr>
      </w:pPr>
    </w:p>
    <w:p>
      <w:pPr>
        <w:spacing w:line="360" w:lineRule="auto"/>
        <w:jc w:val="left"/>
        <w:rPr>
          <w:b/>
          <w:bCs/>
          <w:sz w:val="32"/>
          <w:highlight w:val="none"/>
        </w:rPr>
      </w:pPr>
      <w:r>
        <w:rPr>
          <w:rFonts w:hint="eastAsia"/>
          <w:b/>
          <w:bCs/>
          <w:sz w:val="32"/>
          <w:highlight w:val="none"/>
        </w:rPr>
        <w:t>估价委托人：江苏省</w:t>
      </w:r>
      <w:r>
        <w:rPr>
          <w:rFonts w:hint="eastAsia" w:ascii="楷体" w:hAnsi="楷体"/>
          <w:b/>
          <w:sz w:val="32"/>
          <w:highlight w:val="none"/>
        </w:rPr>
        <w:t>靖江市人民法院</w:t>
      </w:r>
    </w:p>
    <w:p>
      <w:pPr>
        <w:spacing w:line="360" w:lineRule="auto"/>
        <w:jc w:val="left"/>
        <w:rPr>
          <w:b/>
          <w:bCs/>
          <w:sz w:val="32"/>
          <w:highlight w:val="none"/>
        </w:rPr>
      </w:pPr>
    </w:p>
    <w:p>
      <w:pPr>
        <w:spacing w:line="360" w:lineRule="auto"/>
        <w:ind w:left="1"/>
        <w:jc w:val="left"/>
        <w:rPr>
          <w:b/>
          <w:bCs/>
          <w:sz w:val="32"/>
          <w:highlight w:val="none"/>
        </w:rPr>
      </w:pPr>
      <w:r>
        <w:rPr>
          <w:rFonts w:hint="eastAsia"/>
          <w:b/>
          <w:bCs/>
          <w:sz w:val="32"/>
          <w:highlight w:val="none"/>
        </w:rPr>
        <w:t>房地产估价机构：江苏首佳土地房地产评估测绘事务所有限公司</w:t>
      </w:r>
    </w:p>
    <w:p>
      <w:pPr>
        <w:spacing w:line="360" w:lineRule="auto"/>
        <w:ind w:left="1"/>
        <w:jc w:val="left"/>
        <w:rPr>
          <w:b/>
          <w:bCs/>
          <w:sz w:val="32"/>
          <w:highlight w:val="none"/>
        </w:rPr>
      </w:pPr>
    </w:p>
    <w:p>
      <w:pPr>
        <w:spacing w:line="360" w:lineRule="auto"/>
        <w:jc w:val="left"/>
        <w:rPr>
          <w:b/>
          <w:bCs/>
          <w:sz w:val="32"/>
          <w:highlight w:val="none"/>
        </w:rPr>
      </w:pPr>
      <w:r>
        <w:rPr>
          <w:rFonts w:hint="eastAsia"/>
          <w:b/>
          <w:bCs/>
          <w:sz w:val="32"/>
          <w:highlight w:val="none"/>
        </w:rPr>
        <w:t>注册房地产估价师：吴  君  （注册号：</w:t>
      </w:r>
      <w:r>
        <w:rPr>
          <w:rFonts w:hint="eastAsia" w:cs="Times New Roman"/>
          <w:b/>
          <w:bCs/>
          <w:sz w:val="32"/>
          <w:highlight w:val="none"/>
        </w:rPr>
        <w:t>3220210062</w:t>
      </w:r>
      <w:r>
        <w:rPr>
          <w:rFonts w:hint="eastAsia"/>
          <w:b/>
          <w:bCs/>
          <w:sz w:val="32"/>
          <w:highlight w:val="none"/>
        </w:rPr>
        <w:t>）</w:t>
      </w:r>
    </w:p>
    <w:p>
      <w:pPr>
        <w:spacing w:line="360" w:lineRule="auto"/>
        <w:ind w:firstLine="3024" w:firstLineChars="945"/>
        <w:jc w:val="left"/>
        <w:rPr>
          <w:b/>
          <w:bCs/>
          <w:sz w:val="32"/>
          <w:highlight w:val="none"/>
        </w:rPr>
      </w:pPr>
      <w:r>
        <w:rPr>
          <w:rFonts w:hint="eastAsia"/>
          <w:b/>
          <w:bCs/>
          <w:sz w:val="32"/>
          <w:highlight w:val="none"/>
        </w:rPr>
        <w:t>吴  强  （注册号：</w:t>
      </w:r>
      <w:r>
        <w:rPr>
          <w:rFonts w:hint="eastAsia" w:cs="Times New Roman"/>
          <w:b/>
          <w:bCs/>
          <w:sz w:val="32"/>
          <w:highlight w:val="none"/>
        </w:rPr>
        <w:t>3220190170</w:t>
      </w:r>
      <w:r>
        <w:rPr>
          <w:rFonts w:hint="eastAsia"/>
          <w:b/>
          <w:bCs/>
          <w:sz w:val="32"/>
          <w:highlight w:val="none"/>
        </w:rPr>
        <w:t>）</w:t>
      </w:r>
    </w:p>
    <w:p>
      <w:pPr>
        <w:spacing w:line="360" w:lineRule="auto"/>
        <w:ind w:left="1"/>
        <w:jc w:val="left"/>
        <w:rPr>
          <w:rFonts w:cs="楷体_GB2312"/>
          <w:b/>
          <w:bCs/>
          <w:sz w:val="32"/>
          <w:highlight w:val="none"/>
        </w:rPr>
      </w:pPr>
    </w:p>
    <w:p>
      <w:pPr>
        <w:spacing w:line="360" w:lineRule="auto"/>
        <w:ind w:left="1"/>
        <w:jc w:val="left"/>
        <w:rPr>
          <w:rFonts w:cs="Times New Roman"/>
          <w:b/>
          <w:bCs/>
          <w:sz w:val="32"/>
          <w:highlight w:val="none"/>
        </w:rPr>
      </w:pPr>
      <w:r>
        <w:rPr>
          <w:rFonts w:hint="eastAsia"/>
          <w:b/>
          <w:bCs/>
          <w:sz w:val="32"/>
          <w:highlight w:val="none"/>
        </w:rPr>
        <w:t>估价报告出具日期：</w:t>
      </w:r>
      <w:r>
        <w:rPr>
          <w:rFonts w:hint="eastAsia" w:cs="Times New Roman"/>
          <w:b/>
          <w:bCs/>
          <w:sz w:val="32"/>
          <w:highlight w:val="none"/>
        </w:rPr>
        <w:t>2022年8月29日</w:t>
      </w:r>
    </w:p>
    <w:p>
      <w:pPr>
        <w:spacing w:line="360" w:lineRule="auto"/>
        <w:ind w:left="1"/>
        <w:jc w:val="left"/>
        <w:rPr>
          <w:rFonts w:cs="Times New Roman"/>
          <w:b/>
          <w:bCs/>
          <w:sz w:val="32"/>
          <w:highlight w:val="none"/>
        </w:rPr>
      </w:pPr>
    </w:p>
    <w:p>
      <w:pPr>
        <w:spacing w:line="360" w:lineRule="auto"/>
        <w:jc w:val="left"/>
        <w:rPr>
          <w:rFonts w:cs="楷体_GB2312"/>
          <w:b/>
          <w:bCs/>
          <w:sz w:val="32"/>
          <w:highlight w:val="none"/>
        </w:rPr>
      </w:pPr>
    </w:p>
    <w:p>
      <w:pPr>
        <w:pBdr>
          <w:top w:val="none" w:color="auto" w:sz="0" w:space="1"/>
          <w:left w:val="none" w:color="auto" w:sz="0" w:space="4"/>
          <w:bottom w:val="thinThickThinSmallGap" w:color="auto" w:sz="24" w:space="1"/>
          <w:right w:val="none" w:color="auto" w:sz="0" w:space="4"/>
        </w:pBdr>
        <w:spacing w:line="360" w:lineRule="auto"/>
        <w:jc w:val="left"/>
        <w:rPr>
          <w:b/>
          <w:bCs/>
          <w:sz w:val="32"/>
          <w:highlight w:val="none"/>
        </w:rPr>
      </w:pPr>
      <w:bookmarkStart w:id="0" w:name="_Hlk54263907"/>
      <w:r>
        <w:rPr>
          <w:rFonts w:hint="eastAsia"/>
          <w:b/>
          <w:bCs/>
          <w:sz w:val="32"/>
          <w:highlight w:val="none"/>
        </w:rPr>
        <w:t>估价报告编号：苏佳房估TZ2022082910F号</w:t>
      </w:r>
    </w:p>
    <w:bookmarkEnd w:id="0"/>
    <w:p>
      <w:pPr>
        <w:pBdr>
          <w:top w:val="none" w:color="auto" w:sz="0" w:space="1"/>
          <w:left w:val="none" w:color="auto" w:sz="0" w:space="4"/>
          <w:bottom w:val="thinThickThinSmallGap" w:color="auto" w:sz="24" w:space="1"/>
          <w:right w:val="none" w:color="auto" w:sz="0" w:space="4"/>
        </w:pBdr>
        <w:spacing w:line="360" w:lineRule="auto"/>
        <w:jc w:val="left"/>
        <w:rPr>
          <w:b/>
          <w:bCs/>
          <w:sz w:val="32"/>
          <w:highlight w:val="none"/>
        </w:rPr>
      </w:pPr>
    </w:p>
    <w:p>
      <w:pPr>
        <w:pBdr>
          <w:top w:val="none" w:color="auto" w:sz="0" w:space="1"/>
          <w:left w:val="none" w:color="auto" w:sz="0" w:space="4"/>
          <w:bottom w:val="thinThickThinSmallGap" w:color="auto" w:sz="24" w:space="1"/>
          <w:right w:val="none" w:color="auto" w:sz="0" w:space="4"/>
        </w:pBdr>
        <w:spacing w:line="360" w:lineRule="auto"/>
        <w:jc w:val="left"/>
        <w:rPr>
          <w:b/>
          <w:bCs/>
          <w:sz w:val="32"/>
          <w:highlight w:val="none"/>
        </w:rPr>
      </w:pPr>
    </w:p>
    <w:p>
      <w:pPr>
        <w:pBdr>
          <w:top w:val="none" w:color="auto" w:sz="0" w:space="1"/>
          <w:left w:val="none" w:color="auto" w:sz="0" w:space="4"/>
          <w:bottom w:val="thinThickThinSmallGap" w:color="auto" w:sz="24" w:space="1"/>
          <w:right w:val="none" w:color="auto" w:sz="0" w:space="4"/>
        </w:pBdr>
        <w:spacing w:line="360" w:lineRule="auto"/>
        <w:jc w:val="left"/>
        <w:rPr>
          <w:b/>
          <w:bCs/>
          <w:sz w:val="32"/>
          <w:highlight w:val="none"/>
        </w:rPr>
      </w:pPr>
    </w:p>
    <w:p>
      <w:pPr>
        <w:jc w:val="center"/>
        <w:rPr>
          <w:b/>
          <w:bCs/>
          <w:sz w:val="44"/>
          <w:highlight w:val="none"/>
        </w:rPr>
      </w:pPr>
    </w:p>
    <w:p>
      <w:pPr>
        <w:jc w:val="center"/>
        <w:rPr>
          <w:rFonts w:cs="楷体_GB2312"/>
          <w:b/>
          <w:bCs/>
          <w:sz w:val="44"/>
          <w:szCs w:val="44"/>
          <w:highlight w:val="none"/>
        </w:rPr>
      </w:pPr>
      <w:bookmarkStart w:id="1" w:name="_Toc9143"/>
      <w:bookmarkStart w:id="2" w:name="_Toc20514"/>
      <w:bookmarkStart w:id="3" w:name="_Toc365376340"/>
    </w:p>
    <w:p>
      <w:pPr>
        <w:jc w:val="center"/>
        <w:rPr>
          <w:rFonts w:cs="楷体_GB2312"/>
          <w:b/>
          <w:bCs/>
          <w:sz w:val="44"/>
          <w:szCs w:val="44"/>
          <w:highlight w:val="none"/>
        </w:rPr>
      </w:pPr>
      <w:r>
        <w:rPr>
          <w:rFonts w:hint="eastAsia" w:cs="楷体_GB2312"/>
          <w:b/>
          <w:bCs/>
          <w:sz w:val="44"/>
          <w:szCs w:val="44"/>
          <w:highlight w:val="none"/>
        </w:rPr>
        <w:t>致估价委托人函</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楷体" w:hAnsi="楷体"/>
          <w:b/>
          <w:bCs/>
          <w:szCs w:val="28"/>
          <w:highlight w:val="none"/>
        </w:rPr>
      </w:pPr>
      <w:r>
        <w:rPr>
          <w:rFonts w:hint="eastAsia" w:ascii="楷体" w:hAnsi="楷体"/>
          <w:b/>
          <w:szCs w:val="28"/>
          <w:highlight w:val="none"/>
        </w:rPr>
        <w:t>靖江市人民法院</w:t>
      </w:r>
      <w:r>
        <w:rPr>
          <w:rFonts w:hint="eastAsia" w:ascii="楷体" w:hAnsi="楷体"/>
          <w:b/>
          <w:bCs/>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right="112" w:rightChars="40" w:firstLine="537" w:firstLineChars="192"/>
        <w:textAlignment w:val="auto"/>
        <w:rPr>
          <w:rFonts w:ascii="宋体" w:hAnsi="宋体"/>
          <w:szCs w:val="28"/>
          <w:highlight w:val="none"/>
        </w:rPr>
      </w:pPr>
      <w:r>
        <w:rPr>
          <w:rFonts w:hint="eastAsia" w:ascii="宋体" w:hAnsi="宋体"/>
          <w:szCs w:val="28"/>
          <w:highlight w:val="none"/>
        </w:rPr>
        <w:t>受贵院的委托（委托函号：</w:t>
      </w:r>
      <w:r>
        <w:rPr>
          <w:rFonts w:cs="Times New Roman"/>
          <w:szCs w:val="28"/>
          <w:highlight w:val="none"/>
        </w:rPr>
        <w:t>（2022）苏1282法委字第236号</w:t>
      </w:r>
      <w:r>
        <w:rPr>
          <w:rFonts w:hint="eastAsia" w:ascii="宋体" w:hAnsi="宋体"/>
          <w:szCs w:val="28"/>
          <w:highlight w:val="none"/>
        </w:rPr>
        <w:t>），根据国家有关法律、法规和政策要求，遵循中华人民共和国国家标准GB/T50291-2015《房地产估价规范》的操作程序，认真细致的进行了现场勘察，分析考虑了影响房地产估价的诸多因素，坚持独立、客观、公正的基本原则，对估价对象的市场价格进行了评估，内容如下：</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jc w:val="left"/>
        <w:textAlignment w:val="auto"/>
        <w:rPr>
          <w:highlight w:val="none"/>
        </w:rPr>
      </w:pPr>
      <w:r>
        <w:rPr>
          <w:rFonts w:hint="eastAsia" w:ascii="宋体" w:hAnsi="宋体"/>
          <w:szCs w:val="28"/>
          <w:highlight w:val="none"/>
        </w:rPr>
        <w:t>估价对象基本状况：</w:t>
      </w:r>
      <w:r>
        <w:rPr>
          <w:rFonts w:hint="eastAsia"/>
          <w:highlight w:val="none"/>
        </w:rPr>
        <w:t>估价对象为靖江市兰园雅居10幢04的住宅房地产，建筑面积以</w:t>
      </w:r>
      <w:r>
        <w:rPr>
          <w:rFonts w:hint="eastAsia"/>
          <w:highlight w:val="none"/>
          <w:lang w:eastAsia="zh-CN"/>
        </w:rPr>
        <w:t>靖江市人民政府网站2019年公示《</w:t>
      </w:r>
      <w:r>
        <w:rPr>
          <w:rFonts w:hint="eastAsia"/>
          <w:highlight w:val="none"/>
        </w:rPr>
        <w:t>兰园雅居</w:t>
      </w:r>
      <w:r>
        <w:rPr>
          <w:rFonts w:hint="eastAsia" w:ascii="楷体" w:hAnsi="楷体"/>
          <w:spacing w:val="-6"/>
          <w:kern w:val="24"/>
          <w:highlight w:val="none"/>
        </w:rPr>
        <w:t>商品房明码标价表》预测的1</w:t>
      </w:r>
      <w:r>
        <w:rPr>
          <w:rFonts w:ascii="楷体" w:hAnsi="楷体"/>
          <w:spacing w:val="-6"/>
          <w:kern w:val="24"/>
          <w:highlight w:val="none"/>
        </w:rPr>
        <w:t>0</w:t>
      </w:r>
      <w:r>
        <w:rPr>
          <w:rFonts w:hint="eastAsia" w:ascii="楷体" w:hAnsi="楷体"/>
          <w:spacing w:val="-6"/>
          <w:kern w:val="24"/>
          <w:highlight w:val="none"/>
        </w:rPr>
        <w:t>幢0</w:t>
      </w:r>
      <w:r>
        <w:rPr>
          <w:rFonts w:ascii="楷体" w:hAnsi="楷体"/>
          <w:spacing w:val="-6"/>
          <w:kern w:val="24"/>
          <w:highlight w:val="none"/>
        </w:rPr>
        <w:t>4</w:t>
      </w:r>
      <w:r>
        <w:rPr>
          <w:rFonts w:hint="eastAsia" w:ascii="楷体" w:hAnsi="楷体"/>
          <w:spacing w:val="-6"/>
          <w:kern w:val="24"/>
          <w:highlight w:val="none"/>
        </w:rPr>
        <w:t>室建筑面积</w:t>
      </w:r>
      <w:r>
        <w:rPr>
          <w:rFonts w:hint="eastAsia"/>
          <w:highlight w:val="none"/>
        </w:rPr>
        <w:t>316.95㎡为依据</w:t>
      </w:r>
      <w:r>
        <w:rPr>
          <w:rStyle w:val="16"/>
          <w:rFonts w:hint="eastAsia"/>
          <w:sz w:val="28"/>
          <w:szCs w:val="28"/>
          <w:highlight w:val="none"/>
        </w:rPr>
        <w:t>及相应的分摊土地使用权面积</w:t>
      </w:r>
      <w:r>
        <w:rPr>
          <w:rFonts w:hint="eastAsia"/>
          <w:highlight w:val="none"/>
        </w:rPr>
        <w:t>。</w:t>
      </w:r>
      <w:r>
        <w:rPr>
          <w:rFonts w:hint="eastAsia"/>
          <w:highlight w:val="none"/>
        </w:rPr>
        <w:t>本次评估的财产范围为估价对象房屋所有权、相应的土地使用权及与房地产不可分割的满足其使用功能的供水、供电、排水等相关配套设施，不含动产价格及债权债务等其他财产权益。</w:t>
      </w:r>
    </w:p>
    <w:p>
      <w:pPr>
        <w:keepNext w:val="0"/>
        <w:keepLines w:val="0"/>
        <w:pageBreakBefore w:val="0"/>
        <w:widowControl w:val="0"/>
        <w:tabs>
          <w:tab w:val="left" w:pos="-840"/>
        </w:tabs>
        <w:kinsoku/>
        <w:wordWrap/>
        <w:overflowPunct/>
        <w:topLinePunct w:val="0"/>
        <w:autoSpaceDE/>
        <w:autoSpaceDN/>
        <w:bidi w:val="0"/>
        <w:adjustRightInd/>
        <w:snapToGrid/>
        <w:spacing w:line="520" w:lineRule="exact"/>
        <w:ind w:firstLine="560" w:firstLineChars="200"/>
        <w:jc w:val="left"/>
        <w:textAlignment w:val="auto"/>
        <w:rPr>
          <w:rFonts w:ascii="楷体" w:hAnsi="楷体"/>
          <w:szCs w:val="28"/>
          <w:highlight w:val="none"/>
        </w:rPr>
      </w:pPr>
      <w:r>
        <w:rPr>
          <w:rFonts w:hint="eastAsia" w:ascii="楷体" w:hAnsi="楷体"/>
          <w:highlight w:val="none"/>
        </w:rPr>
        <w:t>估价目的：为人民法院确定财产处置参考价提供参考依据</w:t>
      </w:r>
    </w:p>
    <w:p>
      <w:pPr>
        <w:keepNext w:val="0"/>
        <w:keepLines w:val="0"/>
        <w:pageBreakBefore w:val="0"/>
        <w:widowControl w:val="0"/>
        <w:tabs>
          <w:tab w:val="left" w:pos="-840"/>
        </w:tabs>
        <w:kinsoku/>
        <w:wordWrap/>
        <w:overflowPunct/>
        <w:topLinePunct w:val="0"/>
        <w:autoSpaceDE/>
        <w:autoSpaceDN/>
        <w:bidi w:val="0"/>
        <w:adjustRightInd/>
        <w:snapToGrid/>
        <w:spacing w:line="520" w:lineRule="exact"/>
        <w:ind w:firstLine="560" w:firstLineChars="200"/>
        <w:jc w:val="left"/>
        <w:textAlignment w:val="auto"/>
        <w:rPr>
          <w:rFonts w:cs="Times New Roman"/>
          <w:szCs w:val="28"/>
          <w:highlight w:val="none"/>
        </w:rPr>
      </w:pPr>
      <w:r>
        <w:rPr>
          <w:rFonts w:hint="eastAsia" w:ascii="楷体" w:hAnsi="楷体"/>
          <w:highlight w:val="none"/>
        </w:rPr>
        <w:t>价值时点：</w:t>
      </w:r>
      <w:r>
        <w:rPr>
          <w:rFonts w:hint="eastAsia" w:cs="Times New Roman"/>
          <w:szCs w:val="28"/>
          <w:highlight w:val="none"/>
        </w:rPr>
        <w:t>2022年8月9日</w:t>
      </w:r>
    </w:p>
    <w:p>
      <w:pPr>
        <w:keepNext w:val="0"/>
        <w:keepLines w:val="0"/>
        <w:pageBreakBefore w:val="0"/>
        <w:widowControl w:val="0"/>
        <w:tabs>
          <w:tab w:val="left" w:pos="-840"/>
        </w:tabs>
        <w:kinsoku/>
        <w:wordWrap/>
        <w:overflowPunct/>
        <w:topLinePunct w:val="0"/>
        <w:autoSpaceDE/>
        <w:autoSpaceDN/>
        <w:bidi w:val="0"/>
        <w:adjustRightInd/>
        <w:snapToGrid/>
        <w:spacing w:line="520" w:lineRule="exact"/>
        <w:ind w:firstLine="560" w:firstLineChars="200"/>
        <w:jc w:val="left"/>
        <w:textAlignment w:val="auto"/>
        <w:rPr>
          <w:rFonts w:ascii="楷体" w:hAnsi="楷体"/>
          <w:highlight w:val="none"/>
        </w:rPr>
      </w:pPr>
      <w:r>
        <w:rPr>
          <w:rFonts w:hint="eastAsia" w:ascii="楷体" w:hAnsi="楷体"/>
          <w:highlight w:val="none"/>
        </w:rPr>
        <w:t>价值类型：市场价值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highlight w:val="none"/>
        </w:rPr>
      </w:pPr>
      <w:r>
        <w:rPr>
          <w:rFonts w:hint="eastAsia"/>
          <w:highlight w:val="none"/>
        </w:rPr>
        <w:t>估价方法：比较法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楷体_GB2312"/>
          <w:szCs w:val="28"/>
          <w:highlight w:val="none"/>
        </w:rPr>
      </w:pPr>
      <w:r>
        <w:rPr>
          <w:rFonts w:hint="eastAsia"/>
          <w:highlight w:val="none"/>
        </w:rPr>
        <w:t>估价结果：市场价格</w:t>
      </w:r>
      <w:r>
        <w:rPr>
          <w:rFonts w:hint="eastAsia" w:cs="Times New Roman"/>
          <w:highlight w:val="none"/>
        </w:rPr>
        <w:t>为</w:t>
      </w:r>
      <w:r>
        <w:rPr>
          <w:rFonts w:cs="Times New Roman"/>
          <w:b/>
          <w:bCs/>
          <w:szCs w:val="28"/>
          <w:highlight w:val="none"/>
        </w:rPr>
        <w:t>人民币</w:t>
      </w:r>
      <w:r>
        <w:rPr>
          <w:rFonts w:hint="eastAsia" w:cs="Times New Roman"/>
          <w:b/>
          <w:bCs/>
          <w:szCs w:val="28"/>
          <w:highlight w:val="none"/>
        </w:rPr>
        <w:t>673</w:t>
      </w:r>
      <w:r>
        <w:rPr>
          <w:rFonts w:cs="Times New Roman"/>
          <w:b/>
          <w:bCs/>
          <w:szCs w:val="28"/>
          <w:highlight w:val="none"/>
        </w:rPr>
        <w:t>万元</w:t>
      </w:r>
      <w:r>
        <w:rPr>
          <w:rFonts w:hint="eastAsia" w:cs="Times New Roman"/>
          <w:b/>
          <w:bCs/>
          <w:szCs w:val="28"/>
          <w:highlight w:val="none"/>
        </w:rPr>
        <w:t>整，大写（人民币）：</w:t>
      </w:r>
      <w:r>
        <w:rPr>
          <w:rFonts w:cs="Times New Roman"/>
          <w:b/>
          <w:bCs/>
          <w:szCs w:val="28"/>
          <w:highlight w:val="none"/>
        </w:rPr>
        <w:fldChar w:fldCharType="begin"/>
      </w:r>
      <w:r>
        <w:rPr>
          <w:rFonts w:cs="Times New Roman"/>
          <w:b/>
          <w:bCs/>
          <w:szCs w:val="28"/>
          <w:highlight w:val="none"/>
        </w:rPr>
        <w:instrText xml:space="preserve"> = 681950000 \* CHINESENUM2 \* MERGEFORMAT </w:instrText>
      </w:r>
      <w:r>
        <w:rPr>
          <w:rFonts w:cs="Times New Roman"/>
          <w:b/>
          <w:bCs/>
          <w:szCs w:val="28"/>
          <w:highlight w:val="none"/>
        </w:rPr>
        <w:fldChar w:fldCharType="separate"/>
      </w:r>
      <w:r>
        <w:rPr>
          <w:b/>
          <w:bCs/>
          <w:highlight w:val="none"/>
        </w:rPr>
        <w:fldChar w:fldCharType="begin"/>
      </w:r>
      <w:r>
        <w:rPr>
          <w:b/>
          <w:bCs/>
          <w:highlight w:val="none"/>
        </w:rPr>
        <w:instrText xml:space="preserve"> = 6819500 \* CHINESENUM2 \* MERGEFORMAT </w:instrText>
      </w:r>
      <w:r>
        <w:rPr>
          <w:b/>
          <w:bCs/>
          <w:highlight w:val="none"/>
        </w:rPr>
        <w:fldChar w:fldCharType="separate"/>
      </w:r>
      <w:r>
        <w:rPr>
          <w:b/>
          <w:bCs/>
          <w:highlight w:val="none"/>
        </w:rPr>
        <w:t>陆佰</w:t>
      </w:r>
      <w:r>
        <w:rPr>
          <w:rFonts w:hint="eastAsia"/>
          <w:b/>
          <w:bCs/>
          <w:highlight w:val="none"/>
        </w:rPr>
        <w:t>柒</w:t>
      </w:r>
      <w:r>
        <w:rPr>
          <w:b/>
          <w:bCs/>
          <w:highlight w:val="none"/>
        </w:rPr>
        <w:t>拾</w:t>
      </w:r>
      <w:r>
        <w:rPr>
          <w:rFonts w:hint="eastAsia"/>
          <w:b/>
          <w:bCs/>
          <w:highlight w:val="none"/>
        </w:rPr>
        <w:t>叁</w:t>
      </w:r>
      <w:r>
        <w:rPr>
          <w:b/>
          <w:bCs/>
          <w:highlight w:val="none"/>
        </w:rPr>
        <w:t>万</w:t>
      </w:r>
      <w:r>
        <w:rPr>
          <w:b/>
          <w:bCs/>
          <w:highlight w:val="none"/>
        </w:rPr>
        <w:fldChar w:fldCharType="end"/>
      </w:r>
      <w:r>
        <w:rPr>
          <w:rFonts w:cs="Times New Roman"/>
          <w:b/>
          <w:bCs/>
          <w:szCs w:val="28"/>
          <w:highlight w:val="none"/>
        </w:rPr>
        <w:fldChar w:fldCharType="end"/>
      </w:r>
      <w:r>
        <w:rPr>
          <w:rFonts w:cs="Times New Roman"/>
          <w:b/>
          <w:bCs/>
          <w:szCs w:val="28"/>
          <w:highlight w:val="none"/>
        </w:rPr>
        <w:t>元整</w:t>
      </w:r>
      <w:r>
        <w:rPr>
          <w:rFonts w:hint="eastAsia" w:cs="Times New Roman"/>
          <w:b/>
          <w:bCs/>
          <w:szCs w:val="28"/>
          <w:highlight w:val="none"/>
        </w:rPr>
        <w:t>，</w:t>
      </w:r>
      <w:r>
        <w:rPr>
          <w:rFonts w:hint="eastAsia"/>
          <w:b/>
          <w:bCs/>
          <w:spacing w:val="-8"/>
          <w:szCs w:val="28"/>
          <w:highlight w:val="none"/>
        </w:rPr>
        <w:t>单价</w:t>
      </w:r>
      <w:r>
        <w:rPr>
          <w:rFonts w:hint="eastAsia"/>
          <w:b/>
          <w:bCs/>
          <w:highlight w:val="none"/>
        </w:rPr>
        <w:t>21233</w:t>
      </w:r>
      <w:r>
        <w:rPr>
          <w:rFonts w:hint="eastAsia"/>
          <w:b/>
          <w:bCs/>
          <w:spacing w:val="-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楷体_GB2312"/>
          <w:szCs w:val="28"/>
          <w:highlight w:val="none"/>
        </w:rPr>
      </w:pPr>
      <w:r>
        <w:rPr>
          <w:rFonts w:hint="eastAsia" w:cs="楷体_GB2312"/>
          <w:szCs w:val="28"/>
          <w:highlight w:val="none"/>
        </w:rPr>
        <w:t>特别提示：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楷体_GB2312"/>
          <w:szCs w:val="28"/>
          <w:highlight w:val="none"/>
        </w:rPr>
      </w:pPr>
      <w:r>
        <w:rPr>
          <w:rFonts w:cs="Times New Roman"/>
          <w:szCs w:val="28"/>
          <w:highlight w:val="none"/>
        </w:rPr>
        <w:t>①</w:t>
      </w:r>
      <w:r>
        <w:rPr>
          <w:rFonts w:hint="eastAsia" w:cs="楷体_GB2312"/>
          <w:szCs w:val="28"/>
          <w:highlight w:val="none"/>
        </w:rPr>
        <w:t>应当按照法律规定和评估报告载明的用途、使用人、使用期限等使</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cs="楷体_GB2312"/>
          <w:szCs w:val="28"/>
          <w:highlight w:val="none"/>
        </w:rPr>
      </w:pPr>
      <w:r>
        <w:rPr>
          <w:rFonts w:hint="eastAsia" w:cs="楷体_GB2312"/>
          <w:szCs w:val="28"/>
          <w:highlight w:val="none"/>
        </w:rPr>
        <w:t>用范围使用评估报告。否则，房地产估价机构和注册房地产估价师依法不承担责任；</w:t>
      </w:r>
      <w:r>
        <w:rPr>
          <w:rFonts w:hint="eastAsia"/>
          <w:highlight w:val="none"/>
        </w:rPr>
        <w:t>委估面积以靖江市政府网站2019年公示的兰园雅居</w:t>
      </w:r>
      <w:r>
        <w:rPr>
          <w:rFonts w:hint="eastAsia" w:ascii="楷体" w:hAnsi="楷体"/>
          <w:spacing w:val="-6"/>
          <w:kern w:val="24"/>
          <w:highlight w:val="none"/>
        </w:rPr>
        <w:t>《商品房明码标价表》预测绘面积</w:t>
      </w:r>
      <w:r>
        <w:rPr>
          <w:rFonts w:hint="eastAsia"/>
          <w:highlight w:val="none"/>
        </w:rPr>
        <w:t>316.95㎡为依据，另根据靖江市自然资源和规划局的复函，由于估价对象未办理首次登记，故暂时不能办理不动产转移登记。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Calibri" w:hAnsi="Calibri" w:cs="Calibri"/>
          <w:szCs w:val="28"/>
          <w:highlight w:val="none"/>
        </w:rPr>
      </w:pPr>
      <w:r>
        <w:rPr>
          <w:rFonts w:cs="Times New Roman"/>
          <w:szCs w:val="28"/>
          <w:highlight w:val="none"/>
        </w:rPr>
        <w:t>②</w:t>
      </w:r>
      <w:r>
        <w:rPr>
          <w:rFonts w:hint="eastAsia" w:ascii="Calibri" w:hAnsi="Calibri" w:cs="Calibri"/>
          <w:szCs w:val="28"/>
          <w:highlight w:val="none"/>
        </w:rPr>
        <w:t>评估结果仅为人民法院确定财产处置参考价服务，不是评估对象处置可实现的成交价格，也不应当被视为对评估对象处置成交价格的保证；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Times New Roman"/>
          <w:szCs w:val="28"/>
          <w:highlight w:val="none"/>
        </w:rPr>
      </w:pPr>
      <w:r>
        <w:rPr>
          <w:rFonts w:cs="Times New Roman"/>
          <w:szCs w:val="28"/>
          <w:highlight w:val="none"/>
        </w:rPr>
        <w:t>③</w:t>
      </w:r>
      <w:r>
        <w:rPr>
          <w:rFonts w:hint="eastAsia" w:cs="Times New Roman"/>
          <w:szCs w:val="28"/>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Times New Roman"/>
          <w:szCs w:val="28"/>
          <w:highlight w:val="none"/>
        </w:rPr>
      </w:pPr>
      <w:r>
        <w:rPr>
          <w:rFonts w:cs="Times New Roman"/>
          <w:szCs w:val="28"/>
          <w:highlight w:val="none"/>
        </w:rPr>
        <w:t>④</w:t>
      </w:r>
      <w:r>
        <w:rPr>
          <w:rFonts w:hint="eastAsia" w:cs="Times New Roman"/>
          <w:szCs w:val="28"/>
          <w:highlight w:val="none"/>
        </w:rPr>
        <w:t>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Times New Roman"/>
          <w:szCs w:val="28"/>
          <w:highlight w:val="none"/>
        </w:rPr>
      </w:pPr>
      <w:r>
        <w:rPr>
          <w:rFonts w:cs="Times New Roman"/>
          <w:szCs w:val="28"/>
          <w:highlight w:val="none"/>
        </w:rPr>
        <w:t>⑤</w:t>
      </w:r>
      <w:r>
        <w:rPr>
          <w:rFonts w:hint="eastAsia" w:cs="Times New Roman"/>
          <w:szCs w:val="28"/>
          <w:highlight w:val="none"/>
        </w:rPr>
        <w:t>估价委托人在使用本报告时，务请注意本评估结果报告中的估价的假设和限制条件，并且，报告的全文作为一个不可分割的整体，仅有部分内容则不能成为有效的评估报告。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Times New Roman"/>
          <w:szCs w:val="28"/>
          <w:highlight w:val="none"/>
        </w:rPr>
      </w:pPr>
      <w:r>
        <w:rPr>
          <w:rFonts w:cs="Times New Roman"/>
          <w:szCs w:val="28"/>
          <w:highlight w:val="none"/>
        </w:rPr>
        <w:t>⑥</w:t>
      </w:r>
      <w:r>
        <w:rPr>
          <w:rFonts w:hint="eastAsia" w:cs="Times New Roman"/>
          <w:szCs w:val="28"/>
          <w:highlight w:val="none"/>
        </w:rPr>
        <w:t>本估价报告使用期限自本报告出具之日起不超过一年，若当地房地产市场状况变化较大时，应对该房地产价格进行再评估。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cs="Times New Roman"/>
          <w:szCs w:val="28"/>
          <w:highlight w:val="none"/>
        </w:rPr>
      </w:pPr>
      <w:r>
        <w:rPr>
          <w:rFonts w:hint="eastAsia" w:cs="Times New Roman"/>
          <w:szCs w:val="28"/>
          <w:highlight w:val="none"/>
        </w:rPr>
        <w:t>此致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楷体_GB2312"/>
          <w:szCs w:val="28"/>
          <w:highlight w:val="none"/>
        </w:rPr>
      </w:pPr>
    </w:p>
    <w:p>
      <w:pPr>
        <w:keepNext w:val="0"/>
        <w:keepLines w:val="0"/>
        <w:pageBreakBefore w:val="0"/>
        <w:widowControl w:val="0"/>
        <w:tabs>
          <w:tab w:val="left" w:pos="9540"/>
        </w:tabs>
        <w:kinsoku/>
        <w:wordWrap/>
        <w:overflowPunct/>
        <w:topLinePunct w:val="0"/>
        <w:autoSpaceDE/>
        <w:autoSpaceDN/>
        <w:bidi w:val="0"/>
        <w:adjustRightInd/>
        <w:snapToGrid/>
        <w:spacing w:line="520" w:lineRule="exact"/>
        <w:ind w:right="657" w:firstLine="3920" w:firstLineChars="1400"/>
        <w:textAlignment w:val="auto"/>
        <w:rPr>
          <w:rFonts w:cs="楷体_GB2312"/>
          <w:szCs w:val="28"/>
          <w:highlight w:val="none"/>
        </w:rPr>
      </w:pPr>
      <w:r>
        <w:rPr>
          <w:rFonts w:hint="eastAsia" w:cs="楷体_GB2312"/>
          <w:szCs w:val="28"/>
          <w:highlight w:val="none"/>
        </w:rPr>
        <w:t>法定代表人（盖章）：</w:t>
      </w:r>
    </w:p>
    <w:p>
      <w:pPr>
        <w:keepNext w:val="0"/>
        <w:keepLines w:val="0"/>
        <w:pageBreakBefore w:val="0"/>
        <w:widowControl w:val="0"/>
        <w:tabs>
          <w:tab w:val="left" w:pos="9540"/>
        </w:tabs>
        <w:kinsoku/>
        <w:wordWrap/>
        <w:overflowPunct/>
        <w:topLinePunct w:val="0"/>
        <w:autoSpaceDE/>
        <w:autoSpaceDN/>
        <w:bidi w:val="0"/>
        <w:adjustRightInd/>
        <w:snapToGrid/>
        <w:spacing w:line="520" w:lineRule="exact"/>
        <w:ind w:right="97"/>
        <w:jc w:val="right"/>
        <w:textAlignment w:val="auto"/>
        <w:rPr>
          <w:rFonts w:cs="楷体_GB2312"/>
          <w:highlight w:val="none"/>
        </w:rPr>
      </w:pPr>
      <w:r>
        <w:rPr>
          <w:rFonts w:cs="楷体_GB2312"/>
          <w:highlight w:val="none"/>
        </w:rPr>
        <w:pict>
          <v:shape id="_x0000_s1026" o:spid="_x0000_s1026" o:spt="201" type="#_x0000_t201" style="position:absolute;left:0pt;margin-left:-204.35pt;margin-top:8.15pt;height:16.55pt;width:86.25pt;z-index:-251657216;mso-width-relative:page;mso-height-relative:page;" o:ole="t" filled="f" o:preferrelative="t" stroked="f" coordsize="21600,21600">
            <v:path/>
            <v:fill on="f" focussize="0,0"/>
            <v:stroke on="f" joinstyle="miter"/>
            <v:imagedata r:id="rId8" o:title=""/>
            <o:lock v:ext="edit"/>
          </v:shape>
          <w:control r:id="rId7" w:name="ESEntity1" w:shapeid="_x0000_s1026"/>
        </w:pict>
      </w:r>
      <w:r>
        <w:rPr>
          <w:rFonts w:hint="eastAsia" w:cs="楷体_GB2312"/>
          <w:highlight w:val="none"/>
        </w:rPr>
        <w:t xml:space="preserve"> 江苏首佳土地房地产评估测绘事务所有限公司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s="楷体_GB2312"/>
          <w:highlight w:val="none"/>
        </w:rPr>
      </w:pPr>
      <w:r>
        <w:rPr>
          <w:rFonts w:hint="eastAsia" w:cs="楷体_GB2312"/>
          <w:highlight w:val="none"/>
        </w:rPr>
        <w:t xml:space="preserve">                   </w:t>
      </w:r>
      <w:r>
        <w:rPr>
          <w:rFonts w:hint="eastAsia" w:cs="Times New Roman"/>
          <w:highlight w:val="none"/>
        </w:rPr>
        <w:t xml:space="preserve"> 2022年8月29日</w:t>
      </w:r>
      <w:r>
        <w:rPr>
          <w:rFonts w:hint="eastAsia" w:cs="楷体_GB2312"/>
          <w:highlight w:val="none"/>
        </w:rPr>
        <w:tab/>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s="楷体_GB231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s="楷体_GB231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s="楷体_GB231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s="楷体_GB2312"/>
          <w:highlight w:val="none"/>
        </w:rPr>
      </w:pPr>
    </w:p>
    <w:p>
      <w:pPr>
        <w:spacing w:line="480" w:lineRule="auto"/>
        <w:rPr>
          <w:rFonts w:cs="楷体_GB2312"/>
          <w:b/>
          <w:bCs/>
          <w:sz w:val="44"/>
          <w:highlight w:val="none"/>
        </w:rPr>
      </w:pPr>
      <w:bookmarkStart w:id="4" w:name="_Toc20198"/>
      <w:bookmarkStart w:id="5" w:name="_Toc365376341"/>
    </w:p>
    <w:p>
      <w:pPr>
        <w:spacing w:line="480" w:lineRule="auto"/>
        <w:jc w:val="center"/>
        <w:rPr>
          <w:rFonts w:hint="eastAsia" w:cs="楷体_GB2312"/>
          <w:b/>
          <w:bCs/>
          <w:sz w:val="44"/>
          <w:highlight w:val="none"/>
        </w:rPr>
      </w:pPr>
    </w:p>
    <w:p>
      <w:pPr>
        <w:spacing w:line="480" w:lineRule="auto"/>
        <w:jc w:val="center"/>
        <w:rPr>
          <w:rFonts w:hint="eastAsia" w:cs="楷体_GB2312"/>
          <w:b/>
          <w:bCs/>
          <w:sz w:val="44"/>
          <w:highlight w:val="none"/>
        </w:rPr>
      </w:pPr>
    </w:p>
    <w:p>
      <w:pPr>
        <w:spacing w:line="480" w:lineRule="auto"/>
        <w:jc w:val="center"/>
        <w:rPr>
          <w:rFonts w:hint="eastAsia" w:cs="楷体_GB2312"/>
          <w:b/>
          <w:bCs/>
          <w:sz w:val="44"/>
          <w:highlight w:val="none"/>
        </w:rPr>
      </w:pPr>
    </w:p>
    <w:p>
      <w:pPr>
        <w:spacing w:line="480" w:lineRule="auto"/>
        <w:jc w:val="center"/>
        <w:rPr>
          <w:rFonts w:cs="楷体_GB2312"/>
          <w:b/>
          <w:bCs/>
          <w:sz w:val="44"/>
          <w:highlight w:val="none"/>
        </w:rPr>
      </w:pPr>
      <w:r>
        <w:rPr>
          <w:rFonts w:hint="eastAsia" w:cs="楷体_GB2312"/>
          <w:b/>
          <w:bCs/>
          <w:sz w:val="44"/>
          <w:highlight w:val="none"/>
        </w:rPr>
        <w:t>目            录</w:t>
      </w:r>
    </w:p>
    <w:p>
      <w:pPr>
        <w:pStyle w:val="9"/>
        <w:tabs>
          <w:tab w:val="right" w:leader="dot" w:pos="9530"/>
        </w:tabs>
        <w:spacing w:line="560" w:lineRule="exact"/>
        <w:rPr>
          <w:rFonts w:asciiTheme="minorHAnsi" w:hAnsiTheme="minorHAnsi" w:eastAsiaTheme="minorEastAsia" w:cstheme="minorBidi"/>
          <w:sz w:val="21"/>
          <w:szCs w:val="22"/>
          <w:highlight w:val="none"/>
        </w:rPr>
      </w:pPr>
      <w:r>
        <w:rPr>
          <w:rFonts w:hint="eastAsia" w:cs="楷体_GB2312"/>
          <w:szCs w:val="28"/>
          <w:highlight w:val="none"/>
        </w:rPr>
        <w:fldChar w:fldCharType="begin"/>
      </w:r>
      <w:r>
        <w:rPr>
          <w:rFonts w:hint="eastAsia" w:cs="楷体_GB2312"/>
          <w:szCs w:val="28"/>
          <w:highlight w:val="none"/>
        </w:rPr>
        <w:instrText xml:space="preserve"> TOC \o "1-3" \h \z \u </w:instrText>
      </w:r>
      <w:r>
        <w:rPr>
          <w:rFonts w:hint="eastAsia" w:cs="楷体_GB2312"/>
          <w:szCs w:val="28"/>
          <w:highlight w:val="none"/>
        </w:rPr>
        <w:fldChar w:fldCharType="separate"/>
      </w:r>
      <w:r>
        <w:rPr>
          <w:highlight w:val="none"/>
        </w:rPr>
        <w:fldChar w:fldCharType="begin"/>
      </w:r>
      <w:r>
        <w:rPr>
          <w:highlight w:val="none"/>
        </w:rPr>
        <w:instrText xml:space="preserve"> HYPERLINK \l "_Toc114643942" </w:instrText>
      </w:r>
      <w:r>
        <w:rPr>
          <w:highlight w:val="none"/>
        </w:rPr>
        <w:fldChar w:fldCharType="separate"/>
      </w:r>
      <w:r>
        <w:rPr>
          <w:rStyle w:val="15"/>
          <w:rFonts w:hint="eastAsia" w:cs="楷体_GB2312"/>
          <w:highlight w:val="none"/>
        </w:rPr>
        <w:t>估价师声明</w:t>
      </w:r>
      <w:r>
        <w:rPr>
          <w:highlight w:val="none"/>
        </w:rPr>
        <w:tab/>
      </w:r>
      <w:r>
        <w:rPr>
          <w:highlight w:val="none"/>
        </w:rPr>
        <w:fldChar w:fldCharType="begin"/>
      </w:r>
      <w:r>
        <w:rPr>
          <w:highlight w:val="none"/>
        </w:rPr>
        <w:instrText xml:space="preserve"> PAGEREF _Toc114643942 \h </w:instrText>
      </w:r>
      <w:r>
        <w:rPr>
          <w:highlight w:val="none"/>
        </w:rPr>
        <w:fldChar w:fldCharType="separate"/>
      </w:r>
      <w:r>
        <w:rPr>
          <w:highlight w:val="none"/>
        </w:rPr>
        <w:t>- 5 -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"_Toc114643943" </w:instrText>
      </w:r>
      <w:r>
        <w:rPr>
          <w:highlight w:val="none"/>
        </w:rPr>
        <w:fldChar w:fldCharType="separate"/>
      </w:r>
      <w:r>
        <w:rPr>
          <w:rStyle w:val="15"/>
          <w:rFonts w:hint="eastAsia" w:cs="楷体_GB2312"/>
          <w:highlight w:val="none"/>
        </w:rPr>
        <w:t>估价的假设和限制条件</w:t>
      </w:r>
      <w:r>
        <w:rPr>
          <w:highlight w:val="none"/>
        </w:rPr>
        <w:tab/>
      </w:r>
      <w:r>
        <w:rPr>
          <w:highlight w:val="none"/>
        </w:rPr>
        <w:fldChar w:fldCharType="begin"/>
      </w:r>
      <w:r>
        <w:rPr>
          <w:highlight w:val="none"/>
        </w:rPr>
        <w:instrText xml:space="preserve"> PAGEREF _Toc114643943 \h </w:instrText>
      </w:r>
      <w:r>
        <w:rPr>
          <w:highlight w:val="none"/>
        </w:rPr>
        <w:fldChar w:fldCharType="separate"/>
      </w:r>
      <w:r>
        <w:rPr>
          <w:highlight w:val="none"/>
        </w:rPr>
        <w:t>- 6 -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"_Toc114643944" </w:instrText>
      </w:r>
      <w:r>
        <w:rPr>
          <w:highlight w:val="none"/>
        </w:rPr>
        <w:fldChar w:fldCharType="separate"/>
      </w:r>
      <w:r>
        <w:rPr>
          <w:rStyle w:val="15"/>
          <w:rFonts w:hint="eastAsia"/>
          <w:highlight w:val="none"/>
        </w:rPr>
        <w:t>房地产估价结果报告</w:t>
      </w:r>
      <w:r>
        <w:rPr>
          <w:highlight w:val="none"/>
        </w:rPr>
        <w:tab/>
      </w:r>
      <w:r>
        <w:rPr>
          <w:highlight w:val="none"/>
        </w:rPr>
        <w:fldChar w:fldCharType="begin"/>
      </w:r>
      <w:r>
        <w:rPr>
          <w:highlight w:val="none"/>
        </w:rPr>
        <w:instrText xml:space="preserve"> PAGEREF _Toc114643944 \h </w:instrText>
      </w:r>
      <w:r>
        <w:rPr>
          <w:highlight w:val="none"/>
        </w:rPr>
        <w:fldChar w:fldCharType="separate"/>
      </w:r>
      <w:r>
        <w:rPr>
          <w:highlight w:val="none"/>
        </w:rPr>
        <w:t>- 9 -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"_Toc114643945" </w:instrText>
      </w:r>
      <w:r>
        <w:rPr>
          <w:highlight w:val="none"/>
        </w:rPr>
        <w:fldChar w:fldCharType="separate"/>
      </w:r>
      <w:r>
        <w:rPr>
          <w:rStyle w:val="15"/>
          <w:rFonts w:hint="eastAsia"/>
          <w:highlight w:val="none"/>
        </w:rPr>
        <w:t>一、估价委托人</w:t>
      </w:r>
      <w:r>
        <w:rPr>
          <w:highlight w:val="none"/>
        </w:rPr>
        <w:tab/>
      </w:r>
      <w:r>
        <w:rPr>
          <w:highlight w:val="none"/>
        </w:rPr>
        <w:fldChar w:fldCharType="begin"/>
      </w:r>
      <w:r>
        <w:rPr>
          <w:highlight w:val="none"/>
        </w:rPr>
        <w:instrText xml:space="preserve"> PAGEREF _Toc114643945 \h </w:instrText>
      </w:r>
      <w:r>
        <w:rPr>
          <w:highlight w:val="none"/>
        </w:rPr>
        <w:fldChar w:fldCharType="separate"/>
      </w:r>
      <w:r>
        <w:rPr>
          <w:highlight w:val="none"/>
        </w:rPr>
        <w:t>- 9 -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"_Toc114643946" </w:instrText>
      </w:r>
      <w:r>
        <w:rPr>
          <w:highlight w:val="none"/>
        </w:rPr>
        <w:fldChar w:fldCharType="separate"/>
      </w:r>
      <w:r>
        <w:rPr>
          <w:rStyle w:val="15"/>
          <w:rFonts w:hint="eastAsia"/>
          <w:highlight w:val="none"/>
        </w:rPr>
        <w:t>二、估价机构</w:t>
      </w:r>
      <w:r>
        <w:rPr>
          <w:highlight w:val="none"/>
        </w:rPr>
        <w:tab/>
      </w:r>
      <w:r>
        <w:rPr>
          <w:highlight w:val="none"/>
        </w:rPr>
        <w:fldChar w:fldCharType="begin"/>
      </w:r>
      <w:r>
        <w:rPr>
          <w:highlight w:val="none"/>
        </w:rPr>
        <w:instrText xml:space="preserve"> PAGEREF _Toc114643946 \h </w:instrText>
      </w:r>
      <w:r>
        <w:rPr>
          <w:highlight w:val="none"/>
        </w:rPr>
        <w:fldChar w:fldCharType="separate"/>
      </w:r>
      <w:r>
        <w:rPr>
          <w:highlight w:val="none"/>
        </w:rPr>
        <w:t>- 9 -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"_Toc114643947" </w:instrText>
      </w:r>
      <w:r>
        <w:rPr>
          <w:highlight w:val="none"/>
        </w:rPr>
        <w:fldChar w:fldCharType="separate"/>
      </w:r>
      <w:r>
        <w:rPr>
          <w:rStyle w:val="15"/>
          <w:rFonts w:hint="eastAsia" w:ascii="楷体" w:hAnsi="楷体"/>
          <w:highlight w:val="none"/>
        </w:rPr>
        <w:t>三、估价目的</w:t>
      </w:r>
      <w:r>
        <w:rPr>
          <w:highlight w:val="none"/>
        </w:rPr>
        <w:tab/>
      </w:r>
      <w:r>
        <w:rPr>
          <w:highlight w:val="none"/>
        </w:rPr>
        <w:fldChar w:fldCharType="begin"/>
      </w:r>
      <w:r>
        <w:rPr>
          <w:highlight w:val="none"/>
        </w:rPr>
        <w:instrText xml:space="preserve"> PAGEREF _Toc114643947 \h </w:instrText>
      </w:r>
      <w:r>
        <w:rPr>
          <w:highlight w:val="none"/>
        </w:rPr>
        <w:fldChar w:fldCharType="separate"/>
      </w:r>
      <w:r>
        <w:rPr>
          <w:highlight w:val="none"/>
        </w:rPr>
        <w:t>- 9 -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"_Toc114643948" </w:instrText>
      </w:r>
      <w:r>
        <w:rPr>
          <w:highlight w:val="none"/>
        </w:rPr>
        <w:fldChar w:fldCharType="separate"/>
      </w:r>
      <w:r>
        <w:rPr>
          <w:rStyle w:val="15"/>
          <w:rFonts w:hint="eastAsia" w:ascii="楷体" w:hAnsi="楷体"/>
          <w:highlight w:val="none"/>
        </w:rPr>
        <w:t>四、 价值时点</w:t>
      </w:r>
      <w:r>
        <w:rPr>
          <w:highlight w:val="none"/>
        </w:rPr>
        <w:tab/>
      </w:r>
      <w:r>
        <w:rPr>
          <w:highlight w:val="none"/>
        </w:rPr>
        <w:fldChar w:fldCharType="begin"/>
      </w:r>
      <w:r>
        <w:rPr>
          <w:highlight w:val="none"/>
        </w:rPr>
        <w:instrText xml:space="preserve"> PAGEREF _Toc114643948 \h </w:instrText>
      </w:r>
      <w:r>
        <w:rPr>
          <w:highlight w:val="none"/>
        </w:rPr>
        <w:fldChar w:fldCharType="separate"/>
      </w:r>
      <w:r>
        <w:rPr>
          <w:highlight w:val="none"/>
        </w:rPr>
        <w:t>- 14 -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"_Toc114643949" </w:instrText>
      </w:r>
      <w:r>
        <w:rPr>
          <w:highlight w:val="none"/>
        </w:rPr>
        <w:fldChar w:fldCharType="separate"/>
      </w:r>
      <w:r>
        <w:rPr>
          <w:rStyle w:val="15"/>
          <w:rFonts w:hint="eastAsia"/>
          <w:highlight w:val="none"/>
        </w:rPr>
        <w:t>六、价值类型</w:t>
      </w:r>
      <w:r>
        <w:rPr>
          <w:highlight w:val="none"/>
        </w:rPr>
        <w:tab/>
      </w:r>
      <w:r>
        <w:rPr>
          <w:highlight w:val="none"/>
        </w:rPr>
        <w:fldChar w:fldCharType="begin"/>
      </w:r>
      <w:r>
        <w:rPr>
          <w:highlight w:val="none"/>
        </w:rPr>
        <w:instrText xml:space="preserve"> PAGEREF _Toc114643949 \h </w:instrText>
      </w:r>
      <w:r>
        <w:rPr>
          <w:highlight w:val="none"/>
        </w:rPr>
        <w:fldChar w:fldCharType="separate"/>
      </w:r>
      <w:r>
        <w:rPr>
          <w:highlight w:val="none"/>
        </w:rPr>
        <w:t>- 14 -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"_Toc114643950" </w:instrText>
      </w:r>
      <w:r>
        <w:rPr>
          <w:highlight w:val="none"/>
        </w:rPr>
        <w:fldChar w:fldCharType="separate"/>
      </w:r>
      <w:r>
        <w:rPr>
          <w:rStyle w:val="15"/>
          <w:rFonts w:hint="eastAsia"/>
          <w:highlight w:val="none"/>
        </w:rPr>
        <w:t>七、估价原则</w:t>
      </w:r>
      <w:r>
        <w:rPr>
          <w:highlight w:val="none"/>
        </w:rPr>
        <w:tab/>
      </w:r>
      <w:r>
        <w:rPr>
          <w:highlight w:val="none"/>
        </w:rPr>
        <w:fldChar w:fldCharType="begin"/>
      </w:r>
      <w:r>
        <w:rPr>
          <w:highlight w:val="none"/>
        </w:rPr>
        <w:instrText xml:space="preserve"> PAGEREF _Toc114643950 \h </w:instrText>
      </w:r>
      <w:r>
        <w:rPr>
          <w:highlight w:val="none"/>
        </w:rPr>
        <w:fldChar w:fldCharType="separate"/>
      </w:r>
      <w:r>
        <w:rPr>
          <w:highlight w:val="none"/>
        </w:rPr>
        <w:t>- 15 -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"_Toc114643951" </w:instrText>
      </w:r>
      <w:r>
        <w:rPr>
          <w:highlight w:val="none"/>
        </w:rPr>
        <w:fldChar w:fldCharType="separate"/>
      </w:r>
      <w:r>
        <w:rPr>
          <w:rStyle w:val="15"/>
          <w:rFonts w:hint="eastAsia"/>
          <w:highlight w:val="none"/>
        </w:rPr>
        <w:t>八、估价依据</w:t>
      </w:r>
      <w:r>
        <w:rPr>
          <w:highlight w:val="none"/>
        </w:rPr>
        <w:tab/>
      </w:r>
      <w:r>
        <w:rPr>
          <w:highlight w:val="none"/>
        </w:rPr>
        <w:fldChar w:fldCharType="begin"/>
      </w:r>
      <w:r>
        <w:rPr>
          <w:highlight w:val="none"/>
        </w:rPr>
        <w:instrText xml:space="preserve"> PAGEREF _Toc114643951 \h </w:instrText>
      </w:r>
      <w:r>
        <w:rPr>
          <w:highlight w:val="none"/>
        </w:rPr>
        <w:fldChar w:fldCharType="separate"/>
      </w:r>
      <w:r>
        <w:rPr>
          <w:highlight w:val="none"/>
        </w:rPr>
        <w:t>- 16 -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"_Toc114643952" </w:instrText>
      </w:r>
      <w:r>
        <w:rPr>
          <w:highlight w:val="none"/>
        </w:rPr>
        <w:fldChar w:fldCharType="separate"/>
      </w:r>
      <w:r>
        <w:rPr>
          <w:rStyle w:val="15"/>
          <w:rFonts w:hint="eastAsia"/>
          <w:highlight w:val="none"/>
        </w:rPr>
        <w:t>九、估价技术思路与方法</w:t>
      </w:r>
      <w:r>
        <w:rPr>
          <w:highlight w:val="none"/>
        </w:rPr>
        <w:tab/>
      </w:r>
      <w:r>
        <w:rPr>
          <w:highlight w:val="none"/>
        </w:rPr>
        <w:fldChar w:fldCharType="begin"/>
      </w:r>
      <w:r>
        <w:rPr>
          <w:highlight w:val="none"/>
        </w:rPr>
        <w:instrText xml:space="preserve"> PAGEREF _Toc114643952 \h </w:instrText>
      </w:r>
      <w:r>
        <w:rPr>
          <w:highlight w:val="none"/>
        </w:rPr>
        <w:fldChar w:fldCharType="separate"/>
      </w:r>
      <w:r>
        <w:rPr>
          <w:highlight w:val="none"/>
        </w:rPr>
        <w:t>- 18 -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"_Toc114643953" </w:instrText>
      </w:r>
      <w:r>
        <w:rPr>
          <w:highlight w:val="none"/>
        </w:rPr>
        <w:fldChar w:fldCharType="separate"/>
      </w:r>
      <w:r>
        <w:rPr>
          <w:rStyle w:val="15"/>
          <w:rFonts w:hint="eastAsia"/>
          <w:highlight w:val="none"/>
        </w:rPr>
        <w:t>十、估价结果</w:t>
      </w:r>
      <w:r>
        <w:rPr>
          <w:highlight w:val="none"/>
        </w:rPr>
        <w:tab/>
      </w:r>
      <w:r>
        <w:rPr>
          <w:highlight w:val="none"/>
        </w:rPr>
        <w:fldChar w:fldCharType="begin"/>
      </w:r>
      <w:r>
        <w:rPr>
          <w:highlight w:val="none"/>
        </w:rPr>
        <w:instrText xml:space="preserve"> PAGEREF _Toc114643953 \h </w:instrText>
      </w:r>
      <w:r>
        <w:rPr>
          <w:highlight w:val="none"/>
        </w:rPr>
        <w:fldChar w:fldCharType="separate"/>
      </w:r>
      <w:r>
        <w:rPr>
          <w:highlight w:val="none"/>
        </w:rPr>
        <w:t>- 19 -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"_Toc114643954" </w:instrText>
      </w:r>
      <w:r>
        <w:rPr>
          <w:highlight w:val="none"/>
        </w:rPr>
        <w:fldChar w:fldCharType="separate"/>
      </w:r>
      <w:r>
        <w:rPr>
          <w:rStyle w:val="15"/>
          <w:rFonts w:hint="eastAsia" w:cs="楷体_GB2312"/>
          <w:highlight w:val="none"/>
        </w:rPr>
        <w:t>十二、实地查勘期</w:t>
      </w:r>
      <w:r>
        <w:rPr>
          <w:highlight w:val="none"/>
        </w:rPr>
        <w:tab/>
      </w:r>
      <w:r>
        <w:rPr>
          <w:highlight w:val="none"/>
        </w:rPr>
        <w:fldChar w:fldCharType="begin"/>
      </w:r>
      <w:r>
        <w:rPr>
          <w:highlight w:val="none"/>
        </w:rPr>
        <w:instrText xml:space="preserve"> PAGEREF _Toc114643954 \h </w:instrText>
      </w:r>
      <w:r>
        <w:rPr>
          <w:highlight w:val="none"/>
        </w:rPr>
        <w:fldChar w:fldCharType="separate"/>
      </w:r>
      <w:r>
        <w:rPr>
          <w:highlight w:val="none"/>
        </w:rPr>
        <w:t>- 20 -</w:t>
      </w:r>
      <w:r>
        <w:rPr>
          <w:highlight w:val="none"/>
        </w:rPr>
        <w:fldChar w:fldCharType="end"/>
      </w:r>
      <w:r>
        <w:rPr>
          <w:highlight w:val="none"/>
        </w:rPr>
        <w:fldChar w:fldCharType="end"/>
      </w:r>
    </w:p>
    <w:p>
      <w:pPr>
        <w:pStyle w:val="10"/>
        <w:tabs>
          <w:tab w:val="right" w:leader="dot" w:pos="9530"/>
        </w:tabs>
        <w:spacing w:line="560" w:lineRule="exact"/>
        <w:ind w:left="560"/>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"_Toc114643955" </w:instrText>
      </w:r>
      <w:r>
        <w:rPr>
          <w:highlight w:val="none"/>
        </w:rPr>
        <w:fldChar w:fldCharType="separate"/>
      </w:r>
      <w:r>
        <w:rPr>
          <w:rStyle w:val="15"/>
          <w:rFonts w:hint="eastAsia" w:cs="楷体_GB2312"/>
          <w:highlight w:val="none"/>
        </w:rPr>
        <w:t>十三、估价作业日期</w:t>
      </w:r>
      <w:r>
        <w:rPr>
          <w:highlight w:val="none"/>
        </w:rPr>
        <w:tab/>
      </w:r>
      <w:r>
        <w:rPr>
          <w:highlight w:val="none"/>
        </w:rPr>
        <w:fldChar w:fldCharType="begin"/>
      </w:r>
      <w:r>
        <w:rPr>
          <w:highlight w:val="none"/>
        </w:rPr>
        <w:instrText xml:space="preserve"> PAGEREF _Toc114643955 \h </w:instrText>
      </w:r>
      <w:r>
        <w:rPr>
          <w:highlight w:val="none"/>
        </w:rPr>
        <w:fldChar w:fldCharType="separate"/>
      </w:r>
      <w:r>
        <w:rPr>
          <w:highlight w:val="none"/>
        </w:rPr>
        <w:t>- 20 -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"_Toc114643956" </w:instrText>
      </w:r>
      <w:r>
        <w:rPr>
          <w:highlight w:val="none"/>
        </w:rPr>
        <w:fldChar w:fldCharType="separate"/>
      </w:r>
      <w:r>
        <w:rPr>
          <w:rStyle w:val="15"/>
          <w:rFonts w:hint="eastAsia" w:cs="楷体_GB2312"/>
          <w:b/>
          <w:highlight w:val="none"/>
        </w:rPr>
        <w:t>附</w:t>
      </w:r>
      <w:r>
        <w:rPr>
          <w:rStyle w:val="15"/>
          <w:rFonts w:cs="楷体_GB2312"/>
          <w:b/>
          <w:highlight w:val="none"/>
        </w:rPr>
        <w:t xml:space="preserve">   </w:t>
      </w:r>
      <w:r>
        <w:rPr>
          <w:rStyle w:val="15"/>
          <w:rFonts w:hint="eastAsia" w:cs="楷体_GB2312"/>
          <w:b/>
          <w:highlight w:val="none"/>
        </w:rPr>
        <w:t>件</w:t>
      </w:r>
      <w:r>
        <w:rPr>
          <w:highlight w:val="none"/>
        </w:rPr>
        <w:tab/>
      </w:r>
      <w:r>
        <w:rPr>
          <w:highlight w:val="none"/>
        </w:rPr>
        <w:fldChar w:fldCharType="begin"/>
      </w:r>
      <w:r>
        <w:rPr>
          <w:highlight w:val="none"/>
        </w:rPr>
        <w:instrText xml:space="preserve"> PAGEREF _Toc114643956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"_Toc114643957" </w:instrText>
      </w:r>
      <w:r>
        <w:rPr>
          <w:highlight w:val="none"/>
        </w:rPr>
        <w:fldChar w:fldCharType="separate"/>
      </w:r>
      <w:r>
        <w:rPr>
          <w:rStyle w:val="15"/>
          <w:rFonts w:hint="eastAsia" w:cs="Times New Roman"/>
          <w:highlight w:val="none"/>
        </w:rPr>
        <w:t>1、 《靖江市人民法院司法鉴定委托书》复印件</w:t>
      </w:r>
      <w:r>
        <w:rPr>
          <w:highlight w:val="none"/>
        </w:rPr>
        <w:tab/>
      </w:r>
      <w:r>
        <w:rPr>
          <w:highlight w:val="none"/>
        </w:rPr>
        <w:fldChar w:fldCharType="begin"/>
      </w:r>
      <w:r>
        <w:rPr>
          <w:highlight w:val="none"/>
        </w:rPr>
        <w:instrText xml:space="preserve"> PAGEREF _Toc114643957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"_Toc114643958" </w:instrText>
      </w:r>
      <w:r>
        <w:rPr>
          <w:highlight w:val="none"/>
        </w:rPr>
        <w:fldChar w:fldCharType="separate"/>
      </w:r>
      <w:r>
        <w:rPr>
          <w:rStyle w:val="15"/>
          <w:rFonts w:hint="eastAsia" w:cs="Times New Roman"/>
          <w:highlight w:val="none"/>
        </w:rPr>
        <w:t>2、 委估对象产权资料复印件</w:t>
      </w:r>
      <w:r>
        <w:rPr>
          <w:highlight w:val="none"/>
        </w:rPr>
        <w:tab/>
      </w:r>
      <w:r>
        <w:rPr>
          <w:highlight w:val="none"/>
        </w:rPr>
        <w:fldChar w:fldCharType="begin"/>
      </w:r>
      <w:r>
        <w:rPr>
          <w:highlight w:val="none"/>
        </w:rPr>
        <w:instrText xml:space="preserve"> PAGEREF _Toc114643958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"_Toc114643959" </w:instrText>
      </w:r>
      <w:r>
        <w:rPr>
          <w:highlight w:val="none"/>
        </w:rPr>
        <w:fldChar w:fldCharType="separate"/>
      </w:r>
      <w:r>
        <w:rPr>
          <w:rStyle w:val="15"/>
          <w:rFonts w:hint="eastAsia" w:cs="Times New Roman"/>
          <w:highlight w:val="none"/>
        </w:rPr>
        <w:t>3、 估价对象地理位置示意图</w:t>
      </w:r>
      <w:r>
        <w:rPr>
          <w:highlight w:val="none"/>
        </w:rPr>
        <w:tab/>
      </w:r>
      <w:r>
        <w:rPr>
          <w:highlight w:val="none"/>
        </w:rPr>
        <w:fldChar w:fldCharType="begin"/>
      </w:r>
      <w:r>
        <w:rPr>
          <w:highlight w:val="none"/>
        </w:rPr>
        <w:instrText xml:space="preserve"> PAGEREF _Toc114643959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"_Toc114643960" </w:instrText>
      </w:r>
      <w:r>
        <w:rPr>
          <w:highlight w:val="none"/>
        </w:rPr>
        <w:fldChar w:fldCharType="separate"/>
      </w:r>
      <w:r>
        <w:rPr>
          <w:rStyle w:val="15"/>
          <w:rFonts w:hint="eastAsia" w:cs="Times New Roman"/>
          <w:highlight w:val="none"/>
        </w:rPr>
        <w:t>4、 估价对象内外部状况照片</w:t>
      </w:r>
      <w:r>
        <w:rPr>
          <w:highlight w:val="none"/>
        </w:rPr>
        <w:tab/>
      </w:r>
      <w:r>
        <w:rPr>
          <w:highlight w:val="none"/>
        </w:rPr>
        <w:fldChar w:fldCharType="begin"/>
      </w:r>
      <w:r>
        <w:rPr>
          <w:highlight w:val="none"/>
        </w:rPr>
        <w:instrText xml:space="preserve"> PAGEREF _Toc114643960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"_Toc114643961" </w:instrText>
      </w:r>
      <w:r>
        <w:rPr>
          <w:highlight w:val="none"/>
        </w:rPr>
        <w:fldChar w:fldCharType="separate"/>
      </w:r>
      <w:r>
        <w:rPr>
          <w:rStyle w:val="15"/>
          <w:rFonts w:hint="eastAsia" w:cs="Times New Roman"/>
          <w:highlight w:val="none"/>
        </w:rPr>
        <w:t>5、 其他材料</w:t>
      </w:r>
      <w:r>
        <w:rPr>
          <w:highlight w:val="none"/>
        </w:rPr>
        <w:tab/>
      </w:r>
      <w:r>
        <w:rPr>
          <w:highlight w:val="none"/>
        </w:rPr>
        <w:fldChar w:fldCharType="begin"/>
      </w:r>
      <w:r>
        <w:rPr>
          <w:highlight w:val="none"/>
        </w:rPr>
        <w:instrText xml:space="preserve"> PAGEREF _Toc114643961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"_Toc114643962" </w:instrText>
      </w:r>
      <w:r>
        <w:rPr>
          <w:highlight w:val="none"/>
        </w:rPr>
        <w:fldChar w:fldCharType="separate"/>
      </w:r>
      <w:r>
        <w:rPr>
          <w:rStyle w:val="15"/>
          <w:rFonts w:hint="eastAsia" w:cs="Times New Roman"/>
          <w:highlight w:val="none"/>
        </w:rPr>
        <w:t>6、 房地产估价机构营业执照和估价备案证书复印件</w:t>
      </w:r>
      <w:r>
        <w:rPr>
          <w:highlight w:val="none"/>
        </w:rPr>
        <w:tab/>
      </w:r>
      <w:r>
        <w:rPr>
          <w:highlight w:val="none"/>
        </w:rPr>
        <w:fldChar w:fldCharType="begin"/>
      </w:r>
      <w:r>
        <w:rPr>
          <w:highlight w:val="none"/>
        </w:rPr>
        <w:instrText xml:space="preserve"> PAGEREF _Toc114643962 \h </w:instrText>
      </w:r>
      <w:r>
        <w:rPr>
          <w:highlight w:val="none"/>
        </w:rPr>
        <w:fldChar w:fldCharType="separate"/>
      </w:r>
      <w:r>
        <w:rPr>
          <w:highlight w:val="none"/>
        </w:rPr>
        <w:t>- 21 -</w:t>
      </w:r>
      <w:r>
        <w:rPr>
          <w:highlight w:val="none"/>
        </w:rPr>
        <w:fldChar w:fldCharType="end"/>
      </w:r>
      <w:r>
        <w:rPr>
          <w:highlight w:val="none"/>
        </w:rPr>
        <w:fldChar w:fldCharType="end"/>
      </w:r>
    </w:p>
    <w:p>
      <w:pPr>
        <w:pStyle w:val="9"/>
        <w:tabs>
          <w:tab w:val="right" w:leader="dot" w:pos="9530"/>
        </w:tabs>
        <w:spacing w:line="560" w:lineRule="exact"/>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"_Toc114643963" </w:instrText>
      </w:r>
      <w:r>
        <w:rPr>
          <w:highlight w:val="none"/>
        </w:rPr>
        <w:fldChar w:fldCharType="separate"/>
      </w:r>
      <w:r>
        <w:rPr>
          <w:rStyle w:val="15"/>
          <w:rFonts w:hint="eastAsia" w:cs="Times New Roman"/>
          <w:highlight w:val="none"/>
        </w:rPr>
        <w:t xml:space="preserve">7、 </w:t>
      </w:r>
      <w:r>
        <w:rPr>
          <w:highlight w:val="none"/>
        </w:rPr>
        <w:t>参加此次估价的估价师注册证书复印件</w:t>
      </w:r>
      <w:r>
        <w:rPr>
          <w:highlight w:val="none"/>
        </w:rPr>
        <w:tab/>
      </w:r>
      <w:r>
        <w:rPr>
          <w:highlight w:val="none"/>
        </w:rPr>
        <w:fldChar w:fldCharType="begin"/>
      </w:r>
      <w:r>
        <w:rPr>
          <w:highlight w:val="none"/>
        </w:rPr>
        <w:instrText xml:space="preserve"> PAGEREF _Toc114643963 \h </w:instrText>
      </w:r>
      <w:r>
        <w:rPr>
          <w:highlight w:val="none"/>
        </w:rPr>
        <w:fldChar w:fldCharType="separate"/>
      </w:r>
      <w:r>
        <w:rPr>
          <w:highlight w:val="none"/>
        </w:rPr>
        <w:t>- 21 -</w:t>
      </w:r>
      <w:r>
        <w:rPr>
          <w:highlight w:val="none"/>
        </w:rPr>
        <w:fldChar w:fldCharType="end"/>
      </w:r>
      <w:r>
        <w:rPr>
          <w:highlight w:val="none"/>
        </w:rPr>
        <w:fldChar w:fldCharType="end"/>
      </w:r>
    </w:p>
    <w:p>
      <w:pPr>
        <w:pStyle w:val="10"/>
        <w:tabs>
          <w:tab w:val="right" w:leader="dot" w:pos="9344"/>
        </w:tabs>
        <w:spacing w:line="560" w:lineRule="exact"/>
        <w:ind w:left="0" w:leftChars="0"/>
        <w:rPr>
          <w:rFonts w:cs="楷体_GB2312"/>
          <w:szCs w:val="28"/>
          <w:highlight w:val="none"/>
        </w:rPr>
      </w:pPr>
      <w:r>
        <w:rPr>
          <w:rFonts w:hint="eastAsia" w:cs="楷体_GB2312"/>
          <w:szCs w:val="28"/>
          <w:highlight w:val="none"/>
        </w:rPr>
        <w:fldChar w:fldCharType="end"/>
      </w:r>
    </w:p>
    <w:p>
      <w:pPr>
        <w:pStyle w:val="2"/>
        <w:spacing w:line="360" w:lineRule="auto"/>
        <w:jc w:val="center"/>
        <w:rPr>
          <w:rFonts w:cs="楷体_GB2312"/>
          <w:highlight w:val="none"/>
        </w:rPr>
      </w:pPr>
      <w:bookmarkStart w:id="6" w:name="_Toc114643942"/>
      <w:r>
        <w:rPr>
          <w:rFonts w:hint="eastAsia" w:cs="楷体_GB2312"/>
          <w:highlight w:val="none"/>
        </w:rPr>
        <w:t>估价师声明</w:t>
      </w:r>
      <w:bookmarkEnd w:id="4"/>
      <w:bookmarkEnd w:id="5"/>
      <w:bookmarkEnd w:id="6"/>
    </w:p>
    <w:p>
      <w:pPr>
        <w:spacing w:line="360" w:lineRule="auto"/>
        <w:rPr>
          <w:rFonts w:cs="楷体_GB2312"/>
          <w:spacing w:val="-8"/>
          <w:szCs w:val="28"/>
          <w:highlight w:val="none"/>
        </w:rPr>
      </w:pPr>
      <w:bookmarkStart w:id="7" w:name="_Toc406851232"/>
      <w:bookmarkStart w:id="8" w:name="_Toc440730867"/>
      <w:bookmarkStart w:id="9" w:name="_Toc448142965"/>
      <w:bookmarkStart w:id="10" w:name="_Toc415818622"/>
      <w:bookmarkStart w:id="11" w:name="_Toc440723483"/>
      <w:bookmarkStart w:id="12" w:name="_Toc440715192"/>
      <w:bookmarkStart w:id="13" w:name="_Toc429398349"/>
      <w:bookmarkStart w:id="14" w:name="_Toc415751130"/>
      <w:bookmarkStart w:id="15" w:name="_Toc443635041"/>
      <w:bookmarkStart w:id="16" w:name="_Toc443584296"/>
      <w:bookmarkStart w:id="17" w:name="_Toc407107254"/>
      <w:bookmarkStart w:id="18" w:name="_Toc401306981"/>
      <w:bookmarkStart w:id="19" w:name="_Toc406851369"/>
      <w:bookmarkStart w:id="20" w:name="_Toc407209750"/>
      <w:bookmarkStart w:id="21" w:name="_Toc415751329"/>
      <w:r>
        <w:rPr>
          <w:rFonts w:hint="eastAsia" w:cs="楷体_GB2312"/>
          <w:spacing w:val="-8"/>
          <w:szCs w:val="28"/>
          <w:highlight w:val="none"/>
        </w:rPr>
        <w:t>我们郑重声明：</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60" w:lineRule="auto"/>
        <w:ind w:firstLine="528" w:firstLineChars="200"/>
        <w:rPr>
          <w:rFonts w:cs="楷体_GB2312"/>
          <w:spacing w:val="-8"/>
          <w:szCs w:val="28"/>
          <w:highlight w:val="none"/>
        </w:rPr>
      </w:pPr>
      <w:bookmarkStart w:id="22" w:name="_Toc12747"/>
      <w:bookmarkStart w:id="23" w:name="_Toc411514759"/>
      <w:bookmarkStart w:id="24" w:name="_Toc12268"/>
      <w:bookmarkStart w:id="25" w:name="_Toc406656316"/>
      <w:bookmarkStart w:id="26" w:name="_Toc7198"/>
      <w:bookmarkStart w:id="27" w:name="_Toc443635042"/>
      <w:bookmarkStart w:id="28" w:name="_Toc443584297"/>
      <w:bookmarkStart w:id="29" w:name="_Toc448142966"/>
      <w:bookmarkStart w:id="30" w:name="_Toc440730868"/>
      <w:bookmarkStart w:id="31" w:name="_Toc440723484"/>
      <w:bookmarkStart w:id="32" w:name="_Toc429398350"/>
      <w:bookmarkStart w:id="33" w:name="_Toc415751131"/>
      <w:bookmarkStart w:id="34" w:name="_Toc415751330"/>
      <w:bookmarkStart w:id="35" w:name="_Toc406851233"/>
      <w:bookmarkStart w:id="36" w:name="_Toc406851370"/>
      <w:bookmarkStart w:id="37" w:name="_Toc407107255"/>
      <w:bookmarkStart w:id="38" w:name="_Toc350712007"/>
      <w:bookmarkStart w:id="39" w:name="_Toc401306982"/>
      <w:bookmarkStart w:id="40" w:name="_Toc440715193"/>
      <w:bookmarkStart w:id="41" w:name="_Toc407209751"/>
      <w:bookmarkStart w:id="42" w:name="_Toc415818623"/>
      <w:r>
        <w:rPr>
          <w:rFonts w:hint="eastAsia" w:cs="楷体_GB2312"/>
          <w:spacing w:val="-8"/>
          <w:szCs w:val="28"/>
          <w:highlight w:val="none"/>
        </w:rPr>
        <w:t>1、注册房地产估价师在估价报告中对事实的说明是真实和准确的</w:t>
      </w:r>
      <w:bookmarkEnd w:id="22"/>
      <w:bookmarkEnd w:id="23"/>
      <w:bookmarkEnd w:id="24"/>
      <w:bookmarkEnd w:id="25"/>
      <w:bookmarkEnd w:id="26"/>
      <w:r>
        <w:rPr>
          <w:rFonts w:hint="eastAsia" w:cs="楷体_GB2312"/>
          <w:spacing w:val="-8"/>
          <w:szCs w:val="28"/>
          <w:highlight w:val="none"/>
        </w:rPr>
        <w:t>，没有虚假记载、误导性陈述和重大遗漏。</w:t>
      </w:r>
      <w:bookmarkEnd w:id="27"/>
      <w:bookmarkEnd w:id="28"/>
      <w:bookmarkEnd w:id="29"/>
      <w:bookmarkEnd w:id="30"/>
      <w:bookmarkEnd w:id="31"/>
    </w:p>
    <w:p>
      <w:pPr>
        <w:spacing w:line="360" w:lineRule="auto"/>
        <w:ind w:firstLine="528" w:firstLineChars="200"/>
        <w:rPr>
          <w:rFonts w:cs="楷体_GB2312"/>
          <w:spacing w:val="-8"/>
          <w:szCs w:val="28"/>
          <w:highlight w:val="none"/>
        </w:rPr>
      </w:pPr>
      <w:bookmarkStart w:id="43" w:name="_Toc448142967"/>
      <w:bookmarkStart w:id="44" w:name="_Toc440723485"/>
      <w:bookmarkStart w:id="45" w:name="_Toc10274"/>
      <w:bookmarkStart w:id="46" w:name="_Toc4355"/>
      <w:bookmarkStart w:id="47" w:name="_Toc443584298"/>
      <w:bookmarkStart w:id="48" w:name="_Toc406656317"/>
      <w:bookmarkStart w:id="49" w:name="_Toc16546"/>
      <w:bookmarkStart w:id="50" w:name="_Toc443635043"/>
      <w:bookmarkStart w:id="51" w:name="_Toc411514760"/>
      <w:bookmarkStart w:id="52" w:name="_Toc440730869"/>
      <w:r>
        <w:rPr>
          <w:rFonts w:hint="eastAsia" w:cs="楷体_GB2312"/>
          <w:spacing w:val="-8"/>
          <w:szCs w:val="28"/>
          <w:highlight w:val="none"/>
        </w:rPr>
        <w:t>2、估价报告中的分析、意见和结论是注册房地产估价师独立、客观、公正的专业分析、意见和结论，但受估价报告中已说明的估价假设和限制条件的限制。</w:t>
      </w:r>
      <w:bookmarkEnd w:id="43"/>
      <w:bookmarkEnd w:id="44"/>
      <w:bookmarkEnd w:id="45"/>
      <w:bookmarkEnd w:id="46"/>
      <w:bookmarkEnd w:id="47"/>
      <w:bookmarkEnd w:id="48"/>
      <w:bookmarkEnd w:id="49"/>
      <w:bookmarkEnd w:id="50"/>
      <w:bookmarkEnd w:id="51"/>
      <w:bookmarkEnd w:id="52"/>
    </w:p>
    <w:p>
      <w:pPr>
        <w:spacing w:line="360" w:lineRule="auto"/>
        <w:ind w:firstLine="528" w:firstLineChars="200"/>
        <w:rPr>
          <w:rFonts w:cs="楷体_GB2312"/>
          <w:spacing w:val="-8"/>
          <w:szCs w:val="28"/>
          <w:highlight w:val="none"/>
        </w:rPr>
      </w:pPr>
      <w:bookmarkStart w:id="53" w:name="_Toc440723486"/>
      <w:bookmarkStart w:id="54" w:name="_Toc443635044"/>
      <w:bookmarkStart w:id="55" w:name="_Toc440730870"/>
      <w:bookmarkStart w:id="56" w:name="_Toc443584299"/>
      <w:bookmarkStart w:id="57" w:name="_Toc448142968"/>
      <w:bookmarkStart w:id="58" w:name="_Toc411514761"/>
      <w:bookmarkStart w:id="59" w:name="_Toc22871"/>
      <w:bookmarkStart w:id="60" w:name="_Toc406656318"/>
      <w:bookmarkStart w:id="61" w:name="_Toc11741"/>
      <w:bookmarkStart w:id="62" w:name="_Toc25004"/>
      <w:r>
        <w:rPr>
          <w:rFonts w:hint="eastAsia" w:cs="楷体_GB2312"/>
          <w:spacing w:val="-8"/>
          <w:szCs w:val="28"/>
          <w:highlight w:val="none"/>
        </w:rPr>
        <w:t>3、注册房地产估价师与估价报告中的估价对象没有现实或潜在的利益，与估价委托人及估价利害关系人也没有利害关系，也对估价对象、估价委托人及估价利害关系人没有偏见。</w:t>
      </w:r>
      <w:bookmarkEnd w:id="53"/>
      <w:bookmarkEnd w:id="54"/>
      <w:bookmarkEnd w:id="55"/>
      <w:bookmarkEnd w:id="56"/>
      <w:bookmarkEnd w:id="57"/>
    </w:p>
    <w:bookmarkEnd w:id="32"/>
    <w:bookmarkEnd w:id="33"/>
    <w:bookmarkEnd w:id="34"/>
    <w:bookmarkEnd w:id="35"/>
    <w:bookmarkEnd w:id="36"/>
    <w:bookmarkEnd w:id="37"/>
    <w:bookmarkEnd w:id="38"/>
    <w:bookmarkEnd w:id="39"/>
    <w:bookmarkEnd w:id="40"/>
    <w:bookmarkEnd w:id="41"/>
    <w:bookmarkEnd w:id="42"/>
    <w:bookmarkEnd w:id="58"/>
    <w:bookmarkEnd w:id="59"/>
    <w:bookmarkEnd w:id="60"/>
    <w:bookmarkEnd w:id="61"/>
    <w:bookmarkEnd w:id="62"/>
    <w:p>
      <w:pPr>
        <w:spacing w:line="360" w:lineRule="auto"/>
        <w:ind w:firstLine="528" w:firstLineChars="200"/>
        <w:rPr>
          <w:rFonts w:cs="楷体_GB2312"/>
          <w:spacing w:val="-8"/>
          <w:szCs w:val="28"/>
          <w:highlight w:val="none"/>
        </w:rPr>
      </w:pPr>
      <w:bookmarkStart w:id="63" w:name="_Toc443584300"/>
      <w:bookmarkStart w:id="64" w:name="_Toc350712010"/>
      <w:bookmarkStart w:id="65" w:name="_Toc429398353"/>
      <w:bookmarkStart w:id="66" w:name="_Toc415751333"/>
      <w:bookmarkStart w:id="67" w:name="_Toc407209754"/>
      <w:bookmarkStart w:id="68" w:name="_Toc448142969"/>
      <w:bookmarkStart w:id="69" w:name="_Toc415751134"/>
      <w:bookmarkStart w:id="70" w:name="_Toc440730871"/>
      <w:bookmarkStart w:id="71" w:name="_Toc440723487"/>
      <w:bookmarkStart w:id="72" w:name="_Toc415818626"/>
      <w:bookmarkStart w:id="73" w:name="_Toc440715196"/>
      <w:bookmarkStart w:id="74" w:name="_Toc407107258"/>
      <w:bookmarkStart w:id="75" w:name="_Toc401306985"/>
      <w:bookmarkStart w:id="76" w:name="_Toc406851236"/>
      <w:bookmarkStart w:id="77" w:name="_Toc406851373"/>
      <w:bookmarkStart w:id="78" w:name="_Toc443635045"/>
      <w:r>
        <w:rPr>
          <w:rFonts w:hint="eastAsia" w:cs="楷体_GB2312"/>
          <w:spacing w:val="-8"/>
          <w:szCs w:val="28"/>
          <w:highlight w:val="none"/>
        </w:rPr>
        <w:t>4、注册房地产估价师依照中华人民共和国国家标准《房地产估价规范》（中华人民共和国国家标准</w:t>
      </w:r>
      <w:r>
        <w:rPr>
          <w:rFonts w:cs="Times New Roman"/>
          <w:spacing w:val="-8"/>
          <w:szCs w:val="28"/>
          <w:highlight w:val="none"/>
        </w:rPr>
        <w:t xml:space="preserve">GB/T </w:t>
      </w:r>
      <w:r>
        <w:rPr>
          <w:rFonts w:hint="eastAsia" w:cs="Times New Roman"/>
          <w:spacing w:val="-8"/>
          <w:szCs w:val="28"/>
          <w:highlight w:val="none"/>
        </w:rPr>
        <w:t>5</w:t>
      </w:r>
      <w:r>
        <w:rPr>
          <w:rFonts w:cs="Times New Roman"/>
          <w:spacing w:val="-8"/>
          <w:szCs w:val="28"/>
          <w:highlight w:val="none"/>
        </w:rPr>
        <w:t>0291-201</w:t>
      </w:r>
      <w:r>
        <w:rPr>
          <w:rFonts w:hint="eastAsia" w:cs="Times New Roman"/>
          <w:spacing w:val="-8"/>
          <w:szCs w:val="28"/>
          <w:highlight w:val="none"/>
        </w:rPr>
        <w:t>5</w:t>
      </w:r>
      <w:r>
        <w:rPr>
          <w:rFonts w:hint="eastAsia" w:cs="楷体_GB2312"/>
          <w:spacing w:val="-8"/>
          <w:szCs w:val="28"/>
          <w:highlight w:val="none"/>
        </w:rPr>
        <w:t>）、《房地产估价基本术语标准》（</w:t>
      </w:r>
      <w:r>
        <w:rPr>
          <w:rFonts w:cs="Times New Roman"/>
          <w:spacing w:val="-8"/>
          <w:szCs w:val="28"/>
          <w:highlight w:val="none"/>
        </w:rPr>
        <w:t>GB/T</w:t>
      </w:r>
      <w:r>
        <w:rPr>
          <w:rFonts w:hint="eastAsia" w:cs="Times New Roman"/>
          <w:spacing w:val="-8"/>
          <w:szCs w:val="28"/>
          <w:highlight w:val="none"/>
        </w:rPr>
        <w:t>5</w:t>
      </w:r>
      <w:r>
        <w:rPr>
          <w:rFonts w:cs="Times New Roman"/>
          <w:spacing w:val="-8"/>
          <w:szCs w:val="28"/>
          <w:highlight w:val="none"/>
        </w:rPr>
        <w:t>0899-2013</w:t>
      </w:r>
      <w:r>
        <w:rPr>
          <w:rFonts w:hint="eastAsia" w:cs="Times New Roman"/>
          <w:spacing w:val="-8"/>
          <w:szCs w:val="28"/>
          <w:highlight w:val="none"/>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hint="eastAsia" w:cs="楷体_GB2312"/>
          <w:spacing w:val="-8"/>
          <w:szCs w:val="28"/>
          <w:highlight w:val="none"/>
        </w:rPr>
        <w:t>以及相关法律、法规进行分析、形成意见和结论后撰写本估价报告。</w:t>
      </w:r>
    </w:p>
    <w:p>
      <w:pPr>
        <w:spacing w:line="360" w:lineRule="auto"/>
        <w:ind w:firstLine="1100" w:firstLineChars="393"/>
        <w:rPr>
          <w:rFonts w:cs="楷体_GB2312"/>
          <w:highlight w:val="none"/>
        </w:rPr>
      </w:pPr>
    </w:p>
    <w:p>
      <w:pPr>
        <w:spacing w:line="360" w:lineRule="auto"/>
        <w:ind w:firstLine="1100" w:firstLineChars="393"/>
        <w:rPr>
          <w:rFonts w:cs="楷体_GB2312"/>
          <w:highlight w:val="none"/>
        </w:rPr>
      </w:pPr>
    </w:p>
    <w:p>
      <w:pPr>
        <w:spacing w:line="360" w:lineRule="auto"/>
        <w:ind w:firstLine="1100" w:firstLineChars="393"/>
        <w:rPr>
          <w:rFonts w:cs="楷体_GB2312"/>
          <w:highlight w:val="none"/>
        </w:rPr>
      </w:pPr>
    </w:p>
    <w:p>
      <w:pPr>
        <w:spacing w:line="360" w:lineRule="auto"/>
        <w:ind w:firstLine="1100" w:firstLineChars="393"/>
        <w:rPr>
          <w:rFonts w:cs="楷体_GB2312"/>
          <w:highlight w:val="none"/>
        </w:rPr>
      </w:pPr>
    </w:p>
    <w:p>
      <w:pPr>
        <w:spacing w:line="360" w:lineRule="auto"/>
        <w:ind w:firstLine="1100" w:firstLineChars="393"/>
        <w:rPr>
          <w:rFonts w:cs="楷体_GB2312"/>
          <w:highlight w:val="none"/>
        </w:rPr>
      </w:pPr>
    </w:p>
    <w:p>
      <w:pPr>
        <w:spacing w:line="360" w:lineRule="auto"/>
        <w:ind w:firstLine="1100" w:firstLineChars="393"/>
        <w:rPr>
          <w:rFonts w:cs="楷体_GB2312"/>
          <w:highlight w:val="none"/>
        </w:rPr>
      </w:pPr>
    </w:p>
    <w:p>
      <w:pPr>
        <w:pStyle w:val="2"/>
        <w:spacing w:line="360" w:lineRule="auto"/>
        <w:jc w:val="center"/>
        <w:rPr>
          <w:rFonts w:cs="楷体_GB2312"/>
          <w:highlight w:val="none"/>
        </w:rPr>
      </w:pPr>
      <w:bookmarkStart w:id="79" w:name="_Toc365376342"/>
      <w:bookmarkStart w:id="80" w:name="_Toc14578"/>
      <w:bookmarkStart w:id="81" w:name="_Toc114643943"/>
      <w:r>
        <w:rPr>
          <w:rFonts w:hint="eastAsia" w:cs="楷体_GB2312"/>
          <w:highlight w:val="none"/>
        </w:rPr>
        <w:t>估价的假设和限制条件</w:t>
      </w:r>
      <w:bookmarkEnd w:id="79"/>
      <w:bookmarkEnd w:id="80"/>
      <w:bookmarkEnd w:id="81"/>
    </w:p>
    <w:p>
      <w:pPr>
        <w:numPr>
          <w:ilvl w:val="0"/>
          <w:numId w:val="1"/>
        </w:numPr>
        <w:shd w:val="clear" w:color="auto" w:fill="FFFFFF"/>
        <w:snapToGrid w:val="0"/>
        <w:spacing w:line="360" w:lineRule="auto"/>
        <w:ind w:left="-2" w:leftChars="-1" w:right="14" w:rightChars="5" w:firstLine="560" w:firstLineChars="200"/>
        <w:rPr>
          <w:rFonts w:cs="Times New Roman"/>
          <w:b/>
          <w:bCs/>
          <w:highlight w:val="none"/>
        </w:rPr>
      </w:pPr>
      <w:bookmarkStart w:id="82" w:name="_Toc30323"/>
      <w:bookmarkStart w:id="83" w:name="_Toc411514768"/>
      <w:bookmarkStart w:id="84" w:name="_Toc406656325"/>
      <w:bookmarkStart w:id="85" w:name="_Toc3839"/>
      <w:bookmarkStart w:id="86" w:name="_Toc25654"/>
      <w:bookmarkStart w:id="87" w:name="_Toc443635055"/>
      <w:bookmarkStart w:id="88" w:name="_Toc443584310"/>
      <w:bookmarkStart w:id="89" w:name="_Toc448142979"/>
      <w:bookmarkStart w:id="90" w:name="_Toc440723497"/>
      <w:bookmarkStart w:id="91" w:name="_Toc440730881"/>
      <w:bookmarkStart w:id="92" w:name="_Toc440723502"/>
      <w:bookmarkStart w:id="93" w:name="_Toc440730887"/>
      <w:bookmarkStart w:id="94" w:name="_Toc443635061"/>
      <w:bookmarkStart w:id="95" w:name="_Toc443584316"/>
      <w:bookmarkStart w:id="96" w:name="_Toc448142985"/>
      <w:r>
        <w:rPr>
          <w:rFonts w:hint="eastAsia" w:cs="Times New Roman"/>
          <w:b/>
          <w:bCs/>
          <w:highlight w:val="none"/>
        </w:rPr>
        <w:t>本次估价的假设前提</w:t>
      </w:r>
    </w:p>
    <w:p>
      <w:pPr>
        <w:shd w:val="clear" w:color="auto" w:fill="FFFFFF"/>
        <w:snapToGrid w:val="0"/>
        <w:spacing w:line="360" w:lineRule="auto"/>
        <w:ind w:left="557" w:leftChars="199" w:right="14" w:rightChars="5"/>
        <w:rPr>
          <w:rFonts w:cs="Times New Roman"/>
          <w:highlight w:val="none"/>
        </w:rPr>
      </w:pPr>
      <w:r>
        <w:rPr>
          <w:rFonts w:cs="Times New Roman"/>
          <w:highlight w:val="none"/>
        </w:rPr>
        <w:t>（</w:t>
      </w:r>
      <w:r>
        <w:rPr>
          <w:rFonts w:hint="eastAsia" w:cs="Times New Roman"/>
          <w:highlight w:val="none"/>
        </w:rPr>
        <w:t>1</w:t>
      </w:r>
      <w:r>
        <w:rPr>
          <w:rFonts w:cs="Times New Roman"/>
          <w:highlight w:val="none"/>
        </w:rPr>
        <w:t>）</w:t>
      </w:r>
      <w:r>
        <w:rPr>
          <w:rFonts w:hint="eastAsia" w:cs="Times New Roman"/>
          <w:highlight w:val="none"/>
        </w:rPr>
        <w:t>一般假设</w:t>
      </w:r>
    </w:p>
    <w:p>
      <w:pPr>
        <w:shd w:val="clear" w:color="auto" w:fill="FFFFFF"/>
        <w:snapToGrid w:val="0"/>
        <w:spacing w:line="360" w:lineRule="auto"/>
        <w:ind w:left="-2" w:leftChars="-1" w:right="14" w:rightChars="5" w:firstLine="560" w:firstLineChars="200"/>
        <w:rPr>
          <w:rFonts w:cs="Times New Roman"/>
          <w:highlight w:val="none"/>
        </w:rPr>
      </w:pPr>
      <w:r>
        <w:rPr>
          <w:rFonts w:cs="Times New Roman"/>
          <w:highlight w:val="none"/>
        </w:rPr>
        <w:t>1</w:t>
      </w:r>
      <w:bookmarkEnd w:id="82"/>
      <w:bookmarkEnd w:id="83"/>
      <w:bookmarkEnd w:id="84"/>
      <w:bookmarkEnd w:id="85"/>
      <w:bookmarkEnd w:id="86"/>
      <w:bookmarkStart w:id="97" w:name="_Toc411514769"/>
      <w:bookmarkStart w:id="98" w:name="_Toc7422"/>
      <w:bookmarkStart w:id="99" w:name="_Toc26778"/>
      <w:bookmarkStart w:id="100" w:name="_Toc406656326"/>
      <w:bookmarkStart w:id="101" w:name="_Toc32680"/>
      <w:r>
        <w:rPr>
          <w:rFonts w:hint="eastAsia" w:cs="Times New Roman"/>
          <w:highlight w:val="none"/>
        </w:rPr>
        <w:t>.</w:t>
      </w:r>
      <w:r>
        <w:rPr>
          <w:rFonts w:hint="eastAsia" w:ascii="楷体" w:hAnsi="楷体"/>
          <w:spacing w:val="-6"/>
          <w:kern w:val="24"/>
          <w:highlight w:val="none"/>
        </w:rPr>
        <w:t>估价委托人提供了估价对象的《不动产产权情况表》，《靖江市自然资源和规划局复函》等，</w:t>
      </w:r>
      <w:r>
        <w:rPr>
          <w:rFonts w:hint="eastAsia"/>
          <w:highlight w:val="none"/>
        </w:rPr>
        <w:t>委估</w:t>
      </w:r>
      <w:r>
        <w:rPr>
          <w:rFonts w:hint="eastAsia"/>
          <w:highlight w:val="none"/>
        </w:rPr>
        <w:t>建筑面积以</w:t>
      </w:r>
      <w:r>
        <w:rPr>
          <w:rFonts w:hint="eastAsia"/>
          <w:highlight w:val="none"/>
          <w:lang w:eastAsia="zh-CN"/>
        </w:rPr>
        <w:t>靖江市人民政府网站2019年公示《</w:t>
      </w:r>
      <w:r>
        <w:rPr>
          <w:rFonts w:hint="eastAsia"/>
          <w:highlight w:val="none"/>
        </w:rPr>
        <w:t>兰园雅居</w:t>
      </w:r>
      <w:r>
        <w:rPr>
          <w:rFonts w:hint="eastAsia" w:ascii="楷体" w:hAnsi="楷体"/>
          <w:spacing w:val="-6"/>
          <w:kern w:val="24"/>
          <w:highlight w:val="none"/>
        </w:rPr>
        <w:t>商品房明码标价表》预测的1</w:t>
      </w:r>
      <w:r>
        <w:rPr>
          <w:rFonts w:ascii="楷体" w:hAnsi="楷体"/>
          <w:spacing w:val="-6"/>
          <w:kern w:val="24"/>
          <w:highlight w:val="none"/>
        </w:rPr>
        <w:t>0</w:t>
      </w:r>
      <w:r>
        <w:rPr>
          <w:rFonts w:hint="eastAsia" w:ascii="楷体" w:hAnsi="楷体"/>
          <w:spacing w:val="-6"/>
          <w:kern w:val="24"/>
          <w:highlight w:val="none"/>
        </w:rPr>
        <w:t>幢0</w:t>
      </w:r>
      <w:r>
        <w:rPr>
          <w:rFonts w:ascii="楷体" w:hAnsi="楷体"/>
          <w:spacing w:val="-6"/>
          <w:kern w:val="24"/>
          <w:highlight w:val="none"/>
        </w:rPr>
        <w:t>4</w:t>
      </w:r>
      <w:r>
        <w:rPr>
          <w:rFonts w:hint="eastAsia" w:ascii="楷体" w:hAnsi="楷体"/>
          <w:spacing w:val="-6"/>
          <w:kern w:val="24"/>
          <w:highlight w:val="none"/>
        </w:rPr>
        <w:t>室建筑面积</w:t>
      </w:r>
      <w:r>
        <w:rPr>
          <w:rFonts w:hint="eastAsia"/>
          <w:highlight w:val="none"/>
        </w:rPr>
        <w:t>316.95㎡为依据</w:t>
      </w:r>
      <w:r>
        <w:rPr>
          <w:rFonts w:hint="eastAsia" w:ascii="楷体" w:hAnsi="楷体"/>
          <w:spacing w:val="-6"/>
          <w:kern w:val="24"/>
          <w:highlight w:val="none"/>
          <w:lang w:val="en-US" w:eastAsia="zh-CN"/>
        </w:rPr>
        <w:t>。</w:t>
      </w:r>
      <w:r>
        <w:rPr>
          <w:rFonts w:hint="eastAsia" w:ascii="楷体" w:hAnsi="楷体"/>
          <w:spacing w:val="-6"/>
          <w:kern w:val="24"/>
          <w:highlight w:val="none"/>
        </w:rPr>
        <w:t>注册房地产估价师对述资料上记载的权属、面积、用途等资料进行了审慎检查，但未予以核实，在无理由怀疑其合法性、真实性、准确性和完整性的情况下，假定估价委托人提供的资料合法、真实、准确、完整。</w:t>
      </w:r>
      <w:r>
        <w:rPr>
          <w:rFonts w:hint="eastAsia" w:cs="Times New Roman"/>
          <w:highlight w:val="none"/>
        </w:rPr>
        <w:t xml:space="preserve"> </w:t>
      </w:r>
      <w:bookmarkEnd w:id="87"/>
      <w:bookmarkEnd w:id="88"/>
      <w:bookmarkEnd w:id="89"/>
      <w:bookmarkEnd w:id="90"/>
      <w:bookmarkEnd w:id="91"/>
      <w:bookmarkEnd w:id="97"/>
      <w:bookmarkEnd w:id="98"/>
      <w:bookmarkEnd w:id="99"/>
      <w:bookmarkEnd w:id="100"/>
      <w:bookmarkEnd w:id="101"/>
      <w:bookmarkStart w:id="102" w:name="_Toc443584311"/>
      <w:bookmarkStart w:id="103" w:name="_Toc440723498"/>
      <w:bookmarkStart w:id="104" w:name="_Toc448142980"/>
      <w:bookmarkStart w:id="105" w:name="_Toc443635056"/>
      <w:bookmarkStart w:id="106" w:name="_Toc440730882"/>
    </w:p>
    <w:p>
      <w:pPr>
        <w:shd w:val="clear" w:color="auto" w:fill="FFFFFF"/>
        <w:snapToGrid w:val="0"/>
        <w:spacing w:line="360" w:lineRule="auto"/>
        <w:ind w:left="-2" w:leftChars="-1" w:right="14" w:rightChars="5" w:firstLine="560" w:firstLineChars="200"/>
        <w:rPr>
          <w:rFonts w:cs="Times New Roman"/>
          <w:highlight w:val="none"/>
        </w:rPr>
      </w:pPr>
      <w:r>
        <w:rPr>
          <w:rFonts w:cs="Times New Roman"/>
          <w:highlight w:val="none"/>
        </w:rPr>
        <w:t>2</w:t>
      </w:r>
      <w:bookmarkEnd w:id="102"/>
      <w:bookmarkEnd w:id="103"/>
      <w:bookmarkEnd w:id="104"/>
      <w:bookmarkEnd w:id="105"/>
      <w:bookmarkEnd w:id="106"/>
      <w:r>
        <w:rPr>
          <w:rFonts w:hint="eastAsia" w:cs="Times New Roman"/>
          <w:highlight w:val="none"/>
        </w:rPr>
        <w:t>. 注册房地产估价师已对房屋安全、环境污染等影响估价对象价格的重大因素给与了关注，在无理由怀疑估价对象存在隐患且无相应的专业机构进行鉴定、检测的情况下，假定估价对象能正常安全使用。</w:t>
      </w:r>
    </w:p>
    <w:p>
      <w:pPr>
        <w:shd w:val="clear" w:color="auto" w:fill="FFFFFF"/>
        <w:snapToGrid w:val="0"/>
        <w:spacing w:line="360" w:lineRule="auto"/>
        <w:ind w:left="-2" w:leftChars="-1" w:right="14" w:rightChars="5" w:firstLine="560" w:firstLineChars="200"/>
        <w:rPr>
          <w:rFonts w:cs="Times New Roman"/>
          <w:highlight w:val="none"/>
        </w:rPr>
      </w:pPr>
      <w:bookmarkStart w:id="107" w:name="_Toc443635057"/>
      <w:bookmarkStart w:id="108" w:name="_Toc443584312"/>
      <w:bookmarkStart w:id="109" w:name="_Toc440723499"/>
      <w:bookmarkStart w:id="110" w:name="_Toc440730883"/>
      <w:bookmarkStart w:id="111" w:name="_Toc448142981"/>
      <w:bookmarkStart w:id="112" w:name="_Toc411514770"/>
      <w:bookmarkStart w:id="113" w:name="_Toc406656327"/>
      <w:bookmarkStart w:id="114" w:name="_Toc9358"/>
      <w:bookmarkStart w:id="115" w:name="_Toc13978"/>
      <w:bookmarkStart w:id="116" w:name="_Toc16063"/>
      <w:r>
        <w:rPr>
          <w:rFonts w:cs="Times New Roman"/>
          <w:highlight w:val="none"/>
        </w:rPr>
        <w:t>3</w:t>
      </w:r>
      <w:bookmarkEnd w:id="107"/>
      <w:bookmarkEnd w:id="108"/>
      <w:bookmarkEnd w:id="109"/>
      <w:bookmarkEnd w:id="110"/>
      <w:bookmarkEnd w:id="111"/>
      <w:r>
        <w:rPr>
          <w:rFonts w:hint="eastAsia" w:cs="Times New Roman"/>
          <w:highlight w:val="none"/>
        </w:rPr>
        <w:t xml:space="preserve">. </w:t>
      </w:r>
      <w:r>
        <w:rPr>
          <w:rFonts w:cs="Times New Roman"/>
          <w:highlight w:val="none"/>
        </w:rPr>
        <w:t>本报告测算估价对象的房地产市场价值时，是以估价对象的现状用途为</w:t>
      </w:r>
      <w:r>
        <w:rPr>
          <w:rFonts w:hint="eastAsia" w:cs="Times New Roman"/>
          <w:highlight w:val="none"/>
        </w:rPr>
        <w:t>最高最佳利用</w:t>
      </w:r>
      <w:r>
        <w:rPr>
          <w:rFonts w:cs="Times New Roman"/>
          <w:highlight w:val="none"/>
        </w:rPr>
        <w:t>进行估价的，并以估价对象持续、有效、正常运营且可在公开市场上自由转让为估价的假设前提。</w:t>
      </w:r>
    </w:p>
    <w:p>
      <w:pPr>
        <w:shd w:val="clear" w:color="auto" w:fill="FFFFFF"/>
        <w:snapToGrid w:val="0"/>
        <w:spacing w:line="360" w:lineRule="auto"/>
        <w:ind w:left="-2" w:leftChars="-1" w:right="14" w:rightChars="5" w:firstLine="560" w:firstLineChars="200"/>
        <w:rPr>
          <w:rFonts w:cs="Times New Roman"/>
          <w:highlight w:val="none"/>
        </w:rPr>
      </w:pPr>
      <w:bookmarkStart w:id="117" w:name="_Toc448142982"/>
      <w:bookmarkStart w:id="118" w:name="_Toc440723500"/>
      <w:bookmarkStart w:id="119" w:name="_Toc443584313"/>
      <w:bookmarkStart w:id="120" w:name="_Toc443635058"/>
      <w:bookmarkStart w:id="121" w:name="_Toc440730884"/>
      <w:r>
        <w:rPr>
          <w:rFonts w:cs="Times New Roman"/>
          <w:highlight w:val="none"/>
        </w:rPr>
        <w:t>4</w:t>
      </w:r>
      <w:bookmarkEnd w:id="112"/>
      <w:bookmarkEnd w:id="113"/>
      <w:bookmarkEnd w:id="114"/>
      <w:bookmarkEnd w:id="115"/>
      <w:bookmarkEnd w:id="116"/>
      <w:bookmarkEnd w:id="117"/>
      <w:bookmarkEnd w:id="118"/>
      <w:bookmarkEnd w:id="119"/>
      <w:bookmarkEnd w:id="120"/>
      <w:bookmarkEnd w:id="121"/>
      <w:r>
        <w:rPr>
          <w:rFonts w:hint="eastAsia" w:cs="Times New Roman"/>
          <w:highlight w:val="none"/>
        </w:rPr>
        <w:t>. 估价对象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6）市场供应关系，市场结构保持稳定，未发生重大变化或实质性改变。</w:t>
      </w:r>
    </w:p>
    <w:p>
      <w:pPr>
        <w:shd w:val="clear" w:color="auto" w:fill="FFFFFF"/>
        <w:snapToGrid w:val="0"/>
        <w:spacing w:line="360" w:lineRule="auto"/>
        <w:ind w:left="-2" w:leftChars="-1" w:right="14" w:rightChars="5" w:firstLine="560" w:firstLineChars="200"/>
        <w:rPr>
          <w:rFonts w:cs="Times New Roman"/>
          <w:highlight w:val="none"/>
        </w:rPr>
      </w:pPr>
      <w:r>
        <w:rPr>
          <w:rFonts w:hint="eastAsia" w:cs="Times New Roman"/>
          <w:highlight w:val="none"/>
        </w:rPr>
        <w:t>5. 委托估价对象是否存在租赁权、用益物权及占有使用情况，估价师经过尽职调查后也未发现、掌握相关情况，本次评估假定估价对象不存在租赁权、用益物权及占有使用情况。</w:t>
      </w:r>
    </w:p>
    <w:p>
      <w:pPr>
        <w:pStyle w:val="4"/>
        <w:keepNext w:val="0"/>
        <w:keepLines w:val="0"/>
        <w:pageBreakBefore w:val="0"/>
        <w:widowControl w:val="0"/>
        <w:kinsoku/>
        <w:wordWrap/>
        <w:overflowPunct/>
        <w:topLinePunct w:val="0"/>
        <w:autoSpaceDE/>
        <w:autoSpaceDN/>
        <w:bidi w:val="0"/>
        <w:adjustRightInd/>
        <w:spacing w:line="560" w:lineRule="exact"/>
        <w:textAlignment w:val="auto"/>
        <w:rPr>
          <w:highlight w:val="none"/>
        </w:rPr>
      </w:pPr>
      <w:r>
        <w:rPr>
          <w:rFonts w:hint="eastAsia" w:cs="Times New Roman"/>
          <w:highlight w:val="none"/>
        </w:rPr>
        <w:t>6.</w:t>
      </w:r>
      <w:r>
        <w:rPr>
          <w:rFonts w:hint="eastAsia"/>
          <w:highlight w:val="none"/>
        </w:rPr>
        <w:t>根据靖江市自然资源和规划局的复函，由于估价对象未办理首次登记，故暂不能办理不动产转移登记。土地出让金已交清，开发建设单位尚未申请办理首次登记。</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highlight w:val="none"/>
        </w:rPr>
      </w:pPr>
      <w:r>
        <w:rPr>
          <w:rFonts w:hint="eastAsia" w:cs="Times New Roman"/>
          <w:highlight w:val="none"/>
        </w:rPr>
        <w:t>7. 由于委托方未明确估计对象交易税费的负担方式，可按照下列情形进行交易税费的负担或处理：</w:t>
      </w:r>
      <w:r>
        <w:rPr>
          <w:rFonts w:hint="eastAsia" w:cs="Times New Roman"/>
          <w:highlight w:val="none"/>
        </w:rPr>
        <w:fldChar w:fldCharType="begin"/>
      </w:r>
      <w:r>
        <w:rPr>
          <w:rFonts w:hint="eastAsia" w:cs="Times New Roman"/>
          <w:highlight w:val="none"/>
        </w:rPr>
        <w:instrText xml:space="preserve"> = 1 \* GB3 \* MERGEFORMAT </w:instrText>
      </w:r>
      <w:r>
        <w:rPr>
          <w:rFonts w:hint="eastAsia" w:cs="Times New Roman"/>
          <w:highlight w:val="none"/>
        </w:rPr>
        <w:fldChar w:fldCharType="separate"/>
      </w:r>
      <w:r>
        <w:rPr>
          <w:highlight w:val="none"/>
        </w:rPr>
        <w:t>①</w:t>
      </w:r>
      <w:r>
        <w:rPr>
          <w:rFonts w:hint="eastAsia" w:cs="Times New Roman"/>
          <w:highlight w:val="none"/>
        </w:rPr>
        <w:fldChar w:fldCharType="end"/>
      </w:r>
      <w:r>
        <w:rPr>
          <w:rFonts w:hint="eastAsia" w:cs="Times New Roman"/>
          <w:highlight w:val="none"/>
        </w:rPr>
        <w:t>按照法律法规规定，转让人和买受人各自负担；</w:t>
      </w:r>
      <w:r>
        <w:rPr>
          <w:rFonts w:hint="eastAsia" w:cs="Times New Roman"/>
          <w:highlight w:val="none"/>
        </w:rPr>
        <w:fldChar w:fldCharType="begin"/>
      </w:r>
      <w:r>
        <w:rPr>
          <w:rFonts w:hint="eastAsia" w:cs="Times New Roman"/>
          <w:highlight w:val="none"/>
        </w:rPr>
        <w:instrText xml:space="preserve"> = 2 \* GB3 \* MERGEFORMAT </w:instrText>
      </w:r>
      <w:r>
        <w:rPr>
          <w:rFonts w:hint="eastAsia" w:cs="Times New Roman"/>
          <w:highlight w:val="none"/>
        </w:rPr>
        <w:fldChar w:fldCharType="separate"/>
      </w:r>
      <w:r>
        <w:rPr>
          <w:highlight w:val="none"/>
        </w:rPr>
        <w:t>②</w:t>
      </w:r>
      <w:r>
        <w:rPr>
          <w:rFonts w:hint="eastAsia" w:cs="Times New Roman"/>
          <w:highlight w:val="none"/>
        </w:rPr>
        <w:fldChar w:fldCharType="end"/>
      </w:r>
      <w:r>
        <w:rPr>
          <w:rFonts w:hint="eastAsia" w:cs="Times New Roman"/>
          <w:highlight w:val="none"/>
        </w:rPr>
        <w:t>全部从财产处置价款中扣除；且本次评估未考虑评估费、拍卖费、诉讼费、律师费等财产处置费用及其对评估结果的影响。</w:t>
      </w:r>
    </w:p>
    <w:bookmarkEnd w:id="92"/>
    <w:bookmarkEnd w:id="93"/>
    <w:bookmarkEnd w:id="94"/>
    <w:bookmarkEnd w:id="95"/>
    <w:bookmarkEnd w:id="96"/>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ascii="楷体" w:hAnsi="楷体" w:cs="Times New Roman"/>
          <w:highlight w:val="none"/>
        </w:rPr>
      </w:pPr>
      <w:r>
        <w:rPr>
          <w:rFonts w:hint="eastAsia" w:ascii="楷体" w:hAnsi="楷体" w:cs="Times New Roman"/>
          <w:highlight w:val="none"/>
        </w:rPr>
        <w:t>（</w:t>
      </w:r>
      <w:r>
        <w:rPr>
          <w:rFonts w:cs="Times New Roman"/>
          <w:highlight w:val="none"/>
        </w:rPr>
        <w:t>2</w:t>
      </w:r>
      <w:r>
        <w:rPr>
          <w:rFonts w:hint="eastAsia" w:ascii="楷体" w:hAnsi="楷体" w:cs="Times New Roman"/>
          <w:highlight w:val="none"/>
        </w:rPr>
        <w:t>）未定事项假设</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ascii="楷体" w:hAnsi="楷体" w:cs="Times New Roman"/>
          <w:highlight w:val="none"/>
        </w:rPr>
      </w:pPr>
      <w:r>
        <w:rPr>
          <w:rFonts w:hint="eastAsia" w:ascii="楷体" w:hAnsi="楷体" w:cs="Times New Roman"/>
          <w:highlight w:val="none"/>
        </w:rPr>
        <w:t>无未定事项假设。</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right="14" w:rightChars="5" w:firstLine="560" w:firstLineChars="200"/>
        <w:textAlignment w:val="auto"/>
        <w:rPr>
          <w:rFonts w:cs="Times New Roman"/>
          <w:highlight w:val="none"/>
        </w:rPr>
      </w:pPr>
      <w:r>
        <w:rPr>
          <w:rFonts w:hint="eastAsia" w:cs="Times New Roman"/>
          <w:highlight w:val="none"/>
        </w:rPr>
        <w:t>（3）背离事实假设</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highlight w:val="none"/>
        </w:rPr>
      </w:pPr>
      <w:r>
        <w:rPr>
          <w:rFonts w:hint="eastAsia" w:cs="Times New Roman"/>
          <w:highlight w:val="none"/>
        </w:rPr>
        <w:t>本评估结果不考虑估价对象被查封以及担保物权和其他优先受偿权的影响。</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highlight w:val="none"/>
        </w:rPr>
      </w:pPr>
      <w:r>
        <w:rPr>
          <w:rFonts w:cs="Times New Roman"/>
          <w:highlight w:val="none"/>
        </w:rPr>
        <w:t>（</w:t>
      </w:r>
      <w:r>
        <w:rPr>
          <w:rFonts w:hint="eastAsia" w:cs="Times New Roman"/>
          <w:highlight w:val="none"/>
        </w:rPr>
        <w:t>4</w:t>
      </w:r>
      <w:r>
        <w:rPr>
          <w:rFonts w:cs="Times New Roman"/>
          <w:highlight w:val="none"/>
        </w:rPr>
        <w:t>）</w:t>
      </w:r>
      <w:r>
        <w:rPr>
          <w:rFonts w:hint="eastAsia" w:cs="Times New Roman"/>
          <w:highlight w:val="none"/>
        </w:rPr>
        <w:t>不相一致假设</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highlight w:val="none"/>
        </w:rPr>
      </w:pPr>
      <w:r>
        <w:rPr>
          <w:rFonts w:hint="eastAsia" w:cs="Times New Roman"/>
          <w:highlight w:val="none"/>
        </w:rPr>
        <w:t>本报告无不相一致假设。</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highlight w:val="none"/>
        </w:rPr>
      </w:pPr>
      <w:r>
        <w:rPr>
          <w:rFonts w:cs="Times New Roman"/>
          <w:highlight w:val="none"/>
        </w:rPr>
        <w:t>（</w:t>
      </w:r>
      <w:r>
        <w:rPr>
          <w:rFonts w:hint="eastAsia" w:cs="Times New Roman"/>
          <w:highlight w:val="none"/>
        </w:rPr>
        <w:t>5</w:t>
      </w:r>
      <w:r>
        <w:rPr>
          <w:rFonts w:cs="Times New Roman"/>
          <w:highlight w:val="none"/>
        </w:rPr>
        <w:t>）</w:t>
      </w:r>
      <w:r>
        <w:rPr>
          <w:rFonts w:hint="eastAsia" w:cs="Times New Roman"/>
          <w:highlight w:val="none"/>
        </w:rPr>
        <w:t>依据不足假设</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ascii="楷体" w:hAnsi="楷体"/>
          <w:spacing w:val="-6"/>
          <w:kern w:val="24"/>
          <w:highlight w:val="none"/>
        </w:rPr>
      </w:pPr>
      <w:r>
        <w:rPr>
          <w:rFonts w:hint="eastAsia"/>
          <w:highlight w:val="none"/>
        </w:rPr>
        <w:t>1.</w:t>
      </w:r>
      <w:r>
        <w:rPr>
          <w:rFonts w:hint="eastAsia" w:cs="Times New Roman"/>
          <w:highlight w:val="none"/>
        </w:rPr>
        <w:t>估价对象</w:t>
      </w:r>
      <w:r>
        <w:rPr>
          <w:rFonts w:hint="eastAsia"/>
          <w:highlight w:val="none"/>
        </w:rPr>
        <w:t>尚未办理</w:t>
      </w:r>
      <w:r>
        <w:rPr>
          <w:rFonts w:hint="eastAsia" w:cs="Times New Roman"/>
          <w:highlight w:val="none"/>
        </w:rPr>
        <w:t>不动产初始登记</w:t>
      </w:r>
      <w:r>
        <w:rPr>
          <w:rFonts w:hint="eastAsia"/>
          <w:highlight w:val="none"/>
        </w:rPr>
        <w:t>，且委托方未提供《商品房测绘成果报告》，本次委估建筑面积以</w:t>
      </w:r>
      <w:r>
        <w:rPr>
          <w:rFonts w:hint="eastAsia"/>
          <w:highlight w:val="none"/>
          <w:lang w:eastAsia="zh-CN"/>
        </w:rPr>
        <w:t>靖江市人民政府网站2019年公示《</w:t>
      </w:r>
      <w:r>
        <w:rPr>
          <w:rFonts w:hint="eastAsia"/>
          <w:highlight w:val="none"/>
        </w:rPr>
        <w:t>兰园雅居</w:t>
      </w:r>
      <w:r>
        <w:rPr>
          <w:rFonts w:hint="eastAsia" w:ascii="楷体" w:hAnsi="楷体"/>
          <w:spacing w:val="-6"/>
          <w:kern w:val="24"/>
          <w:highlight w:val="none"/>
        </w:rPr>
        <w:t>商品房明码标价表》预测的1</w:t>
      </w:r>
      <w:r>
        <w:rPr>
          <w:rFonts w:ascii="楷体" w:hAnsi="楷体"/>
          <w:spacing w:val="-6"/>
          <w:kern w:val="24"/>
          <w:highlight w:val="none"/>
        </w:rPr>
        <w:t>0</w:t>
      </w:r>
      <w:r>
        <w:rPr>
          <w:rFonts w:hint="eastAsia" w:ascii="楷体" w:hAnsi="楷体"/>
          <w:spacing w:val="-6"/>
          <w:kern w:val="24"/>
          <w:highlight w:val="none"/>
        </w:rPr>
        <w:t>幢0</w:t>
      </w:r>
      <w:r>
        <w:rPr>
          <w:rFonts w:ascii="楷体" w:hAnsi="楷体"/>
          <w:spacing w:val="-6"/>
          <w:kern w:val="24"/>
          <w:highlight w:val="none"/>
        </w:rPr>
        <w:t>4</w:t>
      </w:r>
      <w:r>
        <w:rPr>
          <w:rFonts w:hint="eastAsia" w:ascii="楷体" w:hAnsi="楷体"/>
          <w:spacing w:val="-6"/>
          <w:kern w:val="24"/>
          <w:highlight w:val="none"/>
        </w:rPr>
        <w:t>室建筑面积</w:t>
      </w:r>
      <w:r>
        <w:rPr>
          <w:rFonts w:hint="eastAsia"/>
          <w:highlight w:val="none"/>
        </w:rPr>
        <w:t>316.95㎡为依据</w:t>
      </w:r>
      <w:r>
        <w:rPr>
          <w:rFonts w:hint="eastAsia" w:ascii="楷体" w:hAnsi="楷体"/>
          <w:spacing w:val="-6"/>
          <w:kern w:val="24"/>
          <w:highlight w:val="none"/>
        </w:rPr>
        <w:t>，提醒报告使用者注意。若与最终不动产登记发证面积发生变化，则评估价值需做相应调整。</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36" w:firstLineChars="200"/>
        <w:textAlignment w:val="auto"/>
        <w:rPr>
          <w:highlight w:val="none"/>
        </w:rPr>
      </w:pPr>
      <w:r>
        <w:rPr>
          <w:rFonts w:hint="eastAsia" w:ascii="楷体" w:hAnsi="楷体"/>
          <w:spacing w:val="-6"/>
          <w:kern w:val="24"/>
          <w:highlight w:val="none"/>
        </w:rPr>
        <w:t>2.委托方未提供估价对象的《商品房销售许可证》、《竣工备案表》等材料，本次评估价值是基于估价对象已竣工交付且可正常上市销售为假设前提。</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b/>
          <w:bCs/>
          <w:highlight w:val="none"/>
        </w:rPr>
      </w:pPr>
      <w:r>
        <w:rPr>
          <w:rFonts w:hint="eastAsia" w:cs="Times New Roman"/>
          <w:b/>
          <w:bCs/>
          <w:highlight w:val="none"/>
        </w:rPr>
        <w:t>二、</w:t>
      </w:r>
      <w:r>
        <w:rPr>
          <w:rFonts w:cs="Times New Roman"/>
          <w:b/>
          <w:bCs/>
          <w:highlight w:val="none"/>
        </w:rPr>
        <w:t>本报告使用的限制条件</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left="-2" w:leftChars="-1" w:right="14" w:rightChars="5" w:firstLine="560" w:firstLineChars="200"/>
        <w:textAlignment w:val="auto"/>
        <w:rPr>
          <w:rFonts w:cs="Times New Roman"/>
          <w:highlight w:val="none"/>
        </w:rPr>
      </w:pPr>
      <w:r>
        <w:rPr>
          <w:rFonts w:cs="Times New Roman"/>
          <w:highlight w:val="none"/>
        </w:rPr>
        <w:t>1. 本</w:t>
      </w:r>
      <w:r>
        <w:rPr>
          <w:rFonts w:hint="eastAsia" w:cs="Times New Roman"/>
          <w:highlight w:val="none"/>
        </w:rPr>
        <w:t>估价</w:t>
      </w:r>
      <w:r>
        <w:rPr>
          <w:rFonts w:cs="Times New Roman"/>
          <w:highlight w:val="none"/>
        </w:rPr>
        <w:t>报告</w:t>
      </w:r>
      <w:r>
        <w:rPr>
          <w:rFonts w:hint="eastAsia" w:cs="Times New Roman"/>
          <w:highlight w:val="none"/>
        </w:rPr>
        <w:t>的使用者</w:t>
      </w:r>
      <w:r>
        <w:rPr>
          <w:rFonts w:cs="Times New Roman"/>
          <w:highlight w:val="none"/>
        </w:rPr>
        <w:t>仅</w:t>
      </w:r>
      <w:r>
        <w:rPr>
          <w:rFonts w:hint="eastAsia" w:cs="Times New Roman"/>
          <w:highlight w:val="none"/>
        </w:rPr>
        <w:t>为估价</w:t>
      </w:r>
      <w:r>
        <w:rPr>
          <w:rFonts w:cs="Times New Roman"/>
          <w:highlight w:val="none"/>
        </w:rPr>
        <w:t>委托人</w:t>
      </w:r>
      <w:r>
        <w:rPr>
          <w:rFonts w:hint="eastAsia" w:cs="Times New Roman"/>
          <w:highlight w:val="none"/>
        </w:rPr>
        <w:t>。未经估价机构和估价委托人确认，任何机构或个人使用本估价报告均为无效。估价机构不承担报告使用者以外的任何单位和个人对本报告全文或部分内容提出的任何责任。同时应当按照法律规定和评估报告载明的用途、使用人、使用期限等使用范围使用评估报告。否则，房地产估价机构和注册房地产估价师依法不承担责任;</w:t>
      </w:r>
    </w:p>
    <w:p>
      <w:pPr>
        <w:shd w:val="clear" w:color="auto" w:fill="FFFFFF"/>
        <w:snapToGrid w:val="0"/>
        <w:spacing w:line="360" w:lineRule="auto"/>
        <w:ind w:left="-2" w:leftChars="-1" w:right="14" w:rightChars="5" w:firstLine="560" w:firstLineChars="200"/>
        <w:rPr>
          <w:rFonts w:cs="Times New Roman"/>
          <w:highlight w:val="none"/>
        </w:rPr>
      </w:pPr>
      <w:r>
        <w:rPr>
          <w:rFonts w:cs="Times New Roman"/>
          <w:highlight w:val="none"/>
        </w:rPr>
        <w:t xml:space="preserve">2. </w:t>
      </w:r>
      <w:r>
        <w:rPr>
          <w:rFonts w:hint="eastAsia" w:cs="Times New Roman"/>
          <w:highlight w:val="none"/>
        </w:rPr>
        <w:t>未经本评估机构书面同意，不得将本报告的全部或部分内容及任何参考资料提供其他单位或个人，不允许在任何公开发表的文件、通告或声明中引用，亦不得以其他任何方式公开发表。</w:t>
      </w:r>
    </w:p>
    <w:p>
      <w:pPr>
        <w:shd w:val="clear" w:color="auto" w:fill="FFFFFF"/>
        <w:snapToGrid w:val="0"/>
        <w:spacing w:line="360" w:lineRule="auto"/>
        <w:ind w:left="-2" w:leftChars="-1" w:right="14" w:rightChars="5" w:firstLine="560" w:firstLineChars="200"/>
        <w:rPr>
          <w:rFonts w:cs="Times New Roman"/>
          <w:highlight w:val="none"/>
        </w:rPr>
      </w:pPr>
      <w:r>
        <w:rPr>
          <w:rFonts w:cs="Times New Roman"/>
          <w:highlight w:val="none"/>
        </w:rPr>
        <w:t>3. 本报告须经本公司加盖公章</w:t>
      </w:r>
      <w:r>
        <w:rPr>
          <w:rFonts w:hint="eastAsia" w:cs="Times New Roman"/>
          <w:highlight w:val="none"/>
        </w:rPr>
        <w:t>、</w:t>
      </w:r>
      <w:r>
        <w:rPr>
          <w:rFonts w:cs="Times New Roman"/>
          <w:highlight w:val="none"/>
        </w:rPr>
        <w:t>注册房地产估价师签字</w:t>
      </w:r>
      <w:r>
        <w:rPr>
          <w:rFonts w:hint="eastAsia" w:cs="Times New Roman"/>
          <w:highlight w:val="none"/>
        </w:rPr>
        <w:t>后方可使用，估价机构仅对本报告的原件承担责任，对任何形式的复制件概不认可且不承担责任。</w:t>
      </w:r>
    </w:p>
    <w:p>
      <w:pPr>
        <w:numPr>
          <w:ilvl w:val="0"/>
          <w:numId w:val="2"/>
        </w:numPr>
        <w:shd w:val="clear" w:color="auto" w:fill="FFFFFF"/>
        <w:snapToGrid w:val="0"/>
        <w:spacing w:line="360" w:lineRule="auto"/>
        <w:ind w:left="-2" w:leftChars="-1" w:right="14" w:rightChars="5" w:firstLine="560" w:firstLineChars="200"/>
        <w:rPr>
          <w:rFonts w:cs="Times New Roman"/>
          <w:highlight w:val="none"/>
        </w:rPr>
      </w:pPr>
      <w:r>
        <w:rPr>
          <w:rFonts w:hint="eastAsia" w:cs="Times New Roman"/>
          <w:highlight w:val="none"/>
        </w:rPr>
        <w:t>本估价报告自出具之日起一年内有效，使用者应在本报告有效期内使用，评估报告或者评估结果未使用之前，如果评估对象状况或者房地产市场状况发生明显变化的，评估结果应当进行相应调整后才可使用。超过有效期使用，本机构不承担任何责任。</w:t>
      </w:r>
    </w:p>
    <w:p>
      <w:pPr>
        <w:numPr>
          <w:ilvl w:val="0"/>
          <w:numId w:val="2"/>
        </w:numPr>
        <w:shd w:val="clear" w:color="auto" w:fill="FFFFFF"/>
        <w:snapToGrid w:val="0"/>
        <w:spacing w:line="360" w:lineRule="auto"/>
        <w:ind w:left="-2" w:leftChars="-1" w:right="14" w:rightChars="5" w:firstLine="560" w:firstLineChars="200"/>
        <w:rPr>
          <w:rFonts w:cs="Times New Roman"/>
          <w:highlight w:val="none"/>
        </w:rPr>
      </w:pPr>
      <w:r>
        <w:rPr>
          <w:rFonts w:hint="eastAsia" w:cs="Times New Roman"/>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2"/>
        </w:numPr>
        <w:shd w:val="clear" w:color="auto" w:fill="FFFFFF"/>
        <w:snapToGrid w:val="0"/>
        <w:spacing w:line="360" w:lineRule="auto"/>
        <w:ind w:left="-2" w:leftChars="-1" w:right="14" w:rightChars="5" w:firstLine="560" w:firstLineChars="200"/>
        <w:rPr>
          <w:rFonts w:cs="Times New Roman"/>
          <w:highlight w:val="none"/>
        </w:rPr>
      </w:pPr>
      <w:r>
        <w:rPr>
          <w:rFonts w:hint="eastAsia" w:cs="Times New Roman"/>
          <w:highlight w:val="none"/>
        </w:rPr>
        <w:t>评估结果仅为人民法院确定财产处置参考价服务，不是评估对象处置可实现的成交价格，也不应当被视为对评估对象处置成交价格的保证。</w:t>
      </w:r>
    </w:p>
    <w:p>
      <w:pPr>
        <w:numPr>
          <w:ilvl w:val="0"/>
          <w:numId w:val="2"/>
        </w:numPr>
        <w:shd w:val="clear" w:color="auto" w:fill="FFFFFF"/>
        <w:snapToGrid w:val="0"/>
        <w:spacing w:line="360" w:lineRule="auto"/>
        <w:ind w:left="-2" w:leftChars="-1" w:right="14" w:rightChars="5" w:firstLine="560" w:firstLineChars="200"/>
        <w:rPr>
          <w:rFonts w:cs="Times New Roman"/>
          <w:highlight w:val="none"/>
        </w:rPr>
      </w:pPr>
      <w:r>
        <w:rPr>
          <w:rFonts w:hint="eastAsia" w:cs="Times New Roman"/>
          <w:highlight w:val="none"/>
        </w:rPr>
        <w:t>本估价报告由江苏首佳土地房地产评估测绘事务所有限公司负责解释。</w:t>
      </w:r>
    </w:p>
    <w:p>
      <w:pPr>
        <w:shd w:val="clear" w:color="auto" w:fill="FFFFFF"/>
        <w:snapToGrid w:val="0"/>
        <w:spacing w:line="360" w:lineRule="auto"/>
        <w:ind w:left="-2" w:leftChars="-1" w:right="14" w:rightChars="5" w:firstLine="560" w:firstLineChars="200"/>
        <w:rPr>
          <w:rFonts w:cs="Times New Roman"/>
          <w:highlight w:val="none"/>
        </w:rPr>
      </w:pPr>
    </w:p>
    <w:p>
      <w:pPr>
        <w:shd w:val="clear" w:color="auto" w:fill="FFFFFF"/>
        <w:snapToGrid w:val="0"/>
        <w:spacing w:line="360" w:lineRule="auto"/>
        <w:ind w:left="-2" w:leftChars="-1" w:right="14" w:rightChars="5" w:firstLine="560" w:firstLineChars="200"/>
        <w:rPr>
          <w:rFonts w:cs="Times New Roman"/>
          <w:highlight w:val="none"/>
        </w:rPr>
      </w:pPr>
    </w:p>
    <w:p>
      <w:pPr>
        <w:shd w:val="clear" w:color="auto" w:fill="FFFFFF"/>
        <w:snapToGrid w:val="0"/>
        <w:spacing w:line="360" w:lineRule="auto"/>
        <w:ind w:left="-2" w:leftChars="-1" w:right="14" w:rightChars="5" w:firstLine="560" w:firstLineChars="200"/>
        <w:rPr>
          <w:rFonts w:cs="Times New Roman"/>
          <w:highlight w:val="none"/>
        </w:rPr>
      </w:pPr>
    </w:p>
    <w:p>
      <w:pPr>
        <w:shd w:val="clear" w:color="auto" w:fill="FFFFFF"/>
        <w:snapToGrid w:val="0"/>
        <w:spacing w:line="360" w:lineRule="auto"/>
        <w:ind w:left="-2" w:leftChars="-1" w:right="14" w:rightChars="5" w:firstLine="560" w:firstLineChars="200"/>
        <w:rPr>
          <w:rFonts w:cs="Times New Roman"/>
          <w:highlight w:val="none"/>
        </w:rPr>
      </w:pPr>
    </w:p>
    <w:p>
      <w:pPr>
        <w:shd w:val="clear" w:color="auto" w:fill="FFFFFF"/>
        <w:snapToGrid w:val="0"/>
        <w:spacing w:line="360" w:lineRule="auto"/>
        <w:ind w:left="-2" w:leftChars="-1" w:right="14" w:rightChars="5" w:firstLine="560" w:firstLineChars="200"/>
        <w:rPr>
          <w:rFonts w:cs="Times New Roman"/>
          <w:highlight w:val="none"/>
        </w:rPr>
      </w:pPr>
    </w:p>
    <w:p>
      <w:pPr>
        <w:shd w:val="clear" w:color="auto" w:fill="FFFFFF"/>
        <w:snapToGrid w:val="0"/>
        <w:spacing w:line="360" w:lineRule="auto"/>
        <w:ind w:left="-2" w:leftChars="-1" w:right="14" w:rightChars="5" w:firstLine="560" w:firstLineChars="200"/>
        <w:rPr>
          <w:rFonts w:cs="Times New Roman"/>
          <w:highlight w:val="none"/>
        </w:rPr>
      </w:pPr>
    </w:p>
    <w:p>
      <w:pPr>
        <w:pStyle w:val="2"/>
        <w:spacing w:line="360" w:lineRule="auto"/>
        <w:jc w:val="center"/>
        <w:rPr>
          <w:highlight w:val="none"/>
        </w:rPr>
      </w:pPr>
      <w:bookmarkStart w:id="122" w:name="_Toc8182"/>
      <w:bookmarkStart w:id="123" w:name="_Toc365376343"/>
      <w:bookmarkStart w:id="124" w:name="_Toc114643944"/>
      <w:r>
        <w:rPr>
          <w:rFonts w:hint="eastAsia"/>
          <w:highlight w:val="none"/>
        </w:rPr>
        <w:t>房地产估价结果报告</w:t>
      </w:r>
      <w:bookmarkEnd w:id="122"/>
      <w:bookmarkEnd w:id="123"/>
      <w:bookmarkEnd w:id="124"/>
    </w:p>
    <w:p>
      <w:pPr>
        <w:spacing w:line="360" w:lineRule="auto"/>
        <w:jc w:val="center"/>
        <w:rPr>
          <w:sz w:val="24"/>
          <w:highlight w:val="none"/>
        </w:rPr>
      </w:pPr>
      <w:bookmarkStart w:id="125" w:name="_Toc326829404"/>
      <w:bookmarkStart w:id="126" w:name="_Toc365376344"/>
      <w:r>
        <w:rPr>
          <w:rFonts w:hint="eastAsia"/>
          <w:sz w:val="24"/>
          <w:highlight w:val="none"/>
        </w:rPr>
        <w:t>苏佳房估TZ2022082910F号</w:t>
      </w:r>
    </w:p>
    <w:p>
      <w:pPr>
        <w:pStyle w:val="3"/>
        <w:spacing w:line="360" w:lineRule="auto"/>
        <w:rPr>
          <w:rFonts w:ascii="Times New Roman" w:hAnsi="Times New Roman" w:eastAsia="楷体"/>
          <w:highlight w:val="none"/>
        </w:rPr>
      </w:pPr>
      <w:bookmarkStart w:id="127" w:name="_Toc114643945"/>
      <w:bookmarkStart w:id="128" w:name="_Toc13027"/>
      <w:r>
        <w:rPr>
          <w:rFonts w:hint="eastAsia" w:ascii="Times New Roman" w:hAnsi="Times New Roman" w:eastAsia="楷体"/>
          <w:highlight w:val="none"/>
        </w:rPr>
        <w:t>一、估价委托人</w:t>
      </w:r>
      <w:bookmarkEnd w:id="125"/>
      <w:bookmarkEnd w:id="126"/>
      <w:bookmarkEnd w:id="127"/>
      <w:bookmarkEnd w:id="128"/>
    </w:p>
    <w:p>
      <w:pPr>
        <w:ind w:firstLine="560" w:firstLineChars="200"/>
        <w:rPr>
          <w:szCs w:val="28"/>
          <w:highlight w:val="none"/>
        </w:rPr>
      </w:pPr>
      <w:bookmarkStart w:id="129" w:name="_Toc448142998"/>
      <w:bookmarkStart w:id="130" w:name="_Toc443584329"/>
      <w:bookmarkStart w:id="131" w:name="_Toc443635074"/>
      <w:bookmarkStart w:id="132" w:name="_Toc440723515"/>
      <w:bookmarkStart w:id="133" w:name="_Toc440715222"/>
      <w:bookmarkStart w:id="134" w:name="_Toc429398379"/>
      <w:bookmarkStart w:id="135" w:name="_Toc440730900"/>
      <w:r>
        <w:rPr>
          <w:rFonts w:hint="eastAsia"/>
          <w:szCs w:val="28"/>
          <w:highlight w:val="none"/>
        </w:rPr>
        <w:t>姓名：</w:t>
      </w:r>
      <w:bookmarkEnd w:id="129"/>
      <w:bookmarkEnd w:id="130"/>
      <w:bookmarkEnd w:id="131"/>
      <w:bookmarkEnd w:id="132"/>
      <w:bookmarkEnd w:id="133"/>
      <w:bookmarkEnd w:id="134"/>
      <w:bookmarkEnd w:id="135"/>
      <w:r>
        <w:rPr>
          <w:rFonts w:hint="eastAsia"/>
          <w:szCs w:val="28"/>
          <w:highlight w:val="none"/>
        </w:rPr>
        <w:t>靖江市人民法院</w:t>
      </w:r>
    </w:p>
    <w:p>
      <w:pPr>
        <w:ind w:firstLine="560" w:firstLineChars="200"/>
        <w:rPr>
          <w:szCs w:val="28"/>
          <w:highlight w:val="none"/>
        </w:rPr>
      </w:pPr>
      <w:r>
        <w:rPr>
          <w:rFonts w:hint="eastAsia"/>
          <w:szCs w:val="28"/>
          <w:highlight w:val="none"/>
        </w:rPr>
        <w:t>住址：江苏省靖江市阳光大道5号</w:t>
      </w:r>
    </w:p>
    <w:p>
      <w:pPr>
        <w:pStyle w:val="3"/>
        <w:spacing w:line="360" w:lineRule="auto"/>
        <w:rPr>
          <w:rFonts w:ascii="Times New Roman" w:hAnsi="Times New Roman" w:eastAsia="楷体"/>
          <w:highlight w:val="none"/>
        </w:rPr>
      </w:pPr>
      <w:bookmarkStart w:id="136" w:name="_Toc15324"/>
      <w:bookmarkStart w:id="137" w:name="_Toc365376345"/>
      <w:bookmarkStart w:id="138" w:name="_Toc114643946"/>
      <w:bookmarkStart w:id="139" w:name="_Toc326829405"/>
      <w:r>
        <w:rPr>
          <w:rFonts w:hint="eastAsia" w:ascii="Times New Roman" w:hAnsi="Times New Roman" w:eastAsia="楷体"/>
          <w:highlight w:val="none"/>
        </w:rPr>
        <w:t>二、估价机构</w:t>
      </w:r>
      <w:bookmarkEnd w:id="136"/>
      <w:bookmarkEnd w:id="137"/>
      <w:bookmarkEnd w:id="138"/>
      <w:bookmarkEnd w:id="139"/>
    </w:p>
    <w:p>
      <w:pPr>
        <w:spacing w:line="360" w:lineRule="auto"/>
        <w:ind w:firstLine="560" w:firstLineChars="200"/>
        <w:rPr>
          <w:highlight w:val="none"/>
        </w:rPr>
      </w:pPr>
      <w:bookmarkStart w:id="140" w:name="_Toc365376346"/>
      <w:r>
        <w:rPr>
          <w:rFonts w:hint="eastAsia"/>
          <w:highlight w:val="none"/>
        </w:rPr>
        <w:t>名  称：江苏首佳土地房地产评估测绘事务所有限公司</w:t>
      </w:r>
    </w:p>
    <w:p>
      <w:pPr>
        <w:spacing w:line="360" w:lineRule="auto"/>
        <w:ind w:firstLine="560" w:firstLineChars="200"/>
        <w:rPr>
          <w:highlight w:val="none"/>
        </w:rPr>
      </w:pPr>
      <w:r>
        <w:rPr>
          <w:rFonts w:hint="eastAsia"/>
          <w:highlight w:val="none"/>
        </w:rPr>
        <w:t>公司地址:南京市中山路99号1303室</w:t>
      </w:r>
    </w:p>
    <w:p>
      <w:pPr>
        <w:spacing w:line="360" w:lineRule="auto"/>
        <w:ind w:firstLine="560" w:firstLineChars="200"/>
        <w:rPr>
          <w:highlight w:val="none"/>
        </w:rPr>
      </w:pPr>
      <w:r>
        <w:rPr>
          <w:rFonts w:hint="eastAsia"/>
          <w:highlight w:val="none"/>
        </w:rPr>
        <w:t xml:space="preserve">法定代表人：王咏   </w:t>
      </w:r>
    </w:p>
    <w:p>
      <w:pPr>
        <w:spacing w:line="360" w:lineRule="auto"/>
        <w:ind w:firstLine="560" w:firstLineChars="200"/>
        <w:rPr>
          <w:highlight w:val="none"/>
        </w:rPr>
      </w:pPr>
      <w:r>
        <w:rPr>
          <w:rFonts w:hint="eastAsia"/>
          <w:highlight w:val="none"/>
        </w:rPr>
        <w:t>资质等级：壹级</w:t>
      </w:r>
    </w:p>
    <w:p>
      <w:pPr>
        <w:spacing w:line="360" w:lineRule="auto"/>
        <w:ind w:firstLine="560" w:firstLineChars="200"/>
        <w:rPr>
          <w:rFonts w:cs="Times New Roman"/>
          <w:highlight w:val="none"/>
        </w:rPr>
      </w:pPr>
      <w:r>
        <w:rPr>
          <w:rFonts w:hint="eastAsia"/>
          <w:highlight w:val="none"/>
        </w:rPr>
        <w:t>证书编号：苏建房估备（壹）南京</w:t>
      </w:r>
      <w:r>
        <w:rPr>
          <w:rFonts w:cs="Times New Roman"/>
          <w:highlight w:val="none"/>
        </w:rPr>
        <w:t xml:space="preserve"> 000</w:t>
      </w:r>
      <w:r>
        <w:rPr>
          <w:rFonts w:hint="eastAsia" w:cs="Times New Roman"/>
          <w:highlight w:val="none"/>
        </w:rPr>
        <w:t>77</w:t>
      </w:r>
      <w:r>
        <w:rPr>
          <w:rFonts w:cs="Times New Roman"/>
          <w:highlight w:val="none"/>
        </w:rPr>
        <w:t> </w:t>
      </w:r>
    </w:p>
    <w:p>
      <w:pPr>
        <w:spacing w:line="360" w:lineRule="auto"/>
        <w:ind w:firstLine="560" w:firstLineChars="200"/>
        <w:rPr>
          <w:highlight w:val="none"/>
        </w:rPr>
      </w:pPr>
      <w:r>
        <w:rPr>
          <w:rFonts w:hint="eastAsia"/>
          <w:highlight w:val="none"/>
        </w:rPr>
        <w:t>有效期限：</w:t>
      </w:r>
      <w:r>
        <w:rPr>
          <w:rFonts w:cs="Times New Roman"/>
          <w:highlight w:val="none"/>
        </w:rPr>
        <w:t>201</w:t>
      </w:r>
      <w:r>
        <w:rPr>
          <w:rFonts w:hint="eastAsia" w:cs="Times New Roman"/>
          <w:highlight w:val="none"/>
        </w:rPr>
        <w:t>5</w:t>
      </w:r>
      <w:r>
        <w:rPr>
          <w:rFonts w:hint="eastAsia"/>
          <w:highlight w:val="none"/>
        </w:rPr>
        <w:t>年</w:t>
      </w:r>
      <w:r>
        <w:rPr>
          <w:rFonts w:cs="Times New Roman"/>
          <w:highlight w:val="none"/>
        </w:rPr>
        <w:t>3</w:t>
      </w:r>
      <w:r>
        <w:rPr>
          <w:rFonts w:hint="eastAsia"/>
          <w:highlight w:val="none"/>
        </w:rPr>
        <w:t>月</w:t>
      </w:r>
      <w:r>
        <w:rPr>
          <w:rFonts w:cs="Times New Roman"/>
          <w:highlight w:val="none"/>
        </w:rPr>
        <w:t>4</w:t>
      </w:r>
      <w:r>
        <w:rPr>
          <w:rFonts w:hint="eastAsia"/>
          <w:highlight w:val="none"/>
        </w:rPr>
        <w:t>日至</w:t>
      </w:r>
      <w:r>
        <w:rPr>
          <w:rFonts w:cs="Times New Roman"/>
          <w:highlight w:val="none"/>
        </w:rPr>
        <w:t>202</w:t>
      </w:r>
      <w:r>
        <w:rPr>
          <w:rFonts w:hint="eastAsia" w:cs="Times New Roman"/>
          <w:highlight w:val="none"/>
        </w:rPr>
        <w:t>4</w:t>
      </w:r>
      <w:r>
        <w:rPr>
          <w:rFonts w:hint="eastAsia"/>
          <w:highlight w:val="none"/>
        </w:rPr>
        <w:t>年</w:t>
      </w:r>
      <w:r>
        <w:rPr>
          <w:rFonts w:cs="Times New Roman"/>
          <w:highlight w:val="none"/>
        </w:rPr>
        <w:t>4</w:t>
      </w:r>
      <w:r>
        <w:rPr>
          <w:rFonts w:hint="eastAsia"/>
          <w:highlight w:val="none"/>
        </w:rPr>
        <w:t>月</w:t>
      </w:r>
      <w:r>
        <w:rPr>
          <w:rFonts w:cs="Times New Roman"/>
          <w:highlight w:val="none"/>
        </w:rPr>
        <w:t>27</w:t>
      </w:r>
      <w:r>
        <w:rPr>
          <w:rFonts w:hint="eastAsia"/>
          <w:highlight w:val="none"/>
        </w:rPr>
        <w:t>日</w:t>
      </w:r>
    </w:p>
    <w:p>
      <w:pPr>
        <w:spacing w:line="360" w:lineRule="auto"/>
        <w:ind w:firstLine="560" w:firstLineChars="200"/>
        <w:rPr>
          <w:highlight w:val="none"/>
        </w:rPr>
      </w:pPr>
      <w:r>
        <w:rPr>
          <w:rFonts w:hint="eastAsia"/>
          <w:highlight w:val="none"/>
        </w:rPr>
        <w:t>分公司名称：江苏首佳土地房地产评估测绘事务所有限公司泰州分公司</w:t>
      </w:r>
    </w:p>
    <w:p>
      <w:pPr>
        <w:spacing w:line="360" w:lineRule="auto"/>
        <w:ind w:firstLine="560" w:firstLineChars="200"/>
        <w:rPr>
          <w:rFonts w:ascii="楷体" w:hAnsi="楷体"/>
          <w:highlight w:val="none"/>
        </w:rPr>
      </w:pPr>
      <w:r>
        <w:rPr>
          <w:rFonts w:hint="eastAsia" w:ascii="楷体" w:hAnsi="楷体"/>
          <w:highlight w:val="none"/>
        </w:rPr>
        <w:t>分公司地址：</w:t>
      </w:r>
      <w:r>
        <w:rPr>
          <w:rStyle w:val="14"/>
          <w:rFonts w:hint="eastAsia" w:ascii="楷体" w:hAnsi="楷体"/>
          <w:highlight w:val="none"/>
        </w:rPr>
        <w:t>泰州市海陵区青年南路480号</w:t>
      </w:r>
    </w:p>
    <w:p>
      <w:pPr>
        <w:spacing w:line="360" w:lineRule="auto"/>
        <w:ind w:firstLine="560" w:firstLineChars="200"/>
        <w:rPr>
          <w:highlight w:val="none"/>
        </w:rPr>
      </w:pPr>
      <w:r>
        <w:rPr>
          <w:rFonts w:hint="eastAsia"/>
          <w:highlight w:val="none"/>
        </w:rPr>
        <w:t>联系电话：</w:t>
      </w:r>
      <w:r>
        <w:rPr>
          <w:rFonts w:cs="Times New Roman"/>
          <w:highlight w:val="none"/>
        </w:rPr>
        <w:t>0</w:t>
      </w:r>
      <w:r>
        <w:rPr>
          <w:rFonts w:hint="eastAsia" w:cs="Times New Roman"/>
          <w:highlight w:val="none"/>
        </w:rPr>
        <w:t>5</w:t>
      </w:r>
      <w:r>
        <w:rPr>
          <w:rFonts w:cs="Times New Roman"/>
          <w:highlight w:val="none"/>
        </w:rPr>
        <w:t>23－</w:t>
      </w:r>
      <w:r>
        <w:rPr>
          <w:rFonts w:hint="eastAsia" w:cs="Times New Roman"/>
          <w:highlight w:val="none"/>
        </w:rPr>
        <w:t>86565111</w:t>
      </w:r>
      <w:r>
        <w:rPr>
          <w:rFonts w:cs="Times New Roman"/>
          <w:highlight w:val="none"/>
        </w:rPr>
        <w:t xml:space="preserve"> </w:t>
      </w:r>
      <w:r>
        <w:rPr>
          <w:rFonts w:hint="eastAsia"/>
          <w:highlight w:val="none"/>
        </w:rPr>
        <w:t xml:space="preserve">   </w:t>
      </w:r>
    </w:p>
    <w:p>
      <w:pPr>
        <w:pStyle w:val="3"/>
        <w:spacing w:line="360" w:lineRule="auto"/>
        <w:rPr>
          <w:rFonts w:ascii="楷体" w:hAnsi="楷体" w:eastAsia="楷体"/>
          <w:highlight w:val="none"/>
        </w:rPr>
      </w:pPr>
      <w:bookmarkStart w:id="141" w:name="_Toc20130"/>
      <w:bookmarkStart w:id="142" w:name="_Toc114643947"/>
      <w:r>
        <w:rPr>
          <w:rFonts w:hint="eastAsia" w:ascii="楷体" w:hAnsi="楷体" w:eastAsia="楷体"/>
          <w:highlight w:val="none"/>
        </w:rPr>
        <w:t>三、估价目的</w:t>
      </w:r>
      <w:bookmarkEnd w:id="141"/>
      <w:bookmarkEnd w:id="142"/>
    </w:p>
    <w:p>
      <w:pPr>
        <w:spacing w:line="360" w:lineRule="auto"/>
        <w:ind w:firstLine="560" w:firstLineChars="200"/>
        <w:rPr>
          <w:highlight w:val="none"/>
        </w:rPr>
      </w:pPr>
      <w:bookmarkStart w:id="143" w:name="_Toc29808"/>
      <w:r>
        <w:rPr>
          <w:rFonts w:hint="eastAsia"/>
          <w:highlight w:val="none"/>
        </w:rPr>
        <w:t>为人民法院确定财产处置参考价提供参考依据。</w:t>
      </w:r>
    </w:p>
    <w:p>
      <w:pPr>
        <w:spacing w:line="360" w:lineRule="auto"/>
        <w:rPr>
          <w:rFonts w:ascii="楷体" w:hAnsi="楷体"/>
          <w:b/>
          <w:bCs/>
          <w:sz w:val="32"/>
          <w:highlight w:val="none"/>
        </w:rPr>
      </w:pPr>
      <w:r>
        <w:rPr>
          <w:rFonts w:hint="eastAsia" w:ascii="楷体" w:hAnsi="楷体"/>
          <w:b/>
          <w:bCs/>
          <w:sz w:val="32"/>
          <w:highlight w:val="none"/>
        </w:rPr>
        <w:t>四、估价对象</w:t>
      </w:r>
      <w:bookmarkEnd w:id="140"/>
      <w:bookmarkEnd w:id="143"/>
    </w:p>
    <w:p>
      <w:pPr>
        <w:spacing w:line="580" w:lineRule="exact"/>
        <w:ind w:firstLine="560" w:firstLineChars="200"/>
        <w:rPr>
          <w:b/>
          <w:bCs/>
          <w:szCs w:val="28"/>
          <w:highlight w:val="none"/>
        </w:rPr>
      </w:pPr>
      <w:r>
        <w:rPr>
          <w:rFonts w:hint="eastAsia"/>
          <w:b/>
          <w:bCs/>
          <w:szCs w:val="28"/>
          <w:highlight w:val="none"/>
        </w:rPr>
        <w:t>(一)估价对象范围</w:t>
      </w:r>
    </w:p>
    <w:p>
      <w:pPr>
        <w:ind w:firstLine="560" w:firstLineChars="200"/>
        <w:rPr>
          <w:highlight w:val="none"/>
        </w:rPr>
      </w:pPr>
      <w:r>
        <w:rPr>
          <w:rFonts w:hint="eastAsia"/>
          <w:szCs w:val="28"/>
          <w:highlight w:val="none"/>
        </w:rPr>
        <w:t>本次估价对象范围为</w:t>
      </w:r>
      <w:r>
        <w:rPr>
          <w:rFonts w:hint="eastAsia"/>
          <w:highlight w:val="none"/>
        </w:rPr>
        <w:t>靖江市兰园雅居10幢04</w:t>
      </w:r>
      <w:r>
        <w:rPr>
          <w:rFonts w:hint="eastAsia"/>
          <w:szCs w:val="28"/>
          <w:highlight w:val="none"/>
        </w:rPr>
        <w:t>房地产的房屋所有权、土地使用权及与房地产不可分测的满足其使用功能的供水、供电、排水等相关配套设施，</w:t>
      </w:r>
      <w:r>
        <w:rPr>
          <w:rFonts w:hint="eastAsia"/>
          <w:highlight w:val="none"/>
        </w:rPr>
        <w:t>不含动产价格及债权债务等其他财产权益。</w:t>
      </w:r>
    </w:p>
    <w:p>
      <w:pPr>
        <w:spacing w:line="580" w:lineRule="exact"/>
        <w:ind w:firstLine="560" w:firstLineChars="200"/>
        <w:rPr>
          <w:b/>
          <w:bCs/>
          <w:szCs w:val="28"/>
          <w:highlight w:val="none"/>
        </w:rPr>
      </w:pPr>
      <w:r>
        <w:rPr>
          <w:rFonts w:hint="eastAsia"/>
          <w:b/>
          <w:bCs/>
          <w:szCs w:val="28"/>
          <w:highlight w:val="none"/>
        </w:rPr>
        <w:t>(二)估价对象基本状况</w:t>
      </w:r>
    </w:p>
    <w:p>
      <w:pPr>
        <w:spacing w:line="580" w:lineRule="exact"/>
        <w:ind w:firstLine="560" w:firstLineChars="200"/>
        <w:rPr>
          <w:highlight w:val="none"/>
        </w:rPr>
      </w:pPr>
      <w:r>
        <w:rPr>
          <w:rFonts w:hint="eastAsia"/>
          <w:szCs w:val="28"/>
          <w:highlight w:val="none"/>
        </w:rPr>
        <w:t>1、估价对象名称及坐落:</w:t>
      </w:r>
      <w:r>
        <w:rPr>
          <w:rFonts w:hint="eastAsia"/>
          <w:highlight w:val="none"/>
        </w:rPr>
        <w:t>靖江市兰园雅居10幢04，靖江市城东大道东侧。</w:t>
      </w:r>
    </w:p>
    <w:p>
      <w:pPr>
        <w:spacing w:line="580" w:lineRule="exact"/>
        <w:ind w:firstLine="560" w:firstLineChars="200"/>
        <w:rPr>
          <w:szCs w:val="28"/>
          <w:highlight w:val="none"/>
        </w:rPr>
      </w:pPr>
      <w:r>
        <w:rPr>
          <w:rFonts w:hint="eastAsia"/>
          <w:szCs w:val="28"/>
          <w:highlight w:val="none"/>
        </w:rPr>
        <w:t>2、估价对象规模:建筑面积</w:t>
      </w:r>
      <w:r>
        <w:rPr>
          <w:rFonts w:hint="eastAsia"/>
          <w:highlight w:val="none"/>
        </w:rPr>
        <w:t>316.95</w:t>
      </w:r>
      <w:r>
        <w:rPr>
          <w:rFonts w:hint="eastAsia" w:cs="Times New Roman"/>
          <w:highlight w:val="none"/>
        </w:rPr>
        <w:t>㎡</w:t>
      </w:r>
      <w:r>
        <w:rPr>
          <w:rFonts w:hint="eastAsia"/>
          <w:szCs w:val="28"/>
          <w:highlight w:val="none"/>
        </w:rPr>
        <w:t>及</w:t>
      </w:r>
      <w:r>
        <w:rPr>
          <w:rFonts w:hint="eastAsia" w:cs="Times New Roman"/>
          <w:highlight w:val="none"/>
        </w:rPr>
        <w:t>相应分摊</w:t>
      </w:r>
      <w:r>
        <w:rPr>
          <w:rFonts w:hint="eastAsia"/>
          <w:szCs w:val="28"/>
          <w:highlight w:val="none"/>
        </w:rPr>
        <w:t>的土地使用权面积。</w:t>
      </w:r>
    </w:p>
    <w:p>
      <w:pPr>
        <w:spacing w:line="580" w:lineRule="exact"/>
        <w:ind w:firstLine="560" w:firstLineChars="200"/>
        <w:rPr>
          <w:szCs w:val="28"/>
          <w:highlight w:val="none"/>
        </w:rPr>
      </w:pPr>
      <w:r>
        <w:rPr>
          <w:rFonts w:hint="eastAsia"/>
          <w:szCs w:val="28"/>
          <w:highlight w:val="none"/>
        </w:rPr>
        <w:t>3、估价对象用途:住宅。</w:t>
      </w:r>
    </w:p>
    <w:p>
      <w:pPr>
        <w:ind w:firstLine="560" w:firstLineChars="200"/>
        <w:rPr>
          <w:rFonts w:ascii="楷体" w:hAnsi="楷体"/>
          <w:szCs w:val="28"/>
          <w:highlight w:val="none"/>
        </w:rPr>
      </w:pPr>
      <w:r>
        <w:rPr>
          <w:rFonts w:hint="eastAsia"/>
          <w:szCs w:val="28"/>
          <w:highlight w:val="none"/>
        </w:rPr>
        <w:t xml:space="preserve">4、估价对象权属: </w:t>
      </w:r>
      <w:r>
        <w:rPr>
          <w:rFonts w:hint="eastAsia" w:ascii="楷体" w:hAnsi="楷体"/>
          <w:szCs w:val="28"/>
          <w:highlight w:val="none"/>
        </w:rPr>
        <w:t>估价对象小区靖江市兰园雅居的不动产权证书号</w:t>
      </w:r>
      <w:r>
        <w:rPr>
          <w:rFonts w:hint="eastAsia" w:ascii="楷体" w:hAnsi="楷体"/>
          <w:szCs w:val="28"/>
          <w:highlight w:val="none"/>
          <w:lang w:eastAsia="zh-CN"/>
        </w:rPr>
        <w:t>为</w:t>
      </w:r>
      <w:r>
        <w:rPr>
          <w:rFonts w:hint="eastAsia" w:ascii="楷体" w:hAnsi="楷体"/>
          <w:szCs w:val="28"/>
          <w:highlight w:val="none"/>
        </w:rPr>
        <w:t>苏（2019）靖江不动产权第0009868号、0009870号</w:t>
      </w:r>
      <w:r>
        <w:rPr>
          <w:rFonts w:hint="eastAsia" w:ascii="楷体" w:hAnsi="楷体"/>
          <w:szCs w:val="28"/>
          <w:highlight w:val="none"/>
          <w:lang w:eastAsia="zh-CN"/>
        </w:rPr>
        <w:t>，</w:t>
      </w:r>
      <w:r>
        <w:rPr>
          <w:rFonts w:hint="eastAsia" w:ascii="楷体" w:hAnsi="楷体"/>
          <w:szCs w:val="28"/>
          <w:highlight w:val="none"/>
        </w:rPr>
        <w:t>土地使用权人江苏好美家置业有限公司</w:t>
      </w:r>
      <w:r>
        <w:rPr>
          <w:rFonts w:hint="eastAsia" w:ascii="楷体" w:hAnsi="楷体"/>
          <w:szCs w:val="28"/>
          <w:highlight w:val="none"/>
          <w:lang w:eastAsia="zh-CN"/>
        </w:rPr>
        <w:t>，</w:t>
      </w:r>
      <w:r>
        <w:rPr>
          <w:rFonts w:hint="eastAsia" w:ascii="楷体" w:hAnsi="楷体"/>
          <w:szCs w:val="28"/>
          <w:highlight w:val="none"/>
        </w:rPr>
        <w:t>土地权利类型国有建设用地使用权</w:t>
      </w:r>
      <w:r>
        <w:rPr>
          <w:rFonts w:hint="eastAsia" w:ascii="楷体" w:hAnsi="楷体"/>
          <w:szCs w:val="28"/>
          <w:highlight w:val="none"/>
          <w:lang w:eastAsia="zh-CN"/>
        </w:rPr>
        <w:t>，</w:t>
      </w:r>
      <w:r>
        <w:rPr>
          <w:rFonts w:hint="eastAsia" w:ascii="楷体" w:hAnsi="楷体"/>
          <w:szCs w:val="28"/>
          <w:highlight w:val="none"/>
        </w:rPr>
        <w:t>土地权利性质出让。根据《不动产产权情况表》和靖江市自然资源和规划局的复函，该产权已抵押和已查封，土地出让金已缴清，开发建筑单位尚未申请办理首次登记。</w:t>
      </w:r>
    </w:p>
    <w:p>
      <w:pPr>
        <w:spacing w:line="580" w:lineRule="exact"/>
        <w:ind w:firstLine="560" w:firstLineChars="200"/>
        <w:rPr>
          <w:b/>
          <w:bCs/>
          <w:szCs w:val="28"/>
          <w:highlight w:val="none"/>
        </w:rPr>
      </w:pPr>
      <w:r>
        <w:rPr>
          <w:rFonts w:hint="eastAsia"/>
          <w:b/>
          <w:bCs/>
          <w:szCs w:val="28"/>
          <w:highlight w:val="none"/>
        </w:rPr>
        <w:t>(三)土地基本状况</w:t>
      </w:r>
    </w:p>
    <w:p>
      <w:pPr>
        <w:spacing w:line="580" w:lineRule="exact"/>
        <w:ind w:firstLine="560" w:firstLineChars="200"/>
        <w:rPr>
          <w:highlight w:val="none"/>
        </w:rPr>
      </w:pPr>
      <w:r>
        <w:rPr>
          <w:rFonts w:hint="eastAsia"/>
          <w:szCs w:val="28"/>
          <w:highlight w:val="none"/>
        </w:rPr>
        <w:t>3.1 名称:</w:t>
      </w:r>
      <w:r>
        <w:rPr>
          <w:rFonts w:hint="eastAsia"/>
          <w:highlight w:val="none"/>
        </w:rPr>
        <w:t>靖江市兰园雅居10幢04。</w:t>
      </w:r>
    </w:p>
    <w:p>
      <w:pPr>
        <w:spacing w:line="580" w:lineRule="exact"/>
        <w:ind w:firstLine="560" w:firstLineChars="200"/>
        <w:jc w:val="left"/>
        <w:rPr>
          <w:rFonts w:cs="Times New Roman"/>
          <w:highlight w:val="none"/>
        </w:rPr>
      </w:pPr>
      <w:r>
        <w:rPr>
          <w:rFonts w:hint="eastAsia"/>
          <w:szCs w:val="28"/>
          <w:highlight w:val="none"/>
        </w:rPr>
        <w:t>3.2 估价对象四至:估价对象所在宗地东至文兴路、南至正兴花苑北侧、</w:t>
      </w:r>
      <w:r>
        <w:rPr>
          <w:rFonts w:hint="eastAsia" w:cs="Times New Roman"/>
          <w:highlight w:val="none"/>
        </w:rPr>
        <w:t>西临城东大道、北至工农路。</w:t>
      </w:r>
    </w:p>
    <w:p>
      <w:pPr>
        <w:spacing w:line="580" w:lineRule="exact"/>
        <w:ind w:firstLine="560" w:firstLineChars="200"/>
        <w:jc w:val="left"/>
        <w:rPr>
          <w:szCs w:val="28"/>
          <w:highlight w:val="none"/>
        </w:rPr>
      </w:pPr>
      <w:r>
        <w:rPr>
          <w:rFonts w:hint="eastAsia"/>
          <w:szCs w:val="28"/>
          <w:highlight w:val="none"/>
        </w:rPr>
        <w:t>3.3 形状:估价对象所在宗地形状为较规则四边形。</w:t>
      </w:r>
    </w:p>
    <w:p>
      <w:pPr>
        <w:spacing w:line="580" w:lineRule="exact"/>
        <w:ind w:firstLine="560" w:firstLineChars="200"/>
        <w:jc w:val="left"/>
        <w:rPr>
          <w:szCs w:val="28"/>
          <w:highlight w:val="none"/>
        </w:rPr>
      </w:pPr>
      <w:r>
        <w:rPr>
          <w:rFonts w:hint="eastAsia"/>
          <w:szCs w:val="28"/>
          <w:highlight w:val="none"/>
        </w:rPr>
        <w:t>3.4 地形:估价对象所在区域地形平坦，无坡度。</w:t>
      </w:r>
    </w:p>
    <w:p>
      <w:pPr>
        <w:spacing w:line="580" w:lineRule="exact"/>
        <w:ind w:firstLine="560" w:firstLineChars="200"/>
        <w:jc w:val="left"/>
        <w:rPr>
          <w:szCs w:val="28"/>
          <w:highlight w:val="none"/>
        </w:rPr>
      </w:pPr>
      <w:r>
        <w:rPr>
          <w:rFonts w:hint="eastAsia"/>
          <w:szCs w:val="28"/>
          <w:highlight w:val="none"/>
        </w:rPr>
        <w:t>3.5 地势:与相邻土地、道路高低一致，被洪水淹没可能性小。</w:t>
      </w:r>
    </w:p>
    <w:p>
      <w:pPr>
        <w:spacing w:line="580" w:lineRule="exact"/>
        <w:ind w:firstLine="560" w:firstLineChars="200"/>
        <w:jc w:val="left"/>
        <w:rPr>
          <w:szCs w:val="28"/>
          <w:highlight w:val="none"/>
        </w:rPr>
      </w:pPr>
      <w:r>
        <w:rPr>
          <w:rFonts w:hint="eastAsia"/>
          <w:szCs w:val="28"/>
          <w:highlight w:val="none"/>
        </w:rPr>
        <w:t>3.6 地质:地质水文状况较好。</w:t>
      </w:r>
    </w:p>
    <w:p>
      <w:pPr>
        <w:spacing w:line="580" w:lineRule="exact"/>
        <w:ind w:firstLine="560" w:firstLineChars="200"/>
        <w:jc w:val="left"/>
        <w:rPr>
          <w:szCs w:val="28"/>
          <w:highlight w:val="none"/>
        </w:rPr>
      </w:pPr>
      <w:r>
        <w:rPr>
          <w:rFonts w:hint="eastAsia"/>
          <w:szCs w:val="28"/>
          <w:highlight w:val="none"/>
        </w:rPr>
        <w:t>3.7 地基:估价对象地基较好，承载力较好，无不良地质现象，高层建筑建设需做桩基础处理。</w:t>
      </w:r>
    </w:p>
    <w:p>
      <w:pPr>
        <w:spacing w:line="580" w:lineRule="exact"/>
        <w:ind w:firstLine="560" w:firstLineChars="200"/>
        <w:rPr>
          <w:szCs w:val="28"/>
          <w:highlight w:val="none"/>
        </w:rPr>
      </w:pPr>
      <w:r>
        <w:rPr>
          <w:rFonts w:hint="eastAsia"/>
          <w:szCs w:val="28"/>
          <w:highlight w:val="none"/>
        </w:rPr>
        <w:t>3.8 土壤:该宗地未受过污染，可直接开发利用。</w:t>
      </w:r>
    </w:p>
    <w:p>
      <w:pPr>
        <w:spacing w:line="580" w:lineRule="exact"/>
        <w:ind w:firstLine="560" w:firstLineChars="200"/>
        <w:rPr>
          <w:szCs w:val="28"/>
          <w:highlight w:val="none"/>
        </w:rPr>
      </w:pPr>
      <w:r>
        <w:rPr>
          <w:rFonts w:hint="eastAsia"/>
          <w:szCs w:val="28"/>
          <w:highlight w:val="none"/>
        </w:rPr>
        <w:t>3.9 土地平整程度:委估宗地场地平整。</w:t>
      </w:r>
    </w:p>
    <w:p>
      <w:pPr>
        <w:spacing w:line="580" w:lineRule="exact"/>
        <w:ind w:firstLine="560" w:firstLineChars="200"/>
        <w:rPr>
          <w:szCs w:val="28"/>
          <w:highlight w:val="none"/>
        </w:rPr>
      </w:pPr>
      <w:r>
        <w:rPr>
          <w:rFonts w:hint="eastAsia"/>
          <w:szCs w:val="28"/>
          <w:highlight w:val="none"/>
        </w:rPr>
        <w:t>3.10 土地开发程度:宗地红线外达到六通”(即通路、通电、通上水、通下水、通讯、通气) ，宗地红线内达到“六通”(即通路、通电、通上水、通下水、通讯、通气)，委估宗地场地平整。</w:t>
      </w:r>
    </w:p>
    <w:p>
      <w:pPr>
        <w:ind w:firstLine="560" w:firstLineChars="200"/>
        <w:rPr>
          <w:szCs w:val="28"/>
          <w:highlight w:val="none"/>
        </w:rPr>
      </w:pPr>
      <w:r>
        <w:rPr>
          <w:rFonts w:hint="eastAsia"/>
          <w:szCs w:val="28"/>
          <w:highlight w:val="none"/>
        </w:rPr>
        <w:t>3.11土地权利状态：</w:t>
      </w:r>
      <w:r>
        <w:rPr>
          <w:rFonts w:hint="eastAsia" w:ascii="楷体" w:hAnsi="楷体"/>
          <w:szCs w:val="28"/>
          <w:highlight w:val="none"/>
        </w:rPr>
        <w:t>估价对象小区靖江市兰园雅居的不动产权证书号</w:t>
      </w:r>
      <w:r>
        <w:rPr>
          <w:rFonts w:hint="eastAsia" w:ascii="楷体" w:hAnsi="楷体"/>
          <w:szCs w:val="28"/>
          <w:highlight w:val="none"/>
          <w:lang w:eastAsia="zh-CN"/>
        </w:rPr>
        <w:t>为</w:t>
      </w:r>
      <w:r>
        <w:rPr>
          <w:rFonts w:hint="eastAsia" w:ascii="楷体" w:hAnsi="楷体"/>
          <w:szCs w:val="28"/>
          <w:highlight w:val="none"/>
        </w:rPr>
        <w:t>苏（2019）靖江不动产权第0009868号、0009870号</w:t>
      </w:r>
      <w:r>
        <w:rPr>
          <w:rFonts w:hint="eastAsia" w:ascii="楷体" w:hAnsi="楷体"/>
          <w:szCs w:val="28"/>
          <w:highlight w:val="none"/>
          <w:lang w:eastAsia="zh-CN"/>
        </w:rPr>
        <w:t>，</w:t>
      </w:r>
      <w:r>
        <w:rPr>
          <w:rFonts w:hint="eastAsia" w:ascii="楷体" w:hAnsi="楷体"/>
          <w:szCs w:val="28"/>
          <w:highlight w:val="none"/>
        </w:rPr>
        <w:t>土地使用权人江苏好美家置业有限公司</w:t>
      </w:r>
      <w:r>
        <w:rPr>
          <w:rFonts w:hint="eastAsia" w:ascii="楷体" w:hAnsi="楷体"/>
          <w:szCs w:val="28"/>
          <w:highlight w:val="none"/>
          <w:lang w:eastAsia="zh-CN"/>
        </w:rPr>
        <w:t>，</w:t>
      </w:r>
      <w:r>
        <w:rPr>
          <w:rFonts w:hint="eastAsia" w:ascii="楷体" w:hAnsi="楷体"/>
          <w:szCs w:val="28"/>
          <w:highlight w:val="none"/>
        </w:rPr>
        <w:t>土地权利类型国有建设用地使用权</w:t>
      </w:r>
      <w:r>
        <w:rPr>
          <w:rFonts w:hint="eastAsia" w:ascii="楷体" w:hAnsi="楷体"/>
          <w:szCs w:val="28"/>
          <w:highlight w:val="none"/>
          <w:lang w:eastAsia="zh-CN"/>
        </w:rPr>
        <w:t>，</w:t>
      </w:r>
      <w:r>
        <w:rPr>
          <w:rFonts w:hint="eastAsia" w:ascii="楷体" w:hAnsi="楷体"/>
          <w:szCs w:val="28"/>
          <w:highlight w:val="none"/>
        </w:rPr>
        <w:t>土地权利性质出让。根据《不动产产权情况表》和靖江市自然资源和规划局的复函，该产权已抵押和已查封，土地出让金已缴清，开发建筑单位尚未申请办理首次登记。</w:t>
      </w:r>
    </w:p>
    <w:p>
      <w:pPr>
        <w:spacing w:line="580" w:lineRule="exact"/>
        <w:ind w:firstLine="560" w:firstLineChars="200"/>
        <w:rPr>
          <w:b/>
          <w:bCs/>
          <w:szCs w:val="28"/>
          <w:highlight w:val="none"/>
        </w:rPr>
      </w:pPr>
      <w:r>
        <w:rPr>
          <w:rFonts w:hint="eastAsia"/>
          <w:b/>
          <w:bCs/>
          <w:szCs w:val="28"/>
          <w:highlight w:val="none"/>
        </w:rPr>
        <w:t>(四)建筑物基本状况</w:t>
      </w:r>
    </w:p>
    <w:p>
      <w:pPr>
        <w:spacing w:line="580" w:lineRule="exact"/>
        <w:ind w:firstLine="560" w:firstLineChars="200"/>
        <w:rPr>
          <w:szCs w:val="28"/>
          <w:highlight w:val="none"/>
        </w:rPr>
      </w:pPr>
      <w:r>
        <w:rPr>
          <w:rFonts w:hint="eastAsia"/>
          <w:szCs w:val="28"/>
          <w:highlight w:val="none"/>
        </w:rPr>
        <w:t>4.1 层数和层高:估价对象位于</w:t>
      </w:r>
      <w:r>
        <w:rPr>
          <w:rFonts w:hint="eastAsia" w:cs="Times New Roman"/>
          <w:highlight w:val="none"/>
        </w:rPr>
        <w:t>兰园雅居小区</w:t>
      </w:r>
      <w:r>
        <w:rPr>
          <w:rFonts w:hint="eastAsia"/>
          <w:szCs w:val="28"/>
          <w:highlight w:val="none"/>
        </w:rPr>
        <w:t>，所在建筑为钢筋混凝土结构联排别墅，</w:t>
      </w:r>
      <w:r>
        <w:rPr>
          <w:rFonts w:cs="Times New Roman"/>
          <w:highlight w:val="none"/>
        </w:rPr>
        <w:t>总层数共</w:t>
      </w:r>
      <w:r>
        <w:rPr>
          <w:rFonts w:hint="eastAsia" w:cs="Times New Roman"/>
          <w:highlight w:val="none"/>
        </w:rPr>
        <w:t>5</w:t>
      </w:r>
      <w:r>
        <w:rPr>
          <w:rFonts w:cs="Times New Roman"/>
          <w:highlight w:val="none"/>
        </w:rPr>
        <w:t>层，</w:t>
      </w:r>
      <w:r>
        <w:rPr>
          <w:rFonts w:hint="eastAsia" w:cs="Times New Roman"/>
          <w:highlight w:val="none"/>
        </w:rPr>
        <w:t>地下1层，地上4层</w:t>
      </w:r>
      <w:r>
        <w:rPr>
          <w:rFonts w:hint="eastAsia"/>
          <w:szCs w:val="28"/>
          <w:highlight w:val="none"/>
        </w:rPr>
        <w:t>，一至四层平均层高约3.2m，地下室层约高4.9m</w:t>
      </w:r>
      <w:r>
        <w:rPr>
          <w:rFonts w:hint="eastAsia" w:cs="Times New Roman"/>
          <w:highlight w:val="none"/>
        </w:rPr>
        <w:t>。</w:t>
      </w:r>
    </w:p>
    <w:p>
      <w:pPr>
        <w:spacing w:line="580" w:lineRule="exact"/>
        <w:ind w:firstLine="560" w:firstLineChars="200"/>
        <w:rPr>
          <w:szCs w:val="28"/>
          <w:highlight w:val="none"/>
        </w:rPr>
      </w:pPr>
      <w:r>
        <w:rPr>
          <w:rFonts w:hint="eastAsia"/>
          <w:szCs w:val="28"/>
          <w:highlight w:val="none"/>
        </w:rPr>
        <w:t>4.2 建筑结构:钢筋混凝土结构。</w:t>
      </w:r>
    </w:p>
    <w:p>
      <w:pPr>
        <w:spacing w:line="580" w:lineRule="exact"/>
        <w:ind w:firstLine="560" w:firstLineChars="200"/>
        <w:rPr>
          <w:szCs w:val="28"/>
          <w:highlight w:val="none"/>
        </w:rPr>
      </w:pPr>
      <w:r>
        <w:rPr>
          <w:rFonts w:hint="eastAsia"/>
          <w:szCs w:val="28"/>
          <w:highlight w:val="none"/>
        </w:rPr>
        <w:t>4.3 建筑年代:约建于2020年。</w:t>
      </w:r>
    </w:p>
    <w:p>
      <w:pPr>
        <w:spacing w:line="580" w:lineRule="exact"/>
        <w:ind w:firstLine="560" w:firstLineChars="200"/>
        <w:rPr>
          <w:szCs w:val="28"/>
          <w:highlight w:val="none"/>
        </w:rPr>
      </w:pPr>
      <w:r>
        <w:rPr>
          <w:rFonts w:hint="eastAsia"/>
          <w:szCs w:val="28"/>
          <w:highlight w:val="none"/>
        </w:rPr>
        <w:t>4.4 装饰装修:</w:t>
      </w:r>
    </w:p>
    <w:p>
      <w:pPr>
        <w:spacing w:line="580" w:lineRule="exact"/>
        <w:ind w:firstLine="560" w:firstLineChars="200"/>
        <w:rPr>
          <w:szCs w:val="28"/>
          <w:highlight w:val="none"/>
        </w:rPr>
      </w:pPr>
      <w:r>
        <w:rPr>
          <w:rFonts w:hint="eastAsia"/>
          <w:szCs w:val="28"/>
          <w:highlight w:val="none"/>
        </w:rPr>
        <w:t>4.4.1 公共部分装修:估价对象所在建筑外墙为外墙面砖，屋顶为刚性防水屋面。设有地下停车位，为环氧地坪。</w:t>
      </w:r>
    </w:p>
    <w:p>
      <w:pPr>
        <w:spacing w:line="580" w:lineRule="exact"/>
        <w:ind w:firstLine="560" w:firstLineChars="200"/>
        <w:rPr>
          <w:szCs w:val="28"/>
          <w:highlight w:val="none"/>
        </w:rPr>
      </w:pPr>
      <w:r>
        <w:rPr>
          <w:rFonts w:hint="eastAsia"/>
          <w:szCs w:val="28"/>
          <w:highlight w:val="none"/>
        </w:rPr>
        <w:t>4.4.2 室内装修:估价对象室内毛坯。</w:t>
      </w:r>
    </w:p>
    <w:p>
      <w:pPr>
        <w:spacing w:line="580" w:lineRule="exact"/>
        <w:ind w:firstLine="560" w:firstLineChars="200"/>
        <w:rPr>
          <w:szCs w:val="28"/>
          <w:highlight w:val="none"/>
        </w:rPr>
      </w:pPr>
      <w:r>
        <w:rPr>
          <w:rFonts w:hint="eastAsia"/>
          <w:szCs w:val="28"/>
          <w:highlight w:val="none"/>
        </w:rPr>
        <w:t>4.5 设施设备:估价对象所在单元设有一部楼梯连接上下楼层，设有消防水栓等消防设施，宽带、供水、供电等设施均已接通并可正常使用。</w:t>
      </w:r>
    </w:p>
    <w:p>
      <w:pPr>
        <w:spacing w:line="580" w:lineRule="exact"/>
        <w:ind w:firstLine="560" w:firstLineChars="200"/>
        <w:rPr>
          <w:szCs w:val="28"/>
          <w:highlight w:val="none"/>
        </w:rPr>
      </w:pPr>
      <w:r>
        <w:rPr>
          <w:rFonts w:hint="eastAsia"/>
          <w:szCs w:val="28"/>
          <w:highlight w:val="none"/>
        </w:rPr>
        <w:t>4.6 空间布局:估价对象</w:t>
      </w:r>
      <w:r>
        <w:rPr>
          <w:rFonts w:hint="eastAsia" w:cs="Times New Roman"/>
          <w:highlight w:val="none"/>
        </w:rPr>
        <w:t>地下1层，地上4层，</w:t>
      </w:r>
      <w:r>
        <w:rPr>
          <w:rFonts w:hint="eastAsia"/>
          <w:szCs w:val="28"/>
          <w:highlight w:val="none"/>
        </w:rPr>
        <w:t>空间布局较好。</w:t>
      </w:r>
    </w:p>
    <w:p>
      <w:pPr>
        <w:spacing w:line="580" w:lineRule="exact"/>
        <w:ind w:firstLine="560" w:firstLineChars="200"/>
        <w:rPr>
          <w:szCs w:val="28"/>
          <w:highlight w:val="none"/>
        </w:rPr>
      </w:pPr>
      <w:r>
        <w:rPr>
          <w:rFonts w:hint="eastAsia"/>
          <w:szCs w:val="28"/>
          <w:highlight w:val="none"/>
        </w:rPr>
        <w:t>4.7 朝向:估价对象所在建筑南北朝向。</w:t>
      </w:r>
    </w:p>
    <w:p>
      <w:pPr>
        <w:spacing w:line="580" w:lineRule="exact"/>
        <w:ind w:firstLine="560" w:firstLineChars="200"/>
        <w:rPr>
          <w:szCs w:val="28"/>
          <w:highlight w:val="none"/>
        </w:rPr>
      </w:pPr>
      <w:r>
        <w:rPr>
          <w:rFonts w:hint="eastAsia"/>
          <w:szCs w:val="28"/>
          <w:highlight w:val="none"/>
        </w:rPr>
        <w:t>4.8 临街状况:估价对象所在建筑不临街。</w:t>
      </w:r>
    </w:p>
    <w:p>
      <w:pPr>
        <w:spacing w:line="580" w:lineRule="exact"/>
        <w:ind w:firstLine="560" w:firstLineChars="200"/>
        <w:rPr>
          <w:szCs w:val="28"/>
          <w:highlight w:val="none"/>
        </w:rPr>
      </w:pPr>
      <w:r>
        <w:rPr>
          <w:rFonts w:hint="eastAsia"/>
          <w:szCs w:val="28"/>
          <w:highlight w:val="none"/>
        </w:rPr>
        <w:t>4.9院落：估价对象南部有35</w:t>
      </w:r>
      <w:r>
        <w:rPr>
          <w:rFonts w:hint="eastAsia" w:cs="Times New Roman"/>
          <w:highlight w:val="none"/>
        </w:rPr>
        <w:t>㎡左右的空地，用绿篱与相邻空地分隔。</w:t>
      </w:r>
    </w:p>
    <w:p>
      <w:pPr>
        <w:spacing w:line="580" w:lineRule="exact"/>
        <w:ind w:firstLine="560" w:firstLineChars="200"/>
        <w:rPr>
          <w:szCs w:val="28"/>
          <w:highlight w:val="none"/>
        </w:rPr>
      </w:pPr>
      <w:r>
        <w:rPr>
          <w:rFonts w:hint="eastAsia"/>
          <w:szCs w:val="28"/>
          <w:highlight w:val="none"/>
        </w:rPr>
        <w:t>4.10 维护状况:建筑物的结构、墙体、楼屋面基本完好坚圆，无空鼓、损坏、腐蚀；门窗开关基本灵活、基本完好无损，内外墙粉刷较完整、无脱落；水电卫、消防、监控等设备较齐全，使用较正常。维护保养较好。</w:t>
      </w:r>
    </w:p>
    <w:p>
      <w:pPr>
        <w:spacing w:line="580" w:lineRule="exact"/>
        <w:ind w:firstLine="560" w:firstLineChars="200"/>
        <w:rPr>
          <w:szCs w:val="28"/>
          <w:highlight w:val="none"/>
        </w:rPr>
      </w:pPr>
      <w:r>
        <w:rPr>
          <w:rFonts w:hint="eastAsia"/>
          <w:szCs w:val="28"/>
          <w:highlight w:val="none"/>
        </w:rPr>
        <w:t>4.11 完损状况:估价人员根据原城乡建设环境保护部发布的《房屋完损等级评定标准》，考虑房屋用途、年限等因素，结合评估经验，确定估价对象为完好房。</w:t>
      </w:r>
    </w:p>
    <w:p>
      <w:pPr>
        <w:spacing w:line="580" w:lineRule="exact"/>
        <w:ind w:firstLine="560" w:firstLineChars="200"/>
        <w:rPr>
          <w:b/>
          <w:bCs/>
          <w:szCs w:val="28"/>
          <w:highlight w:val="none"/>
        </w:rPr>
      </w:pPr>
      <w:r>
        <w:rPr>
          <w:rFonts w:hint="eastAsia"/>
          <w:b/>
          <w:bCs/>
          <w:szCs w:val="28"/>
          <w:highlight w:val="none"/>
        </w:rPr>
        <w:t>(五)估价对象区位状况</w:t>
      </w:r>
    </w:p>
    <w:p>
      <w:pPr>
        <w:spacing w:line="580" w:lineRule="exact"/>
        <w:ind w:firstLine="560" w:firstLineChars="200"/>
        <w:rPr>
          <w:szCs w:val="28"/>
          <w:highlight w:val="none"/>
        </w:rPr>
      </w:pPr>
      <w:r>
        <w:rPr>
          <w:rFonts w:hint="eastAsia"/>
          <w:szCs w:val="28"/>
          <w:highlight w:val="none"/>
        </w:rPr>
        <w:t>1、位置状况</w:t>
      </w:r>
    </w:p>
    <w:p>
      <w:pPr>
        <w:spacing w:line="580" w:lineRule="exact"/>
        <w:ind w:firstLine="560" w:firstLineChars="200"/>
        <w:rPr>
          <w:szCs w:val="28"/>
          <w:highlight w:val="none"/>
        </w:rPr>
      </w:pPr>
      <w:r>
        <w:rPr>
          <w:rFonts w:hint="eastAsia"/>
          <w:szCs w:val="28"/>
          <w:highlight w:val="none"/>
        </w:rPr>
        <w:t>1.1 坐落:</w:t>
      </w:r>
      <w:r>
        <w:rPr>
          <w:rFonts w:hint="eastAsia"/>
          <w:highlight w:val="none"/>
        </w:rPr>
        <w:t>靖江市兰园雅居10幢04；</w:t>
      </w:r>
    </w:p>
    <w:p>
      <w:pPr>
        <w:spacing w:line="580" w:lineRule="exact"/>
        <w:ind w:firstLine="560" w:firstLineChars="200"/>
        <w:rPr>
          <w:szCs w:val="28"/>
          <w:highlight w:val="none"/>
        </w:rPr>
      </w:pPr>
      <w:r>
        <w:rPr>
          <w:rFonts w:hint="eastAsia"/>
          <w:szCs w:val="28"/>
          <w:highlight w:val="none"/>
        </w:rPr>
        <w:t>1.2 方位:位于靖江市中心，位置优；</w:t>
      </w:r>
    </w:p>
    <w:p>
      <w:pPr>
        <w:spacing w:line="580" w:lineRule="exact"/>
        <w:ind w:firstLine="560" w:firstLineChars="200"/>
        <w:rPr>
          <w:szCs w:val="28"/>
          <w:highlight w:val="none"/>
        </w:rPr>
      </w:pPr>
      <w:r>
        <w:rPr>
          <w:rFonts w:hint="eastAsia"/>
          <w:szCs w:val="28"/>
          <w:highlight w:val="none"/>
        </w:rPr>
        <w:t>1.3 与重要场所(设施)的距离:距靖江市政府约2.3公里；</w:t>
      </w:r>
    </w:p>
    <w:p>
      <w:pPr>
        <w:spacing w:line="580" w:lineRule="exact"/>
        <w:ind w:firstLine="560" w:firstLineChars="200"/>
        <w:rPr>
          <w:szCs w:val="28"/>
          <w:highlight w:val="none"/>
        </w:rPr>
      </w:pPr>
      <w:r>
        <w:rPr>
          <w:rFonts w:hint="eastAsia"/>
          <w:szCs w:val="28"/>
          <w:highlight w:val="none"/>
        </w:rPr>
        <w:t>1.4 临街(路)状况:临交通型主干道城东大道，临路状况较优；</w:t>
      </w:r>
    </w:p>
    <w:p>
      <w:pPr>
        <w:spacing w:line="580" w:lineRule="exact"/>
        <w:ind w:firstLine="560" w:firstLineChars="200"/>
        <w:rPr>
          <w:szCs w:val="28"/>
          <w:highlight w:val="none"/>
        </w:rPr>
      </w:pPr>
      <w:r>
        <w:rPr>
          <w:rFonts w:hint="eastAsia"/>
          <w:szCs w:val="28"/>
          <w:highlight w:val="none"/>
        </w:rPr>
        <w:t>1.5 朝向:南北朝向；</w:t>
      </w:r>
    </w:p>
    <w:p>
      <w:pPr>
        <w:spacing w:line="580" w:lineRule="exact"/>
        <w:ind w:firstLine="560" w:firstLineChars="200"/>
        <w:rPr>
          <w:rFonts w:cs="Times New Roman"/>
          <w:highlight w:val="none"/>
        </w:rPr>
      </w:pPr>
      <w:r>
        <w:rPr>
          <w:rFonts w:hint="eastAsia"/>
          <w:szCs w:val="28"/>
          <w:highlight w:val="none"/>
        </w:rPr>
        <w:t>1.6 楼层:主体建筑总层数:</w:t>
      </w:r>
      <w:r>
        <w:rPr>
          <w:rFonts w:cs="Times New Roman"/>
          <w:highlight w:val="none"/>
        </w:rPr>
        <w:t>总层数共</w:t>
      </w:r>
      <w:r>
        <w:rPr>
          <w:rFonts w:hint="eastAsia" w:cs="Times New Roman"/>
          <w:highlight w:val="none"/>
        </w:rPr>
        <w:t>5</w:t>
      </w:r>
      <w:r>
        <w:rPr>
          <w:rFonts w:cs="Times New Roman"/>
          <w:highlight w:val="none"/>
        </w:rPr>
        <w:t>层</w:t>
      </w:r>
      <w:r>
        <w:rPr>
          <w:rFonts w:hint="eastAsia" w:cs="Times New Roman"/>
          <w:highlight w:val="none"/>
        </w:rPr>
        <w:t>，地下1层，地上4层。</w:t>
      </w:r>
    </w:p>
    <w:p>
      <w:pPr>
        <w:spacing w:line="580" w:lineRule="exact"/>
        <w:ind w:firstLine="560" w:firstLineChars="200"/>
        <w:rPr>
          <w:szCs w:val="28"/>
          <w:highlight w:val="none"/>
        </w:rPr>
      </w:pPr>
      <w:r>
        <w:rPr>
          <w:rFonts w:hint="eastAsia"/>
          <w:szCs w:val="28"/>
          <w:highlight w:val="none"/>
        </w:rPr>
        <w:t>2、交通状况</w:t>
      </w:r>
    </w:p>
    <w:p>
      <w:pPr>
        <w:spacing w:line="580" w:lineRule="exact"/>
        <w:ind w:firstLine="560" w:firstLineChars="200"/>
        <w:rPr>
          <w:szCs w:val="28"/>
          <w:highlight w:val="none"/>
        </w:rPr>
      </w:pPr>
      <w:r>
        <w:rPr>
          <w:rFonts w:hint="eastAsia"/>
          <w:szCs w:val="28"/>
          <w:highlight w:val="none"/>
        </w:rPr>
        <w:t>2.1 道路状况:有城东大道、工农路等交通主次干道，道路等级较高，通达度好，路面为沥青，保养维护好；</w:t>
      </w:r>
    </w:p>
    <w:p>
      <w:pPr>
        <w:spacing w:line="580" w:lineRule="exact"/>
        <w:ind w:firstLine="560" w:firstLineChars="200"/>
        <w:rPr>
          <w:szCs w:val="28"/>
          <w:highlight w:val="none"/>
        </w:rPr>
      </w:pPr>
      <w:r>
        <w:rPr>
          <w:rFonts w:hint="eastAsia"/>
          <w:szCs w:val="28"/>
          <w:highlight w:val="none"/>
        </w:rPr>
        <w:t>2.2 出入可利用交通工具:周边有115路、206路等2条公交车经过，公共交通较便利，距靖江汽车站约3.8公里，对外交通便捷；</w:t>
      </w:r>
    </w:p>
    <w:p>
      <w:pPr>
        <w:spacing w:line="580" w:lineRule="exact"/>
        <w:ind w:firstLine="560" w:firstLineChars="200"/>
        <w:rPr>
          <w:szCs w:val="28"/>
          <w:highlight w:val="none"/>
        </w:rPr>
      </w:pPr>
      <w:r>
        <w:rPr>
          <w:rFonts w:hint="eastAsia"/>
          <w:szCs w:val="28"/>
          <w:highlight w:val="none"/>
        </w:rPr>
        <w:t>2.3 交通管制情况:无交通管制:</w:t>
      </w:r>
    </w:p>
    <w:p>
      <w:pPr>
        <w:spacing w:line="580" w:lineRule="exact"/>
        <w:ind w:firstLine="560" w:firstLineChars="200"/>
        <w:rPr>
          <w:szCs w:val="28"/>
          <w:highlight w:val="none"/>
        </w:rPr>
      </w:pPr>
      <w:r>
        <w:rPr>
          <w:rFonts w:hint="eastAsia"/>
          <w:szCs w:val="28"/>
          <w:highlight w:val="none"/>
        </w:rPr>
        <w:t>2.4 停车方便程度:估价对象所在区域内有地下停车位，停车位基本能满足需要。</w:t>
      </w:r>
    </w:p>
    <w:p>
      <w:pPr>
        <w:spacing w:line="580" w:lineRule="exact"/>
        <w:ind w:firstLine="560" w:firstLineChars="200"/>
        <w:rPr>
          <w:szCs w:val="28"/>
          <w:highlight w:val="none"/>
        </w:rPr>
      </w:pPr>
      <w:r>
        <w:rPr>
          <w:rFonts w:hint="eastAsia"/>
          <w:szCs w:val="28"/>
          <w:highlight w:val="none"/>
        </w:rPr>
        <w:t>3、周围环境状况</w:t>
      </w:r>
    </w:p>
    <w:p>
      <w:pPr>
        <w:spacing w:line="580" w:lineRule="exact"/>
        <w:ind w:firstLine="560" w:firstLineChars="200"/>
        <w:rPr>
          <w:szCs w:val="28"/>
          <w:highlight w:val="none"/>
        </w:rPr>
      </w:pPr>
      <w:r>
        <w:rPr>
          <w:rFonts w:hint="eastAsia"/>
          <w:szCs w:val="28"/>
          <w:highlight w:val="none"/>
        </w:rPr>
        <w:t>3.1 自然环境:估价对象所在区域基本无水污染，空气质量较好，污染物排放基本达标，污染治理状况较好，且周边没有高压输电线路、加油站等，自然环境较好；</w:t>
      </w:r>
    </w:p>
    <w:p>
      <w:pPr>
        <w:spacing w:line="580" w:lineRule="exact"/>
        <w:ind w:firstLine="560" w:firstLineChars="200"/>
        <w:rPr>
          <w:szCs w:val="28"/>
          <w:highlight w:val="none"/>
        </w:rPr>
      </w:pPr>
      <w:r>
        <w:rPr>
          <w:rFonts w:hint="eastAsia"/>
          <w:szCs w:val="28"/>
          <w:highlight w:val="none"/>
        </w:rPr>
        <w:t>3.2 人文环境:估价对象正兴花苑、东环花苑、越江中心小学，所在区域居民素质良好，社会治安良好，卫生条件良好，人文环境较好；</w:t>
      </w:r>
    </w:p>
    <w:p>
      <w:pPr>
        <w:spacing w:line="580" w:lineRule="exact"/>
        <w:ind w:firstLine="560" w:firstLineChars="200"/>
        <w:rPr>
          <w:szCs w:val="28"/>
          <w:highlight w:val="none"/>
        </w:rPr>
      </w:pPr>
      <w:r>
        <w:rPr>
          <w:rFonts w:hint="eastAsia"/>
          <w:szCs w:val="28"/>
          <w:highlight w:val="none"/>
        </w:rPr>
        <w:t>3.3 景观:附近有百蔚园，景观状况较优。</w:t>
      </w:r>
    </w:p>
    <w:p>
      <w:pPr>
        <w:spacing w:line="580" w:lineRule="exact"/>
        <w:ind w:firstLine="560" w:firstLineChars="200"/>
        <w:rPr>
          <w:szCs w:val="28"/>
          <w:highlight w:val="none"/>
        </w:rPr>
      </w:pPr>
      <w:r>
        <w:rPr>
          <w:rFonts w:hint="eastAsia"/>
          <w:szCs w:val="28"/>
          <w:highlight w:val="none"/>
        </w:rPr>
        <w:t>4、外部配套设施状况</w:t>
      </w:r>
    </w:p>
    <w:p>
      <w:pPr>
        <w:spacing w:line="580" w:lineRule="exact"/>
        <w:ind w:firstLine="560" w:firstLineChars="200"/>
        <w:rPr>
          <w:szCs w:val="28"/>
          <w:highlight w:val="none"/>
        </w:rPr>
      </w:pPr>
      <w:r>
        <w:rPr>
          <w:rFonts w:hint="eastAsia"/>
          <w:szCs w:val="28"/>
          <w:highlight w:val="none"/>
        </w:rPr>
        <w:t>4.1 基础设施:区域内城市基础设施建设基本完善，宗地红线外已达“六通”(通上水、通下水、通路、酒电、通讯、通气) ；</w:t>
      </w:r>
    </w:p>
    <w:p>
      <w:pPr>
        <w:spacing w:line="580" w:lineRule="exact"/>
        <w:ind w:firstLine="560" w:firstLineChars="200"/>
        <w:rPr>
          <w:szCs w:val="28"/>
          <w:highlight w:val="none"/>
        </w:rPr>
      </w:pPr>
      <w:r>
        <w:rPr>
          <w:rFonts w:hint="eastAsia"/>
          <w:szCs w:val="28"/>
          <w:highlight w:val="none"/>
        </w:rPr>
        <w:t>4.1.1 供水:估价对象所在区域供水保证99%以上，能满足企业经营、生活用水需求，供水条件优；</w:t>
      </w:r>
    </w:p>
    <w:p>
      <w:pPr>
        <w:spacing w:line="580" w:lineRule="exact"/>
        <w:ind w:firstLine="560" w:firstLineChars="200"/>
        <w:rPr>
          <w:szCs w:val="28"/>
          <w:highlight w:val="none"/>
        </w:rPr>
      </w:pPr>
      <w:r>
        <w:rPr>
          <w:rFonts w:hint="eastAsia"/>
          <w:szCs w:val="28"/>
          <w:highlight w:val="none"/>
        </w:rPr>
        <w:t>4.1.2 排水:估价对象所在区域排水为雨污分流方式，雨水排入市政排水管网，污水接入污水管网经污水处理厂处理达标后排放，排水设施完善，排水通畅，排水条件优；</w:t>
      </w:r>
    </w:p>
    <w:p>
      <w:pPr>
        <w:spacing w:line="580" w:lineRule="exact"/>
        <w:ind w:firstLine="560" w:firstLineChars="200"/>
        <w:rPr>
          <w:szCs w:val="28"/>
          <w:highlight w:val="none"/>
        </w:rPr>
      </w:pPr>
      <w:r>
        <w:rPr>
          <w:rFonts w:hint="eastAsia"/>
          <w:szCs w:val="28"/>
          <w:highlight w:val="none"/>
        </w:rPr>
        <w:t>4.1.3 道路:区域道路四通八达，经城东大道可与江阴大桥、京沪高速连通，道路条件优。</w:t>
      </w:r>
    </w:p>
    <w:p>
      <w:pPr>
        <w:spacing w:line="580" w:lineRule="exact"/>
        <w:ind w:firstLine="560" w:firstLineChars="200"/>
        <w:rPr>
          <w:szCs w:val="28"/>
          <w:highlight w:val="none"/>
        </w:rPr>
      </w:pPr>
      <w:r>
        <w:rPr>
          <w:rFonts w:hint="eastAsia"/>
          <w:szCs w:val="28"/>
          <w:highlight w:val="none"/>
        </w:rPr>
        <w:t>4.1.4 供电:估价对象所在区城由国家电网靖江供电公司供电，供电保证率99%以上，供电条件优；</w:t>
      </w:r>
    </w:p>
    <w:p>
      <w:pPr>
        <w:pageBreakBefore w:val="0"/>
        <w:widowControl w:val="0"/>
        <w:kinsoku/>
        <w:wordWrap/>
        <w:overflowPunct/>
        <w:topLinePunct w:val="0"/>
        <w:autoSpaceDE/>
        <w:autoSpaceDN/>
        <w:bidi w:val="0"/>
        <w:adjustRightInd/>
        <w:spacing w:line="580" w:lineRule="exact"/>
        <w:ind w:firstLine="560" w:firstLineChars="200"/>
        <w:textAlignment w:val="auto"/>
        <w:rPr>
          <w:szCs w:val="28"/>
          <w:highlight w:val="none"/>
        </w:rPr>
      </w:pPr>
      <w:r>
        <w:rPr>
          <w:rFonts w:hint="eastAsia"/>
          <w:szCs w:val="28"/>
          <w:highlight w:val="none"/>
        </w:rPr>
        <w:t>4.1.5 电讯:日前已建成的通信网络可提供国际直拨长途电话业务、全国互联漫游(包括部分国外城市)移动电话业务、无线寻呼业务、国内主要城市电视和电话会议业务、传真通信业务、ISDN、 ADSL 业务及公用数据通信业务，电讯条件优；</w:t>
      </w:r>
    </w:p>
    <w:p>
      <w:pPr>
        <w:pageBreakBefore w:val="0"/>
        <w:widowControl w:val="0"/>
        <w:kinsoku/>
        <w:wordWrap/>
        <w:overflowPunct/>
        <w:topLinePunct w:val="0"/>
        <w:autoSpaceDE/>
        <w:autoSpaceDN/>
        <w:bidi w:val="0"/>
        <w:adjustRightInd/>
        <w:spacing w:line="580" w:lineRule="exact"/>
        <w:ind w:firstLine="560" w:firstLineChars="200"/>
        <w:textAlignment w:val="auto"/>
        <w:rPr>
          <w:szCs w:val="28"/>
          <w:highlight w:val="none"/>
        </w:rPr>
      </w:pPr>
      <w:r>
        <w:rPr>
          <w:rFonts w:hint="eastAsia"/>
          <w:szCs w:val="28"/>
          <w:highlight w:val="none"/>
        </w:rPr>
        <w:t>4.1.6 供气:估价对象所在区域由靖江天力燃气有限公司供气，压力高，供气保证率99%以上，供气条件优；</w:t>
      </w:r>
    </w:p>
    <w:p>
      <w:pPr>
        <w:pageBreakBefore w:val="0"/>
        <w:widowControl w:val="0"/>
        <w:kinsoku/>
        <w:wordWrap/>
        <w:overflowPunct/>
        <w:topLinePunct w:val="0"/>
        <w:autoSpaceDE/>
        <w:autoSpaceDN/>
        <w:bidi w:val="0"/>
        <w:adjustRightInd/>
        <w:spacing w:line="580" w:lineRule="exact"/>
        <w:ind w:firstLine="560" w:firstLineChars="200"/>
        <w:textAlignment w:val="auto"/>
        <w:rPr>
          <w:szCs w:val="28"/>
          <w:highlight w:val="none"/>
        </w:rPr>
      </w:pPr>
      <w:r>
        <w:rPr>
          <w:rFonts w:hint="eastAsia"/>
          <w:szCs w:val="28"/>
          <w:highlight w:val="none"/>
        </w:rPr>
        <w:t>4.2 公共服务设施:估价对象附近公共服务设施数量多，靖江市人民医院、恒天商务广场、越江中心小学，中国农业发展银行等配套设施，生活便利度优，能够满足人们正常的生产和生活需要；</w:t>
      </w:r>
    </w:p>
    <w:p>
      <w:pPr>
        <w:pageBreakBefore w:val="0"/>
        <w:widowControl w:val="0"/>
        <w:kinsoku/>
        <w:wordWrap/>
        <w:overflowPunct/>
        <w:topLinePunct w:val="0"/>
        <w:autoSpaceDE/>
        <w:autoSpaceDN/>
        <w:bidi w:val="0"/>
        <w:adjustRightInd/>
        <w:spacing w:line="580" w:lineRule="exact"/>
        <w:ind w:firstLine="560" w:firstLineChars="200"/>
        <w:textAlignment w:val="auto"/>
        <w:rPr>
          <w:szCs w:val="28"/>
          <w:highlight w:val="none"/>
        </w:rPr>
      </w:pPr>
      <w:r>
        <w:rPr>
          <w:rFonts w:hint="eastAsia"/>
          <w:szCs w:val="28"/>
          <w:highlight w:val="none"/>
        </w:rPr>
        <w:t>4.3 居住聚集度:估价对象位于靖江市中心，附近有正兴花苑、东环花苑、南环花苑等多个住宅小区，居住聚集度较高；</w:t>
      </w:r>
    </w:p>
    <w:p>
      <w:pPr>
        <w:pageBreakBefore w:val="0"/>
        <w:widowControl w:val="0"/>
        <w:kinsoku/>
        <w:wordWrap/>
        <w:overflowPunct/>
        <w:topLinePunct w:val="0"/>
        <w:autoSpaceDE/>
        <w:autoSpaceDN/>
        <w:bidi w:val="0"/>
        <w:adjustRightInd/>
        <w:spacing w:line="580" w:lineRule="exact"/>
        <w:ind w:firstLine="560" w:firstLineChars="200"/>
        <w:textAlignment w:val="auto"/>
        <w:rPr>
          <w:szCs w:val="28"/>
          <w:highlight w:val="none"/>
        </w:rPr>
      </w:pPr>
      <w:r>
        <w:rPr>
          <w:rFonts w:hint="eastAsia"/>
          <w:szCs w:val="28"/>
          <w:highlight w:val="none"/>
        </w:rPr>
        <w:t>分析:估价对象所在区域地理位置优，区位状况优。</w:t>
      </w:r>
    </w:p>
    <w:p>
      <w:pPr>
        <w:pStyle w:val="3"/>
        <w:pageBreakBefore w:val="0"/>
        <w:widowControl w:val="0"/>
        <w:numPr>
          <w:ilvl w:val="0"/>
          <w:numId w:val="3"/>
        </w:numPr>
        <w:kinsoku/>
        <w:wordWrap/>
        <w:overflowPunct/>
        <w:topLinePunct w:val="0"/>
        <w:autoSpaceDE/>
        <w:autoSpaceDN/>
        <w:bidi w:val="0"/>
        <w:adjustRightInd/>
        <w:spacing w:line="580" w:lineRule="exact"/>
        <w:textAlignment w:val="auto"/>
        <w:rPr>
          <w:rFonts w:ascii="楷体" w:hAnsi="楷体" w:eastAsia="楷体"/>
          <w:highlight w:val="none"/>
        </w:rPr>
      </w:pPr>
      <w:bookmarkStart w:id="144" w:name="_Toc365376348"/>
      <w:bookmarkStart w:id="145" w:name="_Toc29462"/>
      <w:bookmarkStart w:id="146" w:name="_Toc326829408"/>
      <w:bookmarkStart w:id="147" w:name="_Toc114643948"/>
      <w:r>
        <w:rPr>
          <w:rFonts w:hint="eastAsia" w:ascii="楷体" w:hAnsi="楷体" w:eastAsia="楷体"/>
          <w:highlight w:val="none"/>
        </w:rPr>
        <w:t>价值时点</w:t>
      </w:r>
      <w:bookmarkEnd w:id="144"/>
      <w:bookmarkEnd w:id="145"/>
      <w:bookmarkEnd w:id="146"/>
      <w:bookmarkEnd w:id="147"/>
    </w:p>
    <w:p>
      <w:pPr>
        <w:pageBreakBefore w:val="0"/>
        <w:widowControl w:val="0"/>
        <w:kinsoku/>
        <w:wordWrap/>
        <w:overflowPunct/>
        <w:topLinePunct w:val="0"/>
        <w:autoSpaceDE/>
        <w:autoSpaceDN/>
        <w:bidi w:val="0"/>
        <w:adjustRightInd/>
        <w:spacing w:line="580" w:lineRule="exact"/>
        <w:ind w:firstLine="560" w:firstLineChars="200"/>
        <w:textAlignment w:val="auto"/>
        <w:rPr>
          <w:rFonts w:ascii="楷体" w:hAnsi="楷体"/>
          <w:szCs w:val="28"/>
          <w:highlight w:val="none"/>
        </w:rPr>
      </w:pPr>
      <w:bookmarkStart w:id="148" w:name="_Toc326829409"/>
      <w:bookmarkStart w:id="149" w:name="_Toc365376349"/>
      <w:r>
        <w:rPr>
          <w:rFonts w:hint="eastAsia" w:cs="Times New Roman"/>
          <w:szCs w:val="28"/>
          <w:highlight w:val="none"/>
        </w:rPr>
        <w:t>根据估价委托人要求及估价师查勘进展情况，确定本报告</w:t>
      </w:r>
      <w:r>
        <w:rPr>
          <w:rFonts w:cs="Times New Roman"/>
          <w:szCs w:val="28"/>
          <w:highlight w:val="none"/>
        </w:rPr>
        <w:t>的价值时点</w:t>
      </w:r>
      <w:r>
        <w:rPr>
          <w:rFonts w:hint="eastAsia" w:cs="Times New Roman"/>
          <w:szCs w:val="28"/>
          <w:highlight w:val="none"/>
        </w:rPr>
        <w:t>为2022年8月9日。</w:t>
      </w:r>
    </w:p>
    <w:p>
      <w:pPr>
        <w:pStyle w:val="3"/>
        <w:pageBreakBefore w:val="0"/>
        <w:widowControl w:val="0"/>
        <w:kinsoku/>
        <w:wordWrap/>
        <w:overflowPunct/>
        <w:topLinePunct w:val="0"/>
        <w:autoSpaceDE/>
        <w:autoSpaceDN/>
        <w:bidi w:val="0"/>
        <w:adjustRightInd/>
        <w:spacing w:line="580" w:lineRule="exact"/>
        <w:textAlignment w:val="auto"/>
        <w:rPr>
          <w:rFonts w:ascii="Times New Roman" w:hAnsi="Times New Roman" w:eastAsia="楷体"/>
          <w:highlight w:val="none"/>
        </w:rPr>
      </w:pPr>
      <w:bookmarkStart w:id="150" w:name="_Toc114643949"/>
      <w:bookmarkStart w:id="151" w:name="_Toc18338"/>
      <w:r>
        <w:rPr>
          <w:rFonts w:hint="eastAsia" w:ascii="Times New Roman" w:hAnsi="Times New Roman" w:eastAsia="楷体"/>
          <w:highlight w:val="none"/>
        </w:rPr>
        <w:t>六、价值</w:t>
      </w:r>
      <w:bookmarkEnd w:id="148"/>
      <w:bookmarkEnd w:id="149"/>
      <w:r>
        <w:rPr>
          <w:rFonts w:hint="eastAsia" w:ascii="Times New Roman" w:hAnsi="Times New Roman" w:eastAsia="楷体"/>
          <w:highlight w:val="none"/>
        </w:rPr>
        <w:t>类型</w:t>
      </w:r>
      <w:bookmarkEnd w:id="150"/>
      <w:bookmarkEnd w:id="151"/>
    </w:p>
    <w:p>
      <w:pPr>
        <w:pageBreakBefore w:val="0"/>
        <w:widowControl w:val="0"/>
        <w:shd w:val="clear" w:color="auto" w:fill="FFFFFF"/>
        <w:tabs>
          <w:tab w:val="left" w:pos="6300"/>
          <w:tab w:val="left" w:pos="6480"/>
          <w:tab w:val="left" w:pos="6660"/>
        </w:tabs>
        <w:kinsoku/>
        <w:wordWrap/>
        <w:overflowPunct/>
        <w:topLinePunct w:val="0"/>
        <w:autoSpaceDE/>
        <w:autoSpaceDN/>
        <w:bidi w:val="0"/>
        <w:adjustRightInd/>
        <w:snapToGrid w:val="0"/>
        <w:spacing w:line="580" w:lineRule="exact"/>
        <w:ind w:firstLine="560" w:firstLineChars="200"/>
        <w:textAlignment w:val="auto"/>
        <w:rPr>
          <w:rFonts w:cs="Times New Roman"/>
          <w:highlight w:val="none"/>
        </w:rPr>
      </w:pPr>
      <w:bookmarkStart w:id="152" w:name="_Toc326829410"/>
      <w:bookmarkStart w:id="153" w:name="_Toc365376350"/>
      <w:r>
        <w:rPr>
          <w:rFonts w:cs="Times New Roman"/>
          <w:highlight w:val="none"/>
        </w:rPr>
        <w:t>1、价值类型：房地产市场价格，即估价对象在价值时点的市场价格。</w:t>
      </w:r>
    </w:p>
    <w:p>
      <w:pPr>
        <w:pageBreakBefore w:val="0"/>
        <w:widowControl w:val="0"/>
        <w:shd w:val="clear" w:color="auto" w:fill="FFFFFF"/>
        <w:tabs>
          <w:tab w:val="left" w:pos="6300"/>
          <w:tab w:val="left" w:pos="6480"/>
          <w:tab w:val="left" w:pos="6660"/>
        </w:tabs>
        <w:kinsoku/>
        <w:wordWrap/>
        <w:overflowPunct/>
        <w:topLinePunct w:val="0"/>
        <w:autoSpaceDE/>
        <w:autoSpaceDN/>
        <w:bidi w:val="0"/>
        <w:adjustRightInd/>
        <w:snapToGrid w:val="0"/>
        <w:spacing w:line="580" w:lineRule="exact"/>
        <w:ind w:left="-2" w:leftChars="-1" w:firstLine="560" w:firstLineChars="200"/>
        <w:textAlignment w:val="auto"/>
        <w:rPr>
          <w:rFonts w:ascii="楷体" w:hAnsi="楷体"/>
          <w:highlight w:val="none"/>
        </w:rPr>
      </w:pPr>
      <w:r>
        <w:rPr>
          <w:rFonts w:cs="Times New Roman"/>
          <w:highlight w:val="none"/>
        </w:rPr>
        <w:t>2、</w:t>
      </w:r>
      <w:r>
        <w:rPr>
          <w:rFonts w:hint="eastAsia" w:ascii="楷体" w:hAnsi="楷体"/>
          <w:highlight w:val="none"/>
        </w:rPr>
        <w:t>价值定义：指估价对象于价值时点</w:t>
      </w:r>
      <w:r>
        <w:rPr>
          <w:rFonts w:hint="eastAsia" w:cs="Times New Roman"/>
          <w:szCs w:val="28"/>
          <w:highlight w:val="none"/>
        </w:rPr>
        <w:t>2022年8月9日</w:t>
      </w:r>
      <w:r>
        <w:rPr>
          <w:rFonts w:hint="eastAsia" w:ascii="楷体" w:hAnsi="楷体"/>
          <w:highlight w:val="none"/>
        </w:rPr>
        <w:t>，在本次估价的假设和限制条件下，包括建筑物、相应的土地使用权及相关配套设施的价格；付款方式是一次性；房屋面积内涵为建筑面积；开发程度为宗地红线外具备“六通”红线内“六通一平”条件下的假定未设立法定优先受偿权的房地产市场价格。</w:t>
      </w:r>
    </w:p>
    <w:p>
      <w:pPr>
        <w:pStyle w:val="3"/>
        <w:spacing w:line="360" w:lineRule="auto"/>
        <w:rPr>
          <w:rFonts w:ascii="Times New Roman" w:hAnsi="Times New Roman" w:eastAsia="楷体"/>
          <w:highlight w:val="none"/>
        </w:rPr>
      </w:pPr>
      <w:bookmarkStart w:id="154" w:name="_Toc114643950"/>
      <w:bookmarkStart w:id="155" w:name="_Toc13938"/>
      <w:r>
        <w:rPr>
          <w:rFonts w:hint="eastAsia" w:ascii="Times New Roman" w:hAnsi="Times New Roman" w:eastAsia="楷体"/>
          <w:highlight w:val="none"/>
        </w:rPr>
        <w:t>七、估价原则</w:t>
      </w:r>
      <w:bookmarkEnd w:id="154"/>
      <w:bookmarkEnd w:id="155"/>
    </w:p>
    <w:p>
      <w:pPr>
        <w:spacing w:line="360" w:lineRule="auto"/>
        <w:ind w:firstLine="495"/>
        <w:rPr>
          <w:bCs/>
          <w:highlight w:val="none"/>
        </w:rPr>
      </w:pPr>
      <w:bookmarkStart w:id="156" w:name="_Toc19160"/>
      <w:r>
        <w:rPr>
          <w:rFonts w:hint="eastAsia"/>
          <w:bCs/>
          <w:highlight w:val="none"/>
        </w:rPr>
        <w:t>1.遵循独立、客观、公正原则。是指要求注册房地产估价师站在中立的立场上，实事求是、公平正直地评估出对各方估价利害关系人均是公平合理的价格的原则。具体地说，独立的要求是，房地产估价师不应受任何组织和个人的非法干预，完全凭借自己的专业知识、经验和应有的职业道德进行评估。客观的要求是，房地产估价师不应带着自己的好恶、情感和偏见，完全从客观实际出发，反映事物的本来面目。公正的要求是，房地产估价师在估价中应当公平正直，不偏祖相关当事人中任何方。</w:t>
      </w:r>
    </w:p>
    <w:p>
      <w:pPr>
        <w:spacing w:line="360" w:lineRule="auto"/>
        <w:ind w:firstLine="495"/>
        <w:rPr>
          <w:bCs/>
          <w:highlight w:val="none"/>
        </w:rPr>
      </w:pPr>
      <w:r>
        <w:rPr>
          <w:rFonts w:hint="eastAsia"/>
          <w:bCs/>
          <w:highlight w:val="none"/>
        </w:rPr>
        <w:t>2、遵循合法原则。是指要求估价结果是在依法判定的估价对象状况下的价格的原则。应以估价对象的合法权益为前提估价。合法权益包括:合法产权、合法使用、合法处分等方面。</w:t>
      </w:r>
    </w:p>
    <w:p>
      <w:pPr>
        <w:spacing w:line="360" w:lineRule="auto"/>
        <w:ind w:firstLine="495"/>
        <w:rPr>
          <w:bCs/>
          <w:highlight w:val="none"/>
        </w:rPr>
      </w:pPr>
      <w:r>
        <w:rPr>
          <w:rFonts w:hint="eastAsia"/>
          <w:bCs/>
          <w:highlight w:val="none"/>
        </w:rPr>
        <w:t>3、遵循价值时点原则。是指要求估价结果是在根据估价目的确定的某一特定时间的价格的原则。同一宗房地产在不同时点往往会有不同的价格，所以在评估一宗房地产价格时，必须假定市场情况停止在价值时点上，同时估价对象房地产的状况也是以其在该时点的状况为准。</w:t>
      </w:r>
    </w:p>
    <w:p>
      <w:pPr>
        <w:spacing w:line="360" w:lineRule="auto"/>
        <w:ind w:firstLine="495"/>
        <w:rPr>
          <w:bCs/>
          <w:highlight w:val="none"/>
        </w:rPr>
      </w:pPr>
      <w:r>
        <w:rPr>
          <w:rFonts w:hint="eastAsia"/>
          <w:bCs/>
          <w:highlight w:val="none"/>
        </w:rPr>
        <w:t>4、遵循最高最佳利用原则。是指要求估价结果是在估价对象最高最佳利用状况下的价格的原则。最高最佳利用状况包括最佳的用途、规模和档次，应按法律上允许、技术上可能、财务上可行、价格最大化的次序进行分析、筛选或判断确定。</w:t>
      </w:r>
    </w:p>
    <w:p>
      <w:pPr>
        <w:spacing w:line="360" w:lineRule="auto"/>
        <w:ind w:firstLine="495"/>
        <w:rPr>
          <w:bCs/>
          <w:highlight w:val="none"/>
        </w:rPr>
      </w:pPr>
      <w:r>
        <w:rPr>
          <w:rFonts w:hint="eastAsia"/>
          <w:bCs/>
          <w:highlight w:val="none"/>
        </w:rPr>
        <w:t>5、遵循替代原则。是指要求估价结果与估价对象的类似房地产在同等条件下的价格偏差在合理范围内的原则。即要求估价不得明显偏离类似房地产在同等条件下的正常价格。</w:t>
      </w:r>
    </w:p>
    <w:p>
      <w:pPr>
        <w:pStyle w:val="3"/>
        <w:spacing w:line="360" w:lineRule="auto"/>
        <w:rPr>
          <w:rFonts w:ascii="Times New Roman" w:hAnsi="Times New Roman" w:eastAsia="楷体"/>
          <w:highlight w:val="none"/>
        </w:rPr>
      </w:pPr>
      <w:bookmarkStart w:id="157" w:name="_Toc114643951"/>
      <w:r>
        <w:rPr>
          <w:rFonts w:hint="eastAsia" w:ascii="Times New Roman" w:hAnsi="Times New Roman" w:eastAsia="楷体"/>
          <w:highlight w:val="none"/>
        </w:rPr>
        <w:t>八、估价依据</w:t>
      </w:r>
      <w:bookmarkEnd w:id="152"/>
      <w:bookmarkEnd w:id="153"/>
      <w:bookmarkEnd w:id="156"/>
      <w:bookmarkEnd w:id="157"/>
    </w:p>
    <w:p>
      <w:pPr>
        <w:spacing w:line="360" w:lineRule="auto"/>
        <w:ind w:firstLine="495"/>
        <w:rPr>
          <w:b/>
          <w:szCs w:val="28"/>
          <w:highlight w:val="none"/>
        </w:rPr>
      </w:pPr>
      <w:bookmarkStart w:id="158" w:name="_Toc365376351"/>
      <w:bookmarkStart w:id="159" w:name="_Toc14488"/>
      <w:bookmarkStart w:id="160" w:name="_Toc365376352"/>
      <w:r>
        <w:rPr>
          <w:rFonts w:hint="eastAsia"/>
          <w:b/>
          <w:szCs w:val="28"/>
          <w:highlight w:val="none"/>
        </w:rPr>
        <w:t>(一)国家有关部门颁布的法律法规及相关文件</w:t>
      </w:r>
    </w:p>
    <w:p>
      <w:pPr>
        <w:spacing w:line="360" w:lineRule="auto"/>
        <w:ind w:firstLine="495"/>
        <w:rPr>
          <w:bCs/>
          <w:highlight w:val="none"/>
        </w:rPr>
      </w:pPr>
      <w:r>
        <w:rPr>
          <w:rFonts w:hint="eastAsia"/>
          <w:bCs/>
          <w:highlight w:val="none"/>
        </w:rPr>
        <w:t>1、《中华人民共和国民法典》(2020年5月28日第十三届全国人民代表大会第三次会议通过，自2021年1月1日起施行)</w:t>
      </w:r>
    </w:p>
    <w:p>
      <w:pPr>
        <w:spacing w:line="360" w:lineRule="auto"/>
        <w:ind w:firstLine="495"/>
        <w:rPr>
          <w:bCs/>
          <w:szCs w:val="24"/>
          <w:highlight w:val="none"/>
        </w:rPr>
      </w:pPr>
      <w:r>
        <w:rPr>
          <w:rFonts w:hint="eastAsia"/>
          <w:bCs/>
          <w:szCs w:val="24"/>
          <w:highlight w:val="none"/>
        </w:rPr>
        <w:t>2、</w:t>
      </w:r>
      <w:r>
        <w:rPr>
          <w:bCs/>
          <w:szCs w:val="24"/>
          <w:highlight w:val="none"/>
        </w:rPr>
        <w:t>《中华人民共和国资产评估法》（中华人民共和国主席令第四十六号，自2016年12月1日起施行）</w:t>
      </w:r>
    </w:p>
    <w:p>
      <w:pPr>
        <w:spacing w:line="360" w:lineRule="auto"/>
        <w:ind w:firstLine="495"/>
        <w:rPr>
          <w:bCs/>
          <w:szCs w:val="28"/>
          <w:highlight w:val="none"/>
        </w:rPr>
      </w:pPr>
      <w:r>
        <w:rPr>
          <w:rFonts w:hint="eastAsia"/>
          <w:bCs/>
          <w:szCs w:val="24"/>
          <w:highlight w:val="none"/>
        </w:rPr>
        <w:t>3、《中华人民共和国城市房地产管理</w:t>
      </w:r>
      <w:r>
        <w:rPr>
          <w:rFonts w:hint="eastAsia"/>
          <w:bCs/>
          <w:szCs w:val="28"/>
          <w:highlight w:val="none"/>
        </w:rPr>
        <w:t>法》（</w:t>
      </w:r>
      <w:r>
        <w:rPr>
          <w:rFonts w:hint="eastAsia"/>
          <w:bCs/>
          <w:highlight w:val="none"/>
        </w:rPr>
        <w:t>中华人民共和国主席令第29号，</w:t>
      </w:r>
      <w:r>
        <w:rPr>
          <w:rFonts w:hint="eastAsia"/>
          <w:bCs/>
          <w:szCs w:val="24"/>
          <w:highlight w:val="none"/>
        </w:rPr>
        <w:t>第三次修正，2020年1月1日起施行</w:t>
      </w:r>
      <w:r>
        <w:rPr>
          <w:rFonts w:hint="eastAsia"/>
          <w:bCs/>
          <w:szCs w:val="28"/>
          <w:highlight w:val="none"/>
        </w:rPr>
        <w:t>）</w:t>
      </w:r>
    </w:p>
    <w:p>
      <w:pPr>
        <w:spacing w:line="360" w:lineRule="auto"/>
        <w:ind w:firstLine="495"/>
        <w:rPr>
          <w:bCs/>
          <w:szCs w:val="28"/>
          <w:highlight w:val="none"/>
        </w:rPr>
      </w:pPr>
      <w:r>
        <w:rPr>
          <w:rFonts w:hint="eastAsia"/>
          <w:bCs/>
          <w:szCs w:val="28"/>
          <w:highlight w:val="none"/>
        </w:rPr>
        <w:t>4、《城市房地产开发经营管理条例》(国务院令第248号，自发布之日1998年7月20日起施行，2020年3月27日进行了第四次修订)</w:t>
      </w:r>
    </w:p>
    <w:p>
      <w:pPr>
        <w:spacing w:line="360" w:lineRule="auto"/>
        <w:ind w:firstLine="495"/>
        <w:rPr>
          <w:bCs/>
          <w:szCs w:val="24"/>
          <w:highlight w:val="none"/>
        </w:rPr>
      </w:pPr>
      <w:r>
        <w:rPr>
          <w:rFonts w:hint="eastAsia"/>
          <w:bCs/>
          <w:szCs w:val="24"/>
          <w:highlight w:val="none"/>
        </w:rPr>
        <w:t>5、《中华人民共和国土地管理法》( 第三次修正，2019年8月26日中华人民共和国主席令第32号公布，自2020年1月1日起施行)</w:t>
      </w:r>
    </w:p>
    <w:p>
      <w:pPr>
        <w:spacing w:line="360" w:lineRule="auto"/>
        <w:ind w:firstLine="495"/>
        <w:rPr>
          <w:rFonts w:cs="Times New Roman"/>
          <w:bCs/>
          <w:szCs w:val="24"/>
          <w:highlight w:val="none"/>
        </w:rPr>
      </w:pPr>
      <w:r>
        <w:rPr>
          <w:rFonts w:hint="eastAsia" w:cs="Times New Roman"/>
          <w:bCs/>
          <w:szCs w:val="24"/>
          <w:highlight w:val="none"/>
        </w:rPr>
        <w:t>6、《中华人民共和国土地管理法实施条例》 (2021年4月21日国务院第132次常务会议修订通过，自2021年9月1日起施行)</w:t>
      </w:r>
    </w:p>
    <w:p>
      <w:pPr>
        <w:spacing w:line="360" w:lineRule="auto"/>
        <w:ind w:firstLine="495"/>
        <w:rPr>
          <w:rFonts w:cs="Times New Roman"/>
          <w:bCs/>
          <w:szCs w:val="24"/>
          <w:highlight w:val="none"/>
        </w:rPr>
      </w:pPr>
      <w:r>
        <w:rPr>
          <w:rFonts w:hint="eastAsia" w:cs="Times New Roman"/>
          <w:bCs/>
          <w:szCs w:val="24"/>
          <w:highlight w:val="none"/>
        </w:rPr>
        <w:t>7</w:t>
      </w:r>
      <w:r>
        <w:rPr>
          <w:rFonts w:hint="eastAsia"/>
          <w:bCs/>
          <w:szCs w:val="24"/>
          <w:highlight w:val="none"/>
        </w:rPr>
        <w:t>、《中华人民共和国城镇国有土地使用权出让和转让暂行条例》（2020</w:t>
      </w:r>
      <w:r>
        <w:rPr>
          <w:rFonts w:hint="eastAsia"/>
          <w:bCs/>
          <w:highlight w:val="none"/>
        </w:rPr>
        <w:t>年修改版，自发布之日2020年11月29日起施行</w:t>
      </w:r>
      <w:r>
        <w:rPr>
          <w:rFonts w:hint="eastAsia" w:cs="Times New Roman"/>
          <w:bCs/>
          <w:szCs w:val="24"/>
          <w:highlight w:val="none"/>
        </w:rPr>
        <w:t>）</w:t>
      </w:r>
    </w:p>
    <w:p>
      <w:pPr>
        <w:spacing w:line="360" w:lineRule="auto"/>
        <w:ind w:firstLine="495"/>
        <w:rPr>
          <w:rFonts w:cs="Times New Roman"/>
          <w:bCs/>
          <w:szCs w:val="24"/>
          <w:highlight w:val="none"/>
        </w:rPr>
      </w:pPr>
      <w:r>
        <w:rPr>
          <w:rFonts w:hint="eastAsia" w:cs="Times New Roman"/>
          <w:bCs/>
          <w:szCs w:val="24"/>
          <w:highlight w:val="none"/>
        </w:rPr>
        <w:t>8、《中华人民共和国城乡规划法》(2019年4月23日中华人民共和国第十三届全国人民代表大会常务委员会第十次会议第二次修正)</w:t>
      </w:r>
    </w:p>
    <w:p>
      <w:pPr>
        <w:spacing w:line="360" w:lineRule="auto"/>
        <w:ind w:firstLine="495"/>
        <w:rPr>
          <w:bCs/>
          <w:szCs w:val="24"/>
          <w:highlight w:val="none"/>
        </w:rPr>
      </w:pPr>
      <w:r>
        <w:rPr>
          <w:rFonts w:hint="eastAsia"/>
          <w:bCs/>
          <w:szCs w:val="24"/>
          <w:highlight w:val="none"/>
        </w:rPr>
        <w:t>9、《最高人民法院关于人民法院民事执行中拍卖、变卖财产的规定》；</w:t>
      </w:r>
    </w:p>
    <w:p>
      <w:pPr>
        <w:spacing w:line="360" w:lineRule="auto"/>
        <w:ind w:firstLine="495"/>
        <w:rPr>
          <w:bCs/>
          <w:szCs w:val="24"/>
          <w:highlight w:val="none"/>
        </w:rPr>
      </w:pPr>
      <w:r>
        <w:rPr>
          <w:rFonts w:hint="eastAsia"/>
          <w:bCs/>
          <w:szCs w:val="24"/>
          <w:highlight w:val="none"/>
        </w:rPr>
        <w:t>10、《最高人民法院关于人民法院委托评估、拍卖和变卖工作的若干规定》；</w:t>
      </w:r>
    </w:p>
    <w:p>
      <w:pPr>
        <w:spacing w:line="360" w:lineRule="auto"/>
        <w:ind w:firstLine="495"/>
        <w:rPr>
          <w:bCs/>
          <w:szCs w:val="24"/>
          <w:highlight w:val="none"/>
        </w:rPr>
      </w:pPr>
      <w:r>
        <w:rPr>
          <w:rFonts w:hint="eastAsia"/>
          <w:bCs/>
          <w:szCs w:val="24"/>
          <w:highlight w:val="none"/>
        </w:rPr>
        <w:t>11、《最高人民法院关于人民法院确定财产处置参考价若干问题的规定》；</w:t>
      </w:r>
    </w:p>
    <w:p>
      <w:pPr>
        <w:spacing w:line="360" w:lineRule="auto"/>
        <w:ind w:firstLine="495"/>
        <w:rPr>
          <w:bCs/>
          <w:szCs w:val="24"/>
          <w:highlight w:val="none"/>
        </w:rPr>
      </w:pPr>
      <w:r>
        <w:rPr>
          <w:rFonts w:hint="eastAsia"/>
          <w:bCs/>
          <w:szCs w:val="24"/>
          <w:highlight w:val="none"/>
        </w:rPr>
        <w:t>12、《人民法院委托评估工作规范》</w:t>
      </w:r>
    </w:p>
    <w:p>
      <w:pPr>
        <w:spacing w:line="360" w:lineRule="auto"/>
        <w:ind w:firstLine="495"/>
        <w:rPr>
          <w:bCs/>
          <w:szCs w:val="24"/>
          <w:highlight w:val="none"/>
        </w:rPr>
      </w:pPr>
      <w:r>
        <w:rPr>
          <w:rFonts w:hint="eastAsia"/>
          <w:bCs/>
          <w:szCs w:val="24"/>
          <w:highlight w:val="none"/>
        </w:rPr>
        <w:t>13、关于印发《涉执房地产处置司法评估指导意见(试行)》的通知(中房学(2021) 37号)</w:t>
      </w:r>
    </w:p>
    <w:p>
      <w:pPr>
        <w:spacing w:line="360" w:lineRule="auto"/>
        <w:ind w:firstLine="567"/>
        <w:rPr>
          <w:b/>
          <w:szCs w:val="28"/>
          <w:highlight w:val="none"/>
        </w:rPr>
      </w:pPr>
      <w:r>
        <w:rPr>
          <w:rFonts w:cs="Times New Roman"/>
          <w:b/>
          <w:szCs w:val="28"/>
          <w:highlight w:val="none"/>
        </w:rPr>
        <w:t>（</w:t>
      </w:r>
      <w:r>
        <w:rPr>
          <w:rFonts w:hint="eastAsia" w:cs="Times New Roman"/>
          <w:b/>
          <w:szCs w:val="28"/>
          <w:highlight w:val="none"/>
        </w:rPr>
        <w:t>二</w:t>
      </w:r>
      <w:r>
        <w:rPr>
          <w:rFonts w:cs="Times New Roman"/>
          <w:b/>
          <w:szCs w:val="28"/>
          <w:highlight w:val="none"/>
        </w:rPr>
        <w:t>）</w:t>
      </w:r>
      <w:r>
        <w:rPr>
          <w:rFonts w:hint="eastAsia"/>
          <w:b/>
          <w:szCs w:val="28"/>
          <w:highlight w:val="none"/>
        </w:rPr>
        <w:t>估价技术依据</w:t>
      </w:r>
    </w:p>
    <w:p>
      <w:pPr>
        <w:spacing w:line="360" w:lineRule="auto"/>
        <w:ind w:firstLine="567"/>
        <w:rPr>
          <w:szCs w:val="28"/>
          <w:highlight w:val="none"/>
        </w:rPr>
      </w:pPr>
      <w:r>
        <w:rPr>
          <w:rFonts w:cs="Times New Roman"/>
          <w:szCs w:val="28"/>
          <w:highlight w:val="none"/>
        </w:rPr>
        <w:t>1</w:t>
      </w:r>
      <w:r>
        <w:rPr>
          <w:rFonts w:hint="eastAsia"/>
          <w:szCs w:val="28"/>
          <w:highlight w:val="none"/>
        </w:rPr>
        <w:t>、中华人民共和国国家标准《房地产估价规范》(</w:t>
      </w:r>
      <w:r>
        <w:rPr>
          <w:rFonts w:cs="Times New Roman"/>
          <w:szCs w:val="28"/>
          <w:highlight w:val="none"/>
        </w:rPr>
        <w:t>GB/T</w:t>
      </w:r>
      <w:r>
        <w:rPr>
          <w:rFonts w:hint="eastAsia" w:cs="Times New Roman"/>
          <w:szCs w:val="28"/>
          <w:highlight w:val="none"/>
        </w:rPr>
        <w:t>5</w:t>
      </w:r>
      <w:r>
        <w:rPr>
          <w:rFonts w:cs="Times New Roman"/>
          <w:szCs w:val="28"/>
          <w:highlight w:val="none"/>
        </w:rPr>
        <w:t>0291－201</w:t>
      </w:r>
      <w:r>
        <w:rPr>
          <w:rFonts w:hint="eastAsia" w:cs="Times New Roman"/>
          <w:szCs w:val="28"/>
          <w:highlight w:val="none"/>
        </w:rPr>
        <w:t>5)</w:t>
      </w:r>
    </w:p>
    <w:p>
      <w:pPr>
        <w:spacing w:line="360" w:lineRule="auto"/>
        <w:ind w:firstLine="567"/>
        <w:rPr>
          <w:spacing w:val="-8"/>
          <w:szCs w:val="28"/>
          <w:highlight w:val="none"/>
        </w:rPr>
      </w:pPr>
      <w:r>
        <w:rPr>
          <w:rFonts w:cs="Times New Roman"/>
          <w:spacing w:val="-8"/>
          <w:szCs w:val="28"/>
          <w:highlight w:val="none"/>
        </w:rPr>
        <w:t>2</w:t>
      </w:r>
      <w:r>
        <w:rPr>
          <w:rFonts w:hint="eastAsia"/>
          <w:spacing w:val="-8"/>
          <w:szCs w:val="28"/>
          <w:highlight w:val="none"/>
        </w:rPr>
        <w:t>、中华人民共和国国家标准《房地产估价基本术语标准》(</w:t>
      </w:r>
      <w:r>
        <w:rPr>
          <w:rFonts w:cs="Times New Roman"/>
          <w:spacing w:val="-8"/>
          <w:szCs w:val="28"/>
          <w:highlight w:val="none"/>
        </w:rPr>
        <w:t>GB/T</w:t>
      </w:r>
      <w:r>
        <w:rPr>
          <w:rFonts w:hint="eastAsia" w:cs="Times New Roman"/>
          <w:spacing w:val="-8"/>
          <w:szCs w:val="28"/>
          <w:highlight w:val="none"/>
        </w:rPr>
        <w:t>5</w:t>
      </w:r>
      <w:r>
        <w:rPr>
          <w:rFonts w:cs="Times New Roman"/>
          <w:spacing w:val="-8"/>
          <w:szCs w:val="28"/>
          <w:highlight w:val="none"/>
        </w:rPr>
        <w:t>0899-2013</w:t>
      </w:r>
      <w:r>
        <w:rPr>
          <w:rFonts w:hint="eastAsia" w:cs="Times New Roman"/>
          <w:spacing w:val="-8"/>
          <w:szCs w:val="28"/>
          <w:highlight w:val="none"/>
        </w:rPr>
        <w:t>)</w:t>
      </w:r>
    </w:p>
    <w:p>
      <w:pPr>
        <w:spacing w:line="360" w:lineRule="auto"/>
        <w:ind w:firstLine="567"/>
        <w:rPr>
          <w:rFonts w:ascii="宋体" w:hAnsi="宋体" w:cs="仿宋_GB2312"/>
          <w:kern w:val="0"/>
          <w:szCs w:val="28"/>
          <w:highlight w:val="none"/>
        </w:rPr>
      </w:pPr>
      <w:r>
        <w:rPr>
          <w:rFonts w:cs="Times New Roman"/>
          <w:szCs w:val="28"/>
          <w:highlight w:val="none"/>
        </w:rPr>
        <w:t>3</w:t>
      </w:r>
      <w:r>
        <w:rPr>
          <w:rFonts w:hint="eastAsia"/>
          <w:szCs w:val="28"/>
          <w:highlight w:val="none"/>
        </w:rPr>
        <w:t>、</w:t>
      </w:r>
      <w:r>
        <w:rPr>
          <w:rFonts w:hint="eastAsia"/>
          <w:spacing w:val="-8"/>
          <w:szCs w:val="28"/>
          <w:highlight w:val="none"/>
        </w:rPr>
        <w:t>中华人民共和国国家标准</w:t>
      </w:r>
      <w:r>
        <w:rPr>
          <w:rFonts w:ascii="宋体" w:hAnsi="宋体"/>
          <w:spacing w:val="-8"/>
          <w:szCs w:val="28"/>
          <w:highlight w:val="none"/>
        </w:rPr>
        <w:t>《</w:t>
      </w:r>
      <w:r>
        <w:rPr>
          <w:rFonts w:hint="eastAsia" w:ascii="宋体" w:hAnsi="宋体" w:cs="仿宋_GB2312"/>
          <w:kern w:val="0"/>
          <w:szCs w:val="28"/>
          <w:highlight w:val="none"/>
        </w:rPr>
        <w:t>城镇土地估价规程》</w:t>
      </w:r>
      <w:r>
        <w:rPr>
          <w:rFonts w:cs="Times New Roman"/>
          <w:kern w:val="0"/>
          <w:szCs w:val="28"/>
          <w:highlight w:val="none"/>
        </w:rPr>
        <w:t>（GB/T18508-2014）</w:t>
      </w:r>
    </w:p>
    <w:p>
      <w:pPr>
        <w:spacing w:line="360" w:lineRule="auto"/>
        <w:ind w:firstLine="567"/>
        <w:rPr>
          <w:b/>
          <w:szCs w:val="28"/>
          <w:highlight w:val="none"/>
        </w:rPr>
      </w:pPr>
      <w:r>
        <w:rPr>
          <w:rFonts w:cs="Times New Roman"/>
          <w:b/>
          <w:szCs w:val="28"/>
          <w:highlight w:val="none"/>
        </w:rPr>
        <w:t>（</w:t>
      </w:r>
      <w:r>
        <w:rPr>
          <w:rFonts w:hint="eastAsia" w:cs="Times New Roman"/>
          <w:b/>
          <w:szCs w:val="28"/>
          <w:highlight w:val="none"/>
        </w:rPr>
        <w:t>三</w:t>
      </w:r>
      <w:r>
        <w:rPr>
          <w:rFonts w:cs="Times New Roman"/>
          <w:b/>
          <w:szCs w:val="28"/>
          <w:highlight w:val="none"/>
        </w:rPr>
        <w:t>）</w:t>
      </w:r>
      <w:r>
        <w:rPr>
          <w:rFonts w:hint="eastAsia"/>
          <w:b/>
          <w:szCs w:val="28"/>
          <w:highlight w:val="none"/>
        </w:rPr>
        <w:t>委托方提供的有关资料</w:t>
      </w:r>
    </w:p>
    <w:p>
      <w:pPr>
        <w:spacing w:line="360" w:lineRule="auto"/>
        <w:ind w:firstLine="567"/>
        <w:rPr>
          <w:rFonts w:cs="Times New Roman"/>
          <w:kern w:val="0"/>
          <w:szCs w:val="28"/>
          <w:highlight w:val="none"/>
        </w:rPr>
      </w:pPr>
      <w:r>
        <w:rPr>
          <w:rFonts w:cs="Times New Roman"/>
          <w:kern w:val="0"/>
          <w:szCs w:val="28"/>
          <w:highlight w:val="none"/>
        </w:rPr>
        <w:t>1、《司法评估委托书》</w:t>
      </w:r>
      <w:r>
        <w:rPr>
          <w:rFonts w:hint="eastAsia" w:cs="Times New Roman"/>
          <w:kern w:val="0"/>
          <w:szCs w:val="28"/>
          <w:highlight w:val="none"/>
        </w:rPr>
        <w:t>复印件等</w:t>
      </w:r>
    </w:p>
    <w:p>
      <w:pPr>
        <w:spacing w:line="360" w:lineRule="auto"/>
        <w:ind w:firstLine="567"/>
        <w:rPr>
          <w:rFonts w:cs="Times New Roman"/>
          <w:kern w:val="0"/>
          <w:szCs w:val="28"/>
          <w:highlight w:val="none"/>
        </w:rPr>
      </w:pPr>
      <w:r>
        <w:rPr>
          <w:rFonts w:cs="Times New Roman"/>
          <w:kern w:val="0"/>
          <w:szCs w:val="28"/>
          <w:highlight w:val="none"/>
        </w:rPr>
        <w:t>2、</w:t>
      </w:r>
      <w:bookmarkEnd w:id="158"/>
      <w:r>
        <w:rPr>
          <w:rFonts w:hint="eastAsia" w:cs="Times New Roman"/>
          <w:kern w:val="0"/>
          <w:szCs w:val="28"/>
          <w:highlight w:val="none"/>
        </w:rPr>
        <w:t>其他相关材料复印件</w:t>
      </w:r>
    </w:p>
    <w:p>
      <w:pPr>
        <w:spacing w:line="360" w:lineRule="auto"/>
        <w:ind w:firstLine="567"/>
        <w:rPr>
          <w:b/>
          <w:szCs w:val="28"/>
          <w:highlight w:val="none"/>
        </w:rPr>
      </w:pPr>
      <w:r>
        <w:rPr>
          <w:rFonts w:hint="eastAsia"/>
          <w:b/>
          <w:szCs w:val="28"/>
          <w:highlight w:val="none"/>
        </w:rPr>
        <w:t>(四) 受托估价方掌握的有关资料</w:t>
      </w:r>
    </w:p>
    <w:p>
      <w:pPr>
        <w:spacing w:line="360" w:lineRule="auto"/>
        <w:ind w:firstLine="567"/>
        <w:rPr>
          <w:rFonts w:cs="Times New Roman"/>
          <w:kern w:val="0"/>
          <w:szCs w:val="28"/>
          <w:highlight w:val="none"/>
        </w:rPr>
      </w:pPr>
      <w:r>
        <w:rPr>
          <w:rFonts w:hint="eastAsia" w:cs="Times New Roman"/>
          <w:kern w:val="0"/>
          <w:szCs w:val="28"/>
          <w:highlight w:val="none"/>
        </w:rPr>
        <w:t>1、估价对象现场勘察表</w:t>
      </w:r>
    </w:p>
    <w:p>
      <w:pPr>
        <w:spacing w:line="360" w:lineRule="auto"/>
        <w:ind w:firstLine="567"/>
        <w:rPr>
          <w:rFonts w:cs="Times New Roman"/>
          <w:kern w:val="0"/>
          <w:szCs w:val="28"/>
          <w:highlight w:val="none"/>
        </w:rPr>
      </w:pPr>
      <w:r>
        <w:rPr>
          <w:rFonts w:hint="eastAsia" w:cs="Times New Roman"/>
          <w:kern w:val="0"/>
          <w:szCs w:val="28"/>
          <w:highlight w:val="none"/>
        </w:rPr>
        <w:t>2、估价对象内部外部状况、周围环境和景观照片</w:t>
      </w:r>
    </w:p>
    <w:p>
      <w:pPr>
        <w:spacing w:line="360" w:lineRule="auto"/>
        <w:ind w:firstLine="567"/>
        <w:rPr>
          <w:rFonts w:cs="Times New Roman"/>
          <w:kern w:val="0"/>
          <w:szCs w:val="28"/>
          <w:highlight w:val="none"/>
        </w:rPr>
      </w:pPr>
      <w:r>
        <w:rPr>
          <w:rFonts w:hint="eastAsia" w:cs="Times New Roman"/>
          <w:kern w:val="0"/>
          <w:szCs w:val="28"/>
          <w:highlight w:val="none"/>
        </w:rPr>
        <w:t>3、估价对象所在地自然条件、社会经济条件、行政区划人口等方面的基本情况资料</w:t>
      </w:r>
    </w:p>
    <w:p>
      <w:pPr>
        <w:spacing w:line="360" w:lineRule="auto"/>
        <w:ind w:firstLine="567"/>
        <w:rPr>
          <w:rFonts w:cs="Times New Roman"/>
          <w:kern w:val="0"/>
          <w:szCs w:val="28"/>
          <w:highlight w:val="none"/>
        </w:rPr>
      </w:pPr>
      <w:r>
        <w:rPr>
          <w:rFonts w:hint="eastAsia" w:cs="Times New Roman"/>
          <w:kern w:val="0"/>
          <w:szCs w:val="28"/>
          <w:highlight w:val="none"/>
        </w:rPr>
        <w:t>4、估价对象所在地城市基础设施基本情况资料</w:t>
      </w:r>
    </w:p>
    <w:p>
      <w:pPr>
        <w:spacing w:line="360" w:lineRule="auto"/>
        <w:ind w:firstLine="567"/>
        <w:rPr>
          <w:rFonts w:cs="Times New Roman"/>
          <w:kern w:val="0"/>
          <w:szCs w:val="28"/>
          <w:highlight w:val="none"/>
        </w:rPr>
      </w:pPr>
      <w:r>
        <w:rPr>
          <w:rFonts w:hint="eastAsia" w:cs="Times New Roman"/>
          <w:kern w:val="0"/>
          <w:szCs w:val="28"/>
          <w:highlight w:val="none"/>
        </w:rPr>
        <w:t>5、估价对象所在地土地与房地产供需状况的市场资料</w:t>
      </w:r>
    </w:p>
    <w:p>
      <w:pPr>
        <w:spacing w:line="360" w:lineRule="auto"/>
        <w:ind w:firstLine="567"/>
        <w:rPr>
          <w:rFonts w:cs="Times New Roman"/>
          <w:kern w:val="0"/>
          <w:szCs w:val="28"/>
          <w:highlight w:val="none"/>
        </w:rPr>
      </w:pPr>
      <w:r>
        <w:rPr>
          <w:rFonts w:hint="eastAsia" w:cs="Times New Roman"/>
          <w:kern w:val="0"/>
          <w:szCs w:val="28"/>
          <w:highlight w:val="none"/>
        </w:rPr>
        <w:t>6、建设部《房屋完损等级评定标准》</w:t>
      </w:r>
    </w:p>
    <w:p>
      <w:pPr>
        <w:pStyle w:val="3"/>
        <w:spacing w:line="360" w:lineRule="auto"/>
        <w:rPr>
          <w:rFonts w:ascii="Times New Roman" w:hAnsi="Times New Roman" w:eastAsia="楷体"/>
          <w:highlight w:val="none"/>
        </w:rPr>
      </w:pPr>
      <w:bookmarkStart w:id="161" w:name="_Toc114643952"/>
      <w:r>
        <w:rPr>
          <w:rFonts w:hint="eastAsia" w:ascii="Times New Roman" w:hAnsi="Times New Roman" w:eastAsia="楷体"/>
          <w:highlight w:val="none"/>
        </w:rPr>
        <w:t>九、估价技术思路与方法</w:t>
      </w:r>
      <w:bookmarkEnd w:id="159"/>
      <w:bookmarkEnd w:id="160"/>
      <w:bookmarkEnd w:id="161"/>
    </w:p>
    <w:p>
      <w:pPr>
        <w:spacing w:line="360" w:lineRule="auto"/>
        <w:ind w:firstLine="560" w:firstLineChars="200"/>
        <w:rPr>
          <w:bCs/>
          <w:highlight w:val="none"/>
        </w:rPr>
      </w:pPr>
      <w:bookmarkStart w:id="162" w:name="_Toc365376354"/>
      <w:bookmarkStart w:id="163" w:name="_Toc17968"/>
      <w:r>
        <w:rPr>
          <w:rFonts w:hint="eastAsia"/>
          <w:bCs/>
          <w:highlight w:val="none"/>
        </w:rPr>
        <w:t>(一)估价方法的选用</w:t>
      </w:r>
    </w:p>
    <w:p>
      <w:pPr>
        <w:spacing w:line="360" w:lineRule="auto"/>
        <w:ind w:firstLine="567"/>
        <w:rPr>
          <w:bCs/>
          <w:highlight w:val="none"/>
        </w:rPr>
      </w:pPr>
      <w:r>
        <w:rPr>
          <w:rFonts w:hint="eastAsia" w:cs="Times New Roman"/>
          <w:kern w:val="0"/>
          <w:szCs w:val="28"/>
          <w:highlight w:val="none"/>
        </w:rPr>
        <w:t>房地产估价方法主要有比较法、收益法、成本法、假设开发法等。不同的估价方法从不同的角度反映了所估房地产在一定权利状态及一定时间点的价格水平，只是各种方法的适用条件、方法特点、资料要求有所不同，需根</w:t>
      </w:r>
      <w:r>
        <w:rPr>
          <w:rFonts w:hint="eastAsia"/>
          <w:bCs/>
          <w:highlight w:val="none"/>
        </w:rPr>
        <w:t>据委估房地产的估价目的、实际情况等选择合适的估价方法。</w:t>
      </w:r>
    </w:p>
    <w:p>
      <w:pPr>
        <w:spacing w:line="360" w:lineRule="auto"/>
        <w:ind w:firstLine="560" w:firstLineChars="200"/>
        <w:rPr>
          <w:bCs/>
          <w:highlight w:val="none"/>
        </w:rPr>
      </w:pPr>
      <w:r>
        <w:rPr>
          <w:rFonts w:hint="eastAsia"/>
          <w:bCs/>
          <w:highlight w:val="none"/>
        </w:rPr>
        <w:t>我们对委估房地产的文件资料进行了必要的审核及分析，并进行了认真的实地勘察和调查了解，最终选择采用比较法测算估价对象房地产价格。分析如下:</w:t>
      </w:r>
    </w:p>
    <w:p>
      <w:pPr>
        <w:spacing w:line="360" w:lineRule="auto"/>
        <w:ind w:firstLine="560" w:firstLineChars="200"/>
        <w:rPr>
          <w:bCs/>
          <w:highlight w:val="none"/>
        </w:rPr>
      </w:pPr>
      <w:r>
        <w:rPr>
          <w:rFonts w:hint="eastAsia"/>
          <w:bCs/>
          <w:highlight w:val="none"/>
        </w:rPr>
        <w:t>◆由于估价对象为住宅用房，所在区域具有较为活跃和成熟的住宅交易市场，能够收集到较为丰富的房地产交易资料，故可采用比较法评估其价格。</w:t>
      </w:r>
    </w:p>
    <w:p>
      <w:pPr>
        <w:pStyle w:val="4"/>
        <w:rPr>
          <w:bCs/>
          <w:highlight w:val="none"/>
        </w:rPr>
      </w:pPr>
      <w:r>
        <w:rPr>
          <w:rFonts w:hint="eastAsia"/>
          <w:bCs/>
          <w:highlight w:val="none"/>
        </w:rPr>
        <w:t>◆因估价对象为住宅用房，估价对象所在区域此类型房屋</w:t>
      </w:r>
      <w:r>
        <w:rPr>
          <w:rFonts w:hint="eastAsia"/>
          <w:highlight w:val="none"/>
        </w:rPr>
        <w:t>虽然</w:t>
      </w:r>
      <w:r>
        <w:rPr>
          <w:rFonts w:hint="eastAsia"/>
          <w:bCs/>
          <w:highlight w:val="none"/>
        </w:rPr>
        <w:t>租赁案例较多，但租售比较低，较难选取合适的报酬率，故不采用收益法评估其市场价格。</w:t>
      </w:r>
    </w:p>
    <w:p>
      <w:pPr>
        <w:spacing w:line="360" w:lineRule="auto"/>
        <w:ind w:firstLine="560" w:firstLineChars="200"/>
        <w:rPr>
          <w:bCs/>
          <w:highlight w:val="none"/>
        </w:rPr>
      </w:pPr>
      <w:r>
        <w:rPr>
          <w:rFonts w:hint="eastAsia"/>
          <w:bCs/>
          <w:highlight w:val="none"/>
        </w:rPr>
        <w:t>◆成本法适用于既无收益又很少发生交易的房地产，如公益类房地产或有独特设计或只针对个别用户的特殊需要而开发建设的房地产。而估价对象所在区域出售或出租市场较为活跃和成熟，能够收集到较为丰富的房地产交易资料，故不适宜选用成本法进行计算。</w:t>
      </w:r>
    </w:p>
    <w:p>
      <w:pPr>
        <w:spacing w:line="360" w:lineRule="auto"/>
        <w:ind w:firstLine="560" w:firstLineChars="200"/>
        <w:rPr>
          <w:bCs/>
          <w:highlight w:val="none"/>
        </w:rPr>
      </w:pPr>
      <w:r>
        <w:rPr>
          <w:rFonts w:hint="eastAsia"/>
          <w:bCs/>
          <w:highlight w:val="none"/>
        </w:rPr>
        <w:t>◆假设开发法适用于待开发房地产“是指具有投资开发或再开发潜力的房地产，估价对象为已建成房产，并将维持现状以持续利用，不以假设开发为前提，故也不适用假设开发法。</w:t>
      </w:r>
    </w:p>
    <w:p>
      <w:pPr>
        <w:spacing w:line="360" w:lineRule="auto"/>
        <w:ind w:firstLine="560" w:firstLineChars="200"/>
        <w:rPr>
          <w:bCs/>
          <w:highlight w:val="none"/>
        </w:rPr>
      </w:pPr>
      <w:r>
        <w:rPr>
          <w:rFonts w:hint="eastAsia"/>
          <w:bCs/>
          <w:highlight w:val="none"/>
        </w:rPr>
        <w:t>(二)估价方法的定义</w:t>
      </w:r>
    </w:p>
    <w:p>
      <w:pPr>
        <w:spacing w:line="360" w:lineRule="auto"/>
        <w:ind w:firstLine="560" w:firstLineChars="200"/>
        <w:rPr>
          <w:bCs/>
          <w:highlight w:val="none"/>
        </w:rPr>
      </w:pPr>
      <w:r>
        <w:rPr>
          <w:rFonts w:hint="eastAsia"/>
          <w:bCs/>
          <w:highlight w:val="none"/>
        </w:rPr>
        <w:t>2.1 在同一供需圈内的类似地区，广泛搜集房地产买卖的实例。</w:t>
      </w:r>
    </w:p>
    <w:p>
      <w:pPr>
        <w:spacing w:line="360" w:lineRule="auto"/>
        <w:ind w:firstLine="560" w:firstLineChars="200"/>
        <w:rPr>
          <w:bCs/>
          <w:highlight w:val="none"/>
        </w:rPr>
      </w:pPr>
      <w:r>
        <w:rPr>
          <w:rFonts w:hint="eastAsia"/>
          <w:bCs/>
          <w:highlight w:val="none"/>
        </w:rPr>
        <w:t>2.2 从房地产买卖实例中选取符合条件的交易实例作为参照标的，具体条件如下:</w:t>
      </w:r>
    </w:p>
    <w:p>
      <w:pPr>
        <w:spacing w:line="360" w:lineRule="auto"/>
        <w:ind w:firstLine="560" w:firstLineChars="200"/>
        <w:rPr>
          <w:rFonts w:cs="Times New Roman"/>
          <w:bCs/>
          <w:highlight w:val="none"/>
        </w:rPr>
      </w:pPr>
      <w:r>
        <w:rPr>
          <w:rFonts w:cs="Times New Roman"/>
          <w:bCs/>
          <w:highlight w:val="none"/>
        </w:rPr>
        <w:t>①可比实例应从可比实例中选取且不得少于三个</w:t>
      </w:r>
      <w:r>
        <w:rPr>
          <w:rFonts w:hint="eastAsia" w:cs="Times New Roman"/>
          <w:bCs/>
          <w:highlight w:val="none"/>
        </w:rPr>
        <w:t>；</w:t>
      </w:r>
    </w:p>
    <w:p>
      <w:pPr>
        <w:spacing w:line="360" w:lineRule="auto"/>
        <w:ind w:firstLine="560" w:firstLineChars="200"/>
        <w:rPr>
          <w:rFonts w:cs="Times New Roman"/>
          <w:bCs/>
          <w:highlight w:val="none"/>
        </w:rPr>
      </w:pPr>
      <w:r>
        <w:rPr>
          <w:rFonts w:cs="Times New Roman"/>
          <w:bCs/>
          <w:highlight w:val="none"/>
        </w:rPr>
        <w:t>②可比实例房地产的交易方式应适合估价目的</w:t>
      </w:r>
      <w:r>
        <w:rPr>
          <w:rFonts w:hint="eastAsia" w:cs="Times New Roman"/>
          <w:bCs/>
          <w:highlight w:val="none"/>
        </w:rPr>
        <w:t>；</w:t>
      </w:r>
    </w:p>
    <w:p>
      <w:pPr>
        <w:spacing w:line="360" w:lineRule="auto"/>
        <w:ind w:firstLine="560" w:firstLineChars="200"/>
        <w:rPr>
          <w:rFonts w:cs="Times New Roman"/>
          <w:bCs/>
          <w:highlight w:val="none"/>
        </w:rPr>
      </w:pPr>
      <w:r>
        <w:rPr>
          <w:rFonts w:cs="Times New Roman"/>
          <w:bCs/>
          <w:highlight w:val="none"/>
        </w:rPr>
        <w:t>③可比实例房地产应与估价对象房地产相似</w:t>
      </w:r>
      <w:r>
        <w:rPr>
          <w:rFonts w:hint="eastAsia" w:cs="Times New Roman"/>
          <w:bCs/>
          <w:highlight w:val="none"/>
        </w:rPr>
        <w:t>；</w:t>
      </w:r>
    </w:p>
    <w:p>
      <w:pPr>
        <w:spacing w:line="360" w:lineRule="auto"/>
        <w:ind w:firstLine="560" w:firstLineChars="200"/>
        <w:rPr>
          <w:bCs/>
          <w:highlight w:val="none"/>
        </w:rPr>
      </w:pPr>
      <w:r>
        <w:rPr>
          <w:rFonts w:cs="Times New Roman"/>
          <w:bCs/>
          <w:highlight w:val="none"/>
        </w:rPr>
        <w:t>④可比实</w:t>
      </w:r>
      <w:r>
        <w:rPr>
          <w:rFonts w:hint="eastAsia"/>
          <w:bCs/>
          <w:highlight w:val="none"/>
        </w:rPr>
        <w:t>例的成交日期应接近价值时点，与价值时点相差不宜超过一年，且不得超过两年；</w:t>
      </w:r>
    </w:p>
    <w:p>
      <w:pPr>
        <w:spacing w:line="360" w:lineRule="auto"/>
        <w:ind w:firstLine="560" w:firstLineChars="200"/>
        <w:rPr>
          <w:bCs/>
          <w:highlight w:val="none"/>
        </w:rPr>
      </w:pPr>
      <w:r>
        <w:rPr>
          <w:rFonts w:cs="Times New Roman"/>
          <w:bCs/>
          <w:highlight w:val="none"/>
        </w:rPr>
        <w:t>⑤</w:t>
      </w:r>
      <w:r>
        <w:rPr>
          <w:rFonts w:hint="eastAsia"/>
          <w:bCs/>
          <w:highlight w:val="none"/>
        </w:rPr>
        <w:t>可比实例的成交价格应为正常价格或可修正为正常价格；</w:t>
      </w:r>
    </w:p>
    <w:p>
      <w:pPr>
        <w:spacing w:line="360" w:lineRule="auto"/>
        <w:ind w:firstLine="560" w:firstLineChars="200"/>
        <w:rPr>
          <w:bCs/>
          <w:highlight w:val="none"/>
        </w:rPr>
      </w:pPr>
      <w:r>
        <w:rPr>
          <w:rFonts w:cs="Times New Roman"/>
          <w:bCs/>
          <w:highlight w:val="none"/>
        </w:rPr>
        <w:t>⑥</w:t>
      </w:r>
      <w:r>
        <w:rPr>
          <w:rFonts w:hint="eastAsia"/>
          <w:bCs/>
          <w:highlight w:val="none"/>
        </w:rPr>
        <w:t>在同等条件下，应将位置与估价对象较近、成交日期与价值时点较近的可比实例选为可比实例。</w:t>
      </w:r>
    </w:p>
    <w:p>
      <w:pPr>
        <w:spacing w:line="360" w:lineRule="auto"/>
        <w:ind w:firstLine="560" w:firstLineChars="200"/>
        <w:rPr>
          <w:bCs/>
          <w:highlight w:val="none"/>
        </w:rPr>
      </w:pPr>
      <w:r>
        <w:rPr>
          <w:rFonts w:hint="eastAsia"/>
          <w:bCs/>
          <w:highlight w:val="none"/>
        </w:rPr>
        <w:t>2.3 将估价对象与参照实例进行比较，对影响房地产市场价格的交易情况、市场状况、区位状况、实物状况及权益状况等五个方面进行修正，求取估价对象比较价格。</w:t>
      </w:r>
    </w:p>
    <w:p>
      <w:pPr>
        <w:spacing w:line="360" w:lineRule="auto"/>
        <w:ind w:firstLine="560" w:firstLineChars="200"/>
        <w:rPr>
          <w:bCs/>
          <w:highlight w:val="none"/>
        </w:rPr>
      </w:pPr>
      <w:r>
        <w:rPr>
          <w:rFonts w:hint="eastAsia"/>
          <w:bCs/>
          <w:highlight w:val="none"/>
        </w:rPr>
        <w:t>测算的基本公式为:</w:t>
      </w:r>
    </w:p>
    <w:p>
      <w:pPr>
        <w:spacing w:line="360" w:lineRule="auto"/>
        <w:ind w:firstLine="560" w:firstLineChars="200"/>
        <w:rPr>
          <w:bCs/>
          <w:highlight w:val="none"/>
        </w:rPr>
      </w:pPr>
      <w:r>
        <w:rPr>
          <w:rFonts w:hint="eastAsia"/>
          <w:bCs/>
          <w:highlight w:val="none"/>
        </w:rPr>
        <w:t>比较价格=可比案例成交价格</w:t>
      </w:r>
      <w:r>
        <w:rPr>
          <w:bCs/>
          <w:highlight w:val="none"/>
        </w:rPr>
        <w:t>×</w:t>
      </w:r>
      <w:r>
        <w:rPr>
          <w:rFonts w:hint="eastAsia"/>
          <w:bCs/>
          <w:highlight w:val="none"/>
        </w:rPr>
        <w:t>交易情况修正</w:t>
      </w:r>
      <w:r>
        <w:rPr>
          <w:bCs/>
          <w:highlight w:val="none"/>
        </w:rPr>
        <w:t>×</w:t>
      </w:r>
      <w:r>
        <w:rPr>
          <w:rFonts w:hint="eastAsia"/>
          <w:bCs/>
          <w:highlight w:val="none"/>
        </w:rPr>
        <w:t>市场状况调整</w:t>
      </w:r>
      <w:r>
        <w:rPr>
          <w:bCs/>
          <w:highlight w:val="none"/>
        </w:rPr>
        <w:t>×</w:t>
      </w:r>
      <w:r>
        <w:rPr>
          <w:rFonts w:hint="eastAsia"/>
          <w:bCs/>
          <w:highlight w:val="none"/>
        </w:rPr>
        <w:t>区位状况调整</w:t>
      </w:r>
      <w:r>
        <w:rPr>
          <w:bCs/>
          <w:highlight w:val="none"/>
        </w:rPr>
        <w:t>×</w:t>
      </w:r>
      <w:r>
        <w:rPr>
          <w:rFonts w:hint="eastAsia"/>
          <w:bCs/>
          <w:highlight w:val="none"/>
        </w:rPr>
        <w:t>实物状况调整</w:t>
      </w:r>
      <w:r>
        <w:rPr>
          <w:bCs/>
          <w:highlight w:val="none"/>
        </w:rPr>
        <w:t>×</w:t>
      </w:r>
      <w:r>
        <w:rPr>
          <w:rFonts w:hint="eastAsia"/>
          <w:bCs/>
          <w:highlight w:val="none"/>
        </w:rPr>
        <w:t>权益状况调整</w:t>
      </w:r>
    </w:p>
    <w:p>
      <w:pPr>
        <w:pStyle w:val="3"/>
        <w:spacing w:line="360" w:lineRule="auto"/>
        <w:rPr>
          <w:rFonts w:ascii="Times New Roman" w:hAnsi="Times New Roman" w:eastAsia="楷体"/>
          <w:highlight w:val="none"/>
        </w:rPr>
      </w:pPr>
      <w:r>
        <w:rPr>
          <w:rFonts w:ascii="Times New Roman" w:hAnsi="Times New Roman" w:eastAsia="楷体" w:cs="楷体_GB2312"/>
          <w:highlight w:val="none"/>
        </w:rPr>
        <w:pict>
          <v:shape id="_x0000_s1027" o:spid="_x0000_s1027" o:spt="201" type="#_x0000_t201" style="position:absolute;left:0pt;margin-left:695pt;margin-top:-14.45pt;height:108.8pt;width:12.8pt;z-index:-251656192;mso-width-relative:page;mso-height-relative:page;" o:ole="t" filled="f" o:preferrelative="t" stroked="f" coordsize="21600,21600">
            <v:path/>
            <v:fill on="f" focussize="0,0"/>
            <v:stroke on="f" joinstyle="miter"/>
            <v:imagedata r:id="rId8" o:title=""/>
            <o:lock v:ext="edit"/>
          </v:shape>
          <w:control r:id="rId9" w:name="ESEntity3" w:shapeid="_x0000_s1027"/>
        </w:pict>
      </w:r>
      <w:bookmarkStart w:id="164" w:name="_Toc114643953"/>
      <w:r>
        <w:rPr>
          <w:rFonts w:hint="eastAsia" w:ascii="Times New Roman" w:hAnsi="Times New Roman" w:eastAsia="楷体"/>
          <w:highlight w:val="none"/>
        </w:rPr>
        <w:t>十、估价结果</w:t>
      </w:r>
      <w:bookmarkEnd w:id="162"/>
      <w:bookmarkEnd w:id="163"/>
      <w:bookmarkEnd w:id="164"/>
    </w:p>
    <w:p>
      <w:pPr>
        <w:pageBreakBefore w:val="0"/>
        <w:widowControl w:val="0"/>
        <w:kinsoku/>
        <w:wordWrap/>
        <w:overflowPunct/>
        <w:topLinePunct w:val="0"/>
        <w:autoSpaceDE/>
        <w:autoSpaceDN/>
        <w:bidi w:val="0"/>
        <w:adjustRightInd/>
        <w:spacing w:line="520" w:lineRule="exact"/>
        <w:ind w:firstLine="560" w:firstLineChars="200"/>
        <w:textAlignment w:val="auto"/>
        <w:rPr>
          <w:rFonts w:cs="Times New Roman"/>
          <w:b/>
          <w:bCs/>
          <w:highlight w:val="none"/>
        </w:rPr>
      </w:pPr>
      <w:bookmarkStart w:id="165" w:name="_Toc365376355"/>
      <w:bookmarkStart w:id="166" w:name="_Toc326829414"/>
      <w:bookmarkStart w:id="167" w:name="_Toc20940"/>
      <w:r>
        <w:rPr>
          <w:rFonts w:hint="eastAsia"/>
          <w:bCs/>
          <w:highlight w:val="none"/>
        </w:rPr>
        <w:t>估价人员通过对估价对象的充分调查，根据估价目的和估价原则，按照估价程序，采用科学的估价方法在认真分析现有各种资料的基础上，经过周密、细致的测算，确定</w:t>
      </w:r>
      <w:r>
        <w:rPr>
          <w:rFonts w:hint="eastAsia" w:cs="Times New Roman"/>
          <w:highlight w:val="none"/>
        </w:rPr>
        <w:t>靖江市兰园雅居10幢04室房地合一</w:t>
      </w:r>
      <w:r>
        <w:rPr>
          <w:rFonts w:hint="eastAsia"/>
          <w:bCs/>
          <w:highlight w:val="none"/>
        </w:rPr>
        <w:t>房地产在</w:t>
      </w:r>
      <w:r>
        <w:rPr>
          <w:rFonts w:hint="eastAsia" w:cs="Times New Roman"/>
          <w:szCs w:val="28"/>
          <w:highlight w:val="none"/>
        </w:rPr>
        <w:t>2022年8月9日</w:t>
      </w:r>
      <w:r>
        <w:rPr>
          <w:rFonts w:hint="eastAsia"/>
          <w:bCs/>
          <w:highlight w:val="none"/>
        </w:rPr>
        <w:t>的市场价格为</w:t>
      </w:r>
      <w:r>
        <w:rPr>
          <w:rFonts w:cs="Times New Roman"/>
          <w:b/>
          <w:bCs/>
          <w:highlight w:val="none"/>
        </w:rPr>
        <w:t>人民币</w:t>
      </w:r>
      <w:r>
        <w:rPr>
          <w:rFonts w:cs="Times New Roman"/>
          <w:b/>
          <w:bCs/>
          <w:highlight w:val="none"/>
        </w:rPr>
        <w:fldChar w:fldCharType="begin"/>
      </w:r>
      <w:r>
        <w:rPr>
          <w:rFonts w:cs="Times New Roman"/>
          <w:b/>
          <w:bCs/>
          <w:highlight w:val="none"/>
        </w:rPr>
        <w:instrText xml:space="preserve"> = 681950000 \* CHINESENUM2 \* MERGEFORMAT </w:instrText>
      </w:r>
      <w:r>
        <w:rPr>
          <w:rFonts w:cs="Times New Roman"/>
          <w:b/>
          <w:bCs/>
          <w:highlight w:val="none"/>
        </w:rPr>
        <w:fldChar w:fldCharType="separate"/>
      </w:r>
      <w:r>
        <w:rPr>
          <w:rFonts w:cs="Times New Roman"/>
          <w:b/>
          <w:bCs/>
          <w:highlight w:val="none"/>
        </w:rPr>
        <w:fldChar w:fldCharType="begin"/>
      </w:r>
      <w:r>
        <w:rPr>
          <w:rFonts w:cs="Times New Roman"/>
          <w:b/>
          <w:bCs/>
          <w:highlight w:val="none"/>
        </w:rPr>
        <w:instrText xml:space="preserve"> = 6819500 \* CHINESENUM2 \* MERGEFORMAT </w:instrText>
      </w:r>
      <w:r>
        <w:rPr>
          <w:rFonts w:cs="Times New Roman"/>
          <w:b/>
          <w:bCs/>
          <w:highlight w:val="none"/>
        </w:rPr>
        <w:fldChar w:fldCharType="separate"/>
      </w:r>
      <w:r>
        <w:rPr>
          <w:rFonts w:cs="Times New Roman"/>
          <w:b/>
          <w:bCs/>
          <w:highlight w:val="none"/>
        </w:rPr>
        <w:t>陆佰</w:t>
      </w:r>
      <w:r>
        <w:rPr>
          <w:rFonts w:hint="eastAsia" w:cs="Times New Roman"/>
          <w:b/>
          <w:bCs/>
          <w:highlight w:val="none"/>
        </w:rPr>
        <w:t>柒</w:t>
      </w:r>
      <w:r>
        <w:rPr>
          <w:rFonts w:cs="Times New Roman"/>
          <w:b/>
          <w:bCs/>
          <w:highlight w:val="none"/>
        </w:rPr>
        <w:t>拾</w:t>
      </w:r>
      <w:r>
        <w:rPr>
          <w:rFonts w:hint="eastAsia" w:cs="Times New Roman"/>
          <w:b/>
          <w:bCs/>
          <w:highlight w:val="none"/>
        </w:rPr>
        <w:t>叁</w:t>
      </w:r>
      <w:r>
        <w:rPr>
          <w:rFonts w:cs="Times New Roman"/>
          <w:b/>
          <w:bCs/>
          <w:highlight w:val="none"/>
        </w:rPr>
        <w:t>万</w:t>
      </w:r>
      <w:r>
        <w:rPr>
          <w:rFonts w:cs="Times New Roman"/>
          <w:b/>
          <w:bCs/>
          <w:highlight w:val="none"/>
        </w:rPr>
        <w:fldChar w:fldCharType="end"/>
      </w:r>
      <w:r>
        <w:rPr>
          <w:rFonts w:cs="Times New Roman"/>
          <w:b/>
          <w:bCs/>
          <w:highlight w:val="none"/>
        </w:rPr>
        <w:fldChar w:fldCharType="end"/>
      </w:r>
      <w:r>
        <w:rPr>
          <w:rFonts w:cs="Times New Roman"/>
          <w:b/>
          <w:bCs/>
          <w:highlight w:val="none"/>
        </w:rPr>
        <w:t>元整</w:t>
      </w:r>
      <w:r>
        <w:rPr>
          <w:rFonts w:hint="eastAsia" w:cs="Times New Roman"/>
          <w:b/>
          <w:bCs/>
          <w:highlight w:val="none"/>
        </w:rPr>
        <w:t>（</w:t>
      </w:r>
      <w:r>
        <w:rPr>
          <w:rFonts w:cs="Times New Roman"/>
          <w:b/>
          <w:bCs/>
          <w:szCs w:val="28"/>
          <w:highlight w:val="none"/>
        </w:rPr>
        <w:t>￥</w:t>
      </w:r>
      <w:r>
        <w:rPr>
          <w:rFonts w:hint="eastAsia" w:cs="Times New Roman"/>
          <w:b/>
          <w:bCs/>
          <w:highlight w:val="none"/>
        </w:rPr>
        <w:t>673</w:t>
      </w:r>
      <w:r>
        <w:rPr>
          <w:rFonts w:cs="Times New Roman"/>
          <w:b/>
          <w:bCs/>
          <w:highlight w:val="none"/>
        </w:rPr>
        <w:t>万元</w:t>
      </w:r>
      <w:r>
        <w:rPr>
          <w:rFonts w:hint="eastAsia" w:cs="Times New Roman"/>
          <w:b/>
          <w:bCs/>
          <w:highlight w:val="none"/>
        </w:rPr>
        <w:t>），单价21233元/平方米。</w:t>
      </w:r>
    </w:p>
    <w:p>
      <w:pPr>
        <w:pageBreakBefore w:val="0"/>
        <w:widowControl w:val="0"/>
        <w:kinsoku/>
        <w:wordWrap/>
        <w:overflowPunct/>
        <w:topLinePunct w:val="0"/>
        <w:autoSpaceDE/>
        <w:autoSpaceDN/>
        <w:bidi w:val="0"/>
        <w:adjustRightInd/>
        <w:spacing w:line="520" w:lineRule="exact"/>
        <w:ind w:firstLine="560" w:firstLineChars="200"/>
        <w:textAlignment w:val="auto"/>
        <w:rPr>
          <w:b/>
          <w:bCs/>
          <w:highlight w:val="none"/>
        </w:rPr>
      </w:pPr>
      <w:r>
        <w:rPr>
          <w:rFonts w:hint="eastAsia"/>
          <w:b/>
          <w:bCs/>
          <w:highlight w:val="none"/>
        </w:rPr>
        <w:t>估价结果内涵</w:t>
      </w:r>
    </w:p>
    <w:p>
      <w:pPr>
        <w:pageBreakBefore w:val="0"/>
        <w:widowControl w:val="0"/>
        <w:kinsoku/>
        <w:wordWrap/>
        <w:overflowPunct/>
        <w:topLinePunct w:val="0"/>
        <w:autoSpaceDE/>
        <w:autoSpaceDN/>
        <w:bidi w:val="0"/>
        <w:adjustRightInd/>
        <w:spacing w:line="520" w:lineRule="exact"/>
        <w:ind w:firstLine="560" w:firstLineChars="200"/>
        <w:textAlignment w:val="auto"/>
        <w:rPr>
          <w:highlight w:val="none"/>
        </w:rPr>
      </w:pPr>
      <w:r>
        <w:rPr>
          <w:rFonts w:hint="eastAsia"/>
          <w:highlight w:val="none"/>
        </w:rPr>
        <w:t>估价结果内涵与本估价报告假设与限制条件中设定的价格内涵一致，于</w:t>
      </w:r>
    </w:p>
    <w:p>
      <w:pPr>
        <w:pageBreakBefore w:val="0"/>
        <w:widowControl w:val="0"/>
        <w:kinsoku/>
        <w:wordWrap/>
        <w:overflowPunct/>
        <w:topLinePunct w:val="0"/>
        <w:autoSpaceDE/>
        <w:autoSpaceDN/>
        <w:bidi w:val="0"/>
        <w:adjustRightInd/>
        <w:spacing w:line="520" w:lineRule="exact"/>
        <w:textAlignment w:val="auto"/>
        <w:rPr>
          <w:highlight w:val="none"/>
        </w:rPr>
      </w:pPr>
      <w:r>
        <w:rPr>
          <w:rFonts w:hint="eastAsia"/>
          <w:highlight w:val="none"/>
        </w:rPr>
        <w:t>价值时点估价对象房屋所有权、相应的土地使用权及与房地产不可分割的满</w:t>
      </w:r>
    </w:p>
    <w:p>
      <w:pPr>
        <w:pageBreakBefore w:val="0"/>
        <w:widowControl w:val="0"/>
        <w:kinsoku/>
        <w:wordWrap/>
        <w:overflowPunct/>
        <w:topLinePunct w:val="0"/>
        <w:autoSpaceDE/>
        <w:autoSpaceDN/>
        <w:bidi w:val="0"/>
        <w:adjustRightInd/>
        <w:spacing w:line="520" w:lineRule="exact"/>
        <w:ind w:right="112" w:rightChars="40"/>
        <w:textAlignment w:val="auto"/>
        <w:rPr>
          <w:highlight w:val="none"/>
        </w:rPr>
      </w:pPr>
      <w:r>
        <w:rPr>
          <w:rFonts w:hint="eastAsia"/>
          <w:highlight w:val="none"/>
        </w:rPr>
        <w:t>足其使用功能的供水、供电、排水等相关配套设施及装饰装修价格，不含动产价格及债权债务等其他财产权益。</w:t>
      </w:r>
    </w:p>
    <w:p>
      <w:pPr>
        <w:pageBreakBefore w:val="0"/>
        <w:widowControl w:val="0"/>
        <w:kinsoku/>
        <w:wordWrap/>
        <w:overflowPunct/>
        <w:topLinePunct w:val="0"/>
        <w:autoSpaceDE/>
        <w:autoSpaceDN/>
        <w:bidi w:val="0"/>
        <w:adjustRightInd/>
        <w:spacing w:line="520" w:lineRule="exact"/>
        <w:ind w:firstLine="560" w:firstLineChars="200"/>
        <w:textAlignment w:val="auto"/>
        <w:rPr>
          <w:rFonts w:cs="Times New Roman"/>
          <w:b/>
          <w:bCs/>
          <w:highlight w:val="none"/>
        </w:rPr>
      </w:pPr>
    </w:p>
    <w:p>
      <w:pPr>
        <w:pageBreakBefore w:val="0"/>
        <w:widowControl w:val="0"/>
        <w:kinsoku/>
        <w:wordWrap/>
        <w:overflowPunct/>
        <w:topLinePunct w:val="0"/>
        <w:autoSpaceDE/>
        <w:autoSpaceDN/>
        <w:bidi w:val="0"/>
        <w:adjustRightInd/>
        <w:spacing w:line="520" w:lineRule="exact"/>
        <w:ind w:firstLine="320" w:firstLineChars="100"/>
        <w:textAlignment w:val="auto"/>
        <w:rPr>
          <w:rFonts w:cs="Times New Roman"/>
          <w:highlight w:val="none"/>
        </w:rPr>
      </w:pPr>
      <w:r>
        <w:rPr>
          <w:rFonts w:hint="eastAsia"/>
          <w:b/>
          <w:bCs/>
          <w:sz w:val="32"/>
          <w:highlight w:val="none"/>
        </w:rPr>
        <w:t>十一、注册房地产估价师</w:t>
      </w:r>
      <w:bookmarkEnd w:id="165"/>
      <w:bookmarkEnd w:id="166"/>
      <w:bookmarkEnd w:id="167"/>
    </w:p>
    <w:tbl>
      <w:tblPr>
        <w:tblStyle w:val="12"/>
        <w:tblW w:w="8670" w:type="dxa"/>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0"/>
        <w:gridCol w:w="2251"/>
        <w:gridCol w:w="2251"/>
        <w:gridCol w:w="2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650" w:type="dxa"/>
            <w:vAlign w:val="center"/>
          </w:tcPr>
          <w:p>
            <w:pPr>
              <w:pageBreakBefore w:val="0"/>
              <w:widowControl w:val="0"/>
              <w:kinsoku/>
              <w:wordWrap/>
              <w:overflowPunct/>
              <w:topLinePunct w:val="0"/>
              <w:autoSpaceDE/>
              <w:autoSpaceDN/>
              <w:bidi w:val="0"/>
              <w:adjustRightInd/>
              <w:spacing w:line="520" w:lineRule="exact"/>
              <w:jc w:val="center"/>
              <w:textAlignment w:val="auto"/>
              <w:rPr>
                <w:b/>
                <w:kern w:val="0"/>
                <w:szCs w:val="28"/>
                <w:highlight w:val="none"/>
              </w:rPr>
            </w:pPr>
            <w:bookmarkStart w:id="168" w:name="_Toc430522305"/>
            <w:r>
              <w:rPr>
                <w:rFonts w:hint="eastAsia"/>
                <w:b/>
                <w:kern w:val="0"/>
                <w:szCs w:val="28"/>
                <w:highlight w:val="none"/>
              </w:rPr>
              <w:t>姓名</w:t>
            </w:r>
          </w:p>
        </w:tc>
        <w:tc>
          <w:tcPr>
            <w:tcW w:w="2251" w:type="dxa"/>
            <w:vAlign w:val="center"/>
          </w:tcPr>
          <w:p>
            <w:pPr>
              <w:pageBreakBefore w:val="0"/>
              <w:widowControl w:val="0"/>
              <w:kinsoku/>
              <w:wordWrap/>
              <w:overflowPunct/>
              <w:topLinePunct w:val="0"/>
              <w:autoSpaceDE/>
              <w:autoSpaceDN/>
              <w:bidi w:val="0"/>
              <w:adjustRightInd/>
              <w:spacing w:line="520" w:lineRule="exact"/>
              <w:jc w:val="center"/>
              <w:textAlignment w:val="auto"/>
              <w:rPr>
                <w:b/>
                <w:kern w:val="0"/>
                <w:szCs w:val="28"/>
                <w:highlight w:val="none"/>
              </w:rPr>
            </w:pPr>
            <w:r>
              <w:rPr>
                <w:rFonts w:hint="eastAsia"/>
                <w:b/>
                <w:kern w:val="0"/>
                <w:szCs w:val="28"/>
                <w:highlight w:val="none"/>
              </w:rPr>
              <w:t>注册号</w:t>
            </w:r>
          </w:p>
        </w:tc>
        <w:tc>
          <w:tcPr>
            <w:tcW w:w="2251" w:type="dxa"/>
            <w:vAlign w:val="center"/>
          </w:tcPr>
          <w:p>
            <w:pPr>
              <w:pageBreakBefore w:val="0"/>
              <w:widowControl w:val="0"/>
              <w:kinsoku/>
              <w:wordWrap/>
              <w:overflowPunct/>
              <w:topLinePunct w:val="0"/>
              <w:autoSpaceDE/>
              <w:autoSpaceDN/>
              <w:bidi w:val="0"/>
              <w:adjustRightInd/>
              <w:spacing w:line="520" w:lineRule="exact"/>
              <w:jc w:val="center"/>
              <w:textAlignment w:val="auto"/>
              <w:rPr>
                <w:b/>
                <w:kern w:val="0"/>
                <w:szCs w:val="28"/>
                <w:highlight w:val="none"/>
              </w:rPr>
            </w:pPr>
            <w:r>
              <w:rPr>
                <w:rFonts w:hint="eastAsia"/>
                <w:b/>
                <w:kern w:val="0"/>
                <w:szCs w:val="28"/>
                <w:highlight w:val="none"/>
              </w:rPr>
              <w:t>签  名</w:t>
            </w:r>
          </w:p>
        </w:tc>
        <w:tc>
          <w:tcPr>
            <w:tcW w:w="2518" w:type="dxa"/>
            <w:vAlign w:val="center"/>
          </w:tcPr>
          <w:p>
            <w:pPr>
              <w:pageBreakBefore w:val="0"/>
              <w:widowControl w:val="0"/>
              <w:kinsoku/>
              <w:wordWrap/>
              <w:overflowPunct/>
              <w:topLinePunct w:val="0"/>
              <w:autoSpaceDE/>
              <w:autoSpaceDN/>
              <w:bidi w:val="0"/>
              <w:adjustRightInd/>
              <w:spacing w:line="520" w:lineRule="exact"/>
              <w:jc w:val="center"/>
              <w:textAlignment w:val="auto"/>
              <w:rPr>
                <w:b/>
                <w:kern w:val="0"/>
                <w:szCs w:val="28"/>
                <w:highlight w:val="none"/>
              </w:rPr>
            </w:pPr>
            <w:r>
              <w:rPr>
                <w:rFonts w:hint="eastAsia"/>
                <w:b/>
                <w:kern w:val="0"/>
                <w:szCs w:val="28"/>
                <w:highlight w:val="none"/>
                <w:shd w:val="clear" w:color="auto" w:fill="FFFFFF"/>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1650"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r>
              <w:rPr>
                <w:rFonts w:hint="eastAsia"/>
                <w:szCs w:val="28"/>
                <w:highlight w:val="none"/>
              </w:rPr>
              <w:t>吴君</w:t>
            </w:r>
          </w:p>
        </w:tc>
        <w:tc>
          <w:tcPr>
            <w:tcW w:w="2251"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0"/>
                <w:highlight w:val="none"/>
              </w:rPr>
            </w:pPr>
            <w:r>
              <w:rPr>
                <w:rFonts w:hint="eastAsia"/>
                <w:szCs w:val="22"/>
                <w:highlight w:val="none"/>
              </w:rPr>
              <w:t>3220210062</w:t>
            </w:r>
          </w:p>
        </w:tc>
        <w:tc>
          <w:tcPr>
            <w:tcW w:w="2251"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p>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p>
        </w:tc>
        <w:tc>
          <w:tcPr>
            <w:tcW w:w="2518"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r>
              <w:rPr>
                <w:rFonts w:hint="eastAsia"/>
                <w:szCs w:val="28"/>
                <w:highlight w:val="none"/>
              </w:rPr>
              <w:t>2022年8月29日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1650"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r>
              <w:rPr>
                <w:rFonts w:hint="eastAsia"/>
                <w:szCs w:val="28"/>
                <w:highlight w:val="none"/>
              </w:rPr>
              <w:t>吴强</w:t>
            </w:r>
          </w:p>
        </w:tc>
        <w:tc>
          <w:tcPr>
            <w:tcW w:w="2251"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0"/>
                <w:highlight w:val="none"/>
              </w:rPr>
            </w:pPr>
            <w:r>
              <w:rPr>
                <w:rFonts w:hint="eastAsia"/>
                <w:szCs w:val="20"/>
                <w:highlight w:val="none"/>
              </w:rPr>
              <w:t>3220190170</w:t>
            </w:r>
          </w:p>
        </w:tc>
        <w:tc>
          <w:tcPr>
            <w:tcW w:w="2251"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p>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p>
        </w:tc>
        <w:tc>
          <w:tcPr>
            <w:tcW w:w="2518" w:type="dxa"/>
            <w:vAlign w:val="center"/>
          </w:tcPr>
          <w:p>
            <w:pPr>
              <w:pageBreakBefore w:val="0"/>
              <w:widowControl w:val="0"/>
              <w:kinsoku/>
              <w:wordWrap/>
              <w:overflowPunct/>
              <w:topLinePunct w:val="0"/>
              <w:autoSpaceDE/>
              <w:autoSpaceDN/>
              <w:bidi w:val="0"/>
              <w:adjustRightInd/>
              <w:spacing w:line="520" w:lineRule="exact"/>
              <w:jc w:val="center"/>
              <w:textAlignment w:val="auto"/>
              <w:rPr>
                <w:szCs w:val="28"/>
                <w:highlight w:val="none"/>
              </w:rPr>
            </w:pPr>
            <w:r>
              <w:rPr>
                <w:rFonts w:hint="eastAsia"/>
                <w:szCs w:val="28"/>
                <w:highlight w:val="none"/>
              </w:rPr>
              <w:t>2022年8月29日</w:t>
            </w:r>
          </w:p>
        </w:tc>
      </w:tr>
    </w:tbl>
    <w:p>
      <w:pPr>
        <w:pStyle w:val="3"/>
        <w:pageBreakBefore w:val="0"/>
        <w:widowControl w:val="0"/>
        <w:kinsoku/>
        <w:wordWrap/>
        <w:overflowPunct/>
        <w:topLinePunct w:val="0"/>
        <w:autoSpaceDE/>
        <w:autoSpaceDN/>
        <w:bidi w:val="0"/>
        <w:adjustRightInd/>
        <w:spacing w:line="520" w:lineRule="exact"/>
        <w:textAlignment w:val="auto"/>
        <w:rPr>
          <w:rFonts w:ascii="Times New Roman" w:hAnsi="Times New Roman" w:eastAsia="楷体" w:cs="楷体_GB2312"/>
          <w:highlight w:val="none"/>
        </w:rPr>
      </w:pPr>
      <w:bookmarkStart w:id="169" w:name="_Toc114643954"/>
      <w:bookmarkStart w:id="170" w:name="_Toc9981"/>
      <w:r>
        <w:rPr>
          <w:rFonts w:hint="eastAsia" w:ascii="Times New Roman" w:hAnsi="Times New Roman" w:eastAsia="楷体" w:cs="楷体_GB2312"/>
          <w:highlight w:val="none"/>
        </w:rPr>
        <w:t>十二、实地查勘期</w:t>
      </w:r>
      <w:bookmarkEnd w:id="168"/>
      <w:bookmarkEnd w:id="169"/>
      <w:bookmarkEnd w:id="170"/>
    </w:p>
    <w:p>
      <w:pPr>
        <w:pageBreakBefore w:val="0"/>
        <w:widowControl w:val="0"/>
        <w:kinsoku/>
        <w:wordWrap/>
        <w:overflowPunct/>
        <w:topLinePunct w:val="0"/>
        <w:autoSpaceDE/>
        <w:autoSpaceDN/>
        <w:bidi w:val="0"/>
        <w:adjustRightInd/>
        <w:spacing w:line="520" w:lineRule="exact"/>
        <w:ind w:firstLine="560" w:firstLineChars="200"/>
        <w:textAlignment w:val="auto"/>
        <w:rPr>
          <w:rFonts w:cs="Times New Roman"/>
          <w:szCs w:val="28"/>
          <w:highlight w:val="none"/>
        </w:rPr>
      </w:pPr>
      <w:bookmarkStart w:id="171" w:name="_Toc326829415"/>
      <w:bookmarkStart w:id="172" w:name="_Toc365376356"/>
      <w:r>
        <w:rPr>
          <w:rFonts w:hint="eastAsia" w:cs="Times New Roman"/>
          <w:szCs w:val="28"/>
          <w:highlight w:val="none"/>
        </w:rPr>
        <w:t>2022年8月9日至2022年8月9日</w:t>
      </w:r>
      <w:r>
        <w:rPr>
          <w:rFonts w:cs="Times New Roman"/>
          <w:szCs w:val="28"/>
          <w:highlight w:val="none"/>
        </w:rPr>
        <w:t>。</w:t>
      </w:r>
    </w:p>
    <w:p>
      <w:pPr>
        <w:pStyle w:val="3"/>
        <w:pageBreakBefore w:val="0"/>
        <w:widowControl w:val="0"/>
        <w:kinsoku/>
        <w:wordWrap/>
        <w:overflowPunct/>
        <w:topLinePunct w:val="0"/>
        <w:autoSpaceDE/>
        <w:autoSpaceDN/>
        <w:bidi w:val="0"/>
        <w:adjustRightInd/>
        <w:spacing w:line="520" w:lineRule="exact"/>
        <w:textAlignment w:val="auto"/>
        <w:rPr>
          <w:rFonts w:ascii="Times New Roman" w:hAnsi="Times New Roman" w:eastAsia="楷体" w:cs="楷体_GB2312"/>
          <w:highlight w:val="none"/>
        </w:rPr>
      </w:pPr>
      <w:bookmarkStart w:id="173" w:name="_Toc16330"/>
      <w:bookmarkStart w:id="174" w:name="_Toc114643955"/>
      <w:r>
        <w:rPr>
          <w:rFonts w:hint="eastAsia" w:ascii="Times New Roman" w:hAnsi="Times New Roman" w:eastAsia="楷体" w:cs="楷体_GB2312"/>
          <w:highlight w:val="none"/>
        </w:rPr>
        <w:t>十三、估价作业日期</w:t>
      </w:r>
      <w:bookmarkEnd w:id="171"/>
      <w:bookmarkEnd w:id="172"/>
      <w:bookmarkEnd w:id="173"/>
      <w:bookmarkEnd w:id="174"/>
    </w:p>
    <w:p>
      <w:pPr>
        <w:pageBreakBefore w:val="0"/>
        <w:widowControl w:val="0"/>
        <w:kinsoku/>
        <w:wordWrap/>
        <w:overflowPunct/>
        <w:topLinePunct w:val="0"/>
        <w:autoSpaceDE/>
        <w:autoSpaceDN/>
        <w:bidi w:val="0"/>
        <w:adjustRightInd/>
        <w:spacing w:line="520" w:lineRule="exact"/>
        <w:ind w:firstLine="560" w:firstLineChars="200"/>
        <w:textAlignment w:val="auto"/>
        <w:rPr>
          <w:rFonts w:cs="Times New Roman"/>
          <w:szCs w:val="28"/>
          <w:highlight w:val="none"/>
        </w:rPr>
      </w:pPr>
      <w:bookmarkStart w:id="175" w:name="_Toc326829416"/>
      <w:bookmarkStart w:id="176" w:name="_Toc365376357"/>
      <w:r>
        <w:rPr>
          <w:rFonts w:hint="eastAsia" w:cs="Times New Roman"/>
          <w:szCs w:val="28"/>
          <w:highlight w:val="none"/>
        </w:rPr>
        <w:t>2022年8月9日至2022年8月29日</w:t>
      </w:r>
      <w:r>
        <w:rPr>
          <w:rFonts w:cs="Times New Roman"/>
          <w:szCs w:val="28"/>
          <w:highlight w:val="none"/>
        </w:rPr>
        <w:t>。</w:t>
      </w:r>
    </w:p>
    <w:bookmarkEnd w:id="175"/>
    <w:bookmarkEnd w:id="176"/>
    <w:p>
      <w:pPr>
        <w:pageBreakBefore w:val="0"/>
        <w:widowControl w:val="0"/>
        <w:shd w:val="clear" w:color="auto" w:fill="FFFFFF"/>
        <w:kinsoku/>
        <w:wordWrap/>
        <w:overflowPunct/>
        <w:topLinePunct w:val="0"/>
        <w:autoSpaceDE/>
        <w:autoSpaceDN/>
        <w:bidi w:val="0"/>
        <w:adjustRightInd/>
        <w:snapToGrid w:val="0"/>
        <w:spacing w:line="520" w:lineRule="exact"/>
        <w:ind w:right="14" w:rightChars="5" w:firstLine="5180" w:firstLineChars="1850"/>
        <w:textAlignment w:val="auto"/>
        <w:rPr>
          <w:rFonts w:cs="楷体_GB2312"/>
          <w:szCs w:val="28"/>
          <w:highlight w:val="none"/>
        </w:rPr>
      </w:pPr>
    </w:p>
    <w:p>
      <w:pPr>
        <w:pageBreakBefore w:val="0"/>
        <w:widowControl w:val="0"/>
        <w:shd w:val="clear" w:color="auto" w:fill="FFFFFF"/>
        <w:kinsoku/>
        <w:wordWrap/>
        <w:overflowPunct/>
        <w:topLinePunct w:val="0"/>
        <w:autoSpaceDE/>
        <w:autoSpaceDN/>
        <w:bidi w:val="0"/>
        <w:adjustRightInd/>
        <w:snapToGrid w:val="0"/>
        <w:spacing w:line="520" w:lineRule="exact"/>
        <w:ind w:right="14" w:rightChars="5" w:firstLine="4160" w:firstLineChars="1300"/>
        <w:textAlignment w:val="auto"/>
        <w:rPr>
          <w:rFonts w:cs="楷体_GB2312"/>
          <w:b/>
          <w:sz w:val="32"/>
          <w:highlight w:val="none"/>
        </w:rPr>
      </w:pPr>
    </w:p>
    <w:p>
      <w:pPr>
        <w:pageBreakBefore w:val="0"/>
        <w:widowControl w:val="0"/>
        <w:shd w:val="clear" w:color="auto" w:fill="FFFFFF"/>
        <w:kinsoku/>
        <w:wordWrap/>
        <w:overflowPunct/>
        <w:topLinePunct w:val="0"/>
        <w:autoSpaceDE/>
        <w:autoSpaceDN/>
        <w:bidi w:val="0"/>
        <w:adjustRightInd/>
        <w:snapToGrid w:val="0"/>
        <w:spacing w:line="520" w:lineRule="exact"/>
        <w:ind w:right="14" w:rightChars="5" w:firstLine="4160" w:firstLineChars="1300"/>
        <w:textAlignment w:val="auto"/>
        <w:rPr>
          <w:rFonts w:cs="楷体_GB2312"/>
          <w:b/>
          <w:sz w:val="32"/>
          <w:highlight w:val="none"/>
        </w:rPr>
      </w:pPr>
    </w:p>
    <w:p>
      <w:pPr>
        <w:shd w:val="clear" w:color="auto" w:fill="FFFFFF"/>
        <w:snapToGrid w:val="0"/>
        <w:spacing w:line="360" w:lineRule="auto"/>
        <w:ind w:right="14" w:rightChars="5"/>
        <w:rPr>
          <w:rFonts w:cs="楷体_GB2312"/>
          <w:b/>
          <w:sz w:val="32"/>
          <w:highlight w:val="none"/>
        </w:rPr>
      </w:pPr>
    </w:p>
    <w:p>
      <w:pPr>
        <w:rPr>
          <w:highlight w:val="none"/>
        </w:rPr>
      </w:pPr>
    </w:p>
    <w:sectPr>
      <w:footerReference r:id="rId5" w:type="first"/>
      <w:headerReference r:id="rId3" w:type="default"/>
      <w:footerReference r:id="rId4" w:type="default"/>
      <w:pgSz w:w="11906" w:h="16838"/>
      <w:pgMar w:top="1134" w:right="1162" w:bottom="1134" w:left="1429"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eastAsia="楷体_GB2312"/>
      </w:rPr>
    </w:pPr>
    <w:r>
      <w:rPr>
        <w:rFonts w:eastAsia="楷体_GB231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-26670</wp:posOffset>
              </wp:positionV>
              <wp:extent cx="6095365" cy="38100"/>
              <wp:effectExtent l="0" t="4445" r="9525" b="15875"/>
              <wp:wrapTight wrapText="bothSides">
                <wp:wrapPolygon>
                  <wp:start x="0" y="-2520"/>
                  <wp:lineTo x="0" y="10800"/>
                  <wp:lineTo x="5131" y="10800"/>
                  <wp:lineTo x="21535" y="10800"/>
                  <wp:lineTo x="21535" y="-2520"/>
                  <wp:lineTo x="15999" y="-2520"/>
                  <wp:lineTo x="0" y="-2520"/>
                </wp:wrapPolygon>
              </wp:wrapTight>
              <wp:docPr id="2" name="直接箭头连接符 2"/>
              <wp:cNvGraphicFramePr/>
              <a:graphic xmlns:a="http://schemas.openxmlformats.org/drawingml/2006/main">
                <a:graphicData uri="http://schemas.microsoft.com/office/word/2010/wordprocessingShape">
                  <wps:wsp>
                    <wps:cNvCnPr/>
                    <wps:spPr>
                      <a:xfrm>
                        <a:off x="0" y="0"/>
                        <a:ext cx="6095365" cy="381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pt;margin-top:-2.1pt;height:3pt;width:479.95pt;mso-wrap-distance-left:9pt;mso-wrap-distance-right:9pt;z-index:251660288;mso-width-relative:page;mso-height-relative:page;" filled="f" stroked="t" coordsize="21600,21600" wrapcoords="0 -2520 0 10800 5131 10800 21535 10800 21535 -2520 15999 -2520 0 -2520" o:gfxdata="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&#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Wf5Ki1wAAAAcBAAAPAAAAAAAAAAEAIAAAACIAAABk&#10;cnMvZG93bnJldi54bWxQSwECFAAUAAAACACHTuJAM7w/7AcCAAD+AwAADgAAAAAAAAABACAAAAAm&#10;AQAAZHJzL2Uyb0RvYy54bWxQSwUGAAAAAAYABgBZAQAAnwUAAAAA&#10;">
              <v:fill on="f" focussize="0,0"/>
              <v:stroke color="#000000" joinstyle="round"/>
              <v:imagedata o:title=""/>
              <o:lock v:ext="edit" aspectratio="f"/>
              <w10:wrap type="tight"/>
            </v:shape>
          </w:pict>
        </mc:Fallback>
      </mc:AlternateContent>
    </w:r>
    <w:r>
      <w:rPr>
        <w:rStyle w:val="14"/>
        <w:rFonts w:eastAsia="楷体_GB2312"/>
      </w:rPr>
      <w:t>地址：</w:t>
    </w:r>
    <w:r>
      <w:rPr>
        <w:rStyle w:val="14"/>
        <w:rFonts w:hint="eastAsia" w:eastAsia="楷体_GB2312"/>
      </w:rPr>
      <w:t>泰州市海陵区青年南路480号</w:t>
    </w:r>
    <w:r>
      <w:rPr>
        <w:rStyle w:val="14"/>
        <w:rFonts w:eastAsia="楷体_GB2312"/>
      </w:rPr>
      <w:t xml:space="preserve">                  </w:t>
    </w:r>
    <w:r>
      <w:rPr>
        <w:rStyle w:val="14"/>
        <w:rFonts w:hint="eastAsia" w:eastAsia="楷体_GB2312"/>
      </w:rPr>
      <w:t xml:space="preserve">                                     </w:t>
    </w:r>
    <w:r>
      <w:rPr>
        <w:rStyle w:val="14"/>
        <w:rFonts w:eastAsia="楷体_GB2312"/>
      </w:rPr>
      <w:t>电话：</w:t>
    </w:r>
    <w:r>
      <w:rPr>
        <w:rStyle w:val="14"/>
        <w:rFonts w:hint="eastAsia" w:eastAsia="楷体_GB2312"/>
      </w:rPr>
      <w:t>0523-86565111</w:t>
    </w:r>
  </w:p>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center"/>
                          </w:pPr>
                          <w:r>
                            <w:fldChar w:fldCharType="begin"/>
                          </w:r>
                          <w:r>
                            <w:rPr>
                              <w:rStyle w:val="14"/>
                            </w:rPr>
                            <w:instrText xml:space="preserve"> PAGE </w:instrText>
                          </w:r>
                          <w:r>
                            <w:fldChar w:fldCharType="separate"/>
                          </w:r>
                          <w:r>
                            <w:rPr>
                              <w:rStyle w:val="14"/>
                            </w:rPr>
                            <w:t>- 7 -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7"/>
                      <w:jc w:val="center"/>
                    </w:pPr>
                    <w:r>
                      <w:fldChar w:fldCharType="begin"/>
                    </w:r>
                    <w:r>
                      <w:rPr>
                        <w:rStyle w:val="14"/>
                      </w:rPr>
                      <w:instrText xml:space="preserve"> PAGE </w:instrText>
                    </w:r>
                    <w:r>
                      <w:fldChar w:fldCharType="separate"/>
                    </w:r>
                    <w:r>
                      <w:rPr>
                        <w:rStyle w:val="14"/>
                      </w:rPr>
                      <w:t>- 7 -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4"/>
      </w:rPr>
      <w:instrText xml:space="preserve"> PAGE </w:instrText>
    </w:r>
    <w:r>
      <w:fldChar w:fldCharType="separate"/>
    </w:r>
    <w:r>
      <w:rPr>
        <w:rStyle w:val="14"/>
      </w:rPr>
      <w:t>- 2 -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right"/>
      <w:rPr>
        <w:b/>
      </w:rPr>
    </w:pPr>
    <w:r>
      <w:rPr>
        <w:rFonts w:hint="eastAsia" w:ascii="楷体" w:hAnsi="楷体"/>
        <w:spacing w:val="20"/>
        <w:sz w:val="21"/>
      </w:rPr>
      <w:t>江苏首佳土地房地产评估测绘事务所有限公司</w:t>
    </w:r>
  </w:p>
  <w:p>
    <w:pPr>
      <w:pStyle w:val="8"/>
      <w:pBdr>
        <w:bottom w:val="single" w:color="auto" w:sz="6" w:space="0"/>
      </w:pBdr>
      <w:jc w:val="right"/>
      <w:rPr>
        <w:rFonts w:eastAsia="楷体_GB2312"/>
      </w:rPr>
    </w:pPr>
    <w:r>
      <w:rPr>
        <w:rFonts w:hint="eastAsia" w:eastAsia="楷体_GB2312"/>
        <w:spacing w:val="20"/>
        <w:sz w:val="21"/>
      </w:rPr>
      <w:t xml:space="preserve">                             </w:t>
    </w:r>
    <w:r>
      <w:rPr>
        <w:rFonts w:hint="eastAsia" w:eastAsia="楷体_GB2312"/>
      </w:rPr>
      <w:t>Jiangsu ShouJia RealEstate Appraisal and Consultation Office</w:t>
    </w:r>
  </w:p>
  <w:p>
    <w:pPr>
      <w:pStyle w:val="8"/>
      <w:pBdr>
        <w:bottom w:val="single" w:color="auto" w:sz="6" w:space="0"/>
      </w:pBdr>
      <w:jc w:val="right"/>
    </w:pPr>
    <w:r>
      <w:rPr>
        <w:rFonts w:hint="eastAsia" w:eastAsia="楷体_GB2312"/>
        <w:spacing w:val="20"/>
        <w:sz w:val="21"/>
      </w:rPr>
      <w:t xml:space="preserve">                    </w:t>
    </w:r>
    <w:r>
      <w:rPr>
        <w:rFonts w:hint="eastAsia" w:ascii="楷体" w:hAnsi="楷体"/>
        <w:spacing w:val="20"/>
        <w:sz w:val="21"/>
      </w:rPr>
      <w:t xml:space="preserve"> 江苏首佳土地房地产评估测绘事务所有限公司泰州分公司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EAB755"/>
    <w:multiLevelType w:val="singleLevel"/>
    <w:tmpl w:val="4FEAB755"/>
    <w:lvl w:ilvl="0" w:tentative="0">
      <w:start w:val="4"/>
      <w:numFmt w:val="decimal"/>
      <w:suff w:val="space"/>
      <w:lvlText w:val="%1."/>
      <w:lvlJc w:val="left"/>
    </w:lvl>
  </w:abstractNum>
  <w:abstractNum w:abstractNumId="1">
    <w:nsid w:val="5A93E7EF"/>
    <w:multiLevelType w:val="singleLevel"/>
    <w:tmpl w:val="5A93E7EF"/>
    <w:lvl w:ilvl="0" w:tentative="0">
      <w:start w:val="1"/>
      <w:numFmt w:val="chineseCounting"/>
      <w:suff w:val="nothing"/>
      <w:lvlText w:val="%1、"/>
      <w:lvlJc w:val="left"/>
      <w:rPr>
        <w:rFonts w:hint="eastAsia"/>
      </w:rPr>
    </w:lvl>
  </w:abstractNum>
  <w:abstractNum w:abstractNumId="2">
    <w:nsid w:val="79CD358D"/>
    <w:multiLevelType w:val="singleLevel"/>
    <w:tmpl w:val="79CD358D"/>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35621C73"/>
    <w:rsid w:val="00010C36"/>
    <w:rsid w:val="00032286"/>
    <w:rsid w:val="000D5A88"/>
    <w:rsid w:val="00106890"/>
    <w:rsid w:val="00112A63"/>
    <w:rsid w:val="00127D75"/>
    <w:rsid w:val="001750FE"/>
    <w:rsid w:val="0019061A"/>
    <w:rsid w:val="002151DD"/>
    <w:rsid w:val="0034457F"/>
    <w:rsid w:val="00460ACC"/>
    <w:rsid w:val="004E71D5"/>
    <w:rsid w:val="00517DA3"/>
    <w:rsid w:val="005239A6"/>
    <w:rsid w:val="005345BF"/>
    <w:rsid w:val="0058563C"/>
    <w:rsid w:val="0059744A"/>
    <w:rsid w:val="005C5AEB"/>
    <w:rsid w:val="006124ED"/>
    <w:rsid w:val="006165E9"/>
    <w:rsid w:val="00663325"/>
    <w:rsid w:val="00673391"/>
    <w:rsid w:val="008002EA"/>
    <w:rsid w:val="00851065"/>
    <w:rsid w:val="00874597"/>
    <w:rsid w:val="008D6F19"/>
    <w:rsid w:val="008E24A2"/>
    <w:rsid w:val="009311DF"/>
    <w:rsid w:val="00931E4C"/>
    <w:rsid w:val="00957B6F"/>
    <w:rsid w:val="00985C11"/>
    <w:rsid w:val="009A3AA1"/>
    <w:rsid w:val="00A80EA3"/>
    <w:rsid w:val="00AC3AF1"/>
    <w:rsid w:val="00AF7687"/>
    <w:rsid w:val="00C14798"/>
    <w:rsid w:val="00C66A6A"/>
    <w:rsid w:val="00D12E7A"/>
    <w:rsid w:val="00D16414"/>
    <w:rsid w:val="00DA7012"/>
    <w:rsid w:val="00DB656E"/>
    <w:rsid w:val="00DC6D3E"/>
    <w:rsid w:val="00E705F3"/>
    <w:rsid w:val="00E7292E"/>
    <w:rsid w:val="00FB294D"/>
    <w:rsid w:val="01505C27"/>
    <w:rsid w:val="02086C48"/>
    <w:rsid w:val="02BA7176"/>
    <w:rsid w:val="031973CA"/>
    <w:rsid w:val="0492656E"/>
    <w:rsid w:val="06017333"/>
    <w:rsid w:val="063D4ADF"/>
    <w:rsid w:val="0A44628B"/>
    <w:rsid w:val="0A5F0603"/>
    <w:rsid w:val="0C8B2971"/>
    <w:rsid w:val="0C9C018C"/>
    <w:rsid w:val="0E610FBA"/>
    <w:rsid w:val="0F81030D"/>
    <w:rsid w:val="0FA249A8"/>
    <w:rsid w:val="1043276B"/>
    <w:rsid w:val="122F12F2"/>
    <w:rsid w:val="12A0731B"/>
    <w:rsid w:val="136B14D7"/>
    <w:rsid w:val="167D69B7"/>
    <w:rsid w:val="186C2A29"/>
    <w:rsid w:val="19650BF8"/>
    <w:rsid w:val="1D9611AA"/>
    <w:rsid w:val="1F1D3AE5"/>
    <w:rsid w:val="1FF600FB"/>
    <w:rsid w:val="20F621DE"/>
    <w:rsid w:val="2163139F"/>
    <w:rsid w:val="21901115"/>
    <w:rsid w:val="21F1719F"/>
    <w:rsid w:val="22C60FC2"/>
    <w:rsid w:val="23BA7FE7"/>
    <w:rsid w:val="257D111F"/>
    <w:rsid w:val="25DC7FCB"/>
    <w:rsid w:val="26704B8B"/>
    <w:rsid w:val="29976A8F"/>
    <w:rsid w:val="29FF6315"/>
    <w:rsid w:val="2A1C49A4"/>
    <w:rsid w:val="2C844AE2"/>
    <w:rsid w:val="2D777E68"/>
    <w:rsid w:val="2DC93154"/>
    <w:rsid w:val="2DEB191E"/>
    <w:rsid w:val="2E4D0711"/>
    <w:rsid w:val="2F10522B"/>
    <w:rsid w:val="2F29605D"/>
    <w:rsid w:val="2F594063"/>
    <w:rsid w:val="31F47F72"/>
    <w:rsid w:val="327F0285"/>
    <w:rsid w:val="35621C73"/>
    <w:rsid w:val="36B65BC7"/>
    <w:rsid w:val="37366F6D"/>
    <w:rsid w:val="3A0B68A2"/>
    <w:rsid w:val="3A570635"/>
    <w:rsid w:val="3AE72E6B"/>
    <w:rsid w:val="3C604027"/>
    <w:rsid w:val="3EDE6592"/>
    <w:rsid w:val="3F484573"/>
    <w:rsid w:val="441445A5"/>
    <w:rsid w:val="44A062D6"/>
    <w:rsid w:val="44CC55C9"/>
    <w:rsid w:val="45EE0BBD"/>
    <w:rsid w:val="477E6905"/>
    <w:rsid w:val="47DF28C1"/>
    <w:rsid w:val="48CD1F42"/>
    <w:rsid w:val="49452287"/>
    <w:rsid w:val="4C455C43"/>
    <w:rsid w:val="4D25429B"/>
    <w:rsid w:val="4D4A05AA"/>
    <w:rsid w:val="4DEF5F3A"/>
    <w:rsid w:val="504C66F6"/>
    <w:rsid w:val="5217598C"/>
    <w:rsid w:val="54A57011"/>
    <w:rsid w:val="5580130A"/>
    <w:rsid w:val="56334D5F"/>
    <w:rsid w:val="574820FA"/>
    <w:rsid w:val="57F15F6E"/>
    <w:rsid w:val="5BAC3B05"/>
    <w:rsid w:val="5C8A1451"/>
    <w:rsid w:val="5ED62D09"/>
    <w:rsid w:val="5EF31E71"/>
    <w:rsid w:val="5F7A39FE"/>
    <w:rsid w:val="5FB7781A"/>
    <w:rsid w:val="5FF612D7"/>
    <w:rsid w:val="5FF65ACA"/>
    <w:rsid w:val="6532165C"/>
    <w:rsid w:val="65602F00"/>
    <w:rsid w:val="65686605"/>
    <w:rsid w:val="65A3666E"/>
    <w:rsid w:val="66C33EDD"/>
    <w:rsid w:val="6723018D"/>
    <w:rsid w:val="69EB2482"/>
    <w:rsid w:val="6A623BED"/>
    <w:rsid w:val="6D161884"/>
    <w:rsid w:val="733A39D1"/>
    <w:rsid w:val="73CD63C4"/>
    <w:rsid w:val="749D6AF1"/>
    <w:rsid w:val="759D4B46"/>
    <w:rsid w:val="77AF249D"/>
    <w:rsid w:val="780F1D1C"/>
    <w:rsid w:val="798B1E04"/>
    <w:rsid w:val="799B33B8"/>
    <w:rsid w:val="7B0A26B9"/>
    <w:rsid w:val="7C964C3B"/>
    <w:rsid w:val="7CD411A3"/>
    <w:rsid w:val="7FBD7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 w:cs="楷体"/>
      <w:kern w:val="2"/>
      <w:sz w:val="28"/>
      <w:szCs w:val="3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Plain Text"/>
    <w:basedOn w:val="1"/>
    <w:qFormat/>
    <w:uiPriority w:val="0"/>
    <w:rPr>
      <w:rFonts w:ascii="宋体" w:hAnsi="Courier New" w:eastAsia="宋体" w:cs="Times New Roman"/>
      <w:sz w:val="21"/>
      <w:szCs w:val="20"/>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annotation subject"/>
    <w:basedOn w:val="4"/>
    <w:next w:val="4"/>
    <w:link w:val="18"/>
    <w:qFormat/>
    <w:uiPriority w:val="0"/>
    <w:rPr>
      <w:b/>
      <w:bCs/>
    </w:r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rPr>
  </w:style>
  <w:style w:type="character" w:styleId="16">
    <w:name w:val="annotation reference"/>
    <w:basedOn w:val="13"/>
    <w:qFormat/>
    <w:uiPriority w:val="0"/>
    <w:rPr>
      <w:sz w:val="21"/>
      <w:szCs w:val="21"/>
    </w:rPr>
  </w:style>
  <w:style w:type="character" w:customStyle="1" w:styleId="17">
    <w:name w:val="批注文字 字符"/>
    <w:basedOn w:val="13"/>
    <w:link w:val="4"/>
    <w:qFormat/>
    <w:uiPriority w:val="0"/>
    <w:rPr>
      <w:rFonts w:eastAsia="楷体" w:cs="楷体"/>
      <w:kern w:val="2"/>
      <w:sz w:val="28"/>
      <w:szCs w:val="32"/>
    </w:rPr>
  </w:style>
  <w:style w:type="character" w:customStyle="1" w:styleId="18">
    <w:name w:val="批注主题 字符"/>
    <w:basedOn w:val="17"/>
    <w:link w:val="11"/>
    <w:qFormat/>
    <w:uiPriority w:val="0"/>
    <w:rPr>
      <w:rFonts w:eastAsia="楷体" w:cs="楷体"/>
      <w:b/>
      <w:bCs/>
      <w:kern w:val="2"/>
      <w:sz w:val="28"/>
      <w:szCs w:val="32"/>
    </w:rPr>
  </w:style>
  <w:style w:type="character" w:customStyle="1" w:styleId="19">
    <w:name w:val="批注框文本 字符"/>
    <w:basedOn w:val="13"/>
    <w:link w:val="6"/>
    <w:qFormat/>
    <w:uiPriority w:val="0"/>
    <w:rPr>
      <w:rFonts w:eastAsia="楷体" w:cs="楷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1.wmf"/><Relationship Id="rId7" Type="http://schemas.openxmlformats.org/officeDocument/2006/relationships/control" Target="activeX/activeX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9129</Words>
  <Characters>9702</Characters>
  <Lines>84</Lines>
  <Paragraphs>23</Paragraphs>
  <TotalTime>7</TotalTime>
  <ScaleCrop>false</ScaleCrop>
  <LinksUpToDate>false</LinksUpToDate>
  <CharactersWithSpaces>9909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2021-11-19T07:53:00Z</dcterms:created>
  <dc:creator>Administrator</dc:creator>
  <cp:lastModifiedBy>86188</cp:lastModifiedBy>
  <cp:lastPrinted>2022-06-24T06:29:00Z</cp:lastPrinted>
  <dcterms:modified xsi:type="dcterms:W3CDTF">2022-10-18T09:02:33Z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82C8764C473C45E39C91D0E402BD95EA</vt:lpwstr>
  </property>
</Properties>
</file>