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cs="Times New Roman" w:eastAsiaTheme="minorEastAsia"/>
          <w:b/>
          <w:sz w:val="52"/>
          <w:szCs w:val="52"/>
        </w:rPr>
      </w:pPr>
    </w:p>
    <w:p>
      <w:pPr>
        <w:spacing w:line="360" w:lineRule="auto"/>
        <w:jc w:val="center"/>
        <w:rPr>
          <w:rFonts w:hint="default" w:ascii="Times New Roman" w:hAnsi="Times New Roman" w:cs="Times New Roman" w:eastAsiaTheme="minorEastAsia"/>
          <w:b/>
          <w:sz w:val="52"/>
          <w:szCs w:val="52"/>
        </w:rPr>
      </w:pPr>
    </w:p>
    <w:p>
      <w:pPr>
        <w:spacing w:line="360" w:lineRule="auto"/>
        <w:jc w:val="center"/>
        <w:rPr>
          <w:rFonts w:hint="default" w:ascii="Times New Roman" w:hAnsi="Times New Roman" w:cs="Times New Roman" w:eastAsiaTheme="minorEastAsia"/>
          <w:b/>
          <w:sz w:val="52"/>
          <w:szCs w:val="52"/>
        </w:rPr>
      </w:pPr>
      <w:r>
        <w:rPr>
          <w:rFonts w:hint="default" w:ascii="Times New Roman" w:hAnsi="Times New Roman" w:cs="Times New Roman" w:eastAsiaTheme="minorEastAsia"/>
          <w:b/>
          <w:sz w:val="52"/>
          <w:szCs w:val="52"/>
        </w:rPr>
        <w:t>房地产估价报告</w:t>
      </w:r>
    </w:p>
    <w:p>
      <w:pPr>
        <w:spacing w:line="360" w:lineRule="auto"/>
        <w:rPr>
          <w:rFonts w:hint="default" w:ascii="Times New Roman" w:hAnsi="Times New Roman" w:cs="Times New Roman" w:eastAsiaTheme="minorEastAsia"/>
          <w:sz w:val="28"/>
          <w:szCs w:val="28"/>
        </w:rPr>
      </w:pPr>
    </w:p>
    <w:p>
      <w:pPr>
        <w:tabs>
          <w:tab w:val="right" w:pos="9576"/>
        </w:tabs>
        <w:spacing w:beforeLines="50" w:afterLines="50" w:line="460" w:lineRule="exact"/>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估价项目：</w:t>
      </w:r>
    </w:p>
    <w:p>
      <w:pPr>
        <w:spacing w:line="500" w:lineRule="exact"/>
        <w:ind w:firstLine="560" w:firstLineChars="200"/>
        <w:rPr>
          <w:rFonts w:hint="default" w:ascii="Times New Roman" w:hAnsi="Times New Roman" w:cs="Times New Roman" w:eastAsiaTheme="minorEastAsia"/>
          <w:sz w:val="28"/>
          <w:szCs w:val="28"/>
        </w:rPr>
      </w:pPr>
      <w:r>
        <w:rPr>
          <w:rFonts w:hint="eastAsia" w:cs="Times New Roman" w:eastAsiaTheme="minorEastAsia"/>
          <w:sz w:val="28"/>
          <w:szCs w:val="28"/>
          <w:lang w:val="en-US" w:eastAsia="zh-CN"/>
        </w:rPr>
        <w:t>顾云雅所有的</w:t>
      </w:r>
      <w:r>
        <w:rPr>
          <w:rFonts w:hint="default" w:ascii="Times New Roman" w:hAnsi="Times New Roman" w:cs="Times New Roman" w:eastAsiaTheme="minorEastAsia"/>
          <w:sz w:val="28"/>
          <w:szCs w:val="28"/>
        </w:rPr>
        <w:t>位于</w:t>
      </w:r>
      <w:r>
        <w:rPr>
          <w:rFonts w:hint="eastAsia" w:cs="Times New Roman" w:eastAsiaTheme="minorEastAsia"/>
          <w:sz w:val="28"/>
          <w:szCs w:val="28"/>
          <w:lang w:val="en-US" w:eastAsia="zh-CN"/>
        </w:rPr>
        <w:t>常州</w:t>
      </w:r>
      <w:r>
        <w:rPr>
          <w:rFonts w:hint="default" w:ascii="Times New Roman" w:hAnsi="Times New Roman" w:cs="Times New Roman" w:eastAsiaTheme="minorEastAsia"/>
          <w:sz w:val="28"/>
          <w:szCs w:val="28"/>
          <w:lang w:eastAsia="zh-CN"/>
        </w:rPr>
        <w:t>市</w:t>
      </w:r>
      <w:r>
        <w:rPr>
          <w:rFonts w:hint="eastAsia" w:cs="Times New Roman" w:eastAsiaTheme="minorEastAsia"/>
          <w:sz w:val="28"/>
          <w:szCs w:val="28"/>
          <w:lang w:val="en-US" w:eastAsia="zh-CN"/>
        </w:rPr>
        <w:t>武进区湖塘镇花园街159号新天地不夜城12幢12-2026号、12-2027号、12-2028号、12-2029号房地产</w:t>
      </w:r>
      <w:r>
        <w:rPr>
          <w:rFonts w:hint="default" w:ascii="Times New Roman" w:hAnsi="Times New Roman" w:cs="Times New Roman" w:eastAsiaTheme="minorEastAsia"/>
          <w:sz w:val="28"/>
          <w:szCs w:val="28"/>
        </w:rPr>
        <w:t>市场价值评估</w:t>
      </w:r>
    </w:p>
    <w:p>
      <w:pPr>
        <w:tabs>
          <w:tab w:val="right" w:pos="9576"/>
        </w:tabs>
        <w:spacing w:beforeLines="50" w:afterLines="50" w:line="460" w:lineRule="exact"/>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估价委托人：</w:t>
      </w:r>
    </w:p>
    <w:p>
      <w:pPr>
        <w:tabs>
          <w:tab w:val="right" w:pos="9576"/>
        </w:tabs>
        <w:spacing w:beforeLines="50" w:afterLines="50" w:line="460" w:lineRule="exact"/>
        <w:ind w:firstLine="560" w:firstLineChars="200"/>
        <w:rPr>
          <w:rFonts w:hint="default" w:ascii="Times New Roman" w:hAnsi="Times New Roman" w:cs="Times New Roman" w:eastAsiaTheme="minorEastAsia"/>
          <w:sz w:val="28"/>
          <w:szCs w:val="28"/>
          <w:lang w:eastAsia="zh-CN"/>
        </w:rPr>
      </w:pPr>
      <w:r>
        <w:rPr>
          <w:rFonts w:hint="eastAsia" w:cs="Times New Roman" w:eastAsiaTheme="minorEastAsia"/>
          <w:sz w:val="28"/>
          <w:szCs w:val="28"/>
          <w:lang w:val="en-US" w:eastAsia="zh-CN"/>
        </w:rPr>
        <w:t>常州市天宁区</w:t>
      </w:r>
      <w:r>
        <w:rPr>
          <w:rFonts w:hint="default" w:ascii="Times New Roman" w:hAnsi="Times New Roman" w:cs="Times New Roman" w:eastAsiaTheme="minorEastAsia"/>
          <w:sz w:val="28"/>
          <w:szCs w:val="28"/>
          <w:lang w:eastAsia="zh-CN"/>
        </w:rPr>
        <w:t>人民法院</w:t>
      </w:r>
    </w:p>
    <w:p>
      <w:pPr>
        <w:tabs>
          <w:tab w:val="right" w:pos="9576"/>
        </w:tabs>
        <w:spacing w:beforeLines="50" w:afterLines="50" w:line="460" w:lineRule="exact"/>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房地产估价机构：</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江苏国联土地房地产评估有限公司</w:t>
      </w:r>
    </w:p>
    <w:p>
      <w:pPr>
        <w:tabs>
          <w:tab w:val="right" w:pos="9576"/>
        </w:tabs>
        <w:spacing w:beforeLines="50" w:afterLines="50" w:line="460" w:lineRule="exact"/>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注册房地产估价师：</w:t>
      </w:r>
    </w:p>
    <w:p>
      <w:pPr>
        <w:spacing w:line="500" w:lineRule="exact"/>
        <w:ind w:firstLine="560" w:firstLineChars="200"/>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sz w:val="28"/>
          <w:szCs w:val="28"/>
          <w:lang w:val="en-US" w:eastAsia="zh-CN"/>
        </w:rPr>
        <w:t>汪胡涛</w:t>
      </w: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注册号：</w:t>
      </w:r>
      <w:r>
        <w:rPr>
          <w:rFonts w:hint="default" w:ascii="Times New Roman" w:hAnsi="Times New Roman" w:cs="Times New Roman" w:eastAsiaTheme="minorEastAsia"/>
          <w:sz w:val="28"/>
          <w:szCs w:val="28"/>
          <w:lang w:eastAsia="zh-CN"/>
        </w:rPr>
        <w:t>3</w:t>
      </w:r>
      <w:r>
        <w:rPr>
          <w:rFonts w:hint="default" w:ascii="Times New Roman" w:hAnsi="Times New Roman" w:cs="Times New Roman" w:eastAsiaTheme="minorEastAsia"/>
          <w:color w:val="auto"/>
          <w:sz w:val="28"/>
          <w:szCs w:val="28"/>
          <w:lang w:eastAsia="zh-CN"/>
        </w:rPr>
        <w:t>220</w:t>
      </w:r>
      <w:r>
        <w:rPr>
          <w:rFonts w:hint="default" w:ascii="Times New Roman" w:hAnsi="Times New Roman" w:cs="Times New Roman" w:eastAsiaTheme="minorEastAsia"/>
          <w:color w:val="auto"/>
          <w:sz w:val="28"/>
          <w:szCs w:val="28"/>
          <w:lang w:val="en-US" w:eastAsia="zh-CN"/>
        </w:rPr>
        <w:t>190398</w:t>
      </w:r>
    </w:p>
    <w:p>
      <w:pPr>
        <w:spacing w:line="500" w:lineRule="exact"/>
        <w:ind w:firstLine="560" w:firstLineChars="200"/>
        <w:rPr>
          <w:rFonts w:hint="default" w:ascii="Times New Roman" w:hAnsi="Times New Roman" w:cs="Times New Roman" w:eastAsiaTheme="minorEastAsia"/>
          <w:sz w:val="28"/>
          <w:szCs w:val="28"/>
        </w:rPr>
      </w:pPr>
      <w:r>
        <w:rPr>
          <w:rFonts w:hint="eastAsia" w:cs="Times New Roman" w:eastAsiaTheme="minorEastAsia"/>
          <w:sz w:val="28"/>
          <w:szCs w:val="28"/>
          <w:lang w:val="en-US" w:eastAsia="zh-CN"/>
        </w:rPr>
        <w:t>王志鹏</w:t>
      </w:r>
      <w:r>
        <w:rPr>
          <w:rFonts w:hint="eastAsia" w:ascii="Times New Roman" w:hAnsi="Times New Roman" w:cs="Times New Roman" w:eastAsiaTheme="minorEastAsia"/>
          <w:sz w:val="28"/>
          <w:szCs w:val="28"/>
          <w:lang w:val="en-US" w:eastAsia="zh-CN"/>
        </w:rPr>
        <w:t xml:space="preserve">     </w:t>
      </w:r>
      <w:r>
        <w:rPr>
          <w:rFonts w:hint="eastAsia" w:cs="Times New Roman" w:eastAsiaTheme="minorEastAsia"/>
          <w:sz w:val="28"/>
          <w:szCs w:val="28"/>
          <w:lang w:val="en-US" w:eastAsia="zh-CN"/>
        </w:rPr>
        <w:t xml:space="preserve">  </w:t>
      </w:r>
      <w:r>
        <w:rPr>
          <w:rFonts w:hint="eastAsia" w:ascii="Times New Roman" w:hAnsi="Times New Roman" w:cs="Times New Roman" w:eastAsiaTheme="minorEastAsia"/>
          <w:sz w:val="28"/>
          <w:szCs w:val="28"/>
          <w:lang w:eastAsia="zh-CN"/>
        </w:rPr>
        <w:t>注册号：</w:t>
      </w:r>
      <w:r>
        <w:rPr>
          <w:rFonts w:hint="default" w:ascii="Times New Roman" w:hAnsi="Times New Roman" w:cs="Times New Roman" w:eastAsiaTheme="minorEastAsia"/>
          <w:sz w:val="28"/>
          <w:szCs w:val="28"/>
        </w:rPr>
        <w:t>32201</w:t>
      </w:r>
      <w:r>
        <w:rPr>
          <w:rFonts w:hint="eastAsia" w:cs="Times New Roman" w:eastAsiaTheme="minorEastAsia"/>
          <w:sz w:val="28"/>
          <w:szCs w:val="28"/>
          <w:lang w:val="en-US" w:eastAsia="zh-CN"/>
        </w:rPr>
        <w:t>10065</w:t>
      </w:r>
    </w:p>
    <w:p>
      <w:pPr>
        <w:tabs>
          <w:tab w:val="right" w:pos="9576"/>
        </w:tabs>
        <w:spacing w:beforeLines="50" w:afterLines="50" w:line="460" w:lineRule="exact"/>
        <w:rPr>
          <w:rFonts w:hint="default" w:ascii="Times New Roman" w:hAnsi="Times New Roman" w:cs="Times New Roman" w:eastAsiaTheme="minorEastAsia"/>
          <w:b/>
          <w:color w:val="auto"/>
          <w:sz w:val="28"/>
          <w:szCs w:val="28"/>
          <w:highlight w:val="none"/>
        </w:rPr>
      </w:pPr>
      <w:r>
        <w:rPr>
          <w:rFonts w:hint="default" w:ascii="Times New Roman" w:hAnsi="Times New Roman" w:cs="Times New Roman" w:eastAsiaTheme="minorEastAsia"/>
          <w:b/>
          <w:color w:val="auto"/>
          <w:sz w:val="28"/>
          <w:szCs w:val="28"/>
        </w:rPr>
        <w:t>估</w:t>
      </w:r>
      <w:r>
        <w:rPr>
          <w:rFonts w:hint="default" w:ascii="Times New Roman" w:hAnsi="Times New Roman" w:cs="Times New Roman" w:eastAsiaTheme="minorEastAsia"/>
          <w:b/>
          <w:color w:val="auto"/>
          <w:sz w:val="28"/>
          <w:szCs w:val="28"/>
          <w:highlight w:val="none"/>
        </w:rPr>
        <w:t>价报告出具日期：</w:t>
      </w:r>
    </w:p>
    <w:p>
      <w:pPr>
        <w:spacing w:line="460" w:lineRule="exact"/>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z w:val="28"/>
          <w:szCs w:val="28"/>
          <w:highlight w:val="none"/>
        </w:rPr>
        <w:t xml:space="preserve">    </w:t>
      </w:r>
      <w:r>
        <w:rPr>
          <w:rFonts w:hint="default" w:ascii="Times New Roman" w:hAnsi="Times New Roman" w:cs="Times New Roman" w:eastAsiaTheme="minorEastAsia"/>
          <w:color w:val="auto"/>
          <w:sz w:val="28"/>
          <w:szCs w:val="28"/>
          <w:highlight w:val="none"/>
          <w:lang w:eastAsia="zh-CN"/>
        </w:rPr>
        <w:t>二〇二</w:t>
      </w:r>
      <w:r>
        <w:rPr>
          <w:rFonts w:hint="eastAsia" w:cs="Times New Roman" w:eastAsiaTheme="minorEastAsia"/>
          <w:color w:val="auto"/>
          <w:sz w:val="28"/>
          <w:szCs w:val="28"/>
          <w:highlight w:val="none"/>
          <w:lang w:val="en-US" w:eastAsia="zh-CN"/>
        </w:rPr>
        <w:t>二</w:t>
      </w:r>
      <w:r>
        <w:rPr>
          <w:rFonts w:hint="default" w:ascii="Times New Roman" w:hAnsi="Times New Roman" w:cs="Times New Roman" w:eastAsiaTheme="minorEastAsia"/>
          <w:color w:val="auto"/>
          <w:sz w:val="28"/>
          <w:szCs w:val="28"/>
          <w:highlight w:val="none"/>
          <w:lang w:eastAsia="zh-CN"/>
        </w:rPr>
        <w:t>年</w:t>
      </w:r>
      <w:r>
        <w:rPr>
          <w:rFonts w:hint="eastAsia" w:cs="Times New Roman" w:eastAsiaTheme="minorEastAsia"/>
          <w:color w:val="auto"/>
          <w:sz w:val="28"/>
          <w:szCs w:val="28"/>
          <w:highlight w:val="none"/>
          <w:lang w:val="en-US" w:eastAsia="zh-CN"/>
        </w:rPr>
        <w:t>九</w:t>
      </w:r>
      <w:r>
        <w:rPr>
          <w:rFonts w:hint="default" w:ascii="Times New Roman" w:hAnsi="Times New Roman" w:cs="Times New Roman" w:eastAsiaTheme="minorEastAsia"/>
          <w:color w:val="auto"/>
          <w:sz w:val="28"/>
          <w:szCs w:val="28"/>
          <w:highlight w:val="none"/>
          <w:lang w:eastAsia="zh-CN"/>
        </w:rPr>
        <w:t>月</w:t>
      </w:r>
      <w:r>
        <w:rPr>
          <w:rFonts w:hint="eastAsia" w:cs="Times New Roman" w:eastAsiaTheme="minorEastAsia"/>
          <w:color w:val="auto"/>
          <w:sz w:val="28"/>
          <w:szCs w:val="28"/>
          <w:highlight w:val="none"/>
          <w:lang w:val="en-US" w:eastAsia="zh-CN"/>
        </w:rPr>
        <w:t>十三日</w:t>
      </w:r>
    </w:p>
    <w:p>
      <w:pPr>
        <w:tabs>
          <w:tab w:val="left" w:pos="4920"/>
        </w:tabs>
        <w:spacing w:beforeLines="50" w:afterLines="50" w:line="460" w:lineRule="exact"/>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highlight w:val="none"/>
        </w:rPr>
        <w:t>估价报告编号：</w:t>
      </w:r>
      <w:r>
        <w:rPr>
          <w:rFonts w:hint="default" w:ascii="Times New Roman" w:hAnsi="Times New Roman" w:cs="Times New Roman" w:eastAsiaTheme="minorEastAsia"/>
          <w:b/>
          <w:sz w:val="28"/>
          <w:szCs w:val="28"/>
          <w:highlight w:val="none"/>
        </w:rPr>
        <w:tab/>
      </w:r>
    </w:p>
    <w:p>
      <w:pPr>
        <w:tabs>
          <w:tab w:val="right" w:pos="9576"/>
        </w:tabs>
        <w:spacing w:beforeLines="50" w:afterLines="50" w:line="460" w:lineRule="exact"/>
        <w:ind w:firstLine="560" w:firstLineChars="200"/>
        <w:rPr>
          <w:rFonts w:hint="default" w:ascii="Times New Roman" w:hAnsi="Times New Roman" w:cs="Times New Roman" w:eastAsiaTheme="minorEastAsia"/>
          <w:color w:val="auto"/>
          <w:sz w:val="28"/>
          <w:szCs w:val="28"/>
          <w:lang w:eastAsia="zh-CN"/>
        </w:rPr>
      </w:pPr>
      <w:r>
        <w:rPr>
          <w:rFonts w:hint="default" w:ascii="Times New Roman" w:hAnsi="Times New Roman" w:cs="Times New Roman" w:eastAsiaTheme="minorEastAsia"/>
          <w:color w:val="auto"/>
          <w:sz w:val="28"/>
          <w:szCs w:val="28"/>
        </w:rPr>
        <w:t>苏国联房估字</w:t>
      </w:r>
      <w:r>
        <w:rPr>
          <w:rFonts w:hint="default" w:ascii="Times New Roman" w:hAnsi="Times New Roman" w:cs="Times New Roman" w:eastAsiaTheme="minorEastAsia"/>
          <w:color w:val="auto"/>
          <w:sz w:val="28"/>
          <w:szCs w:val="28"/>
          <w:lang w:eastAsia="zh-CN"/>
        </w:rPr>
        <w:t>（202</w:t>
      </w:r>
      <w:r>
        <w:rPr>
          <w:rFonts w:hint="eastAsia" w:cs="Times New Roman" w:eastAsiaTheme="minorEastAsia"/>
          <w:color w:val="auto"/>
          <w:sz w:val="28"/>
          <w:szCs w:val="28"/>
          <w:lang w:val="en-US" w:eastAsia="zh-CN"/>
        </w:rPr>
        <w:t>2</w:t>
      </w:r>
      <w:r>
        <w:rPr>
          <w:rFonts w:hint="default" w:ascii="Times New Roman" w:hAnsi="Times New Roman" w:cs="Times New Roman" w:eastAsiaTheme="minorEastAsia"/>
          <w:color w:val="auto"/>
          <w:sz w:val="28"/>
          <w:szCs w:val="28"/>
          <w:lang w:eastAsia="zh-CN"/>
        </w:rPr>
        <w:t>）</w:t>
      </w:r>
      <w:r>
        <w:rPr>
          <w:rFonts w:hint="eastAsia" w:cs="Times New Roman" w:eastAsiaTheme="minorEastAsia"/>
          <w:color w:val="auto"/>
          <w:sz w:val="28"/>
          <w:szCs w:val="28"/>
          <w:lang w:val="en-US" w:eastAsia="zh-CN"/>
        </w:rPr>
        <w:t>第</w:t>
      </w:r>
      <w:r>
        <w:rPr>
          <w:rFonts w:hint="eastAsia" w:cs="Times New Roman" w:eastAsiaTheme="minorEastAsia"/>
          <w:color w:val="auto"/>
          <w:sz w:val="28"/>
          <w:szCs w:val="28"/>
          <w:lang w:eastAsia="zh-CN"/>
        </w:rPr>
        <w:t>G01</w:t>
      </w:r>
      <w:r>
        <w:rPr>
          <w:rFonts w:hint="eastAsia" w:cs="Times New Roman" w:eastAsiaTheme="minorEastAsia"/>
          <w:color w:val="auto"/>
          <w:sz w:val="28"/>
          <w:szCs w:val="28"/>
          <w:lang w:val="en-US" w:eastAsia="zh-CN"/>
        </w:rPr>
        <w:t>8</w:t>
      </w:r>
      <w:r>
        <w:rPr>
          <w:rFonts w:hint="default" w:ascii="Times New Roman" w:hAnsi="Times New Roman" w:cs="Times New Roman" w:eastAsiaTheme="minorEastAsia"/>
          <w:color w:val="auto"/>
          <w:sz w:val="28"/>
          <w:szCs w:val="28"/>
          <w:lang w:eastAsia="zh-CN"/>
        </w:rPr>
        <w:t>号</w:t>
      </w:r>
    </w:p>
    <w:p>
      <w:pPr>
        <w:tabs>
          <w:tab w:val="right" w:pos="9576"/>
        </w:tabs>
        <w:spacing w:beforeLines="50" w:afterLines="50" w:line="460" w:lineRule="exact"/>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司法委托书编号：</w:t>
      </w:r>
    </w:p>
    <w:p>
      <w:pPr>
        <w:spacing w:line="460" w:lineRule="exact"/>
        <w:ind w:firstLine="560" w:firstLineChars="200"/>
        <w:rPr>
          <w:rFonts w:hint="default" w:ascii="Times New Roman" w:hAnsi="Times New Roman" w:cs="Times New Roman" w:eastAsiaTheme="minorEastAsia"/>
          <w:b/>
          <w:sz w:val="44"/>
          <w:szCs w:val="44"/>
        </w:rPr>
      </w:pPr>
      <w:r>
        <w:rPr>
          <w:rFonts w:hint="eastAsia" w:ascii="宋体" w:hAnsi="宋体" w:eastAsia="宋体" w:cs="宋体"/>
          <w:color w:val="auto"/>
          <w:sz w:val="28"/>
          <w:szCs w:val="28"/>
          <w:highlight w:val="none"/>
          <w:lang w:val="en-US" w:eastAsia="zh-CN"/>
        </w:rPr>
        <w:t>（202</w:t>
      </w:r>
      <w:r>
        <w:rPr>
          <w:rFonts w:hint="eastAsia" w:ascii="宋体" w:hAnsi="宋体" w:cs="宋体"/>
          <w:color w:val="auto"/>
          <w:sz w:val="28"/>
          <w:szCs w:val="28"/>
          <w:highlight w:val="none"/>
          <w:lang w:val="en-US" w:eastAsia="zh-CN"/>
        </w:rPr>
        <w:t>2</w:t>
      </w:r>
      <w:r>
        <w:rPr>
          <w:rFonts w:hint="eastAsia" w:ascii="宋体" w:hAnsi="宋体" w:eastAsia="宋体" w:cs="宋体"/>
          <w:color w:val="auto"/>
          <w:sz w:val="28"/>
          <w:szCs w:val="28"/>
          <w:highlight w:val="none"/>
          <w:lang w:val="en-US" w:eastAsia="zh-CN"/>
        </w:rPr>
        <w:t>）苏04</w:t>
      </w:r>
      <w:r>
        <w:rPr>
          <w:rFonts w:hint="eastAsia" w:ascii="宋体" w:hAnsi="宋体" w:cs="宋体"/>
          <w:color w:val="auto"/>
          <w:sz w:val="28"/>
          <w:szCs w:val="28"/>
          <w:highlight w:val="none"/>
          <w:lang w:val="en-US" w:eastAsia="zh-CN"/>
        </w:rPr>
        <w:t>02法鉴委字第237</w:t>
      </w:r>
      <w:r>
        <w:rPr>
          <w:rFonts w:hint="eastAsia" w:ascii="宋体" w:hAnsi="宋体" w:eastAsia="宋体" w:cs="宋体"/>
          <w:color w:val="auto"/>
          <w:sz w:val="28"/>
          <w:szCs w:val="28"/>
          <w:highlight w:val="none"/>
          <w:lang w:val="en-US" w:eastAsia="zh-CN"/>
        </w:rPr>
        <w:t>号</w:t>
      </w:r>
    </w:p>
    <w:p>
      <w:pPr>
        <w:spacing w:beforeLines="50" w:afterLines="50" w:line="460" w:lineRule="exact"/>
        <w:jc w:val="center"/>
        <w:rPr>
          <w:rFonts w:hint="default" w:ascii="Times New Roman" w:hAnsi="Times New Roman" w:cs="Times New Roman" w:eastAsiaTheme="minorEastAsia"/>
          <w:b/>
          <w:sz w:val="44"/>
          <w:szCs w:val="44"/>
        </w:rPr>
        <w:sectPr>
          <w:headerReference r:id="rId3" w:type="default"/>
          <w:pgSz w:w="11906" w:h="16838"/>
          <w:pgMar w:top="1020" w:right="1417" w:bottom="1020" w:left="1417" w:header="709" w:footer="709" w:gutter="0"/>
          <w:pgBorders>
            <w:top w:val="none" w:sz="0" w:space="0"/>
            <w:left w:val="none" w:sz="0" w:space="0"/>
            <w:bottom w:val="none" w:sz="0" w:space="0"/>
            <w:right w:val="none" w:sz="0" w:space="0"/>
          </w:pgBorders>
          <w:pgNumType w:fmt="decimal" w:start="1"/>
          <w:cols w:space="425" w:num="1"/>
          <w:titlePg/>
          <w:docGrid w:type="lines" w:linePitch="312" w:charSpace="0"/>
        </w:sectPr>
      </w:pPr>
    </w:p>
    <w:p>
      <w:pPr>
        <w:spacing w:beforeLines="50" w:afterLines="50" w:line="460" w:lineRule="exact"/>
        <w:jc w:val="center"/>
        <w:rPr>
          <w:rFonts w:hint="default" w:ascii="Times New Roman" w:hAnsi="Times New Roman" w:cs="Times New Roman" w:eastAsiaTheme="minorEastAsia"/>
          <w:sz w:val="28"/>
          <w:szCs w:val="28"/>
        </w:rPr>
      </w:pPr>
      <w:r>
        <w:rPr>
          <w:rFonts w:hint="default" w:ascii="Times New Roman" w:hAnsi="Times New Roman" w:cs="Times New Roman" w:eastAsiaTheme="minorEastAsia"/>
          <w:b/>
          <w:sz w:val="44"/>
          <w:szCs w:val="44"/>
        </w:rPr>
        <w:t>致估价委托人函</w:t>
      </w:r>
    </w:p>
    <w:p>
      <w:pPr>
        <w:spacing w:beforeLines="50" w:afterLines="50" w:line="500" w:lineRule="exact"/>
        <w:rPr>
          <w:rFonts w:hint="default" w:ascii="Times New Roman" w:hAnsi="Times New Roman" w:cs="Times New Roman" w:eastAsiaTheme="minorEastAsia"/>
          <w:sz w:val="28"/>
          <w:szCs w:val="28"/>
        </w:rPr>
      </w:pPr>
      <w:r>
        <w:rPr>
          <w:rFonts w:hint="eastAsia" w:cs="Times New Roman" w:eastAsiaTheme="minorEastAsia"/>
          <w:sz w:val="28"/>
          <w:szCs w:val="28"/>
          <w:lang w:val="en-US" w:eastAsia="zh-CN"/>
        </w:rPr>
        <w:t>常州市天宁区人民法院</w:t>
      </w:r>
      <w:r>
        <w:rPr>
          <w:rFonts w:hint="default" w:ascii="Times New Roman" w:hAnsi="Times New Roman" w:cs="Times New Roman" w:eastAsiaTheme="minorEastAsia"/>
          <w:sz w:val="28"/>
          <w:szCs w:val="28"/>
        </w:rPr>
        <w:t>：</w:t>
      </w:r>
    </w:p>
    <w:p>
      <w:pPr>
        <w:spacing w:beforeLines="50" w:afterLines="50"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承蒙委托，本公司对位于</w:t>
      </w:r>
      <w:r>
        <w:rPr>
          <w:rFonts w:hint="eastAsia" w:cs="Times New Roman" w:eastAsiaTheme="minorEastAsia"/>
          <w:sz w:val="28"/>
          <w:szCs w:val="28"/>
          <w:lang w:val="en-US" w:eastAsia="zh-CN"/>
        </w:rPr>
        <w:t>常州市武进区湖塘镇花园街159号新天地不夜城12幢12-2026号、12-2027号、12-2028号、12-2029号</w:t>
      </w:r>
      <w:r>
        <w:rPr>
          <w:rFonts w:hint="default" w:ascii="Times New Roman" w:hAnsi="Times New Roman" w:cs="Times New Roman" w:eastAsiaTheme="minorEastAsia"/>
          <w:sz w:val="28"/>
          <w:szCs w:val="28"/>
        </w:rPr>
        <w:t>进行</w:t>
      </w:r>
      <w:r>
        <w:rPr>
          <w:rFonts w:hint="eastAsia" w:cs="Times New Roman" w:eastAsiaTheme="minorEastAsia"/>
          <w:sz w:val="28"/>
          <w:szCs w:val="28"/>
          <w:lang w:val="en-US" w:eastAsia="zh-CN"/>
        </w:rPr>
        <w:t>市场</w:t>
      </w:r>
      <w:r>
        <w:rPr>
          <w:rFonts w:hint="default" w:ascii="Times New Roman" w:hAnsi="Times New Roman" w:cs="Times New Roman" w:eastAsiaTheme="minorEastAsia"/>
          <w:sz w:val="28"/>
          <w:szCs w:val="28"/>
        </w:rPr>
        <w:t>价值评估。参与</w:t>
      </w:r>
      <w:r>
        <w:rPr>
          <w:rFonts w:hint="eastAsia" w:cs="Times New Roman" w:eastAsiaTheme="minorEastAsia"/>
          <w:sz w:val="28"/>
          <w:szCs w:val="28"/>
          <w:lang w:val="en-US" w:eastAsia="zh-CN"/>
        </w:rPr>
        <w:t>此</w:t>
      </w:r>
      <w:r>
        <w:rPr>
          <w:rFonts w:hint="default" w:ascii="Times New Roman" w:hAnsi="Times New Roman" w:cs="Times New Roman" w:eastAsiaTheme="minorEastAsia"/>
          <w:sz w:val="28"/>
          <w:szCs w:val="28"/>
        </w:rPr>
        <w:t>项目的注册房地产估价师根据估价目的，遵循公认的估价原则，按照严谨的估价程序，依据房地产估价的相关法律、法规和技术标准，在合理的假设下，采用适宜的估价方法，对估价对象进行了专业分析、判断和测算，并形成了估价报告。现将估价概况函告如下：</w:t>
      </w:r>
    </w:p>
    <w:p>
      <w:pPr>
        <w:spacing w:line="500" w:lineRule="exact"/>
        <w:ind w:firstLine="562"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b/>
          <w:sz w:val="28"/>
          <w:szCs w:val="28"/>
        </w:rPr>
        <w:t>一、估价目的：</w:t>
      </w:r>
      <w:r>
        <w:rPr>
          <w:rFonts w:hint="eastAsia" w:ascii="Times New Roman" w:hAnsi="Times New Roman" w:cs="Times New Roman" w:eastAsiaTheme="minorEastAsia"/>
          <w:sz w:val="28"/>
          <w:szCs w:val="28"/>
        </w:rPr>
        <w:t>为人民法院确定财产处置参考价提供参考依据</w:t>
      </w:r>
      <w:r>
        <w:rPr>
          <w:rFonts w:hint="default" w:ascii="Times New Roman" w:hAnsi="Times New Roman" w:cs="Times New Roman" w:eastAsiaTheme="minorEastAsia"/>
          <w:sz w:val="28"/>
          <w:szCs w:val="28"/>
        </w:rPr>
        <w:t>。</w:t>
      </w:r>
    </w:p>
    <w:p>
      <w:pPr>
        <w:spacing w:line="500" w:lineRule="exact"/>
        <w:ind w:firstLine="562" w:firstLineChars="200"/>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二、估价对象：</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名称及范围：</w:t>
      </w:r>
      <w:r>
        <w:rPr>
          <w:rFonts w:hint="eastAsia" w:cs="Times New Roman" w:eastAsiaTheme="minorEastAsia"/>
          <w:sz w:val="28"/>
          <w:szCs w:val="28"/>
          <w:lang w:val="en-US" w:eastAsia="zh-CN"/>
        </w:rPr>
        <w:t>常州市武进区湖塘镇花园街159号新天地不夜城12幢12-2026号、12-2027号、12-2028号、12-2029号</w:t>
      </w:r>
      <w:r>
        <w:rPr>
          <w:rFonts w:hint="default" w:ascii="Times New Roman" w:hAnsi="Times New Roman" w:cs="Times New Roman" w:eastAsiaTheme="minorEastAsia"/>
          <w:sz w:val="28"/>
          <w:szCs w:val="28"/>
        </w:rPr>
        <w:t>（</w:t>
      </w:r>
      <w:r>
        <w:rPr>
          <w:rFonts w:asciiTheme="minorEastAsia" w:hAnsiTheme="minorEastAsia" w:eastAsiaTheme="minorEastAsia"/>
          <w:color w:val="auto"/>
          <w:sz w:val="28"/>
          <w:szCs w:val="28"/>
        </w:rPr>
        <w:t>含</w:t>
      </w:r>
      <w:r>
        <w:rPr>
          <w:rFonts w:hint="eastAsia" w:asciiTheme="minorEastAsia" w:hAnsiTheme="minorEastAsia" w:eastAsiaTheme="minorEastAsia"/>
          <w:sz w:val="28"/>
          <w:szCs w:val="28"/>
          <w:lang w:val="en-US" w:eastAsia="zh-CN"/>
        </w:rPr>
        <w:t>房屋及其</w:t>
      </w:r>
      <w:r>
        <w:rPr>
          <w:rFonts w:hint="eastAsia" w:asciiTheme="minorEastAsia" w:hAnsiTheme="minorEastAsia" w:eastAsiaTheme="minorEastAsia"/>
          <w:sz w:val="28"/>
          <w:szCs w:val="28"/>
          <w:lang w:eastAsia="zh-CN"/>
        </w:rPr>
        <w:t>分摊的土地使用权，以及与估价对象不可分割的满足其使用功能的配套附属设施</w:t>
      </w:r>
      <w:r>
        <w:rPr>
          <w:rFonts w:hint="eastAsia" w:asciiTheme="minorEastAsia" w:hAnsiTheme="minorEastAsia" w:eastAsiaTheme="minorEastAsia"/>
          <w:sz w:val="28"/>
          <w:szCs w:val="28"/>
          <w:lang w:val="en-US" w:eastAsia="zh-CN"/>
        </w:rPr>
        <w:t>及</w:t>
      </w:r>
      <w:r>
        <w:rPr>
          <w:rFonts w:hint="eastAsia" w:asciiTheme="minorEastAsia" w:hAnsiTheme="minorEastAsia" w:eastAsiaTheme="minorEastAsia"/>
          <w:sz w:val="28"/>
          <w:szCs w:val="28"/>
          <w:lang w:eastAsia="zh-CN"/>
        </w:rPr>
        <w:t>固定装</w:t>
      </w:r>
      <w:r>
        <w:rPr>
          <w:rFonts w:hint="eastAsia" w:asciiTheme="minorEastAsia" w:hAnsiTheme="minorEastAsia" w:eastAsiaTheme="minorEastAsia"/>
          <w:sz w:val="28"/>
          <w:szCs w:val="28"/>
          <w:lang w:val="en-US" w:eastAsia="zh-CN"/>
        </w:rPr>
        <w:t>修，</w:t>
      </w:r>
      <w:r>
        <w:rPr>
          <w:rFonts w:hint="eastAsia" w:asciiTheme="minorEastAsia" w:hAnsiTheme="minorEastAsia" w:eastAsiaTheme="minorEastAsia"/>
          <w:sz w:val="28"/>
          <w:szCs w:val="28"/>
          <w:lang w:eastAsia="zh-CN"/>
        </w:rPr>
        <w:t>不包含动产、债权债务等</w:t>
      </w:r>
      <w:r>
        <w:rPr>
          <w:rFonts w:hint="default" w:ascii="Times New Roman" w:hAnsi="Times New Roman" w:cs="Times New Roman" w:eastAsiaTheme="minorEastAsia"/>
          <w:sz w:val="28"/>
          <w:szCs w:val="28"/>
        </w:rPr>
        <w:t>）。</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2.</w:t>
      </w:r>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坐落：</w:t>
      </w:r>
      <w:r>
        <w:rPr>
          <w:rFonts w:hint="eastAsia" w:cs="Times New Roman" w:eastAsiaTheme="minorEastAsia"/>
          <w:sz w:val="28"/>
          <w:szCs w:val="28"/>
          <w:lang w:val="en-US" w:eastAsia="zh-CN"/>
        </w:rPr>
        <w:t>常州市武进区湖塘镇花园街159号新天地不夜城12幢12-2026号、12-2027号、12-2028号、12-2029号</w:t>
      </w:r>
      <w:r>
        <w:rPr>
          <w:rFonts w:hint="default" w:ascii="Times New Roman" w:hAnsi="Times New Roman" w:cs="Times New Roman" w:eastAsiaTheme="minorEastAsia"/>
          <w:sz w:val="28"/>
          <w:szCs w:val="28"/>
        </w:rPr>
        <w:t>。</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3.</w:t>
      </w:r>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规模与用途：</w:t>
      </w:r>
      <w:r>
        <w:rPr>
          <w:rFonts w:hint="eastAsia" w:cs="Times New Roman" w:eastAsiaTheme="minorEastAsia"/>
          <w:sz w:val="28"/>
          <w:szCs w:val="28"/>
          <w:lang w:val="en-US" w:eastAsia="zh-CN"/>
        </w:rPr>
        <w:t>建筑</w:t>
      </w:r>
      <w:r>
        <w:rPr>
          <w:rFonts w:hint="default" w:ascii="Times New Roman" w:hAnsi="Times New Roman" w:cs="Times New Roman" w:eastAsiaTheme="minorEastAsia"/>
          <w:sz w:val="28"/>
          <w:szCs w:val="28"/>
        </w:rPr>
        <w:t>面积</w:t>
      </w:r>
      <w:r>
        <w:rPr>
          <w:rFonts w:hint="eastAsia" w:cs="Times New Roman" w:eastAsiaTheme="minorEastAsia"/>
          <w:sz w:val="28"/>
          <w:szCs w:val="28"/>
          <w:lang w:val="en-US" w:eastAsia="zh-CN"/>
        </w:rPr>
        <w:t>分别为46.92</w:t>
      </w:r>
      <w:r>
        <w:rPr>
          <w:rFonts w:hint="default" w:ascii="Times New Roman" w:hAnsi="Times New Roman" w:cs="Times New Roman" w:eastAsiaTheme="minorEastAsia"/>
          <w:sz w:val="28"/>
          <w:szCs w:val="28"/>
          <w:lang w:eastAsia="zh-CN"/>
        </w:rPr>
        <w:t>㎡</w:t>
      </w:r>
      <w:r>
        <w:rPr>
          <w:rFonts w:hint="eastAsia" w:cs="Times New Roman" w:eastAsiaTheme="minorEastAsia"/>
          <w:sz w:val="28"/>
          <w:szCs w:val="28"/>
          <w:lang w:eastAsia="zh-CN"/>
        </w:rPr>
        <w:t>、</w:t>
      </w:r>
      <w:r>
        <w:rPr>
          <w:rFonts w:hint="eastAsia" w:cs="Times New Roman" w:eastAsiaTheme="minorEastAsia"/>
          <w:sz w:val="28"/>
          <w:szCs w:val="28"/>
          <w:lang w:val="en-US" w:eastAsia="zh-CN"/>
        </w:rPr>
        <w:t>49.58㎡</w:t>
      </w:r>
      <w:r>
        <w:rPr>
          <w:rFonts w:hint="eastAsia" w:cs="Times New Roman" w:eastAsiaTheme="minorEastAsia"/>
          <w:sz w:val="28"/>
          <w:szCs w:val="28"/>
          <w:lang w:eastAsia="zh-CN"/>
        </w:rPr>
        <w:t>、</w:t>
      </w:r>
      <w:r>
        <w:rPr>
          <w:rFonts w:hint="eastAsia" w:cs="Times New Roman" w:eastAsiaTheme="minorEastAsia"/>
          <w:sz w:val="28"/>
          <w:szCs w:val="28"/>
          <w:lang w:val="en-US" w:eastAsia="zh-CN"/>
        </w:rPr>
        <w:t>53.12㎡</w:t>
      </w:r>
      <w:r>
        <w:rPr>
          <w:rFonts w:hint="eastAsia" w:cs="Times New Roman" w:eastAsiaTheme="minorEastAsia"/>
          <w:sz w:val="28"/>
          <w:szCs w:val="28"/>
          <w:lang w:eastAsia="zh-CN"/>
        </w:rPr>
        <w:t>、</w:t>
      </w:r>
      <w:r>
        <w:rPr>
          <w:rFonts w:hint="eastAsia" w:cs="Times New Roman" w:eastAsiaTheme="minorEastAsia"/>
          <w:sz w:val="28"/>
          <w:szCs w:val="28"/>
          <w:lang w:val="en-US" w:eastAsia="zh-CN"/>
        </w:rPr>
        <w:t>57.54㎡</w:t>
      </w:r>
      <w:r>
        <w:rPr>
          <w:rFonts w:hint="default" w:ascii="Times New Roman" w:hAnsi="Times New Roman" w:cs="Times New Roman" w:eastAsiaTheme="minorEastAsia"/>
          <w:sz w:val="28"/>
          <w:szCs w:val="28"/>
          <w:lang w:eastAsia="zh-CN"/>
        </w:rPr>
        <w:t>，</w:t>
      </w:r>
      <w:r>
        <w:rPr>
          <w:rFonts w:hint="eastAsia" w:cs="Times New Roman" w:eastAsiaTheme="minorEastAsia"/>
          <w:sz w:val="28"/>
          <w:szCs w:val="28"/>
          <w:lang w:val="en-US" w:eastAsia="zh-CN"/>
        </w:rPr>
        <w:t>建筑面积合计为207.16㎡，规划用途为商业</w:t>
      </w:r>
      <w:r>
        <w:rPr>
          <w:rFonts w:hint="default" w:ascii="Times New Roman" w:hAnsi="Times New Roman" w:cs="Times New Roman" w:eastAsiaTheme="minorEastAsia"/>
          <w:sz w:val="28"/>
          <w:szCs w:val="28"/>
          <w:lang w:eastAsia="zh-CN"/>
        </w:rPr>
        <w:t>。</w:t>
      </w:r>
    </w:p>
    <w:p>
      <w:pPr>
        <w:spacing w:line="50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sz w:val="28"/>
          <w:szCs w:val="28"/>
        </w:rPr>
        <w:t>4.</w:t>
      </w:r>
      <w:r>
        <w:rPr>
          <w:rFonts w:hint="default" w:ascii="Times New Roman" w:hAnsi="Times New Roman" w:cs="Times New Roman" w:eastAsiaTheme="minorEastAsia"/>
          <w:sz w:val="28"/>
          <w:szCs w:val="28"/>
          <w:lang w:val="en-US" w:eastAsia="zh-CN"/>
        </w:rPr>
        <w:t xml:space="preserve"> </w:t>
      </w:r>
      <w:r>
        <w:rPr>
          <w:rFonts w:hint="eastAsia" w:cs="Times New Roman" w:eastAsiaTheme="minorEastAsia"/>
          <w:sz w:val="28"/>
          <w:szCs w:val="28"/>
          <w:lang w:eastAsia="zh-CN"/>
        </w:rPr>
        <w:t>权益</w:t>
      </w:r>
      <w:r>
        <w:rPr>
          <w:rFonts w:hint="default" w:ascii="Times New Roman" w:hAnsi="Times New Roman" w:cs="Times New Roman" w:eastAsiaTheme="minorEastAsia"/>
          <w:sz w:val="28"/>
          <w:szCs w:val="28"/>
        </w:rPr>
        <w:t>状况：根据</w:t>
      </w:r>
      <w:r>
        <w:rPr>
          <w:rFonts w:hint="eastAsia" w:ascii="Times New Roman" w:hAnsi="Times New Roman" w:cs="Times New Roman" w:eastAsiaTheme="minorEastAsia"/>
          <w:sz w:val="28"/>
          <w:szCs w:val="28"/>
          <w:lang w:val="en-US" w:eastAsia="zh-CN"/>
        </w:rPr>
        <w:t>委托人提供的</w:t>
      </w:r>
      <w:r>
        <w:rPr>
          <w:rFonts w:hint="default" w:ascii="Times New Roman" w:hAnsi="Times New Roman" w:cs="Times New Roman" w:eastAsiaTheme="minorEastAsia"/>
          <w:sz w:val="28"/>
          <w:szCs w:val="28"/>
        </w:rPr>
        <w:t>《</w:t>
      </w:r>
      <w:r>
        <w:rPr>
          <w:rFonts w:hint="eastAsia" w:cs="Times New Roman" w:eastAsiaTheme="minorEastAsia"/>
          <w:sz w:val="28"/>
          <w:szCs w:val="28"/>
          <w:lang w:val="en-US" w:eastAsia="zh-CN"/>
        </w:rPr>
        <w:t>不动产登记簿查询结果</w:t>
      </w:r>
      <w:r>
        <w:rPr>
          <w:rFonts w:hint="default" w:ascii="Times New Roman" w:hAnsi="Times New Roman" w:cs="Times New Roman" w:eastAsiaTheme="minorEastAsia"/>
          <w:sz w:val="28"/>
          <w:szCs w:val="28"/>
        </w:rPr>
        <w:t>》复印件确定，权利人</w:t>
      </w:r>
      <w:r>
        <w:rPr>
          <w:rFonts w:hint="default" w:ascii="Times New Roman" w:hAnsi="Times New Roman" w:cs="Times New Roman" w:eastAsiaTheme="minorEastAsia"/>
          <w:color w:val="auto"/>
          <w:sz w:val="28"/>
          <w:szCs w:val="28"/>
        </w:rPr>
        <w:t>为</w:t>
      </w:r>
      <w:r>
        <w:rPr>
          <w:rFonts w:hint="eastAsia" w:cs="Times New Roman" w:eastAsiaTheme="minorEastAsia"/>
          <w:color w:val="auto"/>
          <w:sz w:val="28"/>
          <w:szCs w:val="28"/>
          <w:lang w:val="en-US" w:eastAsia="zh-CN"/>
        </w:rPr>
        <w:t>顾云雅</w:t>
      </w:r>
      <w:r>
        <w:rPr>
          <w:rFonts w:hint="default" w:ascii="Times New Roman" w:hAnsi="Times New Roman" w:cs="Times New Roman" w:eastAsiaTheme="minorEastAsia"/>
          <w:color w:val="auto"/>
          <w:sz w:val="28"/>
          <w:szCs w:val="28"/>
        </w:rPr>
        <w:t>。</w:t>
      </w:r>
    </w:p>
    <w:p>
      <w:pPr>
        <w:spacing w:line="500" w:lineRule="exact"/>
        <w:ind w:firstLine="562" w:firstLineChars="200"/>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b/>
          <w:sz w:val="28"/>
          <w:szCs w:val="28"/>
        </w:rPr>
        <w:t>三、价值时点：</w:t>
      </w:r>
      <w:r>
        <w:rPr>
          <w:rFonts w:hint="default" w:ascii="Times New Roman" w:hAnsi="Times New Roman" w:cs="Times New Roman" w:eastAsiaTheme="minorEastAsia"/>
          <w:color w:val="auto"/>
          <w:sz w:val="28"/>
          <w:szCs w:val="28"/>
          <w:lang w:eastAsia="zh-CN"/>
        </w:rPr>
        <w:t>二〇二</w:t>
      </w:r>
      <w:r>
        <w:rPr>
          <w:rFonts w:hint="eastAsia" w:cs="Times New Roman" w:eastAsiaTheme="minorEastAsia"/>
          <w:color w:val="auto"/>
          <w:sz w:val="28"/>
          <w:szCs w:val="28"/>
          <w:lang w:val="en-US" w:eastAsia="zh-CN"/>
        </w:rPr>
        <w:t>二</w:t>
      </w:r>
      <w:r>
        <w:rPr>
          <w:rFonts w:hint="default" w:ascii="Times New Roman" w:hAnsi="Times New Roman" w:cs="Times New Roman" w:eastAsiaTheme="minorEastAsia"/>
          <w:color w:val="auto"/>
          <w:sz w:val="28"/>
          <w:szCs w:val="28"/>
          <w:lang w:eastAsia="zh-CN"/>
        </w:rPr>
        <w:t>年</w:t>
      </w:r>
      <w:r>
        <w:rPr>
          <w:rFonts w:hint="eastAsia" w:cs="Times New Roman" w:eastAsiaTheme="minorEastAsia"/>
          <w:color w:val="auto"/>
          <w:sz w:val="28"/>
          <w:szCs w:val="28"/>
          <w:lang w:val="en-US" w:eastAsia="zh-CN"/>
        </w:rPr>
        <w:t>九</w:t>
      </w:r>
      <w:r>
        <w:rPr>
          <w:rFonts w:hint="default" w:ascii="Times New Roman" w:hAnsi="Times New Roman" w:cs="Times New Roman" w:eastAsiaTheme="minorEastAsia"/>
          <w:color w:val="auto"/>
          <w:sz w:val="28"/>
          <w:szCs w:val="28"/>
          <w:lang w:eastAsia="zh-CN"/>
        </w:rPr>
        <w:t>月</w:t>
      </w:r>
      <w:r>
        <w:rPr>
          <w:rFonts w:hint="eastAsia" w:cs="Times New Roman" w:eastAsiaTheme="minorEastAsia"/>
          <w:color w:val="auto"/>
          <w:sz w:val="28"/>
          <w:szCs w:val="28"/>
          <w:lang w:val="en-US" w:eastAsia="zh-CN"/>
        </w:rPr>
        <w:t>二</w:t>
      </w:r>
      <w:r>
        <w:rPr>
          <w:rFonts w:hint="default" w:ascii="Times New Roman" w:hAnsi="Times New Roman" w:cs="Times New Roman" w:eastAsiaTheme="minorEastAsia"/>
          <w:color w:val="auto"/>
          <w:sz w:val="28"/>
          <w:szCs w:val="28"/>
          <w:lang w:eastAsia="zh-CN"/>
        </w:rPr>
        <w:t>日</w:t>
      </w:r>
      <w:r>
        <w:rPr>
          <w:rFonts w:hint="eastAsia" w:cs="Times New Roman" w:eastAsiaTheme="minorEastAsia"/>
          <w:color w:val="auto"/>
          <w:sz w:val="28"/>
          <w:szCs w:val="28"/>
          <w:lang w:eastAsia="zh-CN"/>
        </w:rPr>
        <w:t>（</w:t>
      </w:r>
      <w:r>
        <w:rPr>
          <w:rFonts w:hint="eastAsia" w:cs="Times New Roman" w:eastAsiaTheme="minorEastAsia"/>
          <w:color w:val="auto"/>
          <w:sz w:val="28"/>
          <w:szCs w:val="28"/>
          <w:lang w:val="en-US" w:eastAsia="zh-CN"/>
        </w:rPr>
        <w:t>为现场勘察之日</w:t>
      </w:r>
      <w:r>
        <w:rPr>
          <w:rFonts w:hint="eastAsia" w:cs="Times New Roman" w:eastAsiaTheme="minorEastAsia"/>
          <w:color w:val="auto"/>
          <w:sz w:val="28"/>
          <w:szCs w:val="28"/>
          <w:lang w:eastAsia="zh-CN"/>
        </w:rPr>
        <w:t>）</w:t>
      </w:r>
    </w:p>
    <w:p>
      <w:pPr>
        <w:spacing w:line="500" w:lineRule="exact"/>
        <w:ind w:firstLine="562" w:firstLineChars="200"/>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四、价值类型：</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价值名称：鉴于本项目的估价目的，本报告所评估的估价对象的价值类型是</w:t>
      </w:r>
      <w:r>
        <w:rPr>
          <w:rFonts w:hint="default" w:ascii="Times New Roman" w:hAnsi="Times New Roman" w:cs="Times New Roman" w:eastAsiaTheme="minorEastAsia"/>
          <w:sz w:val="28"/>
          <w:szCs w:val="28"/>
          <w:lang w:eastAsia="zh-CN"/>
        </w:rPr>
        <w:t>市场价值</w:t>
      </w:r>
      <w:r>
        <w:rPr>
          <w:rFonts w:hint="default" w:ascii="Times New Roman" w:hAnsi="Times New Roman" w:cs="Times New Roman" w:eastAsiaTheme="minorEastAsia"/>
          <w:sz w:val="28"/>
          <w:szCs w:val="28"/>
        </w:rPr>
        <w:t>。</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价值定义：</w:t>
      </w:r>
      <w:r>
        <w:rPr>
          <w:rFonts w:hint="default" w:ascii="Times New Roman" w:hAnsi="Times New Roman" w:cs="Times New Roman" w:eastAsiaTheme="minorEastAsia"/>
          <w:sz w:val="28"/>
          <w:szCs w:val="28"/>
          <w:lang w:eastAsia="zh-CN"/>
        </w:rPr>
        <w:t>房地产</w:t>
      </w:r>
      <w:r>
        <w:rPr>
          <w:rFonts w:hint="default" w:ascii="Times New Roman" w:hAnsi="Times New Roman" w:cs="Times New Roman" w:eastAsiaTheme="minorEastAsia"/>
          <w:sz w:val="28"/>
          <w:szCs w:val="28"/>
        </w:rPr>
        <w:t>在价值时点的</w:t>
      </w:r>
      <w:r>
        <w:rPr>
          <w:rFonts w:hint="default" w:ascii="Times New Roman" w:hAnsi="Times New Roman" w:cs="Times New Roman" w:eastAsiaTheme="minorEastAsia"/>
          <w:sz w:val="28"/>
          <w:szCs w:val="28"/>
          <w:lang w:eastAsia="zh-CN"/>
        </w:rPr>
        <w:t>市场价值</w:t>
      </w:r>
      <w:r>
        <w:rPr>
          <w:rFonts w:hint="default" w:ascii="Times New Roman" w:hAnsi="Times New Roman" w:cs="Times New Roman" w:eastAsiaTheme="minorEastAsia"/>
          <w:sz w:val="28"/>
          <w:szCs w:val="28"/>
        </w:rPr>
        <w:t>。</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价值内涵：本报告估价结果界定为估价对象</w:t>
      </w:r>
      <w:r>
        <w:rPr>
          <w:rFonts w:hint="default" w:ascii="Times New Roman" w:hAnsi="Times New Roman" w:cs="Times New Roman" w:eastAsiaTheme="minorEastAsia"/>
          <w:sz w:val="28"/>
          <w:szCs w:val="28"/>
          <w:lang w:eastAsia="zh-CN"/>
        </w:rPr>
        <w:t>土地使用权与建筑物所有权于价值时点满足</w:t>
      </w:r>
      <w:r>
        <w:rPr>
          <w:rFonts w:hint="default" w:ascii="Times New Roman" w:hAnsi="Times New Roman" w:cs="Times New Roman" w:eastAsiaTheme="minorEastAsia"/>
          <w:sz w:val="28"/>
          <w:szCs w:val="28"/>
        </w:rPr>
        <w:t>估价的全部假设及限制条件下的</w:t>
      </w:r>
      <w:r>
        <w:rPr>
          <w:rFonts w:hint="default" w:ascii="Times New Roman" w:hAnsi="Times New Roman" w:cs="Times New Roman" w:eastAsiaTheme="minorEastAsia"/>
          <w:sz w:val="28"/>
          <w:szCs w:val="28"/>
          <w:lang w:eastAsia="zh-CN"/>
        </w:rPr>
        <w:t>市场价值，但不包括未来可能处置涉及的费用</w:t>
      </w:r>
      <w:r>
        <w:rPr>
          <w:rFonts w:hint="default" w:ascii="Times New Roman" w:hAnsi="Times New Roman" w:cs="Times New Roman" w:eastAsiaTheme="minorEastAsia"/>
          <w:sz w:val="28"/>
          <w:szCs w:val="28"/>
        </w:rPr>
        <w:t>。</w:t>
      </w:r>
    </w:p>
    <w:p>
      <w:pPr>
        <w:spacing w:line="500" w:lineRule="exact"/>
        <w:ind w:firstLine="562"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b/>
          <w:sz w:val="28"/>
          <w:szCs w:val="28"/>
        </w:rPr>
        <w:t>五、估价方法：</w:t>
      </w:r>
      <w:r>
        <w:rPr>
          <w:rFonts w:hint="eastAsia" w:cs="Times New Roman" w:eastAsiaTheme="minorEastAsia"/>
          <w:sz w:val="28"/>
          <w:szCs w:val="28"/>
          <w:lang w:val="en-US" w:eastAsia="zh-CN"/>
        </w:rPr>
        <w:t>收益</w:t>
      </w:r>
      <w:r>
        <w:rPr>
          <w:rFonts w:hint="default" w:ascii="Times New Roman" w:hAnsi="Times New Roman" w:cs="Times New Roman" w:eastAsiaTheme="minorEastAsia"/>
          <w:sz w:val="28"/>
          <w:szCs w:val="28"/>
        </w:rPr>
        <w:t>法</w:t>
      </w:r>
      <w:r>
        <w:rPr>
          <w:rFonts w:hint="default" w:ascii="Times New Roman" w:hAnsi="Times New Roman" w:cs="Times New Roman" w:eastAsiaTheme="minorEastAsia"/>
          <w:sz w:val="28"/>
          <w:szCs w:val="28"/>
          <w:lang w:eastAsia="zh-CN"/>
        </w:rPr>
        <w:t>。</w:t>
      </w:r>
    </w:p>
    <w:p>
      <w:pPr>
        <w:spacing w:line="500" w:lineRule="exact"/>
        <w:ind w:firstLine="562" w:firstLineChars="200"/>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六、估价结果：</w:t>
      </w:r>
    </w:p>
    <w:p>
      <w:pPr>
        <w:spacing w:line="500" w:lineRule="exact"/>
        <w:ind w:firstLine="560" w:firstLineChars="200"/>
        <w:rPr>
          <w:rFonts w:hint="default" w:ascii="Times New Roman" w:hAnsi="Times New Roman" w:cs="Times New Roman"/>
          <w:b/>
          <w:sz w:val="28"/>
          <w:szCs w:val="28"/>
        </w:rPr>
      </w:pPr>
      <w:r>
        <w:rPr>
          <w:rFonts w:hint="default" w:ascii="Times New Roman" w:hAnsi="Times New Roman" w:cs="Times New Roman" w:eastAsiaTheme="minorEastAsia"/>
          <w:sz w:val="28"/>
          <w:szCs w:val="28"/>
        </w:rPr>
        <w:t>估价对象在价值时</w:t>
      </w:r>
      <w:r>
        <w:rPr>
          <w:rFonts w:hint="default" w:ascii="Times New Roman" w:hAnsi="Times New Roman" w:cs="Times New Roman" w:eastAsiaTheme="minorEastAsia"/>
          <w:color w:val="auto"/>
          <w:sz w:val="28"/>
          <w:szCs w:val="28"/>
        </w:rPr>
        <w:t>点（</w:t>
      </w:r>
      <w:r>
        <w:rPr>
          <w:rFonts w:hint="eastAsia" w:cs="Times New Roman" w:eastAsiaTheme="minorEastAsia"/>
          <w:color w:val="auto"/>
          <w:sz w:val="28"/>
          <w:szCs w:val="28"/>
          <w:lang w:eastAsia="zh-CN"/>
        </w:rPr>
        <w:t>二〇二二年</w:t>
      </w:r>
      <w:r>
        <w:rPr>
          <w:rFonts w:hint="eastAsia" w:cs="Times New Roman" w:eastAsiaTheme="minorEastAsia"/>
          <w:color w:val="auto"/>
          <w:sz w:val="28"/>
          <w:szCs w:val="28"/>
          <w:lang w:val="en-US" w:eastAsia="zh-CN"/>
        </w:rPr>
        <w:t>九月二日</w:t>
      </w:r>
      <w:r>
        <w:rPr>
          <w:rFonts w:hint="default" w:ascii="Times New Roman" w:hAnsi="Times New Roman" w:cs="Times New Roman" w:eastAsiaTheme="minorEastAsia"/>
          <w:color w:val="auto"/>
          <w:sz w:val="28"/>
          <w:szCs w:val="28"/>
        </w:rPr>
        <w:t>）不考</w:t>
      </w:r>
      <w:r>
        <w:rPr>
          <w:rFonts w:hint="default" w:ascii="Times New Roman" w:hAnsi="Times New Roman" w:cs="Times New Roman" w:eastAsiaTheme="minorEastAsia"/>
          <w:sz w:val="28"/>
          <w:szCs w:val="28"/>
        </w:rPr>
        <w:t>虑所受抵押、租赁等权利限制情形下的</w:t>
      </w:r>
      <w:r>
        <w:rPr>
          <w:rFonts w:hint="default" w:ascii="Times New Roman" w:hAnsi="Times New Roman" w:cs="Times New Roman"/>
          <w:sz w:val="28"/>
          <w:szCs w:val="28"/>
        </w:rPr>
        <w:t>房地产总价值：</w:t>
      </w:r>
      <w:r>
        <w:rPr>
          <w:rFonts w:hint="default" w:ascii="Times New Roman" w:hAnsi="Times New Roman" w:cs="Times New Roman"/>
          <w:b/>
          <w:sz w:val="28"/>
          <w:szCs w:val="28"/>
        </w:rPr>
        <w:t>￥</w:t>
      </w:r>
      <w:r>
        <w:rPr>
          <w:rFonts w:hint="eastAsia" w:cs="Times New Roman"/>
          <w:b/>
          <w:sz w:val="28"/>
          <w:szCs w:val="28"/>
          <w:lang w:val="en-US" w:eastAsia="zh-CN"/>
        </w:rPr>
        <w:t>142</w:t>
      </w:r>
      <w:r>
        <w:rPr>
          <w:rFonts w:hint="default" w:ascii="Times New Roman" w:hAnsi="Times New Roman" w:cs="Times New Roman"/>
          <w:b/>
          <w:sz w:val="28"/>
          <w:szCs w:val="28"/>
        </w:rPr>
        <w:t>万元</w:t>
      </w:r>
      <w:r>
        <w:rPr>
          <w:rFonts w:hint="default" w:ascii="Times New Roman" w:hAnsi="Times New Roman" w:cs="Times New Roman"/>
          <w:sz w:val="28"/>
          <w:szCs w:val="28"/>
        </w:rPr>
        <w:t>；大写：人民币</w:t>
      </w:r>
      <w:r>
        <w:rPr>
          <w:rFonts w:hint="eastAsia" w:cs="Times New Roman"/>
          <w:b/>
          <w:bCs/>
          <w:sz w:val="28"/>
          <w:szCs w:val="28"/>
          <w:lang w:val="en-US" w:eastAsia="zh-CN"/>
        </w:rPr>
        <w:t>壹佰肆拾贰</w:t>
      </w:r>
      <w:r>
        <w:rPr>
          <w:rFonts w:hint="default" w:ascii="Times New Roman" w:hAnsi="Times New Roman" w:cs="Times New Roman"/>
          <w:b/>
          <w:sz w:val="28"/>
          <w:szCs w:val="28"/>
          <w:lang w:val="en-US" w:eastAsia="zh-CN"/>
        </w:rPr>
        <w:t>万元</w:t>
      </w:r>
      <w:r>
        <w:rPr>
          <w:rFonts w:hint="default" w:ascii="Times New Roman" w:hAnsi="Times New Roman" w:cs="Times New Roman"/>
          <w:b/>
          <w:sz w:val="28"/>
          <w:szCs w:val="28"/>
        </w:rPr>
        <w:t>整</w:t>
      </w:r>
      <w:r>
        <w:rPr>
          <w:rFonts w:hint="eastAsia" w:cs="Times New Roman"/>
          <w:b/>
          <w:sz w:val="28"/>
          <w:szCs w:val="28"/>
          <w:lang w:eastAsia="zh-CN"/>
        </w:rPr>
        <w:t>，</w:t>
      </w:r>
      <w:r>
        <w:rPr>
          <w:rFonts w:hint="default" w:ascii="Times New Roman" w:hAnsi="Times New Roman" w:cs="Times New Roman" w:eastAsiaTheme="minorEastAsia"/>
          <w:sz w:val="28"/>
          <w:szCs w:val="28"/>
        </w:rPr>
        <w:t>折合</w:t>
      </w:r>
      <w:r>
        <w:rPr>
          <w:rFonts w:hint="eastAsia" w:cs="Times New Roman" w:eastAsiaTheme="minorEastAsia"/>
          <w:sz w:val="28"/>
          <w:szCs w:val="28"/>
          <w:lang w:val="en-US" w:eastAsia="zh-CN"/>
        </w:rPr>
        <w:t>建筑面积单价</w:t>
      </w:r>
      <w:r>
        <w:rPr>
          <w:rFonts w:hint="default" w:ascii="Times New Roman" w:hAnsi="Times New Roman" w:cs="Times New Roman" w:eastAsiaTheme="minorEastAsia"/>
          <w:sz w:val="28"/>
          <w:szCs w:val="28"/>
        </w:rPr>
        <w:t>为</w:t>
      </w:r>
      <w:r>
        <w:rPr>
          <w:rFonts w:hint="eastAsia" w:cs="Times New Roman" w:eastAsiaTheme="minorEastAsia"/>
          <w:sz w:val="28"/>
          <w:szCs w:val="28"/>
          <w:lang w:val="en-US" w:eastAsia="zh-CN"/>
        </w:rPr>
        <w:t>6855元/㎡</w:t>
      </w:r>
      <w:r>
        <w:rPr>
          <w:rFonts w:hint="default" w:ascii="Times New Roman" w:hAnsi="Times New Roman" w:cs="Times New Roman" w:eastAsiaTheme="minorEastAsia"/>
          <w:sz w:val="28"/>
          <w:szCs w:val="28"/>
        </w:rPr>
        <w:t>。</w:t>
      </w:r>
    </w:p>
    <w:p>
      <w:pPr>
        <w:spacing w:line="500" w:lineRule="exact"/>
        <w:ind w:firstLine="562" w:firstLineChars="200"/>
        <w:rPr>
          <w:rFonts w:hint="default" w:ascii="Times New Roman" w:hAnsi="Times New Roman" w:cs="Times New Roman" w:eastAsiaTheme="minorEastAsia"/>
          <w:b/>
          <w:color w:val="auto"/>
          <w:sz w:val="28"/>
          <w:szCs w:val="28"/>
          <w:highlight w:val="none"/>
        </w:rPr>
      </w:pPr>
      <w:r>
        <w:rPr>
          <w:rFonts w:hint="default" w:ascii="Times New Roman" w:hAnsi="Times New Roman" w:cs="Times New Roman" w:eastAsiaTheme="minorEastAsia"/>
          <w:b/>
          <w:color w:val="auto"/>
          <w:sz w:val="28"/>
          <w:szCs w:val="28"/>
          <w:highlight w:val="none"/>
        </w:rPr>
        <w:t>七、特别提示：</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1. 本估价报告和估价结果仅</w:t>
      </w:r>
      <w:r>
        <w:rPr>
          <w:rFonts w:hint="eastAsia" w:cs="Times New Roman" w:eastAsiaTheme="minorEastAsia"/>
          <w:sz w:val="28"/>
          <w:szCs w:val="28"/>
          <w:lang w:eastAsia="zh-CN"/>
        </w:rPr>
        <w:t>为人民法院确定财产处置参考价提供参考依据</w:t>
      </w:r>
      <w:r>
        <w:rPr>
          <w:rFonts w:hint="default" w:ascii="Times New Roman" w:hAnsi="Times New Roman" w:cs="Times New Roman" w:eastAsiaTheme="minorEastAsia"/>
          <w:sz w:val="28"/>
          <w:szCs w:val="28"/>
        </w:rPr>
        <w:t>，不得作为抵押、征收等其他用途，运用于其它方向本估价报告无效。</w:t>
      </w:r>
    </w:p>
    <w:p>
      <w:pPr>
        <w:spacing w:line="500" w:lineRule="exact"/>
        <w:ind w:firstLine="560" w:firstLineChars="200"/>
        <w:rPr>
          <w:rFonts w:hint="eastAsia" w:cs="Times New Roman" w:eastAsiaTheme="minorEastAsia"/>
          <w:sz w:val="28"/>
          <w:szCs w:val="28"/>
          <w:lang w:eastAsia="zh-CN"/>
        </w:rPr>
      </w:pPr>
      <w:r>
        <w:rPr>
          <w:rFonts w:hint="eastAsia" w:cs="Times New Roman" w:eastAsiaTheme="minorEastAsia"/>
          <w:sz w:val="28"/>
          <w:szCs w:val="28"/>
          <w:lang w:val="en-US" w:eastAsia="zh-CN"/>
        </w:rPr>
        <w:t xml:space="preserve">2. </w:t>
      </w:r>
      <w:r>
        <w:rPr>
          <w:rFonts w:hint="default" w:ascii="Times New Roman" w:hAnsi="Times New Roman" w:cs="Times New Roman" w:eastAsiaTheme="minorEastAsia"/>
          <w:sz w:val="28"/>
          <w:szCs w:val="28"/>
        </w:rPr>
        <w:t>提请报告使用人通篇阅读报告的各部分内容，并合理使用本估价报告。尤其应关注本报告的价值内涵、估价假设与限制条件、估价目的等</w:t>
      </w:r>
      <w:r>
        <w:rPr>
          <w:rFonts w:hint="eastAsia" w:cs="Times New Roman" w:eastAsiaTheme="minorEastAsia"/>
          <w:sz w:val="28"/>
          <w:szCs w:val="28"/>
          <w:lang w:eastAsia="zh-CN"/>
        </w:rPr>
        <w:t>。</w:t>
      </w:r>
    </w:p>
    <w:p>
      <w:pPr>
        <w:spacing w:line="500" w:lineRule="exact"/>
        <w:ind w:firstLine="560" w:firstLineChars="200"/>
        <w:rPr>
          <w:rFonts w:hint="default" w:cs="Times New Roman" w:eastAsiaTheme="minorEastAsia"/>
          <w:sz w:val="28"/>
          <w:szCs w:val="28"/>
          <w:lang w:val="en-US" w:eastAsia="zh-CN"/>
        </w:rPr>
      </w:pPr>
      <w:r>
        <w:rPr>
          <w:rFonts w:hint="eastAsia" w:cs="Times New Roman" w:eastAsiaTheme="minorEastAsia"/>
          <w:sz w:val="28"/>
          <w:szCs w:val="28"/>
          <w:lang w:val="en-US" w:eastAsia="zh-CN"/>
        </w:rPr>
        <w:t xml:space="preserve">3. </w:t>
      </w:r>
      <w:r>
        <w:rPr>
          <w:rFonts w:hint="default" w:ascii="Times New Roman" w:hAnsi="Times New Roman" w:cs="Times New Roman" w:eastAsiaTheme="minorEastAsia"/>
          <w:sz w:val="28"/>
          <w:szCs w:val="28"/>
          <w:lang w:eastAsia="zh-CN"/>
        </w:rPr>
        <w:t>应当按照法律规定和评估报告载明的用途、使用人、使用期限等使用范围使用评估报告。否则，房地产估价机构和注册房地产估价师依法不承担责任</w:t>
      </w:r>
      <w:r>
        <w:rPr>
          <w:rFonts w:hint="eastAsia" w:cs="Times New Roman" w:eastAsiaTheme="minorEastAsia"/>
          <w:sz w:val="28"/>
          <w:szCs w:val="28"/>
          <w:lang w:eastAsia="zh-CN"/>
        </w:rPr>
        <w:t>。</w:t>
      </w:r>
    </w:p>
    <w:p>
      <w:pPr>
        <w:spacing w:line="500" w:lineRule="exact"/>
        <w:ind w:firstLine="560" w:firstLineChars="200"/>
        <w:rPr>
          <w:rFonts w:hint="default" w:ascii="Times New Roman" w:hAnsi="Times New Roman" w:cs="Times New Roman" w:eastAsiaTheme="minorEastAsia"/>
          <w:sz w:val="28"/>
          <w:szCs w:val="28"/>
        </w:rPr>
      </w:pPr>
      <w:r>
        <w:rPr>
          <w:rFonts w:hint="eastAsia" w:cs="Times New Roman" w:eastAsiaTheme="minorEastAsia"/>
          <w:sz w:val="28"/>
          <w:szCs w:val="28"/>
          <w:lang w:val="en-US" w:eastAsia="zh-CN"/>
        </w:rPr>
        <w:t>4</w:t>
      </w:r>
      <w:r>
        <w:rPr>
          <w:rFonts w:hint="default" w:ascii="Times New Roman" w:hAnsi="Times New Roman" w:cs="Times New Roman" w:eastAsiaTheme="minorEastAsia"/>
          <w:sz w:val="28"/>
          <w:szCs w:val="28"/>
        </w:rPr>
        <w:t>. 本报告使用期限为一年，自估价报告出具之日起计算，超过期限使用无效。</w:t>
      </w:r>
    </w:p>
    <w:p>
      <w:pPr>
        <w:spacing w:beforeLines="50" w:afterLines="50" w:line="500" w:lineRule="exact"/>
        <w:ind w:firstLine="560" w:firstLineChars="200"/>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sz w:val="28"/>
          <w:szCs w:val="28"/>
        </w:rPr>
        <w:t>特此函告</w:t>
      </w:r>
      <w:r>
        <w:rPr>
          <w:rFonts w:hint="default" w:ascii="Times New Roman" w:hAnsi="Times New Roman" w:cs="Times New Roman" w:eastAsiaTheme="minorEastAsia"/>
          <w:color w:val="auto"/>
          <w:sz w:val="28"/>
          <w:szCs w:val="28"/>
          <w:highlight w:val="none"/>
          <w:lang w:val="en-US" w:eastAsia="zh-CN"/>
        </w:rPr>
        <w:t xml:space="preserve">  </w:t>
      </w:r>
    </w:p>
    <w:p>
      <w:pPr>
        <w:spacing w:beforeLines="50" w:afterLines="50" w:line="500" w:lineRule="exact"/>
        <w:ind w:right="280"/>
        <w:jc w:val="right"/>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color w:val="auto"/>
          <w:sz w:val="28"/>
          <w:szCs w:val="28"/>
          <w:highlight w:val="none"/>
          <w:lang w:val="en-US" w:eastAsia="zh-CN"/>
        </w:rPr>
        <w:t xml:space="preserve"> </w:t>
      </w:r>
      <w:r>
        <w:rPr>
          <w:rFonts w:hint="default" w:ascii="Times New Roman" w:hAnsi="Times New Roman" w:cs="Times New Roman" w:eastAsiaTheme="minorEastAsia"/>
          <w:color w:val="auto"/>
          <w:sz w:val="28"/>
          <w:szCs w:val="28"/>
          <w:highlight w:val="none"/>
        </w:rPr>
        <w:t>江苏国联土地房地产评估有限公司</w:t>
      </w:r>
    </w:p>
    <w:p>
      <w:pPr>
        <w:spacing w:beforeLines="50" w:afterLines="50" w:line="500" w:lineRule="exact"/>
        <w:jc w:val="center"/>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sz w:val="28"/>
          <w:szCs w:val="28"/>
          <w:highlight w:val="none"/>
        </w:rPr>
        <w:t xml:space="preserve">             </w:t>
      </w:r>
      <w:r>
        <w:rPr>
          <w:rFonts w:hint="default" w:ascii="Times New Roman" w:hAnsi="Times New Roman" w:cs="Times New Roman" w:eastAsiaTheme="minorEastAsia"/>
          <w:color w:val="auto"/>
          <w:sz w:val="28"/>
          <w:szCs w:val="28"/>
          <w:highlight w:val="none"/>
        </w:rPr>
        <w:t>法定代表人：</w:t>
      </w:r>
    </w:p>
    <w:p>
      <w:pPr>
        <w:spacing w:beforeLines="50" w:afterLines="50" w:line="500" w:lineRule="exact"/>
        <w:jc w:val="center"/>
        <w:rPr>
          <w:rFonts w:hint="default" w:ascii="Times New Roman" w:hAnsi="Times New Roman" w:cs="Times New Roman" w:eastAsiaTheme="minorEastAsia"/>
          <w:color w:val="auto"/>
          <w:sz w:val="28"/>
          <w:szCs w:val="28"/>
          <w:highlight w:val="none"/>
          <w:lang w:eastAsia="zh-CN" w:bidi="he-IL"/>
        </w:rPr>
      </w:pPr>
      <w:r>
        <w:rPr>
          <w:rFonts w:hint="default" w:ascii="Times New Roman" w:hAnsi="Times New Roman" w:cs="Times New Roman" w:eastAsiaTheme="minorEastAsia"/>
          <w:color w:val="auto"/>
          <w:sz w:val="28"/>
          <w:szCs w:val="28"/>
          <w:highlight w:val="none"/>
        </w:rPr>
        <w:t xml:space="preserve">                     </w:t>
      </w:r>
      <w:r>
        <w:rPr>
          <w:rFonts w:hint="eastAsia" w:cs="Times New Roman" w:eastAsiaTheme="minorEastAsia"/>
          <w:color w:val="auto"/>
          <w:sz w:val="28"/>
          <w:szCs w:val="28"/>
          <w:highlight w:val="none"/>
          <w:lang w:eastAsia="zh-CN"/>
        </w:rPr>
        <w:t>二〇二二年</w:t>
      </w:r>
      <w:r>
        <w:rPr>
          <w:rFonts w:hint="eastAsia" w:cs="Times New Roman" w:eastAsiaTheme="minorEastAsia"/>
          <w:color w:val="auto"/>
          <w:sz w:val="28"/>
          <w:szCs w:val="28"/>
          <w:highlight w:val="none"/>
          <w:lang w:val="en-US" w:eastAsia="zh-CN"/>
        </w:rPr>
        <w:t>九月十三日</w:t>
      </w:r>
    </w:p>
    <w:p>
      <w:pPr>
        <w:tabs>
          <w:tab w:val="left" w:pos="3261"/>
          <w:tab w:val="left" w:pos="3402"/>
        </w:tabs>
        <w:spacing w:line="360" w:lineRule="auto"/>
        <w:jc w:val="center"/>
        <w:rPr>
          <w:rFonts w:hint="default" w:ascii="Times New Roman" w:hAnsi="Times New Roman" w:cs="Times New Roman" w:eastAsiaTheme="minorEastAsia"/>
          <w:sz w:val="28"/>
          <w:szCs w:val="28"/>
        </w:rPr>
      </w:pPr>
    </w:p>
    <w:p>
      <w:pPr>
        <w:tabs>
          <w:tab w:val="left" w:pos="3261"/>
          <w:tab w:val="left" w:pos="3402"/>
        </w:tabs>
        <w:spacing w:line="360" w:lineRule="auto"/>
        <w:jc w:val="center"/>
        <w:rPr>
          <w:rFonts w:hint="default" w:ascii="Times New Roman" w:hAnsi="Times New Roman" w:cs="Times New Roman" w:eastAsiaTheme="minorEastAsia"/>
          <w:sz w:val="28"/>
          <w:szCs w:val="28"/>
        </w:rPr>
      </w:pPr>
    </w:p>
    <w:p>
      <w:pPr>
        <w:tabs>
          <w:tab w:val="left" w:pos="3261"/>
          <w:tab w:val="left" w:pos="3402"/>
        </w:tabs>
        <w:spacing w:line="360" w:lineRule="auto"/>
        <w:jc w:val="center"/>
        <w:rPr>
          <w:rFonts w:hint="default" w:ascii="Times New Roman" w:hAnsi="Times New Roman" w:cs="Times New Roman" w:eastAsiaTheme="minorEastAsia"/>
          <w:sz w:val="28"/>
          <w:szCs w:val="28"/>
        </w:rPr>
      </w:pPr>
    </w:p>
    <w:p>
      <w:pPr>
        <w:tabs>
          <w:tab w:val="left" w:pos="3261"/>
          <w:tab w:val="left" w:pos="3402"/>
        </w:tabs>
        <w:spacing w:line="360" w:lineRule="auto"/>
        <w:jc w:val="center"/>
        <w:rPr>
          <w:rFonts w:hint="default" w:ascii="Times New Roman" w:hAnsi="Times New Roman" w:cs="Times New Roman" w:eastAsiaTheme="minorEastAsia"/>
          <w:sz w:val="28"/>
          <w:szCs w:val="28"/>
        </w:rPr>
      </w:pPr>
    </w:p>
    <w:p>
      <w:pPr>
        <w:tabs>
          <w:tab w:val="left" w:pos="3261"/>
          <w:tab w:val="left" w:pos="3402"/>
        </w:tabs>
        <w:spacing w:line="360" w:lineRule="auto"/>
        <w:jc w:val="center"/>
        <w:rPr>
          <w:rFonts w:hint="default" w:ascii="Times New Roman" w:hAnsi="Times New Roman" w:cs="Times New Roman" w:eastAsiaTheme="minorEastAsia"/>
          <w:sz w:val="28"/>
          <w:szCs w:val="28"/>
        </w:rPr>
      </w:pPr>
    </w:p>
    <w:p>
      <w:pPr>
        <w:tabs>
          <w:tab w:val="left" w:pos="3261"/>
          <w:tab w:val="left" w:pos="3402"/>
        </w:tabs>
        <w:spacing w:line="360" w:lineRule="auto"/>
        <w:jc w:val="center"/>
        <w:rPr>
          <w:rFonts w:hint="default" w:ascii="Times New Roman" w:hAnsi="Times New Roman" w:cs="Times New Roman" w:eastAsiaTheme="minorEastAsia"/>
          <w:sz w:val="28"/>
          <w:szCs w:val="28"/>
        </w:rPr>
      </w:pPr>
    </w:p>
    <w:p>
      <w:pPr>
        <w:tabs>
          <w:tab w:val="left" w:pos="3261"/>
          <w:tab w:val="left" w:pos="3402"/>
        </w:tabs>
        <w:spacing w:line="360" w:lineRule="auto"/>
        <w:jc w:val="both"/>
        <w:rPr>
          <w:rFonts w:hint="default" w:ascii="Times New Roman" w:hAnsi="Times New Roman" w:cs="Times New Roman" w:eastAsiaTheme="minorEastAsia"/>
          <w:sz w:val="28"/>
          <w:szCs w:val="28"/>
        </w:rPr>
      </w:pPr>
    </w:p>
    <w:p>
      <w:pPr>
        <w:spacing w:line="360" w:lineRule="auto"/>
        <w:jc w:val="center"/>
        <w:rPr>
          <w:rFonts w:hint="default" w:ascii="Times New Roman" w:hAnsi="Times New Roman" w:cs="Times New Roman" w:eastAsiaTheme="minorEastAsia"/>
          <w:b/>
          <w:sz w:val="28"/>
          <w:szCs w:val="28"/>
        </w:rPr>
      </w:pPr>
      <w:bookmarkStart w:id="0" w:name="_Toc262130448"/>
      <w:bookmarkStart w:id="1" w:name="_Toc267557567"/>
      <w:bookmarkStart w:id="2" w:name="_Toc375035084"/>
      <w:bookmarkStart w:id="3" w:name="_Toc263248966"/>
      <w:bookmarkStart w:id="4" w:name="_Toc267552670"/>
      <w:bookmarkStart w:id="5" w:name="_Toc267557146"/>
      <w:bookmarkStart w:id="6" w:name="_Toc372267369"/>
      <w:bookmarkStart w:id="7" w:name="_Toc534792181"/>
      <w:bookmarkStart w:id="8" w:name="_Toc393960746"/>
      <w:r>
        <w:rPr>
          <w:rFonts w:hint="default" w:ascii="Times New Roman" w:hAnsi="Times New Roman" w:cs="Times New Roman" w:eastAsiaTheme="minorEastAsia"/>
          <w:b/>
          <w:sz w:val="44"/>
          <w:szCs w:val="44"/>
        </w:rPr>
        <w:t>目　录</w:t>
      </w:r>
    </w:p>
    <w:p>
      <w:pPr>
        <w:pStyle w:val="9"/>
        <w:tabs>
          <w:tab w:val="right" w:leader="dot" w:pos="9072"/>
          <w:tab w:val="clear" w:pos="8948"/>
        </w:tabs>
        <w:spacing w:line="360" w:lineRule="auto"/>
      </w:pPr>
      <w:r>
        <w:rPr>
          <w:rFonts w:hint="default" w:ascii="Times New Roman" w:hAnsi="Times New Roman" w:cs="Times New Roman" w:eastAsiaTheme="minorEastAsia"/>
          <w:b/>
        </w:rPr>
        <w:fldChar w:fldCharType="begin"/>
      </w:r>
      <w:r>
        <w:rPr>
          <w:rFonts w:hint="default" w:ascii="Times New Roman" w:hAnsi="Times New Roman" w:cs="Times New Roman" w:eastAsiaTheme="minorEastAsia"/>
          <w:b/>
        </w:rPr>
        <w:instrText xml:space="preserve"> TOC \o "1-2" \h \z \u </w:instrText>
      </w:r>
      <w:r>
        <w:rPr>
          <w:rFonts w:hint="default" w:ascii="Times New Roman" w:hAnsi="Times New Roman" w:cs="Times New Roman" w:eastAsiaTheme="minorEastAsia"/>
          <w:b/>
        </w:rPr>
        <w:fldChar w:fldCharType="separate"/>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_Toc7396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44"/>
        </w:rPr>
        <w:t>估价师声明</w:t>
      </w:r>
      <w:r>
        <w:tab/>
      </w:r>
      <w:r>
        <w:fldChar w:fldCharType="begin"/>
      </w:r>
      <w:r>
        <w:instrText xml:space="preserve"> PAGEREF _Toc7396 \h </w:instrText>
      </w:r>
      <w:r>
        <w:fldChar w:fldCharType="separate"/>
      </w:r>
      <w:r>
        <w:t>5</w:t>
      </w:r>
      <w:r>
        <w:fldChar w:fldCharType="end"/>
      </w:r>
      <w:r>
        <w:rPr>
          <w:rFonts w:hint="default" w:ascii="Times New Roman" w:hAnsi="Times New Roman" w:cs="Times New Roman" w:eastAsiaTheme="minorEastAsia"/>
        </w:rPr>
        <w:fldChar w:fldCharType="end"/>
      </w:r>
    </w:p>
    <w:p>
      <w:pPr>
        <w:pStyle w:val="9"/>
        <w:tabs>
          <w:tab w:val="right" w:leader="dot" w:pos="9072"/>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_Toc27666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szCs w:val="44"/>
        </w:rPr>
        <w:t>估价假设和限制条件</w:t>
      </w:r>
      <w:r>
        <w:tab/>
      </w:r>
      <w:r>
        <w:fldChar w:fldCharType="begin"/>
      </w:r>
      <w:r>
        <w:instrText xml:space="preserve"> PAGEREF _Toc27666 \h </w:instrText>
      </w:r>
      <w:r>
        <w:fldChar w:fldCharType="separate"/>
      </w:r>
      <w:r>
        <w:t>6</w:t>
      </w:r>
      <w:r>
        <w:fldChar w:fldCharType="end"/>
      </w:r>
      <w:r>
        <w:rPr>
          <w:rFonts w:hint="default" w:ascii="Times New Roman" w:hAnsi="Times New Roman" w:cs="Times New Roman" w:eastAsiaTheme="minorEastAsia"/>
          <w:szCs w:val="28"/>
        </w:rPr>
        <w:fldChar w:fldCharType="end"/>
      </w:r>
    </w:p>
    <w:p>
      <w:pPr>
        <w:pStyle w:val="9"/>
        <w:tabs>
          <w:tab w:val="right" w:leader="dot" w:pos="9072"/>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_Toc20020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kern w:val="44"/>
          <w:szCs w:val="44"/>
        </w:rPr>
        <w:t>房地产估价结果报告</w:t>
      </w:r>
      <w:r>
        <w:tab/>
      </w:r>
      <w:r>
        <w:fldChar w:fldCharType="begin"/>
      </w:r>
      <w:r>
        <w:instrText xml:space="preserve"> PAGEREF _Toc20020 \h </w:instrText>
      </w:r>
      <w:r>
        <w:fldChar w:fldCharType="separate"/>
      </w:r>
      <w:r>
        <w:t>9</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_Toc13437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szCs w:val="28"/>
        </w:rPr>
        <w:t>一、估价委托人</w:t>
      </w:r>
      <w:r>
        <w:tab/>
      </w:r>
      <w:r>
        <w:fldChar w:fldCharType="begin"/>
      </w:r>
      <w:r>
        <w:instrText xml:space="preserve"> PAGEREF _Toc13437 \h </w:instrText>
      </w:r>
      <w:r>
        <w:fldChar w:fldCharType="separate"/>
      </w:r>
      <w:r>
        <w:t>9</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_Toc10376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szCs w:val="28"/>
        </w:rPr>
        <w:t>二、估价机构</w:t>
      </w:r>
      <w:r>
        <w:tab/>
      </w:r>
      <w:r>
        <w:fldChar w:fldCharType="begin"/>
      </w:r>
      <w:r>
        <w:instrText xml:space="preserve"> PAGEREF _Toc10376 \h </w:instrText>
      </w:r>
      <w:r>
        <w:fldChar w:fldCharType="separate"/>
      </w:r>
      <w:r>
        <w:t>9</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_Toc12521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szCs w:val="28"/>
        </w:rPr>
        <w:t>三、估价目的</w:t>
      </w:r>
      <w:r>
        <w:tab/>
      </w:r>
      <w:r>
        <w:fldChar w:fldCharType="begin"/>
      </w:r>
      <w:r>
        <w:instrText xml:space="preserve"> PAGEREF _Toc12521 \h </w:instrText>
      </w:r>
      <w:r>
        <w:fldChar w:fldCharType="separate"/>
      </w:r>
      <w:r>
        <w:t>9</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_Toc7855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szCs w:val="28"/>
        </w:rPr>
        <w:t>四、估价对象</w:t>
      </w:r>
      <w:r>
        <w:tab/>
      </w:r>
      <w:r>
        <w:fldChar w:fldCharType="begin"/>
      </w:r>
      <w:r>
        <w:instrText xml:space="preserve"> PAGEREF _Toc7855 \h </w:instrText>
      </w:r>
      <w:r>
        <w:fldChar w:fldCharType="separate"/>
      </w:r>
      <w:r>
        <w:t>9</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_Toc25426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szCs w:val="28"/>
        </w:rPr>
        <w:t>五、价值时点</w:t>
      </w:r>
      <w:r>
        <w:tab/>
      </w:r>
      <w:r>
        <w:fldChar w:fldCharType="begin"/>
      </w:r>
      <w:r>
        <w:instrText xml:space="preserve"> PAGEREF _Toc25426 \h </w:instrText>
      </w:r>
      <w:r>
        <w:fldChar w:fldCharType="separate"/>
      </w:r>
      <w:r>
        <w:t>12</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_Toc17273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szCs w:val="28"/>
        </w:rPr>
        <w:t>六、价值</w:t>
      </w:r>
      <w:r>
        <w:rPr>
          <w:rFonts w:hint="default" w:ascii="Times New Roman" w:hAnsi="Times New Roman" w:cs="Times New Roman" w:eastAsiaTheme="minorEastAsia"/>
          <w:szCs w:val="28"/>
          <w:lang w:eastAsia="zh-CN"/>
        </w:rPr>
        <w:t>类型</w:t>
      </w:r>
      <w:r>
        <w:tab/>
      </w:r>
      <w:r>
        <w:fldChar w:fldCharType="begin"/>
      </w:r>
      <w:r>
        <w:instrText xml:space="preserve"> PAGEREF _Toc17273 \h </w:instrText>
      </w:r>
      <w:r>
        <w:fldChar w:fldCharType="separate"/>
      </w:r>
      <w:r>
        <w:t>12</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_Toc20737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szCs w:val="28"/>
        </w:rPr>
        <w:t>七、估价原则</w:t>
      </w:r>
      <w:r>
        <w:tab/>
      </w:r>
      <w:r>
        <w:fldChar w:fldCharType="begin"/>
      </w:r>
      <w:r>
        <w:instrText xml:space="preserve"> PAGEREF _Toc20737 \h </w:instrText>
      </w:r>
      <w:r>
        <w:fldChar w:fldCharType="separate"/>
      </w:r>
      <w:r>
        <w:t>12</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_Toc13789 </w:instrText>
      </w:r>
      <w:r>
        <w:rPr>
          <w:rFonts w:hint="default" w:ascii="Times New Roman" w:hAnsi="Times New Roman" w:cs="Times New Roman" w:eastAsiaTheme="minorEastAsia"/>
          <w:szCs w:val="28"/>
        </w:rPr>
        <w:fldChar w:fldCharType="separate"/>
      </w:r>
      <w:r>
        <w:rPr>
          <w:rFonts w:hint="eastAsia" w:ascii="Times New Roman" w:hAnsi="Times New Roman" w:cs="Times New Roman" w:eastAsiaTheme="minorEastAsia"/>
          <w:szCs w:val="28"/>
          <w:lang w:val="en-US" w:eastAsia="zh-CN"/>
        </w:rPr>
        <w:t>八、</w:t>
      </w:r>
      <w:r>
        <w:rPr>
          <w:rFonts w:hint="default" w:ascii="Times New Roman" w:hAnsi="Times New Roman" w:cs="Times New Roman" w:eastAsiaTheme="minorEastAsia"/>
          <w:szCs w:val="28"/>
        </w:rPr>
        <w:t>估价依据</w:t>
      </w:r>
      <w:r>
        <w:tab/>
      </w:r>
      <w:r>
        <w:fldChar w:fldCharType="begin"/>
      </w:r>
      <w:r>
        <w:instrText xml:space="preserve"> PAGEREF _Toc13789 \h </w:instrText>
      </w:r>
      <w:r>
        <w:fldChar w:fldCharType="separate"/>
      </w:r>
      <w:r>
        <w:t>13</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_Toc22689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szCs w:val="28"/>
        </w:rPr>
        <w:t>九、估价方法</w:t>
      </w:r>
      <w:r>
        <w:tab/>
      </w:r>
      <w:r>
        <w:fldChar w:fldCharType="begin"/>
      </w:r>
      <w:r>
        <w:instrText xml:space="preserve"> PAGEREF _Toc22689 \h </w:instrText>
      </w:r>
      <w:r>
        <w:fldChar w:fldCharType="separate"/>
      </w:r>
      <w:r>
        <w:t>14</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_Toc20286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szCs w:val="28"/>
        </w:rPr>
        <w:t>十、估价结果</w:t>
      </w:r>
      <w:r>
        <w:tab/>
      </w:r>
      <w:r>
        <w:fldChar w:fldCharType="begin"/>
      </w:r>
      <w:r>
        <w:instrText xml:space="preserve"> PAGEREF _Toc20286 \h </w:instrText>
      </w:r>
      <w:r>
        <w:fldChar w:fldCharType="separate"/>
      </w:r>
      <w:r>
        <w:t>15</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_Toc5598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szCs w:val="28"/>
        </w:rPr>
        <w:t>十一、注册房地产估价师</w:t>
      </w:r>
      <w:r>
        <w:tab/>
      </w:r>
      <w:r>
        <w:fldChar w:fldCharType="begin"/>
      </w:r>
      <w:r>
        <w:instrText xml:space="preserve"> PAGEREF _Toc5598 \h </w:instrText>
      </w:r>
      <w:r>
        <w:fldChar w:fldCharType="separate"/>
      </w:r>
      <w:r>
        <w:t>15</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_Toc11525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szCs w:val="28"/>
        </w:rPr>
        <w:t>十二、实地查勘期</w:t>
      </w:r>
      <w:r>
        <w:tab/>
      </w:r>
      <w:r>
        <w:fldChar w:fldCharType="begin"/>
      </w:r>
      <w:r>
        <w:instrText xml:space="preserve"> PAGEREF _Toc11525 \h </w:instrText>
      </w:r>
      <w:r>
        <w:fldChar w:fldCharType="separate"/>
      </w:r>
      <w:r>
        <w:t>15</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_Toc10023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bCs w:val="0"/>
          <w:szCs w:val="24"/>
        </w:rPr>
        <w:t>十三、估价作业期</w:t>
      </w:r>
      <w:r>
        <w:tab/>
      </w:r>
      <w:r>
        <w:fldChar w:fldCharType="begin"/>
      </w:r>
      <w:r>
        <w:instrText xml:space="preserve"> PAGEREF _Toc10023 \h </w:instrText>
      </w:r>
      <w:r>
        <w:fldChar w:fldCharType="separate"/>
      </w:r>
      <w:r>
        <w:t>15</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_Toc14318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bCs w:val="0"/>
          <w:szCs w:val="24"/>
        </w:rPr>
        <w:t>十四、估价报告使用期限及有关说明</w:t>
      </w:r>
      <w:r>
        <w:tab/>
      </w:r>
      <w:r>
        <w:fldChar w:fldCharType="begin"/>
      </w:r>
      <w:r>
        <w:instrText xml:space="preserve"> PAGEREF _Toc14318 \h </w:instrText>
      </w:r>
      <w:r>
        <w:fldChar w:fldCharType="separate"/>
      </w:r>
      <w:r>
        <w:t>15</w:t>
      </w:r>
      <w:r>
        <w:fldChar w:fldCharType="end"/>
      </w:r>
      <w:r>
        <w:rPr>
          <w:rFonts w:hint="default" w:ascii="Times New Roman" w:hAnsi="Times New Roman" w:cs="Times New Roman" w:eastAsiaTheme="minorEastAsia"/>
          <w:szCs w:val="28"/>
        </w:rPr>
        <w:fldChar w:fldCharType="end"/>
      </w:r>
    </w:p>
    <w:p>
      <w:pPr>
        <w:pStyle w:val="9"/>
        <w:tabs>
          <w:tab w:val="right" w:leader="dot" w:pos="9072"/>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_Toc3652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rPr>
        <w:t>附件</w:t>
      </w:r>
      <w:r>
        <w:tab/>
      </w:r>
      <w:r>
        <w:fldChar w:fldCharType="begin"/>
      </w:r>
      <w:r>
        <w:instrText xml:space="preserve"> PAGEREF _Toc3652 \h </w:instrText>
      </w:r>
      <w:r>
        <w:fldChar w:fldCharType="separate"/>
      </w:r>
      <w:r>
        <w:t>16</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_Toc7853 </w:instrText>
      </w:r>
      <w:r>
        <w:rPr>
          <w:rFonts w:hint="default" w:ascii="Times New Roman" w:hAnsi="Times New Roman" w:cs="Times New Roman" w:eastAsiaTheme="minorEastAsia"/>
          <w:szCs w:val="28"/>
        </w:rPr>
        <w:fldChar w:fldCharType="separate"/>
      </w:r>
      <w:r>
        <w:rPr>
          <w:rFonts w:hint="eastAsia" w:ascii="Times New Roman" w:hAnsi="Times New Roman" w:cs="Times New Roman" w:eastAsiaTheme="minorEastAsia"/>
          <w:szCs w:val="28"/>
        </w:rPr>
        <w:t xml:space="preserve">1. </w:t>
      </w:r>
      <w:r>
        <w:rPr>
          <w:rFonts w:hint="default" w:ascii="Times New Roman" w:hAnsi="Times New Roman" w:cs="Times New Roman" w:eastAsiaTheme="minorEastAsia"/>
          <w:szCs w:val="32"/>
        </w:rPr>
        <w:t>司法</w:t>
      </w:r>
      <w:r>
        <w:rPr>
          <w:rFonts w:hint="eastAsia" w:cs="Times New Roman" w:eastAsiaTheme="minorEastAsia"/>
          <w:szCs w:val="32"/>
          <w:lang w:val="en-US" w:eastAsia="zh-CN"/>
        </w:rPr>
        <w:t>鉴定</w:t>
      </w:r>
      <w:r>
        <w:rPr>
          <w:rFonts w:hint="default" w:ascii="Times New Roman" w:hAnsi="Times New Roman" w:cs="Times New Roman" w:eastAsiaTheme="minorEastAsia"/>
          <w:szCs w:val="32"/>
        </w:rPr>
        <w:t>委托书复印件</w:t>
      </w:r>
      <w:r>
        <w:tab/>
      </w:r>
      <w:r>
        <w:fldChar w:fldCharType="begin"/>
      </w:r>
      <w:r>
        <w:instrText xml:space="preserve"> PAGEREF _Toc7853 \h </w:instrText>
      </w:r>
      <w:r>
        <w:fldChar w:fldCharType="separate"/>
      </w:r>
      <w:r>
        <w:t>16</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_Toc27363 </w:instrText>
      </w:r>
      <w:r>
        <w:rPr>
          <w:rFonts w:hint="default" w:ascii="Times New Roman" w:hAnsi="Times New Roman" w:cs="Times New Roman" w:eastAsiaTheme="minorEastAsia"/>
          <w:szCs w:val="28"/>
        </w:rPr>
        <w:fldChar w:fldCharType="separate"/>
      </w:r>
      <w:r>
        <w:rPr>
          <w:rFonts w:hint="eastAsia" w:ascii="Times New Roman" w:hAnsi="Times New Roman" w:cs="Times New Roman" w:eastAsiaTheme="minorEastAsia"/>
          <w:szCs w:val="28"/>
        </w:rPr>
        <w:t xml:space="preserve">2. </w:t>
      </w:r>
      <w:r>
        <w:rPr>
          <w:rFonts w:hint="eastAsia" w:cs="Times New Roman" w:eastAsiaTheme="minorEastAsia"/>
          <w:szCs w:val="32"/>
          <w:lang w:val="en-US" w:eastAsia="zh-CN"/>
        </w:rPr>
        <w:t>房地产不动产登记簿查询结果</w:t>
      </w:r>
      <w:r>
        <w:rPr>
          <w:rFonts w:hint="default" w:cs="Times New Roman" w:eastAsiaTheme="minorEastAsia"/>
          <w:szCs w:val="32"/>
          <w:lang w:val="en-US" w:eastAsia="zh-CN"/>
        </w:rPr>
        <w:t>复印</w:t>
      </w:r>
      <w:r>
        <w:rPr>
          <w:rFonts w:hint="eastAsia" w:cs="Times New Roman" w:eastAsiaTheme="minorEastAsia"/>
          <w:szCs w:val="32"/>
          <w:lang w:val="en-US" w:eastAsia="zh-CN"/>
        </w:rPr>
        <w:t>件</w:t>
      </w:r>
      <w:r>
        <w:tab/>
      </w:r>
      <w:r>
        <w:fldChar w:fldCharType="begin"/>
      </w:r>
      <w:r>
        <w:instrText xml:space="preserve"> PAGEREF _Toc27363 \h </w:instrText>
      </w:r>
      <w:r>
        <w:fldChar w:fldCharType="separate"/>
      </w:r>
      <w:r>
        <w:t>17</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_Toc9950 </w:instrText>
      </w:r>
      <w:r>
        <w:rPr>
          <w:rFonts w:hint="default" w:ascii="Times New Roman" w:hAnsi="Times New Roman" w:cs="Times New Roman" w:eastAsiaTheme="minorEastAsia"/>
          <w:szCs w:val="28"/>
        </w:rPr>
        <w:fldChar w:fldCharType="separate"/>
      </w:r>
      <w:r>
        <w:rPr>
          <w:rFonts w:hint="eastAsia" w:ascii="Times New Roman" w:hAnsi="Times New Roman" w:cs="Times New Roman" w:eastAsiaTheme="minorEastAsia"/>
          <w:szCs w:val="28"/>
        </w:rPr>
        <w:t xml:space="preserve">3. </w:t>
      </w:r>
      <w:r>
        <w:rPr>
          <w:rFonts w:hint="default" w:ascii="Times New Roman" w:hAnsi="Times New Roman" w:cs="Times New Roman" w:eastAsiaTheme="minorEastAsia"/>
          <w:szCs w:val="32"/>
        </w:rPr>
        <w:t>估价对象区域位置图</w:t>
      </w:r>
      <w:r>
        <w:tab/>
      </w:r>
      <w:r>
        <w:fldChar w:fldCharType="begin"/>
      </w:r>
      <w:r>
        <w:instrText xml:space="preserve"> PAGEREF _Toc9950 \h </w:instrText>
      </w:r>
      <w:r>
        <w:fldChar w:fldCharType="separate"/>
      </w:r>
      <w:r>
        <w:t>21</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_Toc1610 </w:instrText>
      </w:r>
      <w:r>
        <w:rPr>
          <w:rFonts w:hint="default" w:ascii="Times New Roman" w:hAnsi="Times New Roman" w:cs="Times New Roman" w:eastAsiaTheme="minorEastAsia"/>
          <w:szCs w:val="28"/>
        </w:rPr>
        <w:fldChar w:fldCharType="separate"/>
      </w:r>
      <w:r>
        <w:rPr>
          <w:rFonts w:hint="eastAsia" w:ascii="Times New Roman" w:hAnsi="Times New Roman" w:cs="Times New Roman" w:eastAsiaTheme="minorEastAsia"/>
          <w:szCs w:val="28"/>
        </w:rPr>
        <w:t xml:space="preserve">4. </w:t>
      </w:r>
      <w:r>
        <w:rPr>
          <w:rFonts w:hint="default" w:ascii="Times New Roman" w:hAnsi="Times New Roman" w:cs="Times New Roman" w:eastAsiaTheme="minorEastAsia"/>
          <w:szCs w:val="32"/>
        </w:rPr>
        <w:t>估价对象实地查勘情况和照片</w:t>
      </w:r>
      <w:r>
        <w:tab/>
      </w:r>
      <w:r>
        <w:fldChar w:fldCharType="begin"/>
      </w:r>
      <w:r>
        <w:instrText xml:space="preserve"> PAGEREF _Toc1610 \h </w:instrText>
      </w:r>
      <w:r>
        <w:fldChar w:fldCharType="separate"/>
      </w:r>
      <w:r>
        <w:t>21</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_Toc3678 </w:instrText>
      </w:r>
      <w:r>
        <w:rPr>
          <w:rFonts w:hint="default" w:ascii="Times New Roman" w:hAnsi="Times New Roman" w:cs="Times New Roman" w:eastAsiaTheme="minorEastAsia"/>
          <w:szCs w:val="28"/>
        </w:rPr>
        <w:fldChar w:fldCharType="separate"/>
      </w:r>
      <w:r>
        <w:rPr>
          <w:rFonts w:hint="eastAsia" w:ascii="Times New Roman" w:hAnsi="Times New Roman" w:cs="Times New Roman" w:eastAsiaTheme="minorEastAsia"/>
          <w:szCs w:val="28"/>
        </w:rPr>
        <w:t xml:space="preserve">5. </w:t>
      </w:r>
      <w:r>
        <w:rPr>
          <w:rFonts w:hint="default" w:ascii="Times New Roman" w:hAnsi="Times New Roman" w:cs="Times New Roman" w:eastAsiaTheme="minorEastAsia"/>
          <w:szCs w:val="32"/>
        </w:rPr>
        <w:t>专业帮助情况和相关专业意见</w:t>
      </w:r>
      <w:r>
        <w:tab/>
      </w:r>
      <w:r>
        <w:fldChar w:fldCharType="begin"/>
      </w:r>
      <w:r>
        <w:instrText xml:space="preserve"> PAGEREF _Toc3678 \h </w:instrText>
      </w:r>
      <w:r>
        <w:fldChar w:fldCharType="separate"/>
      </w:r>
      <w:r>
        <w:t>22</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_Toc8650 </w:instrText>
      </w:r>
      <w:r>
        <w:rPr>
          <w:rFonts w:hint="default" w:ascii="Times New Roman" w:hAnsi="Times New Roman" w:cs="Times New Roman" w:eastAsiaTheme="minorEastAsia"/>
          <w:szCs w:val="28"/>
        </w:rPr>
        <w:fldChar w:fldCharType="separate"/>
      </w:r>
      <w:r>
        <w:rPr>
          <w:rFonts w:hint="eastAsia" w:ascii="Times New Roman" w:hAnsi="Times New Roman" w:cs="Times New Roman" w:eastAsiaTheme="minorEastAsia"/>
          <w:szCs w:val="28"/>
        </w:rPr>
        <w:t xml:space="preserve">6. </w:t>
      </w:r>
      <w:r>
        <w:rPr>
          <w:rFonts w:hint="default" w:ascii="Times New Roman" w:hAnsi="Times New Roman" w:cs="Times New Roman" w:eastAsiaTheme="minorEastAsia"/>
          <w:szCs w:val="32"/>
        </w:rPr>
        <w:t>房地产估价机构营业证书</w:t>
      </w:r>
      <w:r>
        <w:tab/>
      </w:r>
      <w:r>
        <w:fldChar w:fldCharType="begin"/>
      </w:r>
      <w:r>
        <w:instrText xml:space="preserve"> PAGEREF _Toc8650 \h </w:instrText>
      </w:r>
      <w:r>
        <w:fldChar w:fldCharType="separate"/>
      </w:r>
      <w:r>
        <w:t>23</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_Toc18556 </w:instrText>
      </w:r>
      <w:r>
        <w:rPr>
          <w:rFonts w:hint="default" w:ascii="Times New Roman" w:hAnsi="Times New Roman" w:cs="Times New Roman" w:eastAsiaTheme="minorEastAsia"/>
          <w:szCs w:val="28"/>
        </w:rPr>
        <w:fldChar w:fldCharType="separate"/>
      </w:r>
      <w:r>
        <w:rPr>
          <w:rFonts w:hint="eastAsia" w:ascii="Times New Roman" w:hAnsi="Times New Roman" w:cs="Times New Roman" w:eastAsiaTheme="minorEastAsia"/>
          <w:szCs w:val="28"/>
        </w:rPr>
        <w:t xml:space="preserve">7. </w:t>
      </w:r>
      <w:r>
        <w:rPr>
          <w:rFonts w:hint="default" w:ascii="Times New Roman" w:hAnsi="Times New Roman" w:cs="Times New Roman" w:eastAsiaTheme="minorEastAsia"/>
          <w:szCs w:val="32"/>
        </w:rPr>
        <w:t>房地产估价机构备案证书复印件</w:t>
      </w:r>
      <w:r>
        <w:tab/>
      </w:r>
      <w:r>
        <w:fldChar w:fldCharType="begin"/>
      </w:r>
      <w:r>
        <w:instrText xml:space="preserve"> PAGEREF _Toc18556 \h </w:instrText>
      </w:r>
      <w:r>
        <w:fldChar w:fldCharType="separate"/>
      </w:r>
      <w:r>
        <w:t>23</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r>
        <w:rPr>
          <w:rFonts w:hint="default" w:ascii="Times New Roman" w:hAnsi="Times New Roman" w:cs="Times New Roman" w:eastAsiaTheme="minorEastAsia"/>
          <w:szCs w:val="28"/>
        </w:rPr>
        <w:fldChar w:fldCharType="begin"/>
      </w:r>
      <w:r>
        <w:rPr>
          <w:rFonts w:hint="default" w:ascii="Times New Roman" w:hAnsi="Times New Roman" w:cs="Times New Roman" w:eastAsiaTheme="minorEastAsia"/>
          <w:szCs w:val="28"/>
        </w:rPr>
        <w:instrText xml:space="preserve"> HYPERLINK \l _Toc17840 </w:instrText>
      </w:r>
      <w:r>
        <w:rPr>
          <w:rFonts w:hint="default" w:ascii="Times New Roman" w:hAnsi="Times New Roman" w:cs="Times New Roman" w:eastAsiaTheme="minorEastAsia"/>
          <w:szCs w:val="28"/>
        </w:rPr>
        <w:fldChar w:fldCharType="separate"/>
      </w:r>
      <w:r>
        <w:rPr>
          <w:rFonts w:hint="eastAsia" w:ascii="Times New Roman" w:hAnsi="Times New Roman" w:cs="Times New Roman" w:eastAsiaTheme="minorEastAsia"/>
          <w:szCs w:val="28"/>
        </w:rPr>
        <w:t xml:space="preserve">8. </w:t>
      </w:r>
      <w:r>
        <w:rPr>
          <w:rFonts w:hint="default" w:ascii="Times New Roman" w:hAnsi="Times New Roman" w:cs="Times New Roman" w:eastAsiaTheme="minorEastAsia"/>
          <w:szCs w:val="32"/>
        </w:rPr>
        <w:t>中国注册房地产估价师注册证书复印件</w:t>
      </w:r>
      <w:r>
        <w:tab/>
      </w:r>
      <w:r>
        <w:fldChar w:fldCharType="begin"/>
      </w:r>
      <w:r>
        <w:instrText xml:space="preserve"> PAGEREF _Toc17840 \h </w:instrText>
      </w:r>
      <w:r>
        <w:fldChar w:fldCharType="separate"/>
      </w:r>
      <w:r>
        <w:t>24</w:t>
      </w:r>
      <w:r>
        <w:fldChar w:fldCharType="end"/>
      </w:r>
      <w:r>
        <w:rPr>
          <w:rFonts w:hint="default" w:ascii="Times New Roman" w:hAnsi="Times New Roman" w:cs="Times New Roman" w:eastAsiaTheme="minorEastAsia"/>
          <w:szCs w:val="28"/>
        </w:rPr>
        <w:fldChar w:fldCharType="end"/>
      </w:r>
    </w:p>
    <w:p>
      <w:pPr>
        <w:pStyle w:val="10"/>
        <w:tabs>
          <w:tab w:val="right" w:leader="dot" w:pos="9072"/>
          <w:tab w:val="clear" w:pos="851"/>
          <w:tab w:val="clear" w:pos="993"/>
          <w:tab w:val="clear" w:pos="8948"/>
        </w:tabs>
        <w:spacing w:line="360" w:lineRule="auto"/>
      </w:pPr>
    </w:p>
    <w:p>
      <w:pPr>
        <w:tabs>
          <w:tab w:val="left" w:pos="4508"/>
        </w:tabs>
        <w:spacing w:beforeLines="50" w:afterLines="50" w:line="360" w:lineRule="auto"/>
        <w:jc w:val="center"/>
        <w:outlineLvl w:val="0"/>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fldChar w:fldCharType="end"/>
      </w:r>
      <w:bookmarkEnd w:id="0"/>
      <w:bookmarkEnd w:id="1"/>
      <w:bookmarkEnd w:id="2"/>
      <w:bookmarkEnd w:id="3"/>
      <w:bookmarkEnd w:id="4"/>
      <w:bookmarkEnd w:id="5"/>
      <w:bookmarkEnd w:id="6"/>
      <w:bookmarkEnd w:id="7"/>
      <w:bookmarkEnd w:id="8"/>
      <w:bookmarkStart w:id="9" w:name="_Toc519862745"/>
      <w:bookmarkStart w:id="10" w:name="_Toc534792182"/>
      <w:bookmarkStart w:id="11" w:name="_Toc372267370"/>
      <w:bookmarkStart w:id="12" w:name="_Toc267557568"/>
      <w:bookmarkStart w:id="13" w:name="_Toc305054284"/>
      <w:bookmarkStart w:id="14" w:name="_Toc267552671"/>
      <w:bookmarkStart w:id="15" w:name="_Toc262130449"/>
      <w:bookmarkStart w:id="16" w:name="_Toc375035085"/>
      <w:bookmarkStart w:id="17" w:name="_Toc267574390"/>
      <w:bookmarkStart w:id="18" w:name="_Toc393960747"/>
      <w:bookmarkStart w:id="19" w:name="_Toc263248967"/>
      <w:bookmarkStart w:id="20" w:name="_Toc267557147"/>
      <w:bookmarkStart w:id="21" w:name="_Toc286738687"/>
      <w:bookmarkStart w:id="22" w:name="_Toc286737675"/>
    </w:p>
    <w:p>
      <w:pPr>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br w:type="page"/>
      </w:r>
    </w:p>
    <w:p>
      <w:pPr>
        <w:tabs>
          <w:tab w:val="left" w:pos="4508"/>
        </w:tabs>
        <w:spacing w:beforeLines="50" w:afterLines="50" w:line="460" w:lineRule="exact"/>
        <w:jc w:val="center"/>
        <w:outlineLvl w:val="0"/>
        <w:rPr>
          <w:rFonts w:hint="default" w:ascii="Times New Roman" w:hAnsi="Times New Roman" w:cs="Times New Roman" w:eastAsiaTheme="minorEastAsia"/>
          <w:b/>
          <w:sz w:val="44"/>
          <w:szCs w:val="44"/>
        </w:rPr>
      </w:pPr>
      <w:bookmarkStart w:id="23" w:name="_Toc30502"/>
      <w:bookmarkStart w:id="24" w:name="_Toc7396"/>
      <w:r>
        <w:rPr>
          <w:rFonts w:hint="default" w:ascii="Times New Roman" w:hAnsi="Times New Roman" w:cs="Times New Roman" w:eastAsiaTheme="minorEastAsia"/>
          <w:b/>
          <w:sz w:val="44"/>
          <w:szCs w:val="44"/>
        </w:rPr>
        <w:t>估价师声明</w:t>
      </w:r>
      <w:bookmarkEnd w:id="9"/>
      <w:bookmarkEnd w:id="23"/>
      <w:bookmarkEnd w:id="24"/>
    </w:p>
    <w:p>
      <w:pPr>
        <w:spacing w:line="500" w:lineRule="exact"/>
        <w:rPr>
          <w:rFonts w:hint="default" w:ascii="Times New Roman" w:hAnsi="Times New Roman" w:cs="Times New Roman" w:eastAsiaTheme="minorEastAsia"/>
          <w:b/>
          <w:sz w:val="28"/>
          <w:szCs w:val="28"/>
          <w:lang w:bidi="he-IL"/>
        </w:rPr>
      </w:pPr>
      <w:r>
        <w:rPr>
          <w:rFonts w:hint="default" w:ascii="Times New Roman" w:hAnsi="Times New Roman" w:cs="Times New Roman" w:eastAsiaTheme="minorEastAsia"/>
          <w:b/>
          <w:sz w:val="28"/>
          <w:szCs w:val="28"/>
          <w:lang w:bidi="he-IL"/>
        </w:rPr>
        <w:t>郑重声明：</w:t>
      </w:r>
    </w:p>
    <w:p>
      <w:pPr>
        <w:numPr>
          <w:ilvl w:val="0"/>
          <w:numId w:val="1"/>
        </w:numPr>
        <w:adjustRightInd w:val="0"/>
        <w:spacing w:line="500" w:lineRule="exact"/>
        <w:ind w:left="0" w:leftChars="0" w:firstLine="560" w:firstLineChars="200"/>
        <w:rPr>
          <w:rFonts w:hint="default" w:ascii="Times New Roman" w:hAnsi="Times New Roman" w:cs="Times New Roman" w:eastAsiaTheme="minorEastAsia"/>
          <w:sz w:val="28"/>
          <w:szCs w:val="28"/>
        </w:rPr>
      </w:pPr>
      <w:r>
        <w:rPr>
          <w:rStyle w:val="17"/>
          <w:rFonts w:hint="default" w:ascii="Times New Roman" w:hAnsi="Times New Roman" w:cs="Times New Roman" w:eastAsiaTheme="minorEastAsia"/>
        </w:rPr>
        <w:t>秉持估价职业道德，注册房地产估价师在估价报告中对事实的说明是真实和准确的，没有虚假记载、误导性陈述和重大遗漏，并与本报告中的估价对象没有利害关系，与估价委托人、估价利害关系人也没有个人利害关系或偏见</w:t>
      </w:r>
      <w:r>
        <w:rPr>
          <w:rFonts w:hint="default" w:ascii="Times New Roman" w:hAnsi="Times New Roman" w:cs="Times New Roman" w:eastAsiaTheme="minorEastAsia"/>
          <w:sz w:val="28"/>
          <w:szCs w:val="28"/>
        </w:rPr>
        <w:t>。</w:t>
      </w:r>
    </w:p>
    <w:p>
      <w:pPr>
        <w:numPr>
          <w:ilvl w:val="0"/>
          <w:numId w:val="1"/>
        </w:numPr>
        <w:adjustRightInd w:val="0"/>
        <w:spacing w:line="500" w:lineRule="exact"/>
        <w:ind w:left="0" w:leftChars="0" w:firstLine="560" w:firstLineChars="200"/>
        <w:rPr>
          <w:rStyle w:val="17"/>
          <w:rFonts w:hint="default" w:ascii="Times New Roman" w:hAnsi="Times New Roman" w:cs="Times New Roman" w:eastAsiaTheme="minorEastAsia"/>
          <w:color w:val="auto"/>
        </w:rPr>
      </w:pPr>
      <w:r>
        <w:rPr>
          <w:rFonts w:hint="default" w:ascii="Times New Roman" w:hAnsi="Times New Roman" w:cs="Times New Roman" w:eastAsiaTheme="minorEastAsia"/>
          <w:sz w:val="28"/>
          <w:szCs w:val="28"/>
        </w:rPr>
        <w:t>我们具备专业能力，胜任本次评估工作。估价报告中的分析、意见和结论是注册房地产估价师独立、客观、公正的专业分析、意见和结论。</w:t>
      </w:r>
      <w:r>
        <w:rPr>
          <w:rStyle w:val="17"/>
          <w:rFonts w:hint="default" w:ascii="Times New Roman" w:hAnsi="Times New Roman" w:cs="Times New Roman" w:eastAsiaTheme="minorEastAsia"/>
        </w:rPr>
        <w:t>没有非本公司人士对本估价报告提</w:t>
      </w:r>
      <w:r>
        <w:rPr>
          <w:rStyle w:val="17"/>
          <w:rFonts w:hint="default" w:ascii="Times New Roman" w:hAnsi="Times New Roman" w:cs="Times New Roman" w:eastAsiaTheme="minorEastAsia"/>
          <w:color w:val="auto"/>
        </w:rPr>
        <w:t>供重要专业帮助。</w:t>
      </w:r>
    </w:p>
    <w:p>
      <w:pPr>
        <w:numPr>
          <w:ilvl w:val="0"/>
          <w:numId w:val="1"/>
        </w:numPr>
        <w:adjustRightInd w:val="0"/>
        <w:spacing w:line="500" w:lineRule="exact"/>
        <w:ind w:left="0" w:leftChars="0"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auto"/>
          <w:sz w:val="28"/>
          <w:szCs w:val="28"/>
        </w:rPr>
        <w:t>本着勤勉尽责的理念，</w:t>
      </w:r>
      <w:bookmarkStart w:id="25" w:name="OLE_LINK2"/>
      <w:bookmarkStart w:id="26" w:name="OLE_LINK3"/>
      <w:r>
        <w:rPr>
          <w:rFonts w:hint="default" w:ascii="Times New Roman" w:hAnsi="Times New Roman" w:cs="Times New Roman" w:eastAsiaTheme="minorEastAsia"/>
          <w:color w:val="auto"/>
          <w:sz w:val="28"/>
          <w:szCs w:val="28"/>
        </w:rPr>
        <w:t>注册房地产估价师</w:t>
      </w:r>
      <w:r>
        <w:rPr>
          <w:rFonts w:hint="eastAsia" w:cs="Times New Roman" w:eastAsiaTheme="minorEastAsia"/>
          <w:color w:val="auto"/>
          <w:sz w:val="28"/>
          <w:szCs w:val="28"/>
          <w:lang w:val="en-US" w:eastAsia="zh-CN"/>
        </w:rPr>
        <w:t>王志鹏、汪胡涛</w:t>
      </w:r>
      <w:r>
        <w:rPr>
          <w:rFonts w:hint="default" w:ascii="Times New Roman" w:hAnsi="Times New Roman" w:cs="Times New Roman" w:eastAsiaTheme="minorEastAsia"/>
          <w:color w:val="auto"/>
          <w:sz w:val="28"/>
          <w:szCs w:val="28"/>
        </w:rPr>
        <w:t>已于</w:t>
      </w:r>
      <w:r>
        <w:rPr>
          <w:rFonts w:hint="eastAsia" w:cs="Times New Roman" w:eastAsiaTheme="minorEastAsia"/>
          <w:color w:val="auto"/>
          <w:sz w:val="28"/>
          <w:szCs w:val="28"/>
          <w:lang w:eastAsia="zh-CN"/>
        </w:rPr>
        <w:t>二〇二</w:t>
      </w:r>
      <w:r>
        <w:rPr>
          <w:rFonts w:hint="eastAsia" w:cs="Times New Roman" w:eastAsiaTheme="minorEastAsia"/>
          <w:color w:val="auto"/>
          <w:sz w:val="28"/>
          <w:szCs w:val="28"/>
          <w:lang w:val="en-US" w:eastAsia="zh-CN"/>
        </w:rPr>
        <w:t>二</w:t>
      </w:r>
      <w:r>
        <w:rPr>
          <w:rFonts w:hint="eastAsia" w:cs="Times New Roman" w:eastAsiaTheme="minorEastAsia"/>
          <w:color w:val="auto"/>
          <w:sz w:val="28"/>
          <w:szCs w:val="28"/>
          <w:lang w:eastAsia="zh-CN"/>
        </w:rPr>
        <w:t>年</w:t>
      </w:r>
      <w:r>
        <w:rPr>
          <w:rFonts w:hint="eastAsia" w:cs="Times New Roman" w:eastAsiaTheme="minorEastAsia"/>
          <w:color w:val="auto"/>
          <w:sz w:val="28"/>
          <w:szCs w:val="28"/>
          <w:lang w:val="en-US" w:eastAsia="zh-CN"/>
        </w:rPr>
        <w:t>九月二日</w:t>
      </w:r>
      <w:r>
        <w:rPr>
          <w:rFonts w:hint="default" w:ascii="Times New Roman" w:hAnsi="Times New Roman" w:cs="Times New Roman" w:eastAsiaTheme="minorEastAsia"/>
          <w:color w:val="auto"/>
          <w:sz w:val="28"/>
          <w:szCs w:val="28"/>
        </w:rPr>
        <w:t>对本估价报告中的估价对象的建筑结构、室</w:t>
      </w:r>
      <w:r>
        <w:rPr>
          <w:rFonts w:hint="default" w:ascii="Times New Roman" w:hAnsi="Times New Roman" w:cs="Times New Roman" w:eastAsiaTheme="minorEastAsia"/>
          <w:color w:val="auto"/>
          <w:sz w:val="28"/>
          <w:szCs w:val="28"/>
          <w:lang w:val="en-US" w:eastAsia="zh-CN"/>
        </w:rPr>
        <w:t>内</w:t>
      </w:r>
      <w:r>
        <w:rPr>
          <w:rFonts w:hint="default" w:ascii="Times New Roman" w:hAnsi="Times New Roman" w:cs="Times New Roman" w:eastAsiaTheme="minorEastAsia"/>
          <w:color w:val="auto"/>
          <w:sz w:val="28"/>
          <w:szCs w:val="28"/>
        </w:rPr>
        <w:t>外状况进行了实地查勘并进行记录，并对估价委托人提供的相关</w:t>
      </w:r>
      <w:r>
        <w:rPr>
          <w:rFonts w:hint="default" w:ascii="Times New Roman" w:hAnsi="Times New Roman" w:cs="Times New Roman" w:eastAsiaTheme="minorEastAsia"/>
          <w:sz w:val="28"/>
          <w:szCs w:val="28"/>
        </w:rPr>
        <w:t>资料，进行了力所能及的核实工作。</w:t>
      </w:r>
      <w:bookmarkEnd w:id="25"/>
      <w:bookmarkEnd w:id="26"/>
    </w:p>
    <w:p>
      <w:pPr>
        <w:numPr>
          <w:ilvl w:val="0"/>
          <w:numId w:val="1"/>
        </w:numPr>
        <w:adjustRightInd w:val="0"/>
        <w:spacing w:line="500" w:lineRule="exact"/>
        <w:ind w:left="0" w:leftChars="0" w:firstLine="560" w:firstLineChars="200"/>
        <w:rPr>
          <w:rFonts w:hint="default" w:ascii="Times New Roman" w:hAnsi="Times New Roman" w:cs="Times New Roman" w:eastAsiaTheme="minorEastAsia"/>
          <w:sz w:val="28"/>
        </w:rPr>
      </w:pPr>
      <w:r>
        <w:rPr>
          <w:rFonts w:hint="default" w:ascii="Times New Roman" w:hAnsi="Times New Roman" w:cs="Times New Roman" w:eastAsiaTheme="minorEastAsia"/>
          <w:sz w:val="28"/>
          <w:szCs w:val="28"/>
        </w:rPr>
        <w:t>我</w:t>
      </w:r>
      <w:r>
        <w:rPr>
          <w:rFonts w:hint="default" w:ascii="Times New Roman" w:hAnsi="Times New Roman" w:cs="Times New Roman" w:eastAsiaTheme="minorEastAsia"/>
          <w:color w:val="auto"/>
          <w:sz w:val="28"/>
          <w:szCs w:val="28"/>
        </w:rPr>
        <w:t>们依照中华人民共和国国家标准《房地产估价规范》（GB/T50291—2015）和《房地产估价基本术语标准》（GB/T50899—2013）以及其它有关资料进行分析，形成意见和结论</w:t>
      </w:r>
      <w:r>
        <w:rPr>
          <w:rFonts w:hint="default" w:ascii="Times New Roman" w:hAnsi="Times New Roman" w:cs="Times New Roman" w:eastAsiaTheme="minorEastAsia"/>
          <w:sz w:val="28"/>
          <w:szCs w:val="28"/>
        </w:rPr>
        <w:t>，撰写本估价报告。</w:t>
      </w:r>
    </w:p>
    <w:p>
      <w:pPr>
        <w:adjustRightInd w:val="0"/>
        <w:spacing w:line="500" w:lineRule="exact"/>
        <w:ind w:left="560"/>
        <w:rPr>
          <w:rFonts w:hint="default" w:ascii="Times New Roman" w:hAnsi="Times New Roman" w:cs="Times New Roman" w:eastAsiaTheme="minorEastAsia"/>
          <w:sz w:val="28"/>
          <w:szCs w:val="28"/>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890"/>
        <w:gridCol w:w="2205"/>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741" w:type="dxa"/>
            <w:vAlign w:val="center"/>
          </w:tcPr>
          <w:p>
            <w:pPr>
              <w:autoSpaceDE w:val="0"/>
              <w:autoSpaceDN w:val="0"/>
              <w:adjustRightInd w:val="0"/>
              <w:spacing w:line="460" w:lineRule="exact"/>
              <w:jc w:val="center"/>
              <w:rPr>
                <w:rFonts w:hint="default" w:ascii="Times New Roman" w:hAnsi="Times New Roman" w:cs="Times New Roman" w:eastAsiaTheme="minorEastAsia"/>
                <w:b/>
                <w:kern w:val="0"/>
                <w:sz w:val="28"/>
                <w:szCs w:val="28"/>
              </w:rPr>
            </w:pPr>
            <w:r>
              <w:rPr>
                <w:rFonts w:hint="default" w:ascii="Times New Roman" w:hAnsi="Times New Roman" w:cs="Times New Roman" w:eastAsiaTheme="minorEastAsia"/>
                <w:b/>
                <w:kern w:val="0"/>
                <w:sz w:val="28"/>
                <w:szCs w:val="28"/>
              </w:rPr>
              <w:t>姓   名</w:t>
            </w:r>
          </w:p>
        </w:tc>
        <w:tc>
          <w:tcPr>
            <w:tcW w:w="1890" w:type="dxa"/>
            <w:vAlign w:val="center"/>
          </w:tcPr>
          <w:p>
            <w:pPr>
              <w:autoSpaceDE w:val="0"/>
              <w:autoSpaceDN w:val="0"/>
              <w:adjustRightInd w:val="0"/>
              <w:spacing w:line="460" w:lineRule="exact"/>
              <w:jc w:val="center"/>
              <w:rPr>
                <w:rFonts w:hint="default" w:ascii="Times New Roman" w:hAnsi="Times New Roman" w:cs="Times New Roman" w:eastAsiaTheme="minorEastAsia"/>
                <w:b/>
                <w:kern w:val="0"/>
                <w:sz w:val="28"/>
                <w:szCs w:val="28"/>
              </w:rPr>
            </w:pPr>
            <w:r>
              <w:rPr>
                <w:rFonts w:hint="default" w:ascii="Times New Roman" w:hAnsi="Times New Roman" w:cs="Times New Roman" w:eastAsiaTheme="minorEastAsia"/>
                <w:b/>
                <w:kern w:val="0"/>
                <w:sz w:val="28"/>
                <w:szCs w:val="28"/>
              </w:rPr>
              <w:t>注册号</w:t>
            </w:r>
          </w:p>
        </w:tc>
        <w:tc>
          <w:tcPr>
            <w:tcW w:w="2205" w:type="dxa"/>
            <w:vAlign w:val="center"/>
          </w:tcPr>
          <w:p>
            <w:pPr>
              <w:autoSpaceDE w:val="0"/>
              <w:autoSpaceDN w:val="0"/>
              <w:adjustRightInd w:val="0"/>
              <w:spacing w:line="460" w:lineRule="exact"/>
              <w:jc w:val="center"/>
              <w:rPr>
                <w:rFonts w:hint="default" w:ascii="Times New Roman" w:hAnsi="Times New Roman" w:cs="Times New Roman" w:eastAsiaTheme="minorEastAsia"/>
                <w:b/>
                <w:kern w:val="0"/>
                <w:sz w:val="28"/>
                <w:szCs w:val="28"/>
              </w:rPr>
            </w:pPr>
            <w:r>
              <w:rPr>
                <w:rFonts w:hint="default" w:ascii="Times New Roman" w:hAnsi="Times New Roman" w:cs="Times New Roman" w:eastAsiaTheme="minorEastAsia"/>
                <w:b/>
                <w:kern w:val="0"/>
                <w:sz w:val="28"/>
                <w:szCs w:val="28"/>
              </w:rPr>
              <w:t>签  名</w:t>
            </w:r>
          </w:p>
        </w:tc>
        <w:tc>
          <w:tcPr>
            <w:tcW w:w="2388" w:type="dxa"/>
            <w:vAlign w:val="center"/>
          </w:tcPr>
          <w:p>
            <w:pPr>
              <w:autoSpaceDE w:val="0"/>
              <w:autoSpaceDN w:val="0"/>
              <w:adjustRightInd w:val="0"/>
              <w:spacing w:line="460" w:lineRule="exact"/>
              <w:jc w:val="center"/>
              <w:rPr>
                <w:rFonts w:hint="default" w:ascii="Times New Roman" w:hAnsi="Times New Roman" w:cs="Times New Roman" w:eastAsiaTheme="minorEastAsia"/>
                <w:b/>
                <w:kern w:val="0"/>
                <w:sz w:val="28"/>
                <w:szCs w:val="28"/>
              </w:rPr>
            </w:pPr>
            <w:r>
              <w:rPr>
                <w:rFonts w:hint="default" w:ascii="Times New Roman" w:hAnsi="Times New Roman" w:cs="Times New Roman" w:eastAsiaTheme="minorEastAsia"/>
                <w:b/>
                <w:kern w:val="0"/>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1741" w:type="dxa"/>
            <w:vAlign w:val="center"/>
          </w:tcPr>
          <w:p>
            <w:pPr>
              <w:pStyle w:val="18"/>
              <w:spacing w:line="460" w:lineRule="exact"/>
              <w:jc w:val="center"/>
              <w:rPr>
                <w:rFonts w:hint="default" w:ascii="Times New Roman" w:hAnsi="Times New Roman" w:cs="Times New Roman" w:eastAsiaTheme="minorEastAsia"/>
                <w:color w:val="auto"/>
                <w:kern w:val="0"/>
                <w:sz w:val="28"/>
                <w:szCs w:val="28"/>
                <w:lang w:val="en-US" w:eastAsia="zh-CN" w:bidi="ar-SA"/>
              </w:rPr>
            </w:pPr>
            <w:r>
              <w:rPr>
                <w:rFonts w:hint="default" w:ascii="Times New Roman" w:hAnsi="Times New Roman" w:cs="Times New Roman" w:eastAsiaTheme="minorEastAsia"/>
                <w:color w:val="auto"/>
                <w:sz w:val="28"/>
                <w:szCs w:val="28"/>
                <w:lang w:val="en-US" w:eastAsia="zh-CN"/>
              </w:rPr>
              <w:t>汪胡涛</w:t>
            </w:r>
          </w:p>
        </w:tc>
        <w:tc>
          <w:tcPr>
            <w:tcW w:w="1890" w:type="dxa"/>
            <w:vAlign w:val="center"/>
          </w:tcPr>
          <w:p>
            <w:pPr>
              <w:pStyle w:val="18"/>
              <w:spacing w:line="460" w:lineRule="exact"/>
              <w:jc w:val="center"/>
              <w:rPr>
                <w:rFonts w:hint="default" w:ascii="Times New Roman" w:hAnsi="Times New Roman" w:cs="Times New Roman" w:eastAsiaTheme="minorEastAsia"/>
                <w:color w:val="auto"/>
                <w:kern w:val="0"/>
                <w:sz w:val="28"/>
                <w:szCs w:val="28"/>
                <w:lang w:val="en-US" w:eastAsia="zh-CN" w:bidi="ar-SA"/>
              </w:rPr>
            </w:pPr>
            <w:r>
              <w:rPr>
                <w:rFonts w:hint="default" w:ascii="Times New Roman" w:hAnsi="Times New Roman" w:cs="Times New Roman" w:eastAsiaTheme="minorEastAsia"/>
                <w:sz w:val="28"/>
                <w:szCs w:val="28"/>
                <w:lang w:eastAsia="zh-CN"/>
              </w:rPr>
              <w:t>3220</w:t>
            </w:r>
            <w:r>
              <w:rPr>
                <w:rFonts w:hint="default" w:ascii="Times New Roman" w:hAnsi="Times New Roman" w:cs="Times New Roman" w:eastAsiaTheme="minorEastAsia"/>
                <w:sz w:val="28"/>
                <w:szCs w:val="28"/>
                <w:lang w:val="en-US" w:eastAsia="zh-CN"/>
              </w:rPr>
              <w:t>190398</w:t>
            </w:r>
          </w:p>
        </w:tc>
        <w:tc>
          <w:tcPr>
            <w:tcW w:w="2205" w:type="dxa"/>
            <w:vAlign w:val="center"/>
          </w:tcPr>
          <w:p>
            <w:pPr>
              <w:adjustRightInd w:val="0"/>
              <w:spacing w:line="460" w:lineRule="exact"/>
              <w:jc w:val="center"/>
              <w:rPr>
                <w:rFonts w:hint="default" w:ascii="Times New Roman" w:hAnsi="Times New Roman" w:cs="Times New Roman" w:eastAsiaTheme="minorEastAsia"/>
                <w:sz w:val="28"/>
                <w:szCs w:val="28"/>
                <w:highlight w:val="none"/>
              </w:rPr>
            </w:pPr>
          </w:p>
        </w:tc>
        <w:tc>
          <w:tcPr>
            <w:tcW w:w="2388" w:type="dxa"/>
            <w:vAlign w:val="center"/>
          </w:tcPr>
          <w:p>
            <w:pPr>
              <w:autoSpaceDE w:val="0"/>
              <w:autoSpaceDN w:val="0"/>
              <w:adjustRightInd w:val="0"/>
              <w:spacing w:line="460" w:lineRule="exact"/>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202</w:t>
            </w:r>
            <w:r>
              <w:rPr>
                <w:rFonts w:hint="eastAsia" w:cs="Times New Roman" w:eastAsiaTheme="minorEastAsia"/>
                <w:sz w:val="28"/>
                <w:szCs w:val="28"/>
                <w:highlight w:val="none"/>
                <w:lang w:val="en-US" w:eastAsia="zh-CN"/>
              </w:rPr>
              <w:t>2</w:t>
            </w:r>
            <w:r>
              <w:rPr>
                <w:rFonts w:hint="default" w:ascii="Times New Roman" w:hAnsi="Times New Roman" w:cs="Times New Roman" w:eastAsiaTheme="minorEastAsia"/>
                <w:sz w:val="28"/>
                <w:szCs w:val="28"/>
                <w:highlight w:val="none"/>
              </w:rPr>
              <w:t>年</w:t>
            </w:r>
            <w:r>
              <w:rPr>
                <w:rFonts w:hint="eastAsia" w:cs="Times New Roman" w:eastAsiaTheme="minorEastAsia"/>
                <w:sz w:val="28"/>
                <w:szCs w:val="28"/>
                <w:highlight w:val="none"/>
                <w:lang w:val="en-US" w:eastAsia="zh-CN"/>
              </w:rPr>
              <w:t>9月13日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1741" w:type="dxa"/>
            <w:vAlign w:val="center"/>
          </w:tcPr>
          <w:p>
            <w:pPr>
              <w:pStyle w:val="18"/>
              <w:spacing w:line="460" w:lineRule="exact"/>
              <w:ind w:firstLine="280" w:firstLineChars="100"/>
              <w:rPr>
                <w:rFonts w:hint="default" w:ascii="Times New Roman" w:hAnsi="Times New Roman" w:cs="Times New Roman" w:eastAsiaTheme="minorEastAsia"/>
                <w:color w:val="auto"/>
                <w:sz w:val="28"/>
                <w:szCs w:val="28"/>
                <w:lang w:val="en-US" w:eastAsia="zh-CN"/>
              </w:rPr>
            </w:pPr>
            <w:r>
              <w:rPr>
                <w:rFonts w:hint="eastAsia" w:cs="Times New Roman" w:eastAsiaTheme="minorEastAsia"/>
                <w:kern w:val="2"/>
                <w:sz w:val="28"/>
                <w:szCs w:val="28"/>
                <w:lang w:val="en-US" w:eastAsia="zh-CN"/>
              </w:rPr>
              <w:t>王志鹏</w:t>
            </w:r>
          </w:p>
        </w:tc>
        <w:tc>
          <w:tcPr>
            <w:tcW w:w="1890" w:type="dxa"/>
            <w:vAlign w:val="center"/>
          </w:tcPr>
          <w:p>
            <w:pPr>
              <w:pStyle w:val="18"/>
              <w:spacing w:line="460" w:lineRule="exact"/>
              <w:jc w:val="center"/>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sz w:val="28"/>
                <w:szCs w:val="28"/>
              </w:rPr>
              <w:t>32201</w:t>
            </w:r>
            <w:r>
              <w:rPr>
                <w:rFonts w:hint="eastAsia" w:cs="Times New Roman" w:eastAsiaTheme="minorEastAsia"/>
                <w:sz w:val="28"/>
                <w:szCs w:val="28"/>
                <w:lang w:val="en-US" w:eastAsia="zh-CN"/>
              </w:rPr>
              <w:t>10065</w:t>
            </w:r>
          </w:p>
        </w:tc>
        <w:tc>
          <w:tcPr>
            <w:tcW w:w="2205" w:type="dxa"/>
            <w:vAlign w:val="center"/>
          </w:tcPr>
          <w:p>
            <w:pPr>
              <w:pStyle w:val="18"/>
              <w:spacing w:line="460" w:lineRule="exact"/>
              <w:jc w:val="center"/>
              <w:rPr>
                <w:rFonts w:hint="default" w:ascii="Times New Roman" w:hAnsi="Times New Roman" w:cs="Times New Roman" w:eastAsiaTheme="minorEastAsia"/>
                <w:color w:val="auto"/>
                <w:sz w:val="28"/>
                <w:szCs w:val="28"/>
                <w:lang w:val="en-US" w:eastAsia="zh-CN"/>
              </w:rPr>
            </w:pPr>
          </w:p>
        </w:tc>
        <w:tc>
          <w:tcPr>
            <w:tcW w:w="2388" w:type="dxa"/>
            <w:vAlign w:val="center"/>
          </w:tcPr>
          <w:p>
            <w:pPr>
              <w:autoSpaceDE w:val="0"/>
              <w:autoSpaceDN w:val="0"/>
              <w:adjustRightInd w:val="0"/>
              <w:spacing w:line="460" w:lineRule="exact"/>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202</w:t>
            </w:r>
            <w:r>
              <w:rPr>
                <w:rFonts w:hint="eastAsia" w:cs="Times New Roman" w:eastAsiaTheme="minorEastAsia"/>
                <w:sz w:val="28"/>
                <w:szCs w:val="28"/>
                <w:highlight w:val="none"/>
                <w:lang w:val="en-US" w:eastAsia="zh-CN"/>
              </w:rPr>
              <w:t>2</w:t>
            </w:r>
            <w:r>
              <w:rPr>
                <w:rFonts w:hint="default" w:ascii="Times New Roman" w:hAnsi="Times New Roman" w:cs="Times New Roman" w:eastAsiaTheme="minorEastAsia"/>
                <w:sz w:val="28"/>
                <w:szCs w:val="28"/>
                <w:highlight w:val="none"/>
              </w:rPr>
              <w:t>年</w:t>
            </w:r>
            <w:r>
              <w:rPr>
                <w:rFonts w:hint="eastAsia" w:cs="Times New Roman" w:eastAsiaTheme="minorEastAsia"/>
                <w:sz w:val="28"/>
                <w:szCs w:val="28"/>
                <w:highlight w:val="none"/>
                <w:lang w:val="en-US" w:eastAsia="zh-CN"/>
              </w:rPr>
              <w:t>9月13日</w:t>
            </w:r>
          </w:p>
        </w:tc>
      </w:tr>
      <w:bookmarkEnd w:id="10"/>
      <w:bookmarkEnd w:id="11"/>
      <w:bookmarkEnd w:id="12"/>
      <w:bookmarkEnd w:id="13"/>
      <w:bookmarkEnd w:id="14"/>
      <w:bookmarkEnd w:id="15"/>
      <w:bookmarkEnd w:id="16"/>
      <w:bookmarkEnd w:id="17"/>
      <w:bookmarkEnd w:id="18"/>
      <w:bookmarkEnd w:id="19"/>
      <w:bookmarkEnd w:id="20"/>
      <w:bookmarkEnd w:id="21"/>
      <w:bookmarkEnd w:id="22"/>
    </w:tbl>
    <w:p>
      <w:pPr>
        <w:tabs>
          <w:tab w:val="left" w:pos="4508"/>
        </w:tabs>
        <w:spacing w:beforeLines="50" w:afterLines="50" w:line="500" w:lineRule="exact"/>
        <w:jc w:val="center"/>
        <w:outlineLvl w:val="0"/>
        <w:rPr>
          <w:rFonts w:hint="default" w:ascii="Times New Roman" w:hAnsi="Times New Roman" w:cs="Times New Roman" w:eastAsiaTheme="minorEastAsia"/>
          <w:b/>
          <w:sz w:val="44"/>
          <w:szCs w:val="44"/>
        </w:rPr>
      </w:pPr>
      <w:bookmarkStart w:id="27" w:name="_Toc519862746"/>
      <w:bookmarkStart w:id="28" w:name="_Toc444868328"/>
      <w:bookmarkStart w:id="29" w:name="_Toc534792188"/>
    </w:p>
    <w:p>
      <w:pPr>
        <w:tabs>
          <w:tab w:val="left" w:pos="4508"/>
        </w:tabs>
        <w:spacing w:beforeLines="50" w:afterLines="50" w:line="500" w:lineRule="exact"/>
        <w:jc w:val="center"/>
        <w:outlineLvl w:val="0"/>
        <w:rPr>
          <w:rFonts w:hint="default" w:ascii="Times New Roman" w:hAnsi="Times New Roman" w:cs="Times New Roman" w:eastAsiaTheme="minorEastAsia"/>
          <w:b/>
          <w:sz w:val="44"/>
          <w:szCs w:val="44"/>
        </w:rPr>
      </w:pPr>
    </w:p>
    <w:p>
      <w:pPr>
        <w:tabs>
          <w:tab w:val="left" w:pos="4508"/>
        </w:tabs>
        <w:spacing w:beforeLines="50" w:afterLines="50" w:line="500" w:lineRule="exact"/>
        <w:jc w:val="center"/>
        <w:outlineLvl w:val="0"/>
        <w:rPr>
          <w:rFonts w:hint="default" w:ascii="Times New Roman" w:hAnsi="Times New Roman" w:cs="Times New Roman" w:eastAsiaTheme="minorEastAsia"/>
          <w:b/>
          <w:sz w:val="44"/>
          <w:szCs w:val="44"/>
        </w:rPr>
      </w:pPr>
    </w:p>
    <w:p>
      <w:pPr>
        <w:tabs>
          <w:tab w:val="left" w:pos="4508"/>
        </w:tabs>
        <w:spacing w:beforeLines="50" w:afterLines="50" w:line="500" w:lineRule="exact"/>
        <w:jc w:val="center"/>
        <w:outlineLvl w:val="0"/>
        <w:rPr>
          <w:rFonts w:hint="default" w:ascii="Times New Roman" w:hAnsi="Times New Roman" w:cs="Times New Roman" w:eastAsiaTheme="minorEastAsia"/>
          <w:b/>
          <w:sz w:val="44"/>
          <w:szCs w:val="44"/>
        </w:rPr>
      </w:pPr>
    </w:p>
    <w:p>
      <w:pPr>
        <w:rPr>
          <w:rFonts w:hint="default" w:ascii="Times New Roman" w:hAnsi="Times New Roman" w:cs="Times New Roman" w:eastAsiaTheme="minorEastAsia"/>
          <w:b/>
          <w:sz w:val="44"/>
          <w:szCs w:val="44"/>
        </w:rPr>
      </w:pPr>
      <w:r>
        <w:rPr>
          <w:rFonts w:hint="default" w:ascii="Times New Roman" w:hAnsi="Times New Roman" w:cs="Times New Roman" w:eastAsiaTheme="minorEastAsia"/>
          <w:b/>
          <w:sz w:val="44"/>
          <w:szCs w:val="44"/>
        </w:rPr>
        <w:br w:type="page"/>
      </w:r>
    </w:p>
    <w:p>
      <w:pPr>
        <w:tabs>
          <w:tab w:val="left" w:pos="4508"/>
        </w:tabs>
        <w:spacing w:beforeLines="50" w:afterLines="50" w:line="500" w:lineRule="exact"/>
        <w:jc w:val="center"/>
        <w:outlineLvl w:val="0"/>
        <w:rPr>
          <w:rFonts w:hint="default" w:ascii="Times New Roman" w:hAnsi="Times New Roman" w:cs="Times New Roman" w:eastAsiaTheme="minorEastAsia"/>
          <w:b/>
          <w:sz w:val="44"/>
          <w:szCs w:val="44"/>
        </w:rPr>
      </w:pPr>
      <w:bookmarkStart w:id="30" w:name="_Toc13045"/>
      <w:bookmarkStart w:id="31" w:name="_Toc27666"/>
      <w:r>
        <w:rPr>
          <w:rFonts w:hint="default" w:ascii="Times New Roman" w:hAnsi="Times New Roman" w:cs="Times New Roman" w:eastAsiaTheme="minorEastAsia"/>
          <w:b/>
          <w:sz w:val="44"/>
          <w:szCs w:val="44"/>
        </w:rPr>
        <w:t>估价假设和限制条件</w:t>
      </w:r>
      <w:bookmarkEnd w:id="27"/>
      <w:bookmarkEnd w:id="28"/>
      <w:bookmarkEnd w:id="30"/>
      <w:bookmarkEnd w:id="31"/>
    </w:p>
    <w:p>
      <w:pPr>
        <w:keepNext w:val="0"/>
        <w:keepLines w:val="0"/>
        <w:pageBreakBefore w:val="0"/>
        <w:widowControl w:val="0"/>
        <w:numPr>
          <w:ilvl w:val="0"/>
          <w:numId w:val="2"/>
        </w:numPr>
        <w:tabs>
          <w:tab w:val="left" w:pos="630"/>
          <w:tab w:val="left" w:pos="840"/>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一般假设</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560" w:firstLineChars="200"/>
        <w:textAlignment w:val="auto"/>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本报告估价结果为估价对象在价值时点的市场价值。所谓的市场价值是指在价值时点对估价对象进行销售的正常合理价格，它依据如下假设：</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sz w:val="28"/>
        </w:rPr>
      </w:pPr>
      <w:r>
        <w:rPr>
          <w:rFonts w:hint="default" w:ascii="Times New Roman" w:hAnsi="Times New Roman" w:cs="Times New Roman" w:eastAsiaTheme="minorEastAsia"/>
          <w:sz w:val="28"/>
          <w:lang w:val="en-US" w:eastAsia="zh-CN"/>
        </w:rPr>
        <w:t>1）</w:t>
      </w:r>
      <w:r>
        <w:rPr>
          <w:rFonts w:hint="default" w:ascii="Times New Roman" w:hAnsi="Times New Roman" w:cs="Times New Roman" w:eastAsiaTheme="minorEastAsia"/>
          <w:sz w:val="28"/>
        </w:rPr>
        <w:t>任何有关估价对象运作方式、程序均符合国家和地方有关法律、法规，并支付了应缴税费；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sz w:val="28"/>
        </w:rPr>
      </w:pPr>
      <w:r>
        <w:rPr>
          <w:rFonts w:hint="default" w:ascii="Times New Roman" w:hAnsi="Times New Roman" w:cs="Times New Roman" w:eastAsiaTheme="minorEastAsia"/>
          <w:sz w:val="28"/>
          <w:lang w:val="en-US" w:eastAsia="zh-CN"/>
        </w:rPr>
        <w:t>2）</w:t>
      </w:r>
      <w:r>
        <w:rPr>
          <w:rFonts w:hint="default" w:ascii="Times New Roman" w:hAnsi="Times New Roman" w:cs="Times New Roman" w:eastAsiaTheme="minorEastAsia"/>
          <w:sz w:val="28"/>
        </w:rPr>
        <w:t>在价值时点估价对象不存在任何产权纠纷</w:t>
      </w:r>
      <w:r>
        <w:rPr>
          <w:rFonts w:hint="eastAsia" w:cs="Times New Roman" w:eastAsiaTheme="minorEastAsia"/>
          <w:sz w:val="28"/>
          <w:lang w:val="en-US" w:eastAsia="zh-CN"/>
        </w:rPr>
        <w:t>和债务纠纷</w:t>
      </w:r>
      <w:r>
        <w:rPr>
          <w:rFonts w:hint="default" w:ascii="Times New Roman" w:hAnsi="Times New Roman" w:cs="Times New Roman" w:eastAsiaTheme="minorEastAsia"/>
          <w:sz w:val="28"/>
        </w:rPr>
        <w:t>，不受任何权利限制，可以在公开市场上合法地进行转让；</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sz w:val="28"/>
        </w:rPr>
      </w:pPr>
      <w:r>
        <w:rPr>
          <w:rFonts w:hint="default" w:ascii="Times New Roman" w:hAnsi="Times New Roman" w:cs="Times New Roman" w:eastAsiaTheme="minorEastAsia"/>
          <w:sz w:val="28"/>
          <w:lang w:val="en-US" w:eastAsia="zh-CN"/>
        </w:rPr>
        <w:t>3）</w:t>
      </w:r>
      <w:r>
        <w:rPr>
          <w:rFonts w:hint="default" w:ascii="Times New Roman" w:hAnsi="Times New Roman" w:cs="Times New Roman" w:eastAsiaTheme="minorEastAsia"/>
          <w:sz w:val="28"/>
        </w:rPr>
        <w:t>在价值时点的房地产市场为公开、平等、自愿的交易市场；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sz w:val="28"/>
        </w:rPr>
      </w:pPr>
      <w:r>
        <w:rPr>
          <w:rFonts w:hint="default" w:ascii="Times New Roman" w:hAnsi="Times New Roman" w:cs="Times New Roman" w:eastAsiaTheme="minorEastAsia"/>
          <w:sz w:val="28"/>
          <w:lang w:val="en-US" w:eastAsia="zh-CN"/>
        </w:rPr>
        <w:t>4）</w:t>
      </w:r>
      <w:r>
        <w:rPr>
          <w:rFonts w:hint="default" w:ascii="Times New Roman" w:hAnsi="Times New Roman" w:cs="Times New Roman" w:eastAsiaTheme="minorEastAsia"/>
          <w:sz w:val="28"/>
        </w:rPr>
        <w:t>有一段合理的洽谈时间，可以通盘考虑房地产性质和市场情形进行议价；</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sz w:val="28"/>
        </w:rPr>
      </w:pPr>
      <w:r>
        <w:rPr>
          <w:rFonts w:hint="default" w:ascii="Times New Roman" w:hAnsi="Times New Roman" w:cs="Times New Roman" w:eastAsiaTheme="minorEastAsia"/>
          <w:sz w:val="28"/>
          <w:lang w:val="en-US" w:eastAsia="zh-CN"/>
        </w:rPr>
        <w:t>5）</w:t>
      </w:r>
      <w:r>
        <w:rPr>
          <w:rFonts w:hint="default" w:ascii="Times New Roman" w:hAnsi="Times New Roman" w:cs="Times New Roman" w:eastAsiaTheme="minorEastAsia"/>
          <w:sz w:val="28"/>
        </w:rPr>
        <w:t>在交易期间房地产市场状况和估价对象物理状态保持相对稳定。</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560" w:firstLineChars="200"/>
        <w:textAlignment w:val="auto"/>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估价对象的</w:t>
      </w:r>
      <w:r>
        <w:rPr>
          <w:rStyle w:val="17"/>
          <w:rFonts w:hint="eastAsia" w:cs="Times New Roman" w:eastAsiaTheme="minorEastAsia"/>
          <w:lang w:eastAsia="zh-CN"/>
        </w:rPr>
        <w:t>权益</w:t>
      </w:r>
      <w:r>
        <w:rPr>
          <w:rStyle w:val="17"/>
          <w:rFonts w:hint="default" w:ascii="Times New Roman" w:hAnsi="Times New Roman" w:cs="Times New Roman" w:eastAsiaTheme="minorEastAsia"/>
        </w:rPr>
        <w:t>状况、建筑面积、结构等信息均来源于估价委托人提供</w:t>
      </w:r>
      <w:r>
        <w:rPr>
          <w:rStyle w:val="17"/>
          <w:rFonts w:hint="default" w:ascii="Times New Roman" w:hAnsi="Times New Roman" w:cs="Times New Roman" w:eastAsiaTheme="minorEastAsia"/>
          <w:highlight w:val="none"/>
        </w:rPr>
        <w:t>的</w:t>
      </w:r>
      <w:r>
        <w:rPr>
          <w:rStyle w:val="17"/>
          <w:rFonts w:hint="eastAsia" w:cs="Times New Roman" w:eastAsiaTheme="minorEastAsia"/>
          <w:highlight w:val="none"/>
          <w:lang w:val="en-US" w:eastAsia="zh-CN"/>
        </w:rPr>
        <w:t>《不动产登记簿查询结果》</w:t>
      </w:r>
      <w:r>
        <w:rPr>
          <w:rStyle w:val="17"/>
          <w:rFonts w:hint="default" w:ascii="Times New Roman" w:hAnsi="Times New Roman" w:cs="Times New Roman" w:eastAsiaTheme="minorEastAsia"/>
          <w:highlight w:val="none"/>
        </w:rPr>
        <w:t>复印件，本次</w:t>
      </w:r>
      <w:r>
        <w:rPr>
          <w:rStyle w:val="17"/>
          <w:rFonts w:hint="default" w:ascii="Times New Roman" w:hAnsi="Times New Roman" w:cs="Times New Roman" w:eastAsiaTheme="minorEastAsia"/>
        </w:rPr>
        <w:t>评估以估价委托人所提供的资料真实、完整、准确、合法为前提。</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560" w:firstLineChars="200"/>
        <w:textAlignment w:val="auto"/>
        <w:rPr>
          <w:rFonts w:hint="default" w:ascii="Times New Roman" w:hAnsi="Times New Roman" w:cs="Times New Roman" w:eastAsiaTheme="minorEastAsia"/>
          <w:sz w:val="28"/>
        </w:rPr>
      </w:pPr>
      <w:r>
        <w:rPr>
          <w:rFonts w:hint="default" w:ascii="Times New Roman" w:hAnsi="Times New Roman" w:cs="Times New Roman" w:eastAsiaTheme="minorEastAsia"/>
          <w:sz w:val="28"/>
          <w:szCs w:val="28"/>
        </w:rPr>
        <w:t>注册房地产估价师实地查勘仅限于对估价对象外观、使用状况及其区域状况等作一般性查勘，未对房屋主体结构、隐蔽工程、环境污染等内在质量进行专业测试，在无理由怀疑估价对象存在安全隐患且无相应的专业机构进行鉴定、检测的情况下，本次估价以</w:t>
      </w:r>
      <w:r>
        <w:rPr>
          <w:rFonts w:hint="eastAsia" w:cs="Times New Roman" w:eastAsiaTheme="minorEastAsia"/>
          <w:sz w:val="28"/>
          <w:szCs w:val="28"/>
          <w:lang w:val="en-US" w:eastAsia="zh-CN"/>
        </w:rPr>
        <w:t>商业使用功能及</w:t>
      </w:r>
      <w:r>
        <w:rPr>
          <w:rFonts w:hint="default" w:ascii="Times New Roman" w:hAnsi="Times New Roman" w:cs="Times New Roman" w:eastAsiaTheme="minorEastAsia"/>
          <w:sz w:val="28"/>
          <w:szCs w:val="28"/>
        </w:rPr>
        <w:t>质量符合国家有关标准并足以维持安全的正常使用为前提。</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560" w:firstLineChars="200"/>
        <w:textAlignment w:val="auto"/>
        <w:rPr>
          <w:rFonts w:hint="default" w:ascii="Times New Roman" w:hAnsi="Times New Roman" w:cs="Times New Roman" w:eastAsiaTheme="minorEastAsia"/>
          <w:sz w:val="28"/>
        </w:rPr>
      </w:pPr>
      <w:r>
        <w:rPr>
          <w:rFonts w:hint="default" w:ascii="Times New Roman" w:hAnsi="Times New Roman" w:cs="Times New Roman" w:eastAsiaTheme="minorEastAsia"/>
          <w:sz w:val="28"/>
          <w:szCs w:val="28"/>
        </w:rPr>
        <w:t>本次估价未考虑国家宏观经济政策发生变化、市场供应关系变化、市场结构转变、遇有自然力和其他不可抗力等因素对房地产价值的影响，也没有考虑特殊的交易情况，使交易方追加或减少付出而对房地产价格所产生的影响。当上述条件发生变化时，评估结果一般亦会发生变化。</w:t>
      </w:r>
    </w:p>
    <w:p>
      <w:pPr>
        <w:numPr>
          <w:ilvl w:val="0"/>
          <w:numId w:val="3"/>
        </w:numPr>
        <w:spacing w:line="500" w:lineRule="exact"/>
        <w:ind w:left="0" w:leftChars="0" w:firstLine="560" w:firstLineChars="200"/>
        <w:rPr>
          <w:rFonts w:hint="default" w:ascii="Times New Roman" w:hAnsi="Times New Roman" w:cs="Times New Roman" w:eastAsiaTheme="minorEastAsia"/>
          <w:sz w:val="28"/>
        </w:rPr>
      </w:pPr>
      <w:r>
        <w:rPr>
          <w:rFonts w:hint="default" w:ascii="Times New Roman" w:hAnsi="Times New Roman" w:cs="Times New Roman" w:eastAsiaTheme="minorEastAsia"/>
          <w:color w:val="auto"/>
          <w:sz w:val="28"/>
          <w:szCs w:val="28"/>
        </w:rPr>
        <w:t>本次估价的价值时点为现场查勘之日</w:t>
      </w:r>
      <w:r>
        <w:rPr>
          <w:rFonts w:hint="eastAsia"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eastAsia="zh-CN"/>
        </w:rPr>
        <w:t>二〇二</w:t>
      </w:r>
      <w:r>
        <w:rPr>
          <w:rFonts w:hint="eastAsia" w:cs="Times New Roman" w:eastAsiaTheme="minorEastAsia"/>
          <w:color w:val="auto"/>
          <w:sz w:val="28"/>
          <w:szCs w:val="28"/>
          <w:lang w:val="en-US" w:eastAsia="zh-CN"/>
        </w:rPr>
        <w:t>二</w:t>
      </w:r>
      <w:r>
        <w:rPr>
          <w:rFonts w:hint="default" w:ascii="Times New Roman" w:hAnsi="Times New Roman" w:cs="Times New Roman" w:eastAsiaTheme="minorEastAsia"/>
          <w:color w:val="auto"/>
          <w:sz w:val="28"/>
          <w:szCs w:val="28"/>
          <w:lang w:eastAsia="zh-CN"/>
        </w:rPr>
        <w:t>年</w:t>
      </w:r>
      <w:r>
        <w:rPr>
          <w:rFonts w:hint="eastAsia" w:cs="Times New Roman" w:eastAsiaTheme="minorEastAsia"/>
          <w:color w:val="auto"/>
          <w:sz w:val="28"/>
          <w:szCs w:val="28"/>
          <w:lang w:val="en-US" w:eastAsia="zh-CN"/>
        </w:rPr>
        <w:t>九月二日</w:t>
      </w:r>
      <w:r>
        <w:rPr>
          <w:rFonts w:hint="eastAsia" w:cs="Times New Roman" w:eastAsiaTheme="minorEastAsia"/>
          <w:color w:val="auto"/>
          <w:sz w:val="28"/>
          <w:szCs w:val="28"/>
          <w:lang w:eastAsia="zh-CN"/>
        </w:rPr>
        <w:t>）</w:t>
      </w:r>
      <w:r>
        <w:rPr>
          <w:rFonts w:hint="default" w:ascii="Times New Roman" w:hAnsi="Times New Roman" w:cs="Times New Roman" w:eastAsiaTheme="minorEastAsia"/>
          <w:sz w:val="28"/>
          <w:szCs w:val="28"/>
        </w:rPr>
        <w:t>。</w:t>
      </w:r>
    </w:p>
    <w:p>
      <w:pPr>
        <w:numPr>
          <w:ilvl w:val="0"/>
          <w:numId w:val="2"/>
        </w:numPr>
        <w:tabs>
          <w:tab w:val="left" w:pos="630"/>
          <w:tab w:val="left" w:pos="840"/>
        </w:tabs>
        <w:spacing w:line="500" w:lineRule="exact"/>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未定事项假设</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cs="Times New Roman" w:eastAsiaTheme="minorEastAsia"/>
          <w:sz w:val="28"/>
          <w:szCs w:val="28"/>
          <w:lang w:eastAsia="zh-CN"/>
        </w:rPr>
      </w:pPr>
      <w:r>
        <w:rPr>
          <w:rFonts w:hint="default" w:ascii="Times New Roman" w:hAnsi="Times New Roman" w:cs="Times New Roman" w:eastAsiaTheme="minorEastAsia"/>
          <w:sz w:val="28"/>
          <w:szCs w:val="28"/>
        </w:rPr>
        <w:t>未定事项假设是指估价所必需的尚未明确或不够明确的土地用途、容积率等事项所做的合理的、最可能的假设</w:t>
      </w:r>
      <w:r>
        <w:rPr>
          <w:rFonts w:hint="eastAsia" w:cs="Times New Roman" w:eastAsia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估价对象无未定事项情况，故本报告无未定事项假设</w:t>
      </w:r>
      <w:r>
        <w:rPr>
          <w:rFonts w:hint="eastAsia" w:ascii="Times New Roman" w:hAnsi="Times New Roman" w:cs="Times New Roman" w:eastAsiaTheme="minorEastAsia"/>
          <w:sz w:val="28"/>
          <w:szCs w:val="28"/>
          <w:lang w:eastAsia="zh-CN"/>
        </w:rPr>
        <w:t>。</w:t>
      </w:r>
    </w:p>
    <w:p>
      <w:pPr>
        <w:numPr>
          <w:ilvl w:val="0"/>
          <w:numId w:val="2"/>
        </w:numPr>
        <w:tabs>
          <w:tab w:val="left" w:pos="630"/>
          <w:tab w:val="left" w:pos="840"/>
        </w:tabs>
        <w:spacing w:line="500" w:lineRule="exact"/>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背离事实假设</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cs="Times New Roman" w:eastAsiaTheme="minorEastAsia"/>
          <w:sz w:val="28"/>
          <w:szCs w:val="28"/>
          <w:lang w:eastAsia="zh-CN"/>
        </w:rPr>
      </w:pPr>
      <w:r>
        <w:rPr>
          <w:rFonts w:hint="default" w:ascii="Times New Roman" w:hAnsi="Times New Roman" w:cs="Times New Roman" w:eastAsiaTheme="minorEastAsia"/>
          <w:sz w:val="28"/>
          <w:szCs w:val="28"/>
        </w:rPr>
        <w:t>背离事实假设是指因估价目的的特殊需要、交易条件设定或约定，对估价对象状况所做的与估价对象的实际状况不一致的合理假设</w:t>
      </w:r>
      <w:r>
        <w:rPr>
          <w:rFonts w:hint="eastAsia" w:cs="Times New Roman" w:eastAsiaTheme="minorEastAsia"/>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sz w:val="28"/>
          <w:szCs w:val="28"/>
        </w:rPr>
      </w:pPr>
      <w:r>
        <w:rPr>
          <w:rFonts w:asciiTheme="minorEastAsia" w:hAnsiTheme="minorEastAsia" w:eastAsiaTheme="minorEastAsia"/>
          <w:sz w:val="28"/>
          <w:szCs w:val="28"/>
        </w:rPr>
        <w:t>根据估价委托人提供的</w:t>
      </w:r>
      <w:r>
        <w:rPr>
          <w:rFonts w:hint="eastAsia" w:asciiTheme="minorEastAsia" w:hAnsiTheme="minorEastAsia" w:eastAsiaTheme="minorEastAsia"/>
          <w:sz w:val="28"/>
          <w:szCs w:val="28"/>
          <w:lang w:val="en-US" w:eastAsia="zh-CN"/>
        </w:rPr>
        <w:t>资料显示</w:t>
      </w:r>
      <w:r>
        <w:rPr>
          <w:rFonts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估价对象存在查封等权利限制情况</w:t>
      </w:r>
      <w:r>
        <w:rPr>
          <w:rFonts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鉴于</w:t>
      </w:r>
      <w:r>
        <w:rPr>
          <w:rFonts w:asciiTheme="minorEastAsia" w:hAnsiTheme="minorEastAsia" w:eastAsiaTheme="minorEastAsia"/>
          <w:sz w:val="28"/>
          <w:szCs w:val="28"/>
        </w:rPr>
        <w:t>本次估价</w:t>
      </w:r>
      <w:r>
        <w:rPr>
          <w:rFonts w:hint="eastAsia" w:asciiTheme="minorEastAsia" w:hAnsiTheme="minorEastAsia" w:eastAsiaTheme="minorEastAsia"/>
          <w:sz w:val="28"/>
          <w:szCs w:val="28"/>
          <w:lang w:val="en-US" w:eastAsia="zh-CN"/>
        </w:rPr>
        <w:t>目的，</w:t>
      </w:r>
      <w:r>
        <w:rPr>
          <w:rFonts w:asciiTheme="minorEastAsia" w:hAnsiTheme="minorEastAsia" w:eastAsiaTheme="minorEastAsia"/>
          <w:sz w:val="28"/>
          <w:szCs w:val="28"/>
        </w:rPr>
        <w:t>未考虑</w:t>
      </w:r>
      <w:r>
        <w:rPr>
          <w:rFonts w:hint="eastAsia" w:asciiTheme="minorEastAsia" w:hAnsiTheme="minorEastAsia" w:eastAsiaTheme="minorEastAsia"/>
          <w:sz w:val="28"/>
          <w:szCs w:val="28"/>
          <w:lang w:val="en-US" w:eastAsia="zh-CN"/>
        </w:rPr>
        <w:t>抵押权、租赁权、其他限制权以及</w:t>
      </w:r>
      <w:r>
        <w:rPr>
          <w:rFonts w:asciiTheme="minorEastAsia" w:hAnsiTheme="minorEastAsia" w:eastAsiaTheme="minorEastAsia"/>
          <w:sz w:val="28"/>
          <w:szCs w:val="28"/>
        </w:rPr>
        <w:t>可能与估价对象</w:t>
      </w:r>
      <w:r>
        <w:rPr>
          <w:rFonts w:hint="eastAsia" w:asciiTheme="minorEastAsia" w:hAnsiTheme="minorEastAsia" w:eastAsiaTheme="minorEastAsia"/>
          <w:sz w:val="28"/>
          <w:szCs w:val="28"/>
          <w:lang w:val="en-US" w:eastAsia="zh-CN"/>
        </w:rPr>
        <w:t>权利</w:t>
      </w:r>
      <w:r>
        <w:rPr>
          <w:rFonts w:asciiTheme="minorEastAsia" w:hAnsiTheme="minorEastAsia" w:eastAsiaTheme="minorEastAsia"/>
          <w:sz w:val="28"/>
          <w:szCs w:val="28"/>
        </w:rPr>
        <w:t>人有关的债权债务情况对估价结果的影响</w:t>
      </w:r>
      <w:r>
        <w:rPr>
          <w:rFonts w:hint="eastAsia" w:asciiTheme="minorEastAsia" w:hAnsiTheme="minorEastAsia" w:eastAsiaTheme="minorEastAsia"/>
          <w:sz w:val="28"/>
          <w:szCs w:val="28"/>
          <w:lang w:eastAsia="zh-CN"/>
        </w:rPr>
        <w:t>。</w:t>
      </w:r>
    </w:p>
    <w:p>
      <w:pPr>
        <w:numPr>
          <w:ilvl w:val="0"/>
          <w:numId w:val="2"/>
        </w:numPr>
        <w:tabs>
          <w:tab w:val="left" w:pos="630"/>
          <w:tab w:val="left" w:pos="840"/>
        </w:tabs>
        <w:spacing w:line="500" w:lineRule="exact"/>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不相一致假设</w:t>
      </w:r>
    </w:p>
    <w:p>
      <w:pPr>
        <w:spacing w:line="500" w:lineRule="exact"/>
        <w:ind w:firstLine="560" w:firstLineChars="200"/>
        <w:rPr>
          <w:rFonts w:hint="eastAsia" w:asciiTheme="minorEastAsia" w:hAnsiTheme="minorEastAsia" w:eastAsiaTheme="minorEastAsia"/>
          <w:sz w:val="28"/>
          <w:szCs w:val="28"/>
          <w:lang w:val="en-US" w:eastAsia="zh-CN"/>
        </w:rPr>
      </w:pPr>
      <w:r>
        <w:rPr>
          <w:rFonts w:asciiTheme="minorEastAsia" w:hAnsiTheme="minorEastAsia" w:eastAsiaTheme="minorEastAsia"/>
          <w:sz w:val="28"/>
          <w:szCs w:val="28"/>
        </w:rPr>
        <w:t>估价对象无</w:t>
      </w:r>
      <w:r>
        <w:rPr>
          <w:rFonts w:hint="eastAsia" w:asciiTheme="minorEastAsia" w:hAnsiTheme="minorEastAsia" w:eastAsiaTheme="minorEastAsia"/>
          <w:sz w:val="28"/>
          <w:szCs w:val="28"/>
          <w:lang w:val="en-US" w:eastAsia="zh-CN"/>
        </w:rPr>
        <w:t>不相一致</w:t>
      </w:r>
      <w:r>
        <w:rPr>
          <w:rFonts w:asciiTheme="minorEastAsia" w:hAnsiTheme="minorEastAsia" w:eastAsiaTheme="minorEastAsia"/>
          <w:sz w:val="28"/>
          <w:szCs w:val="28"/>
        </w:rPr>
        <w:t>情况，故本报告无</w:t>
      </w:r>
      <w:r>
        <w:rPr>
          <w:rFonts w:hint="eastAsia" w:asciiTheme="minorEastAsia" w:hAnsiTheme="minorEastAsia" w:eastAsiaTheme="minorEastAsia"/>
          <w:sz w:val="28"/>
          <w:szCs w:val="28"/>
          <w:lang w:val="en-US" w:eastAsia="zh-CN"/>
        </w:rPr>
        <w:t>不相一致</w:t>
      </w:r>
      <w:r>
        <w:rPr>
          <w:rFonts w:asciiTheme="minorEastAsia" w:hAnsiTheme="minorEastAsia" w:eastAsiaTheme="minorEastAsia"/>
          <w:sz w:val="28"/>
          <w:szCs w:val="28"/>
        </w:rPr>
        <w:t>假设</w:t>
      </w:r>
      <w:r>
        <w:rPr>
          <w:rFonts w:hint="eastAsia" w:cs="Times New Roman" w:eastAsiaTheme="minorEastAsia"/>
          <w:sz w:val="28"/>
          <w:szCs w:val="28"/>
          <w:lang w:eastAsia="zh-CN"/>
        </w:rPr>
        <w:t>。</w:t>
      </w:r>
    </w:p>
    <w:p>
      <w:pPr>
        <w:numPr>
          <w:ilvl w:val="0"/>
          <w:numId w:val="2"/>
        </w:numPr>
        <w:tabs>
          <w:tab w:val="left" w:pos="630"/>
          <w:tab w:val="left" w:pos="840"/>
        </w:tabs>
        <w:spacing w:line="500" w:lineRule="exact"/>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依据不足假设</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估价对象无</w:t>
      </w:r>
      <w:r>
        <w:rPr>
          <w:rFonts w:hint="default" w:ascii="Times New Roman" w:hAnsi="Times New Roman" w:cs="Times New Roman" w:eastAsiaTheme="minorEastAsia"/>
          <w:sz w:val="28"/>
          <w:szCs w:val="28"/>
          <w:lang w:val="en-US" w:eastAsia="zh-CN"/>
        </w:rPr>
        <w:t>依据不足</w:t>
      </w:r>
      <w:r>
        <w:rPr>
          <w:rFonts w:hint="default" w:ascii="Times New Roman" w:hAnsi="Times New Roman" w:cs="Times New Roman" w:eastAsiaTheme="minorEastAsia"/>
          <w:sz w:val="28"/>
          <w:szCs w:val="28"/>
        </w:rPr>
        <w:t>情况，故本报告无</w:t>
      </w:r>
      <w:r>
        <w:rPr>
          <w:rFonts w:hint="default" w:ascii="Times New Roman" w:hAnsi="Times New Roman" w:cs="Times New Roman" w:eastAsiaTheme="minorEastAsia"/>
          <w:sz w:val="28"/>
          <w:szCs w:val="28"/>
          <w:lang w:val="en-US" w:eastAsia="zh-CN"/>
        </w:rPr>
        <w:t>依据不足</w:t>
      </w:r>
      <w:r>
        <w:rPr>
          <w:rFonts w:hint="default" w:ascii="Times New Roman" w:hAnsi="Times New Roman" w:cs="Times New Roman" w:eastAsiaTheme="minorEastAsia"/>
          <w:sz w:val="28"/>
          <w:szCs w:val="28"/>
        </w:rPr>
        <w:t>假设。</w:t>
      </w:r>
    </w:p>
    <w:p>
      <w:pPr>
        <w:numPr>
          <w:ilvl w:val="0"/>
          <w:numId w:val="2"/>
        </w:numPr>
        <w:tabs>
          <w:tab w:val="left" w:pos="630"/>
          <w:tab w:val="left" w:pos="840"/>
        </w:tabs>
        <w:spacing w:line="500" w:lineRule="exact"/>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报告使用限制</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本估价报告仅</w:t>
      </w:r>
      <w:r>
        <w:rPr>
          <w:rFonts w:hint="eastAsia" w:cs="Times New Roman" w:eastAsiaTheme="minorEastAsia"/>
          <w:sz w:val="28"/>
          <w:szCs w:val="28"/>
          <w:lang w:eastAsia="zh-CN"/>
        </w:rPr>
        <w:t>为人民法院确定财产处置参考价提供参考依据</w:t>
      </w:r>
      <w:r>
        <w:rPr>
          <w:rFonts w:hint="default" w:ascii="Times New Roman" w:hAnsi="Times New Roman" w:cs="Times New Roman" w:eastAsiaTheme="minorEastAsia"/>
          <w:sz w:val="28"/>
          <w:szCs w:val="28"/>
        </w:rPr>
        <w:t>，</w:t>
      </w:r>
      <w:r>
        <w:rPr>
          <w:rFonts w:hint="default" w:ascii="Times New Roman" w:hAnsi="Times New Roman" w:cs="Times New Roman" w:eastAsiaTheme="minorEastAsia"/>
          <w:sz w:val="28"/>
          <w:szCs w:val="28"/>
          <w:lang w:eastAsia="zh-CN"/>
        </w:rPr>
        <w:t>不应当被视为对评估对象处置成交价格的保证</w:t>
      </w:r>
      <w:r>
        <w:rPr>
          <w:rFonts w:hint="eastAsia" w:cs="Times New Roman" w:eastAsiaTheme="minorEastAsia"/>
          <w:sz w:val="28"/>
          <w:szCs w:val="28"/>
          <w:lang w:eastAsia="zh-CN"/>
        </w:rPr>
        <w:t>，</w:t>
      </w:r>
      <w:r>
        <w:rPr>
          <w:rFonts w:hint="eastAsia" w:cs="Times New Roman" w:eastAsiaTheme="minorEastAsia"/>
          <w:sz w:val="28"/>
          <w:szCs w:val="28"/>
          <w:lang w:val="en-US" w:eastAsia="zh-CN"/>
        </w:rPr>
        <w:t>也</w:t>
      </w:r>
      <w:r>
        <w:rPr>
          <w:rFonts w:hint="default" w:ascii="Times New Roman" w:hAnsi="Times New Roman" w:cs="Times New Roman" w:eastAsiaTheme="minorEastAsia"/>
          <w:sz w:val="28"/>
          <w:szCs w:val="28"/>
        </w:rPr>
        <w:t>不得作为抵押、征收等其他任何用途。未经房地产估价机构的书面同意，本估价报告的全部或部分及任何参考资料均不得以任何方式公开发表，亦不允许在任何公开发表的文件、通告或声明中引用。凡因报告使用不当而引起的后果，房地产估价机构和估价人员不承担相应的责任。</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本报告估价结果是估价对象在满足全部假设与限制条件下，于价值时</w:t>
      </w:r>
      <w:r>
        <w:rPr>
          <w:rFonts w:hint="default" w:ascii="Times New Roman" w:hAnsi="Times New Roman" w:cs="Times New Roman" w:eastAsiaTheme="minorEastAsia"/>
          <w:color w:val="auto"/>
          <w:sz w:val="28"/>
          <w:szCs w:val="28"/>
        </w:rPr>
        <w:t>点</w:t>
      </w:r>
      <w:r>
        <w:rPr>
          <w:rFonts w:hint="eastAsia" w:cs="Times New Roman" w:eastAsiaTheme="minorEastAsia"/>
          <w:color w:val="auto"/>
          <w:sz w:val="28"/>
          <w:szCs w:val="28"/>
          <w:lang w:eastAsia="zh-CN"/>
        </w:rPr>
        <w:t>二〇二二年九月二日</w:t>
      </w:r>
      <w:r>
        <w:rPr>
          <w:rFonts w:hint="default" w:ascii="Times New Roman" w:hAnsi="Times New Roman" w:cs="Times New Roman" w:eastAsiaTheme="minorEastAsia"/>
          <w:color w:val="auto"/>
          <w:sz w:val="28"/>
          <w:szCs w:val="28"/>
        </w:rPr>
        <w:t>，在现状</w:t>
      </w:r>
      <w:r>
        <w:rPr>
          <w:rFonts w:hint="default" w:ascii="Times New Roman" w:hAnsi="Times New Roman" w:cs="Times New Roman" w:eastAsiaTheme="minorEastAsia"/>
          <w:sz w:val="28"/>
          <w:szCs w:val="28"/>
        </w:rPr>
        <w:t>利用条件下的</w:t>
      </w:r>
      <w:r>
        <w:rPr>
          <w:rFonts w:hint="eastAsia" w:cs="Times New Roman" w:eastAsiaTheme="minorEastAsia"/>
          <w:sz w:val="28"/>
          <w:szCs w:val="28"/>
          <w:lang w:val="en-US" w:eastAsia="zh-CN"/>
        </w:rPr>
        <w:t>商业</w:t>
      </w:r>
      <w:r>
        <w:rPr>
          <w:rFonts w:hint="default" w:ascii="Times New Roman" w:hAnsi="Times New Roman" w:cs="Times New Roman" w:eastAsiaTheme="minorEastAsia"/>
          <w:sz w:val="28"/>
          <w:szCs w:val="28"/>
        </w:rPr>
        <w:t>市场价值，若土地利用方式、房屋利用状况、周边环境等影响</w:t>
      </w:r>
      <w:r>
        <w:rPr>
          <w:rFonts w:hint="eastAsia" w:cs="Times New Roman" w:eastAsiaTheme="minorEastAsia"/>
          <w:sz w:val="28"/>
          <w:szCs w:val="28"/>
          <w:lang w:val="en-US" w:eastAsia="zh-CN"/>
        </w:rPr>
        <w:t>商业</w:t>
      </w:r>
      <w:r>
        <w:rPr>
          <w:rFonts w:hint="default" w:ascii="Times New Roman" w:hAnsi="Times New Roman" w:cs="Times New Roman" w:eastAsiaTheme="minorEastAsia"/>
          <w:sz w:val="28"/>
          <w:szCs w:val="28"/>
        </w:rPr>
        <w:t>价格的因素发生变化，则评估结果应作相应调整。</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本估价报告自出具之日起壹年内有效，使用期限内若房地产市场价格波动较大时，估价结果应作相应的调整或重新进行估价。超过使用期限使用，本机构不承担任何责任。</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本估价报告中的“致估价委托人函”、“估价师声明”、“估价假设和限制条件”、“估价结果报告”和“附件”构成完整的估价报告。报告中的全部内容必须完整使用方为有效，因单独使用本报告部分内容引起的不良后果，估价人员及房地产估价机构不承担任何责任。</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本估价报告需经注册房地产估价师签名并加盖房地产估价机构公章，复印件无效。</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sz w:val="28"/>
          <w:szCs w:val="28"/>
        </w:rPr>
        <w:t>本估价报告解</w:t>
      </w:r>
      <w:r>
        <w:rPr>
          <w:rFonts w:hint="default" w:ascii="Times New Roman" w:hAnsi="Times New Roman" w:cs="Times New Roman" w:eastAsiaTheme="minorEastAsia"/>
          <w:color w:val="auto"/>
          <w:sz w:val="28"/>
          <w:szCs w:val="28"/>
        </w:rPr>
        <w:t>释权属江苏国联土地房地产评估有限公司。</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t>本</w:t>
      </w:r>
      <w:r>
        <w:rPr>
          <w:rFonts w:hint="default" w:ascii="Times New Roman" w:hAnsi="Times New Roman" w:cs="Times New Roman" w:eastAsiaTheme="minorEastAsia"/>
          <w:sz w:val="28"/>
          <w:szCs w:val="28"/>
        </w:rPr>
        <w:t>估价报告一式六份，估价委托人</w:t>
      </w:r>
      <w:r>
        <w:rPr>
          <w:rFonts w:hint="eastAsia" w:cs="Times New Roman" w:eastAsiaTheme="minorEastAsia"/>
          <w:sz w:val="28"/>
          <w:szCs w:val="28"/>
          <w:lang w:val="en-US" w:eastAsia="zh-CN"/>
        </w:rPr>
        <w:t>五</w:t>
      </w:r>
      <w:r>
        <w:rPr>
          <w:rFonts w:hint="default" w:ascii="Times New Roman" w:hAnsi="Times New Roman" w:cs="Times New Roman" w:eastAsiaTheme="minorEastAsia"/>
          <w:sz w:val="28"/>
          <w:szCs w:val="28"/>
        </w:rPr>
        <w:t>份，房地产估价机构壹份。</w:t>
      </w:r>
    </w:p>
    <w:p>
      <w:pPr>
        <w:spacing w:line="500" w:lineRule="exact"/>
        <w:jc w:val="center"/>
        <w:outlineLvl w:val="0"/>
        <w:rPr>
          <w:rFonts w:hint="default" w:ascii="Times New Roman" w:hAnsi="Times New Roman" w:cs="Times New Roman" w:eastAsiaTheme="minorEastAsia"/>
          <w:sz w:val="28"/>
          <w:szCs w:val="28"/>
        </w:rPr>
      </w:pPr>
      <w:r>
        <w:rPr>
          <w:rStyle w:val="17"/>
          <w:rFonts w:hint="default" w:ascii="Times New Roman" w:hAnsi="Times New Roman" w:cs="Times New Roman" w:eastAsiaTheme="minorEastAsia"/>
        </w:rPr>
        <w:br w:type="page"/>
      </w:r>
      <w:bookmarkEnd w:id="29"/>
      <w:bookmarkStart w:id="32" w:name="_Toc20020"/>
      <w:bookmarkStart w:id="33" w:name="_Toc1589"/>
      <w:bookmarkStart w:id="34" w:name="_Toc519862747"/>
      <w:bookmarkStart w:id="35" w:name="_Toc267557152"/>
      <w:bookmarkStart w:id="36" w:name="_Toc267557573"/>
      <w:bookmarkStart w:id="37" w:name="_Toc372267377"/>
      <w:bookmarkStart w:id="38" w:name="_Toc267552676"/>
      <w:bookmarkStart w:id="39" w:name="_Toc263248972"/>
      <w:bookmarkStart w:id="40" w:name="_Toc393960754"/>
      <w:bookmarkStart w:id="41" w:name="_Toc375035091"/>
      <w:bookmarkStart w:id="42" w:name="_Toc534792189"/>
      <w:r>
        <w:rPr>
          <w:rFonts w:hint="default" w:ascii="Times New Roman" w:hAnsi="Times New Roman" w:cs="Times New Roman" w:eastAsiaTheme="minorEastAsia"/>
          <w:b/>
          <w:kern w:val="44"/>
          <w:sz w:val="44"/>
          <w:szCs w:val="44"/>
        </w:rPr>
        <w:t>房地产估价结果报告</w:t>
      </w:r>
      <w:bookmarkEnd w:id="32"/>
      <w:bookmarkEnd w:id="33"/>
      <w:bookmarkEnd w:id="34"/>
    </w:p>
    <w:p>
      <w:pPr>
        <w:pStyle w:val="3"/>
        <w:spacing w:after="0" w:line="500" w:lineRule="exact"/>
        <w:rPr>
          <w:rFonts w:hint="default" w:ascii="Times New Roman" w:hAnsi="Times New Roman" w:cs="Times New Roman" w:eastAsiaTheme="minorEastAsia"/>
          <w:sz w:val="28"/>
          <w:szCs w:val="28"/>
        </w:rPr>
      </w:pPr>
      <w:bookmarkStart w:id="43" w:name="_Toc15767"/>
      <w:bookmarkStart w:id="44" w:name="_Toc13437"/>
      <w:r>
        <w:rPr>
          <w:rFonts w:hint="default" w:ascii="Times New Roman" w:hAnsi="Times New Roman" w:cs="Times New Roman" w:eastAsiaTheme="minorEastAsia"/>
          <w:sz w:val="28"/>
          <w:szCs w:val="28"/>
        </w:rPr>
        <w:t>一、估价委托人</w:t>
      </w:r>
      <w:bookmarkEnd w:id="35"/>
      <w:bookmarkEnd w:id="36"/>
      <w:bookmarkEnd w:id="37"/>
      <w:bookmarkEnd w:id="38"/>
      <w:bookmarkEnd w:id="39"/>
      <w:bookmarkEnd w:id="40"/>
      <w:bookmarkEnd w:id="41"/>
      <w:bookmarkEnd w:id="42"/>
      <w:bookmarkEnd w:id="43"/>
      <w:bookmarkEnd w:id="44"/>
    </w:p>
    <w:p>
      <w:pPr>
        <w:spacing w:line="500" w:lineRule="exact"/>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rPr>
        <w:t>委 托 人：</w:t>
      </w:r>
      <w:bookmarkStart w:id="45" w:name="_Toc393960755"/>
      <w:bookmarkStart w:id="46" w:name="_Toc375035092"/>
      <w:bookmarkStart w:id="47" w:name="_Toc534792190"/>
      <w:bookmarkStart w:id="48" w:name="_Toc372267378"/>
      <w:bookmarkStart w:id="49" w:name="_Toc267557153"/>
      <w:bookmarkStart w:id="50" w:name="_Toc263248973"/>
      <w:bookmarkStart w:id="51" w:name="_Toc267552677"/>
      <w:bookmarkStart w:id="52" w:name="_Toc267557574"/>
      <w:r>
        <w:rPr>
          <w:rFonts w:hint="eastAsia" w:cs="Times New Roman" w:eastAsiaTheme="minorEastAsia"/>
          <w:sz w:val="28"/>
          <w:szCs w:val="28"/>
          <w:lang w:val="en-US" w:eastAsia="zh-CN"/>
        </w:rPr>
        <w:t>常州市天宁区人民法院</w:t>
      </w:r>
    </w:p>
    <w:p>
      <w:pPr>
        <w:spacing w:line="500" w:lineRule="exact"/>
        <w:ind w:firstLine="560" w:firstLineChars="200"/>
        <w:rPr>
          <w:rFonts w:hint="default" w:asciiTheme="minorEastAsia" w:hAnsiTheme="minorEastAsia" w:eastAsiaTheme="minorEastAsia"/>
          <w:sz w:val="28"/>
          <w:szCs w:val="28"/>
          <w:highlight w:val="none"/>
          <w:lang w:val="en-US" w:eastAsia="zh-CN"/>
        </w:rPr>
      </w:pPr>
      <w:r>
        <w:rPr>
          <w:rFonts w:hint="default" w:ascii="Times New Roman" w:hAnsi="Times New Roman" w:cs="Times New Roman" w:eastAsiaTheme="minorEastAsia"/>
          <w:sz w:val="28"/>
          <w:szCs w:val="28"/>
        </w:rPr>
        <w:t>联系地址：</w:t>
      </w:r>
      <w:r>
        <w:rPr>
          <w:rFonts w:hint="eastAsia" w:asciiTheme="minorEastAsia" w:hAnsiTheme="minorEastAsia" w:eastAsiaTheme="minorEastAsia"/>
          <w:sz w:val="28"/>
          <w:szCs w:val="28"/>
          <w:highlight w:val="none"/>
        </w:rPr>
        <w:t>常州市</w:t>
      </w:r>
      <w:r>
        <w:rPr>
          <w:rFonts w:hint="eastAsia" w:asciiTheme="minorEastAsia" w:hAnsiTheme="minorEastAsia" w:eastAsiaTheme="minorEastAsia"/>
          <w:sz w:val="28"/>
          <w:szCs w:val="28"/>
          <w:highlight w:val="none"/>
          <w:lang w:val="en-US" w:eastAsia="zh-CN"/>
        </w:rPr>
        <w:t>天宁区竹林北路208号</w:t>
      </w:r>
    </w:p>
    <w:p>
      <w:pPr>
        <w:spacing w:line="500" w:lineRule="exact"/>
        <w:ind w:firstLine="560" w:firstLineChars="200"/>
        <w:rPr>
          <w:rFonts w:hint="default" w:ascii="Times New Roman" w:hAnsi="Times New Roman" w:cs="Times New Roman" w:eastAsiaTheme="minorEastAsia"/>
          <w:color w:val="FF0000"/>
          <w:sz w:val="28"/>
          <w:szCs w:val="28"/>
          <w:lang w:val="en-US" w:eastAsia="zh-CN"/>
        </w:rPr>
      </w:pPr>
      <w:r>
        <w:rPr>
          <w:rFonts w:asciiTheme="minorEastAsia" w:hAnsiTheme="minorEastAsia" w:eastAsiaTheme="minorEastAsia"/>
          <w:sz w:val="28"/>
          <w:szCs w:val="28"/>
          <w:highlight w:val="none"/>
        </w:rPr>
        <w:t>联系电话：0519-</w:t>
      </w:r>
      <w:r>
        <w:rPr>
          <w:rFonts w:hint="eastAsia" w:asciiTheme="minorEastAsia" w:hAnsiTheme="minorEastAsia" w:eastAsiaTheme="minorEastAsia"/>
          <w:sz w:val="28"/>
          <w:szCs w:val="28"/>
          <w:highlight w:val="none"/>
          <w:lang w:val="en-US" w:eastAsia="zh-CN"/>
        </w:rPr>
        <w:t>85579579</w:t>
      </w:r>
    </w:p>
    <w:p>
      <w:pPr>
        <w:pStyle w:val="3"/>
        <w:spacing w:after="0" w:line="500" w:lineRule="exact"/>
        <w:rPr>
          <w:rFonts w:hint="default" w:ascii="Times New Roman" w:hAnsi="Times New Roman" w:cs="Times New Roman" w:eastAsiaTheme="minorEastAsia"/>
          <w:sz w:val="28"/>
          <w:szCs w:val="28"/>
        </w:rPr>
      </w:pPr>
      <w:bookmarkStart w:id="53" w:name="_Toc10376"/>
      <w:bookmarkStart w:id="54" w:name="_Toc29821"/>
      <w:r>
        <w:rPr>
          <w:rFonts w:hint="default" w:ascii="Times New Roman" w:hAnsi="Times New Roman" w:cs="Times New Roman" w:eastAsiaTheme="minorEastAsia"/>
          <w:sz w:val="28"/>
          <w:szCs w:val="28"/>
        </w:rPr>
        <w:t>二、估价机构</w:t>
      </w:r>
      <w:bookmarkEnd w:id="45"/>
      <w:bookmarkEnd w:id="46"/>
      <w:bookmarkEnd w:id="47"/>
      <w:bookmarkEnd w:id="48"/>
      <w:bookmarkEnd w:id="49"/>
      <w:bookmarkEnd w:id="50"/>
      <w:bookmarkEnd w:id="51"/>
      <w:bookmarkEnd w:id="52"/>
      <w:bookmarkEnd w:id="53"/>
      <w:bookmarkEnd w:id="54"/>
    </w:p>
    <w:p>
      <w:pPr>
        <w:spacing w:line="500" w:lineRule="exact"/>
        <w:ind w:firstLine="560" w:firstLineChars="200"/>
        <w:rPr>
          <w:rFonts w:hint="default" w:ascii="Times New Roman" w:hAnsi="Times New Roman" w:cs="Times New Roman" w:eastAsiaTheme="minorEastAsia"/>
          <w:sz w:val="28"/>
          <w:szCs w:val="28"/>
        </w:rPr>
      </w:pPr>
      <w:bookmarkStart w:id="55" w:name="_Toc263248974"/>
      <w:bookmarkStart w:id="56" w:name="_Toc267557575"/>
      <w:bookmarkStart w:id="57" w:name="_Toc267557154"/>
      <w:bookmarkStart w:id="58" w:name="_Toc262130456"/>
      <w:bookmarkStart w:id="59" w:name="_Toc267552678"/>
      <w:r>
        <w:rPr>
          <w:rFonts w:hint="default" w:ascii="Times New Roman" w:hAnsi="Times New Roman" w:cs="Times New Roman" w:eastAsiaTheme="minorEastAsia"/>
          <w:sz w:val="28"/>
          <w:szCs w:val="28"/>
        </w:rPr>
        <w:t>单位名称：江苏国联土地房地产评估有限公司</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通讯地址：常州市新北区府琛商务广场2幢1809室</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法定代表人</w:t>
      </w:r>
      <w:r>
        <w:rPr>
          <w:rFonts w:hint="default" w:ascii="Times New Roman" w:hAnsi="Times New Roman" w:cs="Times New Roman" w:eastAsiaTheme="minorEastAsia"/>
          <w:color w:val="auto"/>
          <w:sz w:val="28"/>
          <w:szCs w:val="28"/>
        </w:rPr>
        <w:t>：</w:t>
      </w:r>
      <w:r>
        <w:rPr>
          <w:rFonts w:hint="default" w:ascii="Times New Roman" w:hAnsi="Times New Roman" w:cs="Times New Roman" w:eastAsiaTheme="minorEastAsia"/>
          <w:sz w:val="28"/>
          <w:szCs w:val="28"/>
        </w:rPr>
        <w:t>严爱琴</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资质证书号：苏建房估备（</w:t>
      </w:r>
      <w:r>
        <w:rPr>
          <w:rFonts w:hint="eastAsia" w:ascii="Times New Roman" w:hAnsi="Times New Roman" w:cs="Times New Roman" w:eastAsiaTheme="minorEastAsia"/>
          <w:sz w:val="28"/>
          <w:szCs w:val="28"/>
          <w:lang w:val="en-US" w:eastAsia="zh-CN"/>
        </w:rPr>
        <w:t>壹</w:t>
      </w:r>
      <w:r>
        <w:rPr>
          <w:rFonts w:hint="default" w:ascii="Times New Roman" w:hAnsi="Times New Roman" w:cs="Times New Roman" w:eastAsiaTheme="minorEastAsia"/>
          <w:sz w:val="28"/>
          <w:szCs w:val="28"/>
        </w:rPr>
        <w:t>）常州000</w:t>
      </w:r>
      <w:r>
        <w:rPr>
          <w:rFonts w:hint="eastAsia" w:ascii="Times New Roman" w:hAnsi="Times New Roman" w:cs="Times New Roman" w:eastAsiaTheme="minorEastAsia"/>
          <w:sz w:val="28"/>
          <w:szCs w:val="28"/>
          <w:lang w:val="en-US" w:eastAsia="zh-CN"/>
        </w:rPr>
        <w:t>5</w:t>
      </w:r>
      <w:r>
        <w:rPr>
          <w:rFonts w:hint="default" w:ascii="Times New Roman" w:hAnsi="Times New Roman" w:cs="Times New Roman" w:eastAsiaTheme="minorEastAsia"/>
          <w:sz w:val="28"/>
          <w:szCs w:val="28"/>
        </w:rPr>
        <w:t>2</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资质级别：</w:t>
      </w:r>
      <w:r>
        <w:rPr>
          <w:rFonts w:hint="eastAsia" w:ascii="Times New Roman" w:hAnsi="Times New Roman" w:cs="Times New Roman" w:eastAsiaTheme="minorEastAsia"/>
          <w:sz w:val="28"/>
          <w:szCs w:val="28"/>
          <w:lang w:val="en-US" w:eastAsia="zh-CN"/>
        </w:rPr>
        <w:t>壹</w:t>
      </w:r>
      <w:r>
        <w:rPr>
          <w:rFonts w:hint="default" w:ascii="Times New Roman" w:hAnsi="Times New Roman" w:cs="Times New Roman" w:eastAsiaTheme="minorEastAsia"/>
          <w:sz w:val="28"/>
          <w:szCs w:val="28"/>
        </w:rPr>
        <w:t>级</w:t>
      </w:r>
    </w:p>
    <w:p>
      <w:pPr>
        <w:spacing w:line="500" w:lineRule="exact"/>
        <w:ind w:firstLine="560" w:firstLineChars="200"/>
        <w:rPr>
          <w:rFonts w:hint="default" w:ascii="Times New Roman" w:hAnsi="Times New Roman" w:cs="Times New Roman"/>
          <w:sz w:val="28"/>
          <w:szCs w:val="28"/>
        </w:rPr>
      </w:pPr>
      <w:r>
        <w:rPr>
          <w:rFonts w:hint="default" w:ascii="Times New Roman" w:hAnsi="Times New Roman" w:cs="Times New Roman" w:eastAsiaTheme="minorEastAsia"/>
          <w:sz w:val="28"/>
          <w:szCs w:val="28"/>
        </w:rPr>
        <w:t>资质证书有效期：20</w:t>
      </w:r>
      <w:r>
        <w:rPr>
          <w:rFonts w:hint="eastAsia" w:ascii="Times New Roman" w:hAnsi="Times New Roman" w:cs="Times New Roman" w:eastAsiaTheme="minorEastAsia"/>
          <w:sz w:val="28"/>
          <w:szCs w:val="28"/>
          <w:lang w:val="en-US" w:eastAsia="zh-CN"/>
        </w:rPr>
        <w:t>22</w:t>
      </w:r>
      <w:r>
        <w:rPr>
          <w:rFonts w:hint="default" w:ascii="Times New Roman" w:hAnsi="Times New Roman" w:cs="Times New Roman" w:eastAsiaTheme="minorEastAsia"/>
          <w:sz w:val="28"/>
          <w:szCs w:val="28"/>
        </w:rPr>
        <w:t>年0</w:t>
      </w:r>
      <w:r>
        <w:rPr>
          <w:rFonts w:hint="default" w:ascii="Times New Roman" w:hAnsi="Times New Roman" w:cs="Times New Roman"/>
          <w:sz w:val="28"/>
          <w:szCs w:val="28"/>
        </w:rPr>
        <w:t>5月0</w:t>
      </w:r>
      <w:r>
        <w:rPr>
          <w:rFonts w:hint="eastAsia" w:cs="Times New Roman"/>
          <w:sz w:val="28"/>
          <w:szCs w:val="28"/>
          <w:lang w:val="en-US" w:eastAsia="zh-CN"/>
        </w:rPr>
        <w:t>9</w:t>
      </w:r>
      <w:r>
        <w:rPr>
          <w:rFonts w:hint="default" w:ascii="Times New Roman" w:hAnsi="Times New Roman" w:cs="Times New Roman"/>
          <w:sz w:val="28"/>
          <w:szCs w:val="28"/>
        </w:rPr>
        <w:t>日</w:t>
      </w:r>
      <w:r>
        <w:rPr>
          <w:rFonts w:hint="eastAsia" w:cs="Times New Roman"/>
          <w:sz w:val="28"/>
          <w:szCs w:val="28"/>
          <w:lang w:val="en-US" w:eastAsia="zh-CN"/>
        </w:rPr>
        <w:t>至</w:t>
      </w:r>
      <w:r>
        <w:rPr>
          <w:rFonts w:hint="default" w:ascii="Times New Roman" w:hAnsi="Times New Roman" w:cs="Times New Roman"/>
          <w:sz w:val="28"/>
          <w:szCs w:val="28"/>
        </w:rPr>
        <w:t>202</w:t>
      </w:r>
      <w:r>
        <w:rPr>
          <w:rFonts w:hint="eastAsia" w:cs="Times New Roman"/>
          <w:sz w:val="28"/>
          <w:szCs w:val="28"/>
          <w:lang w:val="en-US" w:eastAsia="zh-CN"/>
        </w:rPr>
        <w:t>5</w:t>
      </w:r>
      <w:r>
        <w:rPr>
          <w:rFonts w:hint="default" w:ascii="Times New Roman" w:hAnsi="Times New Roman" w:cs="Times New Roman"/>
          <w:sz w:val="28"/>
          <w:szCs w:val="28"/>
        </w:rPr>
        <w:t>年05月0</w:t>
      </w:r>
      <w:r>
        <w:rPr>
          <w:rFonts w:hint="eastAsia" w:cs="Times New Roman"/>
          <w:sz w:val="28"/>
          <w:szCs w:val="28"/>
          <w:lang w:val="en-US" w:eastAsia="zh-CN"/>
        </w:rPr>
        <w:t>8</w:t>
      </w:r>
      <w:r>
        <w:rPr>
          <w:rFonts w:hint="default" w:ascii="Times New Roman" w:hAnsi="Times New Roman" w:cs="Times New Roman"/>
          <w:sz w:val="28"/>
          <w:szCs w:val="28"/>
        </w:rPr>
        <w:t>日</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联系电话：0519-81582187</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传    真：0519-88152989</w:t>
      </w:r>
    </w:p>
    <w:p>
      <w:pPr>
        <w:pStyle w:val="3"/>
        <w:spacing w:after="0" w:line="500" w:lineRule="exact"/>
        <w:rPr>
          <w:rFonts w:hint="default" w:ascii="Times New Roman" w:hAnsi="Times New Roman" w:cs="Times New Roman" w:eastAsiaTheme="minorEastAsia"/>
          <w:sz w:val="28"/>
          <w:szCs w:val="28"/>
        </w:rPr>
      </w:pPr>
      <w:bookmarkStart w:id="60" w:name="_Toc10072"/>
      <w:bookmarkStart w:id="61" w:name="_Toc372267379"/>
      <w:bookmarkStart w:id="62" w:name="_Toc534792191"/>
      <w:bookmarkStart w:id="63" w:name="_Toc375035093"/>
      <w:bookmarkStart w:id="64" w:name="_Toc12521"/>
      <w:bookmarkStart w:id="65" w:name="_Toc393960756"/>
      <w:r>
        <w:rPr>
          <w:rFonts w:hint="default" w:ascii="Times New Roman" w:hAnsi="Times New Roman" w:cs="Times New Roman" w:eastAsiaTheme="minorEastAsia"/>
          <w:sz w:val="28"/>
          <w:szCs w:val="28"/>
        </w:rPr>
        <w:t>三、估价目的</w:t>
      </w:r>
      <w:bookmarkEnd w:id="60"/>
      <w:bookmarkEnd w:id="61"/>
      <w:bookmarkEnd w:id="62"/>
      <w:bookmarkEnd w:id="63"/>
      <w:bookmarkEnd w:id="64"/>
      <w:bookmarkEnd w:id="65"/>
    </w:p>
    <w:p>
      <w:pPr>
        <w:spacing w:line="500" w:lineRule="exact"/>
        <w:ind w:firstLine="560" w:firstLineChars="200"/>
        <w:rPr>
          <w:rFonts w:asciiTheme="minorEastAsia" w:hAnsiTheme="minorEastAsia" w:eastAsiaTheme="minorEastAsia"/>
          <w:sz w:val="28"/>
          <w:szCs w:val="28"/>
        </w:rPr>
      </w:pPr>
      <w:bookmarkStart w:id="66" w:name="_Toc393960757"/>
      <w:bookmarkStart w:id="67" w:name="_Toc375035094"/>
      <w:bookmarkStart w:id="68" w:name="_Toc372267380"/>
      <w:r>
        <w:rPr>
          <w:rFonts w:hint="eastAsia" w:asciiTheme="minorEastAsia" w:hAnsiTheme="minorEastAsia" w:eastAsiaTheme="minorEastAsia"/>
          <w:sz w:val="28"/>
          <w:szCs w:val="28"/>
          <w:lang w:eastAsia="zh-CN"/>
        </w:rPr>
        <w:t>为人民法院确定财产处置参考价提供参考依据</w:t>
      </w:r>
      <w:r>
        <w:rPr>
          <w:rFonts w:hint="eastAsia" w:asciiTheme="minorEastAsia" w:hAnsiTheme="minorEastAsia" w:eastAsiaTheme="minorEastAsia"/>
          <w:sz w:val="28"/>
          <w:szCs w:val="28"/>
        </w:rPr>
        <w:t>。</w:t>
      </w:r>
    </w:p>
    <w:p>
      <w:pPr>
        <w:pStyle w:val="3"/>
        <w:spacing w:after="0" w:line="500" w:lineRule="exact"/>
        <w:rPr>
          <w:rFonts w:hint="default" w:ascii="Times New Roman" w:hAnsi="Times New Roman" w:cs="Times New Roman" w:eastAsiaTheme="minorEastAsia"/>
          <w:sz w:val="28"/>
          <w:szCs w:val="28"/>
        </w:rPr>
      </w:pPr>
      <w:bookmarkStart w:id="69" w:name="_Toc31761"/>
      <w:bookmarkStart w:id="70" w:name="_Toc7855"/>
      <w:bookmarkStart w:id="71" w:name="_Toc534792192"/>
      <w:r>
        <w:rPr>
          <w:rFonts w:hint="default" w:ascii="Times New Roman" w:hAnsi="Times New Roman" w:cs="Times New Roman" w:eastAsiaTheme="minorEastAsia"/>
          <w:sz w:val="28"/>
          <w:szCs w:val="28"/>
        </w:rPr>
        <w:t>四、估价对象</w:t>
      </w:r>
      <w:bookmarkEnd w:id="55"/>
      <w:bookmarkEnd w:id="56"/>
      <w:bookmarkEnd w:id="57"/>
      <w:bookmarkEnd w:id="58"/>
      <w:bookmarkEnd w:id="59"/>
      <w:bookmarkEnd w:id="66"/>
      <w:bookmarkEnd w:id="67"/>
      <w:bookmarkEnd w:id="68"/>
      <w:bookmarkEnd w:id="69"/>
      <w:bookmarkEnd w:id="70"/>
      <w:bookmarkEnd w:id="71"/>
    </w:p>
    <w:p>
      <w:pPr>
        <w:ind w:firstLine="560" w:firstLineChars="200"/>
        <w:rPr>
          <w:rFonts w:hint="default" w:ascii="Times New Roman" w:hAnsi="Times New Roman" w:cs="Times New Roman" w:eastAsiaTheme="minorEastAsia"/>
          <w:sz w:val="28"/>
          <w:szCs w:val="28"/>
        </w:rPr>
      </w:pPr>
      <w:bookmarkStart w:id="72" w:name="_Toc262130458"/>
      <w:bookmarkStart w:id="73" w:name="_Toc267552680"/>
      <w:bookmarkStart w:id="74" w:name="_Toc375035095"/>
      <w:bookmarkStart w:id="75" w:name="_Toc263248976"/>
      <w:bookmarkStart w:id="76" w:name="_Toc372267381"/>
      <w:bookmarkStart w:id="77" w:name="_Toc6708"/>
      <w:bookmarkStart w:id="78" w:name="_Toc267557577"/>
      <w:bookmarkStart w:id="79" w:name="_Toc267557156"/>
      <w:bookmarkStart w:id="80" w:name="_Toc393960758"/>
      <w:bookmarkStart w:id="81" w:name="_Toc534792193"/>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lang w:eastAsia="zh-CN"/>
        </w:rPr>
        <w:t>.</w:t>
      </w:r>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估价对象及范围</w:t>
      </w:r>
    </w:p>
    <w:p>
      <w:pPr>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估价对象为位于</w:t>
      </w:r>
      <w:r>
        <w:rPr>
          <w:rFonts w:hint="eastAsia" w:cs="Times New Roman" w:eastAsiaTheme="minorEastAsia"/>
          <w:sz w:val="28"/>
          <w:szCs w:val="28"/>
          <w:lang w:val="en-US" w:eastAsia="zh-CN"/>
        </w:rPr>
        <w:t>常州市武进区湖塘镇花园街159号新天地不夜城12幢12-2026号、12-2027号、12-2028号、12-2029号</w:t>
      </w:r>
      <w:r>
        <w:rPr>
          <w:rFonts w:hint="default" w:ascii="Times New Roman" w:hAnsi="Times New Roman" w:cs="Times New Roman" w:eastAsiaTheme="minorEastAsia"/>
          <w:sz w:val="28"/>
          <w:szCs w:val="28"/>
        </w:rPr>
        <w:t>（</w:t>
      </w:r>
      <w:r>
        <w:rPr>
          <w:rFonts w:asciiTheme="minorEastAsia" w:hAnsiTheme="minorEastAsia" w:eastAsiaTheme="minorEastAsia"/>
          <w:color w:val="auto"/>
          <w:sz w:val="28"/>
          <w:szCs w:val="28"/>
        </w:rPr>
        <w:t>含</w:t>
      </w:r>
      <w:r>
        <w:rPr>
          <w:rFonts w:hint="eastAsia" w:asciiTheme="minorEastAsia" w:hAnsiTheme="minorEastAsia" w:eastAsiaTheme="minorEastAsia"/>
          <w:sz w:val="28"/>
          <w:szCs w:val="28"/>
          <w:lang w:val="en-US" w:eastAsia="zh-CN"/>
        </w:rPr>
        <w:t>房屋及其</w:t>
      </w:r>
      <w:r>
        <w:rPr>
          <w:rFonts w:hint="eastAsia" w:asciiTheme="minorEastAsia" w:hAnsiTheme="minorEastAsia" w:eastAsiaTheme="minorEastAsia"/>
          <w:sz w:val="28"/>
          <w:szCs w:val="28"/>
          <w:lang w:eastAsia="zh-CN"/>
        </w:rPr>
        <w:t>分摊的土地使用权，以及与估价对象不可分割的满足其使用功能的配套附属设施</w:t>
      </w:r>
      <w:r>
        <w:rPr>
          <w:rFonts w:hint="eastAsia" w:asciiTheme="minorEastAsia" w:hAnsiTheme="minorEastAsia" w:eastAsiaTheme="minorEastAsia"/>
          <w:sz w:val="28"/>
          <w:szCs w:val="28"/>
          <w:lang w:val="en-US" w:eastAsia="zh-CN"/>
        </w:rPr>
        <w:t>及</w:t>
      </w:r>
      <w:r>
        <w:rPr>
          <w:rFonts w:hint="eastAsia" w:asciiTheme="minorEastAsia" w:hAnsiTheme="minorEastAsia" w:eastAsiaTheme="minorEastAsia"/>
          <w:sz w:val="28"/>
          <w:szCs w:val="28"/>
          <w:lang w:eastAsia="zh-CN"/>
        </w:rPr>
        <w:t>固定装</w:t>
      </w:r>
      <w:r>
        <w:rPr>
          <w:rFonts w:hint="eastAsia" w:asciiTheme="minorEastAsia" w:hAnsiTheme="minorEastAsia" w:eastAsiaTheme="minorEastAsia"/>
          <w:sz w:val="28"/>
          <w:szCs w:val="28"/>
          <w:lang w:val="en-US" w:eastAsia="zh-CN"/>
        </w:rPr>
        <w:t>修，</w:t>
      </w:r>
      <w:r>
        <w:rPr>
          <w:rFonts w:hint="eastAsia" w:asciiTheme="minorEastAsia" w:hAnsiTheme="minorEastAsia" w:eastAsiaTheme="minorEastAsia"/>
          <w:sz w:val="28"/>
          <w:szCs w:val="28"/>
          <w:lang w:eastAsia="zh-CN"/>
        </w:rPr>
        <w:t>不包含动产</w:t>
      </w:r>
      <w:r>
        <w:rPr>
          <w:rFonts w:hint="eastAsia" w:asciiTheme="minorEastAsia" w:hAnsiTheme="minorEastAsia" w:eastAsiaTheme="minorEastAsia"/>
          <w:sz w:val="28"/>
          <w:szCs w:val="28"/>
          <w:lang w:val="en-US" w:eastAsia="zh-CN"/>
        </w:rPr>
        <w:t>及</w:t>
      </w:r>
      <w:r>
        <w:rPr>
          <w:rFonts w:hint="eastAsia" w:asciiTheme="minorEastAsia" w:hAnsiTheme="minorEastAsia" w:eastAsiaTheme="minorEastAsia"/>
          <w:sz w:val="28"/>
          <w:szCs w:val="28"/>
          <w:lang w:eastAsia="zh-CN"/>
        </w:rPr>
        <w:t>债权债务等。</w:t>
      </w:r>
    </w:p>
    <w:p>
      <w:pPr>
        <w:numPr>
          <w:ilvl w:val="0"/>
          <w:numId w:val="5"/>
        </w:numPr>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估价对象基本状况</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名称：</w:t>
      </w:r>
      <w:r>
        <w:rPr>
          <w:rFonts w:hint="eastAsia" w:cs="Times New Roman" w:eastAsiaTheme="minorEastAsia"/>
          <w:sz w:val="28"/>
          <w:szCs w:val="28"/>
          <w:lang w:val="en-US" w:eastAsia="zh-CN"/>
        </w:rPr>
        <w:t>常州市武进区湖塘镇花园街159号新天地不夜城12幢12-2026号、12-2027号、12-2028号、12-2029号</w:t>
      </w:r>
      <w:r>
        <w:rPr>
          <w:rFonts w:hint="default" w:ascii="Times New Roman" w:hAnsi="Times New Roman" w:cs="Times New Roman" w:eastAsiaTheme="minorEastAsia"/>
          <w:sz w:val="28"/>
          <w:szCs w:val="28"/>
        </w:rPr>
        <w:t>；</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坐落：位于</w:t>
      </w:r>
      <w:r>
        <w:rPr>
          <w:rFonts w:hint="eastAsia" w:cs="Times New Roman" w:eastAsiaTheme="minorEastAsia"/>
          <w:sz w:val="28"/>
          <w:szCs w:val="28"/>
          <w:lang w:val="en-US" w:eastAsia="zh-CN"/>
        </w:rPr>
        <w:t>常州市武进区湖塘镇花园街159号新天地不夜城12幢2层</w:t>
      </w:r>
      <w:r>
        <w:rPr>
          <w:rFonts w:hint="default" w:ascii="Times New Roman" w:hAnsi="Times New Roman" w:cs="Times New Roman" w:eastAsiaTheme="minorEastAsia"/>
          <w:sz w:val="28"/>
          <w:szCs w:val="28"/>
        </w:rPr>
        <w:t>；</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规模：建筑面积</w:t>
      </w:r>
      <w:r>
        <w:rPr>
          <w:rFonts w:hint="eastAsia" w:cs="Times New Roman" w:eastAsiaTheme="minorEastAsia"/>
          <w:sz w:val="28"/>
          <w:szCs w:val="28"/>
          <w:lang w:val="en-US" w:eastAsia="zh-CN"/>
        </w:rPr>
        <w:t>分别为46.92</w:t>
      </w:r>
      <w:r>
        <w:rPr>
          <w:rFonts w:hint="default" w:ascii="Times New Roman" w:hAnsi="Times New Roman" w:cs="Times New Roman" w:eastAsiaTheme="minorEastAsia"/>
          <w:sz w:val="28"/>
          <w:szCs w:val="28"/>
          <w:lang w:eastAsia="zh-CN"/>
        </w:rPr>
        <w:t>㎡</w:t>
      </w:r>
      <w:r>
        <w:rPr>
          <w:rFonts w:hint="eastAsia" w:cs="Times New Roman" w:eastAsiaTheme="minorEastAsia"/>
          <w:sz w:val="28"/>
          <w:szCs w:val="28"/>
          <w:lang w:eastAsia="zh-CN"/>
        </w:rPr>
        <w:t>、</w:t>
      </w:r>
      <w:r>
        <w:rPr>
          <w:rFonts w:hint="eastAsia" w:cs="Times New Roman" w:eastAsiaTheme="minorEastAsia"/>
          <w:sz w:val="28"/>
          <w:szCs w:val="28"/>
          <w:lang w:val="en-US" w:eastAsia="zh-CN"/>
        </w:rPr>
        <w:t>49.58㎡</w:t>
      </w:r>
      <w:r>
        <w:rPr>
          <w:rFonts w:hint="eastAsia" w:cs="Times New Roman" w:eastAsiaTheme="minorEastAsia"/>
          <w:sz w:val="28"/>
          <w:szCs w:val="28"/>
          <w:lang w:eastAsia="zh-CN"/>
        </w:rPr>
        <w:t>、</w:t>
      </w:r>
      <w:r>
        <w:rPr>
          <w:rFonts w:hint="eastAsia" w:cs="Times New Roman" w:eastAsiaTheme="minorEastAsia"/>
          <w:sz w:val="28"/>
          <w:szCs w:val="28"/>
          <w:lang w:val="en-US" w:eastAsia="zh-CN"/>
        </w:rPr>
        <w:t>53.12㎡</w:t>
      </w:r>
      <w:r>
        <w:rPr>
          <w:rFonts w:hint="eastAsia" w:cs="Times New Roman" w:eastAsiaTheme="minorEastAsia"/>
          <w:sz w:val="28"/>
          <w:szCs w:val="28"/>
          <w:lang w:eastAsia="zh-CN"/>
        </w:rPr>
        <w:t>、</w:t>
      </w:r>
      <w:r>
        <w:rPr>
          <w:rFonts w:hint="eastAsia" w:cs="Times New Roman" w:eastAsiaTheme="minorEastAsia"/>
          <w:sz w:val="28"/>
          <w:szCs w:val="28"/>
          <w:lang w:val="en-US" w:eastAsia="zh-CN"/>
        </w:rPr>
        <w:t>57.54㎡，建筑面积合计为207.16㎡</w:t>
      </w:r>
      <w:r>
        <w:rPr>
          <w:rFonts w:hint="default" w:ascii="Times New Roman" w:hAnsi="Times New Roman" w:cs="Times New Roman" w:eastAsiaTheme="minorEastAsia"/>
          <w:sz w:val="28"/>
          <w:szCs w:val="28"/>
        </w:rPr>
        <w:t>；</w:t>
      </w:r>
    </w:p>
    <w:p>
      <w:pPr>
        <w:spacing w:line="50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sz w:val="28"/>
          <w:szCs w:val="28"/>
        </w:rPr>
        <w:t>用途：</w:t>
      </w:r>
      <w:r>
        <w:rPr>
          <w:rFonts w:hint="eastAsia" w:cs="Times New Roman" w:eastAsiaTheme="minorEastAsia"/>
          <w:sz w:val="28"/>
          <w:szCs w:val="28"/>
          <w:lang w:val="en-US" w:eastAsia="zh-CN"/>
        </w:rPr>
        <w:t>规划用途为商业</w:t>
      </w:r>
      <w:r>
        <w:rPr>
          <w:rFonts w:hint="default" w:ascii="Times New Roman" w:hAnsi="Times New Roman" w:cs="Times New Roman" w:eastAsiaTheme="minorEastAsia"/>
          <w:color w:val="auto"/>
          <w:sz w:val="28"/>
          <w:szCs w:val="28"/>
        </w:rPr>
        <w:t>；</w:t>
      </w:r>
    </w:p>
    <w:p>
      <w:pPr>
        <w:spacing w:line="500" w:lineRule="exact"/>
        <w:ind w:firstLine="560" w:firstLineChars="200"/>
        <w:rPr>
          <w:rFonts w:hint="default" w:ascii="Times New Roman" w:hAnsi="Times New Roman" w:cs="Times New Roman" w:eastAsiaTheme="minorEastAsia"/>
          <w:color w:val="auto"/>
          <w:sz w:val="28"/>
          <w:szCs w:val="28"/>
          <w:lang w:eastAsia="zh-CN"/>
        </w:rPr>
      </w:pPr>
      <w:r>
        <w:rPr>
          <w:rFonts w:hint="eastAsia" w:cs="Times New Roman" w:eastAsiaTheme="minorEastAsia"/>
          <w:color w:val="auto"/>
          <w:sz w:val="28"/>
          <w:szCs w:val="28"/>
          <w:lang w:val="en-US" w:eastAsia="zh-CN"/>
        </w:rPr>
        <w:t>权属</w:t>
      </w:r>
      <w:r>
        <w:rPr>
          <w:rFonts w:hint="default" w:ascii="Times New Roman" w:hAnsi="Times New Roman" w:cs="Times New Roman" w:eastAsiaTheme="minorEastAsia"/>
          <w:color w:val="auto"/>
          <w:sz w:val="28"/>
          <w:szCs w:val="28"/>
        </w:rPr>
        <w:t>：</w:t>
      </w:r>
      <w:r>
        <w:rPr>
          <w:rFonts w:hint="default" w:ascii="Times New Roman" w:hAnsi="Times New Roman" w:cs="Times New Roman" w:eastAsiaTheme="minorEastAsia"/>
          <w:sz w:val="28"/>
          <w:szCs w:val="28"/>
          <w:lang w:val="en-US" w:eastAsia="zh-CN"/>
        </w:rPr>
        <w:t>权利</w:t>
      </w:r>
      <w:r>
        <w:rPr>
          <w:rFonts w:hint="default" w:ascii="Times New Roman" w:hAnsi="Times New Roman" w:cs="Times New Roman" w:eastAsiaTheme="minorEastAsia"/>
          <w:sz w:val="28"/>
          <w:szCs w:val="28"/>
        </w:rPr>
        <w:t>人为</w:t>
      </w:r>
      <w:r>
        <w:rPr>
          <w:rFonts w:hint="eastAsia" w:cs="Times New Roman" w:eastAsiaTheme="minorEastAsia"/>
          <w:sz w:val="28"/>
          <w:szCs w:val="28"/>
          <w:lang w:val="en-US" w:eastAsia="zh-CN"/>
        </w:rPr>
        <w:t>顾云雅</w:t>
      </w:r>
      <w:r>
        <w:rPr>
          <w:rFonts w:hint="default" w:ascii="Times New Roman" w:hAnsi="Times New Roman" w:cs="Times New Roman" w:eastAsiaTheme="minorEastAsia"/>
          <w:color w:val="auto"/>
          <w:sz w:val="28"/>
          <w:szCs w:val="28"/>
          <w:lang w:eastAsia="zh-CN"/>
        </w:rPr>
        <w:t>；</w:t>
      </w:r>
    </w:p>
    <w:p>
      <w:pPr>
        <w:spacing w:line="500" w:lineRule="exact"/>
        <w:ind w:firstLine="560" w:firstLineChars="200"/>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共有情况：</w:t>
      </w:r>
      <w:r>
        <w:rPr>
          <w:rFonts w:hint="eastAsia" w:cs="Times New Roman" w:eastAsiaTheme="minorEastAsia"/>
          <w:sz w:val="28"/>
          <w:szCs w:val="28"/>
          <w:lang w:val="en-US" w:eastAsia="zh-CN"/>
        </w:rPr>
        <w:t>单独所有</w:t>
      </w:r>
      <w:r>
        <w:rPr>
          <w:rFonts w:hint="default" w:ascii="Times New Roman" w:hAnsi="Times New Roman" w:cs="Times New Roman" w:eastAsiaTheme="minorEastAsia"/>
          <w:sz w:val="28"/>
          <w:szCs w:val="28"/>
          <w:lang w:val="en-US" w:eastAsia="zh-CN"/>
        </w:rPr>
        <w:t>。</w:t>
      </w:r>
    </w:p>
    <w:p>
      <w:pPr>
        <w:spacing w:line="500" w:lineRule="exact"/>
        <w:ind w:firstLine="560" w:firstLineChars="200"/>
        <w:rPr>
          <w:rFonts w:hint="eastAsia"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rPr>
        <w:t>根据委托方提供的《</w:t>
      </w:r>
      <w:r>
        <w:rPr>
          <w:rFonts w:hint="default" w:ascii="Times New Roman" w:hAnsi="Times New Roman" w:cs="Times New Roman" w:eastAsiaTheme="minorEastAsia"/>
          <w:sz w:val="28"/>
          <w:szCs w:val="28"/>
          <w:lang w:eastAsia="zh-CN"/>
        </w:rPr>
        <w:t>不动产登记簿查询</w:t>
      </w:r>
      <w:r>
        <w:rPr>
          <w:rFonts w:hint="eastAsia" w:ascii="Times New Roman" w:hAnsi="Times New Roman" w:cs="Times New Roman" w:eastAsiaTheme="minorEastAsia"/>
          <w:sz w:val="28"/>
          <w:szCs w:val="28"/>
          <w:lang w:val="en-US" w:eastAsia="zh-CN"/>
        </w:rPr>
        <w:t>结果</w:t>
      </w:r>
      <w:r>
        <w:rPr>
          <w:rFonts w:hint="default" w:ascii="Times New Roman" w:hAnsi="Times New Roman" w:cs="Times New Roman" w:eastAsiaTheme="minorEastAsia"/>
          <w:sz w:val="28"/>
          <w:szCs w:val="28"/>
        </w:rPr>
        <w:t>》复印件，估价对象不动产权利登记状况如下表</w:t>
      </w:r>
      <w:r>
        <w:rPr>
          <w:rFonts w:hint="eastAsia" w:ascii="Times New Roman" w:hAnsi="Times New Roman" w:cs="Times New Roman" w:eastAsiaTheme="minorEastAsia"/>
          <w:sz w:val="28"/>
          <w:szCs w:val="28"/>
          <w:lang w:eastAsia="zh-CN"/>
        </w:rPr>
        <w:t>：</w:t>
      </w:r>
    </w:p>
    <w:p>
      <w:pPr>
        <w:spacing w:line="500" w:lineRule="exact"/>
        <w:rPr>
          <w:rFonts w:hint="default" w:ascii="Times New Roman" w:hAnsi="Times New Roman" w:cs="Times New Roman" w:eastAsiaTheme="minorEastAsia"/>
          <w:sz w:val="28"/>
          <w:szCs w:val="28"/>
          <w:lang w:val="en-US" w:eastAsia="zh-CN"/>
        </w:rPr>
      </w:pPr>
      <w:r>
        <w:rPr>
          <w:rFonts w:hint="eastAsia" w:cs="Times New Roman" w:eastAsiaTheme="minorEastAsia"/>
          <w:sz w:val="28"/>
          <w:szCs w:val="28"/>
          <w:lang w:val="en-US" w:eastAsia="zh-CN"/>
        </w:rPr>
        <w:t>12-2026号</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1113"/>
        <w:gridCol w:w="1057"/>
        <w:gridCol w:w="1250"/>
        <w:gridCol w:w="1710"/>
        <w:gridCol w:w="1110"/>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房屋所有权/</w:t>
            </w:r>
            <w:r>
              <w:rPr>
                <w:rFonts w:hint="eastAsia" w:ascii="Times New Roman" w:hAnsi="Times New Roman" w:cs="Times New Roman" w:eastAsiaTheme="minorEastAsia"/>
                <w:sz w:val="24"/>
                <w:szCs w:val="24"/>
                <w:vertAlign w:val="baseline"/>
                <w:lang w:val="en-US" w:eastAsia="zh-CN"/>
              </w:rPr>
              <w:t>不动产</w:t>
            </w:r>
            <w:r>
              <w:rPr>
                <w:rFonts w:hint="default" w:ascii="Times New Roman" w:hAnsi="Times New Roman" w:cs="Times New Roman" w:eastAsiaTheme="minorEastAsia"/>
                <w:sz w:val="24"/>
                <w:szCs w:val="24"/>
                <w:vertAlign w:val="baseline"/>
                <w:lang w:val="en-US" w:eastAsia="zh-CN"/>
              </w:rPr>
              <w:t>权证号</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00715187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不动产单元号</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32040</w:t>
            </w:r>
            <w:r>
              <w:rPr>
                <w:rFonts w:hint="eastAsia" w:cs="Times New Roman" w:eastAsiaTheme="minorEastAsia"/>
                <w:sz w:val="24"/>
                <w:szCs w:val="24"/>
                <w:vertAlign w:val="baseline"/>
                <w:lang w:val="en-US" w:eastAsia="zh-CN"/>
              </w:rPr>
              <w:t>0000</w:t>
            </w:r>
            <w:r>
              <w:rPr>
                <w:rFonts w:hint="eastAsia" w:ascii="Times New Roman" w:hAnsi="Times New Roman" w:cs="Times New Roman" w:eastAsiaTheme="minorEastAsia"/>
                <w:sz w:val="24"/>
                <w:szCs w:val="24"/>
                <w:vertAlign w:val="baseline"/>
                <w:lang w:val="en-US" w:eastAsia="zh-CN"/>
              </w:rPr>
              <w:t>000GB0</w:t>
            </w:r>
            <w:r>
              <w:rPr>
                <w:rFonts w:hint="eastAsia" w:cs="Times New Roman" w:eastAsiaTheme="minorEastAsia"/>
                <w:sz w:val="24"/>
                <w:szCs w:val="24"/>
                <w:vertAlign w:val="baseline"/>
                <w:lang w:val="en-US" w:eastAsia="zh-CN"/>
              </w:rPr>
              <w:t>0000</w:t>
            </w:r>
            <w:r>
              <w:rPr>
                <w:rFonts w:hint="eastAsia" w:ascii="Times New Roman" w:hAnsi="Times New Roman" w:cs="Times New Roman" w:eastAsiaTheme="minorEastAsia"/>
                <w:sz w:val="24"/>
                <w:szCs w:val="24"/>
                <w:vertAlign w:val="baseline"/>
                <w:lang w:val="en-US" w:eastAsia="zh-CN"/>
              </w:rPr>
              <w:t>F</w:t>
            </w:r>
            <w:r>
              <w:rPr>
                <w:rFonts w:hint="eastAsia" w:cs="Times New Roman" w:eastAsiaTheme="minorEastAsia"/>
                <w:sz w:val="24"/>
                <w:szCs w:val="24"/>
                <w:vertAlign w:val="baseline"/>
                <w:lang w:val="en-US" w:eastAsia="zh-CN"/>
              </w:rPr>
              <w:t>98295009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权利人</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顾云雅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土地使用权证</w:t>
            </w:r>
            <w:r>
              <w:rPr>
                <w:rFonts w:hint="default" w:ascii="Times New Roman" w:hAnsi="Times New Roman" w:cs="Times New Roman" w:eastAsiaTheme="minorEastAsia"/>
                <w:sz w:val="24"/>
                <w:szCs w:val="24"/>
                <w:vertAlign w:val="baseline"/>
                <w:lang w:val="en-US" w:eastAsia="zh-CN"/>
              </w:rPr>
              <w:t>号</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登记</w:t>
            </w:r>
            <w:r>
              <w:rPr>
                <w:rFonts w:hint="eastAsia" w:ascii="Times New Roman" w:hAnsi="Times New Roman" w:cs="Times New Roman" w:eastAsiaTheme="minorEastAsia"/>
                <w:sz w:val="24"/>
                <w:szCs w:val="24"/>
                <w:vertAlign w:val="baseline"/>
                <w:lang w:val="en-US" w:eastAsia="zh-CN"/>
              </w:rPr>
              <w:t>时间</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20</w:t>
            </w:r>
            <w:r>
              <w:rPr>
                <w:rFonts w:hint="eastAsia" w:cs="Times New Roman" w:eastAsiaTheme="minorEastAsia"/>
                <w:sz w:val="24"/>
                <w:szCs w:val="24"/>
                <w:vertAlign w:val="baseline"/>
                <w:lang w:val="en-US" w:eastAsia="zh-CN"/>
              </w:rPr>
              <w:t>14/8/27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坐落</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lang w:val="en-US" w:eastAsia="zh-CN"/>
              </w:rPr>
              <w:t>湖塘镇花园街159号新天地不夜城12幢12-2026号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7"/>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房屋信息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房屋户室号</w:t>
            </w:r>
          </w:p>
        </w:tc>
        <w:tc>
          <w:tcPr>
            <w:tcW w:w="2170" w:type="dxa"/>
            <w:gridSpan w:val="2"/>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房屋建筑面积（m</w:t>
            </w:r>
            <w:r>
              <w:rPr>
                <w:rFonts w:hint="default"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vertAlign w:val="baseline"/>
                <w:lang w:val="en-US" w:eastAsia="zh-CN"/>
              </w:rPr>
              <w:t>）</w:t>
            </w:r>
          </w:p>
        </w:tc>
        <w:tc>
          <w:tcPr>
            <w:tcW w:w="125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规划</w:t>
            </w:r>
            <w:r>
              <w:rPr>
                <w:rFonts w:hint="default" w:ascii="Times New Roman" w:hAnsi="Times New Roman" w:cs="Times New Roman" w:eastAsiaTheme="minorEastAsia"/>
                <w:sz w:val="24"/>
                <w:szCs w:val="24"/>
                <w:vertAlign w:val="baseline"/>
                <w:lang w:val="en-US" w:eastAsia="zh-CN"/>
              </w:rPr>
              <w:t>用途</w:t>
            </w:r>
          </w:p>
        </w:tc>
        <w:tc>
          <w:tcPr>
            <w:tcW w:w="171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房屋结构</w:t>
            </w:r>
          </w:p>
        </w:tc>
        <w:tc>
          <w:tcPr>
            <w:tcW w:w="111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总层数</w:t>
            </w:r>
          </w:p>
        </w:tc>
        <w:tc>
          <w:tcPr>
            <w:tcW w:w="1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所在层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12幢12-2026号</w:t>
            </w:r>
          </w:p>
        </w:tc>
        <w:tc>
          <w:tcPr>
            <w:tcW w:w="2170" w:type="dxa"/>
            <w:gridSpan w:val="2"/>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46.92</w:t>
            </w:r>
          </w:p>
        </w:tc>
        <w:tc>
          <w:tcPr>
            <w:tcW w:w="125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商业</w:t>
            </w:r>
          </w:p>
        </w:tc>
        <w:tc>
          <w:tcPr>
            <w:tcW w:w="1710" w:type="dxa"/>
            <w:vAlign w:val="center"/>
          </w:tcPr>
          <w:p>
            <w:pPr>
              <w:spacing w:line="500" w:lineRule="exact"/>
              <w:ind w:firstLine="240" w:firstLineChars="100"/>
              <w:jc w:val="both"/>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钢混结构</w:t>
            </w:r>
          </w:p>
        </w:tc>
        <w:tc>
          <w:tcPr>
            <w:tcW w:w="111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27</w:t>
            </w:r>
          </w:p>
        </w:tc>
        <w:tc>
          <w:tcPr>
            <w:tcW w:w="1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2</w:t>
            </w:r>
          </w:p>
        </w:tc>
      </w:tr>
    </w:tbl>
    <w:p>
      <w:pPr>
        <w:spacing w:line="500" w:lineRule="exact"/>
        <w:rPr>
          <w:rFonts w:hint="default" w:ascii="Times New Roman" w:hAnsi="Times New Roman" w:cs="Times New Roman" w:eastAsiaTheme="minorEastAsia"/>
          <w:sz w:val="28"/>
          <w:szCs w:val="28"/>
          <w:lang w:val="en-US" w:eastAsia="zh-CN"/>
        </w:rPr>
      </w:pPr>
      <w:r>
        <w:rPr>
          <w:rFonts w:hint="eastAsia" w:cs="Times New Roman" w:eastAsiaTheme="minorEastAsia"/>
          <w:sz w:val="28"/>
          <w:szCs w:val="28"/>
          <w:lang w:val="en-US" w:eastAsia="zh-CN"/>
        </w:rPr>
        <w:t>12-2027号</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1113"/>
        <w:gridCol w:w="1057"/>
        <w:gridCol w:w="1250"/>
        <w:gridCol w:w="1710"/>
        <w:gridCol w:w="1110"/>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房屋所有权/</w:t>
            </w:r>
            <w:r>
              <w:rPr>
                <w:rFonts w:hint="eastAsia" w:ascii="Times New Roman" w:hAnsi="Times New Roman" w:cs="Times New Roman" w:eastAsiaTheme="minorEastAsia"/>
                <w:sz w:val="24"/>
                <w:szCs w:val="24"/>
                <w:vertAlign w:val="baseline"/>
                <w:lang w:val="en-US" w:eastAsia="zh-CN"/>
              </w:rPr>
              <w:t>不动产</w:t>
            </w:r>
            <w:r>
              <w:rPr>
                <w:rFonts w:hint="default" w:ascii="Times New Roman" w:hAnsi="Times New Roman" w:cs="Times New Roman" w:eastAsiaTheme="minorEastAsia"/>
                <w:sz w:val="24"/>
                <w:szCs w:val="24"/>
                <w:vertAlign w:val="baseline"/>
                <w:lang w:val="en-US" w:eastAsia="zh-CN"/>
              </w:rPr>
              <w:t>权证号</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00715841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不动产单元号</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32040</w:t>
            </w:r>
            <w:r>
              <w:rPr>
                <w:rFonts w:hint="eastAsia" w:cs="Times New Roman" w:eastAsiaTheme="minorEastAsia"/>
                <w:sz w:val="24"/>
                <w:szCs w:val="24"/>
                <w:vertAlign w:val="baseline"/>
                <w:lang w:val="en-US" w:eastAsia="zh-CN"/>
              </w:rPr>
              <w:t>0000</w:t>
            </w:r>
            <w:r>
              <w:rPr>
                <w:rFonts w:hint="eastAsia" w:ascii="Times New Roman" w:hAnsi="Times New Roman" w:cs="Times New Roman" w:eastAsiaTheme="minorEastAsia"/>
                <w:sz w:val="24"/>
                <w:szCs w:val="24"/>
                <w:vertAlign w:val="baseline"/>
                <w:lang w:val="en-US" w:eastAsia="zh-CN"/>
              </w:rPr>
              <w:t>000GB0</w:t>
            </w:r>
            <w:r>
              <w:rPr>
                <w:rFonts w:hint="eastAsia" w:cs="Times New Roman" w:eastAsiaTheme="minorEastAsia"/>
                <w:sz w:val="24"/>
                <w:szCs w:val="24"/>
                <w:vertAlign w:val="baseline"/>
                <w:lang w:val="en-US" w:eastAsia="zh-CN"/>
              </w:rPr>
              <w:t>0000</w:t>
            </w:r>
            <w:r>
              <w:rPr>
                <w:rFonts w:hint="eastAsia" w:ascii="Times New Roman" w:hAnsi="Times New Roman" w:cs="Times New Roman" w:eastAsiaTheme="minorEastAsia"/>
                <w:sz w:val="24"/>
                <w:szCs w:val="24"/>
                <w:vertAlign w:val="baseline"/>
                <w:lang w:val="en-US" w:eastAsia="zh-CN"/>
              </w:rPr>
              <w:t>F</w:t>
            </w:r>
            <w:r>
              <w:rPr>
                <w:rFonts w:hint="eastAsia" w:cs="Times New Roman" w:eastAsiaTheme="minorEastAsia"/>
                <w:sz w:val="24"/>
                <w:szCs w:val="24"/>
                <w:vertAlign w:val="baseline"/>
                <w:lang w:val="en-US" w:eastAsia="zh-CN"/>
              </w:rPr>
              <w:t>98295014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权利人</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顾云雅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土地使用权证</w:t>
            </w:r>
            <w:r>
              <w:rPr>
                <w:rFonts w:hint="default" w:ascii="Times New Roman" w:hAnsi="Times New Roman" w:cs="Times New Roman" w:eastAsiaTheme="minorEastAsia"/>
                <w:sz w:val="24"/>
                <w:szCs w:val="24"/>
                <w:vertAlign w:val="baseline"/>
                <w:lang w:val="en-US" w:eastAsia="zh-CN"/>
              </w:rPr>
              <w:t>号</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登记</w:t>
            </w:r>
            <w:r>
              <w:rPr>
                <w:rFonts w:hint="eastAsia" w:ascii="Times New Roman" w:hAnsi="Times New Roman" w:cs="Times New Roman" w:eastAsiaTheme="minorEastAsia"/>
                <w:sz w:val="24"/>
                <w:szCs w:val="24"/>
                <w:vertAlign w:val="baseline"/>
                <w:lang w:val="en-US" w:eastAsia="zh-CN"/>
              </w:rPr>
              <w:t>时间</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20</w:t>
            </w:r>
            <w:r>
              <w:rPr>
                <w:rFonts w:hint="eastAsia" w:cs="Times New Roman" w:eastAsiaTheme="minorEastAsia"/>
                <w:sz w:val="24"/>
                <w:szCs w:val="24"/>
                <w:vertAlign w:val="baseline"/>
                <w:lang w:val="en-US" w:eastAsia="zh-CN"/>
              </w:rPr>
              <w:t>14/8/27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坐落</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lang w:val="en-US" w:eastAsia="zh-CN"/>
              </w:rPr>
              <w:t>湖塘镇花园街159号新天地不夜城12幢12-2027号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7"/>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房屋信息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房屋户室号</w:t>
            </w:r>
          </w:p>
        </w:tc>
        <w:tc>
          <w:tcPr>
            <w:tcW w:w="2170" w:type="dxa"/>
            <w:gridSpan w:val="2"/>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房屋建筑面积（m</w:t>
            </w:r>
            <w:r>
              <w:rPr>
                <w:rFonts w:hint="default"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vertAlign w:val="baseline"/>
                <w:lang w:val="en-US" w:eastAsia="zh-CN"/>
              </w:rPr>
              <w:t>）</w:t>
            </w:r>
          </w:p>
        </w:tc>
        <w:tc>
          <w:tcPr>
            <w:tcW w:w="125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规划</w:t>
            </w:r>
            <w:r>
              <w:rPr>
                <w:rFonts w:hint="default" w:ascii="Times New Roman" w:hAnsi="Times New Roman" w:cs="Times New Roman" w:eastAsiaTheme="minorEastAsia"/>
                <w:sz w:val="24"/>
                <w:szCs w:val="24"/>
                <w:vertAlign w:val="baseline"/>
                <w:lang w:val="en-US" w:eastAsia="zh-CN"/>
              </w:rPr>
              <w:t>用途</w:t>
            </w:r>
          </w:p>
        </w:tc>
        <w:tc>
          <w:tcPr>
            <w:tcW w:w="171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房屋结构</w:t>
            </w:r>
          </w:p>
        </w:tc>
        <w:tc>
          <w:tcPr>
            <w:tcW w:w="111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总层数</w:t>
            </w:r>
          </w:p>
        </w:tc>
        <w:tc>
          <w:tcPr>
            <w:tcW w:w="1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所在层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12幢12-2027号</w:t>
            </w:r>
          </w:p>
        </w:tc>
        <w:tc>
          <w:tcPr>
            <w:tcW w:w="2170" w:type="dxa"/>
            <w:gridSpan w:val="2"/>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49.58</w:t>
            </w:r>
          </w:p>
        </w:tc>
        <w:tc>
          <w:tcPr>
            <w:tcW w:w="125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商业</w:t>
            </w:r>
          </w:p>
        </w:tc>
        <w:tc>
          <w:tcPr>
            <w:tcW w:w="1710" w:type="dxa"/>
            <w:vAlign w:val="center"/>
          </w:tcPr>
          <w:p>
            <w:pPr>
              <w:spacing w:line="500" w:lineRule="exact"/>
              <w:ind w:firstLine="240" w:firstLineChars="100"/>
              <w:jc w:val="both"/>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钢混结构</w:t>
            </w:r>
          </w:p>
        </w:tc>
        <w:tc>
          <w:tcPr>
            <w:tcW w:w="111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27</w:t>
            </w:r>
          </w:p>
        </w:tc>
        <w:tc>
          <w:tcPr>
            <w:tcW w:w="1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2</w:t>
            </w:r>
          </w:p>
        </w:tc>
      </w:tr>
    </w:tbl>
    <w:p>
      <w:pPr>
        <w:spacing w:line="500" w:lineRule="exact"/>
        <w:rPr>
          <w:rFonts w:hint="default" w:ascii="Times New Roman" w:hAnsi="Times New Roman" w:cs="Times New Roman" w:eastAsiaTheme="minorEastAsia"/>
          <w:sz w:val="28"/>
          <w:szCs w:val="28"/>
          <w:lang w:val="en-US" w:eastAsia="zh-CN"/>
        </w:rPr>
      </w:pPr>
      <w:r>
        <w:rPr>
          <w:rFonts w:hint="eastAsia" w:cs="Times New Roman" w:eastAsiaTheme="minorEastAsia"/>
          <w:sz w:val="28"/>
          <w:szCs w:val="28"/>
          <w:lang w:val="en-US" w:eastAsia="zh-CN"/>
        </w:rPr>
        <w:t>12-2028号</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1113"/>
        <w:gridCol w:w="1057"/>
        <w:gridCol w:w="1250"/>
        <w:gridCol w:w="1710"/>
        <w:gridCol w:w="1110"/>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房屋所有权/</w:t>
            </w:r>
            <w:r>
              <w:rPr>
                <w:rFonts w:hint="eastAsia" w:ascii="Times New Roman" w:hAnsi="Times New Roman" w:cs="Times New Roman" w:eastAsiaTheme="minorEastAsia"/>
                <w:sz w:val="24"/>
                <w:szCs w:val="24"/>
                <w:vertAlign w:val="baseline"/>
                <w:lang w:val="en-US" w:eastAsia="zh-CN"/>
              </w:rPr>
              <w:t>不动产</w:t>
            </w:r>
            <w:r>
              <w:rPr>
                <w:rFonts w:hint="default" w:ascii="Times New Roman" w:hAnsi="Times New Roman" w:cs="Times New Roman" w:eastAsiaTheme="minorEastAsia"/>
                <w:sz w:val="24"/>
                <w:szCs w:val="24"/>
                <w:vertAlign w:val="baseline"/>
                <w:lang w:val="en-US" w:eastAsia="zh-CN"/>
              </w:rPr>
              <w:t>权证号</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00715188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不动产单元号</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32040</w:t>
            </w:r>
            <w:r>
              <w:rPr>
                <w:rFonts w:hint="eastAsia" w:cs="Times New Roman" w:eastAsiaTheme="minorEastAsia"/>
                <w:sz w:val="24"/>
                <w:szCs w:val="24"/>
                <w:vertAlign w:val="baseline"/>
                <w:lang w:val="en-US" w:eastAsia="zh-CN"/>
              </w:rPr>
              <w:t>0000</w:t>
            </w:r>
            <w:r>
              <w:rPr>
                <w:rFonts w:hint="eastAsia" w:ascii="Times New Roman" w:hAnsi="Times New Roman" w:cs="Times New Roman" w:eastAsiaTheme="minorEastAsia"/>
                <w:sz w:val="24"/>
                <w:szCs w:val="24"/>
                <w:vertAlign w:val="baseline"/>
                <w:lang w:val="en-US" w:eastAsia="zh-CN"/>
              </w:rPr>
              <w:t>000GB0</w:t>
            </w:r>
            <w:r>
              <w:rPr>
                <w:rFonts w:hint="eastAsia" w:cs="Times New Roman" w:eastAsiaTheme="minorEastAsia"/>
                <w:sz w:val="24"/>
                <w:szCs w:val="24"/>
                <w:vertAlign w:val="baseline"/>
                <w:lang w:val="en-US" w:eastAsia="zh-CN"/>
              </w:rPr>
              <w:t>0000</w:t>
            </w:r>
            <w:r>
              <w:rPr>
                <w:rFonts w:hint="eastAsia" w:ascii="Times New Roman" w:hAnsi="Times New Roman" w:cs="Times New Roman" w:eastAsiaTheme="minorEastAsia"/>
                <w:sz w:val="24"/>
                <w:szCs w:val="24"/>
                <w:vertAlign w:val="baseline"/>
                <w:lang w:val="en-US" w:eastAsia="zh-CN"/>
              </w:rPr>
              <w:t>F</w:t>
            </w:r>
            <w:r>
              <w:rPr>
                <w:rFonts w:hint="eastAsia" w:cs="Times New Roman" w:eastAsiaTheme="minorEastAsia"/>
                <w:sz w:val="24"/>
                <w:szCs w:val="24"/>
                <w:vertAlign w:val="baseline"/>
                <w:lang w:val="en-US" w:eastAsia="zh-CN"/>
              </w:rPr>
              <w:t>98295006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权利人</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顾云雅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土地使用权证</w:t>
            </w:r>
            <w:r>
              <w:rPr>
                <w:rFonts w:hint="default" w:ascii="Times New Roman" w:hAnsi="Times New Roman" w:cs="Times New Roman" w:eastAsiaTheme="minorEastAsia"/>
                <w:sz w:val="24"/>
                <w:szCs w:val="24"/>
                <w:vertAlign w:val="baseline"/>
                <w:lang w:val="en-US" w:eastAsia="zh-CN"/>
              </w:rPr>
              <w:t>号</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登记</w:t>
            </w:r>
            <w:r>
              <w:rPr>
                <w:rFonts w:hint="eastAsia" w:ascii="Times New Roman" w:hAnsi="Times New Roman" w:cs="Times New Roman" w:eastAsiaTheme="minorEastAsia"/>
                <w:sz w:val="24"/>
                <w:szCs w:val="24"/>
                <w:vertAlign w:val="baseline"/>
                <w:lang w:val="en-US" w:eastAsia="zh-CN"/>
              </w:rPr>
              <w:t>时间</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20</w:t>
            </w:r>
            <w:r>
              <w:rPr>
                <w:rFonts w:hint="eastAsia" w:cs="Times New Roman" w:eastAsiaTheme="minorEastAsia"/>
                <w:sz w:val="24"/>
                <w:szCs w:val="24"/>
                <w:vertAlign w:val="baseline"/>
                <w:lang w:val="en-US" w:eastAsia="zh-CN"/>
              </w:rPr>
              <w:t>14/8/27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坐落</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lang w:val="en-US" w:eastAsia="zh-CN"/>
              </w:rPr>
              <w:t>湖塘镇花园街159号新天地不夜城12幢12-2028号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7"/>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房屋信息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房屋户室号</w:t>
            </w:r>
          </w:p>
        </w:tc>
        <w:tc>
          <w:tcPr>
            <w:tcW w:w="2170" w:type="dxa"/>
            <w:gridSpan w:val="2"/>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房屋建筑面积（m</w:t>
            </w:r>
            <w:r>
              <w:rPr>
                <w:rFonts w:hint="default"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vertAlign w:val="baseline"/>
                <w:lang w:val="en-US" w:eastAsia="zh-CN"/>
              </w:rPr>
              <w:t>）</w:t>
            </w:r>
          </w:p>
        </w:tc>
        <w:tc>
          <w:tcPr>
            <w:tcW w:w="125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规划</w:t>
            </w:r>
            <w:r>
              <w:rPr>
                <w:rFonts w:hint="default" w:ascii="Times New Roman" w:hAnsi="Times New Roman" w:cs="Times New Roman" w:eastAsiaTheme="minorEastAsia"/>
                <w:sz w:val="24"/>
                <w:szCs w:val="24"/>
                <w:vertAlign w:val="baseline"/>
                <w:lang w:val="en-US" w:eastAsia="zh-CN"/>
              </w:rPr>
              <w:t>用途</w:t>
            </w:r>
          </w:p>
        </w:tc>
        <w:tc>
          <w:tcPr>
            <w:tcW w:w="171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房屋结构</w:t>
            </w:r>
          </w:p>
        </w:tc>
        <w:tc>
          <w:tcPr>
            <w:tcW w:w="111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总层数</w:t>
            </w:r>
          </w:p>
        </w:tc>
        <w:tc>
          <w:tcPr>
            <w:tcW w:w="1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所在层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12幢12-2028号</w:t>
            </w:r>
          </w:p>
        </w:tc>
        <w:tc>
          <w:tcPr>
            <w:tcW w:w="2170" w:type="dxa"/>
            <w:gridSpan w:val="2"/>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53.12</w:t>
            </w:r>
          </w:p>
        </w:tc>
        <w:tc>
          <w:tcPr>
            <w:tcW w:w="125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商业</w:t>
            </w:r>
          </w:p>
        </w:tc>
        <w:tc>
          <w:tcPr>
            <w:tcW w:w="1710" w:type="dxa"/>
            <w:vAlign w:val="center"/>
          </w:tcPr>
          <w:p>
            <w:pPr>
              <w:spacing w:line="500" w:lineRule="exact"/>
              <w:ind w:firstLine="240" w:firstLineChars="100"/>
              <w:jc w:val="both"/>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钢混结构</w:t>
            </w:r>
          </w:p>
        </w:tc>
        <w:tc>
          <w:tcPr>
            <w:tcW w:w="111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27</w:t>
            </w:r>
          </w:p>
        </w:tc>
        <w:tc>
          <w:tcPr>
            <w:tcW w:w="1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2</w:t>
            </w:r>
          </w:p>
        </w:tc>
      </w:tr>
    </w:tbl>
    <w:p>
      <w:pPr>
        <w:spacing w:line="500" w:lineRule="exact"/>
        <w:rPr>
          <w:rFonts w:hint="default" w:ascii="Times New Roman" w:hAnsi="Times New Roman" w:cs="Times New Roman" w:eastAsiaTheme="minorEastAsia"/>
          <w:sz w:val="28"/>
          <w:szCs w:val="28"/>
          <w:lang w:val="en-US" w:eastAsia="zh-CN"/>
        </w:rPr>
      </w:pPr>
      <w:r>
        <w:rPr>
          <w:rFonts w:hint="eastAsia" w:cs="Times New Roman" w:eastAsiaTheme="minorEastAsia"/>
          <w:sz w:val="28"/>
          <w:szCs w:val="28"/>
          <w:lang w:val="en-US" w:eastAsia="zh-CN"/>
        </w:rPr>
        <w:t>12-2029号</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1113"/>
        <w:gridCol w:w="1057"/>
        <w:gridCol w:w="1250"/>
        <w:gridCol w:w="1710"/>
        <w:gridCol w:w="1110"/>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房屋所有权/</w:t>
            </w:r>
            <w:r>
              <w:rPr>
                <w:rFonts w:hint="eastAsia" w:ascii="Times New Roman" w:hAnsi="Times New Roman" w:cs="Times New Roman" w:eastAsiaTheme="minorEastAsia"/>
                <w:sz w:val="24"/>
                <w:szCs w:val="24"/>
                <w:vertAlign w:val="baseline"/>
                <w:lang w:val="en-US" w:eastAsia="zh-CN"/>
              </w:rPr>
              <w:t>不动产</w:t>
            </w:r>
            <w:r>
              <w:rPr>
                <w:rFonts w:hint="default" w:ascii="Times New Roman" w:hAnsi="Times New Roman" w:cs="Times New Roman" w:eastAsiaTheme="minorEastAsia"/>
                <w:sz w:val="24"/>
                <w:szCs w:val="24"/>
                <w:vertAlign w:val="baseline"/>
                <w:lang w:val="en-US" w:eastAsia="zh-CN"/>
              </w:rPr>
              <w:t>权证号</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00715190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不动产单元号</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32040</w:t>
            </w:r>
            <w:r>
              <w:rPr>
                <w:rFonts w:hint="eastAsia" w:cs="Times New Roman" w:eastAsiaTheme="minorEastAsia"/>
                <w:sz w:val="24"/>
                <w:szCs w:val="24"/>
                <w:vertAlign w:val="baseline"/>
                <w:lang w:val="en-US" w:eastAsia="zh-CN"/>
              </w:rPr>
              <w:t>0000</w:t>
            </w:r>
            <w:r>
              <w:rPr>
                <w:rFonts w:hint="eastAsia" w:ascii="Times New Roman" w:hAnsi="Times New Roman" w:cs="Times New Roman" w:eastAsiaTheme="minorEastAsia"/>
                <w:sz w:val="24"/>
                <w:szCs w:val="24"/>
                <w:vertAlign w:val="baseline"/>
                <w:lang w:val="en-US" w:eastAsia="zh-CN"/>
              </w:rPr>
              <w:t>000GB0</w:t>
            </w:r>
            <w:r>
              <w:rPr>
                <w:rFonts w:hint="eastAsia" w:cs="Times New Roman" w:eastAsiaTheme="minorEastAsia"/>
                <w:sz w:val="24"/>
                <w:szCs w:val="24"/>
                <w:vertAlign w:val="baseline"/>
                <w:lang w:val="en-US" w:eastAsia="zh-CN"/>
              </w:rPr>
              <w:t>0000</w:t>
            </w:r>
            <w:r>
              <w:rPr>
                <w:rFonts w:hint="eastAsia" w:ascii="Times New Roman" w:hAnsi="Times New Roman" w:cs="Times New Roman" w:eastAsiaTheme="minorEastAsia"/>
                <w:sz w:val="24"/>
                <w:szCs w:val="24"/>
                <w:vertAlign w:val="baseline"/>
                <w:lang w:val="en-US" w:eastAsia="zh-CN"/>
              </w:rPr>
              <w:t>F</w:t>
            </w:r>
            <w:r>
              <w:rPr>
                <w:rFonts w:hint="eastAsia" w:cs="Times New Roman" w:eastAsiaTheme="minorEastAsia"/>
                <w:sz w:val="24"/>
                <w:szCs w:val="24"/>
                <w:vertAlign w:val="baseline"/>
                <w:lang w:val="en-US" w:eastAsia="zh-CN"/>
              </w:rPr>
              <w:t>98295005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权利人</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顾云雅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土地使用权证</w:t>
            </w:r>
            <w:r>
              <w:rPr>
                <w:rFonts w:hint="default" w:ascii="Times New Roman" w:hAnsi="Times New Roman" w:cs="Times New Roman" w:eastAsiaTheme="minorEastAsia"/>
                <w:sz w:val="24"/>
                <w:szCs w:val="24"/>
                <w:vertAlign w:val="baseline"/>
                <w:lang w:val="en-US" w:eastAsia="zh-CN"/>
              </w:rPr>
              <w:t>号</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登记</w:t>
            </w:r>
            <w:r>
              <w:rPr>
                <w:rFonts w:hint="eastAsia" w:ascii="Times New Roman" w:hAnsi="Times New Roman" w:cs="Times New Roman" w:eastAsiaTheme="minorEastAsia"/>
                <w:sz w:val="24"/>
                <w:szCs w:val="24"/>
                <w:vertAlign w:val="baseline"/>
                <w:lang w:val="en-US" w:eastAsia="zh-CN"/>
              </w:rPr>
              <w:t>时间</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20</w:t>
            </w:r>
            <w:r>
              <w:rPr>
                <w:rFonts w:hint="eastAsia" w:cs="Times New Roman" w:eastAsiaTheme="minorEastAsia"/>
                <w:sz w:val="24"/>
                <w:szCs w:val="24"/>
                <w:vertAlign w:val="baseline"/>
                <w:lang w:val="en-US" w:eastAsia="zh-CN"/>
              </w:rPr>
              <w:t>14/8/27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坐落</w:t>
            </w:r>
          </w:p>
        </w:tc>
        <w:tc>
          <w:tcPr>
            <w:tcW w:w="6151" w:type="dxa"/>
            <w:gridSpan w:val="5"/>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lang w:val="en-US" w:eastAsia="zh-CN"/>
              </w:rPr>
              <w:t>湖塘镇花园街159号新天地不夜城12幢12-2029号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7"/>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房屋信息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房屋户室号</w:t>
            </w:r>
          </w:p>
        </w:tc>
        <w:tc>
          <w:tcPr>
            <w:tcW w:w="2170" w:type="dxa"/>
            <w:gridSpan w:val="2"/>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房屋建筑面积（m</w:t>
            </w:r>
            <w:r>
              <w:rPr>
                <w:rFonts w:hint="default"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vertAlign w:val="baseline"/>
                <w:lang w:val="en-US" w:eastAsia="zh-CN"/>
              </w:rPr>
              <w:t>）</w:t>
            </w:r>
          </w:p>
        </w:tc>
        <w:tc>
          <w:tcPr>
            <w:tcW w:w="125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规划</w:t>
            </w:r>
            <w:r>
              <w:rPr>
                <w:rFonts w:hint="default" w:ascii="Times New Roman" w:hAnsi="Times New Roman" w:cs="Times New Roman" w:eastAsiaTheme="minorEastAsia"/>
                <w:sz w:val="24"/>
                <w:szCs w:val="24"/>
                <w:vertAlign w:val="baseline"/>
                <w:lang w:val="en-US" w:eastAsia="zh-CN"/>
              </w:rPr>
              <w:t>用途</w:t>
            </w:r>
          </w:p>
        </w:tc>
        <w:tc>
          <w:tcPr>
            <w:tcW w:w="171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房屋结构</w:t>
            </w:r>
          </w:p>
        </w:tc>
        <w:tc>
          <w:tcPr>
            <w:tcW w:w="111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总层数</w:t>
            </w:r>
          </w:p>
        </w:tc>
        <w:tc>
          <w:tcPr>
            <w:tcW w:w="1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所在层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12幢12-2029号</w:t>
            </w:r>
          </w:p>
        </w:tc>
        <w:tc>
          <w:tcPr>
            <w:tcW w:w="2170" w:type="dxa"/>
            <w:gridSpan w:val="2"/>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57.54</w:t>
            </w:r>
          </w:p>
        </w:tc>
        <w:tc>
          <w:tcPr>
            <w:tcW w:w="125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商业</w:t>
            </w:r>
          </w:p>
        </w:tc>
        <w:tc>
          <w:tcPr>
            <w:tcW w:w="1710" w:type="dxa"/>
            <w:vAlign w:val="center"/>
          </w:tcPr>
          <w:p>
            <w:pPr>
              <w:spacing w:line="500" w:lineRule="exact"/>
              <w:ind w:firstLine="240" w:firstLineChars="100"/>
              <w:jc w:val="both"/>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钢混结构</w:t>
            </w:r>
          </w:p>
        </w:tc>
        <w:tc>
          <w:tcPr>
            <w:tcW w:w="1110"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27</w:t>
            </w:r>
          </w:p>
        </w:tc>
        <w:tc>
          <w:tcPr>
            <w:tcW w:w="1024" w:type="dxa"/>
            <w:vAlign w:val="center"/>
          </w:tcPr>
          <w:p>
            <w:pPr>
              <w:spacing w:line="500" w:lineRule="exact"/>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2</w:t>
            </w:r>
          </w:p>
        </w:tc>
      </w:tr>
    </w:tbl>
    <w:p>
      <w:pPr>
        <w:numPr>
          <w:ilvl w:val="0"/>
          <w:numId w:val="5"/>
        </w:numPr>
        <w:ind w:left="0" w:leftChars="0"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rPr>
        <w:t>估价对象土地基本状况</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估价对象所在小区宗地四至：</w:t>
      </w:r>
      <w:r>
        <w:rPr>
          <w:rFonts w:hint="eastAsia" w:cs="Times New Roman" w:eastAsiaTheme="minorEastAsia"/>
          <w:sz w:val="28"/>
          <w:szCs w:val="28"/>
          <w:lang w:val="en-US" w:eastAsia="zh-CN"/>
        </w:rPr>
        <w:t>北面临广电路</w:t>
      </w:r>
      <w:r>
        <w:rPr>
          <w:rFonts w:hint="default" w:ascii="Times New Roman" w:hAnsi="Times New Roman" w:cs="Times New Roman" w:eastAsiaTheme="minorEastAsia"/>
          <w:sz w:val="28"/>
          <w:szCs w:val="28"/>
          <w:lang w:val="en-US" w:eastAsia="zh-CN"/>
        </w:rPr>
        <w:t>，</w:t>
      </w:r>
      <w:r>
        <w:rPr>
          <w:rFonts w:hint="eastAsia" w:cs="Times New Roman" w:eastAsiaTheme="minorEastAsia"/>
          <w:sz w:val="28"/>
          <w:szCs w:val="28"/>
          <w:lang w:val="en-US" w:eastAsia="zh-CN"/>
        </w:rPr>
        <w:t>西</w:t>
      </w:r>
      <w:r>
        <w:rPr>
          <w:rFonts w:hint="default" w:ascii="Times New Roman" w:hAnsi="Times New Roman" w:cs="Times New Roman" w:eastAsiaTheme="minorEastAsia"/>
          <w:sz w:val="28"/>
          <w:szCs w:val="28"/>
          <w:lang w:eastAsia="zh-CN"/>
        </w:rPr>
        <w:t>临</w:t>
      </w:r>
      <w:r>
        <w:rPr>
          <w:rFonts w:hint="eastAsia" w:cs="Times New Roman" w:eastAsiaTheme="minorEastAsia"/>
          <w:sz w:val="28"/>
          <w:szCs w:val="28"/>
          <w:lang w:val="en-US" w:eastAsia="zh-CN"/>
        </w:rPr>
        <w:t>花园街</w:t>
      </w:r>
      <w:r>
        <w:rPr>
          <w:rFonts w:hint="default" w:ascii="Times New Roman" w:hAnsi="Times New Roman" w:cs="Times New Roman" w:eastAsiaTheme="minorEastAsia"/>
          <w:sz w:val="28"/>
          <w:szCs w:val="28"/>
          <w:lang w:val="en-US" w:eastAsia="zh-CN"/>
        </w:rPr>
        <w:t>，</w:t>
      </w:r>
      <w:r>
        <w:rPr>
          <w:rFonts w:hint="eastAsia" w:cs="Times New Roman" w:eastAsiaTheme="minorEastAsia"/>
          <w:sz w:val="28"/>
          <w:szCs w:val="28"/>
          <w:lang w:val="en-US" w:eastAsia="zh-CN"/>
        </w:rPr>
        <w:t>东面</w:t>
      </w:r>
      <w:r>
        <w:rPr>
          <w:rFonts w:hint="default" w:ascii="Times New Roman" w:hAnsi="Times New Roman" w:cs="Times New Roman" w:eastAsiaTheme="minorEastAsia"/>
          <w:sz w:val="28"/>
          <w:szCs w:val="28"/>
          <w:lang w:val="en-US" w:eastAsia="zh-CN"/>
        </w:rPr>
        <w:t>临</w:t>
      </w:r>
      <w:r>
        <w:rPr>
          <w:rFonts w:hint="eastAsia" w:cs="Times New Roman" w:eastAsiaTheme="minorEastAsia"/>
          <w:sz w:val="28"/>
          <w:szCs w:val="28"/>
          <w:lang w:val="en-US" w:eastAsia="zh-CN"/>
        </w:rPr>
        <w:t>新天地公园，南面临小区间道路</w:t>
      </w:r>
      <w:r>
        <w:rPr>
          <w:rFonts w:hint="default" w:ascii="Times New Roman" w:hAnsi="Times New Roman" w:cs="Times New Roman" w:eastAsiaTheme="minorEastAsia"/>
          <w:sz w:val="28"/>
          <w:szCs w:val="28"/>
        </w:rPr>
        <w:t>；</w:t>
      </w:r>
    </w:p>
    <w:p>
      <w:pPr>
        <w:spacing w:line="500" w:lineRule="exact"/>
        <w:ind w:firstLine="560" w:firstLineChars="200"/>
        <w:rPr>
          <w:rFonts w:hint="eastAsia" w:ascii="Times New Roman" w:hAnsi="Times New Roman" w:cs="Times New Roman" w:eastAsiaTheme="minorEastAsia"/>
          <w:sz w:val="28"/>
          <w:szCs w:val="28"/>
          <w:lang w:eastAsia="zh-CN"/>
        </w:rPr>
      </w:pPr>
      <w:r>
        <w:rPr>
          <w:rFonts w:hint="default" w:ascii="Times New Roman" w:hAnsi="Times New Roman" w:cs="Times New Roman" w:eastAsiaTheme="minorEastAsia"/>
          <w:color w:val="auto"/>
          <w:sz w:val="28"/>
          <w:szCs w:val="28"/>
        </w:rPr>
        <w:t>开发程度：宗地红线内具备</w:t>
      </w:r>
      <w:r>
        <w:rPr>
          <w:rFonts w:hint="eastAsia" w:cs="Times New Roman" w:eastAsiaTheme="minorEastAsia"/>
          <w:color w:val="auto"/>
          <w:sz w:val="28"/>
          <w:szCs w:val="28"/>
          <w:lang w:eastAsia="zh-CN"/>
        </w:rPr>
        <w:t>“</w:t>
      </w:r>
      <w:r>
        <w:rPr>
          <w:rFonts w:hint="eastAsia" w:cs="Times New Roman" w:eastAsiaTheme="minorEastAsia"/>
          <w:color w:val="auto"/>
          <w:sz w:val="28"/>
          <w:szCs w:val="28"/>
          <w:lang w:val="en-US" w:eastAsia="zh-CN"/>
        </w:rPr>
        <w:t>五</w:t>
      </w:r>
      <w:r>
        <w:rPr>
          <w:rFonts w:hint="eastAsia" w:cs="Times New Roman" w:eastAsiaTheme="minorEastAsia"/>
          <w:color w:val="auto"/>
          <w:sz w:val="28"/>
          <w:szCs w:val="28"/>
          <w:lang w:eastAsia="zh-CN"/>
        </w:rPr>
        <w:t>通一平”</w:t>
      </w:r>
      <w:r>
        <w:rPr>
          <w:rFonts w:hint="default" w:ascii="Times New Roman" w:hAnsi="Times New Roman" w:cs="Times New Roman" w:eastAsiaTheme="minorEastAsia"/>
          <w:color w:val="auto"/>
          <w:sz w:val="28"/>
          <w:szCs w:val="28"/>
        </w:rPr>
        <w:t>条件，即通路、通上水、通下水、</w:t>
      </w:r>
      <w:r>
        <w:rPr>
          <w:rFonts w:hint="default" w:ascii="Times New Roman" w:hAnsi="Times New Roman" w:cs="Times New Roman" w:eastAsiaTheme="minorEastAsia"/>
          <w:sz w:val="28"/>
          <w:szCs w:val="28"/>
        </w:rPr>
        <w:t>通电、通讯及土地平整</w:t>
      </w:r>
      <w:r>
        <w:rPr>
          <w:rFonts w:hint="eastAsia" w:cs="Times New Roman" w:eastAsiaTheme="minorEastAsia"/>
          <w:sz w:val="28"/>
          <w:szCs w:val="28"/>
          <w:lang w:eastAsia="zh-CN"/>
        </w:rPr>
        <w:t>；</w:t>
      </w:r>
    </w:p>
    <w:p>
      <w:pPr>
        <w:numPr>
          <w:ilvl w:val="0"/>
          <w:numId w:val="5"/>
        </w:numPr>
        <w:ind w:left="0" w:leftChars="0"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建筑物基本状况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建筑结构：据现场查勘，估价对象</w:t>
      </w:r>
      <w:r>
        <w:rPr>
          <w:rFonts w:hint="eastAsia" w:cs="Times New Roman" w:eastAsiaTheme="minorEastAsia"/>
          <w:sz w:val="28"/>
          <w:szCs w:val="28"/>
          <w:lang w:val="en-US" w:eastAsia="zh-CN"/>
        </w:rPr>
        <w:t>位于武进区湖塘镇花园街159号新天地不夜城12幢的二层，为钢筋混凝土结构</w:t>
      </w:r>
      <w:r>
        <w:rPr>
          <w:rFonts w:hint="default" w:ascii="Times New Roman" w:hAnsi="Times New Roman" w:cs="Times New Roman" w:eastAsiaTheme="minorEastAsia"/>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sz w:val="28"/>
          <w:szCs w:val="28"/>
        </w:rPr>
      </w:pPr>
      <w:r>
        <w:rPr>
          <w:rFonts w:hint="eastAsia" w:cs="Times New Roman" w:eastAsiaTheme="minorEastAsia"/>
          <w:sz w:val="28"/>
          <w:szCs w:val="28"/>
          <w:lang w:val="en-US" w:eastAsia="zh-CN"/>
        </w:rPr>
        <w:t>房屋</w:t>
      </w:r>
      <w:r>
        <w:rPr>
          <w:rFonts w:hint="default" w:ascii="Times New Roman" w:hAnsi="Times New Roman" w:cs="Times New Roman" w:eastAsiaTheme="minorEastAsia"/>
          <w:sz w:val="28"/>
          <w:szCs w:val="28"/>
          <w:lang w:val="en-US" w:eastAsia="zh-CN"/>
        </w:rPr>
        <w:t>成新</w:t>
      </w:r>
      <w:r>
        <w:rPr>
          <w:rFonts w:hint="default" w:ascii="Times New Roman" w:hAnsi="Times New Roman" w:cs="Times New Roman" w:eastAsiaTheme="minorEastAsia"/>
          <w:sz w:val="28"/>
          <w:szCs w:val="28"/>
        </w:rPr>
        <w:t>：</w:t>
      </w:r>
      <w:r>
        <w:rPr>
          <w:rFonts w:hint="eastAsia" w:cs="Times New Roman" w:eastAsiaTheme="minorEastAsia"/>
          <w:sz w:val="28"/>
          <w:szCs w:val="28"/>
          <w:lang w:val="en-US" w:eastAsia="zh-CN"/>
        </w:rPr>
        <w:t>九成</w:t>
      </w:r>
      <w:r>
        <w:rPr>
          <w:rFonts w:hint="default" w:ascii="Times New Roman" w:hAnsi="Times New Roman" w:cs="Times New Roman" w:eastAsiaTheme="minorEastAsia"/>
          <w:sz w:val="28"/>
          <w:szCs w:val="28"/>
          <w:lang w:val="en-US" w:eastAsia="zh-CN"/>
        </w:rPr>
        <w:t>新</w:t>
      </w:r>
      <w:r>
        <w:rPr>
          <w:rFonts w:hint="default" w:ascii="Times New Roman" w:hAnsi="Times New Roman" w:cs="Times New Roman" w:eastAsiaTheme="minorEastAsia"/>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建筑面积：</w:t>
      </w:r>
      <w:r>
        <w:rPr>
          <w:rFonts w:hint="eastAsia" w:cs="Times New Roman" w:eastAsiaTheme="minorEastAsia"/>
          <w:sz w:val="28"/>
          <w:szCs w:val="28"/>
          <w:lang w:val="en-US" w:eastAsia="zh-CN"/>
        </w:rPr>
        <w:t>建筑面积分别为46.92</w:t>
      </w:r>
      <w:r>
        <w:rPr>
          <w:rFonts w:hint="default" w:ascii="Times New Roman" w:hAnsi="Times New Roman" w:cs="Times New Roman" w:eastAsiaTheme="minorEastAsia"/>
          <w:sz w:val="28"/>
          <w:szCs w:val="28"/>
          <w:lang w:eastAsia="zh-CN"/>
        </w:rPr>
        <w:t>㎡</w:t>
      </w:r>
      <w:r>
        <w:rPr>
          <w:rFonts w:hint="eastAsia" w:cs="Times New Roman" w:eastAsiaTheme="minorEastAsia"/>
          <w:sz w:val="28"/>
          <w:szCs w:val="28"/>
          <w:lang w:eastAsia="zh-CN"/>
        </w:rPr>
        <w:t>、</w:t>
      </w:r>
      <w:r>
        <w:rPr>
          <w:rFonts w:hint="eastAsia" w:cs="Times New Roman" w:eastAsiaTheme="minorEastAsia"/>
          <w:sz w:val="28"/>
          <w:szCs w:val="28"/>
          <w:lang w:val="en-US" w:eastAsia="zh-CN"/>
        </w:rPr>
        <w:t>49.58㎡</w:t>
      </w:r>
      <w:r>
        <w:rPr>
          <w:rFonts w:hint="eastAsia" w:cs="Times New Roman" w:eastAsiaTheme="minorEastAsia"/>
          <w:sz w:val="28"/>
          <w:szCs w:val="28"/>
          <w:lang w:eastAsia="zh-CN"/>
        </w:rPr>
        <w:t>、</w:t>
      </w:r>
      <w:r>
        <w:rPr>
          <w:rFonts w:hint="eastAsia" w:cs="Times New Roman" w:eastAsiaTheme="minorEastAsia"/>
          <w:sz w:val="28"/>
          <w:szCs w:val="28"/>
          <w:lang w:val="en-US" w:eastAsia="zh-CN"/>
        </w:rPr>
        <w:t>53.12㎡</w:t>
      </w:r>
      <w:r>
        <w:rPr>
          <w:rFonts w:hint="eastAsia" w:cs="Times New Roman" w:eastAsiaTheme="minorEastAsia"/>
          <w:sz w:val="28"/>
          <w:szCs w:val="28"/>
          <w:lang w:eastAsia="zh-CN"/>
        </w:rPr>
        <w:t>、</w:t>
      </w:r>
      <w:r>
        <w:rPr>
          <w:rFonts w:hint="eastAsia" w:cs="Times New Roman" w:eastAsiaTheme="minorEastAsia"/>
          <w:sz w:val="28"/>
          <w:szCs w:val="28"/>
          <w:lang w:val="en-US" w:eastAsia="zh-CN"/>
        </w:rPr>
        <w:t>57.54㎡</w:t>
      </w:r>
      <w:r>
        <w:rPr>
          <w:rFonts w:hint="default" w:ascii="Times New Roman" w:hAnsi="Times New Roman" w:cs="Times New Roman" w:eastAsiaTheme="minorEastAsia"/>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sz w:val="28"/>
          <w:szCs w:val="28"/>
        </w:rPr>
        <w:t>布局与外观形象：</w:t>
      </w:r>
      <w:r>
        <w:rPr>
          <w:rFonts w:hint="eastAsia" w:cs="Times New Roman" w:eastAsiaTheme="minorEastAsia"/>
          <w:color w:val="auto"/>
          <w:sz w:val="28"/>
          <w:szCs w:val="28"/>
          <w:lang w:val="en-US" w:eastAsia="zh-CN"/>
        </w:rPr>
        <w:t>估价对象商铺所在的位置被装修成办公室、篮球场、走廊和存储室等多个功能空间，部分空间和旁边的其他商铺被一起装修使用，没有明确的空间分割界线。</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装饰</w:t>
      </w:r>
      <w:r>
        <w:rPr>
          <w:rFonts w:hint="default" w:ascii="Times New Roman" w:hAnsi="Times New Roman" w:cs="Times New Roman" w:eastAsiaTheme="minorEastAsia"/>
          <w:color w:val="auto"/>
          <w:sz w:val="28"/>
          <w:szCs w:val="28"/>
        </w:rPr>
        <w:t>装修</w:t>
      </w:r>
      <w:r>
        <w:rPr>
          <w:rFonts w:hint="eastAsia" w:cs="Times New Roman" w:eastAsiaTheme="minorEastAsia"/>
          <w:color w:val="auto"/>
          <w:sz w:val="28"/>
          <w:szCs w:val="28"/>
          <w:lang w:val="en-US" w:eastAsia="zh-CN"/>
        </w:rPr>
        <w:t>及设施设备</w:t>
      </w:r>
      <w:r>
        <w:rPr>
          <w:rFonts w:hint="default" w:ascii="Times New Roman" w:hAnsi="Times New Roman" w:cs="Times New Roman" w:eastAsiaTheme="minorEastAsia"/>
          <w:color w:val="auto"/>
          <w:sz w:val="28"/>
          <w:szCs w:val="28"/>
        </w:rPr>
        <w:t>：</w:t>
      </w:r>
      <w:r>
        <w:rPr>
          <w:rFonts w:hint="eastAsia" w:cs="Times New Roman" w:eastAsiaTheme="minorEastAsia"/>
          <w:color w:val="auto"/>
          <w:sz w:val="28"/>
          <w:szCs w:val="28"/>
          <w:lang w:val="en-US" w:eastAsia="zh-CN"/>
        </w:rPr>
        <w:t>估价对象室内装修为地砖地面、乳胶漆墙面，部分空间吊顶，篮球场为环氧地面，乳胶漆墙面和简单的篮球架等设施。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auto"/>
          <w:sz w:val="28"/>
          <w:szCs w:val="28"/>
        </w:rPr>
        <w:t>维护、保养和使用状况：建筑物的结构</w:t>
      </w:r>
      <w:r>
        <w:rPr>
          <w:rFonts w:hint="eastAsia" w:cs="Times New Roman" w:eastAsiaTheme="minorEastAsia"/>
          <w:color w:val="auto"/>
          <w:sz w:val="28"/>
          <w:szCs w:val="28"/>
          <w:lang w:val="en-US" w:eastAsia="zh-CN"/>
        </w:rPr>
        <w:t>及设施设备较完好，部分墙顶面有脱落，有电梯和消防楼梯可达二楼，能够满足</w:t>
      </w:r>
      <w:r>
        <w:rPr>
          <w:rFonts w:hint="eastAsia" w:cs="Times New Roman" w:eastAsiaTheme="minorEastAsia"/>
          <w:sz w:val="28"/>
          <w:szCs w:val="28"/>
          <w:lang w:val="en-US" w:eastAsia="zh-CN"/>
        </w:rPr>
        <w:t>商业使用</w:t>
      </w:r>
      <w:r>
        <w:rPr>
          <w:rFonts w:hint="default" w:ascii="Times New Roman" w:hAnsi="Times New Roman" w:cs="Times New Roman" w:eastAsiaTheme="minorEastAsia"/>
          <w:sz w:val="28"/>
          <w:szCs w:val="28"/>
        </w:rPr>
        <w:t>；</w:t>
      </w:r>
    </w:p>
    <w:p>
      <w:pPr>
        <w:numPr>
          <w:ilvl w:val="0"/>
          <w:numId w:val="5"/>
        </w:numPr>
        <w:spacing w:line="360" w:lineRule="auto"/>
        <w:ind w:left="0" w:leftChars="0"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他项权利状况</w:t>
      </w:r>
    </w:p>
    <w:p>
      <w:pPr>
        <w:spacing w:line="500" w:lineRule="exact"/>
        <w:ind w:firstLine="560" w:firstLineChars="200"/>
        <w:rPr>
          <w:rFonts w:hint="default" w:ascii="Times New Roman" w:hAnsi="Times New Roman" w:cs="Times New Roman" w:eastAsiaTheme="minorEastAsia"/>
          <w:sz w:val="28"/>
          <w:szCs w:val="28"/>
        </w:rPr>
      </w:pPr>
      <w:r>
        <w:rPr>
          <w:rFonts w:hint="eastAsia" w:asciiTheme="minorEastAsia" w:hAnsiTheme="minorEastAsia" w:eastAsiaTheme="minorEastAsia"/>
          <w:sz w:val="28"/>
          <w:szCs w:val="28"/>
        </w:rPr>
        <w:t>根据委托方提供的</w:t>
      </w:r>
      <w:r>
        <w:rPr>
          <w:rFonts w:hint="eastAsia" w:asciiTheme="minorEastAsia" w:hAnsiTheme="minorEastAsia" w:eastAsiaTheme="minorEastAsia"/>
          <w:sz w:val="28"/>
          <w:szCs w:val="28"/>
          <w:lang w:val="en-US" w:eastAsia="zh-CN"/>
        </w:rPr>
        <w:t>资料和现场介绍，评估对象目前处于被使用状态。</w:t>
      </w:r>
      <w:r>
        <w:rPr>
          <w:rFonts w:hint="eastAsia" w:asciiTheme="minorEastAsia" w:hAnsiTheme="minorEastAsia" w:eastAsiaTheme="minorEastAsia"/>
          <w:sz w:val="28"/>
          <w:szCs w:val="28"/>
        </w:rPr>
        <w:t>鉴于本次估价目的，本次评估未考虑抵押</w:t>
      </w:r>
      <w:r>
        <w:rPr>
          <w:rFonts w:hint="eastAsia" w:asciiTheme="minorEastAsia" w:hAnsiTheme="minorEastAsia" w:eastAsiaTheme="minorEastAsia"/>
          <w:sz w:val="28"/>
          <w:szCs w:val="28"/>
          <w:lang w:val="en-US" w:eastAsia="zh-CN"/>
        </w:rPr>
        <w:t>权、租赁权以及其他债权债务</w:t>
      </w:r>
      <w:r>
        <w:rPr>
          <w:rFonts w:hint="eastAsia" w:asciiTheme="minorEastAsia" w:hAnsiTheme="minorEastAsia" w:eastAsiaTheme="minorEastAsia"/>
          <w:sz w:val="28"/>
          <w:szCs w:val="28"/>
        </w:rPr>
        <w:t>等对价值的影响</w:t>
      </w:r>
      <w:r>
        <w:rPr>
          <w:rFonts w:hint="default" w:ascii="Times New Roman" w:hAnsi="Times New Roman" w:cs="Times New Roman" w:eastAsiaTheme="minorEastAsia"/>
          <w:sz w:val="28"/>
          <w:szCs w:val="28"/>
        </w:rPr>
        <w:t>。</w:t>
      </w:r>
    </w:p>
    <w:p>
      <w:pPr>
        <w:pageBreakBefore w:val="0"/>
        <w:widowControl w:val="0"/>
        <w:numPr>
          <w:ilvl w:val="0"/>
          <w:numId w:val="5"/>
        </w:numPr>
        <w:kinsoku/>
        <w:wordWrap/>
        <w:overflowPunct/>
        <w:topLinePunct w:val="0"/>
        <w:autoSpaceDE/>
        <w:autoSpaceDN/>
        <w:bidi w:val="0"/>
        <w:adjustRightInd/>
        <w:snapToGrid/>
        <w:spacing w:line="500" w:lineRule="exact"/>
        <w:ind w:left="0" w:leftChars="0" w:firstLine="560" w:firstLineChars="200"/>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限制权利状况</w:t>
      </w:r>
    </w:p>
    <w:p>
      <w:pPr>
        <w:spacing w:line="500" w:lineRule="exact"/>
        <w:ind w:firstLine="560" w:firstLineChars="200"/>
        <w:rPr>
          <w:rFonts w:hint="eastAsia"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rPr>
        <w:t>根据委托方提供的</w:t>
      </w:r>
      <w:r>
        <w:rPr>
          <w:rFonts w:hint="eastAsia" w:cs="Times New Roman" w:eastAsiaTheme="minorEastAsia"/>
          <w:sz w:val="28"/>
          <w:szCs w:val="28"/>
          <w:lang w:val="en-US" w:eastAsia="zh-CN"/>
        </w:rPr>
        <w:t>不动产登记簿查询结果显示</w:t>
      </w:r>
      <w:r>
        <w:rPr>
          <w:rFonts w:hint="default" w:ascii="Times New Roman" w:hAnsi="Times New Roman" w:cs="Times New Roman" w:eastAsiaTheme="minorEastAsia"/>
          <w:sz w:val="28"/>
          <w:szCs w:val="28"/>
        </w:rPr>
        <w:t>，估价对象已被</w:t>
      </w:r>
      <w:r>
        <w:rPr>
          <w:rFonts w:hint="eastAsia" w:cs="Times New Roman" w:eastAsiaTheme="minorEastAsia"/>
          <w:sz w:val="28"/>
          <w:szCs w:val="28"/>
          <w:lang w:val="en-US" w:eastAsia="zh-CN"/>
        </w:rPr>
        <w:t>法院</w:t>
      </w:r>
      <w:r>
        <w:rPr>
          <w:rFonts w:hint="default" w:ascii="Times New Roman" w:hAnsi="Times New Roman" w:cs="Times New Roman" w:eastAsiaTheme="minorEastAsia"/>
          <w:sz w:val="28"/>
          <w:szCs w:val="28"/>
        </w:rPr>
        <w:t>查封。鉴于本次估价目的，本次评估未考虑</w:t>
      </w:r>
      <w:r>
        <w:rPr>
          <w:rFonts w:hint="eastAsia" w:cs="Times New Roman" w:eastAsiaTheme="minorEastAsia"/>
          <w:sz w:val="28"/>
          <w:szCs w:val="28"/>
          <w:lang w:val="en-US" w:eastAsia="zh-CN"/>
        </w:rPr>
        <w:t>查封等</w:t>
      </w:r>
      <w:r>
        <w:rPr>
          <w:rFonts w:hint="default" w:ascii="Times New Roman" w:hAnsi="Times New Roman" w:cs="Times New Roman" w:eastAsiaTheme="minorEastAsia"/>
          <w:sz w:val="28"/>
          <w:szCs w:val="28"/>
          <w:lang w:val="en-US" w:eastAsia="zh-CN"/>
        </w:rPr>
        <w:t>限制权利</w:t>
      </w:r>
      <w:r>
        <w:rPr>
          <w:rFonts w:hint="default" w:ascii="Times New Roman" w:hAnsi="Times New Roman" w:cs="Times New Roman" w:eastAsiaTheme="minorEastAsia"/>
          <w:sz w:val="28"/>
          <w:szCs w:val="28"/>
        </w:rPr>
        <w:t>对价值的影响。</w:t>
      </w:r>
    </w:p>
    <w:p>
      <w:pPr>
        <w:pStyle w:val="3"/>
        <w:spacing w:after="0" w:line="500" w:lineRule="exact"/>
        <w:rPr>
          <w:rFonts w:hint="default" w:ascii="Times New Roman" w:hAnsi="Times New Roman" w:cs="Times New Roman" w:eastAsiaTheme="minorEastAsia"/>
          <w:sz w:val="28"/>
          <w:szCs w:val="28"/>
        </w:rPr>
      </w:pPr>
      <w:bookmarkStart w:id="82" w:name="_Toc25426"/>
      <w:r>
        <w:rPr>
          <w:rFonts w:hint="default" w:ascii="Times New Roman" w:hAnsi="Times New Roman" w:cs="Times New Roman" w:eastAsiaTheme="minorEastAsia"/>
          <w:sz w:val="28"/>
          <w:szCs w:val="28"/>
        </w:rPr>
        <w:t>五、价值时点</w:t>
      </w:r>
      <w:bookmarkEnd w:id="72"/>
      <w:bookmarkEnd w:id="73"/>
      <w:bookmarkEnd w:id="74"/>
      <w:bookmarkEnd w:id="75"/>
      <w:bookmarkEnd w:id="76"/>
      <w:bookmarkEnd w:id="77"/>
      <w:bookmarkEnd w:id="78"/>
      <w:bookmarkEnd w:id="79"/>
      <w:bookmarkEnd w:id="80"/>
      <w:bookmarkEnd w:id="81"/>
      <w:bookmarkEnd w:id="82"/>
    </w:p>
    <w:p>
      <w:pPr>
        <w:spacing w:line="500" w:lineRule="exact"/>
        <w:ind w:firstLine="560" w:firstLineChars="200"/>
        <w:rPr>
          <w:rFonts w:hint="default" w:ascii="Times New Roman" w:hAnsi="Times New Roman" w:cs="Times New Roman" w:eastAsiaTheme="minorEastAsia"/>
          <w:sz w:val="28"/>
          <w:szCs w:val="28"/>
        </w:rPr>
      </w:pPr>
      <w:r>
        <w:rPr>
          <w:rFonts w:hint="eastAsia" w:cs="Times New Roman" w:eastAsiaTheme="minorEastAsia"/>
          <w:sz w:val="28"/>
          <w:szCs w:val="28"/>
          <w:lang w:eastAsia="zh-CN"/>
        </w:rPr>
        <w:t>二〇二二年九月二日，</w:t>
      </w:r>
      <w:r>
        <w:rPr>
          <w:rFonts w:hint="eastAsia" w:cs="Times New Roman" w:eastAsiaTheme="minorEastAsia"/>
          <w:sz w:val="28"/>
          <w:szCs w:val="28"/>
          <w:lang w:val="en-US" w:eastAsia="zh-CN"/>
        </w:rPr>
        <w:t>为现场勘察日</w:t>
      </w:r>
      <w:r>
        <w:rPr>
          <w:rFonts w:hint="default" w:ascii="Times New Roman" w:hAnsi="Times New Roman" w:cs="Times New Roman" w:eastAsiaTheme="minorEastAsia"/>
          <w:sz w:val="28"/>
          <w:szCs w:val="28"/>
        </w:rPr>
        <w:t>。</w:t>
      </w:r>
      <w:bookmarkStart w:id="83" w:name="_Toc267552681"/>
      <w:bookmarkStart w:id="84" w:name="_Toc267557578"/>
      <w:bookmarkStart w:id="85" w:name="_Toc375035096"/>
      <w:bookmarkStart w:id="86" w:name="_Toc267557157"/>
      <w:bookmarkStart w:id="87" w:name="_Toc372267382"/>
      <w:bookmarkStart w:id="88" w:name="_Toc263248977"/>
      <w:bookmarkStart w:id="89" w:name="_Toc393960759"/>
    </w:p>
    <w:p>
      <w:pPr>
        <w:pStyle w:val="3"/>
        <w:spacing w:after="0" w:line="500" w:lineRule="exact"/>
        <w:rPr>
          <w:rFonts w:hint="default" w:ascii="Times New Roman" w:hAnsi="Times New Roman" w:cs="Times New Roman" w:eastAsiaTheme="minorEastAsia"/>
          <w:sz w:val="28"/>
          <w:szCs w:val="28"/>
        </w:rPr>
      </w:pPr>
      <w:bookmarkStart w:id="90" w:name="_Toc17273"/>
      <w:bookmarkStart w:id="91" w:name="_Toc534792194"/>
      <w:bookmarkStart w:id="92" w:name="_Toc32338"/>
      <w:r>
        <w:rPr>
          <w:rFonts w:hint="default" w:ascii="Times New Roman" w:hAnsi="Times New Roman" w:cs="Times New Roman" w:eastAsiaTheme="minorEastAsia"/>
          <w:sz w:val="28"/>
          <w:szCs w:val="28"/>
        </w:rPr>
        <w:t>六、价值</w:t>
      </w:r>
      <w:r>
        <w:rPr>
          <w:rFonts w:hint="default" w:ascii="Times New Roman" w:hAnsi="Times New Roman" w:cs="Times New Roman" w:eastAsiaTheme="minorEastAsia"/>
          <w:sz w:val="28"/>
          <w:szCs w:val="28"/>
          <w:lang w:eastAsia="zh-CN"/>
        </w:rPr>
        <w:t>类型</w:t>
      </w:r>
      <w:bookmarkEnd w:id="83"/>
      <w:bookmarkEnd w:id="84"/>
      <w:bookmarkEnd w:id="85"/>
      <w:bookmarkEnd w:id="86"/>
      <w:bookmarkEnd w:id="87"/>
      <w:bookmarkEnd w:id="88"/>
      <w:bookmarkEnd w:id="89"/>
      <w:bookmarkEnd w:id="90"/>
      <w:bookmarkEnd w:id="91"/>
      <w:bookmarkEnd w:id="92"/>
    </w:p>
    <w:p>
      <w:pPr>
        <w:spacing w:line="500" w:lineRule="exact"/>
        <w:ind w:firstLine="560" w:firstLineChars="200"/>
        <w:rPr>
          <w:rFonts w:hint="default" w:ascii="Times New Roman" w:hAnsi="Times New Roman" w:cs="Times New Roman" w:eastAsiaTheme="minorEastAsia"/>
          <w:sz w:val="28"/>
          <w:szCs w:val="28"/>
        </w:rPr>
      </w:pPr>
      <w:bookmarkStart w:id="93" w:name="_Toc267557579"/>
      <w:bookmarkStart w:id="94" w:name="_Toc263248978"/>
      <w:bookmarkStart w:id="95" w:name="_Toc375035097"/>
      <w:bookmarkStart w:id="96" w:name="_Toc262130460"/>
      <w:bookmarkStart w:id="97" w:name="_Toc534792195"/>
      <w:bookmarkStart w:id="98" w:name="_Toc372267383"/>
      <w:bookmarkStart w:id="99" w:name="_Toc267552682"/>
      <w:bookmarkStart w:id="100" w:name="_Toc267557158"/>
      <w:bookmarkStart w:id="101" w:name="_Toc393960760"/>
      <w:r>
        <w:rPr>
          <w:rFonts w:hint="default" w:ascii="Times New Roman" w:hAnsi="Times New Roman" w:cs="Times New Roman" w:eastAsiaTheme="minorEastAsia"/>
          <w:sz w:val="28"/>
          <w:szCs w:val="28"/>
        </w:rPr>
        <w:t>价值名称：鉴于本项目的估价目的，本报告所评估的估价对象的价值类型是</w:t>
      </w:r>
      <w:r>
        <w:rPr>
          <w:rFonts w:hint="default" w:ascii="Times New Roman" w:hAnsi="Times New Roman" w:cs="Times New Roman" w:eastAsiaTheme="minorEastAsia"/>
          <w:sz w:val="28"/>
          <w:szCs w:val="28"/>
          <w:lang w:eastAsia="zh-CN"/>
        </w:rPr>
        <w:t>市场价值</w:t>
      </w:r>
      <w:r>
        <w:rPr>
          <w:rFonts w:hint="default" w:ascii="Times New Roman" w:hAnsi="Times New Roman" w:cs="Times New Roman" w:eastAsiaTheme="minorEastAsia"/>
          <w:sz w:val="28"/>
          <w:szCs w:val="28"/>
        </w:rPr>
        <w:t>。</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价值定义：</w:t>
      </w:r>
      <w:r>
        <w:rPr>
          <w:rFonts w:hint="default" w:ascii="Times New Roman" w:hAnsi="Times New Roman" w:cs="Times New Roman" w:eastAsiaTheme="minorEastAsia"/>
          <w:sz w:val="28"/>
          <w:szCs w:val="28"/>
          <w:lang w:eastAsia="zh-CN"/>
        </w:rPr>
        <w:t>房地产</w:t>
      </w:r>
      <w:r>
        <w:rPr>
          <w:rFonts w:hint="default" w:ascii="Times New Roman" w:hAnsi="Times New Roman" w:cs="Times New Roman" w:eastAsiaTheme="minorEastAsia"/>
          <w:sz w:val="28"/>
          <w:szCs w:val="28"/>
        </w:rPr>
        <w:t>在价值时点的</w:t>
      </w:r>
      <w:r>
        <w:rPr>
          <w:rFonts w:hint="default" w:ascii="Times New Roman" w:hAnsi="Times New Roman" w:cs="Times New Roman" w:eastAsiaTheme="minorEastAsia"/>
          <w:sz w:val="28"/>
          <w:szCs w:val="28"/>
          <w:lang w:eastAsia="zh-CN"/>
        </w:rPr>
        <w:t>市场价值</w:t>
      </w:r>
      <w:r>
        <w:rPr>
          <w:rFonts w:hint="default" w:ascii="Times New Roman" w:hAnsi="Times New Roman" w:cs="Times New Roman" w:eastAsiaTheme="minorEastAsia"/>
          <w:sz w:val="28"/>
          <w:szCs w:val="28"/>
        </w:rPr>
        <w:t>。</w:t>
      </w:r>
    </w:p>
    <w:p>
      <w:pPr>
        <w:spacing w:line="500" w:lineRule="exact"/>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价值内涵：本报告估价结果界定为估价对象</w:t>
      </w:r>
      <w:r>
        <w:rPr>
          <w:rFonts w:hint="default" w:ascii="Times New Roman" w:hAnsi="Times New Roman" w:cs="Times New Roman" w:eastAsiaTheme="minorEastAsia"/>
          <w:sz w:val="28"/>
          <w:szCs w:val="28"/>
          <w:lang w:eastAsia="zh-CN"/>
        </w:rPr>
        <w:t>土地使用权与建筑物所有权于价值时点满足</w:t>
      </w:r>
      <w:r>
        <w:rPr>
          <w:rFonts w:hint="default" w:ascii="Times New Roman" w:hAnsi="Times New Roman" w:cs="Times New Roman" w:eastAsiaTheme="minorEastAsia"/>
          <w:sz w:val="28"/>
          <w:szCs w:val="28"/>
        </w:rPr>
        <w:t>估价的全部假设及限制条件下的</w:t>
      </w:r>
      <w:r>
        <w:rPr>
          <w:rFonts w:hint="default" w:ascii="Times New Roman" w:hAnsi="Times New Roman" w:cs="Times New Roman" w:eastAsiaTheme="minorEastAsia"/>
          <w:sz w:val="28"/>
          <w:szCs w:val="28"/>
          <w:lang w:eastAsia="zh-CN"/>
        </w:rPr>
        <w:t>市场价值，但不包括未来可能处置涉及的费用</w:t>
      </w:r>
      <w:r>
        <w:rPr>
          <w:rFonts w:hint="default" w:ascii="Times New Roman" w:hAnsi="Times New Roman" w:cs="Times New Roman" w:eastAsiaTheme="minorEastAsia"/>
          <w:sz w:val="28"/>
          <w:szCs w:val="28"/>
        </w:rPr>
        <w:t>。</w:t>
      </w:r>
    </w:p>
    <w:p>
      <w:pPr>
        <w:pStyle w:val="3"/>
        <w:spacing w:after="0" w:line="500" w:lineRule="exact"/>
        <w:rPr>
          <w:rFonts w:hint="default" w:ascii="Times New Roman" w:hAnsi="Times New Roman" w:cs="Times New Roman" w:eastAsiaTheme="minorEastAsia"/>
          <w:sz w:val="28"/>
          <w:szCs w:val="28"/>
        </w:rPr>
      </w:pPr>
      <w:bookmarkStart w:id="102" w:name="_Toc7192"/>
      <w:bookmarkStart w:id="103" w:name="_Toc20737"/>
      <w:r>
        <w:rPr>
          <w:rFonts w:hint="default" w:ascii="Times New Roman" w:hAnsi="Times New Roman" w:cs="Times New Roman" w:eastAsiaTheme="minorEastAsia"/>
          <w:sz w:val="28"/>
          <w:szCs w:val="28"/>
        </w:rPr>
        <w:t>七、</w:t>
      </w:r>
      <w:bookmarkEnd w:id="93"/>
      <w:bookmarkEnd w:id="94"/>
      <w:bookmarkEnd w:id="95"/>
      <w:bookmarkEnd w:id="96"/>
      <w:bookmarkEnd w:id="97"/>
      <w:bookmarkEnd w:id="98"/>
      <w:bookmarkEnd w:id="99"/>
      <w:bookmarkEnd w:id="100"/>
      <w:bookmarkEnd w:id="101"/>
      <w:r>
        <w:rPr>
          <w:rFonts w:hint="default" w:ascii="Times New Roman" w:hAnsi="Times New Roman" w:cs="Times New Roman" w:eastAsiaTheme="minorEastAsia"/>
          <w:sz w:val="28"/>
          <w:szCs w:val="28"/>
        </w:rPr>
        <w:t>估价原则</w:t>
      </w:r>
      <w:bookmarkEnd w:id="102"/>
      <w:bookmarkEnd w:id="103"/>
    </w:p>
    <w:p>
      <w:pPr>
        <w:numPr>
          <w:ilvl w:val="0"/>
          <w:numId w:val="6"/>
        </w:numPr>
        <w:tabs>
          <w:tab w:val="left" w:pos="0"/>
        </w:tabs>
        <w:spacing w:line="500" w:lineRule="exact"/>
        <w:rPr>
          <w:rStyle w:val="17"/>
          <w:rFonts w:hint="default" w:ascii="Times New Roman" w:hAnsi="Times New Roman" w:cs="Times New Roman" w:eastAsiaTheme="minorEastAsia"/>
        </w:rPr>
      </w:pPr>
      <w:bookmarkStart w:id="104" w:name="_Toc263248979"/>
      <w:bookmarkStart w:id="105" w:name="_Toc267557580"/>
      <w:bookmarkStart w:id="106" w:name="_Toc267552683"/>
      <w:bookmarkStart w:id="107" w:name="_Toc267557159"/>
      <w:bookmarkStart w:id="108" w:name="_Toc262130461"/>
      <w:r>
        <w:rPr>
          <w:rStyle w:val="17"/>
          <w:rFonts w:hint="default" w:ascii="Times New Roman" w:hAnsi="Times New Roman" w:cs="Times New Roman" w:eastAsiaTheme="minorEastAsia"/>
        </w:rPr>
        <w:t xml:space="preserve">客观、独立、公正原则：要求站在中立的立场上，实事求是、公平正直地评估出对各方估价利害关系人均是公平合理的价值或价格的原则。  </w:t>
      </w:r>
    </w:p>
    <w:p>
      <w:pPr>
        <w:numPr>
          <w:ilvl w:val="0"/>
          <w:numId w:val="6"/>
        </w:numPr>
        <w:tabs>
          <w:tab w:val="left" w:pos="0"/>
        </w:tabs>
        <w:spacing w:line="500" w:lineRule="exact"/>
        <w:ind w:left="0" w:firstLine="600"/>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 xml:space="preserve">合法原则：要求估价结果是在依法判定的估价对象状况下的价值或价格的原则。  </w:t>
      </w:r>
    </w:p>
    <w:p>
      <w:pPr>
        <w:numPr>
          <w:ilvl w:val="0"/>
          <w:numId w:val="6"/>
        </w:numPr>
        <w:tabs>
          <w:tab w:val="left" w:pos="0"/>
        </w:tabs>
        <w:spacing w:line="500" w:lineRule="exact"/>
        <w:ind w:left="0" w:firstLine="600"/>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 xml:space="preserve">价值时点原则：要求估价结果是在根据估价目的确定的某一特定时间的价值或价格的原则。  </w:t>
      </w:r>
    </w:p>
    <w:p>
      <w:pPr>
        <w:numPr>
          <w:ilvl w:val="0"/>
          <w:numId w:val="6"/>
        </w:numPr>
        <w:tabs>
          <w:tab w:val="left" w:pos="0"/>
        </w:tabs>
        <w:spacing w:line="500" w:lineRule="exact"/>
        <w:ind w:left="0" w:firstLine="600"/>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替代原则：要求估价结果与估价对象的类似房地产在同等条件下的价值或价格偏差在合理范围内的原则。</w:t>
      </w:r>
    </w:p>
    <w:p>
      <w:pPr>
        <w:numPr>
          <w:ilvl w:val="0"/>
          <w:numId w:val="6"/>
        </w:numPr>
        <w:tabs>
          <w:tab w:val="left" w:pos="0"/>
        </w:tabs>
        <w:spacing w:line="500" w:lineRule="exact"/>
        <w:ind w:left="0" w:firstLine="600"/>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 xml:space="preserve">最高最佳利用原则：要求估价结果是在估价对象最高最佳利用状况下的价值或价格的原则。最高最佳利用：房地产在法律上允许、技术上可能、财务上可行并使价值最大的合理、可能的利用，包括最佳的用途、规模、档次等。  </w:t>
      </w:r>
    </w:p>
    <w:p>
      <w:pPr>
        <w:pStyle w:val="3"/>
        <w:spacing w:after="0" w:line="500" w:lineRule="exact"/>
        <w:rPr>
          <w:rFonts w:hint="default" w:ascii="Times New Roman" w:hAnsi="Times New Roman" w:cs="Times New Roman" w:eastAsiaTheme="minorEastAsia"/>
          <w:sz w:val="28"/>
          <w:szCs w:val="28"/>
        </w:rPr>
      </w:pPr>
      <w:bookmarkStart w:id="109" w:name="_Toc372267384"/>
      <w:bookmarkStart w:id="110" w:name="_Toc375035098"/>
      <w:bookmarkStart w:id="111" w:name="_Toc534792196"/>
      <w:bookmarkStart w:id="112" w:name="_Toc393960761"/>
      <w:bookmarkStart w:id="113" w:name="_Toc4953"/>
      <w:bookmarkStart w:id="114" w:name="_Toc13789"/>
      <w:r>
        <w:rPr>
          <w:rFonts w:hint="eastAsia" w:ascii="Times New Roman" w:hAnsi="Times New Roman" w:cs="Times New Roman" w:eastAsiaTheme="minorEastAsia"/>
          <w:sz w:val="28"/>
          <w:szCs w:val="28"/>
          <w:lang w:val="en-US" w:eastAsia="zh-CN"/>
        </w:rPr>
        <w:t>八、</w:t>
      </w:r>
      <w:r>
        <w:rPr>
          <w:rFonts w:hint="default" w:ascii="Times New Roman" w:hAnsi="Times New Roman" w:cs="Times New Roman" w:eastAsiaTheme="minorEastAsia"/>
          <w:sz w:val="28"/>
          <w:szCs w:val="28"/>
        </w:rPr>
        <w:t>估价</w:t>
      </w:r>
      <w:bookmarkEnd w:id="104"/>
      <w:bookmarkEnd w:id="105"/>
      <w:bookmarkEnd w:id="106"/>
      <w:bookmarkEnd w:id="107"/>
      <w:bookmarkEnd w:id="108"/>
      <w:bookmarkEnd w:id="109"/>
      <w:bookmarkEnd w:id="110"/>
      <w:bookmarkEnd w:id="111"/>
      <w:bookmarkEnd w:id="112"/>
      <w:r>
        <w:rPr>
          <w:rFonts w:hint="default" w:ascii="Times New Roman" w:hAnsi="Times New Roman" w:cs="Times New Roman" w:eastAsiaTheme="minorEastAsia"/>
          <w:sz w:val="28"/>
          <w:szCs w:val="28"/>
        </w:rPr>
        <w:t>依据</w:t>
      </w:r>
      <w:bookmarkEnd w:id="113"/>
      <w:bookmarkEnd w:id="114"/>
    </w:p>
    <w:p>
      <w:pPr>
        <w:keepNext w:val="0"/>
        <w:keepLines w:val="0"/>
        <w:pageBreakBefore w:val="0"/>
        <w:widowControl w:val="0"/>
        <w:kinsoku/>
        <w:wordWrap/>
        <w:overflowPunct/>
        <w:topLinePunct w:val="0"/>
        <w:autoSpaceDE/>
        <w:autoSpaceDN/>
        <w:bidi w:val="0"/>
        <w:adjustRightInd/>
        <w:snapToGrid/>
        <w:spacing w:line="500" w:lineRule="exact"/>
        <w:ind w:firstLine="570"/>
        <w:textAlignment w:val="auto"/>
        <w:rPr>
          <w:rStyle w:val="17"/>
          <w:rFonts w:hint="default" w:ascii="Times New Roman" w:hAnsi="Times New Roman" w:eastAsia="宋体" w:cs="Times New Roman"/>
          <w:b/>
          <w:color w:val="auto"/>
        </w:rPr>
      </w:pPr>
      <w:r>
        <w:rPr>
          <w:rStyle w:val="17"/>
          <w:rFonts w:hint="default" w:ascii="Times New Roman" w:hAnsi="Times New Roman" w:eastAsia="宋体" w:cs="Times New Roman"/>
          <w:b/>
          <w:color w:val="auto"/>
          <w:lang w:eastAsia="zh-CN"/>
        </w:rPr>
        <w:t>（</w:t>
      </w:r>
      <w:r>
        <w:rPr>
          <w:rStyle w:val="17"/>
          <w:rFonts w:hint="default" w:ascii="Times New Roman" w:hAnsi="Times New Roman" w:eastAsia="宋体" w:cs="Times New Roman"/>
          <w:b/>
          <w:color w:val="auto"/>
          <w:lang w:val="en-US" w:eastAsia="zh-CN"/>
        </w:rPr>
        <w:t>一</w:t>
      </w:r>
      <w:r>
        <w:rPr>
          <w:rStyle w:val="17"/>
          <w:rFonts w:hint="default" w:ascii="Times New Roman" w:hAnsi="Times New Roman" w:eastAsia="宋体" w:cs="Times New Roman"/>
          <w:b/>
          <w:color w:val="auto"/>
          <w:lang w:eastAsia="zh-CN"/>
        </w:rPr>
        <w:t>）</w:t>
      </w:r>
      <w:r>
        <w:rPr>
          <w:rStyle w:val="17"/>
          <w:rFonts w:hint="default" w:ascii="Times New Roman" w:hAnsi="Times New Roman" w:eastAsia="宋体" w:cs="Times New Roman"/>
          <w:b/>
          <w:color w:val="auto"/>
        </w:rPr>
        <w:t>法律、法规依据：</w:t>
      </w:r>
    </w:p>
    <w:p>
      <w:pPr>
        <w:keepNext w:val="0"/>
        <w:keepLines w:val="0"/>
        <w:pageBreakBefore w:val="0"/>
        <w:widowControl w:val="0"/>
        <w:numPr>
          <w:ilvl w:val="0"/>
          <w:numId w:val="7"/>
        </w:numPr>
        <w:tabs>
          <w:tab w:val="left" w:pos="993"/>
          <w:tab w:val="clear" w:pos="1020"/>
        </w:tabs>
        <w:kinsoku/>
        <w:wordWrap/>
        <w:overflowPunct/>
        <w:topLinePunct w:val="0"/>
        <w:autoSpaceDE/>
        <w:autoSpaceDN/>
        <w:bidi w:val="0"/>
        <w:adjustRightInd/>
        <w:snapToGrid/>
        <w:spacing w:line="500" w:lineRule="exact"/>
        <w:ind w:left="0" w:firstLine="567"/>
        <w:textAlignment w:val="auto"/>
        <w:rPr>
          <w:rStyle w:val="17"/>
          <w:rFonts w:hint="default" w:ascii="Times New Roman" w:hAnsi="Times New Roman" w:eastAsia="宋体" w:cs="Times New Roman"/>
          <w:color w:val="auto"/>
        </w:rPr>
      </w:pPr>
      <w:r>
        <w:rPr>
          <w:rStyle w:val="17"/>
          <w:rFonts w:hint="default" w:ascii="Times New Roman" w:hAnsi="Times New Roman" w:eastAsia="宋体" w:cs="Times New Roman"/>
          <w:color w:val="auto"/>
        </w:rPr>
        <w:t>《中华人民共和国资产评估法》（2016年7月2日第二十届全国人民代表大会常务委员会第二十一次会议通过，自2016年12月1日起施行）</w:t>
      </w:r>
    </w:p>
    <w:p>
      <w:pPr>
        <w:keepNext w:val="0"/>
        <w:keepLines w:val="0"/>
        <w:pageBreakBefore w:val="0"/>
        <w:widowControl w:val="0"/>
        <w:numPr>
          <w:ilvl w:val="0"/>
          <w:numId w:val="7"/>
        </w:numPr>
        <w:tabs>
          <w:tab w:val="left" w:pos="993"/>
          <w:tab w:val="clear" w:pos="1020"/>
        </w:tabs>
        <w:kinsoku/>
        <w:wordWrap/>
        <w:overflowPunct/>
        <w:topLinePunct w:val="0"/>
        <w:autoSpaceDE/>
        <w:autoSpaceDN/>
        <w:bidi w:val="0"/>
        <w:adjustRightInd/>
        <w:snapToGrid/>
        <w:spacing w:line="500" w:lineRule="exact"/>
        <w:ind w:left="0" w:firstLine="567"/>
        <w:textAlignment w:val="auto"/>
        <w:rPr>
          <w:rStyle w:val="17"/>
          <w:rFonts w:hint="default" w:ascii="Times New Roman" w:hAnsi="Times New Roman" w:eastAsia="宋体" w:cs="Times New Roman"/>
          <w:color w:val="auto"/>
        </w:rPr>
      </w:pPr>
      <w:r>
        <w:rPr>
          <w:rStyle w:val="17"/>
          <w:rFonts w:hint="default" w:ascii="Times New Roman" w:hAnsi="Times New Roman" w:eastAsia="宋体" w:cs="Times New Roman"/>
          <w:color w:val="auto"/>
        </w:rPr>
        <w:t>《中华人民共和国城市房地产管理法》（中华人民共和国主席令第32号，根据2019年8月26日第十三届全国人民代表大会常务委员会第十二次会议《关于修改〈中华人民共和国土地管理法〉、〈中华人民共和国城市房地产管理法〉的决定》第三次修正，自2020年1月1日起施行）</w:t>
      </w:r>
    </w:p>
    <w:p>
      <w:pPr>
        <w:keepNext w:val="0"/>
        <w:keepLines w:val="0"/>
        <w:pageBreakBefore w:val="0"/>
        <w:widowControl w:val="0"/>
        <w:numPr>
          <w:ilvl w:val="0"/>
          <w:numId w:val="7"/>
        </w:numPr>
        <w:tabs>
          <w:tab w:val="left" w:pos="993"/>
          <w:tab w:val="clear" w:pos="1020"/>
        </w:tabs>
        <w:kinsoku/>
        <w:wordWrap/>
        <w:overflowPunct/>
        <w:topLinePunct w:val="0"/>
        <w:autoSpaceDE/>
        <w:autoSpaceDN/>
        <w:bidi w:val="0"/>
        <w:adjustRightInd/>
        <w:snapToGrid/>
        <w:spacing w:line="500" w:lineRule="exact"/>
        <w:ind w:left="0" w:firstLine="567"/>
        <w:textAlignment w:val="auto"/>
        <w:rPr>
          <w:rStyle w:val="17"/>
          <w:rFonts w:hint="default" w:ascii="Times New Roman" w:hAnsi="Times New Roman" w:eastAsia="宋体" w:cs="Times New Roman"/>
          <w:color w:val="auto"/>
        </w:rPr>
      </w:pPr>
      <w:r>
        <w:rPr>
          <w:rStyle w:val="17"/>
          <w:rFonts w:hint="default" w:ascii="Times New Roman" w:hAnsi="Times New Roman" w:eastAsia="宋体" w:cs="Times New Roman"/>
          <w:color w:val="auto"/>
        </w:rPr>
        <w:t>《中华人民共和国土地管理法》（中华人民共和国主席令第32号，根据2019年8月26日第十三届全国人民代表大会常务委员会第十二次会议《关于修改〈中华人民共和国土地管理法〉、〈中华人民共和国城市房地产管理法〉的决定》第三次修正，自2020年1月1日起施行）</w:t>
      </w:r>
    </w:p>
    <w:p>
      <w:pPr>
        <w:keepNext w:val="0"/>
        <w:keepLines w:val="0"/>
        <w:pageBreakBefore w:val="0"/>
        <w:widowControl w:val="0"/>
        <w:numPr>
          <w:ilvl w:val="0"/>
          <w:numId w:val="7"/>
        </w:numPr>
        <w:tabs>
          <w:tab w:val="left" w:pos="993"/>
          <w:tab w:val="clear" w:pos="1020"/>
        </w:tabs>
        <w:kinsoku/>
        <w:wordWrap/>
        <w:overflowPunct/>
        <w:topLinePunct w:val="0"/>
        <w:autoSpaceDE/>
        <w:autoSpaceDN/>
        <w:bidi w:val="0"/>
        <w:adjustRightInd/>
        <w:snapToGrid/>
        <w:spacing w:line="500" w:lineRule="exact"/>
        <w:ind w:left="0" w:firstLine="567"/>
        <w:textAlignment w:val="auto"/>
        <w:rPr>
          <w:rStyle w:val="17"/>
          <w:rFonts w:hint="default" w:ascii="Times New Roman" w:hAnsi="Times New Roman" w:eastAsia="宋体" w:cs="Times New Roman"/>
          <w:color w:val="auto"/>
        </w:rPr>
      </w:pPr>
      <w:r>
        <w:rPr>
          <w:rStyle w:val="17"/>
          <w:rFonts w:hint="default" w:ascii="Times New Roman" w:hAnsi="Times New Roman" w:eastAsia="宋体" w:cs="Times New Roman"/>
          <w:color w:val="auto"/>
        </w:rPr>
        <w:t>《中华人民共和国民法典》（2020年5月28日，十三届全国人大三次会议通过，自2020年12月1日施行）</w:t>
      </w:r>
    </w:p>
    <w:p>
      <w:pPr>
        <w:keepNext w:val="0"/>
        <w:keepLines w:val="0"/>
        <w:pageBreakBefore w:val="0"/>
        <w:widowControl w:val="0"/>
        <w:numPr>
          <w:ilvl w:val="0"/>
          <w:numId w:val="7"/>
        </w:numPr>
        <w:tabs>
          <w:tab w:val="left" w:pos="993"/>
          <w:tab w:val="clear" w:pos="1020"/>
        </w:tabs>
        <w:kinsoku/>
        <w:wordWrap/>
        <w:overflowPunct/>
        <w:topLinePunct w:val="0"/>
        <w:autoSpaceDE/>
        <w:autoSpaceDN/>
        <w:bidi w:val="0"/>
        <w:adjustRightInd/>
        <w:snapToGrid/>
        <w:spacing w:line="500" w:lineRule="exact"/>
        <w:ind w:left="0" w:firstLine="567"/>
        <w:textAlignment w:val="auto"/>
        <w:rPr>
          <w:rStyle w:val="17"/>
          <w:rFonts w:hint="default" w:ascii="Times New Roman" w:hAnsi="Times New Roman" w:eastAsia="宋体" w:cs="Times New Roman"/>
          <w:color w:val="auto"/>
        </w:rPr>
      </w:pPr>
      <w:r>
        <w:rPr>
          <w:rStyle w:val="17"/>
          <w:rFonts w:hint="default" w:ascii="Times New Roman" w:hAnsi="Times New Roman" w:eastAsia="宋体" w:cs="Times New Roman"/>
          <w:color w:val="auto"/>
        </w:rPr>
        <w:t>《城市房地产转让管理规定》（1995年7月28日经第十次建设部常务会议通过自1995年9月1日施行）及《建设部关于修改城市房地产转让管理规定的决定》（2001年7月23日审议通过）</w:t>
      </w:r>
    </w:p>
    <w:p>
      <w:pPr>
        <w:keepNext w:val="0"/>
        <w:keepLines w:val="0"/>
        <w:pageBreakBefore w:val="0"/>
        <w:widowControl w:val="0"/>
        <w:numPr>
          <w:ilvl w:val="0"/>
          <w:numId w:val="7"/>
        </w:numPr>
        <w:tabs>
          <w:tab w:val="left" w:pos="993"/>
          <w:tab w:val="clear" w:pos="1020"/>
        </w:tabs>
        <w:kinsoku/>
        <w:wordWrap/>
        <w:overflowPunct/>
        <w:topLinePunct w:val="0"/>
        <w:autoSpaceDE/>
        <w:autoSpaceDN/>
        <w:bidi w:val="0"/>
        <w:adjustRightInd/>
        <w:snapToGrid/>
        <w:spacing w:line="500" w:lineRule="exact"/>
        <w:ind w:left="0" w:firstLine="567"/>
        <w:textAlignment w:val="auto"/>
        <w:rPr>
          <w:rStyle w:val="17"/>
          <w:rFonts w:hint="default" w:ascii="Times New Roman" w:hAnsi="Times New Roman" w:eastAsia="宋体" w:cs="Times New Roman"/>
          <w:color w:val="auto"/>
        </w:rPr>
      </w:pPr>
      <w:r>
        <w:rPr>
          <w:rStyle w:val="17"/>
          <w:rFonts w:hint="default" w:ascii="Times New Roman" w:hAnsi="Times New Roman" w:eastAsia="宋体" w:cs="Times New Roman"/>
          <w:color w:val="auto"/>
        </w:rPr>
        <w:t>《中华人民共和国城乡规划法》（中华人民共和国主席令第29号，根据2019年4月23日第十三届全国人民代表大会常务委员会第十次会议《关于修改〈中华人民共和国建筑法〉等八部法律的决定》第二次修正，自2019年4月23日起施行）</w:t>
      </w:r>
    </w:p>
    <w:p>
      <w:pPr>
        <w:keepNext w:val="0"/>
        <w:keepLines w:val="0"/>
        <w:pageBreakBefore w:val="0"/>
        <w:widowControl w:val="0"/>
        <w:numPr>
          <w:ilvl w:val="0"/>
          <w:numId w:val="7"/>
        </w:numPr>
        <w:tabs>
          <w:tab w:val="left" w:pos="993"/>
          <w:tab w:val="clear" w:pos="1020"/>
        </w:tabs>
        <w:kinsoku/>
        <w:wordWrap/>
        <w:overflowPunct/>
        <w:topLinePunct w:val="0"/>
        <w:autoSpaceDE/>
        <w:autoSpaceDN/>
        <w:bidi w:val="0"/>
        <w:adjustRightInd/>
        <w:snapToGrid/>
        <w:spacing w:line="500" w:lineRule="exact"/>
        <w:ind w:left="0" w:firstLine="567"/>
        <w:textAlignment w:val="auto"/>
        <w:rPr>
          <w:rStyle w:val="17"/>
          <w:rFonts w:hint="default" w:ascii="Times New Roman" w:hAnsi="Times New Roman" w:eastAsia="宋体" w:cs="Times New Roman"/>
          <w:color w:val="auto"/>
        </w:rPr>
      </w:pPr>
      <w:r>
        <w:rPr>
          <w:rStyle w:val="17"/>
          <w:rFonts w:hint="default" w:ascii="Times New Roman" w:hAnsi="Times New Roman" w:eastAsia="宋体" w:cs="Times New Roman"/>
          <w:color w:val="auto"/>
        </w:rPr>
        <w:t>《江苏省土地管理条例》（ 2021年1月15日江苏省第十三届人民代表大会常务委员会第二十次会议修订</w:t>
      </w:r>
      <w:r>
        <w:rPr>
          <w:rStyle w:val="17"/>
          <w:rFonts w:hint="default" w:ascii="Times New Roman" w:hAnsi="Times New Roman" w:eastAsia="宋体" w:cs="Times New Roman"/>
          <w:color w:val="auto"/>
          <w:lang w:eastAsia="zh-CN"/>
        </w:rPr>
        <w:t>，</w:t>
      </w:r>
      <w:r>
        <w:rPr>
          <w:rStyle w:val="17"/>
          <w:rFonts w:hint="default" w:ascii="Times New Roman" w:hAnsi="Times New Roman" w:eastAsia="宋体" w:cs="Times New Roman"/>
          <w:color w:val="auto"/>
        </w:rPr>
        <w:t>自2021年5月1日起施行）</w:t>
      </w:r>
    </w:p>
    <w:p>
      <w:pPr>
        <w:keepNext w:val="0"/>
        <w:keepLines w:val="0"/>
        <w:pageBreakBefore w:val="0"/>
        <w:widowControl w:val="0"/>
        <w:numPr>
          <w:ilvl w:val="0"/>
          <w:numId w:val="7"/>
        </w:numPr>
        <w:tabs>
          <w:tab w:val="left" w:pos="993"/>
          <w:tab w:val="clear" w:pos="1020"/>
        </w:tabs>
        <w:kinsoku/>
        <w:wordWrap/>
        <w:overflowPunct/>
        <w:topLinePunct w:val="0"/>
        <w:autoSpaceDE/>
        <w:autoSpaceDN/>
        <w:bidi w:val="0"/>
        <w:adjustRightInd/>
        <w:snapToGrid/>
        <w:spacing w:line="500" w:lineRule="exact"/>
        <w:ind w:left="0" w:firstLine="567"/>
        <w:textAlignment w:val="auto"/>
        <w:rPr>
          <w:rStyle w:val="17"/>
          <w:rFonts w:hint="default" w:ascii="Times New Roman" w:hAnsi="Times New Roman" w:eastAsia="宋体" w:cs="Times New Roman"/>
          <w:color w:val="auto"/>
        </w:rPr>
      </w:pPr>
      <w:r>
        <w:rPr>
          <w:rStyle w:val="17"/>
          <w:rFonts w:hint="default" w:ascii="Times New Roman" w:hAnsi="Times New Roman" w:eastAsia="宋体" w:cs="Times New Roman"/>
          <w:color w:val="auto"/>
          <w:lang w:eastAsia="zh-CN"/>
        </w:rPr>
        <w:t>《不动产登记暂行条例（国务院令（</w:t>
      </w:r>
      <w:r>
        <w:rPr>
          <w:rStyle w:val="17"/>
          <w:rFonts w:hint="default" w:ascii="Times New Roman" w:hAnsi="Times New Roman" w:eastAsia="宋体" w:cs="Times New Roman"/>
          <w:color w:val="auto"/>
          <w:lang w:val="en-US" w:eastAsia="zh-CN"/>
        </w:rPr>
        <w:t>2014</w:t>
      </w:r>
      <w:r>
        <w:rPr>
          <w:rStyle w:val="17"/>
          <w:rFonts w:hint="default" w:ascii="Times New Roman" w:hAnsi="Times New Roman" w:eastAsia="宋体" w:cs="Times New Roman"/>
          <w:color w:val="auto"/>
          <w:lang w:eastAsia="zh-CN"/>
        </w:rPr>
        <w:t>）第</w:t>
      </w:r>
      <w:r>
        <w:rPr>
          <w:rStyle w:val="17"/>
          <w:rFonts w:hint="default" w:ascii="Times New Roman" w:hAnsi="Times New Roman" w:eastAsia="宋体" w:cs="Times New Roman"/>
          <w:color w:val="auto"/>
          <w:lang w:val="en-US" w:eastAsia="zh-CN"/>
        </w:rPr>
        <w:t>656号</w:t>
      </w:r>
      <w:r>
        <w:rPr>
          <w:rStyle w:val="17"/>
          <w:rFonts w:hint="default" w:ascii="Times New Roman" w:hAnsi="Times New Roman" w:eastAsia="宋体" w:cs="Times New Roman"/>
          <w:color w:val="auto"/>
          <w:lang w:eastAsia="zh-CN"/>
        </w:rPr>
        <w:t>》</w:t>
      </w:r>
    </w:p>
    <w:p>
      <w:pPr>
        <w:keepNext w:val="0"/>
        <w:keepLines w:val="0"/>
        <w:pageBreakBefore w:val="0"/>
        <w:widowControl w:val="0"/>
        <w:numPr>
          <w:ilvl w:val="0"/>
          <w:numId w:val="7"/>
        </w:numPr>
        <w:tabs>
          <w:tab w:val="left" w:pos="993"/>
          <w:tab w:val="clear" w:pos="1020"/>
        </w:tabs>
        <w:kinsoku/>
        <w:wordWrap/>
        <w:overflowPunct/>
        <w:topLinePunct w:val="0"/>
        <w:autoSpaceDE/>
        <w:autoSpaceDN/>
        <w:bidi w:val="0"/>
        <w:adjustRightInd/>
        <w:snapToGrid/>
        <w:spacing w:line="500" w:lineRule="exact"/>
        <w:ind w:left="0" w:firstLine="567"/>
        <w:textAlignment w:val="auto"/>
        <w:rPr>
          <w:rStyle w:val="17"/>
          <w:rFonts w:hint="default" w:ascii="Times New Roman" w:hAnsi="Times New Roman" w:eastAsia="宋体" w:cs="Times New Roman"/>
          <w:color w:val="auto"/>
        </w:rPr>
      </w:pPr>
      <w:r>
        <w:rPr>
          <w:rStyle w:val="17"/>
          <w:rFonts w:hint="default" w:ascii="Times New Roman" w:hAnsi="Times New Roman" w:eastAsia="宋体" w:cs="Times New Roman"/>
          <w:color w:val="auto"/>
          <w:lang w:eastAsia="zh-CN"/>
        </w:rPr>
        <w:t>其他有关法律、法规、司法解释和政策</w:t>
      </w:r>
    </w:p>
    <w:p>
      <w:pPr>
        <w:pageBreakBefore w:val="0"/>
        <w:widowControl w:val="0"/>
        <w:numPr>
          <w:ilvl w:val="0"/>
          <w:numId w:val="0"/>
        </w:numPr>
        <w:kinsoku/>
        <w:wordWrap/>
        <w:overflowPunct/>
        <w:topLinePunct w:val="0"/>
        <w:autoSpaceDE/>
        <w:autoSpaceDN/>
        <w:bidi w:val="0"/>
        <w:adjustRightInd/>
        <w:snapToGrid/>
        <w:spacing w:line="500" w:lineRule="exact"/>
        <w:ind w:left="426" w:leftChars="0"/>
        <w:textAlignment w:val="auto"/>
        <w:rPr>
          <w:rStyle w:val="17"/>
          <w:rFonts w:hint="default" w:ascii="Times New Roman" w:hAnsi="Times New Roman" w:cs="Times New Roman" w:eastAsiaTheme="minorEastAsia"/>
          <w:b/>
        </w:rPr>
      </w:pPr>
      <w:r>
        <w:rPr>
          <w:rStyle w:val="17"/>
          <w:rFonts w:hint="default" w:ascii="Times New Roman" w:hAnsi="Times New Roman" w:cs="Times New Roman" w:eastAsiaTheme="minorEastAsia"/>
          <w:b/>
          <w:lang w:eastAsia="zh-CN"/>
        </w:rPr>
        <w:t>（</w:t>
      </w:r>
      <w:r>
        <w:rPr>
          <w:rStyle w:val="17"/>
          <w:rFonts w:hint="default" w:ascii="Times New Roman" w:hAnsi="Times New Roman" w:cs="Times New Roman" w:eastAsiaTheme="minorEastAsia"/>
          <w:b/>
          <w:lang w:val="en-US" w:eastAsia="zh-CN"/>
        </w:rPr>
        <w:t>二</w:t>
      </w:r>
      <w:r>
        <w:rPr>
          <w:rStyle w:val="17"/>
          <w:rFonts w:hint="default" w:ascii="Times New Roman" w:hAnsi="Times New Roman" w:cs="Times New Roman" w:eastAsiaTheme="minorEastAsia"/>
          <w:b/>
          <w:lang w:eastAsia="zh-CN"/>
        </w:rPr>
        <w:t>）</w:t>
      </w:r>
      <w:r>
        <w:rPr>
          <w:rStyle w:val="17"/>
          <w:rFonts w:hint="default" w:ascii="Times New Roman" w:hAnsi="Times New Roman" w:cs="Times New Roman" w:eastAsiaTheme="minorEastAsia"/>
          <w:b/>
        </w:rPr>
        <w:t>估价技术依据：</w:t>
      </w:r>
    </w:p>
    <w:p>
      <w:pPr>
        <w:pageBreakBefore w:val="0"/>
        <w:widowControl w:val="0"/>
        <w:numPr>
          <w:ilvl w:val="0"/>
          <w:numId w:val="8"/>
        </w:numPr>
        <w:tabs>
          <w:tab w:val="left" w:pos="0"/>
        </w:tabs>
        <w:kinsoku/>
        <w:wordWrap/>
        <w:overflowPunct/>
        <w:topLinePunct w:val="0"/>
        <w:autoSpaceDE/>
        <w:autoSpaceDN/>
        <w:bidi w:val="0"/>
        <w:adjustRightInd/>
        <w:snapToGrid/>
        <w:spacing w:line="500" w:lineRule="exact"/>
        <w:textAlignment w:val="auto"/>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中华人民共和国国家标准《房地产估价规范》</w:t>
      </w:r>
      <w:r>
        <w:rPr>
          <w:rFonts w:hint="default" w:ascii="Times New Roman" w:hAnsi="Times New Roman" w:cs="Times New Roman" w:eastAsiaTheme="minorEastAsia"/>
          <w:sz w:val="28"/>
        </w:rPr>
        <w:t>（GB/T50291-2015）</w:t>
      </w:r>
    </w:p>
    <w:p>
      <w:pPr>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firstLine="600"/>
        <w:textAlignment w:val="auto"/>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中华人民共和国国家标准《房地产估价基本术语标准》（GB/T 50899—2013）</w:t>
      </w:r>
    </w:p>
    <w:p>
      <w:pPr>
        <w:pageBreakBefore w:val="0"/>
        <w:widowControl w:val="0"/>
        <w:numPr>
          <w:ilvl w:val="0"/>
          <w:numId w:val="0"/>
        </w:numPr>
        <w:kinsoku/>
        <w:wordWrap/>
        <w:overflowPunct/>
        <w:topLinePunct w:val="0"/>
        <w:autoSpaceDE/>
        <w:autoSpaceDN/>
        <w:bidi w:val="0"/>
        <w:adjustRightInd/>
        <w:snapToGrid/>
        <w:spacing w:line="500" w:lineRule="exact"/>
        <w:ind w:left="426" w:leftChars="0"/>
        <w:textAlignment w:val="auto"/>
        <w:rPr>
          <w:rStyle w:val="17"/>
          <w:rFonts w:hint="default" w:ascii="Times New Roman" w:hAnsi="Times New Roman" w:cs="Times New Roman" w:eastAsiaTheme="minorEastAsia"/>
          <w:b/>
        </w:rPr>
      </w:pPr>
      <w:r>
        <w:rPr>
          <w:rStyle w:val="17"/>
          <w:rFonts w:hint="default" w:ascii="Times New Roman" w:hAnsi="Times New Roman" w:cs="Times New Roman" w:eastAsiaTheme="minorEastAsia"/>
          <w:b/>
          <w:lang w:eastAsia="zh-CN"/>
        </w:rPr>
        <w:t>（</w:t>
      </w:r>
      <w:r>
        <w:rPr>
          <w:rStyle w:val="17"/>
          <w:rFonts w:hint="default" w:ascii="Times New Roman" w:hAnsi="Times New Roman" w:cs="Times New Roman" w:eastAsiaTheme="minorEastAsia"/>
          <w:b/>
          <w:lang w:val="en-US" w:eastAsia="zh-CN"/>
        </w:rPr>
        <w:t>三</w:t>
      </w:r>
      <w:r>
        <w:rPr>
          <w:rStyle w:val="17"/>
          <w:rFonts w:hint="default" w:ascii="Times New Roman" w:hAnsi="Times New Roman" w:cs="Times New Roman" w:eastAsiaTheme="minorEastAsia"/>
          <w:b/>
          <w:lang w:eastAsia="zh-CN"/>
        </w:rPr>
        <w:t>）</w:t>
      </w:r>
      <w:r>
        <w:rPr>
          <w:rStyle w:val="17"/>
          <w:rFonts w:hint="default" w:ascii="Times New Roman" w:hAnsi="Times New Roman" w:cs="Times New Roman" w:eastAsiaTheme="minorEastAsia"/>
          <w:b/>
        </w:rPr>
        <w:t>估价委托人提供的资料：</w:t>
      </w:r>
    </w:p>
    <w:p>
      <w:pPr>
        <w:numPr>
          <w:ilvl w:val="0"/>
          <w:numId w:val="9"/>
        </w:numPr>
        <w:tabs>
          <w:tab w:val="left" w:pos="0"/>
        </w:tabs>
        <w:spacing w:line="500" w:lineRule="exact"/>
        <w:rPr>
          <w:rStyle w:val="17"/>
          <w:rFonts w:hint="default" w:ascii="Times New Roman" w:hAnsi="Times New Roman" w:cs="Times New Roman" w:eastAsiaTheme="minorEastAsia"/>
          <w:color w:val="auto"/>
        </w:rPr>
      </w:pPr>
      <w:r>
        <w:rPr>
          <w:rStyle w:val="17"/>
          <w:rFonts w:hint="eastAsia" w:cs="Times New Roman" w:eastAsiaTheme="minorEastAsia"/>
          <w:color w:val="auto"/>
          <w:lang w:eastAsia="zh-CN"/>
        </w:rPr>
        <w:t>常州市天宁区人民法院</w:t>
      </w:r>
      <w:r>
        <w:rPr>
          <w:rStyle w:val="17"/>
          <w:rFonts w:hint="eastAsia" w:cs="Times New Roman" w:eastAsiaTheme="minorEastAsia"/>
          <w:color w:val="auto"/>
          <w:lang w:val="en-US" w:eastAsia="zh-CN"/>
        </w:rPr>
        <w:t>司法评估</w:t>
      </w:r>
      <w:r>
        <w:rPr>
          <w:rStyle w:val="17"/>
          <w:rFonts w:hint="default" w:ascii="Times New Roman" w:hAnsi="Times New Roman" w:cs="Times New Roman" w:eastAsiaTheme="minorEastAsia"/>
          <w:color w:val="auto"/>
          <w:lang w:val="en-US" w:eastAsia="zh-CN"/>
        </w:rPr>
        <w:t>委托书</w:t>
      </w:r>
      <w:r>
        <w:rPr>
          <w:rStyle w:val="17"/>
          <w:rFonts w:hint="eastAsia" w:cs="Times New Roman" w:eastAsiaTheme="minorEastAsia"/>
          <w:color w:val="auto"/>
          <w:lang w:val="en-US" w:eastAsia="zh-CN"/>
        </w:rPr>
        <w:t>（2022）</w:t>
      </w:r>
      <w:r>
        <w:rPr>
          <w:rFonts w:hint="eastAsia" w:ascii="宋体" w:hAnsi="宋体" w:eastAsia="宋体" w:cs="宋体"/>
          <w:color w:val="auto"/>
          <w:sz w:val="28"/>
          <w:szCs w:val="28"/>
          <w:highlight w:val="none"/>
          <w:lang w:val="en-US" w:eastAsia="zh-CN"/>
        </w:rPr>
        <w:t>苏04</w:t>
      </w:r>
      <w:r>
        <w:rPr>
          <w:rFonts w:hint="eastAsia" w:ascii="宋体" w:hAnsi="宋体" w:cs="宋体"/>
          <w:color w:val="auto"/>
          <w:sz w:val="28"/>
          <w:szCs w:val="28"/>
          <w:highlight w:val="none"/>
          <w:lang w:val="en-US" w:eastAsia="zh-CN"/>
        </w:rPr>
        <w:t>02法鉴委字第237</w:t>
      </w:r>
      <w:r>
        <w:rPr>
          <w:rFonts w:hint="eastAsia" w:ascii="宋体" w:hAnsi="宋体" w:eastAsia="宋体" w:cs="宋体"/>
          <w:color w:val="auto"/>
          <w:sz w:val="28"/>
          <w:szCs w:val="28"/>
          <w:highlight w:val="none"/>
          <w:lang w:val="en-US" w:eastAsia="zh-CN"/>
        </w:rPr>
        <w:t>号</w:t>
      </w:r>
      <w:r>
        <w:rPr>
          <w:rFonts w:hint="eastAsia" w:ascii="宋体" w:hAnsi="宋体" w:cs="宋体"/>
          <w:color w:val="auto"/>
          <w:sz w:val="28"/>
          <w:szCs w:val="28"/>
          <w:highlight w:val="none"/>
          <w:lang w:val="en-US" w:eastAsia="zh-CN"/>
        </w:rPr>
        <w:t>；</w:t>
      </w:r>
    </w:p>
    <w:p>
      <w:pPr>
        <w:numPr>
          <w:ilvl w:val="0"/>
          <w:numId w:val="9"/>
        </w:numPr>
        <w:tabs>
          <w:tab w:val="left" w:pos="0"/>
        </w:tabs>
        <w:spacing w:line="500" w:lineRule="exact"/>
        <w:rPr>
          <w:rStyle w:val="17"/>
          <w:rFonts w:hint="default" w:ascii="Times New Roman" w:hAnsi="Times New Roman" w:cs="Times New Roman" w:eastAsiaTheme="minorEastAsia"/>
        </w:rPr>
      </w:pPr>
      <w:r>
        <w:rPr>
          <w:rStyle w:val="17"/>
          <w:rFonts w:hint="default" w:ascii="Times New Roman" w:hAnsi="Times New Roman" w:cs="Times New Roman" w:eastAsiaTheme="minorEastAsia"/>
          <w:color w:val="auto"/>
        </w:rPr>
        <w:t>估价委托人提供的《</w:t>
      </w:r>
      <w:r>
        <w:rPr>
          <w:rStyle w:val="17"/>
          <w:rFonts w:hint="default" w:ascii="Times New Roman" w:hAnsi="Times New Roman" w:cs="Times New Roman" w:eastAsiaTheme="minorEastAsia"/>
          <w:color w:val="auto"/>
          <w:lang w:eastAsia="zh-CN"/>
        </w:rPr>
        <w:t>不动产登记簿查询</w:t>
      </w:r>
      <w:r>
        <w:rPr>
          <w:rStyle w:val="17"/>
          <w:rFonts w:hint="eastAsia" w:ascii="Times New Roman" w:hAnsi="Times New Roman" w:cs="Times New Roman" w:eastAsiaTheme="minorEastAsia"/>
          <w:color w:val="auto"/>
          <w:lang w:val="en-US" w:eastAsia="zh-CN"/>
        </w:rPr>
        <w:t>结果</w:t>
      </w:r>
      <w:r>
        <w:rPr>
          <w:rStyle w:val="17"/>
          <w:rFonts w:hint="default" w:ascii="Times New Roman" w:hAnsi="Times New Roman" w:cs="Times New Roman" w:eastAsiaTheme="minorEastAsia"/>
          <w:color w:val="auto"/>
        </w:rPr>
        <w:t>》复印</w:t>
      </w:r>
      <w:r>
        <w:rPr>
          <w:rStyle w:val="17"/>
          <w:rFonts w:hint="default" w:ascii="Times New Roman" w:hAnsi="Times New Roman" w:cs="Times New Roman" w:eastAsiaTheme="minorEastAsia"/>
        </w:rPr>
        <w:t>件</w:t>
      </w:r>
      <w:r>
        <w:rPr>
          <w:rStyle w:val="17"/>
          <w:rFonts w:hint="eastAsia" w:cs="Times New Roman" w:eastAsiaTheme="minorEastAsia"/>
          <w:color w:val="auto"/>
          <w:lang w:val="en-US" w:eastAsia="zh-CN"/>
        </w:rPr>
        <w:t>；</w:t>
      </w:r>
    </w:p>
    <w:p>
      <w:pPr>
        <w:numPr>
          <w:ilvl w:val="0"/>
          <w:numId w:val="9"/>
        </w:numPr>
        <w:tabs>
          <w:tab w:val="left" w:pos="0"/>
        </w:tabs>
        <w:spacing w:line="500" w:lineRule="exact"/>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估价委托人及估价利害关系人提供的其他相关情况及资料（包括现场解说）</w:t>
      </w:r>
    </w:p>
    <w:p>
      <w:pPr>
        <w:pageBreakBefore w:val="0"/>
        <w:widowControl w:val="0"/>
        <w:numPr>
          <w:ilvl w:val="0"/>
          <w:numId w:val="0"/>
        </w:numPr>
        <w:kinsoku/>
        <w:wordWrap/>
        <w:overflowPunct/>
        <w:topLinePunct w:val="0"/>
        <w:autoSpaceDE/>
        <w:autoSpaceDN/>
        <w:bidi w:val="0"/>
        <w:adjustRightInd/>
        <w:snapToGrid/>
        <w:spacing w:line="500" w:lineRule="exact"/>
        <w:ind w:left="426" w:leftChars="0"/>
        <w:textAlignment w:val="auto"/>
        <w:rPr>
          <w:rStyle w:val="17"/>
          <w:rFonts w:hint="default" w:ascii="Times New Roman" w:hAnsi="Times New Roman" w:cs="Times New Roman" w:eastAsiaTheme="minorEastAsia"/>
          <w:b/>
        </w:rPr>
      </w:pPr>
      <w:r>
        <w:rPr>
          <w:rStyle w:val="17"/>
          <w:rFonts w:hint="default" w:ascii="Times New Roman" w:hAnsi="Times New Roman" w:cs="Times New Roman" w:eastAsiaTheme="minorEastAsia"/>
          <w:b/>
          <w:lang w:eastAsia="zh-CN"/>
        </w:rPr>
        <w:t>（</w:t>
      </w:r>
      <w:r>
        <w:rPr>
          <w:rStyle w:val="17"/>
          <w:rFonts w:hint="default" w:ascii="Times New Roman" w:hAnsi="Times New Roman" w:cs="Times New Roman" w:eastAsiaTheme="minorEastAsia"/>
          <w:b/>
          <w:lang w:val="en-US" w:eastAsia="zh-CN"/>
        </w:rPr>
        <w:t>四</w:t>
      </w:r>
      <w:r>
        <w:rPr>
          <w:rStyle w:val="17"/>
          <w:rFonts w:hint="default" w:ascii="Times New Roman" w:hAnsi="Times New Roman" w:cs="Times New Roman" w:eastAsiaTheme="minorEastAsia"/>
          <w:b/>
          <w:lang w:eastAsia="zh-CN"/>
        </w:rPr>
        <w:t>）</w:t>
      </w:r>
      <w:r>
        <w:rPr>
          <w:rStyle w:val="17"/>
          <w:rFonts w:hint="default" w:ascii="Times New Roman" w:hAnsi="Times New Roman" w:cs="Times New Roman" w:eastAsiaTheme="minorEastAsia"/>
          <w:b/>
        </w:rPr>
        <w:t>房地产估价机构掌握的资料：</w:t>
      </w:r>
    </w:p>
    <w:p>
      <w:pPr>
        <w:pageBreakBefore w:val="0"/>
        <w:widowControl w:val="0"/>
        <w:numPr>
          <w:ilvl w:val="0"/>
          <w:numId w:val="10"/>
        </w:numPr>
        <w:tabs>
          <w:tab w:val="left" w:pos="0"/>
          <w:tab w:val="left" w:pos="993"/>
          <w:tab w:val="clear" w:pos="1020"/>
        </w:tabs>
        <w:kinsoku/>
        <w:wordWrap/>
        <w:overflowPunct/>
        <w:topLinePunct w:val="0"/>
        <w:autoSpaceDE/>
        <w:autoSpaceDN/>
        <w:bidi w:val="0"/>
        <w:adjustRightInd/>
        <w:snapToGrid/>
        <w:spacing w:line="500" w:lineRule="exact"/>
        <w:textAlignment w:val="auto"/>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估价人员实地查勘估价对象和可比实例的实体、区位等资料，以及市场调查所得资料</w:t>
      </w:r>
      <w:r>
        <w:rPr>
          <w:rStyle w:val="17"/>
          <w:rFonts w:hint="eastAsia" w:cs="Times New Roman" w:eastAsiaTheme="minorEastAsia"/>
          <w:lang w:eastAsia="zh-CN"/>
        </w:rPr>
        <w:t>；</w:t>
      </w:r>
    </w:p>
    <w:p>
      <w:pPr>
        <w:pageBreakBefore w:val="0"/>
        <w:widowControl w:val="0"/>
        <w:numPr>
          <w:ilvl w:val="0"/>
          <w:numId w:val="10"/>
        </w:numPr>
        <w:tabs>
          <w:tab w:val="left" w:pos="0"/>
        </w:tabs>
        <w:kinsoku/>
        <w:wordWrap/>
        <w:overflowPunct/>
        <w:topLinePunct w:val="0"/>
        <w:autoSpaceDE/>
        <w:autoSpaceDN/>
        <w:bidi w:val="0"/>
        <w:adjustRightInd/>
        <w:snapToGrid/>
        <w:spacing w:line="500" w:lineRule="exact"/>
        <w:ind w:left="0" w:firstLine="600"/>
        <w:textAlignment w:val="auto"/>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房地产估价机构掌握的</w:t>
      </w:r>
      <w:r>
        <w:rPr>
          <w:rStyle w:val="17"/>
          <w:rFonts w:hint="eastAsia" w:cs="Times New Roman" w:eastAsiaTheme="minorEastAsia"/>
          <w:lang w:val="en-US" w:eastAsia="zh-CN"/>
        </w:rPr>
        <w:t>常州市</w:t>
      </w:r>
      <w:r>
        <w:rPr>
          <w:rStyle w:val="17"/>
          <w:rFonts w:hint="default" w:ascii="Times New Roman" w:hAnsi="Times New Roman" w:cs="Times New Roman" w:eastAsiaTheme="minorEastAsia"/>
        </w:rPr>
        <w:t>房地产市场交易资料</w:t>
      </w:r>
      <w:r>
        <w:rPr>
          <w:rStyle w:val="17"/>
          <w:rFonts w:hint="eastAsia" w:cs="Times New Roman" w:eastAsiaTheme="minorEastAsia"/>
          <w:lang w:eastAsia="zh-CN"/>
        </w:rPr>
        <w:t>；</w:t>
      </w:r>
    </w:p>
    <w:p>
      <w:pPr>
        <w:pageBreakBefore w:val="0"/>
        <w:widowControl w:val="0"/>
        <w:numPr>
          <w:ilvl w:val="0"/>
          <w:numId w:val="10"/>
        </w:numPr>
        <w:tabs>
          <w:tab w:val="left" w:pos="0"/>
        </w:tabs>
        <w:kinsoku/>
        <w:wordWrap/>
        <w:overflowPunct/>
        <w:topLinePunct w:val="0"/>
        <w:autoSpaceDE/>
        <w:autoSpaceDN/>
        <w:bidi w:val="0"/>
        <w:adjustRightInd/>
        <w:snapToGrid/>
        <w:spacing w:line="500" w:lineRule="exact"/>
        <w:ind w:left="0" w:firstLine="600"/>
        <w:textAlignment w:val="auto"/>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其他有关资料</w:t>
      </w:r>
      <w:r>
        <w:rPr>
          <w:rStyle w:val="17"/>
          <w:rFonts w:hint="eastAsia" w:cs="Times New Roman" w:eastAsiaTheme="minorEastAsia"/>
          <w:lang w:eastAsia="zh-CN"/>
        </w:rPr>
        <w:t>。</w:t>
      </w:r>
    </w:p>
    <w:p>
      <w:pPr>
        <w:pStyle w:val="3"/>
        <w:spacing w:after="0" w:line="500" w:lineRule="exact"/>
        <w:rPr>
          <w:rFonts w:hint="default" w:ascii="Times New Roman" w:hAnsi="Times New Roman" w:cs="Times New Roman" w:eastAsiaTheme="minorEastAsia"/>
          <w:sz w:val="28"/>
          <w:szCs w:val="28"/>
        </w:rPr>
      </w:pPr>
      <w:bookmarkStart w:id="115" w:name="_Toc263248980"/>
      <w:bookmarkStart w:id="116" w:name="_Toc267552684"/>
      <w:bookmarkStart w:id="117" w:name="_Toc267557160"/>
      <w:bookmarkStart w:id="118" w:name="_Toc375035099"/>
      <w:bookmarkStart w:id="119" w:name="_Toc393960762"/>
      <w:bookmarkStart w:id="120" w:name="_Toc372267385"/>
      <w:bookmarkStart w:id="121" w:name="_Toc22689"/>
      <w:bookmarkStart w:id="122" w:name="_Toc267557581"/>
      <w:bookmarkStart w:id="123" w:name="_Toc534792197"/>
      <w:bookmarkStart w:id="124" w:name="_Toc262130462"/>
      <w:bookmarkStart w:id="125" w:name="_Toc28429"/>
      <w:r>
        <w:rPr>
          <w:rFonts w:hint="default" w:ascii="Times New Roman" w:hAnsi="Times New Roman" w:cs="Times New Roman" w:eastAsiaTheme="minorEastAsia"/>
          <w:sz w:val="28"/>
          <w:szCs w:val="28"/>
        </w:rPr>
        <w:t>九、估价方法</w:t>
      </w:r>
      <w:bookmarkEnd w:id="115"/>
      <w:bookmarkEnd w:id="116"/>
      <w:bookmarkEnd w:id="117"/>
      <w:bookmarkEnd w:id="118"/>
      <w:bookmarkEnd w:id="119"/>
      <w:bookmarkEnd w:id="120"/>
      <w:bookmarkEnd w:id="121"/>
      <w:bookmarkEnd w:id="122"/>
      <w:bookmarkEnd w:id="123"/>
      <w:bookmarkEnd w:id="124"/>
      <w:bookmarkEnd w:id="125"/>
    </w:p>
    <w:p>
      <w:pPr>
        <w:spacing w:line="500" w:lineRule="exact"/>
        <w:ind w:firstLine="560" w:firstLineChars="200"/>
        <w:rPr>
          <w:rFonts w:hint="default" w:ascii="Times New Roman" w:hAnsi="Times New Roman" w:cs="Times New Roman" w:eastAsiaTheme="minorEastAsia"/>
          <w:sz w:val="28"/>
          <w:szCs w:val="28"/>
        </w:rPr>
      </w:pPr>
      <w:bookmarkStart w:id="126" w:name="_Toc372267386"/>
      <w:bookmarkStart w:id="127" w:name="_Toc267552685"/>
      <w:bookmarkStart w:id="128" w:name="_Toc262130463"/>
      <w:bookmarkStart w:id="129" w:name="_Toc267557161"/>
      <w:bookmarkStart w:id="130" w:name="_Toc267557582"/>
      <w:bookmarkStart w:id="131" w:name="_Toc375035100"/>
      <w:bookmarkStart w:id="132" w:name="_Toc534792198"/>
      <w:bookmarkStart w:id="133" w:name="_Toc393960763"/>
      <w:bookmarkStart w:id="134" w:name="_Toc263248981"/>
      <w:r>
        <w:rPr>
          <w:rFonts w:hint="default" w:ascii="Times New Roman" w:hAnsi="Times New Roman" w:cs="Times New Roman" w:eastAsiaTheme="minorEastAsia"/>
          <w:sz w:val="28"/>
          <w:szCs w:val="28"/>
          <w:lang w:val="en-US" w:eastAsia="zh-CN"/>
        </w:rPr>
        <w:t xml:space="preserve">根据《房地产估价规范》，基本的房地产估价方法有比较法、收益法、成本法、假设开发法等。 </w:t>
      </w:r>
    </w:p>
    <w:p>
      <w:pPr>
        <w:spacing w:line="500" w:lineRule="exact"/>
        <w:ind w:firstLine="560" w:firstLineChars="200"/>
        <w:rPr>
          <w:rFonts w:hint="eastAsia"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经估价人员深入细致地分析了估价对象的特点和实际状况，并研究了委托人提供的资料及估价人员掌握的资料，结合估价对象的实际情况，并对邻近地段和区域同类性质的房地产市场情况进行调查之后，决定选取收益法作为估价方法</w:t>
      </w:r>
      <w:r>
        <w:rPr>
          <w:rFonts w:hint="eastAsia" w:ascii="Times New Roman" w:hAnsi="Times New Roman" w:cs="Times New Roman" w:eastAsiaTheme="minorEastAsia"/>
          <w:sz w:val="28"/>
          <w:szCs w:val="28"/>
          <w:lang w:val="en-US" w:eastAsia="zh-CN"/>
        </w:rPr>
        <w:t>。</w:t>
      </w:r>
    </w:p>
    <w:p>
      <w:pPr>
        <w:spacing w:line="500" w:lineRule="exact"/>
        <w:ind w:firstLine="560" w:firstLineChars="200"/>
        <w:rPr>
          <w:rFonts w:hint="default" w:ascii="Times New Roman" w:hAnsi="Times New Roman" w:cs="Times New Roman" w:eastAsiaTheme="minorEastAsia"/>
        </w:rPr>
      </w:pPr>
      <w:r>
        <w:rPr>
          <w:rFonts w:hint="default" w:ascii="Times New Roman" w:hAnsi="Times New Roman" w:cs="Times New Roman" w:eastAsiaTheme="minorEastAsia"/>
          <w:sz w:val="28"/>
          <w:szCs w:val="28"/>
          <w:lang w:val="en-US" w:eastAsia="zh-CN"/>
        </w:rPr>
        <w:t>所谓收益法，预测估价对象的未来收益，利用报酬率或资本化率、收益乘数将未来收益转换为价值得到估价对象价值或价格的方法</w:t>
      </w:r>
      <w:r>
        <w:rPr>
          <w:rFonts w:hint="eastAsia" w:ascii="仿宋_GB2312" w:hAnsi="仿宋_GB2312" w:eastAsia="仿宋_GB2312" w:cs="仿宋_GB2312"/>
          <w:color w:val="000000"/>
          <w:kern w:val="0"/>
          <w:sz w:val="28"/>
          <w:szCs w:val="28"/>
          <w:lang w:val="en-US" w:eastAsia="zh-CN" w:bidi="ar"/>
        </w:rPr>
        <w:t>。</w:t>
      </w:r>
    </w:p>
    <w:p>
      <w:pPr>
        <w:pStyle w:val="3"/>
        <w:spacing w:after="0" w:line="500" w:lineRule="exact"/>
        <w:rPr>
          <w:rFonts w:hint="default" w:ascii="Times New Roman" w:hAnsi="Times New Roman" w:cs="Times New Roman" w:eastAsiaTheme="minorEastAsia"/>
          <w:sz w:val="28"/>
          <w:szCs w:val="28"/>
        </w:rPr>
      </w:pPr>
      <w:bookmarkStart w:id="135" w:name="_Toc15867"/>
      <w:bookmarkStart w:id="136" w:name="_Toc20286"/>
      <w:r>
        <w:rPr>
          <w:rFonts w:hint="default" w:ascii="Times New Roman" w:hAnsi="Times New Roman" w:cs="Times New Roman" w:eastAsiaTheme="minorEastAsia"/>
          <w:sz w:val="28"/>
          <w:szCs w:val="28"/>
        </w:rPr>
        <w:t>十、估价结果</w:t>
      </w:r>
      <w:bookmarkEnd w:id="126"/>
      <w:bookmarkEnd w:id="127"/>
      <w:bookmarkEnd w:id="128"/>
      <w:bookmarkEnd w:id="129"/>
      <w:bookmarkEnd w:id="130"/>
      <w:bookmarkEnd w:id="131"/>
      <w:bookmarkEnd w:id="132"/>
      <w:bookmarkEnd w:id="133"/>
      <w:bookmarkEnd w:id="134"/>
      <w:bookmarkEnd w:id="135"/>
      <w:bookmarkEnd w:id="136"/>
    </w:p>
    <w:p>
      <w:pPr>
        <w:spacing w:line="500" w:lineRule="exact"/>
        <w:ind w:firstLine="560" w:firstLineChars="200"/>
        <w:rPr>
          <w:rFonts w:hint="default" w:ascii="Times New Roman" w:hAnsi="Times New Roman" w:cs="Times New Roman" w:eastAsiaTheme="minorEastAsia"/>
          <w:sz w:val="28"/>
          <w:szCs w:val="28"/>
        </w:rPr>
      </w:pPr>
      <w:bookmarkStart w:id="137" w:name="_Toc375035101"/>
      <w:bookmarkStart w:id="138" w:name="_Toc263248982"/>
      <w:bookmarkStart w:id="139" w:name="_Toc534792199"/>
      <w:bookmarkStart w:id="140" w:name="_Toc267557583"/>
      <w:bookmarkStart w:id="141" w:name="_Toc262130464"/>
      <w:bookmarkStart w:id="142" w:name="_Toc267552686"/>
      <w:bookmarkStart w:id="143" w:name="_Toc267557162"/>
      <w:bookmarkStart w:id="144" w:name="_Toc393960764"/>
      <w:bookmarkStart w:id="145" w:name="_Toc372267387"/>
      <w:r>
        <w:rPr>
          <w:rFonts w:hint="default" w:ascii="Times New Roman" w:hAnsi="Times New Roman" w:cs="Times New Roman" w:eastAsiaTheme="minorEastAsia"/>
          <w:sz w:val="28"/>
          <w:szCs w:val="28"/>
        </w:rPr>
        <w:t>估价人员根据估价目的，遵循估价原则，按照估价程序，依据国家的有关法律、法规、中华人民共和国国家标准《房地产估价规范》（GB/T50291—2015）、《房地产估价基本术语标准》（GB/T50899—2013）以及其他有关资料，在充分了解和分析估价对象实际情况的基础上，结合估价人员经验，采用</w:t>
      </w:r>
      <w:r>
        <w:rPr>
          <w:rFonts w:hint="eastAsia" w:cs="Times New Roman" w:eastAsiaTheme="minorEastAsia"/>
          <w:sz w:val="28"/>
          <w:szCs w:val="28"/>
          <w:lang w:eastAsia="zh-CN"/>
        </w:rPr>
        <w:t>收益法</w:t>
      </w:r>
      <w:r>
        <w:rPr>
          <w:rFonts w:hint="default" w:ascii="Times New Roman" w:hAnsi="Times New Roman" w:cs="Times New Roman" w:eastAsiaTheme="minorEastAsia"/>
          <w:sz w:val="28"/>
          <w:szCs w:val="28"/>
        </w:rPr>
        <w:t>进行评估，现发表公允的评估意见为：</w:t>
      </w:r>
    </w:p>
    <w:p>
      <w:pPr>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sz w:val="28"/>
          <w:szCs w:val="28"/>
          <w:lang w:eastAsia="zh-CN"/>
        </w:rPr>
      </w:pPr>
      <w:bookmarkStart w:id="146" w:name="_Toc30654"/>
      <w:r>
        <w:rPr>
          <w:rFonts w:hint="default" w:ascii="Times New Roman" w:hAnsi="Times New Roman" w:cs="Times New Roman" w:eastAsiaTheme="minorEastAsia"/>
          <w:sz w:val="28"/>
          <w:szCs w:val="28"/>
        </w:rPr>
        <w:t>估价对象在</w:t>
      </w:r>
      <w:r>
        <w:rPr>
          <w:rFonts w:hint="default" w:ascii="Times New Roman" w:hAnsi="Times New Roman" w:cs="Times New Roman" w:eastAsiaTheme="minorEastAsia"/>
          <w:color w:val="auto"/>
          <w:sz w:val="28"/>
          <w:szCs w:val="28"/>
        </w:rPr>
        <w:t>价值时点（</w:t>
      </w:r>
      <w:r>
        <w:rPr>
          <w:rFonts w:hint="eastAsia" w:cs="Times New Roman" w:eastAsiaTheme="minorEastAsia"/>
          <w:color w:val="auto"/>
          <w:sz w:val="28"/>
          <w:szCs w:val="28"/>
          <w:lang w:eastAsia="zh-CN"/>
        </w:rPr>
        <w:t>二〇二二年九月二日</w:t>
      </w:r>
      <w:r>
        <w:rPr>
          <w:rFonts w:hint="default" w:ascii="Times New Roman" w:hAnsi="Times New Roman" w:cs="Times New Roman" w:eastAsiaTheme="minorEastAsia"/>
          <w:color w:val="auto"/>
          <w:sz w:val="28"/>
          <w:szCs w:val="28"/>
        </w:rPr>
        <w:t>）不考虑所受抵押、租赁</w:t>
      </w:r>
      <w:r>
        <w:rPr>
          <w:rFonts w:hint="default" w:ascii="Times New Roman" w:hAnsi="Times New Roman" w:cs="Times New Roman" w:eastAsiaTheme="minorEastAsia"/>
          <w:sz w:val="28"/>
          <w:szCs w:val="28"/>
        </w:rPr>
        <w:t>等权利限制情形下的</w:t>
      </w:r>
      <w:r>
        <w:rPr>
          <w:rFonts w:hint="default" w:ascii="Times New Roman" w:hAnsi="Times New Roman" w:cs="Times New Roman"/>
          <w:sz w:val="28"/>
          <w:szCs w:val="28"/>
        </w:rPr>
        <w:t>房地产总价值：</w:t>
      </w:r>
      <w:r>
        <w:rPr>
          <w:rFonts w:hint="default" w:ascii="Times New Roman" w:hAnsi="Times New Roman" w:cs="Times New Roman"/>
          <w:b/>
          <w:sz w:val="28"/>
          <w:szCs w:val="28"/>
        </w:rPr>
        <w:t>￥</w:t>
      </w:r>
      <w:r>
        <w:rPr>
          <w:rFonts w:hint="eastAsia" w:cs="Times New Roman"/>
          <w:b/>
          <w:sz w:val="28"/>
          <w:szCs w:val="28"/>
          <w:lang w:val="en-US" w:eastAsia="zh-CN"/>
        </w:rPr>
        <w:t>142</w:t>
      </w:r>
      <w:r>
        <w:rPr>
          <w:rFonts w:hint="default" w:ascii="Times New Roman" w:hAnsi="Times New Roman" w:cs="Times New Roman"/>
          <w:b/>
          <w:sz w:val="28"/>
          <w:szCs w:val="28"/>
        </w:rPr>
        <w:t>万元</w:t>
      </w:r>
      <w:r>
        <w:rPr>
          <w:rFonts w:hint="default" w:ascii="Times New Roman" w:hAnsi="Times New Roman" w:cs="Times New Roman"/>
          <w:sz w:val="28"/>
          <w:szCs w:val="28"/>
        </w:rPr>
        <w:t>；大写：人民币</w:t>
      </w:r>
      <w:r>
        <w:rPr>
          <w:rFonts w:hint="eastAsia" w:cs="Times New Roman"/>
          <w:b/>
          <w:bCs/>
          <w:sz w:val="28"/>
          <w:szCs w:val="28"/>
          <w:lang w:val="en-US" w:eastAsia="zh-CN"/>
        </w:rPr>
        <w:t>壹佰肆拾贰</w:t>
      </w:r>
      <w:r>
        <w:rPr>
          <w:rFonts w:hint="default" w:ascii="Times New Roman" w:hAnsi="Times New Roman" w:cs="Times New Roman"/>
          <w:b/>
          <w:sz w:val="28"/>
          <w:szCs w:val="28"/>
          <w:lang w:val="en-US" w:eastAsia="zh-CN"/>
        </w:rPr>
        <w:t>万元</w:t>
      </w:r>
      <w:r>
        <w:rPr>
          <w:rFonts w:hint="default" w:ascii="Times New Roman" w:hAnsi="Times New Roman" w:cs="Times New Roman"/>
          <w:b/>
          <w:sz w:val="28"/>
          <w:szCs w:val="28"/>
        </w:rPr>
        <w:t>整</w:t>
      </w:r>
      <w:r>
        <w:rPr>
          <w:rFonts w:hint="eastAsia" w:cs="Times New Roman"/>
          <w:b/>
          <w:sz w:val="28"/>
          <w:szCs w:val="28"/>
          <w:lang w:eastAsia="zh-CN"/>
        </w:rPr>
        <w:t>，</w:t>
      </w:r>
      <w:r>
        <w:rPr>
          <w:rFonts w:hint="default" w:ascii="Times New Roman" w:hAnsi="Times New Roman" w:cs="Times New Roman" w:eastAsiaTheme="minorEastAsia"/>
          <w:sz w:val="28"/>
          <w:szCs w:val="28"/>
        </w:rPr>
        <w:t>折合</w:t>
      </w:r>
      <w:r>
        <w:rPr>
          <w:rFonts w:hint="eastAsia" w:cs="Times New Roman" w:eastAsiaTheme="minorEastAsia"/>
          <w:sz w:val="28"/>
          <w:szCs w:val="28"/>
          <w:lang w:val="en-US" w:eastAsia="zh-CN"/>
        </w:rPr>
        <w:t>建筑面积单价</w:t>
      </w:r>
      <w:r>
        <w:rPr>
          <w:rFonts w:hint="default" w:ascii="Times New Roman" w:hAnsi="Times New Roman" w:cs="Times New Roman" w:eastAsiaTheme="minorEastAsia"/>
          <w:sz w:val="28"/>
          <w:szCs w:val="28"/>
        </w:rPr>
        <w:t>为</w:t>
      </w:r>
      <w:r>
        <w:rPr>
          <w:rFonts w:hint="eastAsia" w:cs="Times New Roman" w:eastAsiaTheme="minorEastAsia"/>
          <w:sz w:val="28"/>
          <w:szCs w:val="28"/>
          <w:lang w:val="en-US" w:eastAsia="zh-CN"/>
        </w:rPr>
        <w:t>6855元/㎡</w:t>
      </w:r>
      <w:r>
        <w:rPr>
          <w:rFonts w:hint="eastAsia" w:asciiTheme="minorEastAsia" w:hAnsiTheme="minorEastAsia" w:eastAsiaTheme="minorEastAsia"/>
          <w:sz w:val="28"/>
          <w:szCs w:val="28"/>
          <w:lang w:eastAsia="zh-CN"/>
        </w:rPr>
        <w:t>。</w:t>
      </w:r>
    </w:p>
    <w:p>
      <w:pPr>
        <w:pStyle w:val="3"/>
        <w:spacing w:after="0" w:line="500" w:lineRule="exact"/>
        <w:rPr>
          <w:rFonts w:hint="default" w:ascii="Times New Roman" w:hAnsi="Times New Roman" w:cs="Times New Roman" w:eastAsiaTheme="minorEastAsia"/>
          <w:sz w:val="28"/>
          <w:szCs w:val="28"/>
        </w:rPr>
      </w:pPr>
      <w:bookmarkStart w:id="147" w:name="_Toc5598"/>
      <w:r>
        <w:rPr>
          <w:rFonts w:hint="default" w:ascii="Times New Roman" w:hAnsi="Times New Roman" w:cs="Times New Roman" w:eastAsiaTheme="minorEastAsia"/>
          <w:sz w:val="28"/>
          <w:szCs w:val="28"/>
        </w:rPr>
        <w:t>十一、</w:t>
      </w:r>
      <w:bookmarkEnd w:id="137"/>
      <w:bookmarkEnd w:id="138"/>
      <w:bookmarkEnd w:id="139"/>
      <w:bookmarkEnd w:id="140"/>
      <w:bookmarkEnd w:id="141"/>
      <w:bookmarkEnd w:id="142"/>
      <w:bookmarkEnd w:id="143"/>
      <w:bookmarkEnd w:id="144"/>
      <w:bookmarkEnd w:id="145"/>
      <w:r>
        <w:rPr>
          <w:rFonts w:hint="default" w:ascii="Times New Roman" w:hAnsi="Times New Roman" w:cs="Times New Roman" w:eastAsiaTheme="minorEastAsia"/>
          <w:sz w:val="28"/>
          <w:szCs w:val="28"/>
        </w:rPr>
        <w:t>注册房地产估价师</w:t>
      </w:r>
      <w:bookmarkEnd w:id="146"/>
      <w:bookmarkEnd w:id="147"/>
      <w:r>
        <w:rPr>
          <w:rFonts w:hint="default" w:ascii="Times New Roman" w:hAnsi="Times New Roman" w:cs="Times New Roman" w:eastAsiaTheme="minorEastAsia"/>
          <w:sz w:val="28"/>
          <w:szCs w:val="28"/>
        </w:rPr>
        <w:t xml:space="preserve">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890"/>
        <w:gridCol w:w="2205"/>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741" w:type="dxa"/>
            <w:vAlign w:val="center"/>
          </w:tcPr>
          <w:p>
            <w:pPr>
              <w:autoSpaceDE w:val="0"/>
              <w:autoSpaceDN w:val="0"/>
              <w:adjustRightInd w:val="0"/>
              <w:spacing w:line="460" w:lineRule="exact"/>
              <w:jc w:val="center"/>
              <w:rPr>
                <w:rFonts w:hint="default" w:ascii="Times New Roman" w:hAnsi="Times New Roman" w:cs="Times New Roman" w:eastAsiaTheme="minorEastAsia"/>
                <w:b/>
                <w:kern w:val="0"/>
                <w:sz w:val="24"/>
              </w:rPr>
            </w:pPr>
            <w:bookmarkStart w:id="148" w:name="_Toc267557584"/>
            <w:bookmarkStart w:id="149" w:name="_Toc393960765"/>
            <w:bookmarkStart w:id="150" w:name="_Toc372267388"/>
            <w:bookmarkStart w:id="151" w:name="_Toc534792200"/>
            <w:bookmarkStart w:id="152" w:name="_Toc267557163"/>
            <w:bookmarkStart w:id="153" w:name="_Toc375035102"/>
            <w:r>
              <w:rPr>
                <w:rFonts w:hint="default" w:ascii="Times New Roman" w:hAnsi="Times New Roman" w:cs="Times New Roman" w:eastAsiaTheme="minorEastAsia"/>
                <w:b/>
                <w:kern w:val="0"/>
                <w:sz w:val="24"/>
              </w:rPr>
              <w:t>姓   名</w:t>
            </w:r>
          </w:p>
        </w:tc>
        <w:tc>
          <w:tcPr>
            <w:tcW w:w="1890" w:type="dxa"/>
            <w:vAlign w:val="center"/>
          </w:tcPr>
          <w:p>
            <w:pPr>
              <w:autoSpaceDE w:val="0"/>
              <w:autoSpaceDN w:val="0"/>
              <w:adjustRightInd w:val="0"/>
              <w:spacing w:line="460" w:lineRule="exact"/>
              <w:jc w:val="center"/>
              <w:rPr>
                <w:rFonts w:hint="default" w:ascii="Times New Roman" w:hAnsi="Times New Roman" w:cs="Times New Roman" w:eastAsiaTheme="minorEastAsia"/>
                <w:b/>
                <w:kern w:val="0"/>
                <w:sz w:val="24"/>
              </w:rPr>
            </w:pPr>
            <w:r>
              <w:rPr>
                <w:rFonts w:hint="default" w:ascii="Times New Roman" w:hAnsi="Times New Roman" w:cs="Times New Roman" w:eastAsiaTheme="minorEastAsia"/>
                <w:b/>
                <w:kern w:val="0"/>
                <w:sz w:val="24"/>
              </w:rPr>
              <w:t>注册号</w:t>
            </w:r>
          </w:p>
        </w:tc>
        <w:tc>
          <w:tcPr>
            <w:tcW w:w="2205" w:type="dxa"/>
            <w:vAlign w:val="center"/>
          </w:tcPr>
          <w:p>
            <w:pPr>
              <w:autoSpaceDE w:val="0"/>
              <w:autoSpaceDN w:val="0"/>
              <w:adjustRightInd w:val="0"/>
              <w:spacing w:line="460" w:lineRule="exact"/>
              <w:jc w:val="center"/>
              <w:rPr>
                <w:rFonts w:hint="default" w:ascii="Times New Roman" w:hAnsi="Times New Roman" w:cs="Times New Roman" w:eastAsiaTheme="minorEastAsia"/>
                <w:b/>
                <w:kern w:val="0"/>
                <w:sz w:val="24"/>
              </w:rPr>
            </w:pPr>
            <w:r>
              <w:rPr>
                <w:rFonts w:hint="default" w:ascii="Times New Roman" w:hAnsi="Times New Roman" w:cs="Times New Roman" w:eastAsiaTheme="minorEastAsia"/>
                <w:b/>
                <w:kern w:val="0"/>
                <w:sz w:val="24"/>
              </w:rPr>
              <w:t>签  名</w:t>
            </w:r>
          </w:p>
        </w:tc>
        <w:tc>
          <w:tcPr>
            <w:tcW w:w="2388" w:type="dxa"/>
            <w:vAlign w:val="center"/>
          </w:tcPr>
          <w:p>
            <w:pPr>
              <w:autoSpaceDE w:val="0"/>
              <w:autoSpaceDN w:val="0"/>
              <w:adjustRightInd w:val="0"/>
              <w:spacing w:line="460" w:lineRule="exact"/>
              <w:jc w:val="center"/>
              <w:rPr>
                <w:rFonts w:hint="default" w:ascii="Times New Roman" w:hAnsi="Times New Roman" w:cs="Times New Roman" w:eastAsiaTheme="minorEastAsia"/>
                <w:b/>
                <w:kern w:val="0"/>
                <w:sz w:val="24"/>
              </w:rPr>
            </w:pPr>
            <w:r>
              <w:rPr>
                <w:rFonts w:hint="default" w:ascii="Times New Roman" w:hAnsi="Times New Roman" w:cs="Times New Roman" w:eastAsiaTheme="minorEastAsia"/>
                <w:b/>
                <w:kern w:val="0"/>
                <w:sz w:val="24"/>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741" w:type="dxa"/>
            <w:vAlign w:val="center"/>
          </w:tcPr>
          <w:p>
            <w:pPr>
              <w:pStyle w:val="18"/>
              <w:spacing w:line="460" w:lineRule="exact"/>
              <w:jc w:val="center"/>
              <w:rPr>
                <w:rFonts w:hint="default" w:ascii="Times New Roman" w:hAnsi="Times New Roman" w:cs="Times New Roman" w:eastAsiaTheme="minorEastAsia"/>
                <w:color w:val="auto"/>
                <w:kern w:val="0"/>
                <w:sz w:val="28"/>
                <w:szCs w:val="28"/>
                <w:lang w:val="en-US" w:eastAsia="zh-CN" w:bidi="ar-SA"/>
              </w:rPr>
            </w:pPr>
            <w:r>
              <w:rPr>
                <w:rFonts w:hint="default" w:ascii="Times New Roman" w:hAnsi="Times New Roman" w:cs="Times New Roman" w:eastAsiaTheme="minorEastAsia"/>
                <w:color w:val="auto"/>
                <w:sz w:val="28"/>
                <w:szCs w:val="28"/>
                <w:lang w:val="en-US" w:eastAsia="zh-CN"/>
              </w:rPr>
              <w:t>汪胡涛</w:t>
            </w:r>
          </w:p>
        </w:tc>
        <w:tc>
          <w:tcPr>
            <w:tcW w:w="1890" w:type="dxa"/>
            <w:vAlign w:val="center"/>
          </w:tcPr>
          <w:p>
            <w:pPr>
              <w:pStyle w:val="18"/>
              <w:spacing w:line="460" w:lineRule="exact"/>
              <w:jc w:val="center"/>
              <w:rPr>
                <w:rFonts w:hint="default" w:ascii="Times New Roman" w:hAnsi="Times New Roman" w:cs="Times New Roman" w:eastAsiaTheme="minorEastAsia"/>
                <w:color w:val="auto"/>
                <w:kern w:val="0"/>
                <w:sz w:val="28"/>
                <w:szCs w:val="28"/>
                <w:lang w:val="en-US" w:eastAsia="zh-CN" w:bidi="ar-SA"/>
              </w:rPr>
            </w:pPr>
            <w:r>
              <w:rPr>
                <w:rFonts w:hint="default" w:ascii="Times New Roman" w:hAnsi="Times New Roman" w:cs="Times New Roman" w:eastAsiaTheme="minorEastAsia"/>
                <w:sz w:val="28"/>
                <w:szCs w:val="28"/>
                <w:lang w:eastAsia="zh-CN"/>
              </w:rPr>
              <w:t>3220</w:t>
            </w:r>
            <w:r>
              <w:rPr>
                <w:rFonts w:hint="default" w:ascii="Times New Roman" w:hAnsi="Times New Roman" w:cs="Times New Roman" w:eastAsiaTheme="minorEastAsia"/>
                <w:sz w:val="28"/>
                <w:szCs w:val="28"/>
                <w:lang w:val="en-US" w:eastAsia="zh-CN"/>
              </w:rPr>
              <w:t>190398</w:t>
            </w:r>
          </w:p>
        </w:tc>
        <w:tc>
          <w:tcPr>
            <w:tcW w:w="2205" w:type="dxa"/>
            <w:vAlign w:val="center"/>
          </w:tcPr>
          <w:p>
            <w:pPr>
              <w:adjustRightInd w:val="0"/>
              <w:spacing w:line="460" w:lineRule="exact"/>
              <w:jc w:val="center"/>
              <w:rPr>
                <w:rFonts w:hint="default" w:ascii="Times New Roman" w:hAnsi="Times New Roman" w:cs="Times New Roman" w:eastAsiaTheme="minorEastAsia"/>
                <w:sz w:val="28"/>
                <w:szCs w:val="28"/>
              </w:rPr>
            </w:pPr>
          </w:p>
        </w:tc>
        <w:tc>
          <w:tcPr>
            <w:tcW w:w="2388" w:type="dxa"/>
            <w:vAlign w:val="center"/>
          </w:tcPr>
          <w:p>
            <w:pPr>
              <w:autoSpaceDE w:val="0"/>
              <w:autoSpaceDN w:val="0"/>
              <w:adjustRightInd w:val="0"/>
              <w:spacing w:line="460" w:lineRule="exact"/>
              <w:jc w:val="center"/>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highlight w:val="none"/>
                <w:lang w:val="en-US" w:eastAsia="zh-CN"/>
              </w:rPr>
              <w:t>202</w:t>
            </w:r>
            <w:r>
              <w:rPr>
                <w:rFonts w:hint="eastAsia" w:cs="Times New Roman" w:eastAsiaTheme="minorEastAsia"/>
                <w:sz w:val="28"/>
                <w:szCs w:val="28"/>
                <w:highlight w:val="none"/>
                <w:lang w:val="en-US" w:eastAsia="zh-CN"/>
              </w:rPr>
              <w:t>2</w:t>
            </w:r>
            <w:r>
              <w:rPr>
                <w:rFonts w:hint="default" w:ascii="Times New Roman" w:hAnsi="Times New Roman" w:cs="Times New Roman" w:eastAsiaTheme="minorEastAsia"/>
                <w:sz w:val="28"/>
                <w:szCs w:val="28"/>
                <w:highlight w:val="none"/>
              </w:rPr>
              <w:t>年</w:t>
            </w:r>
            <w:r>
              <w:rPr>
                <w:rFonts w:hint="eastAsia" w:cs="Times New Roman" w:eastAsiaTheme="minorEastAsia"/>
                <w:sz w:val="28"/>
                <w:szCs w:val="28"/>
                <w:highlight w:val="none"/>
                <w:lang w:val="en-US" w:eastAsia="zh-CN"/>
              </w:rPr>
              <w:t>9月13日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1741" w:type="dxa"/>
            <w:vAlign w:val="center"/>
          </w:tcPr>
          <w:p>
            <w:pPr>
              <w:pStyle w:val="18"/>
              <w:spacing w:line="460" w:lineRule="exact"/>
              <w:ind w:firstLine="280" w:firstLineChars="100"/>
              <w:rPr>
                <w:rFonts w:hint="default" w:ascii="Times New Roman" w:hAnsi="Times New Roman" w:cs="Times New Roman" w:eastAsiaTheme="minorEastAsia"/>
                <w:color w:val="auto"/>
                <w:sz w:val="28"/>
                <w:szCs w:val="28"/>
                <w:lang w:val="en-US" w:eastAsia="zh-CN"/>
              </w:rPr>
            </w:pPr>
            <w:r>
              <w:rPr>
                <w:rFonts w:hint="eastAsia" w:cs="Times New Roman" w:eastAsiaTheme="minorEastAsia"/>
                <w:kern w:val="2"/>
                <w:sz w:val="28"/>
                <w:szCs w:val="28"/>
                <w:lang w:val="en-US" w:eastAsia="zh-CN"/>
              </w:rPr>
              <w:t>王志鹏</w:t>
            </w:r>
          </w:p>
        </w:tc>
        <w:tc>
          <w:tcPr>
            <w:tcW w:w="1890" w:type="dxa"/>
            <w:vAlign w:val="center"/>
          </w:tcPr>
          <w:p>
            <w:pPr>
              <w:pStyle w:val="18"/>
              <w:spacing w:line="460" w:lineRule="exact"/>
              <w:jc w:val="center"/>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sz w:val="28"/>
                <w:szCs w:val="28"/>
              </w:rPr>
              <w:t>32201</w:t>
            </w:r>
            <w:r>
              <w:rPr>
                <w:rFonts w:hint="eastAsia" w:cs="Times New Roman" w:eastAsiaTheme="minorEastAsia"/>
                <w:sz w:val="28"/>
                <w:szCs w:val="28"/>
                <w:lang w:val="en-US" w:eastAsia="zh-CN"/>
              </w:rPr>
              <w:t>10065</w:t>
            </w:r>
          </w:p>
        </w:tc>
        <w:tc>
          <w:tcPr>
            <w:tcW w:w="2205" w:type="dxa"/>
            <w:vAlign w:val="center"/>
          </w:tcPr>
          <w:p>
            <w:pPr>
              <w:adjustRightInd w:val="0"/>
              <w:spacing w:line="460" w:lineRule="exact"/>
              <w:jc w:val="center"/>
              <w:rPr>
                <w:rFonts w:hint="default" w:ascii="Times New Roman" w:hAnsi="Times New Roman" w:cs="Times New Roman" w:eastAsiaTheme="minorEastAsia"/>
                <w:sz w:val="28"/>
                <w:szCs w:val="28"/>
              </w:rPr>
            </w:pPr>
          </w:p>
        </w:tc>
        <w:tc>
          <w:tcPr>
            <w:tcW w:w="2388" w:type="dxa"/>
            <w:vAlign w:val="center"/>
          </w:tcPr>
          <w:p>
            <w:pPr>
              <w:autoSpaceDE w:val="0"/>
              <w:autoSpaceDN w:val="0"/>
              <w:adjustRightInd w:val="0"/>
              <w:spacing w:line="460" w:lineRule="exact"/>
              <w:jc w:val="center"/>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highlight w:val="none"/>
                <w:lang w:val="en-US" w:eastAsia="zh-CN"/>
              </w:rPr>
              <w:t>202</w:t>
            </w:r>
            <w:r>
              <w:rPr>
                <w:rFonts w:hint="eastAsia" w:cs="Times New Roman" w:eastAsiaTheme="minorEastAsia"/>
                <w:sz w:val="28"/>
                <w:szCs w:val="28"/>
                <w:highlight w:val="none"/>
                <w:lang w:val="en-US" w:eastAsia="zh-CN"/>
              </w:rPr>
              <w:t>2</w:t>
            </w:r>
            <w:r>
              <w:rPr>
                <w:rFonts w:hint="default" w:ascii="Times New Roman" w:hAnsi="Times New Roman" w:cs="Times New Roman" w:eastAsiaTheme="minorEastAsia"/>
                <w:sz w:val="28"/>
                <w:szCs w:val="28"/>
                <w:highlight w:val="none"/>
              </w:rPr>
              <w:t>年</w:t>
            </w:r>
            <w:r>
              <w:rPr>
                <w:rFonts w:hint="eastAsia" w:cs="Times New Roman" w:eastAsiaTheme="minorEastAsia"/>
                <w:sz w:val="28"/>
                <w:szCs w:val="28"/>
                <w:highlight w:val="none"/>
                <w:lang w:val="en-US" w:eastAsia="zh-CN"/>
              </w:rPr>
              <w:t>9月13日</w:t>
            </w:r>
          </w:p>
        </w:tc>
      </w:tr>
    </w:tbl>
    <w:p>
      <w:pPr>
        <w:pStyle w:val="3"/>
        <w:spacing w:after="0" w:line="500" w:lineRule="exact"/>
        <w:rPr>
          <w:rFonts w:hint="default" w:ascii="Times New Roman" w:hAnsi="Times New Roman" w:cs="Times New Roman" w:eastAsiaTheme="minorEastAsia"/>
          <w:sz w:val="28"/>
          <w:szCs w:val="28"/>
        </w:rPr>
      </w:pPr>
      <w:bookmarkStart w:id="154" w:name="_Toc12477"/>
      <w:bookmarkStart w:id="155" w:name="_Toc11525"/>
      <w:r>
        <w:rPr>
          <w:rFonts w:hint="default" w:ascii="Times New Roman" w:hAnsi="Times New Roman" w:cs="Times New Roman" w:eastAsiaTheme="minorEastAsia"/>
          <w:sz w:val="28"/>
          <w:szCs w:val="28"/>
        </w:rPr>
        <w:t>十二、</w:t>
      </w:r>
      <w:bookmarkEnd w:id="148"/>
      <w:bookmarkEnd w:id="149"/>
      <w:bookmarkEnd w:id="150"/>
      <w:bookmarkEnd w:id="151"/>
      <w:bookmarkEnd w:id="152"/>
      <w:bookmarkEnd w:id="153"/>
      <w:r>
        <w:rPr>
          <w:rFonts w:hint="default" w:ascii="Times New Roman" w:hAnsi="Times New Roman" w:cs="Times New Roman" w:eastAsiaTheme="minorEastAsia"/>
          <w:sz w:val="28"/>
          <w:szCs w:val="28"/>
        </w:rPr>
        <w:t>实地查勘期</w:t>
      </w:r>
      <w:bookmarkEnd w:id="154"/>
      <w:bookmarkEnd w:id="155"/>
    </w:p>
    <w:p>
      <w:pPr>
        <w:spacing w:line="500" w:lineRule="exact"/>
        <w:ind w:firstLine="560" w:firstLineChars="200"/>
        <w:rPr>
          <w:rStyle w:val="17"/>
          <w:rFonts w:hint="default" w:ascii="Times New Roman" w:hAnsi="Times New Roman" w:cs="Times New Roman" w:eastAsiaTheme="minorEastAsia"/>
        </w:rPr>
      </w:pPr>
      <w:bookmarkStart w:id="156" w:name="_Toc267552689"/>
      <w:bookmarkStart w:id="157" w:name="_Toc267557165"/>
      <w:bookmarkStart w:id="158" w:name="_Toc258870577"/>
      <w:bookmarkStart w:id="159" w:name="_Toc267557586"/>
      <w:bookmarkStart w:id="160" w:name="_Toc263248985"/>
      <w:r>
        <w:rPr>
          <w:rStyle w:val="17"/>
          <w:rFonts w:hint="default" w:ascii="Times New Roman" w:hAnsi="Times New Roman" w:cs="Times New Roman" w:eastAsiaTheme="minorEastAsia"/>
          <w:color w:val="auto"/>
          <w:lang w:eastAsia="zh-CN"/>
        </w:rPr>
        <w:t>二〇二</w:t>
      </w:r>
      <w:r>
        <w:rPr>
          <w:rStyle w:val="17"/>
          <w:rFonts w:hint="eastAsia" w:cs="Times New Roman" w:eastAsiaTheme="minorEastAsia"/>
          <w:color w:val="auto"/>
          <w:lang w:val="en-US" w:eastAsia="zh-CN"/>
        </w:rPr>
        <w:t>二</w:t>
      </w:r>
      <w:r>
        <w:rPr>
          <w:rStyle w:val="17"/>
          <w:rFonts w:hint="default" w:ascii="Times New Roman" w:hAnsi="Times New Roman" w:cs="Times New Roman" w:eastAsiaTheme="minorEastAsia"/>
          <w:color w:val="auto"/>
          <w:lang w:eastAsia="zh-CN"/>
        </w:rPr>
        <w:t>年</w:t>
      </w:r>
      <w:r>
        <w:rPr>
          <w:rStyle w:val="17"/>
          <w:rFonts w:hint="eastAsia" w:cs="Times New Roman" w:eastAsiaTheme="minorEastAsia"/>
          <w:color w:val="auto"/>
          <w:lang w:val="en-US" w:eastAsia="zh-CN"/>
        </w:rPr>
        <w:t>九月二日</w:t>
      </w:r>
      <w:r>
        <w:rPr>
          <w:rStyle w:val="17"/>
          <w:rFonts w:hint="default" w:ascii="Times New Roman" w:hAnsi="Times New Roman" w:cs="Times New Roman" w:eastAsiaTheme="minorEastAsia"/>
          <w:color w:val="auto"/>
        </w:rPr>
        <w:t>进</w:t>
      </w:r>
      <w:r>
        <w:rPr>
          <w:rStyle w:val="17"/>
          <w:rFonts w:hint="default" w:ascii="Times New Roman" w:hAnsi="Times New Roman" w:cs="Times New Roman" w:eastAsiaTheme="minorEastAsia"/>
        </w:rPr>
        <w:t>场实地查勘，并于当日完成查勘工作。</w:t>
      </w:r>
    </w:p>
    <w:p>
      <w:pPr>
        <w:pStyle w:val="3"/>
        <w:tabs>
          <w:tab w:val="left" w:pos="562"/>
          <w:tab w:val="left" w:pos="900"/>
        </w:tabs>
        <w:spacing w:before="0" w:after="0" w:line="500" w:lineRule="exact"/>
        <w:rPr>
          <w:rStyle w:val="17"/>
          <w:rFonts w:hint="default" w:ascii="Times New Roman" w:hAnsi="Times New Roman" w:cs="Times New Roman" w:eastAsiaTheme="minorEastAsia"/>
        </w:rPr>
      </w:pPr>
      <w:bookmarkStart w:id="161" w:name="_Toc519862760"/>
      <w:bookmarkStart w:id="162" w:name="_Toc10023"/>
      <w:bookmarkStart w:id="163" w:name="_Toc1306"/>
      <w:r>
        <w:rPr>
          <w:rStyle w:val="17"/>
          <w:rFonts w:hint="default" w:ascii="Times New Roman" w:hAnsi="Times New Roman" w:cs="Times New Roman" w:eastAsiaTheme="minorEastAsia"/>
          <w:bCs w:val="0"/>
          <w:szCs w:val="24"/>
        </w:rPr>
        <w:t>十三、估价作业期</w:t>
      </w:r>
      <w:bookmarkEnd w:id="161"/>
      <w:bookmarkEnd w:id="162"/>
      <w:bookmarkEnd w:id="163"/>
    </w:p>
    <w:p>
      <w:pPr>
        <w:spacing w:line="500" w:lineRule="exact"/>
        <w:ind w:firstLine="560" w:firstLineChars="200"/>
        <w:rPr>
          <w:rFonts w:hint="default" w:ascii="Times New Roman" w:hAnsi="Times New Roman" w:cs="Times New Roman" w:eastAsiaTheme="minorEastAsia"/>
          <w:color w:val="auto"/>
          <w:sz w:val="28"/>
          <w:szCs w:val="28"/>
          <w:lang w:eastAsia="zh-CN"/>
        </w:rPr>
      </w:pPr>
      <w:r>
        <w:rPr>
          <w:rFonts w:hint="default" w:ascii="Times New Roman" w:hAnsi="Times New Roman" w:cs="Times New Roman" w:eastAsiaTheme="minorEastAsia"/>
          <w:color w:val="auto"/>
          <w:sz w:val="28"/>
          <w:szCs w:val="28"/>
          <w:lang w:eastAsia="zh-CN"/>
        </w:rPr>
        <w:t>二〇二</w:t>
      </w:r>
      <w:r>
        <w:rPr>
          <w:rFonts w:hint="eastAsia" w:cs="Times New Roman" w:eastAsiaTheme="minorEastAsia"/>
          <w:color w:val="auto"/>
          <w:sz w:val="28"/>
          <w:szCs w:val="28"/>
          <w:lang w:val="en-US" w:eastAsia="zh-CN"/>
        </w:rPr>
        <w:t>二</w:t>
      </w:r>
      <w:r>
        <w:rPr>
          <w:rFonts w:hint="default" w:ascii="Times New Roman" w:hAnsi="Times New Roman" w:cs="Times New Roman" w:eastAsiaTheme="minorEastAsia"/>
          <w:color w:val="auto"/>
          <w:sz w:val="28"/>
          <w:szCs w:val="28"/>
          <w:lang w:eastAsia="zh-CN"/>
        </w:rPr>
        <w:t>年</w:t>
      </w:r>
      <w:r>
        <w:rPr>
          <w:rStyle w:val="17"/>
          <w:rFonts w:hint="eastAsia" w:cs="Times New Roman" w:eastAsiaTheme="minorEastAsia"/>
          <w:color w:val="auto"/>
          <w:lang w:val="en-US" w:eastAsia="zh-CN"/>
        </w:rPr>
        <w:t>九月二日</w:t>
      </w:r>
      <w:r>
        <w:rPr>
          <w:rFonts w:hint="default" w:ascii="Times New Roman" w:hAnsi="Times New Roman" w:cs="Times New Roman" w:eastAsiaTheme="minorEastAsia"/>
          <w:color w:val="auto"/>
          <w:sz w:val="28"/>
          <w:szCs w:val="28"/>
        </w:rPr>
        <w:t>至</w:t>
      </w:r>
      <w:r>
        <w:rPr>
          <w:rFonts w:hint="eastAsia" w:cs="Times New Roman" w:eastAsiaTheme="minorEastAsia"/>
          <w:color w:val="auto"/>
          <w:sz w:val="28"/>
          <w:szCs w:val="28"/>
          <w:lang w:eastAsia="zh-CN"/>
        </w:rPr>
        <w:t>二〇二二年</w:t>
      </w:r>
      <w:r>
        <w:rPr>
          <w:rFonts w:hint="eastAsia" w:cs="Times New Roman" w:eastAsiaTheme="minorEastAsia"/>
          <w:color w:val="auto"/>
          <w:sz w:val="28"/>
          <w:szCs w:val="28"/>
          <w:lang w:val="en-US" w:eastAsia="zh-CN"/>
        </w:rPr>
        <w:t>九月十三日</w:t>
      </w:r>
    </w:p>
    <w:p>
      <w:pPr>
        <w:pStyle w:val="3"/>
        <w:tabs>
          <w:tab w:val="left" w:pos="562"/>
          <w:tab w:val="left" w:pos="900"/>
        </w:tabs>
        <w:spacing w:before="0" w:after="0" w:line="500" w:lineRule="exact"/>
        <w:rPr>
          <w:rStyle w:val="17"/>
          <w:rFonts w:hint="default" w:ascii="Times New Roman" w:hAnsi="Times New Roman" w:cs="Times New Roman" w:eastAsiaTheme="minorEastAsia"/>
          <w:bCs w:val="0"/>
          <w:szCs w:val="24"/>
        </w:rPr>
      </w:pPr>
      <w:bookmarkStart w:id="164" w:name="_Toc329593999"/>
      <w:bookmarkStart w:id="165" w:name="_Toc519862761"/>
      <w:bookmarkStart w:id="166" w:name="_Toc14318"/>
      <w:bookmarkStart w:id="167" w:name="_Toc13153"/>
      <w:r>
        <w:rPr>
          <w:rStyle w:val="17"/>
          <w:rFonts w:hint="default" w:ascii="Times New Roman" w:hAnsi="Times New Roman" w:cs="Times New Roman" w:eastAsiaTheme="minorEastAsia"/>
          <w:bCs w:val="0"/>
          <w:szCs w:val="24"/>
        </w:rPr>
        <w:t>十四、估价报告</w:t>
      </w:r>
      <w:bookmarkEnd w:id="164"/>
      <w:r>
        <w:rPr>
          <w:rStyle w:val="17"/>
          <w:rFonts w:hint="default" w:ascii="Times New Roman" w:hAnsi="Times New Roman" w:cs="Times New Roman" w:eastAsiaTheme="minorEastAsia"/>
          <w:bCs w:val="0"/>
          <w:szCs w:val="24"/>
        </w:rPr>
        <w:t>使用期限及有关说明</w:t>
      </w:r>
      <w:bookmarkEnd w:id="165"/>
      <w:bookmarkEnd w:id="166"/>
      <w:bookmarkEnd w:id="167"/>
    </w:p>
    <w:bookmarkEnd w:id="156"/>
    <w:bookmarkEnd w:id="157"/>
    <w:bookmarkEnd w:id="158"/>
    <w:bookmarkEnd w:id="159"/>
    <w:bookmarkEnd w:id="160"/>
    <w:p>
      <w:pPr>
        <w:numPr>
          <w:ilvl w:val="0"/>
          <w:numId w:val="11"/>
        </w:numPr>
        <w:tabs>
          <w:tab w:val="left" w:pos="0"/>
        </w:tabs>
        <w:spacing w:line="500" w:lineRule="exact"/>
        <w:rPr>
          <w:rStyle w:val="17"/>
          <w:rFonts w:hint="default" w:ascii="Times New Roman" w:hAnsi="Times New Roman" w:cs="Times New Roman" w:eastAsiaTheme="minorEastAsia"/>
        </w:rPr>
      </w:pPr>
      <w:bookmarkStart w:id="168" w:name="_Toc263248996"/>
      <w:bookmarkStart w:id="169" w:name="_Toc267552700"/>
      <w:bookmarkStart w:id="170" w:name="_Toc267557167"/>
      <w:bookmarkStart w:id="171" w:name="_Toc267557588"/>
      <w:bookmarkStart w:id="172" w:name="_Toc262130469"/>
      <w:r>
        <w:rPr>
          <w:rStyle w:val="17"/>
          <w:rFonts w:hint="default" w:ascii="Times New Roman" w:hAnsi="Times New Roman" w:cs="Times New Roman" w:eastAsiaTheme="minorEastAsia"/>
        </w:rPr>
        <w:t>本报告使用期限为壹年，从估价报告出具之日起计算。</w:t>
      </w:r>
    </w:p>
    <w:p>
      <w:pPr>
        <w:numPr>
          <w:ilvl w:val="0"/>
          <w:numId w:val="11"/>
        </w:numPr>
        <w:tabs>
          <w:tab w:val="left" w:pos="0"/>
        </w:tabs>
        <w:spacing w:line="500" w:lineRule="exact"/>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估价委托人及利害关系人对估价结果有异议的，自收到估价报告之日起10日内，可以提供确实、有效的依据向本公司书面申请复核估价或补充估价。</w:t>
      </w:r>
    </w:p>
    <w:p>
      <w:pPr>
        <w:numPr>
          <w:ilvl w:val="0"/>
          <w:numId w:val="11"/>
        </w:numPr>
        <w:tabs>
          <w:tab w:val="left" w:pos="0"/>
        </w:tabs>
        <w:spacing w:line="500" w:lineRule="exact"/>
        <w:rPr>
          <w:rStyle w:val="17"/>
          <w:rFonts w:hint="default" w:ascii="Times New Roman" w:hAnsi="Times New Roman" w:cs="Times New Roman" w:eastAsiaTheme="minorEastAsia"/>
        </w:rPr>
      </w:pPr>
      <w:r>
        <w:rPr>
          <w:rStyle w:val="17"/>
          <w:rFonts w:hint="default" w:ascii="Times New Roman" w:hAnsi="Times New Roman" w:cs="Times New Roman" w:eastAsiaTheme="minorEastAsia"/>
        </w:rPr>
        <w:t>本报告一式</w:t>
      </w:r>
      <w:r>
        <w:rPr>
          <w:rStyle w:val="17"/>
          <w:rFonts w:hint="eastAsia" w:cs="Times New Roman" w:eastAsiaTheme="minorEastAsia"/>
          <w:lang w:val="en-US" w:eastAsia="zh-CN"/>
        </w:rPr>
        <w:t>陆</w:t>
      </w:r>
      <w:r>
        <w:rPr>
          <w:rStyle w:val="17"/>
          <w:rFonts w:hint="default" w:ascii="Times New Roman" w:hAnsi="Times New Roman" w:cs="Times New Roman" w:eastAsiaTheme="minorEastAsia"/>
        </w:rPr>
        <w:t>份，估价委托人伍份，房地产估价机构壹份，复印无效。</w:t>
      </w:r>
    </w:p>
    <w:p>
      <w:pPr>
        <w:numPr>
          <w:ilvl w:val="0"/>
          <w:numId w:val="0"/>
        </w:numPr>
        <w:tabs>
          <w:tab w:val="left" w:pos="0"/>
        </w:tabs>
        <w:spacing w:line="500" w:lineRule="exact"/>
        <w:ind w:left="600" w:leftChars="0"/>
        <w:rPr>
          <w:rStyle w:val="17"/>
          <w:rFonts w:hint="default" w:ascii="Times New Roman" w:hAnsi="Times New Roman" w:cs="Times New Roman" w:eastAsiaTheme="minorEastAsia"/>
        </w:rPr>
      </w:pPr>
    </w:p>
    <w:bookmarkEnd w:id="168"/>
    <w:bookmarkEnd w:id="169"/>
    <w:bookmarkEnd w:id="170"/>
    <w:bookmarkEnd w:id="171"/>
    <w:bookmarkEnd w:id="172"/>
    <w:p>
      <w:pPr>
        <w:pStyle w:val="2"/>
        <w:spacing w:beforeLines="100" w:afterLines="100" w:line="460" w:lineRule="exact"/>
        <w:rPr>
          <w:rFonts w:hint="default" w:ascii="Times New Roman" w:hAnsi="Times New Roman" w:cs="Times New Roman" w:eastAsiaTheme="minorEastAsia"/>
        </w:rPr>
      </w:pPr>
      <w:bookmarkStart w:id="173" w:name="_Toc3652"/>
      <w:r>
        <w:rPr>
          <w:rFonts w:hint="default" w:ascii="Times New Roman" w:hAnsi="Times New Roman" w:cs="Times New Roman" w:eastAsiaTheme="minorEastAsia"/>
        </w:rPr>
        <w:t>附件</w:t>
      </w:r>
      <w:bookmarkEnd w:id="173"/>
    </w:p>
    <w:p>
      <w:pPr>
        <w:numPr>
          <w:ilvl w:val="0"/>
          <w:numId w:val="12"/>
        </w:numPr>
        <w:jc w:val="left"/>
        <w:outlineLvl w:val="1"/>
        <w:rPr>
          <w:rFonts w:hint="default" w:ascii="Times New Roman" w:hAnsi="Times New Roman" w:cs="Times New Roman" w:eastAsiaTheme="minorEastAsia"/>
          <w:sz w:val="32"/>
          <w:szCs w:val="32"/>
        </w:rPr>
      </w:pPr>
      <w:bookmarkStart w:id="174" w:name="_Toc7853"/>
      <w:bookmarkStart w:id="175" w:name="_Toc519862772"/>
      <w:r>
        <w:rPr>
          <w:rFonts w:hint="default" w:ascii="Times New Roman" w:hAnsi="Times New Roman" w:cs="Times New Roman" w:eastAsiaTheme="minorEastAsia"/>
          <w:sz w:val="32"/>
          <w:szCs w:val="32"/>
        </w:rPr>
        <w:t>司</w:t>
      </w:r>
      <w:r>
        <w:rPr>
          <w:rFonts w:hint="default" w:ascii="Times New Roman" w:hAnsi="Times New Roman" w:cs="Times New Roman" w:eastAsiaTheme="minorEastAsia"/>
          <w:color w:val="auto"/>
          <w:sz w:val="32"/>
          <w:szCs w:val="32"/>
        </w:rPr>
        <w:t>法</w:t>
      </w:r>
      <w:r>
        <w:rPr>
          <w:rFonts w:hint="eastAsia" w:cs="Times New Roman" w:eastAsiaTheme="minorEastAsia"/>
          <w:color w:val="auto"/>
          <w:sz w:val="32"/>
          <w:szCs w:val="32"/>
          <w:lang w:val="en-US" w:eastAsia="zh-CN"/>
        </w:rPr>
        <w:t>鉴定</w:t>
      </w:r>
      <w:r>
        <w:rPr>
          <w:rFonts w:hint="default" w:ascii="Times New Roman" w:hAnsi="Times New Roman" w:cs="Times New Roman" w:eastAsiaTheme="minorEastAsia"/>
          <w:color w:val="auto"/>
          <w:sz w:val="32"/>
          <w:szCs w:val="32"/>
        </w:rPr>
        <w:t>委托书复印件</w:t>
      </w:r>
      <w:bookmarkEnd w:id="174"/>
      <w:bookmarkEnd w:id="175"/>
    </w:p>
    <w:p>
      <w:pPr>
        <w:rPr>
          <w:rFonts w:hint="eastAsia" w:ascii="Times New Roman" w:hAnsi="Times New Roman" w:cs="Times New Roman" w:eastAsiaTheme="minorEastAsia"/>
          <w:sz w:val="32"/>
          <w:szCs w:val="32"/>
          <w:lang w:eastAsia="zh-CN"/>
        </w:rPr>
      </w:pPr>
      <w:r>
        <w:rPr>
          <w:rFonts w:hint="eastAsia" w:ascii="Times New Roman" w:hAnsi="Times New Roman" w:cs="Times New Roman" w:eastAsiaTheme="minorEastAsia"/>
          <w:sz w:val="32"/>
          <w:szCs w:val="32"/>
          <w:lang w:eastAsia="zh-CN"/>
        </w:rPr>
        <w:drawing>
          <wp:inline distT="0" distB="0" distL="114300" distR="114300">
            <wp:extent cx="5753735" cy="8124190"/>
            <wp:effectExtent l="0" t="0" r="18415" b="10160"/>
            <wp:docPr id="2" name="图片 2" descr="ec5fb8820bfad4c055565a6c7cfa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c5fb8820bfad4c055565a6c7cfa34c"/>
                    <pic:cNvPicPr>
                      <a:picLocks noChangeAspect="1"/>
                    </pic:cNvPicPr>
                  </pic:nvPicPr>
                  <pic:blipFill>
                    <a:blip r:embed="rId7"/>
                    <a:stretch>
                      <a:fillRect/>
                    </a:stretch>
                  </pic:blipFill>
                  <pic:spPr>
                    <a:xfrm>
                      <a:off x="0" y="0"/>
                      <a:ext cx="5753735" cy="8124190"/>
                    </a:xfrm>
                    <a:prstGeom prst="rect">
                      <a:avLst/>
                    </a:prstGeom>
                  </pic:spPr>
                </pic:pic>
              </a:graphicData>
            </a:graphic>
          </wp:inline>
        </w:drawing>
      </w:r>
    </w:p>
    <w:p>
      <w:pPr>
        <w:numPr>
          <w:ilvl w:val="0"/>
          <w:numId w:val="12"/>
        </w:numPr>
        <w:jc w:val="left"/>
        <w:outlineLvl w:val="1"/>
        <w:rPr>
          <w:rFonts w:hint="default" w:ascii="Times New Roman" w:hAnsi="Times New Roman" w:cs="Times New Roman" w:eastAsiaTheme="minorEastAsia"/>
          <w:sz w:val="32"/>
          <w:szCs w:val="32"/>
        </w:rPr>
      </w:pPr>
      <w:bookmarkStart w:id="176" w:name="_Toc8618"/>
      <w:bookmarkStart w:id="177" w:name="_Toc27363"/>
      <w:r>
        <w:rPr>
          <w:rFonts w:hint="eastAsia" w:cs="Times New Roman" w:eastAsiaTheme="minorEastAsia"/>
          <w:sz w:val="32"/>
          <w:szCs w:val="32"/>
          <w:lang w:val="en-US" w:eastAsia="zh-CN"/>
        </w:rPr>
        <w:t>常州</w:t>
      </w:r>
      <w:r>
        <w:rPr>
          <w:rFonts w:hint="default" w:cs="Times New Roman" w:eastAsiaTheme="minorEastAsia"/>
          <w:sz w:val="32"/>
          <w:szCs w:val="32"/>
          <w:lang w:val="en-US" w:eastAsia="zh-CN"/>
        </w:rPr>
        <w:t>市</w:t>
      </w:r>
      <w:r>
        <w:rPr>
          <w:rFonts w:hint="eastAsia" w:cs="Times New Roman" w:eastAsiaTheme="minorEastAsia"/>
          <w:sz w:val="32"/>
          <w:szCs w:val="32"/>
          <w:lang w:val="en-US" w:eastAsia="zh-CN"/>
        </w:rPr>
        <w:t>武进区湖塘镇花园街159号新天地不夜城12幢12-2026号、12-2027号、12-2028号、12-2029号房地产不动产登记簿查询结果</w:t>
      </w:r>
      <w:r>
        <w:rPr>
          <w:rFonts w:hint="default" w:cs="Times New Roman" w:eastAsiaTheme="minorEastAsia"/>
          <w:sz w:val="32"/>
          <w:szCs w:val="32"/>
          <w:lang w:val="en-US" w:eastAsia="zh-CN"/>
        </w:rPr>
        <w:t>复印</w:t>
      </w:r>
      <w:bookmarkEnd w:id="176"/>
      <w:r>
        <w:rPr>
          <w:rFonts w:hint="eastAsia" w:cs="Times New Roman" w:eastAsiaTheme="minorEastAsia"/>
          <w:sz w:val="32"/>
          <w:szCs w:val="32"/>
          <w:lang w:val="en-US" w:eastAsia="zh-CN"/>
        </w:rPr>
        <w:t>件</w:t>
      </w:r>
      <w:bookmarkEnd w:id="177"/>
    </w:p>
    <w:p>
      <w:pPr>
        <w:keepNext w:val="0"/>
        <w:keepLines w:val="0"/>
        <w:pageBreakBefore w:val="0"/>
        <w:widowControl w:val="0"/>
        <w:tabs>
          <w:tab w:val="left" w:pos="410"/>
        </w:tabs>
        <w:kinsoku/>
        <w:wordWrap/>
        <w:overflowPunct/>
        <w:topLinePunct w:val="0"/>
        <w:autoSpaceDE/>
        <w:autoSpaceDN/>
        <w:bidi w:val="0"/>
        <w:adjustRightInd/>
        <w:snapToGrid/>
        <w:spacing w:line="500" w:lineRule="atLeast"/>
        <w:textAlignment w:val="auto"/>
      </w:pPr>
      <w:r>
        <w:rPr>
          <w:rStyle w:val="17"/>
          <w:rFonts w:hint="eastAsia" w:ascii="Times New Roman" w:hAnsi="Times New Roman" w:cs="Times New Roman" w:eastAsiaTheme="minorEastAsia"/>
          <w:kern w:val="0"/>
          <w:szCs w:val="20"/>
          <w:lang w:val="en-US" w:eastAsia="zh-CN"/>
        </w:rPr>
        <w:drawing>
          <wp:inline distT="0" distB="0" distL="114300" distR="114300">
            <wp:extent cx="5753735" cy="7591425"/>
            <wp:effectExtent l="0" t="0" r="18415" b="9525"/>
            <wp:docPr id="8" name="图片 8" descr="789dd9a60588c9266ad1c88573c7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89dd9a60588c9266ad1c88573c7ba7"/>
                    <pic:cNvPicPr>
                      <a:picLocks noChangeAspect="1"/>
                    </pic:cNvPicPr>
                  </pic:nvPicPr>
                  <pic:blipFill>
                    <a:blip r:embed="rId8"/>
                    <a:stretch>
                      <a:fillRect/>
                    </a:stretch>
                  </pic:blipFill>
                  <pic:spPr>
                    <a:xfrm>
                      <a:off x="0" y="0"/>
                      <a:ext cx="5753735" cy="7591425"/>
                    </a:xfrm>
                    <a:prstGeom prst="rect">
                      <a:avLst/>
                    </a:prstGeom>
                  </pic:spPr>
                </pic:pic>
              </a:graphicData>
            </a:graphic>
          </wp:inline>
        </w:drawing>
      </w:r>
      <w:r>
        <w:rPr>
          <w:rStyle w:val="17"/>
          <w:rFonts w:hint="eastAsia" w:ascii="Times New Roman" w:hAnsi="Times New Roman" w:cs="Times New Roman" w:eastAsiaTheme="minorEastAsia"/>
          <w:kern w:val="0"/>
          <w:szCs w:val="20"/>
          <w:lang w:val="en-US" w:eastAsia="zh-CN"/>
        </w:rPr>
        <w:drawing>
          <wp:inline distT="0" distB="0" distL="114300" distR="114300">
            <wp:extent cx="5753735" cy="5133975"/>
            <wp:effectExtent l="0" t="0" r="18415" b="9525"/>
            <wp:docPr id="9" name="图片 9" descr="25f6d084e1bbfe7407d967ac9f4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5f6d084e1bbfe7407d967ac9f42975"/>
                    <pic:cNvPicPr>
                      <a:picLocks noChangeAspect="1"/>
                    </pic:cNvPicPr>
                  </pic:nvPicPr>
                  <pic:blipFill>
                    <a:blip r:embed="rId9"/>
                    <a:stretch>
                      <a:fillRect/>
                    </a:stretch>
                  </pic:blipFill>
                  <pic:spPr>
                    <a:xfrm>
                      <a:off x="0" y="0"/>
                      <a:ext cx="5753735" cy="5133975"/>
                    </a:xfrm>
                    <a:prstGeom prst="rect">
                      <a:avLst/>
                    </a:prstGeom>
                  </pic:spPr>
                </pic:pic>
              </a:graphicData>
            </a:graphic>
          </wp:inline>
        </w:drawing>
      </w:r>
      <w:r>
        <w:rPr>
          <w:rStyle w:val="17"/>
          <w:rFonts w:hint="eastAsia" w:ascii="Times New Roman" w:hAnsi="Times New Roman" w:cs="Times New Roman" w:eastAsiaTheme="minorEastAsia"/>
          <w:kern w:val="0"/>
          <w:szCs w:val="20"/>
          <w:lang w:val="en-US" w:eastAsia="zh-CN"/>
        </w:rPr>
        <w:drawing>
          <wp:inline distT="0" distB="0" distL="114300" distR="114300">
            <wp:extent cx="5753735" cy="3876675"/>
            <wp:effectExtent l="0" t="0" r="18415" b="9525"/>
            <wp:docPr id="28" name="图片 28" descr="85b87601f57634f8068c9b776aed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5b87601f57634f8068c9b776aeded7"/>
                    <pic:cNvPicPr>
                      <a:picLocks noChangeAspect="1"/>
                    </pic:cNvPicPr>
                  </pic:nvPicPr>
                  <pic:blipFill>
                    <a:blip r:embed="rId10"/>
                    <a:stretch>
                      <a:fillRect/>
                    </a:stretch>
                  </pic:blipFill>
                  <pic:spPr>
                    <a:xfrm>
                      <a:off x="0" y="0"/>
                      <a:ext cx="5753735" cy="3876675"/>
                    </a:xfrm>
                    <a:prstGeom prst="rect">
                      <a:avLst/>
                    </a:prstGeom>
                  </pic:spPr>
                </pic:pic>
              </a:graphicData>
            </a:graphic>
          </wp:inline>
        </w:drawing>
      </w:r>
      <w:r>
        <w:rPr>
          <w:rStyle w:val="17"/>
          <w:rFonts w:hint="eastAsia" w:ascii="Times New Roman" w:hAnsi="Times New Roman" w:cs="Times New Roman" w:eastAsiaTheme="minorEastAsia"/>
          <w:kern w:val="0"/>
          <w:szCs w:val="20"/>
          <w:lang w:val="en-US" w:eastAsia="zh-CN"/>
        </w:rPr>
        <w:drawing>
          <wp:inline distT="0" distB="0" distL="114300" distR="114300">
            <wp:extent cx="5753735" cy="5067300"/>
            <wp:effectExtent l="0" t="0" r="18415" b="0"/>
            <wp:docPr id="21" name="图片 21" descr="41e8ddb6f14bd3f7abaa6545c4bf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1e8ddb6f14bd3f7abaa6545c4bfceb"/>
                    <pic:cNvPicPr>
                      <a:picLocks noChangeAspect="1"/>
                    </pic:cNvPicPr>
                  </pic:nvPicPr>
                  <pic:blipFill>
                    <a:blip r:embed="rId11"/>
                    <a:stretch>
                      <a:fillRect/>
                    </a:stretch>
                  </pic:blipFill>
                  <pic:spPr>
                    <a:xfrm>
                      <a:off x="0" y="0"/>
                      <a:ext cx="5753735" cy="5067300"/>
                    </a:xfrm>
                    <a:prstGeom prst="rect">
                      <a:avLst/>
                    </a:prstGeom>
                  </pic:spPr>
                </pic:pic>
              </a:graphicData>
            </a:graphic>
          </wp:inline>
        </w:drawing>
      </w:r>
      <w:r>
        <w:rPr>
          <w:rStyle w:val="17"/>
          <w:rFonts w:hint="eastAsia" w:ascii="Times New Roman" w:hAnsi="Times New Roman" w:cs="Times New Roman" w:eastAsiaTheme="minorEastAsia"/>
          <w:kern w:val="0"/>
          <w:szCs w:val="20"/>
          <w:lang w:val="en-US" w:eastAsia="zh-CN"/>
        </w:rPr>
        <w:drawing>
          <wp:inline distT="0" distB="0" distL="114300" distR="114300">
            <wp:extent cx="5753735" cy="3877310"/>
            <wp:effectExtent l="0" t="0" r="18415" b="8890"/>
            <wp:docPr id="24" name="图片 24" descr="85b87601f57634f8068c9b776aed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5b87601f57634f8068c9b776aeded7"/>
                    <pic:cNvPicPr>
                      <a:picLocks noChangeAspect="1"/>
                    </pic:cNvPicPr>
                  </pic:nvPicPr>
                  <pic:blipFill>
                    <a:blip r:embed="rId10"/>
                    <a:stretch>
                      <a:fillRect/>
                    </a:stretch>
                  </pic:blipFill>
                  <pic:spPr>
                    <a:xfrm>
                      <a:off x="0" y="0"/>
                      <a:ext cx="5753735" cy="3877310"/>
                    </a:xfrm>
                    <a:prstGeom prst="rect">
                      <a:avLst/>
                    </a:prstGeom>
                  </pic:spPr>
                </pic:pic>
              </a:graphicData>
            </a:graphic>
          </wp:inline>
        </w:drawing>
      </w:r>
      <w:r>
        <w:rPr>
          <w:rStyle w:val="17"/>
          <w:rFonts w:hint="eastAsia" w:ascii="Times New Roman" w:hAnsi="Times New Roman" w:cs="Times New Roman" w:eastAsiaTheme="minorEastAsia"/>
          <w:kern w:val="0"/>
          <w:szCs w:val="20"/>
          <w:lang w:val="en-US" w:eastAsia="zh-CN"/>
        </w:rPr>
        <w:drawing>
          <wp:inline distT="0" distB="0" distL="114300" distR="114300">
            <wp:extent cx="5753735" cy="4371975"/>
            <wp:effectExtent l="0" t="0" r="18415" b="9525"/>
            <wp:docPr id="25" name="图片 25" descr="c1cf4022882cebf62dae32868ed8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1cf4022882cebf62dae32868ed8d0f"/>
                    <pic:cNvPicPr>
                      <a:picLocks noChangeAspect="1"/>
                    </pic:cNvPicPr>
                  </pic:nvPicPr>
                  <pic:blipFill>
                    <a:blip r:embed="rId12"/>
                    <a:stretch>
                      <a:fillRect/>
                    </a:stretch>
                  </pic:blipFill>
                  <pic:spPr>
                    <a:xfrm>
                      <a:off x="0" y="0"/>
                      <a:ext cx="5753735" cy="4371975"/>
                    </a:xfrm>
                    <a:prstGeom prst="rect">
                      <a:avLst/>
                    </a:prstGeom>
                  </pic:spPr>
                </pic:pic>
              </a:graphicData>
            </a:graphic>
          </wp:inline>
        </w:drawing>
      </w:r>
      <w:r>
        <w:rPr>
          <w:rStyle w:val="17"/>
          <w:rFonts w:hint="eastAsia" w:ascii="Times New Roman" w:hAnsi="Times New Roman" w:cs="Times New Roman" w:eastAsiaTheme="minorEastAsia"/>
          <w:kern w:val="0"/>
          <w:szCs w:val="20"/>
          <w:lang w:val="en-US" w:eastAsia="zh-CN"/>
        </w:rPr>
        <w:drawing>
          <wp:inline distT="0" distB="0" distL="114300" distR="114300">
            <wp:extent cx="5753735" cy="4610100"/>
            <wp:effectExtent l="0" t="0" r="18415" b="0"/>
            <wp:docPr id="26" name="图片 26" descr="8ebbad6e4b4245748e09b36bd0f62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ebbad6e4b4245748e09b36bd0f62cc"/>
                    <pic:cNvPicPr>
                      <a:picLocks noChangeAspect="1"/>
                    </pic:cNvPicPr>
                  </pic:nvPicPr>
                  <pic:blipFill>
                    <a:blip r:embed="rId13"/>
                    <a:stretch>
                      <a:fillRect/>
                    </a:stretch>
                  </pic:blipFill>
                  <pic:spPr>
                    <a:xfrm>
                      <a:off x="0" y="0"/>
                      <a:ext cx="5753735" cy="4610100"/>
                    </a:xfrm>
                    <a:prstGeom prst="rect">
                      <a:avLst/>
                    </a:prstGeom>
                  </pic:spPr>
                </pic:pic>
              </a:graphicData>
            </a:graphic>
          </wp:inline>
        </w:drawing>
      </w:r>
    </w:p>
    <w:p>
      <w:pPr>
        <w:jc w:val="left"/>
        <w:outlineLvl w:val="1"/>
        <w:rPr>
          <w:rFonts w:hint="default" w:ascii="Times New Roman" w:hAnsi="Times New Roman" w:cs="Times New Roman" w:eastAsiaTheme="minorEastAsia"/>
          <w:sz w:val="32"/>
          <w:szCs w:val="32"/>
        </w:rPr>
      </w:pPr>
      <w:bookmarkStart w:id="178" w:name="_Toc3495"/>
      <w:r>
        <w:rPr>
          <w:rFonts w:hint="default" w:ascii="Times New Roman" w:hAnsi="Times New Roman" w:cs="Times New Roman" w:eastAsiaTheme="minorEastAsia"/>
          <w:sz w:val="32"/>
          <w:szCs w:val="32"/>
        </w:rPr>
        <w:br w:type="page"/>
      </w:r>
      <w:bookmarkEnd w:id="178"/>
    </w:p>
    <w:p>
      <w:pPr>
        <w:numPr>
          <w:ilvl w:val="0"/>
          <w:numId w:val="12"/>
        </w:numPr>
        <w:jc w:val="left"/>
        <w:outlineLvl w:val="1"/>
        <w:rPr>
          <w:rFonts w:hint="default" w:ascii="Times New Roman" w:hAnsi="Times New Roman" w:cs="Times New Roman" w:eastAsiaTheme="minorEastAsia"/>
          <w:sz w:val="32"/>
          <w:szCs w:val="32"/>
        </w:rPr>
      </w:pPr>
      <w:bookmarkStart w:id="179" w:name="_Toc9950"/>
      <w:bookmarkStart w:id="180" w:name="_Toc519862775"/>
      <w:r>
        <w:rPr>
          <w:rFonts w:hint="default" w:ascii="Times New Roman" w:hAnsi="Times New Roman" w:cs="Times New Roman" w:eastAsiaTheme="minorEastAsia"/>
          <w:sz w:val="32"/>
          <w:szCs w:val="32"/>
        </w:rPr>
        <w:t>估价对象区域位置图</w:t>
      </w:r>
      <w:bookmarkEnd w:id="179"/>
      <w:bookmarkEnd w:id="180"/>
    </w:p>
    <w:p>
      <w:pPr>
        <w:bidi w:val="0"/>
        <w:rPr>
          <w:rFonts w:hint="default" w:ascii="Times New Roman" w:hAnsi="Times New Roman" w:cs="Times New Roman"/>
          <w:lang w:eastAsia="zh-CN"/>
        </w:r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3202305</wp:posOffset>
                </wp:positionH>
                <wp:positionV relativeFrom="paragraph">
                  <wp:posOffset>1415415</wp:posOffset>
                </wp:positionV>
                <wp:extent cx="800100" cy="288290"/>
                <wp:effectExtent l="17780" t="6350" r="20320" b="181610"/>
                <wp:wrapNone/>
                <wp:docPr id="7" name="矩形标注 7"/>
                <wp:cNvGraphicFramePr/>
                <a:graphic xmlns:a="http://schemas.openxmlformats.org/drawingml/2006/main">
                  <a:graphicData uri="http://schemas.microsoft.com/office/word/2010/wordprocessingShape">
                    <wps:wsp>
                      <wps:cNvSpPr/>
                      <wps:spPr>
                        <a:xfrm>
                          <a:off x="4173855" y="2890520"/>
                          <a:ext cx="800100" cy="288290"/>
                        </a:xfrm>
                        <a:prstGeom prst="wedgeRectCallout">
                          <a:avLst>
                            <a:gd name="adj1" fmla="val -49305"/>
                            <a:gd name="adj2" fmla="val 10177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估价对象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15pt;margin-top:111.45pt;height:22.7pt;width:63pt;z-index:251660288;v-text-anchor:middle;mso-width-relative:page;mso-height-relative:page;" fillcolor="#FF0000" filled="t" stroked="t" coordsize="21600,21600" o:gfxdata="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9PDME2wAA&#10;AAsBAAAPAAAAAAAAAAEAIAAAACIAAABkcnMvZG93bnJldi54bWxQSwECFAAUAAAACACHTuJA25Og&#10;OcYCAACQBQAADgAAAAAAAAABACAAAAAqAQAAZHJzL2Uyb0RvYy54bWxQSwUGAAAAAAYABgBZAQAA&#10;YgYAAAAA&#10;" adj="150,32784">
                <v:fill on="t" focussize="0,0"/>
                <v:stroke weight="1pt" color="#41719C [3204]"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估价对象</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59264" behindDoc="0" locked="0" layoutInCell="1" allowOverlap="1">
                <wp:simplePos x="0" y="0"/>
                <wp:positionH relativeFrom="column">
                  <wp:posOffset>3006090</wp:posOffset>
                </wp:positionH>
                <wp:positionV relativeFrom="paragraph">
                  <wp:posOffset>1727200</wp:posOffset>
                </wp:positionV>
                <wp:extent cx="317500" cy="299085"/>
                <wp:effectExtent l="0" t="0" r="0" b="5715"/>
                <wp:wrapNone/>
                <wp:docPr id="19" name="五角星 19"/>
                <wp:cNvGraphicFramePr/>
                <a:graphic xmlns:a="http://schemas.openxmlformats.org/drawingml/2006/main">
                  <a:graphicData uri="http://schemas.microsoft.com/office/word/2010/wordprocessingShape">
                    <wps:wsp>
                      <wps:cNvSpPr/>
                      <wps:spPr>
                        <a:xfrm>
                          <a:off x="0" y="0"/>
                          <a:ext cx="317500" cy="29908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6.7pt;margin-top:136pt;height:23.55pt;width:25pt;z-index:251659264;v-text-anchor:middle;mso-width-relative:page;mso-height-relative:page;" fillcolor="#FF0000" filled="t" stroked="f" coordsize="317500,299085" o:gfxdata="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5B1B3XAAAACwEAAA8AAAAAAAAAAQAgAAAAIgAAAGRycy9kb3du&#10;cmV2LnhtbFBLAQIUABQAAAAIAIdO4kCXgg29cgIAANAEAAAOAAAAAAAAAAEAIAAAACYBAABkcnMv&#10;ZTJvRG9jLnhtbFBLBQYAAAAABgAGAFkBAAAKBgAAAAA=&#10;" path="m0,114240l121274,114240,158750,0,196225,114240,317499,114240,219386,184843,256862,299084,158750,228479,60637,299084,98113,184843xe">
                <v:path o:connectlocs="158750,0;0,114240;60637,299084;256862,299084;317499,114240" o:connectangles="247,164,82,82,0"/>
                <v:fill on="t" focussize="0,0"/>
                <v:stroke on="f" weight="1pt" miterlimit="8" joinstyle="miter"/>
                <v:imagedata o:title=""/>
                <o:lock v:ext="edit" aspectratio="f"/>
              </v:shape>
            </w:pict>
          </mc:Fallback>
        </mc:AlternateContent>
      </w:r>
      <w:r>
        <w:drawing>
          <wp:inline distT="0" distB="0" distL="114300" distR="114300">
            <wp:extent cx="5760720" cy="3788410"/>
            <wp:effectExtent l="0" t="0" r="1143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760720" cy="3788410"/>
                    </a:xfrm>
                    <a:prstGeom prst="rect">
                      <a:avLst/>
                    </a:prstGeom>
                    <a:noFill/>
                    <a:ln>
                      <a:noFill/>
                    </a:ln>
                  </pic:spPr>
                </pic:pic>
              </a:graphicData>
            </a:graphic>
          </wp:inline>
        </w:drawing>
      </w:r>
    </w:p>
    <w:p>
      <w:pPr>
        <w:bidi w:val="0"/>
        <w:rPr>
          <w:rFonts w:hint="default" w:ascii="Times New Roman" w:hAnsi="Times New Roman" w:cs="Times New Roman"/>
          <w:lang w:eastAsia="zh-CN"/>
        </w:rPr>
      </w:pPr>
    </w:p>
    <w:p>
      <w:pPr>
        <w:jc w:val="center"/>
        <w:rPr>
          <w:rFonts w:hint="default" w:ascii="Times New Roman" w:hAnsi="Times New Roman" w:cs="Times New Roman" w:eastAsiaTheme="minorEastAsia"/>
          <w:lang w:eastAsia="zh-CN"/>
        </w:rPr>
      </w:pPr>
    </w:p>
    <w:p>
      <w:pPr>
        <w:numPr>
          <w:ilvl w:val="0"/>
          <w:numId w:val="12"/>
        </w:numPr>
        <w:jc w:val="left"/>
        <w:outlineLvl w:val="1"/>
        <w:rPr>
          <w:rFonts w:hint="default" w:ascii="Times New Roman" w:hAnsi="Times New Roman" w:cs="Times New Roman" w:eastAsiaTheme="minorEastAsia"/>
          <w:sz w:val="32"/>
          <w:szCs w:val="32"/>
        </w:rPr>
      </w:pPr>
      <w:bookmarkStart w:id="181" w:name="_Toc519862776"/>
      <w:bookmarkStart w:id="182" w:name="_Toc1610"/>
      <w:r>
        <w:rPr>
          <w:rFonts w:hint="default" w:ascii="Times New Roman" w:hAnsi="Times New Roman" w:cs="Times New Roman" w:eastAsiaTheme="minorEastAsia"/>
          <w:sz w:val="32"/>
          <w:szCs w:val="32"/>
        </w:rPr>
        <w:t>估价对象实地查勘情况和照片</w:t>
      </w:r>
      <w:bookmarkEnd w:id="181"/>
      <w:bookmarkEnd w:id="182"/>
    </w:p>
    <w:p>
      <w:pPr>
        <w:tabs>
          <w:tab w:val="left" w:pos="2977"/>
        </w:tabs>
        <w:ind w:firstLine="560" w:firstLineChars="200"/>
        <w:jc w:val="left"/>
        <w:rPr>
          <w:rFonts w:hint="default" w:ascii="Times New Roman" w:hAnsi="Times New Roman" w:cs="Times New Roman" w:eastAsiaTheme="minorEastAsia"/>
          <w:sz w:val="44"/>
          <w:szCs w:val="44"/>
        </w:rPr>
      </w:pPr>
      <w:r>
        <w:rPr>
          <w:rStyle w:val="17"/>
          <w:rFonts w:hint="default" w:ascii="Times New Roman" w:hAnsi="Times New Roman" w:cs="Times New Roman" w:eastAsiaTheme="minorEastAsia"/>
        </w:rPr>
        <w:t>注册房地产估价师</w:t>
      </w:r>
      <w:r>
        <w:rPr>
          <w:rStyle w:val="17"/>
          <w:rFonts w:hint="eastAsia" w:cs="Times New Roman" w:eastAsiaTheme="minorEastAsia"/>
          <w:lang w:val="en-US" w:eastAsia="zh-CN"/>
        </w:rPr>
        <w:t>王志鹏、</w:t>
      </w:r>
      <w:r>
        <w:rPr>
          <w:rFonts w:hint="default" w:ascii="Times New Roman" w:hAnsi="Times New Roman" w:cs="Times New Roman" w:eastAsiaTheme="minorEastAsia"/>
          <w:sz w:val="28"/>
          <w:szCs w:val="28"/>
          <w:lang w:val="en-US" w:eastAsia="zh-CN"/>
        </w:rPr>
        <w:t>汪胡涛</w:t>
      </w:r>
      <w:r>
        <w:rPr>
          <w:rStyle w:val="17"/>
          <w:rFonts w:hint="default" w:ascii="Times New Roman" w:hAnsi="Times New Roman" w:cs="Times New Roman" w:eastAsiaTheme="minorEastAsia"/>
        </w:rPr>
        <w:t>已于</w:t>
      </w:r>
      <w:r>
        <w:rPr>
          <w:rStyle w:val="17"/>
          <w:rFonts w:hint="default" w:ascii="Times New Roman" w:hAnsi="Times New Roman" w:cs="Times New Roman" w:eastAsiaTheme="minorEastAsia"/>
          <w:lang w:eastAsia="zh-CN"/>
        </w:rPr>
        <w:t>202</w:t>
      </w:r>
      <w:r>
        <w:rPr>
          <w:rStyle w:val="17"/>
          <w:rFonts w:hint="eastAsia" w:cs="Times New Roman" w:eastAsiaTheme="minorEastAsia"/>
          <w:lang w:val="en-US" w:eastAsia="zh-CN"/>
        </w:rPr>
        <w:t>2</w:t>
      </w:r>
      <w:r>
        <w:rPr>
          <w:rStyle w:val="17"/>
          <w:rFonts w:hint="default" w:ascii="Times New Roman" w:hAnsi="Times New Roman" w:cs="Times New Roman" w:eastAsiaTheme="minorEastAsia"/>
          <w:lang w:eastAsia="zh-CN"/>
        </w:rPr>
        <w:t>年</w:t>
      </w:r>
      <w:r>
        <w:rPr>
          <w:rStyle w:val="17"/>
          <w:rFonts w:hint="eastAsia" w:cs="Times New Roman" w:eastAsiaTheme="minorEastAsia"/>
          <w:lang w:val="en-US" w:eastAsia="zh-CN"/>
        </w:rPr>
        <w:t>9</w:t>
      </w:r>
      <w:r>
        <w:rPr>
          <w:rStyle w:val="17"/>
          <w:rFonts w:hint="default" w:ascii="Times New Roman" w:hAnsi="Times New Roman" w:cs="Times New Roman" w:eastAsiaTheme="minorEastAsia"/>
          <w:lang w:val="en-US" w:eastAsia="zh-CN"/>
        </w:rPr>
        <w:t>月</w:t>
      </w:r>
      <w:r>
        <w:rPr>
          <w:rStyle w:val="17"/>
          <w:rFonts w:hint="eastAsia" w:cs="Times New Roman" w:eastAsiaTheme="minorEastAsia"/>
          <w:lang w:val="en-US" w:eastAsia="zh-CN"/>
        </w:rPr>
        <w:t>2</w:t>
      </w:r>
      <w:r>
        <w:rPr>
          <w:rStyle w:val="17"/>
          <w:rFonts w:hint="default" w:ascii="Times New Roman" w:hAnsi="Times New Roman" w:cs="Times New Roman" w:eastAsiaTheme="minorEastAsia"/>
          <w:lang w:val="en-US" w:eastAsia="zh-CN"/>
        </w:rPr>
        <w:t>日</w:t>
      </w:r>
      <w:r>
        <w:rPr>
          <w:rStyle w:val="17"/>
          <w:rFonts w:hint="default" w:ascii="Times New Roman" w:hAnsi="Times New Roman" w:cs="Times New Roman" w:eastAsiaTheme="minorEastAsia"/>
        </w:rPr>
        <w:t>对本估价报告中估价对象的建筑结构、室内外状况进行了实地查勘并进行记录，但仅限于估价对象的外观与目前维护管理状况，尤其因提供资料有限，对被遮盖、未暴露及难以接触到的部分，参考估价委托人及估价利害关系人提供的相关情况、资料（包括现场解说）结合常规设计进行评估。我们不承担对估价对象建筑结构质量进行调查鉴定的责任。</w:t>
      </w:r>
    </w:p>
    <w:tbl>
      <w:tblPr>
        <w:tblStyle w:val="12"/>
        <w:tblW w:w="88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16"/>
        <w:gridCol w:w="44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2" w:hRule="atLeast"/>
          <w:jc w:val="center"/>
        </w:trPr>
        <w:tc>
          <w:tcPr>
            <w:tcW w:w="4416" w:type="dxa"/>
          </w:tcPr>
          <w:p>
            <w:pPr>
              <w:jc w:val="center"/>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lang w:eastAsia="zh-CN"/>
              </w:rPr>
              <w:drawing>
                <wp:inline distT="0" distB="0" distL="114300" distR="114300">
                  <wp:extent cx="2653030" cy="1326515"/>
                  <wp:effectExtent l="0" t="0" r="13970" b="6985"/>
                  <wp:docPr id="16" name="图片 16" descr="IMG_20220902_09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20902_092459"/>
                          <pic:cNvPicPr>
                            <a:picLocks noChangeAspect="1"/>
                          </pic:cNvPicPr>
                        </pic:nvPicPr>
                        <pic:blipFill>
                          <a:blip r:embed="rId15"/>
                          <a:stretch>
                            <a:fillRect/>
                          </a:stretch>
                        </pic:blipFill>
                        <pic:spPr>
                          <a:xfrm>
                            <a:off x="0" y="0"/>
                            <a:ext cx="2653030" cy="1326515"/>
                          </a:xfrm>
                          <a:prstGeom prst="rect">
                            <a:avLst/>
                          </a:prstGeom>
                        </pic:spPr>
                      </pic:pic>
                    </a:graphicData>
                  </a:graphic>
                </wp:inline>
              </w:drawing>
            </w:r>
          </w:p>
        </w:tc>
        <w:tc>
          <w:tcPr>
            <w:tcW w:w="4437" w:type="dxa"/>
            <w:tcBorders>
              <w:right w:val="single" w:color="auto" w:sz="4" w:space="0"/>
            </w:tcBorders>
          </w:tcPr>
          <w:p>
            <w:pPr>
              <w:jc w:val="center"/>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lang w:eastAsia="zh-CN"/>
              </w:rPr>
              <w:drawing>
                <wp:inline distT="0" distB="0" distL="114300" distR="114300">
                  <wp:extent cx="2653030" cy="1326515"/>
                  <wp:effectExtent l="0" t="0" r="13970" b="6985"/>
                  <wp:docPr id="17" name="图片 17" descr="IMG_20220902_10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20902_100455"/>
                          <pic:cNvPicPr>
                            <a:picLocks noChangeAspect="1"/>
                          </pic:cNvPicPr>
                        </pic:nvPicPr>
                        <pic:blipFill>
                          <a:blip r:embed="rId16"/>
                          <a:stretch>
                            <a:fillRect/>
                          </a:stretch>
                        </pic:blipFill>
                        <pic:spPr>
                          <a:xfrm>
                            <a:off x="0" y="0"/>
                            <a:ext cx="2653030" cy="132651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7" w:hRule="atLeast"/>
          <w:jc w:val="center"/>
        </w:trPr>
        <w:tc>
          <w:tcPr>
            <w:tcW w:w="4416" w:type="dxa"/>
          </w:tcPr>
          <w:p>
            <w:pPr>
              <w:jc w:val="center"/>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lang w:eastAsia="zh-CN"/>
              </w:rPr>
              <w:drawing>
                <wp:inline distT="0" distB="0" distL="114300" distR="114300">
                  <wp:extent cx="2653030" cy="1326515"/>
                  <wp:effectExtent l="0" t="0" r="13970" b="6985"/>
                  <wp:docPr id="15" name="图片 15" descr="IMG_20220902_09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20902_092559"/>
                          <pic:cNvPicPr>
                            <a:picLocks noChangeAspect="1"/>
                          </pic:cNvPicPr>
                        </pic:nvPicPr>
                        <pic:blipFill>
                          <a:blip r:embed="rId17"/>
                          <a:stretch>
                            <a:fillRect/>
                          </a:stretch>
                        </pic:blipFill>
                        <pic:spPr>
                          <a:xfrm>
                            <a:off x="0" y="0"/>
                            <a:ext cx="2653030" cy="1326515"/>
                          </a:xfrm>
                          <a:prstGeom prst="rect">
                            <a:avLst/>
                          </a:prstGeom>
                        </pic:spPr>
                      </pic:pic>
                    </a:graphicData>
                  </a:graphic>
                </wp:inline>
              </w:drawing>
            </w:r>
          </w:p>
        </w:tc>
        <w:tc>
          <w:tcPr>
            <w:tcW w:w="4437" w:type="dxa"/>
            <w:tcBorders>
              <w:right w:val="single" w:color="auto" w:sz="4" w:space="0"/>
            </w:tcBorders>
          </w:tcPr>
          <w:p>
            <w:pPr>
              <w:jc w:val="center"/>
              <w:rPr>
                <w:rFonts w:hint="default" w:ascii="Times New Roman" w:hAnsi="Times New Roman" w:cs="Times New Roman" w:eastAsiaTheme="minorEastAsia"/>
                <w:sz w:val="24"/>
                <w:lang w:eastAsia="zh-CN"/>
              </w:rPr>
            </w:pPr>
            <w:r>
              <w:drawing>
                <wp:inline distT="0" distB="0" distL="114300" distR="114300">
                  <wp:extent cx="2672715" cy="1359535"/>
                  <wp:effectExtent l="0" t="0" r="13335" b="1206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8"/>
                          <a:stretch>
                            <a:fillRect/>
                          </a:stretch>
                        </pic:blipFill>
                        <pic:spPr>
                          <a:xfrm>
                            <a:off x="0" y="0"/>
                            <a:ext cx="2672715" cy="135953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416" w:type="dxa"/>
            <w:tcBorders>
              <w:right w:val="single" w:color="auto" w:sz="4" w:space="0"/>
            </w:tcBorders>
          </w:tcPr>
          <w:p>
            <w:pPr>
              <w:jc w:val="center"/>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lang w:eastAsia="zh-CN"/>
              </w:rPr>
              <w:drawing>
                <wp:inline distT="0" distB="0" distL="114300" distR="114300">
                  <wp:extent cx="2653030" cy="1326515"/>
                  <wp:effectExtent l="0" t="0" r="13970" b="6985"/>
                  <wp:docPr id="11" name="图片 11" descr="IMG_20220902_09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20902_093708"/>
                          <pic:cNvPicPr>
                            <a:picLocks noChangeAspect="1"/>
                          </pic:cNvPicPr>
                        </pic:nvPicPr>
                        <pic:blipFill>
                          <a:blip r:embed="rId19"/>
                          <a:stretch>
                            <a:fillRect/>
                          </a:stretch>
                        </pic:blipFill>
                        <pic:spPr>
                          <a:xfrm>
                            <a:off x="0" y="0"/>
                            <a:ext cx="2653030" cy="1326515"/>
                          </a:xfrm>
                          <a:prstGeom prst="rect">
                            <a:avLst/>
                          </a:prstGeom>
                        </pic:spPr>
                      </pic:pic>
                    </a:graphicData>
                  </a:graphic>
                </wp:inline>
              </w:drawing>
            </w:r>
          </w:p>
        </w:tc>
        <w:tc>
          <w:tcPr>
            <w:tcW w:w="4437" w:type="dxa"/>
            <w:tcBorders>
              <w:right w:val="single" w:color="auto" w:sz="4" w:space="0"/>
            </w:tcBorders>
          </w:tcPr>
          <w:p>
            <w:pPr>
              <w:jc w:val="center"/>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lang w:eastAsia="zh-CN"/>
              </w:rPr>
              <w:drawing>
                <wp:inline distT="0" distB="0" distL="114300" distR="114300">
                  <wp:extent cx="2653030" cy="1326515"/>
                  <wp:effectExtent l="0" t="0" r="13970" b="6985"/>
                  <wp:docPr id="10" name="图片 10" descr="IMG_20220902_09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20902_094106"/>
                          <pic:cNvPicPr>
                            <a:picLocks noChangeAspect="1"/>
                          </pic:cNvPicPr>
                        </pic:nvPicPr>
                        <pic:blipFill>
                          <a:blip r:embed="rId20"/>
                          <a:stretch>
                            <a:fillRect/>
                          </a:stretch>
                        </pic:blipFill>
                        <pic:spPr>
                          <a:xfrm>
                            <a:off x="0" y="0"/>
                            <a:ext cx="2653030" cy="132651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416" w:type="dxa"/>
            <w:tcBorders>
              <w:right w:val="single" w:color="auto" w:sz="4" w:space="0"/>
            </w:tcBorders>
          </w:tcPr>
          <w:p>
            <w:pPr>
              <w:jc w:val="center"/>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lang w:eastAsia="zh-CN"/>
              </w:rPr>
              <w:drawing>
                <wp:inline distT="0" distB="0" distL="114300" distR="114300">
                  <wp:extent cx="2653030" cy="1478280"/>
                  <wp:effectExtent l="0" t="0" r="13970" b="7620"/>
                  <wp:docPr id="18" name="图片 18" descr="IMG_20220902_09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20902_095228"/>
                          <pic:cNvPicPr>
                            <a:picLocks noChangeAspect="1"/>
                          </pic:cNvPicPr>
                        </pic:nvPicPr>
                        <pic:blipFill>
                          <a:blip r:embed="rId21"/>
                          <a:stretch>
                            <a:fillRect/>
                          </a:stretch>
                        </pic:blipFill>
                        <pic:spPr>
                          <a:xfrm>
                            <a:off x="0" y="0"/>
                            <a:ext cx="2653030" cy="1478280"/>
                          </a:xfrm>
                          <a:prstGeom prst="rect">
                            <a:avLst/>
                          </a:prstGeom>
                        </pic:spPr>
                      </pic:pic>
                    </a:graphicData>
                  </a:graphic>
                </wp:inline>
              </w:drawing>
            </w:r>
          </w:p>
        </w:tc>
        <w:tc>
          <w:tcPr>
            <w:tcW w:w="4437" w:type="dxa"/>
            <w:tcBorders>
              <w:right w:val="single" w:color="auto" w:sz="4" w:space="0"/>
            </w:tcBorders>
          </w:tcPr>
          <w:p>
            <w:pPr>
              <w:jc w:val="center"/>
              <w:rPr>
                <w:rFonts w:hint="default" w:ascii="Times New Roman" w:hAnsi="Times New Roman" w:cs="Times New Roman" w:eastAsiaTheme="minorEastAsia"/>
                <w:sz w:val="24"/>
                <w:lang w:eastAsia="zh-CN"/>
              </w:rPr>
            </w:pPr>
            <w:bookmarkStart w:id="193" w:name="_GoBack"/>
            <w:r>
              <w:drawing>
                <wp:inline distT="0" distB="0" distL="114300" distR="114300">
                  <wp:extent cx="2672715" cy="1447800"/>
                  <wp:effectExtent l="0" t="0" r="13335"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2"/>
                          <a:stretch>
                            <a:fillRect/>
                          </a:stretch>
                        </pic:blipFill>
                        <pic:spPr>
                          <a:xfrm>
                            <a:off x="0" y="0"/>
                            <a:ext cx="2672715" cy="1447800"/>
                          </a:xfrm>
                          <a:prstGeom prst="rect">
                            <a:avLst/>
                          </a:prstGeom>
                          <a:noFill/>
                          <a:ln>
                            <a:noFill/>
                          </a:ln>
                        </pic:spPr>
                      </pic:pic>
                    </a:graphicData>
                  </a:graphic>
                </wp:inline>
              </w:drawing>
            </w:r>
            <w:bookmarkEnd w:id="193"/>
          </w:p>
        </w:tc>
      </w:tr>
    </w:tbl>
    <w:p>
      <w:pPr>
        <w:numPr>
          <w:ilvl w:val="0"/>
          <w:numId w:val="0"/>
        </w:numPr>
        <w:ind w:leftChars="0"/>
        <w:jc w:val="left"/>
        <w:outlineLvl w:val="1"/>
        <w:rPr>
          <w:rFonts w:hint="default" w:ascii="Times New Roman" w:hAnsi="Times New Roman" w:cs="Times New Roman" w:eastAsiaTheme="minorEastAsia"/>
          <w:sz w:val="32"/>
          <w:szCs w:val="32"/>
          <w:lang w:val="en-US" w:eastAsia="zh-CN"/>
        </w:rPr>
      </w:pPr>
    </w:p>
    <w:p>
      <w:pPr>
        <w:numPr>
          <w:ilvl w:val="0"/>
          <w:numId w:val="0"/>
        </w:numPr>
        <w:ind w:leftChars="0"/>
        <w:jc w:val="left"/>
        <w:outlineLvl w:val="1"/>
        <w:rPr>
          <w:rFonts w:hint="default" w:ascii="Times New Roman" w:hAnsi="Times New Roman" w:cs="Times New Roman" w:eastAsiaTheme="minorEastAsia"/>
          <w:sz w:val="32"/>
          <w:szCs w:val="32"/>
          <w:lang w:val="en-US" w:eastAsia="zh-CN"/>
        </w:rPr>
      </w:pPr>
    </w:p>
    <w:p>
      <w:pPr>
        <w:numPr>
          <w:ilvl w:val="0"/>
          <w:numId w:val="12"/>
        </w:numPr>
        <w:jc w:val="left"/>
        <w:outlineLvl w:val="1"/>
        <w:rPr>
          <w:rFonts w:hint="default" w:ascii="Times New Roman" w:hAnsi="Times New Roman" w:cs="Times New Roman" w:eastAsiaTheme="minorEastAsia"/>
          <w:sz w:val="32"/>
          <w:szCs w:val="32"/>
        </w:rPr>
      </w:pPr>
      <w:bookmarkStart w:id="183" w:name="_Toc3678"/>
      <w:r>
        <w:rPr>
          <w:rFonts w:hint="default" w:ascii="Times New Roman" w:hAnsi="Times New Roman" w:cs="Times New Roman" w:eastAsiaTheme="minorEastAsia"/>
          <w:sz w:val="32"/>
          <w:szCs w:val="32"/>
        </w:rPr>
        <w:t>专业帮助情况和相关专业意见</w:t>
      </w:r>
      <w:bookmarkEnd w:id="183"/>
    </w:p>
    <w:p>
      <w:pPr>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本估价报告没有非本公司人士对本估价报告提供重要专业帮助。</w:t>
      </w:r>
    </w:p>
    <w:p>
      <w:pPr>
        <w:ind w:firstLine="560" w:firstLineChars="200"/>
        <w:rPr>
          <w:rFonts w:hint="default" w:ascii="Times New Roman" w:hAnsi="Times New Roman" w:cs="Times New Roman" w:eastAsiaTheme="minorEastAsia"/>
          <w:sz w:val="28"/>
          <w:szCs w:val="28"/>
        </w:rPr>
      </w:pPr>
    </w:p>
    <w:p>
      <w:pPr>
        <w:numPr>
          <w:ilvl w:val="0"/>
          <w:numId w:val="12"/>
        </w:numPr>
        <w:jc w:val="left"/>
        <w:outlineLvl w:val="1"/>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rPr>
        <w:t xml:space="preserve"> </w:t>
      </w:r>
      <w:bookmarkStart w:id="184" w:name="_Toc8650"/>
      <w:r>
        <w:rPr>
          <w:rFonts w:hint="default" w:ascii="Times New Roman" w:hAnsi="Times New Roman" w:cs="Times New Roman" w:eastAsiaTheme="minorEastAsia"/>
          <w:sz w:val="32"/>
          <w:szCs w:val="32"/>
        </w:rPr>
        <w:t>房地产估价机构营业证书</w:t>
      </w:r>
      <w:bookmarkEnd w:id="184"/>
    </w:p>
    <w:p>
      <w:pPr>
        <w:outlineLvl w:val="9"/>
        <w:rPr>
          <w:rFonts w:hint="default" w:ascii="Times New Roman" w:hAnsi="Times New Roman" w:cs="Times New Roman" w:eastAsiaTheme="minorEastAsia"/>
          <w:sz w:val="28"/>
          <w:szCs w:val="28"/>
          <w:lang w:eastAsia="zh-CN"/>
        </w:rPr>
      </w:pPr>
    </w:p>
    <w:p>
      <w:pPr>
        <w:numPr>
          <w:ilvl w:val="0"/>
          <w:numId w:val="12"/>
        </w:numPr>
        <w:jc w:val="left"/>
        <w:outlineLvl w:val="1"/>
        <w:rPr>
          <w:rFonts w:hint="default" w:ascii="Times New Roman" w:hAnsi="Times New Roman" w:cs="Times New Roman" w:eastAsiaTheme="minorEastAsia"/>
          <w:sz w:val="28"/>
          <w:szCs w:val="28"/>
        </w:rPr>
      </w:pPr>
      <w:bookmarkStart w:id="185" w:name="_Toc468893327"/>
      <w:bookmarkStart w:id="186" w:name="_Toc519862779"/>
      <w:bookmarkStart w:id="187" w:name="_Toc449024652"/>
      <w:bookmarkStart w:id="188" w:name="_Toc18556"/>
      <w:r>
        <w:rPr>
          <w:rFonts w:hint="default" w:ascii="Times New Roman" w:hAnsi="Times New Roman" w:cs="Times New Roman" w:eastAsiaTheme="minorEastAsia"/>
          <w:sz w:val="32"/>
          <w:szCs w:val="32"/>
        </w:rPr>
        <w:t>房地产估价机构备案证书复印件</w:t>
      </w:r>
      <w:bookmarkEnd w:id="185"/>
      <w:bookmarkEnd w:id="186"/>
      <w:bookmarkEnd w:id="187"/>
      <w:bookmarkEnd w:id="188"/>
    </w:p>
    <w:p>
      <w:pPr>
        <w:bidi w:val="0"/>
        <w:rPr>
          <w:rFonts w:hint="eastAsia" w:ascii="Times New Roman" w:hAnsi="Times New Roman" w:cs="Times New Roman" w:eastAsiaTheme="minorEastAsia"/>
          <w:sz w:val="32"/>
          <w:szCs w:val="32"/>
          <w:lang w:eastAsia="zh-CN"/>
        </w:rPr>
        <w:sectPr>
          <w:footerReference r:id="rId4" w:type="default"/>
          <w:pgSz w:w="11906" w:h="16838"/>
          <w:pgMar w:top="1020" w:right="1417" w:bottom="1020" w:left="1417" w:header="709" w:footer="709" w:gutter="0"/>
          <w:pgBorders>
            <w:top w:val="none" w:sz="0" w:space="0"/>
            <w:left w:val="none" w:sz="0" w:space="0"/>
            <w:bottom w:val="none" w:sz="0" w:space="0"/>
            <w:right w:val="none" w:sz="0" w:space="0"/>
          </w:pgBorders>
          <w:pgNumType w:fmt="decimal"/>
          <w:cols w:space="425" w:num="1"/>
          <w:docGrid w:type="lines" w:linePitch="312" w:charSpace="0"/>
        </w:sectPr>
      </w:pPr>
      <w:bookmarkStart w:id="189" w:name="_Toc519862780"/>
      <w:bookmarkStart w:id="190" w:name="_Toc449024653"/>
      <w:bookmarkStart w:id="191" w:name="_Toc468893328"/>
    </w:p>
    <w:p>
      <w:pPr>
        <w:numPr>
          <w:ilvl w:val="0"/>
          <w:numId w:val="12"/>
        </w:numPr>
        <w:jc w:val="left"/>
        <w:outlineLvl w:val="1"/>
        <w:rPr>
          <w:rFonts w:hint="default" w:ascii="Times New Roman" w:hAnsi="Times New Roman" w:cs="Times New Roman" w:eastAsiaTheme="minorEastAsia"/>
          <w:sz w:val="32"/>
          <w:szCs w:val="32"/>
        </w:rPr>
      </w:pPr>
      <w:bookmarkStart w:id="192" w:name="_Toc17840"/>
      <w:r>
        <w:rPr>
          <w:rFonts w:hint="default" w:ascii="Times New Roman" w:hAnsi="Times New Roman" w:cs="Times New Roman" w:eastAsiaTheme="minorEastAsia"/>
          <w:sz w:val="32"/>
          <w:szCs w:val="32"/>
        </w:rPr>
        <w:t>中国注册房地产估价师注册证书复印件</w:t>
      </w:r>
      <w:bookmarkEnd w:id="189"/>
      <w:bookmarkEnd w:id="190"/>
      <w:bookmarkEnd w:id="191"/>
      <w:bookmarkEnd w:id="192"/>
    </w:p>
    <w:p>
      <w:pPr>
        <w:outlineLvl w:val="1"/>
        <w:rPr>
          <w:rFonts w:hint="default" w:ascii="Times New Roman" w:hAnsi="Times New Roman" w:cs="Times New Roman" w:eastAsiaTheme="minorEastAsia"/>
        </w:rPr>
      </w:pPr>
    </w:p>
    <w:p>
      <w:pPr>
        <w:bidi w:val="0"/>
        <w:rPr>
          <w:rFonts w:hint="default" w:ascii="Times New Roman" w:hAnsi="Times New Roman" w:cs="Times New Roman"/>
        </w:rPr>
      </w:pPr>
    </w:p>
    <w:p>
      <w:pPr>
        <w:rPr>
          <w:rFonts w:hint="default" w:ascii="Times New Roman" w:hAnsi="Times New Roman" w:cs="Times New Roman"/>
        </w:rPr>
      </w:pPr>
    </w:p>
    <w:sectPr>
      <w:footerReference r:id="rId5" w:type="default"/>
      <w:pgSz w:w="11906" w:h="16838"/>
      <w:pgMar w:top="1020" w:right="1417" w:bottom="1020"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一</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一</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一</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一</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bidi w:val="0"/>
      <w:rPr>
        <w:rFonts w:hint="default"/>
        <w:u w:val="single"/>
        <w:lang w:val="en-US" w:eastAsia="zh-CN"/>
      </w:rPr>
    </w:pPr>
    <w:r>
      <w:rPr>
        <w:rFonts w:hint="eastAsia"/>
        <w:u w:val="single"/>
        <w:lang w:val="en-US" w:eastAsia="zh-CN"/>
      </w:rPr>
      <w:t>江苏国联土地房地产评估有限公司房地产估价报告                                           0519-88152989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4"/>
    <w:multiLevelType w:val="multilevel"/>
    <w:tmpl w:val="00000014"/>
    <w:lvl w:ilvl="0" w:tentative="0">
      <w:start w:val="1"/>
      <w:numFmt w:val="decimal"/>
      <w:lvlText w:val="%1."/>
      <w:lvlJc w:val="left"/>
      <w:pPr>
        <w:tabs>
          <w:tab w:val="left" w:pos="1020"/>
        </w:tabs>
        <w:ind w:left="113" w:firstLine="487"/>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7D17AD3"/>
    <w:multiLevelType w:val="multilevel"/>
    <w:tmpl w:val="07D17AD3"/>
    <w:lvl w:ilvl="0" w:tentative="0">
      <w:start w:val="1"/>
      <w:numFmt w:val="decimal"/>
      <w:lvlText w:val="%1."/>
      <w:lvlJc w:val="left"/>
      <w:pPr>
        <w:tabs>
          <w:tab w:val="left" w:pos="1020"/>
        </w:tabs>
        <w:ind w:left="113" w:firstLine="487"/>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9D96C1C"/>
    <w:multiLevelType w:val="singleLevel"/>
    <w:tmpl w:val="09D96C1C"/>
    <w:lvl w:ilvl="0" w:tentative="0">
      <w:start w:val="1"/>
      <w:numFmt w:val="decimal"/>
      <w:suff w:val="nothing"/>
      <w:lvlText w:val="%1．"/>
      <w:lvlJc w:val="left"/>
      <w:pPr>
        <w:ind w:left="0" w:firstLine="400"/>
      </w:pPr>
      <w:rPr>
        <w:rFonts w:hint="default"/>
      </w:rPr>
    </w:lvl>
  </w:abstractNum>
  <w:abstractNum w:abstractNumId="3">
    <w:nsid w:val="0A26F74B"/>
    <w:multiLevelType w:val="singleLevel"/>
    <w:tmpl w:val="0A26F74B"/>
    <w:lvl w:ilvl="0" w:tentative="0">
      <w:start w:val="1"/>
      <w:numFmt w:val="decimal"/>
      <w:suff w:val="nothing"/>
      <w:lvlText w:val="%1．"/>
      <w:lvlJc w:val="left"/>
      <w:pPr>
        <w:ind w:left="0" w:firstLine="400"/>
      </w:pPr>
      <w:rPr>
        <w:rFonts w:hint="default"/>
      </w:rPr>
    </w:lvl>
  </w:abstractNum>
  <w:abstractNum w:abstractNumId="4">
    <w:nsid w:val="0B1CE9DD"/>
    <w:multiLevelType w:val="singleLevel"/>
    <w:tmpl w:val="0B1CE9DD"/>
    <w:lvl w:ilvl="0" w:tentative="0">
      <w:start w:val="2"/>
      <w:numFmt w:val="decimal"/>
      <w:suff w:val="space"/>
      <w:lvlText w:val="%1."/>
      <w:lvlJc w:val="left"/>
    </w:lvl>
  </w:abstractNum>
  <w:abstractNum w:abstractNumId="5">
    <w:nsid w:val="0FF3106F"/>
    <w:multiLevelType w:val="multilevel"/>
    <w:tmpl w:val="0FF3106F"/>
    <w:lvl w:ilvl="0" w:tentative="0">
      <w:start w:val="1"/>
      <w:numFmt w:val="decimal"/>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D741847"/>
    <w:multiLevelType w:val="singleLevel"/>
    <w:tmpl w:val="1D741847"/>
    <w:lvl w:ilvl="0" w:tentative="0">
      <w:start w:val="1"/>
      <w:numFmt w:val="decimal"/>
      <w:suff w:val="nothing"/>
      <w:lvlText w:val="%1．"/>
      <w:lvlJc w:val="left"/>
      <w:pPr>
        <w:ind w:left="0" w:firstLine="400"/>
      </w:pPr>
      <w:rPr>
        <w:rFonts w:hint="default"/>
      </w:rPr>
    </w:lvl>
  </w:abstractNum>
  <w:abstractNum w:abstractNumId="7">
    <w:nsid w:val="271D3198"/>
    <w:multiLevelType w:val="multilevel"/>
    <w:tmpl w:val="271D3198"/>
    <w:lvl w:ilvl="0" w:tentative="0">
      <w:start w:val="1"/>
      <w:numFmt w:val="decimal"/>
      <w:lvlText w:val="%1."/>
      <w:lvlJc w:val="left"/>
      <w:pPr>
        <w:tabs>
          <w:tab w:val="left" w:pos="1020"/>
        </w:tabs>
        <w:ind w:left="113" w:firstLine="487"/>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8610DA7"/>
    <w:multiLevelType w:val="multilevel"/>
    <w:tmpl w:val="38610DA7"/>
    <w:lvl w:ilvl="0" w:tentative="0">
      <w:start w:val="1"/>
      <w:numFmt w:val="decimal"/>
      <w:lvlText w:val="%1."/>
      <w:lvlJc w:val="left"/>
      <w:pPr>
        <w:tabs>
          <w:tab w:val="left" w:pos="1020"/>
        </w:tabs>
        <w:ind w:left="113" w:firstLine="487"/>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AE756AC"/>
    <w:multiLevelType w:val="multilevel"/>
    <w:tmpl w:val="4AE756AC"/>
    <w:lvl w:ilvl="0" w:tentative="0">
      <w:start w:val="1"/>
      <w:numFmt w:val="decimal"/>
      <w:lvlText w:val="%1."/>
      <w:lvlJc w:val="left"/>
      <w:pPr>
        <w:tabs>
          <w:tab w:val="left" w:pos="1020"/>
        </w:tabs>
        <w:ind w:left="113" w:firstLine="487"/>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759C395D"/>
    <w:multiLevelType w:val="multilevel"/>
    <w:tmpl w:val="759C395D"/>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7EF56C2"/>
    <w:multiLevelType w:val="multilevel"/>
    <w:tmpl w:val="77EF56C2"/>
    <w:lvl w:ilvl="0" w:tentative="0">
      <w:start w:val="1"/>
      <w:numFmt w:val="decimal"/>
      <w:lvlText w:val="%1."/>
      <w:lvlJc w:val="left"/>
      <w:pPr>
        <w:tabs>
          <w:tab w:val="left" w:pos="1020"/>
        </w:tabs>
        <w:ind w:left="113" w:firstLine="487"/>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0"/>
  </w:num>
  <w:num w:numId="3">
    <w:abstractNumId w:val="2"/>
  </w:num>
  <w:num w:numId="4">
    <w:abstractNumId w:val="6"/>
  </w:num>
  <w:num w:numId="5">
    <w:abstractNumId w:val="4"/>
  </w:num>
  <w:num w:numId="6">
    <w:abstractNumId w:val="1"/>
  </w:num>
  <w:num w:numId="7">
    <w:abstractNumId w:val="0"/>
  </w:num>
  <w:num w:numId="8">
    <w:abstractNumId w:val="11"/>
  </w:num>
  <w:num w:numId="9">
    <w:abstractNumId w:val="9"/>
  </w:num>
  <w:num w:numId="10">
    <w:abstractNumId w:val="7"/>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jMzdmMmIxNDk1YjNmZDc0NGY0NzZmOWM4NjEwZTgifQ=="/>
  </w:docVars>
  <w:rsids>
    <w:rsidRoot w:val="468A35A7"/>
    <w:rsid w:val="00A67F74"/>
    <w:rsid w:val="00C1143D"/>
    <w:rsid w:val="01A202D8"/>
    <w:rsid w:val="02063EB1"/>
    <w:rsid w:val="02103299"/>
    <w:rsid w:val="02710359"/>
    <w:rsid w:val="028545EE"/>
    <w:rsid w:val="02B904E7"/>
    <w:rsid w:val="032C2656"/>
    <w:rsid w:val="043B2A4B"/>
    <w:rsid w:val="04B83FE5"/>
    <w:rsid w:val="04CA022B"/>
    <w:rsid w:val="05AF03E9"/>
    <w:rsid w:val="05B230C9"/>
    <w:rsid w:val="05E72302"/>
    <w:rsid w:val="060276CE"/>
    <w:rsid w:val="075D047B"/>
    <w:rsid w:val="07F2445C"/>
    <w:rsid w:val="08B604AE"/>
    <w:rsid w:val="08D3493E"/>
    <w:rsid w:val="08DF611D"/>
    <w:rsid w:val="08FA4FB3"/>
    <w:rsid w:val="096928CA"/>
    <w:rsid w:val="09D2403A"/>
    <w:rsid w:val="09F07CC9"/>
    <w:rsid w:val="0A085B6F"/>
    <w:rsid w:val="0A4A2F2A"/>
    <w:rsid w:val="0A50715E"/>
    <w:rsid w:val="0AF03254"/>
    <w:rsid w:val="0B267FE7"/>
    <w:rsid w:val="0BA50A6C"/>
    <w:rsid w:val="0C326963"/>
    <w:rsid w:val="0CA13DED"/>
    <w:rsid w:val="0D54098F"/>
    <w:rsid w:val="0D606722"/>
    <w:rsid w:val="0DA47D15"/>
    <w:rsid w:val="0DA558D3"/>
    <w:rsid w:val="0E151CFD"/>
    <w:rsid w:val="0E2F1BB6"/>
    <w:rsid w:val="0EAD2A04"/>
    <w:rsid w:val="0EF96E88"/>
    <w:rsid w:val="0F694A97"/>
    <w:rsid w:val="106364CA"/>
    <w:rsid w:val="11073E34"/>
    <w:rsid w:val="113522C7"/>
    <w:rsid w:val="115652AC"/>
    <w:rsid w:val="11D3380B"/>
    <w:rsid w:val="120E661D"/>
    <w:rsid w:val="12592186"/>
    <w:rsid w:val="12D112C8"/>
    <w:rsid w:val="144B3F41"/>
    <w:rsid w:val="14794588"/>
    <w:rsid w:val="148A249F"/>
    <w:rsid w:val="1520688D"/>
    <w:rsid w:val="15900214"/>
    <w:rsid w:val="15A131BB"/>
    <w:rsid w:val="15E96C0C"/>
    <w:rsid w:val="162E793E"/>
    <w:rsid w:val="176B4ABB"/>
    <w:rsid w:val="17E84B8A"/>
    <w:rsid w:val="17F60FA6"/>
    <w:rsid w:val="18DA62A0"/>
    <w:rsid w:val="19D572A1"/>
    <w:rsid w:val="19F179F2"/>
    <w:rsid w:val="1A5865AC"/>
    <w:rsid w:val="1ABC70B8"/>
    <w:rsid w:val="1AC6441B"/>
    <w:rsid w:val="1B1C53C8"/>
    <w:rsid w:val="1B430824"/>
    <w:rsid w:val="1B9914A4"/>
    <w:rsid w:val="1BAF2B27"/>
    <w:rsid w:val="1C045180"/>
    <w:rsid w:val="1C2778D9"/>
    <w:rsid w:val="1C897E07"/>
    <w:rsid w:val="1CEB749D"/>
    <w:rsid w:val="1D161874"/>
    <w:rsid w:val="1D1C3424"/>
    <w:rsid w:val="1D245F8D"/>
    <w:rsid w:val="1F32464B"/>
    <w:rsid w:val="1F713BD1"/>
    <w:rsid w:val="1F8D1A9A"/>
    <w:rsid w:val="1FBD7774"/>
    <w:rsid w:val="200373E2"/>
    <w:rsid w:val="201A04A1"/>
    <w:rsid w:val="20E93B58"/>
    <w:rsid w:val="2163669C"/>
    <w:rsid w:val="22000504"/>
    <w:rsid w:val="225425F0"/>
    <w:rsid w:val="22A24041"/>
    <w:rsid w:val="23774B45"/>
    <w:rsid w:val="23837A27"/>
    <w:rsid w:val="23C0171D"/>
    <w:rsid w:val="2494486F"/>
    <w:rsid w:val="24AB2BCC"/>
    <w:rsid w:val="255B17FC"/>
    <w:rsid w:val="25B0453A"/>
    <w:rsid w:val="26B62A1D"/>
    <w:rsid w:val="26C13569"/>
    <w:rsid w:val="27606D87"/>
    <w:rsid w:val="279F0B05"/>
    <w:rsid w:val="27D92133"/>
    <w:rsid w:val="2818512F"/>
    <w:rsid w:val="28302D6A"/>
    <w:rsid w:val="286B39B1"/>
    <w:rsid w:val="28E21535"/>
    <w:rsid w:val="2919793E"/>
    <w:rsid w:val="292C64E4"/>
    <w:rsid w:val="29561667"/>
    <w:rsid w:val="29D03B19"/>
    <w:rsid w:val="2A922D6C"/>
    <w:rsid w:val="2AC24A9D"/>
    <w:rsid w:val="2B677E94"/>
    <w:rsid w:val="2BDF549A"/>
    <w:rsid w:val="2C1110DA"/>
    <w:rsid w:val="2C1116A3"/>
    <w:rsid w:val="2C56659D"/>
    <w:rsid w:val="2C81789C"/>
    <w:rsid w:val="2C8674AF"/>
    <w:rsid w:val="2C962EDA"/>
    <w:rsid w:val="2E762E1E"/>
    <w:rsid w:val="2E8F0ECE"/>
    <w:rsid w:val="30E61DE5"/>
    <w:rsid w:val="310B3D31"/>
    <w:rsid w:val="315C3913"/>
    <w:rsid w:val="3199498F"/>
    <w:rsid w:val="31DF7620"/>
    <w:rsid w:val="3287434F"/>
    <w:rsid w:val="32DD6E7B"/>
    <w:rsid w:val="336B46D0"/>
    <w:rsid w:val="337373F2"/>
    <w:rsid w:val="33AF551D"/>
    <w:rsid w:val="340A0832"/>
    <w:rsid w:val="34EA0A77"/>
    <w:rsid w:val="352A223E"/>
    <w:rsid w:val="353975A7"/>
    <w:rsid w:val="35C36430"/>
    <w:rsid w:val="36561C45"/>
    <w:rsid w:val="365965DA"/>
    <w:rsid w:val="36C03766"/>
    <w:rsid w:val="36C9468B"/>
    <w:rsid w:val="36E865C7"/>
    <w:rsid w:val="370A431F"/>
    <w:rsid w:val="388543BA"/>
    <w:rsid w:val="39101E8B"/>
    <w:rsid w:val="39551F83"/>
    <w:rsid w:val="3A294660"/>
    <w:rsid w:val="3A301F2C"/>
    <w:rsid w:val="3A9F69EE"/>
    <w:rsid w:val="3AA61553"/>
    <w:rsid w:val="3ADC0D37"/>
    <w:rsid w:val="3B650ED2"/>
    <w:rsid w:val="3BB71E84"/>
    <w:rsid w:val="3C251EC5"/>
    <w:rsid w:val="3CD25891"/>
    <w:rsid w:val="3D7B7613"/>
    <w:rsid w:val="3D837B33"/>
    <w:rsid w:val="3DD05E38"/>
    <w:rsid w:val="3E1F435E"/>
    <w:rsid w:val="3E91782A"/>
    <w:rsid w:val="3F816ED7"/>
    <w:rsid w:val="40B43BC7"/>
    <w:rsid w:val="411828BE"/>
    <w:rsid w:val="413004B8"/>
    <w:rsid w:val="413B0C7F"/>
    <w:rsid w:val="41685ECD"/>
    <w:rsid w:val="41DC236E"/>
    <w:rsid w:val="42207E33"/>
    <w:rsid w:val="428E6CBC"/>
    <w:rsid w:val="42DF36D6"/>
    <w:rsid w:val="4349333B"/>
    <w:rsid w:val="43C33085"/>
    <w:rsid w:val="44296EC9"/>
    <w:rsid w:val="45155FFF"/>
    <w:rsid w:val="453B547C"/>
    <w:rsid w:val="454F4970"/>
    <w:rsid w:val="45E13246"/>
    <w:rsid w:val="468A35A7"/>
    <w:rsid w:val="46B73245"/>
    <w:rsid w:val="46BF4CA1"/>
    <w:rsid w:val="482F67F2"/>
    <w:rsid w:val="48F1672A"/>
    <w:rsid w:val="4990763C"/>
    <w:rsid w:val="4A180E7D"/>
    <w:rsid w:val="4ABB278E"/>
    <w:rsid w:val="4ABC30E3"/>
    <w:rsid w:val="4B4A642F"/>
    <w:rsid w:val="4B8A62E6"/>
    <w:rsid w:val="4C19155F"/>
    <w:rsid w:val="4C6014CA"/>
    <w:rsid w:val="4CD65A79"/>
    <w:rsid w:val="4CF21E42"/>
    <w:rsid w:val="4DDE0594"/>
    <w:rsid w:val="4EA63DE5"/>
    <w:rsid w:val="4EC7738B"/>
    <w:rsid w:val="4ED225E0"/>
    <w:rsid w:val="4F3E6861"/>
    <w:rsid w:val="4FE726CB"/>
    <w:rsid w:val="4FF87733"/>
    <w:rsid w:val="4FFD229A"/>
    <w:rsid w:val="50627807"/>
    <w:rsid w:val="508255A8"/>
    <w:rsid w:val="50D27F66"/>
    <w:rsid w:val="50E10728"/>
    <w:rsid w:val="50EB03BC"/>
    <w:rsid w:val="5111045B"/>
    <w:rsid w:val="5131477E"/>
    <w:rsid w:val="51495132"/>
    <w:rsid w:val="516926E1"/>
    <w:rsid w:val="51835F81"/>
    <w:rsid w:val="53BD59AA"/>
    <w:rsid w:val="553F3D92"/>
    <w:rsid w:val="560958D6"/>
    <w:rsid w:val="564F5B2D"/>
    <w:rsid w:val="567D34F1"/>
    <w:rsid w:val="56F67BB9"/>
    <w:rsid w:val="570E554D"/>
    <w:rsid w:val="58150A4D"/>
    <w:rsid w:val="589C242A"/>
    <w:rsid w:val="58DE5A48"/>
    <w:rsid w:val="58ED5846"/>
    <w:rsid w:val="59447C3C"/>
    <w:rsid w:val="5AB75728"/>
    <w:rsid w:val="5BE91E06"/>
    <w:rsid w:val="5C17281D"/>
    <w:rsid w:val="5C252C2A"/>
    <w:rsid w:val="5CD7395D"/>
    <w:rsid w:val="5DCF1378"/>
    <w:rsid w:val="5F077AB4"/>
    <w:rsid w:val="5FC73571"/>
    <w:rsid w:val="60104E9C"/>
    <w:rsid w:val="605F7EE9"/>
    <w:rsid w:val="6088529E"/>
    <w:rsid w:val="60D10030"/>
    <w:rsid w:val="60D4322B"/>
    <w:rsid w:val="61FE0917"/>
    <w:rsid w:val="625769E5"/>
    <w:rsid w:val="625A07E7"/>
    <w:rsid w:val="627666FF"/>
    <w:rsid w:val="627E6461"/>
    <w:rsid w:val="62975FF7"/>
    <w:rsid w:val="631A1BCE"/>
    <w:rsid w:val="63736D40"/>
    <w:rsid w:val="63CD7965"/>
    <w:rsid w:val="65953340"/>
    <w:rsid w:val="65A176C7"/>
    <w:rsid w:val="6614136C"/>
    <w:rsid w:val="66D75024"/>
    <w:rsid w:val="672E4A97"/>
    <w:rsid w:val="677D6377"/>
    <w:rsid w:val="67BC5F13"/>
    <w:rsid w:val="68255FC5"/>
    <w:rsid w:val="68672073"/>
    <w:rsid w:val="68A84501"/>
    <w:rsid w:val="69365AF0"/>
    <w:rsid w:val="695060BD"/>
    <w:rsid w:val="69AE49D0"/>
    <w:rsid w:val="69BD514B"/>
    <w:rsid w:val="6A1A12FB"/>
    <w:rsid w:val="6A5F7AFF"/>
    <w:rsid w:val="6A961513"/>
    <w:rsid w:val="6AAA0F2D"/>
    <w:rsid w:val="6BB9020F"/>
    <w:rsid w:val="6C826210"/>
    <w:rsid w:val="6CB45AB7"/>
    <w:rsid w:val="6D0A1B81"/>
    <w:rsid w:val="6DE43DF2"/>
    <w:rsid w:val="6E210861"/>
    <w:rsid w:val="6EB837AD"/>
    <w:rsid w:val="6EE94783"/>
    <w:rsid w:val="6EEC007B"/>
    <w:rsid w:val="6F5072C6"/>
    <w:rsid w:val="6FF859E9"/>
    <w:rsid w:val="7006515E"/>
    <w:rsid w:val="70082827"/>
    <w:rsid w:val="70224A45"/>
    <w:rsid w:val="70452ACE"/>
    <w:rsid w:val="72A1441F"/>
    <w:rsid w:val="73075151"/>
    <w:rsid w:val="73522870"/>
    <w:rsid w:val="735A2053"/>
    <w:rsid w:val="7369063E"/>
    <w:rsid w:val="73841B31"/>
    <w:rsid w:val="740C6D9F"/>
    <w:rsid w:val="74D65B6B"/>
    <w:rsid w:val="74E072B0"/>
    <w:rsid w:val="758C6083"/>
    <w:rsid w:val="76F63E1E"/>
    <w:rsid w:val="77434D19"/>
    <w:rsid w:val="774D33D4"/>
    <w:rsid w:val="77AA76CC"/>
    <w:rsid w:val="79274520"/>
    <w:rsid w:val="79E6437D"/>
    <w:rsid w:val="7ACD358F"/>
    <w:rsid w:val="7B4F4802"/>
    <w:rsid w:val="7B594046"/>
    <w:rsid w:val="7B876E2F"/>
    <w:rsid w:val="7B923093"/>
    <w:rsid w:val="7C1A3B17"/>
    <w:rsid w:val="7C640161"/>
    <w:rsid w:val="7C78145C"/>
    <w:rsid w:val="7CA13A6D"/>
    <w:rsid w:val="7CA9143D"/>
    <w:rsid w:val="7D494568"/>
    <w:rsid w:val="7DC44AEB"/>
    <w:rsid w:val="7E4E0C57"/>
    <w:rsid w:val="7E6A1561"/>
    <w:rsid w:val="7E844E59"/>
    <w:rsid w:val="7F037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360" w:lineRule="auto"/>
      <w:ind w:firstLine="3975" w:firstLineChars="1100"/>
      <w:outlineLvl w:val="0"/>
    </w:pPr>
    <w:rPr>
      <w:rFonts w:ascii="楷体_GB2312" w:eastAsia="楷体_GB2312"/>
      <w:b/>
      <w:bCs/>
      <w:kern w:val="44"/>
      <w:sz w:val="36"/>
      <w:szCs w:val="36"/>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99"/>
    <w:pPr>
      <w:ind w:firstLine="420" w:firstLineChars="200"/>
    </w:pPr>
    <w:rPr>
      <w:spacing w:val="10"/>
      <w:sz w:val="24"/>
      <w:szCs w:val="20"/>
    </w:rPr>
  </w:style>
  <w:style w:type="paragraph" w:styleId="5">
    <w:name w:val="Plain Text"/>
    <w:basedOn w:val="1"/>
    <w:qFormat/>
    <w:uiPriority w:val="0"/>
    <w:pPr>
      <w:autoSpaceDE w:val="0"/>
      <w:autoSpaceDN w:val="0"/>
      <w:adjustRightInd w:val="0"/>
      <w:spacing w:line="312" w:lineRule="atLeast"/>
      <w:textAlignment w:val="baseline"/>
    </w:pPr>
    <w:rPr>
      <w:rFonts w:ascii="Courier New" w:hAnsi="Courier New"/>
      <w:kern w:val="0"/>
      <w:szCs w:val="20"/>
    </w:rPr>
  </w:style>
  <w:style w:type="paragraph" w:styleId="6">
    <w:name w:val="Date"/>
    <w:basedOn w:val="1"/>
    <w:next w:val="1"/>
    <w:qFormat/>
    <w:uiPriority w:val="0"/>
    <w:pPr>
      <w:ind w:left="100" w:leftChars="2500"/>
    </w:pPr>
    <w:rPr>
      <w:szCs w:val="20"/>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39"/>
    <w:pPr>
      <w:tabs>
        <w:tab w:val="right" w:leader="dot" w:pos="8948"/>
      </w:tabs>
    </w:pPr>
    <w:rPr>
      <w:rFonts w:eastAsia="仿宋_GB2312"/>
      <w:sz w:val="28"/>
      <w:szCs w:val="28"/>
    </w:rPr>
  </w:style>
  <w:style w:type="paragraph" w:styleId="10">
    <w:name w:val="toc 2"/>
    <w:basedOn w:val="1"/>
    <w:next w:val="1"/>
    <w:qFormat/>
    <w:uiPriority w:val="39"/>
    <w:pPr>
      <w:tabs>
        <w:tab w:val="left" w:pos="851"/>
        <w:tab w:val="left" w:pos="993"/>
        <w:tab w:val="right" w:leader="dot" w:pos="8948"/>
      </w:tabs>
      <w:spacing w:line="340" w:lineRule="exact"/>
      <w:ind w:left="420" w:leftChars="200"/>
    </w:pPr>
    <w:rPr>
      <w:szCs w:val="20"/>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qFormat/>
    <w:uiPriority w:val="99"/>
    <w:rPr>
      <w:color w:val="3366CC"/>
      <w:u w:val="single"/>
    </w:rPr>
  </w:style>
  <w:style w:type="character" w:customStyle="1" w:styleId="17">
    <w:name w:val="样式 (中文) 仿宋_GB2312 四号"/>
    <w:qFormat/>
    <w:uiPriority w:val="0"/>
    <w:rPr>
      <w:rFonts w:eastAsia="仿宋_GB2312"/>
      <w:sz w:val="28"/>
    </w:rPr>
  </w:style>
  <w:style w:type="paragraph" w:customStyle="1" w:styleId="18">
    <w:name w:val="p0"/>
    <w:basedOn w:val="1"/>
    <w:qFormat/>
    <w:uiPriority w:val="0"/>
    <w:pPr>
      <w:widowControl/>
    </w:pPr>
    <w:rPr>
      <w:kern w:val="0"/>
      <w:szCs w:val="21"/>
    </w:rPr>
  </w:style>
  <w:style w:type="character" w:customStyle="1" w:styleId="19">
    <w:name w:val="font21"/>
    <w:basedOn w:val="14"/>
    <w:qFormat/>
    <w:uiPriority w:val="0"/>
    <w:rPr>
      <w:rFonts w:ascii="Arial" w:hAnsi="Arial" w:cs="Arial"/>
      <w:color w:val="151515"/>
      <w:sz w:val="24"/>
      <w:szCs w:val="24"/>
      <w:u w:val="none"/>
    </w:rPr>
  </w:style>
  <w:style w:type="character" w:customStyle="1" w:styleId="20">
    <w:name w:val="font11"/>
    <w:basedOn w:val="14"/>
    <w:qFormat/>
    <w:uiPriority w:val="0"/>
    <w:rPr>
      <w:rFonts w:hint="eastAsia" w:ascii="宋体" w:hAnsi="宋体" w:eastAsia="宋体" w:cs="宋体"/>
      <w:color w:val="151515"/>
      <w:sz w:val="24"/>
      <w:szCs w:val="24"/>
      <w:u w:val="none"/>
    </w:rPr>
  </w:style>
  <w:style w:type="character" w:customStyle="1" w:styleId="21">
    <w:name w:val="font61"/>
    <w:basedOn w:val="14"/>
    <w:qFormat/>
    <w:uiPriority w:val="0"/>
    <w:rPr>
      <w:rFonts w:hint="default" w:ascii="Times New Roman" w:hAnsi="Times New Roman" w:cs="Times New Roman"/>
      <w:b/>
      <w:bCs/>
      <w:color w:val="000000"/>
      <w:sz w:val="18"/>
      <w:szCs w:val="18"/>
      <w:u w:val="none"/>
    </w:rPr>
  </w:style>
  <w:style w:type="character" w:customStyle="1" w:styleId="22">
    <w:name w:val="font41"/>
    <w:basedOn w:val="14"/>
    <w:qFormat/>
    <w:uiPriority w:val="0"/>
    <w:rPr>
      <w:rFonts w:hint="eastAsia" w:ascii="宋体" w:hAnsi="宋体" w:eastAsia="宋体" w:cs="宋体"/>
      <w:b/>
      <w:bCs/>
      <w:color w:val="000000"/>
      <w:sz w:val="18"/>
      <w:szCs w:val="18"/>
      <w:u w:val="none"/>
    </w:rPr>
  </w:style>
  <w:style w:type="character" w:customStyle="1" w:styleId="23">
    <w:name w:val="font31"/>
    <w:basedOn w:val="14"/>
    <w:qFormat/>
    <w:uiPriority w:val="0"/>
    <w:rPr>
      <w:rFonts w:hint="default" w:ascii="Times New Roman" w:hAnsi="Times New Roman" w:cs="Times New Roman"/>
      <w:color w:val="000000"/>
      <w:sz w:val="18"/>
      <w:szCs w:val="18"/>
      <w:u w:val="none"/>
    </w:rPr>
  </w:style>
  <w:style w:type="character" w:customStyle="1" w:styleId="24">
    <w:name w:val="font51"/>
    <w:basedOn w:val="14"/>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7093</Words>
  <Characters>7963</Characters>
  <Lines>0</Lines>
  <Paragraphs>0</Paragraphs>
  <TotalTime>3</TotalTime>
  <ScaleCrop>false</ScaleCrop>
  <LinksUpToDate>false</LinksUpToDate>
  <CharactersWithSpaces>8092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2021-07-02T02:37:00Z</dcterms:created>
  <dc:creator>严爱琴</dc:creator>
  <cp:lastModifiedBy>A风之翼</cp:lastModifiedBy>
  <cp:lastPrinted>2022-06-21T02:25:00Z</cp:lastPrinted>
  <dcterms:modified xsi:type="dcterms:W3CDTF">2022-10-17T01:03:11Z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16861BE7820F4D6DB545A49E7C4089F0</vt:lpwstr>
  </property>
</Properties>
</file>