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572"/>
        </w:tabs>
        <w:jc w:val="center"/>
        <w:rPr>
          <w:rFonts w:ascii="仿宋" w:hAnsi="仿宋" w:eastAsia="仿宋" w:cs="仿宋"/>
          <w:b/>
          <w:bCs/>
          <w:sz w:val="40"/>
          <w:szCs w:val="40"/>
        </w:rPr>
      </w:pPr>
      <w:r>
        <w:rPr>
          <w:rFonts w:hint="eastAsia" w:ascii="仿宋" w:hAnsi="仿宋" w:eastAsia="仿宋" w:cs="仿宋"/>
          <w:b/>
          <w:bCs/>
          <w:sz w:val="40"/>
          <w:szCs w:val="40"/>
        </w:rPr>
        <w:t>一、注册房地产估价师声明</w:t>
      </w:r>
    </w:p>
    <w:p>
      <w:pPr>
        <w:keepNext w:val="0"/>
        <w:keepLines w:val="0"/>
        <w:pageBreakBefore w:val="0"/>
        <w:widowControl w:val="0"/>
        <w:tabs>
          <w:tab w:val="left" w:pos="1017"/>
          <w:tab w:val="left" w:pos="1572"/>
        </w:tabs>
        <w:kinsoku/>
        <w:wordWrap/>
        <w:overflowPunct/>
        <w:topLinePunct w:val="0"/>
        <w:autoSpaceDE/>
        <w:autoSpaceDN/>
        <w:bidi w:val="0"/>
        <w:adjustRightInd/>
        <w:spacing w:line="500" w:lineRule="exact"/>
        <w:jc w:val="left"/>
        <w:textAlignment w:val="auto"/>
        <w:rPr>
          <w:rFonts w:ascii="仿宋" w:hAnsi="仿宋" w:eastAsia="仿宋" w:cs="仿宋"/>
          <w:color w:val="auto"/>
          <w:sz w:val="28"/>
          <w:szCs w:val="28"/>
        </w:rPr>
      </w:pPr>
      <w:bookmarkStart w:id="0" w:name="_Toc20358"/>
      <w:bookmarkStart w:id="1" w:name="_Toc704"/>
      <w:bookmarkStart w:id="2" w:name="_Toc19715"/>
      <w:bookmarkStart w:id="3" w:name="_Toc18247"/>
      <w:bookmarkStart w:id="4" w:name="_Toc15285"/>
      <w:bookmarkStart w:id="5" w:name="_Toc23458"/>
      <w:bookmarkStart w:id="6" w:name="_Toc764"/>
      <w:bookmarkStart w:id="7" w:name="_Toc64"/>
      <w:bookmarkStart w:id="8" w:name="_Toc31497"/>
      <w:r>
        <w:rPr>
          <w:rFonts w:hint="eastAsia" w:ascii="仿宋" w:hAnsi="仿宋" w:eastAsia="仿宋" w:cs="仿宋"/>
          <w:color w:val="auto"/>
          <w:sz w:val="28"/>
          <w:szCs w:val="28"/>
        </w:rPr>
        <w:t>我们根据自己的专业知识和职业道德，在此郑重声明：</w:t>
      </w:r>
      <w:r>
        <w:rPr>
          <w:rFonts w:hint="eastAsia" w:ascii="仿宋" w:hAnsi="仿宋" w:eastAsia="仿宋" w:cs="仿宋"/>
          <w:color w:val="auto"/>
          <w:sz w:val="28"/>
          <w:szCs w:val="28"/>
        </w:rPr>
        <w:tab/>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1、我们在本估价报告中陈述的事实是真实和准确的。</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2、本估价报告中的分析、意见和结论是我们自己</w:t>
      </w:r>
      <w:r>
        <w:rPr>
          <w:rFonts w:hint="eastAsia" w:ascii="仿宋" w:hAnsi="仿宋" w:eastAsia="仿宋" w:cs="仿宋"/>
          <w:color w:val="auto"/>
          <w:sz w:val="28"/>
          <w:szCs w:val="28"/>
          <w:lang w:eastAsia="zh-CN"/>
        </w:rPr>
        <w:t>公正</w:t>
      </w:r>
      <w:r>
        <w:rPr>
          <w:rFonts w:hint="eastAsia" w:ascii="仿宋" w:hAnsi="仿宋" w:eastAsia="仿宋" w:cs="仿宋"/>
          <w:color w:val="auto"/>
          <w:sz w:val="28"/>
          <w:szCs w:val="28"/>
        </w:rPr>
        <w:t>的专业分析、意见和结论，但受到本估价报告中已说明的假设和限制条件的限制。</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3、我们与本估价报告中的估价对象没有利害关系，也与有关当事人没有个人利害关系或偏见。</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4、我们依照中华人民共和国国家标准《房地产估价规范》进行分析，在我们的专业能力和业务能力范围内力求真实、准确，形成意见和结论，撰写本估价报告。</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5、我们与委托人及相关当事人共同对本估价报告中的估价对象进行了实地勘察，但仅限于对评估标的物外观和使用状况。估价人员不承担对评估标的物建筑结构、质量进行调查的责任和其他被遮盖、未暴露及难</w:t>
      </w:r>
      <w:r>
        <w:rPr>
          <w:rFonts w:hint="eastAsia" w:ascii="仿宋" w:hAnsi="仿宋" w:eastAsia="仿宋" w:cs="仿宋"/>
          <w:color w:val="auto"/>
          <w:sz w:val="28"/>
          <w:szCs w:val="28"/>
          <w:lang w:val="en-US" w:eastAsia="zh-CN"/>
        </w:rPr>
        <w:t>以</w:t>
      </w:r>
      <w:r>
        <w:rPr>
          <w:rFonts w:hint="eastAsia" w:ascii="仿宋" w:hAnsi="仿宋" w:eastAsia="仿宋" w:cs="仿宋"/>
          <w:color w:val="auto"/>
          <w:sz w:val="28"/>
          <w:szCs w:val="28"/>
        </w:rPr>
        <w:t>接触到部分进行检视的责任。注册房地产估价师对估价对象进行现场实地查勘，摄取相关的影像资料。</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6、没有人对本估价报告提供了重要专业帮助。</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7、本报告中所依据的有关估价对象建筑面积和权益资料由委托人提供，委托人应对资料的真实性、完整性、合法性负责。估价人员和估价机构对此类事项不承担任何责任。</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8、本估价报告仅是在报告中说明的假设条件下对估价对象正常市场价格进行的合理估算，报告中对估价对象权属情况的披露不能作为对其权属确认的依据，估价对象权属界定以产权管理部门认定为准。</w:t>
      </w:r>
    </w:p>
    <w:tbl>
      <w:tblPr>
        <w:tblStyle w:val="21"/>
        <w:tblW w:w="9158" w:type="dxa"/>
        <w:jc w:val="center"/>
        <w:tblLayout w:type="fixed"/>
        <w:tblCellMar>
          <w:top w:w="0" w:type="dxa"/>
          <w:left w:w="0" w:type="dxa"/>
          <w:bottom w:w="0" w:type="dxa"/>
          <w:right w:w="0" w:type="dxa"/>
        </w:tblCellMar>
      </w:tblPr>
      <w:tblGrid>
        <w:gridCol w:w="1375"/>
        <w:gridCol w:w="1959"/>
        <w:gridCol w:w="3440"/>
        <w:gridCol w:w="2384"/>
      </w:tblGrid>
      <w:tr>
        <w:tblPrEx>
          <w:tblCellMar>
            <w:top w:w="0" w:type="dxa"/>
            <w:left w:w="0" w:type="dxa"/>
            <w:bottom w:w="0" w:type="dxa"/>
            <w:right w:w="0" w:type="dxa"/>
          </w:tblCellMar>
        </w:tblPrEx>
        <w:trPr>
          <w:trHeight w:val="765"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签名日期</w:t>
            </w:r>
          </w:p>
        </w:tc>
      </w:tr>
      <w:tr>
        <w:tblPrEx>
          <w:tblCellMar>
            <w:top w:w="0" w:type="dxa"/>
            <w:left w:w="0" w:type="dxa"/>
            <w:bottom w:w="0" w:type="dxa"/>
            <w:right w:w="0" w:type="dxa"/>
          </w:tblCellMar>
        </w:tblPrEx>
        <w:trPr>
          <w:trHeight w:val="765"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hint="eastAsia" w:ascii="宋体" w:cs="宋体"/>
                <w:kern w:val="0"/>
                <w:sz w:val="24"/>
              </w:rPr>
            </w:pPr>
            <w:r>
              <w:rPr>
                <w:rFonts w:hint="eastAsia" w:ascii="仿宋" w:hAnsi="仿宋" w:eastAsia="仿宋" w:cs="宋体"/>
                <w:sz w:val="28"/>
                <w:szCs w:val="28"/>
              </w:rPr>
              <w:t>孙克伟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hAnsi="宋体" w:cs="宋体"/>
                <w:color w:val="000000"/>
                <w:kern w:val="0"/>
                <w:sz w:val="24"/>
              </w:rPr>
            </w:pPr>
            <w:r>
              <w:rPr>
                <w:rFonts w:hint="eastAsia" w:ascii="宋体" w:hAnsi="宋体" w:cs="宋体"/>
                <w:color w:val="000000"/>
                <w:kern w:val="0"/>
                <w:sz w:val="24"/>
              </w:rPr>
              <w:t>2319970055</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2022年9月19日</w:t>
            </w:r>
          </w:p>
        </w:tc>
      </w:tr>
      <w:tr>
        <w:tblPrEx>
          <w:tblCellMar>
            <w:top w:w="0" w:type="dxa"/>
            <w:left w:w="0" w:type="dxa"/>
            <w:bottom w:w="0" w:type="dxa"/>
            <w:right w:w="0" w:type="dxa"/>
          </w:tblCellMar>
        </w:tblPrEx>
        <w:trPr>
          <w:trHeight w:val="788"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hint="eastAsia" w:ascii="宋体" w:eastAsia="宋体" w:cs="宋体"/>
                <w:color w:val="000000"/>
                <w:kern w:val="0"/>
                <w:sz w:val="24"/>
                <w:lang w:eastAsia="zh-CN"/>
              </w:rPr>
            </w:pPr>
            <w:r>
              <w:rPr>
                <w:rFonts w:hint="eastAsia" w:eastAsia="仿宋"/>
                <w:sz w:val="28"/>
                <w:szCs w:val="28"/>
                <w:lang w:val="en-US" w:eastAsia="zh-CN"/>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pStyle w:val="48"/>
              <w:jc w:val="center"/>
              <w:rPr>
                <w:rFonts w:ascii="宋体" w:hAnsi="宋体" w:cs="宋体"/>
                <w:color w:val="000000"/>
                <w:sz w:val="24"/>
              </w:rPr>
            </w:pPr>
            <w:r>
              <w:rPr>
                <w:rFonts w:hint="eastAsia" w:ascii="宋体" w:hAnsi="宋体" w:eastAsia="宋体" w:cs="宋体"/>
                <w:color w:val="000000"/>
                <w:kern w:val="0"/>
                <w:sz w:val="24"/>
                <w:szCs w:val="24"/>
                <w:lang w:val="en-US" w:eastAsia="zh-CN" w:bidi="ar-SA"/>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2022年9月19日</w:t>
            </w:r>
          </w:p>
        </w:tc>
      </w:tr>
    </w:tbl>
    <w:p>
      <w:pPr>
        <w:snapToGrid w:val="0"/>
        <w:spacing w:line="420" w:lineRule="exact"/>
        <w:ind w:firstLine="2008" w:firstLineChars="500"/>
        <w:rPr>
          <w:rFonts w:ascii="仿宋" w:hAnsi="仿宋" w:eastAsia="仿宋" w:cs="仿宋"/>
          <w:b/>
          <w:bCs/>
          <w:sz w:val="40"/>
          <w:szCs w:val="40"/>
        </w:rPr>
      </w:pPr>
      <w:r>
        <w:rPr>
          <w:rFonts w:hint="eastAsia" w:ascii="仿宋" w:hAnsi="仿宋" w:eastAsia="仿宋" w:cs="仿宋"/>
          <w:b/>
          <w:bCs/>
          <w:sz w:val="40"/>
          <w:szCs w:val="40"/>
        </w:rPr>
        <w:t>二、估价的假设和限制条件</w:t>
      </w:r>
      <w:bookmarkEnd w:id="0"/>
      <w:bookmarkEnd w:id="1"/>
      <w:bookmarkEnd w:id="2"/>
      <w:bookmarkEnd w:id="3"/>
      <w:bookmarkEnd w:id="4"/>
      <w:bookmarkEnd w:id="5"/>
      <w:bookmarkEnd w:id="6"/>
      <w:bookmarkEnd w:id="7"/>
      <w:bookmarkEnd w:id="8"/>
    </w:p>
    <w:p>
      <w:pPr>
        <w:keepNext w:val="0"/>
        <w:keepLines w:val="0"/>
        <w:pageBreakBefore w:val="0"/>
        <w:widowControl w:val="0"/>
        <w:kinsoku/>
        <w:overflowPunct/>
        <w:topLinePunct w:val="0"/>
        <w:bidi w:val="0"/>
        <w:adjustRightInd/>
        <w:textAlignment w:val="auto"/>
        <w:rPr>
          <w:rFonts w:ascii="仿宋" w:hAnsi="仿宋" w:eastAsia="仿宋" w:cs="仿宋"/>
          <w:sz w:val="28"/>
        </w:rPr>
      </w:pPr>
      <w:r>
        <w:rPr>
          <w:rFonts w:hint="eastAsia" w:ascii="仿宋" w:hAnsi="仿宋" w:eastAsia="仿宋" w:cs="仿宋"/>
          <w:sz w:val="28"/>
        </w:rPr>
        <w:t>（一）、本次估价的一般假设：</w:t>
      </w:r>
    </w:p>
    <w:p>
      <w:pPr>
        <w:keepNext w:val="0"/>
        <w:keepLines w:val="0"/>
        <w:pageBreakBefore w:val="0"/>
        <w:widowControl w:val="0"/>
        <w:kinsoku/>
        <w:overflowPunct/>
        <w:topLinePunct w:val="0"/>
        <w:bidi w:val="0"/>
        <w:adjustRightInd/>
        <w:snapToGrid w:val="0"/>
        <w:ind w:right="210" w:firstLine="544" w:firstLineChars="200"/>
        <w:textAlignment w:val="auto"/>
        <w:rPr>
          <w:rFonts w:ascii="仿宋_GB2312" w:eastAsia="仿宋_GB2312"/>
          <w:sz w:val="28"/>
          <w:szCs w:val="28"/>
        </w:rPr>
      </w:pPr>
      <w:r>
        <w:rPr>
          <w:rFonts w:ascii="仿宋" w:hAnsi="仿宋" w:eastAsia="仿宋" w:cs="仿宋"/>
          <w:spacing w:val="-4"/>
          <w:sz w:val="28"/>
          <w:szCs w:val="28"/>
        </w:rPr>
        <w:t>1</w:t>
      </w:r>
      <w:r>
        <w:rPr>
          <w:rFonts w:hint="eastAsia" w:ascii="仿宋" w:hAnsi="仿宋" w:eastAsia="仿宋" w:cs="仿宋"/>
          <w:spacing w:val="-4"/>
          <w:sz w:val="28"/>
          <w:szCs w:val="28"/>
        </w:rPr>
        <w:t>、</w:t>
      </w:r>
      <w:r>
        <w:rPr>
          <w:rFonts w:hint="eastAsia" w:ascii="仿宋_GB2312" w:eastAsia="仿宋_GB2312"/>
          <w:sz w:val="28"/>
          <w:szCs w:val="28"/>
        </w:rPr>
        <w:t>本次项目以估价委托人提供的</w:t>
      </w:r>
      <w:r>
        <w:rPr>
          <w:rFonts w:hint="eastAsia" w:ascii="仿宋_GB2312" w:eastAsia="仿宋_GB2312"/>
          <w:color w:val="0000FF"/>
          <w:sz w:val="28"/>
          <w:szCs w:val="28"/>
          <w:lang w:eastAsia="zh-CN"/>
        </w:rPr>
        <w:t>《</w:t>
      </w:r>
      <w:r>
        <w:rPr>
          <w:rFonts w:hint="eastAsia" w:ascii="仿宋" w:hAnsi="仿宋" w:eastAsia="仿宋" w:cs="宋体"/>
          <w:color w:val="0000FF"/>
          <w:sz w:val="28"/>
          <w:lang w:eastAsia="zh-CN"/>
        </w:rPr>
        <w:t>房屋所有权证</w:t>
      </w:r>
      <w:r>
        <w:rPr>
          <w:rFonts w:hint="eastAsia" w:ascii="仿宋_GB2312" w:eastAsia="仿宋_GB2312"/>
          <w:color w:val="0000FF"/>
          <w:sz w:val="28"/>
          <w:szCs w:val="28"/>
          <w:lang w:eastAsia="zh-CN"/>
        </w:rPr>
        <w:t>》</w:t>
      </w:r>
      <w:r>
        <w:rPr>
          <w:rFonts w:hint="eastAsia" w:ascii="仿宋_GB2312" w:eastAsia="仿宋_GB2312"/>
          <w:color w:val="FF0000"/>
          <w:sz w:val="28"/>
          <w:szCs w:val="28"/>
          <w:lang w:eastAsia="zh-CN"/>
        </w:rPr>
        <w:t>上</w:t>
      </w:r>
      <w:r>
        <w:rPr>
          <w:rFonts w:hint="eastAsia" w:ascii="仿宋_GB2312" w:eastAsia="仿宋_GB2312"/>
          <w:color w:val="FF0000"/>
          <w:sz w:val="28"/>
          <w:szCs w:val="28"/>
        </w:rPr>
        <w:t>注明</w:t>
      </w:r>
      <w:r>
        <w:rPr>
          <w:rFonts w:hint="eastAsia" w:ascii="仿宋_GB2312" w:eastAsia="仿宋_GB2312"/>
          <w:sz w:val="28"/>
          <w:szCs w:val="28"/>
        </w:rPr>
        <w:t>的信息为准，估价机构未向有关部门进行核实，在无理由怀疑其合法性、真实性、准确性、完整性的情况下，假定估价委托人提供的资料合法、真实、准确、完整。假设估价对象产权清晰，手续齐全，可在公开市场上自由转让。</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544" w:firstLineChars="200"/>
        <w:textAlignment w:val="auto"/>
        <w:rPr>
          <w:rFonts w:ascii="仿宋_GB2312" w:eastAsia="仿宋_GB2312"/>
          <w:sz w:val="28"/>
          <w:szCs w:val="28"/>
        </w:rPr>
      </w:pPr>
      <w:r>
        <w:rPr>
          <w:rFonts w:ascii="仿宋" w:hAnsi="仿宋" w:eastAsia="仿宋" w:cs="仿宋"/>
          <w:spacing w:val="-4"/>
          <w:sz w:val="28"/>
          <w:szCs w:val="28"/>
        </w:rPr>
        <w:t>2</w:t>
      </w:r>
      <w:r>
        <w:rPr>
          <w:rFonts w:hint="eastAsia" w:ascii="仿宋" w:hAnsi="仿宋" w:eastAsia="仿宋" w:cs="仿宋"/>
          <w:spacing w:val="-4"/>
          <w:sz w:val="28"/>
          <w:szCs w:val="28"/>
        </w:rPr>
        <w:t>、</w:t>
      </w:r>
      <w:r>
        <w:rPr>
          <w:rFonts w:hint="eastAsia" w:ascii="仿宋_GB2312" w:eastAsia="仿宋_GB2312"/>
          <w:sz w:val="28"/>
          <w:szCs w:val="28"/>
        </w:rPr>
        <w:t>本项目是估价对象在估价基准日（即价值时点）的公开市场价值，是指估价对象在诸多假设条件下，在公开市场上于估价基准日（即价值时点）的房地产市场为公开、公平、自愿的交易市场，没有司法行政机关禁止交易的情形，出售时不附带任何他项权、租赁权、优先购买权、售后回租以及其他类似的可能影响其正常交易价值的权利约束和特殊条款等，即最可能形成或成立的价格。</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546" w:firstLineChars="195"/>
        <w:textAlignment w:val="auto"/>
        <w:rPr>
          <w:rFonts w:ascii="仿宋_GB2312" w:eastAsia="仿宋_GB2312"/>
          <w:sz w:val="28"/>
          <w:szCs w:val="28"/>
        </w:rPr>
      </w:pPr>
      <w:r>
        <w:rPr>
          <w:rFonts w:hint="eastAsia" w:ascii="仿宋_GB2312" w:eastAsia="仿宋_GB2312"/>
          <w:sz w:val="28"/>
          <w:szCs w:val="28"/>
        </w:rPr>
        <w:t>即满足以下条件：</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a</w:t>
      </w:r>
      <w:r>
        <w:rPr>
          <w:rFonts w:hint="eastAsia" w:ascii="仿宋_GB2312" w:eastAsia="仿宋_GB2312"/>
          <w:sz w:val="28"/>
          <w:szCs w:val="28"/>
        </w:rPr>
        <w:t>）交易双方自愿地进行交易；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b</w:t>
      </w:r>
      <w:r>
        <w:rPr>
          <w:rFonts w:hint="eastAsia" w:ascii="仿宋_GB2312" w:eastAsia="仿宋_GB2312"/>
          <w:sz w:val="28"/>
          <w:szCs w:val="28"/>
        </w:rPr>
        <w:t>）交易双方处于利已动机进行交易；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c</w:t>
      </w:r>
      <w:r>
        <w:rPr>
          <w:rFonts w:hint="eastAsia" w:ascii="仿宋_GB2312" w:eastAsia="仿宋_GB2312"/>
          <w:sz w:val="28"/>
          <w:szCs w:val="28"/>
        </w:rPr>
        <w:t>）交易双方精明、谨慎行事，并了解交易对象、知晓市场行情；</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d</w:t>
      </w:r>
      <w:r>
        <w:rPr>
          <w:rFonts w:hint="eastAsia" w:ascii="仿宋_GB2312" w:eastAsia="仿宋_GB2312"/>
          <w:sz w:val="28"/>
          <w:szCs w:val="28"/>
        </w:rPr>
        <w:t>）交易双方有较充裕的时间进行交易；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e</w:t>
      </w:r>
      <w:r>
        <w:rPr>
          <w:rFonts w:hint="eastAsia" w:ascii="仿宋_GB2312" w:eastAsia="仿宋_GB2312"/>
          <w:sz w:val="28"/>
          <w:szCs w:val="28"/>
        </w:rPr>
        <w:t>）不存在买者因特殊兴趣而给予附加出价</w:t>
      </w:r>
      <w:r>
        <w:rPr>
          <w:rFonts w:ascii="仿宋_GB2312" w:eastAsia="仿宋_GB2312"/>
          <w:sz w:val="28"/>
          <w:szCs w:val="28"/>
        </w:rPr>
        <w:t>;</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f</w:t>
      </w:r>
      <w:r>
        <w:rPr>
          <w:rFonts w:hint="eastAsia" w:ascii="仿宋_GB2312" w:eastAsia="仿宋_GB2312"/>
          <w:sz w:val="28"/>
          <w:szCs w:val="28"/>
        </w:rPr>
        <w:t>）洽谈交易期间房地产市场价值保持稳定。</w:t>
      </w:r>
    </w:p>
    <w:p>
      <w:pPr>
        <w:keepNext w:val="0"/>
        <w:keepLines w:val="0"/>
        <w:pageBreakBefore w:val="0"/>
        <w:widowControl w:val="0"/>
        <w:kinsoku/>
        <w:overflowPunct/>
        <w:topLinePunct w:val="0"/>
        <w:bidi w:val="0"/>
        <w:adjustRightInd/>
        <w:ind w:firstLine="544" w:firstLineChars="200"/>
        <w:textAlignment w:val="auto"/>
        <w:rPr>
          <w:rFonts w:ascii="仿宋_GB2312" w:eastAsia="仿宋_GB2312"/>
          <w:sz w:val="28"/>
          <w:szCs w:val="28"/>
        </w:rPr>
      </w:pPr>
      <w:r>
        <w:rPr>
          <w:rFonts w:ascii="仿宋" w:hAnsi="仿宋" w:eastAsia="仿宋" w:cs="仿宋"/>
          <w:spacing w:val="-4"/>
          <w:sz w:val="28"/>
          <w:szCs w:val="28"/>
        </w:rPr>
        <w:t>3</w:t>
      </w:r>
      <w:r>
        <w:rPr>
          <w:rFonts w:hint="eastAsia" w:ascii="仿宋" w:hAnsi="仿宋" w:eastAsia="仿宋" w:cs="仿宋"/>
          <w:spacing w:val="-4"/>
          <w:sz w:val="28"/>
          <w:szCs w:val="28"/>
        </w:rPr>
        <w:t>、</w:t>
      </w:r>
      <w:r>
        <w:rPr>
          <w:rFonts w:hint="eastAsia" w:ascii="仿宋_GB2312" w:eastAsia="仿宋_GB2312"/>
          <w:sz w:val="28"/>
          <w:szCs w:val="28"/>
        </w:rPr>
        <w:t>注册房地产估价师对房屋安全、环境污染等影响估价对象价值的重大因素给与关注，在无理由怀疑估价对象安全隐患且无相应的专业机构进行鉴定、检测的情况下，假设估价对象能正常安全使用。</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544" w:firstLineChars="200"/>
        <w:textAlignment w:val="auto"/>
        <w:rPr>
          <w:rFonts w:ascii="仿宋_GB2312" w:eastAsia="仿宋_GB2312"/>
          <w:sz w:val="28"/>
          <w:szCs w:val="28"/>
        </w:rPr>
      </w:pPr>
      <w:r>
        <w:rPr>
          <w:rFonts w:ascii="仿宋" w:hAnsi="仿宋" w:eastAsia="仿宋" w:cs="仿宋"/>
          <w:spacing w:val="-4"/>
          <w:sz w:val="28"/>
          <w:szCs w:val="28"/>
        </w:rPr>
        <w:t>4</w:t>
      </w:r>
      <w:r>
        <w:rPr>
          <w:rFonts w:hint="eastAsia" w:ascii="仿宋" w:hAnsi="仿宋" w:eastAsia="仿宋" w:cs="仿宋"/>
          <w:spacing w:val="-4"/>
          <w:sz w:val="28"/>
          <w:szCs w:val="28"/>
        </w:rPr>
        <w:t>、</w:t>
      </w:r>
      <w:r>
        <w:rPr>
          <w:rFonts w:hint="eastAsia" w:ascii="仿宋_GB2312" w:eastAsia="仿宋_GB2312"/>
          <w:sz w:val="28"/>
          <w:szCs w:val="28"/>
        </w:rPr>
        <w:t>报告书中估价对象位置是依据</w:t>
      </w:r>
      <w:r>
        <w:rPr>
          <w:rFonts w:hint="eastAsia" w:ascii="仿宋_GB2312" w:eastAsia="仿宋_GB2312"/>
          <w:color w:val="C00000"/>
          <w:sz w:val="28"/>
          <w:szCs w:val="28"/>
          <w:lang w:eastAsia="zh-CN"/>
        </w:rPr>
        <w:t>委托方、申请方</w:t>
      </w:r>
      <w:r>
        <w:rPr>
          <w:rFonts w:hint="eastAsia" w:ascii="仿宋_GB2312" w:eastAsia="仿宋_GB2312"/>
          <w:sz w:val="28"/>
          <w:szCs w:val="28"/>
        </w:rPr>
        <w:t>现场指认确定的，未取得房产部门和测绘部门的确认文件，本报告以委托方、</w:t>
      </w:r>
      <w:r>
        <w:rPr>
          <w:rFonts w:hint="eastAsia" w:ascii="仿宋_GB2312" w:eastAsia="仿宋_GB2312"/>
          <w:sz w:val="28"/>
          <w:szCs w:val="28"/>
          <w:lang w:eastAsia="zh-CN"/>
        </w:rPr>
        <w:t>申请方</w:t>
      </w:r>
      <w:r>
        <w:rPr>
          <w:rFonts w:hint="eastAsia" w:ascii="仿宋_GB2312" w:eastAsia="仿宋_GB2312"/>
          <w:sz w:val="28"/>
          <w:szCs w:val="28"/>
        </w:rPr>
        <w:t>现场指认的位置与房产登记、测绘位置相一致为假设前提。</w:t>
      </w:r>
    </w:p>
    <w:p>
      <w:pPr>
        <w:keepNext w:val="0"/>
        <w:keepLines w:val="0"/>
        <w:pageBreakBefore w:val="0"/>
        <w:widowControl w:val="0"/>
        <w:kinsoku/>
        <w:overflowPunct/>
        <w:topLinePunct w:val="0"/>
        <w:bidi w:val="0"/>
        <w:adjustRightInd/>
        <w:ind w:right="-107" w:rightChars="-51" w:firstLine="544" w:firstLineChars="200"/>
        <w:textAlignment w:val="auto"/>
        <w:rPr>
          <w:rFonts w:ascii="仿宋_GB2312" w:hAnsi="仿宋_GB2312" w:eastAsia="仿宋_GB2312" w:cs="仿宋_GB2312"/>
          <w:sz w:val="28"/>
          <w:szCs w:val="28"/>
        </w:rPr>
      </w:pPr>
      <w:r>
        <w:rPr>
          <w:rFonts w:ascii="仿宋" w:hAnsi="仿宋" w:eastAsia="仿宋" w:cs="仿宋"/>
          <w:spacing w:val="-4"/>
          <w:sz w:val="28"/>
          <w:szCs w:val="28"/>
        </w:rPr>
        <w:t>5</w:t>
      </w:r>
      <w:r>
        <w:rPr>
          <w:rFonts w:hint="eastAsia" w:ascii="仿宋" w:hAnsi="仿宋" w:eastAsia="仿宋" w:cs="仿宋"/>
          <w:spacing w:val="-4"/>
          <w:sz w:val="28"/>
          <w:szCs w:val="28"/>
        </w:rPr>
        <w:t>、</w:t>
      </w:r>
      <w:r>
        <w:rPr>
          <w:rFonts w:hint="eastAsia" w:ascii="仿宋_GB2312" w:hAnsi="仿宋_GB2312" w:eastAsia="仿宋_GB2312" w:cs="仿宋_GB2312"/>
          <w:sz w:val="28"/>
          <w:szCs w:val="28"/>
        </w:rPr>
        <w:t>本次</w:t>
      </w:r>
      <w:r>
        <w:rPr>
          <w:rFonts w:hint="eastAsia" w:ascii="仿宋_GB2312" w:hAnsi="仿宋_GB2312" w:eastAsia="仿宋_GB2312" w:cs="仿宋_GB2312"/>
          <w:sz w:val="28"/>
          <w:szCs w:val="28"/>
          <w:lang w:eastAsia="zh-CN"/>
        </w:rPr>
        <w:t>委托</w:t>
      </w:r>
      <w:r>
        <w:rPr>
          <w:rFonts w:hint="eastAsia" w:ascii="仿宋_GB2312" w:hAnsi="仿宋_GB2312" w:eastAsia="仿宋_GB2312" w:cs="仿宋_GB2312"/>
          <w:sz w:val="28"/>
          <w:szCs w:val="28"/>
        </w:rPr>
        <w:t>估价对象</w:t>
      </w:r>
      <w:r>
        <w:rPr>
          <w:rFonts w:hint="eastAsia" w:ascii="仿宋_GB2312" w:hAnsi="仿宋_GB2312" w:eastAsia="仿宋_GB2312" w:cs="仿宋_GB2312"/>
          <w:sz w:val="28"/>
          <w:szCs w:val="28"/>
          <w:lang w:eastAsia="zh-CN"/>
        </w:rPr>
        <w:t>共1户，</w:t>
      </w:r>
      <w:r>
        <w:rPr>
          <w:rFonts w:hint="eastAsia" w:ascii="仿宋_GB2312" w:hAnsi="仿宋_GB2312" w:eastAsia="仿宋_GB2312" w:cs="仿宋_GB2312"/>
          <w:sz w:val="28"/>
          <w:szCs w:val="28"/>
        </w:rPr>
        <w:t>房屋总建筑面积为</w:t>
      </w:r>
      <w:r>
        <w:rPr>
          <w:rFonts w:hint="eastAsia" w:ascii="仿宋_GB2312" w:hAnsi="仿宋_GB2312" w:eastAsia="仿宋_GB2312" w:cs="仿宋_GB2312"/>
          <w:sz w:val="28"/>
          <w:szCs w:val="28"/>
          <w:lang w:eastAsia="zh-CN"/>
        </w:rPr>
        <w:t>73.90</w:t>
      </w:r>
      <w:r>
        <w:rPr>
          <w:rFonts w:hint="eastAsia" w:ascii="仿宋_GB2312" w:hAnsi="仿宋_GB2312" w:eastAsia="仿宋_GB2312" w:cs="仿宋_GB2312"/>
          <w:sz w:val="28"/>
          <w:szCs w:val="28"/>
        </w:rPr>
        <w:t>㎡，以上数据根据委托方提供的</w:t>
      </w:r>
      <w:r>
        <w:rPr>
          <w:rFonts w:hint="eastAsia" w:ascii="仿宋_GB2312" w:eastAsia="仿宋_GB2312"/>
          <w:color w:val="0000FF"/>
          <w:sz w:val="28"/>
          <w:szCs w:val="28"/>
          <w:lang w:eastAsia="zh-CN"/>
        </w:rPr>
        <w:t>《</w:t>
      </w:r>
      <w:r>
        <w:rPr>
          <w:rFonts w:hint="eastAsia" w:ascii="仿宋" w:hAnsi="仿宋" w:eastAsia="仿宋" w:cs="宋体"/>
          <w:color w:val="0000FF"/>
          <w:sz w:val="28"/>
          <w:lang w:eastAsia="zh-CN"/>
        </w:rPr>
        <w:t>房屋所有权证</w:t>
      </w:r>
      <w:r>
        <w:rPr>
          <w:rFonts w:hint="eastAsia" w:ascii="仿宋_GB2312" w:eastAsia="仿宋_GB2312"/>
          <w:color w:val="0000FF"/>
          <w:sz w:val="28"/>
          <w:szCs w:val="28"/>
          <w:lang w:eastAsia="zh-CN"/>
        </w:rPr>
        <w:t>》</w:t>
      </w:r>
      <w:r>
        <w:rPr>
          <w:rFonts w:hint="eastAsia" w:ascii="仿宋_GB2312" w:hAnsi="仿宋_GB2312" w:eastAsia="仿宋_GB2312" w:cs="仿宋_GB2312"/>
          <w:color w:val="FF0000"/>
          <w:sz w:val="28"/>
          <w:szCs w:val="28"/>
          <w:lang w:eastAsia="zh-CN"/>
        </w:rPr>
        <w:t>上</w:t>
      </w:r>
      <w:r>
        <w:rPr>
          <w:rFonts w:hint="eastAsia" w:ascii="仿宋_GB2312" w:hAnsi="仿宋_GB2312" w:eastAsia="仿宋_GB2312" w:cs="仿宋_GB2312"/>
          <w:color w:val="FF0000"/>
          <w:sz w:val="28"/>
          <w:szCs w:val="28"/>
        </w:rPr>
        <w:t>所</w:t>
      </w:r>
      <w:r>
        <w:rPr>
          <w:rFonts w:hint="eastAsia" w:ascii="仿宋_GB2312" w:hAnsi="仿宋_GB2312" w:eastAsia="仿宋_GB2312" w:cs="仿宋_GB2312"/>
          <w:sz w:val="28"/>
          <w:szCs w:val="28"/>
        </w:rPr>
        <w:t>标注的信息为准进行估价。</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本次估价结果采用公开市场价值标准，本次估价项目涉执房地产处置司法评估结果未考虑估价对象是否存在租赁、用益物权、占有使用情况、征收、未来处置风险、国家宏观经济政策发生变化、市场供求关系发生变化、市场结构转变、遇有自然力和其他不可抗力等因素对房屋建筑价值的影响，也没有考虑特殊交易方式下的交易价格等对房地产价值的影响。</w:t>
      </w:r>
    </w:p>
    <w:p>
      <w:pPr>
        <w:keepNext w:val="0"/>
        <w:keepLines w:val="0"/>
        <w:pageBreakBefore w:val="0"/>
        <w:widowControl w:val="0"/>
        <w:kinsoku/>
        <w:overflowPunct/>
        <w:topLinePunct w:val="0"/>
        <w:bidi w:val="0"/>
        <w:adjustRightInd/>
        <w:ind w:firstLine="560" w:firstLineChars="200"/>
        <w:textAlignment w:val="auto"/>
        <w:rPr>
          <w:rFonts w:hint="eastAsia" w:ascii="仿宋_GB2312" w:hAnsi="仿宋_GB2312" w:eastAsia="仿宋_GB2312" w:cs="仿宋_GB2312"/>
          <w:kern w:val="2"/>
          <w:sz w:val="28"/>
          <w:szCs w:val="28"/>
          <w:lang w:val="en-US" w:eastAsia="zh-CN" w:bidi="ar-SA"/>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kern w:val="2"/>
          <w:sz w:val="28"/>
          <w:szCs w:val="28"/>
          <w:lang w:val="en-US" w:eastAsia="zh-CN" w:bidi="ar-SA"/>
        </w:rPr>
        <w:t>假设价值时点尚有无法知悉的，有关估价对象的应缴未缴税收、</w:t>
      </w:r>
      <w:r>
        <w:rPr>
          <w:rFonts w:hint="eastAsia" w:ascii="仿宋_GB2312" w:hAnsi="仿宋_GB2312" w:eastAsia="仿宋_GB2312" w:cs="仿宋_GB2312"/>
          <w:color w:val="auto"/>
          <w:kern w:val="2"/>
          <w:sz w:val="28"/>
          <w:szCs w:val="28"/>
          <w:lang w:val="en-US" w:eastAsia="zh-CN" w:bidi="ar-SA"/>
        </w:rPr>
        <w:t>物业费、供暖费、水电气费、</w:t>
      </w:r>
      <w:r>
        <w:rPr>
          <w:rFonts w:hint="eastAsia" w:ascii="仿宋_GB2312" w:hAnsi="仿宋_GB2312" w:eastAsia="仿宋_GB2312" w:cs="仿宋_GB2312"/>
          <w:kern w:val="2"/>
          <w:sz w:val="28"/>
          <w:szCs w:val="28"/>
          <w:lang w:val="en-US" w:eastAsia="zh-CN" w:bidi="ar-SA"/>
        </w:rPr>
        <w:t xml:space="preserve">欠缴的土地出让金等相关费用及其滞纳金，本次估价结果中未考虑可能存在的欠缴税金及相关费用对其结果的影响。 </w:t>
      </w:r>
    </w:p>
    <w:p>
      <w:pPr>
        <w:keepNext w:val="0"/>
        <w:keepLines w:val="0"/>
        <w:pageBreakBefore w:val="0"/>
        <w:widowControl w:val="0"/>
        <w:kinsoku/>
        <w:overflowPunct/>
        <w:topLinePunct w:val="0"/>
        <w:bidi w:val="0"/>
        <w:adjustRightInd/>
        <w:ind w:right="-107" w:rightChars="-51"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（二）、未定事项假设：本次估价无未定事项假设。</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（三）、背离事实假设：</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 w:hAnsi="仿宋" w:eastAsia="仿宋" w:cs="仿宋"/>
          <w:color w:val="000000"/>
          <w:spacing w:val="-4"/>
          <w:sz w:val="28"/>
          <w:szCs w:val="28"/>
        </w:rPr>
      </w:pPr>
      <w:r>
        <w:rPr>
          <w:rFonts w:hint="eastAsia" w:ascii="仿宋_GB2312" w:hAnsi="仿宋_GB2312" w:eastAsia="仿宋_GB2312" w:cs="仿宋_GB2312"/>
          <w:color w:val="000000"/>
          <w:sz w:val="28"/>
          <w:szCs w:val="28"/>
        </w:rPr>
        <w:t>本次估价结果采用公开市场价值标准，本次估价项目涉执房地产处置司法评估结果未考虑估价对象被查封、原有的担保物权、其他优先受偿权等存在的影响。</w:t>
      </w:r>
    </w:p>
    <w:p>
      <w:pPr>
        <w:keepNext w:val="0"/>
        <w:keepLines w:val="0"/>
        <w:pageBreakBefore w:val="0"/>
        <w:widowControl w:val="0"/>
        <w:kinsoku/>
        <w:overflowPunct/>
        <w:topLinePunct w:val="0"/>
        <w:bidi w:val="0"/>
        <w:adjustRightInd/>
        <w:ind w:right="-107" w:rightChars="-51"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（四）、不相一致假设：本次估价无不相一致假设。</w:t>
      </w:r>
    </w:p>
    <w:p>
      <w:pPr>
        <w:keepNext w:val="0"/>
        <w:keepLines w:val="0"/>
        <w:pageBreakBefore w:val="0"/>
        <w:widowControl w:val="0"/>
        <w:kinsoku/>
        <w:overflowPunct/>
        <w:topLinePunct w:val="0"/>
        <w:bidi w:val="0"/>
        <w:adjustRightInd/>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（五）、依据不足假设：</w:t>
      </w:r>
    </w:p>
    <w:p>
      <w:pPr>
        <w:keepNext w:val="0"/>
        <w:keepLines w:val="0"/>
        <w:pageBreakBefore w:val="0"/>
        <w:widowControl w:val="0"/>
        <w:kinsoku/>
        <w:overflowPunct/>
        <w:topLinePunct w:val="0"/>
        <w:bidi w:val="0"/>
        <w:adjustRightInd/>
        <w:ind w:firstLine="560" w:firstLineChars="200"/>
        <w:textAlignment w:val="auto"/>
        <w:rPr>
          <w:rFonts w:hint="default"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估价人员对估价对象的勘察仅限于估价对象的外观和使用状况，估价人员不承担对估价对象建筑结构质量进行调查的责任，也不承担对其它被遮盖、未暴露及难以接触到的部分进行勘察的责任。建筑物及相关设备的质量情况最终应以有相关资质机构的估价结果为准。因找不到被申请方未对室内进行查勘，故本次评估标准假设室内为中档装修标准进行评估。</w:t>
      </w:r>
    </w:p>
    <w:p>
      <w:pPr>
        <w:keepNext w:val="0"/>
        <w:keepLines w:val="0"/>
        <w:pageBreakBefore w:val="0"/>
        <w:widowControl w:val="0"/>
        <w:kinsoku/>
        <w:overflowPunct/>
        <w:topLinePunct w:val="0"/>
        <w:bidi w:val="0"/>
        <w:adjustRightInd/>
        <w:ind w:firstLine="544" w:firstLineChars="200"/>
        <w:textAlignment w:val="auto"/>
        <w:rPr>
          <w:rFonts w:ascii="仿宋" w:hAnsi="仿宋" w:eastAsia="仿宋" w:cs="仿宋"/>
          <w:spacing w:val="-4"/>
          <w:sz w:val="28"/>
          <w:szCs w:val="28"/>
        </w:rPr>
      </w:pPr>
      <w:r>
        <w:rPr>
          <w:rFonts w:hint="eastAsia" w:ascii="仿宋" w:hAnsi="仿宋" w:eastAsia="仿宋" w:cs="仿宋"/>
          <w:spacing w:val="-4"/>
          <w:sz w:val="28"/>
          <w:szCs w:val="28"/>
        </w:rPr>
        <w:t>（六）、</w:t>
      </w:r>
      <w:r>
        <w:rPr>
          <w:rFonts w:hint="eastAsia" w:ascii="仿宋" w:hAnsi="仿宋" w:eastAsia="仿宋" w:cs="仿宋"/>
          <w:sz w:val="28"/>
        </w:rPr>
        <w:t>限制条件：</w:t>
      </w:r>
    </w:p>
    <w:p>
      <w:pPr>
        <w:ind w:right="-107" w:rightChars="-51" w:firstLine="560" w:firstLineChars="200"/>
        <w:rPr>
          <w:rFonts w:ascii="仿宋" w:hAnsi="仿宋" w:eastAsia="仿宋" w:cs="仿宋"/>
          <w:sz w:val="28"/>
        </w:rPr>
      </w:pPr>
      <w:r>
        <w:rPr>
          <w:rFonts w:ascii="仿宋" w:hAnsi="仿宋" w:eastAsia="仿宋" w:cs="仿宋"/>
          <w:sz w:val="28"/>
        </w:rPr>
        <w:t>1</w:t>
      </w:r>
      <w:r>
        <w:rPr>
          <w:rFonts w:hint="eastAsia" w:ascii="仿宋" w:hAnsi="仿宋" w:eastAsia="仿宋" w:cs="仿宋"/>
          <w:sz w:val="28"/>
        </w:rPr>
        <w:t>、</w:t>
      </w:r>
      <w:r>
        <w:rPr>
          <w:rFonts w:hint="eastAsia" w:ascii="仿宋_GB2312" w:hAnsi="仿宋_GB2312" w:eastAsia="仿宋_GB2312" w:cs="仿宋_GB2312"/>
          <w:sz w:val="28"/>
          <w:szCs w:val="28"/>
        </w:rPr>
        <w:t>本次估价中房屋建筑面积、用途、坐落位置等以案件承办单位提供的</w:t>
      </w:r>
      <w:r>
        <w:rPr>
          <w:rFonts w:hint="eastAsia" w:ascii="仿宋_GB2312" w:eastAsia="仿宋_GB2312"/>
          <w:color w:val="0000FF"/>
          <w:sz w:val="28"/>
          <w:szCs w:val="28"/>
          <w:lang w:eastAsia="zh-CN"/>
        </w:rPr>
        <w:t>《</w:t>
      </w:r>
      <w:r>
        <w:rPr>
          <w:rFonts w:hint="eastAsia" w:ascii="仿宋" w:hAnsi="仿宋" w:eastAsia="仿宋" w:cs="宋体"/>
          <w:color w:val="0000FF"/>
          <w:sz w:val="28"/>
          <w:lang w:eastAsia="zh-CN"/>
        </w:rPr>
        <w:t>房屋所有权证</w:t>
      </w:r>
      <w:r>
        <w:rPr>
          <w:rFonts w:hint="eastAsia" w:ascii="仿宋_GB2312" w:eastAsia="仿宋_GB2312"/>
          <w:color w:val="0000FF"/>
          <w:sz w:val="28"/>
          <w:szCs w:val="28"/>
          <w:lang w:eastAsia="zh-CN"/>
        </w:rPr>
        <w:t>》</w:t>
      </w:r>
      <w:r>
        <w:rPr>
          <w:rFonts w:hint="eastAsia" w:ascii="仿宋_GB2312" w:hAnsi="仿宋_GB2312" w:eastAsia="仿宋_GB2312" w:cs="仿宋_GB2312"/>
          <w:color w:val="FF0000"/>
          <w:sz w:val="28"/>
          <w:szCs w:val="28"/>
          <w:lang w:eastAsia="zh-CN"/>
        </w:rPr>
        <w:t>上</w:t>
      </w:r>
      <w:r>
        <w:rPr>
          <w:rFonts w:hint="eastAsia" w:ascii="仿宋_GB2312" w:hAnsi="仿宋_GB2312" w:eastAsia="仿宋_GB2312" w:cs="仿宋_GB2312"/>
          <w:color w:val="FF0000"/>
          <w:sz w:val="28"/>
          <w:szCs w:val="28"/>
        </w:rPr>
        <w:t>注明</w:t>
      </w:r>
      <w:r>
        <w:rPr>
          <w:rFonts w:hint="eastAsia" w:ascii="仿宋_GB2312" w:hAnsi="仿宋_GB2312" w:eastAsia="仿宋_GB2312" w:cs="仿宋_GB2312"/>
          <w:sz w:val="28"/>
          <w:szCs w:val="28"/>
        </w:rPr>
        <w:t>的信息为准。估价人员不承担对</w:t>
      </w:r>
      <w:r>
        <w:rPr>
          <w:rFonts w:hint="eastAsia" w:ascii="仿宋_GB2312" w:eastAsia="仿宋_GB2312"/>
          <w:sz w:val="28"/>
          <w:szCs w:val="28"/>
        </w:rPr>
        <w:t>房屋建筑面积进行专业测量的责任和义务，</w:t>
      </w:r>
      <w:r>
        <w:rPr>
          <w:rFonts w:hint="eastAsia" w:ascii="仿宋_GB2312" w:hAnsi="仿宋_GB2312" w:eastAsia="仿宋_GB2312" w:cs="仿宋_GB2312"/>
          <w:sz w:val="28"/>
          <w:szCs w:val="28"/>
        </w:rPr>
        <w:t>如有异议请收到报告后三日内提出。</w:t>
      </w:r>
    </w:p>
    <w:p>
      <w:pPr>
        <w:wordWrap w:val="0"/>
        <w:snapToGrid w:val="0"/>
        <w:ind w:firstLine="544" w:firstLineChars="200"/>
        <w:rPr>
          <w:rFonts w:ascii="仿宋_GB2312" w:eastAsia="仿宋_GB2312"/>
          <w:sz w:val="28"/>
          <w:szCs w:val="28"/>
        </w:rPr>
      </w:pPr>
      <w:r>
        <w:rPr>
          <w:rFonts w:ascii="仿宋" w:hAnsi="仿宋" w:eastAsia="仿宋" w:cs="仿宋"/>
          <w:spacing w:val="-4"/>
          <w:sz w:val="28"/>
          <w:szCs w:val="28"/>
        </w:rPr>
        <w:t>2</w:t>
      </w:r>
      <w:r>
        <w:rPr>
          <w:rFonts w:hint="eastAsia" w:ascii="仿宋" w:hAnsi="仿宋" w:eastAsia="仿宋" w:cs="仿宋"/>
          <w:spacing w:val="-4"/>
          <w:sz w:val="28"/>
          <w:szCs w:val="28"/>
        </w:rPr>
        <w:t>、</w:t>
      </w:r>
      <w:r>
        <w:rPr>
          <w:rFonts w:hint="eastAsia" w:ascii="仿宋_GB2312" w:eastAsia="仿宋_GB2312"/>
          <w:sz w:val="28"/>
          <w:szCs w:val="28"/>
        </w:rPr>
        <w:t>本次估价对象的相关资料由案件委托人提供，其真实性及合法性由案件委托人负责。本次报告只供委托法院办理此次案件时</w:t>
      </w:r>
      <w:r>
        <w:rPr>
          <w:rFonts w:hint="eastAsia" w:ascii="仿宋_GB2312" w:hAnsi="仿宋_GB2312" w:eastAsia="仿宋_GB2312" w:cs="仿宋_GB2312"/>
          <w:sz w:val="28"/>
          <w:szCs w:val="28"/>
        </w:rPr>
        <w:t>确定财产处置参考</w:t>
      </w:r>
      <w:r>
        <w:rPr>
          <w:rFonts w:hint="eastAsia" w:ascii="仿宋" w:hAnsi="仿宋" w:eastAsia="仿宋" w:cs="仿宋"/>
          <w:spacing w:val="-4"/>
          <w:sz w:val="28"/>
          <w:szCs w:val="28"/>
        </w:rPr>
        <w:t>价值的</w:t>
      </w:r>
      <w:r>
        <w:rPr>
          <w:rFonts w:hint="eastAsia" w:ascii="仿宋_GB2312" w:eastAsia="仿宋_GB2312"/>
          <w:sz w:val="28"/>
          <w:szCs w:val="28"/>
        </w:rPr>
        <w:t>使用，</w:t>
      </w:r>
      <w:r>
        <w:rPr>
          <w:rFonts w:hint="eastAsia" w:ascii="仿宋_GB2312" w:hAnsi="仿宋_GB2312" w:eastAsia="仿宋_GB2312" w:cs="仿宋_GB2312"/>
          <w:sz w:val="28"/>
          <w:szCs w:val="28"/>
        </w:rPr>
        <w:t>不应作为处置涉案房屋可实现价格的保证，案件承办单位及案件承办人应在估价结论的基础</w:t>
      </w:r>
      <w:r>
        <w:rPr>
          <w:rFonts w:hint="eastAsia" w:ascii="仿宋_GB2312" w:eastAsia="仿宋_GB2312"/>
          <w:sz w:val="28"/>
          <w:szCs w:val="28"/>
        </w:rPr>
        <w:t>上，结合处置时的房屋状况和市场状况等因素进行合理决策。任何单位和个人不得改变此报告的使用目的，如改变估价目的需另行委托评估。不得用于其它交易行为。</w:t>
      </w:r>
    </w:p>
    <w:p>
      <w:pPr>
        <w:tabs>
          <w:tab w:val="left" w:pos="402"/>
        </w:tabs>
        <w:snapToGrid w:val="0"/>
        <w:ind w:right="-43" w:firstLine="544" w:firstLineChars="200"/>
        <w:rPr>
          <w:rFonts w:ascii="仿宋_GB2312" w:hAnsi="仿宋_GB2312" w:eastAsia="仿宋_GB2312" w:cs="仿宋_GB2312"/>
          <w:sz w:val="28"/>
          <w:szCs w:val="28"/>
        </w:rPr>
      </w:pPr>
      <w:r>
        <w:rPr>
          <w:rFonts w:ascii="仿宋" w:hAnsi="仿宋" w:eastAsia="仿宋" w:cs="仿宋"/>
          <w:spacing w:val="-4"/>
          <w:sz w:val="28"/>
          <w:szCs w:val="28"/>
        </w:rPr>
        <w:t>3</w:t>
      </w:r>
      <w:r>
        <w:rPr>
          <w:rFonts w:hint="eastAsia" w:ascii="仿宋" w:hAnsi="仿宋" w:eastAsia="仿宋" w:cs="仿宋"/>
          <w:spacing w:val="-4"/>
          <w:sz w:val="28"/>
          <w:szCs w:val="28"/>
        </w:rPr>
        <w:t>、</w:t>
      </w:r>
      <w:r>
        <w:rPr>
          <w:rFonts w:hint="eastAsia" w:ascii="仿宋_GB2312" w:hAnsi="仿宋_GB2312" w:eastAsia="仿宋_GB2312" w:cs="仿宋_GB2312"/>
          <w:sz w:val="28"/>
          <w:szCs w:val="28"/>
        </w:rPr>
        <w:t>本次估价结果有效期为一年（</w:t>
      </w:r>
      <w:r>
        <w:rPr>
          <w:rFonts w:hint="eastAsia" w:ascii="仿宋_GB2312" w:hAnsi="仿宋_GB2312" w:eastAsia="仿宋_GB2312" w:cs="仿宋_GB2312"/>
          <w:color w:val="FF0000"/>
          <w:sz w:val="28"/>
          <w:szCs w:val="28"/>
        </w:rPr>
        <w:t>自</w:t>
      </w:r>
      <w:r>
        <w:rPr>
          <w:rFonts w:hint="eastAsia" w:ascii="仿宋_GB2312" w:hAnsi="仿宋_GB2312" w:eastAsia="仿宋_GB2312" w:cs="仿宋_GB2312"/>
          <w:color w:val="FF0000"/>
          <w:sz w:val="28"/>
          <w:szCs w:val="28"/>
          <w:lang w:eastAsia="zh-CN"/>
        </w:rPr>
        <w:t>2022年9月19日</w:t>
      </w:r>
      <w:r>
        <w:rPr>
          <w:rFonts w:hint="eastAsia" w:ascii="仿宋_GB2312" w:hAnsi="仿宋_GB2312" w:eastAsia="仿宋_GB2312" w:cs="仿宋_GB2312"/>
          <w:color w:val="FF0000"/>
          <w:sz w:val="28"/>
          <w:szCs w:val="28"/>
        </w:rPr>
        <w:t>至</w:t>
      </w:r>
      <w:r>
        <w:rPr>
          <w:rFonts w:hint="eastAsia" w:ascii="仿宋_GB2312" w:hAnsi="仿宋_GB2312" w:eastAsia="仿宋_GB2312" w:cs="仿宋_GB2312"/>
          <w:color w:val="FF0000"/>
          <w:sz w:val="28"/>
          <w:szCs w:val="28"/>
          <w:lang w:eastAsia="zh-CN"/>
        </w:rPr>
        <w:t>2023年</w:t>
      </w:r>
      <w:r>
        <w:rPr>
          <w:rFonts w:hint="eastAsia" w:ascii="仿宋_GB2312" w:hAnsi="仿宋_GB2312" w:eastAsia="仿宋_GB2312" w:cs="仿宋_GB2312"/>
          <w:color w:val="FF0000"/>
          <w:sz w:val="28"/>
          <w:szCs w:val="28"/>
          <w:lang w:val="en-US" w:eastAsia="zh-CN"/>
        </w:rPr>
        <w:t>9</w:t>
      </w:r>
      <w:r>
        <w:rPr>
          <w:rFonts w:hint="eastAsia" w:ascii="仿宋_GB2312" w:hAnsi="仿宋_GB2312" w:eastAsia="仿宋_GB2312" w:cs="仿宋_GB2312"/>
          <w:color w:val="FF0000"/>
          <w:sz w:val="28"/>
          <w:szCs w:val="28"/>
          <w:lang w:eastAsia="zh-CN"/>
        </w:rPr>
        <w:t>月</w:t>
      </w:r>
      <w:r>
        <w:rPr>
          <w:rFonts w:hint="eastAsia" w:ascii="仿宋_GB2312" w:hAnsi="仿宋_GB2312" w:eastAsia="仿宋_GB2312" w:cs="仿宋_GB2312"/>
          <w:color w:val="FF0000"/>
          <w:sz w:val="28"/>
          <w:szCs w:val="28"/>
          <w:lang w:val="en-US" w:eastAsia="zh-CN"/>
        </w:rPr>
        <w:t>18</w:t>
      </w:r>
      <w:r>
        <w:rPr>
          <w:rFonts w:hint="eastAsia" w:ascii="仿宋_GB2312" w:hAnsi="仿宋_GB2312" w:eastAsia="仿宋_GB2312" w:cs="仿宋_GB2312"/>
          <w:color w:val="FF0000"/>
          <w:sz w:val="28"/>
          <w:szCs w:val="28"/>
          <w:lang w:eastAsia="zh-CN"/>
        </w:rPr>
        <w:t>日</w:t>
      </w:r>
      <w:r>
        <w:rPr>
          <w:rFonts w:hint="eastAsia" w:ascii="仿宋_GB2312" w:hAnsi="仿宋_GB2312" w:eastAsia="仿宋_GB2312" w:cs="仿宋_GB2312"/>
          <w:color w:val="FF0000"/>
          <w:sz w:val="28"/>
          <w:szCs w:val="28"/>
        </w:rPr>
        <w:t>止）</w:t>
      </w:r>
      <w:r>
        <w:rPr>
          <w:rFonts w:hint="eastAsia" w:ascii="仿宋_GB2312" w:hAnsi="仿宋_GB2312" w:eastAsia="仿宋_GB2312" w:cs="仿宋_GB2312"/>
          <w:sz w:val="28"/>
          <w:szCs w:val="28"/>
        </w:rPr>
        <w:t>。估价报告有效期内估价对象的质量及价格标准发生变化，并对估价对象估价价值产生明显影响时，影响本估价结论的使用。若价值时点发生变化，估价结</w:t>
      </w:r>
      <w:r>
        <w:rPr>
          <w:rFonts w:hint="eastAsia" w:ascii="仿宋_GB2312" w:eastAsia="仿宋_GB2312"/>
          <w:sz w:val="28"/>
          <w:szCs w:val="28"/>
        </w:rPr>
        <w:t>论需进行调整。房地产司法拍卖（变卖）评估的基准日（即价值时点），原则上为评估委托之日或完成估价对象现场勘查之日，但评估委托书另有约定的除外。本次房地产估价报告上的评估基准日（即价值时点）为现场察勘之日即</w:t>
      </w:r>
      <w:r>
        <w:rPr>
          <w:rFonts w:hint="eastAsia" w:ascii="仿宋_GB2312" w:eastAsia="仿宋_GB2312"/>
          <w:sz w:val="28"/>
          <w:szCs w:val="28"/>
          <w:lang w:eastAsia="zh-CN"/>
        </w:rPr>
        <w:t>2022年9月14日</w:t>
      </w:r>
      <w:r>
        <w:rPr>
          <w:rFonts w:hint="eastAsia" w:ascii="仿宋_GB2312" w:eastAsia="仿宋_GB2312"/>
          <w:sz w:val="28"/>
          <w:szCs w:val="28"/>
        </w:rPr>
        <w:t>。</w:t>
      </w:r>
    </w:p>
    <w:p>
      <w:pPr>
        <w:ind w:firstLine="560" w:firstLineChars="200"/>
        <w:rPr>
          <w:rFonts w:ascii="仿宋_GB2312" w:hAnsi="仿宋_GB2312" w:eastAsia="仿宋_GB2312" w:cs="仿宋_GB2312"/>
          <w:sz w:val="28"/>
          <w:szCs w:val="28"/>
        </w:rPr>
      </w:pPr>
      <w:r>
        <w:rPr>
          <w:rFonts w:ascii="仿宋_GB2312" w:eastAsia="仿宋_GB2312"/>
          <w:sz w:val="28"/>
          <w:szCs w:val="28"/>
        </w:rPr>
        <w:t>4</w:t>
      </w:r>
      <w:r>
        <w:rPr>
          <w:rFonts w:hint="eastAsia" w:ascii="仿宋_GB2312" w:eastAsia="仿宋_GB2312"/>
          <w:sz w:val="28"/>
          <w:szCs w:val="28"/>
        </w:rPr>
        <w:t>、</w:t>
      </w:r>
      <w:r>
        <w:rPr>
          <w:rFonts w:hint="eastAsia" w:ascii="仿宋_GB2312" w:hAnsi="仿宋_GB2312" w:eastAsia="仿宋_GB2312" w:cs="仿宋_GB2312"/>
          <w:sz w:val="28"/>
          <w:szCs w:val="28"/>
        </w:rPr>
        <w:t>本次估价的范围以</w:t>
      </w:r>
      <w:r>
        <w:rPr>
          <w:rFonts w:hint="eastAsia" w:ascii="仿宋_GB2312" w:hAnsi="仿宋_GB2312" w:eastAsia="仿宋_GB2312" w:cs="仿宋_GB2312"/>
          <w:sz w:val="28"/>
          <w:szCs w:val="28"/>
          <w:lang w:eastAsia="zh-CN"/>
        </w:rPr>
        <w:t>（2022）黑1025执425号</w:t>
      </w:r>
      <w:r>
        <w:rPr>
          <w:rFonts w:hint="eastAsia" w:ascii="仿宋_GB2312" w:hAnsi="仿宋_GB2312" w:eastAsia="仿宋_GB2312" w:cs="仿宋_GB2312"/>
          <w:sz w:val="28"/>
          <w:szCs w:val="28"/>
          <w:lang w:val="en-US" w:eastAsia="zh-CN"/>
        </w:rPr>
        <w:t>《林口县人民法院委托书》</w:t>
      </w:r>
      <w:r>
        <w:rPr>
          <w:rFonts w:hint="eastAsia" w:ascii="仿宋_GB2312" w:hAnsi="仿宋_GB2312" w:eastAsia="仿宋_GB2312" w:cs="仿宋_GB2312"/>
          <w:sz w:val="28"/>
          <w:szCs w:val="28"/>
        </w:rPr>
        <w:t>确定的范围为限。</w:t>
      </w:r>
    </w:p>
    <w:p>
      <w:pPr>
        <w:tabs>
          <w:tab w:val="left" w:pos="4662"/>
        </w:tabs>
        <w:wordWrap w:val="0"/>
        <w:autoSpaceDE w:val="0"/>
        <w:autoSpaceDN w:val="0"/>
        <w:snapToGrid w:val="0"/>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、本次项目评估中未包括各项交易税费（如不包含估价对象转让所需缴纳的税费、手续费、相关费用以及可能存在的欠费），若转让需按有关管理部门规定进行交纳。</w:t>
      </w:r>
    </w:p>
    <w:p>
      <w:pPr>
        <w:tabs>
          <w:tab w:val="left" w:pos="4662"/>
        </w:tabs>
        <w:wordWrap w:val="0"/>
        <w:autoSpaceDE w:val="0"/>
        <w:autoSpaceDN w:val="0"/>
        <w:snapToGrid w:val="0"/>
        <w:ind w:firstLine="560" w:firstLineChars="200"/>
        <w:rPr>
          <w:rFonts w:ascii="仿宋_GB2312" w:hAnsi="仿宋_GB2312" w:eastAsia="仿宋_GB2312" w:cs="仿宋_GB2312"/>
          <w:sz w:val="28"/>
          <w:szCs w:val="28"/>
        </w:rPr>
      </w:pPr>
      <w:r>
        <w:rPr>
          <w:rFonts w:ascii="仿宋_GB2312" w:eastAsia="仿宋_GB2312"/>
          <w:sz w:val="28"/>
          <w:szCs w:val="28"/>
        </w:rPr>
        <w:t>6</w:t>
      </w:r>
      <w:r>
        <w:rPr>
          <w:rFonts w:hint="eastAsia" w:ascii="仿宋_GB2312" w:eastAsia="仿宋_GB2312"/>
          <w:sz w:val="28"/>
          <w:szCs w:val="28"/>
        </w:rPr>
        <w:t>、本次估价结论包含估价对象应分摊的合理范围内的土地使用权价值。在评估基准日（即价值时点）本次估价不考虑估价对象存在抵押权因素的影响。</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ascii="仿宋" w:hAnsi="仿宋" w:eastAsia="仿宋" w:cs="仿宋"/>
          <w:sz w:val="28"/>
          <w:szCs w:val="28"/>
        </w:rPr>
        <w:t>7</w:t>
      </w:r>
      <w:r>
        <w:rPr>
          <w:rFonts w:hint="eastAsia" w:ascii="仿宋" w:hAnsi="仿宋" w:eastAsia="仿宋" w:cs="仿宋"/>
          <w:sz w:val="28"/>
          <w:szCs w:val="28"/>
        </w:rPr>
        <w:t>、</w:t>
      </w:r>
      <w:r>
        <w:rPr>
          <w:rFonts w:hint="eastAsia" w:ascii="仿宋_GB2312" w:eastAsia="仿宋_GB2312"/>
          <w:sz w:val="28"/>
          <w:szCs w:val="28"/>
        </w:rPr>
        <w:t>本报告中估价对象的物理状况如有隐蔽之处而无法核实，按照通常状态下即所能观察到的房屋状况下进行客观价值评估。如对评估结果有异议请收到报告后3日内提出。</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8、当估价对象拍卖后，应首先支付相关税费、评估费、拍卖费、诉讼费及抵押贷款余额等其他法定优先受偿款，这些因素可能会使估价对象实际拍卖价值低于评估价值。</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9、本报告仅限于委托人为本报告所列明的评估目的及上级主管部门审查使用，未经估价机构书面同意，本报告书的全部或部分及任何参考资料均不允许在任何公开发表的文件、通告或声明中引用，亦不得以其他任何方式公开发表。</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 xml:space="preserve">10、本报告仅供委托方用于该委托评估目的使用，其内容对第三者不负任何责任。本估价报告需经估价人员签名并加盖估价机构公章，作为一个整体时有效，复印件无效。 </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11、本次估价报告分为“估价结果报告”和“估价技术报告”两种格式。“估价结果报告”仅供委托方和送交房地产管理部门审查使用，“估价技术报告”仅供估价机构存档和作为估价结果提交管理部门审查备案。</w:t>
      </w:r>
    </w:p>
    <w:p>
      <w:pPr>
        <w:tabs>
          <w:tab w:val="left" w:pos="4662"/>
        </w:tabs>
        <w:wordWrap w:val="0"/>
        <w:autoSpaceDE w:val="0"/>
        <w:autoSpaceDN w:val="0"/>
        <w:snapToGrid w:val="0"/>
        <w:ind w:firstLine="560" w:firstLineChars="200"/>
        <w:rPr>
          <w:rFonts w:ascii="仿宋" w:hAnsi="仿宋" w:eastAsia="仿宋" w:cs="仿宋"/>
          <w:sz w:val="28"/>
          <w:szCs w:val="28"/>
        </w:rPr>
      </w:pPr>
      <w:r>
        <w:rPr>
          <w:rFonts w:hint="eastAsia" w:ascii="仿宋_GB2312" w:eastAsia="仿宋_GB2312"/>
          <w:sz w:val="28"/>
          <w:szCs w:val="28"/>
        </w:rPr>
        <w:t>12、本估价报告必须依据相关法律法规合法使用。若报告使用者违规使用报告，应承担相应的法律责任。本估价报告必须整体使用方为有效，分割使用及复印件无效，对仅使用报告中部分内容所导致的可能的损失，本公司不承担责任。任何单位和个人未经估价机构书面同意，不得以任何形式发表、肢解本报告。本报告书内文字、数字或图片印校有误时，请告知本公司。</w:t>
      </w:r>
    </w:p>
    <w:p>
      <w:pPr>
        <w:tabs>
          <w:tab w:val="left" w:pos="4662"/>
        </w:tabs>
        <w:wordWrap w:val="0"/>
        <w:autoSpaceDE w:val="0"/>
        <w:autoSpaceDN w:val="0"/>
        <w:snapToGrid w:val="0"/>
        <w:rPr>
          <w:rFonts w:ascii="仿宋_GB2312" w:eastAsia="仿宋_GB2312"/>
          <w:sz w:val="28"/>
          <w:szCs w:val="28"/>
        </w:rPr>
      </w:pPr>
    </w:p>
    <w:p>
      <w:pPr>
        <w:tabs>
          <w:tab w:val="left" w:pos="4662"/>
        </w:tabs>
        <w:wordWrap w:val="0"/>
        <w:autoSpaceDE w:val="0"/>
        <w:autoSpaceDN w:val="0"/>
        <w:snapToGrid w:val="0"/>
        <w:rPr>
          <w:rFonts w:ascii="仿宋_GB2312" w:eastAsia="仿宋_GB2312"/>
          <w:sz w:val="28"/>
          <w:szCs w:val="28"/>
        </w:rPr>
      </w:pPr>
    </w:p>
    <w:p>
      <w:pPr>
        <w:tabs>
          <w:tab w:val="left" w:pos="4662"/>
        </w:tabs>
        <w:wordWrap w:val="0"/>
        <w:autoSpaceDE w:val="0"/>
        <w:autoSpaceDN w:val="0"/>
        <w:snapToGrid w:val="0"/>
        <w:rPr>
          <w:rFonts w:ascii="仿宋_GB2312" w:eastAsia="仿宋_GB2312"/>
          <w:sz w:val="28"/>
          <w:szCs w:val="28"/>
        </w:rPr>
      </w:pPr>
    </w:p>
    <w:p>
      <w:pPr>
        <w:pStyle w:val="2"/>
        <w:numPr>
          <w:ilvl w:val="0"/>
          <w:numId w:val="1"/>
        </w:numPr>
        <w:spacing w:before="100" w:after="0" w:line="360" w:lineRule="auto"/>
        <w:jc w:val="center"/>
      </w:pPr>
      <w:r>
        <w:rPr>
          <w:rFonts w:hint="eastAsia" w:ascii="仿宋" w:hAnsi="仿宋" w:eastAsia="仿宋" w:cs="仿宋"/>
          <w:sz w:val="40"/>
          <w:szCs w:val="40"/>
        </w:rPr>
        <w:t>房地产估价结果报告</w:t>
      </w:r>
    </w:p>
    <w:p>
      <w:pPr>
        <w:spacing w:line="700" w:lineRule="exact"/>
        <w:ind w:right="23" w:firstLine="5060" w:firstLineChars="2400"/>
        <w:rPr>
          <w:rFonts w:hint="eastAsia" w:ascii="仿宋" w:hAnsi="仿宋" w:eastAsia="仿宋" w:cs="宋体"/>
          <w:bCs/>
          <w:sz w:val="18"/>
          <w:szCs w:val="18"/>
          <w:lang w:eastAsia="zh-CN"/>
        </w:rPr>
      </w:pPr>
      <w:r>
        <w:rPr>
          <w:rFonts w:hint="eastAsia" w:ascii="仿宋" w:hAnsi="仿宋" w:eastAsia="仿宋" w:cs="宋体"/>
          <w:b/>
          <w:bCs/>
          <w:szCs w:val="21"/>
        </w:rPr>
        <w:t>编号：</w:t>
      </w:r>
      <w:r>
        <w:rPr>
          <w:rFonts w:hint="eastAsia" w:ascii="仿宋" w:hAnsi="仿宋" w:eastAsia="仿宋" w:cs="宋体"/>
          <w:bCs/>
          <w:szCs w:val="21"/>
          <w:u w:val="single"/>
        </w:rPr>
        <w:t>黑天之骄【</w:t>
      </w:r>
      <w:r>
        <w:rPr>
          <w:rFonts w:ascii="仿宋" w:hAnsi="仿宋" w:eastAsia="仿宋" w:cs="宋体"/>
          <w:bCs/>
          <w:szCs w:val="21"/>
          <w:u w:val="single"/>
        </w:rPr>
        <w:t>202</w:t>
      </w:r>
      <w:r>
        <w:rPr>
          <w:rFonts w:hint="eastAsia" w:ascii="仿宋" w:hAnsi="仿宋" w:eastAsia="仿宋" w:cs="宋体"/>
          <w:bCs/>
          <w:szCs w:val="21"/>
          <w:u w:val="single"/>
          <w:lang w:val="en-US" w:eastAsia="zh-CN"/>
        </w:rPr>
        <w:t>2</w:t>
      </w:r>
      <w:r>
        <w:rPr>
          <w:rFonts w:hint="eastAsia" w:ascii="仿宋" w:hAnsi="仿宋" w:eastAsia="仿宋" w:cs="宋体"/>
          <w:bCs/>
          <w:szCs w:val="21"/>
          <w:u w:val="single"/>
        </w:rPr>
        <w:t>】</w:t>
      </w:r>
      <w:r>
        <w:rPr>
          <w:rFonts w:hint="eastAsia" w:ascii="仿宋" w:hAnsi="仿宋" w:eastAsia="仿宋" w:cs="宋体"/>
          <w:bCs/>
          <w:szCs w:val="21"/>
          <w:u w:val="single"/>
          <w:lang w:eastAsia="zh-CN"/>
        </w:rPr>
        <w:t>法执房评第126号</w:t>
      </w:r>
    </w:p>
    <w:p>
      <w:pPr>
        <w:adjustRightInd w:val="0"/>
        <w:snapToGrid w:val="0"/>
        <w:spacing w:beforeLines="30" w:afterLines="30"/>
        <w:ind w:firstLine="562" w:firstLineChars="200"/>
        <w:rPr>
          <w:rFonts w:hint="eastAsia" w:ascii="仿宋" w:hAnsi="仿宋" w:eastAsia="仿宋" w:cs="仿宋"/>
          <w:sz w:val="28"/>
          <w:szCs w:val="28"/>
          <w:lang w:eastAsia="zh-CN"/>
        </w:rPr>
      </w:pPr>
      <w:bookmarkStart w:id="9" w:name="_Toc21784"/>
      <w:r>
        <w:rPr>
          <w:rStyle w:val="29"/>
          <w:rFonts w:ascii="仿宋" w:hAnsi="仿宋" w:eastAsia="仿宋" w:cs="仿宋"/>
          <w:sz w:val="28"/>
          <w:szCs w:val="28"/>
        </w:rPr>
        <w:t>1</w:t>
      </w:r>
      <w:r>
        <w:rPr>
          <w:rStyle w:val="29"/>
          <w:rFonts w:hint="eastAsia" w:ascii="仿宋" w:hAnsi="仿宋" w:eastAsia="仿宋" w:cs="仿宋"/>
          <w:sz w:val="28"/>
          <w:szCs w:val="28"/>
        </w:rPr>
        <w:t>、委托人：</w:t>
      </w:r>
      <w:bookmarkEnd w:id="9"/>
      <w:r>
        <w:rPr>
          <w:rFonts w:hint="eastAsia" w:ascii="仿宋" w:hAnsi="仿宋" w:eastAsia="仿宋" w:cs="宋体"/>
          <w:sz w:val="28"/>
          <w:szCs w:val="28"/>
          <w:lang w:eastAsia="zh-CN"/>
        </w:rPr>
        <w:t>林口县人民法院</w:t>
      </w:r>
    </w:p>
    <w:p>
      <w:pPr>
        <w:adjustRightInd w:val="0"/>
        <w:snapToGrid w:val="0"/>
        <w:spacing w:beforeLines="30" w:afterLines="30"/>
        <w:ind w:firstLine="560"/>
        <w:rPr>
          <w:rStyle w:val="29"/>
          <w:rFonts w:ascii="仿宋" w:hAnsi="仿宋" w:eastAsia="仿宋" w:cs="仿宋"/>
          <w:sz w:val="28"/>
          <w:szCs w:val="28"/>
        </w:rPr>
      </w:pPr>
      <w:bookmarkStart w:id="10" w:name="_Toc29631"/>
      <w:r>
        <w:rPr>
          <w:rStyle w:val="29"/>
          <w:rFonts w:ascii="仿宋" w:hAnsi="仿宋" w:eastAsia="仿宋" w:cs="仿宋"/>
          <w:sz w:val="28"/>
          <w:szCs w:val="28"/>
        </w:rPr>
        <w:t>2</w:t>
      </w:r>
      <w:r>
        <w:rPr>
          <w:rStyle w:val="29"/>
          <w:rFonts w:hint="eastAsia" w:ascii="仿宋" w:hAnsi="仿宋" w:eastAsia="仿宋" w:cs="仿宋"/>
          <w:sz w:val="28"/>
          <w:szCs w:val="28"/>
        </w:rPr>
        <w:t>、估价机构：</w:t>
      </w:r>
      <w:bookmarkEnd w:id="10"/>
    </w:p>
    <w:p>
      <w:pPr>
        <w:adjustRightInd w:val="0"/>
        <w:snapToGrid w:val="0"/>
        <w:spacing w:beforeLines="30" w:afterLines="30"/>
        <w:ind w:firstLine="560"/>
        <w:rPr>
          <w:rFonts w:ascii="仿宋" w:hAnsi="仿宋" w:eastAsia="仿宋" w:cs="仿宋"/>
          <w:bCs/>
          <w:sz w:val="28"/>
          <w:szCs w:val="28"/>
        </w:rPr>
      </w:pPr>
      <w:r>
        <w:rPr>
          <w:rFonts w:hint="eastAsia" w:ascii="仿宋" w:hAnsi="仿宋" w:eastAsia="仿宋" w:cs="仿宋"/>
          <w:sz w:val="28"/>
          <w:szCs w:val="28"/>
        </w:rPr>
        <w:t>名称：</w:t>
      </w:r>
      <w:r>
        <w:rPr>
          <w:rFonts w:hint="eastAsia" w:ascii="仿宋" w:hAnsi="仿宋" w:eastAsia="仿宋" w:cs="仿宋"/>
          <w:bCs/>
          <w:sz w:val="28"/>
          <w:szCs w:val="28"/>
        </w:rPr>
        <w:t>黑龙江天之骄房地产资产评估有限公司</w:t>
      </w:r>
    </w:p>
    <w:p>
      <w:pPr>
        <w:adjustRightInd w:val="0"/>
        <w:snapToGrid w:val="0"/>
        <w:spacing w:beforeLines="30" w:afterLines="30"/>
        <w:ind w:firstLine="560"/>
        <w:rPr>
          <w:rFonts w:ascii="仿宋_GB2312" w:hAnsi="Courier New" w:eastAsia="仿宋_GB2312"/>
          <w:sz w:val="28"/>
        </w:rPr>
      </w:pPr>
      <w:r>
        <w:rPr>
          <w:rFonts w:hint="eastAsia" w:ascii="仿宋" w:hAnsi="仿宋" w:eastAsia="仿宋" w:cs="仿宋"/>
          <w:sz w:val="28"/>
          <w:szCs w:val="28"/>
        </w:rPr>
        <w:t>住所：</w:t>
      </w:r>
      <w:r>
        <w:rPr>
          <w:rFonts w:hint="eastAsia" w:ascii="仿宋_GB2312" w:hAnsi="Courier New" w:eastAsia="仿宋_GB2312"/>
          <w:sz w:val="28"/>
          <w:lang w:eastAsia="zh-CN"/>
        </w:rPr>
        <w:t>牡丹江市</w:t>
      </w:r>
      <w:r>
        <w:rPr>
          <w:rFonts w:hint="eastAsia" w:ascii="仿宋_GB2312" w:hAnsi="Courier New" w:eastAsia="仿宋_GB2312"/>
          <w:sz w:val="28"/>
        </w:rPr>
        <w:t>新宏基大厦</w:t>
      </w:r>
      <w:r>
        <w:rPr>
          <w:rFonts w:ascii="仿宋_GB2312" w:hAnsi="Courier New" w:eastAsia="仿宋_GB2312"/>
          <w:sz w:val="28"/>
        </w:rPr>
        <w:t>803</w:t>
      </w:r>
      <w:r>
        <w:rPr>
          <w:rFonts w:hint="eastAsia" w:ascii="仿宋_GB2312" w:hAnsi="Courier New" w:eastAsia="仿宋_GB2312"/>
          <w:sz w:val="28"/>
        </w:rPr>
        <w:t>室</w:t>
      </w:r>
    </w:p>
    <w:p>
      <w:pPr>
        <w:adjustRightInd w:val="0"/>
        <w:snapToGrid w:val="0"/>
        <w:spacing w:beforeLines="30" w:afterLines="30"/>
        <w:ind w:firstLine="560"/>
        <w:rPr>
          <w:rFonts w:ascii="仿宋" w:hAnsi="仿宋" w:eastAsia="仿宋" w:cs="仿宋"/>
          <w:sz w:val="28"/>
          <w:szCs w:val="28"/>
        </w:rPr>
      </w:pPr>
      <w:r>
        <w:rPr>
          <w:rFonts w:hint="eastAsia" w:ascii="仿宋" w:hAnsi="仿宋" w:eastAsia="仿宋" w:cs="仿宋"/>
          <w:sz w:val="28"/>
          <w:szCs w:val="28"/>
        </w:rPr>
        <w:t>法定代表人：孙克伟</w:t>
      </w:r>
    </w:p>
    <w:p>
      <w:pPr>
        <w:adjustRightInd w:val="0"/>
        <w:snapToGrid w:val="0"/>
        <w:spacing w:beforeLines="30" w:afterLines="30"/>
        <w:ind w:firstLine="560"/>
        <w:rPr>
          <w:rFonts w:ascii="仿宋" w:hAnsi="仿宋" w:eastAsia="仿宋" w:cs="仿宋"/>
          <w:sz w:val="28"/>
          <w:szCs w:val="28"/>
        </w:rPr>
      </w:pPr>
      <w:r>
        <w:rPr>
          <w:rFonts w:hint="eastAsia" w:ascii="仿宋" w:hAnsi="仿宋" w:eastAsia="仿宋" w:cs="仿宋"/>
          <w:sz w:val="28"/>
          <w:szCs w:val="28"/>
        </w:rPr>
        <w:t>资格备案等级：国家一级</w:t>
      </w:r>
    </w:p>
    <w:p>
      <w:pPr>
        <w:adjustRightInd w:val="0"/>
        <w:snapToGrid w:val="0"/>
        <w:spacing w:beforeLines="30" w:afterLines="30"/>
        <w:ind w:firstLine="560"/>
        <w:rPr>
          <w:rFonts w:ascii="仿宋" w:hAnsi="仿宋" w:eastAsia="仿宋" w:cs="仿宋"/>
          <w:sz w:val="28"/>
          <w:szCs w:val="28"/>
        </w:rPr>
      </w:pPr>
      <w:r>
        <w:rPr>
          <w:rFonts w:hint="eastAsia" w:ascii="仿宋" w:hAnsi="仿宋" w:eastAsia="仿宋" w:cs="仿宋"/>
          <w:sz w:val="28"/>
          <w:szCs w:val="28"/>
        </w:rPr>
        <w:t>证书编号：</w:t>
      </w:r>
      <w:bookmarkStart w:id="11" w:name="_Toc13990"/>
      <w:r>
        <w:rPr>
          <w:rFonts w:ascii="仿宋" w:hAnsi="仿宋" w:eastAsia="仿宋" w:cs="仿宋"/>
          <w:sz w:val="28"/>
          <w:szCs w:val="28"/>
        </w:rPr>
        <w:t>23030016</w:t>
      </w:r>
    </w:p>
    <w:p>
      <w:pPr>
        <w:adjustRightInd w:val="0"/>
        <w:snapToGrid w:val="0"/>
        <w:spacing w:beforeLines="30" w:afterLines="30"/>
        <w:ind w:firstLine="560"/>
        <w:rPr>
          <w:rFonts w:ascii="仿宋" w:hAnsi="仿宋" w:eastAsia="仿宋" w:cs="宋体"/>
          <w:sz w:val="28"/>
          <w:szCs w:val="28"/>
        </w:rPr>
      </w:pPr>
      <w:r>
        <w:rPr>
          <w:rStyle w:val="29"/>
          <w:rFonts w:ascii="仿宋" w:hAnsi="仿宋" w:eastAsia="仿宋" w:cs="仿宋"/>
          <w:sz w:val="28"/>
          <w:szCs w:val="28"/>
        </w:rPr>
        <w:t>3</w:t>
      </w:r>
      <w:r>
        <w:rPr>
          <w:rStyle w:val="29"/>
          <w:rFonts w:hint="eastAsia" w:ascii="仿宋" w:hAnsi="仿宋" w:eastAsia="仿宋" w:cs="仿宋"/>
          <w:sz w:val="28"/>
          <w:szCs w:val="28"/>
        </w:rPr>
        <w:t>、估价目的：</w:t>
      </w:r>
      <w:bookmarkEnd w:id="11"/>
      <w:r>
        <w:rPr>
          <w:rFonts w:hint="eastAsia" w:ascii="仿宋_GB2312" w:hAnsi="仿宋_GB2312" w:eastAsia="仿宋_GB2312" w:cs="仿宋_GB2312"/>
          <w:sz w:val="28"/>
          <w:szCs w:val="28"/>
        </w:rPr>
        <w:t>为委托方确定财产处置参考</w:t>
      </w:r>
      <w:r>
        <w:rPr>
          <w:rFonts w:hint="eastAsia" w:ascii="仿宋" w:hAnsi="仿宋" w:eastAsia="仿宋" w:cs="宋体"/>
          <w:sz w:val="28"/>
          <w:szCs w:val="28"/>
        </w:rPr>
        <w:t>价而评估房地产客观市场价格或价值。</w:t>
      </w:r>
      <w:bookmarkStart w:id="12" w:name="_Toc3021"/>
    </w:p>
    <w:p>
      <w:pPr>
        <w:adjustRightInd w:val="0"/>
        <w:snapToGrid w:val="0"/>
        <w:spacing w:beforeLines="30" w:afterLines="30"/>
        <w:ind w:firstLine="560"/>
        <w:rPr>
          <w:rStyle w:val="29"/>
          <w:rFonts w:ascii="仿宋" w:hAnsi="仿宋" w:eastAsia="仿宋" w:cs="仿宋"/>
          <w:sz w:val="28"/>
          <w:szCs w:val="28"/>
        </w:rPr>
      </w:pPr>
      <w:r>
        <w:rPr>
          <w:rStyle w:val="29"/>
          <w:rFonts w:ascii="仿宋" w:hAnsi="仿宋" w:eastAsia="仿宋" w:cs="仿宋"/>
          <w:sz w:val="28"/>
          <w:szCs w:val="28"/>
        </w:rPr>
        <w:t>4</w:t>
      </w:r>
      <w:r>
        <w:rPr>
          <w:rStyle w:val="29"/>
          <w:rFonts w:hint="eastAsia" w:ascii="仿宋" w:hAnsi="仿宋" w:eastAsia="仿宋" w:cs="仿宋"/>
          <w:sz w:val="28"/>
          <w:szCs w:val="28"/>
        </w:rPr>
        <w:t>．估价对象：</w:t>
      </w:r>
      <w:bookmarkEnd w:id="12"/>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3" w:name="_Toc32710"/>
      <w:r>
        <w:rPr>
          <w:rFonts w:hint="eastAsia" w:ascii="仿宋_GB2312" w:hAnsi="仿宋_GB2312" w:eastAsia="仿宋_GB2312" w:cs="仿宋_GB2312"/>
          <w:sz w:val="28"/>
          <w:szCs w:val="28"/>
          <w:lang w:val="en-US" w:eastAsia="zh-CN"/>
        </w:rPr>
        <w:t>（一）估价对象基本状况的说明：</w:t>
      </w:r>
      <w:bookmarkEnd w:id="13"/>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⑴、本次估价对象财产范围以（2022）黑1025执425号《林口县人民法院委托书》上的委托内容为准进行估价。</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⑵、估价对象的名称和坐落位置：估价对象位于</w:t>
      </w:r>
      <w:r>
        <w:rPr>
          <w:rFonts w:hint="eastAsia" w:ascii="仿宋_GB2312" w:eastAsia="仿宋_GB2312"/>
          <w:sz w:val="28"/>
          <w:szCs w:val="28"/>
          <w:lang w:val="en-US" w:eastAsia="zh-CN"/>
        </w:rPr>
        <w:t>牡丹江市林口县海洋世纪城3号楼272室住宅</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⑶、规模：房屋建筑面积73.90㎡。</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⑷、规划用途：住宅；</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⑸、权属：依据</w:t>
      </w:r>
      <w:r>
        <w:rPr>
          <w:rFonts w:hint="eastAsia" w:ascii="仿宋_GB2312" w:eastAsia="仿宋_GB2312"/>
          <w:color w:val="0070C0"/>
          <w:sz w:val="28"/>
          <w:szCs w:val="28"/>
          <w:lang w:eastAsia="zh-CN"/>
        </w:rPr>
        <w:t>《房屋所有权证》</w:t>
      </w:r>
      <w:r>
        <w:rPr>
          <w:rFonts w:hint="eastAsia" w:ascii="仿宋_GB2312" w:eastAsia="仿宋_GB2312"/>
          <w:color w:val="auto"/>
          <w:sz w:val="28"/>
          <w:szCs w:val="28"/>
          <w:lang w:eastAsia="zh-CN"/>
        </w:rPr>
        <w:t>上注明的信息为准</w:t>
      </w:r>
      <w:r>
        <w:rPr>
          <w:rFonts w:hint="eastAsia" w:ascii="仿宋_GB2312" w:hAnsi="仿宋_GB2312" w:eastAsia="仿宋_GB2312" w:cs="仿宋_GB2312"/>
          <w:color w:val="auto"/>
          <w:sz w:val="28"/>
          <w:szCs w:val="28"/>
          <w:lang w:val="en-US" w:eastAsia="zh-CN"/>
        </w:rPr>
        <w:t>。房屋建筑面积为73.90㎡；</w:t>
      </w:r>
      <w:r>
        <w:rPr>
          <w:rFonts w:hint="eastAsia" w:ascii="仿宋_GB2312" w:eastAsia="仿宋_GB2312"/>
          <w:color w:val="auto"/>
          <w:sz w:val="28"/>
          <w:szCs w:val="28"/>
          <w:lang w:eastAsia="zh-CN"/>
        </w:rPr>
        <w:t>房屋所有权证</w:t>
      </w:r>
      <w:r>
        <w:rPr>
          <w:rFonts w:hint="eastAsia" w:ascii="仿宋_GB2312" w:hAnsi="仿宋_GB2312" w:eastAsia="仿宋_GB2312" w:cs="仿宋_GB2312"/>
          <w:color w:val="auto"/>
          <w:sz w:val="28"/>
          <w:szCs w:val="28"/>
          <w:lang w:val="en-US" w:eastAsia="zh-CN"/>
        </w:rPr>
        <w:t>号</w:t>
      </w:r>
      <w:r>
        <w:rPr>
          <w:rFonts w:hint="eastAsia" w:ascii="仿宋_GB2312" w:hAnsi="仿宋_GB2312" w:eastAsia="仿宋_GB2312" w:cs="仿宋_GB2312"/>
          <w:sz w:val="28"/>
          <w:szCs w:val="28"/>
          <w:lang w:val="en-US" w:eastAsia="zh-CN"/>
        </w:rPr>
        <w:t>：林房权证林口县字第201101967号，房屋所有权人为黄翠华。</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4" w:name="_Toc6774"/>
      <w:r>
        <w:rPr>
          <w:rFonts w:hint="eastAsia" w:ascii="仿宋_GB2312" w:hAnsi="仿宋_GB2312" w:eastAsia="仿宋_GB2312" w:cs="仿宋_GB2312"/>
          <w:sz w:val="28"/>
          <w:szCs w:val="28"/>
          <w:lang w:val="en-US" w:eastAsia="zh-CN"/>
        </w:rPr>
        <w:t>（二）估价对象实物状况的说明：</w:t>
      </w:r>
      <w:bookmarkEnd w:id="14"/>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5" w:name="_Toc10687"/>
      <w:r>
        <w:rPr>
          <w:rFonts w:hint="eastAsia" w:ascii="仿宋_GB2312" w:hAnsi="仿宋_GB2312" w:eastAsia="仿宋_GB2312" w:cs="仿宋_GB2312"/>
          <w:sz w:val="28"/>
          <w:szCs w:val="28"/>
          <w:lang w:val="en-US" w:eastAsia="zh-CN"/>
        </w:rPr>
        <w:t>⑴、建筑物实物状况</w:t>
      </w:r>
      <w:bookmarkEnd w:id="15"/>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根据估价人员现场查勘，截止价值时点时估价对象实物状况如下：</w:t>
      </w:r>
    </w:p>
    <w:tbl>
      <w:tblPr>
        <w:tblStyle w:val="21"/>
        <w:tblW w:w="9034" w:type="dxa"/>
        <w:jc w:val="center"/>
        <w:tblLayout w:type="fixed"/>
        <w:tblCellMar>
          <w:top w:w="0" w:type="dxa"/>
          <w:left w:w="0" w:type="dxa"/>
          <w:bottom w:w="0" w:type="dxa"/>
          <w:right w:w="0" w:type="dxa"/>
        </w:tblCellMar>
      </w:tblPr>
      <w:tblGrid>
        <w:gridCol w:w="422"/>
        <w:gridCol w:w="1046"/>
        <w:gridCol w:w="1892"/>
        <w:gridCol w:w="1653"/>
        <w:gridCol w:w="1005"/>
        <w:gridCol w:w="3016"/>
      </w:tblGrid>
      <w:tr>
        <w:tblPrEx>
          <w:tblCellMar>
            <w:top w:w="0" w:type="dxa"/>
            <w:left w:w="0" w:type="dxa"/>
            <w:bottom w:w="0" w:type="dxa"/>
            <w:right w:w="0" w:type="dxa"/>
          </w:tblCellMar>
        </w:tblPrEx>
        <w:trPr>
          <w:trHeight w:val="697" w:hRule="atLeast"/>
          <w:jc w:val="center"/>
        </w:trPr>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sz w:val="16"/>
                <w:szCs w:val="16"/>
              </w:rPr>
            </w:pPr>
            <w:r>
              <w:rPr>
                <w:rFonts w:hint="eastAsia" w:ascii="宋体" w:hAnsi="宋体" w:cs="宋体"/>
                <w:color w:val="000000"/>
                <w:kern w:val="0"/>
                <w:sz w:val="16"/>
                <w:szCs w:val="16"/>
              </w:rPr>
              <w:t>序号</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eastAsia="宋体" w:cs="宋体"/>
                <w:color w:val="000000"/>
                <w:sz w:val="16"/>
                <w:szCs w:val="16"/>
                <w:lang w:eastAsia="zh-CN"/>
              </w:rPr>
            </w:pPr>
            <w:r>
              <w:rPr>
                <w:rFonts w:hint="eastAsia" w:ascii="宋体" w:hAnsi="宋体" w:cs="宋体"/>
                <w:color w:val="000000"/>
                <w:kern w:val="0"/>
                <w:sz w:val="16"/>
                <w:szCs w:val="16"/>
                <w:lang w:eastAsia="zh-CN"/>
              </w:rPr>
              <w:t>房屋所有权人</w:t>
            </w:r>
          </w:p>
        </w:tc>
        <w:tc>
          <w:tcPr>
            <w:tcW w:w="1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房屋坐落</w:t>
            </w:r>
          </w:p>
        </w:tc>
        <w:tc>
          <w:tcPr>
            <w:tcW w:w="1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eastAsia="宋体" w:cs="宋体"/>
                <w:color w:val="000000"/>
                <w:sz w:val="16"/>
                <w:szCs w:val="16"/>
                <w:lang w:eastAsia="zh-CN"/>
              </w:rPr>
            </w:pPr>
            <w:r>
              <w:rPr>
                <w:rFonts w:hint="eastAsia" w:ascii="宋体" w:hAnsi="宋体" w:cs="宋体"/>
                <w:color w:val="000000"/>
                <w:kern w:val="0"/>
                <w:sz w:val="16"/>
                <w:szCs w:val="16"/>
                <w:lang w:eastAsia="zh-CN"/>
              </w:rPr>
              <w:t>房权证号</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建筑面积</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sz w:val="16"/>
                <w:szCs w:val="16"/>
              </w:rPr>
            </w:pPr>
            <w:r>
              <w:rPr>
                <w:rFonts w:hint="eastAsia" w:ascii="宋体" w:hAnsi="宋体" w:cs="宋体"/>
                <w:color w:val="000000"/>
                <w:kern w:val="0"/>
                <w:sz w:val="16"/>
                <w:szCs w:val="16"/>
              </w:rPr>
              <w:t>（㎡）</w:t>
            </w:r>
          </w:p>
        </w:tc>
        <w:tc>
          <w:tcPr>
            <w:tcW w:w="3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eastAsia="宋体" w:cs="宋体"/>
                <w:color w:val="000000"/>
                <w:sz w:val="16"/>
                <w:szCs w:val="16"/>
                <w:lang w:eastAsia="zh-CN"/>
              </w:rPr>
            </w:pPr>
            <w:r>
              <w:rPr>
                <w:rFonts w:hint="eastAsia" w:ascii="宋体" w:hAnsi="宋体" w:cs="宋体"/>
                <w:color w:val="000000"/>
                <w:kern w:val="0"/>
                <w:sz w:val="16"/>
                <w:szCs w:val="16"/>
                <w:lang w:eastAsia="zh-CN"/>
              </w:rPr>
              <w:t>房屋状况描述</w:t>
            </w:r>
          </w:p>
        </w:tc>
      </w:tr>
      <w:tr>
        <w:tblPrEx>
          <w:tblCellMar>
            <w:top w:w="0" w:type="dxa"/>
            <w:left w:w="0" w:type="dxa"/>
            <w:bottom w:w="0" w:type="dxa"/>
            <w:right w:w="0" w:type="dxa"/>
          </w:tblCellMar>
        </w:tblPrEx>
        <w:trPr>
          <w:trHeight w:val="675" w:hRule="atLeast"/>
          <w:jc w:val="center"/>
        </w:trPr>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6"/>
                <w:szCs w:val="16"/>
                <w:lang w:val="en-US" w:eastAsia="zh-CN"/>
              </w:rPr>
            </w:pPr>
            <w:bookmarkStart w:id="16" w:name="_Toc27211"/>
            <w:r>
              <w:rPr>
                <w:rFonts w:hint="eastAsia" w:ascii="宋体" w:hAnsi="宋体" w:cs="宋体"/>
                <w:color w:val="000000"/>
                <w:kern w:val="0"/>
                <w:sz w:val="16"/>
                <w:szCs w:val="16"/>
                <w:lang w:val="en-US" w:eastAsia="zh-CN"/>
              </w:rPr>
              <w:t>1</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黄翠华</w:t>
            </w:r>
          </w:p>
        </w:tc>
        <w:tc>
          <w:tcPr>
            <w:tcW w:w="1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cs="宋体"/>
                <w:sz w:val="16"/>
                <w:szCs w:val="16"/>
                <w:lang w:val="en-US" w:eastAsia="zh-CN"/>
              </w:rPr>
              <w:t>牡丹江市林口县海洋世纪城3号楼272室</w:t>
            </w:r>
          </w:p>
        </w:tc>
        <w:tc>
          <w:tcPr>
            <w:tcW w:w="1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cs="宋体"/>
                <w:sz w:val="16"/>
                <w:szCs w:val="16"/>
                <w:lang w:val="en-US" w:eastAsia="zh-CN"/>
              </w:rPr>
              <w:t>林房权证林口县字第201101967号</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73.90</w:t>
            </w:r>
          </w:p>
        </w:tc>
        <w:tc>
          <w:tcPr>
            <w:tcW w:w="3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auto"/>
                <w:kern w:val="0"/>
                <w:sz w:val="16"/>
                <w:szCs w:val="16"/>
                <w:u w:val="none"/>
                <w:lang w:val="en-US" w:eastAsia="zh-CN" w:bidi="ar"/>
              </w:rPr>
              <w:t>规划用途住宅，7/7层，混合结构，外墙贴砖，防盗门，塑窗，室内净高2.80m左右，墙厚50cm，朝向：南北，室内配套设施齐全，房屋性质：私有房产，</w:t>
            </w:r>
            <w:r>
              <w:rPr>
                <w:rFonts w:hint="eastAsia" w:ascii="宋体" w:hAnsi="宋体" w:cs="宋体"/>
                <w:i w:val="0"/>
                <w:iCs w:val="0"/>
                <w:color w:val="FF0000"/>
                <w:kern w:val="0"/>
                <w:sz w:val="16"/>
                <w:szCs w:val="16"/>
                <w:u w:val="none"/>
                <w:lang w:val="en-US" w:eastAsia="zh-CN" w:bidi="ar"/>
              </w:rPr>
              <w:t>未进入室内勘察</w:t>
            </w:r>
            <w:r>
              <w:rPr>
                <w:rFonts w:hint="eastAsia" w:ascii="宋体" w:hAnsi="宋体" w:cs="宋体"/>
                <w:color w:val="FF0000"/>
                <w:sz w:val="16"/>
                <w:szCs w:val="16"/>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 w:hAnsi="仿宋" w:eastAsia="仿宋" w:cs="仿宋"/>
          <w:b w:val="0"/>
          <w:bCs w:val="0"/>
          <w:color w:val="auto"/>
          <w:kern w:val="0"/>
          <w:sz w:val="28"/>
          <w:szCs w:val="28"/>
          <w:highlight w:val="none"/>
          <w:lang w:val="en-US" w:eastAsia="zh-CN" w:bidi="ar"/>
        </w:rPr>
        <w:t>⑵、</w:t>
      </w:r>
      <w:r>
        <w:rPr>
          <w:rFonts w:hint="eastAsia" w:ascii="仿宋_GB2312" w:hAnsi="仿宋_GB2312" w:eastAsia="仿宋_GB2312" w:cs="仿宋_GB2312"/>
          <w:sz w:val="28"/>
          <w:szCs w:val="28"/>
          <w:lang w:val="en-US" w:eastAsia="zh-CN"/>
        </w:rPr>
        <w:t>土地实物状况</w:t>
      </w:r>
      <w:bookmarkEnd w:id="16"/>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sz w:val="28"/>
          <w:szCs w:val="28"/>
          <w:lang w:val="en-US" w:eastAsia="zh-CN"/>
        </w:rPr>
        <w:t>估价对象宗地四</w:t>
      </w:r>
      <w:r>
        <w:rPr>
          <w:rFonts w:hint="eastAsia" w:ascii="仿宋_GB2312" w:hAnsi="仿宋_GB2312" w:eastAsia="仿宋_GB2312" w:cs="仿宋_GB2312"/>
          <w:color w:val="000000" w:themeColor="text1"/>
          <w:sz w:val="28"/>
          <w:szCs w:val="28"/>
          <w:lang w:val="en-US" w:eastAsia="zh-CN"/>
        </w:rPr>
        <w:t>至:</w:t>
      </w:r>
      <w:r>
        <w:rPr>
          <w:rFonts w:hint="eastAsia" w:ascii="仿宋_GB2312" w:hAnsi="仿宋_GB2312" w:eastAsia="仿宋_GB2312" w:cs="仿宋_GB2312"/>
          <w:color w:val="auto"/>
          <w:sz w:val="28"/>
          <w:szCs w:val="28"/>
          <w:lang w:val="en-US" w:eastAsia="zh-CN"/>
        </w:rPr>
        <w:t>东至：</w:t>
      </w:r>
      <w:r>
        <w:rPr>
          <w:rFonts w:hint="eastAsia" w:ascii="仿宋_GB2312" w:eastAsia="仿宋_GB2312"/>
          <w:sz w:val="28"/>
          <w:szCs w:val="28"/>
          <w:lang w:val="en-US" w:eastAsia="zh-CN"/>
        </w:rPr>
        <w:t>海洋世纪城4号楼</w:t>
      </w:r>
      <w:r>
        <w:rPr>
          <w:rFonts w:hint="eastAsia" w:ascii="仿宋_GB2312" w:hAnsi="仿宋_GB2312" w:eastAsia="仿宋_GB2312" w:cs="仿宋_GB2312"/>
          <w:color w:val="auto"/>
          <w:sz w:val="28"/>
          <w:szCs w:val="28"/>
          <w:lang w:val="en-US" w:eastAsia="zh-CN"/>
        </w:rPr>
        <w:t>，南至：</w:t>
      </w:r>
      <w:r>
        <w:rPr>
          <w:rFonts w:hint="eastAsia" w:ascii="仿宋_GB2312" w:eastAsia="仿宋_GB2312"/>
          <w:sz w:val="28"/>
          <w:szCs w:val="28"/>
          <w:lang w:val="en-US" w:eastAsia="zh-CN"/>
        </w:rPr>
        <w:t>海洋世纪城5号楼</w:t>
      </w:r>
      <w:r>
        <w:rPr>
          <w:rFonts w:hint="eastAsia" w:ascii="仿宋_GB2312" w:hAnsi="仿宋_GB2312" w:eastAsia="仿宋_GB2312" w:cs="仿宋_GB2312"/>
          <w:color w:val="auto"/>
          <w:sz w:val="28"/>
          <w:szCs w:val="28"/>
          <w:lang w:val="en-US" w:eastAsia="zh-CN"/>
        </w:rPr>
        <w:t>，西至：</w:t>
      </w:r>
      <w:r>
        <w:rPr>
          <w:rFonts w:hint="eastAsia" w:ascii="仿宋_GB2312" w:eastAsia="仿宋_GB2312"/>
          <w:sz w:val="28"/>
          <w:szCs w:val="28"/>
          <w:lang w:val="en-US" w:eastAsia="zh-CN"/>
        </w:rPr>
        <w:t>海洋世纪城12号楼</w:t>
      </w:r>
      <w:r>
        <w:rPr>
          <w:rFonts w:hint="eastAsia" w:ascii="仿宋_GB2312" w:hAnsi="仿宋_GB2312" w:eastAsia="仿宋_GB2312" w:cs="仿宋_GB2312"/>
          <w:color w:val="auto"/>
          <w:sz w:val="28"/>
          <w:szCs w:val="28"/>
          <w:lang w:val="en-US" w:eastAsia="zh-CN"/>
        </w:rPr>
        <w:t>，北至</w:t>
      </w:r>
      <w:r>
        <w:rPr>
          <w:rFonts w:hint="eastAsia" w:ascii="仿宋_GB2312" w:eastAsia="仿宋_GB2312"/>
          <w:sz w:val="28"/>
          <w:szCs w:val="28"/>
          <w:lang w:val="en-US" w:eastAsia="zh-CN"/>
        </w:rPr>
        <w:t>海洋世纪城1号楼</w:t>
      </w:r>
      <w:r>
        <w:rPr>
          <w:rFonts w:hint="eastAsia" w:ascii="仿宋_GB2312" w:hAnsi="仿宋_GB2312" w:eastAsia="仿宋_GB2312" w:cs="仿宋_GB2312"/>
          <w:color w:val="auto"/>
          <w:sz w:val="28"/>
          <w:szCs w:val="28"/>
          <w:lang w:val="en-US" w:eastAsia="zh-CN"/>
        </w:rPr>
        <w:t>，所在宗地形状较为规则，地势平坦，地基稳定、无不良水文地质现象，能满足建筑物对承载力的要求。</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⑶、</w:t>
      </w:r>
      <w:r>
        <w:rPr>
          <w:rFonts w:hint="eastAsia" w:ascii="仿宋_GB2312" w:hAnsi="仿宋_GB2312" w:eastAsia="仿宋_GB2312" w:cs="仿宋_GB2312"/>
          <w:sz w:val="28"/>
          <w:szCs w:val="28"/>
        </w:rPr>
        <w:t>估价对象区位及交通情况</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估价对象位于</w:t>
      </w:r>
      <w:r>
        <w:rPr>
          <w:rFonts w:hint="eastAsia" w:ascii="仿宋_GB2312" w:eastAsia="仿宋_GB2312"/>
          <w:sz w:val="28"/>
          <w:szCs w:val="28"/>
          <w:lang w:val="en-US" w:eastAsia="zh-CN"/>
        </w:rPr>
        <w:t>牡丹江市林口县海洋世纪城3号楼272室住宅</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估价对象附近有</w:t>
      </w:r>
      <w:r>
        <w:rPr>
          <w:rFonts w:hint="eastAsia" w:ascii="仿宋_GB2312" w:hAnsi="仿宋_GB2312" w:eastAsia="仿宋_GB2312" w:cs="仿宋_GB2312"/>
          <w:color w:val="FF0000"/>
          <w:sz w:val="28"/>
          <w:szCs w:val="28"/>
          <w:lang w:val="zh-CN"/>
        </w:rPr>
        <w:t>宾馆、药店、火车站、</w:t>
      </w:r>
      <w:r>
        <w:rPr>
          <w:rFonts w:hint="eastAsia" w:ascii="仿宋_GB2312" w:hAnsi="仿宋_GB2312" w:eastAsia="仿宋_GB2312" w:cs="仿宋_GB2312"/>
          <w:color w:val="FF0000"/>
          <w:sz w:val="28"/>
          <w:szCs w:val="28"/>
          <w:lang w:val="en-US" w:eastAsia="zh-CN"/>
        </w:rPr>
        <w:t>步行街、超市</w:t>
      </w:r>
      <w:r>
        <w:rPr>
          <w:rFonts w:hint="eastAsia" w:ascii="仿宋_GB2312" w:hAnsi="仿宋_GB2312" w:eastAsia="仿宋_GB2312" w:cs="仿宋_GB2312"/>
          <w:color w:val="FF0000"/>
          <w:sz w:val="28"/>
          <w:szCs w:val="28"/>
        </w:rPr>
        <w:t>等</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交通便利，</w:t>
      </w:r>
      <w:r>
        <w:rPr>
          <w:rFonts w:hint="eastAsia" w:ascii="仿宋_GB2312" w:hAnsi="仿宋_GB2312" w:eastAsia="仿宋_GB2312" w:cs="仿宋_GB2312"/>
          <w:sz w:val="28"/>
          <w:szCs w:val="28"/>
        </w:rPr>
        <w:t>通达便捷程度较好。</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Fonts w:hint="eastAsia" w:ascii="仿宋" w:hAnsi="仿宋" w:eastAsia="仿宋" w:cs="仿宋"/>
          <w:sz w:val="28"/>
          <w:szCs w:val="28"/>
          <w:lang w:eastAsia="zh-CN"/>
        </w:rPr>
      </w:pPr>
      <w:bookmarkStart w:id="17" w:name="_Toc882"/>
      <w:r>
        <w:rPr>
          <w:rStyle w:val="29"/>
          <w:rFonts w:ascii="仿宋" w:hAnsi="仿宋" w:eastAsia="仿宋" w:cs="仿宋"/>
          <w:sz w:val="28"/>
          <w:szCs w:val="28"/>
        </w:rPr>
        <w:t>5</w:t>
      </w:r>
      <w:r>
        <w:rPr>
          <w:rStyle w:val="29"/>
          <w:rFonts w:hint="eastAsia" w:ascii="仿宋" w:hAnsi="仿宋" w:eastAsia="仿宋" w:cs="仿宋"/>
          <w:sz w:val="28"/>
          <w:szCs w:val="28"/>
        </w:rPr>
        <w:t>、价值时点：</w:t>
      </w:r>
      <w:bookmarkEnd w:id="17"/>
      <w:r>
        <w:rPr>
          <w:rFonts w:hint="eastAsia" w:ascii="仿宋_GB2312" w:hAnsi="仿宋_GB2312" w:eastAsia="仿宋_GB2312" w:cs="仿宋_GB2312"/>
          <w:sz w:val="28"/>
          <w:szCs w:val="28"/>
          <w:lang w:eastAsia="zh-CN"/>
        </w:rPr>
        <w:t>2022年9月14日</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Fonts w:ascii="仿宋" w:hAnsi="仿宋" w:eastAsia="仿宋" w:cs="仿宋"/>
          <w:sz w:val="28"/>
          <w:szCs w:val="28"/>
        </w:rPr>
      </w:pPr>
      <w:bookmarkStart w:id="18" w:name="_Toc1315"/>
      <w:r>
        <w:rPr>
          <w:rStyle w:val="29"/>
          <w:rFonts w:ascii="仿宋" w:hAnsi="仿宋" w:eastAsia="仿宋" w:cs="仿宋"/>
          <w:sz w:val="28"/>
          <w:szCs w:val="28"/>
        </w:rPr>
        <w:t>6</w:t>
      </w:r>
      <w:r>
        <w:rPr>
          <w:rStyle w:val="29"/>
          <w:rFonts w:hint="eastAsia" w:ascii="仿宋" w:hAnsi="仿宋" w:eastAsia="仿宋" w:cs="仿宋"/>
          <w:sz w:val="28"/>
          <w:szCs w:val="28"/>
        </w:rPr>
        <w:t>、价值类型：</w:t>
      </w:r>
      <w:bookmarkEnd w:id="18"/>
      <w:r>
        <w:rPr>
          <w:rFonts w:hint="eastAsia" w:ascii="仿宋_GB2312" w:hAnsi="仿宋_GB2312" w:eastAsia="仿宋_GB2312" w:cs="仿宋_GB2312"/>
          <w:sz w:val="28"/>
          <w:szCs w:val="28"/>
        </w:rPr>
        <w:t>房屋价格评估标准采用公开市场价值标准。</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Style w:val="29"/>
          <w:rFonts w:ascii="仿宋" w:hAnsi="仿宋" w:eastAsia="仿宋" w:cs="仿宋"/>
          <w:sz w:val="28"/>
          <w:szCs w:val="28"/>
        </w:rPr>
      </w:pPr>
      <w:bookmarkStart w:id="19" w:name="_Toc7266"/>
      <w:r>
        <w:rPr>
          <w:rStyle w:val="29"/>
          <w:rFonts w:ascii="仿宋" w:hAnsi="仿宋" w:eastAsia="仿宋" w:cs="仿宋"/>
          <w:sz w:val="28"/>
          <w:szCs w:val="28"/>
        </w:rPr>
        <w:t>7</w:t>
      </w:r>
      <w:r>
        <w:rPr>
          <w:rStyle w:val="29"/>
          <w:rFonts w:hint="eastAsia" w:ascii="仿宋" w:hAnsi="仿宋" w:eastAsia="仿宋" w:cs="仿宋"/>
          <w:sz w:val="28"/>
          <w:szCs w:val="28"/>
        </w:rPr>
        <w:t>、估价原则：</w:t>
      </w:r>
    </w:p>
    <w:bookmarkEnd w:id="19"/>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bookmarkStart w:id="20" w:name="_Toc16161"/>
      <w:r>
        <w:rPr>
          <w:rFonts w:hint="eastAsia" w:ascii="仿宋_GB2312" w:hAnsi="仿宋_GB2312" w:eastAsia="仿宋_GB2312" w:cs="仿宋_GB2312"/>
          <w:sz w:val="28"/>
          <w:szCs w:val="28"/>
          <w:lang w:val="en-US" w:eastAsia="zh-CN"/>
        </w:rPr>
        <w:t xml:space="preserve">（一）遵循独立、客观、公正的原则——独立客观公正原则要求站在中立的立场上，实事求是、公平正直地评估出对各方估价利害关系人均是公平合理的价值或价格，即要求评估价值对各方估价利害关系人均是公平合理的。 </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（二）遵循合法原则——合法原则要求评估价值是在依法判定的估价对象状况下的价值或价格。</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遵循最高最佳使用原则——最高最佳利用原则要求评估价值是在估价对象最高最佳利用状况下的价值或价格。最高最佳利用是指房地产在法律上允许、技术上可能、财务上可行并使价值最大的合理、可能的利用，包括最佳的用途、规模、档次等。</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（四）遵循替代原则—— 替代原则要求评估价值与估价对象的类似房地产在同等条件下的价值或价格偏差在合理范围内。</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（五）遵循估价时点原则—— 估价结果应是估价对象在估价时点的客观合理价格或价值。</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Style w:val="29"/>
          <w:rFonts w:ascii="仿宋" w:hAnsi="仿宋" w:eastAsia="仿宋" w:cs="仿宋"/>
          <w:sz w:val="28"/>
          <w:szCs w:val="28"/>
        </w:rPr>
      </w:pPr>
      <w:r>
        <w:rPr>
          <w:rStyle w:val="29"/>
          <w:rFonts w:ascii="仿宋" w:hAnsi="仿宋" w:eastAsia="仿宋" w:cs="仿宋"/>
          <w:sz w:val="28"/>
          <w:szCs w:val="28"/>
        </w:rPr>
        <w:t>8</w:t>
      </w:r>
      <w:r>
        <w:rPr>
          <w:rStyle w:val="29"/>
          <w:rFonts w:hint="eastAsia" w:ascii="仿宋" w:hAnsi="仿宋" w:eastAsia="仿宋" w:cs="仿宋"/>
          <w:sz w:val="28"/>
          <w:szCs w:val="28"/>
        </w:rPr>
        <w:t>、估价依据</w:t>
      </w:r>
    </w:p>
    <w:bookmarkEnd w:id="20"/>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bookmarkStart w:id="21" w:name="_Toc9498"/>
      <w:r>
        <w:rPr>
          <w:rFonts w:hint="eastAsia" w:ascii="仿宋_GB2312" w:hAnsi="仿宋_GB2312" w:eastAsia="仿宋_GB2312" w:cs="仿宋_GB2312"/>
          <w:sz w:val="28"/>
          <w:szCs w:val="28"/>
          <w:lang w:val="en-US" w:eastAsia="zh-CN"/>
        </w:rPr>
        <w:t>（一）《中华人民共和国城市房地产管理法》（中华人民共和国主席令 2019 第32 号，2019 年 8 月 26 日中华人民共和国第十三届全国人民代表大会常务委员会第十二次会议修订）；</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（二）《中华人民共和国土地管理法》（中华人民共和国主席令 2019 第 32 号，2019 年 8 月 26 日中华人民共和国第十三届全国人民代表大会常务委员会第十二次会议修订）；</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（三）《中华人民共和国资产评估法》（中华人民共和国主席令第四十六号，中华人民共和国第十二届全国人民代表大会常务委员会第二十一次会议于2016年7月2日通过，自2016年12月1日起施行）；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（四）《中华人民共和国民法典》（中华人民共和国主席令第 45 号，中华人民共和国第十三届全国人民代表大会第三次会议通过，自 2021 年 1 月 1 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（五）《中华人民共和国城乡规划法》（中华人民共和国主席令第 74 号，中华人民共和国第十届全国人民代表大会常务委员会第三十次会议通过，自 2008 年 1 月 1 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（六）《中华人民共和国城镇国有土地使用权出让和转让暂行条例》（国务院令第55号发布，自1990年5月19日起施行）；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（七）《最高人民法院关于人民法院确定财产处置参考价若干问题的规定》（2018年6月4日最高人民法院审判委员会第1741次会议通过，自2018年9月1日起施行）；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（八）国家标准《房地产估价规范》（GB/T50291－2015）（2015年04月08日中华人民共和国住房和城乡建设部、中华人民共和国国家质量监督检验检疫总局联合发布）；</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（九）《房地产估价基本术语标准》（GB/T50899-2013）（2013年6月26日中华人民共和国住房和城乡建设部公告第84号）；</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（十）《房屋完损等级评定标准（试行）》（城住建[1984]第678号）（1984年11月8日原城乡建设环境保护部发布）；</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（十一）当事人提供的与本次估价有关的资料；</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（十二）房屋相关产权证明；</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（十三）估价对象现场勘察记录和调查走访的相关资料；</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（十四）本估价机构掌握的房地产市场价格、信息等相关资料等。</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Fonts w:ascii="仿宋" w:hAnsi="仿宋" w:eastAsia="仿宋" w:cs="仿宋"/>
          <w:b/>
          <w:sz w:val="28"/>
          <w:szCs w:val="28"/>
          <w:lang w:val="zh-CN"/>
        </w:rPr>
      </w:pPr>
      <w:r>
        <w:rPr>
          <w:rStyle w:val="29"/>
          <w:rFonts w:ascii="仿宋" w:hAnsi="仿宋" w:eastAsia="仿宋" w:cs="仿宋"/>
          <w:sz w:val="28"/>
          <w:szCs w:val="28"/>
        </w:rPr>
        <w:t>9</w:t>
      </w:r>
      <w:r>
        <w:rPr>
          <w:rStyle w:val="29"/>
          <w:rFonts w:hint="eastAsia" w:ascii="仿宋" w:hAnsi="仿宋" w:eastAsia="仿宋" w:cs="仿宋"/>
          <w:sz w:val="28"/>
          <w:szCs w:val="28"/>
        </w:rPr>
        <w:t>、估价方法</w:t>
      </w:r>
      <w:bookmarkEnd w:id="21"/>
      <w:r>
        <w:rPr>
          <w:rStyle w:val="29"/>
          <w:rFonts w:hint="eastAsia" w:ascii="仿宋" w:hAnsi="仿宋" w:eastAsia="仿宋" w:cs="仿宋"/>
          <w:sz w:val="28"/>
          <w:szCs w:val="28"/>
        </w:rPr>
        <w:t>选用</w:t>
      </w:r>
      <w:r>
        <w:rPr>
          <w:rFonts w:hint="eastAsia" w:ascii="仿宋" w:hAnsi="仿宋" w:eastAsia="仿宋" w:cs="仿宋"/>
          <w:b/>
          <w:sz w:val="28"/>
          <w:szCs w:val="28"/>
          <w:lang w:val="zh-CN"/>
        </w:rPr>
        <w:t>：</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bookmarkStart w:id="22" w:name="_Toc12670"/>
      <w:r>
        <w:rPr>
          <w:rFonts w:hint="eastAsia" w:ascii="仿宋_GB2312" w:hAnsi="仿宋_GB2312" w:eastAsia="仿宋_GB2312" w:cs="仿宋_GB2312"/>
          <w:color w:val="000000"/>
          <w:sz w:val="28"/>
          <w:szCs w:val="28"/>
          <w:lang w:val="en-US" w:eastAsia="zh-CN"/>
        </w:rPr>
        <w:t>在房地产估价中，通常涉及到的方法有比较法、收益法、成本法、假设开发法。</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比较法是选取一定数量的可比实例，将它们与估价对象进行比较，根据其间的差异对可比实例成交价格进行处理后得到估价对象价格或价值的方法。该方法适用于同类房地产数量较多、经常发生交易且具有一定可比性的房地产。</w:t>
      </w:r>
      <w:r>
        <w:rPr>
          <w:rFonts w:hint="eastAsia" w:ascii="仿宋_GB2312" w:hAnsi="仿宋_GB2312" w:eastAsia="仿宋_GB2312" w:cs="仿宋_GB2312"/>
          <w:color w:val="000000"/>
          <w:sz w:val="28"/>
          <w:szCs w:val="28"/>
          <w:lang w:eastAsia="zh-CN"/>
        </w:rPr>
        <w:t>根据估价对象房地产的特点及估价目的，综合考虑估价对象所处区域、用途、物业性质、特点及影响其市场价值的各类因素等，其周边环境和功能相同或相近、产权性质、结构等类似估价对象住宅</w:t>
      </w:r>
      <w:r>
        <w:rPr>
          <w:rFonts w:hint="eastAsia" w:ascii="仿宋_GB2312" w:hAnsi="仿宋_GB2312" w:eastAsia="仿宋_GB2312" w:cs="仿宋_GB2312"/>
          <w:color w:val="000000"/>
          <w:sz w:val="28"/>
          <w:szCs w:val="28"/>
          <w:lang w:val="en-US" w:eastAsia="zh-CN"/>
        </w:rPr>
        <w:t>用房</w:t>
      </w:r>
      <w:r>
        <w:rPr>
          <w:rFonts w:hint="eastAsia" w:ascii="仿宋_GB2312" w:hAnsi="仿宋_GB2312" w:eastAsia="仿宋_GB2312" w:cs="仿宋_GB2312"/>
          <w:color w:val="000000"/>
          <w:sz w:val="28"/>
          <w:szCs w:val="28"/>
          <w:lang w:eastAsia="zh-CN"/>
        </w:rPr>
        <w:t>出售的交易实例较</w:t>
      </w:r>
      <w:r>
        <w:rPr>
          <w:rFonts w:hint="eastAsia" w:ascii="仿宋_GB2312" w:hAnsi="仿宋_GB2312" w:eastAsia="仿宋_GB2312" w:cs="仿宋_GB2312"/>
          <w:color w:val="000000"/>
          <w:sz w:val="28"/>
          <w:szCs w:val="28"/>
          <w:lang w:val="en-US" w:eastAsia="zh-CN"/>
        </w:rPr>
        <w:t>多</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故适合</w:t>
      </w:r>
      <w:r>
        <w:rPr>
          <w:rFonts w:hint="eastAsia" w:ascii="仿宋_GB2312" w:hAnsi="仿宋_GB2312" w:eastAsia="仿宋_GB2312" w:cs="仿宋_GB2312"/>
          <w:color w:val="000000"/>
          <w:sz w:val="28"/>
          <w:szCs w:val="28"/>
          <w:lang w:eastAsia="zh-CN"/>
        </w:rPr>
        <w:t>选用比较法进行估价。</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收益法是预测估价对象的未来收益，利用报酬率或资本化率、收益乘数将未来收益转换为价值得到估价对象价值或价格的方法。将未来收益转换为价值，类似于根据利息倒推出本金，成为资本化。该方法适用于估价对象或其同类房地产通常有租金等经济收入的收益性房地产，这些估价对象不限于其目前是否有收益，只要其同类房地产有收益即可。</w:t>
      </w:r>
      <w:r>
        <w:rPr>
          <w:rFonts w:hint="eastAsia" w:ascii="仿宋_GB2312" w:hAnsi="仿宋_GB2312" w:eastAsia="仿宋_GB2312" w:cs="仿宋_GB2312"/>
          <w:color w:val="000000"/>
          <w:sz w:val="28"/>
          <w:szCs w:val="28"/>
          <w:lang w:eastAsia="zh-CN"/>
        </w:rPr>
        <w:t>考虑估价对象周边区域内，类似</w:t>
      </w:r>
      <w:r>
        <w:rPr>
          <w:rFonts w:hint="eastAsia" w:ascii="仿宋_GB2312" w:hAnsi="仿宋_GB2312" w:eastAsia="仿宋_GB2312" w:cs="仿宋_GB2312"/>
          <w:color w:val="000000"/>
          <w:sz w:val="28"/>
          <w:szCs w:val="28"/>
          <w:lang w:val="en-US" w:eastAsia="zh-CN"/>
        </w:rPr>
        <w:t>住宅用房</w:t>
      </w:r>
      <w:r>
        <w:rPr>
          <w:rFonts w:hint="eastAsia" w:ascii="仿宋_GB2312" w:hAnsi="仿宋_GB2312" w:eastAsia="仿宋_GB2312" w:cs="仿宋_GB2312"/>
          <w:color w:val="000000"/>
          <w:sz w:val="28"/>
          <w:szCs w:val="28"/>
          <w:lang w:eastAsia="zh-CN"/>
        </w:rPr>
        <w:t>房屋现用于出租使用较多，但是所获取的租金收益较</w:t>
      </w:r>
      <w:r>
        <w:rPr>
          <w:rFonts w:hint="eastAsia" w:ascii="仿宋_GB2312" w:hAnsi="仿宋_GB2312" w:eastAsia="仿宋_GB2312" w:cs="仿宋_GB2312"/>
          <w:color w:val="000000"/>
          <w:sz w:val="28"/>
          <w:szCs w:val="28"/>
          <w:lang w:val="en-US" w:eastAsia="zh-CN"/>
        </w:rPr>
        <w:t>少</w:t>
      </w:r>
      <w:r>
        <w:rPr>
          <w:rFonts w:hint="eastAsia" w:ascii="仿宋_GB2312" w:hAnsi="仿宋_GB2312" w:eastAsia="仿宋_GB2312" w:cs="仿宋_GB2312"/>
          <w:color w:val="000000"/>
          <w:sz w:val="28"/>
          <w:szCs w:val="28"/>
          <w:lang w:eastAsia="zh-CN"/>
        </w:rPr>
        <w:t>，故</w:t>
      </w:r>
      <w:r>
        <w:rPr>
          <w:rFonts w:hint="eastAsia" w:ascii="仿宋_GB2312" w:hAnsi="仿宋_GB2312" w:eastAsia="仿宋_GB2312" w:cs="仿宋_GB2312"/>
          <w:color w:val="000000"/>
          <w:sz w:val="28"/>
          <w:szCs w:val="28"/>
          <w:lang w:val="en-US" w:eastAsia="zh-CN"/>
        </w:rPr>
        <w:t>不宜选用</w:t>
      </w:r>
      <w:r>
        <w:rPr>
          <w:rFonts w:hint="eastAsia" w:ascii="仿宋_GB2312" w:hAnsi="仿宋_GB2312" w:eastAsia="仿宋_GB2312" w:cs="仿宋_GB2312"/>
          <w:color w:val="000000"/>
          <w:sz w:val="28"/>
          <w:szCs w:val="28"/>
          <w:lang w:eastAsia="zh-CN"/>
        </w:rPr>
        <w:t>收益法进行评估。</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成本法是测算估价对象在价值时点的重置成本或重建成本和折旧，将重置成本或重建成本减去折旧得到的估价对象价值或价格的方法。成本法一般适用于测算可独立开发建设的整体房地产的价值或价格。</w:t>
      </w:r>
      <w:r>
        <w:rPr>
          <w:rFonts w:hint="eastAsia" w:ascii="仿宋_GB2312" w:hAnsi="仿宋_GB2312" w:eastAsia="仿宋_GB2312" w:cs="仿宋_GB2312"/>
          <w:color w:val="000000"/>
          <w:sz w:val="28"/>
          <w:szCs w:val="28"/>
          <w:lang w:eastAsia="zh-CN"/>
        </w:rPr>
        <w:t>考虑该估价对象房地产开发成本扣除建筑折旧后的价值不能准确反映房地产的客观市场价值，故</w:t>
      </w:r>
      <w:r>
        <w:rPr>
          <w:rFonts w:hint="eastAsia" w:ascii="仿宋_GB2312" w:hAnsi="仿宋_GB2312" w:eastAsia="仿宋_GB2312" w:cs="仿宋_GB2312"/>
          <w:color w:val="000000"/>
          <w:sz w:val="28"/>
          <w:szCs w:val="28"/>
          <w:lang w:val="en-US" w:eastAsia="zh-CN"/>
        </w:rPr>
        <w:t>不宜选用成本法</w:t>
      </w:r>
      <w:r>
        <w:rPr>
          <w:rFonts w:hint="eastAsia" w:ascii="仿宋_GB2312" w:hAnsi="仿宋_GB2312" w:eastAsia="仿宋_GB2312" w:cs="仿宋_GB2312"/>
          <w:color w:val="000000"/>
          <w:sz w:val="28"/>
          <w:szCs w:val="28"/>
          <w:lang w:eastAsia="zh-CN"/>
        </w:rPr>
        <w:t>进行评估。</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格或价值的方法。</w:t>
      </w:r>
      <w:r>
        <w:rPr>
          <w:rFonts w:hint="eastAsia" w:ascii="仿宋_GB2312" w:hAnsi="仿宋_GB2312" w:eastAsia="仿宋_GB2312" w:cs="仿宋_GB2312"/>
          <w:color w:val="000000"/>
          <w:sz w:val="28"/>
          <w:szCs w:val="28"/>
          <w:lang w:eastAsia="zh-CN"/>
        </w:rPr>
        <w:t>估价对象属于建成并可以投入使用的物</w:t>
      </w:r>
      <w:r>
        <w:rPr>
          <w:rFonts w:hint="eastAsia" w:ascii="仿宋_GB2312" w:hAnsi="仿宋_GB2312" w:eastAsia="仿宋_GB2312" w:cs="仿宋_GB2312"/>
          <w:color w:val="000000"/>
          <w:sz w:val="28"/>
          <w:szCs w:val="28"/>
          <w:lang w:val="en-US" w:eastAsia="zh-CN"/>
        </w:rPr>
        <w:t>业，非待开发建设物业，</w:t>
      </w:r>
      <w:r>
        <w:rPr>
          <w:rFonts w:hint="eastAsia" w:ascii="仿宋_GB2312" w:hAnsi="仿宋_GB2312" w:eastAsia="仿宋_GB2312" w:cs="仿宋_GB2312"/>
          <w:color w:val="000000"/>
          <w:sz w:val="28"/>
          <w:szCs w:val="28"/>
        </w:rPr>
        <w:t>可再开发建设的能力较低</w:t>
      </w:r>
      <w:r>
        <w:rPr>
          <w:rFonts w:hint="eastAsia" w:ascii="仿宋_GB2312" w:hAnsi="仿宋_GB2312" w:eastAsia="仿宋_GB2312" w:cs="仿宋_GB2312"/>
          <w:color w:val="000000"/>
          <w:sz w:val="28"/>
          <w:szCs w:val="28"/>
          <w:lang w:val="en-US" w:eastAsia="zh-CN"/>
        </w:rPr>
        <w:t>，故不宜选用假设开发法进行评估。</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比较法是根据与估价对象相类似的房地产的成交价格来求取估价对象价值或价格的方法。</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ascii="仿宋_GB2312" w:eastAsia="仿宋_GB2312"/>
          <w:b/>
          <w:bCs/>
          <w:sz w:val="28"/>
          <w:szCs w:val="28"/>
        </w:rPr>
      </w:pPr>
      <w:r>
        <w:rPr>
          <w:rFonts w:ascii="仿宋_GB2312" w:eastAsia="仿宋_GB2312"/>
          <w:b/>
          <w:bCs/>
          <w:sz w:val="28"/>
          <w:szCs w:val="28"/>
        </w:rPr>
        <w:t>10</w:t>
      </w:r>
      <w:r>
        <w:rPr>
          <w:rFonts w:hint="eastAsia" w:ascii="仿宋_GB2312" w:eastAsia="仿宋_GB2312"/>
          <w:b/>
          <w:bCs/>
          <w:sz w:val="28"/>
          <w:szCs w:val="28"/>
        </w:rPr>
        <w:t>、估价结果：</w:t>
      </w:r>
    </w:p>
    <w:bookmarkEnd w:id="22"/>
    <w:p>
      <w:pPr>
        <w:pStyle w:val="6"/>
        <w:ind w:firstLine="560" w:firstLineChars="200"/>
        <w:rPr>
          <w:rFonts w:hint="eastAsia" w:ascii="仿宋_GB2312" w:eastAsia="仿宋_GB2312"/>
          <w:sz w:val="28"/>
          <w:szCs w:val="28"/>
          <w:lang w:val="en-US" w:eastAsia="zh-CN"/>
        </w:rPr>
      </w:pPr>
      <w:bookmarkStart w:id="23" w:name="_Toc14588"/>
      <w:r>
        <w:rPr>
          <w:rFonts w:hint="eastAsia" w:ascii="仿宋_GB2312" w:eastAsia="仿宋_GB2312"/>
          <w:sz w:val="28"/>
          <w:szCs w:val="28"/>
          <w:lang w:val="zh-CN"/>
        </w:rPr>
        <w:t>估价人员根据估价目的，遵循估价原则，按照估价工作程序，利用科学的估价方法，在认真分析所掌握资料的基础上，经过周密详细的测算，并结合估价人员的经验，综合考虑房地产的各项影响因素，</w:t>
      </w:r>
      <w:r>
        <w:rPr>
          <w:rFonts w:hint="eastAsia" w:ascii="仿宋_GB2312" w:eastAsia="仿宋_GB2312"/>
          <w:sz w:val="28"/>
          <w:szCs w:val="28"/>
        </w:rPr>
        <w:t>经测算</w:t>
      </w:r>
      <w:r>
        <w:rPr>
          <w:rFonts w:hint="eastAsia" w:ascii="仿宋_GB2312" w:eastAsia="仿宋_GB2312"/>
          <w:sz w:val="28"/>
          <w:szCs w:val="28"/>
          <w:lang w:val="zh-CN"/>
        </w:rPr>
        <w:t>确定</w:t>
      </w:r>
      <w:r>
        <w:rPr>
          <w:rFonts w:hint="eastAsia" w:ascii="仿宋_GB2312" w:eastAsia="仿宋_GB2312"/>
          <w:sz w:val="28"/>
          <w:szCs w:val="28"/>
        </w:rPr>
        <w:t>坐落于</w:t>
      </w:r>
      <w:r>
        <w:rPr>
          <w:rFonts w:hint="eastAsia"/>
          <w:sz w:val="28"/>
          <w:szCs w:val="28"/>
          <w:lang w:val="en-US" w:eastAsia="zh-CN"/>
        </w:rPr>
        <w:t>牡丹江市林口县海洋世纪城3号楼272室住宅</w:t>
      </w:r>
      <w:r>
        <w:rPr>
          <w:rFonts w:hint="eastAsia" w:ascii="仿宋" w:hAnsi="仿宋" w:eastAsia="仿宋" w:cs="仿宋"/>
          <w:sz w:val="28"/>
          <w:szCs w:val="28"/>
          <w:lang w:eastAsia="zh-CN"/>
        </w:rPr>
        <w:t>用房</w:t>
      </w:r>
      <w:r>
        <w:rPr>
          <w:rFonts w:hint="eastAsia" w:ascii="仿宋" w:hAnsi="仿宋" w:eastAsia="仿宋" w:cs="仿宋"/>
          <w:sz w:val="28"/>
          <w:szCs w:val="28"/>
        </w:rPr>
        <w:t>的</w:t>
      </w:r>
      <w:r>
        <w:rPr>
          <w:rFonts w:hint="eastAsia" w:ascii="仿宋_GB2312" w:hAnsi="仿宋" w:eastAsia="仿宋_GB2312" w:cs="宋体"/>
          <w:sz w:val="28"/>
          <w:szCs w:val="28"/>
        </w:rPr>
        <w:t>房地产客观市场评估</w:t>
      </w:r>
      <w:r>
        <w:rPr>
          <w:rFonts w:hint="eastAsia" w:ascii="仿宋_GB2312" w:hAnsi="仿宋" w:eastAsia="仿宋_GB2312" w:cs="宋体"/>
          <w:sz w:val="28"/>
          <w:szCs w:val="28"/>
          <w:lang w:val="en-US" w:eastAsia="zh-CN"/>
        </w:rPr>
        <w:t>总</w:t>
      </w:r>
      <w:r>
        <w:rPr>
          <w:rFonts w:hint="eastAsia" w:ascii="仿宋_GB2312" w:hAnsi="仿宋" w:eastAsia="仿宋_GB2312" w:cs="宋体"/>
          <w:sz w:val="28"/>
          <w:szCs w:val="28"/>
        </w:rPr>
        <w:t>价值为</w:t>
      </w:r>
      <w:r>
        <w:rPr>
          <w:rFonts w:ascii="仿宋_GB2312" w:hAnsi="仿宋" w:eastAsia="仿宋_GB2312" w:cs="宋体"/>
          <w:b/>
          <w:sz w:val="28"/>
          <w:szCs w:val="28"/>
        </w:rPr>
        <w:t>R</w:t>
      </w:r>
      <w:r>
        <w:rPr>
          <w:rFonts w:hint="eastAsia" w:ascii="仿宋_GB2312" w:eastAsia="仿宋_GB2312"/>
          <w:sz w:val="28"/>
          <w:szCs w:val="28"/>
          <w:lang w:val="zh-CN"/>
        </w:rPr>
        <w:t>MB</w:t>
      </w:r>
      <w:r>
        <w:rPr>
          <w:rFonts w:hint="eastAsia"/>
          <w:sz w:val="28"/>
          <w:szCs w:val="28"/>
          <w:lang w:val="en-US" w:eastAsia="zh-CN"/>
        </w:rPr>
        <w:t xml:space="preserve"> </w:t>
      </w:r>
      <w:r>
        <w:rPr>
          <w:rFonts w:hint="eastAsia" w:ascii="仿宋_GB2312" w:hAnsi="仿宋_GB2312" w:eastAsia="仿宋_GB2312" w:cs="仿宋_GB2312"/>
          <w:color w:val="000000"/>
          <w:sz w:val="28"/>
          <w:szCs w:val="28"/>
          <w:lang w:val="en-US" w:eastAsia="zh-CN"/>
        </w:rPr>
        <w:t>116</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836</w:t>
      </w:r>
      <w:r>
        <w:rPr>
          <w:rFonts w:ascii="仿宋_GB2312" w:hAnsi="仿宋_GB2312" w:eastAsia="仿宋_GB2312" w:cs="仿宋_GB2312"/>
          <w:color w:val="000000"/>
          <w:sz w:val="28"/>
          <w:szCs w:val="28"/>
        </w:rPr>
        <w:t>.00</w:t>
      </w:r>
      <w:r>
        <w:rPr>
          <w:rFonts w:hint="eastAsia" w:ascii="仿宋_GB2312" w:hAnsi="仿宋_GB2312" w:eastAsia="仿宋_GB2312" w:cs="仿宋_GB2312"/>
          <w:color w:val="000000"/>
          <w:sz w:val="28"/>
          <w:szCs w:val="28"/>
          <w:lang w:val="en-US" w:eastAsia="zh-CN"/>
        </w:rPr>
        <w:t>元</w:t>
      </w:r>
      <w:r>
        <w:rPr>
          <w:rFonts w:hint="eastAsia" w:ascii="仿宋_GB2312" w:hAnsi="仿宋_GB2312" w:eastAsia="仿宋_GB2312" w:cs="仿宋_GB2312"/>
          <w:color w:val="000000"/>
          <w:sz w:val="28"/>
          <w:szCs w:val="28"/>
        </w:rPr>
        <w:t>（人民币大写：</w:t>
      </w:r>
      <w:r>
        <w:rPr>
          <w:rFonts w:hint="eastAsia" w:hAnsi="仿宋_GB2312" w:cs="仿宋_GB2312"/>
          <w:color w:val="000000"/>
          <w:sz w:val="28"/>
          <w:szCs w:val="28"/>
          <w:lang w:val="en-US" w:eastAsia="zh-CN"/>
        </w:rPr>
        <w:t>壹拾壹万陆仟捌佰叁拾陆</w:t>
      </w:r>
      <w:r>
        <w:rPr>
          <w:rFonts w:hint="eastAsia" w:ascii="仿宋_GB2312" w:hAnsi="仿宋_GB2312" w:eastAsia="仿宋_GB2312" w:cs="仿宋_GB2312"/>
          <w:color w:val="000000"/>
          <w:sz w:val="28"/>
          <w:szCs w:val="28"/>
          <w:lang w:eastAsia="zh-CN"/>
        </w:rPr>
        <w:t>元整</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折合建筑面积平均单位价格或价值为1</w:t>
      </w:r>
      <w:r>
        <w:rPr>
          <w:rFonts w:hint="eastAsia" w:hAnsi="仿宋_GB2312" w:cs="仿宋_GB2312"/>
          <w:color w:val="000000"/>
          <w:sz w:val="28"/>
          <w:szCs w:val="28"/>
          <w:lang w:val="en-US" w:eastAsia="zh-CN"/>
        </w:rPr>
        <w:t>581</w:t>
      </w:r>
      <w:r>
        <w:rPr>
          <w:rFonts w:hint="eastAsia" w:ascii="仿宋_GB2312" w:hAnsi="仿宋_GB2312" w:eastAsia="仿宋_GB2312" w:cs="仿宋_GB2312"/>
          <w:color w:val="000000"/>
          <w:sz w:val="28"/>
          <w:szCs w:val="28"/>
          <w:lang w:val="en-US" w:eastAsia="zh-CN"/>
        </w:rPr>
        <w:t>.00</w:t>
      </w:r>
      <w:r>
        <w:rPr>
          <w:rFonts w:hint="eastAsia" w:ascii="仿宋_GB2312" w:eastAsia="仿宋_GB2312"/>
          <w:color w:val="000000"/>
          <w:sz w:val="28"/>
          <w:szCs w:val="28"/>
        </w:rPr>
        <w:t>元</w:t>
      </w:r>
      <w:r>
        <w:rPr>
          <w:rFonts w:ascii="仿宋_GB2312" w:eastAsia="仿宋_GB2312"/>
          <w:color w:val="000000"/>
          <w:sz w:val="28"/>
          <w:szCs w:val="28"/>
        </w:rPr>
        <w:t>/</w:t>
      </w:r>
      <w:r>
        <w:rPr>
          <w:rFonts w:hint="eastAsia" w:ascii="宋体" w:hAnsi="宋体" w:cs="宋体"/>
          <w:color w:val="000000"/>
          <w:sz w:val="28"/>
          <w:szCs w:val="28"/>
        </w:rPr>
        <w:t>㎡</w:t>
      </w:r>
      <w:r>
        <w:rPr>
          <w:rFonts w:hint="eastAsia" w:ascii="宋体" w:hAnsi="宋体" w:cs="宋体"/>
          <w:color w:val="000000"/>
          <w:sz w:val="28"/>
          <w:szCs w:val="28"/>
          <w:lang w:eastAsia="zh-CN"/>
        </w:rPr>
        <w:t>。</w:t>
      </w:r>
    </w:p>
    <w:p>
      <w:pPr>
        <w:keepNext w:val="0"/>
        <w:keepLines w:val="0"/>
        <w:pageBreakBefore w:val="0"/>
        <w:widowControl w:val="0"/>
        <w:kinsoku/>
        <w:wordWrap/>
        <w:overflowPunct/>
        <w:topLinePunct w:val="0"/>
        <w:autoSpaceDE/>
        <w:autoSpaceDN/>
        <w:bidi w:val="0"/>
        <w:ind w:firstLine="562" w:firstLineChars="200"/>
        <w:textAlignment w:val="auto"/>
        <w:rPr>
          <w:rStyle w:val="29"/>
          <w:rFonts w:ascii="仿宋" w:hAnsi="仿宋" w:eastAsia="仿宋" w:cs="仿宋"/>
          <w:color w:val="000000" w:themeColor="text1"/>
          <w:sz w:val="28"/>
          <w:szCs w:val="28"/>
          <w14:textFill>
            <w14:solidFill>
              <w14:schemeClr w14:val="tx1"/>
            </w14:solidFill>
          </w14:textFill>
        </w:rPr>
      </w:pPr>
      <w:r>
        <w:rPr>
          <w:rStyle w:val="29"/>
          <w:rFonts w:ascii="仿宋" w:hAnsi="仿宋" w:eastAsia="仿宋" w:cs="仿宋"/>
          <w:sz w:val="28"/>
          <w:szCs w:val="28"/>
        </w:rPr>
        <w:t>1</w:t>
      </w:r>
      <w:r>
        <w:rPr>
          <w:rStyle w:val="29"/>
          <w:rFonts w:hint="eastAsia" w:ascii="仿宋" w:hAnsi="仿宋" w:eastAsia="仿宋" w:cs="仿宋"/>
          <w:sz w:val="28"/>
          <w:szCs w:val="28"/>
          <w:lang w:val="en-US" w:eastAsia="zh-CN"/>
        </w:rPr>
        <w:t>1</w:t>
      </w:r>
      <w:r>
        <w:rPr>
          <w:rStyle w:val="29"/>
          <w:rFonts w:hint="eastAsia" w:ascii="仿宋" w:hAnsi="仿宋" w:eastAsia="仿宋" w:cs="仿宋"/>
          <w:sz w:val="28"/>
          <w:szCs w:val="28"/>
        </w:rPr>
        <w:t>、实</w:t>
      </w:r>
      <w:r>
        <w:rPr>
          <w:rStyle w:val="29"/>
          <w:rFonts w:hint="eastAsia" w:ascii="仿宋" w:hAnsi="仿宋" w:eastAsia="仿宋" w:cs="仿宋"/>
          <w:color w:val="000000" w:themeColor="text1"/>
          <w:sz w:val="28"/>
          <w:szCs w:val="28"/>
          <w14:textFill>
            <w14:solidFill>
              <w14:schemeClr w14:val="tx1"/>
            </w14:solidFill>
          </w14:textFill>
        </w:rPr>
        <w:t>地查勘期：</w:t>
      </w:r>
      <w:r>
        <w:rPr>
          <w:rFonts w:hint="eastAsia" w:ascii="仿宋_GB2312" w:eastAsia="仿宋_GB2312"/>
          <w:color w:val="000000" w:themeColor="text1"/>
          <w:sz w:val="28"/>
          <w:szCs w:val="28"/>
          <w:lang w:val="zh-CN"/>
          <w14:textFill>
            <w14:solidFill>
              <w14:schemeClr w14:val="tx1"/>
            </w14:solidFill>
          </w14:textFill>
        </w:rPr>
        <w:t>2022年9月14日</w:t>
      </w:r>
    </w:p>
    <w:bookmarkEnd w:id="23"/>
    <w:p>
      <w:pPr>
        <w:keepNext w:val="0"/>
        <w:keepLines w:val="0"/>
        <w:pageBreakBefore w:val="0"/>
        <w:widowControl w:val="0"/>
        <w:kinsoku/>
        <w:wordWrap/>
        <w:overflowPunct/>
        <w:topLinePunct w:val="0"/>
        <w:autoSpaceDE/>
        <w:autoSpaceDN/>
        <w:bidi w:val="0"/>
        <w:adjustRightInd w:val="0"/>
        <w:snapToGrid w:val="0"/>
        <w:spacing w:beforeLines="30" w:afterLines="30"/>
        <w:ind w:firstLine="562" w:firstLineChars="200"/>
        <w:textAlignment w:val="auto"/>
        <w:rPr>
          <w:rFonts w:ascii="仿宋_GB2312" w:eastAsia="仿宋_GB2312"/>
          <w:color w:val="000000" w:themeColor="text1"/>
          <w:sz w:val="28"/>
          <w:szCs w:val="28"/>
          <w:lang w:val="zh-CN"/>
          <w14:textFill>
            <w14:solidFill>
              <w14:schemeClr w14:val="tx1"/>
            </w14:solidFill>
          </w14:textFill>
        </w:rPr>
      </w:pPr>
      <w:bookmarkStart w:id="24" w:name="_Toc19314"/>
      <w:r>
        <w:rPr>
          <w:rStyle w:val="29"/>
          <w:rFonts w:ascii="仿宋" w:hAnsi="仿宋" w:eastAsia="仿宋" w:cs="仿宋"/>
          <w:color w:val="000000" w:themeColor="text1"/>
          <w:sz w:val="28"/>
          <w:szCs w:val="28"/>
          <w14:textFill>
            <w14:solidFill>
              <w14:schemeClr w14:val="tx1"/>
            </w14:solidFill>
          </w14:textFill>
        </w:rPr>
        <w:t>12</w:t>
      </w:r>
      <w:r>
        <w:rPr>
          <w:rStyle w:val="29"/>
          <w:rFonts w:hint="eastAsia" w:ascii="仿宋" w:hAnsi="仿宋" w:eastAsia="仿宋" w:cs="仿宋"/>
          <w:color w:val="000000" w:themeColor="text1"/>
          <w:sz w:val="28"/>
          <w:szCs w:val="28"/>
          <w14:textFill>
            <w14:solidFill>
              <w14:schemeClr w14:val="tx1"/>
            </w14:solidFill>
          </w14:textFill>
        </w:rPr>
        <w:t>、</w:t>
      </w:r>
      <w:r>
        <w:rPr>
          <w:rStyle w:val="29"/>
          <w:rFonts w:ascii="仿宋" w:hAnsi="仿宋" w:eastAsia="仿宋" w:cs="仿宋"/>
          <w:color w:val="000000" w:themeColor="text1"/>
          <w:sz w:val="28"/>
          <w:szCs w:val="28"/>
          <w14:textFill>
            <w14:solidFill>
              <w14:schemeClr w14:val="tx1"/>
            </w14:solidFill>
          </w14:textFill>
        </w:rPr>
        <w:t xml:space="preserve"> </w:t>
      </w:r>
      <w:r>
        <w:rPr>
          <w:rStyle w:val="29"/>
          <w:rFonts w:hint="eastAsia" w:ascii="仿宋" w:hAnsi="仿宋" w:eastAsia="仿宋" w:cs="仿宋"/>
          <w:color w:val="000000" w:themeColor="text1"/>
          <w:sz w:val="28"/>
          <w:szCs w:val="28"/>
          <w14:textFill>
            <w14:solidFill>
              <w14:schemeClr w14:val="tx1"/>
            </w14:solidFill>
          </w14:textFill>
        </w:rPr>
        <w:t>估价作业期：</w:t>
      </w:r>
      <w:bookmarkEnd w:id="24"/>
      <w:r>
        <w:rPr>
          <w:rFonts w:hint="eastAsia" w:ascii="仿宋_GB2312" w:eastAsia="仿宋_GB2312"/>
          <w:color w:val="000000" w:themeColor="text1"/>
          <w:sz w:val="28"/>
          <w:szCs w:val="28"/>
          <w:lang w:val="zh-CN"/>
          <w14:textFill>
            <w14:solidFill>
              <w14:schemeClr w14:val="tx1"/>
            </w14:solidFill>
          </w14:textFill>
        </w:rPr>
        <w:t>2022年9月14日</w:t>
      </w:r>
      <w:r>
        <w:rPr>
          <w:rFonts w:ascii="仿宋_GB2312" w:eastAsia="仿宋_GB2312"/>
          <w:color w:val="000000" w:themeColor="text1"/>
          <w:sz w:val="28"/>
          <w:szCs w:val="28"/>
          <w:lang w:val="zh-CN"/>
          <w14:textFill>
            <w14:solidFill>
              <w14:schemeClr w14:val="tx1"/>
            </w14:solidFill>
          </w14:textFill>
        </w:rPr>
        <w:t>——</w:t>
      </w:r>
      <w:r>
        <w:rPr>
          <w:rFonts w:hint="eastAsia" w:ascii="仿宋_GB2312" w:eastAsia="仿宋_GB2312"/>
          <w:color w:val="000000" w:themeColor="text1"/>
          <w:sz w:val="28"/>
          <w:szCs w:val="28"/>
          <w:lang w:val="zh-CN"/>
          <w14:textFill>
            <w14:solidFill>
              <w14:schemeClr w14:val="tx1"/>
            </w14:solidFill>
          </w14:textFill>
        </w:rPr>
        <w:t>2022年9月19日。</w:t>
      </w:r>
    </w:p>
    <w:p>
      <w:pPr>
        <w:keepNext w:val="0"/>
        <w:keepLines w:val="0"/>
        <w:pageBreakBefore w:val="0"/>
        <w:widowControl w:val="0"/>
        <w:kinsoku/>
        <w:wordWrap/>
        <w:overflowPunct/>
        <w:topLinePunct w:val="0"/>
        <w:autoSpaceDE/>
        <w:autoSpaceDN/>
        <w:bidi w:val="0"/>
        <w:snapToGrid w:val="0"/>
        <w:ind w:firstLine="562" w:firstLineChars="200"/>
        <w:textAlignment w:val="auto"/>
        <w:rPr>
          <w:rFonts w:ascii="仿宋_GB2312" w:eastAsia="仿宋_GB2312"/>
          <w:color w:val="000000" w:themeColor="text1"/>
          <w:sz w:val="28"/>
          <w:szCs w:val="28"/>
          <w:lang w:val="zh-CN"/>
          <w14:textFill>
            <w14:solidFill>
              <w14:schemeClr w14:val="tx1"/>
            </w14:solidFill>
          </w14:textFill>
        </w:rPr>
      </w:pPr>
      <w:bookmarkStart w:id="25" w:name="_Toc6909"/>
      <w:r>
        <w:rPr>
          <w:rStyle w:val="29"/>
          <w:rFonts w:ascii="仿宋" w:hAnsi="仿宋" w:eastAsia="仿宋" w:cs="仿宋"/>
          <w:color w:val="000000" w:themeColor="text1"/>
          <w:sz w:val="28"/>
          <w:szCs w:val="28"/>
          <w14:textFill>
            <w14:solidFill>
              <w14:schemeClr w14:val="tx1"/>
            </w14:solidFill>
          </w14:textFill>
        </w:rPr>
        <w:t>13</w:t>
      </w:r>
      <w:r>
        <w:rPr>
          <w:rStyle w:val="29"/>
          <w:rFonts w:hint="eastAsia" w:ascii="仿宋" w:hAnsi="仿宋" w:eastAsia="仿宋" w:cs="仿宋"/>
          <w:color w:val="000000" w:themeColor="text1"/>
          <w:sz w:val="28"/>
          <w:szCs w:val="28"/>
          <w14:textFill>
            <w14:solidFill>
              <w14:schemeClr w14:val="tx1"/>
            </w14:solidFill>
          </w14:textFill>
        </w:rPr>
        <w:t>、</w:t>
      </w:r>
      <w:r>
        <w:rPr>
          <w:rStyle w:val="29"/>
          <w:rFonts w:ascii="仿宋" w:hAnsi="仿宋" w:eastAsia="仿宋" w:cs="仿宋"/>
          <w:color w:val="000000" w:themeColor="text1"/>
          <w:sz w:val="28"/>
          <w:szCs w:val="28"/>
          <w14:textFill>
            <w14:solidFill>
              <w14:schemeClr w14:val="tx1"/>
            </w14:solidFill>
          </w14:textFill>
        </w:rPr>
        <w:t xml:space="preserve"> </w:t>
      </w:r>
      <w:r>
        <w:rPr>
          <w:rStyle w:val="29"/>
          <w:rFonts w:hint="eastAsia" w:ascii="仿宋" w:hAnsi="仿宋" w:eastAsia="仿宋" w:cs="仿宋"/>
          <w:color w:val="000000" w:themeColor="text1"/>
          <w:sz w:val="28"/>
          <w:szCs w:val="28"/>
          <w14:textFill>
            <w14:solidFill>
              <w14:schemeClr w14:val="tx1"/>
            </w14:solidFill>
          </w14:textFill>
        </w:rPr>
        <w:t>估价报告有效期（一年）</w:t>
      </w:r>
      <w:bookmarkEnd w:id="25"/>
      <w:r>
        <w:rPr>
          <w:rStyle w:val="29"/>
          <w:rFonts w:hint="eastAsia" w:ascii="仿宋" w:hAnsi="仿宋" w:eastAsia="仿宋" w:cs="仿宋"/>
          <w:color w:val="000000" w:themeColor="text1"/>
          <w:sz w:val="28"/>
          <w:szCs w:val="28"/>
          <w14:textFill>
            <w14:solidFill>
              <w14:schemeClr w14:val="tx1"/>
            </w14:solidFill>
          </w14:textFill>
        </w:rPr>
        <w:t>：</w:t>
      </w:r>
      <w:r>
        <w:rPr>
          <w:rFonts w:hint="eastAsia" w:ascii="仿宋_GB2312" w:eastAsia="仿宋_GB2312"/>
          <w:color w:val="000000" w:themeColor="text1"/>
          <w:sz w:val="28"/>
          <w:szCs w:val="28"/>
          <w:lang w:val="zh-CN"/>
          <w14:textFill>
            <w14:solidFill>
              <w14:schemeClr w14:val="tx1"/>
            </w14:solidFill>
          </w14:textFill>
        </w:rPr>
        <w:t>即2022年9月19日至2023年</w:t>
      </w:r>
      <w:r>
        <w:rPr>
          <w:rFonts w:hint="eastAsia" w:ascii="仿宋_GB2312" w:eastAsia="仿宋_GB2312"/>
          <w:color w:val="000000" w:themeColor="text1"/>
          <w:sz w:val="28"/>
          <w:szCs w:val="28"/>
          <w:lang w:val="en-US" w:eastAsia="zh-CN"/>
          <w14:textFill>
            <w14:solidFill>
              <w14:schemeClr w14:val="tx1"/>
            </w14:solidFill>
          </w14:textFill>
        </w:rPr>
        <w:t>9</w:t>
      </w:r>
      <w:r>
        <w:rPr>
          <w:rFonts w:hint="eastAsia" w:ascii="仿宋_GB2312" w:eastAsia="仿宋_GB2312"/>
          <w:color w:val="000000" w:themeColor="text1"/>
          <w:sz w:val="28"/>
          <w:szCs w:val="28"/>
          <w:lang w:val="zh-CN"/>
          <w14:textFill>
            <w14:solidFill>
              <w14:schemeClr w14:val="tx1"/>
            </w14:solidFill>
          </w14:textFill>
        </w:rPr>
        <w:t>月</w:t>
      </w:r>
      <w:r>
        <w:rPr>
          <w:rFonts w:hint="eastAsia" w:ascii="仿宋_GB2312" w:eastAsia="仿宋_GB2312"/>
          <w:color w:val="000000" w:themeColor="text1"/>
          <w:sz w:val="28"/>
          <w:szCs w:val="28"/>
          <w:lang w:val="en-US" w:eastAsia="zh-CN"/>
          <w14:textFill>
            <w14:solidFill>
              <w14:schemeClr w14:val="tx1"/>
            </w14:solidFill>
          </w14:textFill>
        </w:rPr>
        <w:t>18</w:t>
      </w:r>
      <w:r>
        <w:rPr>
          <w:rFonts w:hint="eastAsia" w:ascii="仿宋_GB2312" w:eastAsia="仿宋_GB2312"/>
          <w:color w:val="000000" w:themeColor="text1"/>
          <w:sz w:val="28"/>
          <w:szCs w:val="28"/>
          <w:lang w:val="zh-CN"/>
          <w14:textFill>
            <w14:solidFill>
              <w14:schemeClr w14:val="tx1"/>
            </w14:solidFill>
          </w14:textFill>
        </w:rPr>
        <w:t>日止。若在此期间市场情况发生较大变化或受不可抗力的影响，该价格需做相应调整。</w:t>
      </w:r>
    </w:p>
    <w:p>
      <w:pPr>
        <w:adjustRightInd w:val="0"/>
        <w:snapToGrid w:val="0"/>
        <w:spacing w:beforeLines="30" w:afterLines="30"/>
        <w:ind w:firstLine="562" w:firstLineChars="200"/>
        <w:rPr>
          <w:rStyle w:val="29"/>
          <w:rFonts w:ascii="仿宋" w:hAnsi="仿宋" w:eastAsia="仿宋" w:cs="仿宋"/>
          <w:color w:val="000000" w:themeColor="text1"/>
          <w:sz w:val="28"/>
          <w:szCs w:val="28"/>
          <w14:textFill>
            <w14:solidFill>
              <w14:schemeClr w14:val="tx1"/>
            </w14:solidFill>
          </w14:textFill>
        </w:rPr>
      </w:pPr>
      <w:r>
        <w:rPr>
          <w:rStyle w:val="29"/>
          <w:rFonts w:ascii="仿宋" w:hAnsi="仿宋" w:eastAsia="仿宋" w:cs="仿宋"/>
          <w:color w:val="000000" w:themeColor="text1"/>
          <w:sz w:val="28"/>
          <w:szCs w:val="28"/>
          <w14:textFill>
            <w14:solidFill>
              <w14:schemeClr w14:val="tx1"/>
            </w14:solidFill>
          </w14:textFill>
        </w:rPr>
        <w:t>14</w:t>
      </w:r>
      <w:r>
        <w:rPr>
          <w:rStyle w:val="29"/>
          <w:rFonts w:hint="eastAsia" w:ascii="仿宋" w:hAnsi="仿宋" w:eastAsia="仿宋" w:cs="仿宋"/>
          <w:color w:val="000000" w:themeColor="text1"/>
          <w:sz w:val="28"/>
          <w:szCs w:val="28"/>
          <w14:textFill>
            <w14:solidFill>
              <w14:schemeClr w14:val="tx1"/>
            </w14:solidFill>
          </w14:textFill>
        </w:rPr>
        <w:t>、注册房地产估价师</w:t>
      </w:r>
    </w:p>
    <w:tbl>
      <w:tblPr>
        <w:tblStyle w:val="21"/>
        <w:tblW w:w="9158" w:type="dxa"/>
        <w:tblInd w:w="0" w:type="dxa"/>
        <w:tblLayout w:type="fixed"/>
        <w:tblCellMar>
          <w:top w:w="0" w:type="dxa"/>
          <w:left w:w="0" w:type="dxa"/>
          <w:bottom w:w="0" w:type="dxa"/>
          <w:right w:w="0" w:type="dxa"/>
        </w:tblCellMar>
      </w:tblPr>
      <w:tblGrid>
        <w:gridCol w:w="1375"/>
        <w:gridCol w:w="1959"/>
        <w:gridCol w:w="3440"/>
        <w:gridCol w:w="2384"/>
      </w:tblGrid>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签名日期</w:t>
            </w:r>
          </w:p>
        </w:tc>
      </w:tr>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themeColor="text1"/>
                <w:kern w:val="0"/>
                <w:sz w:val="24"/>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孙克伟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2319970055</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themeColor="text1"/>
                <w:kern w:val="0"/>
                <w:sz w:val="24"/>
                <w14:textFill>
                  <w14:solidFill>
                    <w14:schemeClr w14:val="tx1"/>
                  </w14:solidFill>
                </w14:textFill>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2022年9月19日</w:t>
            </w:r>
          </w:p>
        </w:tc>
      </w:tr>
      <w:tr>
        <w:tblPrEx>
          <w:tblCellMar>
            <w:top w:w="0" w:type="dxa"/>
            <w:left w:w="0" w:type="dxa"/>
            <w:bottom w:w="0" w:type="dxa"/>
            <w:right w:w="0" w:type="dxa"/>
          </w:tblCellMar>
        </w:tblPrEx>
        <w:trPr>
          <w:trHeight w:val="788"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themeColor="text1"/>
                <w:kern w:val="0"/>
                <w:sz w:val="24"/>
                <w14:textFill>
                  <w14:solidFill>
                    <w14:schemeClr w14:val="tx1"/>
                  </w14:solidFill>
                </w14:textFill>
              </w:rPr>
            </w:pPr>
            <w:r>
              <w:rPr>
                <w:rFonts w:hint="eastAsia" w:eastAsia="仿宋"/>
                <w:color w:val="000000" w:themeColor="text1"/>
                <w:sz w:val="28"/>
                <w:szCs w:val="28"/>
                <w:lang w:val="en-US" w:eastAsia="zh-CN"/>
                <w14:textFill>
                  <w14:solidFill>
                    <w14:schemeClr w14:val="tx1"/>
                  </w14:solidFill>
                </w14:textFill>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pStyle w:val="48"/>
              <w:jc w:val="center"/>
              <w:rPr>
                <w:rFonts w:ascii="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themeColor="text1"/>
                <w:kern w:val="0"/>
                <w:sz w:val="24"/>
                <w14:textFill>
                  <w14:solidFill>
                    <w14:schemeClr w14:val="tx1"/>
                  </w14:solidFill>
                </w14:textFill>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2022年9月19日</w:t>
            </w:r>
          </w:p>
        </w:tc>
      </w:tr>
    </w:tbl>
    <w:p>
      <w:pPr>
        <w:tabs>
          <w:tab w:val="left" w:pos="8280"/>
        </w:tabs>
        <w:adjustRightInd w:val="0"/>
        <w:snapToGrid w:val="0"/>
        <w:spacing w:line="360" w:lineRule="exact"/>
        <w:ind w:right="34"/>
        <w:jc w:val="both"/>
        <w:rPr>
          <w:rFonts w:ascii="仿宋" w:hAnsi="仿宋" w:eastAsia="仿宋" w:cs="宋体"/>
          <w:bCs/>
          <w:color w:val="000000" w:themeColor="text1"/>
          <w:sz w:val="28"/>
          <w14:textFill>
            <w14:solidFill>
              <w14:schemeClr w14:val="tx1"/>
            </w14:solidFill>
          </w14:textFill>
        </w:rPr>
      </w:pPr>
    </w:p>
    <w:p>
      <w:pPr>
        <w:tabs>
          <w:tab w:val="left" w:pos="8280"/>
        </w:tabs>
        <w:adjustRightInd w:val="0"/>
        <w:snapToGrid w:val="0"/>
        <w:spacing w:line="360" w:lineRule="exact"/>
        <w:ind w:right="34"/>
        <w:jc w:val="both"/>
        <w:rPr>
          <w:rFonts w:ascii="仿宋" w:hAnsi="仿宋" w:eastAsia="仿宋" w:cs="宋体"/>
          <w:bCs/>
          <w:color w:val="000000" w:themeColor="text1"/>
          <w:sz w:val="28"/>
          <w14:textFill>
            <w14:solidFill>
              <w14:schemeClr w14:val="tx1"/>
            </w14:solidFill>
          </w14:textFill>
        </w:rPr>
      </w:pPr>
    </w:p>
    <w:p>
      <w:pPr>
        <w:tabs>
          <w:tab w:val="left" w:pos="8280"/>
        </w:tabs>
        <w:adjustRightInd w:val="0"/>
        <w:snapToGrid w:val="0"/>
        <w:spacing w:line="360" w:lineRule="exact"/>
        <w:ind w:right="34"/>
        <w:jc w:val="both"/>
        <w:rPr>
          <w:rFonts w:ascii="仿宋" w:hAnsi="仿宋" w:eastAsia="仿宋" w:cs="宋体"/>
          <w:bCs/>
          <w:color w:val="000000" w:themeColor="text1"/>
          <w:sz w:val="28"/>
          <w14:textFill>
            <w14:solidFill>
              <w14:schemeClr w14:val="tx1"/>
            </w14:solidFill>
          </w14:textFill>
        </w:rPr>
      </w:pPr>
    </w:p>
    <w:p>
      <w:pPr>
        <w:tabs>
          <w:tab w:val="left" w:pos="8280"/>
        </w:tabs>
        <w:adjustRightInd w:val="0"/>
        <w:snapToGrid w:val="0"/>
        <w:spacing w:line="360" w:lineRule="exact"/>
        <w:ind w:right="34"/>
        <w:jc w:val="both"/>
        <w:rPr>
          <w:rFonts w:ascii="仿宋" w:hAnsi="仿宋" w:eastAsia="仿宋" w:cs="宋体"/>
          <w:bCs/>
          <w:color w:val="000000" w:themeColor="text1"/>
          <w:sz w:val="28"/>
          <w14:textFill>
            <w14:solidFill>
              <w14:schemeClr w14:val="tx1"/>
            </w14:solidFill>
          </w14:textFill>
        </w:rPr>
      </w:pPr>
    </w:p>
    <w:p>
      <w:pPr>
        <w:tabs>
          <w:tab w:val="left" w:pos="8280"/>
        </w:tabs>
        <w:adjustRightInd w:val="0"/>
        <w:snapToGrid w:val="0"/>
        <w:spacing w:line="360" w:lineRule="exact"/>
        <w:ind w:right="34"/>
        <w:jc w:val="both"/>
        <w:rPr>
          <w:rFonts w:ascii="仿宋" w:hAnsi="仿宋" w:eastAsia="仿宋" w:cs="宋体"/>
          <w:bCs/>
          <w:color w:val="000000" w:themeColor="text1"/>
          <w:sz w:val="28"/>
          <w14:textFill>
            <w14:solidFill>
              <w14:schemeClr w14:val="tx1"/>
            </w14:solidFill>
          </w14:textFill>
        </w:rPr>
      </w:pPr>
    </w:p>
    <w:p>
      <w:pPr>
        <w:tabs>
          <w:tab w:val="left" w:pos="8280"/>
        </w:tabs>
        <w:adjustRightInd w:val="0"/>
        <w:snapToGrid w:val="0"/>
        <w:spacing w:line="360" w:lineRule="exact"/>
        <w:ind w:right="34"/>
        <w:jc w:val="both"/>
        <w:rPr>
          <w:rFonts w:ascii="仿宋" w:hAnsi="仿宋" w:eastAsia="仿宋" w:cs="宋体"/>
          <w:bCs/>
          <w:color w:val="000000" w:themeColor="text1"/>
          <w:sz w:val="28"/>
          <w14:textFill>
            <w14:solidFill>
              <w14:schemeClr w14:val="tx1"/>
            </w14:solidFill>
          </w14:textFill>
        </w:rPr>
      </w:pPr>
      <w:bookmarkStart w:id="27" w:name="_GoBack"/>
      <w:bookmarkEnd w:id="27"/>
    </w:p>
    <w:p>
      <w:pPr>
        <w:tabs>
          <w:tab w:val="left" w:pos="8280"/>
        </w:tabs>
        <w:adjustRightInd w:val="0"/>
        <w:snapToGrid w:val="0"/>
        <w:spacing w:line="360" w:lineRule="exact"/>
        <w:ind w:right="34"/>
        <w:jc w:val="both"/>
        <w:rPr>
          <w:rFonts w:ascii="仿宋" w:hAnsi="仿宋" w:eastAsia="仿宋" w:cs="宋体"/>
          <w:bCs/>
          <w:color w:val="000000" w:themeColor="text1"/>
          <w:sz w:val="28"/>
          <w14:textFill>
            <w14:solidFill>
              <w14:schemeClr w14:val="tx1"/>
            </w14:solidFill>
          </w14:textFill>
        </w:rPr>
      </w:pPr>
    </w:p>
    <w:p>
      <w:pPr>
        <w:tabs>
          <w:tab w:val="left" w:pos="8280"/>
        </w:tabs>
        <w:adjustRightInd w:val="0"/>
        <w:snapToGrid w:val="0"/>
        <w:spacing w:line="360" w:lineRule="exact"/>
        <w:ind w:right="34"/>
        <w:jc w:val="both"/>
        <w:rPr>
          <w:rFonts w:ascii="仿宋" w:hAnsi="仿宋" w:eastAsia="仿宋" w:cs="宋体"/>
          <w:bCs/>
          <w:color w:val="000000" w:themeColor="text1"/>
          <w:sz w:val="28"/>
          <w14:textFill>
            <w14:solidFill>
              <w14:schemeClr w14:val="tx1"/>
            </w14:solidFill>
          </w14:textFill>
        </w:rPr>
      </w:pPr>
    </w:p>
    <w:p>
      <w:pPr>
        <w:tabs>
          <w:tab w:val="left" w:pos="8280"/>
        </w:tabs>
        <w:adjustRightInd w:val="0"/>
        <w:snapToGrid w:val="0"/>
        <w:spacing w:line="360" w:lineRule="exact"/>
        <w:ind w:right="34"/>
        <w:jc w:val="both"/>
        <w:rPr>
          <w:rFonts w:ascii="仿宋" w:hAnsi="仿宋" w:eastAsia="仿宋" w:cs="宋体"/>
          <w:bCs/>
          <w:color w:val="000000" w:themeColor="text1"/>
          <w:sz w:val="28"/>
          <w14:textFill>
            <w14:solidFill>
              <w14:schemeClr w14:val="tx1"/>
            </w14:solidFill>
          </w14:textFill>
        </w:rPr>
      </w:pPr>
    </w:p>
    <w:p>
      <w:pPr>
        <w:tabs>
          <w:tab w:val="left" w:pos="8280"/>
        </w:tabs>
        <w:adjustRightInd w:val="0"/>
        <w:snapToGrid w:val="0"/>
        <w:spacing w:line="360" w:lineRule="exact"/>
        <w:ind w:right="34"/>
        <w:jc w:val="both"/>
        <w:rPr>
          <w:rFonts w:ascii="仿宋" w:hAnsi="仿宋" w:eastAsia="仿宋" w:cs="宋体"/>
          <w:bCs/>
          <w:color w:val="000000" w:themeColor="text1"/>
          <w:sz w:val="28"/>
          <w14:textFill>
            <w14:solidFill>
              <w14:schemeClr w14:val="tx1"/>
            </w14:solidFill>
          </w14:textFill>
        </w:rPr>
      </w:pPr>
    </w:p>
    <w:p>
      <w:pPr>
        <w:tabs>
          <w:tab w:val="left" w:pos="8280"/>
        </w:tabs>
        <w:adjustRightInd w:val="0"/>
        <w:snapToGrid w:val="0"/>
        <w:spacing w:line="360" w:lineRule="exact"/>
        <w:ind w:right="34"/>
        <w:jc w:val="both"/>
        <w:rPr>
          <w:rFonts w:ascii="仿宋" w:hAnsi="仿宋" w:eastAsia="仿宋" w:cs="宋体"/>
          <w:bCs/>
          <w:color w:val="000000" w:themeColor="text1"/>
          <w:sz w:val="28"/>
          <w14:textFill>
            <w14:solidFill>
              <w14:schemeClr w14:val="tx1"/>
            </w14:solidFill>
          </w14:textFill>
        </w:rPr>
      </w:pPr>
    </w:p>
    <w:p>
      <w:pPr>
        <w:tabs>
          <w:tab w:val="left" w:pos="8280"/>
        </w:tabs>
        <w:adjustRightInd w:val="0"/>
        <w:snapToGrid w:val="0"/>
        <w:spacing w:line="360" w:lineRule="exact"/>
        <w:ind w:right="34"/>
        <w:jc w:val="both"/>
        <w:rPr>
          <w:rFonts w:ascii="仿宋" w:hAnsi="仿宋" w:eastAsia="仿宋" w:cs="宋体"/>
          <w:bCs/>
          <w:color w:val="000000" w:themeColor="text1"/>
          <w:sz w:val="28"/>
          <w14:textFill>
            <w14:solidFill>
              <w14:schemeClr w14:val="tx1"/>
            </w14:solidFill>
          </w14:textFill>
        </w:rPr>
      </w:pPr>
    </w:p>
    <w:p>
      <w:pPr>
        <w:tabs>
          <w:tab w:val="left" w:pos="8280"/>
        </w:tabs>
        <w:adjustRightInd w:val="0"/>
        <w:snapToGrid w:val="0"/>
        <w:spacing w:line="360" w:lineRule="exact"/>
        <w:ind w:right="34" w:firstLine="3239" w:firstLineChars="1157"/>
        <w:jc w:val="center"/>
        <w:rPr>
          <w:rFonts w:ascii="仿宋" w:hAnsi="仿宋" w:eastAsia="仿宋" w:cs="宋体"/>
          <w:bCs/>
          <w:color w:val="000000" w:themeColor="text1"/>
          <w:sz w:val="28"/>
          <w14:textFill>
            <w14:solidFill>
              <w14:schemeClr w14:val="tx1"/>
            </w14:solidFill>
          </w14:textFill>
        </w:rPr>
      </w:pPr>
      <w:r>
        <w:rPr>
          <w:rFonts w:hint="eastAsia" w:ascii="仿宋" w:hAnsi="仿宋" w:eastAsia="仿宋" w:cs="宋体"/>
          <w:bCs/>
          <w:color w:val="000000" w:themeColor="text1"/>
          <w:sz w:val="28"/>
          <w14:textFill>
            <w14:solidFill>
              <w14:schemeClr w14:val="tx1"/>
            </w14:solidFill>
          </w14:textFill>
        </w:rPr>
        <w:t>黑龙江天之骄房地产资产评估有限公司</w:t>
      </w:r>
    </w:p>
    <w:p>
      <w:pPr>
        <w:tabs>
          <w:tab w:val="left" w:pos="8280"/>
        </w:tabs>
        <w:adjustRightInd w:val="0"/>
        <w:snapToGrid w:val="0"/>
        <w:spacing w:line="360" w:lineRule="exact"/>
        <w:ind w:right="34" w:firstLine="3239" w:firstLineChars="1157"/>
        <w:jc w:val="center"/>
        <w:rPr>
          <w:rFonts w:ascii="仿宋" w:hAnsi="仿宋" w:eastAsia="仿宋" w:cs="宋体"/>
          <w:bCs/>
          <w:color w:val="000000" w:themeColor="text1"/>
          <w:sz w:val="28"/>
          <w14:textFill>
            <w14:solidFill>
              <w14:schemeClr w14:val="tx1"/>
            </w14:solidFill>
          </w14:textFill>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000000" w:themeColor="text1"/>
          <w:sz w:val="28"/>
          <w:lang w:eastAsia="zh-CN"/>
          <w14:textFill>
            <w14:solidFill>
              <w14:schemeClr w14:val="tx1"/>
            </w14:solidFill>
          </w14:textFill>
        </w:rPr>
      </w:pPr>
      <w:r>
        <w:rPr>
          <w:rFonts w:hint="eastAsia" w:ascii="仿宋" w:hAnsi="仿宋" w:eastAsia="仿宋" w:cs="宋体"/>
          <w:bCs/>
          <w:color w:val="000000" w:themeColor="text1"/>
          <w:sz w:val="28"/>
          <w:lang w:eastAsia="zh-CN"/>
          <w14:textFill>
            <w14:solidFill>
              <w14:schemeClr w14:val="tx1"/>
            </w14:solidFill>
          </w14:textFill>
        </w:rPr>
        <w:t xml:space="preserve"> </w:t>
      </w:r>
      <w:bookmarkStart w:id="26" w:name="_Toc3204"/>
      <w:r>
        <w:rPr>
          <w:rFonts w:hint="eastAsia" w:ascii="仿宋" w:hAnsi="仿宋" w:eastAsia="仿宋" w:cs="宋体"/>
          <w:bCs/>
          <w:color w:val="000000" w:themeColor="text1"/>
          <w:sz w:val="28"/>
          <w:lang w:eastAsia="zh-CN"/>
          <w14:textFill>
            <w14:solidFill>
              <w14:schemeClr w14:val="tx1"/>
            </w14:solidFill>
          </w14:textFill>
        </w:rPr>
        <w:t>二〇二二年九月十九日</w:t>
      </w: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000000" w:themeColor="text1"/>
          <w:sz w:val="28"/>
          <w:lang w:eastAsia="zh-CN"/>
          <w14:textFill>
            <w14:solidFill>
              <w14:schemeClr w14:val="tx1"/>
            </w14:solidFill>
          </w14:textFill>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000000" w:themeColor="text1"/>
          <w:sz w:val="28"/>
          <w:lang w:eastAsia="zh-CN"/>
          <w14:textFill>
            <w14:solidFill>
              <w14:schemeClr w14:val="tx1"/>
            </w14:solidFill>
          </w14:textFill>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000000" w:themeColor="text1"/>
          <w:sz w:val="28"/>
          <w:lang w:eastAsia="zh-CN"/>
          <w14:textFill>
            <w14:solidFill>
              <w14:schemeClr w14:val="tx1"/>
            </w14:solidFill>
          </w14:textFill>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000000" w:themeColor="text1"/>
          <w:sz w:val="28"/>
          <w:lang w:eastAsia="zh-CN"/>
          <w14:textFill>
            <w14:solidFill>
              <w14:schemeClr w14:val="tx1"/>
            </w14:solidFill>
          </w14:textFill>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000000" w:themeColor="text1"/>
          <w:sz w:val="28"/>
          <w:lang w:eastAsia="zh-CN"/>
          <w14:textFill>
            <w14:solidFill>
              <w14:schemeClr w14:val="tx1"/>
            </w14:solidFill>
          </w14:textFill>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bookmarkEnd w:id="26"/>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sectPr>
      <w:headerReference r:id="rId5" w:type="default"/>
      <w:footerReference r:id="rId6" w:type="default"/>
      <w:pgSz w:w="11906" w:h="16838"/>
      <w:pgMar w:top="663" w:right="1060" w:bottom="663" w:left="157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pPr>
    <w:r>
      <w:rPr>
        <w:sz w:val="18"/>
      </w:rPr>
      <w:pict>
        <v:shape id="_x0000_s4115" o:spid="_x0000_s4115"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w:t>
                </w:r>
                <w:r>
                  <w:rPr>
                    <w:rFonts w:hint="eastAsia"/>
                    <w:lang w:val="en-US" w:eastAsia="zh-CN"/>
                  </w:rPr>
                  <w:t>11</w:t>
                </w:r>
                <w:r>
                  <w:t xml:space="preserve"> 页</w:t>
                </w:r>
              </w:p>
            </w:txbxContent>
          </v:textbox>
        </v:shape>
      </w:pict>
    </w:r>
    <w:r>
      <w:rPr>
        <w:sz w:val="18"/>
      </w:rPr>
      <w:pict>
        <v:shape id="_x0000_s4111" o:spid="_x0000_s4111"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2"/>
                </w:pPr>
              </w:p>
            </w:txbxContent>
          </v:textbox>
        </v:shape>
      </w:pict>
    </w:r>
    <w:r>
      <w:rPr>
        <w:sz w:val="18"/>
      </w:rPr>
      <w:pict>
        <v:shape id="_x0000_s4112" o:spid="_x0000_s4112"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2"/>
                </w:pPr>
              </w:p>
            </w:txbxContent>
          </v:textbox>
        </v:shape>
      </w:pict>
    </w:r>
    <w:r>
      <w:rPr>
        <w:sz w:val="18"/>
      </w:rPr>
      <w:pict>
        <v:shape id="_x0000_s4113" o:spid="_x0000_s411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txbxContent>
          </v:textbox>
        </v:shape>
      </w:pict>
    </w:r>
    <w:r>
      <w:pict>
        <v:shape id="_x0000_s4114" o:spid="_x0000_s4114"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2"/>
                </w:pPr>
              </w:p>
            </w:txbxContent>
          </v:textbox>
        </v:shape>
      </w:pict>
    </w:r>
  </w:p>
  <w:p>
    <w:pPr>
      <w:pStyle w:val="12"/>
      <w:wordWrap w:val="0"/>
      <w:jc w:val="right"/>
    </w:pPr>
  </w:p>
  <w:p>
    <w:pPr>
      <w:pStyle w:val="1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0F0FE"/>
    <w:multiLevelType w:val="singleLevel"/>
    <w:tmpl w:val="FFE0F0FE"/>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QxZmY0OTQ2NDA1OWEzYTU2ZTA3ZDNjMTIyNDBjNzMifQ=="/>
  </w:docVars>
  <w:rsids>
    <w:rsidRoot w:val="00172A27"/>
    <w:rsid w:val="0000078B"/>
    <w:rsid w:val="00001515"/>
    <w:rsid w:val="00001782"/>
    <w:rsid w:val="00002058"/>
    <w:rsid w:val="00002AA9"/>
    <w:rsid w:val="000036E7"/>
    <w:rsid w:val="00003AD3"/>
    <w:rsid w:val="00003D05"/>
    <w:rsid w:val="00003E23"/>
    <w:rsid w:val="00005358"/>
    <w:rsid w:val="0000733B"/>
    <w:rsid w:val="00007A4C"/>
    <w:rsid w:val="00007C75"/>
    <w:rsid w:val="00010693"/>
    <w:rsid w:val="000108CE"/>
    <w:rsid w:val="00010D69"/>
    <w:rsid w:val="00012100"/>
    <w:rsid w:val="00012CE6"/>
    <w:rsid w:val="00012DAA"/>
    <w:rsid w:val="0001313A"/>
    <w:rsid w:val="000133E9"/>
    <w:rsid w:val="00013BA6"/>
    <w:rsid w:val="00015D53"/>
    <w:rsid w:val="00016A22"/>
    <w:rsid w:val="0001765B"/>
    <w:rsid w:val="0001786D"/>
    <w:rsid w:val="00020006"/>
    <w:rsid w:val="00021625"/>
    <w:rsid w:val="00023EFA"/>
    <w:rsid w:val="00024144"/>
    <w:rsid w:val="00024C9A"/>
    <w:rsid w:val="0002567E"/>
    <w:rsid w:val="0002580A"/>
    <w:rsid w:val="00025D33"/>
    <w:rsid w:val="00025DCF"/>
    <w:rsid w:val="00026123"/>
    <w:rsid w:val="00026BA9"/>
    <w:rsid w:val="0002770E"/>
    <w:rsid w:val="00032368"/>
    <w:rsid w:val="00032731"/>
    <w:rsid w:val="00032748"/>
    <w:rsid w:val="000350CB"/>
    <w:rsid w:val="00035A90"/>
    <w:rsid w:val="00035F27"/>
    <w:rsid w:val="000362BB"/>
    <w:rsid w:val="00036670"/>
    <w:rsid w:val="00036D3F"/>
    <w:rsid w:val="0003769D"/>
    <w:rsid w:val="000400FE"/>
    <w:rsid w:val="000426F2"/>
    <w:rsid w:val="00044D8D"/>
    <w:rsid w:val="0004531E"/>
    <w:rsid w:val="00047005"/>
    <w:rsid w:val="00047ABF"/>
    <w:rsid w:val="00047E77"/>
    <w:rsid w:val="000506BD"/>
    <w:rsid w:val="000509E4"/>
    <w:rsid w:val="00051A11"/>
    <w:rsid w:val="0005339E"/>
    <w:rsid w:val="000534B2"/>
    <w:rsid w:val="000546AC"/>
    <w:rsid w:val="000547FE"/>
    <w:rsid w:val="00054807"/>
    <w:rsid w:val="00055160"/>
    <w:rsid w:val="00055B23"/>
    <w:rsid w:val="00060CCB"/>
    <w:rsid w:val="00060EE9"/>
    <w:rsid w:val="000629C1"/>
    <w:rsid w:val="00062AED"/>
    <w:rsid w:val="00063C18"/>
    <w:rsid w:val="0006496E"/>
    <w:rsid w:val="000649A5"/>
    <w:rsid w:val="00064A3D"/>
    <w:rsid w:val="00065899"/>
    <w:rsid w:val="0006744D"/>
    <w:rsid w:val="00067BB2"/>
    <w:rsid w:val="000704D9"/>
    <w:rsid w:val="00070AB5"/>
    <w:rsid w:val="00071D5B"/>
    <w:rsid w:val="000720A4"/>
    <w:rsid w:val="0007282F"/>
    <w:rsid w:val="00072C97"/>
    <w:rsid w:val="000737F3"/>
    <w:rsid w:val="00074898"/>
    <w:rsid w:val="00074B16"/>
    <w:rsid w:val="00074E55"/>
    <w:rsid w:val="00076055"/>
    <w:rsid w:val="00076246"/>
    <w:rsid w:val="0007646D"/>
    <w:rsid w:val="0008003C"/>
    <w:rsid w:val="00082CD3"/>
    <w:rsid w:val="00082ED2"/>
    <w:rsid w:val="00082FC1"/>
    <w:rsid w:val="00083146"/>
    <w:rsid w:val="00085ADA"/>
    <w:rsid w:val="00085C91"/>
    <w:rsid w:val="00090258"/>
    <w:rsid w:val="00090292"/>
    <w:rsid w:val="000913B0"/>
    <w:rsid w:val="000949BA"/>
    <w:rsid w:val="00095232"/>
    <w:rsid w:val="0009571F"/>
    <w:rsid w:val="00095D34"/>
    <w:rsid w:val="0009622E"/>
    <w:rsid w:val="000A0172"/>
    <w:rsid w:val="000A0AAE"/>
    <w:rsid w:val="000A0D28"/>
    <w:rsid w:val="000A1205"/>
    <w:rsid w:val="000A121A"/>
    <w:rsid w:val="000A1C83"/>
    <w:rsid w:val="000A2C20"/>
    <w:rsid w:val="000A3AE9"/>
    <w:rsid w:val="000A482E"/>
    <w:rsid w:val="000A6253"/>
    <w:rsid w:val="000A69D5"/>
    <w:rsid w:val="000A6E78"/>
    <w:rsid w:val="000A713A"/>
    <w:rsid w:val="000A79EB"/>
    <w:rsid w:val="000A7B73"/>
    <w:rsid w:val="000A7BAB"/>
    <w:rsid w:val="000A7DEC"/>
    <w:rsid w:val="000B05C2"/>
    <w:rsid w:val="000B0C65"/>
    <w:rsid w:val="000B1489"/>
    <w:rsid w:val="000B1C4D"/>
    <w:rsid w:val="000B2030"/>
    <w:rsid w:val="000B247B"/>
    <w:rsid w:val="000B2606"/>
    <w:rsid w:val="000B27B2"/>
    <w:rsid w:val="000B2EAB"/>
    <w:rsid w:val="000B3328"/>
    <w:rsid w:val="000B3DBF"/>
    <w:rsid w:val="000B42BD"/>
    <w:rsid w:val="000B6269"/>
    <w:rsid w:val="000B6F72"/>
    <w:rsid w:val="000B745B"/>
    <w:rsid w:val="000B79D7"/>
    <w:rsid w:val="000C000C"/>
    <w:rsid w:val="000C0939"/>
    <w:rsid w:val="000C0E6A"/>
    <w:rsid w:val="000C455F"/>
    <w:rsid w:val="000C4D5B"/>
    <w:rsid w:val="000C50C4"/>
    <w:rsid w:val="000C6FF6"/>
    <w:rsid w:val="000C7E84"/>
    <w:rsid w:val="000D0A76"/>
    <w:rsid w:val="000D2825"/>
    <w:rsid w:val="000D45E6"/>
    <w:rsid w:val="000D4980"/>
    <w:rsid w:val="000D5298"/>
    <w:rsid w:val="000D6F9E"/>
    <w:rsid w:val="000E065F"/>
    <w:rsid w:val="000E0954"/>
    <w:rsid w:val="000E0C04"/>
    <w:rsid w:val="000E1D6F"/>
    <w:rsid w:val="000E3EBE"/>
    <w:rsid w:val="000E4115"/>
    <w:rsid w:val="000E4DC0"/>
    <w:rsid w:val="000E5D71"/>
    <w:rsid w:val="000E6176"/>
    <w:rsid w:val="000E6B23"/>
    <w:rsid w:val="000E6D76"/>
    <w:rsid w:val="000E761F"/>
    <w:rsid w:val="000F1003"/>
    <w:rsid w:val="000F1E72"/>
    <w:rsid w:val="000F4303"/>
    <w:rsid w:val="000F4B39"/>
    <w:rsid w:val="000F6FDB"/>
    <w:rsid w:val="000F79FB"/>
    <w:rsid w:val="00104030"/>
    <w:rsid w:val="00106205"/>
    <w:rsid w:val="00107D52"/>
    <w:rsid w:val="00107EF9"/>
    <w:rsid w:val="001104B4"/>
    <w:rsid w:val="0011085D"/>
    <w:rsid w:val="00110934"/>
    <w:rsid w:val="00111996"/>
    <w:rsid w:val="00112980"/>
    <w:rsid w:val="00112A5D"/>
    <w:rsid w:val="00113453"/>
    <w:rsid w:val="00113DFC"/>
    <w:rsid w:val="00113E0F"/>
    <w:rsid w:val="00113EAA"/>
    <w:rsid w:val="00114B84"/>
    <w:rsid w:val="0011528F"/>
    <w:rsid w:val="00116F2E"/>
    <w:rsid w:val="001173D5"/>
    <w:rsid w:val="00117CE1"/>
    <w:rsid w:val="001203C6"/>
    <w:rsid w:val="00120442"/>
    <w:rsid w:val="00120A81"/>
    <w:rsid w:val="00121864"/>
    <w:rsid w:val="00121D51"/>
    <w:rsid w:val="00123CB2"/>
    <w:rsid w:val="00124C2D"/>
    <w:rsid w:val="00125007"/>
    <w:rsid w:val="001255A4"/>
    <w:rsid w:val="00127592"/>
    <w:rsid w:val="0013022E"/>
    <w:rsid w:val="00130425"/>
    <w:rsid w:val="001305A6"/>
    <w:rsid w:val="001317D9"/>
    <w:rsid w:val="00133E05"/>
    <w:rsid w:val="00134A93"/>
    <w:rsid w:val="00137606"/>
    <w:rsid w:val="001377E8"/>
    <w:rsid w:val="00140026"/>
    <w:rsid w:val="00141622"/>
    <w:rsid w:val="00141723"/>
    <w:rsid w:val="00142E18"/>
    <w:rsid w:val="001453CE"/>
    <w:rsid w:val="00146ABE"/>
    <w:rsid w:val="00147B64"/>
    <w:rsid w:val="00147CE9"/>
    <w:rsid w:val="00151F1E"/>
    <w:rsid w:val="001541BD"/>
    <w:rsid w:val="00154F61"/>
    <w:rsid w:val="00160F48"/>
    <w:rsid w:val="00161157"/>
    <w:rsid w:val="00162413"/>
    <w:rsid w:val="00162426"/>
    <w:rsid w:val="00163E20"/>
    <w:rsid w:val="00163FB5"/>
    <w:rsid w:val="00165233"/>
    <w:rsid w:val="00165629"/>
    <w:rsid w:val="00165AE9"/>
    <w:rsid w:val="00166795"/>
    <w:rsid w:val="001723AB"/>
    <w:rsid w:val="00172A27"/>
    <w:rsid w:val="00172A41"/>
    <w:rsid w:val="00172C91"/>
    <w:rsid w:val="0017392F"/>
    <w:rsid w:val="00174C2A"/>
    <w:rsid w:val="00174DFF"/>
    <w:rsid w:val="0017566F"/>
    <w:rsid w:val="00175C64"/>
    <w:rsid w:val="00176C3D"/>
    <w:rsid w:val="001770FB"/>
    <w:rsid w:val="001779AC"/>
    <w:rsid w:val="00177FB6"/>
    <w:rsid w:val="001818FE"/>
    <w:rsid w:val="00183145"/>
    <w:rsid w:val="00183910"/>
    <w:rsid w:val="0018399C"/>
    <w:rsid w:val="00183A44"/>
    <w:rsid w:val="001863B5"/>
    <w:rsid w:val="00186743"/>
    <w:rsid w:val="00186A17"/>
    <w:rsid w:val="00186BF2"/>
    <w:rsid w:val="00190357"/>
    <w:rsid w:val="00193C5A"/>
    <w:rsid w:val="00193F9D"/>
    <w:rsid w:val="0019407E"/>
    <w:rsid w:val="00194334"/>
    <w:rsid w:val="00194E6E"/>
    <w:rsid w:val="001955A7"/>
    <w:rsid w:val="0019689B"/>
    <w:rsid w:val="00196AB5"/>
    <w:rsid w:val="00196E34"/>
    <w:rsid w:val="00197AB6"/>
    <w:rsid w:val="001A0528"/>
    <w:rsid w:val="001A1354"/>
    <w:rsid w:val="001A1A10"/>
    <w:rsid w:val="001A3864"/>
    <w:rsid w:val="001A3E17"/>
    <w:rsid w:val="001A4558"/>
    <w:rsid w:val="001A5D24"/>
    <w:rsid w:val="001A6824"/>
    <w:rsid w:val="001A7449"/>
    <w:rsid w:val="001A7956"/>
    <w:rsid w:val="001A7DE3"/>
    <w:rsid w:val="001A7F7F"/>
    <w:rsid w:val="001B0709"/>
    <w:rsid w:val="001B084E"/>
    <w:rsid w:val="001B30D7"/>
    <w:rsid w:val="001B3FA4"/>
    <w:rsid w:val="001B584A"/>
    <w:rsid w:val="001B5B45"/>
    <w:rsid w:val="001B6244"/>
    <w:rsid w:val="001B6A02"/>
    <w:rsid w:val="001B6BCD"/>
    <w:rsid w:val="001B7582"/>
    <w:rsid w:val="001C29D6"/>
    <w:rsid w:val="001C2BC2"/>
    <w:rsid w:val="001C31CE"/>
    <w:rsid w:val="001C3943"/>
    <w:rsid w:val="001C59EC"/>
    <w:rsid w:val="001D072E"/>
    <w:rsid w:val="001D0C1D"/>
    <w:rsid w:val="001D1023"/>
    <w:rsid w:val="001D1DFD"/>
    <w:rsid w:val="001D237B"/>
    <w:rsid w:val="001D376C"/>
    <w:rsid w:val="001D57D4"/>
    <w:rsid w:val="001D69DF"/>
    <w:rsid w:val="001E1BD6"/>
    <w:rsid w:val="001E376D"/>
    <w:rsid w:val="001E4F32"/>
    <w:rsid w:val="001E4FB0"/>
    <w:rsid w:val="001E57DE"/>
    <w:rsid w:val="001E6004"/>
    <w:rsid w:val="001E6899"/>
    <w:rsid w:val="001E6964"/>
    <w:rsid w:val="001E6AC3"/>
    <w:rsid w:val="001E76A5"/>
    <w:rsid w:val="001E7819"/>
    <w:rsid w:val="001E7A92"/>
    <w:rsid w:val="001F091C"/>
    <w:rsid w:val="001F0920"/>
    <w:rsid w:val="001F1108"/>
    <w:rsid w:val="001F18DD"/>
    <w:rsid w:val="001F1C52"/>
    <w:rsid w:val="001F1F71"/>
    <w:rsid w:val="001F1FB9"/>
    <w:rsid w:val="001F2275"/>
    <w:rsid w:val="001F2B51"/>
    <w:rsid w:val="001F404C"/>
    <w:rsid w:val="001F53BF"/>
    <w:rsid w:val="001F57B2"/>
    <w:rsid w:val="001F6DDE"/>
    <w:rsid w:val="00200577"/>
    <w:rsid w:val="002021E0"/>
    <w:rsid w:val="00202E58"/>
    <w:rsid w:val="0020435A"/>
    <w:rsid w:val="00204812"/>
    <w:rsid w:val="002050D9"/>
    <w:rsid w:val="00207029"/>
    <w:rsid w:val="0020758A"/>
    <w:rsid w:val="00207778"/>
    <w:rsid w:val="00210266"/>
    <w:rsid w:val="00210E10"/>
    <w:rsid w:val="00210FFB"/>
    <w:rsid w:val="002128FF"/>
    <w:rsid w:val="002138FE"/>
    <w:rsid w:val="00214F66"/>
    <w:rsid w:val="002162B8"/>
    <w:rsid w:val="00217131"/>
    <w:rsid w:val="00217727"/>
    <w:rsid w:val="002178DC"/>
    <w:rsid w:val="00217F10"/>
    <w:rsid w:val="002201E7"/>
    <w:rsid w:val="00220BCB"/>
    <w:rsid w:val="002210E9"/>
    <w:rsid w:val="00222237"/>
    <w:rsid w:val="00222A4F"/>
    <w:rsid w:val="00223F0B"/>
    <w:rsid w:val="00224B45"/>
    <w:rsid w:val="00224D7E"/>
    <w:rsid w:val="00226F2E"/>
    <w:rsid w:val="00227328"/>
    <w:rsid w:val="00227FA7"/>
    <w:rsid w:val="00230160"/>
    <w:rsid w:val="0023061A"/>
    <w:rsid w:val="00231A09"/>
    <w:rsid w:val="00232135"/>
    <w:rsid w:val="00232451"/>
    <w:rsid w:val="00232B8D"/>
    <w:rsid w:val="0023380F"/>
    <w:rsid w:val="0023385B"/>
    <w:rsid w:val="00233D35"/>
    <w:rsid w:val="002349B6"/>
    <w:rsid w:val="00236AA3"/>
    <w:rsid w:val="00237BC5"/>
    <w:rsid w:val="0024073E"/>
    <w:rsid w:val="00240A4B"/>
    <w:rsid w:val="0024243E"/>
    <w:rsid w:val="00242738"/>
    <w:rsid w:val="00242A82"/>
    <w:rsid w:val="00242CC3"/>
    <w:rsid w:val="00244052"/>
    <w:rsid w:val="0024533A"/>
    <w:rsid w:val="00250613"/>
    <w:rsid w:val="002534C1"/>
    <w:rsid w:val="00253EA2"/>
    <w:rsid w:val="002544DF"/>
    <w:rsid w:val="00254681"/>
    <w:rsid w:val="0025493C"/>
    <w:rsid w:val="00254B5A"/>
    <w:rsid w:val="00255678"/>
    <w:rsid w:val="00256B96"/>
    <w:rsid w:val="00256E2E"/>
    <w:rsid w:val="0025718B"/>
    <w:rsid w:val="00260771"/>
    <w:rsid w:val="00260C11"/>
    <w:rsid w:val="00261F50"/>
    <w:rsid w:val="00262307"/>
    <w:rsid w:val="002628A3"/>
    <w:rsid w:val="00262CE6"/>
    <w:rsid w:val="002632A3"/>
    <w:rsid w:val="00263FA9"/>
    <w:rsid w:val="00264046"/>
    <w:rsid w:val="00264107"/>
    <w:rsid w:val="00264553"/>
    <w:rsid w:val="00264BDF"/>
    <w:rsid w:val="00264E93"/>
    <w:rsid w:val="00265CCF"/>
    <w:rsid w:val="0026730B"/>
    <w:rsid w:val="002679BD"/>
    <w:rsid w:val="00272BA7"/>
    <w:rsid w:val="002730A8"/>
    <w:rsid w:val="00273D64"/>
    <w:rsid w:val="00274A98"/>
    <w:rsid w:val="00274E2F"/>
    <w:rsid w:val="00276213"/>
    <w:rsid w:val="0027675A"/>
    <w:rsid w:val="0027676C"/>
    <w:rsid w:val="0028069A"/>
    <w:rsid w:val="00282318"/>
    <w:rsid w:val="00282408"/>
    <w:rsid w:val="00282962"/>
    <w:rsid w:val="0028447E"/>
    <w:rsid w:val="00284EA4"/>
    <w:rsid w:val="00285648"/>
    <w:rsid w:val="00286501"/>
    <w:rsid w:val="00286951"/>
    <w:rsid w:val="002875F9"/>
    <w:rsid w:val="00290D10"/>
    <w:rsid w:val="002915D0"/>
    <w:rsid w:val="00291985"/>
    <w:rsid w:val="002923C6"/>
    <w:rsid w:val="00294E08"/>
    <w:rsid w:val="00296857"/>
    <w:rsid w:val="00296F1F"/>
    <w:rsid w:val="00297534"/>
    <w:rsid w:val="002A0B81"/>
    <w:rsid w:val="002A1291"/>
    <w:rsid w:val="002A1566"/>
    <w:rsid w:val="002A1C1C"/>
    <w:rsid w:val="002A2771"/>
    <w:rsid w:val="002A3B1B"/>
    <w:rsid w:val="002A4A57"/>
    <w:rsid w:val="002A4C70"/>
    <w:rsid w:val="002A4E9E"/>
    <w:rsid w:val="002A7157"/>
    <w:rsid w:val="002A7E21"/>
    <w:rsid w:val="002B0A42"/>
    <w:rsid w:val="002B0CDC"/>
    <w:rsid w:val="002B21BF"/>
    <w:rsid w:val="002B361F"/>
    <w:rsid w:val="002B3AAD"/>
    <w:rsid w:val="002B43D0"/>
    <w:rsid w:val="002B459D"/>
    <w:rsid w:val="002B46F8"/>
    <w:rsid w:val="002B5159"/>
    <w:rsid w:val="002C064E"/>
    <w:rsid w:val="002C0EBC"/>
    <w:rsid w:val="002C0F65"/>
    <w:rsid w:val="002C3204"/>
    <w:rsid w:val="002C3950"/>
    <w:rsid w:val="002C4B79"/>
    <w:rsid w:val="002C540B"/>
    <w:rsid w:val="002C633A"/>
    <w:rsid w:val="002C6A0A"/>
    <w:rsid w:val="002C6EE6"/>
    <w:rsid w:val="002C6F51"/>
    <w:rsid w:val="002C726E"/>
    <w:rsid w:val="002D1B97"/>
    <w:rsid w:val="002D4799"/>
    <w:rsid w:val="002D4C62"/>
    <w:rsid w:val="002D4CE7"/>
    <w:rsid w:val="002D4DEE"/>
    <w:rsid w:val="002D5587"/>
    <w:rsid w:val="002D560D"/>
    <w:rsid w:val="002D5B2A"/>
    <w:rsid w:val="002D6DB6"/>
    <w:rsid w:val="002D7D85"/>
    <w:rsid w:val="002E2535"/>
    <w:rsid w:val="002E4514"/>
    <w:rsid w:val="002E4BDE"/>
    <w:rsid w:val="002E5347"/>
    <w:rsid w:val="002E6C8D"/>
    <w:rsid w:val="002E791A"/>
    <w:rsid w:val="002E7A4F"/>
    <w:rsid w:val="002E7B45"/>
    <w:rsid w:val="002F042D"/>
    <w:rsid w:val="002F1107"/>
    <w:rsid w:val="002F1617"/>
    <w:rsid w:val="002F200C"/>
    <w:rsid w:val="002F2249"/>
    <w:rsid w:val="002F28A5"/>
    <w:rsid w:val="002F381E"/>
    <w:rsid w:val="002F3D92"/>
    <w:rsid w:val="002F3EC3"/>
    <w:rsid w:val="002F3EDC"/>
    <w:rsid w:val="002F43FD"/>
    <w:rsid w:val="002F4F8C"/>
    <w:rsid w:val="002F54AA"/>
    <w:rsid w:val="002F5EAC"/>
    <w:rsid w:val="002F60F2"/>
    <w:rsid w:val="002F6E8F"/>
    <w:rsid w:val="003010D6"/>
    <w:rsid w:val="00301DF8"/>
    <w:rsid w:val="00302C60"/>
    <w:rsid w:val="003038A9"/>
    <w:rsid w:val="0030429F"/>
    <w:rsid w:val="00304310"/>
    <w:rsid w:val="0030431A"/>
    <w:rsid w:val="00305510"/>
    <w:rsid w:val="00307295"/>
    <w:rsid w:val="00310034"/>
    <w:rsid w:val="00310952"/>
    <w:rsid w:val="003128E5"/>
    <w:rsid w:val="003131FA"/>
    <w:rsid w:val="00313CD5"/>
    <w:rsid w:val="00314E7A"/>
    <w:rsid w:val="00315416"/>
    <w:rsid w:val="003164EB"/>
    <w:rsid w:val="0031739E"/>
    <w:rsid w:val="00320B33"/>
    <w:rsid w:val="00320D1A"/>
    <w:rsid w:val="00320DA9"/>
    <w:rsid w:val="00321EAD"/>
    <w:rsid w:val="0032223A"/>
    <w:rsid w:val="00323558"/>
    <w:rsid w:val="00323CC3"/>
    <w:rsid w:val="003246AF"/>
    <w:rsid w:val="00324709"/>
    <w:rsid w:val="00324B5A"/>
    <w:rsid w:val="00325CB8"/>
    <w:rsid w:val="00326B81"/>
    <w:rsid w:val="003274FE"/>
    <w:rsid w:val="00332E03"/>
    <w:rsid w:val="00333117"/>
    <w:rsid w:val="00333B26"/>
    <w:rsid w:val="00334589"/>
    <w:rsid w:val="00334613"/>
    <w:rsid w:val="00335761"/>
    <w:rsid w:val="0033774F"/>
    <w:rsid w:val="0034034B"/>
    <w:rsid w:val="00340419"/>
    <w:rsid w:val="00341206"/>
    <w:rsid w:val="00341248"/>
    <w:rsid w:val="00342018"/>
    <w:rsid w:val="00342761"/>
    <w:rsid w:val="00342AD1"/>
    <w:rsid w:val="003444DB"/>
    <w:rsid w:val="00345D7E"/>
    <w:rsid w:val="00346475"/>
    <w:rsid w:val="003508E7"/>
    <w:rsid w:val="00353052"/>
    <w:rsid w:val="00353420"/>
    <w:rsid w:val="00353A81"/>
    <w:rsid w:val="00354421"/>
    <w:rsid w:val="00355816"/>
    <w:rsid w:val="003559BE"/>
    <w:rsid w:val="00355E28"/>
    <w:rsid w:val="00356775"/>
    <w:rsid w:val="00357314"/>
    <w:rsid w:val="003575F3"/>
    <w:rsid w:val="00360BD4"/>
    <w:rsid w:val="00362864"/>
    <w:rsid w:val="0036355E"/>
    <w:rsid w:val="00366D2F"/>
    <w:rsid w:val="003714CA"/>
    <w:rsid w:val="00373213"/>
    <w:rsid w:val="00373BCD"/>
    <w:rsid w:val="0037510C"/>
    <w:rsid w:val="00375E74"/>
    <w:rsid w:val="003777D4"/>
    <w:rsid w:val="003800E6"/>
    <w:rsid w:val="003809B4"/>
    <w:rsid w:val="00381C51"/>
    <w:rsid w:val="00381FE4"/>
    <w:rsid w:val="00384551"/>
    <w:rsid w:val="00384F03"/>
    <w:rsid w:val="0038540F"/>
    <w:rsid w:val="0038637F"/>
    <w:rsid w:val="003863C2"/>
    <w:rsid w:val="00391E31"/>
    <w:rsid w:val="003930EB"/>
    <w:rsid w:val="00395173"/>
    <w:rsid w:val="0039733D"/>
    <w:rsid w:val="00397BE6"/>
    <w:rsid w:val="00397BF1"/>
    <w:rsid w:val="003A0BE1"/>
    <w:rsid w:val="003A151C"/>
    <w:rsid w:val="003A1E3F"/>
    <w:rsid w:val="003A3967"/>
    <w:rsid w:val="003A3A23"/>
    <w:rsid w:val="003A3C84"/>
    <w:rsid w:val="003A4B7B"/>
    <w:rsid w:val="003A4DB8"/>
    <w:rsid w:val="003A6718"/>
    <w:rsid w:val="003A68F6"/>
    <w:rsid w:val="003A6BE7"/>
    <w:rsid w:val="003A7058"/>
    <w:rsid w:val="003B0273"/>
    <w:rsid w:val="003B3048"/>
    <w:rsid w:val="003B3DFA"/>
    <w:rsid w:val="003B6DC3"/>
    <w:rsid w:val="003C08EE"/>
    <w:rsid w:val="003C1240"/>
    <w:rsid w:val="003C2F13"/>
    <w:rsid w:val="003C38F6"/>
    <w:rsid w:val="003C4A20"/>
    <w:rsid w:val="003C4E95"/>
    <w:rsid w:val="003C4F62"/>
    <w:rsid w:val="003C69E5"/>
    <w:rsid w:val="003C7605"/>
    <w:rsid w:val="003D2D6A"/>
    <w:rsid w:val="003D316B"/>
    <w:rsid w:val="003D3B40"/>
    <w:rsid w:val="003D5766"/>
    <w:rsid w:val="003D5B11"/>
    <w:rsid w:val="003D6E0A"/>
    <w:rsid w:val="003D7DAF"/>
    <w:rsid w:val="003E0B88"/>
    <w:rsid w:val="003E13BD"/>
    <w:rsid w:val="003E1D53"/>
    <w:rsid w:val="003E43DB"/>
    <w:rsid w:val="003E52B0"/>
    <w:rsid w:val="003E76F9"/>
    <w:rsid w:val="003E7D5F"/>
    <w:rsid w:val="003F0BF6"/>
    <w:rsid w:val="003F1E31"/>
    <w:rsid w:val="003F3872"/>
    <w:rsid w:val="003F3F17"/>
    <w:rsid w:val="003F3FE1"/>
    <w:rsid w:val="003F4C57"/>
    <w:rsid w:val="003F54A8"/>
    <w:rsid w:val="003F5870"/>
    <w:rsid w:val="003F5E89"/>
    <w:rsid w:val="00400260"/>
    <w:rsid w:val="00400E91"/>
    <w:rsid w:val="00402186"/>
    <w:rsid w:val="004044C9"/>
    <w:rsid w:val="00404B1D"/>
    <w:rsid w:val="00405A48"/>
    <w:rsid w:val="00406BCE"/>
    <w:rsid w:val="004072E9"/>
    <w:rsid w:val="00407AD0"/>
    <w:rsid w:val="004101E3"/>
    <w:rsid w:val="00410E0C"/>
    <w:rsid w:val="00410F5E"/>
    <w:rsid w:val="004117FC"/>
    <w:rsid w:val="0041201D"/>
    <w:rsid w:val="004130F2"/>
    <w:rsid w:val="00414231"/>
    <w:rsid w:val="00414760"/>
    <w:rsid w:val="00420601"/>
    <w:rsid w:val="00421273"/>
    <w:rsid w:val="004223D0"/>
    <w:rsid w:val="00424BD2"/>
    <w:rsid w:val="00424CBB"/>
    <w:rsid w:val="0042515E"/>
    <w:rsid w:val="0042552C"/>
    <w:rsid w:val="004266F6"/>
    <w:rsid w:val="004267C7"/>
    <w:rsid w:val="00426BD3"/>
    <w:rsid w:val="00427238"/>
    <w:rsid w:val="00430A79"/>
    <w:rsid w:val="00430E3F"/>
    <w:rsid w:val="0043133B"/>
    <w:rsid w:val="00431502"/>
    <w:rsid w:val="00431613"/>
    <w:rsid w:val="00433422"/>
    <w:rsid w:val="00433592"/>
    <w:rsid w:val="00433FB0"/>
    <w:rsid w:val="004340AF"/>
    <w:rsid w:val="00436B04"/>
    <w:rsid w:val="0043723A"/>
    <w:rsid w:val="00440174"/>
    <w:rsid w:val="004410AA"/>
    <w:rsid w:val="00441819"/>
    <w:rsid w:val="0044248C"/>
    <w:rsid w:val="00443264"/>
    <w:rsid w:val="0044381B"/>
    <w:rsid w:val="004450CA"/>
    <w:rsid w:val="004452B5"/>
    <w:rsid w:val="004453B4"/>
    <w:rsid w:val="004462FD"/>
    <w:rsid w:val="0044734B"/>
    <w:rsid w:val="00450CD4"/>
    <w:rsid w:val="004511BE"/>
    <w:rsid w:val="00452E0C"/>
    <w:rsid w:val="00452F67"/>
    <w:rsid w:val="00454A76"/>
    <w:rsid w:val="00454B46"/>
    <w:rsid w:val="00454EBA"/>
    <w:rsid w:val="004555C4"/>
    <w:rsid w:val="00455898"/>
    <w:rsid w:val="0046201C"/>
    <w:rsid w:val="00464185"/>
    <w:rsid w:val="00464C01"/>
    <w:rsid w:val="00464E55"/>
    <w:rsid w:val="00466C22"/>
    <w:rsid w:val="0046737A"/>
    <w:rsid w:val="00467552"/>
    <w:rsid w:val="004715EC"/>
    <w:rsid w:val="004723E1"/>
    <w:rsid w:val="00472614"/>
    <w:rsid w:val="00473D0E"/>
    <w:rsid w:val="004752F5"/>
    <w:rsid w:val="004765E6"/>
    <w:rsid w:val="004772FF"/>
    <w:rsid w:val="00481106"/>
    <w:rsid w:val="00481477"/>
    <w:rsid w:val="00482BB9"/>
    <w:rsid w:val="00483CF6"/>
    <w:rsid w:val="00484B4A"/>
    <w:rsid w:val="0048509D"/>
    <w:rsid w:val="00486546"/>
    <w:rsid w:val="00486584"/>
    <w:rsid w:val="00486F4E"/>
    <w:rsid w:val="004901AA"/>
    <w:rsid w:val="004922DA"/>
    <w:rsid w:val="0049248E"/>
    <w:rsid w:val="004930CE"/>
    <w:rsid w:val="00493705"/>
    <w:rsid w:val="004955B2"/>
    <w:rsid w:val="00495F92"/>
    <w:rsid w:val="00496597"/>
    <w:rsid w:val="00497C21"/>
    <w:rsid w:val="004A0214"/>
    <w:rsid w:val="004A1786"/>
    <w:rsid w:val="004A1988"/>
    <w:rsid w:val="004A203F"/>
    <w:rsid w:val="004A29F0"/>
    <w:rsid w:val="004A3A06"/>
    <w:rsid w:val="004A436D"/>
    <w:rsid w:val="004A4777"/>
    <w:rsid w:val="004A4B82"/>
    <w:rsid w:val="004A5A8F"/>
    <w:rsid w:val="004A791D"/>
    <w:rsid w:val="004B0613"/>
    <w:rsid w:val="004B0BD9"/>
    <w:rsid w:val="004B1072"/>
    <w:rsid w:val="004B35B5"/>
    <w:rsid w:val="004B4377"/>
    <w:rsid w:val="004B4B26"/>
    <w:rsid w:val="004B4CE6"/>
    <w:rsid w:val="004B52FE"/>
    <w:rsid w:val="004B6A13"/>
    <w:rsid w:val="004B6F19"/>
    <w:rsid w:val="004B770E"/>
    <w:rsid w:val="004B79C5"/>
    <w:rsid w:val="004C03BB"/>
    <w:rsid w:val="004C0FCB"/>
    <w:rsid w:val="004C1BAD"/>
    <w:rsid w:val="004C1D16"/>
    <w:rsid w:val="004C1FA4"/>
    <w:rsid w:val="004C2264"/>
    <w:rsid w:val="004C2373"/>
    <w:rsid w:val="004C2895"/>
    <w:rsid w:val="004C32E8"/>
    <w:rsid w:val="004C4392"/>
    <w:rsid w:val="004C4792"/>
    <w:rsid w:val="004C4C3F"/>
    <w:rsid w:val="004C4CC8"/>
    <w:rsid w:val="004C4EC9"/>
    <w:rsid w:val="004C5D8F"/>
    <w:rsid w:val="004C72CA"/>
    <w:rsid w:val="004C77CB"/>
    <w:rsid w:val="004D04DD"/>
    <w:rsid w:val="004D0522"/>
    <w:rsid w:val="004D0797"/>
    <w:rsid w:val="004D07A4"/>
    <w:rsid w:val="004D0F6E"/>
    <w:rsid w:val="004D1ABC"/>
    <w:rsid w:val="004D1D26"/>
    <w:rsid w:val="004D2847"/>
    <w:rsid w:val="004D2F5A"/>
    <w:rsid w:val="004D35EC"/>
    <w:rsid w:val="004D5B39"/>
    <w:rsid w:val="004D6087"/>
    <w:rsid w:val="004D67F1"/>
    <w:rsid w:val="004D6838"/>
    <w:rsid w:val="004D7825"/>
    <w:rsid w:val="004D78AF"/>
    <w:rsid w:val="004E0374"/>
    <w:rsid w:val="004E0912"/>
    <w:rsid w:val="004E148D"/>
    <w:rsid w:val="004E168D"/>
    <w:rsid w:val="004E2182"/>
    <w:rsid w:val="004E21F7"/>
    <w:rsid w:val="004E3B5B"/>
    <w:rsid w:val="004E3EAF"/>
    <w:rsid w:val="004E43BF"/>
    <w:rsid w:val="004E467B"/>
    <w:rsid w:val="004E573E"/>
    <w:rsid w:val="004E59F9"/>
    <w:rsid w:val="004E6967"/>
    <w:rsid w:val="004E70A5"/>
    <w:rsid w:val="004F0380"/>
    <w:rsid w:val="004F0BDB"/>
    <w:rsid w:val="004F1670"/>
    <w:rsid w:val="004F2939"/>
    <w:rsid w:val="004F56DF"/>
    <w:rsid w:val="004F5C0A"/>
    <w:rsid w:val="004F5EFC"/>
    <w:rsid w:val="004F6324"/>
    <w:rsid w:val="004F6336"/>
    <w:rsid w:val="004F66ED"/>
    <w:rsid w:val="004F717A"/>
    <w:rsid w:val="004F7D2D"/>
    <w:rsid w:val="005013F0"/>
    <w:rsid w:val="00502866"/>
    <w:rsid w:val="00503640"/>
    <w:rsid w:val="00503CC4"/>
    <w:rsid w:val="00504166"/>
    <w:rsid w:val="005055C9"/>
    <w:rsid w:val="005056E3"/>
    <w:rsid w:val="005059A1"/>
    <w:rsid w:val="005073DE"/>
    <w:rsid w:val="005074D6"/>
    <w:rsid w:val="005100BC"/>
    <w:rsid w:val="005129F0"/>
    <w:rsid w:val="005130E9"/>
    <w:rsid w:val="005131AE"/>
    <w:rsid w:val="00514BCD"/>
    <w:rsid w:val="00515F46"/>
    <w:rsid w:val="005203DE"/>
    <w:rsid w:val="00520D35"/>
    <w:rsid w:val="0052141D"/>
    <w:rsid w:val="00521DF9"/>
    <w:rsid w:val="00521F9B"/>
    <w:rsid w:val="0052403E"/>
    <w:rsid w:val="005254E2"/>
    <w:rsid w:val="005254FC"/>
    <w:rsid w:val="00526A81"/>
    <w:rsid w:val="00526CE2"/>
    <w:rsid w:val="00527259"/>
    <w:rsid w:val="00527778"/>
    <w:rsid w:val="005305AC"/>
    <w:rsid w:val="0053064F"/>
    <w:rsid w:val="00530B7D"/>
    <w:rsid w:val="00530E3F"/>
    <w:rsid w:val="0053154E"/>
    <w:rsid w:val="00531695"/>
    <w:rsid w:val="00531F02"/>
    <w:rsid w:val="005329CB"/>
    <w:rsid w:val="00533EB8"/>
    <w:rsid w:val="00533F30"/>
    <w:rsid w:val="00534ED3"/>
    <w:rsid w:val="00535A98"/>
    <w:rsid w:val="00536851"/>
    <w:rsid w:val="00541A0C"/>
    <w:rsid w:val="005427DF"/>
    <w:rsid w:val="00543B84"/>
    <w:rsid w:val="005457A6"/>
    <w:rsid w:val="005515AE"/>
    <w:rsid w:val="00553694"/>
    <w:rsid w:val="005549B1"/>
    <w:rsid w:val="005556FA"/>
    <w:rsid w:val="00557ECD"/>
    <w:rsid w:val="00560703"/>
    <w:rsid w:val="0056188D"/>
    <w:rsid w:val="00562201"/>
    <w:rsid w:val="00562646"/>
    <w:rsid w:val="00563F10"/>
    <w:rsid w:val="005660C7"/>
    <w:rsid w:val="00566834"/>
    <w:rsid w:val="00570234"/>
    <w:rsid w:val="00571213"/>
    <w:rsid w:val="00571768"/>
    <w:rsid w:val="00572390"/>
    <w:rsid w:val="00572ADF"/>
    <w:rsid w:val="005731ED"/>
    <w:rsid w:val="00575812"/>
    <w:rsid w:val="00576102"/>
    <w:rsid w:val="00576C51"/>
    <w:rsid w:val="00576C93"/>
    <w:rsid w:val="005823BB"/>
    <w:rsid w:val="00583C5C"/>
    <w:rsid w:val="0058419F"/>
    <w:rsid w:val="00585D12"/>
    <w:rsid w:val="005867AF"/>
    <w:rsid w:val="00586BC9"/>
    <w:rsid w:val="0059110C"/>
    <w:rsid w:val="00591127"/>
    <w:rsid w:val="0059121D"/>
    <w:rsid w:val="00592144"/>
    <w:rsid w:val="005924E0"/>
    <w:rsid w:val="00593150"/>
    <w:rsid w:val="0059430B"/>
    <w:rsid w:val="005945CF"/>
    <w:rsid w:val="0059615F"/>
    <w:rsid w:val="005976E0"/>
    <w:rsid w:val="005A1407"/>
    <w:rsid w:val="005A1490"/>
    <w:rsid w:val="005A333B"/>
    <w:rsid w:val="005A5112"/>
    <w:rsid w:val="005A511A"/>
    <w:rsid w:val="005A67BF"/>
    <w:rsid w:val="005B11A7"/>
    <w:rsid w:val="005B1A24"/>
    <w:rsid w:val="005B1B16"/>
    <w:rsid w:val="005B218D"/>
    <w:rsid w:val="005B23BE"/>
    <w:rsid w:val="005B2416"/>
    <w:rsid w:val="005B289D"/>
    <w:rsid w:val="005B36F8"/>
    <w:rsid w:val="005B4622"/>
    <w:rsid w:val="005B5449"/>
    <w:rsid w:val="005B5FCE"/>
    <w:rsid w:val="005B6C0A"/>
    <w:rsid w:val="005B723F"/>
    <w:rsid w:val="005B7DD8"/>
    <w:rsid w:val="005C07DD"/>
    <w:rsid w:val="005C0935"/>
    <w:rsid w:val="005C0EBA"/>
    <w:rsid w:val="005C2B94"/>
    <w:rsid w:val="005C38D1"/>
    <w:rsid w:val="005C3A0A"/>
    <w:rsid w:val="005C3BC0"/>
    <w:rsid w:val="005C4929"/>
    <w:rsid w:val="005C636A"/>
    <w:rsid w:val="005C6EE9"/>
    <w:rsid w:val="005C7890"/>
    <w:rsid w:val="005C7F3D"/>
    <w:rsid w:val="005D08C0"/>
    <w:rsid w:val="005D0E1E"/>
    <w:rsid w:val="005D133A"/>
    <w:rsid w:val="005D228C"/>
    <w:rsid w:val="005D2C6E"/>
    <w:rsid w:val="005D4783"/>
    <w:rsid w:val="005D4FB2"/>
    <w:rsid w:val="005D59A6"/>
    <w:rsid w:val="005D7240"/>
    <w:rsid w:val="005E04A0"/>
    <w:rsid w:val="005E26CD"/>
    <w:rsid w:val="005E2CA1"/>
    <w:rsid w:val="005E4E41"/>
    <w:rsid w:val="005E55B6"/>
    <w:rsid w:val="005E66CE"/>
    <w:rsid w:val="005E6BB6"/>
    <w:rsid w:val="005E72C4"/>
    <w:rsid w:val="005F03AB"/>
    <w:rsid w:val="005F0CC3"/>
    <w:rsid w:val="005F212B"/>
    <w:rsid w:val="005F381E"/>
    <w:rsid w:val="005F3FE7"/>
    <w:rsid w:val="005F47C8"/>
    <w:rsid w:val="005F525B"/>
    <w:rsid w:val="005F5346"/>
    <w:rsid w:val="005F627B"/>
    <w:rsid w:val="005F68DB"/>
    <w:rsid w:val="006000F5"/>
    <w:rsid w:val="00600129"/>
    <w:rsid w:val="00600436"/>
    <w:rsid w:val="00600A56"/>
    <w:rsid w:val="0060128E"/>
    <w:rsid w:val="00601406"/>
    <w:rsid w:val="0060164A"/>
    <w:rsid w:val="006028E4"/>
    <w:rsid w:val="006029AB"/>
    <w:rsid w:val="00602BD9"/>
    <w:rsid w:val="00602CA6"/>
    <w:rsid w:val="00602F45"/>
    <w:rsid w:val="006032F9"/>
    <w:rsid w:val="00604BDE"/>
    <w:rsid w:val="00604D1C"/>
    <w:rsid w:val="00605A63"/>
    <w:rsid w:val="00605D12"/>
    <w:rsid w:val="00605D78"/>
    <w:rsid w:val="006075C8"/>
    <w:rsid w:val="00607B0C"/>
    <w:rsid w:val="0061006F"/>
    <w:rsid w:val="006108ED"/>
    <w:rsid w:val="006118D0"/>
    <w:rsid w:val="00611EB6"/>
    <w:rsid w:val="0061209C"/>
    <w:rsid w:val="006121C8"/>
    <w:rsid w:val="00612786"/>
    <w:rsid w:val="00614D17"/>
    <w:rsid w:val="00614E8F"/>
    <w:rsid w:val="00614F27"/>
    <w:rsid w:val="00615A36"/>
    <w:rsid w:val="00615FC0"/>
    <w:rsid w:val="00617BC1"/>
    <w:rsid w:val="00620353"/>
    <w:rsid w:val="00621358"/>
    <w:rsid w:val="00621E8D"/>
    <w:rsid w:val="0062224D"/>
    <w:rsid w:val="00622E10"/>
    <w:rsid w:val="00623381"/>
    <w:rsid w:val="00624092"/>
    <w:rsid w:val="006243FF"/>
    <w:rsid w:val="006247ED"/>
    <w:rsid w:val="00625BF7"/>
    <w:rsid w:val="0062659D"/>
    <w:rsid w:val="0062786D"/>
    <w:rsid w:val="00630045"/>
    <w:rsid w:val="00630107"/>
    <w:rsid w:val="00630C86"/>
    <w:rsid w:val="0063131D"/>
    <w:rsid w:val="0063351A"/>
    <w:rsid w:val="00633859"/>
    <w:rsid w:val="00633EE4"/>
    <w:rsid w:val="00634BAB"/>
    <w:rsid w:val="00635422"/>
    <w:rsid w:val="00636265"/>
    <w:rsid w:val="00637823"/>
    <w:rsid w:val="0064059B"/>
    <w:rsid w:val="00640930"/>
    <w:rsid w:val="006418BB"/>
    <w:rsid w:val="00641E76"/>
    <w:rsid w:val="006431D6"/>
    <w:rsid w:val="006454E3"/>
    <w:rsid w:val="00645AEF"/>
    <w:rsid w:val="00645AF1"/>
    <w:rsid w:val="00647A83"/>
    <w:rsid w:val="006505D4"/>
    <w:rsid w:val="00652403"/>
    <w:rsid w:val="006526CD"/>
    <w:rsid w:val="00652A5E"/>
    <w:rsid w:val="00654C10"/>
    <w:rsid w:val="00654E16"/>
    <w:rsid w:val="006552C4"/>
    <w:rsid w:val="00655630"/>
    <w:rsid w:val="0065669D"/>
    <w:rsid w:val="00664745"/>
    <w:rsid w:val="00664BB9"/>
    <w:rsid w:val="00665746"/>
    <w:rsid w:val="006666FC"/>
    <w:rsid w:val="00667A26"/>
    <w:rsid w:val="00671CB0"/>
    <w:rsid w:val="006725DB"/>
    <w:rsid w:val="00672806"/>
    <w:rsid w:val="006732E3"/>
    <w:rsid w:val="00673F72"/>
    <w:rsid w:val="0067423E"/>
    <w:rsid w:val="0067520B"/>
    <w:rsid w:val="00677A39"/>
    <w:rsid w:val="0068143A"/>
    <w:rsid w:val="006829CC"/>
    <w:rsid w:val="00685BEC"/>
    <w:rsid w:val="00686E74"/>
    <w:rsid w:val="0068711F"/>
    <w:rsid w:val="00687664"/>
    <w:rsid w:val="00687F53"/>
    <w:rsid w:val="00690A4B"/>
    <w:rsid w:val="00690A4F"/>
    <w:rsid w:val="0069160D"/>
    <w:rsid w:val="00691B26"/>
    <w:rsid w:val="00692624"/>
    <w:rsid w:val="00696648"/>
    <w:rsid w:val="006A3CA3"/>
    <w:rsid w:val="006A40CC"/>
    <w:rsid w:val="006A457A"/>
    <w:rsid w:val="006A4876"/>
    <w:rsid w:val="006A5D0D"/>
    <w:rsid w:val="006A7902"/>
    <w:rsid w:val="006B003C"/>
    <w:rsid w:val="006B0A9D"/>
    <w:rsid w:val="006B0CD9"/>
    <w:rsid w:val="006B1BFA"/>
    <w:rsid w:val="006B2D90"/>
    <w:rsid w:val="006B49EE"/>
    <w:rsid w:val="006B4BD0"/>
    <w:rsid w:val="006B4E2E"/>
    <w:rsid w:val="006B6AE8"/>
    <w:rsid w:val="006C0E24"/>
    <w:rsid w:val="006C1D74"/>
    <w:rsid w:val="006C2138"/>
    <w:rsid w:val="006C24EE"/>
    <w:rsid w:val="006C2E34"/>
    <w:rsid w:val="006C3085"/>
    <w:rsid w:val="006C34B3"/>
    <w:rsid w:val="006C3D71"/>
    <w:rsid w:val="006C449C"/>
    <w:rsid w:val="006C6052"/>
    <w:rsid w:val="006C6E4C"/>
    <w:rsid w:val="006C7905"/>
    <w:rsid w:val="006D0E89"/>
    <w:rsid w:val="006D1982"/>
    <w:rsid w:val="006D1A70"/>
    <w:rsid w:val="006D2274"/>
    <w:rsid w:val="006D60D9"/>
    <w:rsid w:val="006D6AF6"/>
    <w:rsid w:val="006D798D"/>
    <w:rsid w:val="006D7BC4"/>
    <w:rsid w:val="006D7D8F"/>
    <w:rsid w:val="006E052B"/>
    <w:rsid w:val="006E1876"/>
    <w:rsid w:val="006E1C82"/>
    <w:rsid w:val="006E2A1A"/>
    <w:rsid w:val="006E4C29"/>
    <w:rsid w:val="006E5D91"/>
    <w:rsid w:val="006E6158"/>
    <w:rsid w:val="006E61C5"/>
    <w:rsid w:val="006F0823"/>
    <w:rsid w:val="006F0968"/>
    <w:rsid w:val="006F0E3F"/>
    <w:rsid w:val="006F1795"/>
    <w:rsid w:val="006F22C2"/>
    <w:rsid w:val="006F26E0"/>
    <w:rsid w:val="006F2EFD"/>
    <w:rsid w:val="006F462E"/>
    <w:rsid w:val="006F4F7B"/>
    <w:rsid w:val="006F5700"/>
    <w:rsid w:val="006F5711"/>
    <w:rsid w:val="006F78AB"/>
    <w:rsid w:val="007007C0"/>
    <w:rsid w:val="00700897"/>
    <w:rsid w:val="00701518"/>
    <w:rsid w:val="00702538"/>
    <w:rsid w:val="00704A98"/>
    <w:rsid w:val="00705247"/>
    <w:rsid w:val="00705C4F"/>
    <w:rsid w:val="00706494"/>
    <w:rsid w:val="00711AB1"/>
    <w:rsid w:val="00712C8F"/>
    <w:rsid w:val="00714217"/>
    <w:rsid w:val="00714680"/>
    <w:rsid w:val="00714E39"/>
    <w:rsid w:val="00714F11"/>
    <w:rsid w:val="007153A9"/>
    <w:rsid w:val="007153D8"/>
    <w:rsid w:val="00716426"/>
    <w:rsid w:val="0071667D"/>
    <w:rsid w:val="00716DDA"/>
    <w:rsid w:val="00716E4D"/>
    <w:rsid w:val="0071706B"/>
    <w:rsid w:val="00720722"/>
    <w:rsid w:val="00721457"/>
    <w:rsid w:val="00721A36"/>
    <w:rsid w:val="00722385"/>
    <w:rsid w:val="00723FF4"/>
    <w:rsid w:val="00724979"/>
    <w:rsid w:val="00724E51"/>
    <w:rsid w:val="0072513E"/>
    <w:rsid w:val="007256DB"/>
    <w:rsid w:val="0072705D"/>
    <w:rsid w:val="0073015D"/>
    <w:rsid w:val="00731DD0"/>
    <w:rsid w:val="00732313"/>
    <w:rsid w:val="007328FF"/>
    <w:rsid w:val="00732EE6"/>
    <w:rsid w:val="0073394F"/>
    <w:rsid w:val="007340BA"/>
    <w:rsid w:val="0073425E"/>
    <w:rsid w:val="00734913"/>
    <w:rsid w:val="00735A19"/>
    <w:rsid w:val="00736EE4"/>
    <w:rsid w:val="00737245"/>
    <w:rsid w:val="00737688"/>
    <w:rsid w:val="00737B55"/>
    <w:rsid w:val="007404B2"/>
    <w:rsid w:val="007405CB"/>
    <w:rsid w:val="00740D65"/>
    <w:rsid w:val="00741008"/>
    <w:rsid w:val="00741825"/>
    <w:rsid w:val="0074221B"/>
    <w:rsid w:val="00743B8B"/>
    <w:rsid w:val="00743D43"/>
    <w:rsid w:val="007453CE"/>
    <w:rsid w:val="00746377"/>
    <w:rsid w:val="00746E59"/>
    <w:rsid w:val="00747D46"/>
    <w:rsid w:val="00751D18"/>
    <w:rsid w:val="007527AA"/>
    <w:rsid w:val="00753436"/>
    <w:rsid w:val="00754CA3"/>
    <w:rsid w:val="00756687"/>
    <w:rsid w:val="00756D4F"/>
    <w:rsid w:val="00760DF8"/>
    <w:rsid w:val="00761867"/>
    <w:rsid w:val="00762A23"/>
    <w:rsid w:val="007632EF"/>
    <w:rsid w:val="007634CE"/>
    <w:rsid w:val="00763814"/>
    <w:rsid w:val="007649BB"/>
    <w:rsid w:val="00764C5A"/>
    <w:rsid w:val="00765179"/>
    <w:rsid w:val="00765777"/>
    <w:rsid w:val="00765968"/>
    <w:rsid w:val="00765E7D"/>
    <w:rsid w:val="00765F43"/>
    <w:rsid w:val="00766C72"/>
    <w:rsid w:val="00770DEC"/>
    <w:rsid w:val="00771414"/>
    <w:rsid w:val="007717E5"/>
    <w:rsid w:val="007719DE"/>
    <w:rsid w:val="0077529F"/>
    <w:rsid w:val="00776DF1"/>
    <w:rsid w:val="00776FC4"/>
    <w:rsid w:val="0077705D"/>
    <w:rsid w:val="00777571"/>
    <w:rsid w:val="00781327"/>
    <w:rsid w:val="007825DE"/>
    <w:rsid w:val="007828BF"/>
    <w:rsid w:val="00784566"/>
    <w:rsid w:val="00785B15"/>
    <w:rsid w:val="00786677"/>
    <w:rsid w:val="0079081A"/>
    <w:rsid w:val="00790D6A"/>
    <w:rsid w:val="00791BD5"/>
    <w:rsid w:val="007929EB"/>
    <w:rsid w:val="00795C6D"/>
    <w:rsid w:val="007963E5"/>
    <w:rsid w:val="00797E83"/>
    <w:rsid w:val="007A23CB"/>
    <w:rsid w:val="007A2475"/>
    <w:rsid w:val="007A2A11"/>
    <w:rsid w:val="007A2D00"/>
    <w:rsid w:val="007A2FB5"/>
    <w:rsid w:val="007A36C1"/>
    <w:rsid w:val="007A4848"/>
    <w:rsid w:val="007A7333"/>
    <w:rsid w:val="007B10F9"/>
    <w:rsid w:val="007B2ABD"/>
    <w:rsid w:val="007B327F"/>
    <w:rsid w:val="007B4E23"/>
    <w:rsid w:val="007B4EE0"/>
    <w:rsid w:val="007B5570"/>
    <w:rsid w:val="007B5A58"/>
    <w:rsid w:val="007B5EED"/>
    <w:rsid w:val="007B6C45"/>
    <w:rsid w:val="007B7067"/>
    <w:rsid w:val="007B75C3"/>
    <w:rsid w:val="007C074D"/>
    <w:rsid w:val="007C135D"/>
    <w:rsid w:val="007C1D1D"/>
    <w:rsid w:val="007C2CD9"/>
    <w:rsid w:val="007C75BF"/>
    <w:rsid w:val="007D00C8"/>
    <w:rsid w:val="007D0797"/>
    <w:rsid w:val="007D0BF2"/>
    <w:rsid w:val="007D0F3E"/>
    <w:rsid w:val="007D0FF7"/>
    <w:rsid w:val="007D1749"/>
    <w:rsid w:val="007D1923"/>
    <w:rsid w:val="007D1E2D"/>
    <w:rsid w:val="007D2E97"/>
    <w:rsid w:val="007D38CD"/>
    <w:rsid w:val="007D6816"/>
    <w:rsid w:val="007D70D2"/>
    <w:rsid w:val="007D7872"/>
    <w:rsid w:val="007D7FEA"/>
    <w:rsid w:val="007E1DE8"/>
    <w:rsid w:val="007E254C"/>
    <w:rsid w:val="007E3197"/>
    <w:rsid w:val="007E3573"/>
    <w:rsid w:val="007E453C"/>
    <w:rsid w:val="007E4540"/>
    <w:rsid w:val="007E50EA"/>
    <w:rsid w:val="007F0418"/>
    <w:rsid w:val="007F274B"/>
    <w:rsid w:val="007F3328"/>
    <w:rsid w:val="007F43B7"/>
    <w:rsid w:val="007F5640"/>
    <w:rsid w:val="007F6052"/>
    <w:rsid w:val="007F6989"/>
    <w:rsid w:val="007F6AA8"/>
    <w:rsid w:val="007F7836"/>
    <w:rsid w:val="007F7DC0"/>
    <w:rsid w:val="00802619"/>
    <w:rsid w:val="00802625"/>
    <w:rsid w:val="00802905"/>
    <w:rsid w:val="00804AEA"/>
    <w:rsid w:val="00806734"/>
    <w:rsid w:val="00810FC7"/>
    <w:rsid w:val="00812161"/>
    <w:rsid w:val="008129ED"/>
    <w:rsid w:val="008131D4"/>
    <w:rsid w:val="008146EB"/>
    <w:rsid w:val="00814FEC"/>
    <w:rsid w:val="00815006"/>
    <w:rsid w:val="008150D6"/>
    <w:rsid w:val="00815DD2"/>
    <w:rsid w:val="008165A2"/>
    <w:rsid w:val="00816EEF"/>
    <w:rsid w:val="00817606"/>
    <w:rsid w:val="0082113C"/>
    <w:rsid w:val="008219B1"/>
    <w:rsid w:val="00822843"/>
    <w:rsid w:val="0082345F"/>
    <w:rsid w:val="0082380E"/>
    <w:rsid w:val="008242D0"/>
    <w:rsid w:val="00824AAD"/>
    <w:rsid w:val="00824F75"/>
    <w:rsid w:val="00825A94"/>
    <w:rsid w:val="00825E4F"/>
    <w:rsid w:val="00826A43"/>
    <w:rsid w:val="008270E3"/>
    <w:rsid w:val="008312FA"/>
    <w:rsid w:val="0083151B"/>
    <w:rsid w:val="00831576"/>
    <w:rsid w:val="00832456"/>
    <w:rsid w:val="00833468"/>
    <w:rsid w:val="0083503E"/>
    <w:rsid w:val="00835719"/>
    <w:rsid w:val="00835DFB"/>
    <w:rsid w:val="0083738A"/>
    <w:rsid w:val="0084016A"/>
    <w:rsid w:val="0084119B"/>
    <w:rsid w:val="00841F84"/>
    <w:rsid w:val="00842069"/>
    <w:rsid w:val="00842109"/>
    <w:rsid w:val="00842E81"/>
    <w:rsid w:val="0084318F"/>
    <w:rsid w:val="008437B4"/>
    <w:rsid w:val="00843F31"/>
    <w:rsid w:val="00844B19"/>
    <w:rsid w:val="00845906"/>
    <w:rsid w:val="008466CF"/>
    <w:rsid w:val="008467F4"/>
    <w:rsid w:val="00847377"/>
    <w:rsid w:val="00847829"/>
    <w:rsid w:val="00847C0A"/>
    <w:rsid w:val="0085198C"/>
    <w:rsid w:val="00851A73"/>
    <w:rsid w:val="008532DA"/>
    <w:rsid w:val="008533B5"/>
    <w:rsid w:val="008537C2"/>
    <w:rsid w:val="00853C3E"/>
    <w:rsid w:val="00854E9B"/>
    <w:rsid w:val="00856732"/>
    <w:rsid w:val="00856A15"/>
    <w:rsid w:val="0085707E"/>
    <w:rsid w:val="00857FC8"/>
    <w:rsid w:val="008614A0"/>
    <w:rsid w:val="0086348F"/>
    <w:rsid w:val="00863499"/>
    <w:rsid w:val="00863D54"/>
    <w:rsid w:val="0086495C"/>
    <w:rsid w:val="00864D92"/>
    <w:rsid w:val="00864F7F"/>
    <w:rsid w:val="008660DA"/>
    <w:rsid w:val="00874D10"/>
    <w:rsid w:val="008761FD"/>
    <w:rsid w:val="00876C39"/>
    <w:rsid w:val="0087712F"/>
    <w:rsid w:val="0088007F"/>
    <w:rsid w:val="00880811"/>
    <w:rsid w:val="00880ECA"/>
    <w:rsid w:val="008816B6"/>
    <w:rsid w:val="008817A9"/>
    <w:rsid w:val="00881E66"/>
    <w:rsid w:val="008822B6"/>
    <w:rsid w:val="00882317"/>
    <w:rsid w:val="00883EAE"/>
    <w:rsid w:val="00884169"/>
    <w:rsid w:val="008843C3"/>
    <w:rsid w:val="00884C90"/>
    <w:rsid w:val="0088658E"/>
    <w:rsid w:val="00886A0F"/>
    <w:rsid w:val="00886F09"/>
    <w:rsid w:val="00887420"/>
    <w:rsid w:val="00887C3C"/>
    <w:rsid w:val="00890E93"/>
    <w:rsid w:val="0089138A"/>
    <w:rsid w:val="008913F4"/>
    <w:rsid w:val="008925D1"/>
    <w:rsid w:val="0089366C"/>
    <w:rsid w:val="00893D77"/>
    <w:rsid w:val="00896012"/>
    <w:rsid w:val="00896283"/>
    <w:rsid w:val="0089677B"/>
    <w:rsid w:val="00896B65"/>
    <w:rsid w:val="00897E7B"/>
    <w:rsid w:val="008A0E34"/>
    <w:rsid w:val="008A1405"/>
    <w:rsid w:val="008A1524"/>
    <w:rsid w:val="008A4649"/>
    <w:rsid w:val="008A4DB2"/>
    <w:rsid w:val="008A626F"/>
    <w:rsid w:val="008A6D97"/>
    <w:rsid w:val="008A7451"/>
    <w:rsid w:val="008B02F5"/>
    <w:rsid w:val="008B049F"/>
    <w:rsid w:val="008B1078"/>
    <w:rsid w:val="008B205C"/>
    <w:rsid w:val="008B26AC"/>
    <w:rsid w:val="008B276C"/>
    <w:rsid w:val="008B2D5C"/>
    <w:rsid w:val="008B38CB"/>
    <w:rsid w:val="008B3FCA"/>
    <w:rsid w:val="008B4620"/>
    <w:rsid w:val="008B53F5"/>
    <w:rsid w:val="008B55D3"/>
    <w:rsid w:val="008B60AE"/>
    <w:rsid w:val="008B637F"/>
    <w:rsid w:val="008B6DA8"/>
    <w:rsid w:val="008C11D8"/>
    <w:rsid w:val="008C1899"/>
    <w:rsid w:val="008C44B0"/>
    <w:rsid w:val="008C5AA8"/>
    <w:rsid w:val="008D008C"/>
    <w:rsid w:val="008D03BE"/>
    <w:rsid w:val="008D0F14"/>
    <w:rsid w:val="008D10AA"/>
    <w:rsid w:val="008D1B00"/>
    <w:rsid w:val="008D491D"/>
    <w:rsid w:val="008D4D57"/>
    <w:rsid w:val="008D50DF"/>
    <w:rsid w:val="008D581B"/>
    <w:rsid w:val="008D5895"/>
    <w:rsid w:val="008D662D"/>
    <w:rsid w:val="008D6B0A"/>
    <w:rsid w:val="008D7B9A"/>
    <w:rsid w:val="008E09FF"/>
    <w:rsid w:val="008E1437"/>
    <w:rsid w:val="008E252F"/>
    <w:rsid w:val="008E2B7B"/>
    <w:rsid w:val="008E4A88"/>
    <w:rsid w:val="008E5ED7"/>
    <w:rsid w:val="008F01A1"/>
    <w:rsid w:val="008F05E0"/>
    <w:rsid w:val="008F3494"/>
    <w:rsid w:val="008F4F1E"/>
    <w:rsid w:val="008F5A62"/>
    <w:rsid w:val="008F6009"/>
    <w:rsid w:val="008F66DA"/>
    <w:rsid w:val="00900005"/>
    <w:rsid w:val="00900E9E"/>
    <w:rsid w:val="009010B8"/>
    <w:rsid w:val="009013AA"/>
    <w:rsid w:val="009020CD"/>
    <w:rsid w:val="009026C1"/>
    <w:rsid w:val="0090392E"/>
    <w:rsid w:val="009043BC"/>
    <w:rsid w:val="009059DA"/>
    <w:rsid w:val="009059F0"/>
    <w:rsid w:val="00906360"/>
    <w:rsid w:val="00906836"/>
    <w:rsid w:val="00906A65"/>
    <w:rsid w:val="00906C84"/>
    <w:rsid w:val="00907698"/>
    <w:rsid w:val="00907F69"/>
    <w:rsid w:val="009104DD"/>
    <w:rsid w:val="00912426"/>
    <w:rsid w:val="00912614"/>
    <w:rsid w:val="009132BC"/>
    <w:rsid w:val="00913FE6"/>
    <w:rsid w:val="0091516A"/>
    <w:rsid w:val="00915326"/>
    <w:rsid w:val="00915ACA"/>
    <w:rsid w:val="00915F84"/>
    <w:rsid w:val="00916D86"/>
    <w:rsid w:val="009170A5"/>
    <w:rsid w:val="00920834"/>
    <w:rsid w:val="00920A0F"/>
    <w:rsid w:val="00921278"/>
    <w:rsid w:val="009213EC"/>
    <w:rsid w:val="009214A3"/>
    <w:rsid w:val="0092153D"/>
    <w:rsid w:val="0092474D"/>
    <w:rsid w:val="00925386"/>
    <w:rsid w:val="00925BAA"/>
    <w:rsid w:val="00927048"/>
    <w:rsid w:val="00930B22"/>
    <w:rsid w:val="009315C4"/>
    <w:rsid w:val="009321E3"/>
    <w:rsid w:val="00932712"/>
    <w:rsid w:val="009339AD"/>
    <w:rsid w:val="00933F6C"/>
    <w:rsid w:val="00934716"/>
    <w:rsid w:val="00936461"/>
    <w:rsid w:val="00936BF4"/>
    <w:rsid w:val="009403B9"/>
    <w:rsid w:val="00940C05"/>
    <w:rsid w:val="00941366"/>
    <w:rsid w:val="00942287"/>
    <w:rsid w:val="009424C4"/>
    <w:rsid w:val="009429A7"/>
    <w:rsid w:val="00942B73"/>
    <w:rsid w:val="0094389A"/>
    <w:rsid w:val="00943902"/>
    <w:rsid w:val="00943A02"/>
    <w:rsid w:val="009440B5"/>
    <w:rsid w:val="009448E9"/>
    <w:rsid w:val="00945568"/>
    <w:rsid w:val="009459BC"/>
    <w:rsid w:val="00946675"/>
    <w:rsid w:val="00946BA9"/>
    <w:rsid w:val="00947A13"/>
    <w:rsid w:val="009506F5"/>
    <w:rsid w:val="009508A1"/>
    <w:rsid w:val="00951979"/>
    <w:rsid w:val="00952595"/>
    <w:rsid w:val="009532CD"/>
    <w:rsid w:val="00953817"/>
    <w:rsid w:val="00953A58"/>
    <w:rsid w:val="009548A2"/>
    <w:rsid w:val="00955BC3"/>
    <w:rsid w:val="009623EC"/>
    <w:rsid w:val="00963B38"/>
    <w:rsid w:val="00963E55"/>
    <w:rsid w:val="009647EB"/>
    <w:rsid w:val="009702AF"/>
    <w:rsid w:val="0097039F"/>
    <w:rsid w:val="00970459"/>
    <w:rsid w:val="00970AAF"/>
    <w:rsid w:val="00970C5F"/>
    <w:rsid w:val="00971DA9"/>
    <w:rsid w:val="0097271C"/>
    <w:rsid w:val="00972929"/>
    <w:rsid w:val="00972967"/>
    <w:rsid w:val="00972BB9"/>
    <w:rsid w:val="00972D9B"/>
    <w:rsid w:val="00973031"/>
    <w:rsid w:val="00973203"/>
    <w:rsid w:val="0097513E"/>
    <w:rsid w:val="0097550A"/>
    <w:rsid w:val="0097594F"/>
    <w:rsid w:val="00975C86"/>
    <w:rsid w:val="0097618C"/>
    <w:rsid w:val="00976C8B"/>
    <w:rsid w:val="00977208"/>
    <w:rsid w:val="009801F9"/>
    <w:rsid w:val="00980E5F"/>
    <w:rsid w:val="00982149"/>
    <w:rsid w:val="00982883"/>
    <w:rsid w:val="009857B8"/>
    <w:rsid w:val="00987494"/>
    <w:rsid w:val="00990477"/>
    <w:rsid w:val="009905C3"/>
    <w:rsid w:val="00991257"/>
    <w:rsid w:val="0099330F"/>
    <w:rsid w:val="009934F5"/>
    <w:rsid w:val="00993ABD"/>
    <w:rsid w:val="00994DCD"/>
    <w:rsid w:val="00995808"/>
    <w:rsid w:val="00995BC7"/>
    <w:rsid w:val="009974A0"/>
    <w:rsid w:val="009A266B"/>
    <w:rsid w:val="009A27EE"/>
    <w:rsid w:val="009A3243"/>
    <w:rsid w:val="009A36AD"/>
    <w:rsid w:val="009A408B"/>
    <w:rsid w:val="009A40FD"/>
    <w:rsid w:val="009A42BB"/>
    <w:rsid w:val="009A4513"/>
    <w:rsid w:val="009A4600"/>
    <w:rsid w:val="009A626F"/>
    <w:rsid w:val="009A7459"/>
    <w:rsid w:val="009A7658"/>
    <w:rsid w:val="009B3957"/>
    <w:rsid w:val="009B5CA4"/>
    <w:rsid w:val="009B686E"/>
    <w:rsid w:val="009B68C2"/>
    <w:rsid w:val="009B7042"/>
    <w:rsid w:val="009B7865"/>
    <w:rsid w:val="009B7BD4"/>
    <w:rsid w:val="009C0145"/>
    <w:rsid w:val="009C162A"/>
    <w:rsid w:val="009C1D14"/>
    <w:rsid w:val="009C1EA0"/>
    <w:rsid w:val="009C2433"/>
    <w:rsid w:val="009C6CF9"/>
    <w:rsid w:val="009C6EDB"/>
    <w:rsid w:val="009C794E"/>
    <w:rsid w:val="009D048D"/>
    <w:rsid w:val="009D0798"/>
    <w:rsid w:val="009D2975"/>
    <w:rsid w:val="009D2BC8"/>
    <w:rsid w:val="009D3504"/>
    <w:rsid w:val="009D39CD"/>
    <w:rsid w:val="009D4093"/>
    <w:rsid w:val="009D61E3"/>
    <w:rsid w:val="009D76AC"/>
    <w:rsid w:val="009D79E8"/>
    <w:rsid w:val="009E0CF9"/>
    <w:rsid w:val="009E28C6"/>
    <w:rsid w:val="009E2B32"/>
    <w:rsid w:val="009E3C2F"/>
    <w:rsid w:val="009E3D7D"/>
    <w:rsid w:val="009E3F96"/>
    <w:rsid w:val="009E48CB"/>
    <w:rsid w:val="009E4B36"/>
    <w:rsid w:val="009E656E"/>
    <w:rsid w:val="009E710E"/>
    <w:rsid w:val="009E7F7C"/>
    <w:rsid w:val="009F0CB3"/>
    <w:rsid w:val="009F161D"/>
    <w:rsid w:val="009F3EB5"/>
    <w:rsid w:val="009F41AF"/>
    <w:rsid w:val="009F4299"/>
    <w:rsid w:val="009F51E3"/>
    <w:rsid w:val="009F6854"/>
    <w:rsid w:val="009F6DB2"/>
    <w:rsid w:val="009F73D1"/>
    <w:rsid w:val="009F7F4F"/>
    <w:rsid w:val="00A0116B"/>
    <w:rsid w:val="00A018B9"/>
    <w:rsid w:val="00A02852"/>
    <w:rsid w:val="00A02A2F"/>
    <w:rsid w:val="00A0409D"/>
    <w:rsid w:val="00A05862"/>
    <w:rsid w:val="00A05FB2"/>
    <w:rsid w:val="00A0624A"/>
    <w:rsid w:val="00A0669F"/>
    <w:rsid w:val="00A06C43"/>
    <w:rsid w:val="00A070C3"/>
    <w:rsid w:val="00A074A6"/>
    <w:rsid w:val="00A105A2"/>
    <w:rsid w:val="00A10909"/>
    <w:rsid w:val="00A114CB"/>
    <w:rsid w:val="00A11D50"/>
    <w:rsid w:val="00A1231D"/>
    <w:rsid w:val="00A12ECB"/>
    <w:rsid w:val="00A14585"/>
    <w:rsid w:val="00A1544C"/>
    <w:rsid w:val="00A1671F"/>
    <w:rsid w:val="00A16752"/>
    <w:rsid w:val="00A17B29"/>
    <w:rsid w:val="00A20733"/>
    <w:rsid w:val="00A2206B"/>
    <w:rsid w:val="00A22491"/>
    <w:rsid w:val="00A226B9"/>
    <w:rsid w:val="00A23C77"/>
    <w:rsid w:val="00A23D25"/>
    <w:rsid w:val="00A24FEB"/>
    <w:rsid w:val="00A257FE"/>
    <w:rsid w:val="00A26AD1"/>
    <w:rsid w:val="00A27FF9"/>
    <w:rsid w:val="00A3069B"/>
    <w:rsid w:val="00A30AF0"/>
    <w:rsid w:val="00A30CCC"/>
    <w:rsid w:val="00A30E46"/>
    <w:rsid w:val="00A30F02"/>
    <w:rsid w:val="00A30FA1"/>
    <w:rsid w:val="00A313B2"/>
    <w:rsid w:val="00A3148F"/>
    <w:rsid w:val="00A347D6"/>
    <w:rsid w:val="00A35031"/>
    <w:rsid w:val="00A36286"/>
    <w:rsid w:val="00A373B4"/>
    <w:rsid w:val="00A37760"/>
    <w:rsid w:val="00A37F8D"/>
    <w:rsid w:val="00A401CE"/>
    <w:rsid w:val="00A40853"/>
    <w:rsid w:val="00A40AE8"/>
    <w:rsid w:val="00A4321F"/>
    <w:rsid w:val="00A4355D"/>
    <w:rsid w:val="00A436B4"/>
    <w:rsid w:val="00A44166"/>
    <w:rsid w:val="00A45383"/>
    <w:rsid w:val="00A459EC"/>
    <w:rsid w:val="00A45F6C"/>
    <w:rsid w:val="00A4676E"/>
    <w:rsid w:val="00A4705E"/>
    <w:rsid w:val="00A50688"/>
    <w:rsid w:val="00A51457"/>
    <w:rsid w:val="00A51AC9"/>
    <w:rsid w:val="00A536E5"/>
    <w:rsid w:val="00A53753"/>
    <w:rsid w:val="00A56239"/>
    <w:rsid w:val="00A56DF9"/>
    <w:rsid w:val="00A60D79"/>
    <w:rsid w:val="00A61856"/>
    <w:rsid w:val="00A62752"/>
    <w:rsid w:val="00A64F47"/>
    <w:rsid w:val="00A666D5"/>
    <w:rsid w:val="00A70033"/>
    <w:rsid w:val="00A70794"/>
    <w:rsid w:val="00A71117"/>
    <w:rsid w:val="00A7219F"/>
    <w:rsid w:val="00A736FA"/>
    <w:rsid w:val="00A738A0"/>
    <w:rsid w:val="00A7525A"/>
    <w:rsid w:val="00A7545A"/>
    <w:rsid w:val="00A75C69"/>
    <w:rsid w:val="00A770D7"/>
    <w:rsid w:val="00A7722A"/>
    <w:rsid w:val="00A77FA6"/>
    <w:rsid w:val="00A80F6A"/>
    <w:rsid w:val="00A81EBF"/>
    <w:rsid w:val="00A827DF"/>
    <w:rsid w:val="00A8293C"/>
    <w:rsid w:val="00A83B36"/>
    <w:rsid w:val="00A857A5"/>
    <w:rsid w:val="00A85A08"/>
    <w:rsid w:val="00A9003B"/>
    <w:rsid w:val="00A918D2"/>
    <w:rsid w:val="00A94434"/>
    <w:rsid w:val="00A95F46"/>
    <w:rsid w:val="00A97079"/>
    <w:rsid w:val="00A974EA"/>
    <w:rsid w:val="00A97B19"/>
    <w:rsid w:val="00AA076D"/>
    <w:rsid w:val="00AA2EAB"/>
    <w:rsid w:val="00AA547D"/>
    <w:rsid w:val="00AA6C7F"/>
    <w:rsid w:val="00AA6EC6"/>
    <w:rsid w:val="00AA7D32"/>
    <w:rsid w:val="00AB068E"/>
    <w:rsid w:val="00AB1010"/>
    <w:rsid w:val="00AB23D8"/>
    <w:rsid w:val="00AB3395"/>
    <w:rsid w:val="00AB4121"/>
    <w:rsid w:val="00AB4998"/>
    <w:rsid w:val="00AB5236"/>
    <w:rsid w:val="00AB618E"/>
    <w:rsid w:val="00AB68FC"/>
    <w:rsid w:val="00AC061D"/>
    <w:rsid w:val="00AC173F"/>
    <w:rsid w:val="00AC328C"/>
    <w:rsid w:val="00AC41FA"/>
    <w:rsid w:val="00AC4C05"/>
    <w:rsid w:val="00AC5577"/>
    <w:rsid w:val="00AC6F76"/>
    <w:rsid w:val="00AC75BC"/>
    <w:rsid w:val="00AD2EA6"/>
    <w:rsid w:val="00AD3B74"/>
    <w:rsid w:val="00AD5183"/>
    <w:rsid w:val="00AD7F65"/>
    <w:rsid w:val="00AE2AE4"/>
    <w:rsid w:val="00AE2C9E"/>
    <w:rsid w:val="00AE3480"/>
    <w:rsid w:val="00AE52C2"/>
    <w:rsid w:val="00AE5FDB"/>
    <w:rsid w:val="00AE6F64"/>
    <w:rsid w:val="00AE745A"/>
    <w:rsid w:val="00AE7F1E"/>
    <w:rsid w:val="00AF0BAB"/>
    <w:rsid w:val="00AF1395"/>
    <w:rsid w:val="00AF18B9"/>
    <w:rsid w:val="00AF19E9"/>
    <w:rsid w:val="00AF3594"/>
    <w:rsid w:val="00AF4133"/>
    <w:rsid w:val="00AF4716"/>
    <w:rsid w:val="00AF538F"/>
    <w:rsid w:val="00AF6B93"/>
    <w:rsid w:val="00AF7B03"/>
    <w:rsid w:val="00B015D5"/>
    <w:rsid w:val="00B01A33"/>
    <w:rsid w:val="00B03B25"/>
    <w:rsid w:val="00B03C85"/>
    <w:rsid w:val="00B04BBA"/>
    <w:rsid w:val="00B06AD0"/>
    <w:rsid w:val="00B06DCC"/>
    <w:rsid w:val="00B10993"/>
    <w:rsid w:val="00B12D88"/>
    <w:rsid w:val="00B13372"/>
    <w:rsid w:val="00B140F9"/>
    <w:rsid w:val="00B14243"/>
    <w:rsid w:val="00B1511B"/>
    <w:rsid w:val="00B153BC"/>
    <w:rsid w:val="00B16E80"/>
    <w:rsid w:val="00B22145"/>
    <w:rsid w:val="00B22FE3"/>
    <w:rsid w:val="00B23C50"/>
    <w:rsid w:val="00B23DA2"/>
    <w:rsid w:val="00B27A68"/>
    <w:rsid w:val="00B30DC1"/>
    <w:rsid w:val="00B30DD9"/>
    <w:rsid w:val="00B31607"/>
    <w:rsid w:val="00B318C9"/>
    <w:rsid w:val="00B31D58"/>
    <w:rsid w:val="00B320E1"/>
    <w:rsid w:val="00B33487"/>
    <w:rsid w:val="00B33879"/>
    <w:rsid w:val="00B3431D"/>
    <w:rsid w:val="00B34F8F"/>
    <w:rsid w:val="00B35BBC"/>
    <w:rsid w:val="00B372DE"/>
    <w:rsid w:val="00B37710"/>
    <w:rsid w:val="00B401AA"/>
    <w:rsid w:val="00B407BB"/>
    <w:rsid w:val="00B40B90"/>
    <w:rsid w:val="00B4118D"/>
    <w:rsid w:val="00B41559"/>
    <w:rsid w:val="00B42F65"/>
    <w:rsid w:val="00B43A68"/>
    <w:rsid w:val="00B44644"/>
    <w:rsid w:val="00B4499D"/>
    <w:rsid w:val="00B4596F"/>
    <w:rsid w:val="00B46EAE"/>
    <w:rsid w:val="00B47797"/>
    <w:rsid w:val="00B47B7F"/>
    <w:rsid w:val="00B47D7D"/>
    <w:rsid w:val="00B50227"/>
    <w:rsid w:val="00B52E43"/>
    <w:rsid w:val="00B5310F"/>
    <w:rsid w:val="00B558BB"/>
    <w:rsid w:val="00B55A84"/>
    <w:rsid w:val="00B55EB1"/>
    <w:rsid w:val="00B569A6"/>
    <w:rsid w:val="00B576F6"/>
    <w:rsid w:val="00B6270A"/>
    <w:rsid w:val="00B629E0"/>
    <w:rsid w:val="00B642C7"/>
    <w:rsid w:val="00B64C11"/>
    <w:rsid w:val="00B64DD4"/>
    <w:rsid w:val="00B66C2E"/>
    <w:rsid w:val="00B678D3"/>
    <w:rsid w:val="00B70247"/>
    <w:rsid w:val="00B70439"/>
    <w:rsid w:val="00B71D26"/>
    <w:rsid w:val="00B720E5"/>
    <w:rsid w:val="00B73C2E"/>
    <w:rsid w:val="00B74997"/>
    <w:rsid w:val="00B75183"/>
    <w:rsid w:val="00B7770C"/>
    <w:rsid w:val="00B77929"/>
    <w:rsid w:val="00B80A5C"/>
    <w:rsid w:val="00B81832"/>
    <w:rsid w:val="00B82A8C"/>
    <w:rsid w:val="00B84F1A"/>
    <w:rsid w:val="00B8513E"/>
    <w:rsid w:val="00B85A50"/>
    <w:rsid w:val="00B87C8D"/>
    <w:rsid w:val="00B91C86"/>
    <w:rsid w:val="00B91DB9"/>
    <w:rsid w:val="00B9410E"/>
    <w:rsid w:val="00B95A15"/>
    <w:rsid w:val="00BA0174"/>
    <w:rsid w:val="00BA0518"/>
    <w:rsid w:val="00BA1C96"/>
    <w:rsid w:val="00BA35BC"/>
    <w:rsid w:val="00BA418E"/>
    <w:rsid w:val="00BA509B"/>
    <w:rsid w:val="00BA7C27"/>
    <w:rsid w:val="00BA7C86"/>
    <w:rsid w:val="00BB0521"/>
    <w:rsid w:val="00BB0AC1"/>
    <w:rsid w:val="00BB1510"/>
    <w:rsid w:val="00BB1840"/>
    <w:rsid w:val="00BB45AF"/>
    <w:rsid w:val="00BB4E88"/>
    <w:rsid w:val="00BB5DFE"/>
    <w:rsid w:val="00BB6621"/>
    <w:rsid w:val="00BB7D6C"/>
    <w:rsid w:val="00BB7F7A"/>
    <w:rsid w:val="00BC02AC"/>
    <w:rsid w:val="00BC21C5"/>
    <w:rsid w:val="00BC354E"/>
    <w:rsid w:val="00BC5740"/>
    <w:rsid w:val="00BC5746"/>
    <w:rsid w:val="00BD2F49"/>
    <w:rsid w:val="00BD36D7"/>
    <w:rsid w:val="00BD44FB"/>
    <w:rsid w:val="00BD4BC4"/>
    <w:rsid w:val="00BD4BE8"/>
    <w:rsid w:val="00BD580D"/>
    <w:rsid w:val="00BD799E"/>
    <w:rsid w:val="00BD7C17"/>
    <w:rsid w:val="00BE00E6"/>
    <w:rsid w:val="00BE0505"/>
    <w:rsid w:val="00BE0875"/>
    <w:rsid w:val="00BE0955"/>
    <w:rsid w:val="00BE154C"/>
    <w:rsid w:val="00BE1D4F"/>
    <w:rsid w:val="00BE218A"/>
    <w:rsid w:val="00BE2282"/>
    <w:rsid w:val="00BE2A0A"/>
    <w:rsid w:val="00BE2BEF"/>
    <w:rsid w:val="00BE331D"/>
    <w:rsid w:val="00BE3984"/>
    <w:rsid w:val="00BE49FE"/>
    <w:rsid w:val="00BE51A6"/>
    <w:rsid w:val="00BE62A0"/>
    <w:rsid w:val="00BE6A5C"/>
    <w:rsid w:val="00BE6BAB"/>
    <w:rsid w:val="00BE6EB4"/>
    <w:rsid w:val="00BF1132"/>
    <w:rsid w:val="00BF3B02"/>
    <w:rsid w:val="00BF433C"/>
    <w:rsid w:val="00BF516B"/>
    <w:rsid w:val="00BF5BAC"/>
    <w:rsid w:val="00BF626A"/>
    <w:rsid w:val="00BF6574"/>
    <w:rsid w:val="00BF71F1"/>
    <w:rsid w:val="00BF72A5"/>
    <w:rsid w:val="00C00173"/>
    <w:rsid w:val="00C002C1"/>
    <w:rsid w:val="00C00CD9"/>
    <w:rsid w:val="00C019F9"/>
    <w:rsid w:val="00C02605"/>
    <w:rsid w:val="00C027D9"/>
    <w:rsid w:val="00C0455F"/>
    <w:rsid w:val="00C06755"/>
    <w:rsid w:val="00C07A7D"/>
    <w:rsid w:val="00C1028E"/>
    <w:rsid w:val="00C10DB7"/>
    <w:rsid w:val="00C113BF"/>
    <w:rsid w:val="00C12743"/>
    <w:rsid w:val="00C14B66"/>
    <w:rsid w:val="00C15C5A"/>
    <w:rsid w:val="00C16EC6"/>
    <w:rsid w:val="00C17063"/>
    <w:rsid w:val="00C171CE"/>
    <w:rsid w:val="00C17718"/>
    <w:rsid w:val="00C17EF0"/>
    <w:rsid w:val="00C2246C"/>
    <w:rsid w:val="00C22616"/>
    <w:rsid w:val="00C239CC"/>
    <w:rsid w:val="00C24F40"/>
    <w:rsid w:val="00C25B3E"/>
    <w:rsid w:val="00C27C96"/>
    <w:rsid w:val="00C33EEB"/>
    <w:rsid w:val="00C34FBA"/>
    <w:rsid w:val="00C35334"/>
    <w:rsid w:val="00C3620A"/>
    <w:rsid w:val="00C366D5"/>
    <w:rsid w:val="00C37812"/>
    <w:rsid w:val="00C40286"/>
    <w:rsid w:val="00C40385"/>
    <w:rsid w:val="00C4295E"/>
    <w:rsid w:val="00C43307"/>
    <w:rsid w:val="00C438B4"/>
    <w:rsid w:val="00C44186"/>
    <w:rsid w:val="00C442BA"/>
    <w:rsid w:val="00C45065"/>
    <w:rsid w:val="00C47E60"/>
    <w:rsid w:val="00C50019"/>
    <w:rsid w:val="00C512C3"/>
    <w:rsid w:val="00C513E4"/>
    <w:rsid w:val="00C51E72"/>
    <w:rsid w:val="00C52E3F"/>
    <w:rsid w:val="00C549F2"/>
    <w:rsid w:val="00C552D5"/>
    <w:rsid w:val="00C56D8C"/>
    <w:rsid w:val="00C57A0F"/>
    <w:rsid w:val="00C57FD0"/>
    <w:rsid w:val="00C62AD2"/>
    <w:rsid w:val="00C65092"/>
    <w:rsid w:val="00C660B9"/>
    <w:rsid w:val="00C66599"/>
    <w:rsid w:val="00C71AE0"/>
    <w:rsid w:val="00C73EC0"/>
    <w:rsid w:val="00C73F05"/>
    <w:rsid w:val="00C73F6E"/>
    <w:rsid w:val="00C74681"/>
    <w:rsid w:val="00C75459"/>
    <w:rsid w:val="00C7605D"/>
    <w:rsid w:val="00C76357"/>
    <w:rsid w:val="00C76E27"/>
    <w:rsid w:val="00C77058"/>
    <w:rsid w:val="00C77C4B"/>
    <w:rsid w:val="00C80457"/>
    <w:rsid w:val="00C80CC4"/>
    <w:rsid w:val="00C8187F"/>
    <w:rsid w:val="00C81A4C"/>
    <w:rsid w:val="00C81B93"/>
    <w:rsid w:val="00C821BE"/>
    <w:rsid w:val="00C82BD8"/>
    <w:rsid w:val="00C82E85"/>
    <w:rsid w:val="00C83D65"/>
    <w:rsid w:val="00C8455C"/>
    <w:rsid w:val="00C85A3F"/>
    <w:rsid w:val="00C866E5"/>
    <w:rsid w:val="00C8687E"/>
    <w:rsid w:val="00C86980"/>
    <w:rsid w:val="00C86CB6"/>
    <w:rsid w:val="00C87A38"/>
    <w:rsid w:val="00C933C4"/>
    <w:rsid w:val="00C93947"/>
    <w:rsid w:val="00C939F5"/>
    <w:rsid w:val="00C957A4"/>
    <w:rsid w:val="00C95CCB"/>
    <w:rsid w:val="00C973A7"/>
    <w:rsid w:val="00C97729"/>
    <w:rsid w:val="00CA28B1"/>
    <w:rsid w:val="00CA3E96"/>
    <w:rsid w:val="00CA40B5"/>
    <w:rsid w:val="00CA40EA"/>
    <w:rsid w:val="00CA4757"/>
    <w:rsid w:val="00CA5683"/>
    <w:rsid w:val="00CA5C32"/>
    <w:rsid w:val="00CA5C43"/>
    <w:rsid w:val="00CA6C2E"/>
    <w:rsid w:val="00CA6F70"/>
    <w:rsid w:val="00CA75D8"/>
    <w:rsid w:val="00CA7E74"/>
    <w:rsid w:val="00CB0B10"/>
    <w:rsid w:val="00CB10BE"/>
    <w:rsid w:val="00CB18A5"/>
    <w:rsid w:val="00CB18F3"/>
    <w:rsid w:val="00CB19AF"/>
    <w:rsid w:val="00CB1CBC"/>
    <w:rsid w:val="00CB23B5"/>
    <w:rsid w:val="00CB23FD"/>
    <w:rsid w:val="00CB32CB"/>
    <w:rsid w:val="00CB357F"/>
    <w:rsid w:val="00CB7C08"/>
    <w:rsid w:val="00CB7EF2"/>
    <w:rsid w:val="00CC1546"/>
    <w:rsid w:val="00CC2C92"/>
    <w:rsid w:val="00CC3DEA"/>
    <w:rsid w:val="00CC5C87"/>
    <w:rsid w:val="00CC5E09"/>
    <w:rsid w:val="00CC6CBC"/>
    <w:rsid w:val="00CC7C6B"/>
    <w:rsid w:val="00CD0279"/>
    <w:rsid w:val="00CD03D0"/>
    <w:rsid w:val="00CD18B6"/>
    <w:rsid w:val="00CD2BA2"/>
    <w:rsid w:val="00CD69A3"/>
    <w:rsid w:val="00CD7C60"/>
    <w:rsid w:val="00CD7D82"/>
    <w:rsid w:val="00CE0683"/>
    <w:rsid w:val="00CE2BF5"/>
    <w:rsid w:val="00CE31F4"/>
    <w:rsid w:val="00CE3C65"/>
    <w:rsid w:val="00CE4605"/>
    <w:rsid w:val="00CE5F23"/>
    <w:rsid w:val="00CE610B"/>
    <w:rsid w:val="00CE6596"/>
    <w:rsid w:val="00CE6AEA"/>
    <w:rsid w:val="00CF2ABE"/>
    <w:rsid w:val="00CF2D9E"/>
    <w:rsid w:val="00CF4D60"/>
    <w:rsid w:val="00CF515C"/>
    <w:rsid w:val="00CF5175"/>
    <w:rsid w:val="00CF584B"/>
    <w:rsid w:val="00CF65DF"/>
    <w:rsid w:val="00CF6921"/>
    <w:rsid w:val="00CF6DE8"/>
    <w:rsid w:val="00CF6F36"/>
    <w:rsid w:val="00D00526"/>
    <w:rsid w:val="00D02C5A"/>
    <w:rsid w:val="00D05072"/>
    <w:rsid w:val="00D0557F"/>
    <w:rsid w:val="00D06033"/>
    <w:rsid w:val="00D0619A"/>
    <w:rsid w:val="00D06570"/>
    <w:rsid w:val="00D06D9E"/>
    <w:rsid w:val="00D10BE5"/>
    <w:rsid w:val="00D14C63"/>
    <w:rsid w:val="00D14CAA"/>
    <w:rsid w:val="00D17A9A"/>
    <w:rsid w:val="00D17F96"/>
    <w:rsid w:val="00D20624"/>
    <w:rsid w:val="00D20A38"/>
    <w:rsid w:val="00D21A01"/>
    <w:rsid w:val="00D23317"/>
    <w:rsid w:val="00D2383F"/>
    <w:rsid w:val="00D24DCC"/>
    <w:rsid w:val="00D26770"/>
    <w:rsid w:val="00D26E85"/>
    <w:rsid w:val="00D2742C"/>
    <w:rsid w:val="00D27E7E"/>
    <w:rsid w:val="00D31149"/>
    <w:rsid w:val="00D314C2"/>
    <w:rsid w:val="00D31940"/>
    <w:rsid w:val="00D31F01"/>
    <w:rsid w:val="00D32A06"/>
    <w:rsid w:val="00D33004"/>
    <w:rsid w:val="00D349C1"/>
    <w:rsid w:val="00D36FA4"/>
    <w:rsid w:val="00D37519"/>
    <w:rsid w:val="00D37D6A"/>
    <w:rsid w:val="00D40D8F"/>
    <w:rsid w:val="00D4170D"/>
    <w:rsid w:val="00D42311"/>
    <w:rsid w:val="00D42F91"/>
    <w:rsid w:val="00D43A0B"/>
    <w:rsid w:val="00D440B7"/>
    <w:rsid w:val="00D45BD6"/>
    <w:rsid w:val="00D474A6"/>
    <w:rsid w:val="00D52E03"/>
    <w:rsid w:val="00D53A56"/>
    <w:rsid w:val="00D540CC"/>
    <w:rsid w:val="00D54956"/>
    <w:rsid w:val="00D54DFD"/>
    <w:rsid w:val="00D556A2"/>
    <w:rsid w:val="00D55A71"/>
    <w:rsid w:val="00D573EA"/>
    <w:rsid w:val="00D57FB1"/>
    <w:rsid w:val="00D612AE"/>
    <w:rsid w:val="00D62B52"/>
    <w:rsid w:val="00D6417A"/>
    <w:rsid w:val="00D65730"/>
    <w:rsid w:val="00D65841"/>
    <w:rsid w:val="00D65984"/>
    <w:rsid w:val="00D67FD9"/>
    <w:rsid w:val="00D703F9"/>
    <w:rsid w:val="00D7058D"/>
    <w:rsid w:val="00D729F6"/>
    <w:rsid w:val="00D731AB"/>
    <w:rsid w:val="00D73499"/>
    <w:rsid w:val="00D74172"/>
    <w:rsid w:val="00D76A82"/>
    <w:rsid w:val="00D76CB5"/>
    <w:rsid w:val="00D773AC"/>
    <w:rsid w:val="00D80179"/>
    <w:rsid w:val="00D80D74"/>
    <w:rsid w:val="00D81D79"/>
    <w:rsid w:val="00D85F5D"/>
    <w:rsid w:val="00D87ACB"/>
    <w:rsid w:val="00D91B28"/>
    <w:rsid w:val="00D925A9"/>
    <w:rsid w:val="00D9270E"/>
    <w:rsid w:val="00D937CC"/>
    <w:rsid w:val="00D9565C"/>
    <w:rsid w:val="00D96041"/>
    <w:rsid w:val="00D970AA"/>
    <w:rsid w:val="00DA2260"/>
    <w:rsid w:val="00DA3A97"/>
    <w:rsid w:val="00DA465D"/>
    <w:rsid w:val="00DA6118"/>
    <w:rsid w:val="00DA71EC"/>
    <w:rsid w:val="00DA7CFC"/>
    <w:rsid w:val="00DB0BF1"/>
    <w:rsid w:val="00DB0C0E"/>
    <w:rsid w:val="00DB267A"/>
    <w:rsid w:val="00DB3C5A"/>
    <w:rsid w:val="00DB6032"/>
    <w:rsid w:val="00DC184E"/>
    <w:rsid w:val="00DC2B97"/>
    <w:rsid w:val="00DC3386"/>
    <w:rsid w:val="00DC476A"/>
    <w:rsid w:val="00DC5947"/>
    <w:rsid w:val="00DC603A"/>
    <w:rsid w:val="00DC701F"/>
    <w:rsid w:val="00DC7A0E"/>
    <w:rsid w:val="00DC7AD0"/>
    <w:rsid w:val="00DD19D9"/>
    <w:rsid w:val="00DD1D75"/>
    <w:rsid w:val="00DD21EF"/>
    <w:rsid w:val="00DD22CD"/>
    <w:rsid w:val="00DD2531"/>
    <w:rsid w:val="00DD36E5"/>
    <w:rsid w:val="00DD5914"/>
    <w:rsid w:val="00DD5E1C"/>
    <w:rsid w:val="00DD6EF9"/>
    <w:rsid w:val="00DD7AEB"/>
    <w:rsid w:val="00DE1AA3"/>
    <w:rsid w:val="00DE2211"/>
    <w:rsid w:val="00DE2E00"/>
    <w:rsid w:val="00DE2E6F"/>
    <w:rsid w:val="00DE42AA"/>
    <w:rsid w:val="00DE4797"/>
    <w:rsid w:val="00DE4EEF"/>
    <w:rsid w:val="00DE54DB"/>
    <w:rsid w:val="00DE7DE5"/>
    <w:rsid w:val="00DF1D8D"/>
    <w:rsid w:val="00DF2828"/>
    <w:rsid w:val="00DF3548"/>
    <w:rsid w:val="00DF50C9"/>
    <w:rsid w:val="00DF56D3"/>
    <w:rsid w:val="00DF65BF"/>
    <w:rsid w:val="00DF7F02"/>
    <w:rsid w:val="00E0079C"/>
    <w:rsid w:val="00E00BCC"/>
    <w:rsid w:val="00E00DD7"/>
    <w:rsid w:val="00E01410"/>
    <w:rsid w:val="00E021ED"/>
    <w:rsid w:val="00E0267B"/>
    <w:rsid w:val="00E051C0"/>
    <w:rsid w:val="00E06545"/>
    <w:rsid w:val="00E06A8B"/>
    <w:rsid w:val="00E10068"/>
    <w:rsid w:val="00E1211A"/>
    <w:rsid w:val="00E1270B"/>
    <w:rsid w:val="00E12DA2"/>
    <w:rsid w:val="00E14347"/>
    <w:rsid w:val="00E14A07"/>
    <w:rsid w:val="00E16616"/>
    <w:rsid w:val="00E169A6"/>
    <w:rsid w:val="00E16CFA"/>
    <w:rsid w:val="00E17E08"/>
    <w:rsid w:val="00E17E91"/>
    <w:rsid w:val="00E2066F"/>
    <w:rsid w:val="00E211B9"/>
    <w:rsid w:val="00E21AF8"/>
    <w:rsid w:val="00E22ABE"/>
    <w:rsid w:val="00E22DB2"/>
    <w:rsid w:val="00E23081"/>
    <w:rsid w:val="00E25969"/>
    <w:rsid w:val="00E261E3"/>
    <w:rsid w:val="00E26C89"/>
    <w:rsid w:val="00E27FAF"/>
    <w:rsid w:val="00E30064"/>
    <w:rsid w:val="00E31BBD"/>
    <w:rsid w:val="00E33C0E"/>
    <w:rsid w:val="00E34223"/>
    <w:rsid w:val="00E3544C"/>
    <w:rsid w:val="00E365C6"/>
    <w:rsid w:val="00E37793"/>
    <w:rsid w:val="00E377B0"/>
    <w:rsid w:val="00E41EAA"/>
    <w:rsid w:val="00E41FF3"/>
    <w:rsid w:val="00E43B15"/>
    <w:rsid w:val="00E440F8"/>
    <w:rsid w:val="00E443DD"/>
    <w:rsid w:val="00E44AA2"/>
    <w:rsid w:val="00E46173"/>
    <w:rsid w:val="00E46584"/>
    <w:rsid w:val="00E46844"/>
    <w:rsid w:val="00E47569"/>
    <w:rsid w:val="00E47F59"/>
    <w:rsid w:val="00E500E9"/>
    <w:rsid w:val="00E518D8"/>
    <w:rsid w:val="00E52B72"/>
    <w:rsid w:val="00E52B7C"/>
    <w:rsid w:val="00E541C6"/>
    <w:rsid w:val="00E54302"/>
    <w:rsid w:val="00E55096"/>
    <w:rsid w:val="00E60739"/>
    <w:rsid w:val="00E60E77"/>
    <w:rsid w:val="00E61DE6"/>
    <w:rsid w:val="00E626D8"/>
    <w:rsid w:val="00E66098"/>
    <w:rsid w:val="00E716EF"/>
    <w:rsid w:val="00E72150"/>
    <w:rsid w:val="00E73E13"/>
    <w:rsid w:val="00E74593"/>
    <w:rsid w:val="00E75168"/>
    <w:rsid w:val="00E753C0"/>
    <w:rsid w:val="00E75D69"/>
    <w:rsid w:val="00E76374"/>
    <w:rsid w:val="00E801CF"/>
    <w:rsid w:val="00E8023D"/>
    <w:rsid w:val="00E808E4"/>
    <w:rsid w:val="00E824B8"/>
    <w:rsid w:val="00E82618"/>
    <w:rsid w:val="00E82A98"/>
    <w:rsid w:val="00E83237"/>
    <w:rsid w:val="00E83258"/>
    <w:rsid w:val="00E8337F"/>
    <w:rsid w:val="00E843C0"/>
    <w:rsid w:val="00E85439"/>
    <w:rsid w:val="00E85809"/>
    <w:rsid w:val="00E86EA2"/>
    <w:rsid w:val="00E8705C"/>
    <w:rsid w:val="00E87574"/>
    <w:rsid w:val="00E87AB3"/>
    <w:rsid w:val="00E91515"/>
    <w:rsid w:val="00E91837"/>
    <w:rsid w:val="00E91C76"/>
    <w:rsid w:val="00E92E42"/>
    <w:rsid w:val="00E94AB9"/>
    <w:rsid w:val="00E94C34"/>
    <w:rsid w:val="00E94D52"/>
    <w:rsid w:val="00E96343"/>
    <w:rsid w:val="00EA215D"/>
    <w:rsid w:val="00EA2C4E"/>
    <w:rsid w:val="00EA4280"/>
    <w:rsid w:val="00EA4E85"/>
    <w:rsid w:val="00EA568B"/>
    <w:rsid w:val="00EA5DD5"/>
    <w:rsid w:val="00EA7AD1"/>
    <w:rsid w:val="00EA7ECF"/>
    <w:rsid w:val="00EB0AE7"/>
    <w:rsid w:val="00EB1259"/>
    <w:rsid w:val="00EB2740"/>
    <w:rsid w:val="00EB4D78"/>
    <w:rsid w:val="00EB4F12"/>
    <w:rsid w:val="00EB6DFA"/>
    <w:rsid w:val="00EB6F7E"/>
    <w:rsid w:val="00EB71E8"/>
    <w:rsid w:val="00EC0738"/>
    <w:rsid w:val="00EC0DC0"/>
    <w:rsid w:val="00EC105F"/>
    <w:rsid w:val="00EC341C"/>
    <w:rsid w:val="00EC3AFC"/>
    <w:rsid w:val="00EC3CDB"/>
    <w:rsid w:val="00EC431A"/>
    <w:rsid w:val="00EC4FFC"/>
    <w:rsid w:val="00EC5EEE"/>
    <w:rsid w:val="00EC6738"/>
    <w:rsid w:val="00EC7903"/>
    <w:rsid w:val="00EC7BBE"/>
    <w:rsid w:val="00ED0055"/>
    <w:rsid w:val="00ED02D3"/>
    <w:rsid w:val="00ED1AFE"/>
    <w:rsid w:val="00ED2186"/>
    <w:rsid w:val="00ED5664"/>
    <w:rsid w:val="00ED58C3"/>
    <w:rsid w:val="00ED5C4E"/>
    <w:rsid w:val="00EE0549"/>
    <w:rsid w:val="00EE0DF0"/>
    <w:rsid w:val="00EE0F24"/>
    <w:rsid w:val="00EE10C4"/>
    <w:rsid w:val="00EE13AB"/>
    <w:rsid w:val="00EE1880"/>
    <w:rsid w:val="00EE1EE6"/>
    <w:rsid w:val="00EE219C"/>
    <w:rsid w:val="00EE2DFB"/>
    <w:rsid w:val="00EE380D"/>
    <w:rsid w:val="00EE4192"/>
    <w:rsid w:val="00EE45F7"/>
    <w:rsid w:val="00EE46AF"/>
    <w:rsid w:val="00EE488E"/>
    <w:rsid w:val="00EE4F35"/>
    <w:rsid w:val="00EE5E47"/>
    <w:rsid w:val="00EE68DD"/>
    <w:rsid w:val="00EE6C37"/>
    <w:rsid w:val="00EE7814"/>
    <w:rsid w:val="00EE7928"/>
    <w:rsid w:val="00EF0CA6"/>
    <w:rsid w:val="00EF12F2"/>
    <w:rsid w:val="00EF2DD4"/>
    <w:rsid w:val="00EF37EE"/>
    <w:rsid w:val="00EF44A1"/>
    <w:rsid w:val="00EF5F1F"/>
    <w:rsid w:val="00F000CE"/>
    <w:rsid w:val="00F003DA"/>
    <w:rsid w:val="00F0062E"/>
    <w:rsid w:val="00F02113"/>
    <w:rsid w:val="00F036C9"/>
    <w:rsid w:val="00F04288"/>
    <w:rsid w:val="00F04DF7"/>
    <w:rsid w:val="00F05EDA"/>
    <w:rsid w:val="00F067B5"/>
    <w:rsid w:val="00F069E6"/>
    <w:rsid w:val="00F06FBB"/>
    <w:rsid w:val="00F07336"/>
    <w:rsid w:val="00F075D5"/>
    <w:rsid w:val="00F113D9"/>
    <w:rsid w:val="00F116C7"/>
    <w:rsid w:val="00F117A8"/>
    <w:rsid w:val="00F125CB"/>
    <w:rsid w:val="00F125F3"/>
    <w:rsid w:val="00F1291B"/>
    <w:rsid w:val="00F132B6"/>
    <w:rsid w:val="00F1456D"/>
    <w:rsid w:val="00F14CE8"/>
    <w:rsid w:val="00F16D66"/>
    <w:rsid w:val="00F17266"/>
    <w:rsid w:val="00F17A09"/>
    <w:rsid w:val="00F207CE"/>
    <w:rsid w:val="00F21CA4"/>
    <w:rsid w:val="00F21DB9"/>
    <w:rsid w:val="00F22E5C"/>
    <w:rsid w:val="00F2454A"/>
    <w:rsid w:val="00F25402"/>
    <w:rsid w:val="00F27CF8"/>
    <w:rsid w:val="00F33311"/>
    <w:rsid w:val="00F339B9"/>
    <w:rsid w:val="00F33F92"/>
    <w:rsid w:val="00F369C8"/>
    <w:rsid w:val="00F36B37"/>
    <w:rsid w:val="00F370DB"/>
    <w:rsid w:val="00F3725E"/>
    <w:rsid w:val="00F376E3"/>
    <w:rsid w:val="00F379B5"/>
    <w:rsid w:val="00F379FF"/>
    <w:rsid w:val="00F4074C"/>
    <w:rsid w:val="00F41557"/>
    <w:rsid w:val="00F415B5"/>
    <w:rsid w:val="00F41738"/>
    <w:rsid w:val="00F41E2A"/>
    <w:rsid w:val="00F41E39"/>
    <w:rsid w:val="00F42959"/>
    <w:rsid w:val="00F433D5"/>
    <w:rsid w:val="00F43758"/>
    <w:rsid w:val="00F45142"/>
    <w:rsid w:val="00F4712E"/>
    <w:rsid w:val="00F4735B"/>
    <w:rsid w:val="00F51201"/>
    <w:rsid w:val="00F512EB"/>
    <w:rsid w:val="00F5161F"/>
    <w:rsid w:val="00F51E0D"/>
    <w:rsid w:val="00F54010"/>
    <w:rsid w:val="00F54A61"/>
    <w:rsid w:val="00F55BC1"/>
    <w:rsid w:val="00F602E3"/>
    <w:rsid w:val="00F606D9"/>
    <w:rsid w:val="00F60D76"/>
    <w:rsid w:val="00F60DFB"/>
    <w:rsid w:val="00F62A0C"/>
    <w:rsid w:val="00F63359"/>
    <w:rsid w:val="00F63C32"/>
    <w:rsid w:val="00F64A0E"/>
    <w:rsid w:val="00F64D2A"/>
    <w:rsid w:val="00F64D97"/>
    <w:rsid w:val="00F657BC"/>
    <w:rsid w:val="00F65B93"/>
    <w:rsid w:val="00F65E30"/>
    <w:rsid w:val="00F66078"/>
    <w:rsid w:val="00F66908"/>
    <w:rsid w:val="00F674E5"/>
    <w:rsid w:val="00F67842"/>
    <w:rsid w:val="00F67F6C"/>
    <w:rsid w:val="00F70C20"/>
    <w:rsid w:val="00F7105C"/>
    <w:rsid w:val="00F721F4"/>
    <w:rsid w:val="00F756BD"/>
    <w:rsid w:val="00F7719D"/>
    <w:rsid w:val="00F77211"/>
    <w:rsid w:val="00F77A1F"/>
    <w:rsid w:val="00F77A9D"/>
    <w:rsid w:val="00F80A17"/>
    <w:rsid w:val="00F81863"/>
    <w:rsid w:val="00F81DCA"/>
    <w:rsid w:val="00F83328"/>
    <w:rsid w:val="00F84378"/>
    <w:rsid w:val="00F87A0E"/>
    <w:rsid w:val="00F91AF5"/>
    <w:rsid w:val="00F9242A"/>
    <w:rsid w:val="00F9266C"/>
    <w:rsid w:val="00F94300"/>
    <w:rsid w:val="00F94531"/>
    <w:rsid w:val="00F94A36"/>
    <w:rsid w:val="00F95A57"/>
    <w:rsid w:val="00F95AA7"/>
    <w:rsid w:val="00F9736B"/>
    <w:rsid w:val="00FA081F"/>
    <w:rsid w:val="00FA25C4"/>
    <w:rsid w:val="00FA369B"/>
    <w:rsid w:val="00FA459D"/>
    <w:rsid w:val="00FA54E9"/>
    <w:rsid w:val="00FA5700"/>
    <w:rsid w:val="00FA6BFF"/>
    <w:rsid w:val="00FA791C"/>
    <w:rsid w:val="00FB2825"/>
    <w:rsid w:val="00FB2F82"/>
    <w:rsid w:val="00FB4085"/>
    <w:rsid w:val="00FB4E40"/>
    <w:rsid w:val="00FB65E2"/>
    <w:rsid w:val="00FB71E9"/>
    <w:rsid w:val="00FC2570"/>
    <w:rsid w:val="00FC296E"/>
    <w:rsid w:val="00FC2A6C"/>
    <w:rsid w:val="00FC3F31"/>
    <w:rsid w:val="00FC4CFC"/>
    <w:rsid w:val="00FC4F53"/>
    <w:rsid w:val="00FC66D2"/>
    <w:rsid w:val="00FC736B"/>
    <w:rsid w:val="00FD0E90"/>
    <w:rsid w:val="00FD1D9C"/>
    <w:rsid w:val="00FD54F1"/>
    <w:rsid w:val="00FD55AE"/>
    <w:rsid w:val="00FD77A9"/>
    <w:rsid w:val="00FE016A"/>
    <w:rsid w:val="00FE1EBD"/>
    <w:rsid w:val="00FE263C"/>
    <w:rsid w:val="00FE27EB"/>
    <w:rsid w:val="00FE2BF6"/>
    <w:rsid w:val="00FE30C1"/>
    <w:rsid w:val="00FE43EC"/>
    <w:rsid w:val="00FE5591"/>
    <w:rsid w:val="00FE56F4"/>
    <w:rsid w:val="00FE5A9C"/>
    <w:rsid w:val="00FE5C78"/>
    <w:rsid w:val="00FE6626"/>
    <w:rsid w:val="00FE69E5"/>
    <w:rsid w:val="00FF06F7"/>
    <w:rsid w:val="00FF1D7A"/>
    <w:rsid w:val="00FF23FE"/>
    <w:rsid w:val="00FF3992"/>
    <w:rsid w:val="00FF3AAE"/>
    <w:rsid w:val="00FF3B28"/>
    <w:rsid w:val="00FF3E16"/>
    <w:rsid w:val="00FF4EA2"/>
    <w:rsid w:val="00FF5156"/>
    <w:rsid w:val="00FF560B"/>
    <w:rsid w:val="00FF58FB"/>
    <w:rsid w:val="00FF5912"/>
    <w:rsid w:val="00FF7F9F"/>
    <w:rsid w:val="011A2F41"/>
    <w:rsid w:val="011F289D"/>
    <w:rsid w:val="01296A08"/>
    <w:rsid w:val="012D51C7"/>
    <w:rsid w:val="01351AD3"/>
    <w:rsid w:val="0138156F"/>
    <w:rsid w:val="014C7A8D"/>
    <w:rsid w:val="0154258E"/>
    <w:rsid w:val="016E2F6B"/>
    <w:rsid w:val="017D1DB0"/>
    <w:rsid w:val="018C5E35"/>
    <w:rsid w:val="0192450A"/>
    <w:rsid w:val="01BD0213"/>
    <w:rsid w:val="01BD0C6E"/>
    <w:rsid w:val="01BF37C7"/>
    <w:rsid w:val="01C64510"/>
    <w:rsid w:val="01CB2A9E"/>
    <w:rsid w:val="01CE3A0A"/>
    <w:rsid w:val="01D715B5"/>
    <w:rsid w:val="01E52B01"/>
    <w:rsid w:val="01F7698C"/>
    <w:rsid w:val="01FF2264"/>
    <w:rsid w:val="01FF6497"/>
    <w:rsid w:val="02136A35"/>
    <w:rsid w:val="021D0BB6"/>
    <w:rsid w:val="02405F8A"/>
    <w:rsid w:val="024D6BE7"/>
    <w:rsid w:val="02505BBE"/>
    <w:rsid w:val="02532F46"/>
    <w:rsid w:val="02597332"/>
    <w:rsid w:val="026F1E1C"/>
    <w:rsid w:val="026F66F7"/>
    <w:rsid w:val="027051C7"/>
    <w:rsid w:val="02895CB5"/>
    <w:rsid w:val="028B0147"/>
    <w:rsid w:val="0299796F"/>
    <w:rsid w:val="02CA0C12"/>
    <w:rsid w:val="02D81AC3"/>
    <w:rsid w:val="02EC473D"/>
    <w:rsid w:val="03014C0A"/>
    <w:rsid w:val="031418F0"/>
    <w:rsid w:val="033459B2"/>
    <w:rsid w:val="03545D1A"/>
    <w:rsid w:val="03597303"/>
    <w:rsid w:val="035A307B"/>
    <w:rsid w:val="036732E5"/>
    <w:rsid w:val="037A397D"/>
    <w:rsid w:val="0383272B"/>
    <w:rsid w:val="03903CDE"/>
    <w:rsid w:val="03A5693F"/>
    <w:rsid w:val="03B40CD6"/>
    <w:rsid w:val="03CF3A69"/>
    <w:rsid w:val="03D01ADF"/>
    <w:rsid w:val="03D26ECE"/>
    <w:rsid w:val="03E2399A"/>
    <w:rsid w:val="03EB54C3"/>
    <w:rsid w:val="03EC5754"/>
    <w:rsid w:val="03EF64C8"/>
    <w:rsid w:val="03F32DAF"/>
    <w:rsid w:val="03F37F64"/>
    <w:rsid w:val="03F47F30"/>
    <w:rsid w:val="03F761C4"/>
    <w:rsid w:val="03F9074F"/>
    <w:rsid w:val="0402759E"/>
    <w:rsid w:val="04054A9E"/>
    <w:rsid w:val="041B0A5C"/>
    <w:rsid w:val="0422628D"/>
    <w:rsid w:val="04265231"/>
    <w:rsid w:val="042C14E2"/>
    <w:rsid w:val="04412473"/>
    <w:rsid w:val="04455AD9"/>
    <w:rsid w:val="04545D1C"/>
    <w:rsid w:val="045A075C"/>
    <w:rsid w:val="0464555B"/>
    <w:rsid w:val="046C0A67"/>
    <w:rsid w:val="0475134F"/>
    <w:rsid w:val="04784101"/>
    <w:rsid w:val="048444AF"/>
    <w:rsid w:val="04877074"/>
    <w:rsid w:val="04890966"/>
    <w:rsid w:val="04896E9C"/>
    <w:rsid w:val="04C10142"/>
    <w:rsid w:val="04C837E3"/>
    <w:rsid w:val="04D03631"/>
    <w:rsid w:val="04DF1A8A"/>
    <w:rsid w:val="04F449D1"/>
    <w:rsid w:val="04FC6AE0"/>
    <w:rsid w:val="05063788"/>
    <w:rsid w:val="05166A31"/>
    <w:rsid w:val="051861B8"/>
    <w:rsid w:val="051D2656"/>
    <w:rsid w:val="051D6F88"/>
    <w:rsid w:val="05204953"/>
    <w:rsid w:val="052A7391"/>
    <w:rsid w:val="0533154A"/>
    <w:rsid w:val="05332969"/>
    <w:rsid w:val="05355B4E"/>
    <w:rsid w:val="053834D8"/>
    <w:rsid w:val="05555551"/>
    <w:rsid w:val="05660747"/>
    <w:rsid w:val="05732791"/>
    <w:rsid w:val="058B5DA6"/>
    <w:rsid w:val="05900A20"/>
    <w:rsid w:val="059E5D45"/>
    <w:rsid w:val="05A056BD"/>
    <w:rsid w:val="05A26EA6"/>
    <w:rsid w:val="05B35FA5"/>
    <w:rsid w:val="05BC1DCB"/>
    <w:rsid w:val="05C0474F"/>
    <w:rsid w:val="05C06A9D"/>
    <w:rsid w:val="05C61474"/>
    <w:rsid w:val="05D13272"/>
    <w:rsid w:val="05D95693"/>
    <w:rsid w:val="05DB577D"/>
    <w:rsid w:val="05EC4147"/>
    <w:rsid w:val="05F95F84"/>
    <w:rsid w:val="05FE2F81"/>
    <w:rsid w:val="06026D19"/>
    <w:rsid w:val="0615100C"/>
    <w:rsid w:val="06385FC4"/>
    <w:rsid w:val="065719D5"/>
    <w:rsid w:val="06637B7E"/>
    <w:rsid w:val="066C1A3F"/>
    <w:rsid w:val="066C37F1"/>
    <w:rsid w:val="067956A7"/>
    <w:rsid w:val="067D3DF4"/>
    <w:rsid w:val="06972B74"/>
    <w:rsid w:val="069B4B65"/>
    <w:rsid w:val="069F7577"/>
    <w:rsid w:val="06A2191D"/>
    <w:rsid w:val="06AD62E4"/>
    <w:rsid w:val="06AF280B"/>
    <w:rsid w:val="06C705DA"/>
    <w:rsid w:val="06C9032A"/>
    <w:rsid w:val="06D373CC"/>
    <w:rsid w:val="06E90A30"/>
    <w:rsid w:val="06F434EA"/>
    <w:rsid w:val="06F85085"/>
    <w:rsid w:val="06F96CC3"/>
    <w:rsid w:val="0705662C"/>
    <w:rsid w:val="070811DA"/>
    <w:rsid w:val="070A2741"/>
    <w:rsid w:val="07160901"/>
    <w:rsid w:val="072207C6"/>
    <w:rsid w:val="07433EC9"/>
    <w:rsid w:val="07651892"/>
    <w:rsid w:val="077C1812"/>
    <w:rsid w:val="078A02A5"/>
    <w:rsid w:val="079D69DD"/>
    <w:rsid w:val="07A25249"/>
    <w:rsid w:val="07AF5FD0"/>
    <w:rsid w:val="07B67411"/>
    <w:rsid w:val="07BA0440"/>
    <w:rsid w:val="07BC515E"/>
    <w:rsid w:val="07C7685C"/>
    <w:rsid w:val="07C92726"/>
    <w:rsid w:val="07DF20B6"/>
    <w:rsid w:val="07DF67F7"/>
    <w:rsid w:val="07E3648A"/>
    <w:rsid w:val="07E44DE5"/>
    <w:rsid w:val="07FA21EC"/>
    <w:rsid w:val="080D6130"/>
    <w:rsid w:val="0815047E"/>
    <w:rsid w:val="081572C3"/>
    <w:rsid w:val="082A73BF"/>
    <w:rsid w:val="082E0024"/>
    <w:rsid w:val="08523E44"/>
    <w:rsid w:val="085E7261"/>
    <w:rsid w:val="086F5C8D"/>
    <w:rsid w:val="08A50D6A"/>
    <w:rsid w:val="08B369CE"/>
    <w:rsid w:val="08C46FC0"/>
    <w:rsid w:val="08C93614"/>
    <w:rsid w:val="08CA01ED"/>
    <w:rsid w:val="08CE37B8"/>
    <w:rsid w:val="08E24F5E"/>
    <w:rsid w:val="08E43FF1"/>
    <w:rsid w:val="08F22223"/>
    <w:rsid w:val="0902679D"/>
    <w:rsid w:val="090F3AE1"/>
    <w:rsid w:val="0928227E"/>
    <w:rsid w:val="092A0376"/>
    <w:rsid w:val="092A51AA"/>
    <w:rsid w:val="092B41FB"/>
    <w:rsid w:val="092E6023"/>
    <w:rsid w:val="094E2B2D"/>
    <w:rsid w:val="09515047"/>
    <w:rsid w:val="09546F33"/>
    <w:rsid w:val="0972668A"/>
    <w:rsid w:val="0975635E"/>
    <w:rsid w:val="097D7B5F"/>
    <w:rsid w:val="09920345"/>
    <w:rsid w:val="099E3C04"/>
    <w:rsid w:val="09A52C64"/>
    <w:rsid w:val="09AA55F0"/>
    <w:rsid w:val="09AC08D0"/>
    <w:rsid w:val="09B02132"/>
    <w:rsid w:val="09B56B8F"/>
    <w:rsid w:val="09BD5C35"/>
    <w:rsid w:val="09BF5903"/>
    <w:rsid w:val="09C1452B"/>
    <w:rsid w:val="0A0D7A5E"/>
    <w:rsid w:val="0A172109"/>
    <w:rsid w:val="0A181289"/>
    <w:rsid w:val="0A2B0053"/>
    <w:rsid w:val="0A317416"/>
    <w:rsid w:val="0A5B28AF"/>
    <w:rsid w:val="0A6C3DC0"/>
    <w:rsid w:val="0A8F1517"/>
    <w:rsid w:val="0A92496B"/>
    <w:rsid w:val="0AAE4BC6"/>
    <w:rsid w:val="0AB45767"/>
    <w:rsid w:val="0ABA14F4"/>
    <w:rsid w:val="0ABB6AF5"/>
    <w:rsid w:val="0AD46BB7"/>
    <w:rsid w:val="0ADA5210"/>
    <w:rsid w:val="0B0009AC"/>
    <w:rsid w:val="0B0048A2"/>
    <w:rsid w:val="0B011385"/>
    <w:rsid w:val="0B0C2049"/>
    <w:rsid w:val="0B0C5FE7"/>
    <w:rsid w:val="0B0D7503"/>
    <w:rsid w:val="0B106E41"/>
    <w:rsid w:val="0B116FD4"/>
    <w:rsid w:val="0B167657"/>
    <w:rsid w:val="0B1D50BA"/>
    <w:rsid w:val="0B2B5A29"/>
    <w:rsid w:val="0B3975F1"/>
    <w:rsid w:val="0B3C19E4"/>
    <w:rsid w:val="0B415478"/>
    <w:rsid w:val="0B470D55"/>
    <w:rsid w:val="0B47526C"/>
    <w:rsid w:val="0B500E3A"/>
    <w:rsid w:val="0B505360"/>
    <w:rsid w:val="0B77732A"/>
    <w:rsid w:val="0B867103"/>
    <w:rsid w:val="0B907F82"/>
    <w:rsid w:val="0BA53320"/>
    <w:rsid w:val="0BAE09E4"/>
    <w:rsid w:val="0BB93DBD"/>
    <w:rsid w:val="0BBC3795"/>
    <w:rsid w:val="0BC83278"/>
    <w:rsid w:val="0BC859A5"/>
    <w:rsid w:val="0BD47981"/>
    <w:rsid w:val="0BE62581"/>
    <w:rsid w:val="0BEB11B1"/>
    <w:rsid w:val="0BEB3A68"/>
    <w:rsid w:val="0BEF7EA9"/>
    <w:rsid w:val="0C230DF6"/>
    <w:rsid w:val="0C3910D0"/>
    <w:rsid w:val="0C3F3F90"/>
    <w:rsid w:val="0C467BA9"/>
    <w:rsid w:val="0C623929"/>
    <w:rsid w:val="0C74281E"/>
    <w:rsid w:val="0C807FF6"/>
    <w:rsid w:val="0C87035A"/>
    <w:rsid w:val="0C8A7DD9"/>
    <w:rsid w:val="0C955E4F"/>
    <w:rsid w:val="0C9B4A26"/>
    <w:rsid w:val="0CAC7B5C"/>
    <w:rsid w:val="0CB24C71"/>
    <w:rsid w:val="0CB44A7A"/>
    <w:rsid w:val="0CC1330B"/>
    <w:rsid w:val="0CC55A09"/>
    <w:rsid w:val="0CCB6C81"/>
    <w:rsid w:val="0CCD7039"/>
    <w:rsid w:val="0CD345CA"/>
    <w:rsid w:val="0CD75039"/>
    <w:rsid w:val="0CE05755"/>
    <w:rsid w:val="0CE64F4C"/>
    <w:rsid w:val="0CE75351"/>
    <w:rsid w:val="0CEA4DAF"/>
    <w:rsid w:val="0D025590"/>
    <w:rsid w:val="0D030E00"/>
    <w:rsid w:val="0D055CB0"/>
    <w:rsid w:val="0D156991"/>
    <w:rsid w:val="0D1E22C0"/>
    <w:rsid w:val="0D2354B6"/>
    <w:rsid w:val="0D243A66"/>
    <w:rsid w:val="0D24577E"/>
    <w:rsid w:val="0D2942CC"/>
    <w:rsid w:val="0D3672ED"/>
    <w:rsid w:val="0D3F27B9"/>
    <w:rsid w:val="0D442E94"/>
    <w:rsid w:val="0D775FC4"/>
    <w:rsid w:val="0D7E1211"/>
    <w:rsid w:val="0D8C6527"/>
    <w:rsid w:val="0DAD04E0"/>
    <w:rsid w:val="0DB23AE2"/>
    <w:rsid w:val="0DB62177"/>
    <w:rsid w:val="0DB90CBC"/>
    <w:rsid w:val="0DC541E3"/>
    <w:rsid w:val="0DD33260"/>
    <w:rsid w:val="0DD33878"/>
    <w:rsid w:val="0DD50C27"/>
    <w:rsid w:val="0DDE4E3E"/>
    <w:rsid w:val="0DEB76F2"/>
    <w:rsid w:val="0DFD1710"/>
    <w:rsid w:val="0E115BCE"/>
    <w:rsid w:val="0E1F651D"/>
    <w:rsid w:val="0E272F2D"/>
    <w:rsid w:val="0E397350"/>
    <w:rsid w:val="0E445BCA"/>
    <w:rsid w:val="0E6A6868"/>
    <w:rsid w:val="0E8459A5"/>
    <w:rsid w:val="0E850F44"/>
    <w:rsid w:val="0E9B4C74"/>
    <w:rsid w:val="0EA33B28"/>
    <w:rsid w:val="0EAB2719"/>
    <w:rsid w:val="0EB9366B"/>
    <w:rsid w:val="0EBB70C4"/>
    <w:rsid w:val="0EC9296B"/>
    <w:rsid w:val="0ED73C8C"/>
    <w:rsid w:val="0EFB1C74"/>
    <w:rsid w:val="0F1467D4"/>
    <w:rsid w:val="0F174567"/>
    <w:rsid w:val="0F1C52DF"/>
    <w:rsid w:val="0F403A6D"/>
    <w:rsid w:val="0F493AA4"/>
    <w:rsid w:val="0F4D02A7"/>
    <w:rsid w:val="0F9B7C7A"/>
    <w:rsid w:val="0FAE6DF0"/>
    <w:rsid w:val="0FDD796C"/>
    <w:rsid w:val="0FDE2F7C"/>
    <w:rsid w:val="0FF45DF4"/>
    <w:rsid w:val="0FFD0267"/>
    <w:rsid w:val="0FFD0772"/>
    <w:rsid w:val="1001563C"/>
    <w:rsid w:val="1002135F"/>
    <w:rsid w:val="101707D3"/>
    <w:rsid w:val="102038B1"/>
    <w:rsid w:val="102313C5"/>
    <w:rsid w:val="102C4067"/>
    <w:rsid w:val="102D217E"/>
    <w:rsid w:val="1034747D"/>
    <w:rsid w:val="10362EBB"/>
    <w:rsid w:val="104327DD"/>
    <w:rsid w:val="10490702"/>
    <w:rsid w:val="104B26C9"/>
    <w:rsid w:val="104C3EAF"/>
    <w:rsid w:val="10557513"/>
    <w:rsid w:val="1058239D"/>
    <w:rsid w:val="1064555B"/>
    <w:rsid w:val="109A4EEF"/>
    <w:rsid w:val="10A02A15"/>
    <w:rsid w:val="10A92F6C"/>
    <w:rsid w:val="10B66959"/>
    <w:rsid w:val="10B7735E"/>
    <w:rsid w:val="10CE6D3C"/>
    <w:rsid w:val="10D5283E"/>
    <w:rsid w:val="10D74BBA"/>
    <w:rsid w:val="10D86A8C"/>
    <w:rsid w:val="10E072B6"/>
    <w:rsid w:val="10FE4805"/>
    <w:rsid w:val="11042AEC"/>
    <w:rsid w:val="11053AC8"/>
    <w:rsid w:val="110E60EF"/>
    <w:rsid w:val="11160F29"/>
    <w:rsid w:val="1133585B"/>
    <w:rsid w:val="114A690D"/>
    <w:rsid w:val="114E4EA5"/>
    <w:rsid w:val="115D26B4"/>
    <w:rsid w:val="115D4571"/>
    <w:rsid w:val="11743B70"/>
    <w:rsid w:val="1189749B"/>
    <w:rsid w:val="119500A0"/>
    <w:rsid w:val="11A40185"/>
    <w:rsid w:val="11D31EF9"/>
    <w:rsid w:val="11E55D48"/>
    <w:rsid w:val="12081CA1"/>
    <w:rsid w:val="120B5FEC"/>
    <w:rsid w:val="120D40DA"/>
    <w:rsid w:val="12191337"/>
    <w:rsid w:val="121C3FDF"/>
    <w:rsid w:val="12267E80"/>
    <w:rsid w:val="122B75D6"/>
    <w:rsid w:val="1237189E"/>
    <w:rsid w:val="1253074E"/>
    <w:rsid w:val="12582FCD"/>
    <w:rsid w:val="126416D2"/>
    <w:rsid w:val="12656B15"/>
    <w:rsid w:val="128C3B4D"/>
    <w:rsid w:val="129658DE"/>
    <w:rsid w:val="129A49CF"/>
    <w:rsid w:val="129F7A07"/>
    <w:rsid w:val="12B35438"/>
    <w:rsid w:val="12D13DE2"/>
    <w:rsid w:val="12E708A3"/>
    <w:rsid w:val="12E70F69"/>
    <w:rsid w:val="12EB2260"/>
    <w:rsid w:val="130578FC"/>
    <w:rsid w:val="13152507"/>
    <w:rsid w:val="13286A6D"/>
    <w:rsid w:val="13385187"/>
    <w:rsid w:val="133E3ECE"/>
    <w:rsid w:val="1362270A"/>
    <w:rsid w:val="13634471"/>
    <w:rsid w:val="13726F78"/>
    <w:rsid w:val="137E7B48"/>
    <w:rsid w:val="13883730"/>
    <w:rsid w:val="13936861"/>
    <w:rsid w:val="139D37FE"/>
    <w:rsid w:val="13A66595"/>
    <w:rsid w:val="13B00554"/>
    <w:rsid w:val="13B569A7"/>
    <w:rsid w:val="13CE5FD7"/>
    <w:rsid w:val="13EF3374"/>
    <w:rsid w:val="13F24508"/>
    <w:rsid w:val="13FD344A"/>
    <w:rsid w:val="13FF5427"/>
    <w:rsid w:val="14023EC1"/>
    <w:rsid w:val="14062861"/>
    <w:rsid w:val="140E37B9"/>
    <w:rsid w:val="141C6857"/>
    <w:rsid w:val="142C2F38"/>
    <w:rsid w:val="142D5389"/>
    <w:rsid w:val="14364C1C"/>
    <w:rsid w:val="146907E4"/>
    <w:rsid w:val="146D6F1F"/>
    <w:rsid w:val="147413B1"/>
    <w:rsid w:val="14795A57"/>
    <w:rsid w:val="1481490C"/>
    <w:rsid w:val="149C0C87"/>
    <w:rsid w:val="14AC4A21"/>
    <w:rsid w:val="14DB5D5E"/>
    <w:rsid w:val="14DC60B9"/>
    <w:rsid w:val="14E37374"/>
    <w:rsid w:val="14EC0C22"/>
    <w:rsid w:val="14F05E52"/>
    <w:rsid w:val="14F21366"/>
    <w:rsid w:val="14FE7538"/>
    <w:rsid w:val="150F6584"/>
    <w:rsid w:val="151F330F"/>
    <w:rsid w:val="153A1A44"/>
    <w:rsid w:val="156F76D6"/>
    <w:rsid w:val="15755812"/>
    <w:rsid w:val="15790A54"/>
    <w:rsid w:val="157D59A5"/>
    <w:rsid w:val="15B449C7"/>
    <w:rsid w:val="15C23C39"/>
    <w:rsid w:val="15C96861"/>
    <w:rsid w:val="15DB5E46"/>
    <w:rsid w:val="15DC6F91"/>
    <w:rsid w:val="15DF5D8E"/>
    <w:rsid w:val="15FA21E5"/>
    <w:rsid w:val="16045F44"/>
    <w:rsid w:val="162D0E6A"/>
    <w:rsid w:val="162D51D5"/>
    <w:rsid w:val="163A442E"/>
    <w:rsid w:val="164B6353"/>
    <w:rsid w:val="1650291D"/>
    <w:rsid w:val="16557426"/>
    <w:rsid w:val="16622458"/>
    <w:rsid w:val="166242C9"/>
    <w:rsid w:val="166C6A08"/>
    <w:rsid w:val="166F3128"/>
    <w:rsid w:val="169B2E9E"/>
    <w:rsid w:val="16A76A05"/>
    <w:rsid w:val="16B35639"/>
    <w:rsid w:val="16B71CED"/>
    <w:rsid w:val="16BE3BF5"/>
    <w:rsid w:val="16D932AB"/>
    <w:rsid w:val="16F215F0"/>
    <w:rsid w:val="16FD14CA"/>
    <w:rsid w:val="170F61FF"/>
    <w:rsid w:val="170F7267"/>
    <w:rsid w:val="1712286F"/>
    <w:rsid w:val="172014BB"/>
    <w:rsid w:val="17331594"/>
    <w:rsid w:val="17382C4E"/>
    <w:rsid w:val="175052D8"/>
    <w:rsid w:val="17513E2A"/>
    <w:rsid w:val="17555BDC"/>
    <w:rsid w:val="17591B70"/>
    <w:rsid w:val="176E551D"/>
    <w:rsid w:val="178C3ADD"/>
    <w:rsid w:val="178D35C8"/>
    <w:rsid w:val="178D52D3"/>
    <w:rsid w:val="17B65C2C"/>
    <w:rsid w:val="17BE3C54"/>
    <w:rsid w:val="17D6321A"/>
    <w:rsid w:val="17E60340"/>
    <w:rsid w:val="180503AF"/>
    <w:rsid w:val="182634D6"/>
    <w:rsid w:val="1833416F"/>
    <w:rsid w:val="1836092A"/>
    <w:rsid w:val="18451E9C"/>
    <w:rsid w:val="18471AA1"/>
    <w:rsid w:val="185C1918"/>
    <w:rsid w:val="18606E8A"/>
    <w:rsid w:val="186662F2"/>
    <w:rsid w:val="186C63BF"/>
    <w:rsid w:val="187720D0"/>
    <w:rsid w:val="187B0ADC"/>
    <w:rsid w:val="187E1DB2"/>
    <w:rsid w:val="189E3CDE"/>
    <w:rsid w:val="18A10F9C"/>
    <w:rsid w:val="18A36320"/>
    <w:rsid w:val="18A37048"/>
    <w:rsid w:val="18A372C8"/>
    <w:rsid w:val="18A647FD"/>
    <w:rsid w:val="18A906B7"/>
    <w:rsid w:val="18AB05EC"/>
    <w:rsid w:val="18C354F3"/>
    <w:rsid w:val="18C8188B"/>
    <w:rsid w:val="18D3325C"/>
    <w:rsid w:val="18DB0708"/>
    <w:rsid w:val="18E22943"/>
    <w:rsid w:val="18E229E5"/>
    <w:rsid w:val="18EA50C4"/>
    <w:rsid w:val="19080C81"/>
    <w:rsid w:val="191609EB"/>
    <w:rsid w:val="191703C2"/>
    <w:rsid w:val="191F2A13"/>
    <w:rsid w:val="193A152D"/>
    <w:rsid w:val="194303E2"/>
    <w:rsid w:val="19495416"/>
    <w:rsid w:val="195C6E22"/>
    <w:rsid w:val="195D22D3"/>
    <w:rsid w:val="19654B16"/>
    <w:rsid w:val="196565AA"/>
    <w:rsid w:val="1970387E"/>
    <w:rsid w:val="197D587D"/>
    <w:rsid w:val="197F4904"/>
    <w:rsid w:val="1980484A"/>
    <w:rsid w:val="198E2D44"/>
    <w:rsid w:val="199E6A81"/>
    <w:rsid w:val="19A17CD9"/>
    <w:rsid w:val="19B813E4"/>
    <w:rsid w:val="19CC4C29"/>
    <w:rsid w:val="19D14334"/>
    <w:rsid w:val="19D774A7"/>
    <w:rsid w:val="19D92203"/>
    <w:rsid w:val="19DD0836"/>
    <w:rsid w:val="19DF4F3D"/>
    <w:rsid w:val="19E0023E"/>
    <w:rsid w:val="19E15655"/>
    <w:rsid w:val="19E6757A"/>
    <w:rsid w:val="19F726ED"/>
    <w:rsid w:val="19F7471C"/>
    <w:rsid w:val="1A022711"/>
    <w:rsid w:val="1A04603D"/>
    <w:rsid w:val="1A151B01"/>
    <w:rsid w:val="1A197CD5"/>
    <w:rsid w:val="1A1A3838"/>
    <w:rsid w:val="1A1B7038"/>
    <w:rsid w:val="1A1C7E5C"/>
    <w:rsid w:val="1A257453"/>
    <w:rsid w:val="1A501008"/>
    <w:rsid w:val="1A530AF8"/>
    <w:rsid w:val="1A7B5306"/>
    <w:rsid w:val="1A8278AE"/>
    <w:rsid w:val="1A83768B"/>
    <w:rsid w:val="1A846BC4"/>
    <w:rsid w:val="1A9072A7"/>
    <w:rsid w:val="1A942A45"/>
    <w:rsid w:val="1A9A04D5"/>
    <w:rsid w:val="1A9D1D74"/>
    <w:rsid w:val="1A9E6660"/>
    <w:rsid w:val="1A9E6D1E"/>
    <w:rsid w:val="1AA60604"/>
    <w:rsid w:val="1AC217DA"/>
    <w:rsid w:val="1AD751A4"/>
    <w:rsid w:val="1ADF413A"/>
    <w:rsid w:val="1AE26601"/>
    <w:rsid w:val="1AE35DC8"/>
    <w:rsid w:val="1B026D38"/>
    <w:rsid w:val="1B0E42B9"/>
    <w:rsid w:val="1B2A2FD3"/>
    <w:rsid w:val="1B3834F2"/>
    <w:rsid w:val="1B570F89"/>
    <w:rsid w:val="1B845173"/>
    <w:rsid w:val="1B86590E"/>
    <w:rsid w:val="1B921616"/>
    <w:rsid w:val="1B99253B"/>
    <w:rsid w:val="1BA5551F"/>
    <w:rsid w:val="1BAD5FE6"/>
    <w:rsid w:val="1BBD1D86"/>
    <w:rsid w:val="1BBF040F"/>
    <w:rsid w:val="1BD54ACF"/>
    <w:rsid w:val="1BD94AC8"/>
    <w:rsid w:val="1BDE5476"/>
    <w:rsid w:val="1BF16B27"/>
    <w:rsid w:val="1BF51F40"/>
    <w:rsid w:val="1BFA3E93"/>
    <w:rsid w:val="1BFB1448"/>
    <w:rsid w:val="1BFE204F"/>
    <w:rsid w:val="1C0B510C"/>
    <w:rsid w:val="1C10099B"/>
    <w:rsid w:val="1C1B7D79"/>
    <w:rsid w:val="1C302C98"/>
    <w:rsid w:val="1C315EFE"/>
    <w:rsid w:val="1C4169B1"/>
    <w:rsid w:val="1C4E40D4"/>
    <w:rsid w:val="1C536B8E"/>
    <w:rsid w:val="1C572EF0"/>
    <w:rsid w:val="1C6260F9"/>
    <w:rsid w:val="1C634639"/>
    <w:rsid w:val="1C69238B"/>
    <w:rsid w:val="1C7D00AF"/>
    <w:rsid w:val="1C87249A"/>
    <w:rsid w:val="1C940F54"/>
    <w:rsid w:val="1C9C29C0"/>
    <w:rsid w:val="1CA24200"/>
    <w:rsid w:val="1CA8501E"/>
    <w:rsid w:val="1CA95133"/>
    <w:rsid w:val="1CAB402F"/>
    <w:rsid w:val="1CAE64BA"/>
    <w:rsid w:val="1CB13BE9"/>
    <w:rsid w:val="1CB867E2"/>
    <w:rsid w:val="1CC61A56"/>
    <w:rsid w:val="1CDA105D"/>
    <w:rsid w:val="1CF32800"/>
    <w:rsid w:val="1D0205B4"/>
    <w:rsid w:val="1D033F50"/>
    <w:rsid w:val="1D06559F"/>
    <w:rsid w:val="1D214EDE"/>
    <w:rsid w:val="1D227585"/>
    <w:rsid w:val="1D3650CF"/>
    <w:rsid w:val="1D372787"/>
    <w:rsid w:val="1D3C02B6"/>
    <w:rsid w:val="1D470009"/>
    <w:rsid w:val="1D612983"/>
    <w:rsid w:val="1D7C3EC2"/>
    <w:rsid w:val="1D894BA9"/>
    <w:rsid w:val="1D943902"/>
    <w:rsid w:val="1D9D3BFA"/>
    <w:rsid w:val="1DC721E0"/>
    <w:rsid w:val="1DCC2EE2"/>
    <w:rsid w:val="1DD060CA"/>
    <w:rsid w:val="1DD70F79"/>
    <w:rsid w:val="1E0345E3"/>
    <w:rsid w:val="1E05035C"/>
    <w:rsid w:val="1E0B24D0"/>
    <w:rsid w:val="1E195594"/>
    <w:rsid w:val="1E240A74"/>
    <w:rsid w:val="1E293EE9"/>
    <w:rsid w:val="1E2D40AE"/>
    <w:rsid w:val="1E3A442A"/>
    <w:rsid w:val="1E510303"/>
    <w:rsid w:val="1E6C1B47"/>
    <w:rsid w:val="1E8B565E"/>
    <w:rsid w:val="1E984044"/>
    <w:rsid w:val="1EA210B3"/>
    <w:rsid w:val="1EC93137"/>
    <w:rsid w:val="1EDA5344"/>
    <w:rsid w:val="1EF43668"/>
    <w:rsid w:val="1F002B0E"/>
    <w:rsid w:val="1F00747A"/>
    <w:rsid w:val="1F022AED"/>
    <w:rsid w:val="1F066139"/>
    <w:rsid w:val="1F157358"/>
    <w:rsid w:val="1F1F369F"/>
    <w:rsid w:val="1F2A5384"/>
    <w:rsid w:val="1F2D2FB7"/>
    <w:rsid w:val="1F3362EC"/>
    <w:rsid w:val="1F3507CD"/>
    <w:rsid w:val="1F415FD2"/>
    <w:rsid w:val="1F433BBA"/>
    <w:rsid w:val="1F4D5BFB"/>
    <w:rsid w:val="1F5570C1"/>
    <w:rsid w:val="1F6B2DA0"/>
    <w:rsid w:val="1F6B5269"/>
    <w:rsid w:val="1F7E03C6"/>
    <w:rsid w:val="1F8D60EE"/>
    <w:rsid w:val="1F9A35A3"/>
    <w:rsid w:val="1FA23685"/>
    <w:rsid w:val="1FAA11BB"/>
    <w:rsid w:val="1FAE74E8"/>
    <w:rsid w:val="1FBB2013"/>
    <w:rsid w:val="1FBC7140"/>
    <w:rsid w:val="1FC17D84"/>
    <w:rsid w:val="1FC92572"/>
    <w:rsid w:val="1FE47CA0"/>
    <w:rsid w:val="1FEB4E59"/>
    <w:rsid w:val="1FF23BBE"/>
    <w:rsid w:val="20040ADA"/>
    <w:rsid w:val="200739B9"/>
    <w:rsid w:val="200B11A4"/>
    <w:rsid w:val="200D0572"/>
    <w:rsid w:val="201B3E66"/>
    <w:rsid w:val="2023792B"/>
    <w:rsid w:val="202F5A26"/>
    <w:rsid w:val="203213A2"/>
    <w:rsid w:val="20444A8B"/>
    <w:rsid w:val="20517DA5"/>
    <w:rsid w:val="20560701"/>
    <w:rsid w:val="20606F9A"/>
    <w:rsid w:val="207166F4"/>
    <w:rsid w:val="20757539"/>
    <w:rsid w:val="2079293B"/>
    <w:rsid w:val="208147A6"/>
    <w:rsid w:val="208565B5"/>
    <w:rsid w:val="209122D7"/>
    <w:rsid w:val="20936C39"/>
    <w:rsid w:val="20AD0837"/>
    <w:rsid w:val="20B87175"/>
    <w:rsid w:val="20BD4152"/>
    <w:rsid w:val="20BF1B0E"/>
    <w:rsid w:val="20C73425"/>
    <w:rsid w:val="20CF4E7C"/>
    <w:rsid w:val="20D92DE2"/>
    <w:rsid w:val="20F01F50"/>
    <w:rsid w:val="20F46465"/>
    <w:rsid w:val="20FC30FE"/>
    <w:rsid w:val="21162D36"/>
    <w:rsid w:val="212D5FE2"/>
    <w:rsid w:val="213301F1"/>
    <w:rsid w:val="215200FE"/>
    <w:rsid w:val="215407C9"/>
    <w:rsid w:val="21562E90"/>
    <w:rsid w:val="216B2BCB"/>
    <w:rsid w:val="21997739"/>
    <w:rsid w:val="21AA0846"/>
    <w:rsid w:val="21B62250"/>
    <w:rsid w:val="21C115FF"/>
    <w:rsid w:val="21C916A0"/>
    <w:rsid w:val="21CA3715"/>
    <w:rsid w:val="21CC65DF"/>
    <w:rsid w:val="21D95FF8"/>
    <w:rsid w:val="21DA62E3"/>
    <w:rsid w:val="21DC0F1D"/>
    <w:rsid w:val="21EC3DA8"/>
    <w:rsid w:val="21F1792F"/>
    <w:rsid w:val="21F57C83"/>
    <w:rsid w:val="21FB3F4F"/>
    <w:rsid w:val="22023677"/>
    <w:rsid w:val="221007A5"/>
    <w:rsid w:val="22162FED"/>
    <w:rsid w:val="221E4BA0"/>
    <w:rsid w:val="22376163"/>
    <w:rsid w:val="223E395A"/>
    <w:rsid w:val="22437583"/>
    <w:rsid w:val="225018F9"/>
    <w:rsid w:val="22525B39"/>
    <w:rsid w:val="225A69C6"/>
    <w:rsid w:val="226513C9"/>
    <w:rsid w:val="22654754"/>
    <w:rsid w:val="226A2AF7"/>
    <w:rsid w:val="226B17D1"/>
    <w:rsid w:val="2273319C"/>
    <w:rsid w:val="22807B43"/>
    <w:rsid w:val="22914B34"/>
    <w:rsid w:val="229A1006"/>
    <w:rsid w:val="22A9780E"/>
    <w:rsid w:val="22AD0D84"/>
    <w:rsid w:val="22AD4B1E"/>
    <w:rsid w:val="22AE20B1"/>
    <w:rsid w:val="22AF6AE8"/>
    <w:rsid w:val="22B21C82"/>
    <w:rsid w:val="22B60B46"/>
    <w:rsid w:val="22BE3A97"/>
    <w:rsid w:val="22FC2C45"/>
    <w:rsid w:val="23007F52"/>
    <w:rsid w:val="23363458"/>
    <w:rsid w:val="23403A65"/>
    <w:rsid w:val="23437BA6"/>
    <w:rsid w:val="23505F0C"/>
    <w:rsid w:val="23646C78"/>
    <w:rsid w:val="237776E1"/>
    <w:rsid w:val="23777A76"/>
    <w:rsid w:val="238106F9"/>
    <w:rsid w:val="23834E1B"/>
    <w:rsid w:val="238903A0"/>
    <w:rsid w:val="23A21512"/>
    <w:rsid w:val="23AA6B27"/>
    <w:rsid w:val="23B72159"/>
    <w:rsid w:val="23C665B4"/>
    <w:rsid w:val="23E538AD"/>
    <w:rsid w:val="23F14D0F"/>
    <w:rsid w:val="2409156F"/>
    <w:rsid w:val="24156EA1"/>
    <w:rsid w:val="242A3029"/>
    <w:rsid w:val="243C1CC3"/>
    <w:rsid w:val="2446099F"/>
    <w:rsid w:val="245142FB"/>
    <w:rsid w:val="24680CF8"/>
    <w:rsid w:val="24713D3C"/>
    <w:rsid w:val="24750B97"/>
    <w:rsid w:val="24944661"/>
    <w:rsid w:val="24A02228"/>
    <w:rsid w:val="24A16B54"/>
    <w:rsid w:val="24A7568C"/>
    <w:rsid w:val="24BB79C6"/>
    <w:rsid w:val="24CC1BD3"/>
    <w:rsid w:val="24DD5B8E"/>
    <w:rsid w:val="24F53DF4"/>
    <w:rsid w:val="24FC32DF"/>
    <w:rsid w:val="24FC47BA"/>
    <w:rsid w:val="250065B7"/>
    <w:rsid w:val="250424CE"/>
    <w:rsid w:val="25131C1E"/>
    <w:rsid w:val="25145D02"/>
    <w:rsid w:val="25271745"/>
    <w:rsid w:val="25423C43"/>
    <w:rsid w:val="2547048E"/>
    <w:rsid w:val="25592B81"/>
    <w:rsid w:val="2561056D"/>
    <w:rsid w:val="25686213"/>
    <w:rsid w:val="256D66C9"/>
    <w:rsid w:val="256E4E34"/>
    <w:rsid w:val="25741DA5"/>
    <w:rsid w:val="25777D9A"/>
    <w:rsid w:val="25841802"/>
    <w:rsid w:val="2587240E"/>
    <w:rsid w:val="259C643D"/>
    <w:rsid w:val="259E13D7"/>
    <w:rsid w:val="25A4069B"/>
    <w:rsid w:val="25A71CF8"/>
    <w:rsid w:val="25AE3087"/>
    <w:rsid w:val="25B92E91"/>
    <w:rsid w:val="25CF065C"/>
    <w:rsid w:val="25DD532F"/>
    <w:rsid w:val="25DF189A"/>
    <w:rsid w:val="25E94218"/>
    <w:rsid w:val="25EC1EF2"/>
    <w:rsid w:val="26233A75"/>
    <w:rsid w:val="262E6F15"/>
    <w:rsid w:val="263316E0"/>
    <w:rsid w:val="26345DD4"/>
    <w:rsid w:val="263712CE"/>
    <w:rsid w:val="264004AF"/>
    <w:rsid w:val="264471C6"/>
    <w:rsid w:val="26447E5C"/>
    <w:rsid w:val="26452B90"/>
    <w:rsid w:val="265A4FBD"/>
    <w:rsid w:val="266C4A59"/>
    <w:rsid w:val="267A5EA6"/>
    <w:rsid w:val="267C1A13"/>
    <w:rsid w:val="26897368"/>
    <w:rsid w:val="269009DE"/>
    <w:rsid w:val="26B46354"/>
    <w:rsid w:val="26B93FC5"/>
    <w:rsid w:val="26BE4BC6"/>
    <w:rsid w:val="26BE7C25"/>
    <w:rsid w:val="26E25B7D"/>
    <w:rsid w:val="27007054"/>
    <w:rsid w:val="271F6E2A"/>
    <w:rsid w:val="27217EAF"/>
    <w:rsid w:val="27233601"/>
    <w:rsid w:val="27306CFA"/>
    <w:rsid w:val="273842BE"/>
    <w:rsid w:val="273C5D75"/>
    <w:rsid w:val="27422B24"/>
    <w:rsid w:val="27475541"/>
    <w:rsid w:val="274C7619"/>
    <w:rsid w:val="275D7613"/>
    <w:rsid w:val="27826D9A"/>
    <w:rsid w:val="27915071"/>
    <w:rsid w:val="27A051B5"/>
    <w:rsid w:val="27AE3BD5"/>
    <w:rsid w:val="27AF2E35"/>
    <w:rsid w:val="27B37254"/>
    <w:rsid w:val="27CE333F"/>
    <w:rsid w:val="27D05042"/>
    <w:rsid w:val="27D92028"/>
    <w:rsid w:val="27E937D3"/>
    <w:rsid w:val="27EE1E60"/>
    <w:rsid w:val="27F21951"/>
    <w:rsid w:val="280035B1"/>
    <w:rsid w:val="280A4E8D"/>
    <w:rsid w:val="280E2503"/>
    <w:rsid w:val="28161833"/>
    <w:rsid w:val="28181C1F"/>
    <w:rsid w:val="282073B7"/>
    <w:rsid w:val="28241454"/>
    <w:rsid w:val="28355B43"/>
    <w:rsid w:val="283F5DE8"/>
    <w:rsid w:val="2849586E"/>
    <w:rsid w:val="284B0102"/>
    <w:rsid w:val="285555AC"/>
    <w:rsid w:val="28700AC7"/>
    <w:rsid w:val="28715A7F"/>
    <w:rsid w:val="28747F7C"/>
    <w:rsid w:val="287741D1"/>
    <w:rsid w:val="28983755"/>
    <w:rsid w:val="28A76B04"/>
    <w:rsid w:val="28A84FE2"/>
    <w:rsid w:val="28D01CD6"/>
    <w:rsid w:val="28D6405D"/>
    <w:rsid w:val="28DB4D65"/>
    <w:rsid w:val="28DF17A9"/>
    <w:rsid w:val="28E5357A"/>
    <w:rsid w:val="28F87065"/>
    <w:rsid w:val="290B3F1D"/>
    <w:rsid w:val="291C1783"/>
    <w:rsid w:val="291E26F7"/>
    <w:rsid w:val="292C7A58"/>
    <w:rsid w:val="294868A3"/>
    <w:rsid w:val="294C32E2"/>
    <w:rsid w:val="294D2A7A"/>
    <w:rsid w:val="2955261E"/>
    <w:rsid w:val="29557A54"/>
    <w:rsid w:val="295B6569"/>
    <w:rsid w:val="29660A85"/>
    <w:rsid w:val="296774F8"/>
    <w:rsid w:val="296D1EF0"/>
    <w:rsid w:val="296D526B"/>
    <w:rsid w:val="296E007B"/>
    <w:rsid w:val="29842087"/>
    <w:rsid w:val="298752AD"/>
    <w:rsid w:val="2990713B"/>
    <w:rsid w:val="29925E42"/>
    <w:rsid w:val="29A963E4"/>
    <w:rsid w:val="29AC0A10"/>
    <w:rsid w:val="29AC7F21"/>
    <w:rsid w:val="29C27101"/>
    <w:rsid w:val="29DE50D7"/>
    <w:rsid w:val="29E2355D"/>
    <w:rsid w:val="29E9140D"/>
    <w:rsid w:val="29FB6E58"/>
    <w:rsid w:val="2A043360"/>
    <w:rsid w:val="2A043E53"/>
    <w:rsid w:val="2A0B4F4C"/>
    <w:rsid w:val="2A0E704D"/>
    <w:rsid w:val="2A111E36"/>
    <w:rsid w:val="2A1D6A2D"/>
    <w:rsid w:val="2A2535CD"/>
    <w:rsid w:val="2A373F31"/>
    <w:rsid w:val="2A741979"/>
    <w:rsid w:val="2A7B29EB"/>
    <w:rsid w:val="2A81044C"/>
    <w:rsid w:val="2A855222"/>
    <w:rsid w:val="2A8A5C50"/>
    <w:rsid w:val="2A8B7ECF"/>
    <w:rsid w:val="2A8C56AE"/>
    <w:rsid w:val="2A8F74FA"/>
    <w:rsid w:val="2A9A6DD6"/>
    <w:rsid w:val="2ACF6258"/>
    <w:rsid w:val="2AF17A89"/>
    <w:rsid w:val="2AF95583"/>
    <w:rsid w:val="2AFD59E2"/>
    <w:rsid w:val="2B026FB4"/>
    <w:rsid w:val="2B09571F"/>
    <w:rsid w:val="2B1920DF"/>
    <w:rsid w:val="2B1A0D38"/>
    <w:rsid w:val="2B1C2890"/>
    <w:rsid w:val="2B335E35"/>
    <w:rsid w:val="2B34402E"/>
    <w:rsid w:val="2B4F10C6"/>
    <w:rsid w:val="2B4F720F"/>
    <w:rsid w:val="2B611C17"/>
    <w:rsid w:val="2B6C2BE9"/>
    <w:rsid w:val="2B7B1C5D"/>
    <w:rsid w:val="2B8925C0"/>
    <w:rsid w:val="2B8B39B7"/>
    <w:rsid w:val="2BA03D1E"/>
    <w:rsid w:val="2BA1512D"/>
    <w:rsid w:val="2BA52731"/>
    <w:rsid w:val="2BAC73A3"/>
    <w:rsid w:val="2BB4516F"/>
    <w:rsid w:val="2BDF4663"/>
    <w:rsid w:val="2BE51A5D"/>
    <w:rsid w:val="2BE704E2"/>
    <w:rsid w:val="2BEB42EA"/>
    <w:rsid w:val="2BEC4909"/>
    <w:rsid w:val="2C031632"/>
    <w:rsid w:val="2C2D0ED6"/>
    <w:rsid w:val="2C922E32"/>
    <w:rsid w:val="2CC55886"/>
    <w:rsid w:val="2CC81818"/>
    <w:rsid w:val="2CC91B40"/>
    <w:rsid w:val="2CD17D2A"/>
    <w:rsid w:val="2CDB7F4F"/>
    <w:rsid w:val="2CE35D0C"/>
    <w:rsid w:val="2D043FBF"/>
    <w:rsid w:val="2D1B4751"/>
    <w:rsid w:val="2D311250"/>
    <w:rsid w:val="2D3447B9"/>
    <w:rsid w:val="2D651620"/>
    <w:rsid w:val="2D74524D"/>
    <w:rsid w:val="2D8747FA"/>
    <w:rsid w:val="2DA134D1"/>
    <w:rsid w:val="2DAC37B8"/>
    <w:rsid w:val="2DB7476B"/>
    <w:rsid w:val="2DC91910"/>
    <w:rsid w:val="2DCA01C3"/>
    <w:rsid w:val="2DE95338"/>
    <w:rsid w:val="2DF52125"/>
    <w:rsid w:val="2E00469C"/>
    <w:rsid w:val="2E0D48FA"/>
    <w:rsid w:val="2E143D8F"/>
    <w:rsid w:val="2E22733A"/>
    <w:rsid w:val="2E352755"/>
    <w:rsid w:val="2E4C5B33"/>
    <w:rsid w:val="2E4D3ACC"/>
    <w:rsid w:val="2E67592B"/>
    <w:rsid w:val="2E69314F"/>
    <w:rsid w:val="2E6956B9"/>
    <w:rsid w:val="2EA65243"/>
    <w:rsid w:val="2EA80FEE"/>
    <w:rsid w:val="2EAD547F"/>
    <w:rsid w:val="2EB711FE"/>
    <w:rsid w:val="2EB76944"/>
    <w:rsid w:val="2EBE1669"/>
    <w:rsid w:val="2EC102CF"/>
    <w:rsid w:val="2EE01A39"/>
    <w:rsid w:val="2EE26451"/>
    <w:rsid w:val="2EE27E40"/>
    <w:rsid w:val="2F0F0908"/>
    <w:rsid w:val="2F1435A8"/>
    <w:rsid w:val="2F2838BC"/>
    <w:rsid w:val="2F350375"/>
    <w:rsid w:val="2F3B5185"/>
    <w:rsid w:val="2F3E3C0D"/>
    <w:rsid w:val="2F3E7905"/>
    <w:rsid w:val="2F4C48CB"/>
    <w:rsid w:val="2F59122E"/>
    <w:rsid w:val="2F5B6663"/>
    <w:rsid w:val="2F6A5588"/>
    <w:rsid w:val="2F735B76"/>
    <w:rsid w:val="2F8467B2"/>
    <w:rsid w:val="2F856E04"/>
    <w:rsid w:val="2F88799A"/>
    <w:rsid w:val="2F93226B"/>
    <w:rsid w:val="2F9541CA"/>
    <w:rsid w:val="2F9A13BB"/>
    <w:rsid w:val="2FA47CE5"/>
    <w:rsid w:val="2FA5374C"/>
    <w:rsid w:val="2FB05FAF"/>
    <w:rsid w:val="2FB92D54"/>
    <w:rsid w:val="2FBE190F"/>
    <w:rsid w:val="2FC832B9"/>
    <w:rsid w:val="2FD17869"/>
    <w:rsid w:val="2FD45E8F"/>
    <w:rsid w:val="2FF3270A"/>
    <w:rsid w:val="2FF65D56"/>
    <w:rsid w:val="30002407"/>
    <w:rsid w:val="301B79AE"/>
    <w:rsid w:val="301D0ADF"/>
    <w:rsid w:val="30252C7D"/>
    <w:rsid w:val="30271A0D"/>
    <w:rsid w:val="304E7940"/>
    <w:rsid w:val="305303BD"/>
    <w:rsid w:val="30590093"/>
    <w:rsid w:val="305F7D9F"/>
    <w:rsid w:val="306244BF"/>
    <w:rsid w:val="30663B82"/>
    <w:rsid w:val="30675107"/>
    <w:rsid w:val="30685B23"/>
    <w:rsid w:val="306D10A3"/>
    <w:rsid w:val="306F25CD"/>
    <w:rsid w:val="307635BA"/>
    <w:rsid w:val="308269E3"/>
    <w:rsid w:val="30872455"/>
    <w:rsid w:val="308809CB"/>
    <w:rsid w:val="30965426"/>
    <w:rsid w:val="30C161CC"/>
    <w:rsid w:val="30E3277E"/>
    <w:rsid w:val="30E738F1"/>
    <w:rsid w:val="30F73ADF"/>
    <w:rsid w:val="30FB138A"/>
    <w:rsid w:val="31057B0A"/>
    <w:rsid w:val="31102E48"/>
    <w:rsid w:val="311837B0"/>
    <w:rsid w:val="31236622"/>
    <w:rsid w:val="31297858"/>
    <w:rsid w:val="312D70D2"/>
    <w:rsid w:val="31422F43"/>
    <w:rsid w:val="314D36CD"/>
    <w:rsid w:val="316023F9"/>
    <w:rsid w:val="316103BF"/>
    <w:rsid w:val="3164427C"/>
    <w:rsid w:val="316C04CC"/>
    <w:rsid w:val="31844007"/>
    <w:rsid w:val="319E63CE"/>
    <w:rsid w:val="31B639EF"/>
    <w:rsid w:val="31B859B9"/>
    <w:rsid w:val="31BB01AE"/>
    <w:rsid w:val="31C65CF2"/>
    <w:rsid w:val="31D006D8"/>
    <w:rsid w:val="31D52E78"/>
    <w:rsid w:val="31D73965"/>
    <w:rsid w:val="31D85C55"/>
    <w:rsid w:val="31E66837"/>
    <w:rsid w:val="31ED0DC6"/>
    <w:rsid w:val="31FB548C"/>
    <w:rsid w:val="31FD3CFF"/>
    <w:rsid w:val="3201739B"/>
    <w:rsid w:val="3214594A"/>
    <w:rsid w:val="32185672"/>
    <w:rsid w:val="321D289C"/>
    <w:rsid w:val="32233CC1"/>
    <w:rsid w:val="3239017C"/>
    <w:rsid w:val="3245381B"/>
    <w:rsid w:val="3249536A"/>
    <w:rsid w:val="32500E43"/>
    <w:rsid w:val="32617728"/>
    <w:rsid w:val="32635CE6"/>
    <w:rsid w:val="327862CE"/>
    <w:rsid w:val="327F265B"/>
    <w:rsid w:val="327F64D7"/>
    <w:rsid w:val="32957AA8"/>
    <w:rsid w:val="329900FB"/>
    <w:rsid w:val="32A5207A"/>
    <w:rsid w:val="32D71A8D"/>
    <w:rsid w:val="32E32F8C"/>
    <w:rsid w:val="32E9516E"/>
    <w:rsid w:val="32FC0134"/>
    <w:rsid w:val="33003B78"/>
    <w:rsid w:val="332350B4"/>
    <w:rsid w:val="33484297"/>
    <w:rsid w:val="335C3BF6"/>
    <w:rsid w:val="33655D88"/>
    <w:rsid w:val="336B6A5B"/>
    <w:rsid w:val="3370128D"/>
    <w:rsid w:val="337201E9"/>
    <w:rsid w:val="337D60FC"/>
    <w:rsid w:val="337E678E"/>
    <w:rsid w:val="338903C2"/>
    <w:rsid w:val="338C372F"/>
    <w:rsid w:val="338D13C1"/>
    <w:rsid w:val="33917786"/>
    <w:rsid w:val="339A7CD7"/>
    <w:rsid w:val="33A3071F"/>
    <w:rsid w:val="33A32F80"/>
    <w:rsid w:val="33A42372"/>
    <w:rsid w:val="33A46938"/>
    <w:rsid w:val="33AB16F8"/>
    <w:rsid w:val="33AF1ABB"/>
    <w:rsid w:val="33C0069C"/>
    <w:rsid w:val="33C10769"/>
    <w:rsid w:val="33D73CD6"/>
    <w:rsid w:val="33D811B3"/>
    <w:rsid w:val="33D91C17"/>
    <w:rsid w:val="33DD2D38"/>
    <w:rsid w:val="33E208DF"/>
    <w:rsid w:val="33F50020"/>
    <w:rsid w:val="33FE1E0E"/>
    <w:rsid w:val="340A5DEF"/>
    <w:rsid w:val="34163887"/>
    <w:rsid w:val="341B48A9"/>
    <w:rsid w:val="341D3E5A"/>
    <w:rsid w:val="341F0224"/>
    <w:rsid w:val="34220A43"/>
    <w:rsid w:val="342C17D7"/>
    <w:rsid w:val="344E6A09"/>
    <w:rsid w:val="3452333E"/>
    <w:rsid w:val="34675474"/>
    <w:rsid w:val="346A4D07"/>
    <w:rsid w:val="34713D59"/>
    <w:rsid w:val="34873421"/>
    <w:rsid w:val="349E173E"/>
    <w:rsid w:val="34A52C78"/>
    <w:rsid w:val="34CA155F"/>
    <w:rsid w:val="34E34957"/>
    <w:rsid w:val="34E95087"/>
    <w:rsid w:val="34F16295"/>
    <w:rsid w:val="34F9448B"/>
    <w:rsid w:val="34FC2766"/>
    <w:rsid w:val="35095F3D"/>
    <w:rsid w:val="352275ED"/>
    <w:rsid w:val="352626C5"/>
    <w:rsid w:val="35412531"/>
    <w:rsid w:val="354632DC"/>
    <w:rsid w:val="354A105A"/>
    <w:rsid w:val="3565776A"/>
    <w:rsid w:val="35846B45"/>
    <w:rsid w:val="35990980"/>
    <w:rsid w:val="35997347"/>
    <w:rsid w:val="35AD07C7"/>
    <w:rsid w:val="35B33DE0"/>
    <w:rsid w:val="35BC17F0"/>
    <w:rsid w:val="35BC3837"/>
    <w:rsid w:val="35C45903"/>
    <w:rsid w:val="35C90992"/>
    <w:rsid w:val="35CB65F1"/>
    <w:rsid w:val="35CF507F"/>
    <w:rsid w:val="35D85068"/>
    <w:rsid w:val="35DF159F"/>
    <w:rsid w:val="35EB53DF"/>
    <w:rsid w:val="35F77952"/>
    <w:rsid w:val="35FA46E5"/>
    <w:rsid w:val="360016DD"/>
    <w:rsid w:val="360527E0"/>
    <w:rsid w:val="360B0D0F"/>
    <w:rsid w:val="360D078C"/>
    <w:rsid w:val="36230E98"/>
    <w:rsid w:val="36372676"/>
    <w:rsid w:val="363A484D"/>
    <w:rsid w:val="3643701F"/>
    <w:rsid w:val="3650466C"/>
    <w:rsid w:val="36525CC9"/>
    <w:rsid w:val="36583FFC"/>
    <w:rsid w:val="36596F2C"/>
    <w:rsid w:val="365D4AB4"/>
    <w:rsid w:val="365F2ADC"/>
    <w:rsid w:val="366A2313"/>
    <w:rsid w:val="367F3449"/>
    <w:rsid w:val="36801F07"/>
    <w:rsid w:val="3680281D"/>
    <w:rsid w:val="3687637F"/>
    <w:rsid w:val="368A35B6"/>
    <w:rsid w:val="368C25D3"/>
    <w:rsid w:val="3694526A"/>
    <w:rsid w:val="36997A82"/>
    <w:rsid w:val="369D517D"/>
    <w:rsid w:val="36C31416"/>
    <w:rsid w:val="36C663AC"/>
    <w:rsid w:val="36D54965"/>
    <w:rsid w:val="370B5BE3"/>
    <w:rsid w:val="370C789B"/>
    <w:rsid w:val="37134524"/>
    <w:rsid w:val="371644C1"/>
    <w:rsid w:val="37180225"/>
    <w:rsid w:val="371F37B1"/>
    <w:rsid w:val="372110BA"/>
    <w:rsid w:val="37227431"/>
    <w:rsid w:val="373368D2"/>
    <w:rsid w:val="37384EA6"/>
    <w:rsid w:val="37523140"/>
    <w:rsid w:val="3752610F"/>
    <w:rsid w:val="375A60D2"/>
    <w:rsid w:val="375B1FB5"/>
    <w:rsid w:val="37650291"/>
    <w:rsid w:val="377E483B"/>
    <w:rsid w:val="379978BE"/>
    <w:rsid w:val="37A622B6"/>
    <w:rsid w:val="37AC319E"/>
    <w:rsid w:val="37BF1123"/>
    <w:rsid w:val="37C81627"/>
    <w:rsid w:val="37C8566B"/>
    <w:rsid w:val="37CD4CDD"/>
    <w:rsid w:val="37D3641E"/>
    <w:rsid w:val="37D54679"/>
    <w:rsid w:val="37E63033"/>
    <w:rsid w:val="37F92887"/>
    <w:rsid w:val="37FA3518"/>
    <w:rsid w:val="3816403D"/>
    <w:rsid w:val="38194CD8"/>
    <w:rsid w:val="381D069F"/>
    <w:rsid w:val="3836588A"/>
    <w:rsid w:val="384239D9"/>
    <w:rsid w:val="38433B03"/>
    <w:rsid w:val="38466551"/>
    <w:rsid w:val="384A30E3"/>
    <w:rsid w:val="38502673"/>
    <w:rsid w:val="38521F98"/>
    <w:rsid w:val="385D3411"/>
    <w:rsid w:val="386C3059"/>
    <w:rsid w:val="387158D3"/>
    <w:rsid w:val="387716E5"/>
    <w:rsid w:val="38802F5E"/>
    <w:rsid w:val="388240A7"/>
    <w:rsid w:val="38965FA4"/>
    <w:rsid w:val="389874DF"/>
    <w:rsid w:val="389C77CB"/>
    <w:rsid w:val="38B0063F"/>
    <w:rsid w:val="38B3191A"/>
    <w:rsid w:val="38C17453"/>
    <w:rsid w:val="38CC7F9C"/>
    <w:rsid w:val="38CD09E2"/>
    <w:rsid w:val="38D37AF8"/>
    <w:rsid w:val="38D82724"/>
    <w:rsid w:val="38E673C6"/>
    <w:rsid w:val="38EB08E5"/>
    <w:rsid w:val="38F30A17"/>
    <w:rsid w:val="39015820"/>
    <w:rsid w:val="391642E3"/>
    <w:rsid w:val="39342A69"/>
    <w:rsid w:val="393873DF"/>
    <w:rsid w:val="393B5C8B"/>
    <w:rsid w:val="393D5E70"/>
    <w:rsid w:val="394704A9"/>
    <w:rsid w:val="394C1B19"/>
    <w:rsid w:val="395140E2"/>
    <w:rsid w:val="3957002A"/>
    <w:rsid w:val="39756311"/>
    <w:rsid w:val="3979002E"/>
    <w:rsid w:val="39812B34"/>
    <w:rsid w:val="39867110"/>
    <w:rsid w:val="39997159"/>
    <w:rsid w:val="399A535D"/>
    <w:rsid w:val="39A0225D"/>
    <w:rsid w:val="39A2165D"/>
    <w:rsid w:val="39A2762F"/>
    <w:rsid w:val="39B2110F"/>
    <w:rsid w:val="39B57BCE"/>
    <w:rsid w:val="39B65CB6"/>
    <w:rsid w:val="39D33100"/>
    <w:rsid w:val="3A3000B7"/>
    <w:rsid w:val="3A4450D9"/>
    <w:rsid w:val="3A532D59"/>
    <w:rsid w:val="3A5C0875"/>
    <w:rsid w:val="3A6816B7"/>
    <w:rsid w:val="3A687EC1"/>
    <w:rsid w:val="3A6F0BDF"/>
    <w:rsid w:val="3A75783D"/>
    <w:rsid w:val="3A78560D"/>
    <w:rsid w:val="3A794352"/>
    <w:rsid w:val="3A7B57D6"/>
    <w:rsid w:val="3A8B6C28"/>
    <w:rsid w:val="3AA6276F"/>
    <w:rsid w:val="3AB671A7"/>
    <w:rsid w:val="3AB71E51"/>
    <w:rsid w:val="3ABD0194"/>
    <w:rsid w:val="3AD51455"/>
    <w:rsid w:val="3ADA766B"/>
    <w:rsid w:val="3AE4135F"/>
    <w:rsid w:val="3AF73D0E"/>
    <w:rsid w:val="3AF879CD"/>
    <w:rsid w:val="3B00217F"/>
    <w:rsid w:val="3B004BF7"/>
    <w:rsid w:val="3B117EE8"/>
    <w:rsid w:val="3B134DFF"/>
    <w:rsid w:val="3B1939AE"/>
    <w:rsid w:val="3B2C6AD0"/>
    <w:rsid w:val="3B2F4816"/>
    <w:rsid w:val="3B3842C6"/>
    <w:rsid w:val="3B3F43D3"/>
    <w:rsid w:val="3B425E84"/>
    <w:rsid w:val="3B4D5386"/>
    <w:rsid w:val="3B584925"/>
    <w:rsid w:val="3B5A1DB3"/>
    <w:rsid w:val="3B790DE9"/>
    <w:rsid w:val="3B7E42AD"/>
    <w:rsid w:val="3B895CD0"/>
    <w:rsid w:val="3B9528C7"/>
    <w:rsid w:val="3B9B626C"/>
    <w:rsid w:val="3BAC0F6E"/>
    <w:rsid w:val="3BBF7944"/>
    <w:rsid w:val="3BF55C1B"/>
    <w:rsid w:val="3BFE66BE"/>
    <w:rsid w:val="3C207BF6"/>
    <w:rsid w:val="3C261771"/>
    <w:rsid w:val="3C29300F"/>
    <w:rsid w:val="3C3769C6"/>
    <w:rsid w:val="3C3A2AB1"/>
    <w:rsid w:val="3C4143F3"/>
    <w:rsid w:val="3C4662DE"/>
    <w:rsid w:val="3C474B50"/>
    <w:rsid w:val="3C650E53"/>
    <w:rsid w:val="3CA07A2F"/>
    <w:rsid w:val="3CAA4150"/>
    <w:rsid w:val="3CAC3AAC"/>
    <w:rsid w:val="3CB7025F"/>
    <w:rsid w:val="3CC40B35"/>
    <w:rsid w:val="3CC42ECC"/>
    <w:rsid w:val="3CC54232"/>
    <w:rsid w:val="3CCE492D"/>
    <w:rsid w:val="3CF00F09"/>
    <w:rsid w:val="3CFB3608"/>
    <w:rsid w:val="3CFE6B6D"/>
    <w:rsid w:val="3D012F52"/>
    <w:rsid w:val="3D11675F"/>
    <w:rsid w:val="3D192BA3"/>
    <w:rsid w:val="3D1A6029"/>
    <w:rsid w:val="3D204412"/>
    <w:rsid w:val="3D225F25"/>
    <w:rsid w:val="3D2B17AF"/>
    <w:rsid w:val="3D7216B1"/>
    <w:rsid w:val="3D7516DC"/>
    <w:rsid w:val="3D7523D5"/>
    <w:rsid w:val="3D8455C3"/>
    <w:rsid w:val="3D891BCD"/>
    <w:rsid w:val="3D92111F"/>
    <w:rsid w:val="3D991477"/>
    <w:rsid w:val="3D9963C7"/>
    <w:rsid w:val="3DA41362"/>
    <w:rsid w:val="3DB7417C"/>
    <w:rsid w:val="3DB833A5"/>
    <w:rsid w:val="3DD0408A"/>
    <w:rsid w:val="3DD41C19"/>
    <w:rsid w:val="3DE6159B"/>
    <w:rsid w:val="3DF334A4"/>
    <w:rsid w:val="3DF828CB"/>
    <w:rsid w:val="3E0D0E3B"/>
    <w:rsid w:val="3E0F1060"/>
    <w:rsid w:val="3E10092B"/>
    <w:rsid w:val="3E186774"/>
    <w:rsid w:val="3E2919ED"/>
    <w:rsid w:val="3E3453FD"/>
    <w:rsid w:val="3E535102"/>
    <w:rsid w:val="3E697694"/>
    <w:rsid w:val="3E755730"/>
    <w:rsid w:val="3E8409D1"/>
    <w:rsid w:val="3E8D3B49"/>
    <w:rsid w:val="3E9127B4"/>
    <w:rsid w:val="3E9B3D99"/>
    <w:rsid w:val="3EA27F43"/>
    <w:rsid w:val="3EAE0F73"/>
    <w:rsid w:val="3EBD711C"/>
    <w:rsid w:val="3ECF3EE9"/>
    <w:rsid w:val="3ED64403"/>
    <w:rsid w:val="3ED82911"/>
    <w:rsid w:val="3EDA208D"/>
    <w:rsid w:val="3EF70DAA"/>
    <w:rsid w:val="3F060F38"/>
    <w:rsid w:val="3F076E3E"/>
    <w:rsid w:val="3F0B7571"/>
    <w:rsid w:val="3F0F2948"/>
    <w:rsid w:val="3F117406"/>
    <w:rsid w:val="3F1E00A3"/>
    <w:rsid w:val="3F2006FA"/>
    <w:rsid w:val="3F4242EA"/>
    <w:rsid w:val="3F5E627C"/>
    <w:rsid w:val="3F633BFB"/>
    <w:rsid w:val="3F67457A"/>
    <w:rsid w:val="3F685466"/>
    <w:rsid w:val="3F890995"/>
    <w:rsid w:val="3F896188"/>
    <w:rsid w:val="3FC03C8B"/>
    <w:rsid w:val="3FCF2985"/>
    <w:rsid w:val="3FE654F6"/>
    <w:rsid w:val="3FF343D1"/>
    <w:rsid w:val="40004109"/>
    <w:rsid w:val="400C526B"/>
    <w:rsid w:val="402877E0"/>
    <w:rsid w:val="40296546"/>
    <w:rsid w:val="403529CA"/>
    <w:rsid w:val="40383E0E"/>
    <w:rsid w:val="404518C5"/>
    <w:rsid w:val="404A46C8"/>
    <w:rsid w:val="404C3770"/>
    <w:rsid w:val="406A6685"/>
    <w:rsid w:val="406F219C"/>
    <w:rsid w:val="407451A1"/>
    <w:rsid w:val="40755FDB"/>
    <w:rsid w:val="40757B29"/>
    <w:rsid w:val="407924B5"/>
    <w:rsid w:val="40A1495D"/>
    <w:rsid w:val="40CC0222"/>
    <w:rsid w:val="40DE086C"/>
    <w:rsid w:val="40EF5D73"/>
    <w:rsid w:val="410A6D63"/>
    <w:rsid w:val="410C45DA"/>
    <w:rsid w:val="412B337F"/>
    <w:rsid w:val="41451D00"/>
    <w:rsid w:val="41582223"/>
    <w:rsid w:val="415864C7"/>
    <w:rsid w:val="415C2980"/>
    <w:rsid w:val="41643D87"/>
    <w:rsid w:val="41654A7A"/>
    <w:rsid w:val="416C40CA"/>
    <w:rsid w:val="417666B5"/>
    <w:rsid w:val="41981AB2"/>
    <w:rsid w:val="419F1917"/>
    <w:rsid w:val="41A575DC"/>
    <w:rsid w:val="41AA10E2"/>
    <w:rsid w:val="41DE254A"/>
    <w:rsid w:val="41F3292D"/>
    <w:rsid w:val="41FB36A0"/>
    <w:rsid w:val="41FD11C6"/>
    <w:rsid w:val="42117160"/>
    <w:rsid w:val="421D1242"/>
    <w:rsid w:val="422714EB"/>
    <w:rsid w:val="422C2514"/>
    <w:rsid w:val="42322E97"/>
    <w:rsid w:val="42400853"/>
    <w:rsid w:val="4241362A"/>
    <w:rsid w:val="424E557E"/>
    <w:rsid w:val="424F6F90"/>
    <w:rsid w:val="42544B8F"/>
    <w:rsid w:val="42701998"/>
    <w:rsid w:val="42763AFF"/>
    <w:rsid w:val="427B20EB"/>
    <w:rsid w:val="42903BBB"/>
    <w:rsid w:val="42994FC6"/>
    <w:rsid w:val="42AC4A7B"/>
    <w:rsid w:val="42BC2E2F"/>
    <w:rsid w:val="42C04587"/>
    <w:rsid w:val="42C93C43"/>
    <w:rsid w:val="42D330E2"/>
    <w:rsid w:val="42DB0B0F"/>
    <w:rsid w:val="42E75DA7"/>
    <w:rsid w:val="42E90BF7"/>
    <w:rsid w:val="42ED2FE9"/>
    <w:rsid w:val="42F02AD9"/>
    <w:rsid w:val="4301708F"/>
    <w:rsid w:val="431A38C5"/>
    <w:rsid w:val="431C38CE"/>
    <w:rsid w:val="432553D4"/>
    <w:rsid w:val="43322561"/>
    <w:rsid w:val="43461842"/>
    <w:rsid w:val="434C7B5E"/>
    <w:rsid w:val="43585BD3"/>
    <w:rsid w:val="436A5CC2"/>
    <w:rsid w:val="436E0702"/>
    <w:rsid w:val="437A4B46"/>
    <w:rsid w:val="43B4483D"/>
    <w:rsid w:val="43B652D7"/>
    <w:rsid w:val="43D16C0A"/>
    <w:rsid w:val="43DD2516"/>
    <w:rsid w:val="43E06266"/>
    <w:rsid w:val="43F94D37"/>
    <w:rsid w:val="43F970CA"/>
    <w:rsid w:val="44046B3E"/>
    <w:rsid w:val="44162686"/>
    <w:rsid w:val="44191BBB"/>
    <w:rsid w:val="441C5D36"/>
    <w:rsid w:val="44237EA2"/>
    <w:rsid w:val="4440239D"/>
    <w:rsid w:val="44427364"/>
    <w:rsid w:val="444949AD"/>
    <w:rsid w:val="44525F01"/>
    <w:rsid w:val="445F1CC4"/>
    <w:rsid w:val="446C43E1"/>
    <w:rsid w:val="44796512"/>
    <w:rsid w:val="447F3DE7"/>
    <w:rsid w:val="4482730D"/>
    <w:rsid w:val="44872C97"/>
    <w:rsid w:val="448C02B4"/>
    <w:rsid w:val="448E25A9"/>
    <w:rsid w:val="448E52C7"/>
    <w:rsid w:val="44A04633"/>
    <w:rsid w:val="44A466D4"/>
    <w:rsid w:val="44AE5BE9"/>
    <w:rsid w:val="44E24F0C"/>
    <w:rsid w:val="44E42A91"/>
    <w:rsid w:val="44F027B6"/>
    <w:rsid w:val="44F07D87"/>
    <w:rsid w:val="44FF53D0"/>
    <w:rsid w:val="450D7972"/>
    <w:rsid w:val="4511236A"/>
    <w:rsid w:val="45132AAF"/>
    <w:rsid w:val="451D46FD"/>
    <w:rsid w:val="452E2FBF"/>
    <w:rsid w:val="45343151"/>
    <w:rsid w:val="4537314D"/>
    <w:rsid w:val="45392A3A"/>
    <w:rsid w:val="454B38DC"/>
    <w:rsid w:val="455C13D7"/>
    <w:rsid w:val="45703B6F"/>
    <w:rsid w:val="457B12C1"/>
    <w:rsid w:val="458B6AE9"/>
    <w:rsid w:val="45941E4D"/>
    <w:rsid w:val="45B03108"/>
    <w:rsid w:val="45B97232"/>
    <w:rsid w:val="45C3630E"/>
    <w:rsid w:val="45C95905"/>
    <w:rsid w:val="45D35A3A"/>
    <w:rsid w:val="45E43927"/>
    <w:rsid w:val="45E72F1C"/>
    <w:rsid w:val="45E816AF"/>
    <w:rsid w:val="45FA0F7E"/>
    <w:rsid w:val="45FC2CE1"/>
    <w:rsid w:val="46134CBC"/>
    <w:rsid w:val="46193EE8"/>
    <w:rsid w:val="46195099"/>
    <w:rsid w:val="46241B22"/>
    <w:rsid w:val="462D6B88"/>
    <w:rsid w:val="462F3918"/>
    <w:rsid w:val="4659038A"/>
    <w:rsid w:val="466604E7"/>
    <w:rsid w:val="466C7713"/>
    <w:rsid w:val="467732D3"/>
    <w:rsid w:val="467E2D17"/>
    <w:rsid w:val="468E169F"/>
    <w:rsid w:val="468E3D4B"/>
    <w:rsid w:val="46A2058E"/>
    <w:rsid w:val="46CB3CE5"/>
    <w:rsid w:val="46CB5F87"/>
    <w:rsid w:val="46CF4A96"/>
    <w:rsid w:val="46EA7BAB"/>
    <w:rsid w:val="470A7839"/>
    <w:rsid w:val="47152B0E"/>
    <w:rsid w:val="471A45C8"/>
    <w:rsid w:val="472B3185"/>
    <w:rsid w:val="475A40A5"/>
    <w:rsid w:val="47693B3F"/>
    <w:rsid w:val="47735B62"/>
    <w:rsid w:val="479B689F"/>
    <w:rsid w:val="47A86EF0"/>
    <w:rsid w:val="47DA1B6A"/>
    <w:rsid w:val="47DB5B06"/>
    <w:rsid w:val="47E80223"/>
    <w:rsid w:val="47F504B1"/>
    <w:rsid w:val="47F508D6"/>
    <w:rsid w:val="481C4EE7"/>
    <w:rsid w:val="48457CFB"/>
    <w:rsid w:val="484E14FA"/>
    <w:rsid w:val="485425AB"/>
    <w:rsid w:val="485C68E2"/>
    <w:rsid w:val="48635FF2"/>
    <w:rsid w:val="48645AFB"/>
    <w:rsid w:val="48664AF6"/>
    <w:rsid w:val="48683357"/>
    <w:rsid w:val="486F4A9E"/>
    <w:rsid w:val="487D26CA"/>
    <w:rsid w:val="4883039F"/>
    <w:rsid w:val="48834C45"/>
    <w:rsid w:val="489B0BC5"/>
    <w:rsid w:val="48AC74A2"/>
    <w:rsid w:val="48B30830"/>
    <w:rsid w:val="48B3438D"/>
    <w:rsid w:val="48B42147"/>
    <w:rsid w:val="48B60CA2"/>
    <w:rsid w:val="48BF3D66"/>
    <w:rsid w:val="48CC5EB3"/>
    <w:rsid w:val="48DA7B6B"/>
    <w:rsid w:val="48E5720D"/>
    <w:rsid w:val="48E72C8F"/>
    <w:rsid w:val="48EB473F"/>
    <w:rsid w:val="48EC38D4"/>
    <w:rsid w:val="48F25BF0"/>
    <w:rsid w:val="49021891"/>
    <w:rsid w:val="490B5F77"/>
    <w:rsid w:val="490D384F"/>
    <w:rsid w:val="491C3C15"/>
    <w:rsid w:val="494F4619"/>
    <w:rsid w:val="495F72DE"/>
    <w:rsid w:val="496B110B"/>
    <w:rsid w:val="498F3AE1"/>
    <w:rsid w:val="499C00B7"/>
    <w:rsid w:val="499F7B39"/>
    <w:rsid w:val="49B26EE2"/>
    <w:rsid w:val="49B9477E"/>
    <w:rsid w:val="49C450D9"/>
    <w:rsid w:val="49C86BF3"/>
    <w:rsid w:val="49CA448D"/>
    <w:rsid w:val="49CB1BAA"/>
    <w:rsid w:val="49DB3FC5"/>
    <w:rsid w:val="49F37012"/>
    <w:rsid w:val="4A053649"/>
    <w:rsid w:val="4A096646"/>
    <w:rsid w:val="4A0A2802"/>
    <w:rsid w:val="4A0A63DB"/>
    <w:rsid w:val="4A111CB3"/>
    <w:rsid w:val="4A1E513E"/>
    <w:rsid w:val="4A281FB4"/>
    <w:rsid w:val="4A3829CC"/>
    <w:rsid w:val="4A393C15"/>
    <w:rsid w:val="4A3A07B0"/>
    <w:rsid w:val="4A3C65D3"/>
    <w:rsid w:val="4A494036"/>
    <w:rsid w:val="4A552C0C"/>
    <w:rsid w:val="4A555287"/>
    <w:rsid w:val="4A6601E6"/>
    <w:rsid w:val="4A742435"/>
    <w:rsid w:val="4A7B33A9"/>
    <w:rsid w:val="4A91694F"/>
    <w:rsid w:val="4AB52D5F"/>
    <w:rsid w:val="4ACB3EF4"/>
    <w:rsid w:val="4AD91193"/>
    <w:rsid w:val="4AD93458"/>
    <w:rsid w:val="4ADA553C"/>
    <w:rsid w:val="4AE00A31"/>
    <w:rsid w:val="4AE562A7"/>
    <w:rsid w:val="4AE808E3"/>
    <w:rsid w:val="4AEC627C"/>
    <w:rsid w:val="4B0152A4"/>
    <w:rsid w:val="4B0F1E82"/>
    <w:rsid w:val="4B16443D"/>
    <w:rsid w:val="4B1A06F3"/>
    <w:rsid w:val="4B2F66C5"/>
    <w:rsid w:val="4B414995"/>
    <w:rsid w:val="4B4C1B72"/>
    <w:rsid w:val="4B5164BB"/>
    <w:rsid w:val="4B556C58"/>
    <w:rsid w:val="4B62209A"/>
    <w:rsid w:val="4B67030B"/>
    <w:rsid w:val="4B671E6F"/>
    <w:rsid w:val="4B745559"/>
    <w:rsid w:val="4B7F1811"/>
    <w:rsid w:val="4B845A1D"/>
    <w:rsid w:val="4B8A00D1"/>
    <w:rsid w:val="4B8A20ED"/>
    <w:rsid w:val="4B9D259A"/>
    <w:rsid w:val="4BA10E14"/>
    <w:rsid w:val="4BBA16D0"/>
    <w:rsid w:val="4BCB40E3"/>
    <w:rsid w:val="4BCE0B3F"/>
    <w:rsid w:val="4BDB081D"/>
    <w:rsid w:val="4C0954EB"/>
    <w:rsid w:val="4C155C11"/>
    <w:rsid w:val="4C1F4B4A"/>
    <w:rsid w:val="4C3439F7"/>
    <w:rsid w:val="4C3B4DC5"/>
    <w:rsid w:val="4C3D3A11"/>
    <w:rsid w:val="4C416153"/>
    <w:rsid w:val="4C426859"/>
    <w:rsid w:val="4C443DFE"/>
    <w:rsid w:val="4C5F5E78"/>
    <w:rsid w:val="4C651E42"/>
    <w:rsid w:val="4C783E6B"/>
    <w:rsid w:val="4C7A7894"/>
    <w:rsid w:val="4C8267A3"/>
    <w:rsid w:val="4C8B6DA5"/>
    <w:rsid w:val="4C8F6F67"/>
    <w:rsid w:val="4C9269AF"/>
    <w:rsid w:val="4CA50490"/>
    <w:rsid w:val="4CA528BE"/>
    <w:rsid w:val="4CB24522"/>
    <w:rsid w:val="4CB85F33"/>
    <w:rsid w:val="4CBA1E04"/>
    <w:rsid w:val="4CC0702A"/>
    <w:rsid w:val="4CC41383"/>
    <w:rsid w:val="4CCA3E13"/>
    <w:rsid w:val="4CDF4CE7"/>
    <w:rsid w:val="4CEB26CC"/>
    <w:rsid w:val="4CED4E3E"/>
    <w:rsid w:val="4CF75D95"/>
    <w:rsid w:val="4CFA1493"/>
    <w:rsid w:val="4CFB6EDB"/>
    <w:rsid w:val="4CFE5DF2"/>
    <w:rsid w:val="4CFF4AD5"/>
    <w:rsid w:val="4D0E24D9"/>
    <w:rsid w:val="4D112DB7"/>
    <w:rsid w:val="4D146418"/>
    <w:rsid w:val="4D17317C"/>
    <w:rsid w:val="4D1C1AB9"/>
    <w:rsid w:val="4D1F4B8C"/>
    <w:rsid w:val="4D222933"/>
    <w:rsid w:val="4D402BE5"/>
    <w:rsid w:val="4D5F086B"/>
    <w:rsid w:val="4D6032B2"/>
    <w:rsid w:val="4D784697"/>
    <w:rsid w:val="4D793392"/>
    <w:rsid w:val="4D8B7F33"/>
    <w:rsid w:val="4D90659D"/>
    <w:rsid w:val="4D927051"/>
    <w:rsid w:val="4D9444F0"/>
    <w:rsid w:val="4D9E55CC"/>
    <w:rsid w:val="4D9F09C5"/>
    <w:rsid w:val="4DAD3AA0"/>
    <w:rsid w:val="4DAE3DCE"/>
    <w:rsid w:val="4DB52955"/>
    <w:rsid w:val="4DB82C8B"/>
    <w:rsid w:val="4DC8212E"/>
    <w:rsid w:val="4DDD3C5A"/>
    <w:rsid w:val="4DF328E5"/>
    <w:rsid w:val="4DF54D88"/>
    <w:rsid w:val="4DF60D84"/>
    <w:rsid w:val="4E201B8E"/>
    <w:rsid w:val="4E263853"/>
    <w:rsid w:val="4E2D177F"/>
    <w:rsid w:val="4E2F6A8F"/>
    <w:rsid w:val="4E347D1E"/>
    <w:rsid w:val="4E503E9C"/>
    <w:rsid w:val="4E562F65"/>
    <w:rsid w:val="4E563187"/>
    <w:rsid w:val="4E6F38BF"/>
    <w:rsid w:val="4E861A12"/>
    <w:rsid w:val="4E8C0FC6"/>
    <w:rsid w:val="4E9F1753"/>
    <w:rsid w:val="4EAC7CDF"/>
    <w:rsid w:val="4ED651D4"/>
    <w:rsid w:val="4EEF633A"/>
    <w:rsid w:val="4EFD0E6C"/>
    <w:rsid w:val="4F0D1BBC"/>
    <w:rsid w:val="4F1928F5"/>
    <w:rsid w:val="4F1C67F8"/>
    <w:rsid w:val="4F202FED"/>
    <w:rsid w:val="4F2405DA"/>
    <w:rsid w:val="4F295371"/>
    <w:rsid w:val="4F42290E"/>
    <w:rsid w:val="4F443F90"/>
    <w:rsid w:val="4F584F66"/>
    <w:rsid w:val="4F795972"/>
    <w:rsid w:val="4F8151E4"/>
    <w:rsid w:val="4F84137E"/>
    <w:rsid w:val="4F98252E"/>
    <w:rsid w:val="4FA84009"/>
    <w:rsid w:val="4FAD7956"/>
    <w:rsid w:val="4FB756C4"/>
    <w:rsid w:val="4FC1363A"/>
    <w:rsid w:val="4FDA2B47"/>
    <w:rsid w:val="4FE940C1"/>
    <w:rsid w:val="4FFF19DE"/>
    <w:rsid w:val="4FFF2163"/>
    <w:rsid w:val="500A716A"/>
    <w:rsid w:val="50104A8A"/>
    <w:rsid w:val="501169E7"/>
    <w:rsid w:val="502679BC"/>
    <w:rsid w:val="503D14F9"/>
    <w:rsid w:val="503F510E"/>
    <w:rsid w:val="5062271D"/>
    <w:rsid w:val="50633B58"/>
    <w:rsid w:val="50672D71"/>
    <w:rsid w:val="50713E8C"/>
    <w:rsid w:val="50721611"/>
    <w:rsid w:val="50811851"/>
    <w:rsid w:val="50813390"/>
    <w:rsid w:val="509A3FE7"/>
    <w:rsid w:val="509B4372"/>
    <w:rsid w:val="509F552A"/>
    <w:rsid w:val="50A50645"/>
    <w:rsid w:val="50B71857"/>
    <w:rsid w:val="50BE1B64"/>
    <w:rsid w:val="50C07885"/>
    <w:rsid w:val="50CA014F"/>
    <w:rsid w:val="50DB5DBF"/>
    <w:rsid w:val="50FE0AB7"/>
    <w:rsid w:val="510253A9"/>
    <w:rsid w:val="512D4FFB"/>
    <w:rsid w:val="51363DAD"/>
    <w:rsid w:val="513E5DA2"/>
    <w:rsid w:val="51497F84"/>
    <w:rsid w:val="51592CD0"/>
    <w:rsid w:val="515E2B8F"/>
    <w:rsid w:val="51654692"/>
    <w:rsid w:val="517D3688"/>
    <w:rsid w:val="517F3449"/>
    <w:rsid w:val="51801013"/>
    <w:rsid w:val="518F3645"/>
    <w:rsid w:val="519220C5"/>
    <w:rsid w:val="51A549AA"/>
    <w:rsid w:val="51A74CAA"/>
    <w:rsid w:val="51AC4C6D"/>
    <w:rsid w:val="51B318A1"/>
    <w:rsid w:val="51B51B7A"/>
    <w:rsid w:val="51C4760A"/>
    <w:rsid w:val="51D20B1E"/>
    <w:rsid w:val="51D27F79"/>
    <w:rsid w:val="51DC26CB"/>
    <w:rsid w:val="51ED6167"/>
    <w:rsid w:val="51F15F26"/>
    <w:rsid w:val="51F32D10"/>
    <w:rsid w:val="51F36142"/>
    <w:rsid w:val="520D1DF8"/>
    <w:rsid w:val="521A1920"/>
    <w:rsid w:val="52256BC5"/>
    <w:rsid w:val="522602C5"/>
    <w:rsid w:val="522718CF"/>
    <w:rsid w:val="52416EAD"/>
    <w:rsid w:val="5244074B"/>
    <w:rsid w:val="524B1ADA"/>
    <w:rsid w:val="52522E68"/>
    <w:rsid w:val="526437F0"/>
    <w:rsid w:val="527225F6"/>
    <w:rsid w:val="52723B57"/>
    <w:rsid w:val="52886C35"/>
    <w:rsid w:val="529152B7"/>
    <w:rsid w:val="5296798A"/>
    <w:rsid w:val="529F15FC"/>
    <w:rsid w:val="52A223C7"/>
    <w:rsid w:val="52AC611D"/>
    <w:rsid w:val="52CD36EC"/>
    <w:rsid w:val="52DB5EA3"/>
    <w:rsid w:val="52E30084"/>
    <w:rsid w:val="52F0205F"/>
    <w:rsid w:val="52F2460E"/>
    <w:rsid w:val="52F855D7"/>
    <w:rsid w:val="53026D37"/>
    <w:rsid w:val="53130849"/>
    <w:rsid w:val="531448C0"/>
    <w:rsid w:val="5315528E"/>
    <w:rsid w:val="532D337B"/>
    <w:rsid w:val="533F6E7B"/>
    <w:rsid w:val="53410631"/>
    <w:rsid w:val="534B5826"/>
    <w:rsid w:val="535260BC"/>
    <w:rsid w:val="53540A1A"/>
    <w:rsid w:val="53635000"/>
    <w:rsid w:val="536E0279"/>
    <w:rsid w:val="539640F7"/>
    <w:rsid w:val="53A00898"/>
    <w:rsid w:val="53C46D75"/>
    <w:rsid w:val="53E1454D"/>
    <w:rsid w:val="53E4409E"/>
    <w:rsid w:val="53F70692"/>
    <w:rsid w:val="53FA6ABD"/>
    <w:rsid w:val="53FD4F4E"/>
    <w:rsid w:val="54027D1D"/>
    <w:rsid w:val="54104AFD"/>
    <w:rsid w:val="541A3397"/>
    <w:rsid w:val="541D74A6"/>
    <w:rsid w:val="541F7034"/>
    <w:rsid w:val="54414BA6"/>
    <w:rsid w:val="5460316B"/>
    <w:rsid w:val="546B37EB"/>
    <w:rsid w:val="546C2926"/>
    <w:rsid w:val="54710AB2"/>
    <w:rsid w:val="54793936"/>
    <w:rsid w:val="547A6CA8"/>
    <w:rsid w:val="54933372"/>
    <w:rsid w:val="54971006"/>
    <w:rsid w:val="54994FB2"/>
    <w:rsid w:val="54A01DC6"/>
    <w:rsid w:val="54A13AA7"/>
    <w:rsid w:val="54A737FB"/>
    <w:rsid w:val="54AE0B77"/>
    <w:rsid w:val="54B651F8"/>
    <w:rsid w:val="54DF6509"/>
    <w:rsid w:val="54E104D3"/>
    <w:rsid w:val="54E310EF"/>
    <w:rsid w:val="54E757FD"/>
    <w:rsid w:val="54EF499E"/>
    <w:rsid w:val="54F90513"/>
    <w:rsid w:val="550A5F79"/>
    <w:rsid w:val="551B50EF"/>
    <w:rsid w:val="551E7D42"/>
    <w:rsid w:val="552065C9"/>
    <w:rsid w:val="5529344C"/>
    <w:rsid w:val="552B1ECA"/>
    <w:rsid w:val="554D623B"/>
    <w:rsid w:val="55603AEE"/>
    <w:rsid w:val="557430F6"/>
    <w:rsid w:val="55766F13"/>
    <w:rsid w:val="5596305D"/>
    <w:rsid w:val="55B81195"/>
    <w:rsid w:val="55BB36CA"/>
    <w:rsid w:val="55C027DF"/>
    <w:rsid w:val="55C737EC"/>
    <w:rsid w:val="55DC6579"/>
    <w:rsid w:val="55DE3EE1"/>
    <w:rsid w:val="55E61AD7"/>
    <w:rsid w:val="55E64BF4"/>
    <w:rsid w:val="55F37482"/>
    <w:rsid w:val="56170CF9"/>
    <w:rsid w:val="562746DF"/>
    <w:rsid w:val="562F764F"/>
    <w:rsid w:val="563606BF"/>
    <w:rsid w:val="56383E40"/>
    <w:rsid w:val="56392144"/>
    <w:rsid w:val="566D3557"/>
    <w:rsid w:val="566E42B8"/>
    <w:rsid w:val="567112A1"/>
    <w:rsid w:val="56730EA8"/>
    <w:rsid w:val="567D723C"/>
    <w:rsid w:val="568850AA"/>
    <w:rsid w:val="5691395D"/>
    <w:rsid w:val="56BF65F2"/>
    <w:rsid w:val="56CB0509"/>
    <w:rsid w:val="56E10BB7"/>
    <w:rsid w:val="56EB0598"/>
    <w:rsid w:val="56F269C8"/>
    <w:rsid w:val="57007836"/>
    <w:rsid w:val="570C4194"/>
    <w:rsid w:val="571136C1"/>
    <w:rsid w:val="571E4777"/>
    <w:rsid w:val="57232A15"/>
    <w:rsid w:val="57243FF4"/>
    <w:rsid w:val="574222B9"/>
    <w:rsid w:val="57485924"/>
    <w:rsid w:val="57540CE9"/>
    <w:rsid w:val="57601682"/>
    <w:rsid w:val="57633F18"/>
    <w:rsid w:val="57697B5A"/>
    <w:rsid w:val="576C677A"/>
    <w:rsid w:val="57703A68"/>
    <w:rsid w:val="577C530C"/>
    <w:rsid w:val="57800376"/>
    <w:rsid w:val="57822F44"/>
    <w:rsid w:val="57937F5B"/>
    <w:rsid w:val="579A64E9"/>
    <w:rsid w:val="57A60659"/>
    <w:rsid w:val="57A67AE1"/>
    <w:rsid w:val="57C05119"/>
    <w:rsid w:val="57CA34A1"/>
    <w:rsid w:val="57D56BC6"/>
    <w:rsid w:val="57E3374D"/>
    <w:rsid w:val="57E62947"/>
    <w:rsid w:val="57FC387E"/>
    <w:rsid w:val="58270DD5"/>
    <w:rsid w:val="58303E5E"/>
    <w:rsid w:val="5832158A"/>
    <w:rsid w:val="583A3BC0"/>
    <w:rsid w:val="583F5E09"/>
    <w:rsid w:val="58422FE9"/>
    <w:rsid w:val="58490869"/>
    <w:rsid w:val="584F2EE5"/>
    <w:rsid w:val="5852415B"/>
    <w:rsid w:val="58536AB2"/>
    <w:rsid w:val="58580AAD"/>
    <w:rsid w:val="586D09FC"/>
    <w:rsid w:val="58746A4D"/>
    <w:rsid w:val="588900DE"/>
    <w:rsid w:val="5893148F"/>
    <w:rsid w:val="58962B2F"/>
    <w:rsid w:val="589E6FBD"/>
    <w:rsid w:val="58AF1188"/>
    <w:rsid w:val="58C954DF"/>
    <w:rsid w:val="58D24712"/>
    <w:rsid w:val="58D314F7"/>
    <w:rsid w:val="58D772FB"/>
    <w:rsid w:val="58DD023B"/>
    <w:rsid w:val="58F05189"/>
    <w:rsid w:val="58F46E50"/>
    <w:rsid w:val="58F5504F"/>
    <w:rsid w:val="58FE4E7F"/>
    <w:rsid w:val="59030A1C"/>
    <w:rsid w:val="59244320"/>
    <w:rsid w:val="592B64D5"/>
    <w:rsid w:val="592E180D"/>
    <w:rsid w:val="592E237C"/>
    <w:rsid w:val="59345076"/>
    <w:rsid w:val="593A75C2"/>
    <w:rsid w:val="594A7951"/>
    <w:rsid w:val="59604443"/>
    <w:rsid w:val="596206AD"/>
    <w:rsid w:val="59700904"/>
    <w:rsid w:val="59921115"/>
    <w:rsid w:val="59A93FB5"/>
    <w:rsid w:val="59BF1C42"/>
    <w:rsid w:val="59D62D4A"/>
    <w:rsid w:val="59E0460E"/>
    <w:rsid w:val="59EF0DED"/>
    <w:rsid w:val="5A0013FC"/>
    <w:rsid w:val="5A041940"/>
    <w:rsid w:val="5A310500"/>
    <w:rsid w:val="5A3D43FE"/>
    <w:rsid w:val="5A4D509E"/>
    <w:rsid w:val="5A554BBF"/>
    <w:rsid w:val="5A575E8F"/>
    <w:rsid w:val="5A616A73"/>
    <w:rsid w:val="5A6337D4"/>
    <w:rsid w:val="5A660D2A"/>
    <w:rsid w:val="5AB410D7"/>
    <w:rsid w:val="5ABC3575"/>
    <w:rsid w:val="5ABD4316"/>
    <w:rsid w:val="5ACD3B16"/>
    <w:rsid w:val="5AD35148"/>
    <w:rsid w:val="5AD723ED"/>
    <w:rsid w:val="5AD9452B"/>
    <w:rsid w:val="5AE02DBF"/>
    <w:rsid w:val="5AE23346"/>
    <w:rsid w:val="5AED15C5"/>
    <w:rsid w:val="5AF01909"/>
    <w:rsid w:val="5AFB330C"/>
    <w:rsid w:val="5B042198"/>
    <w:rsid w:val="5B180DAA"/>
    <w:rsid w:val="5B1A33D6"/>
    <w:rsid w:val="5B1F58B2"/>
    <w:rsid w:val="5B260221"/>
    <w:rsid w:val="5B3752F1"/>
    <w:rsid w:val="5B783924"/>
    <w:rsid w:val="5B9A6981"/>
    <w:rsid w:val="5B9F5ADA"/>
    <w:rsid w:val="5BA02E96"/>
    <w:rsid w:val="5BB531B2"/>
    <w:rsid w:val="5BB84AB2"/>
    <w:rsid w:val="5BBC5C84"/>
    <w:rsid w:val="5BC07095"/>
    <w:rsid w:val="5BE30FD5"/>
    <w:rsid w:val="5BE75355"/>
    <w:rsid w:val="5BED775E"/>
    <w:rsid w:val="5BEF1C73"/>
    <w:rsid w:val="5BF67E44"/>
    <w:rsid w:val="5C053A57"/>
    <w:rsid w:val="5C074CC3"/>
    <w:rsid w:val="5C08735F"/>
    <w:rsid w:val="5C2D4803"/>
    <w:rsid w:val="5C315571"/>
    <w:rsid w:val="5C367357"/>
    <w:rsid w:val="5C3C0B70"/>
    <w:rsid w:val="5C4538FA"/>
    <w:rsid w:val="5C460566"/>
    <w:rsid w:val="5C5C24FB"/>
    <w:rsid w:val="5C793C7F"/>
    <w:rsid w:val="5C7E2026"/>
    <w:rsid w:val="5C812150"/>
    <w:rsid w:val="5C817165"/>
    <w:rsid w:val="5C895765"/>
    <w:rsid w:val="5C8F4FA6"/>
    <w:rsid w:val="5C9D3E45"/>
    <w:rsid w:val="5CA43950"/>
    <w:rsid w:val="5CB267B4"/>
    <w:rsid w:val="5CCC158A"/>
    <w:rsid w:val="5CD83EC2"/>
    <w:rsid w:val="5CE3364A"/>
    <w:rsid w:val="5CE63830"/>
    <w:rsid w:val="5CFC3945"/>
    <w:rsid w:val="5CFE2FF2"/>
    <w:rsid w:val="5D057CF7"/>
    <w:rsid w:val="5D096819"/>
    <w:rsid w:val="5D0E5BDE"/>
    <w:rsid w:val="5D0F6503"/>
    <w:rsid w:val="5D176DC3"/>
    <w:rsid w:val="5D273925"/>
    <w:rsid w:val="5D29413C"/>
    <w:rsid w:val="5D2D075A"/>
    <w:rsid w:val="5D2F3CB0"/>
    <w:rsid w:val="5D3429FB"/>
    <w:rsid w:val="5D3C099D"/>
    <w:rsid w:val="5D641CA2"/>
    <w:rsid w:val="5D654CEF"/>
    <w:rsid w:val="5D6B74D4"/>
    <w:rsid w:val="5D8219AF"/>
    <w:rsid w:val="5D8D744A"/>
    <w:rsid w:val="5D9562FF"/>
    <w:rsid w:val="5D9969DE"/>
    <w:rsid w:val="5D9E5258"/>
    <w:rsid w:val="5DA23201"/>
    <w:rsid w:val="5DBB299C"/>
    <w:rsid w:val="5DC14599"/>
    <w:rsid w:val="5DCA7D57"/>
    <w:rsid w:val="5DCE4C15"/>
    <w:rsid w:val="5DF72A65"/>
    <w:rsid w:val="5DFE7D59"/>
    <w:rsid w:val="5E127950"/>
    <w:rsid w:val="5E196F30"/>
    <w:rsid w:val="5E297381"/>
    <w:rsid w:val="5E54100D"/>
    <w:rsid w:val="5E5842DF"/>
    <w:rsid w:val="5E5F5D6D"/>
    <w:rsid w:val="5E653F23"/>
    <w:rsid w:val="5E9734F2"/>
    <w:rsid w:val="5E9B0ECF"/>
    <w:rsid w:val="5EA5070E"/>
    <w:rsid w:val="5EAC6329"/>
    <w:rsid w:val="5EAF519E"/>
    <w:rsid w:val="5EB12965"/>
    <w:rsid w:val="5EBA63C1"/>
    <w:rsid w:val="5ECA52ED"/>
    <w:rsid w:val="5ED734B8"/>
    <w:rsid w:val="5EDA66BF"/>
    <w:rsid w:val="5EE15627"/>
    <w:rsid w:val="5EF21469"/>
    <w:rsid w:val="5EF8251A"/>
    <w:rsid w:val="5EFD0600"/>
    <w:rsid w:val="5F026065"/>
    <w:rsid w:val="5F0A3170"/>
    <w:rsid w:val="5F390541"/>
    <w:rsid w:val="5F3B2BA4"/>
    <w:rsid w:val="5F40295A"/>
    <w:rsid w:val="5F4115CB"/>
    <w:rsid w:val="5F475AD8"/>
    <w:rsid w:val="5F4A5808"/>
    <w:rsid w:val="5F566462"/>
    <w:rsid w:val="5F593FBE"/>
    <w:rsid w:val="5F5F0972"/>
    <w:rsid w:val="5F631B27"/>
    <w:rsid w:val="5F747156"/>
    <w:rsid w:val="5F786AA5"/>
    <w:rsid w:val="5F9611F4"/>
    <w:rsid w:val="5F9967CE"/>
    <w:rsid w:val="5F9C5D32"/>
    <w:rsid w:val="5F9E1F91"/>
    <w:rsid w:val="5FA15A40"/>
    <w:rsid w:val="5FA65FDB"/>
    <w:rsid w:val="5FA97E40"/>
    <w:rsid w:val="5FC0131E"/>
    <w:rsid w:val="5FE8789C"/>
    <w:rsid w:val="5FFC4413"/>
    <w:rsid w:val="600F1ED1"/>
    <w:rsid w:val="602045A6"/>
    <w:rsid w:val="60255718"/>
    <w:rsid w:val="603040BD"/>
    <w:rsid w:val="60495205"/>
    <w:rsid w:val="604D2EC1"/>
    <w:rsid w:val="60502D06"/>
    <w:rsid w:val="60610531"/>
    <w:rsid w:val="60673F48"/>
    <w:rsid w:val="606A0EA4"/>
    <w:rsid w:val="60742859"/>
    <w:rsid w:val="60762C7B"/>
    <w:rsid w:val="60814AF9"/>
    <w:rsid w:val="60825F1D"/>
    <w:rsid w:val="60A16FC2"/>
    <w:rsid w:val="60B109EB"/>
    <w:rsid w:val="60B94146"/>
    <w:rsid w:val="60F10056"/>
    <w:rsid w:val="60F51D20"/>
    <w:rsid w:val="6112354C"/>
    <w:rsid w:val="611319A3"/>
    <w:rsid w:val="611529A3"/>
    <w:rsid w:val="61307DBB"/>
    <w:rsid w:val="61315539"/>
    <w:rsid w:val="61366707"/>
    <w:rsid w:val="613729BA"/>
    <w:rsid w:val="613D279F"/>
    <w:rsid w:val="614B6BF0"/>
    <w:rsid w:val="61513873"/>
    <w:rsid w:val="616157FF"/>
    <w:rsid w:val="61616355"/>
    <w:rsid w:val="61690E9E"/>
    <w:rsid w:val="618D6982"/>
    <w:rsid w:val="618F0D2C"/>
    <w:rsid w:val="6198483A"/>
    <w:rsid w:val="619A5274"/>
    <w:rsid w:val="61A4313A"/>
    <w:rsid w:val="61A44D62"/>
    <w:rsid w:val="61A549DC"/>
    <w:rsid w:val="61AA41D2"/>
    <w:rsid w:val="61B56E55"/>
    <w:rsid w:val="61CB20D0"/>
    <w:rsid w:val="61CF0281"/>
    <w:rsid w:val="61F334C3"/>
    <w:rsid w:val="62077F35"/>
    <w:rsid w:val="6218689B"/>
    <w:rsid w:val="621912AD"/>
    <w:rsid w:val="621A1C17"/>
    <w:rsid w:val="621E3F27"/>
    <w:rsid w:val="6225378C"/>
    <w:rsid w:val="62265898"/>
    <w:rsid w:val="62276771"/>
    <w:rsid w:val="62377985"/>
    <w:rsid w:val="623B57C4"/>
    <w:rsid w:val="62483BA5"/>
    <w:rsid w:val="624F68B7"/>
    <w:rsid w:val="62556FB1"/>
    <w:rsid w:val="626F35C2"/>
    <w:rsid w:val="62774225"/>
    <w:rsid w:val="628222A7"/>
    <w:rsid w:val="62823F52"/>
    <w:rsid w:val="6283268E"/>
    <w:rsid w:val="628C129B"/>
    <w:rsid w:val="62B642BA"/>
    <w:rsid w:val="62BD5310"/>
    <w:rsid w:val="62C87FA7"/>
    <w:rsid w:val="62CF6BDC"/>
    <w:rsid w:val="62D04B36"/>
    <w:rsid w:val="62D74282"/>
    <w:rsid w:val="62DC5616"/>
    <w:rsid w:val="62F37444"/>
    <w:rsid w:val="63025794"/>
    <w:rsid w:val="63106DB5"/>
    <w:rsid w:val="631E12C0"/>
    <w:rsid w:val="63512CC8"/>
    <w:rsid w:val="635406E2"/>
    <w:rsid w:val="635763D7"/>
    <w:rsid w:val="63781333"/>
    <w:rsid w:val="63817AE6"/>
    <w:rsid w:val="638B6DBB"/>
    <w:rsid w:val="6399071E"/>
    <w:rsid w:val="63AC441B"/>
    <w:rsid w:val="63AC7EFE"/>
    <w:rsid w:val="63C13209"/>
    <w:rsid w:val="63C51DBB"/>
    <w:rsid w:val="63C522E1"/>
    <w:rsid w:val="63C718F1"/>
    <w:rsid w:val="63D57455"/>
    <w:rsid w:val="63D62565"/>
    <w:rsid w:val="63DD303B"/>
    <w:rsid w:val="63F57C34"/>
    <w:rsid w:val="63F660ED"/>
    <w:rsid w:val="641471BC"/>
    <w:rsid w:val="642817D2"/>
    <w:rsid w:val="64357312"/>
    <w:rsid w:val="64387BB5"/>
    <w:rsid w:val="643F019E"/>
    <w:rsid w:val="6451784A"/>
    <w:rsid w:val="645D3BA2"/>
    <w:rsid w:val="648A7505"/>
    <w:rsid w:val="649742EE"/>
    <w:rsid w:val="64DA7F84"/>
    <w:rsid w:val="64E60340"/>
    <w:rsid w:val="65004441"/>
    <w:rsid w:val="650519BD"/>
    <w:rsid w:val="650D35D3"/>
    <w:rsid w:val="65180E48"/>
    <w:rsid w:val="651E2832"/>
    <w:rsid w:val="653D562B"/>
    <w:rsid w:val="65532D27"/>
    <w:rsid w:val="655A2BD4"/>
    <w:rsid w:val="656C35A0"/>
    <w:rsid w:val="65727259"/>
    <w:rsid w:val="657A3F96"/>
    <w:rsid w:val="657C2411"/>
    <w:rsid w:val="657D61BB"/>
    <w:rsid w:val="65800D13"/>
    <w:rsid w:val="65A70D82"/>
    <w:rsid w:val="65BC3522"/>
    <w:rsid w:val="65BC7324"/>
    <w:rsid w:val="65C0179C"/>
    <w:rsid w:val="65D36437"/>
    <w:rsid w:val="65EF5DB6"/>
    <w:rsid w:val="65EF6282"/>
    <w:rsid w:val="660261CD"/>
    <w:rsid w:val="661841C9"/>
    <w:rsid w:val="66210129"/>
    <w:rsid w:val="6621660D"/>
    <w:rsid w:val="662B5990"/>
    <w:rsid w:val="663743F7"/>
    <w:rsid w:val="66381443"/>
    <w:rsid w:val="664B7EA3"/>
    <w:rsid w:val="664F2279"/>
    <w:rsid w:val="66556BD7"/>
    <w:rsid w:val="66666E12"/>
    <w:rsid w:val="666A69FF"/>
    <w:rsid w:val="66723681"/>
    <w:rsid w:val="66806228"/>
    <w:rsid w:val="668D1973"/>
    <w:rsid w:val="66900A5D"/>
    <w:rsid w:val="669316E8"/>
    <w:rsid w:val="66956F5A"/>
    <w:rsid w:val="66A5276B"/>
    <w:rsid w:val="66A91934"/>
    <w:rsid w:val="66B94E0C"/>
    <w:rsid w:val="66BE6753"/>
    <w:rsid w:val="66E15B57"/>
    <w:rsid w:val="66E1788A"/>
    <w:rsid w:val="66E668CD"/>
    <w:rsid w:val="66EE6340"/>
    <w:rsid w:val="66F127F8"/>
    <w:rsid w:val="66F92544"/>
    <w:rsid w:val="67076802"/>
    <w:rsid w:val="670D6F06"/>
    <w:rsid w:val="674003AC"/>
    <w:rsid w:val="67582877"/>
    <w:rsid w:val="676665A2"/>
    <w:rsid w:val="676C4108"/>
    <w:rsid w:val="676F2999"/>
    <w:rsid w:val="678A06C9"/>
    <w:rsid w:val="67963445"/>
    <w:rsid w:val="679D472E"/>
    <w:rsid w:val="67B841A0"/>
    <w:rsid w:val="67D0065F"/>
    <w:rsid w:val="67D11BF5"/>
    <w:rsid w:val="67E03287"/>
    <w:rsid w:val="67E22F21"/>
    <w:rsid w:val="67E82036"/>
    <w:rsid w:val="67EE5AE6"/>
    <w:rsid w:val="67F23ED4"/>
    <w:rsid w:val="67FC76A6"/>
    <w:rsid w:val="680C5049"/>
    <w:rsid w:val="682664D1"/>
    <w:rsid w:val="685E2AE9"/>
    <w:rsid w:val="68605613"/>
    <w:rsid w:val="68735362"/>
    <w:rsid w:val="68794F19"/>
    <w:rsid w:val="687C2616"/>
    <w:rsid w:val="6897240C"/>
    <w:rsid w:val="68973053"/>
    <w:rsid w:val="68A21F22"/>
    <w:rsid w:val="68A80C0B"/>
    <w:rsid w:val="68AF1317"/>
    <w:rsid w:val="68B64F8D"/>
    <w:rsid w:val="68CA45F1"/>
    <w:rsid w:val="68DF7FC9"/>
    <w:rsid w:val="69075F4F"/>
    <w:rsid w:val="690F2344"/>
    <w:rsid w:val="69111678"/>
    <w:rsid w:val="69214D87"/>
    <w:rsid w:val="6923313F"/>
    <w:rsid w:val="69242BEC"/>
    <w:rsid w:val="693E0CEB"/>
    <w:rsid w:val="69434640"/>
    <w:rsid w:val="694E7E48"/>
    <w:rsid w:val="69547B38"/>
    <w:rsid w:val="69624E95"/>
    <w:rsid w:val="696A2AB4"/>
    <w:rsid w:val="696D1D0D"/>
    <w:rsid w:val="69745CBB"/>
    <w:rsid w:val="698B6555"/>
    <w:rsid w:val="698D77E2"/>
    <w:rsid w:val="69911CC8"/>
    <w:rsid w:val="69991B75"/>
    <w:rsid w:val="699E44AC"/>
    <w:rsid w:val="69A2602B"/>
    <w:rsid w:val="69A87A70"/>
    <w:rsid w:val="69B33D95"/>
    <w:rsid w:val="69B97845"/>
    <w:rsid w:val="69BD7558"/>
    <w:rsid w:val="69C01463"/>
    <w:rsid w:val="69C86985"/>
    <w:rsid w:val="69E5777A"/>
    <w:rsid w:val="69F074F8"/>
    <w:rsid w:val="69F81BEB"/>
    <w:rsid w:val="69FF522C"/>
    <w:rsid w:val="6A071B3E"/>
    <w:rsid w:val="6A1567FD"/>
    <w:rsid w:val="6A233521"/>
    <w:rsid w:val="6A244F7C"/>
    <w:rsid w:val="6A4C6D34"/>
    <w:rsid w:val="6A535578"/>
    <w:rsid w:val="6A6B2ED3"/>
    <w:rsid w:val="6A6E0584"/>
    <w:rsid w:val="6A7774B8"/>
    <w:rsid w:val="6A8109BD"/>
    <w:rsid w:val="6A841B36"/>
    <w:rsid w:val="6A9F290F"/>
    <w:rsid w:val="6AA75F7D"/>
    <w:rsid w:val="6AA95198"/>
    <w:rsid w:val="6AAF76AE"/>
    <w:rsid w:val="6AB47A9A"/>
    <w:rsid w:val="6AC96B7C"/>
    <w:rsid w:val="6ACD6D54"/>
    <w:rsid w:val="6AD10581"/>
    <w:rsid w:val="6AD71D05"/>
    <w:rsid w:val="6AE34B4E"/>
    <w:rsid w:val="6AF9611F"/>
    <w:rsid w:val="6B042F0E"/>
    <w:rsid w:val="6B1039A2"/>
    <w:rsid w:val="6B134A49"/>
    <w:rsid w:val="6B194A22"/>
    <w:rsid w:val="6B3D6100"/>
    <w:rsid w:val="6B3E1D84"/>
    <w:rsid w:val="6B6B00A7"/>
    <w:rsid w:val="6B7573E4"/>
    <w:rsid w:val="6B7C0D55"/>
    <w:rsid w:val="6B8B57A5"/>
    <w:rsid w:val="6B9D11F1"/>
    <w:rsid w:val="6B9F6960"/>
    <w:rsid w:val="6BA11078"/>
    <w:rsid w:val="6BA56DEF"/>
    <w:rsid w:val="6BC05CD0"/>
    <w:rsid w:val="6BCC20B3"/>
    <w:rsid w:val="6BCC2722"/>
    <w:rsid w:val="6BDB5825"/>
    <w:rsid w:val="6BF81DF9"/>
    <w:rsid w:val="6C033AC9"/>
    <w:rsid w:val="6C08473F"/>
    <w:rsid w:val="6C0C3C30"/>
    <w:rsid w:val="6C262F44"/>
    <w:rsid w:val="6C3C5365"/>
    <w:rsid w:val="6C40043C"/>
    <w:rsid w:val="6C471B44"/>
    <w:rsid w:val="6C57078E"/>
    <w:rsid w:val="6C594EF7"/>
    <w:rsid w:val="6C5A436C"/>
    <w:rsid w:val="6C637827"/>
    <w:rsid w:val="6C7475D1"/>
    <w:rsid w:val="6C7D6A96"/>
    <w:rsid w:val="6C861532"/>
    <w:rsid w:val="6C962104"/>
    <w:rsid w:val="6C987604"/>
    <w:rsid w:val="6C9A375D"/>
    <w:rsid w:val="6C9E2801"/>
    <w:rsid w:val="6CAD71C1"/>
    <w:rsid w:val="6CB42212"/>
    <w:rsid w:val="6CBF6FBD"/>
    <w:rsid w:val="6CCC3287"/>
    <w:rsid w:val="6CCF239C"/>
    <w:rsid w:val="6CD140BB"/>
    <w:rsid w:val="6CD3474E"/>
    <w:rsid w:val="6CD836BD"/>
    <w:rsid w:val="6CDB125F"/>
    <w:rsid w:val="6CF31255"/>
    <w:rsid w:val="6CFA617E"/>
    <w:rsid w:val="6CFF5543"/>
    <w:rsid w:val="6CFF6F08"/>
    <w:rsid w:val="6D001BFD"/>
    <w:rsid w:val="6D035033"/>
    <w:rsid w:val="6D0E5786"/>
    <w:rsid w:val="6D130C8B"/>
    <w:rsid w:val="6D1C784C"/>
    <w:rsid w:val="6D1D60FD"/>
    <w:rsid w:val="6D1E7D3D"/>
    <w:rsid w:val="6D2327FF"/>
    <w:rsid w:val="6D3F5A25"/>
    <w:rsid w:val="6D402D61"/>
    <w:rsid w:val="6D415A28"/>
    <w:rsid w:val="6D4C0C46"/>
    <w:rsid w:val="6D6F4B44"/>
    <w:rsid w:val="6D79562F"/>
    <w:rsid w:val="6D8200F2"/>
    <w:rsid w:val="6D834BD1"/>
    <w:rsid w:val="6D877FD2"/>
    <w:rsid w:val="6D94212F"/>
    <w:rsid w:val="6DA22033"/>
    <w:rsid w:val="6DA37CFA"/>
    <w:rsid w:val="6DBB5BCA"/>
    <w:rsid w:val="6DC02F24"/>
    <w:rsid w:val="6DC22AB9"/>
    <w:rsid w:val="6DE134F1"/>
    <w:rsid w:val="6DE52608"/>
    <w:rsid w:val="6DF32963"/>
    <w:rsid w:val="6DF70E31"/>
    <w:rsid w:val="6DFF42D6"/>
    <w:rsid w:val="6E0C71D3"/>
    <w:rsid w:val="6E102D66"/>
    <w:rsid w:val="6E1067A7"/>
    <w:rsid w:val="6E477C69"/>
    <w:rsid w:val="6E537491"/>
    <w:rsid w:val="6E5E34B2"/>
    <w:rsid w:val="6E6F66C3"/>
    <w:rsid w:val="6E793729"/>
    <w:rsid w:val="6E9A22DC"/>
    <w:rsid w:val="6E9A2535"/>
    <w:rsid w:val="6E9D66E5"/>
    <w:rsid w:val="6EA35FA6"/>
    <w:rsid w:val="6EB23D63"/>
    <w:rsid w:val="6EB75812"/>
    <w:rsid w:val="6EC24A7A"/>
    <w:rsid w:val="6EC407F2"/>
    <w:rsid w:val="6ECE6BD5"/>
    <w:rsid w:val="6ED30A35"/>
    <w:rsid w:val="6ED70166"/>
    <w:rsid w:val="6EE175F6"/>
    <w:rsid w:val="6EE90D69"/>
    <w:rsid w:val="6EEA496C"/>
    <w:rsid w:val="6EF215BE"/>
    <w:rsid w:val="6F0155A2"/>
    <w:rsid w:val="6F031E08"/>
    <w:rsid w:val="6F066E71"/>
    <w:rsid w:val="6F0F3BDB"/>
    <w:rsid w:val="6F1B47FB"/>
    <w:rsid w:val="6F215C44"/>
    <w:rsid w:val="6F217615"/>
    <w:rsid w:val="6F364B92"/>
    <w:rsid w:val="6F7662AB"/>
    <w:rsid w:val="6F7C5FB3"/>
    <w:rsid w:val="6F850F57"/>
    <w:rsid w:val="6F881DB1"/>
    <w:rsid w:val="6F8B1310"/>
    <w:rsid w:val="6F9B497F"/>
    <w:rsid w:val="6FB51799"/>
    <w:rsid w:val="6FE47B45"/>
    <w:rsid w:val="6FF972B9"/>
    <w:rsid w:val="6FFF4E64"/>
    <w:rsid w:val="70175F93"/>
    <w:rsid w:val="702476FB"/>
    <w:rsid w:val="70273016"/>
    <w:rsid w:val="70335C2F"/>
    <w:rsid w:val="70351986"/>
    <w:rsid w:val="70473489"/>
    <w:rsid w:val="704B55B5"/>
    <w:rsid w:val="705362D1"/>
    <w:rsid w:val="705A4AB9"/>
    <w:rsid w:val="705B5186"/>
    <w:rsid w:val="706D5B69"/>
    <w:rsid w:val="707F09CE"/>
    <w:rsid w:val="70892425"/>
    <w:rsid w:val="70893CDB"/>
    <w:rsid w:val="70912956"/>
    <w:rsid w:val="70A9128B"/>
    <w:rsid w:val="70AE52B6"/>
    <w:rsid w:val="70B82C84"/>
    <w:rsid w:val="70D06C34"/>
    <w:rsid w:val="70D955BC"/>
    <w:rsid w:val="70E92792"/>
    <w:rsid w:val="70EB2356"/>
    <w:rsid w:val="70EB475C"/>
    <w:rsid w:val="70EE05EA"/>
    <w:rsid w:val="70EF0D96"/>
    <w:rsid w:val="711067DD"/>
    <w:rsid w:val="712B6993"/>
    <w:rsid w:val="71311E54"/>
    <w:rsid w:val="7133111A"/>
    <w:rsid w:val="71337961"/>
    <w:rsid w:val="713D3B24"/>
    <w:rsid w:val="71430A83"/>
    <w:rsid w:val="71436346"/>
    <w:rsid w:val="714B0D57"/>
    <w:rsid w:val="714F1755"/>
    <w:rsid w:val="715220E5"/>
    <w:rsid w:val="715A2D12"/>
    <w:rsid w:val="716A3D5A"/>
    <w:rsid w:val="71706A0F"/>
    <w:rsid w:val="71752277"/>
    <w:rsid w:val="717D6C89"/>
    <w:rsid w:val="718835C7"/>
    <w:rsid w:val="719041A6"/>
    <w:rsid w:val="719C185D"/>
    <w:rsid w:val="719D479C"/>
    <w:rsid w:val="71B31F54"/>
    <w:rsid w:val="71B4219A"/>
    <w:rsid w:val="71D9745D"/>
    <w:rsid w:val="71DC5E53"/>
    <w:rsid w:val="720F6228"/>
    <w:rsid w:val="72303BB4"/>
    <w:rsid w:val="723F4BF8"/>
    <w:rsid w:val="72407638"/>
    <w:rsid w:val="72582B58"/>
    <w:rsid w:val="727629E7"/>
    <w:rsid w:val="728A3230"/>
    <w:rsid w:val="728B02DD"/>
    <w:rsid w:val="728B1D53"/>
    <w:rsid w:val="72A44BC2"/>
    <w:rsid w:val="72AE419A"/>
    <w:rsid w:val="72AF79A2"/>
    <w:rsid w:val="72CA4B4C"/>
    <w:rsid w:val="72CB03A1"/>
    <w:rsid w:val="72D41FDB"/>
    <w:rsid w:val="72D75341"/>
    <w:rsid w:val="72E02BE0"/>
    <w:rsid w:val="72E7537F"/>
    <w:rsid w:val="72EA06C2"/>
    <w:rsid w:val="72EF1BA8"/>
    <w:rsid w:val="72F0605A"/>
    <w:rsid w:val="73036D2C"/>
    <w:rsid w:val="730E66A8"/>
    <w:rsid w:val="7329156C"/>
    <w:rsid w:val="732950C8"/>
    <w:rsid w:val="732E6B82"/>
    <w:rsid w:val="734327B4"/>
    <w:rsid w:val="73465FB1"/>
    <w:rsid w:val="734C3A40"/>
    <w:rsid w:val="734E19E4"/>
    <w:rsid w:val="7361619B"/>
    <w:rsid w:val="736A6EC9"/>
    <w:rsid w:val="73783004"/>
    <w:rsid w:val="737D6629"/>
    <w:rsid w:val="73865EE2"/>
    <w:rsid w:val="738901B3"/>
    <w:rsid w:val="738D6237"/>
    <w:rsid w:val="739C403B"/>
    <w:rsid w:val="73A54D19"/>
    <w:rsid w:val="73B624A6"/>
    <w:rsid w:val="73B74F65"/>
    <w:rsid w:val="73BD4046"/>
    <w:rsid w:val="73C300B6"/>
    <w:rsid w:val="73C51294"/>
    <w:rsid w:val="73C84BD4"/>
    <w:rsid w:val="73C9192C"/>
    <w:rsid w:val="73D04B66"/>
    <w:rsid w:val="73D816E1"/>
    <w:rsid w:val="73DD310D"/>
    <w:rsid w:val="73F71E4C"/>
    <w:rsid w:val="73FA5E42"/>
    <w:rsid w:val="73FE0A84"/>
    <w:rsid w:val="74035919"/>
    <w:rsid w:val="74061DD8"/>
    <w:rsid w:val="74085A54"/>
    <w:rsid w:val="740B7368"/>
    <w:rsid w:val="74100AF2"/>
    <w:rsid w:val="74302A17"/>
    <w:rsid w:val="74540290"/>
    <w:rsid w:val="745405D1"/>
    <w:rsid w:val="746C03A7"/>
    <w:rsid w:val="74747C4D"/>
    <w:rsid w:val="7476433D"/>
    <w:rsid w:val="7478148F"/>
    <w:rsid w:val="74807271"/>
    <w:rsid w:val="74825854"/>
    <w:rsid w:val="74831D7C"/>
    <w:rsid w:val="748C46D9"/>
    <w:rsid w:val="74982D5C"/>
    <w:rsid w:val="74A344B3"/>
    <w:rsid w:val="74C10CB6"/>
    <w:rsid w:val="74CF2843"/>
    <w:rsid w:val="74DB4066"/>
    <w:rsid w:val="74DD0661"/>
    <w:rsid w:val="74EC6829"/>
    <w:rsid w:val="750C2ACC"/>
    <w:rsid w:val="751723B2"/>
    <w:rsid w:val="7529107A"/>
    <w:rsid w:val="75294371"/>
    <w:rsid w:val="752D2FC5"/>
    <w:rsid w:val="75327C1D"/>
    <w:rsid w:val="753A32A4"/>
    <w:rsid w:val="753B6F08"/>
    <w:rsid w:val="754E13A5"/>
    <w:rsid w:val="75510906"/>
    <w:rsid w:val="75526B58"/>
    <w:rsid w:val="755A3B76"/>
    <w:rsid w:val="755A5A0C"/>
    <w:rsid w:val="757E3092"/>
    <w:rsid w:val="75816C6B"/>
    <w:rsid w:val="758455D8"/>
    <w:rsid w:val="75A12DC3"/>
    <w:rsid w:val="75AA7C87"/>
    <w:rsid w:val="75AD3C18"/>
    <w:rsid w:val="75C66A98"/>
    <w:rsid w:val="75D46816"/>
    <w:rsid w:val="75EB6FFE"/>
    <w:rsid w:val="75ED24F3"/>
    <w:rsid w:val="75EE730D"/>
    <w:rsid w:val="75FC4D15"/>
    <w:rsid w:val="75FD54CB"/>
    <w:rsid w:val="760F0C73"/>
    <w:rsid w:val="76105B7B"/>
    <w:rsid w:val="7620760B"/>
    <w:rsid w:val="76221DD3"/>
    <w:rsid w:val="76302B60"/>
    <w:rsid w:val="76354667"/>
    <w:rsid w:val="76416EC1"/>
    <w:rsid w:val="76576545"/>
    <w:rsid w:val="76583239"/>
    <w:rsid w:val="765863F0"/>
    <w:rsid w:val="766148F2"/>
    <w:rsid w:val="766414E0"/>
    <w:rsid w:val="76694BEC"/>
    <w:rsid w:val="768F01D0"/>
    <w:rsid w:val="76903A3A"/>
    <w:rsid w:val="7692017A"/>
    <w:rsid w:val="76AF3B36"/>
    <w:rsid w:val="76CF5F86"/>
    <w:rsid w:val="76DF0DE6"/>
    <w:rsid w:val="76E01F41"/>
    <w:rsid w:val="76EA2DC0"/>
    <w:rsid w:val="76F87D58"/>
    <w:rsid w:val="76FC4623"/>
    <w:rsid w:val="77061828"/>
    <w:rsid w:val="770E10A6"/>
    <w:rsid w:val="771147F0"/>
    <w:rsid w:val="772F12E8"/>
    <w:rsid w:val="773540FC"/>
    <w:rsid w:val="77360088"/>
    <w:rsid w:val="773D5787"/>
    <w:rsid w:val="774826CA"/>
    <w:rsid w:val="77532216"/>
    <w:rsid w:val="7762335D"/>
    <w:rsid w:val="77645FD0"/>
    <w:rsid w:val="77663017"/>
    <w:rsid w:val="776B2153"/>
    <w:rsid w:val="778812A1"/>
    <w:rsid w:val="77952A01"/>
    <w:rsid w:val="779A525D"/>
    <w:rsid w:val="779B11FF"/>
    <w:rsid w:val="77AF697A"/>
    <w:rsid w:val="77C85850"/>
    <w:rsid w:val="78230F6D"/>
    <w:rsid w:val="782B4868"/>
    <w:rsid w:val="78595BB2"/>
    <w:rsid w:val="786725E2"/>
    <w:rsid w:val="786B7CDB"/>
    <w:rsid w:val="786C3EF8"/>
    <w:rsid w:val="78897534"/>
    <w:rsid w:val="78971491"/>
    <w:rsid w:val="78B10039"/>
    <w:rsid w:val="78C020E6"/>
    <w:rsid w:val="78D83818"/>
    <w:rsid w:val="78DD498A"/>
    <w:rsid w:val="78F543CA"/>
    <w:rsid w:val="79007229"/>
    <w:rsid w:val="791217C3"/>
    <w:rsid w:val="79167E9C"/>
    <w:rsid w:val="79276655"/>
    <w:rsid w:val="792A4AD7"/>
    <w:rsid w:val="79345B1F"/>
    <w:rsid w:val="793F2DD7"/>
    <w:rsid w:val="795C7A69"/>
    <w:rsid w:val="797157C7"/>
    <w:rsid w:val="797429FF"/>
    <w:rsid w:val="79755B54"/>
    <w:rsid w:val="79802351"/>
    <w:rsid w:val="79813307"/>
    <w:rsid w:val="79825532"/>
    <w:rsid w:val="79864DCA"/>
    <w:rsid w:val="799D3A06"/>
    <w:rsid w:val="79AC0800"/>
    <w:rsid w:val="79B47140"/>
    <w:rsid w:val="79C776C3"/>
    <w:rsid w:val="79D76C5A"/>
    <w:rsid w:val="79F663B7"/>
    <w:rsid w:val="7A076FC8"/>
    <w:rsid w:val="7A11541D"/>
    <w:rsid w:val="7A1E26D2"/>
    <w:rsid w:val="7A396538"/>
    <w:rsid w:val="7A426346"/>
    <w:rsid w:val="7A46474C"/>
    <w:rsid w:val="7A4D6089"/>
    <w:rsid w:val="7A505526"/>
    <w:rsid w:val="7A50553D"/>
    <w:rsid w:val="7A6A66F1"/>
    <w:rsid w:val="7A7B29BC"/>
    <w:rsid w:val="7A7E2DD2"/>
    <w:rsid w:val="7A8477B8"/>
    <w:rsid w:val="7A8C38B5"/>
    <w:rsid w:val="7A8C4C4A"/>
    <w:rsid w:val="7A932CBA"/>
    <w:rsid w:val="7A9D1510"/>
    <w:rsid w:val="7AD10C46"/>
    <w:rsid w:val="7AEC07A7"/>
    <w:rsid w:val="7AF95682"/>
    <w:rsid w:val="7AF97477"/>
    <w:rsid w:val="7AFB309D"/>
    <w:rsid w:val="7B074467"/>
    <w:rsid w:val="7B1570A2"/>
    <w:rsid w:val="7B1D19B6"/>
    <w:rsid w:val="7B1F2712"/>
    <w:rsid w:val="7B2F79F1"/>
    <w:rsid w:val="7B330D1E"/>
    <w:rsid w:val="7B346CFF"/>
    <w:rsid w:val="7B570B03"/>
    <w:rsid w:val="7B605BCD"/>
    <w:rsid w:val="7B6C521F"/>
    <w:rsid w:val="7B7379AD"/>
    <w:rsid w:val="7B811766"/>
    <w:rsid w:val="7B93234C"/>
    <w:rsid w:val="7B9C4976"/>
    <w:rsid w:val="7B9F791F"/>
    <w:rsid w:val="7B9F7A32"/>
    <w:rsid w:val="7BA3094A"/>
    <w:rsid w:val="7BB3231A"/>
    <w:rsid w:val="7BB412D7"/>
    <w:rsid w:val="7BD7422A"/>
    <w:rsid w:val="7BDA0DF9"/>
    <w:rsid w:val="7BE158BF"/>
    <w:rsid w:val="7BE349AD"/>
    <w:rsid w:val="7BF6064F"/>
    <w:rsid w:val="7BF90A9A"/>
    <w:rsid w:val="7BFE72E4"/>
    <w:rsid w:val="7C155842"/>
    <w:rsid w:val="7C161A73"/>
    <w:rsid w:val="7C1B6838"/>
    <w:rsid w:val="7C280982"/>
    <w:rsid w:val="7C2E3E37"/>
    <w:rsid w:val="7C321491"/>
    <w:rsid w:val="7C571359"/>
    <w:rsid w:val="7C577F78"/>
    <w:rsid w:val="7C725C0E"/>
    <w:rsid w:val="7C791157"/>
    <w:rsid w:val="7C7F3647"/>
    <w:rsid w:val="7C9E47F3"/>
    <w:rsid w:val="7CA35EEB"/>
    <w:rsid w:val="7CAA36F0"/>
    <w:rsid w:val="7CB3135A"/>
    <w:rsid w:val="7CB83C04"/>
    <w:rsid w:val="7CC560F2"/>
    <w:rsid w:val="7CCD2F68"/>
    <w:rsid w:val="7CD20A4C"/>
    <w:rsid w:val="7CE300D3"/>
    <w:rsid w:val="7CF33A85"/>
    <w:rsid w:val="7CFE0720"/>
    <w:rsid w:val="7D0A1435"/>
    <w:rsid w:val="7D1B21FD"/>
    <w:rsid w:val="7D250FF6"/>
    <w:rsid w:val="7D3A4588"/>
    <w:rsid w:val="7D451B73"/>
    <w:rsid w:val="7D4E1DFC"/>
    <w:rsid w:val="7D586CD5"/>
    <w:rsid w:val="7D630265"/>
    <w:rsid w:val="7D631862"/>
    <w:rsid w:val="7D6D1526"/>
    <w:rsid w:val="7D711B45"/>
    <w:rsid w:val="7D72439F"/>
    <w:rsid w:val="7D7615C0"/>
    <w:rsid w:val="7D7B1C20"/>
    <w:rsid w:val="7DA261EB"/>
    <w:rsid w:val="7DA30C24"/>
    <w:rsid w:val="7DA92317"/>
    <w:rsid w:val="7DAF266D"/>
    <w:rsid w:val="7DAF32A7"/>
    <w:rsid w:val="7DB16162"/>
    <w:rsid w:val="7DB46964"/>
    <w:rsid w:val="7DBC29D6"/>
    <w:rsid w:val="7DD07A3C"/>
    <w:rsid w:val="7DD47F92"/>
    <w:rsid w:val="7DDC313C"/>
    <w:rsid w:val="7DEC7DC1"/>
    <w:rsid w:val="7E130E4E"/>
    <w:rsid w:val="7E266FD9"/>
    <w:rsid w:val="7E355268"/>
    <w:rsid w:val="7E3B7C9F"/>
    <w:rsid w:val="7E3F4F2E"/>
    <w:rsid w:val="7E463BAB"/>
    <w:rsid w:val="7E494870"/>
    <w:rsid w:val="7E5657E4"/>
    <w:rsid w:val="7E7648DD"/>
    <w:rsid w:val="7E7A0ECD"/>
    <w:rsid w:val="7E7A6412"/>
    <w:rsid w:val="7E8D0C00"/>
    <w:rsid w:val="7E95016C"/>
    <w:rsid w:val="7EA7787D"/>
    <w:rsid w:val="7EAD12A3"/>
    <w:rsid w:val="7EB766FB"/>
    <w:rsid w:val="7EC93215"/>
    <w:rsid w:val="7EC9775F"/>
    <w:rsid w:val="7ECD54A1"/>
    <w:rsid w:val="7ED14F91"/>
    <w:rsid w:val="7EEA7E01"/>
    <w:rsid w:val="7EF80303"/>
    <w:rsid w:val="7EFC6E1B"/>
    <w:rsid w:val="7EFE5869"/>
    <w:rsid w:val="7F0A04A3"/>
    <w:rsid w:val="7F327FB4"/>
    <w:rsid w:val="7F396DDE"/>
    <w:rsid w:val="7F503AD8"/>
    <w:rsid w:val="7F64578F"/>
    <w:rsid w:val="7F931563"/>
    <w:rsid w:val="7F995383"/>
    <w:rsid w:val="7FA450C2"/>
    <w:rsid w:val="7FAA6AE0"/>
    <w:rsid w:val="7FAE1311"/>
    <w:rsid w:val="7FB1091F"/>
    <w:rsid w:val="7FB21591"/>
    <w:rsid w:val="7FBB179D"/>
    <w:rsid w:val="7FBD2259"/>
    <w:rsid w:val="7FC41F90"/>
    <w:rsid w:val="7FCA6E04"/>
    <w:rsid w:val="7FE27A53"/>
    <w:rsid w:val="7FEA37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qFormat="1" w:unhideWhenUsed="0" w:uiPriority="99"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9"/>
    <w:pPr>
      <w:keepNext/>
      <w:keepLines/>
      <w:spacing w:before="340" w:after="330" w:line="576" w:lineRule="auto"/>
      <w:outlineLvl w:val="0"/>
    </w:pPr>
    <w:rPr>
      <w:b/>
      <w:bCs/>
      <w:kern w:val="44"/>
      <w:sz w:val="44"/>
      <w:szCs w:val="44"/>
    </w:rPr>
  </w:style>
  <w:style w:type="paragraph" w:styleId="3">
    <w:name w:val="heading 3"/>
    <w:basedOn w:val="1"/>
    <w:next w:val="1"/>
    <w:link w:val="55"/>
    <w:qFormat/>
    <w:uiPriority w:val="99"/>
    <w:pPr>
      <w:keepNext/>
      <w:keepLines/>
      <w:spacing w:before="260" w:after="260" w:line="416" w:lineRule="auto"/>
      <w:outlineLvl w:val="2"/>
    </w:pPr>
    <w:rPr>
      <w:b/>
      <w:bCs/>
      <w:sz w:val="32"/>
      <w:szCs w:val="32"/>
    </w:rPr>
  </w:style>
  <w:style w:type="character" w:default="1" w:styleId="23">
    <w:name w:val="Default Paragraph Font"/>
    <w:semiHidden/>
    <w:qFormat/>
    <w:uiPriority w:val="99"/>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0"/>
    <w:qFormat/>
    <w:uiPriority w:val="99"/>
    <w:pPr>
      <w:jc w:val="left"/>
    </w:pPr>
  </w:style>
  <w:style w:type="paragraph" w:styleId="5">
    <w:name w:val="Salutation"/>
    <w:basedOn w:val="1"/>
    <w:next w:val="1"/>
    <w:link w:val="31"/>
    <w:qFormat/>
    <w:uiPriority w:val="99"/>
    <w:rPr>
      <w:sz w:val="30"/>
      <w:szCs w:val="30"/>
    </w:rPr>
  </w:style>
  <w:style w:type="paragraph" w:styleId="6">
    <w:name w:val="Body Text"/>
    <w:basedOn w:val="1"/>
    <w:link w:val="32"/>
    <w:qFormat/>
    <w:uiPriority w:val="99"/>
    <w:rPr>
      <w:rFonts w:ascii="仿宋_GB2312" w:eastAsia="仿宋_GB2312"/>
      <w:sz w:val="28"/>
    </w:rPr>
  </w:style>
  <w:style w:type="paragraph" w:styleId="7">
    <w:name w:val="Body Text Indent"/>
    <w:basedOn w:val="1"/>
    <w:link w:val="33"/>
    <w:qFormat/>
    <w:uiPriority w:val="99"/>
    <w:pPr>
      <w:spacing w:after="120"/>
      <w:ind w:left="420" w:leftChars="200"/>
    </w:pPr>
  </w:style>
  <w:style w:type="paragraph" w:styleId="8">
    <w:name w:val="Plain Text"/>
    <w:basedOn w:val="1"/>
    <w:link w:val="34"/>
    <w:qFormat/>
    <w:uiPriority w:val="99"/>
    <w:rPr>
      <w:rFonts w:ascii="宋体" w:hAnsi="Courier New"/>
    </w:rPr>
  </w:style>
  <w:style w:type="paragraph" w:styleId="9">
    <w:name w:val="Date"/>
    <w:basedOn w:val="1"/>
    <w:next w:val="1"/>
    <w:link w:val="35"/>
    <w:qFormat/>
    <w:uiPriority w:val="99"/>
    <w:pPr>
      <w:ind w:left="100" w:leftChars="2500"/>
    </w:pPr>
  </w:style>
  <w:style w:type="paragraph" w:styleId="10">
    <w:name w:val="Body Text Indent 2"/>
    <w:basedOn w:val="1"/>
    <w:link w:val="36"/>
    <w:qFormat/>
    <w:uiPriority w:val="99"/>
    <w:pPr>
      <w:spacing w:after="120" w:line="480" w:lineRule="auto"/>
      <w:ind w:left="420" w:leftChars="200"/>
    </w:pPr>
  </w:style>
  <w:style w:type="paragraph" w:styleId="11">
    <w:name w:val="Balloon Text"/>
    <w:basedOn w:val="1"/>
    <w:link w:val="37"/>
    <w:qFormat/>
    <w:uiPriority w:val="99"/>
    <w:rPr>
      <w:sz w:val="18"/>
    </w:rPr>
  </w:style>
  <w:style w:type="paragraph" w:styleId="12">
    <w:name w:val="footer"/>
    <w:basedOn w:val="1"/>
    <w:link w:val="38"/>
    <w:qFormat/>
    <w:uiPriority w:val="99"/>
    <w:pPr>
      <w:tabs>
        <w:tab w:val="center" w:pos="4153"/>
        <w:tab w:val="right" w:pos="8306"/>
      </w:tabs>
      <w:snapToGrid w:val="0"/>
      <w:jc w:val="left"/>
    </w:pPr>
    <w:rPr>
      <w:sz w:val="18"/>
    </w:rPr>
  </w:style>
  <w:style w:type="paragraph" w:styleId="13">
    <w:name w:val="header"/>
    <w:basedOn w:val="1"/>
    <w:link w:val="39"/>
    <w:qFormat/>
    <w:uiPriority w:val="99"/>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0"/>
  </w:style>
  <w:style w:type="paragraph" w:styleId="15">
    <w:name w:val="Body Text Indent 3"/>
    <w:basedOn w:val="1"/>
    <w:link w:val="40"/>
    <w:qFormat/>
    <w:uiPriority w:val="99"/>
    <w:pPr>
      <w:snapToGrid w:val="0"/>
      <w:spacing w:line="288" w:lineRule="auto"/>
      <w:ind w:firstLine="560" w:firstLineChars="200"/>
    </w:pPr>
    <w:rPr>
      <w:rFonts w:ascii="宋体" w:hAnsi="宋体"/>
      <w:sz w:val="28"/>
    </w:rPr>
  </w:style>
  <w:style w:type="paragraph" w:styleId="16">
    <w:name w:val="toc 2"/>
    <w:basedOn w:val="1"/>
    <w:next w:val="1"/>
    <w:qFormat/>
    <w:uiPriority w:val="0"/>
    <w:pPr>
      <w:ind w:left="420" w:leftChars="200"/>
    </w:pPr>
  </w:style>
  <w:style w:type="paragraph" w:styleId="17">
    <w:name w:val="Body Text 2"/>
    <w:basedOn w:val="1"/>
    <w:link w:val="41"/>
    <w:qFormat/>
    <w:uiPriority w:val="99"/>
    <w:pPr>
      <w:spacing w:after="120" w:line="480" w:lineRule="auto"/>
    </w:pPr>
  </w:style>
  <w:style w:type="paragraph" w:styleId="18">
    <w:name w:val="HTML Preformatted"/>
    <w:basedOn w:val="1"/>
    <w:link w:val="4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19">
    <w:name w:val="Normal (Web)"/>
    <w:basedOn w:val="1"/>
    <w:qFormat/>
    <w:uiPriority w:val="99"/>
    <w:pPr>
      <w:spacing w:beforeAutospacing="1" w:afterAutospacing="1"/>
      <w:jc w:val="left"/>
    </w:pPr>
    <w:rPr>
      <w:kern w:val="0"/>
      <w:sz w:val="24"/>
    </w:rPr>
  </w:style>
  <w:style w:type="paragraph" w:styleId="20">
    <w:name w:val="annotation subject"/>
    <w:basedOn w:val="4"/>
    <w:next w:val="4"/>
    <w:link w:val="43"/>
    <w:qFormat/>
    <w:uiPriority w:val="99"/>
    <w:rPr>
      <w:b/>
    </w:rPr>
  </w:style>
  <w:style w:type="table" w:styleId="22">
    <w:name w:val="Table Grid"/>
    <w:basedOn w:val="21"/>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4">
    <w:name w:val="page number"/>
    <w:basedOn w:val="23"/>
    <w:qFormat/>
    <w:uiPriority w:val="99"/>
    <w:rPr>
      <w:rFonts w:cs="Times New Roman"/>
    </w:rPr>
  </w:style>
  <w:style w:type="character" w:styleId="25">
    <w:name w:val="FollowedHyperlink"/>
    <w:basedOn w:val="23"/>
    <w:qFormat/>
    <w:uiPriority w:val="0"/>
    <w:rPr>
      <w:color w:val="333333"/>
      <w:u w:val="none"/>
    </w:rPr>
  </w:style>
  <w:style w:type="character" w:styleId="26">
    <w:name w:val="Hyperlink"/>
    <w:basedOn w:val="23"/>
    <w:qFormat/>
    <w:uiPriority w:val="99"/>
    <w:rPr>
      <w:rFonts w:cs="Times New Roman"/>
      <w:color w:val="0000FF"/>
      <w:u w:val="none"/>
    </w:rPr>
  </w:style>
  <w:style w:type="character" w:styleId="27">
    <w:name w:val="annotation reference"/>
    <w:basedOn w:val="23"/>
    <w:qFormat/>
    <w:uiPriority w:val="99"/>
    <w:rPr>
      <w:rFonts w:cs="Times New Roman"/>
      <w:sz w:val="21"/>
    </w:rPr>
  </w:style>
  <w:style w:type="character" w:customStyle="1" w:styleId="28">
    <w:name w:val="Heading 1 Char"/>
    <w:basedOn w:val="23"/>
    <w:link w:val="2"/>
    <w:qFormat/>
    <w:locked/>
    <w:uiPriority w:val="99"/>
    <w:rPr>
      <w:rFonts w:cs="Times New Roman"/>
      <w:b/>
      <w:bCs/>
      <w:kern w:val="44"/>
      <w:sz w:val="44"/>
      <w:szCs w:val="44"/>
    </w:rPr>
  </w:style>
  <w:style w:type="character" w:customStyle="1" w:styleId="29">
    <w:name w:val="Heading 3 Char"/>
    <w:basedOn w:val="23"/>
    <w:link w:val="3"/>
    <w:qFormat/>
    <w:locked/>
    <w:uiPriority w:val="99"/>
    <w:rPr>
      <w:rFonts w:cs="Times New Roman"/>
      <w:b/>
      <w:bCs/>
      <w:sz w:val="32"/>
      <w:szCs w:val="32"/>
    </w:rPr>
  </w:style>
  <w:style w:type="character" w:customStyle="1" w:styleId="30">
    <w:name w:val="Comment Text Char"/>
    <w:basedOn w:val="23"/>
    <w:link w:val="4"/>
    <w:semiHidden/>
    <w:qFormat/>
    <w:locked/>
    <w:uiPriority w:val="99"/>
    <w:rPr>
      <w:rFonts w:cs="Times New Roman"/>
      <w:sz w:val="24"/>
      <w:szCs w:val="24"/>
    </w:rPr>
  </w:style>
  <w:style w:type="character" w:customStyle="1" w:styleId="31">
    <w:name w:val="Salutation Char"/>
    <w:basedOn w:val="23"/>
    <w:link w:val="5"/>
    <w:semiHidden/>
    <w:qFormat/>
    <w:locked/>
    <w:uiPriority w:val="99"/>
    <w:rPr>
      <w:rFonts w:cs="Times New Roman"/>
      <w:sz w:val="24"/>
      <w:szCs w:val="24"/>
    </w:rPr>
  </w:style>
  <w:style w:type="character" w:customStyle="1" w:styleId="32">
    <w:name w:val="Body Text Char"/>
    <w:basedOn w:val="23"/>
    <w:link w:val="6"/>
    <w:qFormat/>
    <w:locked/>
    <w:uiPriority w:val="99"/>
    <w:rPr>
      <w:rFonts w:ascii="仿宋_GB2312" w:eastAsia="仿宋_GB2312" w:cs="Times New Roman"/>
      <w:kern w:val="2"/>
      <w:sz w:val="24"/>
      <w:szCs w:val="24"/>
    </w:rPr>
  </w:style>
  <w:style w:type="character" w:customStyle="1" w:styleId="33">
    <w:name w:val="Body Text Indent Char"/>
    <w:basedOn w:val="23"/>
    <w:link w:val="7"/>
    <w:semiHidden/>
    <w:qFormat/>
    <w:locked/>
    <w:uiPriority w:val="99"/>
    <w:rPr>
      <w:rFonts w:cs="Times New Roman"/>
      <w:sz w:val="24"/>
      <w:szCs w:val="24"/>
    </w:rPr>
  </w:style>
  <w:style w:type="character" w:customStyle="1" w:styleId="34">
    <w:name w:val="Plain Text Char"/>
    <w:basedOn w:val="23"/>
    <w:link w:val="8"/>
    <w:qFormat/>
    <w:locked/>
    <w:uiPriority w:val="99"/>
    <w:rPr>
      <w:rFonts w:hAnsi="Courier New" w:cs="Times New Roman"/>
      <w:kern w:val="2"/>
      <w:sz w:val="24"/>
      <w:szCs w:val="24"/>
    </w:rPr>
  </w:style>
  <w:style w:type="character" w:customStyle="1" w:styleId="35">
    <w:name w:val="Date Char"/>
    <w:basedOn w:val="23"/>
    <w:link w:val="9"/>
    <w:semiHidden/>
    <w:qFormat/>
    <w:locked/>
    <w:uiPriority w:val="99"/>
    <w:rPr>
      <w:rFonts w:cs="Times New Roman"/>
      <w:sz w:val="24"/>
      <w:szCs w:val="24"/>
    </w:rPr>
  </w:style>
  <w:style w:type="character" w:customStyle="1" w:styleId="36">
    <w:name w:val="Body Text Indent 2 Char"/>
    <w:basedOn w:val="23"/>
    <w:link w:val="10"/>
    <w:qFormat/>
    <w:locked/>
    <w:uiPriority w:val="99"/>
    <w:rPr>
      <w:rFonts w:cs="Times New Roman"/>
      <w:kern w:val="2"/>
      <w:sz w:val="24"/>
      <w:szCs w:val="24"/>
    </w:rPr>
  </w:style>
  <w:style w:type="character" w:customStyle="1" w:styleId="37">
    <w:name w:val="Balloon Text Char"/>
    <w:basedOn w:val="23"/>
    <w:link w:val="11"/>
    <w:semiHidden/>
    <w:qFormat/>
    <w:locked/>
    <w:uiPriority w:val="99"/>
    <w:rPr>
      <w:rFonts w:cs="Times New Roman"/>
      <w:sz w:val="2"/>
    </w:rPr>
  </w:style>
  <w:style w:type="character" w:customStyle="1" w:styleId="38">
    <w:name w:val="Footer Char"/>
    <w:basedOn w:val="23"/>
    <w:link w:val="12"/>
    <w:qFormat/>
    <w:locked/>
    <w:uiPriority w:val="99"/>
    <w:rPr>
      <w:rFonts w:cs="Times New Roman"/>
      <w:kern w:val="2"/>
      <w:sz w:val="24"/>
      <w:szCs w:val="24"/>
    </w:rPr>
  </w:style>
  <w:style w:type="character" w:customStyle="1" w:styleId="39">
    <w:name w:val="Header Char"/>
    <w:basedOn w:val="23"/>
    <w:link w:val="13"/>
    <w:qFormat/>
    <w:locked/>
    <w:uiPriority w:val="99"/>
    <w:rPr>
      <w:rFonts w:cs="Times New Roman"/>
      <w:kern w:val="2"/>
      <w:sz w:val="24"/>
      <w:szCs w:val="24"/>
    </w:rPr>
  </w:style>
  <w:style w:type="character" w:customStyle="1" w:styleId="40">
    <w:name w:val="Body Text Indent 3 Char"/>
    <w:basedOn w:val="23"/>
    <w:link w:val="15"/>
    <w:semiHidden/>
    <w:qFormat/>
    <w:locked/>
    <w:uiPriority w:val="99"/>
    <w:rPr>
      <w:rFonts w:cs="Times New Roman"/>
      <w:sz w:val="16"/>
      <w:szCs w:val="16"/>
    </w:rPr>
  </w:style>
  <w:style w:type="character" w:customStyle="1" w:styleId="41">
    <w:name w:val="Body Text 2 Char"/>
    <w:basedOn w:val="23"/>
    <w:link w:val="17"/>
    <w:qFormat/>
    <w:locked/>
    <w:uiPriority w:val="99"/>
    <w:rPr>
      <w:rFonts w:cs="Times New Roman"/>
      <w:kern w:val="2"/>
      <w:sz w:val="24"/>
      <w:szCs w:val="24"/>
    </w:rPr>
  </w:style>
  <w:style w:type="character" w:customStyle="1" w:styleId="42">
    <w:name w:val="HTML Preformatted Char"/>
    <w:basedOn w:val="23"/>
    <w:link w:val="18"/>
    <w:semiHidden/>
    <w:qFormat/>
    <w:locked/>
    <w:uiPriority w:val="99"/>
    <w:rPr>
      <w:rFonts w:ascii="Courier New" w:hAnsi="Courier New" w:cs="Courier New"/>
      <w:sz w:val="20"/>
      <w:szCs w:val="20"/>
    </w:rPr>
  </w:style>
  <w:style w:type="character" w:customStyle="1" w:styleId="43">
    <w:name w:val="Comment Subject Char"/>
    <w:basedOn w:val="30"/>
    <w:link w:val="20"/>
    <w:semiHidden/>
    <w:qFormat/>
    <w:locked/>
    <w:uiPriority w:val="99"/>
    <w:rPr>
      <w:b/>
      <w:bCs/>
    </w:rPr>
  </w:style>
  <w:style w:type="character" w:customStyle="1" w:styleId="44">
    <w:name w:val="font41"/>
    <w:basedOn w:val="23"/>
    <w:qFormat/>
    <w:uiPriority w:val="99"/>
    <w:rPr>
      <w:rFonts w:ascii="宋体" w:hAnsi="宋体" w:eastAsia="宋体" w:cs="Times New Roman"/>
      <w:color w:val="000000"/>
      <w:sz w:val="20"/>
      <w:szCs w:val="20"/>
      <w:u w:val="none"/>
    </w:rPr>
  </w:style>
  <w:style w:type="character" w:customStyle="1" w:styleId="45">
    <w:name w:val="font71"/>
    <w:basedOn w:val="23"/>
    <w:qFormat/>
    <w:uiPriority w:val="99"/>
    <w:rPr>
      <w:rFonts w:ascii="Times New Roman" w:hAnsi="Times New Roman" w:cs="Times New Roman"/>
      <w:color w:val="000000"/>
      <w:sz w:val="20"/>
      <w:szCs w:val="20"/>
      <w:u w:val="none"/>
    </w:rPr>
  </w:style>
  <w:style w:type="character" w:customStyle="1" w:styleId="46">
    <w:name w:val="font01"/>
    <w:basedOn w:val="23"/>
    <w:qFormat/>
    <w:uiPriority w:val="99"/>
    <w:rPr>
      <w:rFonts w:ascii="Times New Roman" w:hAnsi="Times New Roman" w:cs="Times New Roman"/>
      <w:color w:val="000000"/>
      <w:sz w:val="24"/>
      <w:szCs w:val="24"/>
      <w:u w:val="none"/>
    </w:rPr>
  </w:style>
  <w:style w:type="character" w:customStyle="1" w:styleId="47">
    <w:name w:val="font21"/>
    <w:basedOn w:val="23"/>
    <w:qFormat/>
    <w:uiPriority w:val="99"/>
    <w:rPr>
      <w:rFonts w:ascii="仿宋" w:hAnsi="仿宋" w:eastAsia="仿宋" w:cs="仿宋"/>
      <w:color w:val="000000"/>
      <w:sz w:val="24"/>
      <w:szCs w:val="24"/>
      <w:u w:val="none"/>
    </w:rPr>
  </w:style>
  <w:style w:type="paragraph" w:customStyle="1" w:styleId="48">
    <w:name w:val="p0"/>
    <w:basedOn w:val="1"/>
    <w:qFormat/>
    <w:uiPriority w:val="99"/>
    <w:pPr>
      <w:widowControl/>
      <w:jc w:val="left"/>
    </w:pPr>
    <w:rPr>
      <w:kern w:val="0"/>
      <w:sz w:val="20"/>
    </w:rPr>
  </w:style>
  <w:style w:type="paragraph" w:customStyle="1" w:styleId="49">
    <w:name w:val="Char Char Char1 Char Char Char Char"/>
    <w:basedOn w:val="1"/>
    <w:qFormat/>
    <w:uiPriority w:val="99"/>
    <w:rPr>
      <w:rFonts w:ascii="宋体" w:hAnsi="宋体" w:cs="Courier New"/>
      <w:sz w:val="32"/>
      <w:szCs w:val="32"/>
    </w:rPr>
  </w:style>
  <w:style w:type="paragraph" w:customStyle="1" w:styleId="50">
    <w:name w:val="样式3"/>
    <w:basedOn w:val="1"/>
    <w:qFormat/>
    <w:uiPriority w:val="99"/>
    <w:pPr>
      <w:jc w:val="center"/>
    </w:pPr>
    <w:rPr>
      <w:rFonts w:ascii="宋体"/>
      <w:spacing w:val="6"/>
      <w:szCs w:val="20"/>
    </w:rPr>
  </w:style>
  <w:style w:type="table" w:customStyle="1" w:styleId="51">
    <w:name w:val="网格型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2">
    <w:name w:val="font31"/>
    <w:basedOn w:val="23"/>
    <w:qFormat/>
    <w:uiPriority w:val="99"/>
    <w:rPr>
      <w:rFonts w:ascii="宋体" w:hAnsi="宋体" w:eastAsia="宋体" w:cs="宋体"/>
      <w:color w:val="000000"/>
      <w:sz w:val="20"/>
      <w:szCs w:val="20"/>
      <w:u w:val="none"/>
    </w:rPr>
  </w:style>
  <w:style w:type="character" w:customStyle="1" w:styleId="53">
    <w:name w:val="font11"/>
    <w:qFormat/>
    <w:uiPriority w:val="99"/>
    <w:rPr>
      <w:rFonts w:ascii="宋体" w:hAnsi="宋体" w:eastAsia="宋体"/>
      <w:color w:val="000000"/>
      <w:sz w:val="20"/>
      <w:u w:val="none"/>
    </w:rPr>
  </w:style>
  <w:style w:type="paragraph" w:styleId="54">
    <w:name w:val="List Paragraph"/>
    <w:basedOn w:val="1"/>
    <w:qFormat/>
    <w:uiPriority w:val="99"/>
    <w:pPr>
      <w:ind w:firstLine="420" w:firstLineChars="200"/>
    </w:pPr>
  </w:style>
  <w:style w:type="character" w:customStyle="1" w:styleId="55">
    <w:name w:val="标题 3 Char"/>
    <w:basedOn w:val="23"/>
    <w:link w:val="3"/>
    <w:qFormat/>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15" textRotate="1"/>
    <customShpInfo spid="_x0000_s4111" textRotate="1"/>
    <customShpInfo spid="_x0000_s4112" textRotate="1"/>
    <customShpInfo spid="_x0000_s4113" textRotate="1"/>
    <customShpInfo spid="_x0000_s411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11</Pages>
  <Words>6125</Words>
  <Characters>6410</Characters>
  <Lines>0</Lines>
  <Paragraphs>0</Paragraphs>
  <TotalTime>1</TotalTime>
  <ScaleCrop>false</ScaleCrop>
  <LinksUpToDate>false</LinksUpToDate>
  <CharactersWithSpaces>6495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2018-08-28T02:03:00Z</dcterms:created>
  <dc:creator>杜冰</dc:creator>
  <cp:lastModifiedBy>Administrator</cp:lastModifiedBy>
  <cp:lastPrinted>2020-09-04T08:42:00Z</cp:lastPrinted>
  <dcterms:modified xsi:type="dcterms:W3CDTF">2022-10-26T01:07:39Z</dcterms:modified>
  <dc:title>××司法鉴定中心司法鉴定意见书</dc:title>
  <cp:revision>607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6B447CCB525245C4BFA213F70102ADA5</vt:lpwstr>
  </property>
</Properties>
</file>